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F1350D" w14:textId="77777777" w:rsidR="008A3060" w:rsidRPr="00221759" w:rsidRDefault="008A3060" w:rsidP="009752F0">
      <w:pPr>
        <w:pStyle w:val="BlueHyperlink"/>
        <w:jc w:val="left"/>
      </w:pPr>
    </w:p>
    <w:p w14:paraId="4C8D2324" w14:textId="77777777" w:rsidR="008A3060" w:rsidRPr="00221759" w:rsidRDefault="008A3060" w:rsidP="00231C39">
      <w:pPr>
        <w:pStyle w:val="Heading2"/>
        <w:spacing w:before="0" w:after="0" w:line="360" w:lineRule="auto"/>
        <w:ind w:left="709"/>
        <w:jc w:val="both"/>
        <w:rPr>
          <w:rFonts w:asciiTheme="minorHAnsi" w:hAnsiTheme="minorHAnsi" w:cs="Arial"/>
          <w:noProof w:val="0"/>
          <w:sz w:val="28"/>
          <w:szCs w:val="28"/>
        </w:rPr>
      </w:pPr>
    </w:p>
    <w:p w14:paraId="5D89F9D0" w14:textId="77777777" w:rsidR="008A3060" w:rsidRPr="00221759" w:rsidRDefault="008A3060" w:rsidP="00231C39">
      <w:pPr>
        <w:pStyle w:val="Heading2"/>
        <w:spacing w:before="0" w:after="0" w:line="360" w:lineRule="auto"/>
        <w:ind w:left="709"/>
        <w:jc w:val="both"/>
        <w:rPr>
          <w:rFonts w:asciiTheme="minorHAnsi" w:hAnsiTheme="minorHAnsi" w:cs="Arial"/>
          <w:noProof w:val="0"/>
          <w:sz w:val="28"/>
          <w:szCs w:val="28"/>
        </w:rPr>
      </w:pPr>
    </w:p>
    <w:p w14:paraId="11418352" w14:textId="77777777" w:rsidR="008A3060" w:rsidRPr="00221759" w:rsidRDefault="008A3060" w:rsidP="00231C39">
      <w:pPr>
        <w:pStyle w:val="Heading2"/>
        <w:spacing w:before="0" w:after="0" w:line="360" w:lineRule="auto"/>
        <w:ind w:left="709"/>
        <w:jc w:val="both"/>
        <w:rPr>
          <w:rFonts w:asciiTheme="minorHAnsi" w:hAnsiTheme="minorHAnsi" w:cs="Arial"/>
          <w:noProof w:val="0"/>
          <w:sz w:val="28"/>
          <w:szCs w:val="28"/>
        </w:rPr>
      </w:pPr>
    </w:p>
    <w:p w14:paraId="1957A3B4" w14:textId="77777777" w:rsidR="008A3060" w:rsidRPr="00221759" w:rsidRDefault="008A3060" w:rsidP="00231C39">
      <w:pPr>
        <w:pStyle w:val="Heading2"/>
        <w:spacing w:before="0" w:after="0" w:line="360" w:lineRule="auto"/>
        <w:ind w:left="709"/>
        <w:jc w:val="both"/>
        <w:rPr>
          <w:rFonts w:asciiTheme="minorHAnsi" w:hAnsiTheme="minorHAnsi" w:cs="Arial"/>
          <w:noProof w:val="0"/>
          <w:sz w:val="28"/>
          <w:szCs w:val="28"/>
        </w:rPr>
      </w:pPr>
    </w:p>
    <w:p w14:paraId="0F1FA58B" w14:textId="6BBB2ACA" w:rsidR="00205C02" w:rsidRPr="00442605" w:rsidRDefault="00205C02" w:rsidP="00205C02">
      <w:pPr>
        <w:pStyle w:val="Front-Title"/>
        <w:rPr>
          <w:rFonts w:asciiTheme="minorHAnsi" w:hAnsiTheme="minorHAnsi" w:cstheme="minorHAnsi"/>
          <w:caps w:val="0"/>
          <w:lang w:val="it-IT"/>
        </w:rPr>
      </w:pPr>
      <w:bookmarkStart w:id="0" w:name="_top"/>
      <w:bookmarkEnd w:id="0"/>
      <w:r w:rsidRPr="00442605">
        <w:rPr>
          <w:rFonts w:asciiTheme="minorHAnsi" w:hAnsiTheme="minorHAnsi" w:cstheme="minorHAnsi"/>
          <w:caps w:val="0"/>
          <w:lang w:val="it-IT"/>
        </w:rPr>
        <w:t>Z</w:t>
      </w:r>
      <w:r w:rsidR="007313C0">
        <w:rPr>
          <w:rFonts w:asciiTheme="minorHAnsi" w:hAnsiTheme="minorHAnsi" w:cstheme="minorHAnsi"/>
          <w:caps w:val="0"/>
          <w:lang w:val="it-IT"/>
        </w:rPr>
        <w:t>URAMPIC</w:t>
      </w:r>
      <w:r w:rsidRPr="00442605">
        <w:rPr>
          <w:rFonts w:asciiTheme="minorHAnsi" w:hAnsiTheme="minorHAnsi" w:cstheme="minorHAnsi"/>
          <w:caps w:val="0"/>
          <w:vertAlign w:val="superscript"/>
          <w:lang w:val="it-IT"/>
        </w:rPr>
        <w:t>®</w:t>
      </w:r>
    </w:p>
    <w:p w14:paraId="4C1E71C7" w14:textId="7E88213E" w:rsidR="00205C02" w:rsidRPr="00205C02" w:rsidRDefault="007313C0" w:rsidP="00205C02">
      <w:pPr>
        <w:pStyle w:val="Front-Title"/>
        <w:rPr>
          <w:rFonts w:asciiTheme="minorHAnsi" w:hAnsiTheme="minorHAnsi" w:cstheme="minorHAnsi"/>
          <w:caps w:val="0"/>
          <w:lang w:val="it-IT"/>
        </w:rPr>
      </w:pPr>
      <w:r>
        <w:rPr>
          <w:rFonts w:asciiTheme="minorHAnsi" w:hAnsiTheme="minorHAnsi" w:cstheme="minorHAnsi"/>
          <w:caps w:val="0"/>
          <w:lang w:val="it-IT"/>
        </w:rPr>
        <w:t>Lesinurad</w:t>
      </w:r>
      <w:r w:rsidR="00205C02" w:rsidRPr="00205C02">
        <w:rPr>
          <w:rFonts w:asciiTheme="minorHAnsi" w:hAnsiTheme="minorHAnsi" w:cstheme="minorHAnsi"/>
          <w:caps w:val="0"/>
          <w:lang w:val="it-IT"/>
        </w:rPr>
        <w:t xml:space="preserve"> </w:t>
      </w:r>
      <w:r>
        <w:rPr>
          <w:rFonts w:asciiTheme="minorHAnsi" w:hAnsiTheme="minorHAnsi" w:cstheme="minorHAnsi"/>
          <w:caps w:val="0"/>
          <w:lang w:val="it-IT"/>
        </w:rPr>
        <w:t>200</w:t>
      </w:r>
      <w:r w:rsidR="00205C02" w:rsidRPr="00205C02">
        <w:rPr>
          <w:rFonts w:asciiTheme="minorHAnsi" w:hAnsiTheme="minorHAnsi" w:cstheme="minorHAnsi"/>
          <w:caps w:val="0"/>
          <w:lang w:val="it-IT"/>
        </w:rPr>
        <w:t xml:space="preserve"> </w:t>
      </w:r>
      <w:r>
        <w:rPr>
          <w:rFonts w:asciiTheme="minorHAnsi" w:hAnsiTheme="minorHAnsi" w:cstheme="minorHAnsi"/>
          <w:caps w:val="0"/>
          <w:lang w:val="it-IT"/>
        </w:rPr>
        <w:t>m</w:t>
      </w:r>
      <w:r w:rsidR="00205C02" w:rsidRPr="00205C02">
        <w:rPr>
          <w:rFonts w:asciiTheme="minorHAnsi" w:hAnsiTheme="minorHAnsi" w:cstheme="minorHAnsi"/>
          <w:caps w:val="0"/>
          <w:lang w:val="it-IT"/>
        </w:rPr>
        <w:t xml:space="preserve">g </w:t>
      </w:r>
      <w:r w:rsidR="00D06F5A">
        <w:rPr>
          <w:rFonts w:asciiTheme="minorHAnsi" w:hAnsiTheme="minorHAnsi" w:cstheme="minorHAnsi"/>
          <w:caps w:val="0"/>
          <w:lang w:val="it-IT"/>
        </w:rPr>
        <w:t>c</w:t>
      </w:r>
      <w:r>
        <w:rPr>
          <w:rFonts w:asciiTheme="minorHAnsi" w:hAnsiTheme="minorHAnsi" w:cstheme="minorHAnsi"/>
          <w:caps w:val="0"/>
          <w:lang w:val="it-IT"/>
        </w:rPr>
        <w:t>ompresse</w:t>
      </w:r>
      <w:r w:rsidR="003C5ACD">
        <w:rPr>
          <w:rFonts w:asciiTheme="minorHAnsi" w:hAnsiTheme="minorHAnsi" w:cstheme="minorHAnsi"/>
          <w:caps w:val="0"/>
          <w:lang w:val="it-IT"/>
        </w:rPr>
        <w:t xml:space="preserve"> rivestite con film</w:t>
      </w:r>
    </w:p>
    <w:p w14:paraId="45E50CFF" w14:textId="2E716C66" w:rsidR="00205C02" w:rsidRDefault="00205C02" w:rsidP="00205C02">
      <w:pPr>
        <w:pStyle w:val="Front-Info"/>
        <w:rPr>
          <w:rFonts w:asciiTheme="minorHAnsi" w:hAnsiTheme="minorHAnsi" w:cstheme="minorHAnsi"/>
          <w:sz w:val="32"/>
          <w:szCs w:val="32"/>
          <w:lang w:val="it-IT"/>
        </w:rPr>
      </w:pPr>
      <w:r w:rsidRPr="005A2BD0">
        <w:rPr>
          <w:rFonts w:asciiTheme="minorHAnsi" w:hAnsiTheme="minorHAnsi" w:cstheme="minorHAnsi"/>
          <w:sz w:val="32"/>
          <w:szCs w:val="32"/>
          <w:lang w:val="it-IT"/>
        </w:rPr>
        <w:t>Dossier a support</w:t>
      </w:r>
      <w:r w:rsidR="00D06F5A" w:rsidRPr="005A2BD0">
        <w:rPr>
          <w:rFonts w:asciiTheme="minorHAnsi" w:hAnsiTheme="minorHAnsi" w:cstheme="minorHAnsi"/>
          <w:sz w:val="32"/>
          <w:szCs w:val="32"/>
          <w:lang w:val="it-IT"/>
        </w:rPr>
        <w:t>o</w:t>
      </w:r>
      <w:r w:rsidRPr="005A2BD0">
        <w:rPr>
          <w:rFonts w:asciiTheme="minorHAnsi" w:hAnsiTheme="minorHAnsi" w:cstheme="minorHAnsi"/>
          <w:sz w:val="32"/>
          <w:szCs w:val="32"/>
          <w:lang w:val="it-IT"/>
        </w:rPr>
        <w:t xml:space="preserve"> della domanda di rimborsabilità e prezzo</w:t>
      </w:r>
    </w:p>
    <w:p w14:paraId="3B7F5CA9" w14:textId="523F8CEE" w:rsidR="00F473A1" w:rsidRPr="005A2BD0" w:rsidRDefault="00F473A1" w:rsidP="00205C02">
      <w:pPr>
        <w:pStyle w:val="Front-Info"/>
        <w:rPr>
          <w:rFonts w:asciiTheme="minorHAnsi" w:hAnsiTheme="minorHAnsi" w:cstheme="minorHAnsi"/>
          <w:sz w:val="32"/>
          <w:szCs w:val="32"/>
          <w:lang w:val="it-IT"/>
        </w:rPr>
      </w:pPr>
      <w:r>
        <w:rPr>
          <w:rFonts w:asciiTheme="minorHAnsi" w:hAnsiTheme="minorHAnsi" w:cstheme="minorHAnsi"/>
          <w:sz w:val="32"/>
          <w:szCs w:val="32"/>
          <w:lang w:val="it-IT"/>
        </w:rPr>
        <w:t>(Delibera Cipe 1 Febbraio 2001)</w:t>
      </w:r>
    </w:p>
    <w:p w14:paraId="2517CF2B" w14:textId="77777777" w:rsidR="00205C02" w:rsidRPr="00D06F5A" w:rsidRDefault="00205C02" w:rsidP="00205C02">
      <w:pPr>
        <w:pStyle w:val="Front-Info"/>
        <w:rPr>
          <w:rFonts w:asciiTheme="minorHAnsi" w:hAnsiTheme="minorHAnsi" w:cstheme="minorHAnsi"/>
          <w:lang w:val="it-IT"/>
        </w:rPr>
      </w:pPr>
    </w:p>
    <w:p w14:paraId="7F307D8E" w14:textId="3A7970F0" w:rsidR="00205C02" w:rsidRPr="00611131" w:rsidRDefault="00205C02" w:rsidP="00205C02">
      <w:pPr>
        <w:pStyle w:val="Front-Info"/>
        <w:rPr>
          <w:rFonts w:asciiTheme="minorHAnsi" w:hAnsiTheme="minorHAnsi" w:cstheme="minorHAnsi"/>
          <w:sz w:val="28"/>
          <w:szCs w:val="28"/>
          <w:lang w:val="it-IT"/>
        </w:rPr>
      </w:pPr>
      <w:r w:rsidRPr="005D360E">
        <w:rPr>
          <w:rFonts w:asciiTheme="minorHAnsi" w:hAnsiTheme="minorHAnsi" w:cstheme="minorHAnsi"/>
          <w:sz w:val="28"/>
          <w:szCs w:val="28"/>
          <w:lang w:val="it-IT"/>
        </w:rPr>
        <w:t>Gennaio 201</w:t>
      </w:r>
      <w:r w:rsidR="003C5ACD" w:rsidRPr="005D360E">
        <w:rPr>
          <w:rFonts w:asciiTheme="minorHAnsi" w:hAnsiTheme="minorHAnsi" w:cstheme="minorHAnsi"/>
          <w:sz w:val="28"/>
          <w:szCs w:val="28"/>
          <w:lang w:val="it-IT"/>
        </w:rPr>
        <w:t>7</w:t>
      </w:r>
    </w:p>
    <w:p w14:paraId="024DB883" w14:textId="77777777" w:rsidR="00205C02" w:rsidRPr="00611131" w:rsidRDefault="00205C02" w:rsidP="00205C02">
      <w:pPr>
        <w:pStyle w:val="Front-Info"/>
        <w:rPr>
          <w:rFonts w:asciiTheme="minorHAnsi" w:hAnsiTheme="minorHAnsi" w:cstheme="minorHAnsi"/>
          <w:sz w:val="28"/>
          <w:szCs w:val="28"/>
          <w:lang w:val="it-IT"/>
        </w:rPr>
      </w:pPr>
    </w:p>
    <w:p w14:paraId="7AAC19BB" w14:textId="77777777" w:rsidR="00205C02" w:rsidRPr="00611131" w:rsidRDefault="00205C02" w:rsidP="00205C02">
      <w:pPr>
        <w:pStyle w:val="Front-Info"/>
        <w:rPr>
          <w:rFonts w:asciiTheme="minorHAnsi" w:hAnsiTheme="minorHAnsi" w:cstheme="minorHAnsi"/>
          <w:sz w:val="28"/>
          <w:szCs w:val="28"/>
          <w:lang w:val="it-IT"/>
        </w:rPr>
      </w:pPr>
    </w:p>
    <w:p w14:paraId="6C00CC4C" w14:textId="36A0125B" w:rsidR="009750AD" w:rsidRPr="009C6FBA" w:rsidRDefault="00611131" w:rsidP="005D360E">
      <w:pPr>
        <w:pStyle w:val="Front-Info"/>
        <w:rPr>
          <w:rFonts w:cstheme="minorHAnsi"/>
          <w:b w:val="0"/>
          <w:lang w:val="it-IT"/>
        </w:rPr>
        <w:sectPr w:rsidR="009750AD" w:rsidRPr="009C6FBA" w:rsidSect="000F3321">
          <w:headerReference w:type="default" r:id="rId8"/>
          <w:footerReference w:type="even" r:id="rId9"/>
          <w:footerReference w:type="default" r:id="rId10"/>
          <w:pgSz w:w="11907" w:h="16839" w:code="9"/>
          <w:pgMar w:top="1440" w:right="1440" w:bottom="1134" w:left="1440" w:header="709" w:footer="709" w:gutter="0"/>
          <w:cols w:space="708"/>
          <w:docGrid w:linePitch="360"/>
        </w:sectPr>
      </w:pPr>
      <w:r w:rsidRPr="00611131">
        <w:rPr>
          <w:rFonts w:asciiTheme="minorHAnsi" w:hAnsiTheme="minorHAnsi" w:cstheme="minorHAnsi"/>
          <w:sz w:val="28"/>
          <w:szCs w:val="28"/>
          <w:lang w:val="it-IT"/>
        </w:rPr>
        <w:t xml:space="preserve">Versione: </w:t>
      </w:r>
      <w:r w:rsidR="00930591">
        <w:rPr>
          <w:rFonts w:asciiTheme="minorHAnsi" w:hAnsiTheme="minorHAnsi" w:cstheme="minorHAnsi"/>
          <w:sz w:val="28"/>
          <w:szCs w:val="28"/>
          <w:lang w:val="it-IT"/>
        </w:rPr>
        <w:t>final</w:t>
      </w:r>
      <w:r w:rsidR="005D360E">
        <w:rPr>
          <w:rFonts w:asciiTheme="minorHAnsi" w:hAnsiTheme="minorHAnsi" w:cstheme="minorHAnsi"/>
          <w:sz w:val="28"/>
          <w:szCs w:val="28"/>
          <w:lang w:val="it-IT"/>
        </w:rPr>
        <w:t xml:space="preserve"> </w:t>
      </w:r>
    </w:p>
    <w:p w14:paraId="1E30A941" w14:textId="4670AF45" w:rsidR="00205C02" w:rsidRPr="00611131" w:rsidRDefault="00205C02">
      <w:pPr>
        <w:rPr>
          <w:rFonts w:eastAsia="Times New Roman" w:cstheme="minorHAnsi"/>
          <w:b/>
          <w:lang w:eastAsia="de-DE"/>
        </w:rPr>
      </w:pPr>
    </w:p>
    <w:p w14:paraId="5746E12F" w14:textId="77777777" w:rsidR="00205C02" w:rsidRPr="00611131" w:rsidRDefault="00205C02" w:rsidP="00205C02">
      <w:pPr>
        <w:pStyle w:val="Front-Info"/>
        <w:rPr>
          <w:rFonts w:asciiTheme="minorHAnsi" w:hAnsiTheme="minorHAnsi" w:cstheme="minorHAnsi"/>
          <w:lang w:val="it-IT"/>
        </w:rPr>
      </w:pPr>
    </w:p>
    <w:p w14:paraId="3F83F665" w14:textId="605AC920" w:rsidR="00232143" w:rsidRPr="00CF7735" w:rsidRDefault="00232143">
      <w:pPr>
        <w:rPr>
          <w:b/>
          <w:sz w:val="20"/>
          <w:szCs w:val="20"/>
          <w:u w:val="single"/>
        </w:rPr>
      </w:pPr>
      <w:r w:rsidRPr="00CF7735">
        <w:rPr>
          <w:b/>
          <w:sz w:val="20"/>
          <w:szCs w:val="20"/>
          <w:u w:val="single"/>
        </w:rPr>
        <w:t>Indice</w:t>
      </w:r>
    </w:p>
    <w:p w14:paraId="7E92783C" w14:textId="77777777" w:rsidR="00056528" w:rsidRDefault="00CF7735" w:rsidP="00056528">
      <w:pPr>
        <w:pStyle w:val="TOC1"/>
        <w:rPr>
          <w:rFonts w:eastAsiaTheme="minorEastAsia" w:cstheme="minorBidi"/>
          <w:noProof/>
          <w:sz w:val="22"/>
          <w:szCs w:val="22"/>
          <w:lang w:val="it-IT" w:eastAsia="it-IT"/>
        </w:rPr>
      </w:pPr>
      <w:r>
        <w:rPr>
          <w:szCs w:val="20"/>
        </w:rPr>
        <w:fldChar w:fldCharType="begin"/>
      </w:r>
      <w:r>
        <w:rPr>
          <w:szCs w:val="20"/>
        </w:rPr>
        <w:instrText xml:space="preserve"> TOC \o "1-3" \h \z \u </w:instrText>
      </w:r>
      <w:r>
        <w:rPr>
          <w:szCs w:val="20"/>
        </w:rPr>
        <w:fldChar w:fldCharType="separate"/>
      </w:r>
      <w:hyperlink w:anchor="_Toc473184550" w:history="1">
        <w:r w:rsidR="00056528" w:rsidRPr="000B1C65">
          <w:rPr>
            <w:rStyle w:val="Hyperlink"/>
            <w:rFonts w:cstheme="minorHAnsi"/>
            <w:noProof/>
          </w:rPr>
          <w:t>SINTESI DEL DOSSIER</w:t>
        </w:r>
        <w:r w:rsidR="00056528">
          <w:rPr>
            <w:noProof/>
            <w:webHidden/>
          </w:rPr>
          <w:tab/>
        </w:r>
        <w:r w:rsidR="00056528">
          <w:rPr>
            <w:noProof/>
            <w:webHidden/>
          </w:rPr>
          <w:fldChar w:fldCharType="begin"/>
        </w:r>
        <w:r w:rsidR="00056528">
          <w:rPr>
            <w:noProof/>
            <w:webHidden/>
          </w:rPr>
          <w:instrText xml:space="preserve"> PAGEREF _Toc473184550 \h </w:instrText>
        </w:r>
        <w:r w:rsidR="00056528">
          <w:rPr>
            <w:noProof/>
            <w:webHidden/>
          </w:rPr>
        </w:r>
        <w:r w:rsidR="00056528">
          <w:rPr>
            <w:noProof/>
            <w:webHidden/>
          </w:rPr>
          <w:fldChar w:fldCharType="separate"/>
        </w:r>
        <w:r w:rsidR="00A83C7B">
          <w:rPr>
            <w:noProof/>
            <w:webHidden/>
          </w:rPr>
          <w:t>13</w:t>
        </w:r>
        <w:r w:rsidR="00056528">
          <w:rPr>
            <w:noProof/>
            <w:webHidden/>
          </w:rPr>
          <w:fldChar w:fldCharType="end"/>
        </w:r>
      </w:hyperlink>
    </w:p>
    <w:p w14:paraId="541B9805" w14:textId="3DFFB463" w:rsidR="00056528" w:rsidRDefault="00000000" w:rsidP="00056528">
      <w:pPr>
        <w:pStyle w:val="TOC1"/>
        <w:rPr>
          <w:rFonts w:eastAsiaTheme="minorEastAsia" w:cstheme="minorBidi"/>
          <w:noProof/>
          <w:sz w:val="22"/>
          <w:szCs w:val="22"/>
          <w:lang w:val="it-IT" w:eastAsia="it-IT"/>
        </w:rPr>
      </w:pPr>
      <w:hyperlink w:anchor="_Toc473184551" w:history="1">
        <w:r w:rsidR="00056528" w:rsidRPr="000B1C65">
          <w:rPr>
            <w:rStyle w:val="Hyperlink"/>
            <w:rFonts w:cstheme="minorHAnsi"/>
            <w:noProof/>
          </w:rPr>
          <w:t>1.</w:t>
        </w:r>
        <w:r w:rsidR="00056528">
          <w:rPr>
            <w:rFonts w:eastAsiaTheme="minorEastAsia" w:cstheme="minorBidi"/>
            <w:noProof/>
            <w:sz w:val="22"/>
            <w:szCs w:val="22"/>
            <w:lang w:val="it-IT" w:eastAsia="it-IT"/>
          </w:rPr>
          <w:tab/>
        </w:r>
        <w:r w:rsidR="00056528" w:rsidRPr="000B1C65">
          <w:rPr>
            <w:rStyle w:val="Hyperlink"/>
            <w:rFonts w:cstheme="minorHAnsi"/>
            <w:noProof/>
          </w:rPr>
          <w:t>Elementi riassuntivi della specialità medicinale</w:t>
        </w:r>
        <w:r w:rsidR="00056528">
          <w:rPr>
            <w:noProof/>
            <w:webHidden/>
          </w:rPr>
          <w:tab/>
        </w:r>
        <w:r w:rsidR="00056528">
          <w:rPr>
            <w:noProof/>
            <w:webHidden/>
          </w:rPr>
          <w:fldChar w:fldCharType="begin"/>
        </w:r>
        <w:r w:rsidR="00056528">
          <w:rPr>
            <w:noProof/>
            <w:webHidden/>
          </w:rPr>
          <w:instrText xml:space="preserve"> PAGEREF _Toc473184551 \h </w:instrText>
        </w:r>
        <w:r w:rsidR="00056528">
          <w:rPr>
            <w:noProof/>
            <w:webHidden/>
          </w:rPr>
        </w:r>
        <w:r w:rsidR="00056528">
          <w:rPr>
            <w:noProof/>
            <w:webHidden/>
          </w:rPr>
          <w:fldChar w:fldCharType="separate"/>
        </w:r>
        <w:r w:rsidR="00A83C7B">
          <w:rPr>
            <w:noProof/>
            <w:webHidden/>
          </w:rPr>
          <w:t>20</w:t>
        </w:r>
        <w:r w:rsidR="00056528">
          <w:rPr>
            <w:noProof/>
            <w:webHidden/>
          </w:rPr>
          <w:fldChar w:fldCharType="end"/>
        </w:r>
      </w:hyperlink>
    </w:p>
    <w:p w14:paraId="41A3EC2E" w14:textId="77777777" w:rsidR="00056528" w:rsidRDefault="00000000" w:rsidP="00056528">
      <w:pPr>
        <w:pStyle w:val="TOC1"/>
        <w:rPr>
          <w:rFonts w:eastAsiaTheme="minorEastAsia" w:cstheme="minorBidi"/>
          <w:noProof/>
          <w:sz w:val="22"/>
          <w:szCs w:val="22"/>
          <w:lang w:val="it-IT" w:eastAsia="it-IT"/>
        </w:rPr>
      </w:pPr>
      <w:hyperlink w:anchor="_Toc473184552" w:history="1">
        <w:r w:rsidR="00056528" w:rsidRPr="000B1C65">
          <w:rPr>
            <w:rStyle w:val="Hyperlink"/>
            <w:rFonts w:cstheme="minorHAnsi"/>
            <w:noProof/>
          </w:rPr>
          <w:t>2.</w:t>
        </w:r>
        <w:r w:rsidR="00056528">
          <w:rPr>
            <w:rFonts w:eastAsiaTheme="minorEastAsia" w:cstheme="minorBidi"/>
            <w:noProof/>
            <w:sz w:val="22"/>
            <w:szCs w:val="22"/>
            <w:lang w:val="it-IT" w:eastAsia="it-IT"/>
          </w:rPr>
          <w:tab/>
        </w:r>
        <w:r w:rsidR="00056528" w:rsidRPr="000B1C65">
          <w:rPr>
            <w:rStyle w:val="Hyperlink"/>
            <w:rFonts w:cstheme="minorHAnsi"/>
            <w:noProof/>
          </w:rPr>
          <w:t>Caratterizzazione ed inquadramento terapeutico della specialità</w:t>
        </w:r>
        <w:r w:rsidR="00056528">
          <w:rPr>
            <w:noProof/>
            <w:webHidden/>
          </w:rPr>
          <w:tab/>
        </w:r>
        <w:r w:rsidR="00056528">
          <w:rPr>
            <w:noProof/>
            <w:webHidden/>
          </w:rPr>
          <w:fldChar w:fldCharType="begin"/>
        </w:r>
        <w:r w:rsidR="00056528">
          <w:rPr>
            <w:noProof/>
            <w:webHidden/>
          </w:rPr>
          <w:instrText xml:space="preserve"> PAGEREF _Toc473184552 \h </w:instrText>
        </w:r>
        <w:r w:rsidR="00056528">
          <w:rPr>
            <w:noProof/>
            <w:webHidden/>
          </w:rPr>
        </w:r>
        <w:r w:rsidR="00056528">
          <w:rPr>
            <w:noProof/>
            <w:webHidden/>
          </w:rPr>
          <w:fldChar w:fldCharType="separate"/>
        </w:r>
        <w:r w:rsidR="00A83C7B">
          <w:rPr>
            <w:noProof/>
            <w:webHidden/>
          </w:rPr>
          <w:t>21</w:t>
        </w:r>
        <w:r w:rsidR="00056528">
          <w:rPr>
            <w:noProof/>
            <w:webHidden/>
          </w:rPr>
          <w:fldChar w:fldCharType="end"/>
        </w:r>
      </w:hyperlink>
    </w:p>
    <w:p w14:paraId="48A87DEC" w14:textId="77777777" w:rsidR="00056528" w:rsidRDefault="00000000" w:rsidP="00056528">
      <w:pPr>
        <w:pStyle w:val="TOC1"/>
        <w:rPr>
          <w:rFonts w:eastAsiaTheme="minorEastAsia" w:cstheme="minorBidi"/>
          <w:noProof/>
          <w:sz w:val="22"/>
          <w:szCs w:val="22"/>
          <w:lang w:val="it-IT" w:eastAsia="it-IT"/>
        </w:rPr>
      </w:pPr>
      <w:hyperlink w:anchor="_Toc473184553" w:history="1">
        <w:r w:rsidR="00056528" w:rsidRPr="000B1C65">
          <w:rPr>
            <w:rStyle w:val="Hyperlink"/>
            <w:rFonts w:cstheme="minorHAnsi"/>
            <w:noProof/>
          </w:rPr>
          <w:t>3.</w:t>
        </w:r>
        <w:r w:rsidR="00056528">
          <w:rPr>
            <w:rFonts w:eastAsiaTheme="minorEastAsia" w:cstheme="minorBidi"/>
            <w:noProof/>
            <w:sz w:val="22"/>
            <w:szCs w:val="22"/>
            <w:lang w:val="it-IT" w:eastAsia="it-IT"/>
          </w:rPr>
          <w:tab/>
        </w:r>
        <w:r w:rsidR="00056528" w:rsidRPr="000B1C65">
          <w:rPr>
            <w:rStyle w:val="Hyperlink"/>
            <w:rFonts w:cstheme="minorHAnsi"/>
            <w:noProof/>
          </w:rPr>
          <w:t>Specificazioni terapeutiche della specialità medicinale</w:t>
        </w:r>
        <w:r w:rsidR="00056528">
          <w:rPr>
            <w:noProof/>
            <w:webHidden/>
          </w:rPr>
          <w:tab/>
        </w:r>
        <w:r w:rsidR="00056528">
          <w:rPr>
            <w:noProof/>
            <w:webHidden/>
          </w:rPr>
          <w:fldChar w:fldCharType="begin"/>
        </w:r>
        <w:r w:rsidR="00056528">
          <w:rPr>
            <w:noProof/>
            <w:webHidden/>
          </w:rPr>
          <w:instrText xml:space="preserve"> PAGEREF _Toc473184553 \h </w:instrText>
        </w:r>
        <w:r w:rsidR="00056528">
          <w:rPr>
            <w:noProof/>
            <w:webHidden/>
          </w:rPr>
        </w:r>
        <w:r w:rsidR="00056528">
          <w:rPr>
            <w:noProof/>
            <w:webHidden/>
          </w:rPr>
          <w:fldChar w:fldCharType="separate"/>
        </w:r>
        <w:r w:rsidR="00A83C7B">
          <w:rPr>
            <w:noProof/>
            <w:webHidden/>
          </w:rPr>
          <w:t>23</w:t>
        </w:r>
        <w:r w:rsidR="00056528">
          <w:rPr>
            <w:noProof/>
            <w:webHidden/>
          </w:rPr>
          <w:fldChar w:fldCharType="end"/>
        </w:r>
      </w:hyperlink>
    </w:p>
    <w:p w14:paraId="02F39F14" w14:textId="77777777" w:rsidR="00056528" w:rsidRDefault="00000000" w:rsidP="00056528">
      <w:pPr>
        <w:pStyle w:val="TOC1"/>
        <w:rPr>
          <w:rFonts w:eastAsiaTheme="minorEastAsia" w:cstheme="minorBidi"/>
          <w:noProof/>
          <w:sz w:val="22"/>
          <w:szCs w:val="22"/>
          <w:lang w:val="it-IT" w:eastAsia="it-IT"/>
        </w:rPr>
      </w:pPr>
      <w:hyperlink w:anchor="_Toc473184554" w:history="1">
        <w:r w:rsidR="00056528" w:rsidRPr="000B1C65">
          <w:rPr>
            <w:rStyle w:val="Hyperlink"/>
            <w:rFonts w:cstheme="minorHAnsi"/>
            <w:noProof/>
          </w:rPr>
          <w:t>4.</w:t>
        </w:r>
        <w:r w:rsidR="00056528">
          <w:rPr>
            <w:rFonts w:eastAsiaTheme="minorEastAsia" w:cstheme="minorBidi"/>
            <w:noProof/>
            <w:sz w:val="22"/>
            <w:szCs w:val="22"/>
            <w:lang w:val="it-IT" w:eastAsia="it-IT"/>
          </w:rPr>
          <w:tab/>
        </w:r>
        <w:r w:rsidR="00056528" w:rsidRPr="000B1C65">
          <w:rPr>
            <w:rStyle w:val="Hyperlink"/>
            <w:rFonts w:cstheme="minorHAnsi"/>
            <w:noProof/>
          </w:rPr>
          <w:t>Posizione del farmaco in terapia</w:t>
        </w:r>
        <w:r w:rsidR="00056528">
          <w:rPr>
            <w:noProof/>
            <w:webHidden/>
          </w:rPr>
          <w:tab/>
        </w:r>
        <w:r w:rsidR="00056528">
          <w:rPr>
            <w:noProof/>
            <w:webHidden/>
          </w:rPr>
          <w:fldChar w:fldCharType="begin"/>
        </w:r>
        <w:r w:rsidR="00056528">
          <w:rPr>
            <w:noProof/>
            <w:webHidden/>
          </w:rPr>
          <w:instrText xml:space="preserve"> PAGEREF _Toc473184554 \h </w:instrText>
        </w:r>
        <w:r w:rsidR="00056528">
          <w:rPr>
            <w:noProof/>
            <w:webHidden/>
          </w:rPr>
        </w:r>
        <w:r w:rsidR="00056528">
          <w:rPr>
            <w:noProof/>
            <w:webHidden/>
          </w:rPr>
          <w:fldChar w:fldCharType="separate"/>
        </w:r>
        <w:r w:rsidR="00A83C7B">
          <w:rPr>
            <w:noProof/>
            <w:webHidden/>
          </w:rPr>
          <w:t>25</w:t>
        </w:r>
        <w:r w:rsidR="00056528">
          <w:rPr>
            <w:noProof/>
            <w:webHidden/>
          </w:rPr>
          <w:fldChar w:fldCharType="end"/>
        </w:r>
      </w:hyperlink>
    </w:p>
    <w:p w14:paraId="572A7BA9"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55" w:history="1">
        <w:r w:rsidR="00056528" w:rsidRPr="000B1C65">
          <w:rPr>
            <w:rStyle w:val="Hyperlink"/>
            <w:rFonts w:cstheme="minorHAnsi"/>
            <w:noProof/>
          </w:rPr>
          <w:t>4.1 Frequenza della condizione morbosa alla quale il farmaco è destinato</w:t>
        </w:r>
        <w:r w:rsidR="00056528">
          <w:rPr>
            <w:noProof/>
            <w:webHidden/>
          </w:rPr>
          <w:tab/>
        </w:r>
        <w:r w:rsidR="00056528">
          <w:rPr>
            <w:noProof/>
            <w:webHidden/>
          </w:rPr>
          <w:fldChar w:fldCharType="begin"/>
        </w:r>
        <w:r w:rsidR="00056528">
          <w:rPr>
            <w:noProof/>
            <w:webHidden/>
          </w:rPr>
          <w:instrText xml:space="preserve"> PAGEREF _Toc473184555 \h </w:instrText>
        </w:r>
        <w:r w:rsidR="00056528">
          <w:rPr>
            <w:noProof/>
            <w:webHidden/>
          </w:rPr>
        </w:r>
        <w:r w:rsidR="00056528">
          <w:rPr>
            <w:noProof/>
            <w:webHidden/>
          </w:rPr>
          <w:fldChar w:fldCharType="separate"/>
        </w:r>
        <w:r w:rsidR="00A83C7B">
          <w:rPr>
            <w:noProof/>
            <w:webHidden/>
          </w:rPr>
          <w:t>28</w:t>
        </w:r>
        <w:r w:rsidR="00056528">
          <w:rPr>
            <w:noProof/>
            <w:webHidden/>
          </w:rPr>
          <w:fldChar w:fldCharType="end"/>
        </w:r>
      </w:hyperlink>
    </w:p>
    <w:p w14:paraId="13D6E17C"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56" w:history="1">
        <w:r w:rsidR="00056528" w:rsidRPr="000B1C65">
          <w:rPr>
            <w:rStyle w:val="Hyperlink"/>
            <w:rFonts w:cstheme="minorHAnsi"/>
            <w:noProof/>
          </w:rPr>
          <w:t>4.2 Gravità/severità della condizione morbosa alla quale il farmaco è destinato</w:t>
        </w:r>
        <w:r w:rsidR="00056528">
          <w:rPr>
            <w:noProof/>
            <w:webHidden/>
          </w:rPr>
          <w:tab/>
        </w:r>
        <w:r w:rsidR="00056528">
          <w:rPr>
            <w:noProof/>
            <w:webHidden/>
          </w:rPr>
          <w:fldChar w:fldCharType="begin"/>
        </w:r>
        <w:r w:rsidR="00056528">
          <w:rPr>
            <w:noProof/>
            <w:webHidden/>
          </w:rPr>
          <w:instrText xml:space="preserve"> PAGEREF _Toc473184556 \h </w:instrText>
        </w:r>
        <w:r w:rsidR="00056528">
          <w:rPr>
            <w:noProof/>
            <w:webHidden/>
          </w:rPr>
        </w:r>
        <w:r w:rsidR="00056528">
          <w:rPr>
            <w:noProof/>
            <w:webHidden/>
          </w:rPr>
          <w:fldChar w:fldCharType="separate"/>
        </w:r>
        <w:r w:rsidR="00A83C7B">
          <w:rPr>
            <w:noProof/>
            <w:webHidden/>
          </w:rPr>
          <w:t>34</w:t>
        </w:r>
        <w:r w:rsidR="00056528">
          <w:rPr>
            <w:noProof/>
            <w:webHidden/>
          </w:rPr>
          <w:fldChar w:fldCharType="end"/>
        </w:r>
      </w:hyperlink>
    </w:p>
    <w:p w14:paraId="3595096B"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57" w:history="1">
        <w:r w:rsidR="00056528" w:rsidRPr="000B1C65">
          <w:rPr>
            <w:rStyle w:val="Hyperlink"/>
            <w:rFonts w:cstheme="minorHAnsi"/>
            <w:noProof/>
          </w:rPr>
          <w:t>4.3 Tipo di azione del farmaco sulla condizione morbosa</w:t>
        </w:r>
        <w:r w:rsidR="00056528">
          <w:rPr>
            <w:noProof/>
            <w:webHidden/>
          </w:rPr>
          <w:tab/>
        </w:r>
        <w:r w:rsidR="00056528">
          <w:rPr>
            <w:noProof/>
            <w:webHidden/>
          </w:rPr>
          <w:fldChar w:fldCharType="begin"/>
        </w:r>
        <w:r w:rsidR="00056528">
          <w:rPr>
            <w:noProof/>
            <w:webHidden/>
          </w:rPr>
          <w:instrText xml:space="preserve"> PAGEREF _Toc473184557 \h </w:instrText>
        </w:r>
        <w:r w:rsidR="00056528">
          <w:rPr>
            <w:noProof/>
            <w:webHidden/>
          </w:rPr>
        </w:r>
        <w:r w:rsidR="00056528">
          <w:rPr>
            <w:noProof/>
            <w:webHidden/>
          </w:rPr>
          <w:fldChar w:fldCharType="separate"/>
        </w:r>
        <w:r w:rsidR="00A83C7B">
          <w:rPr>
            <w:noProof/>
            <w:webHidden/>
          </w:rPr>
          <w:t>51</w:t>
        </w:r>
        <w:r w:rsidR="00056528">
          <w:rPr>
            <w:noProof/>
            <w:webHidden/>
          </w:rPr>
          <w:fldChar w:fldCharType="end"/>
        </w:r>
      </w:hyperlink>
    </w:p>
    <w:p w14:paraId="319730A1"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58" w:history="1">
        <w:r w:rsidR="00056528" w:rsidRPr="000B1C65">
          <w:rPr>
            <w:rStyle w:val="Hyperlink"/>
            <w:rFonts w:cstheme="minorHAnsi"/>
            <w:noProof/>
          </w:rPr>
          <w:t>4.4 Entità dell’effetto terapeutico sulla condizione morbosa</w:t>
        </w:r>
        <w:r w:rsidR="00056528">
          <w:rPr>
            <w:noProof/>
            <w:webHidden/>
          </w:rPr>
          <w:tab/>
        </w:r>
        <w:r w:rsidR="00056528">
          <w:rPr>
            <w:noProof/>
            <w:webHidden/>
          </w:rPr>
          <w:fldChar w:fldCharType="begin"/>
        </w:r>
        <w:r w:rsidR="00056528">
          <w:rPr>
            <w:noProof/>
            <w:webHidden/>
          </w:rPr>
          <w:instrText xml:space="preserve"> PAGEREF _Toc473184558 \h </w:instrText>
        </w:r>
        <w:r w:rsidR="00056528">
          <w:rPr>
            <w:noProof/>
            <w:webHidden/>
          </w:rPr>
        </w:r>
        <w:r w:rsidR="00056528">
          <w:rPr>
            <w:noProof/>
            <w:webHidden/>
          </w:rPr>
          <w:fldChar w:fldCharType="separate"/>
        </w:r>
        <w:r w:rsidR="00A83C7B">
          <w:rPr>
            <w:noProof/>
            <w:webHidden/>
          </w:rPr>
          <w:t>54</w:t>
        </w:r>
        <w:r w:rsidR="00056528">
          <w:rPr>
            <w:noProof/>
            <w:webHidden/>
          </w:rPr>
          <w:fldChar w:fldCharType="end"/>
        </w:r>
      </w:hyperlink>
    </w:p>
    <w:p w14:paraId="10315367"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59" w:history="1">
        <w:r w:rsidR="00056528" w:rsidRPr="000B1C65">
          <w:rPr>
            <w:rStyle w:val="Hyperlink"/>
            <w:rFonts w:cstheme="minorHAnsi"/>
            <w:noProof/>
          </w:rPr>
          <w:t>4.5 Ruolo del farmaco nella condizione morbosa considerata</w:t>
        </w:r>
        <w:r w:rsidR="00056528">
          <w:rPr>
            <w:noProof/>
            <w:webHidden/>
          </w:rPr>
          <w:tab/>
        </w:r>
        <w:r w:rsidR="00056528">
          <w:rPr>
            <w:noProof/>
            <w:webHidden/>
          </w:rPr>
          <w:fldChar w:fldCharType="begin"/>
        </w:r>
        <w:r w:rsidR="00056528">
          <w:rPr>
            <w:noProof/>
            <w:webHidden/>
          </w:rPr>
          <w:instrText xml:space="preserve"> PAGEREF _Toc473184559 \h </w:instrText>
        </w:r>
        <w:r w:rsidR="00056528">
          <w:rPr>
            <w:noProof/>
            <w:webHidden/>
          </w:rPr>
        </w:r>
        <w:r w:rsidR="00056528">
          <w:rPr>
            <w:noProof/>
            <w:webHidden/>
          </w:rPr>
          <w:fldChar w:fldCharType="separate"/>
        </w:r>
        <w:r w:rsidR="00A83C7B">
          <w:rPr>
            <w:noProof/>
            <w:webHidden/>
          </w:rPr>
          <w:t>64</w:t>
        </w:r>
        <w:r w:rsidR="00056528">
          <w:rPr>
            <w:noProof/>
            <w:webHidden/>
          </w:rPr>
          <w:fldChar w:fldCharType="end"/>
        </w:r>
      </w:hyperlink>
    </w:p>
    <w:p w14:paraId="4F5951C3" w14:textId="77777777" w:rsidR="00056528" w:rsidRDefault="00000000" w:rsidP="00056528">
      <w:pPr>
        <w:pStyle w:val="TOC1"/>
        <w:rPr>
          <w:rFonts w:eastAsiaTheme="minorEastAsia" w:cstheme="minorBidi"/>
          <w:noProof/>
          <w:sz w:val="22"/>
          <w:szCs w:val="22"/>
          <w:lang w:val="it-IT" w:eastAsia="it-IT"/>
        </w:rPr>
      </w:pPr>
      <w:hyperlink w:anchor="_Toc473184560" w:history="1">
        <w:r w:rsidR="00056528" w:rsidRPr="000B1C65">
          <w:rPr>
            <w:rStyle w:val="Hyperlink"/>
            <w:rFonts w:cstheme="minorHAnsi"/>
            <w:noProof/>
          </w:rPr>
          <w:t>5.</w:t>
        </w:r>
        <w:r w:rsidR="00056528">
          <w:rPr>
            <w:rFonts w:eastAsiaTheme="minorEastAsia" w:cstheme="minorBidi"/>
            <w:noProof/>
            <w:sz w:val="22"/>
            <w:szCs w:val="22"/>
            <w:lang w:val="it-IT" w:eastAsia="it-IT"/>
          </w:rPr>
          <w:tab/>
        </w:r>
        <w:r w:rsidR="00056528" w:rsidRPr="000B1C65">
          <w:rPr>
            <w:rStyle w:val="Hyperlink"/>
            <w:rFonts w:cstheme="minorHAnsi"/>
            <w:noProof/>
          </w:rPr>
          <w:t>Studi clinici a sostegno di efficacia e rimborsabilità del prodotto</w:t>
        </w:r>
        <w:r w:rsidR="00056528">
          <w:rPr>
            <w:noProof/>
            <w:webHidden/>
          </w:rPr>
          <w:tab/>
        </w:r>
        <w:r w:rsidR="00056528">
          <w:rPr>
            <w:noProof/>
            <w:webHidden/>
          </w:rPr>
          <w:fldChar w:fldCharType="begin"/>
        </w:r>
        <w:r w:rsidR="00056528">
          <w:rPr>
            <w:noProof/>
            <w:webHidden/>
          </w:rPr>
          <w:instrText xml:space="preserve"> PAGEREF _Toc473184560 \h </w:instrText>
        </w:r>
        <w:r w:rsidR="00056528">
          <w:rPr>
            <w:noProof/>
            <w:webHidden/>
          </w:rPr>
        </w:r>
        <w:r w:rsidR="00056528">
          <w:rPr>
            <w:noProof/>
            <w:webHidden/>
          </w:rPr>
          <w:fldChar w:fldCharType="separate"/>
        </w:r>
        <w:r w:rsidR="00A83C7B">
          <w:rPr>
            <w:noProof/>
            <w:webHidden/>
          </w:rPr>
          <w:t>69</w:t>
        </w:r>
        <w:r w:rsidR="00056528">
          <w:rPr>
            <w:noProof/>
            <w:webHidden/>
          </w:rPr>
          <w:fldChar w:fldCharType="end"/>
        </w:r>
      </w:hyperlink>
    </w:p>
    <w:p w14:paraId="30A27A49"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61" w:history="1">
        <w:r w:rsidR="00056528" w:rsidRPr="000B1C65">
          <w:rPr>
            <w:rStyle w:val="Hyperlink"/>
            <w:rFonts w:cstheme="minorHAnsi"/>
            <w:noProof/>
          </w:rPr>
          <w:t>Studi CLEAR 1 e 2 (studi 301 (109) -302 (110)) vs. allopurinolo</w:t>
        </w:r>
        <w:r w:rsidR="00056528">
          <w:rPr>
            <w:noProof/>
            <w:webHidden/>
          </w:rPr>
          <w:tab/>
        </w:r>
        <w:r w:rsidR="00056528">
          <w:rPr>
            <w:noProof/>
            <w:webHidden/>
          </w:rPr>
          <w:fldChar w:fldCharType="begin"/>
        </w:r>
        <w:r w:rsidR="00056528">
          <w:rPr>
            <w:noProof/>
            <w:webHidden/>
          </w:rPr>
          <w:instrText xml:space="preserve"> PAGEREF _Toc473184561 \h </w:instrText>
        </w:r>
        <w:r w:rsidR="00056528">
          <w:rPr>
            <w:noProof/>
            <w:webHidden/>
          </w:rPr>
        </w:r>
        <w:r w:rsidR="00056528">
          <w:rPr>
            <w:noProof/>
            <w:webHidden/>
          </w:rPr>
          <w:fldChar w:fldCharType="separate"/>
        </w:r>
        <w:r w:rsidR="00A83C7B">
          <w:rPr>
            <w:noProof/>
            <w:webHidden/>
          </w:rPr>
          <w:t>71</w:t>
        </w:r>
        <w:r w:rsidR="00056528">
          <w:rPr>
            <w:noProof/>
            <w:webHidden/>
          </w:rPr>
          <w:fldChar w:fldCharType="end"/>
        </w:r>
      </w:hyperlink>
    </w:p>
    <w:p w14:paraId="643A1131"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62" w:history="1">
        <w:r w:rsidR="00056528" w:rsidRPr="000B1C65">
          <w:rPr>
            <w:rStyle w:val="Hyperlink"/>
            <w:rFonts w:cstheme="minorHAnsi"/>
            <w:noProof/>
          </w:rPr>
          <w:t>Studio CRYSTAL (STUDIO 304) vs. febuxostat (CSR 304, 2014 (111))</w:t>
        </w:r>
        <w:r w:rsidR="00056528">
          <w:rPr>
            <w:noProof/>
            <w:webHidden/>
          </w:rPr>
          <w:tab/>
        </w:r>
        <w:r w:rsidR="00056528">
          <w:rPr>
            <w:noProof/>
            <w:webHidden/>
          </w:rPr>
          <w:fldChar w:fldCharType="begin"/>
        </w:r>
        <w:r w:rsidR="00056528">
          <w:rPr>
            <w:noProof/>
            <w:webHidden/>
          </w:rPr>
          <w:instrText xml:space="preserve"> PAGEREF _Toc473184562 \h </w:instrText>
        </w:r>
        <w:r w:rsidR="00056528">
          <w:rPr>
            <w:noProof/>
            <w:webHidden/>
          </w:rPr>
        </w:r>
        <w:r w:rsidR="00056528">
          <w:rPr>
            <w:noProof/>
            <w:webHidden/>
          </w:rPr>
          <w:fldChar w:fldCharType="separate"/>
        </w:r>
        <w:r w:rsidR="00A83C7B">
          <w:rPr>
            <w:noProof/>
            <w:webHidden/>
          </w:rPr>
          <w:t>82</w:t>
        </w:r>
        <w:r w:rsidR="00056528">
          <w:rPr>
            <w:noProof/>
            <w:webHidden/>
          </w:rPr>
          <w:fldChar w:fldCharType="end"/>
        </w:r>
      </w:hyperlink>
    </w:p>
    <w:p w14:paraId="22B27A5E"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63" w:history="1">
        <w:r w:rsidR="00056528" w:rsidRPr="000B1C65">
          <w:rPr>
            <w:rStyle w:val="Hyperlink"/>
            <w:rFonts w:cstheme="minorHAnsi"/>
            <w:noProof/>
          </w:rPr>
          <w:t>Studi CLEAR 1 e 2 (studi 301-302) vs. allopurinolo – DATI POOLED</w:t>
        </w:r>
        <w:r w:rsidR="00056528">
          <w:rPr>
            <w:noProof/>
            <w:webHidden/>
          </w:rPr>
          <w:tab/>
        </w:r>
        <w:r w:rsidR="00056528">
          <w:rPr>
            <w:noProof/>
            <w:webHidden/>
          </w:rPr>
          <w:fldChar w:fldCharType="begin"/>
        </w:r>
        <w:r w:rsidR="00056528">
          <w:rPr>
            <w:noProof/>
            <w:webHidden/>
          </w:rPr>
          <w:instrText xml:space="preserve"> PAGEREF _Toc473184563 \h </w:instrText>
        </w:r>
        <w:r w:rsidR="00056528">
          <w:rPr>
            <w:noProof/>
            <w:webHidden/>
          </w:rPr>
        </w:r>
        <w:r w:rsidR="00056528">
          <w:rPr>
            <w:noProof/>
            <w:webHidden/>
          </w:rPr>
          <w:fldChar w:fldCharType="separate"/>
        </w:r>
        <w:r w:rsidR="00A83C7B">
          <w:rPr>
            <w:noProof/>
            <w:webHidden/>
          </w:rPr>
          <w:t>96</w:t>
        </w:r>
        <w:r w:rsidR="00056528">
          <w:rPr>
            <w:noProof/>
            <w:webHidden/>
          </w:rPr>
          <w:fldChar w:fldCharType="end"/>
        </w:r>
      </w:hyperlink>
    </w:p>
    <w:p w14:paraId="340D1B67"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64" w:history="1">
        <w:r w:rsidR="00056528" w:rsidRPr="000B1C65">
          <w:rPr>
            <w:rStyle w:val="Hyperlink"/>
            <w:rFonts w:cstheme="minorHAnsi"/>
            <w:noProof/>
            <w:lang w:val="en-GB"/>
          </w:rPr>
          <w:t>Studio CLEAR extension (studio 306) (128)</w:t>
        </w:r>
        <w:r w:rsidR="00056528">
          <w:rPr>
            <w:noProof/>
            <w:webHidden/>
          </w:rPr>
          <w:tab/>
        </w:r>
        <w:r w:rsidR="00056528">
          <w:rPr>
            <w:noProof/>
            <w:webHidden/>
          </w:rPr>
          <w:fldChar w:fldCharType="begin"/>
        </w:r>
        <w:r w:rsidR="00056528">
          <w:rPr>
            <w:noProof/>
            <w:webHidden/>
          </w:rPr>
          <w:instrText xml:space="preserve"> PAGEREF _Toc473184564 \h </w:instrText>
        </w:r>
        <w:r w:rsidR="00056528">
          <w:rPr>
            <w:noProof/>
            <w:webHidden/>
          </w:rPr>
        </w:r>
        <w:r w:rsidR="00056528">
          <w:rPr>
            <w:noProof/>
            <w:webHidden/>
          </w:rPr>
          <w:fldChar w:fldCharType="separate"/>
        </w:r>
        <w:r w:rsidR="00A83C7B">
          <w:rPr>
            <w:noProof/>
            <w:webHidden/>
          </w:rPr>
          <w:t>105</w:t>
        </w:r>
        <w:r w:rsidR="00056528">
          <w:rPr>
            <w:noProof/>
            <w:webHidden/>
          </w:rPr>
          <w:fldChar w:fldCharType="end"/>
        </w:r>
      </w:hyperlink>
    </w:p>
    <w:p w14:paraId="75E0FB2F"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65" w:history="1">
        <w:r w:rsidR="00056528" w:rsidRPr="000B1C65">
          <w:rPr>
            <w:rStyle w:val="Hyperlink"/>
            <w:rFonts w:cstheme="minorHAnsi"/>
            <w:noProof/>
            <w:lang w:val="en-GB"/>
          </w:rPr>
          <w:t>Studio CRYSTAL extension (studio 307) (129)</w:t>
        </w:r>
        <w:r w:rsidR="00056528">
          <w:rPr>
            <w:noProof/>
            <w:webHidden/>
          </w:rPr>
          <w:tab/>
        </w:r>
        <w:r w:rsidR="00056528">
          <w:rPr>
            <w:noProof/>
            <w:webHidden/>
          </w:rPr>
          <w:fldChar w:fldCharType="begin"/>
        </w:r>
        <w:r w:rsidR="00056528">
          <w:rPr>
            <w:noProof/>
            <w:webHidden/>
          </w:rPr>
          <w:instrText xml:space="preserve"> PAGEREF _Toc473184565 \h </w:instrText>
        </w:r>
        <w:r w:rsidR="00056528">
          <w:rPr>
            <w:noProof/>
            <w:webHidden/>
          </w:rPr>
        </w:r>
        <w:r w:rsidR="00056528">
          <w:rPr>
            <w:noProof/>
            <w:webHidden/>
          </w:rPr>
          <w:fldChar w:fldCharType="separate"/>
        </w:r>
        <w:r w:rsidR="00A83C7B">
          <w:rPr>
            <w:noProof/>
            <w:webHidden/>
          </w:rPr>
          <w:t>114</w:t>
        </w:r>
        <w:r w:rsidR="00056528">
          <w:rPr>
            <w:noProof/>
            <w:webHidden/>
          </w:rPr>
          <w:fldChar w:fldCharType="end"/>
        </w:r>
      </w:hyperlink>
    </w:p>
    <w:p w14:paraId="53111FD3" w14:textId="77777777" w:rsidR="00056528" w:rsidRDefault="00000000" w:rsidP="00056528">
      <w:pPr>
        <w:pStyle w:val="TOC1"/>
        <w:rPr>
          <w:rFonts w:eastAsiaTheme="minorEastAsia" w:cstheme="minorBidi"/>
          <w:noProof/>
          <w:sz w:val="22"/>
          <w:szCs w:val="22"/>
          <w:lang w:val="it-IT" w:eastAsia="it-IT"/>
        </w:rPr>
      </w:pPr>
      <w:hyperlink w:anchor="_Toc473184566" w:history="1">
        <w:r w:rsidR="00056528" w:rsidRPr="000B1C65">
          <w:rPr>
            <w:rStyle w:val="Hyperlink"/>
            <w:rFonts w:cstheme="minorHAnsi"/>
            <w:noProof/>
          </w:rPr>
          <w:t>6.</w:t>
        </w:r>
        <w:r w:rsidR="00056528">
          <w:rPr>
            <w:rFonts w:eastAsiaTheme="minorEastAsia" w:cstheme="minorBidi"/>
            <w:noProof/>
            <w:sz w:val="22"/>
            <w:szCs w:val="22"/>
            <w:lang w:val="it-IT" w:eastAsia="it-IT"/>
          </w:rPr>
          <w:tab/>
        </w:r>
        <w:r w:rsidR="00056528" w:rsidRPr="000B1C65">
          <w:rPr>
            <w:rStyle w:val="Hyperlink"/>
            <w:rFonts w:cstheme="minorHAnsi"/>
            <w:noProof/>
          </w:rPr>
          <w:t>Dati di farmacovigilanza disponibili sul prodotto</w:t>
        </w:r>
        <w:r w:rsidR="00056528">
          <w:rPr>
            <w:noProof/>
            <w:webHidden/>
          </w:rPr>
          <w:tab/>
        </w:r>
        <w:r w:rsidR="00056528">
          <w:rPr>
            <w:noProof/>
            <w:webHidden/>
          </w:rPr>
          <w:fldChar w:fldCharType="begin"/>
        </w:r>
        <w:r w:rsidR="00056528">
          <w:rPr>
            <w:noProof/>
            <w:webHidden/>
          </w:rPr>
          <w:instrText xml:space="preserve"> PAGEREF _Toc473184566 \h </w:instrText>
        </w:r>
        <w:r w:rsidR="00056528">
          <w:rPr>
            <w:noProof/>
            <w:webHidden/>
          </w:rPr>
        </w:r>
        <w:r w:rsidR="00056528">
          <w:rPr>
            <w:noProof/>
            <w:webHidden/>
          </w:rPr>
          <w:fldChar w:fldCharType="separate"/>
        </w:r>
        <w:r w:rsidR="00A83C7B">
          <w:rPr>
            <w:noProof/>
            <w:webHidden/>
          </w:rPr>
          <w:t>123</w:t>
        </w:r>
        <w:r w:rsidR="00056528">
          <w:rPr>
            <w:noProof/>
            <w:webHidden/>
          </w:rPr>
          <w:fldChar w:fldCharType="end"/>
        </w:r>
      </w:hyperlink>
    </w:p>
    <w:p w14:paraId="52FED51E" w14:textId="77777777" w:rsidR="00056528" w:rsidRDefault="00000000" w:rsidP="00056528">
      <w:pPr>
        <w:pStyle w:val="TOC1"/>
        <w:rPr>
          <w:rFonts w:eastAsiaTheme="minorEastAsia" w:cstheme="minorBidi"/>
          <w:noProof/>
          <w:sz w:val="22"/>
          <w:szCs w:val="22"/>
          <w:lang w:val="it-IT" w:eastAsia="it-IT"/>
        </w:rPr>
      </w:pPr>
      <w:hyperlink w:anchor="_Toc473184567" w:history="1">
        <w:r w:rsidR="00056528" w:rsidRPr="000B1C65">
          <w:rPr>
            <w:rStyle w:val="Hyperlink"/>
            <w:rFonts w:cstheme="minorHAnsi"/>
            <w:noProof/>
          </w:rPr>
          <w:t>7.</w:t>
        </w:r>
        <w:r w:rsidR="00056528">
          <w:rPr>
            <w:rFonts w:eastAsiaTheme="minorEastAsia" w:cstheme="minorBidi"/>
            <w:noProof/>
            <w:sz w:val="22"/>
            <w:szCs w:val="22"/>
            <w:lang w:val="it-IT" w:eastAsia="it-IT"/>
          </w:rPr>
          <w:tab/>
        </w:r>
        <w:r w:rsidR="00056528" w:rsidRPr="000B1C65">
          <w:rPr>
            <w:rStyle w:val="Hyperlink"/>
            <w:rFonts w:cstheme="minorHAnsi"/>
            <w:noProof/>
          </w:rPr>
          <w:t>Altri Paesi dell’UE in cui il farmaco è commercializzato ad oggi</w:t>
        </w:r>
        <w:r w:rsidR="00056528">
          <w:rPr>
            <w:noProof/>
            <w:webHidden/>
          </w:rPr>
          <w:tab/>
        </w:r>
        <w:r w:rsidR="00056528">
          <w:rPr>
            <w:noProof/>
            <w:webHidden/>
          </w:rPr>
          <w:fldChar w:fldCharType="begin"/>
        </w:r>
        <w:r w:rsidR="00056528">
          <w:rPr>
            <w:noProof/>
            <w:webHidden/>
          </w:rPr>
          <w:instrText xml:space="preserve"> PAGEREF _Toc473184567 \h </w:instrText>
        </w:r>
        <w:r w:rsidR="00056528">
          <w:rPr>
            <w:noProof/>
            <w:webHidden/>
          </w:rPr>
        </w:r>
        <w:r w:rsidR="00056528">
          <w:rPr>
            <w:noProof/>
            <w:webHidden/>
          </w:rPr>
          <w:fldChar w:fldCharType="separate"/>
        </w:r>
        <w:r w:rsidR="00A83C7B">
          <w:rPr>
            <w:noProof/>
            <w:webHidden/>
          </w:rPr>
          <w:t>128</w:t>
        </w:r>
        <w:r w:rsidR="00056528">
          <w:rPr>
            <w:noProof/>
            <w:webHidden/>
          </w:rPr>
          <w:fldChar w:fldCharType="end"/>
        </w:r>
      </w:hyperlink>
    </w:p>
    <w:p w14:paraId="1542B638" w14:textId="77777777" w:rsidR="00056528" w:rsidRDefault="00000000" w:rsidP="00056528">
      <w:pPr>
        <w:pStyle w:val="TOC1"/>
        <w:rPr>
          <w:rFonts w:eastAsiaTheme="minorEastAsia" w:cstheme="minorBidi"/>
          <w:noProof/>
          <w:sz w:val="22"/>
          <w:szCs w:val="22"/>
          <w:lang w:val="it-IT" w:eastAsia="it-IT"/>
        </w:rPr>
      </w:pPr>
      <w:hyperlink w:anchor="_Toc473184568" w:history="1">
        <w:r w:rsidR="00056528" w:rsidRPr="000B1C65">
          <w:rPr>
            <w:rStyle w:val="Hyperlink"/>
            <w:rFonts w:cstheme="minorHAnsi"/>
            <w:noProof/>
          </w:rPr>
          <w:t>8.</w:t>
        </w:r>
        <w:r w:rsidR="00056528">
          <w:rPr>
            <w:rFonts w:eastAsiaTheme="minorEastAsia" w:cstheme="minorBidi"/>
            <w:noProof/>
            <w:sz w:val="22"/>
            <w:szCs w:val="22"/>
            <w:lang w:val="it-IT" w:eastAsia="it-IT"/>
          </w:rPr>
          <w:tab/>
        </w:r>
        <w:r w:rsidR="00056528" w:rsidRPr="000B1C65">
          <w:rPr>
            <w:rStyle w:val="Hyperlink"/>
            <w:rFonts w:cstheme="minorHAnsi"/>
            <w:noProof/>
          </w:rPr>
          <w:t>Costo proposto al Servizio Sanitario Nazionale (SSN) italiano per la specialità di cui si richiede la rimborsabilità</w:t>
        </w:r>
        <w:r w:rsidR="00056528">
          <w:rPr>
            <w:noProof/>
            <w:webHidden/>
          </w:rPr>
          <w:tab/>
        </w:r>
        <w:r w:rsidR="00056528">
          <w:rPr>
            <w:noProof/>
            <w:webHidden/>
          </w:rPr>
          <w:fldChar w:fldCharType="begin"/>
        </w:r>
        <w:r w:rsidR="00056528">
          <w:rPr>
            <w:noProof/>
            <w:webHidden/>
          </w:rPr>
          <w:instrText xml:space="preserve"> PAGEREF _Toc473184568 \h </w:instrText>
        </w:r>
        <w:r w:rsidR="00056528">
          <w:rPr>
            <w:noProof/>
            <w:webHidden/>
          </w:rPr>
        </w:r>
        <w:r w:rsidR="00056528">
          <w:rPr>
            <w:noProof/>
            <w:webHidden/>
          </w:rPr>
          <w:fldChar w:fldCharType="separate"/>
        </w:r>
        <w:r w:rsidR="00A83C7B">
          <w:rPr>
            <w:noProof/>
            <w:webHidden/>
          </w:rPr>
          <w:t>129</w:t>
        </w:r>
        <w:r w:rsidR="00056528">
          <w:rPr>
            <w:noProof/>
            <w:webHidden/>
          </w:rPr>
          <w:fldChar w:fldCharType="end"/>
        </w:r>
      </w:hyperlink>
    </w:p>
    <w:p w14:paraId="3B553F69"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69" w:history="1">
        <w:r w:rsidR="00056528" w:rsidRPr="000B1C65">
          <w:rPr>
            <w:rStyle w:val="Hyperlink"/>
            <w:rFonts w:cstheme="minorHAnsi"/>
            <w:noProof/>
          </w:rPr>
          <w:t>8.1 Costo delle singole confezioni</w:t>
        </w:r>
        <w:r w:rsidR="00056528">
          <w:rPr>
            <w:noProof/>
            <w:webHidden/>
          </w:rPr>
          <w:tab/>
        </w:r>
        <w:r w:rsidR="00056528">
          <w:rPr>
            <w:noProof/>
            <w:webHidden/>
          </w:rPr>
          <w:fldChar w:fldCharType="begin"/>
        </w:r>
        <w:r w:rsidR="00056528">
          <w:rPr>
            <w:noProof/>
            <w:webHidden/>
          </w:rPr>
          <w:instrText xml:space="preserve"> PAGEREF _Toc473184569 \h </w:instrText>
        </w:r>
        <w:r w:rsidR="00056528">
          <w:rPr>
            <w:noProof/>
            <w:webHidden/>
          </w:rPr>
        </w:r>
        <w:r w:rsidR="00056528">
          <w:rPr>
            <w:noProof/>
            <w:webHidden/>
          </w:rPr>
          <w:fldChar w:fldCharType="separate"/>
        </w:r>
        <w:r w:rsidR="00A83C7B">
          <w:rPr>
            <w:noProof/>
            <w:webHidden/>
          </w:rPr>
          <w:t>129</w:t>
        </w:r>
        <w:r w:rsidR="00056528">
          <w:rPr>
            <w:noProof/>
            <w:webHidden/>
          </w:rPr>
          <w:fldChar w:fldCharType="end"/>
        </w:r>
      </w:hyperlink>
    </w:p>
    <w:p w14:paraId="506E7A68"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70" w:history="1">
        <w:r w:rsidR="00056528" w:rsidRPr="000B1C65">
          <w:rPr>
            <w:rStyle w:val="Hyperlink"/>
            <w:rFonts w:cstheme="minorHAnsi"/>
            <w:noProof/>
          </w:rPr>
          <w:t>8.2 Costo per mg di principio attivo delle singole confezioni</w:t>
        </w:r>
        <w:r w:rsidR="00056528">
          <w:rPr>
            <w:noProof/>
            <w:webHidden/>
          </w:rPr>
          <w:tab/>
        </w:r>
        <w:r w:rsidR="00056528">
          <w:rPr>
            <w:noProof/>
            <w:webHidden/>
          </w:rPr>
          <w:fldChar w:fldCharType="begin"/>
        </w:r>
        <w:r w:rsidR="00056528">
          <w:rPr>
            <w:noProof/>
            <w:webHidden/>
          </w:rPr>
          <w:instrText xml:space="preserve"> PAGEREF _Toc473184570 \h </w:instrText>
        </w:r>
        <w:r w:rsidR="00056528">
          <w:rPr>
            <w:noProof/>
            <w:webHidden/>
          </w:rPr>
        </w:r>
        <w:r w:rsidR="00056528">
          <w:rPr>
            <w:noProof/>
            <w:webHidden/>
          </w:rPr>
          <w:fldChar w:fldCharType="separate"/>
        </w:r>
        <w:r w:rsidR="00A83C7B">
          <w:rPr>
            <w:noProof/>
            <w:webHidden/>
          </w:rPr>
          <w:t>130</w:t>
        </w:r>
        <w:r w:rsidR="00056528">
          <w:rPr>
            <w:noProof/>
            <w:webHidden/>
          </w:rPr>
          <w:fldChar w:fldCharType="end"/>
        </w:r>
      </w:hyperlink>
    </w:p>
    <w:p w14:paraId="395ACAC3"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71" w:history="1">
        <w:r w:rsidR="00056528" w:rsidRPr="000B1C65">
          <w:rPr>
            <w:rStyle w:val="Hyperlink"/>
            <w:rFonts w:cstheme="minorHAnsi"/>
            <w:noProof/>
          </w:rPr>
          <w:t>8.3 Costo per unità posologica delle singole confezioni</w:t>
        </w:r>
        <w:r w:rsidR="00056528">
          <w:rPr>
            <w:noProof/>
            <w:webHidden/>
          </w:rPr>
          <w:tab/>
        </w:r>
        <w:r w:rsidR="00056528">
          <w:rPr>
            <w:noProof/>
            <w:webHidden/>
          </w:rPr>
          <w:fldChar w:fldCharType="begin"/>
        </w:r>
        <w:r w:rsidR="00056528">
          <w:rPr>
            <w:noProof/>
            <w:webHidden/>
          </w:rPr>
          <w:instrText xml:space="preserve"> PAGEREF _Toc473184571 \h </w:instrText>
        </w:r>
        <w:r w:rsidR="00056528">
          <w:rPr>
            <w:noProof/>
            <w:webHidden/>
          </w:rPr>
        </w:r>
        <w:r w:rsidR="00056528">
          <w:rPr>
            <w:noProof/>
            <w:webHidden/>
          </w:rPr>
          <w:fldChar w:fldCharType="separate"/>
        </w:r>
        <w:r w:rsidR="00A83C7B">
          <w:rPr>
            <w:noProof/>
            <w:webHidden/>
          </w:rPr>
          <w:t>130</w:t>
        </w:r>
        <w:r w:rsidR="00056528">
          <w:rPr>
            <w:noProof/>
            <w:webHidden/>
          </w:rPr>
          <w:fldChar w:fldCharType="end"/>
        </w:r>
      </w:hyperlink>
    </w:p>
    <w:p w14:paraId="6B2172A7"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72" w:history="1">
        <w:r w:rsidR="00056528" w:rsidRPr="000B1C65">
          <w:rPr>
            <w:rStyle w:val="Hyperlink"/>
            <w:rFonts w:cstheme="minorHAnsi"/>
            <w:noProof/>
          </w:rPr>
          <w:t>8.4 Costo per DDD</w:t>
        </w:r>
        <w:r w:rsidR="00056528">
          <w:rPr>
            <w:noProof/>
            <w:webHidden/>
          </w:rPr>
          <w:tab/>
        </w:r>
        <w:r w:rsidR="00056528">
          <w:rPr>
            <w:noProof/>
            <w:webHidden/>
          </w:rPr>
          <w:fldChar w:fldCharType="begin"/>
        </w:r>
        <w:r w:rsidR="00056528">
          <w:rPr>
            <w:noProof/>
            <w:webHidden/>
          </w:rPr>
          <w:instrText xml:space="preserve"> PAGEREF _Toc473184572 \h </w:instrText>
        </w:r>
        <w:r w:rsidR="00056528">
          <w:rPr>
            <w:noProof/>
            <w:webHidden/>
          </w:rPr>
        </w:r>
        <w:r w:rsidR="00056528">
          <w:rPr>
            <w:noProof/>
            <w:webHidden/>
          </w:rPr>
          <w:fldChar w:fldCharType="separate"/>
        </w:r>
        <w:r w:rsidR="00A83C7B">
          <w:rPr>
            <w:noProof/>
            <w:webHidden/>
          </w:rPr>
          <w:t>130</w:t>
        </w:r>
        <w:r w:rsidR="00056528">
          <w:rPr>
            <w:noProof/>
            <w:webHidden/>
          </w:rPr>
          <w:fldChar w:fldCharType="end"/>
        </w:r>
      </w:hyperlink>
    </w:p>
    <w:p w14:paraId="7D386C5F"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73" w:history="1">
        <w:r w:rsidR="00056528" w:rsidRPr="000B1C65">
          <w:rPr>
            <w:rStyle w:val="Hyperlink"/>
            <w:rFonts w:cstheme="minorHAnsi"/>
            <w:noProof/>
          </w:rPr>
          <w:t>8.5 Costo per ciclo di terapia in rapporto alle indicazioni</w:t>
        </w:r>
        <w:r w:rsidR="00056528">
          <w:rPr>
            <w:noProof/>
            <w:webHidden/>
          </w:rPr>
          <w:tab/>
        </w:r>
        <w:r w:rsidR="00056528">
          <w:rPr>
            <w:noProof/>
            <w:webHidden/>
          </w:rPr>
          <w:fldChar w:fldCharType="begin"/>
        </w:r>
        <w:r w:rsidR="00056528">
          <w:rPr>
            <w:noProof/>
            <w:webHidden/>
          </w:rPr>
          <w:instrText xml:space="preserve"> PAGEREF _Toc473184573 \h </w:instrText>
        </w:r>
        <w:r w:rsidR="00056528">
          <w:rPr>
            <w:noProof/>
            <w:webHidden/>
          </w:rPr>
        </w:r>
        <w:r w:rsidR="00056528">
          <w:rPr>
            <w:noProof/>
            <w:webHidden/>
          </w:rPr>
          <w:fldChar w:fldCharType="separate"/>
        </w:r>
        <w:r w:rsidR="00A83C7B">
          <w:rPr>
            <w:noProof/>
            <w:webHidden/>
          </w:rPr>
          <w:t>130</w:t>
        </w:r>
        <w:r w:rsidR="00056528">
          <w:rPr>
            <w:noProof/>
            <w:webHidden/>
          </w:rPr>
          <w:fldChar w:fldCharType="end"/>
        </w:r>
      </w:hyperlink>
    </w:p>
    <w:p w14:paraId="78A27484"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74" w:history="1">
        <w:r w:rsidR="00056528" w:rsidRPr="000B1C65">
          <w:rPr>
            <w:rStyle w:val="Hyperlink"/>
            <w:rFonts w:cstheme="minorHAnsi"/>
            <w:noProof/>
          </w:rPr>
          <w:t>8.6 Costi dei farmaci di documentata similarità o equivalenza clinico/terapeutica</w:t>
        </w:r>
        <w:r w:rsidR="00056528">
          <w:rPr>
            <w:noProof/>
            <w:webHidden/>
          </w:rPr>
          <w:tab/>
        </w:r>
        <w:r w:rsidR="00056528">
          <w:rPr>
            <w:noProof/>
            <w:webHidden/>
          </w:rPr>
          <w:fldChar w:fldCharType="begin"/>
        </w:r>
        <w:r w:rsidR="00056528">
          <w:rPr>
            <w:noProof/>
            <w:webHidden/>
          </w:rPr>
          <w:instrText xml:space="preserve"> PAGEREF _Toc473184574 \h </w:instrText>
        </w:r>
        <w:r w:rsidR="00056528">
          <w:rPr>
            <w:noProof/>
            <w:webHidden/>
          </w:rPr>
        </w:r>
        <w:r w:rsidR="00056528">
          <w:rPr>
            <w:noProof/>
            <w:webHidden/>
          </w:rPr>
          <w:fldChar w:fldCharType="separate"/>
        </w:r>
        <w:r w:rsidR="00A83C7B">
          <w:rPr>
            <w:noProof/>
            <w:webHidden/>
          </w:rPr>
          <w:t>131</w:t>
        </w:r>
        <w:r w:rsidR="00056528">
          <w:rPr>
            <w:noProof/>
            <w:webHidden/>
          </w:rPr>
          <w:fldChar w:fldCharType="end"/>
        </w:r>
      </w:hyperlink>
    </w:p>
    <w:p w14:paraId="0B5CDD79"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75" w:history="1">
        <w:r w:rsidR="00056528" w:rsidRPr="000B1C65">
          <w:rPr>
            <w:rStyle w:val="Hyperlink"/>
            <w:rFonts w:cstheme="minorHAnsi"/>
            <w:noProof/>
          </w:rPr>
          <w:t>8.7 Numero prevedibile di soggetti interessati al trattamento in un anno</w:t>
        </w:r>
        <w:r w:rsidR="00056528">
          <w:rPr>
            <w:noProof/>
            <w:webHidden/>
          </w:rPr>
          <w:tab/>
        </w:r>
        <w:r w:rsidR="00056528">
          <w:rPr>
            <w:noProof/>
            <w:webHidden/>
          </w:rPr>
          <w:fldChar w:fldCharType="begin"/>
        </w:r>
        <w:r w:rsidR="00056528">
          <w:rPr>
            <w:noProof/>
            <w:webHidden/>
          </w:rPr>
          <w:instrText xml:space="preserve"> PAGEREF _Toc473184575 \h </w:instrText>
        </w:r>
        <w:r w:rsidR="00056528">
          <w:rPr>
            <w:noProof/>
            <w:webHidden/>
          </w:rPr>
        </w:r>
        <w:r w:rsidR="00056528">
          <w:rPr>
            <w:noProof/>
            <w:webHidden/>
          </w:rPr>
          <w:fldChar w:fldCharType="separate"/>
        </w:r>
        <w:r w:rsidR="00A83C7B">
          <w:rPr>
            <w:noProof/>
            <w:webHidden/>
          </w:rPr>
          <w:t>131</w:t>
        </w:r>
        <w:r w:rsidR="00056528">
          <w:rPr>
            <w:noProof/>
            <w:webHidden/>
          </w:rPr>
          <w:fldChar w:fldCharType="end"/>
        </w:r>
      </w:hyperlink>
    </w:p>
    <w:p w14:paraId="04A925A1"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76" w:history="1">
        <w:r w:rsidR="00056528" w:rsidRPr="000B1C65">
          <w:rPr>
            <w:rStyle w:val="Hyperlink"/>
            <w:rFonts w:cstheme="minorHAnsi"/>
            <w:noProof/>
          </w:rPr>
          <w:t>8.8 Mercato totale dello specifico settore terapeutico</w:t>
        </w:r>
        <w:r w:rsidR="00056528">
          <w:rPr>
            <w:noProof/>
            <w:webHidden/>
          </w:rPr>
          <w:tab/>
        </w:r>
        <w:r w:rsidR="00056528">
          <w:rPr>
            <w:noProof/>
            <w:webHidden/>
          </w:rPr>
          <w:fldChar w:fldCharType="begin"/>
        </w:r>
        <w:r w:rsidR="00056528">
          <w:rPr>
            <w:noProof/>
            <w:webHidden/>
          </w:rPr>
          <w:instrText xml:space="preserve"> PAGEREF _Toc473184576 \h </w:instrText>
        </w:r>
        <w:r w:rsidR="00056528">
          <w:rPr>
            <w:noProof/>
            <w:webHidden/>
          </w:rPr>
        </w:r>
        <w:r w:rsidR="00056528">
          <w:rPr>
            <w:noProof/>
            <w:webHidden/>
          </w:rPr>
          <w:fldChar w:fldCharType="separate"/>
        </w:r>
        <w:r w:rsidR="00A83C7B">
          <w:rPr>
            <w:noProof/>
            <w:webHidden/>
          </w:rPr>
          <w:t>132</w:t>
        </w:r>
        <w:r w:rsidR="00056528">
          <w:rPr>
            <w:noProof/>
            <w:webHidden/>
          </w:rPr>
          <w:fldChar w:fldCharType="end"/>
        </w:r>
      </w:hyperlink>
    </w:p>
    <w:p w14:paraId="68154D94"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77" w:history="1">
        <w:r w:rsidR="00056528" w:rsidRPr="000B1C65">
          <w:rPr>
            <w:rStyle w:val="Hyperlink"/>
            <w:rFonts w:cstheme="minorHAnsi"/>
            <w:noProof/>
          </w:rPr>
          <w:t>8.9 Quota di mercato/anno del prodotto nei primi tre anni di rimborsabilità</w:t>
        </w:r>
        <w:r w:rsidR="00056528">
          <w:rPr>
            <w:noProof/>
            <w:webHidden/>
          </w:rPr>
          <w:tab/>
        </w:r>
        <w:r w:rsidR="00056528">
          <w:rPr>
            <w:noProof/>
            <w:webHidden/>
          </w:rPr>
          <w:fldChar w:fldCharType="begin"/>
        </w:r>
        <w:r w:rsidR="00056528">
          <w:rPr>
            <w:noProof/>
            <w:webHidden/>
          </w:rPr>
          <w:instrText xml:space="preserve"> PAGEREF _Toc473184577 \h </w:instrText>
        </w:r>
        <w:r w:rsidR="00056528">
          <w:rPr>
            <w:noProof/>
            <w:webHidden/>
          </w:rPr>
        </w:r>
        <w:r w:rsidR="00056528">
          <w:rPr>
            <w:noProof/>
            <w:webHidden/>
          </w:rPr>
          <w:fldChar w:fldCharType="separate"/>
        </w:r>
        <w:r w:rsidR="00A83C7B">
          <w:rPr>
            <w:noProof/>
            <w:webHidden/>
          </w:rPr>
          <w:t>133</w:t>
        </w:r>
        <w:r w:rsidR="00056528">
          <w:rPr>
            <w:noProof/>
            <w:webHidden/>
          </w:rPr>
          <w:fldChar w:fldCharType="end"/>
        </w:r>
      </w:hyperlink>
    </w:p>
    <w:p w14:paraId="144E1A88"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78" w:history="1">
        <w:r w:rsidR="00056528" w:rsidRPr="000B1C65">
          <w:rPr>
            <w:rStyle w:val="Hyperlink"/>
            <w:rFonts w:cstheme="minorHAnsi"/>
            <w:noProof/>
          </w:rPr>
          <w:t>8.10 Altre misure economiche proposte dalla Ditta a vantaggio del SSN (sconti, interventi sui prezzi di altre specialità medicinali della stessa Ditta)</w:t>
        </w:r>
        <w:r w:rsidR="00056528">
          <w:rPr>
            <w:noProof/>
            <w:webHidden/>
          </w:rPr>
          <w:tab/>
        </w:r>
        <w:r w:rsidR="00056528">
          <w:rPr>
            <w:noProof/>
            <w:webHidden/>
          </w:rPr>
          <w:fldChar w:fldCharType="begin"/>
        </w:r>
        <w:r w:rsidR="00056528">
          <w:rPr>
            <w:noProof/>
            <w:webHidden/>
          </w:rPr>
          <w:instrText xml:space="preserve"> PAGEREF _Toc473184578 \h </w:instrText>
        </w:r>
        <w:r w:rsidR="00056528">
          <w:rPr>
            <w:noProof/>
            <w:webHidden/>
          </w:rPr>
        </w:r>
        <w:r w:rsidR="00056528">
          <w:rPr>
            <w:noProof/>
            <w:webHidden/>
          </w:rPr>
          <w:fldChar w:fldCharType="separate"/>
        </w:r>
        <w:r w:rsidR="00A83C7B">
          <w:rPr>
            <w:noProof/>
            <w:webHidden/>
          </w:rPr>
          <w:t>133</w:t>
        </w:r>
        <w:r w:rsidR="00056528">
          <w:rPr>
            <w:noProof/>
            <w:webHidden/>
          </w:rPr>
          <w:fldChar w:fldCharType="end"/>
        </w:r>
      </w:hyperlink>
    </w:p>
    <w:p w14:paraId="135C9F3D"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79" w:history="1">
        <w:r w:rsidR="00056528" w:rsidRPr="000B1C65">
          <w:rPr>
            <w:rStyle w:val="Hyperlink"/>
            <w:rFonts w:cstheme="minorHAnsi"/>
            <w:noProof/>
          </w:rPr>
          <w:t>8.11 Investimenti in ricerca e sviluppo svolti dalla impresa proponente in Italia negli ultimi tre anni</w:t>
        </w:r>
        <w:r w:rsidR="00056528">
          <w:rPr>
            <w:noProof/>
            <w:webHidden/>
          </w:rPr>
          <w:tab/>
        </w:r>
        <w:r w:rsidR="00056528">
          <w:rPr>
            <w:noProof/>
            <w:webHidden/>
          </w:rPr>
          <w:fldChar w:fldCharType="begin"/>
        </w:r>
        <w:r w:rsidR="00056528">
          <w:rPr>
            <w:noProof/>
            <w:webHidden/>
          </w:rPr>
          <w:instrText xml:space="preserve"> PAGEREF _Toc473184579 \h </w:instrText>
        </w:r>
        <w:r w:rsidR="00056528">
          <w:rPr>
            <w:noProof/>
            <w:webHidden/>
          </w:rPr>
        </w:r>
        <w:r w:rsidR="00056528">
          <w:rPr>
            <w:noProof/>
            <w:webHidden/>
          </w:rPr>
          <w:fldChar w:fldCharType="separate"/>
        </w:r>
        <w:r w:rsidR="00A83C7B">
          <w:rPr>
            <w:noProof/>
            <w:webHidden/>
          </w:rPr>
          <w:t>133</w:t>
        </w:r>
        <w:r w:rsidR="00056528">
          <w:rPr>
            <w:noProof/>
            <w:webHidden/>
          </w:rPr>
          <w:fldChar w:fldCharType="end"/>
        </w:r>
      </w:hyperlink>
    </w:p>
    <w:p w14:paraId="635593BE"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80" w:history="1">
        <w:r w:rsidR="00056528" w:rsidRPr="000B1C65">
          <w:rPr>
            <w:rStyle w:val="Hyperlink"/>
            <w:rFonts w:cstheme="minorHAnsi"/>
            <w:noProof/>
          </w:rPr>
          <w:t>8.12 Investimenti produttivi effettuati in Italia dalla impresa proponente negli ultimi tre anni</w:t>
        </w:r>
        <w:r w:rsidR="00056528">
          <w:rPr>
            <w:noProof/>
            <w:webHidden/>
          </w:rPr>
          <w:tab/>
        </w:r>
        <w:r w:rsidR="00056528">
          <w:rPr>
            <w:noProof/>
            <w:webHidden/>
          </w:rPr>
          <w:fldChar w:fldCharType="begin"/>
        </w:r>
        <w:r w:rsidR="00056528">
          <w:rPr>
            <w:noProof/>
            <w:webHidden/>
          </w:rPr>
          <w:instrText xml:space="preserve"> PAGEREF _Toc473184580 \h </w:instrText>
        </w:r>
        <w:r w:rsidR="00056528">
          <w:rPr>
            <w:noProof/>
            <w:webHidden/>
          </w:rPr>
        </w:r>
        <w:r w:rsidR="00056528">
          <w:rPr>
            <w:noProof/>
            <w:webHidden/>
          </w:rPr>
          <w:fldChar w:fldCharType="separate"/>
        </w:r>
        <w:r w:rsidR="00A83C7B">
          <w:rPr>
            <w:noProof/>
            <w:webHidden/>
          </w:rPr>
          <w:t>134</w:t>
        </w:r>
        <w:r w:rsidR="00056528">
          <w:rPr>
            <w:noProof/>
            <w:webHidden/>
          </w:rPr>
          <w:fldChar w:fldCharType="end"/>
        </w:r>
      </w:hyperlink>
    </w:p>
    <w:p w14:paraId="6511BCC8" w14:textId="77777777" w:rsidR="00056528" w:rsidRDefault="00000000" w:rsidP="00056528">
      <w:pPr>
        <w:pStyle w:val="TOC2"/>
        <w:numPr>
          <w:ilvl w:val="0"/>
          <w:numId w:val="0"/>
        </w:numPr>
        <w:ind w:left="709"/>
        <w:rPr>
          <w:rFonts w:eastAsiaTheme="minorEastAsia" w:cstheme="minorBidi"/>
          <w:noProof/>
          <w:sz w:val="22"/>
          <w:szCs w:val="22"/>
          <w:lang w:val="it-IT" w:eastAsia="it-IT"/>
        </w:rPr>
      </w:pPr>
      <w:hyperlink w:anchor="_Toc473184581" w:history="1">
        <w:r w:rsidR="00056528" w:rsidRPr="000B1C65">
          <w:rPr>
            <w:rStyle w:val="Hyperlink"/>
            <w:rFonts w:cstheme="minorHAnsi"/>
            <w:noProof/>
          </w:rPr>
          <w:t>8.13 Esportazioni di materie prime, semilavorati e prodotti finite negli ultimo tre anni</w:t>
        </w:r>
        <w:r w:rsidR="00056528">
          <w:rPr>
            <w:noProof/>
            <w:webHidden/>
          </w:rPr>
          <w:tab/>
        </w:r>
        <w:r w:rsidR="00056528">
          <w:rPr>
            <w:noProof/>
            <w:webHidden/>
          </w:rPr>
          <w:fldChar w:fldCharType="begin"/>
        </w:r>
        <w:r w:rsidR="00056528">
          <w:rPr>
            <w:noProof/>
            <w:webHidden/>
          </w:rPr>
          <w:instrText xml:space="preserve"> PAGEREF _Toc473184581 \h </w:instrText>
        </w:r>
        <w:r w:rsidR="00056528">
          <w:rPr>
            <w:noProof/>
            <w:webHidden/>
          </w:rPr>
        </w:r>
        <w:r w:rsidR="00056528">
          <w:rPr>
            <w:noProof/>
            <w:webHidden/>
          </w:rPr>
          <w:fldChar w:fldCharType="separate"/>
        </w:r>
        <w:r w:rsidR="00A83C7B">
          <w:rPr>
            <w:noProof/>
            <w:webHidden/>
          </w:rPr>
          <w:t>134</w:t>
        </w:r>
        <w:r w:rsidR="00056528">
          <w:rPr>
            <w:noProof/>
            <w:webHidden/>
          </w:rPr>
          <w:fldChar w:fldCharType="end"/>
        </w:r>
      </w:hyperlink>
    </w:p>
    <w:p w14:paraId="74843FE9" w14:textId="77777777" w:rsidR="00056528" w:rsidRDefault="00000000" w:rsidP="00056528">
      <w:pPr>
        <w:pStyle w:val="TOC1"/>
        <w:rPr>
          <w:rFonts w:eastAsiaTheme="minorEastAsia" w:cstheme="minorBidi"/>
          <w:noProof/>
          <w:sz w:val="22"/>
          <w:szCs w:val="22"/>
          <w:lang w:val="it-IT" w:eastAsia="it-IT"/>
        </w:rPr>
      </w:pPr>
      <w:hyperlink w:anchor="_Toc473184582" w:history="1">
        <w:r w:rsidR="00056528" w:rsidRPr="000B1C65">
          <w:rPr>
            <w:rStyle w:val="Hyperlink"/>
            <w:rFonts w:cstheme="minorHAnsi"/>
            <w:noProof/>
          </w:rPr>
          <w:t>9.</w:t>
        </w:r>
        <w:r w:rsidR="00056528">
          <w:rPr>
            <w:rFonts w:eastAsiaTheme="minorEastAsia" w:cstheme="minorBidi"/>
            <w:noProof/>
            <w:sz w:val="22"/>
            <w:szCs w:val="22"/>
            <w:lang w:val="it-IT" w:eastAsia="it-IT"/>
          </w:rPr>
          <w:tab/>
        </w:r>
        <w:r w:rsidR="00056528" w:rsidRPr="000B1C65">
          <w:rPr>
            <w:rStyle w:val="Hyperlink"/>
            <w:rFonts w:cstheme="minorHAnsi"/>
            <w:noProof/>
          </w:rPr>
          <w:t>Studi farmacoeconomici disponibili</w:t>
        </w:r>
        <w:r w:rsidR="00056528">
          <w:rPr>
            <w:noProof/>
            <w:webHidden/>
          </w:rPr>
          <w:tab/>
        </w:r>
        <w:r w:rsidR="00056528">
          <w:rPr>
            <w:noProof/>
            <w:webHidden/>
          </w:rPr>
          <w:fldChar w:fldCharType="begin"/>
        </w:r>
        <w:r w:rsidR="00056528">
          <w:rPr>
            <w:noProof/>
            <w:webHidden/>
          </w:rPr>
          <w:instrText xml:space="preserve"> PAGEREF _Toc473184582 \h </w:instrText>
        </w:r>
        <w:r w:rsidR="00056528">
          <w:rPr>
            <w:noProof/>
            <w:webHidden/>
          </w:rPr>
        </w:r>
        <w:r w:rsidR="00056528">
          <w:rPr>
            <w:noProof/>
            <w:webHidden/>
          </w:rPr>
          <w:fldChar w:fldCharType="separate"/>
        </w:r>
        <w:r w:rsidR="00A83C7B">
          <w:rPr>
            <w:noProof/>
            <w:webHidden/>
          </w:rPr>
          <w:t>135</w:t>
        </w:r>
        <w:r w:rsidR="00056528">
          <w:rPr>
            <w:noProof/>
            <w:webHidden/>
          </w:rPr>
          <w:fldChar w:fldCharType="end"/>
        </w:r>
      </w:hyperlink>
    </w:p>
    <w:p w14:paraId="1094C622" w14:textId="77777777" w:rsidR="00056528" w:rsidRDefault="00000000" w:rsidP="007D63CE">
      <w:pPr>
        <w:pStyle w:val="TOC2"/>
        <w:numPr>
          <w:ilvl w:val="0"/>
          <w:numId w:val="0"/>
        </w:numPr>
        <w:ind w:left="709"/>
        <w:rPr>
          <w:rFonts w:eastAsiaTheme="minorEastAsia" w:cstheme="minorBidi"/>
          <w:noProof/>
          <w:sz w:val="22"/>
          <w:szCs w:val="22"/>
          <w:lang w:val="it-IT" w:eastAsia="it-IT"/>
        </w:rPr>
      </w:pPr>
      <w:hyperlink w:anchor="_Toc473184583" w:history="1">
        <w:r w:rsidR="00056528" w:rsidRPr="000B1C65">
          <w:rPr>
            <w:rStyle w:val="Hyperlink"/>
            <w:rFonts w:cstheme="minorHAnsi"/>
            <w:noProof/>
          </w:rPr>
          <w:t>Analisi di costo efficacia (Allegato 2):</w:t>
        </w:r>
        <w:r w:rsidR="00056528">
          <w:rPr>
            <w:noProof/>
            <w:webHidden/>
          </w:rPr>
          <w:tab/>
        </w:r>
        <w:r w:rsidR="00056528">
          <w:rPr>
            <w:noProof/>
            <w:webHidden/>
          </w:rPr>
          <w:fldChar w:fldCharType="begin"/>
        </w:r>
        <w:r w:rsidR="00056528">
          <w:rPr>
            <w:noProof/>
            <w:webHidden/>
          </w:rPr>
          <w:instrText xml:space="preserve"> PAGEREF _Toc473184583 \h </w:instrText>
        </w:r>
        <w:r w:rsidR="00056528">
          <w:rPr>
            <w:noProof/>
            <w:webHidden/>
          </w:rPr>
        </w:r>
        <w:r w:rsidR="00056528">
          <w:rPr>
            <w:noProof/>
            <w:webHidden/>
          </w:rPr>
          <w:fldChar w:fldCharType="separate"/>
        </w:r>
        <w:r w:rsidR="00A83C7B">
          <w:rPr>
            <w:noProof/>
            <w:webHidden/>
          </w:rPr>
          <w:t>135</w:t>
        </w:r>
        <w:r w:rsidR="00056528">
          <w:rPr>
            <w:noProof/>
            <w:webHidden/>
          </w:rPr>
          <w:fldChar w:fldCharType="end"/>
        </w:r>
      </w:hyperlink>
    </w:p>
    <w:p w14:paraId="3681BCD3" w14:textId="77777777" w:rsidR="00056528" w:rsidRDefault="00000000" w:rsidP="007D63CE">
      <w:pPr>
        <w:pStyle w:val="TOC2"/>
        <w:numPr>
          <w:ilvl w:val="0"/>
          <w:numId w:val="0"/>
        </w:numPr>
        <w:ind w:left="709"/>
        <w:rPr>
          <w:rFonts w:eastAsiaTheme="minorEastAsia" w:cstheme="minorBidi"/>
          <w:noProof/>
          <w:sz w:val="22"/>
          <w:szCs w:val="22"/>
          <w:lang w:val="it-IT" w:eastAsia="it-IT"/>
        </w:rPr>
      </w:pPr>
      <w:hyperlink w:anchor="_Toc473184584" w:history="1">
        <w:r w:rsidR="00056528" w:rsidRPr="000B1C65">
          <w:rPr>
            <w:rStyle w:val="Hyperlink"/>
            <w:rFonts w:cstheme="minorHAnsi"/>
            <w:noProof/>
          </w:rPr>
          <w:t>Analisi di Impatto di Budget (Allegato 2):</w:t>
        </w:r>
        <w:r w:rsidR="00056528">
          <w:rPr>
            <w:noProof/>
            <w:webHidden/>
          </w:rPr>
          <w:tab/>
        </w:r>
        <w:r w:rsidR="00056528">
          <w:rPr>
            <w:noProof/>
            <w:webHidden/>
          </w:rPr>
          <w:fldChar w:fldCharType="begin"/>
        </w:r>
        <w:r w:rsidR="00056528">
          <w:rPr>
            <w:noProof/>
            <w:webHidden/>
          </w:rPr>
          <w:instrText xml:space="preserve"> PAGEREF _Toc473184584 \h </w:instrText>
        </w:r>
        <w:r w:rsidR="00056528">
          <w:rPr>
            <w:noProof/>
            <w:webHidden/>
          </w:rPr>
        </w:r>
        <w:r w:rsidR="00056528">
          <w:rPr>
            <w:noProof/>
            <w:webHidden/>
          </w:rPr>
          <w:fldChar w:fldCharType="separate"/>
        </w:r>
        <w:r w:rsidR="00A83C7B">
          <w:rPr>
            <w:noProof/>
            <w:webHidden/>
          </w:rPr>
          <w:t>140</w:t>
        </w:r>
        <w:r w:rsidR="00056528">
          <w:rPr>
            <w:noProof/>
            <w:webHidden/>
          </w:rPr>
          <w:fldChar w:fldCharType="end"/>
        </w:r>
      </w:hyperlink>
    </w:p>
    <w:p w14:paraId="2A35C684" w14:textId="77777777" w:rsidR="00056528" w:rsidRDefault="00000000" w:rsidP="00056528">
      <w:pPr>
        <w:pStyle w:val="TOC1"/>
        <w:rPr>
          <w:rFonts w:eastAsiaTheme="minorEastAsia" w:cstheme="minorBidi"/>
          <w:noProof/>
          <w:sz w:val="22"/>
          <w:szCs w:val="22"/>
          <w:lang w:val="it-IT" w:eastAsia="it-IT"/>
        </w:rPr>
      </w:pPr>
      <w:hyperlink w:anchor="_Toc473184585" w:history="1">
        <w:r w:rsidR="00056528" w:rsidRPr="000B1C65">
          <w:rPr>
            <w:rStyle w:val="Hyperlink"/>
            <w:rFonts w:cstheme="minorHAnsi"/>
            <w:noProof/>
          </w:rPr>
          <w:t>10.</w:t>
        </w:r>
        <w:r w:rsidR="00056528">
          <w:rPr>
            <w:rFonts w:eastAsiaTheme="minorEastAsia" w:cstheme="minorBidi"/>
            <w:noProof/>
            <w:sz w:val="22"/>
            <w:szCs w:val="22"/>
            <w:lang w:val="it-IT" w:eastAsia="it-IT"/>
          </w:rPr>
          <w:tab/>
        </w:r>
        <w:r w:rsidR="00056528" w:rsidRPr="000B1C65">
          <w:rPr>
            <w:rStyle w:val="Hyperlink"/>
            <w:rFonts w:cstheme="minorHAnsi"/>
            <w:noProof/>
          </w:rPr>
          <w:t>Valutazioni conclusive</w:t>
        </w:r>
        <w:r w:rsidR="00056528">
          <w:rPr>
            <w:noProof/>
            <w:webHidden/>
          </w:rPr>
          <w:tab/>
        </w:r>
        <w:r w:rsidR="00056528">
          <w:rPr>
            <w:noProof/>
            <w:webHidden/>
          </w:rPr>
          <w:fldChar w:fldCharType="begin"/>
        </w:r>
        <w:r w:rsidR="00056528">
          <w:rPr>
            <w:noProof/>
            <w:webHidden/>
          </w:rPr>
          <w:instrText xml:space="preserve"> PAGEREF _Toc473184585 \h </w:instrText>
        </w:r>
        <w:r w:rsidR="00056528">
          <w:rPr>
            <w:noProof/>
            <w:webHidden/>
          </w:rPr>
        </w:r>
        <w:r w:rsidR="00056528">
          <w:rPr>
            <w:noProof/>
            <w:webHidden/>
          </w:rPr>
          <w:fldChar w:fldCharType="separate"/>
        </w:r>
        <w:r w:rsidR="00A83C7B">
          <w:rPr>
            <w:noProof/>
            <w:webHidden/>
          </w:rPr>
          <w:t>143</w:t>
        </w:r>
        <w:r w:rsidR="00056528">
          <w:rPr>
            <w:noProof/>
            <w:webHidden/>
          </w:rPr>
          <w:fldChar w:fldCharType="end"/>
        </w:r>
      </w:hyperlink>
    </w:p>
    <w:p w14:paraId="6C0D83F3" w14:textId="77777777" w:rsidR="00056528" w:rsidRDefault="00000000" w:rsidP="00056528">
      <w:pPr>
        <w:pStyle w:val="TOC1"/>
        <w:rPr>
          <w:rFonts w:eastAsiaTheme="minorEastAsia" w:cstheme="minorBidi"/>
          <w:noProof/>
          <w:sz w:val="22"/>
          <w:szCs w:val="22"/>
          <w:lang w:val="it-IT" w:eastAsia="it-IT"/>
        </w:rPr>
      </w:pPr>
      <w:hyperlink w:anchor="_Toc473184586" w:history="1">
        <w:r w:rsidR="00056528" w:rsidRPr="000B1C65">
          <w:rPr>
            <w:rStyle w:val="Hyperlink"/>
            <w:rFonts w:cstheme="minorHAnsi"/>
            <w:noProof/>
          </w:rPr>
          <w:t>11.</w:t>
        </w:r>
        <w:r w:rsidR="00056528">
          <w:rPr>
            <w:rFonts w:eastAsiaTheme="minorEastAsia" w:cstheme="minorBidi"/>
            <w:noProof/>
            <w:sz w:val="22"/>
            <w:szCs w:val="22"/>
            <w:lang w:val="it-IT" w:eastAsia="it-IT"/>
          </w:rPr>
          <w:tab/>
        </w:r>
        <w:r w:rsidR="00056528" w:rsidRPr="000B1C65">
          <w:rPr>
            <w:rStyle w:val="Hyperlink"/>
            <w:rFonts w:cstheme="minorHAnsi"/>
            <w:noProof/>
          </w:rPr>
          <w:t>Bibliografia</w:t>
        </w:r>
        <w:r w:rsidR="00056528">
          <w:rPr>
            <w:noProof/>
            <w:webHidden/>
          </w:rPr>
          <w:tab/>
        </w:r>
        <w:r w:rsidR="00056528">
          <w:rPr>
            <w:noProof/>
            <w:webHidden/>
          </w:rPr>
          <w:fldChar w:fldCharType="begin"/>
        </w:r>
        <w:r w:rsidR="00056528">
          <w:rPr>
            <w:noProof/>
            <w:webHidden/>
          </w:rPr>
          <w:instrText xml:space="preserve"> PAGEREF _Toc473184586 \h </w:instrText>
        </w:r>
        <w:r w:rsidR="00056528">
          <w:rPr>
            <w:noProof/>
            <w:webHidden/>
          </w:rPr>
        </w:r>
        <w:r w:rsidR="00056528">
          <w:rPr>
            <w:noProof/>
            <w:webHidden/>
          </w:rPr>
          <w:fldChar w:fldCharType="separate"/>
        </w:r>
        <w:r w:rsidR="00A83C7B">
          <w:rPr>
            <w:noProof/>
            <w:webHidden/>
          </w:rPr>
          <w:t>147</w:t>
        </w:r>
        <w:r w:rsidR="00056528">
          <w:rPr>
            <w:noProof/>
            <w:webHidden/>
          </w:rPr>
          <w:fldChar w:fldCharType="end"/>
        </w:r>
      </w:hyperlink>
    </w:p>
    <w:p w14:paraId="5D8C04DA" w14:textId="77777777" w:rsidR="00056528" w:rsidRDefault="00000000" w:rsidP="00A83C7B">
      <w:pPr>
        <w:pStyle w:val="TOC1"/>
        <w:tabs>
          <w:tab w:val="clear" w:pos="709"/>
        </w:tabs>
        <w:ind w:left="0" w:firstLine="0"/>
        <w:rPr>
          <w:rFonts w:eastAsiaTheme="minorEastAsia" w:cstheme="minorBidi"/>
          <w:noProof/>
          <w:sz w:val="22"/>
          <w:szCs w:val="22"/>
          <w:lang w:val="it-IT" w:eastAsia="it-IT"/>
        </w:rPr>
      </w:pPr>
      <w:hyperlink w:anchor="_Toc473184587" w:history="1">
        <w:r w:rsidR="00056528" w:rsidRPr="000B1C65">
          <w:rPr>
            <w:rStyle w:val="Hyperlink"/>
            <w:rFonts w:cstheme="minorHAnsi"/>
            <w:noProof/>
          </w:rPr>
          <w:t>Allegato 1 – Punzi L – Expert Statement, Gennaio 2017</w:t>
        </w:r>
        <w:r w:rsidR="00056528">
          <w:rPr>
            <w:noProof/>
            <w:webHidden/>
          </w:rPr>
          <w:tab/>
        </w:r>
        <w:r w:rsidR="00056528">
          <w:rPr>
            <w:noProof/>
            <w:webHidden/>
          </w:rPr>
          <w:fldChar w:fldCharType="begin"/>
        </w:r>
        <w:r w:rsidR="00056528">
          <w:rPr>
            <w:noProof/>
            <w:webHidden/>
          </w:rPr>
          <w:instrText xml:space="preserve"> PAGEREF _Toc473184587 \h </w:instrText>
        </w:r>
        <w:r w:rsidR="00056528">
          <w:rPr>
            <w:noProof/>
            <w:webHidden/>
          </w:rPr>
        </w:r>
        <w:r w:rsidR="00056528">
          <w:rPr>
            <w:noProof/>
            <w:webHidden/>
          </w:rPr>
          <w:fldChar w:fldCharType="separate"/>
        </w:r>
        <w:r w:rsidR="00A83C7B">
          <w:rPr>
            <w:noProof/>
            <w:webHidden/>
          </w:rPr>
          <w:t>154</w:t>
        </w:r>
        <w:r w:rsidR="00056528">
          <w:rPr>
            <w:noProof/>
            <w:webHidden/>
          </w:rPr>
          <w:fldChar w:fldCharType="end"/>
        </w:r>
      </w:hyperlink>
    </w:p>
    <w:p w14:paraId="5FA2F789" w14:textId="77777777" w:rsidR="00056528" w:rsidRDefault="00000000" w:rsidP="00A83C7B">
      <w:pPr>
        <w:pStyle w:val="TOC1"/>
        <w:tabs>
          <w:tab w:val="clear" w:pos="709"/>
        </w:tabs>
        <w:ind w:left="0" w:firstLine="0"/>
        <w:rPr>
          <w:rFonts w:eastAsiaTheme="minorEastAsia" w:cstheme="minorBidi"/>
          <w:noProof/>
          <w:sz w:val="22"/>
          <w:szCs w:val="22"/>
          <w:lang w:val="it-IT" w:eastAsia="it-IT"/>
        </w:rPr>
      </w:pPr>
      <w:hyperlink w:anchor="_Toc473184588" w:history="1">
        <w:r w:rsidR="00056528" w:rsidRPr="000B1C65">
          <w:rPr>
            <w:rStyle w:val="Hyperlink"/>
            <w:rFonts w:cstheme="minorHAnsi"/>
            <w:noProof/>
          </w:rPr>
          <w:t>Allegato 2 – Basile M. et al., Health-economic implications of the use of Zurampic in the Italian Health Sector, Altems Gennaio 2017</w:t>
        </w:r>
        <w:r w:rsidR="00056528">
          <w:rPr>
            <w:noProof/>
            <w:webHidden/>
          </w:rPr>
          <w:tab/>
        </w:r>
        <w:r w:rsidR="00056528">
          <w:rPr>
            <w:noProof/>
            <w:webHidden/>
          </w:rPr>
          <w:fldChar w:fldCharType="begin"/>
        </w:r>
        <w:r w:rsidR="00056528">
          <w:rPr>
            <w:noProof/>
            <w:webHidden/>
          </w:rPr>
          <w:instrText xml:space="preserve"> PAGEREF _Toc473184588 \h </w:instrText>
        </w:r>
        <w:r w:rsidR="00056528">
          <w:rPr>
            <w:noProof/>
            <w:webHidden/>
          </w:rPr>
        </w:r>
        <w:r w:rsidR="00056528">
          <w:rPr>
            <w:noProof/>
            <w:webHidden/>
          </w:rPr>
          <w:fldChar w:fldCharType="separate"/>
        </w:r>
        <w:r w:rsidR="00A83C7B">
          <w:rPr>
            <w:noProof/>
            <w:webHidden/>
          </w:rPr>
          <w:t>166</w:t>
        </w:r>
        <w:r w:rsidR="00056528">
          <w:rPr>
            <w:noProof/>
            <w:webHidden/>
          </w:rPr>
          <w:fldChar w:fldCharType="end"/>
        </w:r>
      </w:hyperlink>
    </w:p>
    <w:p w14:paraId="5DE73D2F" w14:textId="77777777" w:rsidR="007D63CE" w:rsidRDefault="00CF7735">
      <w:pPr>
        <w:rPr>
          <w:sz w:val="20"/>
          <w:szCs w:val="20"/>
        </w:rPr>
      </w:pPr>
      <w:r>
        <w:rPr>
          <w:sz w:val="20"/>
          <w:szCs w:val="20"/>
        </w:rPr>
        <w:fldChar w:fldCharType="end"/>
      </w:r>
    </w:p>
    <w:p w14:paraId="5F3AA93E" w14:textId="77777777" w:rsidR="007D63CE" w:rsidRDefault="007D63CE">
      <w:pPr>
        <w:rPr>
          <w:sz w:val="20"/>
          <w:szCs w:val="20"/>
        </w:rPr>
      </w:pPr>
    </w:p>
    <w:p w14:paraId="687B8CF5" w14:textId="77777777" w:rsidR="007D63CE" w:rsidRDefault="007D63CE">
      <w:pPr>
        <w:rPr>
          <w:sz w:val="20"/>
          <w:szCs w:val="20"/>
        </w:rPr>
      </w:pPr>
    </w:p>
    <w:p w14:paraId="5DFCF79C" w14:textId="77777777" w:rsidR="007D63CE" w:rsidRDefault="007D63CE">
      <w:pPr>
        <w:rPr>
          <w:rFonts w:cs="Arial"/>
          <w:b/>
          <w:color w:val="000000"/>
          <w:sz w:val="20"/>
          <w:u w:val="single"/>
        </w:rPr>
      </w:pPr>
      <w:r>
        <w:rPr>
          <w:rFonts w:cs="Arial"/>
          <w:b/>
          <w:color w:val="000000"/>
          <w:sz w:val="20"/>
          <w:u w:val="single"/>
        </w:rPr>
        <w:br w:type="page"/>
      </w:r>
    </w:p>
    <w:p w14:paraId="335B6A19" w14:textId="71BC4055" w:rsidR="0063089E" w:rsidRPr="00232143" w:rsidRDefault="0063089E">
      <w:pPr>
        <w:rPr>
          <w:rFonts w:cs="Arial"/>
          <w:b/>
          <w:color w:val="000000"/>
          <w:sz w:val="20"/>
          <w:u w:val="single"/>
        </w:rPr>
      </w:pPr>
      <w:r w:rsidRPr="00232143">
        <w:rPr>
          <w:rFonts w:cs="Arial"/>
          <w:b/>
          <w:color w:val="000000"/>
          <w:sz w:val="20"/>
          <w:u w:val="single"/>
        </w:rPr>
        <w:t>Indice Allegati</w:t>
      </w:r>
    </w:p>
    <w:p w14:paraId="4FE142DA" w14:textId="77777777" w:rsidR="00211678" w:rsidRDefault="00043B6B">
      <w:pPr>
        <w:pStyle w:val="TableofFigures"/>
        <w:rPr>
          <w:rFonts w:asciiTheme="minorHAnsi" w:eastAsiaTheme="minorEastAsia" w:hAnsiTheme="minorHAnsi" w:cstheme="minorBidi"/>
          <w:snapToGrid/>
          <w:sz w:val="22"/>
          <w:szCs w:val="22"/>
          <w:lang w:eastAsia="it-IT"/>
        </w:rPr>
      </w:pPr>
      <w:r w:rsidRPr="00F24AB5">
        <w:rPr>
          <w:rFonts w:asciiTheme="minorHAnsi" w:hAnsiTheme="minorHAnsi"/>
          <w:color w:val="000000"/>
          <w:sz w:val="20"/>
          <w:szCs w:val="20"/>
        </w:rPr>
        <w:fldChar w:fldCharType="begin"/>
      </w:r>
      <w:r w:rsidRPr="00F24AB5">
        <w:rPr>
          <w:rFonts w:asciiTheme="minorHAnsi" w:hAnsiTheme="minorHAnsi"/>
          <w:color w:val="000000"/>
          <w:sz w:val="20"/>
          <w:szCs w:val="20"/>
        </w:rPr>
        <w:instrText xml:space="preserve"> TOC \h \z \c "Allegato" </w:instrText>
      </w:r>
      <w:r w:rsidRPr="00F24AB5">
        <w:rPr>
          <w:rFonts w:asciiTheme="minorHAnsi" w:hAnsiTheme="minorHAnsi"/>
          <w:color w:val="000000"/>
          <w:sz w:val="20"/>
          <w:szCs w:val="20"/>
        </w:rPr>
        <w:fldChar w:fldCharType="separate"/>
      </w:r>
      <w:hyperlink w:anchor="_Toc472698023" w:history="1">
        <w:r w:rsidR="00211678" w:rsidRPr="00430FBB">
          <w:rPr>
            <w:rStyle w:val="Hyperlink"/>
            <w:rFonts w:cstheme="minorHAnsi"/>
          </w:rPr>
          <w:t xml:space="preserve">Allegato 1 </w:t>
        </w:r>
        <w:r w:rsidR="00211678" w:rsidRPr="00430FBB">
          <w:rPr>
            <w:rStyle w:val="Hyperlink"/>
            <w:rFonts w:cstheme="minorHAnsi"/>
          </w:rPr>
          <w:t>–</w:t>
        </w:r>
        <w:r w:rsidR="00211678" w:rsidRPr="00430FBB">
          <w:rPr>
            <w:rStyle w:val="Hyperlink"/>
            <w:rFonts w:cstheme="minorHAnsi"/>
          </w:rPr>
          <w:t xml:space="preserve"> Punzi L </w:t>
        </w:r>
        <w:r w:rsidR="00211678" w:rsidRPr="00430FBB">
          <w:rPr>
            <w:rStyle w:val="Hyperlink"/>
            <w:rFonts w:cstheme="minorHAnsi"/>
          </w:rPr>
          <w:t>–</w:t>
        </w:r>
        <w:r w:rsidR="00211678" w:rsidRPr="00430FBB">
          <w:rPr>
            <w:rStyle w:val="Hyperlink"/>
            <w:rFonts w:cstheme="minorHAnsi"/>
          </w:rPr>
          <w:t xml:space="preserve"> Expert Statement, Gennaio 2017</w:t>
        </w:r>
        <w:r w:rsidR="00211678">
          <w:rPr>
            <w:webHidden/>
          </w:rPr>
          <w:tab/>
        </w:r>
        <w:r w:rsidR="00211678">
          <w:rPr>
            <w:webHidden/>
          </w:rPr>
          <w:fldChar w:fldCharType="begin"/>
        </w:r>
        <w:r w:rsidR="00211678">
          <w:rPr>
            <w:webHidden/>
          </w:rPr>
          <w:instrText xml:space="preserve"> PAGEREF _Toc472698023 \h </w:instrText>
        </w:r>
        <w:r w:rsidR="00211678">
          <w:rPr>
            <w:webHidden/>
          </w:rPr>
        </w:r>
        <w:r w:rsidR="00211678">
          <w:rPr>
            <w:webHidden/>
          </w:rPr>
          <w:fldChar w:fldCharType="separate"/>
        </w:r>
        <w:r w:rsidR="00A83C7B">
          <w:rPr>
            <w:webHidden/>
          </w:rPr>
          <w:t>154</w:t>
        </w:r>
        <w:r w:rsidR="00211678">
          <w:rPr>
            <w:webHidden/>
          </w:rPr>
          <w:fldChar w:fldCharType="end"/>
        </w:r>
      </w:hyperlink>
    </w:p>
    <w:p w14:paraId="0FCE7F56" w14:textId="77777777" w:rsidR="00211678" w:rsidRDefault="00000000">
      <w:pPr>
        <w:pStyle w:val="TableofFigures"/>
        <w:rPr>
          <w:rFonts w:asciiTheme="minorHAnsi" w:eastAsiaTheme="minorEastAsia" w:hAnsiTheme="minorHAnsi" w:cstheme="minorBidi"/>
          <w:snapToGrid/>
          <w:sz w:val="22"/>
          <w:szCs w:val="22"/>
          <w:lang w:eastAsia="it-IT"/>
        </w:rPr>
      </w:pPr>
      <w:hyperlink w:anchor="_Toc472698024" w:history="1">
        <w:r w:rsidR="00211678" w:rsidRPr="00430FBB">
          <w:rPr>
            <w:rStyle w:val="Hyperlink"/>
            <w:rFonts w:cstheme="minorHAnsi"/>
          </w:rPr>
          <w:t xml:space="preserve">Allegato 2 </w:t>
        </w:r>
        <w:r w:rsidR="00211678" w:rsidRPr="00430FBB">
          <w:rPr>
            <w:rStyle w:val="Hyperlink"/>
            <w:rFonts w:cstheme="minorHAnsi"/>
          </w:rPr>
          <w:t>–</w:t>
        </w:r>
        <w:r w:rsidR="00211678" w:rsidRPr="00430FBB">
          <w:rPr>
            <w:rStyle w:val="Hyperlink"/>
            <w:rFonts w:cstheme="minorHAnsi"/>
          </w:rPr>
          <w:t xml:space="preserve"> Basile M., Analisi costo efficicia e Budget Impact Zurampic per la gotta nel confronto con le alternative terapeutiche attualmente disponibili, Altems Gennaio 2017</w:t>
        </w:r>
        <w:r w:rsidR="00211678">
          <w:rPr>
            <w:webHidden/>
          </w:rPr>
          <w:tab/>
        </w:r>
        <w:r w:rsidR="00211678">
          <w:rPr>
            <w:webHidden/>
          </w:rPr>
          <w:fldChar w:fldCharType="begin"/>
        </w:r>
        <w:r w:rsidR="00211678">
          <w:rPr>
            <w:webHidden/>
          </w:rPr>
          <w:instrText xml:space="preserve"> PAGEREF _Toc472698024 \h </w:instrText>
        </w:r>
        <w:r w:rsidR="00211678">
          <w:rPr>
            <w:webHidden/>
          </w:rPr>
        </w:r>
        <w:r w:rsidR="00211678">
          <w:rPr>
            <w:webHidden/>
          </w:rPr>
          <w:fldChar w:fldCharType="separate"/>
        </w:r>
        <w:r w:rsidR="00A83C7B">
          <w:rPr>
            <w:webHidden/>
          </w:rPr>
          <w:t>166</w:t>
        </w:r>
        <w:r w:rsidR="00211678">
          <w:rPr>
            <w:webHidden/>
          </w:rPr>
          <w:fldChar w:fldCharType="end"/>
        </w:r>
      </w:hyperlink>
    </w:p>
    <w:p w14:paraId="49D303CE" w14:textId="5941D0C9" w:rsidR="0063089E" w:rsidRPr="00FD1488" w:rsidRDefault="00043B6B" w:rsidP="00F24AB5">
      <w:pPr>
        <w:rPr>
          <w:rFonts w:cstheme="minorHAnsi"/>
          <w:color w:val="000000"/>
          <w:sz w:val="20"/>
          <w:szCs w:val="20"/>
        </w:rPr>
      </w:pPr>
      <w:r w:rsidRPr="00F24AB5">
        <w:rPr>
          <w:rFonts w:eastAsia="Arial0" w:cstheme="minorHAnsi"/>
          <w:noProof/>
          <w:snapToGrid w:val="0"/>
          <w:color w:val="000000"/>
          <w:sz w:val="20"/>
          <w:szCs w:val="20"/>
        </w:rPr>
        <w:fldChar w:fldCharType="end"/>
      </w:r>
    </w:p>
    <w:p w14:paraId="550206FD" w14:textId="77777777" w:rsidR="0063089E" w:rsidRPr="00221759" w:rsidRDefault="0063089E">
      <w:pPr>
        <w:rPr>
          <w:rFonts w:cs="Arial"/>
          <w:color w:val="000000"/>
          <w:sz w:val="20"/>
        </w:rPr>
      </w:pPr>
    </w:p>
    <w:p w14:paraId="35CE2132" w14:textId="77777777" w:rsidR="00434F3D" w:rsidRDefault="00434F3D">
      <w:pPr>
        <w:rPr>
          <w:rFonts w:cs="Arial"/>
          <w:b/>
          <w:color w:val="000000"/>
          <w:sz w:val="20"/>
          <w:u w:val="single"/>
        </w:rPr>
      </w:pPr>
      <w:r>
        <w:rPr>
          <w:rFonts w:cs="Arial"/>
          <w:b/>
          <w:color w:val="000000"/>
          <w:sz w:val="20"/>
          <w:u w:val="single"/>
        </w:rPr>
        <w:br w:type="page"/>
      </w:r>
    </w:p>
    <w:p w14:paraId="3E196806" w14:textId="48671645" w:rsidR="000E2289" w:rsidRPr="00232143" w:rsidRDefault="0075450F">
      <w:pPr>
        <w:rPr>
          <w:rFonts w:cs="Arial"/>
          <w:b/>
          <w:color w:val="000000"/>
          <w:sz w:val="20"/>
          <w:u w:val="single"/>
        </w:rPr>
      </w:pPr>
      <w:r w:rsidRPr="00232143">
        <w:rPr>
          <w:rFonts w:cs="Arial"/>
          <w:b/>
          <w:color w:val="000000"/>
          <w:sz w:val="20"/>
          <w:u w:val="single"/>
        </w:rPr>
        <w:t>Indice Tabelle</w:t>
      </w:r>
    </w:p>
    <w:p w14:paraId="277EFE4C" w14:textId="77777777" w:rsidR="0000404E" w:rsidRDefault="0075450F">
      <w:pPr>
        <w:pStyle w:val="TableofFigures"/>
        <w:rPr>
          <w:rFonts w:asciiTheme="minorHAnsi" w:eastAsiaTheme="minorEastAsia" w:hAnsiTheme="minorHAnsi" w:cstheme="minorBidi"/>
          <w:snapToGrid/>
          <w:sz w:val="22"/>
          <w:szCs w:val="22"/>
          <w:lang w:eastAsia="it-IT"/>
        </w:rPr>
      </w:pPr>
      <w:r w:rsidRPr="00930591">
        <w:rPr>
          <w:rFonts w:asciiTheme="minorHAnsi" w:hAnsiTheme="minorHAnsi" w:cstheme="minorHAnsi"/>
          <w:color w:val="000000"/>
          <w:sz w:val="20"/>
          <w:szCs w:val="20"/>
        </w:rPr>
        <w:fldChar w:fldCharType="begin"/>
      </w:r>
      <w:r w:rsidRPr="00930591">
        <w:rPr>
          <w:rFonts w:asciiTheme="minorHAnsi" w:hAnsiTheme="minorHAnsi" w:cstheme="minorHAnsi"/>
          <w:color w:val="000000"/>
          <w:sz w:val="20"/>
          <w:szCs w:val="20"/>
        </w:rPr>
        <w:instrText xml:space="preserve"> TOC \h \z \c "Tabella" </w:instrText>
      </w:r>
      <w:r w:rsidRPr="00930591">
        <w:rPr>
          <w:rFonts w:asciiTheme="minorHAnsi" w:hAnsiTheme="minorHAnsi" w:cstheme="minorHAnsi"/>
          <w:color w:val="000000"/>
          <w:sz w:val="20"/>
          <w:szCs w:val="20"/>
        </w:rPr>
        <w:fldChar w:fldCharType="separate"/>
      </w:r>
      <w:hyperlink w:anchor="_Toc473150686" w:history="1">
        <w:r w:rsidR="0000404E" w:rsidRPr="00E82738">
          <w:rPr>
            <w:rStyle w:val="Hyperlink"/>
            <w:rFonts w:cstheme="minorHAnsi"/>
          </w:rPr>
          <w:t>Tabella 1 - Pazienti con diagnosi di gotta/iperuricemia (IMS-Health LPD longitudinal Patient Database, 2016)</w:t>
        </w:r>
        <w:r w:rsidR="0000404E">
          <w:rPr>
            <w:webHidden/>
          </w:rPr>
          <w:tab/>
        </w:r>
        <w:r w:rsidR="0000404E">
          <w:rPr>
            <w:webHidden/>
          </w:rPr>
          <w:fldChar w:fldCharType="begin"/>
        </w:r>
        <w:r w:rsidR="0000404E">
          <w:rPr>
            <w:webHidden/>
          </w:rPr>
          <w:instrText xml:space="preserve"> PAGEREF _Toc473150686 \h </w:instrText>
        </w:r>
        <w:r w:rsidR="0000404E">
          <w:rPr>
            <w:webHidden/>
          </w:rPr>
        </w:r>
        <w:r w:rsidR="0000404E">
          <w:rPr>
            <w:webHidden/>
          </w:rPr>
          <w:fldChar w:fldCharType="separate"/>
        </w:r>
        <w:r w:rsidR="00A83C7B">
          <w:rPr>
            <w:webHidden/>
          </w:rPr>
          <w:t>30</w:t>
        </w:r>
        <w:r w:rsidR="0000404E">
          <w:rPr>
            <w:webHidden/>
          </w:rPr>
          <w:fldChar w:fldCharType="end"/>
        </w:r>
      </w:hyperlink>
    </w:p>
    <w:p w14:paraId="4DEE7D4E"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87" w:history="1">
        <w:r w:rsidR="0000404E" w:rsidRPr="00E82738">
          <w:rPr>
            <w:rStyle w:val="Hyperlink"/>
            <w:rFonts w:cstheme="minorHAnsi"/>
          </w:rPr>
          <w:t>Tabella 2 - Pazienti con diagnosi di gotta/iperuricemia e trattati con XOI (IMS-Health LPD longitudinal Patient Database, 2016)</w:t>
        </w:r>
        <w:r w:rsidR="0000404E">
          <w:rPr>
            <w:webHidden/>
          </w:rPr>
          <w:tab/>
        </w:r>
        <w:r w:rsidR="0000404E">
          <w:rPr>
            <w:webHidden/>
          </w:rPr>
          <w:fldChar w:fldCharType="begin"/>
        </w:r>
        <w:r w:rsidR="0000404E">
          <w:rPr>
            <w:webHidden/>
          </w:rPr>
          <w:instrText xml:space="preserve"> PAGEREF _Toc473150687 \h </w:instrText>
        </w:r>
        <w:r w:rsidR="0000404E">
          <w:rPr>
            <w:webHidden/>
          </w:rPr>
        </w:r>
        <w:r w:rsidR="0000404E">
          <w:rPr>
            <w:webHidden/>
          </w:rPr>
          <w:fldChar w:fldCharType="separate"/>
        </w:r>
        <w:r w:rsidR="00A83C7B">
          <w:rPr>
            <w:webHidden/>
          </w:rPr>
          <w:t>32</w:t>
        </w:r>
        <w:r w:rsidR="0000404E">
          <w:rPr>
            <w:webHidden/>
          </w:rPr>
          <w:fldChar w:fldCharType="end"/>
        </w:r>
      </w:hyperlink>
    </w:p>
    <w:p w14:paraId="5149EF0E"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88" w:history="1">
        <w:r w:rsidR="0000404E" w:rsidRPr="00E82738">
          <w:rPr>
            <w:rStyle w:val="Hyperlink"/>
            <w:rFonts w:cstheme="minorHAnsi"/>
          </w:rPr>
          <w:t>Tabella 3 - Pazienti con diagnosi di gotta e trattati con XOI (IMS-Health LPD longitudinal Patient Database, 2016)</w:t>
        </w:r>
        <w:r w:rsidR="0000404E">
          <w:rPr>
            <w:webHidden/>
          </w:rPr>
          <w:tab/>
        </w:r>
        <w:r w:rsidR="0000404E">
          <w:rPr>
            <w:webHidden/>
          </w:rPr>
          <w:fldChar w:fldCharType="begin"/>
        </w:r>
        <w:r w:rsidR="0000404E">
          <w:rPr>
            <w:webHidden/>
          </w:rPr>
          <w:instrText xml:space="preserve"> PAGEREF _Toc473150688 \h </w:instrText>
        </w:r>
        <w:r w:rsidR="0000404E">
          <w:rPr>
            <w:webHidden/>
          </w:rPr>
        </w:r>
        <w:r w:rsidR="0000404E">
          <w:rPr>
            <w:webHidden/>
          </w:rPr>
          <w:fldChar w:fldCharType="separate"/>
        </w:r>
        <w:r w:rsidR="00A83C7B">
          <w:rPr>
            <w:webHidden/>
          </w:rPr>
          <w:t>32</w:t>
        </w:r>
        <w:r w:rsidR="0000404E">
          <w:rPr>
            <w:webHidden/>
          </w:rPr>
          <w:fldChar w:fldCharType="end"/>
        </w:r>
      </w:hyperlink>
    </w:p>
    <w:p w14:paraId="1C64BE23"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89" w:history="1">
        <w:r w:rsidR="0000404E" w:rsidRPr="00E82738">
          <w:rPr>
            <w:rStyle w:val="Hyperlink"/>
            <w:rFonts w:cstheme="minorHAnsi"/>
          </w:rPr>
          <w:t>Tabella 4 - Pazienti gottosi trattati con XOI e target uricemico (IMS-Health LPD longitudinal Patient Database, 2016)</w:t>
        </w:r>
        <w:r w:rsidR="0000404E">
          <w:rPr>
            <w:webHidden/>
          </w:rPr>
          <w:tab/>
        </w:r>
        <w:r w:rsidR="0000404E">
          <w:rPr>
            <w:webHidden/>
          </w:rPr>
          <w:fldChar w:fldCharType="begin"/>
        </w:r>
        <w:r w:rsidR="0000404E">
          <w:rPr>
            <w:webHidden/>
          </w:rPr>
          <w:instrText xml:space="preserve"> PAGEREF _Toc473150689 \h </w:instrText>
        </w:r>
        <w:r w:rsidR="0000404E">
          <w:rPr>
            <w:webHidden/>
          </w:rPr>
        </w:r>
        <w:r w:rsidR="0000404E">
          <w:rPr>
            <w:webHidden/>
          </w:rPr>
          <w:fldChar w:fldCharType="separate"/>
        </w:r>
        <w:r w:rsidR="00A83C7B">
          <w:rPr>
            <w:webHidden/>
          </w:rPr>
          <w:t>33</w:t>
        </w:r>
        <w:r w:rsidR="0000404E">
          <w:rPr>
            <w:webHidden/>
          </w:rPr>
          <w:fldChar w:fldCharType="end"/>
        </w:r>
      </w:hyperlink>
    </w:p>
    <w:p w14:paraId="5FDEF438"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90" w:history="1">
        <w:r w:rsidR="0000404E" w:rsidRPr="00E82738">
          <w:rPr>
            <w:rStyle w:val="Hyperlink"/>
            <w:rFonts w:cstheme="minorHAnsi"/>
          </w:rPr>
          <w:t>Tabella 5 - Pazienti trattati con XOI e target uricemico (IMS-Health LPD longitudinal Patient Database, 2016)</w:t>
        </w:r>
        <w:r w:rsidR="0000404E">
          <w:rPr>
            <w:webHidden/>
          </w:rPr>
          <w:tab/>
        </w:r>
        <w:r w:rsidR="0000404E">
          <w:rPr>
            <w:webHidden/>
          </w:rPr>
          <w:fldChar w:fldCharType="begin"/>
        </w:r>
        <w:r w:rsidR="0000404E">
          <w:rPr>
            <w:webHidden/>
          </w:rPr>
          <w:instrText xml:space="preserve"> PAGEREF _Toc473150690 \h </w:instrText>
        </w:r>
        <w:r w:rsidR="0000404E">
          <w:rPr>
            <w:webHidden/>
          </w:rPr>
        </w:r>
        <w:r w:rsidR="0000404E">
          <w:rPr>
            <w:webHidden/>
          </w:rPr>
          <w:fldChar w:fldCharType="separate"/>
        </w:r>
        <w:r w:rsidR="00A83C7B">
          <w:rPr>
            <w:webHidden/>
          </w:rPr>
          <w:t>33</w:t>
        </w:r>
        <w:r w:rsidR="0000404E">
          <w:rPr>
            <w:webHidden/>
          </w:rPr>
          <w:fldChar w:fldCharType="end"/>
        </w:r>
      </w:hyperlink>
    </w:p>
    <w:p w14:paraId="074BE855"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91" w:history="1">
        <w:r w:rsidR="0000404E" w:rsidRPr="00E82738">
          <w:rPr>
            <w:rStyle w:val="Hyperlink"/>
            <w:rFonts w:cstheme="minorHAnsi"/>
          </w:rPr>
          <w:t xml:space="preserve">Tabella 6 </w:t>
        </w:r>
        <w:r w:rsidR="0000404E" w:rsidRPr="00E82738">
          <w:rPr>
            <w:rStyle w:val="Hyperlink"/>
            <w:rFonts w:cstheme="minorHAnsi"/>
          </w:rPr>
          <w:t>–</w:t>
        </w:r>
        <w:r w:rsidR="0000404E" w:rsidRPr="00E82738">
          <w:rPr>
            <w:rStyle w:val="Hyperlink"/>
            <w:rFonts w:cstheme="minorHAnsi"/>
          </w:rPr>
          <w:t xml:space="preserve"> Popolazione eleggibile a Zurampic</w:t>
        </w:r>
        <w:r w:rsidR="0000404E">
          <w:rPr>
            <w:webHidden/>
          </w:rPr>
          <w:tab/>
        </w:r>
        <w:r w:rsidR="0000404E">
          <w:rPr>
            <w:webHidden/>
          </w:rPr>
          <w:fldChar w:fldCharType="begin"/>
        </w:r>
        <w:r w:rsidR="0000404E">
          <w:rPr>
            <w:webHidden/>
          </w:rPr>
          <w:instrText xml:space="preserve"> PAGEREF _Toc473150691 \h </w:instrText>
        </w:r>
        <w:r w:rsidR="0000404E">
          <w:rPr>
            <w:webHidden/>
          </w:rPr>
        </w:r>
        <w:r w:rsidR="0000404E">
          <w:rPr>
            <w:webHidden/>
          </w:rPr>
          <w:fldChar w:fldCharType="separate"/>
        </w:r>
        <w:r w:rsidR="00A83C7B">
          <w:rPr>
            <w:webHidden/>
          </w:rPr>
          <w:t>34</w:t>
        </w:r>
        <w:r w:rsidR="0000404E">
          <w:rPr>
            <w:webHidden/>
          </w:rPr>
          <w:fldChar w:fldCharType="end"/>
        </w:r>
      </w:hyperlink>
    </w:p>
    <w:p w14:paraId="061CAC25"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92" w:history="1">
        <w:r w:rsidR="0000404E" w:rsidRPr="00E82738">
          <w:rPr>
            <w:rStyle w:val="Hyperlink"/>
            <w:rFonts w:cstheme="minorHAnsi"/>
          </w:rPr>
          <w:t>Tabella 7 - Caratteristiche dei pazienti con nuova diagnosi di gotta e controlli (Trifir</w:t>
        </w:r>
        <w:r w:rsidR="0000404E" w:rsidRPr="00E82738">
          <w:rPr>
            <w:rStyle w:val="Hyperlink"/>
            <w:rFonts w:cstheme="minorHAnsi"/>
          </w:rPr>
          <w:t>ò</w:t>
        </w:r>
        <w:r w:rsidR="0000404E" w:rsidRPr="00E82738">
          <w:rPr>
            <w:rStyle w:val="Hyperlink"/>
            <w:rFonts w:cstheme="minorHAnsi"/>
          </w:rPr>
          <w:t>, 2012)</w:t>
        </w:r>
        <w:r w:rsidR="0000404E">
          <w:rPr>
            <w:webHidden/>
          </w:rPr>
          <w:tab/>
        </w:r>
        <w:r w:rsidR="0000404E">
          <w:rPr>
            <w:webHidden/>
          </w:rPr>
          <w:fldChar w:fldCharType="begin"/>
        </w:r>
        <w:r w:rsidR="0000404E">
          <w:rPr>
            <w:webHidden/>
          </w:rPr>
          <w:instrText xml:space="preserve"> PAGEREF _Toc473150692 \h </w:instrText>
        </w:r>
        <w:r w:rsidR="0000404E">
          <w:rPr>
            <w:webHidden/>
          </w:rPr>
        </w:r>
        <w:r w:rsidR="0000404E">
          <w:rPr>
            <w:webHidden/>
          </w:rPr>
          <w:fldChar w:fldCharType="separate"/>
        </w:r>
        <w:r w:rsidR="00A83C7B">
          <w:rPr>
            <w:webHidden/>
          </w:rPr>
          <w:t>40</w:t>
        </w:r>
        <w:r w:rsidR="0000404E">
          <w:rPr>
            <w:webHidden/>
          </w:rPr>
          <w:fldChar w:fldCharType="end"/>
        </w:r>
      </w:hyperlink>
    </w:p>
    <w:p w14:paraId="1504C1D0"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93" w:history="1">
        <w:r w:rsidR="0000404E" w:rsidRPr="00E82738">
          <w:rPr>
            <w:rStyle w:val="Hyperlink"/>
            <w:rFonts w:cstheme="minorHAnsi"/>
          </w:rPr>
          <w:t xml:space="preserve">Tabella 8 </w:t>
        </w:r>
        <w:r w:rsidR="0000404E" w:rsidRPr="00E82738">
          <w:rPr>
            <w:rStyle w:val="Hyperlink"/>
            <w:rFonts w:cstheme="minorHAnsi"/>
          </w:rPr>
          <w:t>–</w:t>
        </w:r>
        <w:r w:rsidR="0000404E" w:rsidRPr="00E82738">
          <w:rPr>
            <w:rStyle w:val="Hyperlink"/>
            <w:rFonts w:cstheme="minorHAnsi"/>
          </w:rPr>
          <w:t xml:space="preserve"> Proporzione di soggetti con livelli sUA &lt; 5 mg/dl al Mese 6 (Analisi LOCF </w:t>
        </w:r>
        <w:r w:rsidR="0000404E" w:rsidRPr="00E82738">
          <w:rPr>
            <w:rStyle w:val="Hyperlink"/>
            <w:rFonts w:cstheme="minorHAnsi"/>
          </w:rPr>
          <w:t>–</w:t>
        </w:r>
        <w:r w:rsidR="0000404E" w:rsidRPr="00E82738">
          <w:rPr>
            <w:rStyle w:val="Hyperlink"/>
            <w:rFonts w:cstheme="minorHAnsi"/>
          </w:rPr>
          <w:t xml:space="preserve"> popolazione ITT) (CSR 304, 2014)</w:t>
        </w:r>
        <w:r w:rsidR="0000404E">
          <w:rPr>
            <w:webHidden/>
          </w:rPr>
          <w:tab/>
        </w:r>
        <w:r w:rsidR="0000404E">
          <w:rPr>
            <w:webHidden/>
          </w:rPr>
          <w:fldChar w:fldCharType="begin"/>
        </w:r>
        <w:r w:rsidR="0000404E">
          <w:rPr>
            <w:webHidden/>
          </w:rPr>
          <w:instrText xml:space="preserve"> PAGEREF _Toc473150693 \h </w:instrText>
        </w:r>
        <w:r w:rsidR="0000404E">
          <w:rPr>
            <w:webHidden/>
          </w:rPr>
        </w:r>
        <w:r w:rsidR="0000404E">
          <w:rPr>
            <w:webHidden/>
          </w:rPr>
          <w:fldChar w:fldCharType="separate"/>
        </w:r>
        <w:r w:rsidR="00A83C7B">
          <w:rPr>
            <w:webHidden/>
          </w:rPr>
          <w:t>56</w:t>
        </w:r>
        <w:r w:rsidR="0000404E">
          <w:rPr>
            <w:webHidden/>
          </w:rPr>
          <w:fldChar w:fldCharType="end"/>
        </w:r>
      </w:hyperlink>
    </w:p>
    <w:p w14:paraId="728C0F24"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94" w:history="1">
        <w:r w:rsidR="0000404E" w:rsidRPr="00E82738">
          <w:rPr>
            <w:rStyle w:val="Hyperlink"/>
            <w:rFonts w:cstheme="minorHAnsi"/>
          </w:rPr>
          <w:t>Tabella 9</w:t>
        </w:r>
        <w:r w:rsidR="0000404E" w:rsidRPr="00E82738">
          <w:rPr>
            <w:rStyle w:val="Hyperlink"/>
            <w:rFonts w:cstheme="minorHAnsi"/>
            <w:lang w:eastAsia="en-GB"/>
          </w:rPr>
          <w:t xml:space="preserve">  sUA responders </w:t>
        </w:r>
        <w:r w:rsidR="0000404E" w:rsidRPr="00E82738">
          <w:rPr>
            <w:rStyle w:val="Hyperlink"/>
            <w:rFonts w:cstheme="minorHAnsi"/>
            <w:lang w:eastAsia="en-GB"/>
          </w:rPr>
          <w:t>–</w:t>
        </w:r>
        <w:r w:rsidR="0000404E" w:rsidRPr="00E82738">
          <w:rPr>
            <w:rStyle w:val="Hyperlink"/>
            <w:rFonts w:cstheme="minorHAnsi"/>
            <w:lang w:eastAsia="en-GB"/>
          </w:rPr>
          <w:t xml:space="preserve"> non-responder imputation </w:t>
        </w:r>
        <w:r w:rsidR="0000404E" w:rsidRPr="00E82738">
          <w:rPr>
            <w:rStyle w:val="Hyperlink"/>
            <w:rFonts w:cstheme="minorHAnsi"/>
            <w:lang w:eastAsia="en-GB"/>
          </w:rPr>
          <w:t>–</w:t>
        </w:r>
        <w:r w:rsidR="0000404E" w:rsidRPr="00E82738">
          <w:rPr>
            <w:rStyle w:val="Hyperlink"/>
            <w:rFonts w:cstheme="minorHAnsi"/>
            <w:lang w:eastAsia="en-GB"/>
          </w:rPr>
          <w:t xml:space="preserve"> ITT population (adattato da CSR 301, 2014)</w:t>
        </w:r>
        <w:r w:rsidR="0000404E">
          <w:rPr>
            <w:webHidden/>
          </w:rPr>
          <w:tab/>
        </w:r>
        <w:r w:rsidR="0000404E">
          <w:rPr>
            <w:webHidden/>
          </w:rPr>
          <w:fldChar w:fldCharType="begin"/>
        </w:r>
        <w:r w:rsidR="0000404E">
          <w:rPr>
            <w:webHidden/>
          </w:rPr>
          <w:instrText xml:space="preserve"> PAGEREF _Toc473150694 \h </w:instrText>
        </w:r>
        <w:r w:rsidR="0000404E">
          <w:rPr>
            <w:webHidden/>
          </w:rPr>
        </w:r>
        <w:r w:rsidR="0000404E">
          <w:rPr>
            <w:webHidden/>
          </w:rPr>
          <w:fldChar w:fldCharType="separate"/>
        </w:r>
        <w:r w:rsidR="00A83C7B">
          <w:rPr>
            <w:webHidden/>
          </w:rPr>
          <w:t>74</w:t>
        </w:r>
        <w:r w:rsidR="0000404E">
          <w:rPr>
            <w:webHidden/>
          </w:rPr>
          <w:fldChar w:fldCharType="end"/>
        </w:r>
      </w:hyperlink>
    </w:p>
    <w:p w14:paraId="022DDC55"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95" w:history="1">
        <w:r w:rsidR="0000404E" w:rsidRPr="00E82738">
          <w:rPr>
            <w:rStyle w:val="Hyperlink"/>
            <w:rFonts w:cstheme="minorHAnsi"/>
          </w:rPr>
          <w:t xml:space="preserve">Tabella 10 - </w:t>
        </w:r>
        <w:r w:rsidR="0000404E" w:rsidRPr="00E82738">
          <w:rPr>
            <w:rStyle w:val="Hyperlink"/>
            <w:rFonts w:cstheme="minorHAnsi"/>
            <w:lang w:eastAsia="en-GB"/>
          </w:rPr>
          <w:t xml:space="preserve"> sUA responders </w:t>
        </w:r>
        <w:r w:rsidR="0000404E" w:rsidRPr="00E82738">
          <w:rPr>
            <w:rStyle w:val="Hyperlink"/>
            <w:rFonts w:cstheme="minorHAnsi"/>
            <w:lang w:eastAsia="en-GB"/>
          </w:rPr>
          <w:t>–</w:t>
        </w:r>
        <w:r w:rsidR="0000404E" w:rsidRPr="00E82738">
          <w:rPr>
            <w:rStyle w:val="Hyperlink"/>
            <w:rFonts w:cstheme="minorHAnsi"/>
            <w:lang w:eastAsia="en-GB"/>
          </w:rPr>
          <w:t xml:space="preserve"> non-responder imputation </w:t>
        </w:r>
        <w:r w:rsidR="0000404E" w:rsidRPr="00E82738">
          <w:rPr>
            <w:rStyle w:val="Hyperlink"/>
            <w:rFonts w:cstheme="minorHAnsi"/>
            <w:lang w:eastAsia="en-GB"/>
          </w:rPr>
          <w:t>–</w:t>
        </w:r>
        <w:r w:rsidR="0000404E" w:rsidRPr="00E82738">
          <w:rPr>
            <w:rStyle w:val="Hyperlink"/>
            <w:rFonts w:cstheme="minorHAnsi"/>
            <w:lang w:eastAsia="en-GB"/>
          </w:rPr>
          <w:t xml:space="preserve"> ITT population (adattato CSR 302, 2014)</w:t>
        </w:r>
        <w:r w:rsidR="0000404E">
          <w:rPr>
            <w:webHidden/>
          </w:rPr>
          <w:tab/>
        </w:r>
        <w:r w:rsidR="0000404E">
          <w:rPr>
            <w:webHidden/>
          </w:rPr>
          <w:fldChar w:fldCharType="begin"/>
        </w:r>
        <w:r w:rsidR="0000404E">
          <w:rPr>
            <w:webHidden/>
          </w:rPr>
          <w:instrText xml:space="preserve"> PAGEREF _Toc473150695 \h </w:instrText>
        </w:r>
        <w:r w:rsidR="0000404E">
          <w:rPr>
            <w:webHidden/>
          </w:rPr>
        </w:r>
        <w:r w:rsidR="0000404E">
          <w:rPr>
            <w:webHidden/>
          </w:rPr>
          <w:fldChar w:fldCharType="separate"/>
        </w:r>
        <w:r w:rsidR="00A83C7B">
          <w:rPr>
            <w:webHidden/>
          </w:rPr>
          <w:t>76</w:t>
        </w:r>
        <w:r w:rsidR="0000404E">
          <w:rPr>
            <w:webHidden/>
          </w:rPr>
          <w:fldChar w:fldCharType="end"/>
        </w:r>
      </w:hyperlink>
    </w:p>
    <w:p w14:paraId="346A4CEC"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96" w:history="1">
        <w:r w:rsidR="0000404E" w:rsidRPr="00E82738">
          <w:rPr>
            <w:rStyle w:val="Hyperlink"/>
            <w:rFonts w:cstheme="minorHAnsi"/>
          </w:rPr>
          <w:t xml:space="preserve">Tabella 11 </w:t>
        </w:r>
        <w:r w:rsidR="0000404E" w:rsidRPr="00E82738">
          <w:rPr>
            <w:rStyle w:val="Hyperlink"/>
            <w:rFonts w:cstheme="minorHAnsi"/>
            <w:lang w:val="en-GB"/>
          </w:rPr>
          <w:t xml:space="preserve">AEs nel CLEAR 1 </w:t>
        </w:r>
        <w:r w:rsidR="0000404E" w:rsidRPr="00E82738">
          <w:rPr>
            <w:rStyle w:val="Hyperlink"/>
            <w:rFonts w:cstheme="minorHAnsi"/>
            <w:lang w:val="en-GB"/>
          </w:rPr>
          <w:t>–</w:t>
        </w:r>
        <w:r w:rsidR="0000404E" w:rsidRPr="00E82738">
          <w:rPr>
            <w:rStyle w:val="Hyperlink"/>
            <w:rFonts w:cstheme="minorHAnsi"/>
            <w:lang w:val="en-GB"/>
          </w:rPr>
          <w:t xml:space="preserve"> safety population (CSR 301, 2014)</w:t>
        </w:r>
        <w:r w:rsidR="0000404E">
          <w:rPr>
            <w:webHidden/>
          </w:rPr>
          <w:tab/>
        </w:r>
        <w:r w:rsidR="0000404E">
          <w:rPr>
            <w:webHidden/>
          </w:rPr>
          <w:fldChar w:fldCharType="begin"/>
        </w:r>
        <w:r w:rsidR="0000404E">
          <w:rPr>
            <w:webHidden/>
          </w:rPr>
          <w:instrText xml:space="preserve"> PAGEREF _Toc473150696 \h </w:instrText>
        </w:r>
        <w:r w:rsidR="0000404E">
          <w:rPr>
            <w:webHidden/>
          </w:rPr>
        </w:r>
        <w:r w:rsidR="0000404E">
          <w:rPr>
            <w:webHidden/>
          </w:rPr>
          <w:fldChar w:fldCharType="separate"/>
        </w:r>
        <w:r w:rsidR="00A83C7B">
          <w:rPr>
            <w:webHidden/>
          </w:rPr>
          <w:t>79</w:t>
        </w:r>
        <w:r w:rsidR="0000404E">
          <w:rPr>
            <w:webHidden/>
          </w:rPr>
          <w:fldChar w:fldCharType="end"/>
        </w:r>
      </w:hyperlink>
    </w:p>
    <w:p w14:paraId="6D15BB5F"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97" w:history="1">
        <w:r w:rsidR="0000404E" w:rsidRPr="00E82738">
          <w:rPr>
            <w:rStyle w:val="Hyperlink"/>
            <w:rFonts w:cstheme="minorHAnsi"/>
          </w:rPr>
          <w:t xml:space="preserve">Tabella 12 - </w:t>
        </w:r>
        <w:r w:rsidR="0000404E" w:rsidRPr="00E82738">
          <w:rPr>
            <w:rStyle w:val="Hyperlink"/>
            <w:rFonts w:cstheme="minorHAnsi"/>
            <w:lang w:val="en-GB"/>
          </w:rPr>
          <w:t xml:space="preserve">AEs in CLEAR 2 </w:t>
        </w:r>
        <w:r w:rsidR="0000404E" w:rsidRPr="00E82738">
          <w:rPr>
            <w:rStyle w:val="Hyperlink"/>
            <w:rFonts w:cstheme="minorHAnsi"/>
            <w:lang w:val="en-GB"/>
          </w:rPr>
          <w:t>–</w:t>
        </w:r>
        <w:r w:rsidR="0000404E" w:rsidRPr="00E82738">
          <w:rPr>
            <w:rStyle w:val="Hyperlink"/>
            <w:rFonts w:cstheme="minorHAnsi"/>
            <w:lang w:val="en-GB"/>
          </w:rPr>
          <w:t xml:space="preserve"> safety population (CSR 302, 2014)</w:t>
        </w:r>
        <w:r w:rsidR="0000404E">
          <w:rPr>
            <w:webHidden/>
          </w:rPr>
          <w:tab/>
        </w:r>
        <w:r w:rsidR="0000404E">
          <w:rPr>
            <w:webHidden/>
          </w:rPr>
          <w:fldChar w:fldCharType="begin"/>
        </w:r>
        <w:r w:rsidR="0000404E">
          <w:rPr>
            <w:webHidden/>
          </w:rPr>
          <w:instrText xml:space="preserve"> PAGEREF _Toc473150697 \h </w:instrText>
        </w:r>
        <w:r w:rsidR="0000404E">
          <w:rPr>
            <w:webHidden/>
          </w:rPr>
        </w:r>
        <w:r w:rsidR="0000404E">
          <w:rPr>
            <w:webHidden/>
          </w:rPr>
          <w:fldChar w:fldCharType="separate"/>
        </w:r>
        <w:r w:rsidR="00A83C7B">
          <w:rPr>
            <w:webHidden/>
          </w:rPr>
          <w:t>80</w:t>
        </w:r>
        <w:r w:rsidR="0000404E">
          <w:rPr>
            <w:webHidden/>
          </w:rPr>
          <w:fldChar w:fldCharType="end"/>
        </w:r>
      </w:hyperlink>
    </w:p>
    <w:p w14:paraId="75C220D9"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98" w:history="1">
        <w:r w:rsidR="0000404E" w:rsidRPr="00E82738">
          <w:rPr>
            <w:rStyle w:val="Hyperlink"/>
            <w:rFonts w:cstheme="minorHAnsi"/>
          </w:rPr>
          <w:t>Tabella 13 - Dati demografici al basale - studio CRYSTAL (adattato da CSR 304, 2014)</w:t>
        </w:r>
        <w:r w:rsidR="0000404E">
          <w:rPr>
            <w:webHidden/>
          </w:rPr>
          <w:tab/>
        </w:r>
        <w:r w:rsidR="0000404E">
          <w:rPr>
            <w:webHidden/>
          </w:rPr>
          <w:fldChar w:fldCharType="begin"/>
        </w:r>
        <w:r w:rsidR="0000404E">
          <w:rPr>
            <w:webHidden/>
          </w:rPr>
          <w:instrText xml:space="preserve"> PAGEREF _Toc473150698 \h </w:instrText>
        </w:r>
        <w:r w:rsidR="0000404E">
          <w:rPr>
            <w:webHidden/>
          </w:rPr>
        </w:r>
        <w:r w:rsidR="0000404E">
          <w:rPr>
            <w:webHidden/>
          </w:rPr>
          <w:fldChar w:fldCharType="separate"/>
        </w:r>
        <w:r w:rsidR="00A83C7B">
          <w:rPr>
            <w:webHidden/>
          </w:rPr>
          <w:t>85</w:t>
        </w:r>
        <w:r w:rsidR="0000404E">
          <w:rPr>
            <w:webHidden/>
          </w:rPr>
          <w:fldChar w:fldCharType="end"/>
        </w:r>
      </w:hyperlink>
    </w:p>
    <w:p w14:paraId="33730FE8"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699" w:history="1">
        <w:r w:rsidR="0000404E" w:rsidRPr="00E82738">
          <w:rPr>
            <w:rStyle w:val="Hyperlink"/>
            <w:rFonts w:cstheme="minorHAnsi"/>
          </w:rPr>
          <w:t xml:space="preserve">Tabella 14 </w:t>
        </w:r>
        <w:r w:rsidR="0000404E" w:rsidRPr="00E82738">
          <w:rPr>
            <w:rStyle w:val="Hyperlink"/>
            <w:rFonts w:cstheme="minorHAnsi"/>
          </w:rPr>
          <w:t>–</w:t>
        </w:r>
        <w:r w:rsidR="0000404E" w:rsidRPr="00E82738">
          <w:rPr>
            <w:rStyle w:val="Hyperlink"/>
            <w:rFonts w:cstheme="minorHAnsi"/>
          </w:rPr>
          <w:t xml:space="preserve"> Proporzione di soggetti con livelli sUA &lt; 5 mg/dl al Mese 6 (Analisi LOCF </w:t>
        </w:r>
        <w:r w:rsidR="0000404E" w:rsidRPr="00E82738">
          <w:rPr>
            <w:rStyle w:val="Hyperlink"/>
            <w:rFonts w:cstheme="minorHAnsi"/>
          </w:rPr>
          <w:t>–</w:t>
        </w:r>
        <w:r w:rsidR="0000404E" w:rsidRPr="00E82738">
          <w:rPr>
            <w:rStyle w:val="Hyperlink"/>
            <w:rFonts w:cstheme="minorHAnsi"/>
          </w:rPr>
          <w:t xml:space="preserve"> popolazione ITT) (adattato da CSR 304, 2014)</w:t>
        </w:r>
        <w:r w:rsidR="0000404E">
          <w:rPr>
            <w:webHidden/>
          </w:rPr>
          <w:tab/>
        </w:r>
        <w:r w:rsidR="0000404E">
          <w:rPr>
            <w:webHidden/>
          </w:rPr>
          <w:fldChar w:fldCharType="begin"/>
        </w:r>
        <w:r w:rsidR="0000404E">
          <w:rPr>
            <w:webHidden/>
          </w:rPr>
          <w:instrText xml:space="preserve"> PAGEREF _Toc473150699 \h </w:instrText>
        </w:r>
        <w:r w:rsidR="0000404E">
          <w:rPr>
            <w:webHidden/>
          </w:rPr>
        </w:r>
        <w:r w:rsidR="0000404E">
          <w:rPr>
            <w:webHidden/>
          </w:rPr>
          <w:fldChar w:fldCharType="separate"/>
        </w:r>
        <w:r w:rsidR="00A83C7B">
          <w:rPr>
            <w:webHidden/>
          </w:rPr>
          <w:t>86</w:t>
        </w:r>
        <w:r w:rsidR="0000404E">
          <w:rPr>
            <w:webHidden/>
          </w:rPr>
          <w:fldChar w:fldCharType="end"/>
        </w:r>
      </w:hyperlink>
    </w:p>
    <w:p w14:paraId="6036007C"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00" w:history="1">
        <w:r w:rsidR="0000404E" w:rsidRPr="00E82738">
          <w:rPr>
            <w:rStyle w:val="Hyperlink"/>
            <w:rFonts w:cstheme="minorHAnsi"/>
          </w:rPr>
          <w:t xml:space="preserve">Tabella 15 - Proporzione di soggetti con livelli sUA &lt; 5 mg/dl ai Mesi 4, 5 e 6 (non-responder imputation </w:t>
        </w:r>
        <w:r w:rsidR="0000404E" w:rsidRPr="00E82738">
          <w:rPr>
            <w:rStyle w:val="Hyperlink"/>
            <w:rFonts w:cstheme="minorHAnsi"/>
          </w:rPr>
          <w:t>–</w:t>
        </w:r>
        <w:r w:rsidR="0000404E" w:rsidRPr="00E82738">
          <w:rPr>
            <w:rStyle w:val="Hyperlink"/>
            <w:rFonts w:cstheme="minorHAnsi"/>
          </w:rPr>
          <w:t xml:space="preserve"> popolazione ITT) (adattato da CSR 304, 2014)</w:t>
        </w:r>
        <w:r w:rsidR="0000404E">
          <w:rPr>
            <w:webHidden/>
          </w:rPr>
          <w:tab/>
        </w:r>
        <w:r w:rsidR="0000404E">
          <w:rPr>
            <w:webHidden/>
          </w:rPr>
          <w:fldChar w:fldCharType="begin"/>
        </w:r>
        <w:r w:rsidR="0000404E">
          <w:rPr>
            <w:webHidden/>
          </w:rPr>
          <w:instrText xml:space="preserve"> PAGEREF _Toc473150700 \h </w:instrText>
        </w:r>
        <w:r w:rsidR="0000404E">
          <w:rPr>
            <w:webHidden/>
          </w:rPr>
        </w:r>
        <w:r w:rsidR="0000404E">
          <w:rPr>
            <w:webHidden/>
          </w:rPr>
          <w:fldChar w:fldCharType="separate"/>
        </w:r>
        <w:r w:rsidR="00A83C7B">
          <w:rPr>
            <w:webHidden/>
          </w:rPr>
          <w:t>86</w:t>
        </w:r>
        <w:r w:rsidR="0000404E">
          <w:rPr>
            <w:webHidden/>
          </w:rPr>
          <w:fldChar w:fldCharType="end"/>
        </w:r>
      </w:hyperlink>
    </w:p>
    <w:p w14:paraId="12BD80A6"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01" w:history="1">
        <w:r w:rsidR="0000404E" w:rsidRPr="00E82738">
          <w:rPr>
            <w:rStyle w:val="Hyperlink"/>
            <w:rFonts w:cstheme="minorHAnsi"/>
          </w:rPr>
          <w:t>Tabella 16</w:t>
        </w:r>
        <w:r w:rsidR="0000404E" w:rsidRPr="00E82738">
          <w:rPr>
            <w:rStyle w:val="Hyperlink"/>
            <w:rFonts w:cstheme="minorHAnsi"/>
            <w:lang w:val="en-GB"/>
          </w:rPr>
          <w:t xml:space="preserve"> - AEs nel CRYSTAL </w:t>
        </w:r>
        <w:r w:rsidR="0000404E" w:rsidRPr="00E82738">
          <w:rPr>
            <w:rStyle w:val="Hyperlink"/>
            <w:rFonts w:cstheme="minorHAnsi"/>
            <w:lang w:val="en-GB"/>
          </w:rPr>
          <w:t>–</w:t>
        </w:r>
        <w:r w:rsidR="0000404E" w:rsidRPr="00E82738">
          <w:rPr>
            <w:rStyle w:val="Hyperlink"/>
            <w:rFonts w:cstheme="minorHAnsi"/>
            <w:lang w:val="en-GB"/>
          </w:rPr>
          <w:t xml:space="preserve"> safety population (CSR 304, 2014)</w:t>
        </w:r>
        <w:r w:rsidR="0000404E">
          <w:rPr>
            <w:webHidden/>
          </w:rPr>
          <w:tab/>
        </w:r>
        <w:r w:rsidR="0000404E">
          <w:rPr>
            <w:webHidden/>
          </w:rPr>
          <w:fldChar w:fldCharType="begin"/>
        </w:r>
        <w:r w:rsidR="0000404E">
          <w:rPr>
            <w:webHidden/>
          </w:rPr>
          <w:instrText xml:space="preserve"> PAGEREF _Toc473150701 \h </w:instrText>
        </w:r>
        <w:r w:rsidR="0000404E">
          <w:rPr>
            <w:webHidden/>
          </w:rPr>
        </w:r>
        <w:r w:rsidR="0000404E">
          <w:rPr>
            <w:webHidden/>
          </w:rPr>
          <w:fldChar w:fldCharType="separate"/>
        </w:r>
        <w:r w:rsidR="00A83C7B">
          <w:rPr>
            <w:webHidden/>
          </w:rPr>
          <w:t>93</w:t>
        </w:r>
        <w:r w:rsidR="0000404E">
          <w:rPr>
            <w:webHidden/>
          </w:rPr>
          <w:fldChar w:fldCharType="end"/>
        </w:r>
      </w:hyperlink>
    </w:p>
    <w:p w14:paraId="0AFD0D7D"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02" w:history="1">
        <w:r w:rsidR="0000404E" w:rsidRPr="00E82738">
          <w:rPr>
            <w:rStyle w:val="Hyperlink"/>
            <w:rFonts w:cstheme="minorHAnsi"/>
          </w:rPr>
          <w:t>Tabella 17 - TEAEs renali - studio CRYSTAL (adattata da CSR 304, 2014)</w:t>
        </w:r>
        <w:r w:rsidR="0000404E">
          <w:rPr>
            <w:webHidden/>
          </w:rPr>
          <w:tab/>
        </w:r>
        <w:r w:rsidR="0000404E">
          <w:rPr>
            <w:webHidden/>
          </w:rPr>
          <w:fldChar w:fldCharType="begin"/>
        </w:r>
        <w:r w:rsidR="0000404E">
          <w:rPr>
            <w:webHidden/>
          </w:rPr>
          <w:instrText xml:space="preserve"> PAGEREF _Toc473150702 \h </w:instrText>
        </w:r>
        <w:r w:rsidR="0000404E">
          <w:rPr>
            <w:webHidden/>
          </w:rPr>
        </w:r>
        <w:r w:rsidR="0000404E">
          <w:rPr>
            <w:webHidden/>
          </w:rPr>
          <w:fldChar w:fldCharType="separate"/>
        </w:r>
        <w:r w:rsidR="00A83C7B">
          <w:rPr>
            <w:webHidden/>
          </w:rPr>
          <w:t>94</w:t>
        </w:r>
        <w:r w:rsidR="0000404E">
          <w:rPr>
            <w:webHidden/>
          </w:rPr>
          <w:fldChar w:fldCharType="end"/>
        </w:r>
      </w:hyperlink>
    </w:p>
    <w:p w14:paraId="28FB3C31"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03" w:history="1">
        <w:r w:rsidR="0000404E" w:rsidRPr="00E82738">
          <w:rPr>
            <w:rStyle w:val="Hyperlink"/>
            <w:rFonts w:cstheme="minorHAnsi"/>
          </w:rPr>
          <w:t>Tabella 18 - Studi CLEAR caratteristiche demografiche al basale (adattata da CSR 301, 2014 (109) e CSR 302, 2014 (110))</w:t>
        </w:r>
        <w:r w:rsidR="0000404E">
          <w:rPr>
            <w:webHidden/>
          </w:rPr>
          <w:tab/>
        </w:r>
        <w:r w:rsidR="0000404E">
          <w:rPr>
            <w:webHidden/>
          </w:rPr>
          <w:fldChar w:fldCharType="begin"/>
        </w:r>
        <w:r w:rsidR="0000404E">
          <w:rPr>
            <w:webHidden/>
          </w:rPr>
          <w:instrText xml:space="preserve"> PAGEREF _Toc473150703 \h </w:instrText>
        </w:r>
        <w:r w:rsidR="0000404E">
          <w:rPr>
            <w:webHidden/>
          </w:rPr>
        </w:r>
        <w:r w:rsidR="0000404E">
          <w:rPr>
            <w:webHidden/>
          </w:rPr>
          <w:fldChar w:fldCharType="separate"/>
        </w:r>
        <w:r w:rsidR="00A83C7B">
          <w:rPr>
            <w:webHidden/>
          </w:rPr>
          <w:t>97</w:t>
        </w:r>
        <w:r w:rsidR="0000404E">
          <w:rPr>
            <w:webHidden/>
          </w:rPr>
          <w:fldChar w:fldCharType="end"/>
        </w:r>
      </w:hyperlink>
    </w:p>
    <w:p w14:paraId="4940FE17"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04" w:history="1">
        <w:r w:rsidR="0000404E" w:rsidRPr="00E82738">
          <w:rPr>
            <w:rStyle w:val="Hyperlink"/>
            <w:rFonts w:cstheme="minorHAnsi"/>
          </w:rPr>
          <w:t>Tabella 19 -  Sottogruppi in CLEAR 1 e CLEAR 2 (pooled) (analisi NRI, popolazione ITT) (adattata da CSR 301,2014 e 302, 2014)</w:t>
        </w:r>
        <w:r w:rsidR="0000404E">
          <w:rPr>
            <w:webHidden/>
          </w:rPr>
          <w:tab/>
        </w:r>
        <w:r w:rsidR="0000404E">
          <w:rPr>
            <w:webHidden/>
          </w:rPr>
          <w:fldChar w:fldCharType="begin"/>
        </w:r>
        <w:r w:rsidR="0000404E">
          <w:rPr>
            <w:webHidden/>
          </w:rPr>
          <w:instrText xml:space="preserve"> PAGEREF _Toc473150704 \h </w:instrText>
        </w:r>
        <w:r w:rsidR="0000404E">
          <w:rPr>
            <w:webHidden/>
          </w:rPr>
        </w:r>
        <w:r w:rsidR="0000404E">
          <w:rPr>
            <w:webHidden/>
          </w:rPr>
          <w:fldChar w:fldCharType="separate"/>
        </w:r>
        <w:r w:rsidR="00A83C7B">
          <w:rPr>
            <w:webHidden/>
          </w:rPr>
          <w:t>99</w:t>
        </w:r>
        <w:r w:rsidR="0000404E">
          <w:rPr>
            <w:webHidden/>
          </w:rPr>
          <w:fldChar w:fldCharType="end"/>
        </w:r>
      </w:hyperlink>
    </w:p>
    <w:p w14:paraId="5D608D79"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05" w:history="1">
        <w:r w:rsidR="0000404E" w:rsidRPr="00E82738">
          <w:rPr>
            <w:rStyle w:val="Hyperlink"/>
            <w:rFonts w:cstheme="minorHAnsi"/>
          </w:rPr>
          <w:t xml:space="preserve">Tabella 20 </w:t>
        </w:r>
        <w:r w:rsidR="0000404E" w:rsidRPr="00E82738">
          <w:rPr>
            <w:rStyle w:val="Hyperlink"/>
            <w:rFonts w:cstheme="minorHAnsi"/>
          </w:rPr>
          <w:t>–</w:t>
        </w:r>
        <w:r w:rsidR="0000404E" w:rsidRPr="00E82738">
          <w:rPr>
            <w:rStyle w:val="Hyperlink"/>
            <w:rFonts w:cstheme="minorHAnsi"/>
          </w:rPr>
          <w:t xml:space="preserve"> SUA responders al Mese 6 nel CLEAR 1 e CLEAR 2 (pooled) </w:t>
        </w:r>
        <w:r w:rsidR="0000404E" w:rsidRPr="00E82738">
          <w:rPr>
            <w:rStyle w:val="Hyperlink"/>
            <w:rFonts w:cstheme="minorHAnsi"/>
          </w:rPr>
          <w:t>–</w:t>
        </w:r>
        <w:r w:rsidR="0000404E" w:rsidRPr="00E82738">
          <w:rPr>
            <w:rStyle w:val="Hyperlink"/>
            <w:rFonts w:cstheme="minorHAnsi"/>
          </w:rPr>
          <w:t xml:space="preserve"> et</w:t>
        </w:r>
        <w:r w:rsidR="0000404E" w:rsidRPr="00E82738">
          <w:rPr>
            <w:rStyle w:val="Hyperlink"/>
            <w:rFonts w:cstheme="minorHAnsi"/>
          </w:rPr>
          <w:t>à</w:t>
        </w:r>
        <w:r w:rsidR="0000404E" w:rsidRPr="00E82738">
          <w:rPr>
            <w:rStyle w:val="Hyperlink"/>
            <w:rFonts w:cstheme="minorHAnsi"/>
          </w:rPr>
          <w:t xml:space="preserve"> </w:t>
        </w:r>
        <w:r w:rsidR="0000404E" w:rsidRPr="00E82738">
          <w:rPr>
            <w:rStyle w:val="Hyperlink"/>
            <w:rFonts w:cstheme="minorHAnsi"/>
          </w:rPr>
          <w:t>≥</w:t>
        </w:r>
        <w:r w:rsidR="0000404E" w:rsidRPr="00E82738">
          <w:rPr>
            <w:rStyle w:val="Hyperlink"/>
            <w:rFonts w:cstheme="minorHAnsi"/>
          </w:rPr>
          <w:t>65 anni (analisi NRI, popolazione ITT) (adattata da CSR 301,2014 e 302, 2014)</w:t>
        </w:r>
        <w:r w:rsidR="0000404E">
          <w:rPr>
            <w:webHidden/>
          </w:rPr>
          <w:tab/>
        </w:r>
        <w:r w:rsidR="0000404E">
          <w:rPr>
            <w:webHidden/>
          </w:rPr>
          <w:fldChar w:fldCharType="begin"/>
        </w:r>
        <w:r w:rsidR="0000404E">
          <w:rPr>
            <w:webHidden/>
          </w:rPr>
          <w:instrText xml:space="preserve"> PAGEREF _Toc473150705 \h </w:instrText>
        </w:r>
        <w:r w:rsidR="0000404E">
          <w:rPr>
            <w:webHidden/>
          </w:rPr>
        </w:r>
        <w:r w:rsidR="0000404E">
          <w:rPr>
            <w:webHidden/>
          </w:rPr>
          <w:fldChar w:fldCharType="separate"/>
        </w:r>
        <w:r w:rsidR="00A83C7B">
          <w:rPr>
            <w:webHidden/>
          </w:rPr>
          <w:t>100</w:t>
        </w:r>
        <w:r w:rsidR="0000404E">
          <w:rPr>
            <w:webHidden/>
          </w:rPr>
          <w:fldChar w:fldCharType="end"/>
        </w:r>
      </w:hyperlink>
    </w:p>
    <w:p w14:paraId="5C2041FB"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06" w:history="1">
        <w:r w:rsidR="0000404E" w:rsidRPr="00E82738">
          <w:rPr>
            <w:rStyle w:val="Hyperlink"/>
            <w:rFonts w:cstheme="minorHAnsi"/>
          </w:rPr>
          <w:t xml:space="preserve">Tabella 21 - SUA responders ale Mese 6 nel CLEAR 1 e CLEAR 2 (pooled) </w:t>
        </w:r>
        <w:r w:rsidR="0000404E" w:rsidRPr="00E82738">
          <w:rPr>
            <w:rStyle w:val="Hyperlink"/>
            <w:rFonts w:cstheme="minorHAnsi"/>
          </w:rPr>
          <w:t>–</w:t>
        </w:r>
        <w:r w:rsidR="0000404E" w:rsidRPr="00E82738">
          <w:rPr>
            <w:rStyle w:val="Hyperlink"/>
            <w:rFonts w:cstheme="minorHAnsi"/>
          </w:rPr>
          <w:t xml:space="preserve"> et</w:t>
        </w:r>
        <w:r w:rsidR="0000404E" w:rsidRPr="00E82738">
          <w:rPr>
            <w:rStyle w:val="Hyperlink"/>
            <w:rFonts w:cstheme="minorHAnsi"/>
          </w:rPr>
          <w:t>à</w:t>
        </w:r>
        <w:r w:rsidR="0000404E" w:rsidRPr="00E82738">
          <w:rPr>
            <w:rStyle w:val="Hyperlink"/>
            <w:rFonts w:cstheme="minorHAnsi"/>
          </w:rPr>
          <w:t xml:space="preserve"> &lt;65 anni (analisi NRI, popolazione ITT)  (adattata da CSR 301,2014 e 302, 2014)</w:t>
        </w:r>
        <w:r w:rsidR="0000404E">
          <w:rPr>
            <w:webHidden/>
          </w:rPr>
          <w:tab/>
        </w:r>
        <w:r w:rsidR="0000404E">
          <w:rPr>
            <w:webHidden/>
          </w:rPr>
          <w:fldChar w:fldCharType="begin"/>
        </w:r>
        <w:r w:rsidR="0000404E">
          <w:rPr>
            <w:webHidden/>
          </w:rPr>
          <w:instrText xml:space="preserve"> PAGEREF _Toc473150706 \h </w:instrText>
        </w:r>
        <w:r w:rsidR="0000404E">
          <w:rPr>
            <w:webHidden/>
          </w:rPr>
        </w:r>
        <w:r w:rsidR="0000404E">
          <w:rPr>
            <w:webHidden/>
          </w:rPr>
          <w:fldChar w:fldCharType="separate"/>
        </w:r>
        <w:r w:rsidR="00A83C7B">
          <w:rPr>
            <w:webHidden/>
          </w:rPr>
          <w:t>100</w:t>
        </w:r>
        <w:r w:rsidR="0000404E">
          <w:rPr>
            <w:webHidden/>
          </w:rPr>
          <w:fldChar w:fldCharType="end"/>
        </w:r>
      </w:hyperlink>
    </w:p>
    <w:p w14:paraId="5C903105"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07" w:history="1">
        <w:r w:rsidR="0000404E" w:rsidRPr="00E82738">
          <w:rPr>
            <w:rStyle w:val="Hyperlink"/>
            <w:rFonts w:cstheme="minorHAnsi"/>
          </w:rPr>
          <w:t xml:space="preserve">Tabella 22 - Numero (%) di soggetti con </w:t>
        </w:r>
        <w:r w:rsidR="0000404E" w:rsidRPr="00E82738">
          <w:rPr>
            <w:rStyle w:val="Hyperlink"/>
            <w:rFonts w:cstheme="minorHAnsi"/>
          </w:rPr>
          <w:t>≥</w:t>
        </w:r>
        <w:r w:rsidR="0000404E" w:rsidRPr="00E82738">
          <w:rPr>
            <w:rStyle w:val="Hyperlink"/>
            <w:rFonts w:cstheme="minorHAnsi"/>
          </w:rPr>
          <w:t>1 evento avverso</w:t>
        </w:r>
        <w:r w:rsidR="0000404E" w:rsidRPr="00E82738">
          <w:rPr>
            <w:rStyle w:val="Hyperlink"/>
            <w:rFonts w:cstheme="minorHAnsi"/>
          </w:rPr>
          <w:t>†</w:t>
        </w:r>
        <w:r w:rsidR="0000404E" w:rsidRPr="00E82738">
          <w:rPr>
            <w:rStyle w:val="Hyperlink"/>
            <w:rFonts w:cstheme="minorHAnsi"/>
          </w:rPr>
          <w:t xml:space="preserve"> per categoria nel CLEAR 1, CLEAR 2 e CRYSTAL </w:t>
        </w:r>
        <w:r w:rsidR="0000404E" w:rsidRPr="00E82738">
          <w:rPr>
            <w:rStyle w:val="Hyperlink"/>
            <w:rFonts w:cstheme="minorHAnsi"/>
          </w:rPr>
          <w:t>–</w:t>
        </w:r>
        <w:r w:rsidR="0000404E" w:rsidRPr="00E82738">
          <w:rPr>
            <w:rStyle w:val="Hyperlink"/>
            <w:rFonts w:cstheme="minorHAnsi"/>
          </w:rPr>
          <w:t xml:space="preserve"> safety population (adattata da CSR 301, 302 e 304, 2014)</w:t>
        </w:r>
        <w:r w:rsidR="0000404E">
          <w:rPr>
            <w:webHidden/>
          </w:rPr>
          <w:tab/>
        </w:r>
        <w:r w:rsidR="0000404E">
          <w:rPr>
            <w:webHidden/>
          </w:rPr>
          <w:fldChar w:fldCharType="begin"/>
        </w:r>
        <w:r w:rsidR="0000404E">
          <w:rPr>
            <w:webHidden/>
          </w:rPr>
          <w:instrText xml:space="preserve"> PAGEREF _Toc473150707 \h </w:instrText>
        </w:r>
        <w:r w:rsidR="0000404E">
          <w:rPr>
            <w:webHidden/>
          </w:rPr>
        </w:r>
        <w:r w:rsidR="0000404E">
          <w:rPr>
            <w:webHidden/>
          </w:rPr>
          <w:fldChar w:fldCharType="separate"/>
        </w:r>
        <w:r w:rsidR="00A83C7B">
          <w:rPr>
            <w:webHidden/>
          </w:rPr>
          <w:t>101</w:t>
        </w:r>
        <w:r w:rsidR="0000404E">
          <w:rPr>
            <w:webHidden/>
          </w:rPr>
          <w:fldChar w:fldCharType="end"/>
        </w:r>
      </w:hyperlink>
    </w:p>
    <w:p w14:paraId="22B569CE"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08" w:history="1">
        <w:r w:rsidR="0000404E" w:rsidRPr="00E82738">
          <w:rPr>
            <w:rStyle w:val="Hyperlink"/>
            <w:rFonts w:cstheme="minorHAnsi"/>
          </w:rPr>
          <w:t>Tabella 23 - Incidenza e percentuale degli AE classificati in base alla tossicit</w:t>
        </w:r>
        <w:r w:rsidR="0000404E" w:rsidRPr="00E82738">
          <w:rPr>
            <w:rStyle w:val="Hyperlink"/>
            <w:rFonts w:cstheme="minorHAnsi"/>
          </w:rPr>
          <w:t>à</w:t>
        </w:r>
        <w:r w:rsidR="0000404E" w:rsidRPr="00E82738">
          <w:rPr>
            <w:rStyle w:val="Hyperlink"/>
            <w:rFonts w:cstheme="minorHAnsi"/>
          </w:rPr>
          <w:t xml:space="preserve"> definita secondo RCTS nel CLEAR 1, CLEAR 2 e CRYSTAL - safety population (adattata da CSR 301, 302 e 304, 2014)</w:t>
        </w:r>
        <w:r w:rsidR="0000404E">
          <w:rPr>
            <w:webHidden/>
          </w:rPr>
          <w:tab/>
        </w:r>
        <w:r w:rsidR="0000404E">
          <w:rPr>
            <w:webHidden/>
          </w:rPr>
          <w:fldChar w:fldCharType="begin"/>
        </w:r>
        <w:r w:rsidR="0000404E">
          <w:rPr>
            <w:webHidden/>
          </w:rPr>
          <w:instrText xml:space="preserve"> PAGEREF _Toc473150708 \h </w:instrText>
        </w:r>
        <w:r w:rsidR="0000404E">
          <w:rPr>
            <w:webHidden/>
          </w:rPr>
        </w:r>
        <w:r w:rsidR="0000404E">
          <w:rPr>
            <w:webHidden/>
          </w:rPr>
          <w:fldChar w:fldCharType="separate"/>
        </w:r>
        <w:r w:rsidR="00A83C7B">
          <w:rPr>
            <w:webHidden/>
          </w:rPr>
          <w:t>102</w:t>
        </w:r>
        <w:r w:rsidR="0000404E">
          <w:rPr>
            <w:webHidden/>
          </w:rPr>
          <w:fldChar w:fldCharType="end"/>
        </w:r>
      </w:hyperlink>
    </w:p>
    <w:p w14:paraId="24A8C746"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09" w:history="1">
        <w:r w:rsidR="0000404E" w:rsidRPr="00E82738">
          <w:rPr>
            <w:rStyle w:val="Hyperlink"/>
            <w:rFonts w:cstheme="minorHAnsi"/>
          </w:rPr>
          <w:t>Tabella 24 - Studio CLEAR extension caratteristiche demografiche al basale (Saag, 2016 (143))</w:t>
        </w:r>
        <w:r w:rsidR="0000404E">
          <w:rPr>
            <w:webHidden/>
          </w:rPr>
          <w:tab/>
        </w:r>
        <w:r w:rsidR="0000404E">
          <w:rPr>
            <w:webHidden/>
          </w:rPr>
          <w:fldChar w:fldCharType="begin"/>
        </w:r>
        <w:r w:rsidR="0000404E">
          <w:rPr>
            <w:webHidden/>
          </w:rPr>
          <w:instrText xml:space="preserve"> PAGEREF _Toc473150709 \h </w:instrText>
        </w:r>
        <w:r w:rsidR="0000404E">
          <w:rPr>
            <w:webHidden/>
          </w:rPr>
        </w:r>
        <w:r w:rsidR="0000404E">
          <w:rPr>
            <w:webHidden/>
          </w:rPr>
          <w:fldChar w:fldCharType="separate"/>
        </w:r>
        <w:r w:rsidR="00A83C7B">
          <w:rPr>
            <w:webHidden/>
          </w:rPr>
          <w:t>108</w:t>
        </w:r>
        <w:r w:rsidR="0000404E">
          <w:rPr>
            <w:webHidden/>
          </w:rPr>
          <w:fldChar w:fldCharType="end"/>
        </w:r>
      </w:hyperlink>
    </w:p>
    <w:p w14:paraId="79F18E2F"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10" w:history="1">
        <w:r w:rsidR="0000404E" w:rsidRPr="00E82738">
          <w:rPr>
            <w:rStyle w:val="Hyperlink"/>
            <w:rFonts w:cstheme="minorHAnsi"/>
          </w:rPr>
          <w:t xml:space="preserve">Tabella 25 - AEs nello Studio 306 </w:t>
        </w:r>
        <w:r w:rsidR="0000404E" w:rsidRPr="00E82738">
          <w:rPr>
            <w:rStyle w:val="Hyperlink"/>
            <w:rFonts w:cstheme="minorHAnsi"/>
          </w:rPr>
          <w:t>–</w:t>
        </w:r>
        <w:r w:rsidR="0000404E" w:rsidRPr="00E82738">
          <w:rPr>
            <w:rStyle w:val="Hyperlink"/>
            <w:rFonts w:cstheme="minorHAnsi"/>
          </w:rPr>
          <w:t xml:space="preserve"> safety population (adattata da CSR 306, 2015 (130))</w:t>
        </w:r>
        <w:r w:rsidR="0000404E">
          <w:rPr>
            <w:webHidden/>
          </w:rPr>
          <w:tab/>
        </w:r>
        <w:r w:rsidR="0000404E">
          <w:rPr>
            <w:webHidden/>
          </w:rPr>
          <w:fldChar w:fldCharType="begin"/>
        </w:r>
        <w:r w:rsidR="0000404E">
          <w:rPr>
            <w:webHidden/>
          </w:rPr>
          <w:instrText xml:space="preserve"> PAGEREF _Toc473150710 \h </w:instrText>
        </w:r>
        <w:r w:rsidR="0000404E">
          <w:rPr>
            <w:webHidden/>
          </w:rPr>
        </w:r>
        <w:r w:rsidR="0000404E">
          <w:rPr>
            <w:webHidden/>
          </w:rPr>
          <w:fldChar w:fldCharType="separate"/>
        </w:r>
        <w:r w:rsidR="00A83C7B">
          <w:rPr>
            <w:webHidden/>
          </w:rPr>
          <w:t>112</w:t>
        </w:r>
        <w:r w:rsidR="0000404E">
          <w:rPr>
            <w:webHidden/>
          </w:rPr>
          <w:fldChar w:fldCharType="end"/>
        </w:r>
      </w:hyperlink>
    </w:p>
    <w:p w14:paraId="42E8A566"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11" w:history="1">
        <w:r w:rsidR="0000404E" w:rsidRPr="00E82738">
          <w:rPr>
            <w:rStyle w:val="Hyperlink"/>
            <w:rFonts w:cstheme="minorHAnsi"/>
          </w:rPr>
          <w:t>Tabella 26 - Studio CRYSTAL extension caratteristiche demografiche al basale (Dalbeth, 2015 (144))</w:t>
        </w:r>
        <w:r w:rsidR="0000404E">
          <w:rPr>
            <w:webHidden/>
          </w:rPr>
          <w:tab/>
        </w:r>
        <w:r w:rsidR="0000404E">
          <w:rPr>
            <w:webHidden/>
          </w:rPr>
          <w:fldChar w:fldCharType="begin"/>
        </w:r>
        <w:r w:rsidR="0000404E">
          <w:rPr>
            <w:webHidden/>
          </w:rPr>
          <w:instrText xml:space="preserve"> PAGEREF _Toc473150711 \h </w:instrText>
        </w:r>
        <w:r w:rsidR="0000404E">
          <w:rPr>
            <w:webHidden/>
          </w:rPr>
        </w:r>
        <w:r w:rsidR="0000404E">
          <w:rPr>
            <w:webHidden/>
          </w:rPr>
          <w:fldChar w:fldCharType="separate"/>
        </w:r>
        <w:r w:rsidR="00A83C7B">
          <w:rPr>
            <w:webHidden/>
          </w:rPr>
          <w:t>117</w:t>
        </w:r>
        <w:r w:rsidR="0000404E">
          <w:rPr>
            <w:webHidden/>
          </w:rPr>
          <w:fldChar w:fldCharType="end"/>
        </w:r>
      </w:hyperlink>
    </w:p>
    <w:p w14:paraId="721E0B59"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12" w:history="1">
        <w:r w:rsidR="0000404E" w:rsidRPr="00E82738">
          <w:rPr>
            <w:rStyle w:val="Hyperlink"/>
            <w:rFonts w:cstheme="minorHAnsi"/>
          </w:rPr>
          <w:t xml:space="preserve">Tabella 27 - AEs nello Studio 307 </w:t>
        </w:r>
        <w:r w:rsidR="0000404E" w:rsidRPr="00E82738">
          <w:rPr>
            <w:rStyle w:val="Hyperlink"/>
            <w:rFonts w:cstheme="minorHAnsi"/>
          </w:rPr>
          <w:t>–</w:t>
        </w:r>
        <w:r w:rsidR="0000404E" w:rsidRPr="00E82738">
          <w:rPr>
            <w:rStyle w:val="Hyperlink"/>
            <w:rFonts w:cstheme="minorHAnsi"/>
          </w:rPr>
          <w:t xml:space="preserve"> safety population (adattata CSR 307, 2015)</w:t>
        </w:r>
        <w:r w:rsidR="0000404E">
          <w:rPr>
            <w:webHidden/>
          </w:rPr>
          <w:tab/>
        </w:r>
        <w:r w:rsidR="0000404E">
          <w:rPr>
            <w:webHidden/>
          </w:rPr>
          <w:fldChar w:fldCharType="begin"/>
        </w:r>
        <w:r w:rsidR="0000404E">
          <w:rPr>
            <w:webHidden/>
          </w:rPr>
          <w:instrText xml:space="preserve"> PAGEREF _Toc473150712 \h </w:instrText>
        </w:r>
        <w:r w:rsidR="0000404E">
          <w:rPr>
            <w:webHidden/>
          </w:rPr>
        </w:r>
        <w:r w:rsidR="0000404E">
          <w:rPr>
            <w:webHidden/>
          </w:rPr>
          <w:fldChar w:fldCharType="separate"/>
        </w:r>
        <w:r w:rsidR="00A83C7B">
          <w:rPr>
            <w:webHidden/>
          </w:rPr>
          <w:t>121</w:t>
        </w:r>
        <w:r w:rsidR="0000404E">
          <w:rPr>
            <w:webHidden/>
          </w:rPr>
          <w:fldChar w:fldCharType="end"/>
        </w:r>
      </w:hyperlink>
    </w:p>
    <w:p w14:paraId="05A6589C"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13" w:history="1">
        <w:r w:rsidR="0000404E" w:rsidRPr="00E82738">
          <w:rPr>
            <w:rStyle w:val="Hyperlink"/>
            <w:rFonts w:cstheme="minorHAnsi"/>
          </w:rPr>
          <w:t>Tabella 28 - Mercato totale dello specifico settore terapeutico (EUR)</w:t>
        </w:r>
        <w:r w:rsidR="0000404E">
          <w:rPr>
            <w:webHidden/>
          </w:rPr>
          <w:tab/>
        </w:r>
        <w:r w:rsidR="0000404E">
          <w:rPr>
            <w:webHidden/>
          </w:rPr>
          <w:fldChar w:fldCharType="begin"/>
        </w:r>
        <w:r w:rsidR="0000404E">
          <w:rPr>
            <w:webHidden/>
          </w:rPr>
          <w:instrText xml:space="preserve"> PAGEREF _Toc473150713 \h </w:instrText>
        </w:r>
        <w:r w:rsidR="0000404E">
          <w:rPr>
            <w:webHidden/>
          </w:rPr>
        </w:r>
        <w:r w:rsidR="0000404E">
          <w:rPr>
            <w:webHidden/>
          </w:rPr>
          <w:fldChar w:fldCharType="separate"/>
        </w:r>
        <w:r w:rsidR="00A83C7B">
          <w:rPr>
            <w:webHidden/>
          </w:rPr>
          <w:t>132</w:t>
        </w:r>
        <w:r w:rsidR="0000404E">
          <w:rPr>
            <w:webHidden/>
          </w:rPr>
          <w:fldChar w:fldCharType="end"/>
        </w:r>
      </w:hyperlink>
    </w:p>
    <w:p w14:paraId="59A21523"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14" w:history="1">
        <w:r w:rsidR="0000404E" w:rsidRPr="00E82738">
          <w:rPr>
            <w:rStyle w:val="Hyperlink"/>
            <w:rFonts w:cstheme="minorHAnsi"/>
          </w:rPr>
          <w:t xml:space="preserve">Tabella 29 </w:t>
        </w:r>
        <w:r w:rsidR="0000404E" w:rsidRPr="00E82738">
          <w:rPr>
            <w:rStyle w:val="Hyperlink"/>
            <w:rFonts w:cstheme="minorHAnsi"/>
          </w:rPr>
          <w:t>–</w:t>
        </w:r>
        <w:r w:rsidR="0000404E" w:rsidRPr="00E82738">
          <w:rPr>
            <w:rStyle w:val="Hyperlink"/>
            <w:rFonts w:cstheme="minorHAnsi"/>
          </w:rPr>
          <w:t xml:space="preserve"> Risultati studio Costo/Efficacia</w:t>
        </w:r>
        <w:r w:rsidR="0000404E">
          <w:rPr>
            <w:webHidden/>
          </w:rPr>
          <w:tab/>
        </w:r>
        <w:r w:rsidR="0000404E">
          <w:rPr>
            <w:webHidden/>
          </w:rPr>
          <w:fldChar w:fldCharType="begin"/>
        </w:r>
        <w:r w:rsidR="0000404E">
          <w:rPr>
            <w:webHidden/>
          </w:rPr>
          <w:instrText xml:space="preserve"> PAGEREF _Toc473150714 \h </w:instrText>
        </w:r>
        <w:r w:rsidR="0000404E">
          <w:rPr>
            <w:webHidden/>
          </w:rPr>
        </w:r>
        <w:r w:rsidR="0000404E">
          <w:rPr>
            <w:webHidden/>
          </w:rPr>
          <w:fldChar w:fldCharType="separate"/>
        </w:r>
        <w:r w:rsidR="00A83C7B">
          <w:rPr>
            <w:webHidden/>
          </w:rPr>
          <w:t>137</w:t>
        </w:r>
        <w:r w:rsidR="0000404E">
          <w:rPr>
            <w:webHidden/>
          </w:rPr>
          <w:fldChar w:fldCharType="end"/>
        </w:r>
      </w:hyperlink>
    </w:p>
    <w:p w14:paraId="3A11CFF5"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15" w:history="1">
        <w:r w:rsidR="0000404E" w:rsidRPr="00E82738">
          <w:rPr>
            <w:rStyle w:val="Hyperlink"/>
            <w:rFonts w:cstheme="minorHAnsi"/>
          </w:rPr>
          <w:t>Tabella 30 - Quote di mercato negli scenari a confronto nella simulazione di budget impact</w:t>
        </w:r>
        <w:r w:rsidR="0000404E">
          <w:rPr>
            <w:webHidden/>
          </w:rPr>
          <w:tab/>
        </w:r>
        <w:r w:rsidR="0000404E">
          <w:rPr>
            <w:webHidden/>
          </w:rPr>
          <w:fldChar w:fldCharType="begin"/>
        </w:r>
        <w:r w:rsidR="0000404E">
          <w:rPr>
            <w:webHidden/>
          </w:rPr>
          <w:instrText xml:space="preserve"> PAGEREF _Toc473150715 \h </w:instrText>
        </w:r>
        <w:r w:rsidR="0000404E">
          <w:rPr>
            <w:webHidden/>
          </w:rPr>
        </w:r>
        <w:r w:rsidR="0000404E">
          <w:rPr>
            <w:webHidden/>
          </w:rPr>
          <w:fldChar w:fldCharType="separate"/>
        </w:r>
        <w:r w:rsidR="00A83C7B">
          <w:rPr>
            <w:webHidden/>
          </w:rPr>
          <w:t>141</w:t>
        </w:r>
        <w:r w:rsidR="0000404E">
          <w:rPr>
            <w:webHidden/>
          </w:rPr>
          <w:fldChar w:fldCharType="end"/>
        </w:r>
      </w:hyperlink>
    </w:p>
    <w:p w14:paraId="5863C797" w14:textId="77777777" w:rsidR="0000404E" w:rsidRDefault="00000000">
      <w:pPr>
        <w:pStyle w:val="TableofFigures"/>
        <w:rPr>
          <w:rFonts w:asciiTheme="minorHAnsi" w:eastAsiaTheme="minorEastAsia" w:hAnsiTheme="minorHAnsi" w:cstheme="minorBidi"/>
          <w:snapToGrid/>
          <w:sz w:val="22"/>
          <w:szCs w:val="22"/>
          <w:lang w:eastAsia="it-IT"/>
        </w:rPr>
      </w:pPr>
      <w:hyperlink w:anchor="_Toc473150716" w:history="1">
        <w:r w:rsidR="0000404E" w:rsidRPr="00E82738">
          <w:rPr>
            <w:rStyle w:val="Hyperlink"/>
            <w:rFonts w:cstheme="minorHAnsi"/>
          </w:rPr>
          <w:t>Tabella 31 - Risultati dell</w:t>
        </w:r>
        <w:r w:rsidR="0000404E" w:rsidRPr="00E82738">
          <w:rPr>
            <w:rStyle w:val="Hyperlink"/>
            <w:rFonts w:cstheme="minorHAnsi"/>
          </w:rPr>
          <w:t>’</w:t>
        </w:r>
        <w:r w:rsidR="0000404E" w:rsidRPr="00E82738">
          <w:rPr>
            <w:rStyle w:val="Hyperlink"/>
            <w:rFonts w:cstheme="minorHAnsi"/>
          </w:rPr>
          <w:t xml:space="preserve">analisi di budget impact nella prospettiva del SSN (Costo/cpr Zurampic: </w:t>
        </w:r>
        <w:r w:rsidR="0000404E" w:rsidRPr="00E82738">
          <w:rPr>
            <w:rStyle w:val="Hyperlink"/>
            <w:rFonts w:cstheme="minorHAnsi"/>
          </w:rPr>
          <w:t>€</w:t>
        </w:r>
        <w:r w:rsidR="0000404E" w:rsidRPr="00E82738">
          <w:rPr>
            <w:rStyle w:val="Hyperlink"/>
            <w:rFonts w:cstheme="minorHAnsi"/>
          </w:rPr>
          <w:t>0,85)</w:t>
        </w:r>
        <w:r w:rsidR="0000404E">
          <w:rPr>
            <w:webHidden/>
          </w:rPr>
          <w:tab/>
        </w:r>
        <w:r w:rsidR="0000404E">
          <w:rPr>
            <w:webHidden/>
          </w:rPr>
          <w:fldChar w:fldCharType="begin"/>
        </w:r>
        <w:r w:rsidR="0000404E">
          <w:rPr>
            <w:webHidden/>
          </w:rPr>
          <w:instrText xml:space="preserve"> PAGEREF _Toc473150716 \h </w:instrText>
        </w:r>
        <w:r w:rsidR="0000404E">
          <w:rPr>
            <w:webHidden/>
          </w:rPr>
        </w:r>
        <w:r w:rsidR="0000404E">
          <w:rPr>
            <w:webHidden/>
          </w:rPr>
          <w:fldChar w:fldCharType="separate"/>
        </w:r>
        <w:r w:rsidR="00A83C7B">
          <w:rPr>
            <w:webHidden/>
          </w:rPr>
          <w:t>142</w:t>
        </w:r>
        <w:r w:rsidR="0000404E">
          <w:rPr>
            <w:webHidden/>
          </w:rPr>
          <w:fldChar w:fldCharType="end"/>
        </w:r>
      </w:hyperlink>
    </w:p>
    <w:p w14:paraId="6FB87B5A" w14:textId="64015A5C" w:rsidR="000E2289" w:rsidRPr="00043B6B" w:rsidRDefault="0075450F" w:rsidP="00930591">
      <w:pPr>
        <w:rPr>
          <w:rFonts w:cs="Arial"/>
          <w:b/>
          <w:color w:val="000000"/>
          <w:sz w:val="20"/>
          <w:u w:val="single"/>
        </w:rPr>
      </w:pPr>
      <w:r w:rsidRPr="00930591">
        <w:rPr>
          <w:rFonts w:cstheme="minorHAnsi"/>
          <w:color w:val="000000"/>
          <w:sz w:val="20"/>
          <w:szCs w:val="20"/>
        </w:rPr>
        <w:fldChar w:fldCharType="end"/>
      </w:r>
      <w:r w:rsidR="00434F3D" w:rsidRPr="00EA3EA3">
        <w:rPr>
          <w:rFonts w:cstheme="minorHAnsi"/>
          <w:b/>
          <w:color w:val="000000"/>
          <w:sz w:val="20"/>
          <w:szCs w:val="20"/>
          <w:u w:val="single"/>
        </w:rPr>
        <w:br w:type="page"/>
      </w:r>
      <w:r w:rsidR="00DB161F" w:rsidRPr="00232143">
        <w:rPr>
          <w:rFonts w:cs="Arial"/>
          <w:b/>
          <w:color w:val="000000"/>
          <w:sz w:val="20"/>
          <w:u w:val="single"/>
        </w:rPr>
        <w:t>Indice Figure</w:t>
      </w:r>
    </w:p>
    <w:p w14:paraId="1BC2055D" w14:textId="77777777" w:rsidR="00500766" w:rsidRDefault="00DB161F">
      <w:pPr>
        <w:pStyle w:val="TableofFigures"/>
        <w:rPr>
          <w:rFonts w:asciiTheme="minorHAnsi" w:eastAsiaTheme="minorEastAsia" w:hAnsiTheme="minorHAnsi" w:cstheme="minorBidi"/>
          <w:snapToGrid/>
          <w:sz w:val="22"/>
          <w:szCs w:val="22"/>
          <w:lang w:eastAsia="it-IT"/>
        </w:rPr>
      </w:pPr>
      <w:r w:rsidRPr="00930591">
        <w:rPr>
          <w:rFonts w:asciiTheme="minorHAnsi" w:hAnsiTheme="minorHAnsi" w:cstheme="minorHAnsi"/>
          <w:color w:val="000000"/>
          <w:sz w:val="20"/>
          <w:szCs w:val="20"/>
        </w:rPr>
        <w:fldChar w:fldCharType="begin"/>
      </w:r>
      <w:r w:rsidRPr="00930591">
        <w:rPr>
          <w:rFonts w:asciiTheme="minorHAnsi" w:hAnsiTheme="minorHAnsi" w:cstheme="minorHAnsi"/>
          <w:color w:val="000000"/>
          <w:sz w:val="20"/>
          <w:szCs w:val="20"/>
        </w:rPr>
        <w:instrText xml:space="preserve"> TOC \h \z \c "Figura" </w:instrText>
      </w:r>
      <w:r w:rsidRPr="00930591">
        <w:rPr>
          <w:rFonts w:asciiTheme="minorHAnsi" w:hAnsiTheme="minorHAnsi" w:cstheme="minorHAnsi"/>
          <w:color w:val="000000"/>
          <w:sz w:val="20"/>
          <w:szCs w:val="20"/>
        </w:rPr>
        <w:fldChar w:fldCharType="separate"/>
      </w:r>
      <w:hyperlink w:anchor="_Toc473186896" w:history="1">
        <w:r w:rsidR="00500766" w:rsidRPr="00D32211">
          <w:rPr>
            <w:rStyle w:val="Hyperlink"/>
            <w:rFonts w:cstheme="minorHAnsi"/>
          </w:rPr>
          <w:t xml:space="preserve">Figura 1 - </w:t>
        </w:r>
        <w:r w:rsidR="00500766" w:rsidRPr="00D32211">
          <w:rPr>
            <w:rStyle w:val="Hyperlink"/>
            <w:rFonts w:cstheme="minorHAnsi"/>
            <w:iCs/>
          </w:rPr>
          <w:t>Prevalenza ed evoluzione di gotta ed iperuricemia per sesso (x1000 abitanti) (</w:t>
        </w:r>
        <w:r w:rsidR="00500766" w:rsidRPr="00D32211">
          <w:rPr>
            <w:rStyle w:val="Hyperlink"/>
            <w:rFonts w:cstheme="minorHAnsi"/>
          </w:rPr>
          <w:t>Trifir</w:t>
        </w:r>
        <w:r w:rsidR="00500766" w:rsidRPr="00D32211">
          <w:rPr>
            <w:rStyle w:val="Hyperlink"/>
            <w:rFonts w:cstheme="minorHAnsi"/>
          </w:rPr>
          <w:t>ò</w:t>
        </w:r>
        <w:r w:rsidR="00500766" w:rsidRPr="00D32211">
          <w:rPr>
            <w:rStyle w:val="Hyperlink"/>
            <w:rFonts w:cstheme="minorHAnsi"/>
          </w:rPr>
          <w:t>, 2012</w:t>
        </w:r>
        <w:r w:rsidR="00500766" w:rsidRPr="00D32211">
          <w:rPr>
            <w:rStyle w:val="Hyperlink"/>
            <w:rFonts w:cstheme="minorHAnsi"/>
            <w:iCs/>
          </w:rPr>
          <w:t>)</w:t>
        </w:r>
        <w:r w:rsidR="00500766">
          <w:rPr>
            <w:webHidden/>
          </w:rPr>
          <w:tab/>
        </w:r>
        <w:r w:rsidR="00500766">
          <w:rPr>
            <w:webHidden/>
          </w:rPr>
          <w:fldChar w:fldCharType="begin"/>
        </w:r>
        <w:r w:rsidR="00500766">
          <w:rPr>
            <w:webHidden/>
          </w:rPr>
          <w:instrText xml:space="preserve"> PAGEREF _Toc473186896 \h </w:instrText>
        </w:r>
        <w:r w:rsidR="00500766">
          <w:rPr>
            <w:webHidden/>
          </w:rPr>
        </w:r>
        <w:r w:rsidR="00500766">
          <w:rPr>
            <w:webHidden/>
          </w:rPr>
          <w:fldChar w:fldCharType="separate"/>
        </w:r>
        <w:r w:rsidR="00A83C7B">
          <w:rPr>
            <w:webHidden/>
          </w:rPr>
          <w:t>29</w:t>
        </w:r>
        <w:r w:rsidR="00500766">
          <w:rPr>
            <w:webHidden/>
          </w:rPr>
          <w:fldChar w:fldCharType="end"/>
        </w:r>
      </w:hyperlink>
    </w:p>
    <w:p w14:paraId="7D5479F4"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897" w:history="1">
        <w:r w:rsidR="00500766" w:rsidRPr="00D32211">
          <w:rPr>
            <w:rStyle w:val="Hyperlink"/>
            <w:rFonts w:cstheme="minorHAnsi"/>
          </w:rPr>
          <w:t>Figura 2 - Gotta tofacea della mano (cortesia di Perez-Ruiz F.)</w:t>
        </w:r>
        <w:r w:rsidR="00500766">
          <w:rPr>
            <w:webHidden/>
          </w:rPr>
          <w:tab/>
        </w:r>
        <w:r w:rsidR="00500766">
          <w:rPr>
            <w:webHidden/>
          </w:rPr>
          <w:fldChar w:fldCharType="begin"/>
        </w:r>
        <w:r w:rsidR="00500766">
          <w:rPr>
            <w:webHidden/>
          </w:rPr>
          <w:instrText xml:space="preserve"> PAGEREF _Toc473186897 \h </w:instrText>
        </w:r>
        <w:r w:rsidR="00500766">
          <w:rPr>
            <w:webHidden/>
          </w:rPr>
        </w:r>
        <w:r w:rsidR="00500766">
          <w:rPr>
            <w:webHidden/>
          </w:rPr>
          <w:fldChar w:fldCharType="separate"/>
        </w:r>
        <w:r w:rsidR="00A83C7B">
          <w:rPr>
            <w:webHidden/>
          </w:rPr>
          <w:t>36</w:t>
        </w:r>
        <w:r w:rsidR="00500766">
          <w:rPr>
            <w:webHidden/>
          </w:rPr>
          <w:fldChar w:fldCharType="end"/>
        </w:r>
      </w:hyperlink>
    </w:p>
    <w:p w14:paraId="2CD7762F"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898" w:history="1">
        <w:r w:rsidR="00500766" w:rsidRPr="00D32211">
          <w:rPr>
            <w:rStyle w:val="Hyperlink"/>
            <w:rFonts w:cstheme="minorHAnsi"/>
          </w:rPr>
          <w:t>Figura 3 - Evoluzione di iperuricemia e gotta nel tempo (adattata da Doghramji, 2012)</w:t>
        </w:r>
        <w:r w:rsidR="00500766">
          <w:rPr>
            <w:webHidden/>
          </w:rPr>
          <w:tab/>
        </w:r>
        <w:r w:rsidR="00500766">
          <w:rPr>
            <w:webHidden/>
          </w:rPr>
          <w:fldChar w:fldCharType="begin"/>
        </w:r>
        <w:r w:rsidR="00500766">
          <w:rPr>
            <w:webHidden/>
          </w:rPr>
          <w:instrText xml:space="preserve"> PAGEREF _Toc473186898 \h </w:instrText>
        </w:r>
        <w:r w:rsidR="00500766">
          <w:rPr>
            <w:webHidden/>
          </w:rPr>
        </w:r>
        <w:r w:rsidR="00500766">
          <w:rPr>
            <w:webHidden/>
          </w:rPr>
          <w:fldChar w:fldCharType="separate"/>
        </w:r>
        <w:r w:rsidR="00A83C7B">
          <w:rPr>
            <w:webHidden/>
          </w:rPr>
          <w:t>37</w:t>
        </w:r>
        <w:r w:rsidR="00500766">
          <w:rPr>
            <w:webHidden/>
          </w:rPr>
          <w:fldChar w:fldCharType="end"/>
        </w:r>
      </w:hyperlink>
    </w:p>
    <w:p w14:paraId="60DDBC2B"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899" w:history="1">
        <w:r w:rsidR="00500766" w:rsidRPr="00D32211">
          <w:rPr>
            <w:rStyle w:val="Hyperlink"/>
            <w:rFonts w:cstheme="minorHAnsi"/>
          </w:rPr>
          <w:t>Figura 4 - Evoluzione di iperuricemia e gotta nel tempo (Perez-Ruiz, 2015)</w:t>
        </w:r>
        <w:r w:rsidR="00500766">
          <w:rPr>
            <w:webHidden/>
          </w:rPr>
          <w:tab/>
        </w:r>
        <w:r w:rsidR="00500766">
          <w:rPr>
            <w:webHidden/>
          </w:rPr>
          <w:fldChar w:fldCharType="begin"/>
        </w:r>
        <w:r w:rsidR="00500766">
          <w:rPr>
            <w:webHidden/>
          </w:rPr>
          <w:instrText xml:space="preserve"> PAGEREF _Toc473186899 \h </w:instrText>
        </w:r>
        <w:r w:rsidR="00500766">
          <w:rPr>
            <w:webHidden/>
          </w:rPr>
        </w:r>
        <w:r w:rsidR="00500766">
          <w:rPr>
            <w:webHidden/>
          </w:rPr>
          <w:fldChar w:fldCharType="separate"/>
        </w:r>
        <w:r w:rsidR="00A83C7B">
          <w:rPr>
            <w:webHidden/>
          </w:rPr>
          <w:t>37</w:t>
        </w:r>
        <w:r w:rsidR="00500766">
          <w:rPr>
            <w:webHidden/>
          </w:rPr>
          <w:fldChar w:fldCharType="end"/>
        </w:r>
      </w:hyperlink>
    </w:p>
    <w:p w14:paraId="3588A852"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00" w:history="1">
        <w:r w:rsidR="00500766" w:rsidRPr="00D32211">
          <w:rPr>
            <w:rStyle w:val="Hyperlink"/>
            <w:rFonts w:cstheme="minorHAnsi"/>
          </w:rPr>
          <w:t>Figura 5 -  Correlazione tra diametro dei tofi e danno articolare (Dalbeth, 2009)</w:t>
        </w:r>
        <w:r w:rsidR="00500766">
          <w:rPr>
            <w:webHidden/>
          </w:rPr>
          <w:tab/>
        </w:r>
        <w:r w:rsidR="00500766">
          <w:rPr>
            <w:webHidden/>
          </w:rPr>
          <w:fldChar w:fldCharType="begin"/>
        </w:r>
        <w:r w:rsidR="00500766">
          <w:rPr>
            <w:webHidden/>
          </w:rPr>
          <w:instrText xml:space="preserve"> PAGEREF _Toc473186900 \h </w:instrText>
        </w:r>
        <w:r w:rsidR="00500766">
          <w:rPr>
            <w:webHidden/>
          </w:rPr>
        </w:r>
        <w:r w:rsidR="00500766">
          <w:rPr>
            <w:webHidden/>
          </w:rPr>
          <w:fldChar w:fldCharType="separate"/>
        </w:r>
        <w:r w:rsidR="00A83C7B">
          <w:rPr>
            <w:webHidden/>
          </w:rPr>
          <w:t>38</w:t>
        </w:r>
        <w:r w:rsidR="00500766">
          <w:rPr>
            <w:webHidden/>
          </w:rPr>
          <w:fldChar w:fldCharType="end"/>
        </w:r>
      </w:hyperlink>
    </w:p>
    <w:p w14:paraId="56AE1E71"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01" w:history="1">
        <w:r w:rsidR="00500766" w:rsidRPr="00D32211">
          <w:rPr>
            <w:rStyle w:val="Hyperlink"/>
            <w:rFonts w:cstheme="minorHAnsi"/>
          </w:rPr>
          <w:t>Figura 6 - Complicanze renali e cardiovascolari dell</w:t>
        </w:r>
        <w:r w:rsidR="00500766" w:rsidRPr="00D32211">
          <w:rPr>
            <w:rStyle w:val="Hyperlink"/>
            <w:rFonts w:cstheme="minorHAnsi"/>
          </w:rPr>
          <w:t>’</w:t>
        </w:r>
        <w:r w:rsidR="00500766" w:rsidRPr="00D32211">
          <w:rPr>
            <w:rStyle w:val="Hyperlink"/>
            <w:rFonts w:cstheme="minorHAnsi"/>
          </w:rPr>
          <w:t>iperuricemia (Terkeltaub, 2013; Park, 2014)</w:t>
        </w:r>
        <w:r w:rsidR="00500766">
          <w:rPr>
            <w:webHidden/>
          </w:rPr>
          <w:tab/>
        </w:r>
        <w:r w:rsidR="00500766">
          <w:rPr>
            <w:webHidden/>
          </w:rPr>
          <w:fldChar w:fldCharType="begin"/>
        </w:r>
        <w:r w:rsidR="00500766">
          <w:rPr>
            <w:webHidden/>
          </w:rPr>
          <w:instrText xml:space="preserve"> PAGEREF _Toc473186901 \h </w:instrText>
        </w:r>
        <w:r w:rsidR="00500766">
          <w:rPr>
            <w:webHidden/>
          </w:rPr>
        </w:r>
        <w:r w:rsidR="00500766">
          <w:rPr>
            <w:webHidden/>
          </w:rPr>
          <w:fldChar w:fldCharType="separate"/>
        </w:r>
        <w:r w:rsidR="00A83C7B">
          <w:rPr>
            <w:webHidden/>
          </w:rPr>
          <w:t>39</w:t>
        </w:r>
        <w:r w:rsidR="00500766">
          <w:rPr>
            <w:webHidden/>
          </w:rPr>
          <w:fldChar w:fldCharType="end"/>
        </w:r>
      </w:hyperlink>
    </w:p>
    <w:p w14:paraId="70D2A7EB"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02" w:history="1">
        <w:r w:rsidR="00500766" w:rsidRPr="00D32211">
          <w:rPr>
            <w:rStyle w:val="Hyperlink"/>
            <w:rFonts w:cstheme="minorHAnsi"/>
          </w:rPr>
          <w:t>Figura 7 - Analisi multivariata RR (rischio relativo) di morte in pazienti con gotta (Choi, 2007)</w:t>
        </w:r>
        <w:r w:rsidR="00500766">
          <w:rPr>
            <w:webHidden/>
          </w:rPr>
          <w:tab/>
        </w:r>
        <w:r w:rsidR="00500766">
          <w:rPr>
            <w:webHidden/>
          </w:rPr>
          <w:fldChar w:fldCharType="begin"/>
        </w:r>
        <w:r w:rsidR="00500766">
          <w:rPr>
            <w:webHidden/>
          </w:rPr>
          <w:instrText xml:space="preserve"> PAGEREF _Toc473186902 \h </w:instrText>
        </w:r>
        <w:r w:rsidR="00500766">
          <w:rPr>
            <w:webHidden/>
          </w:rPr>
        </w:r>
        <w:r w:rsidR="00500766">
          <w:rPr>
            <w:webHidden/>
          </w:rPr>
          <w:fldChar w:fldCharType="separate"/>
        </w:r>
        <w:r w:rsidR="00A83C7B">
          <w:rPr>
            <w:webHidden/>
          </w:rPr>
          <w:t>41</w:t>
        </w:r>
        <w:r w:rsidR="00500766">
          <w:rPr>
            <w:webHidden/>
          </w:rPr>
          <w:fldChar w:fldCharType="end"/>
        </w:r>
      </w:hyperlink>
    </w:p>
    <w:p w14:paraId="5C80DE87"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03" w:history="1">
        <w:r w:rsidR="00500766" w:rsidRPr="00D32211">
          <w:rPr>
            <w:rStyle w:val="Hyperlink"/>
            <w:rFonts w:cstheme="minorHAnsi"/>
          </w:rPr>
          <w:t>Figura 8 - Riduzione del volume dei tofi dopo ULT in un paziente con gotta (Nicolaou, 2012)</w:t>
        </w:r>
        <w:r w:rsidR="00500766">
          <w:rPr>
            <w:webHidden/>
          </w:rPr>
          <w:tab/>
        </w:r>
        <w:r w:rsidR="00500766">
          <w:rPr>
            <w:webHidden/>
          </w:rPr>
          <w:fldChar w:fldCharType="begin"/>
        </w:r>
        <w:r w:rsidR="00500766">
          <w:rPr>
            <w:webHidden/>
          </w:rPr>
          <w:instrText xml:space="preserve"> PAGEREF _Toc473186903 \h </w:instrText>
        </w:r>
        <w:r w:rsidR="00500766">
          <w:rPr>
            <w:webHidden/>
          </w:rPr>
        </w:r>
        <w:r w:rsidR="00500766">
          <w:rPr>
            <w:webHidden/>
          </w:rPr>
          <w:fldChar w:fldCharType="separate"/>
        </w:r>
        <w:r w:rsidR="00A83C7B">
          <w:rPr>
            <w:webHidden/>
          </w:rPr>
          <w:t>44</w:t>
        </w:r>
        <w:r w:rsidR="00500766">
          <w:rPr>
            <w:webHidden/>
          </w:rPr>
          <w:fldChar w:fldCharType="end"/>
        </w:r>
      </w:hyperlink>
    </w:p>
    <w:p w14:paraId="56E5BA22"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04" w:history="1">
        <w:r w:rsidR="00500766" w:rsidRPr="00D32211">
          <w:rPr>
            <w:rStyle w:val="Hyperlink"/>
            <w:rFonts w:cstheme="minorHAnsi"/>
          </w:rPr>
          <w:t>Figura 9 - Riduzione livelli SUA e CRP (Goicoechea, 2010)</w:t>
        </w:r>
        <w:r w:rsidR="00500766">
          <w:rPr>
            <w:webHidden/>
          </w:rPr>
          <w:tab/>
        </w:r>
        <w:r w:rsidR="00500766">
          <w:rPr>
            <w:webHidden/>
          </w:rPr>
          <w:fldChar w:fldCharType="begin"/>
        </w:r>
        <w:r w:rsidR="00500766">
          <w:rPr>
            <w:webHidden/>
          </w:rPr>
          <w:instrText xml:space="preserve"> PAGEREF _Toc473186904 \h </w:instrText>
        </w:r>
        <w:r w:rsidR="00500766">
          <w:rPr>
            <w:webHidden/>
          </w:rPr>
        </w:r>
        <w:r w:rsidR="00500766">
          <w:rPr>
            <w:webHidden/>
          </w:rPr>
          <w:fldChar w:fldCharType="separate"/>
        </w:r>
        <w:r w:rsidR="00A83C7B">
          <w:rPr>
            <w:webHidden/>
          </w:rPr>
          <w:t>44</w:t>
        </w:r>
        <w:r w:rsidR="00500766">
          <w:rPr>
            <w:webHidden/>
          </w:rPr>
          <w:fldChar w:fldCharType="end"/>
        </w:r>
      </w:hyperlink>
    </w:p>
    <w:p w14:paraId="46228311"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05" w:history="1">
        <w:r w:rsidR="00500766" w:rsidRPr="00D32211">
          <w:rPr>
            <w:rStyle w:val="Hyperlink"/>
            <w:rFonts w:cstheme="minorHAnsi"/>
          </w:rPr>
          <w:t>Figura 10 - Relazione tra livelli di uricemia e rischio di attacchi acuti (Shoji, 2004)</w:t>
        </w:r>
        <w:r w:rsidR="00500766">
          <w:rPr>
            <w:webHidden/>
          </w:rPr>
          <w:tab/>
        </w:r>
        <w:r w:rsidR="00500766">
          <w:rPr>
            <w:webHidden/>
          </w:rPr>
          <w:fldChar w:fldCharType="begin"/>
        </w:r>
        <w:r w:rsidR="00500766">
          <w:rPr>
            <w:webHidden/>
          </w:rPr>
          <w:instrText xml:space="preserve"> PAGEREF _Toc473186905 \h </w:instrText>
        </w:r>
        <w:r w:rsidR="00500766">
          <w:rPr>
            <w:webHidden/>
          </w:rPr>
        </w:r>
        <w:r w:rsidR="00500766">
          <w:rPr>
            <w:webHidden/>
          </w:rPr>
          <w:fldChar w:fldCharType="separate"/>
        </w:r>
        <w:r w:rsidR="00A83C7B">
          <w:rPr>
            <w:webHidden/>
          </w:rPr>
          <w:t>45</w:t>
        </w:r>
        <w:r w:rsidR="00500766">
          <w:rPr>
            <w:webHidden/>
          </w:rPr>
          <w:fldChar w:fldCharType="end"/>
        </w:r>
      </w:hyperlink>
    </w:p>
    <w:p w14:paraId="350AFF6A"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06" w:history="1">
        <w:r w:rsidR="00500766" w:rsidRPr="00D32211">
          <w:rPr>
            <w:rStyle w:val="Hyperlink"/>
            <w:rFonts w:cstheme="minorHAnsi"/>
          </w:rPr>
          <w:t>Figura 11 - Mantenimento con ULT, effetto sugli attacchi acuti - Studio FOCUS (Schumacher, 2008)</w:t>
        </w:r>
        <w:r w:rsidR="00500766">
          <w:rPr>
            <w:webHidden/>
          </w:rPr>
          <w:tab/>
        </w:r>
        <w:r w:rsidR="00500766">
          <w:rPr>
            <w:webHidden/>
          </w:rPr>
          <w:fldChar w:fldCharType="begin"/>
        </w:r>
        <w:r w:rsidR="00500766">
          <w:rPr>
            <w:webHidden/>
          </w:rPr>
          <w:instrText xml:space="preserve"> PAGEREF _Toc473186906 \h </w:instrText>
        </w:r>
        <w:r w:rsidR="00500766">
          <w:rPr>
            <w:webHidden/>
          </w:rPr>
        </w:r>
        <w:r w:rsidR="00500766">
          <w:rPr>
            <w:webHidden/>
          </w:rPr>
          <w:fldChar w:fldCharType="separate"/>
        </w:r>
        <w:r w:rsidR="00A83C7B">
          <w:rPr>
            <w:webHidden/>
          </w:rPr>
          <w:t>46</w:t>
        </w:r>
        <w:r w:rsidR="00500766">
          <w:rPr>
            <w:webHidden/>
          </w:rPr>
          <w:fldChar w:fldCharType="end"/>
        </w:r>
      </w:hyperlink>
    </w:p>
    <w:p w14:paraId="01F54FFE"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07" w:history="1">
        <w:r w:rsidR="00500766" w:rsidRPr="00D32211">
          <w:rPr>
            <w:rStyle w:val="Hyperlink"/>
            <w:rFonts w:cstheme="minorHAnsi"/>
          </w:rPr>
          <w:t>Figura 12 - Linee Guida EULAR 2016 (adattato da Richette, 2016)</w:t>
        </w:r>
        <w:r w:rsidR="00500766">
          <w:rPr>
            <w:webHidden/>
          </w:rPr>
          <w:tab/>
        </w:r>
        <w:r w:rsidR="00500766">
          <w:rPr>
            <w:webHidden/>
          </w:rPr>
          <w:fldChar w:fldCharType="begin"/>
        </w:r>
        <w:r w:rsidR="00500766">
          <w:rPr>
            <w:webHidden/>
          </w:rPr>
          <w:instrText xml:space="preserve"> PAGEREF _Toc473186907 \h </w:instrText>
        </w:r>
        <w:r w:rsidR="00500766">
          <w:rPr>
            <w:webHidden/>
          </w:rPr>
        </w:r>
        <w:r w:rsidR="00500766">
          <w:rPr>
            <w:webHidden/>
          </w:rPr>
          <w:fldChar w:fldCharType="separate"/>
        </w:r>
        <w:r w:rsidR="00A83C7B">
          <w:rPr>
            <w:webHidden/>
          </w:rPr>
          <w:t>47</w:t>
        </w:r>
        <w:r w:rsidR="00500766">
          <w:rPr>
            <w:webHidden/>
          </w:rPr>
          <w:fldChar w:fldCharType="end"/>
        </w:r>
      </w:hyperlink>
    </w:p>
    <w:p w14:paraId="3B0A6584"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08" w:history="1">
        <w:r w:rsidR="00500766" w:rsidRPr="00D32211">
          <w:rPr>
            <w:rStyle w:val="Hyperlink"/>
            <w:rFonts w:cstheme="minorHAnsi"/>
          </w:rPr>
          <w:t>Figura 13 - Pazienti non a target SUA &lt;6.0 mg/dl con allopurinolo o febuxostat dagli RCT (Schumacher, 2008; Becker, 2005; Becker, 2010)</w:t>
        </w:r>
        <w:r w:rsidR="00500766">
          <w:rPr>
            <w:webHidden/>
          </w:rPr>
          <w:tab/>
        </w:r>
        <w:r w:rsidR="00500766">
          <w:rPr>
            <w:webHidden/>
          </w:rPr>
          <w:fldChar w:fldCharType="begin"/>
        </w:r>
        <w:r w:rsidR="00500766">
          <w:rPr>
            <w:webHidden/>
          </w:rPr>
          <w:instrText xml:space="preserve"> PAGEREF _Toc473186908 \h </w:instrText>
        </w:r>
        <w:r w:rsidR="00500766">
          <w:rPr>
            <w:webHidden/>
          </w:rPr>
        </w:r>
        <w:r w:rsidR="00500766">
          <w:rPr>
            <w:webHidden/>
          </w:rPr>
          <w:fldChar w:fldCharType="separate"/>
        </w:r>
        <w:r w:rsidR="00A83C7B">
          <w:rPr>
            <w:webHidden/>
          </w:rPr>
          <w:t>49</w:t>
        </w:r>
        <w:r w:rsidR="00500766">
          <w:rPr>
            <w:webHidden/>
          </w:rPr>
          <w:fldChar w:fldCharType="end"/>
        </w:r>
      </w:hyperlink>
    </w:p>
    <w:p w14:paraId="18E5532C"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09" w:history="1">
        <w:r w:rsidR="00500766" w:rsidRPr="00D32211">
          <w:rPr>
            <w:rStyle w:val="Hyperlink"/>
            <w:rFonts w:cstheme="minorHAnsi"/>
          </w:rPr>
          <w:t xml:space="preserve">Figura 14 - Pazienti non a target SUA &lt;6.0 mg/dl con allopurinolo </w:t>
        </w:r>
        <w:r w:rsidR="00500766" w:rsidRPr="00D32211">
          <w:rPr>
            <w:rStyle w:val="Hyperlink"/>
            <w:rFonts w:cstheme="minorHAnsi"/>
          </w:rPr>
          <w:t>–</w:t>
        </w:r>
        <w:r w:rsidR="00500766" w:rsidRPr="00D32211">
          <w:rPr>
            <w:rStyle w:val="Hyperlink"/>
            <w:rFonts w:cstheme="minorHAnsi"/>
          </w:rPr>
          <w:t xml:space="preserve"> studio LASSO (Becker, 2015)</w:t>
        </w:r>
        <w:r w:rsidR="00500766">
          <w:rPr>
            <w:webHidden/>
          </w:rPr>
          <w:tab/>
        </w:r>
        <w:r w:rsidR="00500766">
          <w:rPr>
            <w:webHidden/>
          </w:rPr>
          <w:fldChar w:fldCharType="begin"/>
        </w:r>
        <w:r w:rsidR="00500766">
          <w:rPr>
            <w:webHidden/>
          </w:rPr>
          <w:instrText xml:space="preserve"> PAGEREF _Toc473186909 \h </w:instrText>
        </w:r>
        <w:r w:rsidR="00500766">
          <w:rPr>
            <w:webHidden/>
          </w:rPr>
        </w:r>
        <w:r w:rsidR="00500766">
          <w:rPr>
            <w:webHidden/>
          </w:rPr>
          <w:fldChar w:fldCharType="separate"/>
        </w:r>
        <w:r w:rsidR="00A83C7B">
          <w:rPr>
            <w:webHidden/>
          </w:rPr>
          <w:t>50</w:t>
        </w:r>
        <w:r w:rsidR="00500766">
          <w:rPr>
            <w:webHidden/>
          </w:rPr>
          <w:fldChar w:fldCharType="end"/>
        </w:r>
      </w:hyperlink>
    </w:p>
    <w:p w14:paraId="30B47DC7"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10" w:history="1">
        <w:r w:rsidR="00500766" w:rsidRPr="00D32211">
          <w:rPr>
            <w:rStyle w:val="Hyperlink"/>
            <w:rFonts w:cstheme="minorHAnsi"/>
          </w:rPr>
          <w:t>Figura 15 - Meccanismo d</w:t>
        </w:r>
        <w:r w:rsidR="00500766" w:rsidRPr="00D32211">
          <w:rPr>
            <w:rStyle w:val="Hyperlink"/>
            <w:rFonts w:cstheme="minorHAnsi"/>
          </w:rPr>
          <w:t>’</w:t>
        </w:r>
        <w:r w:rsidR="00500766" w:rsidRPr="00D32211">
          <w:rPr>
            <w:rStyle w:val="Hyperlink"/>
            <w:rFonts w:cstheme="minorHAnsi"/>
          </w:rPr>
          <w:t>azione di lesinurad (Miner, 2016)</w:t>
        </w:r>
        <w:r w:rsidR="00500766">
          <w:rPr>
            <w:webHidden/>
          </w:rPr>
          <w:tab/>
        </w:r>
        <w:r w:rsidR="00500766">
          <w:rPr>
            <w:webHidden/>
          </w:rPr>
          <w:fldChar w:fldCharType="begin"/>
        </w:r>
        <w:r w:rsidR="00500766">
          <w:rPr>
            <w:webHidden/>
          </w:rPr>
          <w:instrText xml:space="preserve"> PAGEREF _Toc473186910 \h </w:instrText>
        </w:r>
        <w:r w:rsidR="00500766">
          <w:rPr>
            <w:webHidden/>
          </w:rPr>
        </w:r>
        <w:r w:rsidR="00500766">
          <w:rPr>
            <w:webHidden/>
          </w:rPr>
          <w:fldChar w:fldCharType="separate"/>
        </w:r>
        <w:r w:rsidR="00A83C7B">
          <w:rPr>
            <w:webHidden/>
          </w:rPr>
          <w:t>52</w:t>
        </w:r>
        <w:r w:rsidR="00500766">
          <w:rPr>
            <w:webHidden/>
          </w:rPr>
          <w:fldChar w:fldCharType="end"/>
        </w:r>
      </w:hyperlink>
    </w:p>
    <w:p w14:paraId="1749F703"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11" w:history="1">
        <w:r w:rsidR="00500766" w:rsidRPr="00D32211">
          <w:rPr>
            <w:rStyle w:val="Hyperlink"/>
            <w:rFonts w:cstheme="minorHAnsi"/>
          </w:rPr>
          <w:t>Figura 16 - Complementariet</w:t>
        </w:r>
        <w:r w:rsidR="00500766" w:rsidRPr="00D32211">
          <w:rPr>
            <w:rStyle w:val="Hyperlink"/>
            <w:rFonts w:cstheme="minorHAnsi"/>
          </w:rPr>
          <w:t>à</w:t>
        </w:r>
        <w:r w:rsidR="00500766" w:rsidRPr="00D32211">
          <w:rPr>
            <w:rStyle w:val="Hyperlink"/>
            <w:rFonts w:cstheme="minorHAnsi"/>
          </w:rPr>
          <w:t xml:space="preserve"> del meccanismo d</w:t>
        </w:r>
        <w:r w:rsidR="00500766" w:rsidRPr="00D32211">
          <w:rPr>
            <w:rStyle w:val="Hyperlink"/>
            <w:rFonts w:cstheme="minorHAnsi"/>
          </w:rPr>
          <w:t>’</w:t>
        </w:r>
        <w:r w:rsidR="00500766" w:rsidRPr="00D32211">
          <w:rPr>
            <w:rStyle w:val="Hyperlink"/>
            <w:rFonts w:cstheme="minorHAnsi"/>
          </w:rPr>
          <w:t>azione (elaborato da Richette, 2016)</w:t>
        </w:r>
        <w:r w:rsidR="00500766">
          <w:rPr>
            <w:webHidden/>
          </w:rPr>
          <w:tab/>
        </w:r>
        <w:r w:rsidR="00500766">
          <w:rPr>
            <w:webHidden/>
          </w:rPr>
          <w:fldChar w:fldCharType="begin"/>
        </w:r>
        <w:r w:rsidR="00500766">
          <w:rPr>
            <w:webHidden/>
          </w:rPr>
          <w:instrText xml:space="preserve"> PAGEREF _Toc473186911 \h </w:instrText>
        </w:r>
        <w:r w:rsidR="00500766">
          <w:rPr>
            <w:webHidden/>
          </w:rPr>
        </w:r>
        <w:r w:rsidR="00500766">
          <w:rPr>
            <w:webHidden/>
          </w:rPr>
          <w:fldChar w:fldCharType="separate"/>
        </w:r>
        <w:r w:rsidR="00A83C7B">
          <w:rPr>
            <w:webHidden/>
          </w:rPr>
          <w:t>52</w:t>
        </w:r>
        <w:r w:rsidR="00500766">
          <w:rPr>
            <w:webHidden/>
          </w:rPr>
          <w:fldChar w:fldCharType="end"/>
        </w:r>
      </w:hyperlink>
    </w:p>
    <w:p w14:paraId="0B95FF04"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12" w:history="1">
        <w:r w:rsidR="00500766" w:rsidRPr="00D32211">
          <w:rPr>
            <w:rStyle w:val="Hyperlink"/>
            <w:rFonts w:cstheme="minorHAnsi"/>
          </w:rPr>
          <w:t xml:space="preserve">Figura 17 - Livelli medi di urato sierico ad ogni visita </w:t>
        </w:r>
        <w:r w:rsidR="00500766" w:rsidRPr="00D32211">
          <w:rPr>
            <w:rStyle w:val="Hyperlink"/>
            <w:rFonts w:cstheme="minorHAnsi"/>
          </w:rPr>
          <w:t>–</w:t>
        </w:r>
        <w:r w:rsidR="00500766" w:rsidRPr="00D32211">
          <w:rPr>
            <w:rStyle w:val="Hyperlink"/>
            <w:rFonts w:cstheme="minorHAnsi"/>
          </w:rPr>
          <w:t xml:space="preserve"> Studi CLEAR (observed cases </w:t>
        </w:r>
        <w:r w:rsidR="00500766" w:rsidRPr="00D32211">
          <w:rPr>
            <w:rStyle w:val="Hyperlink"/>
            <w:rFonts w:cstheme="minorHAnsi"/>
          </w:rPr>
          <w:t>–</w:t>
        </w:r>
        <w:r w:rsidR="00500766" w:rsidRPr="00D32211">
          <w:rPr>
            <w:rStyle w:val="Hyperlink"/>
            <w:rFonts w:cstheme="minorHAnsi"/>
          </w:rPr>
          <w:t xml:space="preserve"> popolazione ITT) (SmPC Zurampic, EPAR, 2015)</w:t>
        </w:r>
        <w:r w:rsidR="00500766">
          <w:rPr>
            <w:webHidden/>
          </w:rPr>
          <w:tab/>
        </w:r>
        <w:r w:rsidR="00500766">
          <w:rPr>
            <w:webHidden/>
          </w:rPr>
          <w:fldChar w:fldCharType="begin"/>
        </w:r>
        <w:r w:rsidR="00500766">
          <w:rPr>
            <w:webHidden/>
          </w:rPr>
          <w:instrText xml:space="preserve"> PAGEREF _Toc473186912 \h </w:instrText>
        </w:r>
        <w:r w:rsidR="00500766">
          <w:rPr>
            <w:webHidden/>
          </w:rPr>
        </w:r>
        <w:r w:rsidR="00500766">
          <w:rPr>
            <w:webHidden/>
          </w:rPr>
          <w:fldChar w:fldCharType="separate"/>
        </w:r>
        <w:r w:rsidR="00A83C7B">
          <w:rPr>
            <w:webHidden/>
          </w:rPr>
          <w:t>55</w:t>
        </w:r>
        <w:r w:rsidR="00500766">
          <w:rPr>
            <w:webHidden/>
          </w:rPr>
          <w:fldChar w:fldCharType="end"/>
        </w:r>
      </w:hyperlink>
    </w:p>
    <w:p w14:paraId="1464F687"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13" w:history="1">
        <w:r w:rsidR="00500766" w:rsidRPr="00D32211">
          <w:rPr>
            <w:rStyle w:val="Hyperlink"/>
            <w:rFonts w:cstheme="minorHAnsi"/>
          </w:rPr>
          <w:t xml:space="preserve">Figura 18 - Livelli medi di urato sierico ad ogni visita fino al mese 12 - studio CRYSTAL (Observed cases, popolazione ITT) (adattato da CSR 304, 2014 </w:t>
        </w:r>
        <w:r w:rsidR="00500766" w:rsidRPr="00D32211">
          <w:rPr>
            <w:rStyle w:val="Hyperlink"/>
            <w:rFonts w:cstheme="minorHAnsi"/>
          </w:rPr>
          <w:t>–</w:t>
        </w:r>
        <w:r w:rsidR="00500766" w:rsidRPr="00D32211">
          <w:rPr>
            <w:rStyle w:val="Hyperlink"/>
            <w:rFonts w:cstheme="minorHAnsi"/>
          </w:rPr>
          <w:t xml:space="preserve"> Dalbeth, 2015)</w:t>
        </w:r>
        <w:r w:rsidR="00500766">
          <w:rPr>
            <w:webHidden/>
          </w:rPr>
          <w:tab/>
        </w:r>
        <w:r w:rsidR="00500766">
          <w:rPr>
            <w:webHidden/>
          </w:rPr>
          <w:fldChar w:fldCharType="begin"/>
        </w:r>
        <w:r w:rsidR="00500766">
          <w:rPr>
            <w:webHidden/>
          </w:rPr>
          <w:instrText xml:space="preserve"> PAGEREF _Toc473186913 \h </w:instrText>
        </w:r>
        <w:r w:rsidR="00500766">
          <w:rPr>
            <w:webHidden/>
          </w:rPr>
        </w:r>
        <w:r w:rsidR="00500766">
          <w:rPr>
            <w:webHidden/>
          </w:rPr>
          <w:fldChar w:fldCharType="separate"/>
        </w:r>
        <w:r w:rsidR="00A83C7B">
          <w:rPr>
            <w:webHidden/>
          </w:rPr>
          <w:t>56</w:t>
        </w:r>
        <w:r w:rsidR="00500766">
          <w:rPr>
            <w:webHidden/>
          </w:rPr>
          <w:fldChar w:fldCharType="end"/>
        </w:r>
      </w:hyperlink>
    </w:p>
    <w:p w14:paraId="005243C2"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14" w:history="1">
        <w:r w:rsidR="00500766" w:rsidRPr="00D32211">
          <w:rPr>
            <w:rStyle w:val="Hyperlink"/>
            <w:rFonts w:cstheme="minorHAnsi"/>
          </w:rPr>
          <w:t>Figura 19 - End-point primario nei pazienti SUA&gt;5 mg/dl al basale - studio CRYSTAL (analisi NRI, popolazione ITT) (adattato da CSR 304, 2014)</w:t>
        </w:r>
        <w:r w:rsidR="00500766">
          <w:rPr>
            <w:webHidden/>
          </w:rPr>
          <w:tab/>
        </w:r>
        <w:r w:rsidR="00500766">
          <w:rPr>
            <w:webHidden/>
          </w:rPr>
          <w:fldChar w:fldCharType="begin"/>
        </w:r>
        <w:r w:rsidR="00500766">
          <w:rPr>
            <w:webHidden/>
          </w:rPr>
          <w:instrText xml:space="preserve"> PAGEREF _Toc473186914 \h </w:instrText>
        </w:r>
        <w:r w:rsidR="00500766">
          <w:rPr>
            <w:webHidden/>
          </w:rPr>
        </w:r>
        <w:r w:rsidR="00500766">
          <w:rPr>
            <w:webHidden/>
          </w:rPr>
          <w:fldChar w:fldCharType="separate"/>
        </w:r>
        <w:r w:rsidR="00A83C7B">
          <w:rPr>
            <w:webHidden/>
          </w:rPr>
          <w:t>57</w:t>
        </w:r>
        <w:r w:rsidR="00500766">
          <w:rPr>
            <w:webHidden/>
          </w:rPr>
          <w:fldChar w:fldCharType="end"/>
        </w:r>
      </w:hyperlink>
    </w:p>
    <w:p w14:paraId="6EFE0B1E"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15" w:history="1">
        <w:r w:rsidR="00500766" w:rsidRPr="00D32211">
          <w:rPr>
            <w:rStyle w:val="Hyperlink"/>
            <w:rFonts w:cstheme="minorHAnsi"/>
          </w:rPr>
          <w:t>Figura 20 - Variazione % nella somma delle aree per tutti i tofi target (mm</w:t>
        </w:r>
        <w:r w:rsidR="00500766" w:rsidRPr="00D32211">
          <w:rPr>
            <w:rStyle w:val="Hyperlink"/>
            <w:rFonts w:cstheme="minorHAnsi"/>
            <w:vertAlign w:val="superscript"/>
          </w:rPr>
          <w:t>2</w:t>
        </w:r>
        <w:r w:rsidR="00500766" w:rsidRPr="00D32211">
          <w:rPr>
            <w:rStyle w:val="Hyperlink"/>
            <w:rFonts w:cstheme="minorHAnsi"/>
          </w:rPr>
          <w:t>) - studio CRYSTAL (Analisi Observed cases; popolazione ITT) (adattato da CSR 304, 2014)</w:t>
        </w:r>
        <w:r w:rsidR="00500766">
          <w:rPr>
            <w:webHidden/>
          </w:rPr>
          <w:tab/>
        </w:r>
        <w:r w:rsidR="00500766">
          <w:rPr>
            <w:webHidden/>
          </w:rPr>
          <w:fldChar w:fldCharType="begin"/>
        </w:r>
        <w:r w:rsidR="00500766">
          <w:rPr>
            <w:webHidden/>
          </w:rPr>
          <w:instrText xml:space="preserve"> PAGEREF _Toc473186915 \h </w:instrText>
        </w:r>
        <w:r w:rsidR="00500766">
          <w:rPr>
            <w:webHidden/>
          </w:rPr>
        </w:r>
        <w:r w:rsidR="00500766">
          <w:rPr>
            <w:webHidden/>
          </w:rPr>
          <w:fldChar w:fldCharType="separate"/>
        </w:r>
        <w:r w:rsidR="00A83C7B">
          <w:rPr>
            <w:webHidden/>
          </w:rPr>
          <w:t>59</w:t>
        </w:r>
        <w:r w:rsidR="00500766">
          <w:rPr>
            <w:webHidden/>
          </w:rPr>
          <w:fldChar w:fldCharType="end"/>
        </w:r>
      </w:hyperlink>
    </w:p>
    <w:p w14:paraId="22FD6D18"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16" w:history="1">
        <w:r w:rsidR="00500766" w:rsidRPr="00D32211">
          <w:rPr>
            <w:rStyle w:val="Hyperlink"/>
            <w:rFonts w:cstheme="minorHAnsi"/>
          </w:rPr>
          <w:t>Figura 21 - Percentuale di pazienti con trattamento per un attacco acuto - CLEAR core ed extension (Analisi observed cases, popolazione ITT) (CSR 306, 2015)</w:t>
        </w:r>
        <w:r w:rsidR="00500766">
          <w:rPr>
            <w:webHidden/>
          </w:rPr>
          <w:tab/>
        </w:r>
        <w:r w:rsidR="00500766">
          <w:rPr>
            <w:webHidden/>
          </w:rPr>
          <w:fldChar w:fldCharType="begin"/>
        </w:r>
        <w:r w:rsidR="00500766">
          <w:rPr>
            <w:webHidden/>
          </w:rPr>
          <w:instrText xml:space="preserve"> PAGEREF _Toc473186916 \h </w:instrText>
        </w:r>
        <w:r w:rsidR="00500766">
          <w:rPr>
            <w:webHidden/>
          </w:rPr>
        </w:r>
        <w:r w:rsidR="00500766">
          <w:rPr>
            <w:webHidden/>
          </w:rPr>
          <w:fldChar w:fldCharType="separate"/>
        </w:r>
        <w:r w:rsidR="00A83C7B">
          <w:rPr>
            <w:webHidden/>
          </w:rPr>
          <w:t>60</w:t>
        </w:r>
        <w:r w:rsidR="00500766">
          <w:rPr>
            <w:webHidden/>
          </w:rPr>
          <w:fldChar w:fldCharType="end"/>
        </w:r>
      </w:hyperlink>
    </w:p>
    <w:p w14:paraId="6F4F08DC"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17" w:history="1">
        <w:r w:rsidR="00500766" w:rsidRPr="00D32211">
          <w:rPr>
            <w:rStyle w:val="Hyperlink"/>
            <w:rFonts w:cstheme="minorHAnsi"/>
          </w:rPr>
          <w:t>Figura 22 - Percentuale di pazienti con trattamento per un attacco acuto - CRYSTAL core ed extension (analisis observed cases, popolazione ITT) (CSR 307, 2015)</w:t>
        </w:r>
        <w:r w:rsidR="00500766">
          <w:rPr>
            <w:webHidden/>
          </w:rPr>
          <w:tab/>
        </w:r>
        <w:r w:rsidR="00500766">
          <w:rPr>
            <w:webHidden/>
          </w:rPr>
          <w:fldChar w:fldCharType="begin"/>
        </w:r>
        <w:r w:rsidR="00500766">
          <w:rPr>
            <w:webHidden/>
          </w:rPr>
          <w:instrText xml:space="preserve"> PAGEREF _Toc473186917 \h </w:instrText>
        </w:r>
        <w:r w:rsidR="00500766">
          <w:rPr>
            <w:webHidden/>
          </w:rPr>
        </w:r>
        <w:r w:rsidR="00500766">
          <w:rPr>
            <w:webHidden/>
          </w:rPr>
          <w:fldChar w:fldCharType="separate"/>
        </w:r>
        <w:r w:rsidR="00A83C7B">
          <w:rPr>
            <w:webHidden/>
          </w:rPr>
          <w:t>60</w:t>
        </w:r>
        <w:r w:rsidR="00500766">
          <w:rPr>
            <w:webHidden/>
          </w:rPr>
          <w:fldChar w:fldCharType="end"/>
        </w:r>
      </w:hyperlink>
    </w:p>
    <w:p w14:paraId="4613C347"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18" w:history="1">
        <w:r w:rsidR="00500766" w:rsidRPr="00D32211">
          <w:rPr>
            <w:rStyle w:val="Hyperlink"/>
            <w:rFonts w:cstheme="minorHAnsi"/>
          </w:rPr>
          <w:t>Figura 23 - Pazienti a target (SUA&lt;6mg/dl) al 6</w:t>
        </w:r>
        <w:r w:rsidR="00500766" w:rsidRPr="00D32211">
          <w:rPr>
            <w:rStyle w:val="Hyperlink"/>
            <w:rFonts w:cstheme="minorHAnsi"/>
          </w:rPr>
          <w:t>°</w:t>
        </w:r>
        <w:r w:rsidR="00500766" w:rsidRPr="00D32211">
          <w:rPr>
            <w:rStyle w:val="Hyperlink"/>
            <w:rFonts w:cstheme="minorHAnsi"/>
          </w:rPr>
          <w:t xml:space="preserve"> mese </w:t>
        </w:r>
        <w:r w:rsidR="00500766" w:rsidRPr="00D32211">
          <w:rPr>
            <w:rStyle w:val="Hyperlink"/>
            <w:rFonts w:cstheme="minorHAnsi"/>
          </w:rPr>
          <w:t>–</w:t>
        </w:r>
        <w:r w:rsidR="00500766" w:rsidRPr="00D32211">
          <w:rPr>
            <w:rStyle w:val="Hyperlink"/>
            <w:rFonts w:cstheme="minorHAnsi"/>
          </w:rPr>
          <w:t xml:space="preserve"> pazienti con compromissione renale lieve o moderata (Analisi NRI, popolazione ITT) (Clinical Overview, 2014)</w:t>
        </w:r>
        <w:r w:rsidR="00500766">
          <w:rPr>
            <w:webHidden/>
          </w:rPr>
          <w:tab/>
        </w:r>
        <w:r w:rsidR="00500766">
          <w:rPr>
            <w:webHidden/>
          </w:rPr>
          <w:fldChar w:fldCharType="begin"/>
        </w:r>
        <w:r w:rsidR="00500766">
          <w:rPr>
            <w:webHidden/>
          </w:rPr>
          <w:instrText xml:space="preserve"> PAGEREF _Toc473186918 \h </w:instrText>
        </w:r>
        <w:r w:rsidR="00500766">
          <w:rPr>
            <w:webHidden/>
          </w:rPr>
        </w:r>
        <w:r w:rsidR="00500766">
          <w:rPr>
            <w:webHidden/>
          </w:rPr>
          <w:fldChar w:fldCharType="separate"/>
        </w:r>
        <w:r w:rsidR="00A83C7B">
          <w:rPr>
            <w:webHidden/>
          </w:rPr>
          <w:t>61</w:t>
        </w:r>
        <w:r w:rsidR="00500766">
          <w:rPr>
            <w:webHidden/>
          </w:rPr>
          <w:fldChar w:fldCharType="end"/>
        </w:r>
      </w:hyperlink>
    </w:p>
    <w:p w14:paraId="7F374F15"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19" w:history="1">
        <w:r w:rsidR="00500766" w:rsidRPr="00D32211">
          <w:rPr>
            <w:rStyle w:val="Hyperlink"/>
            <w:rFonts w:cstheme="minorHAnsi"/>
          </w:rPr>
          <w:t xml:space="preserve">Figura 24 - Pazienti a target sUA&lt;6.0 soggetti con compromissione renale - studio CRYSTAL (analisi LOCF, popolazione ITT) (adattato da CSR 304, 2014 </w:t>
        </w:r>
        <w:r w:rsidR="00500766" w:rsidRPr="00D32211">
          <w:rPr>
            <w:rStyle w:val="Hyperlink"/>
            <w:rFonts w:cstheme="minorHAnsi"/>
          </w:rPr>
          <w:t>–</w:t>
        </w:r>
        <w:r w:rsidR="00500766" w:rsidRPr="00D32211">
          <w:rPr>
            <w:rStyle w:val="Hyperlink"/>
            <w:rFonts w:cstheme="minorHAnsi"/>
          </w:rPr>
          <w:t xml:space="preserve"> Dalbeth, 2015)</w:t>
        </w:r>
        <w:r w:rsidR="00500766">
          <w:rPr>
            <w:webHidden/>
          </w:rPr>
          <w:tab/>
        </w:r>
        <w:r w:rsidR="00500766">
          <w:rPr>
            <w:webHidden/>
          </w:rPr>
          <w:fldChar w:fldCharType="begin"/>
        </w:r>
        <w:r w:rsidR="00500766">
          <w:rPr>
            <w:webHidden/>
          </w:rPr>
          <w:instrText xml:space="preserve"> PAGEREF _Toc473186919 \h </w:instrText>
        </w:r>
        <w:r w:rsidR="00500766">
          <w:rPr>
            <w:webHidden/>
          </w:rPr>
        </w:r>
        <w:r w:rsidR="00500766">
          <w:rPr>
            <w:webHidden/>
          </w:rPr>
          <w:fldChar w:fldCharType="separate"/>
        </w:r>
        <w:r w:rsidR="00A83C7B">
          <w:rPr>
            <w:webHidden/>
          </w:rPr>
          <w:t>62</w:t>
        </w:r>
        <w:r w:rsidR="00500766">
          <w:rPr>
            <w:webHidden/>
          </w:rPr>
          <w:fldChar w:fldCharType="end"/>
        </w:r>
      </w:hyperlink>
    </w:p>
    <w:p w14:paraId="07E1E619"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20" w:history="1">
        <w:r w:rsidR="00500766" w:rsidRPr="00D32211">
          <w:rPr>
            <w:rStyle w:val="Hyperlink"/>
            <w:rFonts w:cstheme="minorHAnsi"/>
          </w:rPr>
          <w:t>Figura 25 - Disegno dello studio CLEAR-1 e CLEAR2 (Saag, 2016; Bardin, 2016)</w:t>
        </w:r>
        <w:r w:rsidR="00500766">
          <w:rPr>
            <w:webHidden/>
          </w:rPr>
          <w:tab/>
        </w:r>
        <w:r w:rsidR="00500766">
          <w:rPr>
            <w:webHidden/>
          </w:rPr>
          <w:fldChar w:fldCharType="begin"/>
        </w:r>
        <w:r w:rsidR="00500766">
          <w:rPr>
            <w:webHidden/>
          </w:rPr>
          <w:instrText xml:space="preserve"> PAGEREF _Toc473186920 \h </w:instrText>
        </w:r>
        <w:r w:rsidR="00500766">
          <w:rPr>
            <w:webHidden/>
          </w:rPr>
        </w:r>
        <w:r w:rsidR="00500766">
          <w:rPr>
            <w:webHidden/>
          </w:rPr>
          <w:fldChar w:fldCharType="separate"/>
        </w:r>
        <w:r w:rsidR="00A83C7B">
          <w:rPr>
            <w:webHidden/>
          </w:rPr>
          <w:t>72</w:t>
        </w:r>
        <w:r w:rsidR="00500766">
          <w:rPr>
            <w:webHidden/>
          </w:rPr>
          <w:fldChar w:fldCharType="end"/>
        </w:r>
      </w:hyperlink>
    </w:p>
    <w:p w14:paraId="0044FE2A"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21" w:history="1">
        <w:r w:rsidR="00500766" w:rsidRPr="00D32211">
          <w:rPr>
            <w:rStyle w:val="Hyperlink"/>
            <w:rFonts w:cstheme="minorHAnsi"/>
          </w:rPr>
          <w:t xml:space="preserve">Figura 26 </w:t>
        </w:r>
        <w:r w:rsidR="00500766" w:rsidRPr="00D32211">
          <w:rPr>
            <w:rStyle w:val="Hyperlink"/>
            <w:rFonts w:cstheme="minorHAnsi"/>
          </w:rPr>
          <w:t>–</w:t>
        </w:r>
        <w:r w:rsidR="00500766" w:rsidRPr="00D32211">
          <w:rPr>
            <w:rStyle w:val="Hyperlink"/>
            <w:rFonts w:cstheme="minorHAnsi"/>
          </w:rPr>
          <w:t xml:space="preserve"> Porzione di soggetti con sUA &lt; 6mg/dl (analisi NRI, popolazione ITT) </w:t>
        </w:r>
        <w:r w:rsidR="00500766" w:rsidRPr="00D32211">
          <w:rPr>
            <w:rStyle w:val="Hyperlink"/>
            <w:rFonts w:cstheme="minorHAnsi"/>
          </w:rPr>
          <w:t>–</w:t>
        </w:r>
        <w:r w:rsidR="00500766" w:rsidRPr="00D32211">
          <w:rPr>
            <w:rStyle w:val="Hyperlink"/>
            <w:rFonts w:cstheme="minorHAnsi"/>
          </w:rPr>
          <w:t xml:space="preserve"> studio CLEAR-1 (adattato da CSR 301, 2014)</w:t>
        </w:r>
        <w:r w:rsidR="00500766">
          <w:rPr>
            <w:webHidden/>
          </w:rPr>
          <w:tab/>
        </w:r>
        <w:r w:rsidR="00500766">
          <w:rPr>
            <w:webHidden/>
          </w:rPr>
          <w:fldChar w:fldCharType="begin"/>
        </w:r>
        <w:r w:rsidR="00500766">
          <w:rPr>
            <w:webHidden/>
          </w:rPr>
          <w:instrText xml:space="preserve"> PAGEREF _Toc473186921 \h </w:instrText>
        </w:r>
        <w:r w:rsidR="00500766">
          <w:rPr>
            <w:webHidden/>
          </w:rPr>
        </w:r>
        <w:r w:rsidR="00500766">
          <w:rPr>
            <w:webHidden/>
          </w:rPr>
          <w:fldChar w:fldCharType="separate"/>
        </w:r>
        <w:r w:rsidR="00A83C7B">
          <w:rPr>
            <w:webHidden/>
          </w:rPr>
          <w:t>75</w:t>
        </w:r>
        <w:r w:rsidR="00500766">
          <w:rPr>
            <w:webHidden/>
          </w:rPr>
          <w:fldChar w:fldCharType="end"/>
        </w:r>
      </w:hyperlink>
    </w:p>
    <w:p w14:paraId="71D743C2"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22" w:history="1">
        <w:r w:rsidR="00500766" w:rsidRPr="00D32211">
          <w:rPr>
            <w:rStyle w:val="Hyperlink"/>
            <w:rFonts w:cstheme="minorHAnsi"/>
          </w:rPr>
          <w:t xml:space="preserve">Figura 27 - Porzione di soggetti con sUA &lt; 6mg/dl (analisi NRI, popolazione ITT) </w:t>
        </w:r>
        <w:r w:rsidR="00500766" w:rsidRPr="00D32211">
          <w:rPr>
            <w:rStyle w:val="Hyperlink"/>
            <w:rFonts w:cstheme="minorHAnsi"/>
          </w:rPr>
          <w:t>–</w:t>
        </w:r>
        <w:r w:rsidR="00500766" w:rsidRPr="00D32211">
          <w:rPr>
            <w:rStyle w:val="Hyperlink"/>
            <w:rFonts w:cstheme="minorHAnsi"/>
          </w:rPr>
          <w:t xml:space="preserve"> studio CLEAR-2 (adattato da CSR 302, 2014)</w:t>
        </w:r>
        <w:r w:rsidR="00500766">
          <w:rPr>
            <w:webHidden/>
          </w:rPr>
          <w:tab/>
        </w:r>
        <w:r w:rsidR="00500766">
          <w:rPr>
            <w:webHidden/>
          </w:rPr>
          <w:fldChar w:fldCharType="begin"/>
        </w:r>
        <w:r w:rsidR="00500766">
          <w:rPr>
            <w:webHidden/>
          </w:rPr>
          <w:instrText xml:space="preserve"> PAGEREF _Toc473186922 \h </w:instrText>
        </w:r>
        <w:r w:rsidR="00500766">
          <w:rPr>
            <w:webHidden/>
          </w:rPr>
        </w:r>
        <w:r w:rsidR="00500766">
          <w:rPr>
            <w:webHidden/>
          </w:rPr>
          <w:fldChar w:fldCharType="separate"/>
        </w:r>
        <w:r w:rsidR="00A83C7B">
          <w:rPr>
            <w:webHidden/>
          </w:rPr>
          <w:t>77</w:t>
        </w:r>
        <w:r w:rsidR="00500766">
          <w:rPr>
            <w:webHidden/>
          </w:rPr>
          <w:fldChar w:fldCharType="end"/>
        </w:r>
      </w:hyperlink>
    </w:p>
    <w:p w14:paraId="6A4F53A6"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23" w:history="1">
        <w:r w:rsidR="00500766" w:rsidRPr="00D32211">
          <w:rPr>
            <w:rStyle w:val="Hyperlink"/>
            <w:rFonts w:cstheme="minorHAnsi"/>
          </w:rPr>
          <w:t>Figura 28 - Disegno dello studio CRYSTAL (CSR 304, 2014 (111))</w:t>
        </w:r>
        <w:r w:rsidR="00500766">
          <w:rPr>
            <w:webHidden/>
          </w:rPr>
          <w:tab/>
        </w:r>
        <w:r w:rsidR="00500766">
          <w:rPr>
            <w:webHidden/>
          </w:rPr>
          <w:fldChar w:fldCharType="begin"/>
        </w:r>
        <w:r w:rsidR="00500766">
          <w:rPr>
            <w:webHidden/>
          </w:rPr>
          <w:instrText xml:space="preserve"> PAGEREF _Toc473186923 \h </w:instrText>
        </w:r>
        <w:r w:rsidR="00500766">
          <w:rPr>
            <w:webHidden/>
          </w:rPr>
        </w:r>
        <w:r w:rsidR="00500766">
          <w:rPr>
            <w:webHidden/>
          </w:rPr>
          <w:fldChar w:fldCharType="separate"/>
        </w:r>
        <w:r w:rsidR="00A83C7B">
          <w:rPr>
            <w:webHidden/>
          </w:rPr>
          <w:t>83</w:t>
        </w:r>
        <w:r w:rsidR="00500766">
          <w:rPr>
            <w:webHidden/>
          </w:rPr>
          <w:fldChar w:fldCharType="end"/>
        </w:r>
      </w:hyperlink>
    </w:p>
    <w:p w14:paraId="0048FE38"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24" w:history="1">
        <w:r w:rsidR="00500766" w:rsidRPr="00500766">
          <w:rPr>
            <w:rStyle w:val="Hyperlink"/>
            <w:rFonts w:eastAsia="Times New Roman" w:cstheme="minorHAnsi"/>
            <w:bCs/>
            <w:lang w:eastAsia="en-US"/>
          </w:rPr>
          <w:t>Figura 29 - Livelli medi di urato sierico ad ogni visita fino al mese 12 - studio CRYSTAL (Observed cases, popolazione ITT) (</w:t>
        </w:r>
        <w:r w:rsidR="00500766" w:rsidRPr="00D32211">
          <w:rPr>
            <w:rStyle w:val="Hyperlink"/>
            <w:rFonts w:eastAsia="Times New Roman" w:cstheme="minorHAnsi"/>
            <w:bCs/>
            <w:lang w:eastAsia="en-US"/>
          </w:rPr>
          <w:t xml:space="preserve">adattato da CSR 304, 2014 </w:t>
        </w:r>
        <w:r w:rsidR="00500766" w:rsidRPr="00D32211">
          <w:rPr>
            <w:rStyle w:val="Hyperlink"/>
            <w:rFonts w:eastAsia="Times New Roman" w:cstheme="minorHAnsi"/>
            <w:bCs/>
            <w:lang w:eastAsia="en-US"/>
          </w:rPr>
          <w:t>–</w:t>
        </w:r>
        <w:r w:rsidR="00500766" w:rsidRPr="00D32211">
          <w:rPr>
            <w:rStyle w:val="Hyperlink"/>
            <w:rFonts w:eastAsia="Times New Roman" w:cstheme="minorHAnsi"/>
            <w:bCs/>
            <w:lang w:eastAsia="en-US"/>
          </w:rPr>
          <w:t xml:space="preserve"> Dalbeth, 2015)</w:t>
        </w:r>
        <w:r w:rsidR="00500766">
          <w:rPr>
            <w:webHidden/>
          </w:rPr>
          <w:tab/>
        </w:r>
        <w:r w:rsidR="00500766">
          <w:rPr>
            <w:webHidden/>
          </w:rPr>
          <w:fldChar w:fldCharType="begin"/>
        </w:r>
        <w:r w:rsidR="00500766">
          <w:rPr>
            <w:webHidden/>
          </w:rPr>
          <w:instrText xml:space="preserve"> PAGEREF _Toc473186924 \h </w:instrText>
        </w:r>
        <w:r w:rsidR="00500766">
          <w:rPr>
            <w:webHidden/>
          </w:rPr>
        </w:r>
        <w:r w:rsidR="00500766">
          <w:rPr>
            <w:webHidden/>
          </w:rPr>
          <w:fldChar w:fldCharType="separate"/>
        </w:r>
        <w:r w:rsidR="00A83C7B">
          <w:rPr>
            <w:webHidden/>
          </w:rPr>
          <w:t>87</w:t>
        </w:r>
        <w:r w:rsidR="00500766">
          <w:rPr>
            <w:webHidden/>
          </w:rPr>
          <w:fldChar w:fldCharType="end"/>
        </w:r>
      </w:hyperlink>
    </w:p>
    <w:p w14:paraId="0B4D67F0"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25" w:history="1">
        <w:r w:rsidR="00500766" w:rsidRPr="00D32211">
          <w:rPr>
            <w:rStyle w:val="Hyperlink"/>
            <w:rFonts w:cstheme="minorHAnsi"/>
          </w:rPr>
          <w:t>Figura 30 - End-point primario nei pazienti SUA&gt;5 mg/dl al basale - studio CRYSTAL (analisi NRI, popolazione ITT) (adattato da CSR 304, 2014)</w:t>
        </w:r>
        <w:r w:rsidR="00500766">
          <w:rPr>
            <w:webHidden/>
          </w:rPr>
          <w:tab/>
        </w:r>
        <w:r w:rsidR="00500766">
          <w:rPr>
            <w:webHidden/>
          </w:rPr>
          <w:fldChar w:fldCharType="begin"/>
        </w:r>
        <w:r w:rsidR="00500766">
          <w:rPr>
            <w:webHidden/>
          </w:rPr>
          <w:instrText xml:space="preserve"> PAGEREF _Toc473186925 \h </w:instrText>
        </w:r>
        <w:r w:rsidR="00500766">
          <w:rPr>
            <w:webHidden/>
          </w:rPr>
        </w:r>
        <w:r w:rsidR="00500766">
          <w:rPr>
            <w:webHidden/>
          </w:rPr>
          <w:fldChar w:fldCharType="separate"/>
        </w:r>
        <w:r w:rsidR="00A83C7B">
          <w:rPr>
            <w:webHidden/>
          </w:rPr>
          <w:t>88</w:t>
        </w:r>
        <w:r w:rsidR="00500766">
          <w:rPr>
            <w:webHidden/>
          </w:rPr>
          <w:fldChar w:fldCharType="end"/>
        </w:r>
      </w:hyperlink>
    </w:p>
    <w:p w14:paraId="33992181"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26" w:history="1">
        <w:r w:rsidR="00500766" w:rsidRPr="00D32211">
          <w:rPr>
            <w:rStyle w:val="Hyperlink"/>
            <w:rFonts w:cstheme="minorHAnsi"/>
          </w:rPr>
          <w:t>Figura 31 - Percentuale di pazienti a target SUA&lt;4; &lt;3 mg/dl ai mesi 6</w:t>
        </w:r>
        <w:r w:rsidR="00500766" w:rsidRPr="00D32211">
          <w:rPr>
            <w:rStyle w:val="Hyperlink"/>
            <w:rFonts w:cstheme="minorHAnsi"/>
          </w:rPr>
          <w:t>°</w:t>
        </w:r>
        <w:r w:rsidR="00500766" w:rsidRPr="00D32211">
          <w:rPr>
            <w:rStyle w:val="Hyperlink"/>
            <w:rFonts w:cstheme="minorHAnsi"/>
          </w:rPr>
          <w:t xml:space="preserve"> e 12</w:t>
        </w:r>
        <w:r w:rsidR="00500766" w:rsidRPr="00D32211">
          <w:rPr>
            <w:rStyle w:val="Hyperlink"/>
            <w:rFonts w:cstheme="minorHAnsi"/>
          </w:rPr>
          <w:t>°</w:t>
        </w:r>
        <w:r w:rsidR="00500766" w:rsidRPr="00D32211">
          <w:rPr>
            <w:rStyle w:val="Hyperlink"/>
            <w:rFonts w:cstheme="minorHAnsi"/>
          </w:rPr>
          <w:t xml:space="preserve"> - studio CRYSTAL (Analisi NRI </w:t>
        </w:r>
        <w:r w:rsidR="00500766" w:rsidRPr="00D32211">
          <w:rPr>
            <w:rStyle w:val="Hyperlink"/>
            <w:rFonts w:cstheme="minorHAnsi"/>
          </w:rPr>
          <w:t>–</w:t>
        </w:r>
        <w:r w:rsidR="00500766" w:rsidRPr="00D32211">
          <w:rPr>
            <w:rStyle w:val="Hyperlink"/>
            <w:rFonts w:cstheme="minorHAnsi"/>
          </w:rPr>
          <w:t xml:space="preserve"> popolazione ITT) ( adattato da CSR 304, 2014 </w:t>
        </w:r>
        <w:r w:rsidR="00500766" w:rsidRPr="00D32211">
          <w:rPr>
            <w:rStyle w:val="Hyperlink"/>
            <w:rFonts w:cstheme="minorHAnsi"/>
          </w:rPr>
          <w:t>–</w:t>
        </w:r>
        <w:r w:rsidR="00500766" w:rsidRPr="00D32211">
          <w:rPr>
            <w:rStyle w:val="Hyperlink"/>
            <w:rFonts w:cstheme="minorHAnsi"/>
          </w:rPr>
          <w:t xml:space="preserve"> Dalbeth, 2015)</w:t>
        </w:r>
        <w:r w:rsidR="00500766">
          <w:rPr>
            <w:webHidden/>
          </w:rPr>
          <w:tab/>
        </w:r>
        <w:r w:rsidR="00500766">
          <w:rPr>
            <w:webHidden/>
          </w:rPr>
          <w:fldChar w:fldCharType="begin"/>
        </w:r>
        <w:r w:rsidR="00500766">
          <w:rPr>
            <w:webHidden/>
          </w:rPr>
          <w:instrText xml:space="preserve"> PAGEREF _Toc473186926 \h </w:instrText>
        </w:r>
        <w:r w:rsidR="00500766">
          <w:rPr>
            <w:webHidden/>
          </w:rPr>
        </w:r>
        <w:r w:rsidR="00500766">
          <w:rPr>
            <w:webHidden/>
          </w:rPr>
          <w:fldChar w:fldCharType="separate"/>
        </w:r>
        <w:r w:rsidR="00A83C7B">
          <w:rPr>
            <w:webHidden/>
          </w:rPr>
          <w:t>89</w:t>
        </w:r>
        <w:r w:rsidR="00500766">
          <w:rPr>
            <w:webHidden/>
          </w:rPr>
          <w:fldChar w:fldCharType="end"/>
        </w:r>
      </w:hyperlink>
    </w:p>
    <w:p w14:paraId="14A72660"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27" w:history="1">
        <w:r w:rsidR="00500766" w:rsidRPr="00D32211">
          <w:rPr>
            <w:rStyle w:val="Hyperlink"/>
            <w:rFonts w:cstheme="minorHAnsi"/>
          </w:rPr>
          <w:t xml:space="preserve">Figura 32 - Pazienti a target sUA&lt;5.0 soggetti con compromissione renale - studio CRYSTAL (analisi LOCF, popolazione ITT)  (adattato da CSR 304, 2014 </w:t>
        </w:r>
        <w:r w:rsidR="00500766" w:rsidRPr="00D32211">
          <w:rPr>
            <w:rStyle w:val="Hyperlink"/>
            <w:rFonts w:cstheme="minorHAnsi"/>
          </w:rPr>
          <w:t>–</w:t>
        </w:r>
        <w:r w:rsidR="00500766" w:rsidRPr="00D32211">
          <w:rPr>
            <w:rStyle w:val="Hyperlink"/>
            <w:rFonts w:cstheme="minorHAnsi"/>
          </w:rPr>
          <w:t xml:space="preserve"> Dalbeth, 2015)</w:t>
        </w:r>
        <w:r w:rsidR="00500766">
          <w:rPr>
            <w:webHidden/>
          </w:rPr>
          <w:tab/>
        </w:r>
        <w:r w:rsidR="00500766">
          <w:rPr>
            <w:webHidden/>
          </w:rPr>
          <w:fldChar w:fldCharType="begin"/>
        </w:r>
        <w:r w:rsidR="00500766">
          <w:rPr>
            <w:webHidden/>
          </w:rPr>
          <w:instrText xml:space="preserve"> PAGEREF _Toc473186927 \h </w:instrText>
        </w:r>
        <w:r w:rsidR="00500766">
          <w:rPr>
            <w:webHidden/>
          </w:rPr>
        </w:r>
        <w:r w:rsidR="00500766">
          <w:rPr>
            <w:webHidden/>
          </w:rPr>
          <w:fldChar w:fldCharType="separate"/>
        </w:r>
        <w:r w:rsidR="00A83C7B">
          <w:rPr>
            <w:webHidden/>
          </w:rPr>
          <w:t>90</w:t>
        </w:r>
        <w:r w:rsidR="00500766">
          <w:rPr>
            <w:webHidden/>
          </w:rPr>
          <w:fldChar w:fldCharType="end"/>
        </w:r>
      </w:hyperlink>
    </w:p>
    <w:p w14:paraId="6B77F745"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28" w:history="1">
        <w:r w:rsidR="00500766" w:rsidRPr="00D32211">
          <w:rPr>
            <w:rStyle w:val="Hyperlink"/>
            <w:rFonts w:cstheme="minorHAnsi"/>
          </w:rPr>
          <w:t>Figura 33 - Variazione % nella somma delle aree per tutti i tofi target (mm</w:t>
        </w:r>
        <w:r w:rsidR="00500766" w:rsidRPr="00D32211">
          <w:rPr>
            <w:rStyle w:val="Hyperlink"/>
            <w:rFonts w:cstheme="minorHAnsi"/>
            <w:vertAlign w:val="superscript"/>
          </w:rPr>
          <w:t>2</w:t>
        </w:r>
        <w:r w:rsidR="00500766" w:rsidRPr="00D32211">
          <w:rPr>
            <w:rStyle w:val="Hyperlink"/>
            <w:rFonts w:cstheme="minorHAnsi"/>
          </w:rPr>
          <w:t>) - studio CRYSTAL (Analisi Observed cases; popolazione ITT) (adattato da CSR 304, 2014)</w:t>
        </w:r>
        <w:r w:rsidR="00500766">
          <w:rPr>
            <w:webHidden/>
          </w:rPr>
          <w:tab/>
        </w:r>
        <w:r w:rsidR="00500766">
          <w:rPr>
            <w:webHidden/>
          </w:rPr>
          <w:fldChar w:fldCharType="begin"/>
        </w:r>
        <w:r w:rsidR="00500766">
          <w:rPr>
            <w:webHidden/>
          </w:rPr>
          <w:instrText xml:space="preserve"> PAGEREF _Toc473186928 \h </w:instrText>
        </w:r>
        <w:r w:rsidR="00500766">
          <w:rPr>
            <w:webHidden/>
          </w:rPr>
        </w:r>
        <w:r w:rsidR="00500766">
          <w:rPr>
            <w:webHidden/>
          </w:rPr>
          <w:fldChar w:fldCharType="separate"/>
        </w:r>
        <w:r w:rsidR="00A83C7B">
          <w:rPr>
            <w:webHidden/>
          </w:rPr>
          <w:t>91</w:t>
        </w:r>
        <w:r w:rsidR="00500766">
          <w:rPr>
            <w:webHidden/>
          </w:rPr>
          <w:fldChar w:fldCharType="end"/>
        </w:r>
      </w:hyperlink>
    </w:p>
    <w:p w14:paraId="7455F1B6"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29" w:history="1">
        <w:r w:rsidR="00500766" w:rsidRPr="00D32211">
          <w:rPr>
            <w:rStyle w:val="Hyperlink"/>
            <w:rFonts w:cstheme="minorHAnsi"/>
          </w:rPr>
          <w:t xml:space="preserve">Figura 34 </w:t>
        </w:r>
        <w:r w:rsidR="00500766" w:rsidRPr="00D32211">
          <w:rPr>
            <w:rStyle w:val="Hyperlink"/>
            <w:rFonts w:cstheme="minorHAnsi"/>
          </w:rPr>
          <w:t>–</w:t>
        </w:r>
        <w:r w:rsidR="00500766" w:rsidRPr="00D32211">
          <w:rPr>
            <w:rStyle w:val="Hyperlink"/>
            <w:rFonts w:cstheme="minorHAnsi"/>
          </w:rPr>
          <w:t xml:space="preserve"> Percentuale di soggetti con risoluzione completa o parziale di </w:t>
        </w:r>
        <w:r w:rsidR="00500766" w:rsidRPr="00D32211">
          <w:rPr>
            <w:rStyle w:val="Hyperlink"/>
            <w:rFonts w:cstheme="minorHAnsi"/>
          </w:rPr>
          <w:t>≥</w:t>
        </w:r>
        <w:r w:rsidR="00500766" w:rsidRPr="00D32211">
          <w:rPr>
            <w:rStyle w:val="Hyperlink"/>
            <w:rFonts w:cstheme="minorHAnsi"/>
          </w:rPr>
          <w:t xml:space="preserve"> 1 tofo target al Mese 12 (adattato da CSR 304, 2014)</w:t>
        </w:r>
        <w:r w:rsidR="00500766">
          <w:rPr>
            <w:webHidden/>
          </w:rPr>
          <w:tab/>
        </w:r>
        <w:r w:rsidR="00500766">
          <w:rPr>
            <w:webHidden/>
          </w:rPr>
          <w:fldChar w:fldCharType="begin"/>
        </w:r>
        <w:r w:rsidR="00500766">
          <w:rPr>
            <w:webHidden/>
          </w:rPr>
          <w:instrText xml:space="preserve"> PAGEREF _Toc473186929 \h </w:instrText>
        </w:r>
        <w:r w:rsidR="00500766">
          <w:rPr>
            <w:webHidden/>
          </w:rPr>
        </w:r>
        <w:r w:rsidR="00500766">
          <w:rPr>
            <w:webHidden/>
          </w:rPr>
          <w:fldChar w:fldCharType="separate"/>
        </w:r>
        <w:r w:rsidR="00A83C7B">
          <w:rPr>
            <w:webHidden/>
          </w:rPr>
          <w:t>92</w:t>
        </w:r>
        <w:r w:rsidR="00500766">
          <w:rPr>
            <w:webHidden/>
          </w:rPr>
          <w:fldChar w:fldCharType="end"/>
        </w:r>
      </w:hyperlink>
    </w:p>
    <w:p w14:paraId="2026BAE5"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30" w:history="1">
        <w:r w:rsidR="00500766" w:rsidRPr="00D32211">
          <w:rPr>
            <w:rStyle w:val="Hyperlink"/>
            <w:rFonts w:cstheme="minorHAnsi"/>
          </w:rPr>
          <w:t xml:space="preserve">Figura 35 - Livelli medi di urato sierico ad ogni visita </w:t>
        </w:r>
        <w:r w:rsidR="00500766" w:rsidRPr="00D32211">
          <w:rPr>
            <w:rStyle w:val="Hyperlink"/>
            <w:rFonts w:cstheme="minorHAnsi"/>
          </w:rPr>
          <w:t>–</w:t>
        </w:r>
        <w:r w:rsidR="00500766" w:rsidRPr="00D32211">
          <w:rPr>
            <w:rStyle w:val="Hyperlink"/>
            <w:rFonts w:cstheme="minorHAnsi"/>
          </w:rPr>
          <w:t xml:space="preserve"> dati pooled studi CLEAR (analisi observed cases, popolazione ITT)(SmPC Zurampic, EPAR, 2015)</w:t>
        </w:r>
        <w:r w:rsidR="00500766">
          <w:rPr>
            <w:webHidden/>
          </w:rPr>
          <w:tab/>
        </w:r>
        <w:r w:rsidR="00500766">
          <w:rPr>
            <w:webHidden/>
          </w:rPr>
          <w:fldChar w:fldCharType="begin"/>
        </w:r>
        <w:r w:rsidR="00500766">
          <w:rPr>
            <w:webHidden/>
          </w:rPr>
          <w:instrText xml:space="preserve"> PAGEREF _Toc473186930 \h </w:instrText>
        </w:r>
        <w:r w:rsidR="00500766">
          <w:rPr>
            <w:webHidden/>
          </w:rPr>
        </w:r>
        <w:r w:rsidR="00500766">
          <w:rPr>
            <w:webHidden/>
          </w:rPr>
          <w:fldChar w:fldCharType="separate"/>
        </w:r>
        <w:r w:rsidR="00A83C7B">
          <w:rPr>
            <w:webHidden/>
          </w:rPr>
          <w:t>98</w:t>
        </w:r>
        <w:r w:rsidR="00500766">
          <w:rPr>
            <w:webHidden/>
          </w:rPr>
          <w:fldChar w:fldCharType="end"/>
        </w:r>
      </w:hyperlink>
    </w:p>
    <w:p w14:paraId="08DCACB3"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31" w:history="1">
        <w:r w:rsidR="00500766" w:rsidRPr="00D32211">
          <w:rPr>
            <w:rStyle w:val="Hyperlink"/>
            <w:rFonts w:cstheme="minorHAnsi"/>
          </w:rPr>
          <w:t>Figura 36 - Pazienti a target (SUA&lt;6mg/dl) al 6</w:t>
        </w:r>
        <w:r w:rsidR="00500766" w:rsidRPr="00D32211">
          <w:rPr>
            <w:rStyle w:val="Hyperlink"/>
            <w:rFonts w:cstheme="minorHAnsi"/>
          </w:rPr>
          <w:t>°</w:t>
        </w:r>
        <w:r w:rsidR="00500766" w:rsidRPr="00D32211">
          <w:rPr>
            <w:rStyle w:val="Hyperlink"/>
            <w:rFonts w:cstheme="minorHAnsi"/>
          </w:rPr>
          <w:t xml:space="preserve"> mese </w:t>
        </w:r>
        <w:r w:rsidR="00500766" w:rsidRPr="00D32211">
          <w:rPr>
            <w:rStyle w:val="Hyperlink"/>
            <w:rFonts w:cstheme="minorHAnsi"/>
          </w:rPr>
          <w:t>–</w:t>
        </w:r>
        <w:r w:rsidR="00500766" w:rsidRPr="00D32211">
          <w:rPr>
            <w:rStyle w:val="Hyperlink"/>
            <w:rFonts w:cstheme="minorHAnsi"/>
          </w:rPr>
          <w:t xml:space="preserve"> pazienti con compromissione renale lieve o moderata (Analisi NRI, popolazione ITT) (Clinical Overview, 2014)</w:t>
        </w:r>
        <w:r w:rsidR="00500766">
          <w:rPr>
            <w:webHidden/>
          </w:rPr>
          <w:tab/>
        </w:r>
        <w:r w:rsidR="00500766">
          <w:rPr>
            <w:webHidden/>
          </w:rPr>
          <w:fldChar w:fldCharType="begin"/>
        </w:r>
        <w:r w:rsidR="00500766">
          <w:rPr>
            <w:webHidden/>
          </w:rPr>
          <w:instrText xml:space="preserve"> PAGEREF _Toc473186931 \h </w:instrText>
        </w:r>
        <w:r w:rsidR="00500766">
          <w:rPr>
            <w:webHidden/>
          </w:rPr>
        </w:r>
        <w:r w:rsidR="00500766">
          <w:rPr>
            <w:webHidden/>
          </w:rPr>
          <w:fldChar w:fldCharType="separate"/>
        </w:r>
        <w:r w:rsidR="00A83C7B">
          <w:rPr>
            <w:webHidden/>
          </w:rPr>
          <w:t>99</w:t>
        </w:r>
        <w:r w:rsidR="00500766">
          <w:rPr>
            <w:webHidden/>
          </w:rPr>
          <w:fldChar w:fldCharType="end"/>
        </w:r>
      </w:hyperlink>
    </w:p>
    <w:p w14:paraId="14DA09C6"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32" w:history="1">
        <w:r w:rsidR="00500766" w:rsidRPr="00D32211">
          <w:rPr>
            <w:rStyle w:val="Hyperlink"/>
            <w:rFonts w:cstheme="minorHAnsi"/>
          </w:rPr>
          <w:t>Figura 37 - Disegno dello studio CLEAR extension (Saag, 2016 (143))</w:t>
        </w:r>
        <w:r w:rsidR="00500766">
          <w:rPr>
            <w:webHidden/>
          </w:rPr>
          <w:tab/>
        </w:r>
        <w:r w:rsidR="00500766">
          <w:rPr>
            <w:webHidden/>
          </w:rPr>
          <w:fldChar w:fldCharType="begin"/>
        </w:r>
        <w:r w:rsidR="00500766">
          <w:rPr>
            <w:webHidden/>
          </w:rPr>
          <w:instrText xml:space="preserve"> PAGEREF _Toc473186932 \h </w:instrText>
        </w:r>
        <w:r w:rsidR="00500766">
          <w:rPr>
            <w:webHidden/>
          </w:rPr>
        </w:r>
        <w:r w:rsidR="00500766">
          <w:rPr>
            <w:webHidden/>
          </w:rPr>
          <w:fldChar w:fldCharType="separate"/>
        </w:r>
        <w:r w:rsidR="00A83C7B">
          <w:rPr>
            <w:webHidden/>
          </w:rPr>
          <w:t>106</w:t>
        </w:r>
        <w:r w:rsidR="00500766">
          <w:rPr>
            <w:webHidden/>
          </w:rPr>
          <w:fldChar w:fldCharType="end"/>
        </w:r>
      </w:hyperlink>
    </w:p>
    <w:p w14:paraId="0BB5B3FE"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33" w:history="1">
        <w:r w:rsidR="00500766" w:rsidRPr="00D32211">
          <w:rPr>
            <w:rStyle w:val="Hyperlink"/>
            <w:rFonts w:cstheme="minorHAnsi"/>
          </w:rPr>
          <w:t>Figura 38 - Pazienti a target (SUA&lt;6mg/dl) - CLEAR core ed extension (Observed case analysis, popolazione ITT) (adattato da CSR 306, 2015 (130) e Saag, 2016 (143))</w:t>
        </w:r>
        <w:r w:rsidR="00500766">
          <w:rPr>
            <w:webHidden/>
          </w:rPr>
          <w:tab/>
        </w:r>
        <w:r w:rsidR="00500766">
          <w:rPr>
            <w:webHidden/>
          </w:rPr>
          <w:fldChar w:fldCharType="begin"/>
        </w:r>
        <w:r w:rsidR="00500766">
          <w:rPr>
            <w:webHidden/>
          </w:rPr>
          <w:instrText xml:space="preserve"> PAGEREF _Toc473186933 \h </w:instrText>
        </w:r>
        <w:r w:rsidR="00500766">
          <w:rPr>
            <w:webHidden/>
          </w:rPr>
        </w:r>
        <w:r w:rsidR="00500766">
          <w:rPr>
            <w:webHidden/>
          </w:rPr>
          <w:fldChar w:fldCharType="separate"/>
        </w:r>
        <w:r w:rsidR="00A83C7B">
          <w:rPr>
            <w:webHidden/>
          </w:rPr>
          <w:t>109</w:t>
        </w:r>
        <w:r w:rsidR="00500766">
          <w:rPr>
            <w:webHidden/>
          </w:rPr>
          <w:fldChar w:fldCharType="end"/>
        </w:r>
      </w:hyperlink>
    </w:p>
    <w:p w14:paraId="54C6E08D"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34" w:history="1">
        <w:r w:rsidR="00500766" w:rsidRPr="00D32211">
          <w:rPr>
            <w:rStyle w:val="Hyperlink"/>
            <w:rFonts w:cstheme="minorHAnsi"/>
          </w:rPr>
          <w:t xml:space="preserve">Figura 39 - Percentuale di soggetti con risoluzione completa &gt;1 tofo target </w:t>
        </w:r>
        <w:r w:rsidR="00500766" w:rsidRPr="00D32211">
          <w:rPr>
            <w:rStyle w:val="Hyperlink"/>
            <w:rFonts w:cstheme="minorHAnsi"/>
          </w:rPr>
          <w:t>–</w:t>
        </w:r>
        <w:r w:rsidR="00500766" w:rsidRPr="00D32211">
          <w:rPr>
            <w:rStyle w:val="Hyperlink"/>
            <w:rFonts w:cstheme="minorHAnsi"/>
          </w:rPr>
          <w:t xml:space="preserve"> CLEAR core e extension (analisi LOCF, popolazione ITT) (adattato da CSR 306, 2015)</w:t>
        </w:r>
        <w:r w:rsidR="00500766">
          <w:rPr>
            <w:webHidden/>
          </w:rPr>
          <w:tab/>
        </w:r>
        <w:r w:rsidR="00500766">
          <w:rPr>
            <w:webHidden/>
          </w:rPr>
          <w:fldChar w:fldCharType="begin"/>
        </w:r>
        <w:r w:rsidR="00500766">
          <w:rPr>
            <w:webHidden/>
          </w:rPr>
          <w:instrText xml:space="preserve"> PAGEREF _Toc473186934 \h </w:instrText>
        </w:r>
        <w:r w:rsidR="00500766">
          <w:rPr>
            <w:webHidden/>
          </w:rPr>
        </w:r>
        <w:r w:rsidR="00500766">
          <w:rPr>
            <w:webHidden/>
          </w:rPr>
          <w:fldChar w:fldCharType="separate"/>
        </w:r>
        <w:r w:rsidR="00A83C7B">
          <w:rPr>
            <w:webHidden/>
          </w:rPr>
          <w:t>110</w:t>
        </w:r>
        <w:r w:rsidR="00500766">
          <w:rPr>
            <w:webHidden/>
          </w:rPr>
          <w:fldChar w:fldCharType="end"/>
        </w:r>
      </w:hyperlink>
    </w:p>
    <w:p w14:paraId="6CA173C9"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35" w:history="1">
        <w:r w:rsidR="00500766" w:rsidRPr="00D32211">
          <w:rPr>
            <w:rStyle w:val="Hyperlink"/>
            <w:rFonts w:cstheme="minorHAnsi"/>
          </w:rPr>
          <w:t>Figura 40 - Percentuale di pazienti con trattamento per un attacco acuto - CLEAR core ed extension (observed case, popolazione ITT) (CSR 306, 2015)</w:t>
        </w:r>
        <w:r w:rsidR="00500766">
          <w:rPr>
            <w:webHidden/>
          </w:rPr>
          <w:tab/>
        </w:r>
        <w:r w:rsidR="00500766">
          <w:rPr>
            <w:webHidden/>
          </w:rPr>
          <w:fldChar w:fldCharType="begin"/>
        </w:r>
        <w:r w:rsidR="00500766">
          <w:rPr>
            <w:webHidden/>
          </w:rPr>
          <w:instrText xml:space="preserve"> PAGEREF _Toc473186935 \h </w:instrText>
        </w:r>
        <w:r w:rsidR="00500766">
          <w:rPr>
            <w:webHidden/>
          </w:rPr>
        </w:r>
        <w:r w:rsidR="00500766">
          <w:rPr>
            <w:webHidden/>
          </w:rPr>
          <w:fldChar w:fldCharType="separate"/>
        </w:r>
        <w:r w:rsidR="00A83C7B">
          <w:rPr>
            <w:webHidden/>
          </w:rPr>
          <w:t>111</w:t>
        </w:r>
        <w:r w:rsidR="00500766">
          <w:rPr>
            <w:webHidden/>
          </w:rPr>
          <w:fldChar w:fldCharType="end"/>
        </w:r>
      </w:hyperlink>
    </w:p>
    <w:p w14:paraId="08E3DBCF"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36" w:history="1">
        <w:r w:rsidR="00500766" w:rsidRPr="00D32211">
          <w:rPr>
            <w:rStyle w:val="Hyperlink"/>
            <w:rFonts w:cstheme="minorHAnsi"/>
          </w:rPr>
          <w:t>Figura 41 - Disegno dello studio CRYSTAL extension (Dalbeth, 2015 (144))</w:t>
        </w:r>
        <w:r w:rsidR="00500766">
          <w:rPr>
            <w:webHidden/>
          </w:rPr>
          <w:tab/>
        </w:r>
        <w:r w:rsidR="00500766">
          <w:rPr>
            <w:webHidden/>
          </w:rPr>
          <w:fldChar w:fldCharType="begin"/>
        </w:r>
        <w:r w:rsidR="00500766">
          <w:rPr>
            <w:webHidden/>
          </w:rPr>
          <w:instrText xml:space="preserve"> PAGEREF _Toc473186936 \h </w:instrText>
        </w:r>
        <w:r w:rsidR="00500766">
          <w:rPr>
            <w:webHidden/>
          </w:rPr>
        </w:r>
        <w:r w:rsidR="00500766">
          <w:rPr>
            <w:webHidden/>
          </w:rPr>
          <w:fldChar w:fldCharType="separate"/>
        </w:r>
        <w:r w:rsidR="00A83C7B">
          <w:rPr>
            <w:webHidden/>
          </w:rPr>
          <w:t>115</w:t>
        </w:r>
        <w:r w:rsidR="00500766">
          <w:rPr>
            <w:webHidden/>
          </w:rPr>
          <w:fldChar w:fldCharType="end"/>
        </w:r>
      </w:hyperlink>
    </w:p>
    <w:p w14:paraId="28745C5B"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37" w:history="1">
        <w:r w:rsidR="00500766" w:rsidRPr="00D32211">
          <w:rPr>
            <w:rStyle w:val="Hyperlink"/>
            <w:rFonts w:cstheme="minorHAnsi"/>
          </w:rPr>
          <w:t xml:space="preserve">Figura 42 </w:t>
        </w:r>
        <w:r w:rsidR="00500766" w:rsidRPr="00D32211">
          <w:rPr>
            <w:rStyle w:val="Hyperlink"/>
            <w:rFonts w:cstheme="minorHAnsi"/>
          </w:rPr>
          <w:t>–</w:t>
        </w:r>
        <w:r w:rsidR="00500766" w:rsidRPr="00D32211">
          <w:rPr>
            <w:rStyle w:val="Hyperlink"/>
            <w:rFonts w:cstheme="minorHAnsi"/>
          </w:rPr>
          <w:t xml:space="preserve"> Porzione di soggetti con sUA &lt; 5 mg/dl </w:t>
        </w:r>
        <w:r w:rsidR="00500766" w:rsidRPr="00D32211">
          <w:rPr>
            <w:rStyle w:val="Hyperlink"/>
            <w:rFonts w:cstheme="minorHAnsi"/>
          </w:rPr>
          <w:t>–</w:t>
        </w:r>
        <w:r w:rsidR="00500766" w:rsidRPr="00D32211">
          <w:rPr>
            <w:rStyle w:val="Hyperlink"/>
            <w:rFonts w:cstheme="minorHAnsi"/>
          </w:rPr>
          <w:t xml:space="preserve"> CRYSTAL core ed extension (observed case, popolazione ITT) (adattato da Dalbeth, 2015)</w:t>
        </w:r>
        <w:r w:rsidR="00500766">
          <w:rPr>
            <w:webHidden/>
          </w:rPr>
          <w:tab/>
        </w:r>
        <w:r w:rsidR="00500766">
          <w:rPr>
            <w:webHidden/>
          </w:rPr>
          <w:fldChar w:fldCharType="begin"/>
        </w:r>
        <w:r w:rsidR="00500766">
          <w:rPr>
            <w:webHidden/>
          </w:rPr>
          <w:instrText xml:space="preserve"> PAGEREF _Toc473186937 \h </w:instrText>
        </w:r>
        <w:r w:rsidR="00500766">
          <w:rPr>
            <w:webHidden/>
          </w:rPr>
        </w:r>
        <w:r w:rsidR="00500766">
          <w:rPr>
            <w:webHidden/>
          </w:rPr>
          <w:fldChar w:fldCharType="separate"/>
        </w:r>
        <w:r w:rsidR="00A83C7B">
          <w:rPr>
            <w:webHidden/>
          </w:rPr>
          <w:t>118</w:t>
        </w:r>
        <w:r w:rsidR="00500766">
          <w:rPr>
            <w:webHidden/>
          </w:rPr>
          <w:fldChar w:fldCharType="end"/>
        </w:r>
      </w:hyperlink>
    </w:p>
    <w:p w14:paraId="1307E5D4"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38" w:history="1">
        <w:r w:rsidR="00500766" w:rsidRPr="00D32211">
          <w:rPr>
            <w:rStyle w:val="Hyperlink"/>
            <w:rFonts w:cstheme="minorHAnsi"/>
          </w:rPr>
          <w:t>Figura 43 - Percentuale di pazienti con risoluzione completa &gt;1 tofo target nel corso di CRYSTAL core e extension (analisi LOCF, popolazione ITT) (adattata CSR 307, 2015)</w:t>
        </w:r>
        <w:r w:rsidR="00500766">
          <w:rPr>
            <w:webHidden/>
          </w:rPr>
          <w:tab/>
        </w:r>
        <w:r w:rsidR="00500766">
          <w:rPr>
            <w:webHidden/>
          </w:rPr>
          <w:fldChar w:fldCharType="begin"/>
        </w:r>
        <w:r w:rsidR="00500766">
          <w:rPr>
            <w:webHidden/>
          </w:rPr>
          <w:instrText xml:space="preserve"> PAGEREF _Toc473186938 \h </w:instrText>
        </w:r>
        <w:r w:rsidR="00500766">
          <w:rPr>
            <w:webHidden/>
          </w:rPr>
        </w:r>
        <w:r w:rsidR="00500766">
          <w:rPr>
            <w:webHidden/>
          </w:rPr>
          <w:fldChar w:fldCharType="separate"/>
        </w:r>
        <w:r w:rsidR="00A83C7B">
          <w:rPr>
            <w:webHidden/>
          </w:rPr>
          <w:t>119</w:t>
        </w:r>
        <w:r w:rsidR="00500766">
          <w:rPr>
            <w:webHidden/>
          </w:rPr>
          <w:fldChar w:fldCharType="end"/>
        </w:r>
      </w:hyperlink>
    </w:p>
    <w:p w14:paraId="3108B688"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39" w:history="1">
        <w:r w:rsidR="00500766" w:rsidRPr="00D32211">
          <w:rPr>
            <w:rStyle w:val="Hyperlink"/>
            <w:rFonts w:cstheme="minorHAnsi"/>
          </w:rPr>
          <w:t>Figura 44 - Variazione percentuale area del tofo target nel corso di CRYSTAL core ed extension (Analisi LOCF, popolazione ITT) (adattata CSR 307, 2015)</w:t>
        </w:r>
        <w:r w:rsidR="00500766">
          <w:rPr>
            <w:webHidden/>
          </w:rPr>
          <w:tab/>
        </w:r>
        <w:r w:rsidR="00500766">
          <w:rPr>
            <w:webHidden/>
          </w:rPr>
          <w:fldChar w:fldCharType="begin"/>
        </w:r>
        <w:r w:rsidR="00500766">
          <w:rPr>
            <w:webHidden/>
          </w:rPr>
          <w:instrText xml:space="preserve"> PAGEREF _Toc473186939 \h </w:instrText>
        </w:r>
        <w:r w:rsidR="00500766">
          <w:rPr>
            <w:webHidden/>
          </w:rPr>
        </w:r>
        <w:r w:rsidR="00500766">
          <w:rPr>
            <w:webHidden/>
          </w:rPr>
          <w:fldChar w:fldCharType="separate"/>
        </w:r>
        <w:r w:rsidR="00A83C7B">
          <w:rPr>
            <w:webHidden/>
          </w:rPr>
          <w:t>119</w:t>
        </w:r>
        <w:r w:rsidR="00500766">
          <w:rPr>
            <w:webHidden/>
          </w:rPr>
          <w:fldChar w:fldCharType="end"/>
        </w:r>
      </w:hyperlink>
    </w:p>
    <w:p w14:paraId="364F41F2"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40" w:history="1">
        <w:r w:rsidR="00500766" w:rsidRPr="00D32211">
          <w:rPr>
            <w:rStyle w:val="Hyperlink"/>
            <w:rFonts w:cstheme="minorHAnsi"/>
          </w:rPr>
          <w:t>Figura 45 - Percentuale di pazienti con trattamento per un attacco acuto - CRYSTAL core ed extension (observed case, popolazione ITT) (CSR 307, 2015)</w:t>
        </w:r>
        <w:r w:rsidR="00500766">
          <w:rPr>
            <w:webHidden/>
          </w:rPr>
          <w:tab/>
        </w:r>
        <w:r w:rsidR="00500766">
          <w:rPr>
            <w:webHidden/>
          </w:rPr>
          <w:fldChar w:fldCharType="begin"/>
        </w:r>
        <w:r w:rsidR="00500766">
          <w:rPr>
            <w:webHidden/>
          </w:rPr>
          <w:instrText xml:space="preserve"> PAGEREF _Toc473186940 \h </w:instrText>
        </w:r>
        <w:r w:rsidR="00500766">
          <w:rPr>
            <w:webHidden/>
          </w:rPr>
        </w:r>
        <w:r w:rsidR="00500766">
          <w:rPr>
            <w:webHidden/>
          </w:rPr>
          <w:fldChar w:fldCharType="separate"/>
        </w:r>
        <w:r w:rsidR="00A83C7B">
          <w:rPr>
            <w:webHidden/>
          </w:rPr>
          <w:t>120</w:t>
        </w:r>
        <w:r w:rsidR="00500766">
          <w:rPr>
            <w:webHidden/>
          </w:rPr>
          <w:fldChar w:fldCharType="end"/>
        </w:r>
      </w:hyperlink>
    </w:p>
    <w:p w14:paraId="19A19FC8"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41" w:history="1">
        <w:r w:rsidR="00500766" w:rsidRPr="00D32211">
          <w:rPr>
            <w:rStyle w:val="Hyperlink"/>
            <w:rFonts w:cstheme="minorHAnsi"/>
          </w:rPr>
          <w:t xml:space="preserve">Figura 46 </w:t>
        </w:r>
        <w:r w:rsidR="00500766" w:rsidRPr="00D32211">
          <w:rPr>
            <w:rStyle w:val="Hyperlink"/>
            <w:rFonts w:cstheme="minorHAnsi"/>
          </w:rPr>
          <w:t>–</w:t>
        </w:r>
        <w:r w:rsidR="00500766" w:rsidRPr="00D32211">
          <w:rPr>
            <w:rStyle w:val="Hyperlink"/>
            <w:rFonts w:cstheme="minorHAnsi"/>
          </w:rPr>
          <w:t xml:space="preserve"> Struttura del modello elaborato da ALTEMS</w:t>
        </w:r>
        <w:r w:rsidR="00500766">
          <w:rPr>
            <w:webHidden/>
          </w:rPr>
          <w:tab/>
        </w:r>
        <w:r w:rsidR="00500766">
          <w:rPr>
            <w:webHidden/>
          </w:rPr>
          <w:fldChar w:fldCharType="begin"/>
        </w:r>
        <w:r w:rsidR="00500766">
          <w:rPr>
            <w:webHidden/>
          </w:rPr>
          <w:instrText xml:space="preserve"> PAGEREF _Toc473186941 \h </w:instrText>
        </w:r>
        <w:r w:rsidR="00500766">
          <w:rPr>
            <w:webHidden/>
          </w:rPr>
        </w:r>
        <w:r w:rsidR="00500766">
          <w:rPr>
            <w:webHidden/>
          </w:rPr>
          <w:fldChar w:fldCharType="separate"/>
        </w:r>
        <w:r w:rsidR="00A83C7B">
          <w:rPr>
            <w:webHidden/>
          </w:rPr>
          <w:t>136</w:t>
        </w:r>
        <w:r w:rsidR="00500766">
          <w:rPr>
            <w:webHidden/>
          </w:rPr>
          <w:fldChar w:fldCharType="end"/>
        </w:r>
      </w:hyperlink>
    </w:p>
    <w:p w14:paraId="687B7E57"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42" w:history="1">
        <w:r w:rsidR="00500766" w:rsidRPr="00D32211">
          <w:rPr>
            <w:rStyle w:val="Hyperlink"/>
            <w:rFonts w:cstheme="minorHAnsi"/>
          </w:rPr>
          <w:t>Figura 47: Analisi di sensitivit</w:t>
        </w:r>
        <w:r w:rsidR="00500766" w:rsidRPr="00D32211">
          <w:rPr>
            <w:rStyle w:val="Hyperlink"/>
            <w:rFonts w:cstheme="minorHAnsi"/>
          </w:rPr>
          <w:t>à</w:t>
        </w:r>
        <w:r w:rsidR="00500766" w:rsidRPr="00D32211">
          <w:rPr>
            <w:rStyle w:val="Hyperlink"/>
            <w:rFonts w:cstheme="minorHAnsi"/>
          </w:rPr>
          <w:t xml:space="preserve"> multivariata </w:t>
        </w:r>
        <w:r w:rsidR="00500766" w:rsidRPr="00D32211">
          <w:rPr>
            <w:rStyle w:val="Hyperlink"/>
            <w:rFonts w:cstheme="minorHAnsi"/>
          </w:rPr>
          <w:t>–</w:t>
        </w:r>
        <w:r w:rsidR="00500766" w:rsidRPr="00D32211">
          <w:rPr>
            <w:rStyle w:val="Hyperlink"/>
            <w:rFonts w:cstheme="minorHAnsi"/>
          </w:rPr>
          <w:t xml:space="preserve"> lesinurad + allopurinolo vs febuxostat in monoterapia</w:t>
        </w:r>
        <w:r w:rsidR="00500766">
          <w:rPr>
            <w:webHidden/>
          </w:rPr>
          <w:tab/>
        </w:r>
        <w:r w:rsidR="00500766">
          <w:rPr>
            <w:webHidden/>
          </w:rPr>
          <w:fldChar w:fldCharType="begin"/>
        </w:r>
        <w:r w:rsidR="00500766">
          <w:rPr>
            <w:webHidden/>
          </w:rPr>
          <w:instrText xml:space="preserve"> PAGEREF _Toc473186942 \h </w:instrText>
        </w:r>
        <w:r w:rsidR="00500766">
          <w:rPr>
            <w:webHidden/>
          </w:rPr>
        </w:r>
        <w:r w:rsidR="00500766">
          <w:rPr>
            <w:webHidden/>
          </w:rPr>
          <w:fldChar w:fldCharType="separate"/>
        </w:r>
        <w:r w:rsidR="00A83C7B">
          <w:rPr>
            <w:webHidden/>
          </w:rPr>
          <w:t>138</w:t>
        </w:r>
        <w:r w:rsidR="00500766">
          <w:rPr>
            <w:webHidden/>
          </w:rPr>
          <w:fldChar w:fldCharType="end"/>
        </w:r>
      </w:hyperlink>
    </w:p>
    <w:p w14:paraId="64AAC2C5" w14:textId="77777777" w:rsidR="00500766" w:rsidRDefault="00000000">
      <w:pPr>
        <w:pStyle w:val="TableofFigures"/>
        <w:rPr>
          <w:rFonts w:asciiTheme="minorHAnsi" w:eastAsiaTheme="minorEastAsia" w:hAnsiTheme="minorHAnsi" w:cstheme="minorBidi"/>
          <w:snapToGrid/>
          <w:sz w:val="22"/>
          <w:szCs w:val="22"/>
          <w:lang w:eastAsia="it-IT"/>
        </w:rPr>
      </w:pPr>
      <w:hyperlink w:anchor="_Toc473186943" w:history="1">
        <w:r w:rsidR="00500766" w:rsidRPr="00D32211">
          <w:rPr>
            <w:rStyle w:val="Hyperlink"/>
            <w:rFonts w:cstheme="minorHAnsi"/>
          </w:rPr>
          <w:t>Figura 48 - Probabilit</w:t>
        </w:r>
        <w:r w:rsidR="00500766" w:rsidRPr="00D32211">
          <w:rPr>
            <w:rStyle w:val="Hyperlink"/>
            <w:rFonts w:cstheme="minorHAnsi"/>
          </w:rPr>
          <w:t>à</w:t>
        </w:r>
        <w:r w:rsidR="00500766" w:rsidRPr="00D32211">
          <w:rPr>
            <w:rStyle w:val="Hyperlink"/>
            <w:rFonts w:cstheme="minorHAnsi"/>
          </w:rPr>
          <w:t xml:space="preserve"> di lesinurad + allopurinolo vs febuxostat in monoterapia di essere costo-efficace per dati livelli di disponibilit</w:t>
        </w:r>
        <w:r w:rsidR="00500766" w:rsidRPr="00D32211">
          <w:rPr>
            <w:rStyle w:val="Hyperlink"/>
            <w:rFonts w:cstheme="minorHAnsi"/>
          </w:rPr>
          <w:t>à</w:t>
        </w:r>
        <w:r w:rsidR="00500766" w:rsidRPr="00D32211">
          <w:rPr>
            <w:rStyle w:val="Hyperlink"/>
            <w:rFonts w:cstheme="minorHAnsi"/>
          </w:rPr>
          <w:t xml:space="preserve"> a pagare (WTP) nella popolazione adulta</w:t>
        </w:r>
        <w:r w:rsidR="00500766">
          <w:rPr>
            <w:webHidden/>
          </w:rPr>
          <w:tab/>
        </w:r>
        <w:r w:rsidR="00500766">
          <w:rPr>
            <w:webHidden/>
          </w:rPr>
          <w:fldChar w:fldCharType="begin"/>
        </w:r>
        <w:r w:rsidR="00500766">
          <w:rPr>
            <w:webHidden/>
          </w:rPr>
          <w:instrText xml:space="preserve"> PAGEREF _Toc473186943 \h </w:instrText>
        </w:r>
        <w:r w:rsidR="00500766">
          <w:rPr>
            <w:webHidden/>
          </w:rPr>
        </w:r>
        <w:r w:rsidR="00500766">
          <w:rPr>
            <w:webHidden/>
          </w:rPr>
          <w:fldChar w:fldCharType="separate"/>
        </w:r>
        <w:r w:rsidR="00A83C7B">
          <w:rPr>
            <w:webHidden/>
          </w:rPr>
          <w:t>139</w:t>
        </w:r>
        <w:r w:rsidR="00500766">
          <w:rPr>
            <w:webHidden/>
          </w:rPr>
          <w:fldChar w:fldCharType="end"/>
        </w:r>
      </w:hyperlink>
    </w:p>
    <w:p w14:paraId="47ACB75F" w14:textId="2282B51D" w:rsidR="00434F3D" w:rsidRPr="00930591" w:rsidRDefault="00DB161F">
      <w:pPr>
        <w:rPr>
          <w:rFonts w:cstheme="minorHAnsi"/>
          <w:color w:val="000000"/>
          <w:sz w:val="20"/>
          <w:szCs w:val="20"/>
        </w:rPr>
      </w:pPr>
      <w:r w:rsidRPr="00930591">
        <w:rPr>
          <w:rFonts w:cstheme="minorHAnsi"/>
          <w:color w:val="000000"/>
          <w:sz w:val="20"/>
          <w:szCs w:val="20"/>
        </w:rPr>
        <w:fldChar w:fldCharType="end"/>
      </w:r>
    </w:p>
    <w:p w14:paraId="0B6AD5DB" w14:textId="77777777" w:rsidR="00434F3D" w:rsidRPr="00EA3EA3" w:rsidRDefault="00434F3D">
      <w:pPr>
        <w:rPr>
          <w:rFonts w:cstheme="minorHAnsi"/>
          <w:color w:val="000000"/>
          <w:sz w:val="20"/>
          <w:szCs w:val="20"/>
        </w:rPr>
      </w:pPr>
      <w:r w:rsidRPr="00EA3EA3">
        <w:rPr>
          <w:rFonts w:cstheme="minorHAnsi"/>
          <w:color w:val="000000"/>
          <w:sz w:val="20"/>
          <w:szCs w:val="20"/>
        </w:rPr>
        <w:br w:type="page"/>
      </w:r>
    </w:p>
    <w:p w14:paraId="7A7FA9EB" w14:textId="77777777" w:rsidR="00285897" w:rsidRPr="00434F3D" w:rsidRDefault="00285897" w:rsidP="00285897">
      <w:pPr>
        <w:rPr>
          <w:rFonts w:cs="Arial"/>
          <w:b/>
          <w:bCs/>
          <w:color w:val="000000"/>
          <w:sz w:val="20"/>
          <w:lang w:val="en-US"/>
        </w:rPr>
      </w:pPr>
      <w:bookmarkStart w:id="1" w:name="_Toc90879452"/>
      <w:bookmarkStart w:id="2" w:name="_Toc90882035"/>
      <w:bookmarkStart w:id="3" w:name="_Toc92699983"/>
      <w:bookmarkStart w:id="4" w:name="_Toc92769396"/>
      <w:bookmarkStart w:id="5" w:name="_Toc92788743"/>
      <w:bookmarkStart w:id="6" w:name="_Toc92792178"/>
      <w:bookmarkStart w:id="7" w:name="_Toc92792455"/>
      <w:bookmarkStart w:id="8" w:name="_Toc93397247"/>
      <w:bookmarkStart w:id="9" w:name="_Toc93397248"/>
      <w:bookmarkStart w:id="10" w:name="_Toc225563151"/>
      <w:bookmarkStart w:id="11" w:name="_Toc225563024"/>
      <w:bookmarkStart w:id="12" w:name="_Toc225563191"/>
      <w:bookmarkStart w:id="13" w:name="_Toc429649212"/>
      <w:r>
        <w:rPr>
          <w:rFonts w:cs="Arial"/>
          <w:b/>
          <w:bCs/>
          <w:color w:val="000000"/>
          <w:sz w:val="20"/>
          <w:lang w:val="en-US"/>
        </w:rPr>
        <w:t>Elenco delle abbreviazioni</w:t>
      </w:r>
      <w:bookmarkEnd w:id="1"/>
      <w:bookmarkEnd w:id="2"/>
      <w:bookmarkEnd w:id="3"/>
      <w:bookmarkEnd w:id="4"/>
      <w:bookmarkEnd w:id="5"/>
      <w:bookmarkEnd w:id="6"/>
      <w:bookmarkEnd w:id="7"/>
      <w:bookmarkEnd w:id="8"/>
      <w:bookmarkEnd w:id="9"/>
      <w:bookmarkEnd w:id="10"/>
      <w:bookmarkEnd w:id="11"/>
      <w:bookmarkEnd w:id="12"/>
      <w:bookmarkEnd w:id="13"/>
      <w:r w:rsidRPr="00434F3D">
        <w:rPr>
          <w:rFonts w:cs="Arial"/>
          <w:b/>
          <w:bCs/>
          <w:color w:val="000000"/>
          <w:sz w:val="20"/>
          <w:lang w:val="en-US"/>
        </w:rPr>
        <w:t xml:space="preserve"> </w:t>
      </w:r>
    </w:p>
    <w:tbl>
      <w:tblPr>
        <w:tblW w:w="4942"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49"/>
        <w:gridCol w:w="7363"/>
      </w:tblGrid>
      <w:tr w:rsidR="00E61142" w:rsidRPr="00E713B2" w14:paraId="6D08ECBC" w14:textId="77777777" w:rsidTr="00E55D38">
        <w:tc>
          <w:tcPr>
            <w:tcW w:w="1572" w:type="dxa"/>
          </w:tcPr>
          <w:p w14:paraId="7E92FDC4" w14:textId="77777777" w:rsidR="00E61142" w:rsidRPr="003E4B41" w:rsidRDefault="00E61142" w:rsidP="00E61142">
            <w:pPr>
              <w:spacing w:before="60" w:after="60"/>
              <w:rPr>
                <w:sz w:val="20"/>
              </w:rPr>
            </w:pPr>
            <w:r>
              <w:rPr>
                <w:sz w:val="20"/>
              </w:rPr>
              <w:t>ACR</w:t>
            </w:r>
          </w:p>
        </w:tc>
        <w:tc>
          <w:tcPr>
            <w:tcW w:w="7564" w:type="dxa"/>
          </w:tcPr>
          <w:p w14:paraId="681E49FA" w14:textId="77777777" w:rsidR="00E61142" w:rsidRPr="003E4B41" w:rsidRDefault="00E61142" w:rsidP="00E61142">
            <w:pPr>
              <w:spacing w:before="60" w:after="60"/>
              <w:rPr>
                <w:sz w:val="20"/>
              </w:rPr>
            </w:pPr>
            <w:r w:rsidRPr="009127A0">
              <w:rPr>
                <w:sz w:val="20"/>
              </w:rPr>
              <w:t>American College of Rheumatology</w:t>
            </w:r>
          </w:p>
        </w:tc>
      </w:tr>
      <w:tr w:rsidR="00E61142" w:rsidRPr="00E713B2" w14:paraId="5C60EE5A" w14:textId="77777777" w:rsidTr="00E55D38">
        <w:tc>
          <w:tcPr>
            <w:tcW w:w="1572" w:type="dxa"/>
          </w:tcPr>
          <w:p w14:paraId="0A6EDE3D" w14:textId="77777777" w:rsidR="00E61142" w:rsidRPr="0036716B" w:rsidRDefault="00E61142" w:rsidP="00E61142">
            <w:pPr>
              <w:spacing w:before="60" w:after="60"/>
              <w:rPr>
                <w:sz w:val="20"/>
              </w:rPr>
            </w:pPr>
            <w:r w:rsidRPr="0036716B">
              <w:rPr>
                <w:sz w:val="20"/>
              </w:rPr>
              <w:t>AE</w:t>
            </w:r>
          </w:p>
        </w:tc>
        <w:tc>
          <w:tcPr>
            <w:tcW w:w="7564" w:type="dxa"/>
          </w:tcPr>
          <w:p w14:paraId="5A5079E3" w14:textId="360C927D" w:rsidR="00E61142" w:rsidRPr="0036716B" w:rsidRDefault="00E61142" w:rsidP="00E61142">
            <w:pPr>
              <w:spacing w:before="60" w:after="60"/>
              <w:rPr>
                <w:sz w:val="20"/>
              </w:rPr>
            </w:pPr>
            <w:r>
              <w:rPr>
                <w:sz w:val="20"/>
              </w:rPr>
              <w:t>Eventi avversi</w:t>
            </w:r>
          </w:p>
        </w:tc>
      </w:tr>
      <w:tr w:rsidR="00E61142" w:rsidRPr="00E713B2" w14:paraId="410D6553" w14:textId="77777777" w:rsidTr="00D70EEB">
        <w:tc>
          <w:tcPr>
            <w:tcW w:w="1572" w:type="dxa"/>
          </w:tcPr>
          <w:p w14:paraId="0DA4DA53" w14:textId="77777777" w:rsidR="00E61142" w:rsidRPr="003E4B41" w:rsidRDefault="00E61142" w:rsidP="00E61142">
            <w:pPr>
              <w:spacing w:before="60" w:after="60"/>
              <w:rPr>
                <w:sz w:val="20"/>
              </w:rPr>
            </w:pPr>
            <w:r>
              <w:rPr>
                <w:sz w:val="20"/>
              </w:rPr>
              <w:t>AIFA</w:t>
            </w:r>
          </w:p>
        </w:tc>
        <w:tc>
          <w:tcPr>
            <w:tcW w:w="7563" w:type="dxa"/>
          </w:tcPr>
          <w:p w14:paraId="08585DA6" w14:textId="4B33AD79" w:rsidR="00E61142" w:rsidRPr="003E4B41" w:rsidRDefault="00E61142" w:rsidP="00E61142">
            <w:pPr>
              <w:spacing w:before="60" w:after="60"/>
              <w:rPr>
                <w:sz w:val="20"/>
              </w:rPr>
            </w:pPr>
            <w:r w:rsidRPr="003A5586">
              <w:rPr>
                <w:sz w:val="20"/>
              </w:rPr>
              <w:t xml:space="preserve">Agenzia Italiana del </w:t>
            </w:r>
            <w:r>
              <w:rPr>
                <w:sz w:val="20"/>
              </w:rPr>
              <w:t>F</w:t>
            </w:r>
            <w:r w:rsidRPr="003A5586">
              <w:rPr>
                <w:sz w:val="20"/>
              </w:rPr>
              <w:t>armaco</w:t>
            </w:r>
          </w:p>
        </w:tc>
      </w:tr>
      <w:tr w:rsidR="00E61142" w:rsidRPr="00E713B2" w14:paraId="5CC0029F" w14:textId="77777777" w:rsidTr="00D70EEB">
        <w:tc>
          <w:tcPr>
            <w:tcW w:w="1572" w:type="dxa"/>
          </w:tcPr>
          <w:p w14:paraId="39F4E796" w14:textId="77777777" w:rsidR="00E61142" w:rsidRPr="00DC799D" w:rsidRDefault="00E61142" w:rsidP="00E61142">
            <w:pPr>
              <w:spacing w:before="60" w:after="60"/>
              <w:rPr>
                <w:sz w:val="20"/>
              </w:rPr>
            </w:pPr>
            <w:r w:rsidRPr="00DC799D">
              <w:rPr>
                <w:sz w:val="20"/>
                <w:szCs w:val="20"/>
              </w:rPr>
              <w:t>ALLO</w:t>
            </w:r>
          </w:p>
        </w:tc>
        <w:tc>
          <w:tcPr>
            <w:tcW w:w="7563" w:type="dxa"/>
          </w:tcPr>
          <w:p w14:paraId="03653572" w14:textId="1892DF70" w:rsidR="00E61142" w:rsidRPr="00DC799D" w:rsidRDefault="00E61142" w:rsidP="00E61142">
            <w:pPr>
              <w:spacing w:before="60" w:after="60"/>
              <w:rPr>
                <w:sz w:val="20"/>
              </w:rPr>
            </w:pPr>
            <w:r w:rsidRPr="00DC799D">
              <w:rPr>
                <w:sz w:val="20"/>
                <w:szCs w:val="20"/>
              </w:rPr>
              <w:t>Allopurinol</w:t>
            </w:r>
            <w:r>
              <w:rPr>
                <w:sz w:val="20"/>
                <w:szCs w:val="20"/>
              </w:rPr>
              <w:t>o</w:t>
            </w:r>
          </w:p>
        </w:tc>
      </w:tr>
      <w:tr w:rsidR="00E61142" w:rsidRPr="00E713B2" w14:paraId="44A92963" w14:textId="77777777" w:rsidTr="00D70EEB">
        <w:tc>
          <w:tcPr>
            <w:tcW w:w="1572" w:type="dxa"/>
          </w:tcPr>
          <w:p w14:paraId="4D316E0B" w14:textId="77777777" w:rsidR="00E61142" w:rsidRPr="00E713B2" w:rsidRDefault="00E61142" w:rsidP="00E61142">
            <w:pPr>
              <w:spacing w:before="60" w:after="60"/>
              <w:rPr>
                <w:sz w:val="20"/>
                <w:highlight w:val="yellow"/>
              </w:rPr>
            </w:pPr>
            <w:r w:rsidRPr="003E4B41">
              <w:rPr>
                <w:sz w:val="20"/>
              </w:rPr>
              <w:t>ALT</w:t>
            </w:r>
          </w:p>
        </w:tc>
        <w:tc>
          <w:tcPr>
            <w:tcW w:w="7563" w:type="dxa"/>
          </w:tcPr>
          <w:p w14:paraId="7C57857E" w14:textId="08F1E295" w:rsidR="00E61142" w:rsidRPr="00E713B2" w:rsidRDefault="00E61142" w:rsidP="00E61142">
            <w:pPr>
              <w:spacing w:before="60" w:after="60"/>
              <w:rPr>
                <w:sz w:val="20"/>
                <w:highlight w:val="yellow"/>
              </w:rPr>
            </w:pPr>
            <w:r>
              <w:rPr>
                <w:sz w:val="20"/>
              </w:rPr>
              <w:t>Alanina</w:t>
            </w:r>
            <w:r w:rsidRPr="003E4B41">
              <w:rPr>
                <w:sz w:val="20"/>
              </w:rPr>
              <w:t xml:space="preserve"> aminotransferas</w:t>
            </w:r>
            <w:r>
              <w:rPr>
                <w:sz w:val="20"/>
              </w:rPr>
              <w:t>i</w:t>
            </w:r>
          </w:p>
        </w:tc>
      </w:tr>
      <w:tr w:rsidR="00E61142" w:rsidRPr="00E713B2" w14:paraId="617ADA6B" w14:textId="77777777" w:rsidTr="00D70EEB">
        <w:tc>
          <w:tcPr>
            <w:tcW w:w="1572" w:type="dxa"/>
          </w:tcPr>
          <w:p w14:paraId="28A5831F" w14:textId="77777777" w:rsidR="00E61142" w:rsidRPr="005D360E" w:rsidRDefault="00E61142" w:rsidP="00E61142">
            <w:pPr>
              <w:spacing w:before="60" w:after="60"/>
              <w:rPr>
                <w:sz w:val="20"/>
              </w:rPr>
            </w:pPr>
            <w:r w:rsidRPr="005D360E">
              <w:rPr>
                <w:sz w:val="20"/>
              </w:rPr>
              <w:t>ANCOVA</w:t>
            </w:r>
          </w:p>
        </w:tc>
        <w:tc>
          <w:tcPr>
            <w:tcW w:w="7563" w:type="dxa"/>
          </w:tcPr>
          <w:p w14:paraId="70A41307" w14:textId="53660071" w:rsidR="00E61142" w:rsidRPr="00E713B2" w:rsidRDefault="00E61142" w:rsidP="005D360E">
            <w:pPr>
              <w:spacing w:before="60" w:after="60"/>
              <w:rPr>
                <w:sz w:val="20"/>
              </w:rPr>
            </w:pPr>
            <w:r w:rsidRPr="005D360E">
              <w:rPr>
                <w:sz w:val="20"/>
              </w:rPr>
              <w:t>Analisi di covarian</w:t>
            </w:r>
            <w:r w:rsidR="005D360E" w:rsidRPr="005D360E">
              <w:rPr>
                <w:sz w:val="20"/>
              </w:rPr>
              <w:t>za</w:t>
            </w:r>
          </w:p>
        </w:tc>
      </w:tr>
      <w:tr w:rsidR="00C72B25" w:rsidRPr="00E713B2" w14:paraId="7A56A5C9" w14:textId="77777777" w:rsidTr="00D70EEB">
        <w:tc>
          <w:tcPr>
            <w:tcW w:w="1572" w:type="dxa"/>
          </w:tcPr>
          <w:p w14:paraId="381C7C5B" w14:textId="692312D8" w:rsidR="00C72B25" w:rsidRDefault="00C72B25" w:rsidP="00E61142">
            <w:pPr>
              <w:spacing w:before="60" w:after="60"/>
              <w:rPr>
                <w:sz w:val="20"/>
              </w:rPr>
            </w:pPr>
            <w:r>
              <w:rPr>
                <w:sz w:val="20"/>
              </w:rPr>
              <w:t>ARA</w:t>
            </w:r>
          </w:p>
        </w:tc>
        <w:tc>
          <w:tcPr>
            <w:tcW w:w="7563" w:type="dxa"/>
          </w:tcPr>
          <w:p w14:paraId="37DB7CFC" w14:textId="67D637D4" w:rsidR="00C72B25" w:rsidRPr="009127A0" w:rsidRDefault="00C72B25" w:rsidP="00E61142">
            <w:pPr>
              <w:spacing w:before="60" w:after="60"/>
              <w:rPr>
                <w:sz w:val="20"/>
              </w:rPr>
            </w:pPr>
            <w:r>
              <w:rPr>
                <w:sz w:val="20"/>
              </w:rPr>
              <w:t xml:space="preserve">American </w:t>
            </w:r>
            <w:r w:rsidRPr="00C72B25">
              <w:rPr>
                <w:sz w:val="20"/>
                <w:lang w:val="en-GB"/>
              </w:rPr>
              <w:t>Rheumatism Association</w:t>
            </w:r>
          </w:p>
        </w:tc>
      </w:tr>
      <w:tr w:rsidR="00E61142" w:rsidRPr="00E713B2" w14:paraId="39F2BBB0" w14:textId="77777777" w:rsidTr="00D70EEB">
        <w:tc>
          <w:tcPr>
            <w:tcW w:w="1572" w:type="dxa"/>
          </w:tcPr>
          <w:p w14:paraId="411A23D9" w14:textId="77777777" w:rsidR="00E61142" w:rsidRPr="003E4B41" w:rsidRDefault="00E61142" w:rsidP="00E61142">
            <w:pPr>
              <w:spacing w:before="60" w:after="60"/>
              <w:rPr>
                <w:sz w:val="20"/>
              </w:rPr>
            </w:pPr>
            <w:r>
              <w:rPr>
                <w:sz w:val="20"/>
              </w:rPr>
              <w:t>AST</w:t>
            </w:r>
          </w:p>
        </w:tc>
        <w:tc>
          <w:tcPr>
            <w:tcW w:w="7563" w:type="dxa"/>
          </w:tcPr>
          <w:p w14:paraId="22DE01AB" w14:textId="2B58B5D3" w:rsidR="00E61142" w:rsidRPr="003E4B41" w:rsidRDefault="00E61142" w:rsidP="00E61142">
            <w:pPr>
              <w:spacing w:before="60" w:after="60"/>
              <w:rPr>
                <w:sz w:val="20"/>
              </w:rPr>
            </w:pPr>
            <w:r w:rsidRPr="009127A0">
              <w:rPr>
                <w:sz w:val="20"/>
              </w:rPr>
              <w:t>Aspartat</w:t>
            </w:r>
            <w:r>
              <w:rPr>
                <w:sz w:val="20"/>
              </w:rPr>
              <w:t>o</w:t>
            </w:r>
            <w:r w:rsidRPr="009127A0">
              <w:rPr>
                <w:sz w:val="20"/>
              </w:rPr>
              <w:t xml:space="preserve"> aminotransferas</w:t>
            </w:r>
            <w:r>
              <w:rPr>
                <w:sz w:val="20"/>
              </w:rPr>
              <w:t>i</w:t>
            </w:r>
          </w:p>
        </w:tc>
      </w:tr>
      <w:tr w:rsidR="00E61142" w:rsidRPr="00E713B2" w14:paraId="341B9499" w14:textId="77777777" w:rsidTr="00D70EEB">
        <w:tc>
          <w:tcPr>
            <w:tcW w:w="1572" w:type="dxa"/>
          </w:tcPr>
          <w:p w14:paraId="30171C1D" w14:textId="77777777" w:rsidR="00E61142" w:rsidRPr="003E4B41" w:rsidRDefault="00E61142" w:rsidP="00E61142">
            <w:pPr>
              <w:spacing w:before="60" w:after="60"/>
              <w:rPr>
                <w:sz w:val="20"/>
              </w:rPr>
            </w:pPr>
            <w:r>
              <w:rPr>
                <w:sz w:val="20"/>
              </w:rPr>
              <w:t>ATC</w:t>
            </w:r>
          </w:p>
        </w:tc>
        <w:tc>
          <w:tcPr>
            <w:tcW w:w="7563" w:type="dxa"/>
          </w:tcPr>
          <w:p w14:paraId="019E61D3" w14:textId="4F5B58AD" w:rsidR="00E61142" w:rsidRPr="003E4B41" w:rsidRDefault="00E61142" w:rsidP="00E61142">
            <w:pPr>
              <w:spacing w:before="60" w:after="60"/>
              <w:rPr>
                <w:sz w:val="20"/>
              </w:rPr>
            </w:pPr>
            <w:r>
              <w:rPr>
                <w:sz w:val="20"/>
              </w:rPr>
              <w:t>Classificazione A</w:t>
            </w:r>
            <w:r w:rsidRPr="00CC78E3">
              <w:rPr>
                <w:sz w:val="20"/>
              </w:rPr>
              <w:t>natomic</w:t>
            </w:r>
            <w:r>
              <w:rPr>
                <w:sz w:val="20"/>
              </w:rPr>
              <w:t>o Terapeutica</w:t>
            </w:r>
          </w:p>
        </w:tc>
      </w:tr>
      <w:tr w:rsidR="00E61142" w:rsidRPr="00E713B2" w14:paraId="5937EA32" w14:textId="77777777" w:rsidTr="00D70EEB">
        <w:tc>
          <w:tcPr>
            <w:tcW w:w="1572" w:type="dxa"/>
          </w:tcPr>
          <w:p w14:paraId="21208D39" w14:textId="77777777" w:rsidR="00E61142" w:rsidRPr="003E4B41" w:rsidRDefault="00E61142" w:rsidP="00E61142">
            <w:pPr>
              <w:spacing w:before="60" w:after="60"/>
              <w:rPr>
                <w:sz w:val="20"/>
              </w:rPr>
            </w:pPr>
            <w:r>
              <w:rPr>
                <w:sz w:val="20"/>
              </w:rPr>
              <w:t>BMI</w:t>
            </w:r>
          </w:p>
        </w:tc>
        <w:tc>
          <w:tcPr>
            <w:tcW w:w="7563" w:type="dxa"/>
          </w:tcPr>
          <w:p w14:paraId="78D6884D" w14:textId="66FE9494" w:rsidR="00E61142" w:rsidRPr="003E4B41" w:rsidRDefault="00E61142" w:rsidP="00E61142">
            <w:pPr>
              <w:spacing w:before="60" w:after="60"/>
              <w:rPr>
                <w:sz w:val="20"/>
              </w:rPr>
            </w:pPr>
            <w:r>
              <w:rPr>
                <w:sz w:val="20"/>
              </w:rPr>
              <w:t>Indice di massa corporea</w:t>
            </w:r>
          </w:p>
        </w:tc>
      </w:tr>
      <w:tr w:rsidR="00E61142" w:rsidRPr="00E713B2" w14:paraId="2A2C8BF1" w14:textId="77777777" w:rsidTr="00D70EEB">
        <w:tc>
          <w:tcPr>
            <w:tcW w:w="1572" w:type="dxa"/>
          </w:tcPr>
          <w:p w14:paraId="512057C1" w14:textId="77777777" w:rsidR="00E61142" w:rsidRPr="003E4B41" w:rsidRDefault="00E61142" w:rsidP="00E61142">
            <w:pPr>
              <w:spacing w:before="60" w:after="60"/>
              <w:rPr>
                <w:sz w:val="20"/>
              </w:rPr>
            </w:pPr>
            <w:r>
              <w:rPr>
                <w:sz w:val="20"/>
              </w:rPr>
              <w:t>CEAC</w:t>
            </w:r>
          </w:p>
        </w:tc>
        <w:tc>
          <w:tcPr>
            <w:tcW w:w="7563" w:type="dxa"/>
          </w:tcPr>
          <w:p w14:paraId="60D36DEA" w14:textId="61265FF4" w:rsidR="00E61142" w:rsidRPr="003E4B41" w:rsidRDefault="00E61142" w:rsidP="00E61142">
            <w:pPr>
              <w:spacing w:before="60" w:after="60"/>
              <w:rPr>
                <w:sz w:val="20"/>
              </w:rPr>
            </w:pPr>
            <w:r>
              <w:rPr>
                <w:sz w:val="20"/>
              </w:rPr>
              <w:t>Comitato di Aggiudicazione Endpoint Cardiovascolari</w:t>
            </w:r>
          </w:p>
        </w:tc>
      </w:tr>
      <w:tr w:rsidR="00E61142" w:rsidRPr="00E713B2" w14:paraId="2C1A2CBD" w14:textId="77777777" w:rsidTr="005D360E">
        <w:tc>
          <w:tcPr>
            <w:tcW w:w="1572" w:type="dxa"/>
            <w:shd w:val="clear" w:color="auto" w:fill="auto"/>
          </w:tcPr>
          <w:p w14:paraId="0A015F8A" w14:textId="77777777" w:rsidR="00E61142" w:rsidRPr="005D360E" w:rsidRDefault="00E61142" w:rsidP="00E61142">
            <w:pPr>
              <w:spacing w:before="60" w:after="60"/>
              <w:rPr>
                <w:sz w:val="20"/>
              </w:rPr>
            </w:pPr>
            <w:r w:rsidRPr="005D360E">
              <w:rPr>
                <w:sz w:val="20"/>
              </w:rPr>
              <w:t>CHD</w:t>
            </w:r>
          </w:p>
        </w:tc>
        <w:tc>
          <w:tcPr>
            <w:tcW w:w="7563" w:type="dxa"/>
            <w:shd w:val="clear" w:color="auto" w:fill="auto"/>
          </w:tcPr>
          <w:p w14:paraId="71BAF371" w14:textId="42150A86" w:rsidR="00E61142" w:rsidRPr="003E4B41" w:rsidRDefault="00CF1A17" w:rsidP="00CF1A17">
            <w:pPr>
              <w:spacing w:before="60" w:after="60"/>
              <w:rPr>
                <w:sz w:val="20"/>
              </w:rPr>
            </w:pPr>
            <w:r>
              <w:rPr>
                <w:sz w:val="20"/>
              </w:rPr>
              <w:t>P</w:t>
            </w:r>
            <w:r w:rsidRPr="00CF1A17">
              <w:rPr>
                <w:sz w:val="20"/>
              </w:rPr>
              <w:t>atologie cardiache coronariche</w:t>
            </w:r>
          </w:p>
        </w:tc>
      </w:tr>
      <w:tr w:rsidR="00E61142" w:rsidRPr="00E61142" w14:paraId="4DCA491F" w14:textId="77777777" w:rsidTr="00D70EEB">
        <w:tc>
          <w:tcPr>
            <w:tcW w:w="1572" w:type="dxa"/>
          </w:tcPr>
          <w:p w14:paraId="03331DB7" w14:textId="77777777" w:rsidR="00E61142" w:rsidRPr="003E4B41" w:rsidRDefault="00E61142" w:rsidP="00E61142">
            <w:pPr>
              <w:spacing w:before="60" w:after="60"/>
              <w:rPr>
                <w:sz w:val="20"/>
              </w:rPr>
            </w:pPr>
            <w:r>
              <w:rPr>
                <w:sz w:val="20"/>
              </w:rPr>
              <w:t>CHMP</w:t>
            </w:r>
          </w:p>
        </w:tc>
        <w:tc>
          <w:tcPr>
            <w:tcW w:w="7563" w:type="dxa"/>
          </w:tcPr>
          <w:p w14:paraId="5B079ACB" w14:textId="500CEFE0" w:rsidR="00E61142" w:rsidRPr="00E61142" w:rsidRDefault="00E61142" w:rsidP="00E61142">
            <w:pPr>
              <w:spacing w:before="60" w:after="60"/>
              <w:rPr>
                <w:sz w:val="20"/>
              </w:rPr>
            </w:pPr>
            <w:r w:rsidRPr="00E61142">
              <w:rPr>
                <w:sz w:val="20"/>
              </w:rPr>
              <w:t xml:space="preserve">Comitato per </w:t>
            </w:r>
            <w:r>
              <w:rPr>
                <w:sz w:val="20"/>
              </w:rPr>
              <w:t>i</w:t>
            </w:r>
            <w:r w:rsidRPr="00E61142">
              <w:rPr>
                <w:sz w:val="20"/>
              </w:rPr>
              <w:t xml:space="preserve"> </w:t>
            </w:r>
            <w:r>
              <w:rPr>
                <w:sz w:val="20"/>
              </w:rPr>
              <w:t>Prodotti Medicinali ad</w:t>
            </w:r>
            <w:r w:rsidRPr="00E61142">
              <w:rPr>
                <w:sz w:val="20"/>
              </w:rPr>
              <w:t xml:space="preserve"> Uso Umano</w:t>
            </w:r>
          </w:p>
        </w:tc>
      </w:tr>
      <w:tr w:rsidR="00E61142" w:rsidRPr="00E713B2" w14:paraId="7161CD68" w14:textId="77777777" w:rsidTr="00D70EEB">
        <w:tc>
          <w:tcPr>
            <w:tcW w:w="1572" w:type="dxa"/>
          </w:tcPr>
          <w:p w14:paraId="6463FFE7" w14:textId="77777777" w:rsidR="00E61142" w:rsidRPr="00E713B2" w:rsidRDefault="00E61142" w:rsidP="00E61142">
            <w:pPr>
              <w:spacing w:before="60" w:after="60"/>
              <w:rPr>
                <w:sz w:val="20"/>
                <w:highlight w:val="yellow"/>
              </w:rPr>
            </w:pPr>
            <w:r w:rsidRPr="003E4B41">
              <w:rPr>
                <w:sz w:val="20"/>
              </w:rPr>
              <w:t>CI</w:t>
            </w:r>
          </w:p>
        </w:tc>
        <w:tc>
          <w:tcPr>
            <w:tcW w:w="7563" w:type="dxa"/>
          </w:tcPr>
          <w:p w14:paraId="6B5D325B" w14:textId="326DDCAE" w:rsidR="00E61142" w:rsidRPr="00E713B2" w:rsidRDefault="00E61142" w:rsidP="00E61142">
            <w:pPr>
              <w:spacing w:before="60" w:after="60"/>
              <w:rPr>
                <w:sz w:val="20"/>
                <w:highlight w:val="yellow"/>
              </w:rPr>
            </w:pPr>
            <w:r>
              <w:rPr>
                <w:sz w:val="20"/>
              </w:rPr>
              <w:t>Intervallo di confidenza</w:t>
            </w:r>
          </w:p>
        </w:tc>
      </w:tr>
      <w:tr w:rsidR="00E61142" w:rsidRPr="00E713B2" w14:paraId="3C8D8013" w14:textId="77777777" w:rsidTr="00D70EEB">
        <w:tc>
          <w:tcPr>
            <w:tcW w:w="1572" w:type="dxa"/>
          </w:tcPr>
          <w:p w14:paraId="501214D4" w14:textId="1C195542" w:rsidR="00E61142" w:rsidRPr="003E4B41" w:rsidRDefault="00E61142" w:rsidP="00C72B25">
            <w:pPr>
              <w:spacing w:before="60" w:after="60"/>
              <w:rPr>
                <w:sz w:val="20"/>
              </w:rPr>
            </w:pPr>
            <w:r w:rsidRPr="002C1A40">
              <w:rPr>
                <w:sz w:val="20"/>
              </w:rPr>
              <w:t>C</w:t>
            </w:r>
            <w:r w:rsidR="00C72B25">
              <w:rPr>
                <w:sz w:val="20"/>
              </w:rPr>
              <w:t>KD</w:t>
            </w:r>
          </w:p>
        </w:tc>
        <w:tc>
          <w:tcPr>
            <w:tcW w:w="7563" w:type="dxa"/>
          </w:tcPr>
          <w:p w14:paraId="60B5E134" w14:textId="76C32924" w:rsidR="00E61142" w:rsidRPr="00C72B25" w:rsidRDefault="00BA2AD9" w:rsidP="00C72B25">
            <w:pPr>
              <w:spacing w:before="60" w:after="60"/>
              <w:rPr>
                <w:sz w:val="20"/>
              </w:rPr>
            </w:pPr>
            <w:r>
              <w:rPr>
                <w:sz w:val="20"/>
              </w:rPr>
              <w:t>N</w:t>
            </w:r>
            <w:r w:rsidRPr="00BA2AD9">
              <w:rPr>
                <w:sz w:val="20"/>
              </w:rPr>
              <w:t>efropatia cronica</w:t>
            </w:r>
          </w:p>
        </w:tc>
      </w:tr>
      <w:tr w:rsidR="00E61142" w:rsidRPr="00E713B2" w14:paraId="02261E61" w14:textId="77777777" w:rsidTr="00D70EEB">
        <w:tc>
          <w:tcPr>
            <w:tcW w:w="1572" w:type="dxa"/>
          </w:tcPr>
          <w:p w14:paraId="1B77403B" w14:textId="77777777" w:rsidR="00E61142" w:rsidRPr="003E4B41" w:rsidRDefault="00E61142" w:rsidP="00E61142">
            <w:pPr>
              <w:spacing w:before="60" w:after="60"/>
              <w:rPr>
                <w:sz w:val="20"/>
              </w:rPr>
            </w:pPr>
            <w:r>
              <w:rPr>
                <w:sz w:val="20"/>
              </w:rPr>
              <w:t>CSR</w:t>
            </w:r>
          </w:p>
        </w:tc>
        <w:tc>
          <w:tcPr>
            <w:tcW w:w="7563" w:type="dxa"/>
          </w:tcPr>
          <w:p w14:paraId="48E7DD6B" w14:textId="77777777" w:rsidR="00E61142" w:rsidRPr="003E4B41" w:rsidRDefault="00E61142" w:rsidP="00E61142">
            <w:pPr>
              <w:spacing w:before="60" w:after="60"/>
              <w:rPr>
                <w:sz w:val="20"/>
              </w:rPr>
            </w:pPr>
            <w:r>
              <w:rPr>
                <w:sz w:val="20"/>
              </w:rPr>
              <w:t>Clinical study report</w:t>
            </w:r>
          </w:p>
        </w:tc>
      </w:tr>
      <w:tr w:rsidR="00E61142" w:rsidRPr="00E713B2" w14:paraId="7704990E" w14:textId="77777777" w:rsidTr="00D70EEB">
        <w:tc>
          <w:tcPr>
            <w:tcW w:w="1572" w:type="dxa"/>
          </w:tcPr>
          <w:p w14:paraId="0B680DD0" w14:textId="77777777" w:rsidR="00E61142" w:rsidRPr="003A5586" w:rsidRDefault="00E61142" w:rsidP="00E61142">
            <w:pPr>
              <w:spacing w:before="60" w:after="60"/>
              <w:rPr>
                <w:sz w:val="20"/>
              </w:rPr>
            </w:pPr>
            <w:r w:rsidRPr="003A5586">
              <w:rPr>
                <w:sz w:val="20"/>
              </w:rPr>
              <w:t>CV</w:t>
            </w:r>
          </w:p>
        </w:tc>
        <w:tc>
          <w:tcPr>
            <w:tcW w:w="7563" w:type="dxa"/>
          </w:tcPr>
          <w:p w14:paraId="31E69C3D" w14:textId="32BD671D" w:rsidR="00E61142" w:rsidRPr="003A5586" w:rsidRDefault="00E61142" w:rsidP="00E61142">
            <w:pPr>
              <w:spacing w:before="60" w:after="60"/>
              <w:rPr>
                <w:sz w:val="20"/>
              </w:rPr>
            </w:pPr>
            <w:r w:rsidRPr="003A5586">
              <w:rPr>
                <w:sz w:val="20"/>
              </w:rPr>
              <w:t>Cardio</w:t>
            </w:r>
            <w:r>
              <w:rPr>
                <w:sz w:val="20"/>
              </w:rPr>
              <w:t xml:space="preserve"> </w:t>
            </w:r>
            <w:r w:rsidRPr="003A5586">
              <w:rPr>
                <w:sz w:val="20"/>
              </w:rPr>
              <w:t>vasc</w:t>
            </w:r>
            <w:r>
              <w:rPr>
                <w:sz w:val="20"/>
              </w:rPr>
              <w:t>olare</w:t>
            </w:r>
          </w:p>
        </w:tc>
      </w:tr>
      <w:tr w:rsidR="00E61142" w:rsidRPr="00E713B2" w14:paraId="4013930D" w14:textId="77777777" w:rsidTr="00D70EEB">
        <w:tc>
          <w:tcPr>
            <w:tcW w:w="1572" w:type="dxa"/>
          </w:tcPr>
          <w:p w14:paraId="067094EE" w14:textId="77777777" w:rsidR="00E61142" w:rsidRPr="003A5586" w:rsidRDefault="00E61142" w:rsidP="00E61142">
            <w:pPr>
              <w:spacing w:before="60" w:after="60"/>
              <w:rPr>
                <w:sz w:val="20"/>
              </w:rPr>
            </w:pPr>
            <w:r w:rsidRPr="003A5586">
              <w:rPr>
                <w:sz w:val="20"/>
              </w:rPr>
              <w:t>DBP</w:t>
            </w:r>
          </w:p>
        </w:tc>
        <w:tc>
          <w:tcPr>
            <w:tcW w:w="7563" w:type="dxa"/>
          </w:tcPr>
          <w:p w14:paraId="280E1A4C" w14:textId="4F34BEA5" w:rsidR="00E61142" w:rsidRPr="003A5586" w:rsidRDefault="00E61142" w:rsidP="00E61142">
            <w:pPr>
              <w:spacing w:before="60" w:after="60"/>
              <w:rPr>
                <w:sz w:val="20"/>
              </w:rPr>
            </w:pPr>
            <w:r>
              <w:rPr>
                <w:sz w:val="20"/>
              </w:rPr>
              <w:t>Pressione arteriosa diastolica</w:t>
            </w:r>
          </w:p>
        </w:tc>
      </w:tr>
      <w:tr w:rsidR="00E61142" w:rsidRPr="00E713B2" w14:paraId="156FC400" w14:textId="77777777" w:rsidTr="00D70EEB">
        <w:tc>
          <w:tcPr>
            <w:tcW w:w="1572" w:type="dxa"/>
          </w:tcPr>
          <w:p w14:paraId="49FD3177" w14:textId="77777777" w:rsidR="00E61142" w:rsidRPr="003A5586" w:rsidRDefault="00E61142" w:rsidP="00E61142">
            <w:pPr>
              <w:spacing w:before="60" w:after="60"/>
              <w:rPr>
                <w:sz w:val="20"/>
              </w:rPr>
            </w:pPr>
            <w:r w:rsidRPr="003A5586">
              <w:rPr>
                <w:sz w:val="20"/>
              </w:rPr>
              <w:t>DDD</w:t>
            </w:r>
          </w:p>
        </w:tc>
        <w:tc>
          <w:tcPr>
            <w:tcW w:w="7563" w:type="dxa"/>
          </w:tcPr>
          <w:p w14:paraId="115F709C" w14:textId="2D6F2AEC" w:rsidR="00E61142" w:rsidRPr="003A5586" w:rsidRDefault="00E61142" w:rsidP="00E61142">
            <w:pPr>
              <w:spacing w:before="60" w:after="60"/>
              <w:rPr>
                <w:sz w:val="20"/>
              </w:rPr>
            </w:pPr>
            <w:r>
              <w:rPr>
                <w:sz w:val="20"/>
              </w:rPr>
              <w:t>Dose Giornaliera Definita</w:t>
            </w:r>
          </w:p>
        </w:tc>
      </w:tr>
      <w:tr w:rsidR="00C72B25" w:rsidRPr="00E713B2" w14:paraId="00179D0E" w14:textId="77777777" w:rsidTr="00D70EEB">
        <w:tc>
          <w:tcPr>
            <w:tcW w:w="1572" w:type="dxa"/>
          </w:tcPr>
          <w:p w14:paraId="544A63E7" w14:textId="24F0CE98" w:rsidR="00C72B25" w:rsidRPr="003A5586" w:rsidRDefault="00C72B25" w:rsidP="00E61142">
            <w:pPr>
              <w:spacing w:before="60" w:after="60"/>
              <w:rPr>
                <w:sz w:val="20"/>
              </w:rPr>
            </w:pPr>
            <w:r>
              <w:rPr>
                <w:sz w:val="20"/>
              </w:rPr>
              <w:t>DOF</w:t>
            </w:r>
          </w:p>
        </w:tc>
        <w:tc>
          <w:tcPr>
            <w:tcW w:w="7563" w:type="dxa"/>
          </w:tcPr>
          <w:p w14:paraId="44E77F9E" w14:textId="45327303" w:rsidR="00C72B25" w:rsidRDefault="00C72B25" w:rsidP="00E61142">
            <w:pPr>
              <w:spacing w:before="60" w:after="60"/>
              <w:rPr>
                <w:sz w:val="20"/>
              </w:rPr>
            </w:pPr>
            <w:r>
              <w:rPr>
                <w:sz w:val="20"/>
              </w:rPr>
              <w:t>Dta in File</w:t>
            </w:r>
          </w:p>
        </w:tc>
      </w:tr>
      <w:tr w:rsidR="00E61142" w:rsidRPr="00E713B2" w14:paraId="7F532002" w14:textId="77777777" w:rsidTr="00D70EEB">
        <w:tc>
          <w:tcPr>
            <w:tcW w:w="1572" w:type="dxa"/>
          </w:tcPr>
          <w:p w14:paraId="7BBEF7BB" w14:textId="77777777" w:rsidR="00E61142" w:rsidRPr="003A5586" w:rsidRDefault="00E61142" w:rsidP="00E61142">
            <w:pPr>
              <w:spacing w:before="60" w:after="60"/>
              <w:rPr>
                <w:sz w:val="20"/>
              </w:rPr>
            </w:pPr>
            <w:r w:rsidRPr="003A5586">
              <w:rPr>
                <w:sz w:val="20"/>
              </w:rPr>
              <w:t>DVT</w:t>
            </w:r>
          </w:p>
        </w:tc>
        <w:tc>
          <w:tcPr>
            <w:tcW w:w="7563" w:type="dxa"/>
          </w:tcPr>
          <w:p w14:paraId="6832C8ED" w14:textId="76CDA9EB" w:rsidR="00E61142" w:rsidRPr="003A5586" w:rsidRDefault="00E61142" w:rsidP="00E61142">
            <w:pPr>
              <w:spacing w:before="60" w:after="60"/>
              <w:rPr>
                <w:sz w:val="20"/>
              </w:rPr>
            </w:pPr>
            <w:r>
              <w:rPr>
                <w:sz w:val="20"/>
              </w:rPr>
              <w:t>Trombosi Venosa Profonda</w:t>
            </w:r>
          </w:p>
        </w:tc>
      </w:tr>
      <w:tr w:rsidR="00E61142" w:rsidRPr="00E713B2" w14:paraId="4FFCDFDA" w14:textId="77777777" w:rsidTr="00D70EEB">
        <w:trPr>
          <w:trHeight w:val="58"/>
        </w:trPr>
        <w:tc>
          <w:tcPr>
            <w:tcW w:w="1572" w:type="dxa"/>
          </w:tcPr>
          <w:p w14:paraId="32FFECDB" w14:textId="77777777" w:rsidR="00E61142" w:rsidRPr="003A5586" w:rsidRDefault="00E61142" w:rsidP="00E61142">
            <w:pPr>
              <w:spacing w:before="60" w:after="60"/>
              <w:rPr>
                <w:sz w:val="20"/>
              </w:rPr>
            </w:pPr>
            <w:r w:rsidRPr="003A5586">
              <w:rPr>
                <w:sz w:val="20"/>
              </w:rPr>
              <w:t>eCrCl</w:t>
            </w:r>
          </w:p>
        </w:tc>
        <w:tc>
          <w:tcPr>
            <w:tcW w:w="7563" w:type="dxa"/>
          </w:tcPr>
          <w:p w14:paraId="1F2E5844" w14:textId="3B955DEC" w:rsidR="00E61142" w:rsidRPr="003A5586" w:rsidRDefault="00FB5590" w:rsidP="00E61142">
            <w:pPr>
              <w:spacing w:before="60" w:after="60"/>
              <w:rPr>
                <w:sz w:val="20"/>
              </w:rPr>
            </w:pPr>
            <w:r>
              <w:rPr>
                <w:sz w:val="20"/>
              </w:rPr>
              <w:t>C</w:t>
            </w:r>
            <w:r w:rsidR="00E61142" w:rsidRPr="003A5586">
              <w:rPr>
                <w:sz w:val="20"/>
              </w:rPr>
              <w:t>learance</w:t>
            </w:r>
            <w:r>
              <w:rPr>
                <w:sz w:val="20"/>
              </w:rPr>
              <w:t xml:space="preserve"> stimata della creatinina </w:t>
            </w:r>
          </w:p>
        </w:tc>
      </w:tr>
      <w:tr w:rsidR="00E61142" w:rsidRPr="00E713B2" w14:paraId="35A6D26F" w14:textId="77777777" w:rsidTr="00D70EEB">
        <w:tc>
          <w:tcPr>
            <w:tcW w:w="1572" w:type="dxa"/>
          </w:tcPr>
          <w:p w14:paraId="33247C0C" w14:textId="77777777" w:rsidR="00E61142" w:rsidRPr="003E4B41" w:rsidRDefault="00E61142" w:rsidP="00E61142">
            <w:pPr>
              <w:spacing w:before="60" w:after="60"/>
              <w:rPr>
                <w:sz w:val="20"/>
              </w:rPr>
            </w:pPr>
            <w:r>
              <w:rPr>
                <w:sz w:val="20"/>
              </w:rPr>
              <w:t>EMA</w:t>
            </w:r>
          </w:p>
        </w:tc>
        <w:tc>
          <w:tcPr>
            <w:tcW w:w="7563" w:type="dxa"/>
          </w:tcPr>
          <w:p w14:paraId="19B7A7A3" w14:textId="77777777" w:rsidR="00E61142" w:rsidRPr="003E4B41" w:rsidRDefault="00E61142" w:rsidP="00E61142">
            <w:pPr>
              <w:spacing w:before="60" w:after="60"/>
              <w:rPr>
                <w:sz w:val="20"/>
              </w:rPr>
            </w:pPr>
            <w:r>
              <w:rPr>
                <w:sz w:val="20"/>
              </w:rPr>
              <w:t>European Medicines Agency</w:t>
            </w:r>
          </w:p>
        </w:tc>
      </w:tr>
      <w:tr w:rsidR="00E61142" w:rsidRPr="00E713B2" w14:paraId="0948B04F" w14:textId="77777777" w:rsidTr="00D70EEB">
        <w:tc>
          <w:tcPr>
            <w:tcW w:w="1572" w:type="dxa"/>
          </w:tcPr>
          <w:p w14:paraId="5BE3CB55" w14:textId="77777777" w:rsidR="00E61142" w:rsidRPr="003E4B41" w:rsidRDefault="00E61142" w:rsidP="00E61142">
            <w:pPr>
              <w:spacing w:before="60" w:after="60"/>
              <w:rPr>
                <w:sz w:val="20"/>
              </w:rPr>
            </w:pPr>
            <w:r>
              <w:rPr>
                <w:sz w:val="20"/>
              </w:rPr>
              <w:t>EOS</w:t>
            </w:r>
          </w:p>
        </w:tc>
        <w:tc>
          <w:tcPr>
            <w:tcW w:w="7563" w:type="dxa"/>
          </w:tcPr>
          <w:p w14:paraId="4CFC6201" w14:textId="3F124CFA" w:rsidR="00E61142" w:rsidRPr="003E4B41" w:rsidRDefault="00FB5590" w:rsidP="00FB5590">
            <w:pPr>
              <w:spacing w:before="60" w:after="60"/>
              <w:rPr>
                <w:sz w:val="20"/>
              </w:rPr>
            </w:pPr>
            <w:r>
              <w:rPr>
                <w:sz w:val="20"/>
              </w:rPr>
              <w:t xml:space="preserve">Fine sudio </w:t>
            </w:r>
          </w:p>
        </w:tc>
      </w:tr>
      <w:tr w:rsidR="00C72B25" w:rsidRPr="00E713B2" w14:paraId="287C321A" w14:textId="77777777" w:rsidTr="00D70EEB">
        <w:tc>
          <w:tcPr>
            <w:tcW w:w="1572" w:type="dxa"/>
          </w:tcPr>
          <w:p w14:paraId="2680A40C" w14:textId="3F9AE158" w:rsidR="00C72B25" w:rsidRDefault="00C72B25" w:rsidP="00E61142">
            <w:pPr>
              <w:spacing w:before="60" w:after="60"/>
              <w:rPr>
                <w:sz w:val="20"/>
              </w:rPr>
            </w:pPr>
            <w:r>
              <w:rPr>
                <w:sz w:val="20"/>
              </w:rPr>
              <w:t>EQ-5D</w:t>
            </w:r>
          </w:p>
        </w:tc>
        <w:tc>
          <w:tcPr>
            <w:tcW w:w="7563" w:type="dxa"/>
          </w:tcPr>
          <w:p w14:paraId="302221EC" w14:textId="70069C88" w:rsidR="00C72B25" w:rsidRDefault="00C72B25" w:rsidP="00FB5590">
            <w:pPr>
              <w:spacing w:before="60" w:after="60"/>
              <w:rPr>
                <w:sz w:val="20"/>
              </w:rPr>
            </w:pPr>
            <w:r w:rsidRPr="00C01252">
              <w:rPr>
                <w:sz w:val="20"/>
              </w:rPr>
              <w:t>EuroQol five dimensions questionnaire</w:t>
            </w:r>
          </w:p>
        </w:tc>
      </w:tr>
      <w:tr w:rsidR="00E61142" w:rsidRPr="00E713B2" w14:paraId="12DD4A6F" w14:textId="77777777" w:rsidTr="00D70EEB">
        <w:tc>
          <w:tcPr>
            <w:tcW w:w="1572" w:type="dxa"/>
          </w:tcPr>
          <w:p w14:paraId="44A08869" w14:textId="77777777" w:rsidR="00E61142" w:rsidRDefault="00E61142" w:rsidP="00E61142">
            <w:pPr>
              <w:spacing w:before="60" w:after="60"/>
              <w:rPr>
                <w:sz w:val="20"/>
              </w:rPr>
            </w:pPr>
            <w:r>
              <w:rPr>
                <w:sz w:val="20"/>
              </w:rPr>
              <w:t>ERG</w:t>
            </w:r>
          </w:p>
        </w:tc>
        <w:tc>
          <w:tcPr>
            <w:tcW w:w="7563" w:type="dxa"/>
          </w:tcPr>
          <w:p w14:paraId="5D9E0972" w14:textId="4CADD7E6" w:rsidR="00E61142" w:rsidRDefault="00FB5590" w:rsidP="00FB5590">
            <w:pPr>
              <w:spacing w:before="60" w:after="60"/>
              <w:rPr>
                <w:sz w:val="20"/>
              </w:rPr>
            </w:pPr>
            <w:r>
              <w:rPr>
                <w:sz w:val="20"/>
              </w:rPr>
              <w:t>Gruppo di Revisione delle evidenze</w:t>
            </w:r>
          </w:p>
        </w:tc>
      </w:tr>
      <w:tr w:rsidR="00E61142" w:rsidRPr="00E713B2" w14:paraId="7321C4E3" w14:textId="77777777" w:rsidTr="00D70EEB">
        <w:tc>
          <w:tcPr>
            <w:tcW w:w="1572" w:type="dxa"/>
          </w:tcPr>
          <w:p w14:paraId="4E7D4D01" w14:textId="77777777" w:rsidR="00E61142" w:rsidRPr="003E4B41" w:rsidRDefault="00E61142" w:rsidP="00E61142">
            <w:pPr>
              <w:spacing w:before="60" w:after="60"/>
              <w:rPr>
                <w:sz w:val="20"/>
              </w:rPr>
            </w:pPr>
            <w:r>
              <w:rPr>
                <w:sz w:val="20"/>
              </w:rPr>
              <w:t>EULAR</w:t>
            </w:r>
          </w:p>
        </w:tc>
        <w:tc>
          <w:tcPr>
            <w:tcW w:w="7563" w:type="dxa"/>
          </w:tcPr>
          <w:p w14:paraId="3800008C" w14:textId="77777777" w:rsidR="00E61142" w:rsidRPr="003E4B41" w:rsidRDefault="00E61142" w:rsidP="00E61142">
            <w:pPr>
              <w:spacing w:before="60" w:after="60"/>
              <w:rPr>
                <w:sz w:val="20"/>
              </w:rPr>
            </w:pPr>
            <w:r w:rsidRPr="002C1A40">
              <w:rPr>
                <w:sz w:val="20"/>
              </w:rPr>
              <w:t>European League Against Rheumatism</w:t>
            </w:r>
          </w:p>
        </w:tc>
      </w:tr>
      <w:tr w:rsidR="00E61142" w:rsidRPr="00E713B2" w14:paraId="7FA80041" w14:textId="77777777" w:rsidTr="00D70EEB">
        <w:tc>
          <w:tcPr>
            <w:tcW w:w="1572" w:type="dxa"/>
          </w:tcPr>
          <w:p w14:paraId="718B23FC" w14:textId="77777777" w:rsidR="00E61142" w:rsidRDefault="00E61142" w:rsidP="00E61142">
            <w:pPr>
              <w:spacing w:before="60" w:after="60"/>
              <w:rPr>
                <w:sz w:val="20"/>
              </w:rPr>
            </w:pPr>
            <w:r>
              <w:rPr>
                <w:sz w:val="20"/>
              </w:rPr>
              <w:t>FBX</w:t>
            </w:r>
          </w:p>
        </w:tc>
        <w:tc>
          <w:tcPr>
            <w:tcW w:w="7563" w:type="dxa"/>
          </w:tcPr>
          <w:p w14:paraId="01F06D91" w14:textId="77777777" w:rsidR="00E61142" w:rsidRPr="00864B5F" w:rsidRDefault="00E61142" w:rsidP="00E61142">
            <w:pPr>
              <w:spacing w:before="60" w:after="60"/>
              <w:rPr>
                <w:sz w:val="20"/>
              </w:rPr>
            </w:pPr>
            <w:r w:rsidRPr="00864B5F">
              <w:rPr>
                <w:sz w:val="20"/>
              </w:rPr>
              <w:t>Febuxostat</w:t>
            </w:r>
          </w:p>
        </w:tc>
      </w:tr>
      <w:tr w:rsidR="00E61142" w:rsidRPr="00E713B2" w14:paraId="27339D36" w14:textId="77777777" w:rsidTr="00D70EEB">
        <w:tc>
          <w:tcPr>
            <w:tcW w:w="1572" w:type="dxa"/>
          </w:tcPr>
          <w:p w14:paraId="6B1EC0BD" w14:textId="77777777" w:rsidR="00E61142" w:rsidRPr="003E4B41" w:rsidRDefault="00E61142" w:rsidP="00E61142">
            <w:pPr>
              <w:spacing w:before="60" w:after="60"/>
              <w:rPr>
                <w:sz w:val="20"/>
              </w:rPr>
            </w:pPr>
            <w:r>
              <w:rPr>
                <w:sz w:val="20"/>
              </w:rPr>
              <w:t>GFRT</w:t>
            </w:r>
          </w:p>
        </w:tc>
        <w:tc>
          <w:tcPr>
            <w:tcW w:w="7563" w:type="dxa"/>
          </w:tcPr>
          <w:p w14:paraId="15D4FE7C" w14:textId="51F18FD3" w:rsidR="00E61142" w:rsidRPr="003E4B41" w:rsidRDefault="00FB5590" w:rsidP="00FB5590">
            <w:pPr>
              <w:spacing w:before="60" w:after="60"/>
              <w:rPr>
                <w:sz w:val="20"/>
              </w:rPr>
            </w:pPr>
            <w:r>
              <w:rPr>
                <w:sz w:val="20"/>
              </w:rPr>
              <w:t xml:space="preserve">Riacutizzazioni della gotta che richiedono un trattamento </w:t>
            </w:r>
          </w:p>
        </w:tc>
      </w:tr>
      <w:tr w:rsidR="00E61142" w:rsidRPr="00E713B2" w14:paraId="28671BF7" w14:textId="77777777" w:rsidTr="00D70EEB">
        <w:tc>
          <w:tcPr>
            <w:tcW w:w="1572" w:type="dxa"/>
          </w:tcPr>
          <w:p w14:paraId="0222E302" w14:textId="77777777" w:rsidR="00E61142" w:rsidRPr="003E4B41" w:rsidRDefault="00E61142" w:rsidP="00E61142">
            <w:pPr>
              <w:spacing w:before="60" w:after="60"/>
              <w:rPr>
                <w:sz w:val="20"/>
              </w:rPr>
            </w:pPr>
            <w:r>
              <w:rPr>
                <w:sz w:val="20"/>
              </w:rPr>
              <w:t>GGT</w:t>
            </w:r>
          </w:p>
        </w:tc>
        <w:tc>
          <w:tcPr>
            <w:tcW w:w="7563" w:type="dxa"/>
          </w:tcPr>
          <w:p w14:paraId="0F6B74A8" w14:textId="6F7D8F79" w:rsidR="00E61142" w:rsidRPr="003E4B41" w:rsidRDefault="00FB5590" w:rsidP="00E61142">
            <w:pPr>
              <w:spacing w:before="60" w:after="60"/>
              <w:rPr>
                <w:sz w:val="20"/>
              </w:rPr>
            </w:pPr>
            <w:r>
              <w:rPr>
                <w:sz w:val="20"/>
              </w:rPr>
              <w:t>Gamma glutamil transferasi</w:t>
            </w:r>
          </w:p>
        </w:tc>
      </w:tr>
      <w:tr w:rsidR="00E61142" w:rsidRPr="00E713B2" w14:paraId="319AEE0A" w14:textId="77777777" w:rsidTr="00D70EEB">
        <w:tc>
          <w:tcPr>
            <w:tcW w:w="1572" w:type="dxa"/>
          </w:tcPr>
          <w:p w14:paraId="16A88F6D" w14:textId="77777777" w:rsidR="00E61142" w:rsidRPr="00CB34CC" w:rsidRDefault="00E61142" w:rsidP="00E61142">
            <w:pPr>
              <w:spacing w:before="60" w:after="60"/>
              <w:rPr>
                <w:sz w:val="20"/>
              </w:rPr>
            </w:pPr>
            <w:r w:rsidRPr="00CB34CC">
              <w:rPr>
                <w:sz w:val="20"/>
              </w:rPr>
              <w:t>GP</w:t>
            </w:r>
          </w:p>
        </w:tc>
        <w:tc>
          <w:tcPr>
            <w:tcW w:w="7563" w:type="dxa"/>
          </w:tcPr>
          <w:p w14:paraId="5B930104" w14:textId="4AA3735A" w:rsidR="00E61142" w:rsidRPr="00CB34CC" w:rsidRDefault="00FB5590" w:rsidP="00FB5590">
            <w:pPr>
              <w:spacing w:before="60" w:after="60"/>
              <w:rPr>
                <w:sz w:val="20"/>
              </w:rPr>
            </w:pPr>
            <w:r>
              <w:rPr>
                <w:sz w:val="20"/>
              </w:rPr>
              <w:t>Medico di medicina generale</w:t>
            </w:r>
          </w:p>
        </w:tc>
      </w:tr>
      <w:tr w:rsidR="00E61142" w:rsidRPr="00460BDA" w14:paraId="10174591" w14:textId="77777777" w:rsidTr="00D70EEB">
        <w:tc>
          <w:tcPr>
            <w:tcW w:w="1572" w:type="dxa"/>
          </w:tcPr>
          <w:p w14:paraId="1FAACB94" w14:textId="77777777" w:rsidR="00E61142" w:rsidRDefault="00E61142" w:rsidP="00E61142">
            <w:pPr>
              <w:spacing w:before="60" w:after="60"/>
              <w:rPr>
                <w:sz w:val="20"/>
              </w:rPr>
            </w:pPr>
            <w:r>
              <w:rPr>
                <w:sz w:val="20"/>
              </w:rPr>
              <w:t>HAQ-DI</w:t>
            </w:r>
          </w:p>
        </w:tc>
        <w:tc>
          <w:tcPr>
            <w:tcW w:w="7563" w:type="dxa"/>
          </w:tcPr>
          <w:p w14:paraId="7650AD5A" w14:textId="77777777" w:rsidR="00E61142" w:rsidRPr="00E61142" w:rsidRDefault="00E61142" w:rsidP="00E61142">
            <w:pPr>
              <w:spacing w:before="60" w:after="60"/>
              <w:rPr>
                <w:sz w:val="20"/>
                <w:lang w:val="en-US"/>
              </w:rPr>
            </w:pPr>
            <w:r w:rsidRPr="00E61142">
              <w:rPr>
                <w:sz w:val="20"/>
                <w:lang w:val="en-US"/>
              </w:rPr>
              <w:t>Health Assessment Questionnaire - Disability Index</w:t>
            </w:r>
          </w:p>
        </w:tc>
      </w:tr>
      <w:tr w:rsidR="00E61142" w:rsidRPr="00E713B2" w14:paraId="1599B6C8" w14:textId="77777777" w:rsidTr="00D70EEB">
        <w:tc>
          <w:tcPr>
            <w:tcW w:w="1572" w:type="dxa"/>
          </w:tcPr>
          <w:p w14:paraId="67D4867E" w14:textId="77777777" w:rsidR="00E61142" w:rsidRDefault="00E61142" w:rsidP="00E61142">
            <w:pPr>
              <w:spacing w:before="60" w:after="60"/>
              <w:rPr>
                <w:sz w:val="20"/>
              </w:rPr>
            </w:pPr>
            <w:r>
              <w:rPr>
                <w:sz w:val="20"/>
              </w:rPr>
              <w:t>HAQ VAS</w:t>
            </w:r>
          </w:p>
        </w:tc>
        <w:tc>
          <w:tcPr>
            <w:tcW w:w="7563" w:type="dxa"/>
          </w:tcPr>
          <w:p w14:paraId="5F38802A" w14:textId="19016E3F" w:rsidR="00E61142" w:rsidRPr="00864B5F" w:rsidRDefault="00E61142" w:rsidP="00E61142">
            <w:pPr>
              <w:spacing w:before="60" w:after="60"/>
              <w:rPr>
                <w:sz w:val="20"/>
              </w:rPr>
            </w:pPr>
            <w:r w:rsidRPr="000D7EBD">
              <w:rPr>
                <w:sz w:val="20"/>
              </w:rPr>
              <w:t>He</w:t>
            </w:r>
            <w:r>
              <w:rPr>
                <w:sz w:val="20"/>
              </w:rPr>
              <w:t xml:space="preserve">alth Assessment Questionnaire - </w:t>
            </w:r>
            <w:r w:rsidRPr="000D7EBD">
              <w:rPr>
                <w:sz w:val="20"/>
              </w:rPr>
              <w:t>Vi</w:t>
            </w:r>
            <w:r w:rsidR="005848A1">
              <w:rPr>
                <w:sz w:val="20"/>
              </w:rPr>
              <w:t>sUA</w:t>
            </w:r>
            <w:r w:rsidRPr="000D7EBD">
              <w:rPr>
                <w:sz w:val="20"/>
              </w:rPr>
              <w:t>l analogue scale</w:t>
            </w:r>
          </w:p>
        </w:tc>
      </w:tr>
      <w:tr w:rsidR="00E61142" w:rsidRPr="00E713B2" w14:paraId="151DECF2" w14:textId="77777777" w:rsidTr="00D70EEB">
        <w:tc>
          <w:tcPr>
            <w:tcW w:w="1572" w:type="dxa"/>
          </w:tcPr>
          <w:p w14:paraId="4505E33C" w14:textId="77777777" w:rsidR="00E61142" w:rsidRPr="003E4B41" w:rsidRDefault="00E61142" w:rsidP="00E61142">
            <w:pPr>
              <w:spacing w:before="60" w:after="60"/>
              <w:rPr>
                <w:sz w:val="20"/>
              </w:rPr>
            </w:pPr>
            <w:r>
              <w:rPr>
                <w:sz w:val="20"/>
              </w:rPr>
              <w:t>HIV</w:t>
            </w:r>
          </w:p>
        </w:tc>
        <w:tc>
          <w:tcPr>
            <w:tcW w:w="7563" w:type="dxa"/>
          </w:tcPr>
          <w:p w14:paraId="0DEB40B4" w14:textId="46F86914" w:rsidR="00E61142" w:rsidRPr="003E4B41" w:rsidRDefault="00FB5590" w:rsidP="00FB5590">
            <w:pPr>
              <w:spacing w:before="60" w:after="60"/>
              <w:rPr>
                <w:sz w:val="20"/>
              </w:rPr>
            </w:pPr>
            <w:r>
              <w:rPr>
                <w:sz w:val="20"/>
              </w:rPr>
              <w:t>Virus del’immunodeficienza umana</w:t>
            </w:r>
          </w:p>
        </w:tc>
      </w:tr>
      <w:tr w:rsidR="00E61142" w:rsidRPr="00E713B2" w14:paraId="47169C24" w14:textId="77777777" w:rsidTr="00D70EEB">
        <w:tc>
          <w:tcPr>
            <w:tcW w:w="1572" w:type="dxa"/>
          </w:tcPr>
          <w:p w14:paraId="3817B231" w14:textId="77777777" w:rsidR="00E61142" w:rsidRPr="003E4B41" w:rsidRDefault="00E61142" w:rsidP="00E61142">
            <w:pPr>
              <w:spacing w:before="60" w:after="60"/>
              <w:rPr>
                <w:sz w:val="20"/>
              </w:rPr>
            </w:pPr>
            <w:r>
              <w:rPr>
                <w:sz w:val="20"/>
              </w:rPr>
              <w:t>HR</w:t>
            </w:r>
          </w:p>
        </w:tc>
        <w:tc>
          <w:tcPr>
            <w:tcW w:w="7563" w:type="dxa"/>
          </w:tcPr>
          <w:p w14:paraId="001BD713" w14:textId="77777777" w:rsidR="00E61142" w:rsidRPr="003E4B41" w:rsidRDefault="00E61142" w:rsidP="00E61142">
            <w:pPr>
              <w:spacing w:before="60" w:after="60"/>
              <w:rPr>
                <w:sz w:val="20"/>
              </w:rPr>
            </w:pPr>
            <w:r>
              <w:rPr>
                <w:sz w:val="20"/>
              </w:rPr>
              <w:t>Hazard ratio</w:t>
            </w:r>
          </w:p>
        </w:tc>
      </w:tr>
      <w:tr w:rsidR="00E61142" w:rsidRPr="00460BDA" w14:paraId="00C63141" w14:textId="77777777" w:rsidTr="00D70EEB">
        <w:tc>
          <w:tcPr>
            <w:tcW w:w="1572" w:type="dxa"/>
          </w:tcPr>
          <w:p w14:paraId="4970D94F" w14:textId="77777777" w:rsidR="00E61142" w:rsidRPr="00E713B2" w:rsidRDefault="00E61142" w:rsidP="00E61142">
            <w:pPr>
              <w:spacing w:before="60" w:after="60"/>
              <w:rPr>
                <w:sz w:val="20"/>
              </w:rPr>
            </w:pPr>
            <w:r w:rsidRPr="003E4B41">
              <w:rPr>
                <w:sz w:val="20"/>
              </w:rPr>
              <w:t>HRQoL</w:t>
            </w:r>
          </w:p>
        </w:tc>
        <w:tc>
          <w:tcPr>
            <w:tcW w:w="7563" w:type="dxa"/>
          </w:tcPr>
          <w:p w14:paraId="094D97D3" w14:textId="77777777" w:rsidR="00E61142" w:rsidRPr="00E61142" w:rsidRDefault="00E61142" w:rsidP="00E61142">
            <w:pPr>
              <w:spacing w:before="60" w:after="60"/>
              <w:rPr>
                <w:sz w:val="20"/>
                <w:lang w:val="en-US"/>
              </w:rPr>
            </w:pPr>
            <w:r w:rsidRPr="00E61142">
              <w:rPr>
                <w:sz w:val="20"/>
                <w:lang w:val="en-US"/>
              </w:rPr>
              <w:t>Health-related quality of life</w:t>
            </w:r>
          </w:p>
        </w:tc>
      </w:tr>
      <w:tr w:rsidR="00E61142" w:rsidRPr="00E713B2" w14:paraId="20E62BDD" w14:textId="77777777" w:rsidTr="00D70EEB">
        <w:tc>
          <w:tcPr>
            <w:tcW w:w="1572" w:type="dxa"/>
          </w:tcPr>
          <w:p w14:paraId="4E5C358C" w14:textId="77777777" w:rsidR="00E61142" w:rsidRPr="003E4B41" w:rsidRDefault="00E61142" w:rsidP="00E61142">
            <w:pPr>
              <w:spacing w:before="60" w:after="60"/>
              <w:rPr>
                <w:sz w:val="20"/>
              </w:rPr>
            </w:pPr>
            <w:r>
              <w:rPr>
                <w:sz w:val="20"/>
              </w:rPr>
              <w:t>HSD</w:t>
            </w:r>
          </w:p>
        </w:tc>
        <w:tc>
          <w:tcPr>
            <w:tcW w:w="7563" w:type="dxa"/>
          </w:tcPr>
          <w:p w14:paraId="427F18C6" w14:textId="77777777" w:rsidR="00E61142" w:rsidRPr="003E4B41" w:rsidRDefault="00E61142" w:rsidP="00E61142">
            <w:pPr>
              <w:spacing w:before="60" w:after="60"/>
              <w:rPr>
                <w:sz w:val="20"/>
              </w:rPr>
            </w:pPr>
            <w:r>
              <w:rPr>
                <w:sz w:val="20"/>
              </w:rPr>
              <w:t>Health Search database</w:t>
            </w:r>
          </w:p>
        </w:tc>
      </w:tr>
      <w:tr w:rsidR="00E61142" w:rsidRPr="00E713B2" w14:paraId="6C0E77FC" w14:textId="77777777" w:rsidTr="00D70EEB">
        <w:tc>
          <w:tcPr>
            <w:tcW w:w="1572" w:type="dxa"/>
          </w:tcPr>
          <w:p w14:paraId="392D7F26" w14:textId="77777777" w:rsidR="00E61142" w:rsidRPr="003E4B41" w:rsidRDefault="00E61142" w:rsidP="00E61142">
            <w:pPr>
              <w:spacing w:before="60" w:after="60"/>
              <w:rPr>
                <w:sz w:val="20"/>
              </w:rPr>
            </w:pPr>
            <w:r>
              <w:rPr>
                <w:sz w:val="20"/>
              </w:rPr>
              <w:t>IBW</w:t>
            </w:r>
          </w:p>
        </w:tc>
        <w:tc>
          <w:tcPr>
            <w:tcW w:w="7563" w:type="dxa"/>
          </w:tcPr>
          <w:p w14:paraId="2173A1AF" w14:textId="1EC58BAF" w:rsidR="00E61142" w:rsidRPr="003E4B41" w:rsidRDefault="00FB5590" w:rsidP="00FB5590">
            <w:pPr>
              <w:spacing w:before="60" w:after="60"/>
              <w:rPr>
                <w:sz w:val="20"/>
              </w:rPr>
            </w:pPr>
            <w:r>
              <w:rPr>
                <w:sz w:val="20"/>
              </w:rPr>
              <w:t>Peso corporeo ideale</w:t>
            </w:r>
          </w:p>
        </w:tc>
      </w:tr>
      <w:tr w:rsidR="00E61142" w:rsidRPr="00460BDA" w14:paraId="1F78BB93" w14:textId="77777777" w:rsidTr="00D70EEB">
        <w:tc>
          <w:tcPr>
            <w:tcW w:w="1572" w:type="dxa"/>
          </w:tcPr>
          <w:p w14:paraId="021DEE58" w14:textId="77777777" w:rsidR="00E61142" w:rsidRPr="003E4B41" w:rsidRDefault="00E61142" w:rsidP="00E61142">
            <w:pPr>
              <w:spacing w:before="60" w:after="60"/>
              <w:rPr>
                <w:sz w:val="20"/>
              </w:rPr>
            </w:pPr>
            <w:r>
              <w:rPr>
                <w:sz w:val="20"/>
              </w:rPr>
              <w:t>ICD 9CM</w:t>
            </w:r>
          </w:p>
        </w:tc>
        <w:tc>
          <w:tcPr>
            <w:tcW w:w="7563" w:type="dxa"/>
          </w:tcPr>
          <w:p w14:paraId="514D59BE" w14:textId="77777777" w:rsidR="00E61142" w:rsidRPr="00E61142" w:rsidRDefault="00E61142" w:rsidP="00E61142">
            <w:pPr>
              <w:spacing w:before="60" w:after="60"/>
              <w:rPr>
                <w:sz w:val="20"/>
                <w:lang w:val="en-US"/>
              </w:rPr>
            </w:pPr>
            <w:r w:rsidRPr="00E61142">
              <w:rPr>
                <w:sz w:val="20"/>
                <w:lang w:val="en-US"/>
              </w:rPr>
              <w:t>International Classification of Diseases Ninth Revision Clinical Modification</w:t>
            </w:r>
          </w:p>
        </w:tc>
      </w:tr>
      <w:tr w:rsidR="00E61142" w:rsidRPr="00E713B2" w14:paraId="0FAB8CC2" w14:textId="77777777" w:rsidTr="00D70EEB">
        <w:tc>
          <w:tcPr>
            <w:tcW w:w="1572" w:type="dxa"/>
          </w:tcPr>
          <w:p w14:paraId="75C0AFF2" w14:textId="77777777" w:rsidR="00E61142" w:rsidRPr="003E4B41" w:rsidRDefault="00E61142" w:rsidP="00E61142">
            <w:pPr>
              <w:spacing w:before="60" w:after="60"/>
              <w:rPr>
                <w:sz w:val="20"/>
              </w:rPr>
            </w:pPr>
            <w:r>
              <w:rPr>
                <w:sz w:val="20"/>
              </w:rPr>
              <w:t>IMS</w:t>
            </w:r>
          </w:p>
        </w:tc>
        <w:tc>
          <w:tcPr>
            <w:tcW w:w="7563" w:type="dxa"/>
          </w:tcPr>
          <w:p w14:paraId="7C2AC3EE" w14:textId="77777777" w:rsidR="00E61142" w:rsidRPr="003E4B41" w:rsidRDefault="00E61142" w:rsidP="00E61142">
            <w:pPr>
              <w:spacing w:before="60" w:after="60"/>
              <w:rPr>
                <w:sz w:val="20"/>
              </w:rPr>
            </w:pPr>
            <w:r w:rsidRPr="00852F2B">
              <w:rPr>
                <w:sz w:val="20"/>
              </w:rPr>
              <w:t>Index of Medical Specialities</w:t>
            </w:r>
          </w:p>
        </w:tc>
      </w:tr>
      <w:tr w:rsidR="00E61142" w:rsidRPr="00E713B2" w14:paraId="4F565BD2" w14:textId="77777777" w:rsidTr="00D70EEB">
        <w:tc>
          <w:tcPr>
            <w:tcW w:w="1572" w:type="dxa"/>
          </w:tcPr>
          <w:p w14:paraId="4343955D" w14:textId="77777777" w:rsidR="00E61142" w:rsidRPr="00E713B2" w:rsidRDefault="00E61142" w:rsidP="00E61142">
            <w:pPr>
              <w:spacing w:before="60" w:after="60"/>
              <w:rPr>
                <w:sz w:val="20"/>
                <w:highlight w:val="magenta"/>
              </w:rPr>
            </w:pPr>
            <w:r w:rsidRPr="003E4B41">
              <w:rPr>
                <w:sz w:val="20"/>
              </w:rPr>
              <w:t>ITT</w:t>
            </w:r>
          </w:p>
        </w:tc>
        <w:tc>
          <w:tcPr>
            <w:tcW w:w="7563" w:type="dxa"/>
          </w:tcPr>
          <w:p w14:paraId="12C5F50B" w14:textId="77777777" w:rsidR="00E61142" w:rsidRPr="00E713B2" w:rsidRDefault="00E61142" w:rsidP="00E61142">
            <w:pPr>
              <w:spacing w:before="60" w:after="60"/>
              <w:rPr>
                <w:sz w:val="20"/>
                <w:highlight w:val="magenta"/>
              </w:rPr>
            </w:pPr>
            <w:r w:rsidRPr="003E4B41">
              <w:rPr>
                <w:sz w:val="20"/>
              </w:rPr>
              <w:t>Intent-to-treat</w:t>
            </w:r>
          </w:p>
        </w:tc>
      </w:tr>
      <w:tr w:rsidR="00E61142" w:rsidRPr="00E713B2" w14:paraId="52A42B9D" w14:textId="77777777" w:rsidTr="00D70EEB">
        <w:tc>
          <w:tcPr>
            <w:tcW w:w="1572" w:type="dxa"/>
          </w:tcPr>
          <w:p w14:paraId="3F0D634D" w14:textId="77777777" w:rsidR="00E61142" w:rsidRPr="003E4B41" w:rsidRDefault="00E61142" w:rsidP="00E61142">
            <w:pPr>
              <w:spacing w:before="60" w:after="60"/>
              <w:rPr>
                <w:sz w:val="20"/>
              </w:rPr>
            </w:pPr>
            <w:r>
              <w:rPr>
                <w:sz w:val="20"/>
              </w:rPr>
              <w:t>IV</w:t>
            </w:r>
          </w:p>
        </w:tc>
        <w:tc>
          <w:tcPr>
            <w:tcW w:w="7563" w:type="dxa"/>
          </w:tcPr>
          <w:p w14:paraId="7FA75CE8" w14:textId="206F8B05" w:rsidR="00E61142" w:rsidRPr="003E4B41" w:rsidRDefault="00FB5590" w:rsidP="00FB5590">
            <w:pPr>
              <w:spacing w:before="60" w:after="60"/>
              <w:rPr>
                <w:sz w:val="20"/>
              </w:rPr>
            </w:pPr>
            <w:r>
              <w:rPr>
                <w:sz w:val="20"/>
              </w:rPr>
              <w:t>Endovenoso</w:t>
            </w:r>
          </w:p>
        </w:tc>
      </w:tr>
      <w:tr w:rsidR="00E61142" w:rsidRPr="00460BDA" w14:paraId="7A508288" w14:textId="77777777" w:rsidTr="00E55D38">
        <w:tc>
          <w:tcPr>
            <w:tcW w:w="1572" w:type="dxa"/>
          </w:tcPr>
          <w:p w14:paraId="57638393" w14:textId="77777777" w:rsidR="00E61142" w:rsidRDefault="00E61142" w:rsidP="00E61142">
            <w:pPr>
              <w:spacing w:before="60" w:after="60"/>
              <w:rPr>
                <w:sz w:val="20"/>
              </w:rPr>
            </w:pPr>
            <w:r>
              <w:rPr>
                <w:sz w:val="20"/>
              </w:rPr>
              <w:t>KING</w:t>
            </w:r>
          </w:p>
        </w:tc>
        <w:tc>
          <w:tcPr>
            <w:tcW w:w="7564" w:type="dxa"/>
          </w:tcPr>
          <w:p w14:paraId="1FBB9504" w14:textId="77777777" w:rsidR="00E61142" w:rsidRPr="00E61142" w:rsidRDefault="00E61142" w:rsidP="00E61142">
            <w:pPr>
              <w:spacing w:before="60" w:after="60"/>
              <w:rPr>
                <w:sz w:val="20"/>
                <w:lang w:val="en-US"/>
              </w:rPr>
            </w:pPr>
            <w:r w:rsidRPr="00E61142">
              <w:rPr>
                <w:sz w:val="20"/>
                <w:lang w:val="en-US"/>
              </w:rPr>
              <w:t>Kick-off of the Italian Network for Gout</w:t>
            </w:r>
          </w:p>
        </w:tc>
      </w:tr>
      <w:tr w:rsidR="00E61142" w:rsidRPr="00E713B2" w14:paraId="5DC858F4" w14:textId="77777777" w:rsidTr="00E55D38">
        <w:tc>
          <w:tcPr>
            <w:tcW w:w="1572" w:type="dxa"/>
          </w:tcPr>
          <w:p w14:paraId="7DAC9191" w14:textId="77777777" w:rsidR="00E61142" w:rsidRPr="00E713B2" w:rsidRDefault="00E61142" w:rsidP="00E61142">
            <w:pPr>
              <w:spacing w:before="60" w:after="60"/>
              <w:rPr>
                <w:sz w:val="20"/>
                <w:highlight w:val="yellow"/>
              </w:rPr>
            </w:pPr>
            <w:r w:rsidRPr="003E4B41">
              <w:rPr>
                <w:sz w:val="20"/>
                <w:szCs w:val="20"/>
              </w:rPr>
              <w:t>LESU</w:t>
            </w:r>
          </w:p>
        </w:tc>
        <w:tc>
          <w:tcPr>
            <w:tcW w:w="7564" w:type="dxa"/>
          </w:tcPr>
          <w:p w14:paraId="605952BF" w14:textId="77777777" w:rsidR="00E61142" w:rsidRPr="00E713B2" w:rsidRDefault="00E61142" w:rsidP="00E61142">
            <w:pPr>
              <w:spacing w:before="60" w:after="60"/>
              <w:rPr>
                <w:sz w:val="20"/>
                <w:highlight w:val="yellow"/>
              </w:rPr>
            </w:pPr>
            <w:r>
              <w:rPr>
                <w:sz w:val="20"/>
                <w:szCs w:val="20"/>
              </w:rPr>
              <w:t>L</w:t>
            </w:r>
            <w:r w:rsidRPr="003E4B41">
              <w:rPr>
                <w:sz w:val="20"/>
                <w:szCs w:val="20"/>
              </w:rPr>
              <w:t>esinurad</w:t>
            </w:r>
          </w:p>
        </w:tc>
      </w:tr>
      <w:tr w:rsidR="00E61142" w:rsidRPr="00E713B2" w14:paraId="7CDCB688" w14:textId="77777777" w:rsidTr="00E55D38">
        <w:tc>
          <w:tcPr>
            <w:tcW w:w="1572" w:type="dxa"/>
          </w:tcPr>
          <w:p w14:paraId="6A09743C" w14:textId="77777777" w:rsidR="00E61142" w:rsidRPr="00E713B2" w:rsidRDefault="00E61142" w:rsidP="00E61142">
            <w:pPr>
              <w:spacing w:before="60" w:after="60"/>
              <w:rPr>
                <w:sz w:val="20"/>
              </w:rPr>
            </w:pPr>
            <w:r w:rsidRPr="003E4B41">
              <w:rPr>
                <w:sz w:val="20"/>
              </w:rPr>
              <w:t>LOCF</w:t>
            </w:r>
          </w:p>
        </w:tc>
        <w:tc>
          <w:tcPr>
            <w:tcW w:w="7564" w:type="dxa"/>
          </w:tcPr>
          <w:p w14:paraId="07BD1BB5" w14:textId="77777777" w:rsidR="00E61142" w:rsidRPr="00C72B25" w:rsidRDefault="00E61142" w:rsidP="00E61142">
            <w:pPr>
              <w:spacing w:before="60" w:after="60"/>
              <w:rPr>
                <w:sz w:val="20"/>
              </w:rPr>
            </w:pPr>
            <w:r w:rsidRPr="00C72B25">
              <w:rPr>
                <w:sz w:val="20"/>
              </w:rPr>
              <w:t>Last observation carried forward</w:t>
            </w:r>
          </w:p>
        </w:tc>
      </w:tr>
      <w:tr w:rsidR="00E61142" w:rsidRPr="00E713B2" w14:paraId="1DA74593" w14:textId="77777777" w:rsidTr="00E55D38">
        <w:tc>
          <w:tcPr>
            <w:tcW w:w="1572" w:type="dxa"/>
          </w:tcPr>
          <w:p w14:paraId="3A53800F" w14:textId="77777777" w:rsidR="00E61142" w:rsidRPr="003E4B41" w:rsidRDefault="00E61142" w:rsidP="00E61142">
            <w:pPr>
              <w:spacing w:before="60" w:after="60"/>
              <w:rPr>
                <w:sz w:val="20"/>
              </w:rPr>
            </w:pPr>
            <w:r>
              <w:rPr>
                <w:sz w:val="20"/>
              </w:rPr>
              <w:t>LPD</w:t>
            </w:r>
          </w:p>
        </w:tc>
        <w:tc>
          <w:tcPr>
            <w:tcW w:w="7564" w:type="dxa"/>
          </w:tcPr>
          <w:p w14:paraId="306494A5" w14:textId="77777777" w:rsidR="00E61142" w:rsidRPr="003E4B41" w:rsidRDefault="00E61142" w:rsidP="00E61142">
            <w:pPr>
              <w:spacing w:before="60" w:after="60"/>
              <w:rPr>
                <w:sz w:val="20"/>
              </w:rPr>
            </w:pPr>
            <w:r>
              <w:rPr>
                <w:sz w:val="20"/>
              </w:rPr>
              <w:t>Longitudinal patient d</w:t>
            </w:r>
            <w:r w:rsidRPr="00852F2B">
              <w:rPr>
                <w:sz w:val="20"/>
              </w:rPr>
              <w:t>atabase</w:t>
            </w:r>
          </w:p>
        </w:tc>
      </w:tr>
      <w:tr w:rsidR="00E61142" w:rsidRPr="00E713B2" w14:paraId="3F6E113C" w14:textId="77777777" w:rsidTr="00E55D38">
        <w:tc>
          <w:tcPr>
            <w:tcW w:w="1572" w:type="dxa"/>
          </w:tcPr>
          <w:p w14:paraId="3524E4C1" w14:textId="77777777" w:rsidR="00E61142" w:rsidRPr="003E4B41" w:rsidRDefault="00E61142" w:rsidP="00E61142">
            <w:pPr>
              <w:spacing w:before="60" w:after="60"/>
              <w:rPr>
                <w:sz w:val="20"/>
              </w:rPr>
            </w:pPr>
            <w:r>
              <w:rPr>
                <w:sz w:val="20"/>
              </w:rPr>
              <w:t>MACE</w:t>
            </w:r>
          </w:p>
        </w:tc>
        <w:tc>
          <w:tcPr>
            <w:tcW w:w="7564" w:type="dxa"/>
          </w:tcPr>
          <w:p w14:paraId="63689D79" w14:textId="215DD595" w:rsidR="00E61142" w:rsidRPr="003E4B41" w:rsidRDefault="00FB5590" w:rsidP="00FB5590">
            <w:pPr>
              <w:spacing w:before="60" w:after="60"/>
              <w:rPr>
                <w:sz w:val="20"/>
              </w:rPr>
            </w:pPr>
            <w:r>
              <w:rPr>
                <w:sz w:val="20"/>
              </w:rPr>
              <w:t>Eve</w:t>
            </w:r>
            <w:r w:rsidR="00C72B25">
              <w:rPr>
                <w:sz w:val="20"/>
              </w:rPr>
              <w:t>nti avversi cardiovascolari mag</w:t>
            </w:r>
            <w:r>
              <w:rPr>
                <w:sz w:val="20"/>
              </w:rPr>
              <w:t>giori</w:t>
            </w:r>
          </w:p>
        </w:tc>
      </w:tr>
      <w:tr w:rsidR="00E61142" w:rsidRPr="00E713B2" w14:paraId="2EB2B552" w14:textId="77777777" w:rsidTr="00E55D38">
        <w:tc>
          <w:tcPr>
            <w:tcW w:w="1572" w:type="dxa"/>
          </w:tcPr>
          <w:p w14:paraId="7C98024F" w14:textId="77777777" w:rsidR="00E61142" w:rsidRPr="003E4B41" w:rsidRDefault="00E61142" w:rsidP="00E61142">
            <w:pPr>
              <w:spacing w:before="60" w:after="60"/>
              <w:rPr>
                <w:sz w:val="20"/>
              </w:rPr>
            </w:pPr>
            <w:r>
              <w:rPr>
                <w:sz w:val="20"/>
              </w:rPr>
              <w:t>MAT</w:t>
            </w:r>
          </w:p>
        </w:tc>
        <w:tc>
          <w:tcPr>
            <w:tcW w:w="7564" w:type="dxa"/>
          </w:tcPr>
          <w:p w14:paraId="6E9D96E5" w14:textId="77777777" w:rsidR="00E61142" w:rsidRPr="003E4B41" w:rsidRDefault="00E61142" w:rsidP="00E61142">
            <w:pPr>
              <w:spacing w:before="60" w:after="60"/>
              <w:rPr>
                <w:sz w:val="20"/>
              </w:rPr>
            </w:pPr>
            <w:r w:rsidRPr="00F82171">
              <w:rPr>
                <w:sz w:val="20"/>
              </w:rPr>
              <w:t>Moving annual total</w:t>
            </w:r>
          </w:p>
        </w:tc>
      </w:tr>
      <w:tr w:rsidR="00E61142" w:rsidRPr="00E713B2" w14:paraId="107A93E7" w14:textId="77777777" w:rsidTr="00E55D38">
        <w:tc>
          <w:tcPr>
            <w:tcW w:w="1572" w:type="dxa"/>
          </w:tcPr>
          <w:p w14:paraId="18E2D472" w14:textId="77777777" w:rsidR="00E61142" w:rsidRPr="003E4B41" w:rsidRDefault="00E61142" w:rsidP="00E61142">
            <w:pPr>
              <w:spacing w:before="60" w:after="60"/>
              <w:rPr>
                <w:sz w:val="20"/>
              </w:rPr>
            </w:pPr>
            <w:r>
              <w:rPr>
                <w:sz w:val="20"/>
              </w:rPr>
              <w:t>MI</w:t>
            </w:r>
          </w:p>
        </w:tc>
        <w:tc>
          <w:tcPr>
            <w:tcW w:w="7564" w:type="dxa"/>
            <w:vAlign w:val="center"/>
          </w:tcPr>
          <w:p w14:paraId="50FCE218" w14:textId="48544367" w:rsidR="00E61142" w:rsidRPr="003E4B41" w:rsidRDefault="00FB5590" w:rsidP="00FB5590">
            <w:pPr>
              <w:spacing w:before="60" w:after="60"/>
              <w:rPr>
                <w:sz w:val="20"/>
              </w:rPr>
            </w:pPr>
            <w:r>
              <w:rPr>
                <w:sz w:val="20"/>
              </w:rPr>
              <w:t>Infarto del miocardio</w:t>
            </w:r>
          </w:p>
        </w:tc>
      </w:tr>
      <w:tr w:rsidR="00E61142" w:rsidRPr="008C6371" w14:paraId="37756644" w14:textId="77777777" w:rsidTr="00E55D38">
        <w:tc>
          <w:tcPr>
            <w:tcW w:w="1572" w:type="dxa"/>
          </w:tcPr>
          <w:p w14:paraId="4988CEF2" w14:textId="77777777" w:rsidR="00E61142" w:rsidRPr="003E4B41" w:rsidRDefault="00E61142" w:rsidP="00E61142">
            <w:pPr>
              <w:spacing w:before="60" w:after="60"/>
              <w:rPr>
                <w:sz w:val="20"/>
              </w:rPr>
            </w:pPr>
            <w:r>
              <w:rPr>
                <w:sz w:val="20"/>
              </w:rPr>
              <w:t>MMGs</w:t>
            </w:r>
          </w:p>
        </w:tc>
        <w:tc>
          <w:tcPr>
            <w:tcW w:w="7564" w:type="dxa"/>
            <w:vAlign w:val="center"/>
          </w:tcPr>
          <w:p w14:paraId="20780570" w14:textId="21D60C8B" w:rsidR="00E61142" w:rsidRPr="00FB5590" w:rsidRDefault="00E61142" w:rsidP="00FB5590">
            <w:pPr>
              <w:autoSpaceDE w:val="0"/>
              <w:autoSpaceDN w:val="0"/>
              <w:rPr>
                <w:sz w:val="20"/>
              </w:rPr>
            </w:pPr>
            <w:r w:rsidRPr="00FB5590">
              <w:rPr>
                <w:rFonts w:cs="Arial"/>
                <w:color w:val="000000"/>
                <w:sz w:val="20"/>
                <w:szCs w:val="20"/>
              </w:rPr>
              <w:t>Medici di Medicina Generale</w:t>
            </w:r>
          </w:p>
        </w:tc>
      </w:tr>
      <w:tr w:rsidR="00E61142" w:rsidRPr="00E713B2" w14:paraId="723B8158" w14:textId="77777777" w:rsidTr="00E55D38">
        <w:tc>
          <w:tcPr>
            <w:tcW w:w="1572" w:type="dxa"/>
          </w:tcPr>
          <w:p w14:paraId="2DE10A9B" w14:textId="77777777" w:rsidR="00E61142" w:rsidRPr="003E4B41" w:rsidRDefault="00E61142" w:rsidP="00E61142">
            <w:pPr>
              <w:spacing w:before="60" w:after="60"/>
              <w:rPr>
                <w:sz w:val="20"/>
              </w:rPr>
            </w:pPr>
            <w:r>
              <w:rPr>
                <w:sz w:val="20"/>
              </w:rPr>
              <w:t>MOA</w:t>
            </w:r>
          </w:p>
        </w:tc>
        <w:tc>
          <w:tcPr>
            <w:tcW w:w="7564" w:type="dxa"/>
          </w:tcPr>
          <w:p w14:paraId="2D60B639" w14:textId="7ECF231F" w:rsidR="00E61142" w:rsidRPr="003E4B41" w:rsidRDefault="00E61142" w:rsidP="00FB5590">
            <w:pPr>
              <w:spacing w:before="60" w:after="60"/>
              <w:rPr>
                <w:sz w:val="20"/>
              </w:rPr>
            </w:pPr>
            <w:r>
              <w:rPr>
                <w:sz w:val="20"/>
              </w:rPr>
              <w:t>Mec</w:t>
            </w:r>
            <w:r w:rsidR="00FB5590">
              <w:rPr>
                <w:sz w:val="20"/>
              </w:rPr>
              <w:t xml:space="preserve">canismo d’azione </w:t>
            </w:r>
          </w:p>
        </w:tc>
      </w:tr>
      <w:tr w:rsidR="00E61142" w:rsidRPr="00E713B2" w14:paraId="03F3252B" w14:textId="77777777" w:rsidTr="00E55D38">
        <w:tc>
          <w:tcPr>
            <w:tcW w:w="1572" w:type="dxa"/>
          </w:tcPr>
          <w:p w14:paraId="6FDE0899" w14:textId="77777777" w:rsidR="00E61142" w:rsidRDefault="00E61142" w:rsidP="00E61142">
            <w:pPr>
              <w:spacing w:before="60" w:after="60"/>
              <w:rPr>
                <w:sz w:val="20"/>
              </w:rPr>
            </w:pPr>
            <w:r>
              <w:rPr>
                <w:sz w:val="20"/>
              </w:rPr>
              <w:t>Mos</w:t>
            </w:r>
          </w:p>
        </w:tc>
        <w:tc>
          <w:tcPr>
            <w:tcW w:w="7564" w:type="dxa"/>
          </w:tcPr>
          <w:p w14:paraId="33FCCA8C" w14:textId="2647FAC6" w:rsidR="00E61142" w:rsidRDefault="00E61142" w:rsidP="00FB5590">
            <w:pPr>
              <w:spacing w:before="60" w:after="60"/>
              <w:rPr>
                <w:sz w:val="20"/>
              </w:rPr>
            </w:pPr>
            <w:r>
              <w:rPr>
                <w:sz w:val="20"/>
              </w:rPr>
              <w:t>M</w:t>
            </w:r>
            <w:r w:rsidR="00FB5590">
              <w:rPr>
                <w:sz w:val="20"/>
              </w:rPr>
              <w:t>esi</w:t>
            </w:r>
          </w:p>
        </w:tc>
      </w:tr>
      <w:tr w:rsidR="00E61142" w:rsidRPr="00E713B2" w14:paraId="6270D5A6" w14:textId="77777777" w:rsidTr="00E55D38">
        <w:tc>
          <w:tcPr>
            <w:tcW w:w="1572" w:type="dxa"/>
          </w:tcPr>
          <w:p w14:paraId="21E5A0F7" w14:textId="77777777" w:rsidR="00E61142" w:rsidRPr="003E4B41" w:rsidRDefault="00E61142" w:rsidP="00E61142">
            <w:pPr>
              <w:spacing w:before="60" w:after="60"/>
              <w:rPr>
                <w:sz w:val="20"/>
              </w:rPr>
            </w:pPr>
            <w:r>
              <w:rPr>
                <w:sz w:val="20"/>
              </w:rPr>
              <w:t>MSU</w:t>
            </w:r>
          </w:p>
        </w:tc>
        <w:tc>
          <w:tcPr>
            <w:tcW w:w="7564" w:type="dxa"/>
          </w:tcPr>
          <w:p w14:paraId="015CDC01" w14:textId="01C789F1" w:rsidR="00E61142" w:rsidRPr="003E4B41" w:rsidRDefault="00FB5590" w:rsidP="00FB5590">
            <w:pPr>
              <w:spacing w:before="60" w:after="60"/>
              <w:rPr>
                <w:sz w:val="20"/>
              </w:rPr>
            </w:pPr>
            <w:r>
              <w:rPr>
                <w:sz w:val="20"/>
              </w:rPr>
              <w:t>Urato monosodico</w:t>
            </w:r>
          </w:p>
        </w:tc>
      </w:tr>
      <w:tr w:rsidR="00E61142" w:rsidRPr="00E713B2" w14:paraId="3AC3F7CC" w14:textId="77777777" w:rsidTr="00E55D38">
        <w:tc>
          <w:tcPr>
            <w:tcW w:w="1572" w:type="dxa"/>
          </w:tcPr>
          <w:p w14:paraId="1DC11F7E" w14:textId="77777777" w:rsidR="00E61142" w:rsidRPr="00E713B2" w:rsidRDefault="00E61142" w:rsidP="00E61142">
            <w:pPr>
              <w:spacing w:before="60" w:after="60"/>
              <w:rPr>
                <w:sz w:val="20"/>
              </w:rPr>
            </w:pPr>
            <w:r w:rsidRPr="003E4B41">
              <w:rPr>
                <w:sz w:val="20"/>
              </w:rPr>
              <w:t>NA</w:t>
            </w:r>
          </w:p>
        </w:tc>
        <w:tc>
          <w:tcPr>
            <w:tcW w:w="7564" w:type="dxa"/>
          </w:tcPr>
          <w:p w14:paraId="14E1F014" w14:textId="59307731" w:rsidR="00E61142" w:rsidRPr="00E713B2" w:rsidRDefault="00E61142" w:rsidP="00FB5590">
            <w:pPr>
              <w:spacing w:before="60" w:after="60"/>
              <w:rPr>
                <w:sz w:val="20"/>
              </w:rPr>
            </w:pPr>
            <w:r w:rsidRPr="003E4B41">
              <w:rPr>
                <w:sz w:val="20"/>
              </w:rPr>
              <w:t>No</w:t>
            </w:r>
            <w:r w:rsidR="00FB5590">
              <w:rPr>
                <w:sz w:val="20"/>
              </w:rPr>
              <w:t>n</w:t>
            </w:r>
            <w:r w:rsidRPr="003E4B41">
              <w:rPr>
                <w:sz w:val="20"/>
              </w:rPr>
              <w:t xml:space="preserve"> applicab</w:t>
            </w:r>
            <w:r w:rsidR="00FB5590">
              <w:rPr>
                <w:sz w:val="20"/>
              </w:rPr>
              <w:t>ile</w:t>
            </w:r>
          </w:p>
        </w:tc>
      </w:tr>
      <w:tr w:rsidR="00E61142" w:rsidRPr="00460BDA" w14:paraId="6E832249" w14:textId="77777777" w:rsidTr="00E55D38">
        <w:tc>
          <w:tcPr>
            <w:tcW w:w="1572" w:type="dxa"/>
          </w:tcPr>
          <w:p w14:paraId="0B06205C" w14:textId="77777777" w:rsidR="00E61142" w:rsidRPr="003E4B41" w:rsidRDefault="00E61142" w:rsidP="00E61142">
            <w:pPr>
              <w:spacing w:before="60" w:after="60"/>
              <w:rPr>
                <w:sz w:val="20"/>
              </w:rPr>
            </w:pPr>
            <w:r>
              <w:rPr>
                <w:sz w:val="20"/>
              </w:rPr>
              <w:t>NICE</w:t>
            </w:r>
          </w:p>
        </w:tc>
        <w:tc>
          <w:tcPr>
            <w:tcW w:w="7564" w:type="dxa"/>
          </w:tcPr>
          <w:p w14:paraId="05141555" w14:textId="77777777" w:rsidR="00E61142" w:rsidRPr="00E61142" w:rsidRDefault="00E61142" w:rsidP="00E61142">
            <w:pPr>
              <w:spacing w:before="60" w:after="60"/>
              <w:rPr>
                <w:sz w:val="20"/>
                <w:lang w:val="en-US"/>
              </w:rPr>
            </w:pPr>
            <w:r w:rsidRPr="00E61142">
              <w:rPr>
                <w:sz w:val="20"/>
                <w:lang w:val="en-US"/>
              </w:rPr>
              <w:t>National Institute for Health and Clinical Excellence</w:t>
            </w:r>
          </w:p>
        </w:tc>
      </w:tr>
      <w:tr w:rsidR="00E61142" w:rsidRPr="00E713B2" w14:paraId="5FAB7833" w14:textId="77777777" w:rsidTr="00E55D38">
        <w:tc>
          <w:tcPr>
            <w:tcW w:w="1572" w:type="dxa"/>
          </w:tcPr>
          <w:p w14:paraId="37C74481" w14:textId="77777777" w:rsidR="00E61142" w:rsidRPr="003E4B41" w:rsidRDefault="00E61142" w:rsidP="00E61142">
            <w:pPr>
              <w:spacing w:before="60" w:after="60"/>
              <w:rPr>
                <w:sz w:val="20"/>
              </w:rPr>
            </w:pPr>
            <w:r>
              <w:rPr>
                <w:sz w:val="20"/>
              </w:rPr>
              <w:t>NRI</w:t>
            </w:r>
          </w:p>
        </w:tc>
        <w:tc>
          <w:tcPr>
            <w:tcW w:w="7564" w:type="dxa"/>
          </w:tcPr>
          <w:p w14:paraId="729BD79C" w14:textId="77777777" w:rsidR="00E61142" w:rsidRPr="00C72B25" w:rsidRDefault="00E61142" w:rsidP="00E61142">
            <w:pPr>
              <w:spacing w:before="60" w:after="60"/>
              <w:rPr>
                <w:sz w:val="20"/>
              </w:rPr>
            </w:pPr>
            <w:r w:rsidRPr="00C72B25">
              <w:rPr>
                <w:sz w:val="20"/>
              </w:rPr>
              <w:t>Non-responder imputation</w:t>
            </w:r>
          </w:p>
        </w:tc>
      </w:tr>
      <w:tr w:rsidR="00E61142" w:rsidRPr="00E713B2" w14:paraId="25524D0B" w14:textId="77777777" w:rsidTr="00E55D38">
        <w:tc>
          <w:tcPr>
            <w:tcW w:w="1572" w:type="dxa"/>
          </w:tcPr>
          <w:p w14:paraId="502F3862" w14:textId="77777777" w:rsidR="00E61142" w:rsidRDefault="00E61142" w:rsidP="00E61142">
            <w:pPr>
              <w:spacing w:before="60" w:after="60"/>
              <w:rPr>
                <w:sz w:val="20"/>
              </w:rPr>
            </w:pPr>
            <w:r>
              <w:rPr>
                <w:sz w:val="20"/>
              </w:rPr>
              <w:t>NSAID</w:t>
            </w:r>
          </w:p>
        </w:tc>
        <w:tc>
          <w:tcPr>
            <w:tcW w:w="7564" w:type="dxa"/>
          </w:tcPr>
          <w:p w14:paraId="3E92EB1B" w14:textId="2221EA5F" w:rsidR="00E61142" w:rsidRPr="00864B5F" w:rsidRDefault="00FB5590" w:rsidP="00FB5590">
            <w:pPr>
              <w:spacing w:before="60" w:after="60"/>
              <w:rPr>
                <w:sz w:val="20"/>
              </w:rPr>
            </w:pPr>
            <w:r>
              <w:rPr>
                <w:sz w:val="20"/>
              </w:rPr>
              <w:t>Farmaci antinfiammatori non steroidei</w:t>
            </w:r>
          </w:p>
        </w:tc>
      </w:tr>
      <w:tr w:rsidR="00E61142" w:rsidRPr="00E713B2" w14:paraId="249F598E" w14:textId="77777777" w:rsidTr="00E55D38">
        <w:tc>
          <w:tcPr>
            <w:tcW w:w="1572" w:type="dxa"/>
          </w:tcPr>
          <w:p w14:paraId="6162577E" w14:textId="77777777" w:rsidR="00E61142" w:rsidRPr="003E4B41" w:rsidRDefault="00E61142" w:rsidP="00E61142">
            <w:pPr>
              <w:spacing w:before="60" w:after="60"/>
              <w:rPr>
                <w:sz w:val="20"/>
              </w:rPr>
            </w:pPr>
            <w:r>
              <w:rPr>
                <w:sz w:val="20"/>
              </w:rPr>
              <w:t>NYHA</w:t>
            </w:r>
          </w:p>
        </w:tc>
        <w:tc>
          <w:tcPr>
            <w:tcW w:w="7564" w:type="dxa"/>
          </w:tcPr>
          <w:p w14:paraId="14C354F8" w14:textId="77777777" w:rsidR="00E61142" w:rsidRPr="003E4B41" w:rsidRDefault="00E61142" w:rsidP="00E61142">
            <w:pPr>
              <w:spacing w:before="60" w:after="60"/>
              <w:rPr>
                <w:sz w:val="20"/>
              </w:rPr>
            </w:pPr>
            <w:r w:rsidRPr="00852F2B">
              <w:rPr>
                <w:sz w:val="20"/>
              </w:rPr>
              <w:t>New York Heart Association</w:t>
            </w:r>
          </w:p>
        </w:tc>
      </w:tr>
      <w:tr w:rsidR="00E61142" w:rsidRPr="00E713B2" w14:paraId="73F4ADC1" w14:textId="77777777" w:rsidTr="00E55D38">
        <w:tc>
          <w:tcPr>
            <w:tcW w:w="1572" w:type="dxa"/>
          </w:tcPr>
          <w:p w14:paraId="103B5D8D" w14:textId="77777777" w:rsidR="00E61142" w:rsidRPr="003E4B41" w:rsidRDefault="00E61142" w:rsidP="00E61142">
            <w:pPr>
              <w:spacing w:before="60" w:after="60"/>
              <w:rPr>
                <w:sz w:val="20"/>
              </w:rPr>
            </w:pPr>
            <w:r>
              <w:rPr>
                <w:sz w:val="20"/>
              </w:rPr>
              <w:t>OAT</w:t>
            </w:r>
          </w:p>
        </w:tc>
        <w:tc>
          <w:tcPr>
            <w:tcW w:w="7564" w:type="dxa"/>
          </w:tcPr>
          <w:p w14:paraId="5080B034" w14:textId="77777777" w:rsidR="00E61142" w:rsidRPr="00C72B25" w:rsidRDefault="00E61142" w:rsidP="00E61142">
            <w:pPr>
              <w:spacing w:before="60" w:after="60"/>
              <w:rPr>
                <w:sz w:val="20"/>
              </w:rPr>
            </w:pPr>
            <w:r w:rsidRPr="00C72B25">
              <w:rPr>
                <w:sz w:val="20"/>
              </w:rPr>
              <w:t>Organic anion transporter</w:t>
            </w:r>
          </w:p>
        </w:tc>
      </w:tr>
      <w:tr w:rsidR="00E61142" w:rsidRPr="00E713B2" w14:paraId="55D7DEFA" w14:textId="77777777" w:rsidTr="00E55D38">
        <w:tc>
          <w:tcPr>
            <w:tcW w:w="1572" w:type="dxa"/>
          </w:tcPr>
          <w:p w14:paraId="0CBAB06A" w14:textId="77777777" w:rsidR="00E61142" w:rsidRPr="003E4B41" w:rsidRDefault="00E61142" w:rsidP="00E61142">
            <w:pPr>
              <w:spacing w:before="60" w:after="60"/>
              <w:rPr>
                <w:sz w:val="20"/>
              </w:rPr>
            </w:pPr>
            <w:r>
              <w:rPr>
                <w:sz w:val="20"/>
              </w:rPr>
              <w:t>OD</w:t>
            </w:r>
          </w:p>
        </w:tc>
        <w:tc>
          <w:tcPr>
            <w:tcW w:w="7564" w:type="dxa"/>
          </w:tcPr>
          <w:p w14:paraId="710E8A2D" w14:textId="21CA552A" w:rsidR="00E61142" w:rsidRPr="003E4B41" w:rsidRDefault="00FB5590" w:rsidP="00FB5590">
            <w:pPr>
              <w:spacing w:before="60" w:after="60"/>
              <w:rPr>
                <w:sz w:val="20"/>
              </w:rPr>
            </w:pPr>
            <w:r>
              <w:rPr>
                <w:sz w:val="20"/>
              </w:rPr>
              <w:t>Una volta al giorno</w:t>
            </w:r>
          </w:p>
        </w:tc>
      </w:tr>
      <w:tr w:rsidR="00E61142" w:rsidRPr="00E713B2" w14:paraId="15C73219" w14:textId="77777777" w:rsidTr="00E55D38">
        <w:tc>
          <w:tcPr>
            <w:tcW w:w="1572" w:type="dxa"/>
          </w:tcPr>
          <w:p w14:paraId="5591F59C" w14:textId="77777777" w:rsidR="00E61142" w:rsidRPr="003E4B41" w:rsidRDefault="00E61142" w:rsidP="00E61142">
            <w:pPr>
              <w:spacing w:before="60" w:after="60"/>
              <w:rPr>
                <w:sz w:val="20"/>
              </w:rPr>
            </w:pPr>
            <w:r>
              <w:rPr>
                <w:sz w:val="20"/>
              </w:rPr>
              <w:t>OR</w:t>
            </w:r>
          </w:p>
        </w:tc>
        <w:tc>
          <w:tcPr>
            <w:tcW w:w="7564" w:type="dxa"/>
          </w:tcPr>
          <w:p w14:paraId="5B8844E0" w14:textId="77777777" w:rsidR="00E61142" w:rsidRPr="00C72B25" w:rsidRDefault="00E61142" w:rsidP="00E61142">
            <w:pPr>
              <w:spacing w:before="60" w:after="60"/>
              <w:rPr>
                <w:sz w:val="20"/>
              </w:rPr>
            </w:pPr>
            <w:r w:rsidRPr="00C72B25">
              <w:rPr>
                <w:sz w:val="20"/>
              </w:rPr>
              <w:t>Odds ratio</w:t>
            </w:r>
          </w:p>
        </w:tc>
      </w:tr>
      <w:tr w:rsidR="00E61142" w:rsidRPr="00E713B2" w14:paraId="60E7C2C5" w14:textId="77777777" w:rsidTr="00E55D38">
        <w:tc>
          <w:tcPr>
            <w:tcW w:w="1572" w:type="dxa"/>
          </w:tcPr>
          <w:p w14:paraId="15D9B211" w14:textId="77777777" w:rsidR="00E61142" w:rsidRPr="003E4B41" w:rsidRDefault="00E61142" w:rsidP="00E61142">
            <w:pPr>
              <w:spacing w:before="60" w:after="60"/>
              <w:rPr>
                <w:sz w:val="20"/>
              </w:rPr>
            </w:pPr>
            <w:r w:rsidRPr="003E4B41">
              <w:rPr>
                <w:sz w:val="20"/>
                <w:szCs w:val="20"/>
              </w:rPr>
              <w:t>PBO</w:t>
            </w:r>
          </w:p>
        </w:tc>
        <w:tc>
          <w:tcPr>
            <w:tcW w:w="7564" w:type="dxa"/>
          </w:tcPr>
          <w:p w14:paraId="5B90E681" w14:textId="77777777" w:rsidR="00E61142" w:rsidRPr="003E4B41" w:rsidRDefault="00E61142" w:rsidP="00E61142">
            <w:pPr>
              <w:spacing w:before="60" w:after="60"/>
              <w:rPr>
                <w:sz w:val="20"/>
              </w:rPr>
            </w:pPr>
            <w:r w:rsidRPr="003E4B41">
              <w:rPr>
                <w:sz w:val="20"/>
                <w:szCs w:val="20"/>
              </w:rPr>
              <w:t>Placebo</w:t>
            </w:r>
          </w:p>
        </w:tc>
      </w:tr>
      <w:tr w:rsidR="00E61142" w:rsidRPr="00E713B2" w14:paraId="49A1EB8A" w14:textId="77777777" w:rsidTr="00E55D38">
        <w:tc>
          <w:tcPr>
            <w:tcW w:w="1572" w:type="dxa"/>
          </w:tcPr>
          <w:p w14:paraId="3627EC97" w14:textId="77777777" w:rsidR="00E61142" w:rsidRDefault="00E61142" w:rsidP="00E61142">
            <w:pPr>
              <w:spacing w:before="60" w:after="60"/>
              <w:rPr>
                <w:sz w:val="20"/>
              </w:rPr>
            </w:pPr>
            <w:r>
              <w:rPr>
                <w:sz w:val="20"/>
              </w:rPr>
              <w:t>PCS</w:t>
            </w:r>
          </w:p>
        </w:tc>
        <w:tc>
          <w:tcPr>
            <w:tcW w:w="7564" w:type="dxa"/>
          </w:tcPr>
          <w:p w14:paraId="34AC1B59" w14:textId="6643F596" w:rsidR="00E61142" w:rsidRPr="003E4B41" w:rsidRDefault="00FB5590" w:rsidP="00FB5590">
            <w:pPr>
              <w:spacing w:before="60" w:after="60"/>
              <w:rPr>
                <w:sz w:val="20"/>
              </w:rPr>
            </w:pPr>
            <w:r>
              <w:rPr>
                <w:sz w:val="20"/>
              </w:rPr>
              <w:t>Risultato della componente fisica</w:t>
            </w:r>
          </w:p>
        </w:tc>
      </w:tr>
      <w:tr w:rsidR="00E61142" w:rsidRPr="00E713B2" w14:paraId="56DB8255" w14:textId="77777777" w:rsidTr="00E55D38">
        <w:tc>
          <w:tcPr>
            <w:tcW w:w="1572" w:type="dxa"/>
          </w:tcPr>
          <w:p w14:paraId="63D5EE8A" w14:textId="77777777" w:rsidR="00E61142" w:rsidRPr="003E4B41" w:rsidRDefault="00E61142" w:rsidP="00E61142">
            <w:pPr>
              <w:spacing w:before="60" w:after="60"/>
              <w:rPr>
                <w:sz w:val="20"/>
              </w:rPr>
            </w:pPr>
            <w:r>
              <w:rPr>
                <w:sz w:val="20"/>
              </w:rPr>
              <w:t>PDV</w:t>
            </w:r>
          </w:p>
        </w:tc>
        <w:tc>
          <w:tcPr>
            <w:tcW w:w="7564" w:type="dxa"/>
          </w:tcPr>
          <w:p w14:paraId="212D0312" w14:textId="21471DFA" w:rsidR="00E61142" w:rsidRPr="003E4B41" w:rsidRDefault="00FB5590" w:rsidP="00FB5590">
            <w:pPr>
              <w:spacing w:before="60" w:after="60"/>
              <w:rPr>
                <w:sz w:val="20"/>
              </w:rPr>
            </w:pPr>
            <w:r>
              <w:rPr>
                <w:sz w:val="20"/>
              </w:rPr>
              <w:t>Deviazioni e violazioni al protocollo</w:t>
            </w:r>
          </w:p>
        </w:tc>
      </w:tr>
      <w:tr w:rsidR="00E61142" w:rsidRPr="00E713B2" w14:paraId="26980B14" w14:textId="77777777" w:rsidTr="00E55D38">
        <w:tc>
          <w:tcPr>
            <w:tcW w:w="1572" w:type="dxa"/>
          </w:tcPr>
          <w:p w14:paraId="3E23EAF1" w14:textId="77777777" w:rsidR="00E61142" w:rsidRDefault="00E61142" w:rsidP="00E61142">
            <w:pPr>
              <w:spacing w:before="60" w:after="60"/>
              <w:rPr>
                <w:sz w:val="20"/>
              </w:rPr>
            </w:pPr>
            <w:r>
              <w:rPr>
                <w:sz w:val="20"/>
              </w:rPr>
              <w:t>PGA</w:t>
            </w:r>
          </w:p>
        </w:tc>
        <w:tc>
          <w:tcPr>
            <w:tcW w:w="7564" w:type="dxa"/>
          </w:tcPr>
          <w:p w14:paraId="02F90741" w14:textId="02153C78" w:rsidR="00E61142" w:rsidRPr="00864B5F" w:rsidRDefault="00C57973" w:rsidP="00C57973">
            <w:pPr>
              <w:spacing w:before="60" w:after="60"/>
              <w:rPr>
                <w:sz w:val="20"/>
              </w:rPr>
            </w:pPr>
            <w:r>
              <w:rPr>
                <w:sz w:val="20"/>
              </w:rPr>
              <w:t>Valutazione</w:t>
            </w:r>
            <w:r w:rsidR="00FB5590">
              <w:rPr>
                <w:sz w:val="20"/>
              </w:rPr>
              <w:t xml:space="preserve"> Globale da parte del Paziente</w:t>
            </w:r>
          </w:p>
        </w:tc>
      </w:tr>
      <w:tr w:rsidR="00E61142" w:rsidRPr="00E713B2" w14:paraId="461D40E6" w14:textId="77777777" w:rsidTr="00E55D38">
        <w:tc>
          <w:tcPr>
            <w:tcW w:w="1572" w:type="dxa"/>
          </w:tcPr>
          <w:p w14:paraId="31EDB62A" w14:textId="77777777" w:rsidR="00E61142" w:rsidRPr="003E4B41" w:rsidRDefault="00E61142" w:rsidP="00E61142">
            <w:pPr>
              <w:spacing w:before="60" w:after="60"/>
              <w:rPr>
                <w:sz w:val="20"/>
              </w:rPr>
            </w:pPr>
            <w:r>
              <w:rPr>
                <w:sz w:val="20"/>
              </w:rPr>
              <w:t>PP</w:t>
            </w:r>
          </w:p>
        </w:tc>
        <w:tc>
          <w:tcPr>
            <w:tcW w:w="7564" w:type="dxa"/>
          </w:tcPr>
          <w:p w14:paraId="07724712" w14:textId="162B3B71" w:rsidR="00E61142" w:rsidRPr="003E4B41" w:rsidRDefault="00E61142" w:rsidP="00E61142">
            <w:pPr>
              <w:spacing w:before="60" w:after="60"/>
              <w:rPr>
                <w:sz w:val="20"/>
              </w:rPr>
            </w:pPr>
            <w:r>
              <w:rPr>
                <w:sz w:val="20"/>
              </w:rPr>
              <w:t>Per protocol</w:t>
            </w:r>
            <w:r w:rsidR="00FB5590">
              <w:rPr>
                <w:sz w:val="20"/>
              </w:rPr>
              <w:t>lo</w:t>
            </w:r>
          </w:p>
        </w:tc>
      </w:tr>
      <w:tr w:rsidR="00E61142" w:rsidRPr="00E713B2" w14:paraId="5488BBBD" w14:textId="77777777" w:rsidTr="00E55D38">
        <w:tc>
          <w:tcPr>
            <w:tcW w:w="1572" w:type="dxa"/>
          </w:tcPr>
          <w:p w14:paraId="6B4F9CB5" w14:textId="77777777" w:rsidR="00E61142" w:rsidRPr="003E4B41" w:rsidRDefault="00E61142" w:rsidP="00E61142">
            <w:pPr>
              <w:spacing w:before="60" w:after="60"/>
              <w:rPr>
                <w:sz w:val="20"/>
              </w:rPr>
            </w:pPr>
            <w:r>
              <w:rPr>
                <w:sz w:val="20"/>
              </w:rPr>
              <w:t>PPI</w:t>
            </w:r>
          </w:p>
        </w:tc>
        <w:tc>
          <w:tcPr>
            <w:tcW w:w="7564" w:type="dxa"/>
          </w:tcPr>
          <w:p w14:paraId="683BADD5" w14:textId="5A618667" w:rsidR="00E61142" w:rsidRPr="003E4B41" w:rsidRDefault="00FB5590" w:rsidP="00FB5590">
            <w:pPr>
              <w:spacing w:before="60" w:after="60"/>
              <w:rPr>
                <w:sz w:val="20"/>
              </w:rPr>
            </w:pPr>
            <w:r>
              <w:rPr>
                <w:sz w:val="20"/>
              </w:rPr>
              <w:t>Inibitori della pompa protonica</w:t>
            </w:r>
          </w:p>
        </w:tc>
      </w:tr>
      <w:tr w:rsidR="00E61142" w:rsidRPr="00E713B2" w14:paraId="540F8295" w14:textId="77777777" w:rsidTr="00E55D38">
        <w:tc>
          <w:tcPr>
            <w:tcW w:w="1572" w:type="dxa"/>
          </w:tcPr>
          <w:p w14:paraId="1C972910" w14:textId="77777777" w:rsidR="00E61142" w:rsidRDefault="00E61142" w:rsidP="00E61142">
            <w:pPr>
              <w:spacing w:before="60" w:after="60"/>
              <w:rPr>
                <w:sz w:val="20"/>
              </w:rPr>
            </w:pPr>
            <w:r>
              <w:rPr>
                <w:sz w:val="20"/>
              </w:rPr>
              <w:t>PRO</w:t>
            </w:r>
          </w:p>
        </w:tc>
        <w:tc>
          <w:tcPr>
            <w:tcW w:w="7564" w:type="dxa"/>
          </w:tcPr>
          <w:p w14:paraId="6E0F17C3" w14:textId="0343E2CF" w:rsidR="00E61142" w:rsidRPr="00864B5F" w:rsidRDefault="00FB5590" w:rsidP="00FB5590">
            <w:pPr>
              <w:spacing w:before="60" w:after="60"/>
              <w:rPr>
                <w:sz w:val="20"/>
              </w:rPr>
            </w:pPr>
            <w:r>
              <w:rPr>
                <w:sz w:val="20"/>
              </w:rPr>
              <w:t>Valutazioni riportate dal paziente</w:t>
            </w:r>
          </w:p>
        </w:tc>
      </w:tr>
      <w:tr w:rsidR="00C57973" w:rsidRPr="00E713B2" w14:paraId="3E69A1F9" w14:textId="77777777" w:rsidTr="00E55D38">
        <w:tc>
          <w:tcPr>
            <w:tcW w:w="1572" w:type="dxa"/>
          </w:tcPr>
          <w:p w14:paraId="7AD797CD" w14:textId="7577AD83" w:rsidR="00C57973" w:rsidRDefault="00C57973" w:rsidP="00E61142">
            <w:pPr>
              <w:spacing w:before="60" w:after="60"/>
              <w:rPr>
                <w:sz w:val="20"/>
              </w:rPr>
            </w:pPr>
            <w:r>
              <w:rPr>
                <w:sz w:val="20"/>
              </w:rPr>
              <w:t>QoL</w:t>
            </w:r>
          </w:p>
        </w:tc>
        <w:tc>
          <w:tcPr>
            <w:tcW w:w="7564" w:type="dxa"/>
          </w:tcPr>
          <w:p w14:paraId="3BE795C6" w14:textId="0B48758D" w:rsidR="00C57973" w:rsidRDefault="00C57973" w:rsidP="00FB5590">
            <w:pPr>
              <w:spacing w:before="60" w:after="60"/>
              <w:rPr>
                <w:sz w:val="20"/>
              </w:rPr>
            </w:pPr>
            <w:r>
              <w:rPr>
                <w:sz w:val="20"/>
              </w:rPr>
              <w:t>Qualità della vita</w:t>
            </w:r>
          </w:p>
        </w:tc>
      </w:tr>
      <w:tr w:rsidR="00E61142" w:rsidRPr="00E713B2" w14:paraId="2EBFB892" w14:textId="77777777" w:rsidTr="00E55D38">
        <w:tc>
          <w:tcPr>
            <w:tcW w:w="1572" w:type="dxa"/>
          </w:tcPr>
          <w:p w14:paraId="721179CC" w14:textId="77777777" w:rsidR="00E61142" w:rsidRPr="003E4B41" w:rsidRDefault="00E61142" w:rsidP="00E61142">
            <w:pPr>
              <w:spacing w:before="60" w:after="60"/>
              <w:rPr>
                <w:sz w:val="20"/>
              </w:rPr>
            </w:pPr>
            <w:r>
              <w:rPr>
                <w:sz w:val="20"/>
              </w:rPr>
              <w:t>RCT</w:t>
            </w:r>
          </w:p>
        </w:tc>
        <w:tc>
          <w:tcPr>
            <w:tcW w:w="7564" w:type="dxa"/>
          </w:tcPr>
          <w:p w14:paraId="237A87FD" w14:textId="28E003BF" w:rsidR="00E61142" w:rsidRPr="003E4B41" w:rsidRDefault="00FB5590" w:rsidP="00FB5590">
            <w:pPr>
              <w:spacing w:before="60" w:after="60"/>
              <w:rPr>
                <w:sz w:val="20"/>
              </w:rPr>
            </w:pPr>
            <w:r>
              <w:rPr>
                <w:sz w:val="20"/>
              </w:rPr>
              <w:t>Studio controllato randomizzato</w:t>
            </w:r>
          </w:p>
        </w:tc>
      </w:tr>
      <w:tr w:rsidR="00E61142" w:rsidRPr="00E713B2" w14:paraId="31758955" w14:textId="77777777" w:rsidTr="00E55D38">
        <w:tc>
          <w:tcPr>
            <w:tcW w:w="1572" w:type="dxa"/>
          </w:tcPr>
          <w:p w14:paraId="0C1893B5" w14:textId="77777777" w:rsidR="00E61142" w:rsidRPr="003E4B41" w:rsidRDefault="00E61142" w:rsidP="00E61142">
            <w:pPr>
              <w:spacing w:before="60" w:after="60"/>
              <w:rPr>
                <w:sz w:val="20"/>
              </w:rPr>
            </w:pPr>
            <w:r>
              <w:rPr>
                <w:sz w:val="20"/>
              </w:rPr>
              <w:t>RCTC</w:t>
            </w:r>
          </w:p>
        </w:tc>
        <w:tc>
          <w:tcPr>
            <w:tcW w:w="7564" w:type="dxa"/>
          </w:tcPr>
          <w:p w14:paraId="25E731FD" w14:textId="77777777" w:rsidR="00E61142" w:rsidRPr="00C72B25" w:rsidRDefault="00E61142" w:rsidP="00E61142">
            <w:pPr>
              <w:spacing w:before="60" w:after="60"/>
              <w:rPr>
                <w:sz w:val="20"/>
              </w:rPr>
            </w:pPr>
            <w:r w:rsidRPr="00C72B25">
              <w:rPr>
                <w:sz w:val="20"/>
              </w:rPr>
              <w:t>Rheumatology common toxicity criteria</w:t>
            </w:r>
          </w:p>
        </w:tc>
      </w:tr>
      <w:tr w:rsidR="00E61142" w:rsidRPr="00E713B2" w14:paraId="2E4C0B47" w14:textId="77777777" w:rsidTr="00E55D38">
        <w:tc>
          <w:tcPr>
            <w:tcW w:w="1572" w:type="dxa"/>
          </w:tcPr>
          <w:p w14:paraId="0522543B" w14:textId="77777777" w:rsidR="00E61142" w:rsidRPr="003E4B41" w:rsidRDefault="00E61142" w:rsidP="00E61142">
            <w:pPr>
              <w:spacing w:before="60" w:after="60"/>
              <w:rPr>
                <w:sz w:val="20"/>
              </w:rPr>
            </w:pPr>
            <w:r w:rsidRPr="003E4B41">
              <w:rPr>
                <w:sz w:val="20"/>
              </w:rPr>
              <w:t>SAE</w:t>
            </w:r>
          </w:p>
        </w:tc>
        <w:tc>
          <w:tcPr>
            <w:tcW w:w="7564" w:type="dxa"/>
          </w:tcPr>
          <w:p w14:paraId="11060074" w14:textId="410D6C89" w:rsidR="00E61142" w:rsidRPr="003E4B41" w:rsidRDefault="00FB5590" w:rsidP="00FB5590">
            <w:pPr>
              <w:spacing w:before="60" w:after="60"/>
              <w:rPr>
                <w:sz w:val="20"/>
              </w:rPr>
            </w:pPr>
            <w:r>
              <w:rPr>
                <w:sz w:val="20"/>
              </w:rPr>
              <w:t>Evento avverso serio</w:t>
            </w:r>
          </w:p>
        </w:tc>
      </w:tr>
      <w:tr w:rsidR="00E61142" w:rsidRPr="00E713B2" w14:paraId="20A3DBB5" w14:textId="77777777" w:rsidTr="00E55D38">
        <w:tc>
          <w:tcPr>
            <w:tcW w:w="1572" w:type="dxa"/>
          </w:tcPr>
          <w:p w14:paraId="365971EB" w14:textId="77777777" w:rsidR="00E61142" w:rsidRPr="003E4B41" w:rsidRDefault="00E61142" w:rsidP="00E61142">
            <w:pPr>
              <w:spacing w:before="60" w:after="60"/>
              <w:rPr>
                <w:sz w:val="20"/>
              </w:rPr>
            </w:pPr>
            <w:r>
              <w:rPr>
                <w:sz w:val="20"/>
              </w:rPr>
              <w:t>SBP</w:t>
            </w:r>
          </w:p>
        </w:tc>
        <w:tc>
          <w:tcPr>
            <w:tcW w:w="7564" w:type="dxa"/>
          </w:tcPr>
          <w:p w14:paraId="20741705" w14:textId="67D719CA" w:rsidR="00E61142" w:rsidRPr="003E4B41" w:rsidRDefault="00FB5590" w:rsidP="00FB5590">
            <w:pPr>
              <w:spacing w:before="60" w:after="60"/>
              <w:rPr>
                <w:sz w:val="20"/>
              </w:rPr>
            </w:pPr>
            <w:r>
              <w:rPr>
                <w:sz w:val="20"/>
              </w:rPr>
              <w:t>Pressione arteriosa sistolica</w:t>
            </w:r>
          </w:p>
        </w:tc>
      </w:tr>
      <w:tr w:rsidR="00E61142" w:rsidRPr="00E713B2" w14:paraId="4CB7EF5C" w14:textId="77777777" w:rsidTr="00E55D38">
        <w:tc>
          <w:tcPr>
            <w:tcW w:w="1572" w:type="dxa"/>
          </w:tcPr>
          <w:p w14:paraId="49306DC5" w14:textId="77777777" w:rsidR="00E61142" w:rsidRPr="003E4B41" w:rsidRDefault="00E61142" w:rsidP="00E61142">
            <w:pPr>
              <w:spacing w:before="60" w:after="60"/>
              <w:rPr>
                <w:sz w:val="20"/>
              </w:rPr>
            </w:pPr>
            <w:r w:rsidRPr="003E4B41">
              <w:rPr>
                <w:sz w:val="20"/>
              </w:rPr>
              <w:t>sCr</w:t>
            </w:r>
          </w:p>
        </w:tc>
        <w:tc>
          <w:tcPr>
            <w:tcW w:w="7564" w:type="dxa"/>
          </w:tcPr>
          <w:p w14:paraId="61EFEF30" w14:textId="4E4D1246" w:rsidR="00E61142" w:rsidRPr="003E4B41" w:rsidRDefault="00FB5590" w:rsidP="00FB5590">
            <w:pPr>
              <w:spacing w:before="60" w:after="60"/>
              <w:rPr>
                <w:sz w:val="20"/>
              </w:rPr>
            </w:pPr>
            <w:r>
              <w:rPr>
                <w:sz w:val="20"/>
              </w:rPr>
              <w:t>Creatinina sierica</w:t>
            </w:r>
          </w:p>
        </w:tc>
      </w:tr>
      <w:tr w:rsidR="00E61142" w:rsidRPr="00E713B2" w14:paraId="73E87937" w14:textId="77777777" w:rsidTr="00E55D38">
        <w:tc>
          <w:tcPr>
            <w:tcW w:w="1572" w:type="dxa"/>
          </w:tcPr>
          <w:p w14:paraId="47667DFA" w14:textId="77777777" w:rsidR="00E61142" w:rsidRPr="003E4B41" w:rsidRDefault="00E61142" w:rsidP="00E61142">
            <w:pPr>
              <w:spacing w:before="60" w:after="60"/>
              <w:rPr>
                <w:sz w:val="20"/>
              </w:rPr>
            </w:pPr>
            <w:r w:rsidRPr="003E4B41">
              <w:rPr>
                <w:sz w:val="20"/>
              </w:rPr>
              <w:t>SD</w:t>
            </w:r>
          </w:p>
        </w:tc>
        <w:tc>
          <w:tcPr>
            <w:tcW w:w="7564" w:type="dxa"/>
          </w:tcPr>
          <w:p w14:paraId="41FBCCB1" w14:textId="54FF8CDE" w:rsidR="00E61142" w:rsidRPr="003E4B41" w:rsidRDefault="00FB5590" w:rsidP="00FB5590">
            <w:pPr>
              <w:spacing w:before="60" w:after="60"/>
              <w:rPr>
                <w:sz w:val="20"/>
              </w:rPr>
            </w:pPr>
            <w:r>
              <w:rPr>
                <w:sz w:val="20"/>
              </w:rPr>
              <w:t>Deviazione standard</w:t>
            </w:r>
          </w:p>
        </w:tc>
      </w:tr>
      <w:tr w:rsidR="00E61142" w:rsidRPr="00E713B2" w14:paraId="3BC27044" w14:textId="77777777" w:rsidTr="00E55D38">
        <w:tc>
          <w:tcPr>
            <w:tcW w:w="1572" w:type="dxa"/>
          </w:tcPr>
          <w:p w14:paraId="387F27CB" w14:textId="77777777" w:rsidR="00E61142" w:rsidRPr="00852F2B" w:rsidRDefault="00E61142" w:rsidP="00E61142">
            <w:pPr>
              <w:spacing w:before="60" w:after="60"/>
              <w:rPr>
                <w:sz w:val="20"/>
              </w:rPr>
            </w:pPr>
            <w:r w:rsidRPr="00852F2B">
              <w:rPr>
                <w:sz w:val="20"/>
              </w:rPr>
              <w:t>SDS</w:t>
            </w:r>
          </w:p>
        </w:tc>
        <w:tc>
          <w:tcPr>
            <w:tcW w:w="7564" w:type="dxa"/>
          </w:tcPr>
          <w:p w14:paraId="0126777C" w14:textId="77777777" w:rsidR="00E61142" w:rsidRPr="00852F2B" w:rsidRDefault="00E61142" w:rsidP="00E61142">
            <w:pPr>
              <w:spacing w:before="60" w:after="60"/>
              <w:rPr>
                <w:sz w:val="20"/>
              </w:rPr>
            </w:pPr>
            <w:r w:rsidRPr="00852F2B">
              <w:rPr>
                <w:sz w:val="20"/>
              </w:rPr>
              <w:t>Sheehan Disability Scale</w:t>
            </w:r>
          </w:p>
        </w:tc>
      </w:tr>
      <w:tr w:rsidR="00E61142" w:rsidRPr="00E713B2" w14:paraId="5947C551" w14:textId="77777777" w:rsidTr="00E55D38">
        <w:trPr>
          <w:trHeight w:val="58"/>
        </w:trPr>
        <w:tc>
          <w:tcPr>
            <w:tcW w:w="1572" w:type="dxa"/>
          </w:tcPr>
          <w:p w14:paraId="2D59BE97" w14:textId="77777777" w:rsidR="00E61142" w:rsidRPr="00852F2B" w:rsidRDefault="00E61142" w:rsidP="00E61142">
            <w:pPr>
              <w:spacing w:before="60" w:after="60"/>
              <w:rPr>
                <w:sz w:val="20"/>
              </w:rPr>
            </w:pPr>
            <w:r w:rsidRPr="00852F2B">
              <w:rPr>
                <w:sz w:val="20"/>
              </w:rPr>
              <w:t>SF-36</w:t>
            </w:r>
          </w:p>
        </w:tc>
        <w:tc>
          <w:tcPr>
            <w:tcW w:w="7564" w:type="dxa"/>
          </w:tcPr>
          <w:p w14:paraId="66F17CA5" w14:textId="77777777" w:rsidR="00E61142" w:rsidRPr="00852F2B" w:rsidRDefault="00E61142" w:rsidP="00E61142">
            <w:pPr>
              <w:spacing w:before="60" w:after="60"/>
              <w:rPr>
                <w:sz w:val="20"/>
              </w:rPr>
            </w:pPr>
            <w:r w:rsidRPr="00852F2B">
              <w:rPr>
                <w:sz w:val="20"/>
              </w:rPr>
              <w:t>Short Form-36 Questionnaire</w:t>
            </w:r>
          </w:p>
        </w:tc>
      </w:tr>
      <w:tr w:rsidR="00E61142" w:rsidRPr="00E713B2" w14:paraId="0F989018" w14:textId="77777777" w:rsidTr="00E55D38">
        <w:tc>
          <w:tcPr>
            <w:tcW w:w="1572" w:type="dxa"/>
          </w:tcPr>
          <w:p w14:paraId="3169AC89" w14:textId="77777777" w:rsidR="00E61142" w:rsidRPr="00852F2B" w:rsidRDefault="00E61142" w:rsidP="00E61142">
            <w:pPr>
              <w:spacing w:before="60" w:after="60"/>
              <w:rPr>
                <w:sz w:val="20"/>
              </w:rPr>
            </w:pPr>
            <w:r w:rsidRPr="00852F2B">
              <w:rPr>
                <w:sz w:val="20"/>
              </w:rPr>
              <w:t>SIR</w:t>
            </w:r>
          </w:p>
        </w:tc>
        <w:tc>
          <w:tcPr>
            <w:tcW w:w="7564" w:type="dxa"/>
          </w:tcPr>
          <w:p w14:paraId="3E0CE421" w14:textId="63B41352" w:rsidR="00E61142" w:rsidRPr="00852F2B" w:rsidRDefault="00B306BF" w:rsidP="00B306BF">
            <w:pPr>
              <w:spacing w:before="60" w:after="60"/>
              <w:rPr>
                <w:sz w:val="20"/>
              </w:rPr>
            </w:pPr>
            <w:r>
              <w:rPr>
                <w:sz w:val="20"/>
              </w:rPr>
              <w:t xml:space="preserve">Società Italiana di Reumatologia </w:t>
            </w:r>
          </w:p>
        </w:tc>
      </w:tr>
      <w:tr w:rsidR="00BC5634" w:rsidRPr="00E713B2" w14:paraId="3A3F567B" w14:textId="77777777" w:rsidTr="00E55D38">
        <w:tc>
          <w:tcPr>
            <w:tcW w:w="1572" w:type="dxa"/>
          </w:tcPr>
          <w:p w14:paraId="0BCA4CE3" w14:textId="2AE58E51" w:rsidR="00BC5634" w:rsidRDefault="00BC5634" w:rsidP="00E61142">
            <w:pPr>
              <w:spacing w:before="60" w:after="60"/>
              <w:rPr>
                <w:sz w:val="20"/>
              </w:rPr>
            </w:pPr>
            <w:r>
              <w:rPr>
                <w:sz w:val="20"/>
              </w:rPr>
              <w:t>SMR</w:t>
            </w:r>
          </w:p>
        </w:tc>
        <w:tc>
          <w:tcPr>
            <w:tcW w:w="7564" w:type="dxa"/>
          </w:tcPr>
          <w:p w14:paraId="6AF453CA" w14:textId="51850392" w:rsidR="00BC5634" w:rsidRPr="00C72B25" w:rsidRDefault="00BC5634" w:rsidP="00E61142">
            <w:pPr>
              <w:spacing w:before="60" w:after="60"/>
              <w:rPr>
                <w:sz w:val="20"/>
              </w:rPr>
            </w:pPr>
            <w:r>
              <w:rPr>
                <w:sz w:val="20"/>
              </w:rPr>
              <w:t>R</w:t>
            </w:r>
            <w:r w:rsidRPr="00BC5634">
              <w:rPr>
                <w:sz w:val="20"/>
              </w:rPr>
              <w:t>apporto standardizzato di mortalità</w:t>
            </w:r>
          </w:p>
        </w:tc>
      </w:tr>
      <w:tr w:rsidR="00E61142" w:rsidRPr="00E713B2" w14:paraId="5828303C" w14:textId="77777777" w:rsidTr="00E55D38">
        <w:tc>
          <w:tcPr>
            <w:tcW w:w="1572" w:type="dxa"/>
          </w:tcPr>
          <w:p w14:paraId="6ADCB4D8" w14:textId="77777777" w:rsidR="00E61142" w:rsidRPr="003E4B41" w:rsidRDefault="00E61142" w:rsidP="00E61142">
            <w:pPr>
              <w:spacing w:before="60" w:after="60"/>
              <w:rPr>
                <w:sz w:val="20"/>
              </w:rPr>
            </w:pPr>
            <w:r>
              <w:rPr>
                <w:sz w:val="20"/>
              </w:rPr>
              <w:t>SOC</w:t>
            </w:r>
          </w:p>
        </w:tc>
        <w:tc>
          <w:tcPr>
            <w:tcW w:w="7564" w:type="dxa"/>
          </w:tcPr>
          <w:p w14:paraId="3012B14A" w14:textId="77777777" w:rsidR="00E61142" w:rsidRPr="00C72B25" w:rsidRDefault="00E61142" w:rsidP="00E61142">
            <w:pPr>
              <w:spacing w:before="60" w:after="60"/>
              <w:rPr>
                <w:sz w:val="20"/>
              </w:rPr>
            </w:pPr>
            <w:r w:rsidRPr="00C72B25">
              <w:rPr>
                <w:sz w:val="20"/>
              </w:rPr>
              <w:t>System Organ Class</w:t>
            </w:r>
          </w:p>
        </w:tc>
      </w:tr>
      <w:tr w:rsidR="00E61142" w:rsidRPr="00B306BF" w14:paraId="390193B7" w14:textId="77777777" w:rsidTr="00E55D38">
        <w:tc>
          <w:tcPr>
            <w:tcW w:w="1572" w:type="dxa"/>
          </w:tcPr>
          <w:p w14:paraId="18CF4B29" w14:textId="013A2C47" w:rsidR="00E61142" w:rsidRPr="00266549" w:rsidRDefault="005848A1" w:rsidP="00E61142">
            <w:pPr>
              <w:spacing w:before="60" w:after="60"/>
              <w:rPr>
                <w:sz w:val="20"/>
              </w:rPr>
            </w:pPr>
            <w:r>
              <w:rPr>
                <w:sz w:val="20"/>
              </w:rPr>
              <w:t>sUA</w:t>
            </w:r>
          </w:p>
        </w:tc>
        <w:tc>
          <w:tcPr>
            <w:tcW w:w="7564" w:type="dxa"/>
          </w:tcPr>
          <w:p w14:paraId="638323CE" w14:textId="6D0295AF" w:rsidR="00E61142" w:rsidRPr="00B306BF" w:rsidRDefault="00B306BF" w:rsidP="00B306BF">
            <w:pPr>
              <w:spacing w:before="60" w:after="60"/>
              <w:rPr>
                <w:sz w:val="20"/>
              </w:rPr>
            </w:pPr>
            <w:r w:rsidRPr="00B306BF">
              <w:rPr>
                <w:sz w:val="20"/>
              </w:rPr>
              <w:t>Acido urico sierico (urato sierico)</w:t>
            </w:r>
          </w:p>
        </w:tc>
      </w:tr>
      <w:tr w:rsidR="00E61142" w:rsidRPr="00E713B2" w14:paraId="6C6D4382" w14:textId="77777777" w:rsidTr="00E55D38">
        <w:tc>
          <w:tcPr>
            <w:tcW w:w="1572" w:type="dxa"/>
          </w:tcPr>
          <w:p w14:paraId="0C8CB351" w14:textId="77777777" w:rsidR="00E61142" w:rsidRPr="005C2066" w:rsidRDefault="00E61142" w:rsidP="00E61142">
            <w:pPr>
              <w:spacing w:before="60" w:after="60"/>
              <w:rPr>
                <w:sz w:val="20"/>
              </w:rPr>
            </w:pPr>
            <w:r w:rsidRPr="005C2066">
              <w:rPr>
                <w:sz w:val="20"/>
              </w:rPr>
              <w:t>TEAE</w:t>
            </w:r>
          </w:p>
        </w:tc>
        <w:tc>
          <w:tcPr>
            <w:tcW w:w="7564" w:type="dxa"/>
          </w:tcPr>
          <w:p w14:paraId="0CC7EA1E" w14:textId="43701C77" w:rsidR="00E61142" w:rsidRPr="005C2066" w:rsidRDefault="00B306BF" w:rsidP="00B306BF">
            <w:pPr>
              <w:spacing w:before="60" w:after="60"/>
              <w:rPr>
                <w:sz w:val="20"/>
              </w:rPr>
            </w:pPr>
            <w:r>
              <w:rPr>
                <w:sz w:val="20"/>
              </w:rPr>
              <w:t xml:space="preserve">Eventi avversi emergenti correlati al trattamento </w:t>
            </w:r>
          </w:p>
        </w:tc>
      </w:tr>
      <w:tr w:rsidR="00E61142" w:rsidRPr="00B306BF" w14:paraId="0A918A70" w14:textId="77777777" w:rsidTr="00E55D38">
        <w:tc>
          <w:tcPr>
            <w:tcW w:w="1572" w:type="dxa"/>
          </w:tcPr>
          <w:p w14:paraId="36C3BE6D" w14:textId="77777777" w:rsidR="00E61142" w:rsidRPr="005C2066" w:rsidRDefault="00E61142" w:rsidP="00E61142">
            <w:pPr>
              <w:spacing w:before="60" w:after="60"/>
              <w:rPr>
                <w:sz w:val="20"/>
              </w:rPr>
            </w:pPr>
            <w:r w:rsidRPr="005C2066">
              <w:rPr>
                <w:sz w:val="20"/>
              </w:rPr>
              <w:t>TSQM</w:t>
            </w:r>
          </w:p>
        </w:tc>
        <w:tc>
          <w:tcPr>
            <w:tcW w:w="7564" w:type="dxa"/>
          </w:tcPr>
          <w:p w14:paraId="0E6D1A2B" w14:textId="31B5F1BB" w:rsidR="00E61142" w:rsidRPr="00B306BF" w:rsidRDefault="00B306BF" w:rsidP="00B306BF">
            <w:pPr>
              <w:spacing w:before="60" w:after="60"/>
              <w:rPr>
                <w:sz w:val="20"/>
              </w:rPr>
            </w:pPr>
            <w:r w:rsidRPr="00B306BF">
              <w:rPr>
                <w:sz w:val="20"/>
              </w:rPr>
              <w:t xml:space="preserve">Questionario di soddisfazione del medicinale </w:t>
            </w:r>
          </w:p>
        </w:tc>
      </w:tr>
      <w:tr w:rsidR="00E61142" w:rsidRPr="00E713B2" w14:paraId="514AC4D2" w14:textId="77777777" w:rsidTr="00E55D38">
        <w:tc>
          <w:tcPr>
            <w:tcW w:w="1572" w:type="dxa"/>
          </w:tcPr>
          <w:p w14:paraId="0C78A19D" w14:textId="77777777" w:rsidR="00E61142" w:rsidRPr="005C2066" w:rsidRDefault="00E61142" w:rsidP="00E61142">
            <w:pPr>
              <w:spacing w:before="60" w:after="60"/>
              <w:rPr>
                <w:sz w:val="20"/>
              </w:rPr>
            </w:pPr>
            <w:r w:rsidRPr="005C2066">
              <w:rPr>
                <w:sz w:val="20"/>
              </w:rPr>
              <w:t>UK</w:t>
            </w:r>
          </w:p>
        </w:tc>
        <w:tc>
          <w:tcPr>
            <w:tcW w:w="7564" w:type="dxa"/>
          </w:tcPr>
          <w:p w14:paraId="0ADCBCFC" w14:textId="77777777" w:rsidR="00E61142" w:rsidRPr="005C2066" w:rsidRDefault="00E61142" w:rsidP="00E61142">
            <w:pPr>
              <w:spacing w:before="60" w:after="60"/>
              <w:rPr>
                <w:sz w:val="20"/>
              </w:rPr>
            </w:pPr>
            <w:r w:rsidRPr="005C2066">
              <w:rPr>
                <w:sz w:val="20"/>
              </w:rPr>
              <w:t>United Kingdom</w:t>
            </w:r>
          </w:p>
        </w:tc>
      </w:tr>
      <w:tr w:rsidR="00E61142" w:rsidRPr="00E713B2" w14:paraId="2A193F96" w14:textId="77777777" w:rsidTr="00E55D38">
        <w:tc>
          <w:tcPr>
            <w:tcW w:w="1572" w:type="dxa"/>
          </w:tcPr>
          <w:p w14:paraId="3C6D8BC0" w14:textId="77777777" w:rsidR="00E61142" w:rsidRPr="005C2066" w:rsidRDefault="00E61142" w:rsidP="00E61142">
            <w:pPr>
              <w:spacing w:before="60" w:after="60"/>
              <w:rPr>
                <w:sz w:val="20"/>
              </w:rPr>
            </w:pPr>
            <w:r w:rsidRPr="005C2066">
              <w:rPr>
                <w:sz w:val="20"/>
              </w:rPr>
              <w:t>ULN</w:t>
            </w:r>
          </w:p>
        </w:tc>
        <w:tc>
          <w:tcPr>
            <w:tcW w:w="7564" w:type="dxa"/>
          </w:tcPr>
          <w:p w14:paraId="519707F6" w14:textId="18F80A2A" w:rsidR="00E61142" w:rsidRPr="005C2066" w:rsidRDefault="00B306BF" w:rsidP="00B306BF">
            <w:pPr>
              <w:spacing w:before="60" w:after="60"/>
              <w:rPr>
                <w:sz w:val="20"/>
              </w:rPr>
            </w:pPr>
            <w:r>
              <w:rPr>
                <w:sz w:val="20"/>
              </w:rPr>
              <w:t xml:space="preserve">Limite superiore al normale </w:t>
            </w:r>
          </w:p>
        </w:tc>
      </w:tr>
      <w:tr w:rsidR="00E61142" w:rsidRPr="00E713B2" w14:paraId="7EA4F789" w14:textId="77777777" w:rsidTr="00E55D38">
        <w:tc>
          <w:tcPr>
            <w:tcW w:w="1572" w:type="dxa"/>
          </w:tcPr>
          <w:p w14:paraId="25A92174" w14:textId="77777777" w:rsidR="00E61142" w:rsidRPr="005C2066" w:rsidRDefault="00E61142" w:rsidP="00E61142">
            <w:pPr>
              <w:spacing w:before="60" w:after="60"/>
              <w:rPr>
                <w:sz w:val="20"/>
              </w:rPr>
            </w:pPr>
            <w:r w:rsidRPr="005C2066">
              <w:rPr>
                <w:sz w:val="20"/>
              </w:rPr>
              <w:t>ULT</w:t>
            </w:r>
          </w:p>
        </w:tc>
        <w:tc>
          <w:tcPr>
            <w:tcW w:w="7564" w:type="dxa"/>
          </w:tcPr>
          <w:p w14:paraId="64752F50" w14:textId="3218410D" w:rsidR="00E61142" w:rsidRPr="005C2066" w:rsidRDefault="00B306BF" w:rsidP="00B306BF">
            <w:pPr>
              <w:spacing w:before="60" w:after="60"/>
              <w:rPr>
                <w:sz w:val="20"/>
              </w:rPr>
            </w:pPr>
            <w:r>
              <w:rPr>
                <w:sz w:val="20"/>
              </w:rPr>
              <w:t xml:space="preserve">Terapia di riduzione degli urati </w:t>
            </w:r>
          </w:p>
        </w:tc>
      </w:tr>
      <w:tr w:rsidR="00E61142" w:rsidRPr="00E713B2" w14:paraId="1BC84A05" w14:textId="77777777" w:rsidTr="00E55D38">
        <w:tc>
          <w:tcPr>
            <w:tcW w:w="1572" w:type="dxa"/>
          </w:tcPr>
          <w:p w14:paraId="19B93D0E" w14:textId="77777777" w:rsidR="00E61142" w:rsidRPr="005C2066" w:rsidRDefault="00E61142" w:rsidP="00E61142">
            <w:pPr>
              <w:spacing w:before="60" w:after="60"/>
              <w:rPr>
                <w:sz w:val="20"/>
              </w:rPr>
            </w:pPr>
            <w:r w:rsidRPr="005C2066">
              <w:rPr>
                <w:sz w:val="20"/>
              </w:rPr>
              <w:t>URAT1</w:t>
            </w:r>
          </w:p>
        </w:tc>
        <w:tc>
          <w:tcPr>
            <w:tcW w:w="7564" w:type="dxa"/>
          </w:tcPr>
          <w:p w14:paraId="72680658" w14:textId="77777777" w:rsidR="00E61142" w:rsidRPr="005C2066" w:rsidRDefault="00E61142" w:rsidP="00E61142">
            <w:pPr>
              <w:spacing w:before="60" w:after="60"/>
              <w:rPr>
                <w:sz w:val="20"/>
              </w:rPr>
            </w:pPr>
            <w:r w:rsidRPr="005C2066">
              <w:rPr>
                <w:sz w:val="20"/>
              </w:rPr>
              <w:t>Urate anion exchanger 1</w:t>
            </w:r>
          </w:p>
        </w:tc>
      </w:tr>
      <w:tr w:rsidR="00E61142" w:rsidRPr="00E713B2" w14:paraId="21BD2BEB" w14:textId="77777777" w:rsidTr="00E55D38">
        <w:tc>
          <w:tcPr>
            <w:tcW w:w="1572" w:type="dxa"/>
          </w:tcPr>
          <w:p w14:paraId="6DCC5271" w14:textId="77777777" w:rsidR="00E61142" w:rsidRPr="005C2066" w:rsidRDefault="00E61142" w:rsidP="00E61142">
            <w:pPr>
              <w:spacing w:before="60" w:after="60"/>
              <w:rPr>
                <w:sz w:val="20"/>
              </w:rPr>
            </w:pPr>
            <w:r w:rsidRPr="005C2066">
              <w:rPr>
                <w:sz w:val="20"/>
              </w:rPr>
              <w:t>US</w:t>
            </w:r>
          </w:p>
        </w:tc>
        <w:tc>
          <w:tcPr>
            <w:tcW w:w="7564" w:type="dxa"/>
          </w:tcPr>
          <w:p w14:paraId="5283B4D5" w14:textId="77777777" w:rsidR="00E61142" w:rsidRPr="005C2066" w:rsidRDefault="00E61142" w:rsidP="00E61142">
            <w:pPr>
              <w:spacing w:before="60" w:after="60"/>
              <w:rPr>
                <w:sz w:val="20"/>
              </w:rPr>
            </w:pPr>
            <w:r w:rsidRPr="005C2066">
              <w:rPr>
                <w:sz w:val="20"/>
              </w:rPr>
              <w:t>United States</w:t>
            </w:r>
          </w:p>
        </w:tc>
      </w:tr>
      <w:tr w:rsidR="00D70EEB" w:rsidRPr="00C01252" w14:paraId="66B52BB0" w14:textId="77777777" w:rsidTr="00E55D38">
        <w:tc>
          <w:tcPr>
            <w:tcW w:w="1572" w:type="dxa"/>
          </w:tcPr>
          <w:p w14:paraId="4FB135B7" w14:textId="77777777" w:rsidR="00D70EEB" w:rsidRPr="00C01252" w:rsidRDefault="00D70EEB" w:rsidP="005147F1">
            <w:pPr>
              <w:spacing w:before="60" w:after="60"/>
              <w:rPr>
                <w:sz w:val="20"/>
              </w:rPr>
            </w:pPr>
            <w:r w:rsidRPr="00C01252">
              <w:rPr>
                <w:sz w:val="20"/>
              </w:rPr>
              <w:t>VAS</w:t>
            </w:r>
          </w:p>
        </w:tc>
        <w:tc>
          <w:tcPr>
            <w:tcW w:w="7564" w:type="dxa"/>
          </w:tcPr>
          <w:p w14:paraId="5C6696D4" w14:textId="77777777" w:rsidR="00D70EEB" w:rsidRPr="00C01252" w:rsidRDefault="00D70EEB" w:rsidP="005147F1">
            <w:pPr>
              <w:spacing w:before="60" w:after="60"/>
              <w:rPr>
                <w:sz w:val="20"/>
              </w:rPr>
            </w:pPr>
            <w:r w:rsidRPr="00C01252">
              <w:rPr>
                <w:sz w:val="20"/>
              </w:rPr>
              <w:t>Visual analogue scale</w:t>
            </w:r>
          </w:p>
        </w:tc>
      </w:tr>
      <w:tr w:rsidR="00D70EEB" w:rsidRPr="00C01252" w14:paraId="6FC8EC06" w14:textId="77777777" w:rsidTr="00E55D38">
        <w:tc>
          <w:tcPr>
            <w:tcW w:w="1572" w:type="dxa"/>
          </w:tcPr>
          <w:p w14:paraId="4F59F5A0" w14:textId="77777777" w:rsidR="00D70EEB" w:rsidRPr="00C01252" w:rsidRDefault="00D70EEB" w:rsidP="005147F1">
            <w:pPr>
              <w:spacing w:before="60" w:after="60"/>
              <w:rPr>
                <w:sz w:val="20"/>
              </w:rPr>
            </w:pPr>
            <w:r>
              <w:rPr>
                <w:sz w:val="20"/>
              </w:rPr>
              <w:t>VBA</w:t>
            </w:r>
          </w:p>
        </w:tc>
        <w:tc>
          <w:tcPr>
            <w:tcW w:w="7564" w:type="dxa"/>
          </w:tcPr>
          <w:p w14:paraId="4930CA2D" w14:textId="77777777" w:rsidR="00D70EEB" w:rsidRPr="00C01252" w:rsidRDefault="00D70EEB" w:rsidP="005147F1">
            <w:pPr>
              <w:spacing w:before="60" w:after="60"/>
              <w:rPr>
                <w:sz w:val="20"/>
              </w:rPr>
            </w:pPr>
            <w:r>
              <w:rPr>
                <w:sz w:val="20"/>
              </w:rPr>
              <w:t>V</w:t>
            </w:r>
            <w:r w:rsidRPr="005B1D6D">
              <w:rPr>
                <w:sz w:val="20"/>
              </w:rPr>
              <w:t>isual basic for application</w:t>
            </w:r>
          </w:p>
        </w:tc>
      </w:tr>
      <w:tr w:rsidR="00E61142" w:rsidRPr="00E713B2" w14:paraId="56F61111" w14:textId="77777777" w:rsidTr="00E55D38">
        <w:tc>
          <w:tcPr>
            <w:tcW w:w="1572" w:type="dxa"/>
          </w:tcPr>
          <w:p w14:paraId="714A965B" w14:textId="77777777" w:rsidR="00E61142" w:rsidRPr="005C2066" w:rsidRDefault="00E61142" w:rsidP="00E61142">
            <w:pPr>
              <w:spacing w:before="60" w:after="60"/>
              <w:rPr>
                <w:sz w:val="20"/>
              </w:rPr>
            </w:pPr>
            <w:r w:rsidRPr="005C2066">
              <w:rPr>
                <w:sz w:val="20"/>
              </w:rPr>
              <w:t>WHO</w:t>
            </w:r>
          </w:p>
        </w:tc>
        <w:tc>
          <w:tcPr>
            <w:tcW w:w="7564" w:type="dxa"/>
          </w:tcPr>
          <w:p w14:paraId="557725E8" w14:textId="77777777" w:rsidR="00E61142" w:rsidRPr="005C2066" w:rsidRDefault="00E61142" w:rsidP="00E61142">
            <w:pPr>
              <w:spacing w:before="60" w:after="60"/>
              <w:rPr>
                <w:sz w:val="20"/>
              </w:rPr>
            </w:pPr>
            <w:r w:rsidRPr="005C2066">
              <w:rPr>
                <w:sz w:val="20"/>
              </w:rPr>
              <w:t>World Health Organisation</w:t>
            </w:r>
          </w:p>
        </w:tc>
      </w:tr>
      <w:tr w:rsidR="00E61142" w:rsidRPr="00E713B2" w14:paraId="0518E47B" w14:textId="77777777" w:rsidTr="00E55D38">
        <w:tc>
          <w:tcPr>
            <w:tcW w:w="1572" w:type="dxa"/>
          </w:tcPr>
          <w:p w14:paraId="38F9A692" w14:textId="77777777" w:rsidR="00E61142" w:rsidRPr="005C2066" w:rsidRDefault="00E61142" w:rsidP="00E61142">
            <w:pPr>
              <w:spacing w:before="60" w:after="60"/>
              <w:rPr>
                <w:sz w:val="20"/>
              </w:rPr>
            </w:pPr>
            <w:r w:rsidRPr="005C2066">
              <w:rPr>
                <w:sz w:val="20"/>
              </w:rPr>
              <w:t>XOI</w:t>
            </w:r>
          </w:p>
        </w:tc>
        <w:tc>
          <w:tcPr>
            <w:tcW w:w="7564" w:type="dxa"/>
          </w:tcPr>
          <w:p w14:paraId="5C78105F" w14:textId="2839E0F2" w:rsidR="00E61142" w:rsidRPr="005C2066" w:rsidRDefault="00B306BF" w:rsidP="00B306BF">
            <w:pPr>
              <w:spacing w:before="60" w:after="60"/>
              <w:rPr>
                <w:sz w:val="20"/>
              </w:rPr>
            </w:pPr>
            <w:r>
              <w:rPr>
                <w:sz w:val="20"/>
              </w:rPr>
              <w:t>Inibitore della x</w:t>
            </w:r>
            <w:r w:rsidR="00E61142" w:rsidRPr="005C2066">
              <w:rPr>
                <w:sz w:val="20"/>
              </w:rPr>
              <w:t>antin</w:t>
            </w:r>
            <w:r>
              <w:rPr>
                <w:sz w:val="20"/>
              </w:rPr>
              <w:t>a</w:t>
            </w:r>
            <w:r w:rsidR="00E61142" w:rsidRPr="005C2066">
              <w:rPr>
                <w:sz w:val="20"/>
              </w:rPr>
              <w:t xml:space="preserve"> o</w:t>
            </w:r>
            <w:r>
              <w:rPr>
                <w:sz w:val="20"/>
              </w:rPr>
              <w:t>ssidasi</w:t>
            </w:r>
          </w:p>
        </w:tc>
      </w:tr>
    </w:tbl>
    <w:p w14:paraId="2E5A93E4" w14:textId="46627DEE" w:rsidR="00D06F5A" w:rsidRDefault="00D06F5A">
      <w:pPr>
        <w:rPr>
          <w:rFonts w:cs="Arial"/>
          <w:color w:val="000000"/>
          <w:sz w:val="20"/>
        </w:rPr>
      </w:pPr>
      <w:r>
        <w:rPr>
          <w:rFonts w:cs="Arial"/>
          <w:color w:val="000000"/>
          <w:sz w:val="20"/>
        </w:rPr>
        <w:br w:type="page"/>
      </w:r>
    </w:p>
    <w:p w14:paraId="63E867B2" w14:textId="2B6BEE9A" w:rsidR="00AA3386" w:rsidRPr="00E150BB" w:rsidRDefault="004F2A8E" w:rsidP="00E150BB">
      <w:pPr>
        <w:pStyle w:val="Heading1"/>
        <w:rPr>
          <w:rFonts w:asciiTheme="minorHAnsi" w:hAnsiTheme="minorHAnsi" w:cstheme="minorHAnsi"/>
          <w:sz w:val="20"/>
        </w:rPr>
      </w:pPr>
      <w:bookmarkStart w:id="14" w:name="_Toc439456121"/>
      <w:bookmarkStart w:id="15" w:name="_Toc473184550"/>
      <w:r>
        <w:rPr>
          <w:rFonts w:asciiTheme="minorHAnsi" w:hAnsiTheme="minorHAnsi" w:cstheme="minorHAnsi"/>
          <w:sz w:val="20"/>
        </w:rPr>
        <w:t>SINTESI DEL DOSSIER</w:t>
      </w:r>
      <w:bookmarkEnd w:id="14"/>
      <w:bookmarkEnd w:id="15"/>
    </w:p>
    <w:p w14:paraId="4340FA11" w14:textId="5FD39726" w:rsidR="003A3F23" w:rsidRPr="004F2A8E" w:rsidRDefault="003A3F23" w:rsidP="003A3F23">
      <w:pPr>
        <w:spacing w:line="360" w:lineRule="auto"/>
        <w:rPr>
          <w:rFonts w:cs="Arial"/>
          <w:sz w:val="20"/>
          <w:szCs w:val="20"/>
          <w:u w:val="single"/>
        </w:rPr>
      </w:pPr>
      <w:r w:rsidRPr="004F2A8E">
        <w:rPr>
          <w:rFonts w:cs="Arial"/>
          <w:b/>
          <w:sz w:val="20"/>
          <w:szCs w:val="20"/>
          <w:u w:val="single"/>
        </w:rPr>
        <w:t xml:space="preserve">Patologia </w:t>
      </w:r>
    </w:p>
    <w:p w14:paraId="535A81C4" w14:textId="1AD86E93" w:rsidR="003A3F23" w:rsidRDefault="003A3F23" w:rsidP="00825BD3">
      <w:pPr>
        <w:pStyle w:val="ListParagraph"/>
        <w:numPr>
          <w:ilvl w:val="0"/>
          <w:numId w:val="51"/>
        </w:numPr>
        <w:spacing w:line="360" w:lineRule="auto"/>
        <w:rPr>
          <w:rFonts w:asciiTheme="minorHAnsi" w:hAnsiTheme="minorHAnsi" w:cstheme="minorHAnsi"/>
          <w:sz w:val="20"/>
          <w:szCs w:val="20"/>
        </w:rPr>
      </w:pPr>
      <w:r w:rsidRPr="003A3F23">
        <w:rPr>
          <w:rFonts w:asciiTheme="minorHAnsi" w:hAnsiTheme="minorHAnsi" w:cstheme="minorHAnsi"/>
          <w:sz w:val="20"/>
          <w:szCs w:val="20"/>
        </w:rPr>
        <w:t xml:space="preserve">La gotta è una malattia cronica, ingravescente e disabilitante causata da </w:t>
      </w:r>
      <w:r w:rsidR="005B44B6">
        <w:rPr>
          <w:rFonts w:asciiTheme="minorHAnsi" w:hAnsiTheme="minorHAnsi" w:cstheme="minorHAnsi"/>
          <w:sz w:val="20"/>
          <w:szCs w:val="20"/>
        </w:rPr>
        <w:t xml:space="preserve">una condizione di iperuricemia cronica, ovvero </w:t>
      </w:r>
      <w:r w:rsidRPr="003A3F23">
        <w:rPr>
          <w:rFonts w:asciiTheme="minorHAnsi" w:hAnsiTheme="minorHAnsi" w:cstheme="minorHAnsi"/>
          <w:b/>
          <w:sz w:val="20"/>
          <w:szCs w:val="20"/>
        </w:rPr>
        <w:t>un eccesso di acido urico nel sangue</w:t>
      </w:r>
      <w:r w:rsidR="005B44B6">
        <w:rPr>
          <w:rFonts w:asciiTheme="minorHAnsi" w:hAnsiTheme="minorHAnsi" w:cstheme="minorHAnsi"/>
          <w:b/>
          <w:sz w:val="20"/>
          <w:szCs w:val="20"/>
        </w:rPr>
        <w:t xml:space="preserve"> (sUA)</w:t>
      </w:r>
      <w:r w:rsidRPr="003A3F23">
        <w:rPr>
          <w:rFonts w:asciiTheme="minorHAnsi" w:hAnsiTheme="minorHAnsi" w:cstheme="minorHAnsi"/>
          <w:sz w:val="20"/>
          <w:szCs w:val="20"/>
        </w:rPr>
        <w:t xml:space="preserve"> (</w:t>
      </w:r>
      <w:r w:rsidR="0018676B">
        <w:rPr>
          <w:rFonts w:asciiTheme="minorHAnsi" w:hAnsiTheme="minorHAnsi" w:cstheme="minorHAnsi"/>
          <w:color w:val="0000FF"/>
          <w:sz w:val="20"/>
          <w:szCs w:val="20"/>
        </w:rPr>
        <w:t>Doghramji, 2012 (46)</w:t>
      </w:r>
      <w:r w:rsidRPr="003A3F23">
        <w:rPr>
          <w:rFonts w:asciiTheme="minorHAnsi" w:hAnsiTheme="minorHAnsi" w:cstheme="minorHAnsi"/>
          <w:color w:val="0000FF"/>
          <w:sz w:val="20"/>
          <w:szCs w:val="20"/>
        </w:rPr>
        <w:t xml:space="preserve">; </w:t>
      </w:r>
      <w:r w:rsidR="0018676B">
        <w:rPr>
          <w:rFonts w:asciiTheme="minorHAnsi" w:hAnsiTheme="minorHAnsi" w:cstheme="minorHAnsi"/>
          <w:color w:val="0000FF"/>
          <w:sz w:val="20"/>
          <w:szCs w:val="20"/>
        </w:rPr>
        <w:t>Doherty, 2012 (47)</w:t>
      </w:r>
      <w:r w:rsidRPr="003A3F23">
        <w:rPr>
          <w:rFonts w:asciiTheme="minorHAnsi" w:hAnsiTheme="minorHAnsi" w:cstheme="minorHAnsi"/>
          <w:sz w:val="20"/>
          <w:szCs w:val="20"/>
        </w:rPr>
        <w:t>)</w:t>
      </w:r>
      <w:r w:rsidR="00EF7750" w:rsidRPr="00EF7750">
        <w:t xml:space="preserve"> </w:t>
      </w:r>
      <w:r w:rsidR="00EF7750" w:rsidRPr="00EF7750">
        <w:rPr>
          <w:rFonts w:asciiTheme="minorHAnsi" w:hAnsiTheme="minorHAnsi" w:cstheme="minorHAnsi"/>
          <w:sz w:val="20"/>
          <w:szCs w:val="20"/>
        </w:rPr>
        <w:t xml:space="preserve">che comporta il deposito </w:t>
      </w:r>
      <w:r w:rsidR="005B44B6">
        <w:rPr>
          <w:rFonts w:asciiTheme="minorHAnsi" w:hAnsiTheme="minorHAnsi" w:cstheme="minorHAnsi"/>
          <w:sz w:val="20"/>
          <w:szCs w:val="20"/>
        </w:rPr>
        <w:t xml:space="preserve">progressivo </w:t>
      </w:r>
      <w:r w:rsidR="00EF7750" w:rsidRPr="00EF7750">
        <w:rPr>
          <w:rFonts w:asciiTheme="minorHAnsi" w:hAnsiTheme="minorHAnsi" w:cstheme="minorHAnsi"/>
          <w:sz w:val="20"/>
          <w:szCs w:val="20"/>
        </w:rPr>
        <w:t>di cristalli di urato monosodico (MSU) a livello di articolazioni, tessuti molli periarticolari e organi interni quali i reni</w:t>
      </w:r>
      <w:r w:rsidRPr="003A3F23">
        <w:rPr>
          <w:rFonts w:asciiTheme="minorHAnsi" w:hAnsiTheme="minorHAnsi" w:cstheme="minorHAnsi"/>
          <w:sz w:val="20"/>
          <w:szCs w:val="20"/>
        </w:rPr>
        <w:t xml:space="preserve">. </w:t>
      </w:r>
    </w:p>
    <w:p w14:paraId="2EC63A1D" w14:textId="18FA6343" w:rsidR="003A3F23" w:rsidRDefault="00EF7750" w:rsidP="00825BD3">
      <w:pPr>
        <w:pStyle w:val="ListParagraph"/>
        <w:numPr>
          <w:ilvl w:val="0"/>
          <w:numId w:val="51"/>
        </w:numPr>
        <w:spacing w:line="360" w:lineRule="auto"/>
        <w:rPr>
          <w:rFonts w:asciiTheme="minorHAnsi" w:hAnsiTheme="minorHAnsi" w:cstheme="minorHAnsi"/>
          <w:sz w:val="20"/>
          <w:szCs w:val="20"/>
        </w:rPr>
      </w:pPr>
      <w:r>
        <w:rPr>
          <w:rFonts w:asciiTheme="minorHAnsi" w:hAnsiTheme="minorHAnsi" w:cstheme="minorHAnsi"/>
          <w:sz w:val="20"/>
          <w:szCs w:val="20"/>
        </w:rPr>
        <w:t>N</w:t>
      </w:r>
      <w:r w:rsidRPr="003A3F23">
        <w:rPr>
          <w:rFonts w:asciiTheme="minorHAnsi" w:hAnsiTheme="minorHAnsi" w:cstheme="minorHAnsi"/>
          <w:sz w:val="20"/>
          <w:szCs w:val="20"/>
        </w:rPr>
        <w:t>ei pazienti che ne sono affetti</w:t>
      </w:r>
      <w:r>
        <w:rPr>
          <w:rFonts w:asciiTheme="minorHAnsi" w:hAnsiTheme="minorHAnsi" w:cstheme="minorHAnsi"/>
          <w:sz w:val="20"/>
          <w:szCs w:val="20"/>
        </w:rPr>
        <w:t>, l</w:t>
      </w:r>
      <w:r w:rsidR="003A3F23" w:rsidRPr="003A3F23">
        <w:rPr>
          <w:rFonts w:asciiTheme="minorHAnsi" w:hAnsiTheme="minorHAnsi" w:cstheme="minorHAnsi"/>
          <w:sz w:val="20"/>
          <w:szCs w:val="20"/>
        </w:rPr>
        <w:t xml:space="preserve">a malattia si manifesta come un’artrite infiammatoria </w:t>
      </w:r>
      <w:r w:rsidR="005B44B6">
        <w:rPr>
          <w:rFonts w:asciiTheme="minorHAnsi" w:hAnsiTheme="minorHAnsi" w:cstheme="minorHAnsi"/>
          <w:sz w:val="20"/>
          <w:szCs w:val="20"/>
        </w:rPr>
        <w:t xml:space="preserve">(artrite gottosa acuta) </w:t>
      </w:r>
      <w:r w:rsidR="003A3F23" w:rsidRPr="003A3F23">
        <w:rPr>
          <w:rFonts w:asciiTheme="minorHAnsi" w:hAnsiTheme="minorHAnsi" w:cstheme="minorHAnsi"/>
          <w:sz w:val="20"/>
          <w:szCs w:val="20"/>
        </w:rPr>
        <w:t xml:space="preserve">associata a dolore intenso, </w:t>
      </w:r>
      <w:r>
        <w:rPr>
          <w:rFonts w:asciiTheme="minorHAnsi" w:hAnsiTheme="minorHAnsi" w:cstheme="minorHAnsi"/>
          <w:sz w:val="20"/>
          <w:szCs w:val="20"/>
        </w:rPr>
        <w:t>rapidamente ingravescente, tumefazione</w:t>
      </w:r>
      <w:r w:rsidR="003A3F23" w:rsidRPr="003A3F23">
        <w:rPr>
          <w:rFonts w:asciiTheme="minorHAnsi" w:hAnsiTheme="minorHAnsi" w:cstheme="minorHAnsi"/>
          <w:sz w:val="20"/>
          <w:szCs w:val="20"/>
        </w:rPr>
        <w:t xml:space="preserve"> e compromessa funzionalità fisica </w:t>
      </w:r>
      <w:r w:rsidRPr="00EF7750">
        <w:rPr>
          <w:rFonts w:asciiTheme="minorHAnsi" w:hAnsiTheme="minorHAnsi" w:cstheme="minorHAnsi"/>
          <w:sz w:val="20"/>
          <w:szCs w:val="20"/>
        </w:rPr>
        <w:t xml:space="preserve">a carico delle articolazioni colpite </w:t>
      </w:r>
      <w:r w:rsidR="003A3F23" w:rsidRPr="003A3F23">
        <w:rPr>
          <w:rFonts w:asciiTheme="minorHAnsi" w:hAnsiTheme="minorHAnsi" w:cstheme="minorHAnsi"/>
          <w:sz w:val="20"/>
          <w:szCs w:val="20"/>
        </w:rPr>
        <w:t>(</w:t>
      </w:r>
      <w:r w:rsidR="0018676B">
        <w:rPr>
          <w:rFonts w:asciiTheme="minorHAnsi" w:hAnsiTheme="minorHAnsi" w:cstheme="minorHAnsi"/>
          <w:color w:val="0000FF"/>
          <w:sz w:val="20"/>
          <w:szCs w:val="20"/>
        </w:rPr>
        <w:t>Doghramji, 2012 (46)</w:t>
      </w:r>
      <w:r w:rsidR="003A3F23" w:rsidRPr="003A3F23">
        <w:rPr>
          <w:rFonts w:asciiTheme="minorHAnsi" w:hAnsiTheme="minorHAnsi" w:cstheme="minorHAnsi"/>
          <w:color w:val="0000FF"/>
          <w:sz w:val="20"/>
          <w:szCs w:val="20"/>
        </w:rPr>
        <w:t xml:space="preserve">; </w:t>
      </w:r>
      <w:r w:rsidR="0018676B">
        <w:rPr>
          <w:rFonts w:asciiTheme="minorHAnsi" w:hAnsiTheme="minorHAnsi" w:cstheme="minorHAnsi"/>
          <w:color w:val="0000FF"/>
          <w:sz w:val="20"/>
          <w:szCs w:val="20"/>
        </w:rPr>
        <w:t>Doherty, 2012 (47)</w:t>
      </w:r>
      <w:r w:rsidR="003A3F23" w:rsidRPr="003A3F23">
        <w:rPr>
          <w:rFonts w:asciiTheme="minorHAnsi" w:hAnsiTheme="minorHAnsi" w:cstheme="minorHAnsi"/>
          <w:sz w:val="20"/>
          <w:szCs w:val="20"/>
        </w:rPr>
        <w:t>); l’</w:t>
      </w:r>
      <w:r w:rsidR="003A3F23" w:rsidRPr="003A3F23">
        <w:rPr>
          <w:rFonts w:asciiTheme="minorHAnsi" w:hAnsiTheme="minorHAnsi" w:cstheme="minorHAnsi"/>
          <w:sz w:val="20"/>
          <w:szCs w:val="20"/>
          <w:u w:val="single"/>
        </w:rPr>
        <w:t>artrite gottosa acuta è</w:t>
      </w:r>
      <w:r w:rsidR="003A3F23" w:rsidRPr="003A3F23">
        <w:rPr>
          <w:rFonts w:asciiTheme="minorHAnsi" w:hAnsiTheme="minorHAnsi" w:cstheme="minorHAnsi"/>
          <w:sz w:val="20"/>
          <w:szCs w:val="20"/>
        </w:rPr>
        <w:t xml:space="preserve"> intervallata da periodi “intercritici” asintomatici (</w:t>
      </w:r>
      <w:r w:rsidR="003A3F23" w:rsidRPr="003A3F23">
        <w:rPr>
          <w:rFonts w:asciiTheme="minorHAnsi" w:hAnsiTheme="minorHAnsi" w:cstheme="minorHAnsi"/>
          <w:sz w:val="20"/>
          <w:szCs w:val="20"/>
          <w:u w:val="single"/>
        </w:rPr>
        <w:t>gotta intercritica</w:t>
      </w:r>
      <w:r w:rsidR="003A3F23" w:rsidRPr="003A3F23">
        <w:rPr>
          <w:rFonts w:asciiTheme="minorHAnsi" w:hAnsiTheme="minorHAnsi" w:cstheme="minorHAnsi"/>
          <w:sz w:val="20"/>
          <w:szCs w:val="20"/>
        </w:rPr>
        <w:t>), che possono durare anche anni, durante i quali il paziente</w:t>
      </w:r>
      <w:r w:rsidR="005B44B6">
        <w:rPr>
          <w:rFonts w:asciiTheme="minorHAnsi" w:hAnsiTheme="minorHAnsi" w:cstheme="minorHAnsi"/>
          <w:sz w:val="20"/>
          <w:szCs w:val="20"/>
        </w:rPr>
        <w:t>,</w:t>
      </w:r>
      <w:r w:rsidR="003A3F23" w:rsidRPr="003A3F23">
        <w:rPr>
          <w:rFonts w:asciiTheme="minorHAnsi" w:hAnsiTheme="minorHAnsi" w:cstheme="minorHAnsi"/>
          <w:sz w:val="20"/>
          <w:szCs w:val="20"/>
        </w:rPr>
        <w:t xml:space="preserve"> </w:t>
      </w:r>
      <w:r>
        <w:rPr>
          <w:rFonts w:asciiTheme="minorHAnsi" w:hAnsiTheme="minorHAnsi" w:cstheme="minorHAnsi"/>
          <w:sz w:val="20"/>
          <w:szCs w:val="20"/>
        </w:rPr>
        <w:t>pur essendo</w:t>
      </w:r>
      <w:r w:rsidRPr="003A3F23">
        <w:rPr>
          <w:rFonts w:asciiTheme="minorHAnsi" w:hAnsiTheme="minorHAnsi" w:cstheme="minorHAnsi"/>
          <w:sz w:val="20"/>
          <w:szCs w:val="20"/>
        </w:rPr>
        <w:t xml:space="preserve"> </w:t>
      </w:r>
      <w:r w:rsidR="003A3F23" w:rsidRPr="003A3F23">
        <w:rPr>
          <w:rFonts w:asciiTheme="minorHAnsi" w:hAnsiTheme="minorHAnsi" w:cstheme="minorHAnsi"/>
          <w:sz w:val="20"/>
          <w:szCs w:val="20"/>
        </w:rPr>
        <w:t>nuovamente asintomatico</w:t>
      </w:r>
      <w:r w:rsidR="005B44B6">
        <w:rPr>
          <w:rFonts w:asciiTheme="minorHAnsi" w:hAnsiTheme="minorHAnsi" w:cstheme="minorHAnsi"/>
          <w:sz w:val="20"/>
          <w:szCs w:val="20"/>
        </w:rPr>
        <w:t>,</w:t>
      </w:r>
      <w:r w:rsidR="003A3F23" w:rsidRPr="003A3F23">
        <w:rPr>
          <w:rFonts w:asciiTheme="minorHAnsi" w:hAnsiTheme="minorHAnsi" w:cstheme="minorHAnsi"/>
          <w:sz w:val="20"/>
          <w:szCs w:val="20"/>
        </w:rPr>
        <w:t xml:space="preserve"> deve essere trattato (</w:t>
      </w:r>
      <w:r w:rsidR="003A3F23" w:rsidRPr="003A3F23">
        <w:rPr>
          <w:rFonts w:asciiTheme="minorHAnsi" w:hAnsiTheme="minorHAnsi" w:cstheme="minorHAnsi"/>
          <w:color w:val="0000FF"/>
          <w:sz w:val="20"/>
          <w:szCs w:val="20"/>
        </w:rPr>
        <w:t>Burns 2012 (140)</w:t>
      </w:r>
      <w:r w:rsidR="003A3F23" w:rsidRPr="003A3F23">
        <w:rPr>
          <w:rFonts w:asciiTheme="minorHAnsi" w:hAnsiTheme="minorHAnsi" w:cstheme="minorHAnsi"/>
          <w:sz w:val="20"/>
          <w:szCs w:val="20"/>
        </w:rPr>
        <w:t xml:space="preserve">). Se non trattata in maniera adeguata, la gotta evolve allo stadio di </w:t>
      </w:r>
      <w:r w:rsidR="003A3F23" w:rsidRPr="003A3F23">
        <w:rPr>
          <w:rFonts w:asciiTheme="minorHAnsi" w:hAnsiTheme="minorHAnsi" w:cstheme="minorHAnsi"/>
          <w:sz w:val="20"/>
          <w:szCs w:val="20"/>
          <w:u w:val="single"/>
        </w:rPr>
        <w:t>gotta cronica tofacea</w:t>
      </w:r>
      <w:r w:rsidR="003A3F23" w:rsidRPr="003A3F23">
        <w:rPr>
          <w:rFonts w:asciiTheme="minorHAnsi" w:hAnsiTheme="minorHAnsi" w:cstheme="minorHAnsi"/>
          <w:sz w:val="20"/>
          <w:szCs w:val="20"/>
        </w:rPr>
        <w:t xml:space="preserve">, caratterizzata dal coinvolgimento di più articolazioni e dalla presenza di </w:t>
      </w:r>
      <w:r w:rsidR="003A3F23" w:rsidRPr="005B44B6">
        <w:rPr>
          <w:rFonts w:asciiTheme="minorHAnsi" w:hAnsiTheme="minorHAnsi" w:cstheme="minorHAnsi"/>
          <w:b/>
          <w:sz w:val="20"/>
          <w:szCs w:val="20"/>
        </w:rPr>
        <w:t>tofi</w:t>
      </w:r>
      <w:r w:rsidR="003A3F23" w:rsidRPr="003A3F23">
        <w:rPr>
          <w:rFonts w:asciiTheme="minorHAnsi" w:hAnsiTheme="minorHAnsi" w:cstheme="minorHAnsi"/>
          <w:sz w:val="20"/>
          <w:szCs w:val="20"/>
        </w:rPr>
        <w:t xml:space="preserve">, depositi di cristalli di </w:t>
      </w:r>
      <w:r>
        <w:rPr>
          <w:rFonts w:asciiTheme="minorHAnsi" w:hAnsiTheme="minorHAnsi" w:cstheme="minorHAnsi"/>
          <w:sz w:val="20"/>
          <w:szCs w:val="20"/>
        </w:rPr>
        <w:t>MSU</w:t>
      </w:r>
      <w:r w:rsidRPr="003A3F23">
        <w:rPr>
          <w:rFonts w:asciiTheme="minorHAnsi" w:hAnsiTheme="minorHAnsi" w:cstheme="minorHAnsi"/>
          <w:sz w:val="20"/>
          <w:szCs w:val="20"/>
        </w:rPr>
        <w:t xml:space="preserve"> </w:t>
      </w:r>
      <w:r w:rsidR="003A3F23" w:rsidRPr="003A3F23">
        <w:rPr>
          <w:rFonts w:asciiTheme="minorHAnsi" w:hAnsiTheme="minorHAnsi" w:cstheme="minorHAnsi"/>
          <w:sz w:val="20"/>
          <w:szCs w:val="20"/>
        </w:rPr>
        <w:t xml:space="preserve">che </w:t>
      </w:r>
      <w:r w:rsidR="003A3F23" w:rsidRPr="00A531CA">
        <w:rPr>
          <w:rFonts w:asciiTheme="minorHAnsi" w:hAnsiTheme="minorHAnsi" w:cstheme="minorHAnsi"/>
          <w:b/>
          <w:sz w:val="20"/>
          <w:szCs w:val="20"/>
        </w:rPr>
        <w:t>causano la distruzione delle articolazioni, dolore cronico e grave compromissione della funzionalità fisica</w:t>
      </w:r>
      <w:r w:rsidR="003A3F23" w:rsidRPr="003A3F23">
        <w:rPr>
          <w:rFonts w:asciiTheme="minorHAnsi" w:hAnsiTheme="minorHAnsi" w:cstheme="minorHAnsi"/>
          <w:sz w:val="20"/>
          <w:szCs w:val="20"/>
        </w:rPr>
        <w:t>. (</w:t>
      </w:r>
      <w:r w:rsidR="00231A40">
        <w:rPr>
          <w:rFonts w:asciiTheme="minorHAnsi" w:hAnsiTheme="minorHAnsi" w:cstheme="minorHAnsi"/>
          <w:color w:val="0000FF"/>
          <w:sz w:val="20"/>
          <w:szCs w:val="20"/>
        </w:rPr>
        <w:t>Doghrami, 2016 (10)</w:t>
      </w:r>
      <w:r w:rsidR="003A3F23" w:rsidRPr="003A3F23">
        <w:rPr>
          <w:rFonts w:asciiTheme="minorHAnsi" w:hAnsiTheme="minorHAnsi" w:cstheme="minorHAnsi"/>
          <w:color w:val="0000FF"/>
          <w:sz w:val="20"/>
          <w:szCs w:val="20"/>
        </w:rPr>
        <w:t>;</w:t>
      </w:r>
      <w:r w:rsidR="000D522C" w:rsidRPr="000D522C">
        <w:rPr>
          <w:rFonts w:asciiTheme="minorHAnsi" w:hAnsiTheme="minorHAnsi" w:cstheme="minorHAnsi"/>
          <w:color w:val="0000FF"/>
          <w:sz w:val="20"/>
          <w:szCs w:val="20"/>
        </w:rPr>
        <w:t xml:space="preserve"> </w:t>
      </w:r>
      <w:r w:rsidR="000D522C">
        <w:rPr>
          <w:rFonts w:asciiTheme="minorHAnsi" w:hAnsiTheme="minorHAnsi" w:cstheme="minorHAnsi"/>
          <w:color w:val="0000FF"/>
          <w:sz w:val="20"/>
          <w:szCs w:val="20"/>
        </w:rPr>
        <w:t>Perez-Ruiz, 2015 (11)</w:t>
      </w:r>
      <w:r w:rsidR="000D522C" w:rsidRPr="003A3F23">
        <w:rPr>
          <w:rFonts w:asciiTheme="minorHAnsi" w:hAnsiTheme="minorHAnsi" w:cstheme="minorHAnsi"/>
          <w:color w:val="0000FF"/>
          <w:sz w:val="20"/>
          <w:szCs w:val="20"/>
        </w:rPr>
        <w:t>;</w:t>
      </w:r>
      <w:r w:rsidR="003A3F23" w:rsidRPr="003A3F23">
        <w:rPr>
          <w:rFonts w:asciiTheme="minorHAnsi" w:hAnsiTheme="minorHAnsi" w:cstheme="minorHAnsi"/>
          <w:color w:val="0000FF"/>
          <w:sz w:val="20"/>
          <w:szCs w:val="20"/>
        </w:rPr>
        <w:t xml:space="preserve"> </w:t>
      </w:r>
      <w:r w:rsidR="00231A40">
        <w:rPr>
          <w:rFonts w:asciiTheme="minorHAnsi" w:hAnsiTheme="minorHAnsi" w:cstheme="minorHAnsi"/>
          <w:color w:val="0000FF"/>
          <w:sz w:val="20"/>
          <w:szCs w:val="20"/>
        </w:rPr>
        <w:t>Tatlock, 2016 (12)</w:t>
      </w:r>
      <w:r w:rsidR="003A3F23" w:rsidRPr="003A3F23">
        <w:rPr>
          <w:rFonts w:asciiTheme="minorHAnsi" w:hAnsiTheme="minorHAnsi" w:cstheme="minorHAnsi"/>
          <w:sz w:val="20"/>
          <w:szCs w:val="20"/>
        </w:rPr>
        <w:t>)</w:t>
      </w:r>
      <w:r w:rsidR="003A3F23">
        <w:rPr>
          <w:rFonts w:asciiTheme="minorHAnsi" w:hAnsiTheme="minorHAnsi" w:cstheme="minorHAnsi"/>
          <w:sz w:val="20"/>
          <w:szCs w:val="20"/>
        </w:rPr>
        <w:t>.</w:t>
      </w:r>
    </w:p>
    <w:p w14:paraId="1E1DD646" w14:textId="3EB4D044" w:rsidR="003A3F23" w:rsidRDefault="003A3F23" w:rsidP="00825BD3">
      <w:pPr>
        <w:pStyle w:val="ListParagraph"/>
        <w:numPr>
          <w:ilvl w:val="0"/>
          <w:numId w:val="51"/>
        </w:numPr>
        <w:spacing w:line="360" w:lineRule="auto"/>
        <w:rPr>
          <w:rFonts w:asciiTheme="minorHAnsi" w:hAnsiTheme="minorHAnsi" w:cstheme="minorHAnsi"/>
          <w:sz w:val="20"/>
          <w:szCs w:val="20"/>
        </w:rPr>
      </w:pPr>
      <w:r w:rsidRPr="003A3F23">
        <w:rPr>
          <w:rFonts w:asciiTheme="minorHAnsi" w:hAnsiTheme="minorHAnsi" w:cstheme="minorHAnsi"/>
          <w:sz w:val="20"/>
          <w:szCs w:val="20"/>
        </w:rPr>
        <w:t xml:space="preserve">L’iperuricemia è nella </w:t>
      </w:r>
      <w:r w:rsidRPr="00A531CA">
        <w:rPr>
          <w:rFonts w:asciiTheme="minorHAnsi" w:hAnsiTheme="minorHAnsi" w:cstheme="minorHAnsi"/>
          <w:b/>
          <w:sz w:val="20"/>
          <w:szCs w:val="20"/>
        </w:rPr>
        <w:t>maggior parte dei casi (80-90%) causata da un’ inefficiente escrezione renale di acido urico</w:t>
      </w:r>
      <w:r w:rsidRPr="003A3F23">
        <w:rPr>
          <w:rFonts w:asciiTheme="minorHAnsi" w:hAnsiTheme="minorHAnsi" w:cstheme="minorHAnsi"/>
          <w:sz w:val="20"/>
          <w:szCs w:val="20"/>
        </w:rPr>
        <w:t>, mentre solo nel 10-20% è causata da una sovrapproduzione di acido urico (</w:t>
      </w:r>
      <w:r w:rsidR="0083674F">
        <w:rPr>
          <w:rFonts w:asciiTheme="minorHAnsi" w:hAnsiTheme="minorHAnsi" w:cstheme="minorHAnsi"/>
          <w:color w:val="0000FF"/>
          <w:sz w:val="20"/>
          <w:szCs w:val="20"/>
        </w:rPr>
        <w:t>Zhu, 2011 (33)</w:t>
      </w:r>
      <w:r w:rsidRPr="00A531CA">
        <w:rPr>
          <w:rFonts w:asciiTheme="minorHAnsi" w:hAnsiTheme="minorHAnsi" w:cstheme="minorHAnsi"/>
          <w:color w:val="0000FF"/>
          <w:sz w:val="20"/>
          <w:szCs w:val="20"/>
        </w:rPr>
        <w:t xml:space="preserve">; </w:t>
      </w:r>
      <w:r w:rsidR="0083674F">
        <w:rPr>
          <w:rFonts w:asciiTheme="minorHAnsi" w:hAnsiTheme="minorHAnsi" w:cstheme="minorHAnsi"/>
          <w:color w:val="0000FF"/>
          <w:sz w:val="20"/>
          <w:szCs w:val="20"/>
        </w:rPr>
        <w:t>Richette, 2010 (34)</w:t>
      </w:r>
      <w:r w:rsidRPr="00A531CA">
        <w:rPr>
          <w:rFonts w:asciiTheme="minorHAnsi" w:hAnsiTheme="minorHAnsi" w:cstheme="minorHAnsi"/>
          <w:color w:val="0000FF"/>
          <w:sz w:val="20"/>
          <w:szCs w:val="20"/>
        </w:rPr>
        <w:t xml:space="preserve">; </w:t>
      </w:r>
      <w:r w:rsidR="0083674F">
        <w:rPr>
          <w:rFonts w:asciiTheme="minorHAnsi" w:hAnsiTheme="minorHAnsi" w:cstheme="minorHAnsi"/>
          <w:color w:val="0000FF"/>
          <w:sz w:val="20"/>
          <w:szCs w:val="20"/>
        </w:rPr>
        <w:t>Boss, 1979 (35)</w:t>
      </w:r>
      <w:r w:rsidRPr="003A3F23">
        <w:rPr>
          <w:rFonts w:asciiTheme="minorHAnsi" w:hAnsiTheme="minorHAnsi" w:cstheme="minorHAnsi"/>
          <w:sz w:val="20"/>
          <w:szCs w:val="20"/>
        </w:rPr>
        <w:t>)</w:t>
      </w:r>
    </w:p>
    <w:p w14:paraId="6DE84DA1" w14:textId="48229735" w:rsidR="00A531CA" w:rsidRDefault="00A531CA" w:rsidP="00825BD3">
      <w:pPr>
        <w:pStyle w:val="ListParagraph"/>
        <w:numPr>
          <w:ilvl w:val="0"/>
          <w:numId w:val="51"/>
        </w:numPr>
        <w:spacing w:line="360" w:lineRule="auto"/>
        <w:rPr>
          <w:rFonts w:asciiTheme="minorHAnsi" w:hAnsiTheme="minorHAnsi" w:cstheme="minorHAnsi"/>
          <w:sz w:val="20"/>
          <w:szCs w:val="20"/>
        </w:rPr>
      </w:pPr>
      <w:r>
        <w:rPr>
          <w:rFonts w:asciiTheme="minorHAnsi" w:hAnsiTheme="minorHAnsi" w:cstheme="minorHAnsi"/>
          <w:sz w:val="20"/>
          <w:szCs w:val="20"/>
        </w:rPr>
        <w:t>I</w:t>
      </w:r>
      <w:r w:rsidRPr="00A531CA">
        <w:rPr>
          <w:rFonts w:asciiTheme="minorHAnsi" w:hAnsiTheme="minorHAnsi" w:cstheme="minorHAnsi"/>
          <w:sz w:val="20"/>
          <w:szCs w:val="20"/>
        </w:rPr>
        <w:t xml:space="preserve"> pazienti affetti da </w:t>
      </w:r>
      <w:r w:rsidR="00EF7750">
        <w:rPr>
          <w:rFonts w:asciiTheme="minorHAnsi" w:hAnsiTheme="minorHAnsi" w:cstheme="minorHAnsi"/>
          <w:sz w:val="20"/>
          <w:szCs w:val="20"/>
        </w:rPr>
        <w:t>iperuricemia</w:t>
      </w:r>
      <w:r w:rsidR="005B44B6">
        <w:rPr>
          <w:rFonts w:asciiTheme="minorHAnsi" w:hAnsiTheme="minorHAnsi" w:cstheme="minorHAnsi"/>
          <w:sz w:val="20"/>
          <w:szCs w:val="20"/>
        </w:rPr>
        <w:t xml:space="preserve"> e </w:t>
      </w:r>
      <w:r w:rsidR="00EF7750">
        <w:rPr>
          <w:rFonts w:asciiTheme="minorHAnsi" w:hAnsiTheme="minorHAnsi" w:cstheme="minorHAnsi"/>
          <w:sz w:val="20"/>
          <w:szCs w:val="20"/>
        </w:rPr>
        <w:t>gotta</w:t>
      </w:r>
      <w:r w:rsidRPr="00A531CA">
        <w:rPr>
          <w:rFonts w:asciiTheme="minorHAnsi" w:hAnsiTheme="minorHAnsi" w:cstheme="minorHAnsi"/>
          <w:sz w:val="20"/>
          <w:szCs w:val="20"/>
        </w:rPr>
        <w:t xml:space="preserve"> hanno una </w:t>
      </w:r>
      <w:r w:rsidRPr="00A531CA">
        <w:rPr>
          <w:rFonts w:asciiTheme="minorHAnsi" w:hAnsiTheme="minorHAnsi" w:cstheme="minorHAnsi"/>
          <w:b/>
          <w:sz w:val="20"/>
          <w:szCs w:val="20"/>
        </w:rPr>
        <w:t>compresenza maggiore di patologie gravi</w:t>
      </w:r>
      <w:r w:rsidRPr="00A531CA">
        <w:rPr>
          <w:rFonts w:asciiTheme="minorHAnsi" w:hAnsiTheme="minorHAnsi" w:cstheme="minorHAnsi"/>
          <w:sz w:val="20"/>
          <w:szCs w:val="20"/>
        </w:rPr>
        <w:t>, tra cui ipertensione, dislipidemia, diabete di tipo 2, malattia coronarica, malattia cerebrovascolare e nefrolitiasi (</w:t>
      </w:r>
      <w:r w:rsidR="00231A40">
        <w:rPr>
          <w:rFonts w:asciiTheme="minorHAnsi" w:hAnsiTheme="minorHAnsi" w:cstheme="minorHAnsi"/>
          <w:color w:val="0000FF"/>
          <w:sz w:val="20"/>
          <w:szCs w:val="20"/>
        </w:rPr>
        <w:t>Trifirò, 2012 (20)</w:t>
      </w:r>
      <w:r w:rsidRPr="00A531CA">
        <w:rPr>
          <w:rFonts w:asciiTheme="minorHAnsi" w:hAnsiTheme="minorHAnsi" w:cstheme="minorHAnsi"/>
          <w:sz w:val="20"/>
          <w:szCs w:val="20"/>
        </w:rPr>
        <w:t>)</w:t>
      </w:r>
    </w:p>
    <w:p w14:paraId="0CCAD222" w14:textId="47114796" w:rsidR="00A531CA" w:rsidRDefault="00A531CA" w:rsidP="00825BD3">
      <w:pPr>
        <w:pStyle w:val="ListParagraph"/>
        <w:numPr>
          <w:ilvl w:val="0"/>
          <w:numId w:val="51"/>
        </w:numPr>
        <w:spacing w:line="360" w:lineRule="auto"/>
        <w:rPr>
          <w:rFonts w:asciiTheme="minorHAnsi" w:hAnsiTheme="minorHAnsi" w:cstheme="minorHAnsi"/>
          <w:sz w:val="20"/>
          <w:szCs w:val="20"/>
        </w:rPr>
      </w:pPr>
      <w:r w:rsidRPr="00A531CA">
        <w:rPr>
          <w:rFonts w:asciiTheme="minorHAnsi" w:hAnsiTheme="minorHAnsi" w:cstheme="minorHAnsi"/>
          <w:sz w:val="20"/>
          <w:szCs w:val="20"/>
        </w:rPr>
        <w:t xml:space="preserve">numerosi studi dimostrano che la gotta è associata ad un </w:t>
      </w:r>
      <w:r w:rsidRPr="00A531CA">
        <w:rPr>
          <w:rFonts w:asciiTheme="minorHAnsi" w:hAnsiTheme="minorHAnsi" w:cstheme="minorHAnsi"/>
          <w:b/>
          <w:sz w:val="20"/>
          <w:szCs w:val="20"/>
        </w:rPr>
        <w:t>aumento del rischio di mortalità per qualsiasi causa, ed in particolare mortalità per patologie cardiovascolari</w:t>
      </w:r>
      <w:r w:rsidRPr="00A531CA">
        <w:rPr>
          <w:rFonts w:asciiTheme="minorHAnsi" w:hAnsiTheme="minorHAnsi" w:cstheme="minorHAnsi"/>
          <w:sz w:val="20"/>
          <w:szCs w:val="20"/>
        </w:rPr>
        <w:t xml:space="preserve"> (</w:t>
      </w:r>
      <w:r w:rsidR="00490DB9" w:rsidRPr="00A531CA">
        <w:rPr>
          <w:rFonts w:asciiTheme="minorHAnsi" w:hAnsiTheme="minorHAnsi" w:cstheme="minorHAnsi"/>
          <w:color w:val="0000FF"/>
          <w:sz w:val="20"/>
          <w:szCs w:val="20"/>
        </w:rPr>
        <w:t>Perez-Ruiz, 2014 (</w:t>
      </w:r>
      <w:r w:rsidR="00490DB9">
        <w:rPr>
          <w:rFonts w:asciiTheme="minorHAnsi" w:hAnsiTheme="minorHAnsi" w:cstheme="minorHAnsi"/>
          <w:color w:val="0000FF"/>
          <w:sz w:val="20"/>
          <w:szCs w:val="20"/>
        </w:rPr>
        <w:t>9</w:t>
      </w:r>
      <w:r w:rsidR="00490DB9" w:rsidRPr="00A531CA">
        <w:rPr>
          <w:rFonts w:asciiTheme="minorHAnsi" w:hAnsiTheme="minorHAnsi" w:cstheme="minorHAnsi"/>
          <w:color w:val="0000FF"/>
          <w:sz w:val="20"/>
          <w:szCs w:val="20"/>
        </w:rPr>
        <w:t>);</w:t>
      </w:r>
      <w:r w:rsidR="00490DB9">
        <w:rPr>
          <w:rFonts w:asciiTheme="minorHAnsi" w:hAnsiTheme="minorHAnsi" w:cstheme="minorHAnsi"/>
          <w:color w:val="0000FF"/>
          <w:sz w:val="20"/>
          <w:szCs w:val="20"/>
        </w:rPr>
        <w:t xml:space="preserve"> </w:t>
      </w:r>
      <w:r w:rsidRPr="00A531CA">
        <w:rPr>
          <w:rFonts w:asciiTheme="minorHAnsi" w:hAnsiTheme="minorHAnsi" w:cstheme="minorHAnsi"/>
          <w:color w:val="0000FF"/>
          <w:sz w:val="20"/>
          <w:szCs w:val="20"/>
        </w:rPr>
        <w:t>Choi, 2007 (21</w:t>
      </w:r>
      <w:r w:rsidR="00EF7750">
        <w:rPr>
          <w:rFonts w:asciiTheme="minorHAnsi" w:hAnsiTheme="minorHAnsi" w:cstheme="minorHAnsi"/>
          <w:color w:val="0000FF"/>
          <w:sz w:val="20"/>
          <w:szCs w:val="20"/>
        </w:rPr>
        <w:t>)</w:t>
      </w:r>
      <w:r w:rsidRPr="00A531CA">
        <w:rPr>
          <w:rFonts w:asciiTheme="minorHAnsi" w:hAnsiTheme="minorHAnsi" w:cstheme="minorHAnsi"/>
          <w:color w:val="0000FF"/>
          <w:sz w:val="20"/>
          <w:szCs w:val="20"/>
        </w:rPr>
        <w:t xml:space="preserve">; </w:t>
      </w:r>
      <w:r w:rsidR="00231A40">
        <w:rPr>
          <w:rFonts w:asciiTheme="minorHAnsi" w:hAnsiTheme="minorHAnsi" w:cstheme="minorHAnsi"/>
          <w:color w:val="0000FF"/>
          <w:sz w:val="20"/>
          <w:szCs w:val="20"/>
        </w:rPr>
        <w:t>Kuo, 2011 (22)</w:t>
      </w:r>
      <w:r w:rsidRPr="00A531CA">
        <w:rPr>
          <w:rFonts w:asciiTheme="minorHAnsi" w:hAnsiTheme="minorHAnsi" w:cstheme="minorHAnsi"/>
          <w:color w:val="0000FF"/>
          <w:sz w:val="20"/>
          <w:szCs w:val="20"/>
        </w:rPr>
        <w:t xml:space="preserve">; </w:t>
      </w:r>
      <w:r w:rsidR="00231A40">
        <w:rPr>
          <w:rFonts w:asciiTheme="minorHAnsi" w:hAnsiTheme="minorHAnsi" w:cstheme="minorHAnsi"/>
          <w:color w:val="0000FF"/>
          <w:sz w:val="20"/>
          <w:szCs w:val="20"/>
        </w:rPr>
        <w:t>Stack, 2013 (23)</w:t>
      </w:r>
      <w:r w:rsidRPr="00A531CA">
        <w:rPr>
          <w:rFonts w:asciiTheme="minorHAnsi" w:hAnsiTheme="minorHAnsi" w:cstheme="minorHAnsi"/>
          <w:color w:val="0000FF"/>
          <w:sz w:val="20"/>
          <w:szCs w:val="20"/>
        </w:rPr>
        <w:t xml:space="preserve">; </w:t>
      </w:r>
      <w:r w:rsidR="0083674F">
        <w:rPr>
          <w:rFonts w:asciiTheme="minorHAnsi" w:hAnsiTheme="minorHAnsi" w:cstheme="minorHAnsi"/>
          <w:color w:val="0000FF"/>
          <w:sz w:val="20"/>
          <w:szCs w:val="20"/>
        </w:rPr>
        <w:t>Ioachimescu, 2008 (24)</w:t>
      </w:r>
      <w:r w:rsidRPr="00A531CA">
        <w:rPr>
          <w:rFonts w:asciiTheme="minorHAnsi" w:hAnsiTheme="minorHAnsi" w:cstheme="minorHAnsi"/>
          <w:color w:val="0000FF"/>
          <w:sz w:val="20"/>
          <w:szCs w:val="20"/>
        </w:rPr>
        <w:t xml:space="preserve">; </w:t>
      </w:r>
      <w:r w:rsidR="0083674F">
        <w:rPr>
          <w:rFonts w:asciiTheme="minorHAnsi" w:hAnsiTheme="minorHAnsi" w:cstheme="minorHAnsi"/>
          <w:color w:val="0000FF"/>
          <w:sz w:val="20"/>
          <w:szCs w:val="20"/>
        </w:rPr>
        <w:t>Kleber, 2015 (25)</w:t>
      </w:r>
      <w:r w:rsidRPr="00A531CA">
        <w:rPr>
          <w:rFonts w:asciiTheme="minorHAnsi" w:hAnsiTheme="minorHAnsi" w:cstheme="minorHAnsi"/>
          <w:color w:val="0000FF"/>
          <w:sz w:val="20"/>
          <w:szCs w:val="20"/>
        </w:rPr>
        <w:t xml:space="preserve">; </w:t>
      </w:r>
      <w:r w:rsidR="0083674F">
        <w:rPr>
          <w:rFonts w:asciiTheme="minorHAnsi" w:hAnsiTheme="minorHAnsi" w:cstheme="minorHAnsi"/>
          <w:color w:val="0000FF"/>
          <w:sz w:val="20"/>
          <w:szCs w:val="20"/>
        </w:rPr>
        <w:t>Niskanen, 2004 (26)</w:t>
      </w:r>
      <w:r w:rsidRPr="00A531CA">
        <w:rPr>
          <w:rFonts w:asciiTheme="minorHAnsi" w:hAnsiTheme="minorHAnsi" w:cstheme="minorHAnsi"/>
          <w:sz w:val="20"/>
          <w:szCs w:val="20"/>
        </w:rPr>
        <w:t>); la gotta e i livelli di acido urico sono indipendentemente associati alla mortalità per qualsiasi causa e mortalità cardiovascolare e questi rischi aumentano all’aumentare dei livelli di acido urico (</w:t>
      </w:r>
      <w:r w:rsidR="00231A40">
        <w:rPr>
          <w:rFonts w:asciiTheme="minorHAnsi" w:hAnsiTheme="minorHAnsi" w:cstheme="minorHAnsi"/>
          <w:color w:val="0000FF"/>
          <w:sz w:val="20"/>
          <w:szCs w:val="20"/>
        </w:rPr>
        <w:t>Stack, 2013 (23)</w:t>
      </w:r>
      <w:r w:rsidRPr="00A531CA">
        <w:rPr>
          <w:rFonts w:asciiTheme="minorHAnsi" w:hAnsiTheme="minorHAnsi" w:cstheme="minorHAnsi"/>
          <w:sz w:val="20"/>
          <w:szCs w:val="20"/>
        </w:rPr>
        <w:t>); Livelli elevati di sUA al basale e la presenza di tofi subcutanei sono stati identificati come variabili indipendenti associate all’aumento del rischio di mortalità (</w:t>
      </w:r>
      <w:r w:rsidRPr="00A531CA">
        <w:rPr>
          <w:rFonts w:asciiTheme="minorHAnsi" w:hAnsiTheme="minorHAnsi" w:cstheme="minorHAnsi"/>
          <w:color w:val="0000FF"/>
          <w:sz w:val="20"/>
          <w:szCs w:val="20"/>
        </w:rPr>
        <w:t>Perez-Ruiz, 2014 (</w:t>
      </w:r>
      <w:r w:rsidR="009752F0">
        <w:rPr>
          <w:rFonts w:asciiTheme="minorHAnsi" w:hAnsiTheme="minorHAnsi" w:cstheme="minorHAnsi"/>
          <w:color w:val="0000FF"/>
          <w:sz w:val="20"/>
          <w:szCs w:val="20"/>
        </w:rPr>
        <w:t>9</w:t>
      </w:r>
      <w:r w:rsidRPr="00A531CA">
        <w:rPr>
          <w:rFonts w:asciiTheme="minorHAnsi" w:hAnsiTheme="minorHAnsi" w:cstheme="minorHAnsi"/>
          <w:color w:val="0000FF"/>
          <w:sz w:val="20"/>
          <w:szCs w:val="20"/>
        </w:rPr>
        <w:t>)</w:t>
      </w:r>
      <w:r w:rsidRPr="00A531CA">
        <w:rPr>
          <w:rFonts w:asciiTheme="minorHAnsi" w:hAnsiTheme="minorHAnsi" w:cstheme="minorHAnsi"/>
          <w:sz w:val="20"/>
          <w:szCs w:val="20"/>
        </w:rPr>
        <w:t xml:space="preserve">); </w:t>
      </w:r>
      <w:r w:rsidRPr="00A531CA">
        <w:rPr>
          <w:rFonts w:asciiTheme="minorHAnsi" w:hAnsiTheme="minorHAnsi" w:cstheme="minorHAnsi"/>
          <w:b/>
          <w:sz w:val="20"/>
          <w:szCs w:val="20"/>
        </w:rPr>
        <w:t xml:space="preserve">nei pazienti gottosi in trattamento con </w:t>
      </w:r>
      <w:r w:rsidR="005B44B6">
        <w:rPr>
          <w:rFonts w:asciiTheme="minorHAnsi" w:hAnsiTheme="minorHAnsi" w:cstheme="minorHAnsi"/>
          <w:b/>
          <w:sz w:val="20"/>
          <w:szCs w:val="20"/>
        </w:rPr>
        <w:t xml:space="preserve">terapie ipo-uricemizzanti (Urate Lowering Terapy, </w:t>
      </w:r>
      <w:r w:rsidRPr="00A531CA">
        <w:rPr>
          <w:rFonts w:asciiTheme="minorHAnsi" w:hAnsiTheme="minorHAnsi" w:cstheme="minorHAnsi"/>
          <w:b/>
          <w:sz w:val="20"/>
          <w:szCs w:val="20"/>
        </w:rPr>
        <w:t>ULT</w:t>
      </w:r>
      <w:r w:rsidR="005B44B6">
        <w:rPr>
          <w:rFonts w:asciiTheme="minorHAnsi" w:hAnsiTheme="minorHAnsi" w:cstheme="minorHAnsi"/>
          <w:b/>
          <w:sz w:val="20"/>
          <w:szCs w:val="20"/>
        </w:rPr>
        <w:t>)</w:t>
      </w:r>
      <w:r w:rsidRPr="00A531CA">
        <w:rPr>
          <w:rFonts w:asciiTheme="minorHAnsi" w:hAnsiTheme="minorHAnsi" w:cstheme="minorHAnsi"/>
          <w:b/>
          <w:sz w:val="20"/>
          <w:szCs w:val="20"/>
        </w:rPr>
        <w:t xml:space="preserve"> c’è una riduzione statisticamente significativa del rischio di mortalità per qualsiasi causa e per patologie cardiovascolari rispetto ai pazienti non in trattamento con ULT</w:t>
      </w:r>
      <w:r w:rsidRPr="00A531CA">
        <w:rPr>
          <w:rFonts w:asciiTheme="minorHAnsi" w:hAnsiTheme="minorHAnsi" w:cstheme="minorHAnsi"/>
          <w:sz w:val="20"/>
          <w:szCs w:val="20"/>
        </w:rPr>
        <w:t xml:space="preserve"> (</w:t>
      </w:r>
      <w:r w:rsidR="0083674F">
        <w:rPr>
          <w:rFonts w:asciiTheme="minorHAnsi" w:hAnsiTheme="minorHAnsi" w:cstheme="minorHAnsi"/>
          <w:color w:val="0000FF"/>
          <w:sz w:val="20"/>
          <w:szCs w:val="20"/>
        </w:rPr>
        <w:t>Chen, 2015 (27)</w:t>
      </w:r>
      <w:r w:rsidRPr="00A531CA">
        <w:rPr>
          <w:rFonts w:asciiTheme="minorHAnsi" w:hAnsiTheme="minorHAnsi" w:cstheme="minorHAnsi"/>
          <w:sz w:val="20"/>
          <w:szCs w:val="20"/>
        </w:rPr>
        <w:t>).</w:t>
      </w:r>
    </w:p>
    <w:p w14:paraId="26A12A07" w14:textId="3740D56D" w:rsidR="00A531CA" w:rsidRPr="00A531CA" w:rsidRDefault="00A531CA" w:rsidP="00825BD3">
      <w:pPr>
        <w:pStyle w:val="ListParagraph"/>
        <w:numPr>
          <w:ilvl w:val="0"/>
          <w:numId w:val="51"/>
        </w:numPr>
        <w:spacing w:line="360" w:lineRule="auto"/>
        <w:rPr>
          <w:rFonts w:asciiTheme="minorHAnsi" w:hAnsiTheme="minorHAnsi" w:cstheme="minorHAnsi"/>
          <w:sz w:val="20"/>
          <w:szCs w:val="20"/>
        </w:rPr>
      </w:pPr>
      <w:r w:rsidRPr="00A531CA">
        <w:rPr>
          <w:rFonts w:asciiTheme="minorHAnsi" w:hAnsiTheme="minorHAnsi" w:cstheme="minorHAnsi"/>
          <w:sz w:val="20"/>
          <w:szCs w:val="20"/>
        </w:rPr>
        <w:t xml:space="preserve">La gotta riduce la </w:t>
      </w:r>
      <w:r w:rsidRPr="00A531CA">
        <w:rPr>
          <w:rFonts w:asciiTheme="minorHAnsi" w:hAnsiTheme="minorHAnsi" w:cstheme="minorHAnsi"/>
          <w:b/>
          <w:sz w:val="20"/>
          <w:szCs w:val="20"/>
        </w:rPr>
        <w:t>qualità di vita dei pazienti</w:t>
      </w:r>
      <w:r w:rsidRPr="00A531CA">
        <w:rPr>
          <w:rFonts w:asciiTheme="minorHAnsi" w:hAnsiTheme="minorHAnsi" w:cstheme="minorHAnsi"/>
          <w:sz w:val="20"/>
          <w:szCs w:val="20"/>
        </w:rPr>
        <w:t xml:space="preserve">: la letteratura internazionale ed Italiana ha dimostrato che le caratteristiche della malattia influenzano la </w:t>
      </w:r>
      <w:r w:rsidR="00EF7750">
        <w:rPr>
          <w:rFonts w:asciiTheme="minorHAnsi" w:hAnsiTheme="minorHAnsi" w:cstheme="minorHAnsi"/>
          <w:sz w:val="20"/>
          <w:szCs w:val="20"/>
        </w:rPr>
        <w:t xml:space="preserve">qualità della vita (Quality of life, </w:t>
      </w:r>
      <w:r w:rsidRPr="00A531CA">
        <w:rPr>
          <w:rFonts w:asciiTheme="minorHAnsi" w:hAnsiTheme="minorHAnsi" w:cstheme="minorHAnsi"/>
          <w:sz w:val="20"/>
          <w:szCs w:val="20"/>
        </w:rPr>
        <w:t>QoL</w:t>
      </w:r>
      <w:r w:rsidR="00EF7750">
        <w:rPr>
          <w:rFonts w:asciiTheme="minorHAnsi" w:hAnsiTheme="minorHAnsi" w:cstheme="minorHAnsi"/>
          <w:sz w:val="20"/>
          <w:szCs w:val="20"/>
        </w:rPr>
        <w:t>)</w:t>
      </w:r>
      <w:r w:rsidRPr="00A531CA">
        <w:rPr>
          <w:rFonts w:asciiTheme="minorHAnsi" w:hAnsiTheme="minorHAnsi" w:cstheme="minorHAnsi"/>
          <w:sz w:val="20"/>
          <w:szCs w:val="20"/>
        </w:rPr>
        <w:t xml:space="preserve"> e che i pazienti con gotta non adeguatamente gestiti hanno un livello di QoL inferiore rispetto ai pazienti con gotta ben controllata farmacologicamente (</w:t>
      </w:r>
      <w:r w:rsidR="0083674F">
        <w:rPr>
          <w:rFonts w:asciiTheme="minorHAnsi" w:hAnsiTheme="minorHAnsi" w:cstheme="minorHAnsi"/>
          <w:color w:val="0000FF"/>
          <w:sz w:val="20"/>
          <w:szCs w:val="20"/>
        </w:rPr>
        <w:t>Scirè, 2013 (28)</w:t>
      </w:r>
      <w:r w:rsidRPr="00A531CA">
        <w:rPr>
          <w:rFonts w:asciiTheme="minorHAnsi" w:hAnsiTheme="minorHAnsi" w:cstheme="minorHAnsi"/>
          <w:color w:val="0000FF"/>
          <w:sz w:val="20"/>
          <w:szCs w:val="20"/>
        </w:rPr>
        <w:t xml:space="preserve">; </w:t>
      </w:r>
      <w:r w:rsidR="0083674F">
        <w:rPr>
          <w:rFonts w:asciiTheme="minorHAnsi" w:hAnsiTheme="minorHAnsi" w:cstheme="minorHAnsi"/>
          <w:color w:val="0000FF"/>
          <w:sz w:val="20"/>
          <w:szCs w:val="20"/>
        </w:rPr>
        <w:t>Khanna, 2012 (29)</w:t>
      </w:r>
      <w:r w:rsidRPr="00A531CA">
        <w:rPr>
          <w:rFonts w:asciiTheme="minorHAnsi" w:hAnsiTheme="minorHAnsi" w:cstheme="minorHAnsi"/>
          <w:color w:val="0000FF"/>
          <w:sz w:val="20"/>
          <w:szCs w:val="20"/>
        </w:rPr>
        <w:t xml:space="preserve">; </w:t>
      </w:r>
      <w:r w:rsidR="0083674F">
        <w:rPr>
          <w:rFonts w:asciiTheme="minorHAnsi" w:hAnsiTheme="minorHAnsi" w:cstheme="minorHAnsi"/>
          <w:color w:val="0000FF"/>
          <w:sz w:val="20"/>
          <w:szCs w:val="20"/>
        </w:rPr>
        <w:t>Lee, 2009 (30)</w:t>
      </w:r>
      <w:r w:rsidRPr="00A531CA">
        <w:rPr>
          <w:rFonts w:asciiTheme="minorHAnsi" w:hAnsiTheme="minorHAnsi" w:cstheme="minorHAnsi"/>
          <w:color w:val="0000FF"/>
          <w:sz w:val="20"/>
          <w:szCs w:val="20"/>
        </w:rPr>
        <w:t xml:space="preserve">; </w:t>
      </w:r>
      <w:r w:rsidR="0083674F">
        <w:rPr>
          <w:rFonts w:asciiTheme="minorHAnsi" w:hAnsiTheme="minorHAnsi" w:cstheme="minorHAnsi"/>
          <w:color w:val="0000FF"/>
          <w:sz w:val="20"/>
          <w:szCs w:val="20"/>
        </w:rPr>
        <w:t>Roddy, 2007 (31)</w:t>
      </w:r>
      <w:r w:rsidRPr="00A531CA">
        <w:rPr>
          <w:rFonts w:asciiTheme="minorHAnsi" w:hAnsiTheme="minorHAnsi" w:cstheme="minorHAnsi"/>
          <w:color w:val="0000FF"/>
          <w:sz w:val="20"/>
          <w:szCs w:val="20"/>
        </w:rPr>
        <w:t xml:space="preserve">; </w:t>
      </w:r>
      <w:r w:rsidR="00EC3329">
        <w:rPr>
          <w:rFonts w:asciiTheme="minorHAnsi" w:hAnsiTheme="minorHAnsi" w:cstheme="minorHAnsi"/>
          <w:color w:val="0000FF"/>
          <w:sz w:val="20"/>
          <w:szCs w:val="20"/>
        </w:rPr>
        <w:t>Kleinman, 2007 (92</w:t>
      </w:r>
      <w:r w:rsidR="00156E01">
        <w:rPr>
          <w:rFonts w:asciiTheme="minorHAnsi" w:hAnsiTheme="minorHAnsi" w:cstheme="minorHAnsi"/>
          <w:color w:val="0000FF"/>
          <w:sz w:val="20"/>
          <w:szCs w:val="20"/>
        </w:rPr>
        <w:t>)</w:t>
      </w:r>
      <w:r w:rsidRPr="00A531CA">
        <w:rPr>
          <w:rFonts w:asciiTheme="minorHAnsi" w:hAnsiTheme="minorHAnsi" w:cstheme="minorHAnsi"/>
          <w:color w:val="0000FF"/>
          <w:sz w:val="20"/>
          <w:szCs w:val="20"/>
        </w:rPr>
        <w:t xml:space="preserve">; </w:t>
      </w:r>
      <w:r w:rsidR="00EC3329">
        <w:rPr>
          <w:rFonts w:asciiTheme="minorHAnsi" w:hAnsiTheme="minorHAnsi" w:cstheme="minorHAnsi"/>
          <w:color w:val="0000FF"/>
          <w:sz w:val="20"/>
          <w:szCs w:val="20"/>
        </w:rPr>
        <w:t>Wood, 2016 (93</w:t>
      </w:r>
      <w:r w:rsidR="00156E01">
        <w:rPr>
          <w:rFonts w:asciiTheme="minorHAnsi" w:hAnsiTheme="minorHAnsi" w:cstheme="minorHAnsi"/>
          <w:color w:val="0000FF"/>
          <w:sz w:val="20"/>
          <w:szCs w:val="20"/>
        </w:rPr>
        <w:t>)</w:t>
      </w:r>
      <w:r w:rsidRPr="00A531CA">
        <w:rPr>
          <w:rFonts w:asciiTheme="minorHAnsi" w:hAnsiTheme="minorHAnsi" w:cstheme="minorHAnsi"/>
          <w:color w:val="0000FF"/>
          <w:sz w:val="20"/>
          <w:szCs w:val="20"/>
        </w:rPr>
        <w:t xml:space="preserve">; </w:t>
      </w:r>
      <w:r w:rsidR="00EC3329">
        <w:rPr>
          <w:rFonts w:asciiTheme="minorHAnsi" w:hAnsiTheme="minorHAnsi" w:cstheme="minorHAnsi"/>
          <w:color w:val="0000FF"/>
          <w:sz w:val="20"/>
          <w:szCs w:val="20"/>
        </w:rPr>
        <w:t>Van Vlaenderen, 2008 (94</w:t>
      </w:r>
      <w:r w:rsidR="00156E01">
        <w:rPr>
          <w:rFonts w:asciiTheme="minorHAnsi" w:hAnsiTheme="minorHAnsi" w:cstheme="minorHAnsi"/>
          <w:color w:val="0000FF"/>
          <w:sz w:val="20"/>
          <w:szCs w:val="20"/>
        </w:rPr>
        <w:t>)</w:t>
      </w:r>
      <w:r w:rsidRPr="00FA6536">
        <w:rPr>
          <w:rFonts w:asciiTheme="minorHAnsi" w:hAnsiTheme="minorHAnsi" w:cstheme="minorHAnsi"/>
          <w:sz w:val="20"/>
          <w:szCs w:val="20"/>
        </w:rPr>
        <w:t>)</w:t>
      </w:r>
      <w:r w:rsidRPr="00A531CA">
        <w:rPr>
          <w:rFonts w:asciiTheme="minorHAnsi" w:hAnsiTheme="minorHAnsi" w:cstheme="minorHAnsi"/>
          <w:sz w:val="20"/>
          <w:szCs w:val="20"/>
        </w:rPr>
        <w:t>.</w:t>
      </w:r>
    </w:p>
    <w:p w14:paraId="0FD60804" w14:textId="64CB9A8E" w:rsidR="00A531CA" w:rsidRPr="00A531CA" w:rsidRDefault="00A531CA" w:rsidP="00825BD3">
      <w:pPr>
        <w:pStyle w:val="ListParagraph"/>
        <w:numPr>
          <w:ilvl w:val="0"/>
          <w:numId w:val="51"/>
        </w:numPr>
        <w:spacing w:line="360" w:lineRule="auto"/>
        <w:rPr>
          <w:rFonts w:asciiTheme="minorHAnsi" w:hAnsiTheme="minorHAnsi" w:cstheme="minorHAnsi"/>
          <w:sz w:val="20"/>
          <w:szCs w:val="20"/>
        </w:rPr>
      </w:pPr>
      <w:r w:rsidRPr="00A531CA">
        <w:rPr>
          <w:rFonts w:asciiTheme="minorHAnsi" w:hAnsiTheme="minorHAnsi" w:cstheme="minorHAnsi"/>
          <w:sz w:val="20"/>
          <w:szCs w:val="20"/>
        </w:rPr>
        <w:t xml:space="preserve">Il trattamento della gotta e delle sue complicanze comporta un </w:t>
      </w:r>
      <w:r w:rsidRPr="00A531CA">
        <w:rPr>
          <w:rFonts w:asciiTheme="minorHAnsi" w:hAnsiTheme="minorHAnsi" w:cstheme="minorHAnsi"/>
          <w:b/>
          <w:sz w:val="20"/>
          <w:szCs w:val="20"/>
        </w:rPr>
        <w:t>carico economico importante sui sistemi sanitari nazionali</w:t>
      </w:r>
      <w:r w:rsidRPr="00A531CA">
        <w:rPr>
          <w:rFonts w:asciiTheme="minorHAnsi" w:hAnsiTheme="minorHAnsi" w:cstheme="minorHAnsi"/>
          <w:sz w:val="20"/>
          <w:szCs w:val="20"/>
        </w:rPr>
        <w:t xml:space="preserve">: i pazienti con gotta </w:t>
      </w:r>
      <w:r w:rsidR="00DC784A">
        <w:rPr>
          <w:rFonts w:asciiTheme="minorHAnsi" w:hAnsiTheme="minorHAnsi" w:cstheme="minorHAnsi"/>
          <w:sz w:val="20"/>
          <w:szCs w:val="20"/>
        </w:rPr>
        <w:t xml:space="preserve">hanno </w:t>
      </w:r>
      <w:r w:rsidR="00DC784A" w:rsidRPr="00A531CA">
        <w:rPr>
          <w:rFonts w:asciiTheme="minorHAnsi" w:hAnsiTheme="minorHAnsi" w:cstheme="minorHAnsi"/>
          <w:sz w:val="20"/>
          <w:szCs w:val="20"/>
        </w:rPr>
        <w:t xml:space="preserve">costi diretti ed indiretti </w:t>
      </w:r>
      <w:r w:rsidR="00DC784A">
        <w:rPr>
          <w:rFonts w:asciiTheme="minorHAnsi" w:hAnsiTheme="minorHAnsi" w:cstheme="minorHAnsi"/>
          <w:sz w:val="20"/>
          <w:szCs w:val="20"/>
        </w:rPr>
        <w:t xml:space="preserve">sostanzialmente maggiori rispetto </w:t>
      </w:r>
      <w:r w:rsidR="00DC784A" w:rsidRPr="00A531CA">
        <w:rPr>
          <w:rFonts w:asciiTheme="minorHAnsi" w:hAnsiTheme="minorHAnsi" w:cstheme="minorHAnsi"/>
          <w:sz w:val="20"/>
          <w:szCs w:val="20"/>
        </w:rPr>
        <w:t>ai soggetti non gottosi</w:t>
      </w:r>
      <w:r w:rsidRPr="00A531CA">
        <w:rPr>
          <w:rFonts w:asciiTheme="minorHAnsi" w:hAnsiTheme="minorHAnsi" w:cstheme="minorHAnsi"/>
          <w:sz w:val="20"/>
          <w:szCs w:val="20"/>
        </w:rPr>
        <w:t xml:space="preserve">, </w:t>
      </w:r>
      <w:r w:rsidR="00DC784A">
        <w:rPr>
          <w:rFonts w:asciiTheme="minorHAnsi" w:hAnsiTheme="minorHAnsi" w:cstheme="minorHAnsi"/>
          <w:sz w:val="20"/>
          <w:szCs w:val="20"/>
        </w:rPr>
        <w:t xml:space="preserve">più elevati tra </w:t>
      </w:r>
      <w:r w:rsidRPr="00A531CA">
        <w:rPr>
          <w:rFonts w:asciiTheme="minorHAnsi" w:hAnsiTheme="minorHAnsi" w:cstheme="minorHAnsi"/>
          <w:sz w:val="20"/>
          <w:szCs w:val="20"/>
        </w:rPr>
        <w:t xml:space="preserve">i </w:t>
      </w:r>
      <w:r w:rsidR="00DC784A">
        <w:rPr>
          <w:rFonts w:asciiTheme="minorHAnsi" w:hAnsiTheme="minorHAnsi" w:cstheme="minorHAnsi"/>
          <w:sz w:val="20"/>
          <w:szCs w:val="20"/>
        </w:rPr>
        <w:t xml:space="preserve">pazienti </w:t>
      </w:r>
      <w:r w:rsidRPr="00A531CA">
        <w:rPr>
          <w:rFonts w:asciiTheme="minorHAnsi" w:hAnsiTheme="minorHAnsi" w:cstheme="minorHAnsi"/>
          <w:sz w:val="20"/>
          <w:szCs w:val="20"/>
        </w:rPr>
        <w:t xml:space="preserve">anziani e </w:t>
      </w:r>
      <w:r w:rsidR="00DC784A">
        <w:rPr>
          <w:rFonts w:asciiTheme="minorHAnsi" w:hAnsiTheme="minorHAnsi" w:cstheme="minorHAnsi"/>
          <w:sz w:val="20"/>
          <w:szCs w:val="20"/>
        </w:rPr>
        <w:t>quelli</w:t>
      </w:r>
      <w:r w:rsidRPr="00A531CA">
        <w:rPr>
          <w:rFonts w:asciiTheme="minorHAnsi" w:hAnsiTheme="minorHAnsi" w:cstheme="minorHAnsi"/>
          <w:sz w:val="20"/>
          <w:szCs w:val="20"/>
        </w:rPr>
        <w:t xml:space="preserve"> refrattari al trattamento</w:t>
      </w:r>
      <w:r w:rsidR="00DC784A">
        <w:rPr>
          <w:rFonts w:asciiTheme="minorHAnsi" w:hAnsiTheme="minorHAnsi" w:cstheme="minorHAnsi"/>
          <w:sz w:val="20"/>
          <w:szCs w:val="20"/>
        </w:rPr>
        <w:t xml:space="preserve"> rispetto a quelli de</w:t>
      </w:r>
      <w:r w:rsidRPr="00A531CA">
        <w:rPr>
          <w:rFonts w:asciiTheme="minorHAnsi" w:hAnsiTheme="minorHAnsi" w:cstheme="minorHAnsi"/>
          <w:sz w:val="20"/>
          <w:szCs w:val="20"/>
        </w:rPr>
        <w:t>i pazienti gottosi più giovani. I costi diretti aumentano col peggiorare delle caratteristiche della malattia (</w:t>
      </w:r>
      <w:r w:rsidR="0083674F">
        <w:rPr>
          <w:rFonts w:asciiTheme="minorHAnsi" w:hAnsiTheme="minorHAnsi" w:cstheme="minorHAnsi"/>
          <w:color w:val="0000FF"/>
          <w:sz w:val="20"/>
          <w:szCs w:val="20"/>
        </w:rPr>
        <w:t>Rai, 2015 (32)</w:t>
      </w:r>
      <w:r w:rsidRPr="00A531CA">
        <w:rPr>
          <w:rFonts w:asciiTheme="minorHAnsi" w:hAnsiTheme="minorHAnsi" w:cstheme="minorHAnsi"/>
          <w:sz w:val="20"/>
          <w:szCs w:val="20"/>
        </w:rPr>
        <w:t xml:space="preserve">); i costi diretti legati alla gotta </w:t>
      </w:r>
      <w:r w:rsidR="00920372">
        <w:rPr>
          <w:rFonts w:asciiTheme="minorHAnsi" w:hAnsiTheme="minorHAnsi" w:cstheme="minorHAnsi"/>
          <w:sz w:val="20"/>
          <w:szCs w:val="20"/>
        </w:rPr>
        <w:t>possono differire</w:t>
      </w:r>
      <w:r w:rsidR="00920372" w:rsidRPr="00A531CA">
        <w:rPr>
          <w:rFonts w:asciiTheme="minorHAnsi" w:hAnsiTheme="minorHAnsi" w:cstheme="minorHAnsi"/>
          <w:sz w:val="20"/>
          <w:szCs w:val="20"/>
        </w:rPr>
        <w:t xml:space="preserve"> </w:t>
      </w:r>
      <w:r w:rsidRPr="00A531CA">
        <w:rPr>
          <w:rFonts w:asciiTheme="minorHAnsi" w:hAnsiTheme="minorHAnsi" w:cstheme="minorHAnsi"/>
          <w:sz w:val="20"/>
          <w:szCs w:val="20"/>
        </w:rPr>
        <w:t>in base a numerosi fattori</w:t>
      </w:r>
      <w:r w:rsidR="00920372">
        <w:rPr>
          <w:rFonts w:asciiTheme="minorHAnsi" w:hAnsiTheme="minorHAnsi" w:cstheme="minorHAnsi"/>
          <w:sz w:val="20"/>
          <w:szCs w:val="20"/>
        </w:rPr>
        <w:t xml:space="preserve"> quali i</w:t>
      </w:r>
      <w:r w:rsidR="007A7837">
        <w:rPr>
          <w:rFonts w:asciiTheme="minorHAnsi" w:hAnsiTheme="minorHAnsi" w:cstheme="minorHAnsi"/>
          <w:sz w:val="20"/>
          <w:szCs w:val="20"/>
        </w:rPr>
        <w:t xml:space="preserve"> </w:t>
      </w:r>
      <w:r w:rsidRPr="00A531CA">
        <w:rPr>
          <w:rFonts w:asciiTheme="minorHAnsi" w:hAnsiTheme="minorHAnsi" w:cstheme="minorHAnsi"/>
          <w:sz w:val="20"/>
          <w:szCs w:val="20"/>
        </w:rPr>
        <w:t>livelli di sUA</w:t>
      </w:r>
      <w:r w:rsidR="00920372">
        <w:rPr>
          <w:rFonts w:asciiTheme="minorHAnsi" w:hAnsiTheme="minorHAnsi" w:cstheme="minorHAnsi"/>
          <w:sz w:val="20"/>
          <w:szCs w:val="20"/>
        </w:rPr>
        <w:t xml:space="preserve">, </w:t>
      </w:r>
      <w:r w:rsidRPr="00A531CA">
        <w:rPr>
          <w:rFonts w:asciiTheme="minorHAnsi" w:hAnsiTheme="minorHAnsi" w:cstheme="minorHAnsi"/>
          <w:sz w:val="20"/>
          <w:szCs w:val="20"/>
        </w:rPr>
        <w:t>il numero di attacchi acuti e</w:t>
      </w:r>
      <w:r w:rsidR="00920372">
        <w:rPr>
          <w:rFonts w:asciiTheme="minorHAnsi" w:hAnsiTheme="minorHAnsi" w:cstheme="minorHAnsi"/>
          <w:sz w:val="20"/>
          <w:szCs w:val="20"/>
        </w:rPr>
        <w:t xml:space="preserve"> di</w:t>
      </w:r>
      <w:r w:rsidRPr="00A531CA">
        <w:rPr>
          <w:rFonts w:asciiTheme="minorHAnsi" w:hAnsiTheme="minorHAnsi" w:cstheme="minorHAnsi"/>
          <w:sz w:val="20"/>
          <w:szCs w:val="20"/>
        </w:rPr>
        <w:t xml:space="preserve"> tofi, generando un maggior consumo di risorse maggiormente attribuito all’ospedalizzazione (</w:t>
      </w:r>
      <w:r w:rsidR="00EC3329">
        <w:rPr>
          <w:rFonts w:asciiTheme="minorHAnsi" w:hAnsiTheme="minorHAnsi" w:cstheme="minorHAnsi"/>
          <w:color w:val="0000FF"/>
          <w:sz w:val="20"/>
          <w:szCs w:val="20"/>
        </w:rPr>
        <w:t>Shields, 2015 (95)</w:t>
      </w:r>
      <w:r w:rsidRPr="00A531CA">
        <w:rPr>
          <w:rFonts w:asciiTheme="minorHAnsi" w:hAnsiTheme="minorHAnsi" w:cstheme="minorHAnsi"/>
          <w:sz w:val="20"/>
          <w:szCs w:val="20"/>
        </w:rPr>
        <w:t>).</w:t>
      </w:r>
    </w:p>
    <w:p w14:paraId="30C51AEA" w14:textId="03218BFC" w:rsidR="00A531CA" w:rsidRPr="00A531CA" w:rsidRDefault="00A531CA" w:rsidP="00A531CA">
      <w:pPr>
        <w:spacing w:line="360" w:lineRule="auto"/>
        <w:rPr>
          <w:rFonts w:cstheme="minorHAnsi"/>
          <w:sz w:val="20"/>
          <w:szCs w:val="20"/>
        </w:rPr>
      </w:pPr>
      <w:r>
        <w:rPr>
          <w:rFonts w:cs="Arial"/>
          <w:b/>
          <w:sz w:val="20"/>
          <w:szCs w:val="20"/>
          <w:u w:val="single"/>
        </w:rPr>
        <w:t>A</w:t>
      </w:r>
      <w:r w:rsidRPr="004F2A8E">
        <w:rPr>
          <w:rFonts w:cs="Arial"/>
          <w:b/>
          <w:sz w:val="20"/>
          <w:szCs w:val="20"/>
          <w:u w:val="single"/>
        </w:rPr>
        <w:t>ttuali terapie</w:t>
      </w:r>
      <w:r>
        <w:rPr>
          <w:rFonts w:cs="Arial"/>
          <w:b/>
          <w:sz w:val="20"/>
          <w:szCs w:val="20"/>
          <w:u w:val="single"/>
        </w:rPr>
        <w:t xml:space="preserve"> farmacologiche</w:t>
      </w:r>
      <w:r w:rsidR="00CD1C33">
        <w:rPr>
          <w:rFonts w:cs="Arial"/>
          <w:b/>
          <w:sz w:val="20"/>
          <w:szCs w:val="20"/>
          <w:u w:val="single"/>
        </w:rPr>
        <w:t xml:space="preserve"> in Italia</w:t>
      </w:r>
    </w:p>
    <w:p w14:paraId="77CE0617" w14:textId="781F68EE" w:rsidR="00477027" w:rsidRPr="00477027" w:rsidRDefault="000A6153" w:rsidP="00825BD3">
      <w:pPr>
        <w:pStyle w:val="ListParagraph"/>
        <w:widowControl w:val="0"/>
        <w:numPr>
          <w:ilvl w:val="0"/>
          <w:numId w:val="37"/>
        </w:numPr>
        <w:autoSpaceDE w:val="0"/>
        <w:autoSpaceDN w:val="0"/>
        <w:adjustRightInd w:val="0"/>
        <w:spacing w:line="360" w:lineRule="auto"/>
        <w:jc w:val="both"/>
        <w:rPr>
          <w:rFonts w:asciiTheme="minorHAnsi" w:hAnsiTheme="minorHAnsi" w:cstheme="minorHAnsi"/>
          <w:sz w:val="20"/>
          <w:szCs w:val="20"/>
        </w:rPr>
      </w:pPr>
      <w:r>
        <w:rPr>
          <w:rFonts w:asciiTheme="minorHAnsi" w:hAnsiTheme="minorHAnsi" w:cstheme="minorHAnsi"/>
          <w:sz w:val="20"/>
          <w:szCs w:val="20"/>
        </w:rPr>
        <w:t>C</w:t>
      </w:r>
      <w:r w:rsidRPr="000A6153">
        <w:rPr>
          <w:rFonts w:asciiTheme="minorHAnsi" w:hAnsiTheme="minorHAnsi" w:cstheme="minorHAnsi"/>
          <w:sz w:val="20"/>
          <w:szCs w:val="20"/>
        </w:rPr>
        <w:t xml:space="preserve">ome evidenziato anche dall’esperto Prof. Punzi </w:t>
      </w:r>
      <w:r w:rsidR="00753598">
        <w:rPr>
          <w:rFonts w:asciiTheme="minorHAnsi" w:hAnsiTheme="minorHAnsi" w:cstheme="minorHAnsi"/>
          <w:sz w:val="20"/>
          <w:szCs w:val="20"/>
        </w:rPr>
        <w:t>Direttore U.O.C. di Reumatologia, Università degli Studi di Padova</w:t>
      </w:r>
      <w:r w:rsidRPr="000A6153">
        <w:rPr>
          <w:rFonts w:asciiTheme="minorHAnsi" w:hAnsiTheme="minorHAnsi" w:cstheme="minorHAnsi"/>
          <w:sz w:val="20"/>
          <w:szCs w:val="20"/>
        </w:rPr>
        <w:t xml:space="preserve"> (</w:t>
      </w:r>
      <w:hyperlink w:anchor="Allegato1" w:history="1">
        <w:r w:rsidRPr="000A6153">
          <w:rPr>
            <w:rStyle w:val="Hyperlink"/>
            <w:rFonts w:asciiTheme="minorHAnsi" w:hAnsiTheme="minorHAnsi" w:cstheme="minorHAnsi"/>
            <w:sz w:val="20"/>
            <w:szCs w:val="20"/>
          </w:rPr>
          <w:t>Allegato 1</w:t>
        </w:r>
      </w:hyperlink>
      <w:r w:rsidRPr="000A6153">
        <w:rPr>
          <w:rFonts w:asciiTheme="minorHAnsi" w:hAnsiTheme="minorHAnsi" w:cstheme="minorHAnsi"/>
          <w:sz w:val="20"/>
          <w:szCs w:val="20"/>
        </w:rPr>
        <w:t>)</w:t>
      </w:r>
      <w:r>
        <w:rPr>
          <w:rFonts w:asciiTheme="minorHAnsi" w:hAnsiTheme="minorHAnsi" w:cstheme="minorHAnsi"/>
          <w:sz w:val="20"/>
          <w:szCs w:val="20"/>
        </w:rPr>
        <w:t>,</w:t>
      </w:r>
      <w:r w:rsidRPr="000A6153">
        <w:rPr>
          <w:rFonts w:asciiTheme="minorHAnsi" w:hAnsiTheme="minorHAnsi" w:cstheme="minorHAnsi"/>
          <w:sz w:val="20"/>
          <w:szCs w:val="20"/>
        </w:rPr>
        <w:t xml:space="preserve"> </w:t>
      </w:r>
      <w:r>
        <w:rPr>
          <w:rFonts w:asciiTheme="minorHAnsi" w:hAnsiTheme="minorHAnsi" w:cstheme="minorHAnsi"/>
          <w:sz w:val="20"/>
          <w:szCs w:val="20"/>
        </w:rPr>
        <w:t>l</w:t>
      </w:r>
      <w:r w:rsidR="00477027" w:rsidRPr="000A6153">
        <w:rPr>
          <w:rFonts w:asciiTheme="minorHAnsi" w:hAnsiTheme="minorHAnsi" w:cstheme="minorHAnsi"/>
          <w:bCs/>
          <w:sz w:val="20"/>
          <w:szCs w:val="20"/>
        </w:rPr>
        <w:t xml:space="preserve">’approccio terapeutico mirato </w:t>
      </w:r>
      <w:r w:rsidR="00477027" w:rsidRPr="000A6153">
        <w:rPr>
          <w:rFonts w:asciiTheme="minorHAnsi" w:hAnsiTheme="minorHAnsi" w:cstheme="minorHAnsi"/>
          <w:b/>
          <w:bCs/>
          <w:sz w:val="20"/>
          <w:szCs w:val="20"/>
        </w:rPr>
        <w:t>(treat to target)</w:t>
      </w:r>
      <w:r w:rsidR="00477027" w:rsidRPr="000A6153">
        <w:rPr>
          <w:rFonts w:asciiTheme="minorHAnsi" w:hAnsiTheme="minorHAnsi" w:cstheme="minorHAnsi"/>
          <w:sz w:val="20"/>
          <w:szCs w:val="20"/>
        </w:rPr>
        <w:t xml:space="preserve"> suggerito sulla base della fisiopatologia della gotta </w:t>
      </w:r>
      <w:r w:rsidR="00920372">
        <w:rPr>
          <w:rFonts w:asciiTheme="minorHAnsi" w:hAnsiTheme="minorHAnsi" w:cstheme="minorHAnsi"/>
          <w:sz w:val="20"/>
          <w:szCs w:val="20"/>
        </w:rPr>
        <w:t>può essere stratificato</w:t>
      </w:r>
      <w:r w:rsidR="00477027" w:rsidRPr="000A6153">
        <w:rPr>
          <w:rFonts w:asciiTheme="minorHAnsi" w:hAnsiTheme="minorHAnsi" w:cstheme="minorHAnsi"/>
          <w:sz w:val="20"/>
          <w:szCs w:val="20"/>
        </w:rPr>
        <w:t xml:space="preserve"> a due livelli: il primo, un </w:t>
      </w:r>
      <w:r w:rsidR="00477027" w:rsidRPr="000A6153">
        <w:rPr>
          <w:rFonts w:asciiTheme="minorHAnsi" w:hAnsiTheme="minorHAnsi" w:cstheme="minorHAnsi"/>
          <w:b/>
          <w:sz w:val="20"/>
          <w:szCs w:val="20"/>
        </w:rPr>
        <w:t>trattamento ipo-uricemizzante</w:t>
      </w:r>
      <w:r w:rsidR="00490DB9">
        <w:rPr>
          <w:rFonts w:asciiTheme="minorHAnsi" w:hAnsiTheme="minorHAnsi" w:cstheme="minorHAnsi"/>
          <w:sz w:val="20"/>
          <w:szCs w:val="20"/>
        </w:rPr>
        <w:t xml:space="preserve"> “intensivo”, </w:t>
      </w:r>
      <w:r w:rsidR="00477027" w:rsidRPr="000A6153">
        <w:rPr>
          <w:rFonts w:asciiTheme="minorHAnsi" w:hAnsiTheme="minorHAnsi" w:cstheme="minorHAnsi"/>
          <w:sz w:val="20"/>
          <w:szCs w:val="20"/>
        </w:rPr>
        <w:t>per cercare di dissolvere completamente</w:t>
      </w:r>
      <w:r w:rsidR="00477027" w:rsidRPr="00477027">
        <w:rPr>
          <w:rFonts w:asciiTheme="minorHAnsi" w:hAnsiTheme="minorHAnsi" w:cstheme="minorHAnsi"/>
          <w:sz w:val="20"/>
          <w:szCs w:val="20"/>
        </w:rPr>
        <w:t xml:space="preserve"> i depositi  di cristalli di MSU, specialmente nei pazienti con gotta più grave, e il secondo, successivo, mirato a </w:t>
      </w:r>
      <w:r w:rsidR="00477027" w:rsidRPr="00477027">
        <w:rPr>
          <w:rFonts w:asciiTheme="minorHAnsi" w:hAnsiTheme="minorHAnsi" w:cstheme="minorHAnsi"/>
          <w:bCs/>
          <w:sz w:val="20"/>
          <w:szCs w:val="20"/>
        </w:rPr>
        <w:t xml:space="preserve">mantenere i livelli di sUA al di sotto dei livelli di sicurezza per impedire la precipitazione ed il deposito di cristalli di MSU </w:t>
      </w:r>
      <w:r w:rsidR="00477027" w:rsidRPr="00753598">
        <w:rPr>
          <w:rFonts w:asciiTheme="minorHAnsi" w:hAnsiTheme="minorHAnsi" w:cstheme="minorHAnsi"/>
          <w:bCs/>
          <w:sz w:val="20"/>
          <w:szCs w:val="20"/>
        </w:rPr>
        <w:t>(ovvero 6 mg/dl),  per</w:t>
      </w:r>
      <w:r w:rsidR="00477027" w:rsidRPr="00477027">
        <w:rPr>
          <w:rFonts w:asciiTheme="minorHAnsi" w:hAnsiTheme="minorHAnsi" w:cstheme="minorHAnsi"/>
          <w:bCs/>
          <w:sz w:val="20"/>
          <w:szCs w:val="20"/>
        </w:rPr>
        <w:t xml:space="preserve"> tutta la vita del paziente. Ciò per  garantire la scomparsa di attacchi acuti e la risoluzione completa dei tofi</w:t>
      </w:r>
      <w:r w:rsidR="00051F13">
        <w:rPr>
          <w:rFonts w:asciiTheme="minorHAnsi" w:hAnsiTheme="minorHAnsi" w:cstheme="minorHAnsi"/>
          <w:bCs/>
          <w:sz w:val="20"/>
          <w:szCs w:val="20"/>
        </w:rPr>
        <w:t xml:space="preserve"> </w:t>
      </w:r>
      <w:r w:rsidR="00051F13" w:rsidRPr="00490DB9">
        <w:rPr>
          <w:rFonts w:asciiTheme="minorHAnsi" w:hAnsiTheme="minorHAnsi" w:cstheme="minorHAnsi"/>
          <w:sz w:val="20"/>
          <w:szCs w:val="20"/>
        </w:rPr>
        <w:t>(</w:t>
      </w:r>
      <w:r w:rsidR="009752F0" w:rsidRPr="00490DB9">
        <w:rPr>
          <w:rFonts w:asciiTheme="minorHAnsi" w:hAnsiTheme="minorHAnsi" w:cstheme="minorHAnsi"/>
          <w:color w:val="0000FF"/>
          <w:sz w:val="20"/>
          <w:szCs w:val="20"/>
        </w:rPr>
        <w:t>Perez-Ruiz</w:t>
      </w:r>
      <w:r w:rsidR="00231A40" w:rsidRPr="00490DB9">
        <w:rPr>
          <w:rFonts w:asciiTheme="minorHAnsi" w:hAnsiTheme="minorHAnsi" w:cstheme="minorHAnsi"/>
          <w:color w:val="0000FF"/>
          <w:sz w:val="20"/>
          <w:szCs w:val="20"/>
        </w:rPr>
        <w:t>, 2011 (18)</w:t>
      </w:r>
      <w:r w:rsidR="00051F13" w:rsidRPr="00490DB9">
        <w:rPr>
          <w:rFonts w:asciiTheme="minorHAnsi" w:hAnsiTheme="minorHAnsi" w:cstheme="minorHAnsi"/>
          <w:bCs/>
          <w:sz w:val="20"/>
          <w:szCs w:val="20"/>
        </w:rPr>
        <w:t>)</w:t>
      </w:r>
      <w:r w:rsidR="00477027" w:rsidRPr="00490DB9">
        <w:rPr>
          <w:rFonts w:asciiTheme="minorHAnsi" w:hAnsiTheme="minorHAnsi" w:cstheme="minorHAnsi"/>
          <w:sz w:val="20"/>
          <w:szCs w:val="20"/>
        </w:rPr>
        <w:t xml:space="preserve">. </w:t>
      </w:r>
    </w:p>
    <w:p w14:paraId="7042AF05" w14:textId="09F1417B" w:rsidR="006B3BE6" w:rsidRPr="00416E9E" w:rsidRDefault="006B3BE6" w:rsidP="00825BD3">
      <w:pPr>
        <w:pStyle w:val="ListParagraph"/>
        <w:widowControl w:val="0"/>
        <w:numPr>
          <w:ilvl w:val="0"/>
          <w:numId w:val="37"/>
        </w:numPr>
        <w:autoSpaceDE w:val="0"/>
        <w:autoSpaceDN w:val="0"/>
        <w:adjustRightInd w:val="0"/>
        <w:spacing w:line="360" w:lineRule="auto"/>
        <w:jc w:val="both"/>
        <w:rPr>
          <w:rFonts w:asciiTheme="minorHAnsi" w:hAnsiTheme="minorHAnsi" w:cstheme="minorHAnsi"/>
          <w:sz w:val="20"/>
          <w:szCs w:val="20"/>
        </w:rPr>
      </w:pPr>
      <w:r w:rsidRPr="00CD1C33">
        <w:rPr>
          <w:rFonts w:asciiTheme="minorHAnsi" w:hAnsiTheme="minorHAnsi" w:cstheme="minorHAnsi"/>
          <w:b/>
          <w:sz w:val="20"/>
          <w:szCs w:val="20"/>
        </w:rPr>
        <w:t>In Italia sono disponibili per il trattamento della gotta solo farmaci che agiscono inibendo la produzione di acido urico (</w:t>
      </w:r>
      <w:r w:rsidR="00920372">
        <w:rPr>
          <w:rFonts w:asciiTheme="minorHAnsi" w:hAnsiTheme="minorHAnsi" w:cstheme="minorHAnsi"/>
          <w:b/>
          <w:sz w:val="20"/>
          <w:szCs w:val="20"/>
        </w:rPr>
        <w:t xml:space="preserve">inibitori della xantina-ossidasi, </w:t>
      </w:r>
      <w:r w:rsidRPr="00CD1C33">
        <w:rPr>
          <w:rFonts w:asciiTheme="minorHAnsi" w:hAnsiTheme="minorHAnsi" w:cstheme="minorHAnsi"/>
          <w:b/>
          <w:sz w:val="20"/>
          <w:szCs w:val="20"/>
        </w:rPr>
        <w:t>XOI), ovvero allupurinolo e febuxostat</w:t>
      </w:r>
      <w:r w:rsidR="00920372">
        <w:rPr>
          <w:rFonts w:asciiTheme="minorHAnsi" w:hAnsiTheme="minorHAnsi" w:cstheme="minorHAnsi"/>
          <w:b/>
          <w:sz w:val="20"/>
          <w:szCs w:val="20"/>
        </w:rPr>
        <w:t>,</w:t>
      </w:r>
      <w:r w:rsidR="00CD1C33" w:rsidRPr="00CD1C33">
        <w:rPr>
          <w:rFonts w:asciiTheme="minorHAnsi" w:hAnsiTheme="minorHAnsi" w:cstheme="minorHAnsi"/>
          <w:b/>
          <w:sz w:val="20"/>
          <w:szCs w:val="20"/>
        </w:rPr>
        <w:t xml:space="preserve"> entrambi in monoterapia</w:t>
      </w:r>
      <w:r w:rsidR="00920372">
        <w:rPr>
          <w:rFonts w:asciiTheme="minorHAnsi" w:hAnsiTheme="minorHAnsi" w:cstheme="minorHAnsi"/>
          <w:sz w:val="20"/>
          <w:szCs w:val="20"/>
        </w:rPr>
        <w:t xml:space="preserve">; essi tuttavia </w:t>
      </w:r>
      <w:r w:rsidR="00416E9E" w:rsidRPr="00416E9E">
        <w:rPr>
          <w:rFonts w:asciiTheme="minorHAnsi" w:hAnsiTheme="minorHAnsi" w:cstheme="minorHAnsi"/>
          <w:sz w:val="20"/>
          <w:szCs w:val="20"/>
        </w:rPr>
        <w:t xml:space="preserve"> non </w:t>
      </w:r>
      <w:r w:rsidR="00920372">
        <w:rPr>
          <w:rFonts w:asciiTheme="minorHAnsi" w:hAnsiTheme="minorHAnsi" w:cstheme="minorHAnsi"/>
          <w:sz w:val="20"/>
          <w:szCs w:val="20"/>
        </w:rPr>
        <w:t>sono in grad</w:t>
      </w:r>
      <w:r w:rsidR="00C57973">
        <w:rPr>
          <w:rFonts w:asciiTheme="minorHAnsi" w:hAnsiTheme="minorHAnsi" w:cstheme="minorHAnsi"/>
          <w:sz w:val="20"/>
          <w:szCs w:val="20"/>
        </w:rPr>
        <w:t>o</w:t>
      </w:r>
      <w:r w:rsidR="00920372">
        <w:rPr>
          <w:rFonts w:asciiTheme="minorHAnsi" w:hAnsiTheme="minorHAnsi" w:cstheme="minorHAnsi"/>
          <w:sz w:val="20"/>
          <w:szCs w:val="20"/>
        </w:rPr>
        <w:t xml:space="preserve"> di </w:t>
      </w:r>
      <w:r w:rsidR="00920372" w:rsidRPr="00416E9E">
        <w:rPr>
          <w:rFonts w:asciiTheme="minorHAnsi" w:hAnsiTheme="minorHAnsi" w:cstheme="minorHAnsi"/>
          <w:sz w:val="20"/>
          <w:szCs w:val="20"/>
        </w:rPr>
        <w:t>agi</w:t>
      </w:r>
      <w:r w:rsidR="00920372">
        <w:rPr>
          <w:rFonts w:asciiTheme="minorHAnsi" w:hAnsiTheme="minorHAnsi" w:cstheme="minorHAnsi"/>
          <w:sz w:val="20"/>
          <w:szCs w:val="20"/>
        </w:rPr>
        <w:t>re</w:t>
      </w:r>
      <w:r w:rsidR="00920372" w:rsidRPr="00416E9E">
        <w:rPr>
          <w:rFonts w:asciiTheme="minorHAnsi" w:hAnsiTheme="minorHAnsi" w:cstheme="minorHAnsi"/>
          <w:sz w:val="20"/>
          <w:szCs w:val="20"/>
        </w:rPr>
        <w:t xml:space="preserve"> </w:t>
      </w:r>
      <w:r w:rsidR="00416E9E" w:rsidRPr="00416E9E">
        <w:rPr>
          <w:rFonts w:asciiTheme="minorHAnsi" w:hAnsiTheme="minorHAnsi" w:cstheme="minorHAnsi"/>
          <w:sz w:val="20"/>
          <w:szCs w:val="20"/>
        </w:rPr>
        <w:t>sulla inefficiente escrezione di acido urico, che è la principale causa di gotta</w:t>
      </w:r>
      <w:r w:rsidR="00920372">
        <w:rPr>
          <w:rFonts w:asciiTheme="minorHAnsi" w:hAnsiTheme="minorHAnsi" w:cstheme="minorHAnsi"/>
          <w:sz w:val="20"/>
          <w:szCs w:val="20"/>
        </w:rPr>
        <w:t>, riscontrabile</w:t>
      </w:r>
      <w:r w:rsidR="00416E9E" w:rsidRPr="00416E9E">
        <w:rPr>
          <w:rFonts w:asciiTheme="minorHAnsi" w:hAnsiTheme="minorHAnsi" w:cstheme="minorHAnsi"/>
          <w:sz w:val="20"/>
          <w:szCs w:val="20"/>
        </w:rPr>
        <w:t xml:space="preserve"> nel 80-90% dei pazienti (</w:t>
      </w:r>
      <w:r w:rsidR="0083674F">
        <w:rPr>
          <w:rFonts w:asciiTheme="minorHAnsi" w:hAnsiTheme="minorHAnsi" w:cstheme="minorHAnsi"/>
          <w:color w:val="0000FF"/>
          <w:sz w:val="20"/>
          <w:szCs w:val="20"/>
        </w:rPr>
        <w:t>Richette, 2010 (34)</w:t>
      </w:r>
      <w:r w:rsidR="00416E9E" w:rsidRPr="00416E9E">
        <w:rPr>
          <w:rFonts w:asciiTheme="minorHAnsi" w:hAnsiTheme="minorHAnsi" w:cstheme="minorHAnsi"/>
          <w:color w:val="0000FF"/>
          <w:sz w:val="20"/>
          <w:szCs w:val="20"/>
        </w:rPr>
        <w:t>; Boss, 1979 (</w:t>
      </w:r>
      <w:r w:rsidR="00FA3A90">
        <w:rPr>
          <w:rFonts w:asciiTheme="minorHAnsi" w:hAnsiTheme="minorHAnsi" w:cstheme="minorHAnsi"/>
          <w:color w:val="0000FF"/>
          <w:sz w:val="20"/>
          <w:szCs w:val="20"/>
        </w:rPr>
        <w:t>35</w:t>
      </w:r>
      <w:r w:rsidR="00416E9E" w:rsidRPr="00416E9E">
        <w:rPr>
          <w:rFonts w:asciiTheme="minorHAnsi" w:hAnsiTheme="minorHAnsi" w:cstheme="minorHAnsi"/>
          <w:color w:val="0000FF"/>
          <w:sz w:val="20"/>
          <w:szCs w:val="20"/>
        </w:rPr>
        <w:t>)</w:t>
      </w:r>
      <w:r w:rsidR="00416E9E" w:rsidRPr="00416E9E">
        <w:rPr>
          <w:rFonts w:asciiTheme="minorHAnsi" w:hAnsiTheme="minorHAnsi" w:cstheme="minorHAnsi"/>
          <w:sz w:val="20"/>
          <w:szCs w:val="20"/>
        </w:rPr>
        <w:t>)</w:t>
      </w:r>
      <w:r w:rsidRPr="00416E9E">
        <w:rPr>
          <w:rFonts w:asciiTheme="minorHAnsi" w:hAnsiTheme="minorHAnsi" w:cstheme="minorHAnsi"/>
          <w:sz w:val="20"/>
          <w:szCs w:val="20"/>
        </w:rPr>
        <w:t xml:space="preserve">. </w:t>
      </w:r>
    </w:p>
    <w:p w14:paraId="47E10D72" w14:textId="674B2F1E" w:rsidR="006B3BE6" w:rsidRPr="003F5468" w:rsidRDefault="006B3BE6" w:rsidP="00825BD3">
      <w:pPr>
        <w:pStyle w:val="ListParagraph"/>
        <w:widowControl w:val="0"/>
        <w:numPr>
          <w:ilvl w:val="1"/>
          <w:numId w:val="37"/>
        </w:numPr>
        <w:autoSpaceDE w:val="0"/>
        <w:autoSpaceDN w:val="0"/>
        <w:adjustRightInd w:val="0"/>
        <w:spacing w:line="360" w:lineRule="auto"/>
        <w:jc w:val="both"/>
        <w:rPr>
          <w:rFonts w:asciiTheme="minorHAnsi" w:hAnsiTheme="minorHAnsi" w:cstheme="minorHAnsi"/>
          <w:sz w:val="20"/>
          <w:szCs w:val="20"/>
        </w:rPr>
      </w:pPr>
      <w:r w:rsidRPr="003F5468">
        <w:rPr>
          <w:rFonts w:asciiTheme="minorHAnsi" w:hAnsiTheme="minorHAnsi" w:cstheme="minorHAnsi"/>
          <w:sz w:val="20"/>
          <w:szCs w:val="20"/>
        </w:rPr>
        <w:t xml:space="preserve">In particolare le LineeGuida </w:t>
      </w:r>
      <w:r w:rsidR="006A5106" w:rsidRPr="006A5106">
        <w:rPr>
          <w:rFonts w:asciiTheme="minorHAnsi" w:hAnsiTheme="minorHAnsi" w:cstheme="minorHAnsi"/>
          <w:sz w:val="20"/>
          <w:szCs w:val="20"/>
        </w:rPr>
        <w:t xml:space="preserve">European League Against Rheumatism </w:t>
      </w:r>
      <w:r w:rsidR="000430BB">
        <w:rPr>
          <w:rFonts w:asciiTheme="minorHAnsi" w:hAnsiTheme="minorHAnsi" w:cstheme="minorHAnsi"/>
          <w:sz w:val="20"/>
          <w:szCs w:val="20"/>
        </w:rPr>
        <w:t>(</w:t>
      </w:r>
      <w:r w:rsidRPr="003F5468">
        <w:rPr>
          <w:rFonts w:asciiTheme="minorHAnsi" w:hAnsiTheme="minorHAnsi" w:cstheme="minorHAnsi"/>
          <w:sz w:val="20"/>
          <w:szCs w:val="20"/>
        </w:rPr>
        <w:t>EULAR</w:t>
      </w:r>
      <w:r w:rsidR="000430BB">
        <w:rPr>
          <w:rFonts w:asciiTheme="minorHAnsi" w:hAnsiTheme="minorHAnsi" w:cstheme="minorHAnsi"/>
          <w:sz w:val="20"/>
          <w:szCs w:val="20"/>
        </w:rPr>
        <w:t>)</w:t>
      </w:r>
      <w:r w:rsidR="003F5468" w:rsidRPr="003F5468">
        <w:rPr>
          <w:rFonts w:asciiTheme="minorHAnsi" w:hAnsiTheme="minorHAnsi" w:cstheme="minorHAnsi"/>
          <w:sz w:val="20"/>
          <w:szCs w:val="20"/>
        </w:rPr>
        <w:t>, di più recente pubblicazione</w:t>
      </w:r>
      <w:r w:rsidRPr="003F5468">
        <w:rPr>
          <w:rFonts w:asciiTheme="minorHAnsi" w:hAnsiTheme="minorHAnsi" w:cstheme="minorHAnsi"/>
          <w:sz w:val="20"/>
          <w:szCs w:val="20"/>
        </w:rPr>
        <w:t xml:space="preserve"> (</w:t>
      </w:r>
      <w:r w:rsidR="00E54BFE" w:rsidRPr="00490DB9">
        <w:rPr>
          <w:rFonts w:asciiTheme="minorHAnsi" w:hAnsiTheme="minorHAnsi" w:cstheme="minorHAnsi"/>
          <w:color w:val="0000FF"/>
          <w:sz w:val="20"/>
          <w:szCs w:val="20"/>
        </w:rPr>
        <w:t>Richette, 2016 (6)</w:t>
      </w:r>
      <w:r w:rsidRPr="003F5468">
        <w:rPr>
          <w:rFonts w:asciiTheme="minorHAnsi" w:hAnsiTheme="minorHAnsi" w:cstheme="minorHAnsi"/>
          <w:sz w:val="20"/>
          <w:szCs w:val="20"/>
        </w:rPr>
        <w:t xml:space="preserve">) </w:t>
      </w:r>
      <w:r w:rsidR="003F5468" w:rsidRPr="003F5468">
        <w:rPr>
          <w:rFonts w:asciiTheme="minorHAnsi" w:hAnsiTheme="minorHAnsi" w:cstheme="minorHAnsi"/>
          <w:sz w:val="20"/>
          <w:szCs w:val="20"/>
        </w:rPr>
        <w:t xml:space="preserve">e </w:t>
      </w:r>
      <w:r w:rsidRPr="003F5468">
        <w:rPr>
          <w:rFonts w:asciiTheme="minorHAnsi" w:hAnsiTheme="minorHAnsi" w:cstheme="minorHAnsi"/>
          <w:sz w:val="20"/>
          <w:szCs w:val="20"/>
        </w:rPr>
        <w:t>in fase di recepimento dalle Linee Guida SIR</w:t>
      </w:r>
      <w:r w:rsidR="00416E9E" w:rsidRPr="003F5468">
        <w:rPr>
          <w:rFonts w:asciiTheme="minorHAnsi" w:hAnsiTheme="minorHAnsi" w:cstheme="minorHAnsi"/>
          <w:sz w:val="20"/>
          <w:szCs w:val="20"/>
        </w:rPr>
        <w:t xml:space="preserve"> (</w:t>
      </w:r>
      <w:r w:rsidR="00416E9E" w:rsidRPr="00490DB9">
        <w:rPr>
          <w:rFonts w:asciiTheme="minorHAnsi" w:hAnsiTheme="minorHAnsi" w:cstheme="minorHAnsi"/>
          <w:color w:val="0000FF"/>
          <w:sz w:val="20"/>
          <w:szCs w:val="20"/>
        </w:rPr>
        <w:t>Manara, 2013 (7)</w:t>
      </w:r>
      <w:r w:rsidR="00416E9E" w:rsidRPr="003F5468">
        <w:rPr>
          <w:rFonts w:asciiTheme="minorHAnsi" w:hAnsiTheme="minorHAnsi" w:cstheme="minorHAnsi"/>
          <w:sz w:val="20"/>
          <w:szCs w:val="20"/>
        </w:rPr>
        <w:t xml:space="preserve">) </w:t>
      </w:r>
      <w:r w:rsidR="003F5468">
        <w:rPr>
          <w:rFonts w:asciiTheme="minorHAnsi" w:hAnsiTheme="minorHAnsi" w:cstheme="minorHAnsi"/>
          <w:sz w:val="20"/>
          <w:szCs w:val="20"/>
        </w:rPr>
        <w:t>raccomandano</w:t>
      </w:r>
      <w:r w:rsidR="003F5468" w:rsidRPr="003F5468">
        <w:rPr>
          <w:rFonts w:asciiTheme="minorHAnsi" w:hAnsiTheme="minorHAnsi" w:cstheme="minorHAnsi"/>
          <w:sz w:val="20"/>
          <w:szCs w:val="20"/>
        </w:rPr>
        <w:t xml:space="preserve"> come </w:t>
      </w:r>
      <w:r w:rsidR="003F5468" w:rsidRPr="0014755E">
        <w:rPr>
          <w:rFonts w:asciiTheme="minorHAnsi" w:hAnsiTheme="minorHAnsi" w:cstheme="minorHAnsi"/>
          <w:b/>
          <w:sz w:val="20"/>
          <w:szCs w:val="20"/>
        </w:rPr>
        <w:t>trattamento di prima linea</w:t>
      </w:r>
      <w:r w:rsidR="005B44B6" w:rsidRPr="0014755E">
        <w:rPr>
          <w:rFonts w:asciiTheme="minorHAnsi" w:hAnsiTheme="minorHAnsi" w:cstheme="minorHAnsi"/>
          <w:b/>
          <w:sz w:val="20"/>
          <w:szCs w:val="20"/>
        </w:rPr>
        <w:t xml:space="preserve"> </w:t>
      </w:r>
      <w:r w:rsidRPr="0014755E">
        <w:rPr>
          <w:rFonts w:asciiTheme="minorHAnsi" w:hAnsiTheme="minorHAnsi" w:cstheme="minorHAnsi"/>
          <w:sz w:val="20"/>
          <w:szCs w:val="20"/>
        </w:rPr>
        <w:t xml:space="preserve">l’allopurinolo </w:t>
      </w:r>
      <w:r w:rsidR="00416E9E" w:rsidRPr="003F5468">
        <w:rPr>
          <w:rFonts w:asciiTheme="minorHAnsi" w:hAnsiTheme="minorHAnsi" w:cstheme="minorHAnsi"/>
          <w:sz w:val="20"/>
          <w:szCs w:val="20"/>
        </w:rPr>
        <w:t>(XOI)</w:t>
      </w:r>
      <w:r w:rsidRPr="003F5468">
        <w:rPr>
          <w:rFonts w:asciiTheme="minorHAnsi" w:hAnsiTheme="minorHAnsi" w:cstheme="minorHAnsi"/>
          <w:sz w:val="20"/>
          <w:szCs w:val="20"/>
        </w:rPr>
        <w:t xml:space="preserve">; all’inizio deve essere utilizzato un basso dosaggio (100 mg/die), con titolazione di ulteriori 100 mg ogni 2-4 settimane </w:t>
      </w:r>
      <w:r w:rsidR="00531BFC" w:rsidRPr="00531BFC">
        <w:rPr>
          <w:rFonts w:asciiTheme="minorHAnsi" w:hAnsiTheme="minorHAnsi" w:cstheme="minorHAnsi"/>
          <w:sz w:val="20"/>
          <w:szCs w:val="20"/>
        </w:rPr>
        <w:t xml:space="preserve">(fino al dosaggio massimo consentito) </w:t>
      </w:r>
      <w:r w:rsidRPr="003F5468">
        <w:rPr>
          <w:rFonts w:asciiTheme="minorHAnsi" w:hAnsiTheme="minorHAnsi" w:cstheme="minorHAnsi"/>
          <w:sz w:val="20"/>
          <w:szCs w:val="20"/>
        </w:rPr>
        <w:t>fino al raggiungimento del target uricemico</w:t>
      </w:r>
      <w:r w:rsidR="005B44B6">
        <w:rPr>
          <w:rFonts w:asciiTheme="minorHAnsi" w:hAnsiTheme="minorHAnsi" w:cstheme="minorHAnsi"/>
          <w:sz w:val="20"/>
          <w:szCs w:val="20"/>
        </w:rPr>
        <w:t xml:space="preserve"> (sUA &lt; 6mg/dl)</w:t>
      </w:r>
      <w:r w:rsidRPr="003F5468">
        <w:rPr>
          <w:rFonts w:asciiTheme="minorHAnsi" w:hAnsiTheme="minorHAnsi" w:cstheme="minorHAnsi"/>
          <w:sz w:val="20"/>
          <w:szCs w:val="20"/>
        </w:rPr>
        <w:t xml:space="preserve">. </w:t>
      </w:r>
    </w:p>
    <w:p w14:paraId="3C5DD10E" w14:textId="2A356323" w:rsidR="00416E9E" w:rsidRPr="00416E9E" w:rsidRDefault="006B3BE6" w:rsidP="00825BD3">
      <w:pPr>
        <w:pStyle w:val="ListParagraph"/>
        <w:widowControl w:val="0"/>
        <w:numPr>
          <w:ilvl w:val="1"/>
          <w:numId w:val="37"/>
        </w:numPr>
        <w:autoSpaceDE w:val="0"/>
        <w:autoSpaceDN w:val="0"/>
        <w:adjustRightInd w:val="0"/>
        <w:spacing w:line="360" w:lineRule="auto"/>
        <w:jc w:val="both"/>
        <w:rPr>
          <w:rFonts w:asciiTheme="minorHAnsi" w:hAnsiTheme="minorHAnsi" w:cstheme="minorHAnsi"/>
          <w:sz w:val="20"/>
          <w:szCs w:val="20"/>
        </w:rPr>
      </w:pPr>
      <w:r w:rsidRPr="00416E9E">
        <w:rPr>
          <w:rFonts w:asciiTheme="minorHAnsi" w:hAnsiTheme="minorHAnsi" w:cstheme="minorHAnsi"/>
          <w:sz w:val="20"/>
          <w:szCs w:val="20"/>
        </w:rPr>
        <w:t xml:space="preserve">Come </w:t>
      </w:r>
      <w:r w:rsidRPr="00CD1C33">
        <w:rPr>
          <w:rFonts w:asciiTheme="minorHAnsi" w:hAnsiTheme="minorHAnsi" w:cstheme="minorHAnsi"/>
          <w:b/>
          <w:sz w:val="20"/>
          <w:szCs w:val="20"/>
        </w:rPr>
        <w:t>trattamento</w:t>
      </w:r>
      <w:r w:rsidR="003F5468">
        <w:rPr>
          <w:rFonts w:asciiTheme="minorHAnsi" w:hAnsiTheme="minorHAnsi" w:cstheme="minorHAnsi"/>
          <w:b/>
          <w:sz w:val="20"/>
          <w:szCs w:val="20"/>
        </w:rPr>
        <w:t xml:space="preserve"> di seconda linea</w:t>
      </w:r>
      <w:r w:rsidRPr="00416E9E">
        <w:rPr>
          <w:rFonts w:asciiTheme="minorHAnsi" w:hAnsiTheme="minorHAnsi" w:cstheme="minorHAnsi"/>
          <w:sz w:val="20"/>
          <w:szCs w:val="20"/>
        </w:rPr>
        <w:t>:</w:t>
      </w:r>
    </w:p>
    <w:p w14:paraId="57E507A7" w14:textId="5DB708ED" w:rsidR="00416E9E" w:rsidRPr="00416E9E" w:rsidRDefault="006B3BE6" w:rsidP="00825BD3">
      <w:pPr>
        <w:pStyle w:val="ListParagraph"/>
        <w:widowControl w:val="0"/>
        <w:numPr>
          <w:ilvl w:val="2"/>
          <w:numId w:val="18"/>
        </w:numPr>
        <w:autoSpaceDE w:val="0"/>
        <w:autoSpaceDN w:val="0"/>
        <w:adjustRightInd w:val="0"/>
        <w:spacing w:line="360" w:lineRule="auto"/>
        <w:jc w:val="both"/>
        <w:rPr>
          <w:rFonts w:cstheme="minorHAnsi"/>
          <w:sz w:val="20"/>
          <w:szCs w:val="20"/>
        </w:rPr>
      </w:pPr>
      <w:r w:rsidRPr="00416E9E">
        <w:rPr>
          <w:rFonts w:asciiTheme="minorHAnsi" w:hAnsiTheme="minorHAnsi" w:cstheme="minorHAnsi"/>
          <w:sz w:val="20"/>
          <w:szCs w:val="20"/>
        </w:rPr>
        <w:t xml:space="preserve">in caso di </w:t>
      </w:r>
      <w:r w:rsidRPr="0014755E">
        <w:rPr>
          <w:rFonts w:asciiTheme="minorHAnsi" w:hAnsiTheme="minorHAnsi" w:cstheme="minorHAnsi"/>
          <w:i/>
          <w:sz w:val="20"/>
          <w:szCs w:val="20"/>
          <w:u w:val="single"/>
        </w:rPr>
        <w:t>inefficacia di allopurinolo in monoterapia</w:t>
      </w:r>
      <w:r w:rsidRPr="00416E9E">
        <w:rPr>
          <w:rFonts w:asciiTheme="minorHAnsi" w:hAnsiTheme="minorHAnsi" w:cstheme="minorHAnsi"/>
          <w:sz w:val="20"/>
          <w:szCs w:val="20"/>
        </w:rPr>
        <w:t xml:space="preserve"> (nel controllare i livelli sUA) si raccomanda:</w:t>
      </w:r>
      <w:r w:rsidR="00920372">
        <w:rPr>
          <w:rFonts w:asciiTheme="minorHAnsi" w:hAnsiTheme="minorHAnsi" w:cstheme="minorHAnsi"/>
          <w:sz w:val="20"/>
          <w:szCs w:val="20"/>
        </w:rPr>
        <w:t xml:space="preserve"> </w:t>
      </w:r>
    </w:p>
    <w:p w14:paraId="4ED1FEE4" w14:textId="0769BE57" w:rsidR="006B3BE6" w:rsidRPr="007F281C" w:rsidRDefault="006B3BE6" w:rsidP="00825BD3">
      <w:pPr>
        <w:pStyle w:val="ListParagraph"/>
        <w:widowControl w:val="0"/>
        <w:numPr>
          <w:ilvl w:val="3"/>
          <w:numId w:val="18"/>
        </w:numPr>
        <w:autoSpaceDE w:val="0"/>
        <w:autoSpaceDN w:val="0"/>
        <w:adjustRightInd w:val="0"/>
        <w:spacing w:line="360" w:lineRule="auto"/>
        <w:jc w:val="both"/>
        <w:rPr>
          <w:rFonts w:asciiTheme="minorHAnsi" w:hAnsiTheme="minorHAnsi" w:cstheme="minorHAnsi"/>
          <w:sz w:val="20"/>
          <w:szCs w:val="20"/>
        </w:rPr>
      </w:pPr>
      <w:r w:rsidRPr="00920372">
        <w:rPr>
          <w:rFonts w:asciiTheme="minorHAnsi" w:hAnsiTheme="minorHAnsi" w:cstheme="minorHAnsi"/>
          <w:sz w:val="20"/>
          <w:szCs w:val="20"/>
        </w:rPr>
        <w:t>l’aggiunta ad allopurinolo di un farmaco uricosurico</w:t>
      </w:r>
      <w:r w:rsidR="00FA6536" w:rsidRPr="00920372">
        <w:rPr>
          <w:rFonts w:asciiTheme="minorHAnsi" w:hAnsiTheme="minorHAnsi" w:cstheme="minorHAnsi"/>
          <w:sz w:val="20"/>
          <w:szCs w:val="20"/>
        </w:rPr>
        <w:t xml:space="preserve"> (l’unico uricosurico disponibile in Italia </w:t>
      </w:r>
      <w:r w:rsidR="00FA6536" w:rsidRPr="003F5468">
        <w:rPr>
          <w:rFonts w:asciiTheme="minorHAnsi" w:hAnsiTheme="minorHAnsi" w:cstheme="minorHAnsi"/>
          <w:sz w:val="20"/>
          <w:szCs w:val="20"/>
        </w:rPr>
        <w:t>è lesinurad)</w:t>
      </w:r>
      <w:r w:rsidR="00920372" w:rsidRPr="003F5468">
        <w:rPr>
          <w:rFonts w:asciiTheme="minorHAnsi" w:hAnsiTheme="minorHAnsi" w:cstheme="minorHAnsi"/>
          <w:sz w:val="20"/>
          <w:szCs w:val="20"/>
        </w:rPr>
        <w:t xml:space="preserve">, </w:t>
      </w:r>
      <w:r w:rsidRPr="007F281C">
        <w:rPr>
          <w:rFonts w:asciiTheme="minorHAnsi" w:hAnsiTheme="minorHAnsi" w:cstheme="minorHAnsi"/>
          <w:sz w:val="20"/>
          <w:szCs w:val="20"/>
        </w:rPr>
        <w:t>lo switch a febuxostat</w:t>
      </w:r>
      <w:r w:rsidR="00CD1C33" w:rsidRPr="007F281C">
        <w:rPr>
          <w:rFonts w:asciiTheme="minorHAnsi" w:hAnsiTheme="minorHAnsi" w:cstheme="minorHAnsi"/>
          <w:sz w:val="20"/>
          <w:szCs w:val="20"/>
        </w:rPr>
        <w:t xml:space="preserve"> (XOI)</w:t>
      </w:r>
      <w:r w:rsidRPr="007F281C">
        <w:rPr>
          <w:rFonts w:asciiTheme="minorHAnsi" w:hAnsiTheme="minorHAnsi" w:cstheme="minorHAnsi"/>
          <w:sz w:val="20"/>
          <w:szCs w:val="20"/>
        </w:rPr>
        <w:t xml:space="preserve"> in monoterapia (80-120 mg/die)</w:t>
      </w:r>
      <w:r w:rsidR="00920372" w:rsidRPr="007F281C">
        <w:rPr>
          <w:rFonts w:asciiTheme="minorHAnsi" w:hAnsiTheme="minorHAnsi" w:cstheme="minorHAnsi"/>
          <w:sz w:val="20"/>
          <w:szCs w:val="20"/>
        </w:rPr>
        <w:t xml:space="preserve"> oppure</w:t>
      </w:r>
      <w:r w:rsidR="005B44B6" w:rsidRPr="007F281C">
        <w:rPr>
          <w:rFonts w:asciiTheme="minorHAnsi" w:hAnsiTheme="minorHAnsi" w:cstheme="minorHAnsi"/>
          <w:sz w:val="20"/>
          <w:szCs w:val="20"/>
        </w:rPr>
        <w:t xml:space="preserve"> </w:t>
      </w:r>
      <w:r w:rsidRPr="007F281C">
        <w:rPr>
          <w:rFonts w:asciiTheme="minorHAnsi" w:hAnsiTheme="minorHAnsi" w:cstheme="minorHAnsi"/>
          <w:sz w:val="20"/>
          <w:szCs w:val="20"/>
        </w:rPr>
        <w:t xml:space="preserve">lo switch ad un uricosurico </w:t>
      </w:r>
      <w:r w:rsidR="00C57973">
        <w:rPr>
          <w:rFonts w:asciiTheme="minorHAnsi" w:hAnsiTheme="minorHAnsi" w:cstheme="minorHAnsi"/>
          <w:sz w:val="20"/>
          <w:szCs w:val="20"/>
        </w:rPr>
        <w:t xml:space="preserve">in monoterapia </w:t>
      </w:r>
      <w:r w:rsidRPr="007F281C">
        <w:rPr>
          <w:rFonts w:asciiTheme="minorHAnsi" w:hAnsiTheme="minorHAnsi" w:cstheme="minorHAnsi"/>
          <w:sz w:val="20"/>
          <w:szCs w:val="20"/>
        </w:rPr>
        <w:t>(opzione da non considerare per l’Italia, dove l’unico uricosurico disponibile è lesinurad</w:t>
      </w:r>
      <w:r w:rsidR="00920372" w:rsidRPr="007F281C">
        <w:rPr>
          <w:rFonts w:asciiTheme="minorHAnsi" w:hAnsiTheme="minorHAnsi" w:cstheme="minorHAnsi"/>
          <w:sz w:val="20"/>
          <w:szCs w:val="20"/>
        </w:rPr>
        <w:t>, che deve essere somministrato in associazione</w:t>
      </w:r>
      <w:r w:rsidRPr="007F281C">
        <w:rPr>
          <w:rFonts w:asciiTheme="minorHAnsi" w:hAnsiTheme="minorHAnsi" w:cstheme="minorHAnsi"/>
          <w:sz w:val="20"/>
          <w:szCs w:val="20"/>
        </w:rPr>
        <w:t>)</w:t>
      </w:r>
    </w:p>
    <w:p w14:paraId="326311D0" w14:textId="77777777" w:rsidR="00FA6536" w:rsidRPr="00FA6536" w:rsidRDefault="006B3BE6" w:rsidP="00825BD3">
      <w:pPr>
        <w:pStyle w:val="ListParagraph"/>
        <w:widowControl w:val="0"/>
        <w:numPr>
          <w:ilvl w:val="2"/>
          <w:numId w:val="18"/>
        </w:numPr>
        <w:autoSpaceDE w:val="0"/>
        <w:autoSpaceDN w:val="0"/>
        <w:adjustRightInd w:val="0"/>
        <w:spacing w:line="360" w:lineRule="auto"/>
        <w:jc w:val="both"/>
        <w:rPr>
          <w:rFonts w:asciiTheme="minorHAnsi" w:hAnsiTheme="minorHAnsi" w:cstheme="minorHAnsi"/>
          <w:sz w:val="20"/>
          <w:szCs w:val="20"/>
        </w:rPr>
      </w:pPr>
      <w:r w:rsidRPr="00FA6536">
        <w:rPr>
          <w:rFonts w:asciiTheme="minorHAnsi" w:hAnsiTheme="minorHAnsi" w:cstheme="minorHAnsi"/>
          <w:sz w:val="20"/>
          <w:szCs w:val="20"/>
        </w:rPr>
        <w:t xml:space="preserve">in caso di </w:t>
      </w:r>
      <w:r w:rsidRPr="0014755E">
        <w:rPr>
          <w:rFonts w:asciiTheme="minorHAnsi" w:hAnsiTheme="minorHAnsi" w:cstheme="minorHAnsi"/>
          <w:i/>
          <w:sz w:val="20"/>
          <w:szCs w:val="20"/>
          <w:u w:val="single"/>
        </w:rPr>
        <w:t>intolleranza ad allopurinolo</w:t>
      </w:r>
      <w:r w:rsidRPr="00FA6536">
        <w:rPr>
          <w:rFonts w:asciiTheme="minorHAnsi" w:hAnsiTheme="minorHAnsi" w:cstheme="minorHAnsi"/>
          <w:sz w:val="20"/>
          <w:szCs w:val="20"/>
        </w:rPr>
        <w:t xml:space="preserve"> si raccomanda:</w:t>
      </w:r>
    </w:p>
    <w:p w14:paraId="638F8FE9" w14:textId="1DAF1435" w:rsidR="006B3BE6" w:rsidRPr="00FA6536" w:rsidRDefault="006B3BE6" w:rsidP="00825BD3">
      <w:pPr>
        <w:pStyle w:val="ListParagraph"/>
        <w:widowControl w:val="0"/>
        <w:numPr>
          <w:ilvl w:val="3"/>
          <w:numId w:val="18"/>
        </w:numPr>
        <w:autoSpaceDE w:val="0"/>
        <w:autoSpaceDN w:val="0"/>
        <w:adjustRightInd w:val="0"/>
        <w:spacing w:line="360" w:lineRule="auto"/>
        <w:jc w:val="both"/>
        <w:rPr>
          <w:rFonts w:asciiTheme="minorHAnsi" w:hAnsiTheme="minorHAnsi" w:cstheme="minorHAnsi"/>
          <w:sz w:val="20"/>
          <w:szCs w:val="20"/>
        </w:rPr>
      </w:pPr>
      <w:r w:rsidRPr="00FA6536">
        <w:rPr>
          <w:rFonts w:asciiTheme="minorHAnsi" w:hAnsiTheme="minorHAnsi" w:cstheme="minorHAnsi"/>
          <w:sz w:val="20"/>
          <w:szCs w:val="20"/>
        </w:rPr>
        <w:t xml:space="preserve"> lo switch a febuxostat in monoterapia</w:t>
      </w:r>
      <w:r w:rsidRPr="007F281C">
        <w:rPr>
          <w:rFonts w:asciiTheme="minorHAnsi" w:hAnsiTheme="minorHAnsi" w:cstheme="minorHAnsi"/>
          <w:sz w:val="20"/>
          <w:szCs w:val="20"/>
        </w:rPr>
        <w:t xml:space="preserve"> </w:t>
      </w:r>
      <w:r w:rsidRPr="00FA6536">
        <w:rPr>
          <w:rFonts w:asciiTheme="minorHAnsi" w:hAnsiTheme="minorHAnsi" w:cstheme="minorHAnsi"/>
          <w:sz w:val="20"/>
          <w:szCs w:val="20"/>
        </w:rPr>
        <w:t>(80-120 mg/die)</w:t>
      </w:r>
    </w:p>
    <w:p w14:paraId="56C3562A" w14:textId="10BE0A7C" w:rsidR="006B3BE6" w:rsidRPr="007F281C" w:rsidRDefault="00FA6536" w:rsidP="00825BD3">
      <w:pPr>
        <w:numPr>
          <w:ilvl w:val="1"/>
          <w:numId w:val="37"/>
        </w:numPr>
        <w:spacing w:line="360" w:lineRule="auto"/>
        <w:rPr>
          <w:rFonts w:eastAsia="Times New Roman" w:cstheme="minorHAnsi"/>
          <w:sz w:val="20"/>
          <w:szCs w:val="20"/>
          <w:lang w:eastAsia="it-IT"/>
        </w:rPr>
      </w:pPr>
      <w:r w:rsidRPr="007F281C">
        <w:rPr>
          <w:rFonts w:eastAsia="Times New Roman" w:cstheme="minorHAnsi"/>
          <w:sz w:val="20"/>
          <w:szCs w:val="20"/>
          <w:lang w:eastAsia="it-IT"/>
        </w:rPr>
        <w:t>i</w:t>
      </w:r>
      <w:r w:rsidR="006B3BE6" w:rsidRPr="007F281C">
        <w:rPr>
          <w:rFonts w:eastAsia="Times New Roman" w:cstheme="minorHAnsi"/>
          <w:sz w:val="20"/>
          <w:szCs w:val="20"/>
          <w:lang w:eastAsia="it-IT"/>
        </w:rPr>
        <w:t xml:space="preserve">n caso di </w:t>
      </w:r>
      <w:r w:rsidR="006B3BE6" w:rsidRPr="0014755E">
        <w:rPr>
          <w:rFonts w:eastAsia="Times New Roman" w:cstheme="minorHAnsi"/>
          <w:i/>
          <w:sz w:val="20"/>
          <w:szCs w:val="20"/>
          <w:u w:val="single"/>
          <w:lang w:eastAsia="it-IT"/>
        </w:rPr>
        <w:t>fallimento delle opzioni di trattamento di seconda linea</w:t>
      </w:r>
      <w:r w:rsidR="006B3BE6" w:rsidRPr="007F281C">
        <w:rPr>
          <w:rFonts w:eastAsia="Times New Roman" w:cstheme="minorHAnsi"/>
          <w:sz w:val="20"/>
          <w:szCs w:val="20"/>
          <w:lang w:eastAsia="it-IT"/>
        </w:rPr>
        <w:t xml:space="preserve"> è prevista l’associazione di uno XOI (febuxostat) ad un uricosurico (ovvero lesinurad</w:t>
      </w:r>
      <w:r w:rsidRPr="007F281C">
        <w:rPr>
          <w:rFonts w:eastAsia="Times New Roman" w:cstheme="minorHAnsi"/>
          <w:sz w:val="20"/>
          <w:szCs w:val="20"/>
          <w:lang w:eastAsia="it-IT"/>
        </w:rPr>
        <w:t xml:space="preserve"> per l’Italia</w:t>
      </w:r>
      <w:r w:rsidR="006B3BE6" w:rsidRPr="007F281C">
        <w:rPr>
          <w:rFonts w:eastAsia="Times New Roman" w:cstheme="minorHAnsi"/>
          <w:sz w:val="20"/>
          <w:szCs w:val="20"/>
          <w:lang w:eastAsia="it-IT"/>
        </w:rPr>
        <w:t>).</w:t>
      </w:r>
    </w:p>
    <w:p w14:paraId="5754EC5A" w14:textId="5A0AF1A0" w:rsidR="00CD1C33" w:rsidRDefault="00CD1C33" w:rsidP="00825BD3">
      <w:pPr>
        <w:numPr>
          <w:ilvl w:val="0"/>
          <w:numId w:val="37"/>
        </w:numPr>
        <w:spacing w:line="360" w:lineRule="auto"/>
        <w:rPr>
          <w:rFonts w:cs="Arial"/>
          <w:sz w:val="20"/>
          <w:szCs w:val="20"/>
        </w:rPr>
      </w:pPr>
      <w:r w:rsidRPr="006B3BE6">
        <w:rPr>
          <w:rFonts w:cs="Arial"/>
          <w:sz w:val="20"/>
          <w:szCs w:val="20"/>
        </w:rPr>
        <w:t>Le principali Linee Guida internazionali (</w:t>
      </w:r>
      <w:r w:rsidR="00C57973">
        <w:rPr>
          <w:rFonts w:cs="Arial"/>
          <w:color w:val="0000FF"/>
          <w:sz w:val="20"/>
          <w:szCs w:val="20"/>
        </w:rPr>
        <w:t>Richette</w:t>
      </w:r>
      <w:r w:rsidR="00F114DC">
        <w:rPr>
          <w:rFonts w:cs="Arial"/>
          <w:color w:val="0000FF"/>
          <w:sz w:val="20"/>
          <w:szCs w:val="20"/>
        </w:rPr>
        <w:t>, 2016 (6)</w:t>
      </w:r>
      <w:r w:rsidRPr="006B3BE6">
        <w:rPr>
          <w:rFonts w:cs="Arial"/>
          <w:color w:val="0000FF"/>
          <w:sz w:val="20"/>
          <w:szCs w:val="20"/>
        </w:rPr>
        <w:t xml:space="preserve">; </w:t>
      </w:r>
      <w:r w:rsidR="00490DB9" w:rsidRPr="00416E9E">
        <w:rPr>
          <w:rFonts w:cstheme="minorHAnsi"/>
          <w:color w:val="0000FF"/>
          <w:sz w:val="20"/>
          <w:szCs w:val="20"/>
        </w:rPr>
        <w:t>Manara, 2013 (7</w:t>
      </w:r>
      <w:r w:rsidR="00490DB9" w:rsidRPr="00416E9E">
        <w:rPr>
          <w:rFonts w:cstheme="minorHAnsi"/>
          <w:sz w:val="20"/>
          <w:szCs w:val="20"/>
        </w:rPr>
        <w:t>)</w:t>
      </w:r>
      <w:r w:rsidR="00490DB9">
        <w:rPr>
          <w:rFonts w:cstheme="minorHAnsi"/>
          <w:sz w:val="20"/>
          <w:szCs w:val="20"/>
        </w:rPr>
        <w:t xml:space="preserve">; </w:t>
      </w:r>
      <w:r w:rsidR="00F114DC">
        <w:rPr>
          <w:rFonts w:cs="Arial"/>
          <w:color w:val="0000FF"/>
          <w:sz w:val="20"/>
          <w:szCs w:val="20"/>
        </w:rPr>
        <w:t>K</w:t>
      </w:r>
      <w:r w:rsidR="00C57973">
        <w:rPr>
          <w:rFonts w:cs="Arial"/>
          <w:color w:val="0000FF"/>
          <w:sz w:val="20"/>
          <w:szCs w:val="20"/>
        </w:rPr>
        <w:t>hanna</w:t>
      </w:r>
      <w:r w:rsidR="00F114DC">
        <w:rPr>
          <w:rFonts w:cs="Arial"/>
          <w:color w:val="0000FF"/>
          <w:sz w:val="20"/>
          <w:szCs w:val="20"/>
        </w:rPr>
        <w:t>, 2012 (96)</w:t>
      </w:r>
      <w:r w:rsidRPr="006B3BE6">
        <w:rPr>
          <w:rFonts w:cs="Arial"/>
          <w:color w:val="0000FF"/>
          <w:sz w:val="20"/>
          <w:szCs w:val="20"/>
        </w:rPr>
        <w:t xml:space="preserve">, </w:t>
      </w:r>
      <w:r w:rsidR="00E63B51">
        <w:rPr>
          <w:rFonts w:cs="Arial"/>
          <w:color w:val="0000FF"/>
          <w:sz w:val="20"/>
          <w:szCs w:val="20"/>
        </w:rPr>
        <w:t>Jordan</w:t>
      </w:r>
      <w:r w:rsidR="00EC3329">
        <w:rPr>
          <w:rFonts w:cs="Arial"/>
          <w:color w:val="0000FF"/>
          <w:sz w:val="20"/>
          <w:szCs w:val="20"/>
        </w:rPr>
        <w:t>, 2007 (97</w:t>
      </w:r>
      <w:r w:rsidR="00156E01">
        <w:rPr>
          <w:rFonts w:cs="Arial"/>
          <w:color w:val="0000FF"/>
          <w:sz w:val="20"/>
          <w:szCs w:val="20"/>
        </w:rPr>
        <w:t>)</w:t>
      </w:r>
      <w:r w:rsidR="00920372">
        <w:rPr>
          <w:rFonts w:cstheme="minorHAnsi"/>
          <w:sz w:val="20"/>
          <w:szCs w:val="20"/>
        </w:rPr>
        <w:t>)</w:t>
      </w:r>
      <w:r w:rsidRPr="006B3BE6">
        <w:rPr>
          <w:rFonts w:cs="Arial"/>
          <w:sz w:val="20"/>
          <w:szCs w:val="20"/>
        </w:rPr>
        <w:t xml:space="preserve"> e diverse pubblicazioni supportano </w:t>
      </w:r>
      <w:r w:rsidRPr="00CD1C33">
        <w:rPr>
          <w:rFonts w:cs="Arial"/>
          <w:b/>
          <w:sz w:val="20"/>
          <w:szCs w:val="20"/>
        </w:rPr>
        <w:t>l’utilizzo dei livelli di sUA come marker dei benefici clinici nel trattamento e nella gestione della gotta</w:t>
      </w:r>
      <w:r w:rsidRPr="006B3BE6">
        <w:rPr>
          <w:rFonts w:cs="Arial"/>
          <w:sz w:val="20"/>
          <w:szCs w:val="20"/>
        </w:rPr>
        <w:t xml:space="preserve"> (</w:t>
      </w:r>
      <w:r w:rsidRPr="006B3BE6">
        <w:rPr>
          <w:rFonts w:cs="Arial"/>
          <w:color w:val="0000FF"/>
          <w:sz w:val="20"/>
          <w:szCs w:val="20"/>
        </w:rPr>
        <w:t xml:space="preserve">Becker, 2009 (37); </w:t>
      </w:r>
      <w:r w:rsidR="0087651E">
        <w:rPr>
          <w:rFonts w:cs="Arial"/>
          <w:color w:val="0000FF"/>
          <w:sz w:val="20"/>
          <w:szCs w:val="20"/>
        </w:rPr>
        <w:t>Li-Yu, 2001 (112</w:t>
      </w:r>
      <w:r w:rsidR="008E6BDD">
        <w:rPr>
          <w:rFonts w:cs="Arial"/>
          <w:color w:val="0000FF"/>
          <w:sz w:val="20"/>
          <w:szCs w:val="20"/>
        </w:rPr>
        <w:t>)</w:t>
      </w:r>
      <w:r w:rsidRPr="006B3BE6">
        <w:rPr>
          <w:rFonts w:cs="Arial"/>
          <w:color w:val="0000FF"/>
          <w:sz w:val="20"/>
          <w:szCs w:val="20"/>
        </w:rPr>
        <w:t xml:space="preserve">; </w:t>
      </w:r>
      <w:r w:rsidR="00231A40">
        <w:rPr>
          <w:rFonts w:cs="Arial"/>
          <w:color w:val="0000FF"/>
          <w:sz w:val="20"/>
          <w:szCs w:val="20"/>
        </w:rPr>
        <w:t>Shoji, 2004 (17)</w:t>
      </w:r>
      <w:r w:rsidRPr="006B3BE6">
        <w:rPr>
          <w:rFonts w:cs="Arial"/>
          <w:color w:val="0000FF"/>
          <w:sz w:val="20"/>
          <w:szCs w:val="20"/>
        </w:rPr>
        <w:t xml:space="preserve">; </w:t>
      </w:r>
      <w:r w:rsidR="0087651E">
        <w:rPr>
          <w:rFonts w:cs="Arial"/>
          <w:color w:val="0000FF"/>
          <w:sz w:val="20"/>
          <w:szCs w:val="20"/>
        </w:rPr>
        <w:t>Pascual, 2007 (113</w:t>
      </w:r>
      <w:r w:rsidR="00F64F56">
        <w:rPr>
          <w:rFonts w:cs="Arial"/>
          <w:color w:val="0000FF"/>
          <w:sz w:val="20"/>
          <w:szCs w:val="20"/>
        </w:rPr>
        <w:t>)</w:t>
      </w:r>
      <w:r w:rsidRPr="006B3BE6">
        <w:rPr>
          <w:rFonts w:cs="Arial"/>
          <w:color w:val="0000FF"/>
          <w:sz w:val="20"/>
          <w:szCs w:val="20"/>
        </w:rPr>
        <w:t xml:space="preserve">; </w:t>
      </w:r>
      <w:r w:rsidR="009752F0">
        <w:rPr>
          <w:rFonts w:cs="Arial"/>
          <w:color w:val="0000FF"/>
          <w:sz w:val="20"/>
          <w:szCs w:val="20"/>
        </w:rPr>
        <w:t>Perez-Ruiz</w:t>
      </w:r>
      <w:r w:rsidR="0087651E">
        <w:rPr>
          <w:rFonts w:cs="Arial"/>
          <w:color w:val="0000FF"/>
          <w:sz w:val="20"/>
          <w:szCs w:val="20"/>
        </w:rPr>
        <w:t>, 2002 (114</w:t>
      </w:r>
      <w:r w:rsidR="00F64F56">
        <w:rPr>
          <w:rFonts w:cs="Arial"/>
          <w:color w:val="0000FF"/>
          <w:sz w:val="20"/>
          <w:szCs w:val="20"/>
        </w:rPr>
        <w:t>)</w:t>
      </w:r>
      <w:r w:rsidRPr="006B3BE6">
        <w:rPr>
          <w:rFonts w:cs="Arial"/>
          <w:color w:val="0000FF"/>
          <w:sz w:val="20"/>
          <w:szCs w:val="20"/>
        </w:rPr>
        <w:t xml:space="preserve">; </w:t>
      </w:r>
      <w:r w:rsidR="00B200A7">
        <w:rPr>
          <w:rFonts w:cs="Arial"/>
          <w:color w:val="0000FF"/>
          <w:sz w:val="20"/>
          <w:szCs w:val="20"/>
        </w:rPr>
        <w:t>Campion, 1987 (115</w:t>
      </w:r>
      <w:r w:rsidR="00F64F56">
        <w:rPr>
          <w:rFonts w:cs="Arial"/>
          <w:color w:val="0000FF"/>
          <w:sz w:val="20"/>
          <w:szCs w:val="20"/>
        </w:rPr>
        <w:t>)</w:t>
      </w:r>
      <w:r w:rsidRPr="006B3BE6">
        <w:rPr>
          <w:rFonts w:cs="Arial"/>
          <w:color w:val="0000FF"/>
          <w:sz w:val="20"/>
          <w:szCs w:val="20"/>
        </w:rPr>
        <w:t>, Kiltz,2016</w:t>
      </w:r>
      <w:r w:rsidR="00BE397C">
        <w:rPr>
          <w:rFonts w:cs="Arial"/>
          <w:color w:val="0000FF"/>
          <w:sz w:val="20"/>
          <w:szCs w:val="20"/>
        </w:rPr>
        <w:t xml:space="preserve"> (167</w:t>
      </w:r>
      <w:r w:rsidRPr="006B3BE6">
        <w:rPr>
          <w:rFonts w:cs="Arial"/>
          <w:color w:val="0000FF"/>
          <w:sz w:val="20"/>
          <w:szCs w:val="20"/>
        </w:rPr>
        <w:t>)</w:t>
      </w:r>
      <w:r>
        <w:rPr>
          <w:rFonts w:cs="Arial"/>
          <w:sz w:val="20"/>
          <w:szCs w:val="20"/>
        </w:rPr>
        <w:t>)</w:t>
      </w:r>
      <w:r w:rsidRPr="006B3BE6">
        <w:rPr>
          <w:rFonts w:cs="Arial"/>
          <w:sz w:val="20"/>
          <w:szCs w:val="20"/>
        </w:rPr>
        <w:t>. Inoltre gli effetti dei livelli di sUA sugli outcome clinici rilevanti per la patologia (episodi infiammatori acuti (flares) e tofi) sono stati confermati attraverso una ricerca sistematica di letteratura i cui risultati dimostrano che valori di sUA ≥6 mg/dl sono associati ad un peggioramento degli outcome clinici di cui sopra (</w:t>
      </w:r>
      <w:r w:rsidR="00B200A7">
        <w:rPr>
          <w:rFonts w:cs="Arial"/>
          <w:color w:val="0000FF"/>
          <w:sz w:val="20"/>
          <w:szCs w:val="20"/>
        </w:rPr>
        <w:t>Grünenthal DOF, SLR, Settembre 2016 (116</w:t>
      </w:r>
      <w:r w:rsidR="00F64F56">
        <w:rPr>
          <w:rFonts w:cs="Arial"/>
          <w:color w:val="0000FF"/>
          <w:sz w:val="20"/>
          <w:szCs w:val="20"/>
        </w:rPr>
        <w:t>)</w:t>
      </w:r>
      <w:r w:rsidRPr="006B3BE6">
        <w:rPr>
          <w:rFonts w:cs="Arial"/>
          <w:sz w:val="20"/>
          <w:szCs w:val="20"/>
        </w:rPr>
        <w:t>)</w:t>
      </w:r>
      <w:r w:rsidR="009F1607">
        <w:rPr>
          <w:rFonts w:cs="Arial"/>
          <w:sz w:val="20"/>
          <w:szCs w:val="20"/>
        </w:rPr>
        <w:t>.</w:t>
      </w:r>
    </w:p>
    <w:p w14:paraId="5DFC91EF" w14:textId="12031008" w:rsidR="00CD1C33" w:rsidRDefault="00CD1C33" w:rsidP="00CD1C33">
      <w:pPr>
        <w:spacing w:line="360" w:lineRule="auto"/>
        <w:jc w:val="both"/>
        <w:rPr>
          <w:rFonts w:cs="Arial"/>
          <w:b/>
          <w:sz w:val="20"/>
          <w:szCs w:val="20"/>
          <w:u w:val="single"/>
        </w:rPr>
      </w:pPr>
      <w:r>
        <w:rPr>
          <w:rFonts w:cs="Arial"/>
          <w:b/>
          <w:sz w:val="20"/>
          <w:szCs w:val="20"/>
          <w:u w:val="single"/>
        </w:rPr>
        <w:t>Necessità terapeutica non risolta</w:t>
      </w:r>
    </w:p>
    <w:p w14:paraId="5FC94A47" w14:textId="2EB1DBFA" w:rsidR="00CD1C33" w:rsidRPr="00CD1C33" w:rsidRDefault="00CD1C33" w:rsidP="00825BD3">
      <w:pPr>
        <w:pStyle w:val="ListParagraph"/>
        <w:numPr>
          <w:ilvl w:val="0"/>
          <w:numId w:val="52"/>
        </w:numPr>
        <w:spacing w:line="360" w:lineRule="auto"/>
        <w:jc w:val="both"/>
        <w:rPr>
          <w:rFonts w:asciiTheme="minorHAnsi" w:hAnsiTheme="minorHAnsi" w:cstheme="minorHAnsi"/>
          <w:sz w:val="20"/>
          <w:szCs w:val="20"/>
        </w:rPr>
      </w:pPr>
      <w:r w:rsidRPr="00CD1C33">
        <w:rPr>
          <w:rFonts w:asciiTheme="minorHAnsi" w:hAnsiTheme="minorHAnsi" w:cstheme="minorHAnsi"/>
          <w:sz w:val="20"/>
          <w:szCs w:val="20"/>
        </w:rPr>
        <w:t>Gli XOI in monoterapia agiscono sulla sovraproduzione di acido urico ma non agiscono sulla inefficiente escrezione di acido urico, che è la principale causa di gotta</w:t>
      </w:r>
      <w:r w:rsidR="003F5468">
        <w:rPr>
          <w:rFonts w:asciiTheme="minorHAnsi" w:hAnsiTheme="minorHAnsi" w:cstheme="minorHAnsi"/>
          <w:sz w:val="20"/>
          <w:szCs w:val="20"/>
        </w:rPr>
        <w:t>, riscontrabile</w:t>
      </w:r>
      <w:r w:rsidRPr="00CD1C33">
        <w:rPr>
          <w:rFonts w:asciiTheme="minorHAnsi" w:hAnsiTheme="minorHAnsi" w:cstheme="minorHAnsi"/>
          <w:sz w:val="20"/>
          <w:szCs w:val="20"/>
        </w:rPr>
        <w:t xml:space="preserve"> nel</w:t>
      </w:r>
      <w:r w:rsidR="003F5468">
        <w:rPr>
          <w:rFonts w:asciiTheme="minorHAnsi" w:hAnsiTheme="minorHAnsi" w:cstheme="minorHAnsi"/>
          <w:sz w:val="20"/>
          <w:szCs w:val="20"/>
        </w:rPr>
        <w:t>l’</w:t>
      </w:r>
      <w:r w:rsidRPr="00CD1C33">
        <w:rPr>
          <w:rFonts w:asciiTheme="minorHAnsi" w:hAnsiTheme="minorHAnsi" w:cstheme="minorHAnsi"/>
          <w:sz w:val="20"/>
          <w:szCs w:val="20"/>
        </w:rPr>
        <w:t xml:space="preserve"> 80-90% dei pazienti (</w:t>
      </w:r>
      <w:r w:rsidR="0083674F">
        <w:rPr>
          <w:rFonts w:asciiTheme="minorHAnsi" w:hAnsiTheme="minorHAnsi" w:cstheme="minorHAnsi"/>
          <w:color w:val="0000FF"/>
          <w:sz w:val="20"/>
          <w:szCs w:val="20"/>
        </w:rPr>
        <w:t>Richette, 2010 (34)</w:t>
      </w:r>
      <w:r w:rsidR="00FA3A90">
        <w:rPr>
          <w:rFonts w:asciiTheme="minorHAnsi" w:hAnsiTheme="minorHAnsi" w:cstheme="minorHAnsi"/>
          <w:color w:val="0000FF"/>
          <w:sz w:val="20"/>
          <w:szCs w:val="20"/>
        </w:rPr>
        <w:t>; Boss, 1979 (35</w:t>
      </w:r>
      <w:r w:rsidRPr="00CD1C33">
        <w:rPr>
          <w:rFonts w:asciiTheme="minorHAnsi" w:hAnsiTheme="minorHAnsi" w:cstheme="minorHAnsi"/>
          <w:color w:val="0000FF"/>
          <w:sz w:val="20"/>
          <w:szCs w:val="20"/>
        </w:rPr>
        <w:t>)</w:t>
      </w:r>
      <w:r w:rsidRPr="00CD1C33">
        <w:rPr>
          <w:rFonts w:asciiTheme="minorHAnsi" w:hAnsiTheme="minorHAnsi" w:cstheme="minorHAnsi"/>
          <w:sz w:val="20"/>
          <w:szCs w:val="20"/>
        </w:rPr>
        <w:t xml:space="preserve">). </w:t>
      </w:r>
    </w:p>
    <w:p w14:paraId="60454DA8" w14:textId="68C24419" w:rsidR="00CD1C33" w:rsidRPr="00FA51BC" w:rsidRDefault="00CD1C33" w:rsidP="00825BD3">
      <w:pPr>
        <w:numPr>
          <w:ilvl w:val="0"/>
          <w:numId w:val="37"/>
        </w:numPr>
        <w:spacing w:line="360" w:lineRule="auto"/>
        <w:rPr>
          <w:rFonts w:cs="Arial"/>
          <w:sz w:val="20"/>
          <w:szCs w:val="20"/>
        </w:rPr>
      </w:pPr>
      <w:r w:rsidRPr="00CD1C33">
        <w:rPr>
          <w:rFonts w:cs="Arial"/>
          <w:b/>
          <w:sz w:val="20"/>
          <w:szCs w:val="20"/>
        </w:rPr>
        <w:t>Con le dosi comunemente utilizzate di XOI, più del 50% dei pazienti gottosi non raggiunge il livello target di sUA (&lt; 6.0 mg/dl)</w:t>
      </w:r>
      <w:r w:rsidRPr="00FA51BC">
        <w:rPr>
          <w:rFonts w:cs="Arial"/>
          <w:sz w:val="20"/>
          <w:szCs w:val="20"/>
        </w:rPr>
        <w:t xml:space="preserve"> (</w:t>
      </w:r>
      <w:r w:rsidR="00490DB9">
        <w:rPr>
          <w:rFonts w:cs="Arial"/>
          <w:color w:val="0000FF"/>
          <w:sz w:val="20"/>
          <w:szCs w:val="20"/>
        </w:rPr>
        <w:t>Becker, 2005 (36)</w:t>
      </w:r>
      <w:r w:rsidR="00490DB9" w:rsidRPr="00FA51BC">
        <w:rPr>
          <w:rFonts w:cs="Arial"/>
          <w:color w:val="0000FF"/>
          <w:sz w:val="20"/>
          <w:szCs w:val="20"/>
        </w:rPr>
        <w:t>;</w:t>
      </w:r>
      <w:r w:rsidR="00490DB9">
        <w:rPr>
          <w:rFonts w:cs="Arial"/>
          <w:color w:val="0000FF"/>
          <w:sz w:val="20"/>
          <w:szCs w:val="20"/>
        </w:rPr>
        <w:t xml:space="preserve"> </w:t>
      </w:r>
      <w:r w:rsidR="003F5468" w:rsidRPr="00BE397C">
        <w:rPr>
          <w:rFonts w:cs="Arial"/>
          <w:color w:val="0000FF"/>
          <w:sz w:val="20"/>
          <w:szCs w:val="20"/>
        </w:rPr>
        <w:t>Becker, 2009 (</w:t>
      </w:r>
      <w:r w:rsidR="003F5468" w:rsidRPr="00490DB9">
        <w:rPr>
          <w:rFonts w:cs="Arial"/>
          <w:color w:val="0000FF"/>
          <w:sz w:val="20"/>
          <w:szCs w:val="20"/>
        </w:rPr>
        <w:t>37);</w:t>
      </w:r>
      <w:r w:rsidR="003F5468">
        <w:rPr>
          <w:rFonts w:cs="Arial"/>
          <w:sz w:val="20"/>
          <w:szCs w:val="20"/>
        </w:rPr>
        <w:t xml:space="preserve"> </w:t>
      </w:r>
      <w:r w:rsidR="00563FA4">
        <w:rPr>
          <w:rFonts w:cs="Arial"/>
          <w:color w:val="0000FF"/>
          <w:sz w:val="20"/>
          <w:szCs w:val="20"/>
        </w:rPr>
        <w:t>Becker, 2010 (38)</w:t>
      </w:r>
      <w:r w:rsidRPr="00FA51BC">
        <w:rPr>
          <w:rFonts w:cs="Arial"/>
          <w:color w:val="0000FF"/>
          <w:sz w:val="20"/>
          <w:szCs w:val="20"/>
        </w:rPr>
        <w:t xml:space="preserve">; </w:t>
      </w:r>
      <w:r w:rsidR="00563FA4">
        <w:rPr>
          <w:rFonts w:cs="Arial"/>
          <w:color w:val="0000FF"/>
          <w:sz w:val="20"/>
          <w:szCs w:val="20"/>
        </w:rPr>
        <w:t>Schumacher, 2008 (39)</w:t>
      </w:r>
      <w:r w:rsidR="00490DB9">
        <w:rPr>
          <w:rFonts w:cs="Arial"/>
          <w:color w:val="0000FF"/>
          <w:sz w:val="20"/>
          <w:szCs w:val="20"/>
        </w:rPr>
        <w:t>; Becker, 2015 (40)</w:t>
      </w:r>
      <w:r w:rsidRPr="00FA51BC">
        <w:rPr>
          <w:rFonts w:cs="Arial"/>
          <w:sz w:val="20"/>
          <w:szCs w:val="20"/>
        </w:rPr>
        <w:t>).</w:t>
      </w:r>
    </w:p>
    <w:p w14:paraId="5DC120FD" w14:textId="0173353A" w:rsidR="00CD1C33" w:rsidRPr="00FA51BC" w:rsidRDefault="00CD1C33" w:rsidP="00825BD3">
      <w:pPr>
        <w:numPr>
          <w:ilvl w:val="0"/>
          <w:numId w:val="37"/>
        </w:numPr>
        <w:spacing w:line="360" w:lineRule="auto"/>
        <w:rPr>
          <w:rFonts w:cs="Arial"/>
          <w:sz w:val="20"/>
          <w:szCs w:val="20"/>
        </w:rPr>
      </w:pPr>
      <w:r w:rsidRPr="00FA51BC">
        <w:rPr>
          <w:rFonts w:cs="Arial"/>
          <w:sz w:val="20"/>
          <w:szCs w:val="20"/>
        </w:rPr>
        <w:t xml:space="preserve">Pur utilizzando dosaggi </w:t>
      </w:r>
      <w:r w:rsidRPr="00CD1C33">
        <w:rPr>
          <w:rFonts w:cs="Arial"/>
          <w:b/>
          <w:sz w:val="20"/>
          <w:szCs w:val="20"/>
        </w:rPr>
        <w:t>superiori</w:t>
      </w:r>
      <w:r w:rsidRPr="00FA51BC">
        <w:rPr>
          <w:rFonts w:cs="Arial"/>
          <w:sz w:val="20"/>
          <w:szCs w:val="20"/>
        </w:rPr>
        <w:t xml:space="preserve"> a quelli più comunemente utilizzati di allopurinolo (300 mg/die)</w:t>
      </w:r>
      <w:r w:rsidRPr="00474059">
        <w:rPr>
          <w:rFonts w:cs="Arial"/>
          <w:sz w:val="20"/>
          <w:szCs w:val="20"/>
        </w:rPr>
        <w:t xml:space="preserve"> </w:t>
      </w:r>
      <w:r w:rsidRPr="0096302C">
        <w:rPr>
          <w:rFonts w:cs="Arial"/>
          <w:sz w:val="20"/>
          <w:szCs w:val="20"/>
        </w:rPr>
        <w:t>e c</w:t>
      </w:r>
      <w:r>
        <w:rPr>
          <w:rFonts w:cs="Arial"/>
          <w:sz w:val="20"/>
          <w:szCs w:val="20"/>
        </w:rPr>
        <w:t>on un’aderenza alla terapia superiore al 96</w:t>
      </w:r>
      <w:r w:rsidRPr="0096302C">
        <w:rPr>
          <w:rFonts w:cs="Arial"/>
          <w:sz w:val="20"/>
          <w:szCs w:val="20"/>
        </w:rPr>
        <w:t>%</w:t>
      </w:r>
      <w:r>
        <w:rPr>
          <w:rFonts w:cs="Arial"/>
          <w:sz w:val="20"/>
          <w:szCs w:val="20"/>
        </w:rPr>
        <w:t>,</w:t>
      </w:r>
      <w:r w:rsidRPr="00FA51BC">
        <w:rPr>
          <w:rFonts w:cs="Arial"/>
          <w:sz w:val="20"/>
          <w:szCs w:val="20"/>
        </w:rPr>
        <w:t xml:space="preserve"> rimane comunque </w:t>
      </w:r>
      <w:r w:rsidRPr="00CD1C33">
        <w:rPr>
          <w:rFonts w:cs="Arial"/>
          <w:b/>
          <w:sz w:val="20"/>
          <w:szCs w:val="20"/>
        </w:rPr>
        <w:t>alta la percentuale di pazienti che non rispondono al trattamento</w:t>
      </w:r>
      <w:r w:rsidR="00C3077D">
        <w:rPr>
          <w:rFonts w:cs="Arial"/>
          <w:b/>
          <w:sz w:val="20"/>
          <w:szCs w:val="20"/>
        </w:rPr>
        <w:t>,</w:t>
      </w:r>
      <w:r w:rsidRPr="00FA51BC">
        <w:rPr>
          <w:rFonts w:cs="Arial"/>
          <w:sz w:val="20"/>
          <w:szCs w:val="20"/>
        </w:rPr>
        <w:t xml:space="preserve"> con il 52% dei pazienti che </w:t>
      </w:r>
      <w:r w:rsidR="00826DA8">
        <w:rPr>
          <w:rFonts w:cs="Arial"/>
          <w:sz w:val="20"/>
          <w:szCs w:val="20"/>
        </w:rPr>
        <w:t xml:space="preserve">non </w:t>
      </w:r>
      <w:r w:rsidRPr="00FA51BC">
        <w:rPr>
          <w:rFonts w:cs="Arial"/>
          <w:sz w:val="20"/>
          <w:szCs w:val="20"/>
        </w:rPr>
        <w:t xml:space="preserve">raggiungono il livello target di </w:t>
      </w:r>
      <w:r>
        <w:rPr>
          <w:rFonts w:cs="Arial"/>
          <w:sz w:val="20"/>
          <w:szCs w:val="20"/>
        </w:rPr>
        <w:t>sUA</w:t>
      </w:r>
      <w:r w:rsidRPr="00FA51BC">
        <w:rPr>
          <w:rFonts w:cs="Arial"/>
          <w:sz w:val="20"/>
          <w:szCs w:val="20"/>
        </w:rPr>
        <w:t xml:space="preserve"> (&lt;6.0 mg/dl) (</w:t>
      </w:r>
      <w:r w:rsidR="00563FA4">
        <w:rPr>
          <w:rFonts w:cs="Arial"/>
          <w:color w:val="0000FF"/>
          <w:sz w:val="20"/>
          <w:szCs w:val="20"/>
        </w:rPr>
        <w:t>Becker, 2015 (40)</w:t>
      </w:r>
      <w:r w:rsidRPr="00FA51BC">
        <w:rPr>
          <w:rFonts w:cs="Arial"/>
          <w:sz w:val="20"/>
          <w:szCs w:val="20"/>
        </w:rPr>
        <w:t>).</w:t>
      </w:r>
    </w:p>
    <w:p w14:paraId="551B6685" w14:textId="6CA2CC7B" w:rsidR="00CD1C33" w:rsidRDefault="00CD1C33" w:rsidP="00825BD3">
      <w:pPr>
        <w:numPr>
          <w:ilvl w:val="0"/>
          <w:numId w:val="37"/>
        </w:numPr>
        <w:spacing w:line="360" w:lineRule="auto"/>
        <w:rPr>
          <w:rFonts w:cs="Arial"/>
          <w:sz w:val="20"/>
          <w:szCs w:val="20"/>
        </w:rPr>
      </w:pPr>
      <w:r w:rsidRPr="00FA51BC">
        <w:rPr>
          <w:rFonts w:cs="Arial"/>
          <w:sz w:val="20"/>
          <w:szCs w:val="20"/>
        </w:rPr>
        <w:t xml:space="preserve">Una ricerca IMS commissionata da Grünenthal nel corso del 2016 ha evidenziato come il </w:t>
      </w:r>
      <w:r w:rsidR="0087637F">
        <w:rPr>
          <w:rFonts w:cs="Arial"/>
          <w:b/>
          <w:sz w:val="20"/>
          <w:szCs w:val="20"/>
        </w:rPr>
        <w:t>67,7</w:t>
      </w:r>
      <w:r w:rsidRPr="00CD1C33">
        <w:rPr>
          <w:rFonts w:cs="Arial"/>
          <w:b/>
          <w:sz w:val="20"/>
          <w:szCs w:val="20"/>
        </w:rPr>
        <w:t>% dei pazienti gottosi, sebbene trattati con ULT, presentino livelli di sUA &gt; 6.0 mg/dl</w:t>
      </w:r>
      <w:r w:rsidRPr="00FA51BC">
        <w:rPr>
          <w:rFonts w:cs="Arial"/>
          <w:sz w:val="20"/>
          <w:szCs w:val="20"/>
        </w:rPr>
        <w:t xml:space="preserve"> </w:t>
      </w:r>
      <w:r w:rsidRPr="00FB69B2">
        <w:rPr>
          <w:rFonts w:cs="Arial"/>
          <w:sz w:val="20"/>
          <w:szCs w:val="20"/>
        </w:rPr>
        <w:t>(</w:t>
      </w:r>
      <w:r w:rsidR="00563FA4">
        <w:rPr>
          <w:rFonts w:cstheme="minorHAnsi"/>
          <w:color w:val="0000FF"/>
          <w:sz w:val="20"/>
          <w:szCs w:val="20"/>
        </w:rPr>
        <w:t>IMS-Health LPD longitudinal Patient Database, 2016 (41)</w:t>
      </w:r>
      <w:r w:rsidRPr="00FB69B2">
        <w:rPr>
          <w:rFonts w:cs="Arial"/>
          <w:sz w:val="20"/>
          <w:szCs w:val="20"/>
        </w:rPr>
        <w:t>).</w:t>
      </w:r>
    </w:p>
    <w:p w14:paraId="5315E3B5" w14:textId="1EE4D3A7" w:rsidR="00CD1C33" w:rsidRPr="00CD1C33" w:rsidRDefault="00CD1C33" w:rsidP="00825BD3">
      <w:pPr>
        <w:widowControl w:val="0"/>
        <w:numPr>
          <w:ilvl w:val="0"/>
          <w:numId w:val="37"/>
        </w:numPr>
        <w:autoSpaceDE w:val="0"/>
        <w:autoSpaceDN w:val="0"/>
        <w:adjustRightInd w:val="0"/>
        <w:spacing w:line="360" w:lineRule="auto"/>
        <w:jc w:val="both"/>
        <w:rPr>
          <w:rFonts w:cs="Arial"/>
          <w:sz w:val="20"/>
          <w:szCs w:val="20"/>
        </w:rPr>
      </w:pPr>
      <w:r w:rsidRPr="004B4079">
        <w:rPr>
          <w:rFonts w:cs="Arial"/>
          <w:sz w:val="20"/>
          <w:szCs w:val="20"/>
        </w:rPr>
        <w:t xml:space="preserve">il risultato di un inadeguato trattamento della patologia, ovvero della mancata riduzione dei livelli di acido urico, è la deposizione di cristalli di </w:t>
      </w:r>
      <w:r w:rsidR="00826DA8">
        <w:rPr>
          <w:rFonts w:cs="Arial"/>
          <w:sz w:val="20"/>
          <w:szCs w:val="20"/>
        </w:rPr>
        <w:t>MSU</w:t>
      </w:r>
      <w:r w:rsidR="00826DA8" w:rsidRPr="004B4079">
        <w:rPr>
          <w:rFonts w:cs="Arial"/>
          <w:sz w:val="20"/>
          <w:szCs w:val="20"/>
        </w:rPr>
        <w:t xml:space="preserve"> </w:t>
      </w:r>
      <w:r w:rsidRPr="004B4079">
        <w:rPr>
          <w:rFonts w:cs="Arial"/>
          <w:sz w:val="20"/>
          <w:szCs w:val="20"/>
        </w:rPr>
        <w:t xml:space="preserve">che, oltre al </w:t>
      </w:r>
      <w:r w:rsidRPr="00CD1C33">
        <w:rPr>
          <w:rFonts w:cs="Arial"/>
          <w:b/>
          <w:sz w:val="20"/>
          <w:szCs w:val="20"/>
        </w:rPr>
        <w:t xml:space="preserve">danno osteo-articolare, </w:t>
      </w:r>
      <w:r w:rsidR="00826DA8" w:rsidRPr="004B4079">
        <w:rPr>
          <w:rFonts w:cs="Arial"/>
          <w:sz w:val="20"/>
          <w:szCs w:val="20"/>
        </w:rPr>
        <w:t>generano</w:t>
      </w:r>
      <w:r w:rsidR="00826DA8" w:rsidRPr="00CD1C33">
        <w:rPr>
          <w:rFonts w:cs="Arial"/>
          <w:b/>
          <w:sz w:val="20"/>
          <w:szCs w:val="20"/>
        </w:rPr>
        <w:t xml:space="preserve"> </w:t>
      </w:r>
      <w:r w:rsidRPr="00CD1C33">
        <w:rPr>
          <w:rFonts w:cs="Arial"/>
          <w:b/>
          <w:sz w:val="20"/>
          <w:szCs w:val="20"/>
        </w:rPr>
        <w:t>nel lungo termine pesanti conseguenze cliniche</w:t>
      </w:r>
      <w:r w:rsidRPr="004B4079">
        <w:rPr>
          <w:rFonts w:cs="Arial"/>
          <w:sz w:val="20"/>
          <w:szCs w:val="20"/>
        </w:rPr>
        <w:t xml:space="preserve"> (evoluzione di patologie cardiovascolari, disfunzioni ed insufficienze d’organo), </w:t>
      </w:r>
      <w:r w:rsidRPr="00CD1C33">
        <w:rPr>
          <w:rFonts w:cs="Arial"/>
          <w:b/>
          <w:sz w:val="20"/>
          <w:szCs w:val="20"/>
        </w:rPr>
        <w:t>disabilità ed i corrispondenti, rilevanti effetti economici sui costi del SSN</w:t>
      </w:r>
      <w:r w:rsidRPr="004B4079">
        <w:rPr>
          <w:rFonts w:cs="Arial"/>
          <w:sz w:val="20"/>
          <w:szCs w:val="20"/>
        </w:rPr>
        <w:t xml:space="preserve"> (</w:t>
      </w:r>
      <w:r w:rsidR="00231A40">
        <w:rPr>
          <w:rFonts w:cs="Arial"/>
          <w:color w:val="0000FF"/>
          <w:sz w:val="20"/>
          <w:szCs w:val="20"/>
        </w:rPr>
        <w:t>Wertheimer, 2013 (15)</w:t>
      </w:r>
      <w:r w:rsidRPr="004B4079">
        <w:rPr>
          <w:rFonts w:cs="Arial"/>
          <w:color w:val="0000FF"/>
          <w:sz w:val="20"/>
          <w:szCs w:val="20"/>
        </w:rPr>
        <w:t xml:space="preserve">; </w:t>
      </w:r>
      <w:r w:rsidR="00231A40">
        <w:rPr>
          <w:rFonts w:cs="Arial"/>
          <w:color w:val="0000FF"/>
          <w:sz w:val="20"/>
          <w:szCs w:val="20"/>
        </w:rPr>
        <w:t>Park, 2014 (19)</w:t>
      </w:r>
      <w:r w:rsidR="00490DB9">
        <w:rPr>
          <w:rFonts w:cs="Arial"/>
          <w:color w:val="0000FF"/>
          <w:sz w:val="20"/>
          <w:szCs w:val="20"/>
        </w:rPr>
        <w:t xml:space="preserve">; </w:t>
      </w:r>
      <w:r w:rsidR="00490DB9" w:rsidRPr="004B4079">
        <w:rPr>
          <w:rFonts w:cs="Arial"/>
          <w:color w:val="0000FF"/>
          <w:sz w:val="20"/>
          <w:szCs w:val="20"/>
        </w:rPr>
        <w:t>Dalbeth, 2014</w:t>
      </w:r>
      <w:r w:rsidR="00490DB9">
        <w:rPr>
          <w:rFonts w:cs="Arial"/>
          <w:color w:val="0000FF"/>
          <w:sz w:val="20"/>
          <w:szCs w:val="20"/>
        </w:rPr>
        <w:t xml:space="preserve"> (78); </w:t>
      </w:r>
      <w:r w:rsidR="00490DB9" w:rsidRPr="004B4079">
        <w:rPr>
          <w:rFonts w:cs="Arial"/>
          <w:color w:val="0000FF"/>
          <w:sz w:val="20"/>
          <w:szCs w:val="20"/>
        </w:rPr>
        <w:t>Tarkeltaub, 2013</w:t>
      </w:r>
      <w:r w:rsidR="00490DB9">
        <w:rPr>
          <w:rFonts w:cs="Arial"/>
          <w:color w:val="0000FF"/>
          <w:sz w:val="20"/>
          <w:szCs w:val="20"/>
        </w:rPr>
        <w:t xml:space="preserve"> (141)</w:t>
      </w:r>
      <w:r w:rsidRPr="004B4079">
        <w:rPr>
          <w:rFonts w:cs="Arial"/>
          <w:sz w:val="20"/>
          <w:szCs w:val="20"/>
        </w:rPr>
        <w:t>)</w:t>
      </w:r>
      <w:r w:rsidR="00490DB9">
        <w:rPr>
          <w:rFonts w:cs="Arial"/>
          <w:sz w:val="20"/>
          <w:szCs w:val="20"/>
        </w:rPr>
        <w:t>.</w:t>
      </w:r>
    </w:p>
    <w:p w14:paraId="16EBC5DB" w14:textId="4F830801" w:rsidR="00CD1C33" w:rsidRPr="00CD1C33" w:rsidRDefault="00CD1C33" w:rsidP="00825BD3">
      <w:pPr>
        <w:numPr>
          <w:ilvl w:val="0"/>
          <w:numId w:val="37"/>
        </w:numPr>
        <w:spacing w:line="360" w:lineRule="auto"/>
        <w:rPr>
          <w:rFonts w:cs="Arial"/>
          <w:sz w:val="20"/>
          <w:szCs w:val="20"/>
        </w:rPr>
      </w:pPr>
      <w:r w:rsidRPr="00FA51BC">
        <w:rPr>
          <w:rFonts w:cs="Arial"/>
          <w:sz w:val="20"/>
          <w:szCs w:val="20"/>
        </w:rPr>
        <w:t>Pertanto</w:t>
      </w:r>
      <w:r>
        <w:rPr>
          <w:rFonts w:cs="Arial"/>
          <w:sz w:val="20"/>
          <w:szCs w:val="20"/>
        </w:rPr>
        <w:t xml:space="preserve">, come evidenziato anche dall’esperto Prof. </w:t>
      </w:r>
      <w:r w:rsidR="00753598">
        <w:rPr>
          <w:rFonts w:cs="Arial"/>
          <w:sz w:val="20"/>
          <w:szCs w:val="20"/>
        </w:rPr>
        <w:t>Punzi Direttore U.O.C. di Reumatologia, Università degli Studi di Padova</w:t>
      </w:r>
      <w:r>
        <w:rPr>
          <w:rFonts w:cs="Arial"/>
          <w:sz w:val="20"/>
          <w:szCs w:val="20"/>
        </w:rPr>
        <w:t xml:space="preserve"> Primario</w:t>
      </w:r>
      <w:r w:rsidR="00753598">
        <w:rPr>
          <w:rFonts w:cs="Arial"/>
          <w:sz w:val="20"/>
          <w:szCs w:val="20"/>
        </w:rPr>
        <w:t xml:space="preserve"> </w:t>
      </w:r>
      <w:r>
        <w:rPr>
          <w:rFonts w:cs="Arial"/>
          <w:sz w:val="20"/>
          <w:szCs w:val="20"/>
        </w:rPr>
        <w:t>(</w:t>
      </w:r>
      <w:hyperlink w:anchor="Allegato1" w:history="1">
        <w:r w:rsidRPr="00BC34F2">
          <w:rPr>
            <w:rStyle w:val="Hyperlink"/>
            <w:rFonts w:cs="Arial"/>
            <w:sz w:val="20"/>
            <w:szCs w:val="20"/>
          </w:rPr>
          <w:t>Allegato 1</w:t>
        </w:r>
      </w:hyperlink>
      <w:r>
        <w:rPr>
          <w:rFonts w:cs="Arial"/>
          <w:sz w:val="20"/>
          <w:szCs w:val="20"/>
        </w:rPr>
        <w:t>)</w:t>
      </w:r>
      <w:r w:rsidRPr="00FA51BC">
        <w:rPr>
          <w:rFonts w:cs="Arial"/>
          <w:sz w:val="20"/>
          <w:szCs w:val="20"/>
        </w:rPr>
        <w:t xml:space="preserve"> rimane </w:t>
      </w:r>
      <w:r w:rsidRPr="00CD1C33">
        <w:rPr>
          <w:rFonts w:cs="Arial"/>
          <w:b/>
          <w:sz w:val="20"/>
          <w:szCs w:val="20"/>
        </w:rPr>
        <w:t xml:space="preserve">un’importate necessità terapeutica non risolta la gestione di quei pazienti che non riescono a controllare i livelli di sUA nonostante la monoterapia con i farmaci che agiscono sulla sovraproduzione di acido urico (allopurinolo e febuxostat): questi ultimi non sono in grado di intervenire </w:t>
      </w:r>
      <w:r w:rsidR="00826DA8" w:rsidRPr="00C049C5">
        <w:rPr>
          <w:rFonts w:cs="Arial"/>
          <w:b/>
          <w:sz w:val="20"/>
          <w:szCs w:val="20"/>
        </w:rPr>
        <w:t>su un’i</w:t>
      </w:r>
      <w:r w:rsidR="00826DA8" w:rsidRPr="00C049C5">
        <w:rPr>
          <w:rFonts w:cstheme="minorHAnsi"/>
          <w:b/>
          <w:sz w:val="20"/>
          <w:szCs w:val="20"/>
        </w:rPr>
        <w:t>nefficiente escrezione renale di acido urico</w:t>
      </w:r>
      <w:r w:rsidRPr="00C049C5">
        <w:rPr>
          <w:rFonts w:cs="Arial"/>
          <w:b/>
          <w:sz w:val="20"/>
          <w:szCs w:val="20"/>
        </w:rPr>
        <w:t>, che</w:t>
      </w:r>
      <w:r w:rsidRPr="00CD1C33">
        <w:rPr>
          <w:rFonts w:cs="Arial"/>
          <w:b/>
          <w:sz w:val="20"/>
          <w:szCs w:val="20"/>
        </w:rPr>
        <w:t xml:space="preserve"> può essere corretta solo da un farmaco uricosurico, quale lesinurad. L’iperuricemia è nella maggior parte dei casi (80-90%) causata da un’ inefficiente escrezione renale di acido urico, mentre solo nel 10-20% è causata da una sovrapproduzione di acido urico</w:t>
      </w:r>
      <w:r w:rsidRPr="009A557F">
        <w:rPr>
          <w:rFonts w:cs="Arial"/>
          <w:sz w:val="20"/>
          <w:szCs w:val="20"/>
        </w:rPr>
        <w:t xml:space="preserve"> (</w:t>
      </w:r>
      <w:r w:rsidR="0083674F">
        <w:rPr>
          <w:rFonts w:cs="Arial"/>
          <w:color w:val="0000FF"/>
          <w:sz w:val="20"/>
          <w:szCs w:val="20"/>
        </w:rPr>
        <w:t>Zhu, 2011 (33)</w:t>
      </w:r>
      <w:r>
        <w:rPr>
          <w:rFonts w:cs="Arial"/>
          <w:color w:val="0000FF"/>
          <w:sz w:val="20"/>
          <w:szCs w:val="20"/>
        </w:rPr>
        <w:t xml:space="preserve">; </w:t>
      </w:r>
      <w:r w:rsidR="0083674F">
        <w:rPr>
          <w:rFonts w:cs="Arial"/>
          <w:color w:val="0000FF"/>
          <w:sz w:val="20"/>
          <w:szCs w:val="20"/>
        </w:rPr>
        <w:t>Richette, 2010 (34)</w:t>
      </w:r>
      <w:r>
        <w:rPr>
          <w:rFonts w:cs="Arial"/>
          <w:color w:val="0000FF"/>
          <w:sz w:val="20"/>
          <w:szCs w:val="20"/>
        </w:rPr>
        <w:t xml:space="preserve">; </w:t>
      </w:r>
      <w:r w:rsidR="0083674F">
        <w:rPr>
          <w:rFonts w:cs="Arial"/>
          <w:color w:val="0000FF"/>
          <w:sz w:val="20"/>
          <w:szCs w:val="20"/>
        </w:rPr>
        <w:t>Boss, 1979 (35)</w:t>
      </w:r>
      <w:r w:rsidRPr="009A557F">
        <w:rPr>
          <w:rFonts w:cs="Arial"/>
          <w:sz w:val="20"/>
          <w:szCs w:val="20"/>
        </w:rPr>
        <w:t>)</w:t>
      </w:r>
    </w:p>
    <w:p w14:paraId="305D3BD8" w14:textId="0ABFB138" w:rsidR="004F2A8E" w:rsidRPr="004F2A8E" w:rsidRDefault="004F2A8E" w:rsidP="004F2A8E">
      <w:pPr>
        <w:spacing w:line="360" w:lineRule="auto"/>
        <w:jc w:val="both"/>
        <w:rPr>
          <w:rFonts w:cs="Arial"/>
          <w:b/>
          <w:sz w:val="20"/>
          <w:szCs w:val="20"/>
          <w:u w:val="single"/>
        </w:rPr>
      </w:pPr>
      <w:r w:rsidRPr="004F2A8E">
        <w:rPr>
          <w:rFonts w:cs="Arial"/>
          <w:b/>
          <w:sz w:val="20"/>
          <w:szCs w:val="20"/>
          <w:u w:val="single"/>
        </w:rPr>
        <w:t>Farmaco</w:t>
      </w:r>
      <w:r w:rsidR="00CD1C33">
        <w:rPr>
          <w:rFonts w:cs="Arial"/>
          <w:b/>
          <w:sz w:val="20"/>
          <w:szCs w:val="20"/>
          <w:u w:val="single"/>
        </w:rPr>
        <w:t xml:space="preserve"> oggetto della domanda</w:t>
      </w:r>
      <w:r w:rsidR="00684716">
        <w:rPr>
          <w:rFonts w:cs="Arial"/>
          <w:b/>
          <w:sz w:val="20"/>
          <w:szCs w:val="20"/>
          <w:u w:val="single"/>
        </w:rPr>
        <w:t xml:space="preserve"> – Zurampic (lesinurad)</w:t>
      </w:r>
    </w:p>
    <w:p w14:paraId="3B07C0AE" w14:textId="5630BDDC" w:rsidR="00F15C28" w:rsidRPr="00194162" w:rsidRDefault="00F15C28" w:rsidP="00F15C28">
      <w:pPr>
        <w:spacing w:line="360" w:lineRule="auto"/>
        <w:rPr>
          <w:rFonts w:cs="Arial"/>
          <w:sz w:val="20"/>
          <w:szCs w:val="20"/>
        </w:rPr>
      </w:pPr>
      <w:r w:rsidRPr="00194162">
        <w:rPr>
          <w:rFonts w:cs="Arial"/>
          <w:sz w:val="20"/>
          <w:szCs w:val="20"/>
        </w:rPr>
        <w:t>ZURAMPIC</w:t>
      </w:r>
      <w:r>
        <w:rPr>
          <w:rFonts w:cs="Arial"/>
          <w:sz w:val="20"/>
          <w:szCs w:val="20"/>
        </w:rPr>
        <w:t xml:space="preserve"> </w:t>
      </w:r>
      <w:r w:rsidRPr="00194162">
        <w:rPr>
          <w:rFonts w:cs="Arial"/>
          <w:sz w:val="20"/>
          <w:szCs w:val="20"/>
        </w:rPr>
        <w:t xml:space="preserve"> rappresenta </w:t>
      </w:r>
      <w:r>
        <w:rPr>
          <w:rFonts w:cs="Arial"/>
          <w:sz w:val="20"/>
          <w:szCs w:val="20"/>
        </w:rPr>
        <w:t xml:space="preserve">una </w:t>
      </w:r>
      <w:r w:rsidRPr="00405C07">
        <w:rPr>
          <w:rFonts w:cs="Arial"/>
          <w:b/>
          <w:sz w:val="20"/>
          <w:szCs w:val="20"/>
        </w:rPr>
        <w:t>significativa innovazione</w:t>
      </w:r>
      <w:r w:rsidRPr="00194162">
        <w:rPr>
          <w:rFonts w:cs="Arial"/>
          <w:sz w:val="20"/>
          <w:szCs w:val="20"/>
        </w:rPr>
        <w:t xml:space="preserve"> nell’ambito dell’attuale panorama di trattamento</w:t>
      </w:r>
      <w:r>
        <w:rPr>
          <w:rFonts w:cs="Arial"/>
          <w:sz w:val="20"/>
          <w:szCs w:val="20"/>
        </w:rPr>
        <w:t xml:space="preserve"> dell’iperuricemia nei pazienti con gotta.</w:t>
      </w:r>
    </w:p>
    <w:p w14:paraId="7333CC74" w14:textId="0788EBF2" w:rsidR="00227642" w:rsidRDefault="00F15C28" w:rsidP="00F15C28">
      <w:pPr>
        <w:spacing w:line="360" w:lineRule="auto"/>
        <w:rPr>
          <w:rFonts w:cs="Arial"/>
          <w:sz w:val="20"/>
          <w:szCs w:val="20"/>
        </w:rPr>
      </w:pPr>
      <w:r w:rsidRPr="00194162">
        <w:rPr>
          <w:rFonts w:cs="Arial"/>
          <w:sz w:val="20"/>
          <w:szCs w:val="20"/>
        </w:rPr>
        <w:t xml:space="preserve">ZURAMPIC è </w:t>
      </w:r>
      <w:r w:rsidRPr="00405C07">
        <w:rPr>
          <w:rFonts w:cs="Arial"/>
          <w:b/>
          <w:sz w:val="20"/>
          <w:szCs w:val="20"/>
        </w:rPr>
        <w:t>l’unico farmaco uricosurico disponibile in Italia</w:t>
      </w:r>
      <w:r w:rsidR="00227642">
        <w:rPr>
          <w:rFonts w:cs="Arial"/>
          <w:sz w:val="20"/>
          <w:szCs w:val="20"/>
        </w:rPr>
        <w:t xml:space="preserve"> </w:t>
      </w:r>
      <w:r w:rsidR="00594ECB">
        <w:rPr>
          <w:rFonts w:cs="Arial"/>
          <w:sz w:val="20"/>
          <w:szCs w:val="20"/>
        </w:rPr>
        <w:t>e quindi è l’unico</w:t>
      </w:r>
      <w:r w:rsidR="00227642">
        <w:rPr>
          <w:rFonts w:cs="Arial"/>
          <w:sz w:val="20"/>
          <w:szCs w:val="20"/>
        </w:rPr>
        <w:t xml:space="preserve"> capace di correggere l’alterazione patogenetica di più frequente riscontro</w:t>
      </w:r>
      <w:r w:rsidR="00594ECB">
        <w:rPr>
          <w:rFonts w:cs="Arial"/>
          <w:sz w:val="20"/>
          <w:szCs w:val="20"/>
        </w:rPr>
        <w:t xml:space="preserve"> nei pazienti con gotta</w:t>
      </w:r>
      <w:r w:rsidR="00227642">
        <w:rPr>
          <w:rFonts w:cs="Arial"/>
          <w:sz w:val="20"/>
          <w:szCs w:val="20"/>
        </w:rPr>
        <w:t xml:space="preserve"> (ovvero l’insufficiente escrezione renale di acido urico)</w:t>
      </w:r>
      <w:r w:rsidR="00524A50">
        <w:rPr>
          <w:rFonts w:cs="Arial"/>
          <w:sz w:val="20"/>
          <w:szCs w:val="20"/>
        </w:rPr>
        <w:t>.</w:t>
      </w:r>
    </w:p>
    <w:p w14:paraId="3377AF60" w14:textId="37B20233" w:rsidR="00F15C28" w:rsidRDefault="00227642" w:rsidP="00F15C28">
      <w:pPr>
        <w:spacing w:line="360" w:lineRule="auto"/>
        <w:rPr>
          <w:rFonts w:cs="Arial"/>
          <w:sz w:val="20"/>
          <w:szCs w:val="20"/>
        </w:rPr>
      </w:pPr>
      <w:r>
        <w:rPr>
          <w:rFonts w:cs="Arial"/>
          <w:sz w:val="20"/>
          <w:szCs w:val="20"/>
        </w:rPr>
        <w:t>ZURAMPIC</w:t>
      </w:r>
      <w:r w:rsidR="00F15C28" w:rsidRPr="00194162">
        <w:rPr>
          <w:rFonts w:cs="Arial"/>
          <w:sz w:val="20"/>
          <w:szCs w:val="20"/>
        </w:rPr>
        <w:t>, in virtù di un meccanismo d’azione complementare rispetto agli inibitori della xantina ossidasi (XOI)</w:t>
      </w:r>
    </w:p>
    <w:p w14:paraId="118FB963" w14:textId="6A741771" w:rsidR="00F15C28" w:rsidRPr="00194162" w:rsidRDefault="00F15C28" w:rsidP="00825BD3">
      <w:pPr>
        <w:pStyle w:val="ListParagraph"/>
        <w:numPr>
          <w:ilvl w:val="0"/>
          <w:numId w:val="38"/>
        </w:numPr>
        <w:spacing w:line="360" w:lineRule="auto"/>
        <w:rPr>
          <w:rFonts w:asciiTheme="minorHAnsi" w:hAnsiTheme="minorHAnsi" w:cstheme="minorHAnsi"/>
          <w:sz w:val="20"/>
          <w:szCs w:val="20"/>
        </w:rPr>
      </w:pPr>
      <w:r w:rsidRPr="00194162">
        <w:rPr>
          <w:rFonts w:asciiTheme="minorHAnsi" w:hAnsiTheme="minorHAnsi" w:cstheme="minorHAnsi"/>
          <w:sz w:val="20"/>
          <w:szCs w:val="20"/>
        </w:rPr>
        <w:t xml:space="preserve">ha </w:t>
      </w:r>
      <w:r w:rsidRPr="00405C07">
        <w:rPr>
          <w:rFonts w:asciiTheme="minorHAnsi" w:hAnsiTheme="minorHAnsi" w:cstheme="minorHAnsi"/>
          <w:b/>
          <w:sz w:val="20"/>
          <w:szCs w:val="20"/>
        </w:rPr>
        <w:t>raddoppiato</w:t>
      </w:r>
      <w:r w:rsidRPr="00194162">
        <w:rPr>
          <w:rFonts w:asciiTheme="minorHAnsi" w:hAnsiTheme="minorHAnsi" w:cstheme="minorHAnsi"/>
          <w:sz w:val="20"/>
          <w:szCs w:val="20"/>
        </w:rPr>
        <w:t xml:space="preserve"> il numero di pazienti che raggiungono il target terapeutico raccomandato dalle Linee Guida (riduzione dei livelli sierici di acido urico del 15-25%</w:t>
      </w:r>
      <w:r w:rsidR="00594ECB">
        <w:rPr>
          <w:rFonts w:asciiTheme="minorHAnsi" w:hAnsiTheme="minorHAnsi" w:cstheme="minorHAnsi"/>
          <w:sz w:val="20"/>
          <w:szCs w:val="20"/>
        </w:rPr>
        <w:t xml:space="preserve"> rispetto alla baseline</w:t>
      </w:r>
      <w:r w:rsidRPr="00194162">
        <w:rPr>
          <w:rFonts w:asciiTheme="minorHAnsi" w:hAnsiTheme="minorHAnsi" w:cstheme="minorHAnsi"/>
          <w:sz w:val="20"/>
          <w:szCs w:val="20"/>
        </w:rPr>
        <w:t>, già dal primo mese di trattamento)</w:t>
      </w:r>
      <w:r w:rsidR="00A404E9">
        <w:rPr>
          <w:rFonts w:asciiTheme="minorHAnsi" w:hAnsiTheme="minorHAnsi" w:cstheme="minorHAnsi"/>
          <w:sz w:val="20"/>
          <w:szCs w:val="20"/>
        </w:rPr>
        <w:t xml:space="preserve"> (</w:t>
      </w:r>
      <w:r w:rsidR="003F73DA" w:rsidRPr="003F73DA">
        <w:rPr>
          <w:rFonts w:asciiTheme="minorHAnsi" w:hAnsiTheme="minorHAnsi" w:cstheme="minorHAnsi"/>
          <w:color w:val="0000FF"/>
          <w:sz w:val="20"/>
          <w:szCs w:val="20"/>
        </w:rPr>
        <w:t>Bardin, 2016 (</w:t>
      </w:r>
      <w:r w:rsidR="003F73DA">
        <w:rPr>
          <w:rFonts w:asciiTheme="minorHAnsi" w:hAnsiTheme="minorHAnsi" w:cstheme="minorHAnsi"/>
          <w:color w:val="0000FF"/>
          <w:sz w:val="20"/>
          <w:szCs w:val="20"/>
        </w:rPr>
        <w:t>100);</w:t>
      </w:r>
      <w:r w:rsidR="00490DB9">
        <w:rPr>
          <w:rFonts w:asciiTheme="minorHAnsi" w:hAnsiTheme="minorHAnsi" w:cstheme="minorHAnsi"/>
          <w:color w:val="0000FF"/>
          <w:sz w:val="20"/>
          <w:szCs w:val="20"/>
        </w:rPr>
        <w:t xml:space="preserve"> Saag, 2016 (138)</w:t>
      </w:r>
      <w:r w:rsidR="00490DB9" w:rsidRPr="00A404E9">
        <w:rPr>
          <w:rFonts w:asciiTheme="minorHAnsi" w:hAnsiTheme="minorHAnsi" w:cstheme="minorHAnsi"/>
          <w:color w:val="0000FF"/>
          <w:sz w:val="20"/>
          <w:szCs w:val="20"/>
        </w:rPr>
        <w:t>;</w:t>
      </w:r>
      <w:r w:rsidR="00490DB9">
        <w:rPr>
          <w:rFonts w:asciiTheme="minorHAnsi" w:hAnsiTheme="minorHAnsi" w:cstheme="minorHAnsi"/>
          <w:color w:val="0000FF"/>
          <w:sz w:val="20"/>
          <w:szCs w:val="20"/>
        </w:rPr>
        <w:t xml:space="preserve"> </w:t>
      </w:r>
      <w:r w:rsidR="006B5BC6" w:rsidRPr="006B5BC6">
        <w:rPr>
          <w:rFonts w:asciiTheme="minorHAnsi" w:hAnsiTheme="minorHAnsi" w:cstheme="minorHAnsi"/>
          <w:color w:val="0000FF"/>
          <w:sz w:val="20"/>
          <w:szCs w:val="20"/>
        </w:rPr>
        <w:t>CSR 304, 2014 (111)</w:t>
      </w:r>
      <w:r w:rsidR="00A404E9">
        <w:rPr>
          <w:rFonts w:asciiTheme="minorHAnsi" w:hAnsiTheme="minorHAnsi" w:cstheme="minorHAnsi"/>
          <w:sz w:val="20"/>
          <w:szCs w:val="20"/>
        </w:rPr>
        <w:t>)</w:t>
      </w:r>
    </w:p>
    <w:p w14:paraId="51C7D7B1" w14:textId="6F4C40A9" w:rsidR="00F15C28" w:rsidRPr="00194162" w:rsidRDefault="00F15C28" w:rsidP="00825BD3">
      <w:pPr>
        <w:pStyle w:val="ListParagraph"/>
        <w:numPr>
          <w:ilvl w:val="0"/>
          <w:numId w:val="38"/>
        </w:numPr>
        <w:spacing w:line="360" w:lineRule="auto"/>
        <w:rPr>
          <w:rFonts w:asciiTheme="minorHAnsi" w:hAnsiTheme="minorHAnsi" w:cstheme="minorHAnsi"/>
          <w:sz w:val="20"/>
          <w:szCs w:val="20"/>
        </w:rPr>
      </w:pPr>
      <w:r w:rsidRPr="00194162">
        <w:rPr>
          <w:rFonts w:asciiTheme="minorHAnsi" w:hAnsiTheme="minorHAnsi" w:cstheme="minorHAnsi"/>
          <w:sz w:val="20"/>
          <w:szCs w:val="20"/>
        </w:rPr>
        <w:t xml:space="preserve">ha determinato un </w:t>
      </w:r>
      <w:r w:rsidRPr="00405C07">
        <w:rPr>
          <w:rFonts w:asciiTheme="minorHAnsi" w:hAnsiTheme="minorHAnsi" w:cstheme="minorHAnsi"/>
          <w:b/>
          <w:sz w:val="20"/>
          <w:szCs w:val="20"/>
        </w:rPr>
        <w:t xml:space="preserve">continuo beneficio clinico </w:t>
      </w:r>
      <w:r w:rsidR="00594ECB" w:rsidRPr="00405C07">
        <w:rPr>
          <w:rFonts w:asciiTheme="minorHAnsi" w:hAnsiTheme="minorHAnsi" w:cstheme="minorHAnsi"/>
          <w:b/>
          <w:sz w:val="20"/>
          <w:szCs w:val="20"/>
        </w:rPr>
        <w:t xml:space="preserve">in </w:t>
      </w:r>
      <w:r w:rsidRPr="00405C07">
        <w:rPr>
          <w:rFonts w:asciiTheme="minorHAnsi" w:hAnsiTheme="minorHAnsi" w:cstheme="minorHAnsi"/>
          <w:b/>
          <w:sz w:val="20"/>
          <w:szCs w:val="20"/>
        </w:rPr>
        <w:t>24 mesi di trattamento</w:t>
      </w:r>
      <w:r w:rsidRPr="00194162">
        <w:rPr>
          <w:rFonts w:asciiTheme="minorHAnsi" w:hAnsiTheme="minorHAnsi" w:cstheme="minorHAnsi"/>
          <w:sz w:val="20"/>
          <w:szCs w:val="20"/>
        </w:rPr>
        <w:t xml:space="preserve"> (diminuzione della frequenza delle riacutizzazioni, riduzione del 50% dell’area interessata dai tofi e risoluzione </w:t>
      </w:r>
      <w:r w:rsidR="00684716">
        <w:rPr>
          <w:rFonts w:asciiTheme="minorHAnsi" w:hAnsiTheme="minorHAnsi" w:cstheme="minorHAnsi"/>
          <w:sz w:val="20"/>
          <w:szCs w:val="20"/>
        </w:rPr>
        <w:t>dei</w:t>
      </w:r>
      <w:r w:rsidRPr="00194162">
        <w:rPr>
          <w:rFonts w:asciiTheme="minorHAnsi" w:hAnsiTheme="minorHAnsi" w:cstheme="minorHAnsi"/>
          <w:sz w:val="20"/>
          <w:szCs w:val="20"/>
        </w:rPr>
        <w:t xml:space="preserve"> tofi)</w:t>
      </w:r>
    </w:p>
    <w:p w14:paraId="143D4C10" w14:textId="026AFC17" w:rsidR="00234ABA" w:rsidRPr="00234ABA" w:rsidRDefault="00234ABA" w:rsidP="00E44433">
      <w:pPr>
        <w:spacing w:line="360" w:lineRule="auto"/>
        <w:rPr>
          <w:rFonts w:cs="Arial"/>
          <w:sz w:val="20"/>
          <w:szCs w:val="20"/>
        </w:rPr>
      </w:pPr>
      <w:r w:rsidRPr="00234ABA">
        <w:rPr>
          <w:rFonts w:cs="Arial"/>
          <w:b/>
          <w:sz w:val="20"/>
          <w:szCs w:val="20"/>
        </w:rPr>
        <w:t>Gli studi del programma CLEAR-CRYSTAL rappresentano i primi trial clinici ad aver studiato l’efficacia di una terapia orale in pazienti non adeguatamente controllati in terapia con inibitori di xantina ossidasi.</w:t>
      </w:r>
      <w:r w:rsidRPr="00234ABA">
        <w:rPr>
          <w:rFonts w:cs="Arial"/>
          <w:sz w:val="20"/>
          <w:szCs w:val="20"/>
        </w:rPr>
        <w:t xml:space="preserve"> Complessivamente in tutto il programma di sviluppo clinico di Lesinurad sono stati inclusi più di 1500 pazienti per le valutazioni di efficacia e 2586 pazienti sono stati valutati per l’analisi della safety.</w:t>
      </w:r>
    </w:p>
    <w:p w14:paraId="7F9061CC" w14:textId="77777777" w:rsidR="004F2A8E" w:rsidRPr="004F2A8E" w:rsidRDefault="004F2A8E" w:rsidP="00E44433">
      <w:pPr>
        <w:spacing w:line="360" w:lineRule="auto"/>
        <w:rPr>
          <w:rFonts w:cs="Arial"/>
          <w:b/>
          <w:sz w:val="20"/>
          <w:szCs w:val="20"/>
          <w:u w:val="single"/>
        </w:rPr>
      </w:pPr>
      <w:r w:rsidRPr="004F2A8E">
        <w:rPr>
          <w:rFonts w:cs="Arial"/>
          <w:b/>
          <w:sz w:val="20"/>
          <w:szCs w:val="20"/>
          <w:u w:val="single"/>
        </w:rPr>
        <w:t>Indicazioni e posologia</w:t>
      </w:r>
    </w:p>
    <w:p w14:paraId="6104BE27" w14:textId="1EEBAE78" w:rsidR="004F2A8E" w:rsidRPr="004F2A8E" w:rsidRDefault="004F2A8E" w:rsidP="00825BD3">
      <w:pPr>
        <w:numPr>
          <w:ilvl w:val="0"/>
          <w:numId w:val="38"/>
        </w:numPr>
        <w:spacing w:line="360" w:lineRule="auto"/>
        <w:rPr>
          <w:rFonts w:cs="Arial"/>
          <w:sz w:val="20"/>
          <w:szCs w:val="20"/>
        </w:rPr>
      </w:pPr>
      <w:r w:rsidRPr="004F2A8E">
        <w:rPr>
          <w:rFonts w:cs="Arial"/>
          <w:sz w:val="20"/>
          <w:szCs w:val="20"/>
        </w:rPr>
        <w:t>ZURAMPIC, in associazione a un</w:t>
      </w:r>
      <w:r w:rsidR="00345CA7">
        <w:rPr>
          <w:rFonts w:cs="Arial"/>
          <w:sz w:val="20"/>
          <w:szCs w:val="20"/>
        </w:rPr>
        <w:t>o</w:t>
      </w:r>
      <w:r w:rsidRPr="004F2A8E">
        <w:rPr>
          <w:rFonts w:cs="Arial"/>
          <w:sz w:val="20"/>
          <w:szCs w:val="20"/>
        </w:rPr>
        <w:t xml:space="preserve"> XOI, è indicato in soggetti adulti per il trattamento aggiuntivo dell’iperuricemia in pazienti con gotta (con o senza tofi) che non abbiano raggiunto livelli sierici target di acido urico con una dose adeguata di un XOI in monoterapia.</w:t>
      </w:r>
    </w:p>
    <w:p w14:paraId="0DFFBF5A" w14:textId="3B6FB89B" w:rsidR="004F2A8E" w:rsidRPr="004F2A8E" w:rsidRDefault="004F2A8E" w:rsidP="00825BD3">
      <w:pPr>
        <w:numPr>
          <w:ilvl w:val="0"/>
          <w:numId w:val="38"/>
        </w:numPr>
        <w:spacing w:line="360" w:lineRule="auto"/>
        <w:rPr>
          <w:rFonts w:cs="Arial"/>
          <w:sz w:val="20"/>
          <w:szCs w:val="20"/>
        </w:rPr>
      </w:pPr>
      <w:r w:rsidRPr="004F2A8E">
        <w:rPr>
          <w:rFonts w:cs="Arial"/>
          <w:sz w:val="20"/>
          <w:szCs w:val="20"/>
        </w:rPr>
        <w:t>ZURAMPIC è disponibile in confezioni da 30 compresse da 200</w:t>
      </w:r>
      <w:r w:rsidR="00885A94">
        <w:rPr>
          <w:rFonts w:cs="Arial"/>
          <w:sz w:val="20"/>
          <w:szCs w:val="20"/>
        </w:rPr>
        <w:t xml:space="preserve"> </w:t>
      </w:r>
      <w:r w:rsidRPr="004F2A8E">
        <w:rPr>
          <w:rFonts w:cs="Arial"/>
          <w:sz w:val="20"/>
          <w:szCs w:val="20"/>
        </w:rPr>
        <w:t xml:space="preserve">mg da assumersi una volta al giorno </w:t>
      </w:r>
    </w:p>
    <w:p w14:paraId="275CA9BA" w14:textId="77777777" w:rsidR="004F2A8E" w:rsidRPr="004F2A8E" w:rsidRDefault="004F2A8E" w:rsidP="00E44433">
      <w:pPr>
        <w:spacing w:line="360" w:lineRule="auto"/>
        <w:rPr>
          <w:rFonts w:cs="Arial"/>
          <w:b/>
          <w:sz w:val="20"/>
          <w:szCs w:val="20"/>
          <w:u w:val="single"/>
        </w:rPr>
      </w:pPr>
      <w:r w:rsidRPr="004F2A8E">
        <w:rPr>
          <w:rFonts w:cs="Arial"/>
          <w:b/>
          <w:sz w:val="20"/>
          <w:szCs w:val="20"/>
          <w:u w:val="single"/>
        </w:rPr>
        <w:t>Classe di rimborsabilità e regime di dispensazione</w:t>
      </w:r>
    </w:p>
    <w:p w14:paraId="28E809BB" w14:textId="119D9B97" w:rsidR="004F2A8E" w:rsidRDefault="004F2A8E" w:rsidP="00825BD3">
      <w:pPr>
        <w:numPr>
          <w:ilvl w:val="0"/>
          <w:numId w:val="38"/>
        </w:numPr>
        <w:tabs>
          <w:tab w:val="left" w:pos="5529"/>
        </w:tabs>
        <w:spacing w:line="360" w:lineRule="auto"/>
        <w:rPr>
          <w:rFonts w:cs="Arial"/>
          <w:sz w:val="20"/>
          <w:szCs w:val="20"/>
        </w:rPr>
      </w:pPr>
      <w:r w:rsidRPr="004F2A8E">
        <w:rPr>
          <w:rFonts w:cs="Arial"/>
          <w:sz w:val="20"/>
          <w:szCs w:val="20"/>
        </w:rPr>
        <w:t xml:space="preserve">l’Azienda propone l’inserimento di ZURAMPIC (lesinurad) in classe di rimborsabilità A </w:t>
      </w:r>
      <w:r w:rsidR="006337C9">
        <w:rPr>
          <w:rFonts w:cs="Arial"/>
          <w:sz w:val="20"/>
          <w:szCs w:val="20"/>
        </w:rPr>
        <w:t>com</w:t>
      </w:r>
      <w:r w:rsidR="005848A1">
        <w:rPr>
          <w:rFonts w:cs="Arial"/>
          <w:sz w:val="20"/>
          <w:szCs w:val="20"/>
        </w:rPr>
        <w:t>e</w:t>
      </w:r>
      <w:r w:rsidR="006337C9">
        <w:rPr>
          <w:rFonts w:cs="Arial"/>
          <w:sz w:val="20"/>
          <w:szCs w:val="20"/>
        </w:rPr>
        <w:t xml:space="preserve"> di seguito specificato</w:t>
      </w:r>
      <w:r w:rsidR="00280450">
        <w:rPr>
          <w:rFonts w:cs="Arial"/>
          <w:sz w:val="20"/>
          <w:szCs w:val="20"/>
        </w:rPr>
        <w:t>, in accordo alle Linee Guida EULAR 2016</w:t>
      </w:r>
      <w:r w:rsidR="00885A94">
        <w:rPr>
          <w:rFonts w:cs="Arial"/>
          <w:sz w:val="20"/>
          <w:szCs w:val="20"/>
        </w:rPr>
        <w:t xml:space="preserve"> (</w:t>
      </w:r>
      <w:r w:rsidR="00E54BFE">
        <w:rPr>
          <w:rFonts w:cs="Arial"/>
          <w:color w:val="0000FF"/>
          <w:sz w:val="20"/>
          <w:szCs w:val="20"/>
        </w:rPr>
        <w:t>Richette, 2016 (6)</w:t>
      </w:r>
      <w:r w:rsidR="00885A94">
        <w:rPr>
          <w:rFonts w:cs="Arial"/>
          <w:sz w:val="20"/>
          <w:szCs w:val="20"/>
        </w:rPr>
        <w:t>)</w:t>
      </w:r>
      <w:r w:rsidR="00280450">
        <w:rPr>
          <w:rFonts w:cs="Arial"/>
          <w:sz w:val="20"/>
          <w:szCs w:val="20"/>
        </w:rPr>
        <w:t>, in fase di recepimento dalle Linee Guida SIR 2013</w:t>
      </w:r>
      <w:r w:rsidR="00885A94">
        <w:rPr>
          <w:rFonts w:cs="Arial"/>
          <w:sz w:val="20"/>
          <w:szCs w:val="20"/>
        </w:rPr>
        <w:t xml:space="preserve"> (</w:t>
      </w:r>
      <w:r w:rsidR="00885A94" w:rsidRPr="00885A94">
        <w:rPr>
          <w:rFonts w:cs="Arial"/>
          <w:color w:val="0000FF"/>
          <w:sz w:val="20"/>
          <w:szCs w:val="20"/>
        </w:rPr>
        <w:t>Manara, 2013 (7)</w:t>
      </w:r>
      <w:r w:rsidR="00885A94">
        <w:rPr>
          <w:rFonts w:cs="Arial"/>
          <w:sz w:val="20"/>
          <w:szCs w:val="20"/>
        </w:rPr>
        <w:t>)</w:t>
      </w:r>
      <w:r>
        <w:rPr>
          <w:rFonts w:cs="Arial"/>
          <w:sz w:val="20"/>
          <w:szCs w:val="20"/>
        </w:rPr>
        <w:t>:</w:t>
      </w:r>
    </w:p>
    <w:p w14:paraId="40683456" w14:textId="26375211" w:rsidR="004F2A8E" w:rsidRDefault="00684716" w:rsidP="00825BD3">
      <w:pPr>
        <w:numPr>
          <w:ilvl w:val="1"/>
          <w:numId w:val="38"/>
        </w:numPr>
        <w:tabs>
          <w:tab w:val="left" w:pos="5529"/>
        </w:tabs>
        <w:spacing w:line="360" w:lineRule="auto"/>
        <w:rPr>
          <w:rFonts w:cs="Arial"/>
          <w:sz w:val="20"/>
          <w:szCs w:val="20"/>
        </w:rPr>
      </w:pPr>
      <w:r w:rsidRPr="00BE397C">
        <w:rPr>
          <w:rFonts w:cs="Arial"/>
          <w:b/>
          <w:sz w:val="20"/>
          <w:szCs w:val="20"/>
        </w:rPr>
        <w:t>lesinurad + allopurinolo</w:t>
      </w:r>
      <w:r w:rsidR="004F2A8E">
        <w:rPr>
          <w:rFonts w:cs="Arial"/>
          <w:sz w:val="20"/>
          <w:szCs w:val="20"/>
        </w:rPr>
        <w:t xml:space="preserve">: terapia </w:t>
      </w:r>
      <w:r w:rsidR="00052CF0">
        <w:rPr>
          <w:rFonts w:cs="Arial"/>
          <w:sz w:val="20"/>
          <w:szCs w:val="20"/>
        </w:rPr>
        <w:t>in associazione,</w:t>
      </w:r>
      <w:r w:rsidR="004F2A8E">
        <w:rPr>
          <w:rFonts w:cs="Arial"/>
          <w:sz w:val="20"/>
          <w:szCs w:val="20"/>
        </w:rPr>
        <w:t xml:space="preserve"> di </w:t>
      </w:r>
      <w:r w:rsidR="004F2A8E" w:rsidRPr="00405C07">
        <w:rPr>
          <w:rFonts w:cs="Arial"/>
          <w:i/>
          <w:sz w:val="20"/>
          <w:szCs w:val="20"/>
          <w:u w:val="single"/>
        </w:rPr>
        <w:t>seconda linea</w:t>
      </w:r>
      <w:r w:rsidR="004F2A8E">
        <w:rPr>
          <w:rFonts w:cs="Arial"/>
          <w:sz w:val="20"/>
          <w:szCs w:val="20"/>
        </w:rPr>
        <w:t xml:space="preserve"> quando il paziente non raggiunge il target uricemico con dosaggi terapeutici ottimali di allopurinolo</w:t>
      </w:r>
      <w:r w:rsidR="00280450">
        <w:rPr>
          <w:rFonts w:cs="Arial"/>
          <w:sz w:val="20"/>
          <w:szCs w:val="20"/>
        </w:rPr>
        <w:t xml:space="preserve"> monoterapia</w:t>
      </w:r>
      <w:r w:rsidR="004F2A8E">
        <w:rPr>
          <w:rFonts w:cs="Arial"/>
          <w:sz w:val="20"/>
          <w:szCs w:val="20"/>
        </w:rPr>
        <w:t>;</w:t>
      </w:r>
    </w:p>
    <w:p w14:paraId="33CFA7E1" w14:textId="3DB1F2EC" w:rsidR="004F2A8E" w:rsidRPr="004F2A8E" w:rsidRDefault="00684716" w:rsidP="00825BD3">
      <w:pPr>
        <w:numPr>
          <w:ilvl w:val="1"/>
          <w:numId w:val="38"/>
        </w:numPr>
        <w:tabs>
          <w:tab w:val="left" w:pos="5529"/>
        </w:tabs>
        <w:spacing w:line="360" w:lineRule="auto"/>
        <w:rPr>
          <w:rFonts w:cs="Arial"/>
          <w:sz w:val="20"/>
          <w:szCs w:val="20"/>
        </w:rPr>
      </w:pPr>
      <w:r w:rsidRPr="00BE397C">
        <w:rPr>
          <w:rFonts w:cs="Arial"/>
          <w:b/>
          <w:sz w:val="20"/>
          <w:szCs w:val="20"/>
        </w:rPr>
        <w:t>lesinurad + febuxostat</w:t>
      </w:r>
      <w:r w:rsidR="004F2A8E">
        <w:rPr>
          <w:rFonts w:cs="Arial"/>
          <w:sz w:val="20"/>
          <w:szCs w:val="20"/>
        </w:rPr>
        <w:t xml:space="preserve">: terapia </w:t>
      </w:r>
      <w:r w:rsidR="00052CF0">
        <w:rPr>
          <w:rFonts w:cs="Arial"/>
          <w:sz w:val="20"/>
          <w:szCs w:val="20"/>
        </w:rPr>
        <w:t>in associazione,</w:t>
      </w:r>
      <w:r w:rsidR="004F2A8E">
        <w:rPr>
          <w:rFonts w:cs="Arial"/>
          <w:sz w:val="20"/>
          <w:szCs w:val="20"/>
        </w:rPr>
        <w:t xml:space="preserve"> di </w:t>
      </w:r>
      <w:r w:rsidR="004F2A8E" w:rsidRPr="00405C07">
        <w:rPr>
          <w:rFonts w:cs="Arial"/>
          <w:i/>
          <w:sz w:val="20"/>
          <w:szCs w:val="20"/>
          <w:u w:val="single"/>
        </w:rPr>
        <w:t>terza linea</w:t>
      </w:r>
      <w:r w:rsidR="004F2A8E">
        <w:rPr>
          <w:rFonts w:cs="Arial"/>
          <w:sz w:val="20"/>
          <w:szCs w:val="20"/>
        </w:rPr>
        <w:t xml:space="preserve"> quando il paziente non ra</w:t>
      </w:r>
      <w:r w:rsidR="00FE059F">
        <w:rPr>
          <w:rFonts w:cs="Arial"/>
          <w:sz w:val="20"/>
          <w:szCs w:val="20"/>
        </w:rPr>
        <w:t xml:space="preserve">ggiunge il target uricemico </w:t>
      </w:r>
      <w:r w:rsidR="004F2A8E">
        <w:rPr>
          <w:rFonts w:cs="Arial"/>
          <w:sz w:val="20"/>
          <w:szCs w:val="20"/>
        </w:rPr>
        <w:t xml:space="preserve">con dosaggi terapeutici ottimali di </w:t>
      </w:r>
      <w:r w:rsidR="00FE059F">
        <w:rPr>
          <w:rFonts w:cs="Arial"/>
          <w:sz w:val="20"/>
          <w:szCs w:val="20"/>
        </w:rPr>
        <w:t>febuxostat</w:t>
      </w:r>
      <w:r w:rsidR="00F15C28">
        <w:rPr>
          <w:rFonts w:cs="Arial"/>
          <w:sz w:val="20"/>
          <w:szCs w:val="20"/>
        </w:rPr>
        <w:t xml:space="preserve"> monoterapia o </w:t>
      </w:r>
      <w:r>
        <w:rPr>
          <w:rFonts w:cs="Arial"/>
          <w:sz w:val="20"/>
          <w:szCs w:val="20"/>
        </w:rPr>
        <w:t>con lesinurad + allopurinolo</w:t>
      </w:r>
    </w:p>
    <w:p w14:paraId="12E9D871" w14:textId="77777777" w:rsidR="00BE397C" w:rsidRDefault="00BE397C">
      <w:pPr>
        <w:rPr>
          <w:rFonts w:cs="Arial"/>
          <w:b/>
          <w:sz w:val="20"/>
          <w:szCs w:val="20"/>
          <w:u w:val="single"/>
        </w:rPr>
      </w:pPr>
      <w:r>
        <w:rPr>
          <w:rFonts w:cs="Arial"/>
          <w:b/>
          <w:sz w:val="20"/>
          <w:szCs w:val="20"/>
          <w:u w:val="single"/>
        </w:rPr>
        <w:br w:type="page"/>
      </w:r>
    </w:p>
    <w:p w14:paraId="78B31608" w14:textId="31EAAC89" w:rsidR="004F2A8E" w:rsidRPr="004F2A8E" w:rsidRDefault="004F2A8E" w:rsidP="00E44433">
      <w:pPr>
        <w:spacing w:line="360" w:lineRule="auto"/>
        <w:rPr>
          <w:rFonts w:cs="Arial"/>
          <w:b/>
          <w:sz w:val="20"/>
          <w:szCs w:val="20"/>
          <w:u w:val="single"/>
        </w:rPr>
      </w:pPr>
      <w:r w:rsidRPr="004F2A8E">
        <w:rPr>
          <w:rFonts w:cs="Arial"/>
          <w:b/>
          <w:sz w:val="20"/>
          <w:szCs w:val="20"/>
          <w:u w:val="single"/>
        </w:rPr>
        <w:t>Efficacia e s</w:t>
      </w:r>
      <w:r w:rsidR="00405C07">
        <w:rPr>
          <w:rFonts w:cs="Arial"/>
          <w:b/>
          <w:sz w:val="20"/>
          <w:szCs w:val="20"/>
          <w:u w:val="single"/>
        </w:rPr>
        <w:t>icurezza</w:t>
      </w:r>
    </w:p>
    <w:p w14:paraId="1BBAAF7D" w14:textId="64675ACA" w:rsidR="00405C07" w:rsidRPr="00405C07" w:rsidRDefault="00405C07" w:rsidP="00825BD3">
      <w:pPr>
        <w:numPr>
          <w:ilvl w:val="0"/>
          <w:numId w:val="37"/>
        </w:numPr>
        <w:spacing w:line="360" w:lineRule="auto"/>
        <w:rPr>
          <w:rFonts w:cs="Arial"/>
          <w:sz w:val="20"/>
          <w:szCs w:val="20"/>
        </w:rPr>
      </w:pPr>
      <w:r>
        <w:rPr>
          <w:rFonts w:cs="Arial"/>
          <w:b/>
          <w:sz w:val="20"/>
          <w:szCs w:val="20"/>
        </w:rPr>
        <w:t xml:space="preserve">Come sostentuto dal Prof </w:t>
      </w:r>
      <w:r w:rsidR="00753598">
        <w:rPr>
          <w:rFonts w:cs="Arial"/>
          <w:b/>
          <w:sz w:val="20"/>
          <w:szCs w:val="20"/>
        </w:rPr>
        <w:t>Punzi Direttore U.O.C. di Reumatologia, Università degli Studi di Padova</w:t>
      </w:r>
      <w:r>
        <w:rPr>
          <w:rFonts w:cs="Arial"/>
          <w:b/>
          <w:sz w:val="20"/>
          <w:szCs w:val="20"/>
        </w:rPr>
        <w:t xml:space="preserve"> (</w:t>
      </w:r>
      <w:hyperlink w:anchor="Allegato1" w:history="1">
        <w:r w:rsidRPr="00BC34F2">
          <w:rPr>
            <w:rStyle w:val="Hyperlink"/>
            <w:rFonts w:cs="Arial"/>
            <w:b/>
            <w:sz w:val="20"/>
            <w:szCs w:val="20"/>
          </w:rPr>
          <w:t>Allegato 1</w:t>
        </w:r>
      </w:hyperlink>
      <w:r>
        <w:rPr>
          <w:rFonts w:cs="Arial"/>
          <w:b/>
          <w:sz w:val="20"/>
          <w:szCs w:val="20"/>
        </w:rPr>
        <w:t xml:space="preserve">), </w:t>
      </w:r>
      <w:r w:rsidRPr="00F61A51">
        <w:rPr>
          <w:rFonts w:cs="Arial"/>
          <w:b/>
          <w:sz w:val="20"/>
          <w:szCs w:val="20"/>
        </w:rPr>
        <w:t>ZURAMPIC, somministrato in associazione ad un farmaco XOI, rappresenta una nuova possibilità terapeutica</w:t>
      </w:r>
      <w:r>
        <w:rPr>
          <w:rFonts w:cs="Arial"/>
          <w:b/>
          <w:sz w:val="20"/>
          <w:szCs w:val="20"/>
        </w:rPr>
        <w:t xml:space="preserve"> nel </w:t>
      </w:r>
      <w:r w:rsidRPr="00405C98">
        <w:rPr>
          <w:rFonts w:cs="Arial"/>
          <w:b/>
          <w:sz w:val="20"/>
          <w:szCs w:val="20"/>
        </w:rPr>
        <w:t>trattamento dell’iperuricemia in pazienti con gotta</w:t>
      </w:r>
      <w:r w:rsidRPr="00F61A51">
        <w:rPr>
          <w:rFonts w:cs="Arial"/>
          <w:b/>
          <w:sz w:val="20"/>
          <w:szCs w:val="20"/>
        </w:rPr>
        <w:t xml:space="preserve"> non adeguatamente controllata con le terapie standard</w:t>
      </w:r>
      <w:r>
        <w:rPr>
          <w:rFonts w:cs="Arial"/>
          <w:b/>
          <w:sz w:val="20"/>
          <w:szCs w:val="20"/>
        </w:rPr>
        <w:t xml:space="preserve"> e risponde ad importanti necessità terapeutiche non soddisfatte dalle attuali opzioni farmacologiche, in quanto capace di correggere l’alterazione patogenetica di più frequente riscontro</w:t>
      </w:r>
      <w:r w:rsidR="00684716">
        <w:rPr>
          <w:rFonts w:cs="Arial"/>
          <w:b/>
          <w:sz w:val="20"/>
          <w:szCs w:val="20"/>
        </w:rPr>
        <w:t xml:space="preserve">  nei pazienti con gotta</w:t>
      </w:r>
      <w:r>
        <w:rPr>
          <w:rFonts w:cs="Arial"/>
          <w:b/>
          <w:sz w:val="20"/>
          <w:szCs w:val="20"/>
        </w:rPr>
        <w:t xml:space="preserve"> (cioè l’insufficiente escrezione renale di acido urico)</w:t>
      </w:r>
      <w:r w:rsidRPr="00F61A51">
        <w:rPr>
          <w:rFonts w:cs="Arial"/>
          <w:b/>
          <w:sz w:val="20"/>
          <w:szCs w:val="20"/>
        </w:rPr>
        <w:t>.</w:t>
      </w:r>
    </w:p>
    <w:p w14:paraId="79EF3B77" w14:textId="403BA2A5" w:rsidR="00805558" w:rsidRPr="00405C98" w:rsidRDefault="00170751" w:rsidP="00825BD3">
      <w:pPr>
        <w:numPr>
          <w:ilvl w:val="0"/>
          <w:numId w:val="37"/>
        </w:numPr>
        <w:spacing w:line="360" w:lineRule="auto"/>
        <w:rPr>
          <w:rFonts w:cs="Arial"/>
          <w:sz w:val="20"/>
          <w:szCs w:val="20"/>
        </w:rPr>
      </w:pPr>
      <w:r w:rsidRPr="00405C98">
        <w:rPr>
          <w:rFonts w:cs="Arial"/>
          <w:sz w:val="20"/>
          <w:szCs w:val="20"/>
        </w:rPr>
        <w:t xml:space="preserve">ZURAMPIC, in associazione a XOI, si propone come nuovo strumento per risolvere i bisogni non risolti della gotta, ovvero fornisce un trattamento </w:t>
      </w:r>
      <w:r w:rsidRPr="00405C07">
        <w:rPr>
          <w:rFonts w:cs="Arial"/>
          <w:b/>
          <w:sz w:val="20"/>
          <w:szCs w:val="20"/>
        </w:rPr>
        <w:t>rapido</w:t>
      </w:r>
      <w:r w:rsidRPr="00405C98">
        <w:rPr>
          <w:rFonts w:cs="Arial"/>
          <w:sz w:val="20"/>
          <w:szCs w:val="20"/>
        </w:rPr>
        <w:t xml:space="preserve"> (già dal mese 1) e </w:t>
      </w:r>
      <w:r w:rsidRPr="00405C07">
        <w:rPr>
          <w:rFonts w:cs="Arial"/>
          <w:b/>
          <w:sz w:val="20"/>
          <w:szCs w:val="20"/>
        </w:rPr>
        <w:t>sostenuto nel tempo</w:t>
      </w:r>
      <w:r w:rsidRPr="00405C98">
        <w:rPr>
          <w:rFonts w:cs="Arial"/>
          <w:sz w:val="20"/>
          <w:szCs w:val="20"/>
        </w:rPr>
        <w:t xml:space="preserve"> (</w:t>
      </w:r>
      <w:r w:rsidR="003D2CF7" w:rsidRPr="00405C98">
        <w:rPr>
          <w:rFonts w:cs="Arial"/>
          <w:sz w:val="20"/>
          <w:szCs w:val="20"/>
        </w:rPr>
        <w:t>dimostrato nei</w:t>
      </w:r>
      <w:r w:rsidRPr="00405C98">
        <w:rPr>
          <w:rFonts w:cs="Arial"/>
          <w:sz w:val="20"/>
          <w:szCs w:val="20"/>
        </w:rPr>
        <w:t xml:space="preserve"> 24 mesi), </w:t>
      </w:r>
      <w:r w:rsidR="00805558" w:rsidRPr="00405C07">
        <w:rPr>
          <w:rFonts w:cs="Arial"/>
          <w:b/>
          <w:sz w:val="20"/>
          <w:szCs w:val="20"/>
        </w:rPr>
        <w:t xml:space="preserve">più </w:t>
      </w:r>
      <w:r w:rsidRPr="00405C07">
        <w:rPr>
          <w:rFonts w:cs="Arial"/>
          <w:b/>
          <w:sz w:val="20"/>
          <w:szCs w:val="20"/>
        </w:rPr>
        <w:t>efficace</w:t>
      </w:r>
      <w:r w:rsidRPr="00405C98">
        <w:rPr>
          <w:rFonts w:cs="Arial"/>
          <w:sz w:val="20"/>
          <w:szCs w:val="20"/>
        </w:rPr>
        <w:t xml:space="preserve"> nel raggiungere il target uricemico </w:t>
      </w:r>
      <w:r w:rsidR="00805558" w:rsidRPr="00405C98">
        <w:rPr>
          <w:rFonts w:cs="Arial"/>
          <w:sz w:val="20"/>
          <w:szCs w:val="20"/>
        </w:rPr>
        <w:t xml:space="preserve">rispetto agli XOI </w:t>
      </w:r>
      <w:r w:rsidRPr="00405C98">
        <w:rPr>
          <w:rFonts w:cs="Arial"/>
          <w:sz w:val="20"/>
          <w:szCs w:val="20"/>
        </w:rPr>
        <w:t xml:space="preserve">(raddoppia il numero di pazienti che raggiungono il target raccomandato dalle Linee Guida) e nel </w:t>
      </w:r>
      <w:r w:rsidRPr="00405C07">
        <w:rPr>
          <w:rFonts w:cs="Arial"/>
          <w:b/>
          <w:sz w:val="20"/>
          <w:szCs w:val="20"/>
        </w:rPr>
        <w:t xml:space="preserve">ridurre </w:t>
      </w:r>
      <w:r w:rsidR="00D13856" w:rsidRPr="00405C07">
        <w:rPr>
          <w:rFonts w:cs="Arial"/>
          <w:b/>
          <w:sz w:val="20"/>
          <w:szCs w:val="20"/>
        </w:rPr>
        <w:t xml:space="preserve">costantemente </w:t>
      </w:r>
      <w:r w:rsidR="00F61A51" w:rsidRPr="00405C07">
        <w:rPr>
          <w:rFonts w:cs="Arial"/>
          <w:b/>
          <w:sz w:val="20"/>
          <w:szCs w:val="20"/>
        </w:rPr>
        <w:t xml:space="preserve">e nel lungo periodo </w:t>
      </w:r>
      <w:r w:rsidR="00D13856" w:rsidRPr="00405C07">
        <w:rPr>
          <w:rFonts w:cs="Arial"/>
          <w:b/>
          <w:sz w:val="20"/>
          <w:szCs w:val="20"/>
        </w:rPr>
        <w:t>(</w:t>
      </w:r>
      <w:r w:rsidR="003D2CF7" w:rsidRPr="00405C07">
        <w:rPr>
          <w:rFonts w:cs="Arial"/>
          <w:b/>
          <w:sz w:val="20"/>
          <w:szCs w:val="20"/>
        </w:rPr>
        <w:t>dimostrato nei</w:t>
      </w:r>
      <w:r w:rsidR="00D13856" w:rsidRPr="00405C07">
        <w:rPr>
          <w:rFonts w:cs="Arial"/>
          <w:b/>
          <w:sz w:val="20"/>
          <w:szCs w:val="20"/>
        </w:rPr>
        <w:t xml:space="preserve"> 24 mesi) </w:t>
      </w:r>
      <w:r w:rsidRPr="00405C07">
        <w:rPr>
          <w:rFonts w:cs="Arial"/>
          <w:b/>
          <w:sz w:val="20"/>
          <w:szCs w:val="20"/>
        </w:rPr>
        <w:t>i tofi e le riacutizzazioni</w:t>
      </w:r>
      <w:r w:rsidRPr="00405C98">
        <w:rPr>
          <w:rFonts w:cs="Arial"/>
          <w:sz w:val="20"/>
          <w:szCs w:val="20"/>
        </w:rPr>
        <w:t xml:space="preserve">, combinando una generale buona </w:t>
      </w:r>
      <w:r w:rsidRPr="00405C07">
        <w:rPr>
          <w:rFonts w:cs="Arial"/>
          <w:b/>
          <w:sz w:val="20"/>
          <w:szCs w:val="20"/>
        </w:rPr>
        <w:t>tollerabilità</w:t>
      </w:r>
      <w:r w:rsidR="00F61A51" w:rsidRPr="00405C07">
        <w:rPr>
          <w:rFonts w:cs="Arial"/>
          <w:b/>
          <w:sz w:val="20"/>
          <w:szCs w:val="20"/>
        </w:rPr>
        <w:t xml:space="preserve"> (paragonabile a quella che si ottiene con allopurinolo e febuxostat in </w:t>
      </w:r>
      <w:r w:rsidR="003D2CF7" w:rsidRPr="00405C07">
        <w:rPr>
          <w:rFonts w:cs="Arial"/>
          <w:b/>
          <w:sz w:val="20"/>
          <w:szCs w:val="20"/>
        </w:rPr>
        <w:t xml:space="preserve"> </w:t>
      </w:r>
      <w:r w:rsidR="00F61A51" w:rsidRPr="00405C07">
        <w:rPr>
          <w:rFonts w:cs="Arial"/>
          <w:b/>
          <w:sz w:val="20"/>
          <w:szCs w:val="20"/>
        </w:rPr>
        <w:t>monoterapia)</w:t>
      </w:r>
      <w:r w:rsidR="00F61A51" w:rsidRPr="00405C98">
        <w:rPr>
          <w:rFonts w:cs="Arial"/>
          <w:sz w:val="20"/>
          <w:szCs w:val="20"/>
        </w:rPr>
        <w:t xml:space="preserve">, anche </w:t>
      </w:r>
      <w:r w:rsidR="00684716">
        <w:rPr>
          <w:rFonts w:cs="Arial"/>
          <w:sz w:val="20"/>
          <w:szCs w:val="20"/>
        </w:rPr>
        <w:t xml:space="preserve">nel caso di </w:t>
      </w:r>
      <w:r w:rsidR="00684716" w:rsidRPr="00405C98">
        <w:rPr>
          <w:rFonts w:cs="Arial"/>
          <w:sz w:val="20"/>
          <w:szCs w:val="20"/>
        </w:rPr>
        <w:t xml:space="preserve"> </w:t>
      </w:r>
      <w:r w:rsidR="00F61A51" w:rsidRPr="00405C98">
        <w:rPr>
          <w:rFonts w:cs="Arial"/>
          <w:sz w:val="20"/>
          <w:szCs w:val="20"/>
        </w:rPr>
        <w:t xml:space="preserve">alcuni </w:t>
      </w:r>
      <w:r w:rsidR="00F61A51" w:rsidRPr="00405C07">
        <w:rPr>
          <w:rFonts w:cs="Arial"/>
          <w:b/>
          <w:sz w:val="20"/>
          <w:szCs w:val="20"/>
        </w:rPr>
        <w:t>sottogruppi di pazienti (</w:t>
      </w:r>
      <w:r w:rsidR="00805558" w:rsidRPr="00405C07">
        <w:rPr>
          <w:rFonts w:cs="Arial"/>
          <w:b/>
          <w:sz w:val="20"/>
          <w:szCs w:val="20"/>
        </w:rPr>
        <w:t xml:space="preserve">ad es. </w:t>
      </w:r>
      <w:r w:rsidR="00F61A51" w:rsidRPr="00405C07">
        <w:rPr>
          <w:rFonts w:cs="Arial"/>
          <w:b/>
          <w:sz w:val="20"/>
          <w:szCs w:val="20"/>
        </w:rPr>
        <w:t xml:space="preserve">pazienti con </w:t>
      </w:r>
      <w:r w:rsidR="00405C98" w:rsidRPr="00405C07">
        <w:rPr>
          <w:rFonts w:cs="Arial"/>
          <w:b/>
          <w:sz w:val="20"/>
          <w:szCs w:val="20"/>
        </w:rPr>
        <w:t xml:space="preserve">insufficienza renale moderata, pazienti trattati con aspirina, pazienti trattati con diuretici tiazidici </w:t>
      </w:r>
      <w:r w:rsidR="00F2032E" w:rsidRPr="00405C07">
        <w:rPr>
          <w:rFonts w:cs="Arial"/>
          <w:b/>
          <w:sz w:val="20"/>
          <w:szCs w:val="20"/>
        </w:rPr>
        <w:t>e nei pazienti di età &gt; 65 anni</w:t>
      </w:r>
      <w:r w:rsidR="00805558" w:rsidRPr="00405C07">
        <w:rPr>
          <w:rFonts w:cs="Arial"/>
          <w:b/>
          <w:sz w:val="20"/>
          <w:szCs w:val="20"/>
        </w:rPr>
        <w:t>)</w:t>
      </w:r>
      <w:r w:rsidR="00F61A51" w:rsidRPr="00405C98">
        <w:rPr>
          <w:rFonts w:cs="Arial"/>
          <w:sz w:val="20"/>
          <w:szCs w:val="20"/>
        </w:rPr>
        <w:t xml:space="preserve"> </w:t>
      </w:r>
    </w:p>
    <w:p w14:paraId="096125DF" w14:textId="0ECBC312" w:rsidR="004F2A8E" w:rsidRPr="00FA51BC" w:rsidRDefault="004F2A8E" w:rsidP="00825BD3">
      <w:pPr>
        <w:numPr>
          <w:ilvl w:val="0"/>
          <w:numId w:val="37"/>
        </w:numPr>
        <w:spacing w:line="360" w:lineRule="auto"/>
        <w:rPr>
          <w:rFonts w:cs="Arial"/>
          <w:sz w:val="20"/>
          <w:szCs w:val="20"/>
        </w:rPr>
      </w:pPr>
      <w:r w:rsidRPr="00FA51BC">
        <w:rPr>
          <w:rFonts w:cs="Arial"/>
          <w:sz w:val="20"/>
          <w:szCs w:val="20"/>
        </w:rPr>
        <w:t xml:space="preserve">L’efficacia e tollerabilità di ZURAMPIC in mono-somministrazione giornaliera e in associazione con un farmaco XOI, è stata studiata in 3 ampi </w:t>
      </w:r>
      <w:r w:rsidR="00684716">
        <w:rPr>
          <w:rFonts w:cs="Arial"/>
          <w:sz w:val="20"/>
          <w:szCs w:val="20"/>
        </w:rPr>
        <w:t>studi clinici randomizzati (</w:t>
      </w:r>
      <w:r w:rsidRPr="00FA51BC">
        <w:rPr>
          <w:rFonts w:cs="Arial"/>
          <w:sz w:val="20"/>
          <w:szCs w:val="20"/>
        </w:rPr>
        <w:t>RCT</w:t>
      </w:r>
      <w:r w:rsidR="00684716">
        <w:rPr>
          <w:rFonts w:cs="Arial"/>
          <w:sz w:val="20"/>
          <w:szCs w:val="20"/>
        </w:rPr>
        <w:t>)</w:t>
      </w:r>
      <w:r w:rsidRPr="00FA51BC">
        <w:rPr>
          <w:rFonts w:cs="Arial"/>
          <w:sz w:val="20"/>
          <w:szCs w:val="20"/>
        </w:rPr>
        <w:t xml:space="preserve"> di Fase III, svolti su oltre 1.500 pazienti adulti affetti da iperuricemia e gotta</w:t>
      </w:r>
      <w:r w:rsidR="005C654C">
        <w:rPr>
          <w:rFonts w:cs="Arial"/>
          <w:sz w:val="20"/>
          <w:szCs w:val="20"/>
        </w:rPr>
        <w:t xml:space="preserve"> </w:t>
      </w:r>
      <w:r w:rsidR="005C654C" w:rsidRPr="005C654C">
        <w:rPr>
          <w:rFonts w:cstheme="minorHAnsi"/>
          <w:sz w:val="20"/>
          <w:szCs w:val="20"/>
        </w:rPr>
        <w:t>(</w:t>
      </w:r>
      <w:r w:rsidR="00706414" w:rsidRPr="00B23A04">
        <w:rPr>
          <w:rFonts w:cs="Arial"/>
          <w:color w:val="0000FF"/>
          <w:sz w:val="20"/>
          <w:szCs w:val="20"/>
        </w:rPr>
        <w:t>Bardin, 2016</w:t>
      </w:r>
      <w:r w:rsidR="00706414">
        <w:rPr>
          <w:rFonts w:cs="Arial"/>
          <w:color w:val="0000FF"/>
          <w:sz w:val="20"/>
          <w:szCs w:val="20"/>
        </w:rPr>
        <w:t xml:space="preserve"> (100); </w:t>
      </w:r>
      <w:r w:rsidR="00D3508A">
        <w:rPr>
          <w:rFonts w:cs="Arial"/>
          <w:color w:val="0000FF"/>
          <w:sz w:val="20"/>
          <w:szCs w:val="20"/>
        </w:rPr>
        <w:t>Saag, 2016 (138</w:t>
      </w:r>
      <w:r w:rsidR="00DA7F29">
        <w:rPr>
          <w:rFonts w:cs="Arial"/>
          <w:color w:val="0000FF"/>
          <w:sz w:val="20"/>
          <w:szCs w:val="20"/>
        </w:rPr>
        <w:t>)</w:t>
      </w:r>
      <w:r w:rsidR="005C654C">
        <w:rPr>
          <w:rFonts w:cs="Arial"/>
          <w:color w:val="0000FF"/>
          <w:sz w:val="20"/>
          <w:szCs w:val="20"/>
        </w:rPr>
        <w:t xml:space="preserve">; </w:t>
      </w:r>
      <w:r w:rsidR="006B5BC6">
        <w:rPr>
          <w:rFonts w:cs="Arial"/>
          <w:color w:val="0000FF"/>
          <w:sz w:val="20"/>
          <w:szCs w:val="20"/>
        </w:rPr>
        <w:t>CSR 304, 2014 (111)</w:t>
      </w:r>
      <w:r w:rsidR="005C654C" w:rsidRPr="00BA0BFE">
        <w:rPr>
          <w:rFonts w:cs="Arial"/>
          <w:sz w:val="20"/>
          <w:szCs w:val="20"/>
        </w:rPr>
        <w:t>)</w:t>
      </w:r>
      <w:r w:rsidRPr="00FA51BC">
        <w:rPr>
          <w:rFonts w:cs="Arial"/>
          <w:sz w:val="20"/>
          <w:szCs w:val="20"/>
        </w:rPr>
        <w:t>.</w:t>
      </w:r>
    </w:p>
    <w:p w14:paraId="6EF6A451" w14:textId="364FA535" w:rsidR="004F2A8E" w:rsidRPr="00F61A51" w:rsidRDefault="004F2A8E" w:rsidP="00825BD3">
      <w:pPr>
        <w:numPr>
          <w:ilvl w:val="0"/>
          <w:numId w:val="37"/>
        </w:numPr>
        <w:spacing w:line="360" w:lineRule="auto"/>
        <w:rPr>
          <w:rFonts w:cs="Arial"/>
          <w:sz w:val="20"/>
          <w:szCs w:val="20"/>
        </w:rPr>
      </w:pPr>
      <w:r w:rsidRPr="00F61A51">
        <w:rPr>
          <w:rFonts w:cs="Arial"/>
          <w:sz w:val="20"/>
          <w:szCs w:val="20"/>
        </w:rPr>
        <w:t xml:space="preserve">Somministrato in associazione a un farmaco XOI, </w:t>
      </w:r>
      <w:r w:rsidRPr="00405C07">
        <w:rPr>
          <w:rFonts w:cs="Arial"/>
          <w:sz w:val="20"/>
          <w:szCs w:val="20"/>
        </w:rPr>
        <w:t>ZURAMPIC migliora l’escrezione dell’acido urico e riduce i livelli di urato sierico (</w:t>
      </w:r>
      <w:r w:rsidR="005848A1" w:rsidRPr="00405C07">
        <w:rPr>
          <w:rFonts w:cs="Arial"/>
          <w:sz w:val="20"/>
          <w:szCs w:val="20"/>
        </w:rPr>
        <w:t>sUA</w:t>
      </w:r>
      <w:r w:rsidRPr="00405C07">
        <w:rPr>
          <w:rFonts w:cs="Arial"/>
          <w:sz w:val="20"/>
          <w:szCs w:val="20"/>
        </w:rPr>
        <w:t>) del 15-25%</w:t>
      </w:r>
      <w:r w:rsidR="00B77A7F" w:rsidRPr="00B77A7F">
        <w:rPr>
          <w:rFonts w:cstheme="minorHAnsi"/>
          <w:sz w:val="20"/>
          <w:szCs w:val="20"/>
        </w:rPr>
        <w:t xml:space="preserve"> </w:t>
      </w:r>
      <w:r w:rsidR="00B77A7F">
        <w:rPr>
          <w:rFonts w:cstheme="minorHAnsi"/>
          <w:sz w:val="20"/>
          <w:szCs w:val="20"/>
        </w:rPr>
        <w:t>rispetto alla baseline</w:t>
      </w:r>
      <w:r w:rsidRPr="00405C07">
        <w:rPr>
          <w:rFonts w:cs="Arial"/>
          <w:sz w:val="20"/>
          <w:szCs w:val="20"/>
        </w:rPr>
        <w:t xml:space="preserve">, </w:t>
      </w:r>
      <w:r w:rsidR="00B77A7F">
        <w:rPr>
          <w:rFonts w:cs="Arial"/>
          <w:sz w:val="20"/>
          <w:szCs w:val="20"/>
        </w:rPr>
        <w:t xml:space="preserve">già dal primo mese, </w:t>
      </w:r>
      <w:r w:rsidRPr="00405C07">
        <w:rPr>
          <w:rFonts w:cs="Arial"/>
          <w:sz w:val="20"/>
          <w:szCs w:val="20"/>
        </w:rPr>
        <w:t>raddoppiando il numero di pazienti che raggiungono il target terapeutico raccomandato dalle Linee Guida.</w:t>
      </w:r>
    </w:p>
    <w:p w14:paraId="070A9C22" w14:textId="0C2B0985" w:rsidR="004F2A8E" w:rsidRPr="00405C07" w:rsidRDefault="004F2A8E" w:rsidP="00825BD3">
      <w:pPr>
        <w:numPr>
          <w:ilvl w:val="1"/>
          <w:numId w:val="37"/>
        </w:numPr>
        <w:spacing w:line="360" w:lineRule="auto"/>
        <w:rPr>
          <w:rFonts w:cs="Arial"/>
          <w:sz w:val="20"/>
          <w:szCs w:val="20"/>
        </w:rPr>
      </w:pPr>
      <w:r w:rsidRPr="00F61A51">
        <w:rPr>
          <w:rFonts w:cs="Arial"/>
          <w:sz w:val="20"/>
          <w:szCs w:val="20"/>
        </w:rPr>
        <w:t>in entrambi i confronti (vs. allopurinolo e vs. febuxostat ) ZURAMPIC in associazione</w:t>
      </w:r>
      <w:r w:rsidR="00F56512">
        <w:rPr>
          <w:rFonts w:cs="Arial"/>
          <w:sz w:val="20"/>
          <w:szCs w:val="20"/>
        </w:rPr>
        <w:t xml:space="preserve"> a XOI</w:t>
      </w:r>
      <w:r w:rsidRPr="00F61A51">
        <w:rPr>
          <w:rFonts w:cs="Arial"/>
          <w:sz w:val="20"/>
          <w:szCs w:val="20"/>
        </w:rPr>
        <w:t xml:space="preserve"> ha dimostrato una riduzione rapida e sostenuta dell’uricemia, </w:t>
      </w:r>
      <w:r w:rsidRPr="00405C07">
        <w:rPr>
          <w:rFonts w:cs="Arial"/>
          <w:sz w:val="20"/>
          <w:szCs w:val="20"/>
        </w:rPr>
        <w:t xml:space="preserve">per cui una quota maggiore di pazienti ha raggiunto i livelli target di </w:t>
      </w:r>
      <w:r w:rsidR="005848A1" w:rsidRPr="00405C07">
        <w:rPr>
          <w:rFonts w:cs="Arial"/>
          <w:sz w:val="20"/>
          <w:szCs w:val="20"/>
        </w:rPr>
        <w:t>sUA</w:t>
      </w:r>
      <w:r w:rsidRPr="00405C07">
        <w:rPr>
          <w:rFonts w:cs="Arial"/>
          <w:sz w:val="20"/>
          <w:szCs w:val="20"/>
        </w:rPr>
        <w:t xml:space="preserve"> (&lt;6.0mg/dl vs allopurinolo monoterapia e &lt;5.0mg/dl vs. febuxostat monoterapia) fin dal mese 1, target mantenuto fino al 12° mese di studio</w:t>
      </w:r>
      <w:r w:rsidR="008B24E0" w:rsidRPr="00405C07">
        <w:rPr>
          <w:rFonts w:cs="Arial"/>
          <w:sz w:val="20"/>
          <w:szCs w:val="20"/>
        </w:rPr>
        <w:t xml:space="preserve"> e nei successivi 12 mesi di estensione</w:t>
      </w:r>
    </w:p>
    <w:p w14:paraId="3D147CA0" w14:textId="4ADB7426" w:rsidR="004F2A8E" w:rsidRPr="00BE397C" w:rsidRDefault="004F2A8E" w:rsidP="00825BD3">
      <w:pPr>
        <w:numPr>
          <w:ilvl w:val="1"/>
          <w:numId w:val="37"/>
        </w:numPr>
        <w:spacing w:line="360" w:lineRule="auto"/>
        <w:rPr>
          <w:rFonts w:cs="Arial"/>
          <w:sz w:val="20"/>
          <w:szCs w:val="20"/>
        </w:rPr>
      </w:pPr>
      <w:r w:rsidRPr="00F61A51">
        <w:rPr>
          <w:rFonts w:cs="Arial"/>
          <w:sz w:val="20"/>
          <w:szCs w:val="20"/>
        </w:rPr>
        <w:t xml:space="preserve">in entrambi i confronti (vs. allopurinolo e vs. febuxostat) la consistente superiorità di efficacia della combinazione con ZURAMPIC è stata confermata in tutti i sottogruppi di pazienti analizzati e in particolare nei soggetti con insufficienza renale lieve-moderata, nei soggetti che assumevano diuretici tiazidici, nei pazienti in trattamento </w:t>
      </w:r>
      <w:r w:rsidRPr="00BE397C">
        <w:rPr>
          <w:rFonts w:cs="Arial"/>
          <w:sz w:val="20"/>
          <w:szCs w:val="20"/>
        </w:rPr>
        <w:t xml:space="preserve">con aspirina </w:t>
      </w:r>
      <w:r w:rsidR="00B77A7F" w:rsidRPr="00BE397C">
        <w:rPr>
          <w:rFonts w:cs="Arial"/>
          <w:sz w:val="20"/>
          <w:szCs w:val="20"/>
        </w:rPr>
        <w:t>e nei pazienti di età &gt; 65 anni</w:t>
      </w:r>
      <w:r w:rsidRPr="00BE397C">
        <w:rPr>
          <w:rFonts w:cs="Arial"/>
          <w:sz w:val="20"/>
          <w:szCs w:val="20"/>
        </w:rPr>
        <w:t>.</w:t>
      </w:r>
    </w:p>
    <w:p w14:paraId="2B9CEA05" w14:textId="6DD31772" w:rsidR="00D9675A" w:rsidRPr="00D67DB4" w:rsidRDefault="00D9675A" w:rsidP="00825BD3">
      <w:pPr>
        <w:numPr>
          <w:ilvl w:val="0"/>
          <w:numId w:val="37"/>
        </w:numPr>
        <w:spacing w:line="360" w:lineRule="auto"/>
        <w:rPr>
          <w:rFonts w:cs="Arial"/>
          <w:b/>
          <w:sz w:val="20"/>
          <w:szCs w:val="20"/>
        </w:rPr>
      </w:pPr>
      <w:r>
        <w:rPr>
          <w:rFonts w:cs="Arial"/>
          <w:b/>
          <w:sz w:val="20"/>
          <w:szCs w:val="20"/>
        </w:rPr>
        <w:t xml:space="preserve">ZURAMPIC </w:t>
      </w:r>
      <w:r w:rsidRPr="00F61A51">
        <w:rPr>
          <w:rFonts w:cs="Arial"/>
          <w:b/>
          <w:sz w:val="20"/>
          <w:szCs w:val="20"/>
        </w:rPr>
        <w:t xml:space="preserve">in combinazione </w:t>
      </w:r>
      <w:r>
        <w:rPr>
          <w:rFonts w:cs="Arial"/>
          <w:b/>
          <w:sz w:val="20"/>
          <w:szCs w:val="20"/>
        </w:rPr>
        <w:t>con allopurinolo ha consentito il raggiungimento dei livelli target di sUA in più del doppio dei pazienti con tofi al basale rispetto alla monoterapia (</w:t>
      </w:r>
      <w:r w:rsidRPr="00D9675A">
        <w:rPr>
          <w:rFonts w:cs="Arial"/>
          <w:b/>
          <w:sz w:val="20"/>
          <w:szCs w:val="20"/>
        </w:rPr>
        <w:t>46.8% versus 21.3%, p = 0.0011</w:t>
      </w:r>
      <w:r>
        <w:rPr>
          <w:rFonts w:cs="Arial"/>
          <w:b/>
          <w:sz w:val="20"/>
          <w:szCs w:val="20"/>
        </w:rPr>
        <w:t>)</w:t>
      </w:r>
      <w:r w:rsidR="000C0EDD">
        <w:rPr>
          <w:rFonts w:cs="Arial"/>
          <w:b/>
          <w:sz w:val="20"/>
          <w:szCs w:val="20"/>
        </w:rPr>
        <w:t xml:space="preserve"> </w:t>
      </w:r>
      <w:r>
        <w:rPr>
          <w:rFonts w:cs="Arial"/>
          <w:b/>
          <w:sz w:val="20"/>
          <w:szCs w:val="20"/>
        </w:rPr>
        <w:t>(</w:t>
      </w:r>
      <w:r w:rsidR="0020764E">
        <w:rPr>
          <w:rFonts w:cs="Arial"/>
          <w:color w:val="0000FF"/>
          <w:sz w:val="20"/>
          <w:szCs w:val="20"/>
        </w:rPr>
        <w:t>Clinical Overview, 2014 (131</w:t>
      </w:r>
      <w:r w:rsidR="009B51CD">
        <w:rPr>
          <w:rFonts w:cs="Arial"/>
          <w:color w:val="0000FF"/>
          <w:sz w:val="20"/>
          <w:szCs w:val="20"/>
        </w:rPr>
        <w:t>)</w:t>
      </w:r>
      <w:r>
        <w:rPr>
          <w:rFonts w:cs="Arial"/>
          <w:b/>
          <w:sz w:val="20"/>
          <w:szCs w:val="20"/>
        </w:rPr>
        <w:t>)</w:t>
      </w:r>
    </w:p>
    <w:p w14:paraId="3E3939E1" w14:textId="2B3298BF" w:rsidR="00F56512" w:rsidRPr="00F61A51" w:rsidRDefault="00F56512" w:rsidP="00825BD3">
      <w:pPr>
        <w:numPr>
          <w:ilvl w:val="0"/>
          <w:numId w:val="37"/>
        </w:numPr>
        <w:spacing w:line="360" w:lineRule="auto"/>
        <w:rPr>
          <w:rFonts w:cs="Arial"/>
          <w:sz w:val="20"/>
          <w:szCs w:val="20"/>
        </w:rPr>
      </w:pPr>
      <w:r w:rsidRPr="00E62075">
        <w:rPr>
          <w:rFonts w:cs="Arial"/>
          <w:sz w:val="20"/>
          <w:szCs w:val="20"/>
        </w:rPr>
        <w:t xml:space="preserve">Un’analisi addizionale ha dimostrato che l’associazione lesinurad con XOI è efficace nei soggetti più resistenti, inclusi quelli con livelli al basale di </w:t>
      </w:r>
      <w:r>
        <w:rPr>
          <w:rFonts w:cs="Arial"/>
          <w:sz w:val="20"/>
          <w:szCs w:val="20"/>
        </w:rPr>
        <w:t>SUA</w:t>
      </w:r>
      <w:r w:rsidRPr="00E62075">
        <w:rPr>
          <w:rFonts w:cs="Arial"/>
          <w:sz w:val="20"/>
          <w:szCs w:val="20"/>
        </w:rPr>
        <w:t xml:space="preserve"> più elevati (es. </w:t>
      </w:r>
      <w:r>
        <w:rPr>
          <w:rFonts w:cs="Arial"/>
          <w:sz w:val="20"/>
          <w:szCs w:val="20"/>
        </w:rPr>
        <w:t>SUA</w:t>
      </w:r>
      <w:r w:rsidRPr="00E62075">
        <w:rPr>
          <w:rFonts w:cs="Arial"/>
          <w:sz w:val="20"/>
          <w:szCs w:val="20"/>
        </w:rPr>
        <w:t xml:space="preserve"> &gt; 7-8 mg/dl) (</w:t>
      </w:r>
      <w:r w:rsidR="00563FA4">
        <w:rPr>
          <w:rFonts w:cs="Arial"/>
          <w:color w:val="0000FF"/>
          <w:sz w:val="20"/>
          <w:szCs w:val="20"/>
        </w:rPr>
        <w:t>EPAR, 2015 (42)</w:t>
      </w:r>
      <w:r w:rsidRPr="00E62075">
        <w:rPr>
          <w:rFonts w:cs="Arial"/>
          <w:sz w:val="20"/>
          <w:szCs w:val="20"/>
        </w:rPr>
        <w:t>).</w:t>
      </w:r>
    </w:p>
    <w:p w14:paraId="55FDC969" w14:textId="5154683B" w:rsidR="004F2A8E" w:rsidRDefault="004F2A8E" w:rsidP="00825BD3">
      <w:pPr>
        <w:numPr>
          <w:ilvl w:val="0"/>
          <w:numId w:val="37"/>
        </w:numPr>
        <w:spacing w:line="360" w:lineRule="auto"/>
        <w:rPr>
          <w:rFonts w:cs="Arial"/>
          <w:sz w:val="20"/>
          <w:szCs w:val="20"/>
        </w:rPr>
      </w:pPr>
      <w:r w:rsidRPr="00F61A51">
        <w:rPr>
          <w:rFonts w:cs="Arial"/>
          <w:b/>
          <w:sz w:val="20"/>
          <w:szCs w:val="20"/>
        </w:rPr>
        <w:t>ZURAMPIC in combinazione con febuxostat</w:t>
      </w:r>
      <w:r w:rsidRPr="00F61A51">
        <w:rPr>
          <w:rFonts w:cs="Arial"/>
          <w:sz w:val="20"/>
          <w:szCs w:val="20"/>
        </w:rPr>
        <w:t xml:space="preserve">, in una popolazione di pazienti con tofi visibili al basale, ha determinato </w:t>
      </w:r>
      <w:r w:rsidRPr="00405C98">
        <w:rPr>
          <w:rFonts w:cs="Arial"/>
          <w:b/>
          <w:sz w:val="20"/>
          <w:szCs w:val="20"/>
        </w:rPr>
        <w:t xml:space="preserve">una </w:t>
      </w:r>
      <w:r w:rsidR="00405C98" w:rsidRPr="00405C98">
        <w:rPr>
          <w:rFonts w:cs="Arial"/>
          <w:b/>
          <w:sz w:val="20"/>
          <w:szCs w:val="20"/>
        </w:rPr>
        <w:t>riduzione dell’area dei tofi superiore rispetto alla monoterapia</w:t>
      </w:r>
      <w:r w:rsidRPr="00F61A51">
        <w:rPr>
          <w:rFonts w:cs="Arial"/>
          <w:sz w:val="20"/>
          <w:szCs w:val="20"/>
        </w:rPr>
        <w:t xml:space="preserve"> riducendo quasi del doppio l’area totale dei tofi (50</w:t>
      </w:r>
      <w:r w:rsidR="00FA51BC">
        <w:rPr>
          <w:rFonts w:cs="Arial"/>
          <w:sz w:val="20"/>
          <w:szCs w:val="20"/>
        </w:rPr>
        <w:t>.1</w:t>
      </w:r>
      <w:r w:rsidRPr="00F61A51">
        <w:rPr>
          <w:rFonts w:cs="Arial"/>
          <w:sz w:val="20"/>
          <w:szCs w:val="20"/>
        </w:rPr>
        <w:t>% vs. 28</w:t>
      </w:r>
      <w:r w:rsidR="00FA51BC">
        <w:rPr>
          <w:rFonts w:cs="Arial"/>
          <w:sz w:val="20"/>
          <w:szCs w:val="20"/>
        </w:rPr>
        <w:t>.3</w:t>
      </w:r>
      <w:r w:rsidRPr="00F61A51">
        <w:rPr>
          <w:rFonts w:cs="Arial"/>
          <w:sz w:val="20"/>
          <w:szCs w:val="20"/>
        </w:rPr>
        <w:t>% della monoterapia</w:t>
      </w:r>
      <w:r w:rsidR="00D9675A">
        <w:rPr>
          <w:rFonts w:cs="Arial"/>
          <w:sz w:val="20"/>
          <w:szCs w:val="20"/>
        </w:rPr>
        <w:t>, p&lt;0,05</w:t>
      </w:r>
      <w:r w:rsidRPr="00F61A51">
        <w:rPr>
          <w:rFonts w:cs="Arial"/>
          <w:sz w:val="20"/>
          <w:szCs w:val="20"/>
        </w:rPr>
        <w:t>)</w:t>
      </w:r>
      <w:r w:rsidR="008016E7">
        <w:rPr>
          <w:rFonts w:cs="Arial"/>
          <w:sz w:val="20"/>
          <w:szCs w:val="20"/>
        </w:rPr>
        <w:t xml:space="preserve"> (</w:t>
      </w:r>
      <w:r w:rsidR="0087651E">
        <w:rPr>
          <w:rFonts w:cs="Arial"/>
          <w:color w:val="0000FF"/>
          <w:sz w:val="20"/>
          <w:szCs w:val="20"/>
        </w:rPr>
        <w:t>CSR 304, 2014 (111</w:t>
      </w:r>
      <w:r w:rsidR="008E6BDD">
        <w:rPr>
          <w:rFonts w:cs="Arial"/>
          <w:color w:val="0000FF"/>
          <w:sz w:val="20"/>
          <w:szCs w:val="20"/>
        </w:rPr>
        <w:t>)</w:t>
      </w:r>
      <w:r w:rsidR="008016E7">
        <w:rPr>
          <w:rFonts w:cs="Arial"/>
          <w:sz w:val="20"/>
          <w:szCs w:val="20"/>
        </w:rPr>
        <w:t>)</w:t>
      </w:r>
      <w:r w:rsidRPr="00F61A51">
        <w:rPr>
          <w:rFonts w:cs="Arial"/>
          <w:sz w:val="20"/>
          <w:szCs w:val="20"/>
        </w:rPr>
        <w:t xml:space="preserve">. </w:t>
      </w:r>
    </w:p>
    <w:p w14:paraId="55A6F937" w14:textId="48D52BE1" w:rsidR="00F56512" w:rsidRDefault="00F56512" w:rsidP="00825BD3">
      <w:pPr>
        <w:numPr>
          <w:ilvl w:val="0"/>
          <w:numId w:val="37"/>
        </w:numPr>
        <w:spacing w:line="360" w:lineRule="auto"/>
        <w:rPr>
          <w:rFonts w:cs="Arial"/>
          <w:sz w:val="20"/>
          <w:szCs w:val="20"/>
        </w:rPr>
      </w:pPr>
      <w:r w:rsidRPr="0035001A">
        <w:rPr>
          <w:rFonts w:cs="Arial"/>
          <w:b/>
          <w:sz w:val="20"/>
          <w:szCs w:val="20"/>
        </w:rPr>
        <w:t>i dati di efficacia a lungo termine dopo 24 mesi di trattamento hanno fornito evidenze sufficienti a dimostrare l’effetto clinico con riduzione continua dei tofi e dei flares</w:t>
      </w:r>
      <w:r w:rsidRPr="00BC34F2">
        <w:rPr>
          <w:rFonts w:cs="Arial"/>
          <w:sz w:val="20"/>
          <w:szCs w:val="20"/>
        </w:rPr>
        <w:t xml:space="preserve"> (</w:t>
      </w:r>
      <w:r w:rsidR="00563FA4">
        <w:rPr>
          <w:rFonts w:cs="Arial"/>
          <w:color w:val="0000FF"/>
          <w:sz w:val="20"/>
          <w:szCs w:val="20"/>
        </w:rPr>
        <w:t>EPAR, 2015 (42)</w:t>
      </w:r>
      <w:r w:rsidRPr="00BC34F2">
        <w:rPr>
          <w:rFonts w:cs="Arial"/>
          <w:sz w:val="20"/>
          <w:szCs w:val="20"/>
        </w:rPr>
        <w:t>)</w:t>
      </w:r>
      <w:r w:rsidRPr="0035001A">
        <w:rPr>
          <w:rFonts w:cs="Arial"/>
          <w:b/>
          <w:sz w:val="20"/>
          <w:szCs w:val="20"/>
        </w:rPr>
        <w:t>.</w:t>
      </w:r>
    </w:p>
    <w:p w14:paraId="65B22F58" w14:textId="5AB53D41" w:rsidR="00E34E16" w:rsidRPr="00E34E16" w:rsidRDefault="004F2A8E" w:rsidP="00E34E16">
      <w:pPr>
        <w:numPr>
          <w:ilvl w:val="0"/>
          <w:numId w:val="37"/>
        </w:numPr>
        <w:spacing w:line="360" w:lineRule="auto"/>
        <w:rPr>
          <w:rFonts w:cs="Arial"/>
          <w:b/>
          <w:sz w:val="20"/>
          <w:szCs w:val="20"/>
        </w:rPr>
      </w:pPr>
      <w:r w:rsidRPr="00F61A51">
        <w:rPr>
          <w:rFonts w:cs="Arial"/>
          <w:sz w:val="20"/>
          <w:szCs w:val="20"/>
        </w:rPr>
        <w:t xml:space="preserve">ZURAMPIC in combinazione con un farmaco XOI ha un </w:t>
      </w:r>
      <w:r w:rsidRPr="00F61A51">
        <w:rPr>
          <w:rFonts w:cs="Arial"/>
          <w:b/>
          <w:sz w:val="20"/>
          <w:szCs w:val="20"/>
        </w:rPr>
        <w:t>profilo di eventi avversi del tutto gestibile, e comparabile</w:t>
      </w:r>
      <w:r w:rsidRPr="00F61A51">
        <w:rPr>
          <w:rFonts w:cs="Arial"/>
          <w:sz w:val="20"/>
          <w:szCs w:val="20"/>
        </w:rPr>
        <w:t xml:space="preserve"> a quello che si ottiene con allopurinolo o febuxostat in monoterapia</w:t>
      </w:r>
      <w:r w:rsidR="00E34E16">
        <w:rPr>
          <w:rFonts w:cs="Arial"/>
          <w:sz w:val="20"/>
          <w:szCs w:val="20"/>
        </w:rPr>
        <w:t>; s</w:t>
      </w:r>
      <w:r w:rsidR="00E34E16" w:rsidRPr="00E34E16">
        <w:rPr>
          <w:rFonts w:cs="Arial"/>
          <w:b/>
          <w:sz w:val="20"/>
          <w:szCs w:val="20"/>
        </w:rPr>
        <w:t>ulla base dei risultati degli studi di estensione  è stato concluso che il trattamento a lungo termine (fino a 52 mesi) di lesinurad 200 mg/die in associazione ad allopurinolo o febuxostat era ben tollerato nei pazienti gottosi.</w:t>
      </w:r>
    </w:p>
    <w:p w14:paraId="6DEB216D" w14:textId="4CEE8DB7" w:rsidR="000B4D6A" w:rsidRPr="00F61A51" w:rsidRDefault="000B4D6A" w:rsidP="00825BD3">
      <w:pPr>
        <w:numPr>
          <w:ilvl w:val="0"/>
          <w:numId w:val="37"/>
        </w:numPr>
        <w:spacing w:line="360" w:lineRule="auto"/>
        <w:rPr>
          <w:rFonts w:cs="Arial"/>
          <w:sz w:val="20"/>
          <w:szCs w:val="20"/>
        </w:rPr>
      </w:pPr>
      <w:r>
        <w:rPr>
          <w:rFonts w:cs="Arial"/>
          <w:sz w:val="20"/>
          <w:szCs w:val="20"/>
        </w:rPr>
        <w:t>ZURAMPIC</w:t>
      </w:r>
      <w:r w:rsidRPr="000B4D6A">
        <w:rPr>
          <w:rFonts w:cs="Arial"/>
          <w:sz w:val="20"/>
          <w:szCs w:val="20"/>
        </w:rPr>
        <w:t xml:space="preserve"> ha dimostrato di </w:t>
      </w:r>
      <w:r w:rsidRPr="00405C07">
        <w:rPr>
          <w:rFonts w:cs="Arial"/>
          <w:b/>
          <w:sz w:val="20"/>
          <w:szCs w:val="20"/>
        </w:rPr>
        <w:t>non avere rilevanti interazioni con altri farmaci</w:t>
      </w:r>
      <w:r w:rsidRPr="000B4D6A">
        <w:rPr>
          <w:rFonts w:cs="Arial"/>
          <w:sz w:val="20"/>
          <w:szCs w:val="20"/>
        </w:rPr>
        <w:t xml:space="preserve"> quali atorvastatina, metformina e furosemide, non alterandone l’esposizione plasmatica (AUC). Questo aspetto è particolarmente importante in </w:t>
      </w:r>
      <w:r w:rsidRPr="00405C07">
        <w:rPr>
          <w:rFonts w:cs="Arial"/>
          <w:b/>
          <w:sz w:val="20"/>
          <w:szCs w:val="20"/>
        </w:rPr>
        <w:t>soggetti anziani, tipicamente poli-trattati per altre patologie croniche quali ipercolesterolemia, diabete e ipertensione</w:t>
      </w:r>
      <w:r w:rsidRPr="000B4D6A">
        <w:rPr>
          <w:rFonts w:cs="Arial"/>
          <w:sz w:val="20"/>
          <w:szCs w:val="20"/>
        </w:rPr>
        <w:t xml:space="preserve"> (</w:t>
      </w:r>
      <w:r w:rsidR="00E54BFE">
        <w:rPr>
          <w:rFonts w:cs="Arial"/>
          <w:color w:val="0000FF"/>
          <w:sz w:val="20"/>
          <w:szCs w:val="20"/>
        </w:rPr>
        <w:t>Shen, 2016 (5)</w:t>
      </w:r>
      <w:r w:rsidRPr="000B4D6A">
        <w:rPr>
          <w:rFonts w:cs="Arial"/>
          <w:sz w:val="20"/>
          <w:szCs w:val="20"/>
        </w:rPr>
        <w:t>).</w:t>
      </w:r>
    </w:p>
    <w:p w14:paraId="0C013FB9" w14:textId="26CC107E" w:rsidR="004F2A8E" w:rsidRPr="00405C07" w:rsidRDefault="00116CD0" w:rsidP="00825BD3">
      <w:pPr>
        <w:numPr>
          <w:ilvl w:val="0"/>
          <w:numId w:val="37"/>
        </w:numPr>
        <w:spacing w:line="360" w:lineRule="auto"/>
        <w:rPr>
          <w:rFonts w:cs="Arial"/>
          <w:sz w:val="20"/>
          <w:szCs w:val="20"/>
        </w:rPr>
      </w:pPr>
      <w:r>
        <w:rPr>
          <w:rFonts w:cs="Arial"/>
          <w:sz w:val="20"/>
          <w:szCs w:val="20"/>
        </w:rPr>
        <w:t xml:space="preserve">Il meccanismo d’azione di ZURAMPIC e le sue peculiarità </w:t>
      </w:r>
      <w:r w:rsidRPr="00B25E19">
        <w:rPr>
          <w:rFonts w:cs="Arial"/>
          <w:sz w:val="20"/>
          <w:szCs w:val="20"/>
        </w:rPr>
        <w:t>farmacologiche lo rendono</w:t>
      </w:r>
      <w:r>
        <w:rPr>
          <w:rFonts w:cs="Arial"/>
          <w:sz w:val="20"/>
          <w:szCs w:val="20"/>
        </w:rPr>
        <w:t xml:space="preserve"> l’uricosurico con il profilo di sicurezza maggiormente favorevole, </w:t>
      </w:r>
      <w:r w:rsidRPr="00865528">
        <w:rPr>
          <w:rFonts w:cs="Arial"/>
          <w:sz w:val="20"/>
          <w:szCs w:val="20"/>
        </w:rPr>
        <w:t>tanto che l’uso ne è autorizzato anche nei pazienti con insufficienza renale lieve e moderata come anche con insufficienza epatica lieve e moderata senza modifiche del dosaggio (</w:t>
      </w:r>
      <w:r w:rsidRPr="00865528">
        <w:rPr>
          <w:rFonts w:cs="Arial"/>
          <w:color w:val="0000FF"/>
          <w:sz w:val="20"/>
          <w:szCs w:val="20"/>
        </w:rPr>
        <w:t>SmP</w:t>
      </w:r>
      <w:r>
        <w:rPr>
          <w:rFonts w:cs="Arial"/>
          <w:color w:val="0000FF"/>
          <w:sz w:val="20"/>
          <w:szCs w:val="20"/>
        </w:rPr>
        <w:t>C</w:t>
      </w:r>
      <w:r w:rsidR="0018676B" w:rsidRPr="0018676B">
        <w:rPr>
          <w:rFonts w:cs="Arial"/>
          <w:color w:val="0000FF"/>
          <w:sz w:val="20"/>
          <w:szCs w:val="20"/>
        </w:rPr>
        <w:t xml:space="preserve"> </w:t>
      </w:r>
      <w:r w:rsidR="0018676B" w:rsidRPr="00865528">
        <w:rPr>
          <w:rFonts w:cs="Arial"/>
          <w:color w:val="0000FF"/>
          <w:sz w:val="20"/>
          <w:szCs w:val="20"/>
        </w:rPr>
        <w:t>Zurampic</w:t>
      </w:r>
      <w:r w:rsidRPr="00865528">
        <w:rPr>
          <w:rFonts w:cs="Arial"/>
          <w:color w:val="0000FF"/>
          <w:sz w:val="20"/>
          <w:szCs w:val="20"/>
        </w:rPr>
        <w:t>, EPAR, 2015 (</w:t>
      </w:r>
      <w:r w:rsidR="0018676B">
        <w:rPr>
          <w:rFonts w:cs="Arial"/>
          <w:color w:val="0000FF"/>
          <w:sz w:val="20"/>
          <w:szCs w:val="20"/>
        </w:rPr>
        <w:t>1</w:t>
      </w:r>
      <w:r w:rsidRPr="00865528">
        <w:rPr>
          <w:rFonts w:cs="Arial"/>
          <w:color w:val="0000FF"/>
          <w:sz w:val="20"/>
          <w:szCs w:val="20"/>
        </w:rPr>
        <w:t>)</w:t>
      </w:r>
      <w:r>
        <w:rPr>
          <w:rFonts w:cs="Arial"/>
          <w:sz w:val="20"/>
          <w:szCs w:val="20"/>
        </w:rPr>
        <w:t>)</w:t>
      </w:r>
    </w:p>
    <w:p w14:paraId="761567CF" w14:textId="092FD98B" w:rsidR="00BF7FE3" w:rsidRPr="00F61A51" w:rsidRDefault="00BF7FE3" w:rsidP="00BF7FE3">
      <w:pPr>
        <w:spacing w:line="360" w:lineRule="auto"/>
        <w:rPr>
          <w:rFonts w:cs="Arial"/>
          <w:b/>
          <w:sz w:val="20"/>
          <w:szCs w:val="20"/>
        </w:rPr>
      </w:pPr>
      <w:r w:rsidRPr="00F61A51">
        <w:rPr>
          <w:rFonts w:cs="Arial"/>
          <w:b/>
          <w:sz w:val="20"/>
          <w:szCs w:val="20"/>
        </w:rPr>
        <w:t>Popolazione target</w:t>
      </w:r>
    </w:p>
    <w:p w14:paraId="2E3C62B1" w14:textId="4F2CF0D8" w:rsidR="00BF7FE3" w:rsidRDefault="00BF7FE3" w:rsidP="00825BD3">
      <w:pPr>
        <w:numPr>
          <w:ilvl w:val="0"/>
          <w:numId w:val="37"/>
        </w:numPr>
        <w:spacing w:line="360" w:lineRule="auto"/>
        <w:rPr>
          <w:rFonts w:cs="Arial"/>
          <w:sz w:val="20"/>
          <w:szCs w:val="20"/>
        </w:rPr>
      </w:pPr>
      <w:r>
        <w:rPr>
          <w:rFonts w:cs="Arial"/>
          <w:sz w:val="20"/>
          <w:szCs w:val="20"/>
        </w:rPr>
        <w:t>In base ad u</w:t>
      </w:r>
      <w:r w:rsidRPr="00FA51BC">
        <w:rPr>
          <w:rFonts w:cs="Arial"/>
          <w:sz w:val="20"/>
          <w:szCs w:val="20"/>
        </w:rPr>
        <w:t xml:space="preserve">na ricerca IMS commissionata </w:t>
      </w:r>
      <w:r w:rsidR="00B42CAA">
        <w:rPr>
          <w:rFonts w:cs="Arial"/>
          <w:sz w:val="20"/>
          <w:szCs w:val="20"/>
        </w:rPr>
        <w:t xml:space="preserve">nel 2016 </w:t>
      </w:r>
      <w:r w:rsidRPr="00FA51BC">
        <w:rPr>
          <w:rFonts w:cs="Arial"/>
          <w:sz w:val="20"/>
          <w:szCs w:val="20"/>
        </w:rPr>
        <w:t xml:space="preserve">da Grünenthal </w:t>
      </w:r>
      <w:r w:rsidR="00B42CAA">
        <w:rPr>
          <w:rFonts w:cs="Arial"/>
          <w:sz w:val="20"/>
          <w:szCs w:val="20"/>
        </w:rPr>
        <w:t>,</w:t>
      </w:r>
      <w:r w:rsidRPr="00F61A51">
        <w:rPr>
          <w:rFonts w:cs="Arial"/>
          <w:sz w:val="20"/>
          <w:szCs w:val="20"/>
        </w:rPr>
        <w:t xml:space="preserve"> in Italia si stimano</w:t>
      </w:r>
      <w:r w:rsidR="00B42CAA">
        <w:rPr>
          <w:rFonts w:cs="Arial"/>
          <w:sz w:val="20"/>
          <w:szCs w:val="20"/>
        </w:rPr>
        <w:t xml:space="preserve"> nel 2016 </w:t>
      </w:r>
      <w:r>
        <w:rPr>
          <w:rFonts w:cs="Arial"/>
          <w:sz w:val="20"/>
          <w:szCs w:val="20"/>
        </w:rPr>
        <w:t>4</w:t>
      </w:r>
      <w:r w:rsidRPr="00F61A51">
        <w:rPr>
          <w:rFonts w:cs="Arial"/>
          <w:sz w:val="20"/>
          <w:szCs w:val="20"/>
        </w:rPr>
        <w:t>.</w:t>
      </w:r>
      <w:r>
        <w:rPr>
          <w:rFonts w:cs="Arial"/>
          <w:sz w:val="20"/>
          <w:szCs w:val="20"/>
        </w:rPr>
        <w:t>705.063</w:t>
      </w:r>
      <w:r w:rsidRPr="00F61A51">
        <w:rPr>
          <w:rFonts w:cs="Arial"/>
          <w:sz w:val="20"/>
          <w:szCs w:val="20"/>
        </w:rPr>
        <w:t xml:space="preserve"> </w:t>
      </w:r>
      <w:r w:rsidRPr="00966D8B">
        <w:rPr>
          <w:rFonts w:cs="Arial"/>
          <w:sz w:val="20"/>
          <w:szCs w:val="20"/>
        </w:rPr>
        <w:t>pazienti affetti da gotta</w:t>
      </w:r>
      <w:r>
        <w:rPr>
          <w:rFonts w:cs="Arial"/>
          <w:sz w:val="20"/>
          <w:szCs w:val="20"/>
        </w:rPr>
        <w:t xml:space="preserve"> e</w:t>
      </w:r>
      <w:r w:rsidRPr="00966D8B">
        <w:rPr>
          <w:rFonts w:cs="Arial"/>
          <w:sz w:val="20"/>
          <w:szCs w:val="20"/>
        </w:rPr>
        <w:t>/</w:t>
      </w:r>
      <w:r>
        <w:rPr>
          <w:rFonts w:cs="Arial"/>
          <w:sz w:val="20"/>
          <w:szCs w:val="20"/>
        </w:rPr>
        <w:t xml:space="preserve">o </w:t>
      </w:r>
      <w:r w:rsidRPr="00966D8B">
        <w:rPr>
          <w:rFonts w:cs="Arial"/>
          <w:sz w:val="20"/>
          <w:szCs w:val="20"/>
        </w:rPr>
        <w:t>iperuricemia; di questi 1.761.063 (37,43%) sono trattati con XOI e circa il</w:t>
      </w:r>
      <w:r w:rsidR="00B42CAA">
        <w:rPr>
          <w:rFonts w:cs="Arial"/>
          <w:sz w:val="20"/>
          <w:szCs w:val="20"/>
        </w:rPr>
        <w:t xml:space="preserve"> 43,5 </w:t>
      </w:r>
      <w:r w:rsidRPr="00966D8B">
        <w:rPr>
          <w:rFonts w:cs="Arial"/>
          <w:iCs/>
          <w:sz w:val="20"/>
          <w:szCs w:val="20"/>
        </w:rPr>
        <w:t>% dei pazienti totali non è a target uricemico: pertanto si stima che i pazienti che potrebbero beneficiare di un trattamento con Zurampic deriverebbero da un pool di circa 2</w:t>
      </w:r>
      <w:r w:rsidR="008A4C95">
        <w:rPr>
          <w:rFonts w:cs="Arial"/>
          <w:iCs/>
          <w:sz w:val="20"/>
          <w:szCs w:val="20"/>
        </w:rPr>
        <w:t>10</w:t>
      </w:r>
      <w:r w:rsidRPr="00966D8B">
        <w:rPr>
          <w:rFonts w:cs="Arial"/>
          <w:iCs/>
          <w:sz w:val="20"/>
          <w:szCs w:val="20"/>
        </w:rPr>
        <w:t xml:space="preserve">.000 </w:t>
      </w:r>
      <w:r w:rsidRPr="00DA0678">
        <w:rPr>
          <w:rFonts w:cs="Arial"/>
          <w:b/>
          <w:iCs/>
          <w:sz w:val="20"/>
          <w:szCs w:val="20"/>
        </w:rPr>
        <w:t>pazienti gottosi</w:t>
      </w:r>
      <w:r w:rsidRPr="00966D8B">
        <w:rPr>
          <w:rFonts w:cs="Arial"/>
          <w:iCs/>
          <w:sz w:val="20"/>
          <w:szCs w:val="20"/>
        </w:rPr>
        <w:t xml:space="preserve"> ma anche da un pool di </w:t>
      </w:r>
      <w:r w:rsidR="008A4C95">
        <w:rPr>
          <w:rFonts w:cs="Arial"/>
          <w:iCs/>
          <w:sz w:val="20"/>
          <w:szCs w:val="20"/>
        </w:rPr>
        <w:t>550</w:t>
      </w:r>
      <w:r w:rsidRPr="00966D8B">
        <w:rPr>
          <w:rFonts w:cs="Arial"/>
          <w:iCs/>
          <w:sz w:val="20"/>
          <w:szCs w:val="20"/>
        </w:rPr>
        <w:t xml:space="preserve">.000 pazienti iperuricemici/gottosi al cui interno si celano in parte anche i pazienti con </w:t>
      </w:r>
      <w:r w:rsidRPr="00DA0678">
        <w:rPr>
          <w:rFonts w:cs="Arial"/>
          <w:b/>
          <w:iCs/>
          <w:sz w:val="20"/>
          <w:szCs w:val="20"/>
        </w:rPr>
        <w:t>gotta intercritica</w:t>
      </w:r>
      <w:r w:rsidRPr="00966D8B">
        <w:rPr>
          <w:rFonts w:cs="Arial"/>
          <w:iCs/>
          <w:sz w:val="20"/>
          <w:szCs w:val="20"/>
        </w:rPr>
        <w:t xml:space="preserve"> che necesiterebbero di Zurampic proprio per trattare la </w:t>
      </w:r>
      <w:r>
        <w:rPr>
          <w:rFonts w:cs="Arial"/>
          <w:iCs/>
          <w:sz w:val="20"/>
          <w:szCs w:val="20"/>
        </w:rPr>
        <w:t>patologia</w:t>
      </w:r>
      <w:r w:rsidRPr="00966D8B">
        <w:rPr>
          <w:rFonts w:cs="Arial"/>
          <w:iCs/>
          <w:sz w:val="20"/>
          <w:szCs w:val="20"/>
        </w:rPr>
        <w:t xml:space="preserve"> in maniera adeguata</w:t>
      </w:r>
      <w:r>
        <w:rPr>
          <w:rFonts w:cs="Arial"/>
          <w:iCs/>
          <w:sz w:val="20"/>
          <w:szCs w:val="20"/>
        </w:rPr>
        <w:t>, riducendo la probabilità di andare incontro a nuovi</w:t>
      </w:r>
      <w:r w:rsidR="00D7720E">
        <w:rPr>
          <w:rFonts w:cs="Arial"/>
          <w:iCs/>
          <w:sz w:val="20"/>
          <w:szCs w:val="20"/>
        </w:rPr>
        <w:t xml:space="preserve"> </w:t>
      </w:r>
      <w:r w:rsidRPr="00966D8B">
        <w:rPr>
          <w:rFonts w:cs="Arial"/>
          <w:iCs/>
          <w:sz w:val="20"/>
          <w:szCs w:val="20"/>
        </w:rPr>
        <w:t xml:space="preserve">attacchi acuti </w:t>
      </w:r>
      <w:r>
        <w:rPr>
          <w:rFonts w:cs="Arial"/>
          <w:iCs/>
          <w:sz w:val="20"/>
          <w:szCs w:val="20"/>
        </w:rPr>
        <w:t>e intervendo sulla progressione della patologia</w:t>
      </w:r>
      <w:r w:rsidRPr="00F61A51">
        <w:rPr>
          <w:rFonts w:cs="Arial"/>
          <w:sz w:val="20"/>
          <w:szCs w:val="20"/>
        </w:rPr>
        <w:t>.</w:t>
      </w:r>
    </w:p>
    <w:p w14:paraId="5DA2E8C1" w14:textId="77777777" w:rsidR="00BF7FE3" w:rsidRPr="00F61A51" w:rsidRDefault="00BF7FE3" w:rsidP="00825BD3">
      <w:pPr>
        <w:numPr>
          <w:ilvl w:val="0"/>
          <w:numId w:val="37"/>
        </w:numPr>
        <w:spacing w:line="360" w:lineRule="auto"/>
        <w:rPr>
          <w:rFonts w:cs="Arial"/>
          <w:sz w:val="20"/>
          <w:szCs w:val="20"/>
        </w:rPr>
      </w:pPr>
      <w:r w:rsidRPr="00F61A51">
        <w:rPr>
          <w:rFonts w:cs="Arial"/>
          <w:sz w:val="20"/>
          <w:szCs w:val="20"/>
        </w:rPr>
        <w:t>L’Azienda stima che il numero di pazienti trattati ma non a target uricemico, che potrebbero essere posti in trattamento di associazione con ZURAMPIC sia pari a:</w:t>
      </w:r>
    </w:p>
    <w:p w14:paraId="4DC826C1" w14:textId="77777777" w:rsidR="00BF7FE3" w:rsidRPr="00F61A51" w:rsidRDefault="00BF7FE3" w:rsidP="00825BD3">
      <w:pPr>
        <w:numPr>
          <w:ilvl w:val="1"/>
          <w:numId w:val="37"/>
        </w:numPr>
        <w:spacing w:line="360" w:lineRule="auto"/>
        <w:rPr>
          <w:rFonts w:cs="Arial"/>
          <w:sz w:val="20"/>
          <w:szCs w:val="20"/>
        </w:rPr>
      </w:pPr>
      <w:r>
        <w:rPr>
          <w:rFonts w:cs="Arial"/>
          <w:sz w:val="20"/>
          <w:szCs w:val="20"/>
        </w:rPr>
        <w:t>32.590 paz</w:t>
      </w:r>
      <w:r w:rsidRPr="00F61A51">
        <w:rPr>
          <w:rFonts w:cs="Arial"/>
          <w:sz w:val="20"/>
          <w:szCs w:val="20"/>
        </w:rPr>
        <w:t>ienti al 1° anno di commercializzazione</w:t>
      </w:r>
    </w:p>
    <w:p w14:paraId="12839082" w14:textId="77777777" w:rsidR="00BF7FE3" w:rsidRPr="00F61A51" w:rsidRDefault="00BF7FE3" w:rsidP="00825BD3">
      <w:pPr>
        <w:numPr>
          <w:ilvl w:val="1"/>
          <w:numId w:val="37"/>
        </w:numPr>
        <w:spacing w:line="360" w:lineRule="auto"/>
        <w:rPr>
          <w:rFonts w:cs="Arial"/>
          <w:sz w:val="20"/>
          <w:szCs w:val="20"/>
        </w:rPr>
      </w:pPr>
      <w:r>
        <w:rPr>
          <w:rFonts w:cs="Arial"/>
          <w:sz w:val="20"/>
          <w:szCs w:val="20"/>
        </w:rPr>
        <w:t xml:space="preserve">59.105 </w:t>
      </w:r>
      <w:r w:rsidRPr="00F61A51">
        <w:rPr>
          <w:rFonts w:cs="Arial"/>
          <w:sz w:val="20"/>
          <w:szCs w:val="20"/>
        </w:rPr>
        <w:t>pazienti al 2° anno di commercializzazione</w:t>
      </w:r>
    </w:p>
    <w:p w14:paraId="5C4B8F43" w14:textId="77777777" w:rsidR="00BF7FE3" w:rsidRPr="00F61A51" w:rsidRDefault="00BF7FE3" w:rsidP="00825BD3">
      <w:pPr>
        <w:numPr>
          <w:ilvl w:val="1"/>
          <w:numId w:val="37"/>
        </w:numPr>
        <w:spacing w:line="360" w:lineRule="auto"/>
        <w:rPr>
          <w:rFonts w:cs="Arial"/>
          <w:sz w:val="20"/>
          <w:szCs w:val="20"/>
        </w:rPr>
      </w:pPr>
      <w:r>
        <w:rPr>
          <w:rFonts w:cs="Arial"/>
          <w:sz w:val="20"/>
          <w:szCs w:val="20"/>
        </w:rPr>
        <w:t>82.857</w:t>
      </w:r>
      <w:r w:rsidRPr="00F61A51">
        <w:rPr>
          <w:rFonts w:cs="Arial"/>
          <w:sz w:val="20"/>
          <w:szCs w:val="20"/>
        </w:rPr>
        <w:t xml:space="preserve"> pazienti al 3° anno di commercializzazione.</w:t>
      </w:r>
    </w:p>
    <w:p w14:paraId="4D9EF926" w14:textId="77777777" w:rsidR="008601B4" w:rsidRDefault="008601B4" w:rsidP="00BF7FE3">
      <w:pPr>
        <w:spacing w:line="360" w:lineRule="auto"/>
        <w:rPr>
          <w:rFonts w:cs="Arial"/>
          <w:b/>
          <w:sz w:val="20"/>
          <w:szCs w:val="20"/>
        </w:rPr>
      </w:pPr>
    </w:p>
    <w:p w14:paraId="66C90669" w14:textId="77777777" w:rsidR="008601B4" w:rsidRDefault="008601B4" w:rsidP="00BF7FE3">
      <w:pPr>
        <w:spacing w:line="360" w:lineRule="auto"/>
        <w:rPr>
          <w:rFonts w:cs="Arial"/>
          <w:b/>
          <w:sz w:val="20"/>
          <w:szCs w:val="20"/>
        </w:rPr>
      </w:pPr>
    </w:p>
    <w:p w14:paraId="59C3D47B" w14:textId="77777777" w:rsidR="00BF7FE3" w:rsidRPr="00F61A51" w:rsidRDefault="00BF7FE3" w:rsidP="00BF7FE3">
      <w:pPr>
        <w:spacing w:line="360" w:lineRule="auto"/>
        <w:rPr>
          <w:rFonts w:cs="Arial"/>
          <w:b/>
          <w:sz w:val="20"/>
          <w:szCs w:val="20"/>
        </w:rPr>
      </w:pPr>
      <w:r w:rsidRPr="00F61A51">
        <w:rPr>
          <w:rFonts w:cs="Arial"/>
          <w:b/>
          <w:sz w:val="20"/>
          <w:szCs w:val="20"/>
        </w:rPr>
        <w:t>Costo proposto</w:t>
      </w:r>
    </w:p>
    <w:p w14:paraId="48BB560A" w14:textId="77777777" w:rsidR="00BF7FE3" w:rsidRPr="00F61A51" w:rsidRDefault="00BF7FE3" w:rsidP="00825BD3">
      <w:pPr>
        <w:numPr>
          <w:ilvl w:val="0"/>
          <w:numId w:val="39"/>
        </w:numPr>
        <w:spacing w:line="360" w:lineRule="auto"/>
        <w:rPr>
          <w:rFonts w:cs="Arial"/>
          <w:sz w:val="20"/>
          <w:szCs w:val="20"/>
        </w:rPr>
      </w:pPr>
      <w:r w:rsidRPr="00F61A51">
        <w:rPr>
          <w:rFonts w:cs="Arial"/>
          <w:sz w:val="20"/>
          <w:szCs w:val="20"/>
        </w:rPr>
        <w:t xml:space="preserve">Il prezzo proposto al SSN per la confezione di ZURAMPIC 30 compresse da 200mg è di € </w:t>
      </w:r>
      <w:r>
        <w:rPr>
          <w:rFonts w:cs="Arial"/>
          <w:sz w:val="20"/>
          <w:szCs w:val="20"/>
        </w:rPr>
        <w:t>25,50</w:t>
      </w:r>
      <w:r w:rsidRPr="00F61A51">
        <w:rPr>
          <w:rFonts w:cs="Arial"/>
          <w:sz w:val="20"/>
          <w:szCs w:val="20"/>
        </w:rPr>
        <w:t xml:space="preserve"> con un costo per compressa, ovvero un costo/die, di € </w:t>
      </w:r>
      <w:r>
        <w:rPr>
          <w:rFonts w:cs="Arial"/>
          <w:sz w:val="20"/>
          <w:szCs w:val="20"/>
        </w:rPr>
        <w:t>0,85</w:t>
      </w:r>
      <w:r w:rsidRPr="00F61A51">
        <w:rPr>
          <w:rFonts w:cs="Arial"/>
          <w:sz w:val="20"/>
          <w:szCs w:val="20"/>
        </w:rPr>
        <w:t xml:space="preserve"> (prezzi ex-factory, al netto degli sconti di legge).</w:t>
      </w:r>
    </w:p>
    <w:p w14:paraId="55E091ED" w14:textId="77777777" w:rsidR="00BF7FE3" w:rsidRPr="00F61A51" w:rsidRDefault="00BF7FE3" w:rsidP="00BF7FE3">
      <w:pPr>
        <w:spacing w:line="360" w:lineRule="auto"/>
        <w:rPr>
          <w:rFonts w:cs="Arial"/>
          <w:b/>
          <w:sz w:val="20"/>
          <w:szCs w:val="20"/>
        </w:rPr>
      </w:pPr>
      <w:r w:rsidRPr="00F61A51">
        <w:rPr>
          <w:rFonts w:cs="Arial"/>
          <w:b/>
          <w:sz w:val="20"/>
          <w:szCs w:val="20"/>
        </w:rPr>
        <w:t>Analisi economica</w:t>
      </w:r>
    </w:p>
    <w:p w14:paraId="234B1833" w14:textId="77777777" w:rsidR="00BF7FE3" w:rsidRDefault="00BF7FE3" w:rsidP="00BF7FE3">
      <w:pPr>
        <w:spacing w:line="360" w:lineRule="auto"/>
        <w:rPr>
          <w:rFonts w:cs="Arial"/>
          <w:sz w:val="20"/>
          <w:szCs w:val="20"/>
        </w:rPr>
      </w:pPr>
      <w:r>
        <w:rPr>
          <w:rFonts w:cs="Arial"/>
          <w:sz w:val="20"/>
          <w:szCs w:val="20"/>
        </w:rPr>
        <w:t xml:space="preserve">Altems (Alta Scuola di Economia e Management dei Sistemi Sanitari) ha condotto una valutazione della costo-efficacia e di Busget Impact, i cui dettagli sono al </w:t>
      </w:r>
      <w:hyperlink w:anchor="Paragrafo91" w:history="1">
        <w:r w:rsidRPr="00AC5A6A">
          <w:rPr>
            <w:rStyle w:val="Hyperlink"/>
            <w:rFonts w:cs="Arial"/>
            <w:sz w:val="20"/>
            <w:szCs w:val="20"/>
          </w:rPr>
          <w:t>Paragrafo 9</w:t>
        </w:r>
      </w:hyperlink>
      <w:r>
        <w:rPr>
          <w:rFonts w:cs="Arial"/>
          <w:sz w:val="20"/>
          <w:szCs w:val="20"/>
        </w:rPr>
        <w:t xml:space="preserve"> ed in </w:t>
      </w:r>
      <w:hyperlink w:anchor="Allegato2" w:history="1">
        <w:r w:rsidRPr="00AC5A6A">
          <w:rPr>
            <w:rStyle w:val="Hyperlink"/>
            <w:rFonts w:cs="Arial"/>
            <w:sz w:val="20"/>
            <w:szCs w:val="20"/>
          </w:rPr>
          <w:t>Allegato 2</w:t>
        </w:r>
      </w:hyperlink>
      <w:r>
        <w:rPr>
          <w:rFonts w:cs="Arial"/>
          <w:sz w:val="20"/>
          <w:szCs w:val="20"/>
        </w:rPr>
        <w:t>.</w:t>
      </w:r>
    </w:p>
    <w:p w14:paraId="12EC33F9" w14:textId="77777777" w:rsidR="00BF7FE3" w:rsidRDefault="00BF7FE3" w:rsidP="00BF7FE3">
      <w:pPr>
        <w:spacing w:line="360" w:lineRule="auto"/>
        <w:rPr>
          <w:rStyle w:val="Hyperlink"/>
          <w:rFonts w:cs="Arial"/>
          <w:color w:val="auto"/>
          <w:sz w:val="20"/>
          <w:szCs w:val="20"/>
          <w:u w:val="none"/>
        </w:rPr>
      </w:pPr>
      <w:r>
        <w:rPr>
          <w:rFonts w:cs="Arial"/>
          <w:sz w:val="20"/>
          <w:szCs w:val="20"/>
        </w:rPr>
        <w:t>Secono la valutazione, è possibile stimare che l’introduzione di lesinurad per il trattamento di iperuricemia in pazienti gottosi</w:t>
      </w:r>
      <w:r w:rsidRPr="00AF1C51">
        <w:rPr>
          <w:rFonts w:cs="Arial"/>
          <w:sz w:val="20"/>
          <w:szCs w:val="20"/>
        </w:rPr>
        <w:t>, considerando un costo netto per compressa pari a 0,85€,</w:t>
      </w:r>
      <w:r>
        <w:rPr>
          <w:rFonts w:cs="Arial"/>
          <w:b/>
          <w:sz w:val="20"/>
          <w:szCs w:val="20"/>
        </w:rPr>
        <w:t xml:space="preserve"> </w:t>
      </w:r>
      <w:r>
        <w:rPr>
          <w:rFonts w:cs="Arial"/>
          <w:sz w:val="20"/>
          <w:szCs w:val="20"/>
        </w:rPr>
        <w:t>avrà un impatto trascurabile sulla spesa SSN pari all’1,6% sul mercato totale all’anno 1),</w:t>
      </w:r>
      <w:r w:rsidRPr="00E670E9">
        <w:rPr>
          <w:rStyle w:val="Hyperlink"/>
          <w:rFonts w:cs="Arial"/>
          <w:color w:val="auto"/>
          <w:sz w:val="20"/>
          <w:szCs w:val="20"/>
          <w:u w:val="none"/>
        </w:rPr>
        <w:t xml:space="preserve"> alla quale</w:t>
      </w:r>
      <w:r>
        <w:rPr>
          <w:rStyle w:val="Hyperlink"/>
          <w:rFonts w:cs="Arial"/>
          <w:color w:val="auto"/>
          <w:sz w:val="20"/>
          <w:szCs w:val="20"/>
          <w:u w:val="none"/>
        </w:rPr>
        <w:t xml:space="preserve"> si aggiunge un impatto irrilevante (€314.000 all’anno 1), ascrivibile ai pazienti di terza linea che ad oggi non hanno alcuna alternativa terapeutica a loro disposizione e per i quali lesinurad risulta l’unico farmaco registrato.</w:t>
      </w:r>
    </w:p>
    <w:p w14:paraId="2C18570C" w14:textId="0A9289F6" w:rsidR="00F35D84" w:rsidRDefault="00BF7FE3" w:rsidP="00BF7FE3">
      <w:pPr>
        <w:spacing w:line="360" w:lineRule="auto"/>
        <w:rPr>
          <w:rFonts w:cs="Arial"/>
          <w:sz w:val="20"/>
          <w:szCs w:val="20"/>
        </w:rPr>
      </w:pPr>
      <w:r>
        <w:rPr>
          <w:rFonts w:cs="Arial"/>
          <w:sz w:val="20"/>
          <w:szCs w:val="20"/>
        </w:rPr>
        <w:t>I</w:t>
      </w:r>
      <w:r w:rsidRPr="00B3238C">
        <w:rPr>
          <w:rFonts w:cs="Arial"/>
          <w:sz w:val="20"/>
          <w:szCs w:val="20"/>
        </w:rPr>
        <w:t xml:space="preserve"> risultati ottenuti nell’analisi </w:t>
      </w:r>
      <w:r>
        <w:rPr>
          <w:rFonts w:cs="Arial"/>
          <w:sz w:val="20"/>
          <w:szCs w:val="20"/>
        </w:rPr>
        <w:t xml:space="preserve">di costo efficacia dinostrano inoltre che lesinurad, come </w:t>
      </w:r>
      <w:r w:rsidRPr="00B3238C">
        <w:rPr>
          <w:rFonts w:cs="Arial"/>
          <w:sz w:val="20"/>
          <w:szCs w:val="20"/>
        </w:rPr>
        <w:t xml:space="preserve">trattamento </w:t>
      </w:r>
      <w:r w:rsidRPr="00202D3B">
        <w:rPr>
          <w:rFonts w:cs="Arial"/>
          <w:sz w:val="20"/>
          <w:szCs w:val="20"/>
        </w:rPr>
        <w:t xml:space="preserve">aggiuntivo </w:t>
      </w:r>
      <w:r>
        <w:rPr>
          <w:rFonts w:cs="Arial"/>
          <w:sz w:val="20"/>
          <w:szCs w:val="20"/>
        </w:rPr>
        <w:t xml:space="preserve">ad allopurinolo in soggetti adulti per </w:t>
      </w:r>
      <w:r w:rsidRPr="00202D3B">
        <w:rPr>
          <w:rFonts w:cs="Arial"/>
          <w:sz w:val="20"/>
          <w:szCs w:val="20"/>
        </w:rPr>
        <w:t xml:space="preserve">l’iperuricemia in pazienti con gotta (con o senza tofi) che non abbiano raggiunto livelli sierici target di acido urico con una dose adeguata di </w:t>
      </w:r>
      <w:r>
        <w:rPr>
          <w:rFonts w:cs="Arial"/>
          <w:sz w:val="20"/>
          <w:szCs w:val="20"/>
        </w:rPr>
        <w:t xml:space="preserve">allopurinolo </w:t>
      </w:r>
      <w:r w:rsidRPr="00202D3B">
        <w:rPr>
          <w:rFonts w:cs="Arial"/>
          <w:sz w:val="20"/>
          <w:szCs w:val="20"/>
        </w:rPr>
        <w:t>in monoterapia</w:t>
      </w:r>
      <w:r w:rsidRPr="00B3238C">
        <w:rPr>
          <w:rFonts w:cs="Arial"/>
          <w:sz w:val="20"/>
          <w:szCs w:val="20"/>
        </w:rPr>
        <w:t xml:space="preserve"> </w:t>
      </w:r>
      <w:r w:rsidRPr="000D5D70">
        <w:rPr>
          <w:rFonts w:cs="Arial"/>
          <w:b/>
          <w:sz w:val="20"/>
          <w:szCs w:val="20"/>
        </w:rPr>
        <w:t>risulta essere costo-efficace nel confronto con l’alternativa di seconda linea febuxostat in monoterapia</w:t>
      </w:r>
      <w:r>
        <w:rPr>
          <w:rFonts w:cs="Arial"/>
          <w:b/>
          <w:sz w:val="20"/>
          <w:szCs w:val="20"/>
        </w:rPr>
        <w:t xml:space="preserve"> </w:t>
      </w:r>
      <w:r w:rsidRPr="00405C07">
        <w:rPr>
          <w:rFonts w:cs="Arial"/>
          <w:sz w:val="20"/>
          <w:szCs w:val="20"/>
        </w:rPr>
        <w:t>(I</w:t>
      </w:r>
      <w:r w:rsidRPr="00851DF6">
        <w:rPr>
          <w:rFonts w:cs="Arial"/>
          <w:sz w:val="20"/>
          <w:szCs w:val="20"/>
        </w:rPr>
        <w:t>CER pari a €</w:t>
      </w:r>
      <w:r>
        <w:rPr>
          <w:rFonts w:cs="Arial"/>
          <w:sz w:val="20"/>
          <w:szCs w:val="20"/>
        </w:rPr>
        <w:t>1.513,25 per QALY guadagnato, ben al di sotto della</w:t>
      </w:r>
      <w:r w:rsidRPr="00851DF6">
        <w:rPr>
          <w:rFonts w:cs="Arial"/>
          <w:sz w:val="20"/>
          <w:szCs w:val="20"/>
        </w:rPr>
        <w:t xml:space="preserve"> soglia di accettabilità fissata a €30.000/QALY</w:t>
      </w:r>
      <w:r>
        <w:rPr>
          <w:rFonts w:cs="Arial"/>
          <w:sz w:val="20"/>
          <w:szCs w:val="20"/>
        </w:rPr>
        <w:t>).</w:t>
      </w:r>
    </w:p>
    <w:p w14:paraId="15D99666" w14:textId="77777777" w:rsidR="00AA3386" w:rsidRPr="00221759" w:rsidRDefault="00AA3386" w:rsidP="00E44433">
      <w:pPr>
        <w:pStyle w:val="Heading4"/>
        <w:spacing w:line="240" w:lineRule="auto"/>
        <w:ind w:left="0"/>
        <w:rPr>
          <w:rFonts w:asciiTheme="minorHAnsi" w:hAnsiTheme="minorHAnsi" w:cs="Arial"/>
          <w:b w:val="0"/>
          <w:color w:val="000000"/>
          <w:szCs w:val="20"/>
          <w:u w:val="single"/>
        </w:rPr>
      </w:pPr>
    </w:p>
    <w:p w14:paraId="77B9ED57" w14:textId="32A851D1" w:rsidR="003C5ACD" w:rsidRPr="00E150BB" w:rsidRDefault="00C61F20" w:rsidP="00825BD3">
      <w:pPr>
        <w:pStyle w:val="Heading1"/>
        <w:numPr>
          <w:ilvl w:val="0"/>
          <w:numId w:val="40"/>
        </w:numPr>
        <w:ind w:left="567" w:hanging="567"/>
        <w:rPr>
          <w:rFonts w:asciiTheme="minorHAnsi" w:hAnsiTheme="minorHAnsi" w:cstheme="minorHAnsi"/>
          <w:sz w:val="20"/>
        </w:rPr>
      </w:pPr>
      <w:r w:rsidRPr="00221759">
        <w:rPr>
          <w:rFonts w:cs="Arial"/>
          <w:color w:val="000000"/>
          <w:sz w:val="20"/>
        </w:rPr>
        <w:br w:type="page"/>
      </w:r>
      <w:bookmarkStart w:id="16" w:name="_Toc473184551"/>
      <w:r w:rsidR="003C5ACD" w:rsidRPr="00DD0B98">
        <w:rPr>
          <w:rFonts w:asciiTheme="minorHAnsi" w:hAnsiTheme="minorHAnsi" w:cstheme="minorHAnsi"/>
          <w:sz w:val="20"/>
        </w:rPr>
        <w:t>E</w:t>
      </w:r>
      <w:r w:rsidR="003C5ACD" w:rsidRPr="00E150BB">
        <w:rPr>
          <w:rFonts w:asciiTheme="minorHAnsi" w:hAnsiTheme="minorHAnsi" w:cstheme="minorHAnsi"/>
          <w:sz w:val="20"/>
        </w:rPr>
        <w:t>lementi riassuntivi della specialità medicinale</w:t>
      </w:r>
      <w:bookmarkEnd w:id="16"/>
    </w:p>
    <w:p w14:paraId="32D324D5" w14:textId="77777777" w:rsidR="003C5ACD" w:rsidRPr="00221759" w:rsidRDefault="003C5ACD" w:rsidP="003C5ACD">
      <w:pPr>
        <w:spacing w:line="360" w:lineRule="auto"/>
        <w:jc w:val="both"/>
        <w:rPr>
          <w:rFonts w:cs="Arial"/>
          <w:sz w:val="20"/>
          <w:szCs w:val="20"/>
          <w:u w:val="single"/>
        </w:rPr>
      </w:pPr>
    </w:p>
    <w:p w14:paraId="6938CD61" w14:textId="752A8651" w:rsidR="003C5ACD" w:rsidRPr="00D06F5A" w:rsidRDefault="003C5ACD" w:rsidP="00A40A30">
      <w:pPr>
        <w:numPr>
          <w:ilvl w:val="1"/>
          <w:numId w:val="4"/>
        </w:numPr>
        <w:tabs>
          <w:tab w:val="clear" w:pos="847"/>
          <w:tab w:val="num" w:pos="567"/>
        </w:tabs>
        <w:spacing w:line="360" w:lineRule="auto"/>
        <w:ind w:left="567" w:hanging="567"/>
        <w:jc w:val="both"/>
        <w:rPr>
          <w:rFonts w:cs="Arial"/>
          <w:b/>
          <w:sz w:val="20"/>
          <w:szCs w:val="20"/>
          <w:u w:val="single"/>
        </w:rPr>
      </w:pPr>
      <w:r w:rsidRPr="00D06F5A">
        <w:rPr>
          <w:rFonts w:cs="Arial"/>
          <w:b/>
          <w:sz w:val="20"/>
          <w:szCs w:val="20"/>
          <w:u w:val="single"/>
        </w:rPr>
        <w:t>Ditta titolare dell’A.I.C.</w:t>
      </w:r>
    </w:p>
    <w:p w14:paraId="09FF681F" w14:textId="77777777" w:rsidR="00E60AA1" w:rsidRDefault="003C5ACD" w:rsidP="006E16DE">
      <w:pPr>
        <w:spacing w:line="360" w:lineRule="auto"/>
        <w:jc w:val="both"/>
        <w:rPr>
          <w:rFonts w:cs="Arial"/>
          <w:sz w:val="20"/>
          <w:szCs w:val="20"/>
        </w:rPr>
      </w:pPr>
      <w:r w:rsidRPr="00E60AA1">
        <w:rPr>
          <w:rFonts w:cs="Arial"/>
          <w:sz w:val="20"/>
          <w:szCs w:val="20"/>
        </w:rPr>
        <w:t>Grünenthal GmbH</w:t>
      </w:r>
      <w:r w:rsidR="00E60AA1" w:rsidRPr="00E60AA1">
        <w:rPr>
          <w:rFonts w:cs="Arial"/>
          <w:sz w:val="20"/>
          <w:szCs w:val="20"/>
        </w:rPr>
        <w:t xml:space="preserve"> </w:t>
      </w:r>
    </w:p>
    <w:p w14:paraId="05DC56D7" w14:textId="264A2EE7" w:rsidR="00E60AA1" w:rsidRPr="00E60AA1" w:rsidRDefault="00E60AA1" w:rsidP="006E16DE">
      <w:pPr>
        <w:spacing w:line="360" w:lineRule="auto"/>
        <w:jc w:val="both"/>
        <w:rPr>
          <w:rFonts w:cs="Arial"/>
          <w:sz w:val="20"/>
          <w:szCs w:val="20"/>
        </w:rPr>
      </w:pPr>
      <w:r w:rsidRPr="00E60AA1">
        <w:rPr>
          <w:rFonts w:cs="Arial"/>
          <w:sz w:val="20"/>
          <w:szCs w:val="20"/>
        </w:rPr>
        <w:t>(Trasferimento titolarietà da AstraZeneca  - GU della Comunità Europea n. C362/1 del 30.09.2016)</w:t>
      </w:r>
    </w:p>
    <w:p w14:paraId="6E0BB9A8" w14:textId="77777777" w:rsidR="003C5ACD" w:rsidRPr="006E16DE" w:rsidRDefault="003C5ACD" w:rsidP="006E16DE">
      <w:pPr>
        <w:spacing w:line="360" w:lineRule="auto"/>
        <w:jc w:val="both"/>
        <w:rPr>
          <w:rFonts w:cs="Arial"/>
          <w:sz w:val="20"/>
          <w:szCs w:val="20"/>
          <w:u w:val="single"/>
        </w:rPr>
      </w:pPr>
    </w:p>
    <w:p w14:paraId="52DE411D" w14:textId="77777777" w:rsidR="003C5ACD" w:rsidRPr="00221759" w:rsidRDefault="003C5ACD" w:rsidP="00A40A30">
      <w:pPr>
        <w:numPr>
          <w:ilvl w:val="1"/>
          <w:numId w:val="4"/>
        </w:numPr>
        <w:tabs>
          <w:tab w:val="clear" w:pos="847"/>
          <w:tab w:val="num" w:pos="567"/>
        </w:tabs>
        <w:spacing w:line="360" w:lineRule="auto"/>
        <w:ind w:left="567" w:hanging="567"/>
        <w:jc w:val="both"/>
        <w:rPr>
          <w:rFonts w:cs="Arial"/>
          <w:b/>
          <w:sz w:val="20"/>
          <w:szCs w:val="20"/>
          <w:u w:val="single"/>
        </w:rPr>
      </w:pPr>
      <w:r w:rsidRPr="00221759">
        <w:rPr>
          <w:rFonts w:cs="Arial"/>
          <w:b/>
          <w:sz w:val="20"/>
          <w:szCs w:val="20"/>
          <w:u w:val="single"/>
        </w:rPr>
        <w:t>Denominazione della specialità medicinale</w:t>
      </w:r>
    </w:p>
    <w:p w14:paraId="3374E2B5" w14:textId="741E4E4C" w:rsidR="003C5ACD" w:rsidRPr="006E16DE" w:rsidRDefault="006E16DE" w:rsidP="006E16DE">
      <w:pPr>
        <w:spacing w:line="360" w:lineRule="auto"/>
        <w:jc w:val="both"/>
        <w:rPr>
          <w:rFonts w:cs="Arial"/>
          <w:sz w:val="20"/>
          <w:szCs w:val="20"/>
        </w:rPr>
      </w:pPr>
      <w:r w:rsidRPr="006E16DE">
        <w:rPr>
          <w:rFonts w:cs="Arial"/>
          <w:sz w:val="20"/>
          <w:szCs w:val="20"/>
        </w:rPr>
        <w:t xml:space="preserve">ZURAMPIC </w:t>
      </w:r>
      <w:r w:rsidR="00D82184">
        <w:rPr>
          <w:rFonts w:cs="Arial"/>
          <w:sz w:val="20"/>
          <w:szCs w:val="20"/>
        </w:rPr>
        <w:t>2</w:t>
      </w:r>
      <w:r w:rsidRPr="006E16DE">
        <w:rPr>
          <w:rFonts w:cs="Arial"/>
          <w:sz w:val="20"/>
          <w:szCs w:val="20"/>
        </w:rPr>
        <w:t>00 mg compresse rivestite con film – 30 compresse</w:t>
      </w:r>
    </w:p>
    <w:p w14:paraId="353BF70A" w14:textId="77777777" w:rsidR="003C5ACD" w:rsidRPr="006E16DE" w:rsidRDefault="003C5ACD" w:rsidP="006E16DE">
      <w:pPr>
        <w:spacing w:line="360" w:lineRule="auto"/>
        <w:jc w:val="both"/>
        <w:rPr>
          <w:rFonts w:cs="Arial"/>
          <w:sz w:val="20"/>
          <w:szCs w:val="20"/>
          <w:u w:val="single"/>
        </w:rPr>
      </w:pPr>
    </w:p>
    <w:p w14:paraId="58811CCA" w14:textId="77777777" w:rsidR="003C5ACD" w:rsidRPr="00221759" w:rsidRDefault="003C5ACD" w:rsidP="00A40A30">
      <w:pPr>
        <w:numPr>
          <w:ilvl w:val="1"/>
          <w:numId w:val="4"/>
        </w:numPr>
        <w:tabs>
          <w:tab w:val="clear" w:pos="847"/>
          <w:tab w:val="num" w:pos="567"/>
        </w:tabs>
        <w:spacing w:line="360" w:lineRule="auto"/>
        <w:ind w:left="567" w:hanging="567"/>
        <w:jc w:val="both"/>
        <w:rPr>
          <w:rFonts w:cs="Arial"/>
          <w:b/>
          <w:sz w:val="20"/>
          <w:szCs w:val="20"/>
          <w:u w:val="single"/>
        </w:rPr>
      </w:pPr>
      <w:r w:rsidRPr="00221759">
        <w:rPr>
          <w:rFonts w:cs="Arial"/>
          <w:b/>
          <w:sz w:val="20"/>
          <w:szCs w:val="20"/>
          <w:u w:val="single"/>
        </w:rPr>
        <w:t xml:space="preserve">Denominazione del principio attivo </w:t>
      </w:r>
    </w:p>
    <w:p w14:paraId="6C3A4945" w14:textId="608BFDC0" w:rsidR="003C5ACD" w:rsidRPr="006E16DE" w:rsidRDefault="003C5ACD" w:rsidP="006E16DE">
      <w:pPr>
        <w:spacing w:line="360" w:lineRule="auto"/>
        <w:jc w:val="both"/>
        <w:rPr>
          <w:rFonts w:cs="Arial"/>
          <w:sz w:val="20"/>
          <w:szCs w:val="20"/>
        </w:rPr>
      </w:pPr>
      <w:r w:rsidRPr="006E16DE">
        <w:rPr>
          <w:rFonts w:cs="Arial"/>
          <w:sz w:val="20"/>
          <w:szCs w:val="20"/>
        </w:rPr>
        <w:t>Lesinurad</w:t>
      </w:r>
    </w:p>
    <w:p w14:paraId="6282F078" w14:textId="77777777" w:rsidR="003C5ACD" w:rsidRPr="006E16DE" w:rsidRDefault="003C5ACD" w:rsidP="006E16DE">
      <w:pPr>
        <w:spacing w:line="360" w:lineRule="auto"/>
        <w:jc w:val="both"/>
        <w:rPr>
          <w:rFonts w:cs="Arial"/>
          <w:sz w:val="20"/>
          <w:szCs w:val="20"/>
          <w:u w:val="single"/>
        </w:rPr>
      </w:pPr>
    </w:p>
    <w:p w14:paraId="54501671" w14:textId="77777777" w:rsidR="003C5ACD" w:rsidRPr="00221759" w:rsidRDefault="003C5ACD" w:rsidP="00A40A30">
      <w:pPr>
        <w:numPr>
          <w:ilvl w:val="1"/>
          <w:numId w:val="4"/>
        </w:numPr>
        <w:tabs>
          <w:tab w:val="clear" w:pos="847"/>
          <w:tab w:val="num" w:pos="567"/>
        </w:tabs>
        <w:spacing w:line="360" w:lineRule="auto"/>
        <w:ind w:left="567" w:hanging="567"/>
        <w:jc w:val="both"/>
        <w:rPr>
          <w:rFonts w:cs="Arial"/>
          <w:b/>
          <w:sz w:val="20"/>
          <w:szCs w:val="20"/>
          <w:u w:val="single"/>
        </w:rPr>
      </w:pPr>
      <w:r w:rsidRPr="00221759">
        <w:rPr>
          <w:rFonts w:cs="Arial"/>
          <w:b/>
          <w:sz w:val="20"/>
          <w:szCs w:val="20"/>
          <w:u w:val="single"/>
        </w:rPr>
        <w:t>Forma farmaceutica</w:t>
      </w:r>
    </w:p>
    <w:p w14:paraId="1F79C7A4" w14:textId="5732B25C" w:rsidR="003C5ACD" w:rsidRPr="006E16DE" w:rsidRDefault="003C5ACD" w:rsidP="00E44433">
      <w:pPr>
        <w:spacing w:line="360" w:lineRule="auto"/>
        <w:rPr>
          <w:rFonts w:cs="Arial"/>
          <w:sz w:val="20"/>
          <w:szCs w:val="20"/>
        </w:rPr>
      </w:pPr>
      <w:r w:rsidRPr="006E16DE">
        <w:rPr>
          <w:rFonts w:cs="Arial"/>
          <w:sz w:val="20"/>
          <w:szCs w:val="20"/>
        </w:rPr>
        <w:t xml:space="preserve">Compressa rivestite con film. </w:t>
      </w:r>
    </w:p>
    <w:p w14:paraId="1DECA936" w14:textId="766B2D45" w:rsidR="003C5ACD" w:rsidRPr="006E16DE" w:rsidRDefault="003C5ACD" w:rsidP="00E44433">
      <w:pPr>
        <w:spacing w:line="360" w:lineRule="auto"/>
        <w:rPr>
          <w:rFonts w:cs="Arial"/>
          <w:sz w:val="20"/>
          <w:szCs w:val="20"/>
        </w:rPr>
      </w:pPr>
      <w:r w:rsidRPr="006E16DE">
        <w:rPr>
          <w:rFonts w:cs="Arial"/>
          <w:sz w:val="20"/>
          <w:szCs w:val="20"/>
        </w:rPr>
        <w:t xml:space="preserve">Zurampic® compresse rivestite con film sono compresse blu, ovali, di 5,7 x 12,9 mm. Le compresse presentano l’incisione “LES200” su di un lato. </w:t>
      </w:r>
    </w:p>
    <w:p w14:paraId="55D76014" w14:textId="08B499A5" w:rsidR="003C5ACD" w:rsidRPr="00221759" w:rsidRDefault="003C5ACD" w:rsidP="00E44433">
      <w:pPr>
        <w:spacing w:line="360" w:lineRule="auto"/>
        <w:rPr>
          <w:rFonts w:cs="Arial"/>
          <w:sz w:val="20"/>
          <w:szCs w:val="20"/>
        </w:rPr>
      </w:pPr>
    </w:p>
    <w:p w14:paraId="428DD487" w14:textId="77777777" w:rsidR="003C5ACD" w:rsidRPr="00221759" w:rsidRDefault="003C5ACD" w:rsidP="00A40A30">
      <w:pPr>
        <w:numPr>
          <w:ilvl w:val="1"/>
          <w:numId w:val="4"/>
        </w:numPr>
        <w:tabs>
          <w:tab w:val="clear" w:pos="847"/>
          <w:tab w:val="num" w:pos="567"/>
        </w:tabs>
        <w:spacing w:line="360" w:lineRule="auto"/>
        <w:ind w:left="567" w:hanging="567"/>
        <w:jc w:val="both"/>
        <w:rPr>
          <w:rFonts w:cs="Arial"/>
          <w:b/>
          <w:sz w:val="20"/>
          <w:szCs w:val="20"/>
          <w:u w:val="single"/>
        </w:rPr>
      </w:pPr>
      <w:r w:rsidRPr="00221759">
        <w:rPr>
          <w:rFonts w:cs="Arial"/>
          <w:b/>
          <w:sz w:val="20"/>
          <w:szCs w:val="20"/>
          <w:u w:val="single"/>
        </w:rPr>
        <w:t>Dose unitaria</w:t>
      </w:r>
    </w:p>
    <w:p w14:paraId="561F2325" w14:textId="437238CC" w:rsidR="003C5ACD" w:rsidRPr="006E16DE" w:rsidRDefault="003C5ACD" w:rsidP="006E16DE">
      <w:pPr>
        <w:spacing w:line="360" w:lineRule="auto"/>
        <w:jc w:val="both"/>
        <w:rPr>
          <w:rFonts w:cs="Arial"/>
          <w:sz w:val="20"/>
          <w:szCs w:val="20"/>
        </w:rPr>
      </w:pPr>
      <w:r w:rsidRPr="006E16DE">
        <w:rPr>
          <w:rFonts w:cs="Arial"/>
          <w:sz w:val="20"/>
          <w:szCs w:val="20"/>
        </w:rPr>
        <w:t xml:space="preserve">Compresse da 200 mg </w:t>
      </w:r>
    </w:p>
    <w:p w14:paraId="67EA9B56" w14:textId="77777777" w:rsidR="003C5ACD" w:rsidRPr="00221759" w:rsidRDefault="003C5ACD" w:rsidP="006E16DE">
      <w:pPr>
        <w:spacing w:line="360" w:lineRule="auto"/>
        <w:jc w:val="both"/>
        <w:rPr>
          <w:rFonts w:cs="Arial"/>
          <w:sz w:val="20"/>
          <w:szCs w:val="20"/>
        </w:rPr>
      </w:pPr>
    </w:p>
    <w:p w14:paraId="2E5633CB" w14:textId="77777777" w:rsidR="003C5ACD" w:rsidRPr="00221759" w:rsidRDefault="003C5ACD" w:rsidP="00A40A30">
      <w:pPr>
        <w:numPr>
          <w:ilvl w:val="1"/>
          <w:numId w:val="4"/>
        </w:numPr>
        <w:tabs>
          <w:tab w:val="clear" w:pos="847"/>
          <w:tab w:val="num" w:pos="567"/>
        </w:tabs>
        <w:spacing w:line="360" w:lineRule="auto"/>
        <w:ind w:left="567" w:hanging="567"/>
        <w:jc w:val="both"/>
        <w:rPr>
          <w:rFonts w:cs="Arial"/>
          <w:b/>
          <w:sz w:val="20"/>
          <w:szCs w:val="20"/>
          <w:u w:val="single"/>
        </w:rPr>
      </w:pPr>
      <w:r w:rsidRPr="00221759">
        <w:rPr>
          <w:rFonts w:cs="Arial"/>
          <w:b/>
          <w:sz w:val="20"/>
          <w:szCs w:val="20"/>
          <w:u w:val="single"/>
        </w:rPr>
        <w:t>Numero di unità posologiche presenti nella confezione</w:t>
      </w:r>
    </w:p>
    <w:p w14:paraId="3C0DCEC2" w14:textId="7318445D" w:rsidR="003C5ACD" w:rsidRPr="006E16DE" w:rsidRDefault="003C5ACD" w:rsidP="006E16DE">
      <w:pPr>
        <w:spacing w:line="360" w:lineRule="auto"/>
        <w:jc w:val="both"/>
        <w:rPr>
          <w:rFonts w:cs="Arial"/>
          <w:sz w:val="20"/>
          <w:szCs w:val="20"/>
        </w:rPr>
      </w:pPr>
      <w:r w:rsidRPr="006E16DE">
        <w:rPr>
          <w:rFonts w:cs="Arial"/>
          <w:sz w:val="20"/>
          <w:szCs w:val="20"/>
        </w:rPr>
        <w:t>30 compresse rivestite con film (AIC 044</w:t>
      </w:r>
      <w:r w:rsidR="00B76574" w:rsidRPr="006E16DE">
        <w:rPr>
          <w:rFonts w:cs="Arial"/>
          <w:sz w:val="20"/>
          <w:szCs w:val="20"/>
        </w:rPr>
        <w:t>727030</w:t>
      </w:r>
      <w:r w:rsidRPr="006E16DE">
        <w:rPr>
          <w:rFonts w:cs="Arial"/>
          <w:sz w:val="20"/>
          <w:szCs w:val="20"/>
        </w:rPr>
        <w:t xml:space="preserve"> – EU/1/15/10</w:t>
      </w:r>
      <w:r w:rsidR="00B76574" w:rsidRPr="006E16DE">
        <w:rPr>
          <w:rFonts w:cs="Arial"/>
          <w:sz w:val="20"/>
          <w:szCs w:val="20"/>
        </w:rPr>
        <w:t>80</w:t>
      </w:r>
      <w:r w:rsidRPr="006E16DE">
        <w:rPr>
          <w:rFonts w:cs="Arial"/>
          <w:sz w:val="20"/>
          <w:szCs w:val="20"/>
        </w:rPr>
        <w:t>/003)</w:t>
      </w:r>
    </w:p>
    <w:p w14:paraId="3C98EB7A" w14:textId="77777777" w:rsidR="003C5ACD" w:rsidRPr="00221759" w:rsidRDefault="003C5ACD" w:rsidP="006E16DE">
      <w:pPr>
        <w:spacing w:line="360" w:lineRule="auto"/>
        <w:jc w:val="both"/>
        <w:rPr>
          <w:rFonts w:cs="Arial"/>
          <w:sz w:val="20"/>
          <w:szCs w:val="20"/>
        </w:rPr>
      </w:pPr>
    </w:p>
    <w:p w14:paraId="518E8069" w14:textId="77777777" w:rsidR="003C5ACD" w:rsidRPr="00221759" w:rsidRDefault="003C5ACD" w:rsidP="00A40A30">
      <w:pPr>
        <w:numPr>
          <w:ilvl w:val="1"/>
          <w:numId w:val="4"/>
        </w:numPr>
        <w:tabs>
          <w:tab w:val="clear" w:pos="847"/>
          <w:tab w:val="num" w:pos="567"/>
        </w:tabs>
        <w:spacing w:line="360" w:lineRule="auto"/>
        <w:ind w:left="567" w:hanging="567"/>
        <w:jc w:val="both"/>
        <w:rPr>
          <w:rFonts w:cs="Arial"/>
          <w:b/>
          <w:sz w:val="20"/>
          <w:szCs w:val="20"/>
          <w:u w:val="single"/>
        </w:rPr>
      </w:pPr>
      <w:r w:rsidRPr="00221759">
        <w:rPr>
          <w:rFonts w:cs="Arial"/>
          <w:b/>
          <w:sz w:val="20"/>
          <w:szCs w:val="20"/>
          <w:u w:val="single"/>
        </w:rPr>
        <w:t>Co-marketing (indicare le ditte che presentano analoga domanda)</w:t>
      </w:r>
    </w:p>
    <w:p w14:paraId="62E114DC" w14:textId="739AE1FD" w:rsidR="003C5ACD" w:rsidRPr="006E16DE" w:rsidRDefault="003C5ACD" w:rsidP="006E16DE">
      <w:pPr>
        <w:spacing w:line="360" w:lineRule="auto"/>
        <w:jc w:val="both"/>
        <w:rPr>
          <w:rFonts w:cs="Arial"/>
          <w:sz w:val="20"/>
          <w:szCs w:val="20"/>
        </w:rPr>
      </w:pPr>
      <w:r w:rsidRPr="006E16DE">
        <w:rPr>
          <w:rFonts w:cs="Arial"/>
          <w:sz w:val="20"/>
          <w:szCs w:val="20"/>
        </w:rPr>
        <w:t>No</w:t>
      </w:r>
    </w:p>
    <w:p w14:paraId="6FEA1828" w14:textId="77777777" w:rsidR="003C5ACD" w:rsidRPr="00221759" w:rsidRDefault="003C5ACD" w:rsidP="006E16DE">
      <w:pPr>
        <w:spacing w:line="360" w:lineRule="auto"/>
        <w:jc w:val="both"/>
        <w:rPr>
          <w:rFonts w:cs="Arial"/>
          <w:sz w:val="20"/>
          <w:szCs w:val="20"/>
        </w:rPr>
      </w:pPr>
    </w:p>
    <w:p w14:paraId="02ADA761" w14:textId="77777777" w:rsidR="003C5ACD" w:rsidRPr="00221759" w:rsidRDefault="003C5ACD" w:rsidP="00A40A30">
      <w:pPr>
        <w:numPr>
          <w:ilvl w:val="1"/>
          <w:numId w:val="4"/>
        </w:numPr>
        <w:tabs>
          <w:tab w:val="clear" w:pos="847"/>
          <w:tab w:val="num" w:pos="567"/>
        </w:tabs>
        <w:spacing w:line="360" w:lineRule="auto"/>
        <w:ind w:left="567" w:hanging="567"/>
        <w:jc w:val="both"/>
        <w:rPr>
          <w:rFonts w:cs="Arial"/>
          <w:b/>
          <w:sz w:val="20"/>
          <w:szCs w:val="20"/>
        </w:rPr>
      </w:pPr>
      <w:r w:rsidRPr="00221759">
        <w:rPr>
          <w:rFonts w:cs="Arial"/>
          <w:b/>
          <w:sz w:val="20"/>
          <w:szCs w:val="20"/>
          <w:u w:val="single"/>
        </w:rPr>
        <w:t>Modalità di registrazione</w:t>
      </w:r>
    </w:p>
    <w:p w14:paraId="423BC8BB" w14:textId="77777777" w:rsidR="00970ADC" w:rsidRPr="006E16DE" w:rsidRDefault="003C5ACD" w:rsidP="00E44433">
      <w:pPr>
        <w:spacing w:line="360" w:lineRule="auto"/>
        <w:rPr>
          <w:rFonts w:cs="Arial"/>
          <w:sz w:val="20"/>
          <w:szCs w:val="20"/>
        </w:rPr>
      </w:pPr>
      <w:r w:rsidRPr="006E16DE">
        <w:rPr>
          <w:rFonts w:cs="Arial"/>
          <w:sz w:val="20"/>
          <w:szCs w:val="20"/>
        </w:rPr>
        <w:t xml:space="preserve">Procedura Centralizzata </w:t>
      </w:r>
      <w:r w:rsidR="00970ADC" w:rsidRPr="006E16DE">
        <w:rPr>
          <w:rFonts w:cs="Arial"/>
          <w:sz w:val="20"/>
          <w:szCs w:val="20"/>
        </w:rPr>
        <w:t>Final opinion CHMP: EMA/CHMP/824058/2015 – 17 December 2015</w:t>
      </w:r>
    </w:p>
    <w:p w14:paraId="043CF487" w14:textId="317D802A" w:rsidR="00FE096F" w:rsidRPr="006E16DE" w:rsidRDefault="00970ADC" w:rsidP="00E44433">
      <w:pPr>
        <w:spacing w:line="360" w:lineRule="auto"/>
        <w:rPr>
          <w:rFonts w:cs="Arial"/>
          <w:sz w:val="20"/>
          <w:szCs w:val="20"/>
        </w:rPr>
      </w:pPr>
      <w:r w:rsidRPr="006E16DE">
        <w:rPr>
          <w:rFonts w:cs="Arial"/>
          <w:sz w:val="20"/>
          <w:szCs w:val="20"/>
        </w:rPr>
        <w:t>European Commission: Approval EMA/6459/2016 – 18 February 2016</w:t>
      </w:r>
    </w:p>
    <w:p w14:paraId="284D09A6" w14:textId="77777777" w:rsidR="00FE096F" w:rsidRPr="006E16DE" w:rsidRDefault="00FE096F" w:rsidP="00E44433">
      <w:pPr>
        <w:spacing w:line="360" w:lineRule="auto"/>
        <w:rPr>
          <w:rFonts w:cs="Arial"/>
          <w:sz w:val="20"/>
          <w:szCs w:val="20"/>
        </w:rPr>
      </w:pPr>
    </w:p>
    <w:p w14:paraId="36AA89AD" w14:textId="4F993AD1" w:rsidR="00FE096F" w:rsidRDefault="00FE096F" w:rsidP="00E44433">
      <w:pPr>
        <w:spacing w:line="360" w:lineRule="auto"/>
        <w:rPr>
          <w:rFonts w:cs="Arial"/>
          <w:sz w:val="20"/>
          <w:szCs w:val="20"/>
        </w:rPr>
      </w:pPr>
      <w:r w:rsidRPr="006E16DE">
        <w:rPr>
          <w:rFonts w:cs="Arial"/>
          <w:sz w:val="20"/>
          <w:szCs w:val="20"/>
        </w:rPr>
        <w:t xml:space="preserve">Determina 29 Aprile 2016 (Gazzetta Ufficiale n. </w:t>
      </w:r>
      <w:r w:rsidR="00B76574" w:rsidRPr="006E16DE">
        <w:rPr>
          <w:rFonts w:cs="Arial"/>
          <w:sz w:val="20"/>
          <w:szCs w:val="20"/>
        </w:rPr>
        <w:t xml:space="preserve">115 </w:t>
      </w:r>
      <w:r w:rsidRPr="006E16DE">
        <w:rPr>
          <w:rFonts w:cs="Arial"/>
          <w:sz w:val="20"/>
          <w:szCs w:val="20"/>
        </w:rPr>
        <w:t>del 18 Maggio 2016) di Classificazione ai sensi dell'art. 12, comma 5,</w:t>
      </w:r>
      <w:r w:rsidR="00E60AA1">
        <w:rPr>
          <w:rFonts w:cs="Arial"/>
          <w:sz w:val="20"/>
          <w:szCs w:val="20"/>
        </w:rPr>
        <w:t xml:space="preserve"> legge 8 novembre 2012, n. 189 (</w:t>
      </w:r>
      <w:r w:rsidRPr="006E16DE">
        <w:rPr>
          <w:rFonts w:cs="Arial"/>
          <w:sz w:val="20"/>
          <w:szCs w:val="20"/>
        </w:rPr>
        <w:t>Determina n. 613/2016): Classificazione Cnn;</w:t>
      </w:r>
    </w:p>
    <w:p w14:paraId="6670DF2F" w14:textId="20AD4948" w:rsidR="00E60AA1" w:rsidRPr="00E60AA1" w:rsidRDefault="00E60AA1" w:rsidP="00E44433">
      <w:pPr>
        <w:spacing w:line="360" w:lineRule="auto"/>
        <w:rPr>
          <w:rFonts w:cs="Arial"/>
          <w:sz w:val="20"/>
          <w:szCs w:val="20"/>
        </w:rPr>
      </w:pPr>
      <w:r w:rsidRPr="00E60AA1">
        <w:rPr>
          <w:rFonts w:cs="Arial"/>
          <w:sz w:val="20"/>
          <w:szCs w:val="20"/>
        </w:rPr>
        <w:t>Trasferimento titolarietà da AstraZeneca</w:t>
      </w:r>
      <w:r>
        <w:rPr>
          <w:rFonts w:cs="Arial"/>
          <w:sz w:val="20"/>
          <w:szCs w:val="20"/>
        </w:rPr>
        <w:t xml:space="preserve"> a </w:t>
      </w:r>
      <w:r w:rsidRPr="00E60AA1">
        <w:rPr>
          <w:rFonts w:cs="Arial"/>
          <w:sz w:val="20"/>
          <w:szCs w:val="20"/>
        </w:rPr>
        <w:t>Grünenthal GmbH  - GU della Comunità Europea n. C362/1 del 30.09.2016</w:t>
      </w:r>
    </w:p>
    <w:p w14:paraId="632C8AB5" w14:textId="77777777" w:rsidR="003C5ACD" w:rsidRPr="006E16DE" w:rsidRDefault="003C5ACD" w:rsidP="00E44433">
      <w:pPr>
        <w:spacing w:line="360" w:lineRule="auto"/>
        <w:rPr>
          <w:rFonts w:cs="Arial"/>
          <w:sz w:val="20"/>
          <w:szCs w:val="20"/>
        </w:rPr>
      </w:pPr>
    </w:p>
    <w:p w14:paraId="576B8E03" w14:textId="1EB599AB" w:rsidR="003C5ACD" w:rsidRDefault="003C5ACD" w:rsidP="003C5ACD">
      <w:pPr>
        <w:rPr>
          <w:rFonts w:cs="Arial"/>
          <w:color w:val="000000"/>
          <w:sz w:val="20"/>
        </w:rPr>
      </w:pPr>
      <w:r>
        <w:rPr>
          <w:rFonts w:cs="Arial"/>
          <w:color w:val="000000"/>
          <w:sz w:val="20"/>
        </w:rPr>
        <w:br w:type="page"/>
      </w:r>
    </w:p>
    <w:p w14:paraId="5433E374" w14:textId="0CDCF268" w:rsidR="00AA3386" w:rsidRPr="00BE5C44" w:rsidRDefault="00AA3386" w:rsidP="00825BD3">
      <w:pPr>
        <w:pStyle w:val="Heading1"/>
        <w:numPr>
          <w:ilvl w:val="0"/>
          <w:numId w:val="40"/>
        </w:numPr>
        <w:ind w:left="567" w:hanging="567"/>
        <w:rPr>
          <w:rFonts w:asciiTheme="minorHAnsi" w:hAnsiTheme="minorHAnsi" w:cstheme="minorHAnsi"/>
          <w:sz w:val="20"/>
        </w:rPr>
      </w:pPr>
      <w:bookmarkStart w:id="17" w:name="_Toc439456122"/>
      <w:bookmarkStart w:id="18" w:name="_Toc473184552"/>
      <w:r w:rsidRPr="00BE5C44">
        <w:rPr>
          <w:rFonts w:asciiTheme="minorHAnsi" w:hAnsiTheme="minorHAnsi" w:cstheme="minorHAnsi"/>
          <w:sz w:val="20"/>
        </w:rPr>
        <w:t>Caratterizzazione ed inquadramento terapeutico della specialità</w:t>
      </w:r>
      <w:bookmarkEnd w:id="17"/>
      <w:bookmarkEnd w:id="18"/>
    </w:p>
    <w:p w14:paraId="65A9B53A" w14:textId="77777777" w:rsidR="00AA3386" w:rsidRPr="006E16DE" w:rsidRDefault="00AA3386" w:rsidP="00350878">
      <w:pPr>
        <w:spacing w:line="360" w:lineRule="auto"/>
        <w:jc w:val="both"/>
        <w:rPr>
          <w:rFonts w:cs="Arial"/>
          <w:sz w:val="20"/>
          <w:szCs w:val="20"/>
        </w:rPr>
      </w:pPr>
    </w:p>
    <w:p w14:paraId="3A9A54FA" w14:textId="77777777" w:rsidR="00AA3386" w:rsidRPr="00221759" w:rsidRDefault="00AA3386" w:rsidP="00231C39">
      <w:pPr>
        <w:numPr>
          <w:ilvl w:val="1"/>
          <w:numId w:val="5"/>
        </w:numPr>
        <w:spacing w:line="360" w:lineRule="auto"/>
        <w:ind w:left="709"/>
        <w:jc w:val="both"/>
        <w:rPr>
          <w:rFonts w:cs="Arial"/>
          <w:b/>
          <w:sz w:val="20"/>
          <w:szCs w:val="20"/>
          <w:u w:val="single"/>
        </w:rPr>
      </w:pPr>
      <w:r w:rsidRPr="00221759">
        <w:rPr>
          <w:rFonts w:cs="Arial"/>
          <w:b/>
          <w:sz w:val="20"/>
          <w:szCs w:val="20"/>
          <w:u w:val="single"/>
        </w:rPr>
        <w:t>Classe chimica di appartenenza del principio attivo</w:t>
      </w:r>
    </w:p>
    <w:p w14:paraId="4DBACBAB" w14:textId="77FACF65" w:rsidR="00D83C1A" w:rsidRPr="00221759" w:rsidRDefault="004C2797" w:rsidP="006E16DE">
      <w:pPr>
        <w:spacing w:line="360" w:lineRule="auto"/>
        <w:jc w:val="both"/>
        <w:rPr>
          <w:rFonts w:cs="Arial"/>
          <w:sz w:val="20"/>
          <w:szCs w:val="20"/>
        </w:rPr>
      </w:pPr>
      <w:r w:rsidRPr="00221759">
        <w:rPr>
          <w:rFonts w:cs="Arial"/>
          <w:sz w:val="20"/>
          <w:szCs w:val="20"/>
        </w:rPr>
        <w:t xml:space="preserve">Categoria farmacoterapeutica: </w:t>
      </w:r>
      <w:r w:rsidR="00B04973" w:rsidRPr="00B04973">
        <w:rPr>
          <w:rFonts w:cs="Arial"/>
          <w:sz w:val="20"/>
          <w:szCs w:val="20"/>
        </w:rPr>
        <w:t>antigottosi, preparati che aumentano l’escrezione di acido urico</w:t>
      </w:r>
      <w:r w:rsidR="00D83C1A" w:rsidRPr="00221759">
        <w:rPr>
          <w:rFonts w:cs="Arial"/>
          <w:sz w:val="20"/>
          <w:szCs w:val="20"/>
        </w:rPr>
        <w:t xml:space="preserve"> </w:t>
      </w:r>
    </w:p>
    <w:p w14:paraId="12243897" w14:textId="77777777" w:rsidR="00AA3386" w:rsidRPr="000E64E1" w:rsidRDefault="00AA3386" w:rsidP="006E16DE">
      <w:pPr>
        <w:spacing w:line="360" w:lineRule="auto"/>
        <w:jc w:val="both"/>
        <w:rPr>
          <w:rFonts w:cs="Arial"/>
          <w:sz w:val="20"/>
          <w:szCs w:val="20"/>
        </w:rPr>
      </w:pPr>
    </w:p>
    <w:p w14:paraId="773BDB3E" w14:textId="77777777" w:rsidR="006E16DE" w:rsidRDefault="00AA3386" w:rsidP="006E16DE">
      <w:pPr>
        <w:numPr>
          <w:ilvl w:val="1"/>
          <w:numId w:val="5"/>
        </w:numPr>
        <w:spacing w:line="360" w:lineRule="auto"/>
        <w:ind w:left="709"/>
        <w:jc w:val="both"/>
        <w:rPr>
          <w:rFonts w:cs="Arial"/>
          <w:b/>
          <w:sz w:val="20"/>
          <w:szCs w:val="20"/>
          <w:u w:val="single"/>
        </w:rPr>
      </w:pPr>
      <w:r w:rsidRPr="00221759">
        <w:rPr>
          <w:rFonts w:cs="Arial"/>
          <w:b/>
          <w:sz w:val="20"/>
          <w:szCs w:val="20"/>
          <w:u w:val="single"/>
        </w:rPr>
        <w:t>Categoria terapeutica di appartenenza del prodotto (ATC IV livello)</w:t>
      </w:r>
    </w:p>
    <w:p w14:paraId="129BA7B0" w14:textId="4E56D827" w:rsidR="004C2797" w:rsidRPr="006E16DE" w:rsidRDefault="004C2797" w:rsidP="006E16DE">
      <w:pPr>
        <w:spacing w:line="360" w:lineRule="auto"/>
        <w:jc w:val="both"/>
        <w:rPr>
          <w:rFonts w:cs="Arial"/>
          <w:sz w:val="20"/>
          <w:szCs w:val="20"/>
        </w:rPr>
      </w:pPr>
      <w:r w:rsidRPr="00221759">
        <w:rPr>
          <w:rFonts w:cs="Arial"/>
          <w:sz w:val="20"/>
          <w:szCs w:val="20"/>
        </w:rPr>
        <w:t xml:space="preserve">Codice ATC: </w:t>
      </w:r>
      <w:r w:rsidR="00B04973" w:rsidRPr="00B04973">
        <w:rPr>
          <w:rFonts w:cs="Arial"/>
          <w:sz w:val="20"/>
          <w:szCs w:val="20"/>
        </w:rPr>
        <w:t>M04AB05</w:t>
      </w:r>
    </w:p>
    <w:p w14:paraId="787CD291" w14:textId="77777777" w:rsidR="00AA3386" w:rsidRPr="00221759" w:rsidRDefault="00AA3386" w:rsidP="006E16DE">
      <w:pPr>
        <w:spacing w:line="360" w:lineRule="auto"/>
        <w:jc w:val="both"/>
        <w:rPr>
          <w:rFonts w:cs="Arial"/>
          <w:sz w:val="20"/>
          <w:szCs w:val="20"/>
        </w:rPr>
      </w:pPr>
    </w:p>
    <w:p w14:paraId="67A6F764" w14:textId="4280E02E" w:rsidR="00AA3386" w:rsidRPr="000E64E1" w:rsidRDefault="00AA3386" w:rsidP="00231C39">
      <w:pPr>
        <w:tabs>
          <w:tab w:val="left" w:pos="6480"/>
        </w:tabs>
        <w:spacing w:line="360" w:lineRule="auto"/>
        <w:ind w:left="709" w:hanging="720"/>
        <w:jc w:val="both"/>
        <w:rPr>
          <w:rFonts w:cs="Arial"/>
          <w:sz w:val="20"/>
          <w:szCs w:val="20"/>
        </w:rPr>
      </w:pPr>
      <w:r w:rsidRPr="00A40A30">
        <w:rPr>
          <w:rFonts w:cs="Arial"/>
          <w:b/>
          <w:sz w:val="20"/>
          <w:szCs w:val="20"/>
          <w:u w:val="single"/>
        </w:rPr>
        <w:t>2.3</w:t>
      </w:r>
      <w:r w:rsidRPr="00A40A30">
        <w:rPr>
          <w:rFonts w:cs="Arial"/>
          <w:b/>
          <w:sz w:val="20"/>
          <w:szCs w:val="20"/>
          <w:u w:val="single"/>
        </w:rPr>
        <w:tab/>
      </w:r>
      <w:r w:rsidRPr="00221759">
        <w:rPr>
          <w:rFonts w:cs="Arial"/>
          <w:b/>
          <w:sz w:val="20"/>
          <w:szCs w:val="20"/>
          <w:u w:val="single"/>
        </w:rPr>
        <w:t>Nuovo principio attivo (nuova entità chimica</w:t>
      </w:r>
      <w:r w:rsidRPr="00A40A30">
        <w:rPr>
          <w:rFonts w:cs="Arial"/>
          <w:b/>
          <w:sz w:val="20"/>
          <w:szCs w:val="20"/>
          <w:u w:val="single"/>
        </w:rPr>
        <w:t>)</w:t>
      </w:r>
      <w:r w:rsidRPr="00221759">
        <w:rPr>
          <w:rFonts w:cs="Arial"/>
          <w:sz w:val="20"/>
          <w:szCs w:val="20"/>
        </w:rPr>
        <w:tab/>
      </w:r>
      <w:r w:rsidR="00B04973" w:rsidRPr="00221759">
        <w:rPr>
          <w:rFonts w:cs="Arial"/>
          <w:b/>
          <w:sz w:val="20"/>
          <w:szCs w:val="20"/>
        </w:rPr>
        <w:t>X sì</w:t>
      </w:r>
      <w:r w:rsidR="004C2797" w:rsidRPr="00221759">
        <w:rPr>
          <w:rFonts w:cs="Arial"/>
          <w:sz w:val="20"/>
          <w:szCs w:val="20"/>
        </w:rPr>
        <w:tab/>
      </w:r>
      <w:r w:rsidR="00B04973" w:rsidRPr="00221759">
        <w:rPr>
          <w:rFonts w:cs="Arial"/>
          <w:sz w:val="20"/>
          <w:szCs w:val="20"/>
        </w:rPr>
        <w:sym w:font="Symbol" w:char="F091"/>
      </w:r>
      <w:r w:rsidR="00B04973" w:rsidRPr="00221759">
        <w:rPr>
          <w:rFonts w:cs="Arial"/>
          <w:b/>
          <w:sz w:val="20"/>
          <w:szCs w:val="20"/>
        </w:rPr>
        <w:t xml:space="preserve"> </w:t>
      </w:r>
      <w:r w:rsidR="00B04973" w:rsidRPr="00221759">
        <w:rPr>
          <w:rFonts w:cs="Arial"/>
          <w:sz w:val="20"/>
          <w:szCs w:val="20"/>
        </w:rPr>
        <w:t>no</w:t>
      </w:r>
    </w:p>
    <w:p w14:paraId="0B6D94C4" w14:textId="77777777" w:rsidR="00AA3386" w:rsidRPr="00221759" w:rsidRDefault="00AA3386" w:rsidP="006E16DE">
      <w:pPr>
        <w:spacing w:line="360" w:lineRule="auto"/>
        <w:jc w:val="both"/>
        <w:rPr>
          <w:rFonts w:cs="Arial"/>
          <w:sz w:val="20"/>
          <w:szCs w:val="20"/>
        </w:rPr>
      </w:pPr>
    </w:p>
    <w:p w14:paraId="05F0EA17" w14:textId="77777777" w:rsidR="00AA3386" w:rsidRPr="00221759" w:rsidRDefault="00AA3386" w:rsidP="00231C39">
      <w:pPr>
        <w:tabs>
          <w:tab w:val="left" w:pos="6480"/>
        </w:tabs>
        <w:spacing w:line="360" w:lineRule="auto"/>
        <w:ind w:left="709" w:hanging="720"/>
        <w:jc w:val="both"/>
        <w:rPr>
          <w:rFonts w:cs="Arial"/>
          <w:sz w:val="20"/>
          <w:szCs w:val="20"/>
        </w:rPr>
      </w:pPr>
      <w:r w:rsidRPr="00A40A30">
        <w:rPr>
          <w:rFonts w:cs="Arial"/>
          <w:b/>
          <w:sz w:val="20"/>
          <w:szCs w:val="20"/>
          <w:u w:val="single"/>
        </w:rPr>
        <w:t xml:space="preserve">2.4 </w:t>
      </w:r>
      <w:r w:rsidRPr="00A40A30">
        <w:rPr>
          <w:rFonts w:cs="Arial"/>
          <w:b/>
          <w:sz w:val="20"/>
          <w:szCs w:val="20"/>
          <w:u w:val="single"/>
        </w:rPr>
        <w:tab/>
      </w:r>
      <w:r w:rsidRPr="00221759">
        <w:rPr>
          <w:rFonts w:cs="Arial"/>
          <w:b/>
          <w:sz w:val="20"/>
          <w:szCs w:val="20"/>
          <w:u w:val="single"/>
        </w:rPr>
        <w:t>Nuova associazione di principi attivi</w:t>
      </w:r>
      <w:r w:rsidRPr="00221759">
        <w:rPr>
          <w:rFonts w:cs="Arial"/>
          <w:sz w:val="20"/>
          <w:szCs w:val="20"/>
        </w:rPr>
        <w:tab/>
      </w:r>
      <w:r w:rsidRPr="00221759">
        <w:rPr>
          <w:rFonts w:cs="Arial"/>
          <w:sz w:val="20"/>
          <w:szCs w:val="20"/>
        </w:rPr>
        <w:sym w:font="Symbol" w:char="F091"/>
      </w:r>
      <w:r w:rsidRPr="00221759">
        <w:rPr>
          <w:rFonts w:cs="Arial"/>
          <w:sz w:val="20"/>
          <w:szCs w:val="20"/>
        </w:rPr>
        <w:t xml:space="preserve"> sì</w:t>
      </w:r>
      <w:r w:rsidRPr="00221759">
        <w:rPr>
          <w:rFonts w:cs="Arial"/>
          <w:sz w:val="20"/>
          <w:szCs w:val="20"/>
        </w:rPr>
        <w:tab/>
      </w:r>
      <w:r w:rsidRPr="00221759">
        <w:rPr>
          <w:rFonts w:cs="Arial"/>
          <w:b/>
          <w:sz w:val="20"/>
          <w:szCs w:val="20"/>
        </w:rPr>
        <w:t>X no</w:t>
      </w:r>
    </w:p>
    <w:p w14:paraId="06512164" w14:textId="77777777" w:rsidR="00AA3386" w:rsidRPr="000E64E1" w:rsidRDefault="00AA3386" w:rsidP="006E16DE">
      <w:pPr>
        <w:spacing w:line="360" w:lineRule="auto"/>
        <w:jc w:val="both"/>
        <w:rPr>
          <w:rFonts w:cs="Arial"/>
          <w:sz w:val="20"/>
          <w:szCs w:val="20"/>
        </w:rPr>
      </w:pPr>
    </w:p>
    <w:p w14:paraId="717AB32C" w14:textId="7821FEB5" w:rsidR="00AA3386" w:rsidRPr="00221759" w:rsidRDefault="00AA3386" w:rsidP="00231C39">
      <w:pPr>
        <w:tabs>
          <w:tab w:val="left" w:pos="6480"/>
        </w:tabs>
        <w:spacing w:line="360" w:lineRule="auto"/>
        <w:ind w:left="709" w:hanging="720"/>
        <w:jc w:val="both"/>
        <w:rPr>
          <w:rFonts w:cs="Arial"/>
          <w:b/>
          <w:sz w:val="20"/>
          <w:szCs w:val="20"/>
        </w:rPr>
      </w:pPr>
      <w:r w:rsidRPr="00A40A30">
        <w:rPr>
          <w:rFonts w:cs="Arial"/>
          <w:b/>
          <w:sz w:val="20"/>
          <w:szCs w:val="20"/>
          <w:u w:val="single"/>
        </w:rPr>
        <w:t xml:space="preserve">2.5 </w:t>
      </w:r>
      <w:r w:rsidRPr="00A40A30">
        <w:rPr>
          <w:rFonts w:cs="Arial"/>
          <w:b/>
          <w:sz w:val="20"/>
          <w:szCs w:val="20"/>
          <w:u w:val="single"/>
        </w:rPr>
        <w:tab/>
      </w:r>
      <w:r w:rsidRPr="00221759">
        <w:rPr>
          <w:rFonts w:cs="Arial"/>
          <w:b/>
          <w:sz w:val="20"/>
          <w:szCs w:val="20"/>
          <w:u w:val="single"/>
        </w:rPr>
        <w:t>Nuovo dosaggio di prodotto già in commercio</w:t>
      </w:r>
      <w:r w:rsidRPr="00221759">
        <w:rPr>
          <w:rFonts w:cs="Arial"/>
          <w:sz w:val="20"/>
          <w:szCs w:val="20"/>
        </w:rPr>
        <w:t xml:space="preserve">  </w:t>
      </w:r>
      <w:r w:rsidRPr="00221759">
        <w:rPr>
          <w:rFonts w:cs="Arial"/>
          <w:sz w:val="20"/>
          <w:szCs w:val="20"/>
        </w:rPr>
        <w:tab/>
      </w:r>
      <w:r w:rsidR="00B04973" w:rsidRPr="00221759">
        <w:rPr>
          <w:rFonts w:cs="Arial"/>
          <w:sz w:val="20"/>
          <w:szCs w:val="20"/>
        </w:rPr>
        <w:sym w:font="Symbol" w:char="F091"/>
      </w:r>
      <w:r w:rsidR="00B04973" w:rsidRPr="00221759">
        <w:rPr>
          <w:rFonts w:cs="Arial"/>
          <w:sz w:val="20"/>
          <w:szCs w:val="20"/>
        </w:rPr>
        <w:t xml:space="preserve"> sì</w:t>
      </w:r>
      <w:r w:rsidR="004C2797" w:rsidRPr="00221759">
        <w:rPr>
          <w:rFonts w:cs="Arial"/>
          <w:sz w:val="20"/>
          <w:szCs w:val="20"/>
        </w:rPr>
        <w:tab/>
      </w:r>
      <w:r w:rsidR="00B04973" w:rsidRPr="00B04973">
        <w:rPr>
          <w:rFonts w:cs="Arial"/>
          <w:b/>
          <w:sz w:val="20"/>
          <w:szCs w:val="20"/>
        </w:rPr>
        <w:t>X no</w:t>
      </w:r>
    </w:p>
    <w:p w14:paraId="0B388185" w14:textId="77777777" w:rsidR="004C2797" w:rsidRPr="000E64E1" w:rsidRDefault="004C2797" w:rsidP="006E16DE">
      <w:pPr>
        <w:spacing w:line="360" w:lineRule="auto"/>
        <w:jc w:val="both"/>
        <w:rPr>
          <w:rFonts w:cs="Arial"/>
          <w:sz w:val="20"/>
          <w:szCs w:val="20"/>
        </w:rPr>
      </w:pPr>
    </w:p>
    <w:p w14:paraId="11CD7967" w14:textId="791B99BF" w:rsidR="00AA3386" w:rsidRPr="00221759" w:rsidRDefault="00AA3386" w:rsidP="00231C39">
      <w:pPr>
        <w:tabs>
          <w:tab w:val="left" w:pos="6480"/>
        </w:tabs>
        <w:spacing w:line="360" w:lineRule="auto"/>
        <w:ind w:left="709" w:hanging="720"/>
        <w:jc w:val="both"/>
        <w:rPr>
          <w:rFonts w:cs="Arial"/>
          <w:sz w:val="20"/>
          <w:szCs w:val="20"/>
        </w:rPr>
      </w:pPr>
      <w:r w:rsidRPr="00A40A30">
        <w:rPr>
          <w:rFonts w:cs="Arial"/>
          <w:b/>
          <w:sz w:val="20"/>
          <w:szCs w:val="20"/>
          <w:u w:val="single"/>
        </w:rPr>
        <w:t xml:space="preserve">2.6 </w:t>
      </w:r>
      <w:r w:rsidRPr="00A40A30">
        <w:rPr>
          <w:rFonts w:cs="Arial"/>
          <w:b/>
          <w:sz w:val="20"/>
          <w:szCs w:val="20"/>
          <w:u w:val="single"/>
        </w:rPr>
        <w:tab/>
      </w:r>
      <w:r w:rsidRPr="00221759">
        <w:rPr>
          <w:rFonts w:cs="Arial"/>
          <w:b/>
          <w:sz w:val="20"/>
          <w:szCs w:val="20"/>
          <w:u w:val="single"/>
        </w:rPr>
        <w:t>Nuova forma farmaceutica di specialità già in commercio</w:t>
      </w:r>
      <w:r w:rsidRPr="00221759">
        <w:rPr>
          <w:rFonts w:cs="Arial"/>
          <w:sz w:val="20"/>
          <w:szCs w:val="20"/>
        </w:rPr>
        <w:tab/>
      </w:r>
      <w:r w:rsidR="00B04973" w:rsidRPr="00221759">
        <w:rPr>
          <w:rFonts w:cs="Arial"/>
          <w:sz w:val="20"/>
          <w:szCs w:val="20"/>
        </w:rPr>
        <w:sym w:font="Symbol" w:char="F091"/>
      </w:r>
      <w:r w:rsidR="00B04973" w:rsidRPr="00221759">
        <w:rPr>
          <w:rFonts w:cs="Arial"/>
          <w:sz w:val="20"/>
          <w:szCs w:val="20"/>
        </w:rPr>
        <w:t xml:space="preserve"> sì</w:t>
      </w:r>
      <w:r w:rsidRPr="00221759">
        <w:rPr>
          <w:rFonts w:cs="Arial"/>
          <w:sz w:val="20"/>
          <w:szCs w:val="20"/>
        </w:rPr>
        <w:tab/>
      </w:r>
      <w:r w:rsidR="00B04973" w:rsidRPr="00B04973">
        <w:rPr>
          <w:rFonts w:cs="Arial"/>
          <w:b/>
          <w:sz w:val="20"/>
          <w:szCs w:val="20"/>
        </w:rPr>
        <w:t>X no</w:t>
      </w:r>
    </w:p>
    <w:p w14:paraId="12B70CBC" w14:textId="77777777" w:rsidR="00AA3386" w:rsidRPr="000E64E1" w:rsidRDefault="00AA3386" w:rsidP="006E16DE">
      <w:pPr>
        <w:spacing w:line="360" w:lineRule="auto"/>
        <w:jc w:val="both"/>
        <w:rPr>
          <w:rFonts w:cs="Arial"/>
          <w:sz w:val="20"/>
          <w:szCs w:val="20"/>
        </w:rPr>
      </w:pPr>
    </w:p>
    <w:p w14:paraId="13703123" w14:textId="77777777" w:rsidR="00AA3386" w:rsidRPr="00221759" w:rsidRDefault="00AA3386" w:rsidP="00231C39">
      <w:pPr>
        <w:tabs>
          <w:tab w:val="left" w:pos="6480"/>
        </w:tabs>
        <w:spacing w:line="360" w:lineRule="auto"/>
        <w:ind w:left="709" w:hanging="720"/>
        <w:jc w:val="both"/>
        <w:rPr>
          <w:rFonts w:cs="Arial"/>
          <w:sz w:val="20"/>
          <w:szCs w:val="20"/>
        </w:rPr>
      </w:pPr>
      <w:r w:rsidRPr="00A40A30">
        <w:rPr>
          <w:rFonts w:cs="Arial"/>
          <w:b/>
          <w:sz w:val="20"/>
          <w:szCs w:val="20"/>
          <w:u w:val="single"/>
        </w:rPr>
        <w:t xml:space="preserve">2.7 </w:t>
      </w:r>
      <w:r w:rsidRPr="00A40A30">
        <w:rPr>
          <w:rFonts w:cs="Arial"/>
          <w:b/>
          <w:sz w:val="20"/>
          <w:szCs w:val="20"/>
          <w:u w:val="single"/>
        </w:rPr>
        <w:tab/>
      </w:r>
      <w:r w:rsidRPr="000E64E1">
        <w:rPr>
          <w:rFonts w:cs="Arial"/>
          <w:b/>
          <w:sz w:val="20"/>
          <w:szCs w:val="20"/>
          <w:u w:val="single"/>
        </w:rPr>
        <w:t>Nuove indicazioni terapeutiche</w:t>
      </w:r>
      <w:r w:rsidRPr="00221759">
        <w:rPr>
          <w:rFonts w:cs="Arial"/>
          <w:sz w:val="20"/>
          <w:szCs w:val="20"/>
        </w:rPr>
        <w:tab/>
      </w:r>
      <w:r w:rsidRPr="00221759">
        <w:rPr>
          <w:rFonts w:cs="Arial"/>
          <w:sz w:val="20"/>
          <w:szCs w:val="20"/>
        </w:rPr>
        <w:sym w:font="Symbol" w:char="F091"/>
      </w:r>
      <w:r w:rsidRPr="00221759">
        <w:rPr>
          <w:rFonts w:cs="Arial"/>
          <w:b/>
          <w:sz w:val="20"/>
          <w:szCs w:val="20"/>
        </w:rPr>
        <w:t xml:space="preserve"> </w:t>
      </w:r>
      <w:r w:rsidRPr="00221759">
        <w:rPr>
          <w:rFonts w:cs="Arial"/>
          <w:sz w:val="20"/>
          <w:szCs w:val="20"/>
        </w:rPr>
        <w:t>sì</w:t>
      </w:r>
      <w:r w:rsidRPr="00221759">
        <w:rPr>
          <w:rFonts w:cs="Arial"/>
          <w:sz w:val="20"/>
          <w:szCs w:val="20"/>
        </w:rPr>
        <w:tab/>
      </w:r>
      <w:r w:rsidRPr="00221759">
        <w:rPr>
          <w:rFonts w:cs="Arial"/>
          <w:b/>
          <w:sz w:val="20"/>
          <w:szCs w:val="20"/>
        </w:rPr>
        <w:t>X</w:t>
      </w:r>
      <w:r w:rsidRPr="000E64E1" w:rsidDel="00F50175">
        <w:rPr>
          <w:rFonts w:cs="Arial"/>
          <w:sz w:val="20"/>
          <w:szCs w:val="20"/>
        </w:rPr>
        <w:t xml:space="preserve"> </w:t>
      </w:r>
      <w:r w:rsidRPr="000E64E1">
        <w:rPr>
          <w:rFonts w:cs="Arial"/>
          <w:b/>
          <w:sz w:val="20"/>
          <w:szCs w:val="20"/>
        </w:rPr>
        <w:t xml:space="preserve"> no</w:t>
      </w:r>
      <w:r w:rsidRPr="000E64E1">
        <w:rPr>
          <w:rFonts w:cs="Arial"/>
          <w:sz w:val="20"/>
          <w:szCs w:val="20"/>
        </w:rPr>
        <w:t xml:space="preserve"> </w:t>
      </w:r>
    </w:p>
    <w:p w14:paraId="5219BEF7" w14:textId="77777777" w:rsidR="00AA3386" w:rsidRPr="00221759" w:rsidRDefault="00AA3386" w:rsidP="006E16DE">
      <w:pPr>
        <w:spacing w:line="360" w:lineRule="auto"/>
        <w:jc w:val="both"/>
        <w:rPr>
          <w:rFonts w:cs="Arial"/>
          <w:sz w:val="20"/>
          <w:szCs w:val="20"/>
        </w:rPr>
      </w:pPr>
    </w:p>
    <w:p w14:paraId="40BFECDC" w14:textId="77777777" w:rsidR="0050085E" w:rsidRPr="00221759" w:rsidRDefault="00AA3386" w:rsidP="0050085E">
      <w:pPr>
        <w:tabs>
          <w:tab w:val="left" w:pos="6480"/>
        </w:tabs>
        <w:spacing w:line="360" w:lineRule="auto"/>
        <w:ind w:left="709" w:hanging="720"/>
        <w:jc w:val="both"/>
        <w:rPr>
          <w:rFonts w:cs="Arial"/>
          <w:b/>
          <w:sz w:val="20"/>
          <w:szCs w:val="20"/>
          <w:u w:val="single"/>
        </w:rPr>
      </w:pPr>
      <w:r w:rsidRPr="00A40A30">
        <w:rPr>
          <w:rFonts w:cs="Arial"/>
          <w:b/>
          <w:sz w:val="20"/>
          <w:szCs w:val="20"/>
          <w:u w:val="single"/>
        </w:rPr>
        <w:t xml:space="preserve">2.8 </w:t>
      </w:r>
      <w:r w:rsidRPr="00A40A30">
        <w:rPr>
          <w:rFonts w:cs="Arial"/>
          <w:b/>
          <w:sz w:val="20"/>
          <w:szCs w:val="20"/>
          <w:u w:val="single"/>
        </w:rPr>
        <w:tab/>
      </w:r>
      <w:r w:rsidRPr="002116EB">
        <w:rPr>
          <w:rFonts w:cs="Arial"/>
          <w:b/>
          <w:sz w:val="20"/>
          <w:szCs w:val="20"/>
          <w:u w:val="single"/>
        </w:rPr>
        <w:t>Altre specialità simili o equivalenti dal punto di vista clinico/terapeutico</w:t>
      </w:r>
    </w:p>
    <w:p w14:paraId="109E6409" w14:textId="77777777" w:rsidR="00AE5874" w:rsidRPr="006E16DE" w:rsidRDefault="00AE5874" w:rsidP="00E44433">
      <w:pPr>
        <w:spacing w:line="360" w:lineRule="auto"/>
        <w:rPr>
          <w:rFonts w:cs="Arial"/>
          <w:b/>
          <w:sz w:val="20"/>
          <w:szCs w:val="20"/>
        </w:rPr>
      </w:pPr>
      <w:r w:rsidRPr="006E16DE">
        <w:rPr>
          <w:rFonts w:cs="Arial"/>
          <w:b/>
          <w:sz w:val="20"/>
          <w:szCs w:val="20"/>
        </w:rPr>
        <w:t xml:space="preserve">Non esistono altre specialità simili o equivalenti a ZURAMPIC (lesinurad). </w:t>
      </w:r>
    </w:p>
    <w:p w14:paraId="686F244A" w14:textId="3AF42D6E" w:rsidR="00194162" w:rsidRPr="00194162" w:rsidRDefault="00194162" w:rsidP="00194162">
      <w:pPr>
        <w:spacing w:line="360" w:lineRule="auto"/>
        <w:rPr>
          <w:rFonts w:cs="Arial"/>
          <w:sz w:val="20"/>
          <w:szCs w:val="20"/>
        </w:rPr>
      </w:pPr>
      <w:r w:rsidRPr="00194162">
        <w:rPr>
          <w:rFonts w:cs="Arial"/>
          <w:sz w:val="20"/>
          <w:szCs w:val="20"/>
        </w:rPr>
        <w:t>ZURAMPIC</w:t>
      </w:r>
      <w:r>
        <w:rPr>
          <w:rFonts w:cs="Arial"/>
          <w:sz w:val="20"/>
          <w:szCs w:val="20"/>
        </w:rPr>
        <w:t xml:space="preserve"> </w:t>
      </w:r>
      <w:r w:rsidRPr="00194162">
        <w:rPr>
          <w:rFonts w:cs="Arial"/>
          <w:sz w:val="20"/>
          <w:szCs w:val="20"/>
        </w:rPr>
        <w:t xml:space="preserve"> rappresenta </w:t>
      </w:r>
      <w:r>
        <w:rPr>
          <w:rFonts w:cs="Arial"/>
          <w:sz w:val="20"/>
          <w:szCs w:val="20"/>
        </w:rPr>
        <w:t>una significativa innovazione</w:t>
      </w:r>
      <w:r w:rsidRPr="00194162">
        <w:rPr>
          <w:rFonts w:cs="Arial"/>
          <w:sz w:val="20"/>
          <w:szCs w:val="20"/>
        </w:rPr>
        <w:t xml:space="preserve"> nell’ambito dell’attuale panorama di trattamento</w:t>
      </w:r>
      <w:r>
        <w:rPr>
          <w:rFonts w:cs="Arial"/>
          <w:sz w:val="20"/>
          <w:szCs w:val="20"/>
        </w:rPr>
        <w:t xml:space="preserve"> dell’iperuricemia nei pazienti con gotta.</w:t>
      </w:r>
    </w:p>
    <w:p w14:paraId="5AD18131" w14:textId="3F03AE35" w:rsidR="00CD665E" w:rsidRPr="00BC34F2" w:rsidRDefault="00194162" w:rsidP="00E44433">
      <w:pPr>
        <w:spacing w:line="360" w:lineRule="auto"/>
        <w:rPr>
          <w:rFonts w:cs="Arial"/>
          <w:b/>
          <w:sz w:val="20"/>
          <w:szCs w:val="20"/>
        </w:rPr>
      </w:pPr>
      <w:r w:rsidRPr="00BC34F2">
        <w:rPr>
          <w:rFonts w:cs="Arial"/>
          <w:b/>
          <w:sz w:val="20"/>
          <w:szCs w:val="20"/>
        </w:rPr>
        <w:t>ZURAMPIC è l’unico farmaco uricosurico disponibile in Italia</w:t>
      </w:r>
      <w:r w:rsidR="00CD665E" w:rsidRPr="00BC34F2">
        <w:rPr>
          <w:rFonts w:cs="Arial"/>
          <w:b/>
          <w:sz w:val="20"/>
          <w:szCs w:val="20"/>
        </w:rPr>
        <w:t xml:space="preserve">, </w:t>
      </w:r>
      <w:r w:rsidR="00C00B31">
        <w:rPr>
          <w:rFonts w:cs="Arial"/>
          <w:b/>
          <w:sz w:val="20"/>
          <w:szCs w:val="20"/>
        </w:rPr>
        <w:t>che in virtù del suo meccanismo di azione è</w:t>
      </w:r>
      <w:r w:rsidR="00CD665E" w:rsidRPr="00BC34F2">
        <w:rPr>
          <w:rFonts w:cs="Arial"/>
          <w:b/>
          <w:sz w:val="20"/>
          <w:szCs w:val="20"/>
        </w:rPr>
        <w:t xml:space="preserve"> capace di correggere l’alterazione patogenetica di più frequente riscontro </w:t>
      </w:r>
      <w:r w:rsidR="00C00B31">
        <w:rPr>
          <w:rFonts w:cs="Arial"/>
          <w:b/>
          <w:sz w:val="20"/>
          <w:szCs w:val="20"/>
        </w:rPr>
        <w:t xml:space="preserve">nei pazienti con gotta </w:t>
      </w:r>
      <w:r w:rsidR="00CD665E" w:rsidRPr="00BC34F2">
        <w:rPr>
          <w:rFonts w:cs="Arial"/>
          <w:b/>
          <w:sz w:val="20"/>
          <w:szCs w:val="20"/>
        </w:rPr>
        <w:t>(ovvero l’insufficiente escrezione renale di acido urico).</w:t>
      </w:r>
    </w:p>
    <w:p w14:paraId="147B575A" w14:textId="2D49BFBC" w:rsidR="00194162" w:rsidRDefault="00CD665E" w:rsidP="00E44433">
      <w:pPr>
        <w:spacing w:line="360" w:lineRule="auto"/>
        <w:rPr>
          <w:rFonts w:cs="Arial"/>
          <w:sz w:val="20"/>
          <w:szCs w:val="20"/>
        </w:rPr>
      </w:pPr>
      <w:r>
        <w:rPr>
          <w:rFonts w:cs="Arial"/>
          <w:sz w:val="20"/>
          <w:szCs w:val="20"/>
        </w:rPr>
        <w:t>ZURAMPIC</w:t>
      </w:r>
      <w:r w:rsidR="00194162" w:rsidRPr="00194162">
        <w:rPr>
          <w:rFonts w:cs="Arial"/>
          <w:sz w:val="20"/>
          <w:szCs w:val="20"/>
        </w:rPr>
        <w:t>, in virtù di un meccanismo d’azione complementare rispetto agli inibitori della xantina ossidasi (XOI)</w:t>
      </w:r>
    </w:p>
    <w:p w14:paraId="58587F41" w14:textId="0B709C78" w:rsidR="00194162" w:rsidRPr="00194162" w:rsidRDefault="00194162" w:rsidP="00825BD3">
      <w:pPr>
        <w:pStyle w:val="ListParagraph"/>
        <w:numPr>
          <w:ilvl w:val="0"/>
          <w:numId w:val="39"/>
        </w:numPr>
        <w:spacing w:line="360" w:lineRule="auto"/>
        <w:rPr>
          <w:rFonts w:asciiTheme="minorHAnsi" w:hAnsiTheme="minorHAnsi" w:cstheme="minorHAnsi"/>
          <w:sz w:val="20"/>
          <w:szCs w:val="20"/>
        </w:rPr>
      </w:pPr>
      <w:r w:rsidRPr="00194162">
        <w:rPr>
          <w:rFonts w:asciiTheme="minorHAnsi" w:hAnsiTheme="minorHAnsi" w:cstheme="minorHAnsi"/>
          <w:sz w:val="20"/>
          <w:szCs w:val="20"/>
        </w:rPr>
        <w:t>ha raddoppiato il numero di pazienti che raggiungono il target terapeutico raccomandato dalle Linee Guida (riduzione dei livelli sierici di acido urico del 15-25%</w:t>
      </w:r>
      <w:r w:rsidR="00633EB1" w:rsidRPr="00633EB1">
        <w:rPr>
          <w:rFonts w:asciiTheme="minorHAnsi" w:hAnsiTheme="minorHAnsi" w:cstheme="minorHAnsi"/>
          <w:sz w:val="20"/>
          <w:szCs w:val="20"/>
        </w:rPr>
        <w:t xml:space="preserve"> </w:t>
      </w:r>
      <w:r w:rsidR="00633EB1">
        <w:rPr>
          <w:rFonts w:asciiTheme="minorHAnsi" w:hAnsiTheme="minorHAnsi" w:cstheme="minorHAnsi"/>
          <w:sz w:val="20"/>
          <w:szCs w:val="20"/>
        </w:rPr>
        <w:t>rispetto alla baseline</w:t>
      </w:r>
      <w:r w:rsidRPr="00194162">
        <w:rPr>
          <w:rFonts w:asciiTheme="minorHAnsi" w:hAnsiTheme="minorHAnsi" w:cstheme="minorHAnsi"/>
          <w:sz w:val="20"/>
          <w:szCs w:val="20"/>
        </w:rPr>
        <w:t>, già dal primo mese di trattamento)</w:t>
      </w:r>
    </w:p>
    <w:p w14:paraId="66E457D0" w14:textId="0B3F0DE9" w:rsidR="00194162" w:rsidRPr="00194162" w:rsidRDefault="00194162" w:rsidP="00825BD3">
      <w:pPr>
        <w:pStyle w:val="ListParagraph"/>
        <w:numPr>
          <w:ilvl w:val="0"/>
          <w:numId w:val="39"/>
        </w:numPr>
        <w:spacing w:line="360" w:lineRule="auto"/>
        <w:rPr>
          <w:rFonts w:asciiTheme="minorHAnsi" w:hAnsiTheme="minorHAnsi" w:cstheme="minorHAnsi"/>
          <w:sz w:val="20"/>
          <w:szCs w:val="20"/>
        </w:rPr>
      </w:pPr>
      <w:r w:rsidRPr="00194162">
        <w:rPr>
          <w:rFonts w:asciiTheme="minorHAnsi" w:hAnsiTheme="minorHAnsi" w:cstheme="minorHAnsi"/>
          <w:sz w:val="20"/>
          <w:szCs w:val="20"/>
        </w:rPr>
        <w:t xml:space="preserve">ha determinato un continuo beneficio clinico nei 24 mesi di trattamento (diminuzione della frequenza delle riacutizzazioni, riduzione del 50% dell’area interessata dai tofi e, nel tempo, risoluzione </w:t>
      </w:r>
      <w:r w:rsidR="00633EB1">
        <w:rPr>
          <w:rFonts w:asciiTheme="minorHAnsi" w:hAnsiTheme="minorHAnsi" w:cstheme="minorHAnsi"/>
          <w:sz w:val="20"/>
          <w:szCs w:val="20"/>
        </w:rPr>
        <w:t>dei</w:t>
      </w:r>
      <w:r w:rsidRPr="00194162">
        <w:rPr>
          <w:rFonts w:asciiTheme="minorHAnsi" w:hAnsiTheme="minorHAnsi" w:cstheme="minorHAnsi"/>
          <w:sz w:val="20"/>
          <w:szCs w:val="20"/>
        </w:rPr>
        <w:t xml:space="preserve"> tofi)</w:t>
      </w:r>
    </w:p>
    <w:p w14:paraId="5B12BA33" w14:textId="189CA23B" w:rsidR="004A0A37" w:rsidRPr="001108E0" w:rsidRDefault="00633EB1" w:rsidP="001108E0">
      <w:pPr>
        <w:spacing w:line="360" w:lineRule="auto"/>
        <w:rPr>
          <w:rFonts w:cstheme="minorHAnsi"/>
          <w:sz w:val="20"/>
          <w:szCs w:val="20"/>
        </w:rPr>
      </w:pPr>
      <w:r w:rsidRPr="00633EB1">
        <w:rPr>
          <w:rFonts w:cstheme="minorHAnsi"/>
          <w:sz w:val="20"/>
          <w:szCs w:val="20"/>
        </w:rPr>
        <w:t>Lesinurad inibisce selettivamente e con un le</w:t>
      </w:r>
      <w:r>
        <w:rPr>
          <w:rFonts w:cstheme="minorHAnsi"/>
          <w:sz w:val="20"/>
          <w:szCs w:val="20"/>
        </w:rPr>
        <w:t xml:space="preserve">game ad alta affinità URAT1, </w:t>
      </w:r>
      <w:r w:rsidRPr="00633EB1">
        <w:rPr>
          <w:rFonts w:cstheme="minorHAnsi"/>
          <w:sz w:val="20"/>
          <w:szCs w:val="20"/>
        </w:rPr>
        <w:t xml:space="preserve">trasportatore </w:t>
      </w:r>
      <w:r w:rsidR="00AE5874" w:rsidRPr="00194162">
        <w:rPr>
          <w:rFonts w:cstheme="minorHAnsi"/>
          <w:sz w:val="20"/>
          <w:szCs w:val="20"/>
        </w:rPr>
        <w:t>responsabile della maggior parte del riassorbimento dal lume tubulare</w:t>
      </w:r>
      <w:r w:rsidR="0097509E" w:rsidRPr="00194162">
        <w:rPr>
          <w:rFonts w:cstheme="minorHAnsi"/>
          <w:sz w:val="20"/>
          <w:szCs w:val="20"/>
        </w:rPr>
        <w:t xml:space="preserve"> </w:t>
      </w:r>
      <w:r w:rsidR="00AE5874" w:rsidRPr="00194162">
        <w:rPr>
          <w:rFonts w:cstheme="minorHAnsi"/>
          <w:sz w:val="20"/>
          <w:szCs w:val="20"/>
        </w:rPr>
        <w:t>renale</w:t>
      </w:r>
      <w:r w:rsidR="0097509E" w:rsidRPr="00194162">
        <w:rPr>
          <w:rFonts w:cstheme="minorHAnsi"/>
          <w:sz w:val="20"/>
          <w:szCs w:val="20"/>
        </w:rPr>
        <w:t xml:space="preserve"> al </w:t>
      </w:r>
      <w:r w:rsidR="00430EEE" w:rsidRPr="00194162">
        <w:rPr>
          <w:rFonts w:cstheme="minorHAnsi"/>
          <w:sz w:val="20"/>
          <w:szCs w:val="20"/>
        </w:rPr>
        <w:t>plasma</w:t>
      </w:r>
      <w:r w:rsidR="00AE5874" w:rsidRPr="00194162">
        <w:rPr>
          <w:rFonts w:cstheme="minorHAnsi"/>
          <w:sz w:val="20"/>
          <w:szCs w:val="20"/>
        </w:rPr>
        <w:t xml:space="preserve"> dell'acido urico filtrato. Inibendo URAT1, lesinurad aumenta l’escrezione </w:t>
      </w:r>
      <w:r>
        <w:rPr>
          <w:rFonts w:cstheme="minorHAnsi"/>
          <w:sz w:val="20"/>
          <w:szCs w:val="20"/>
        </w:rPr>
        <w:t xml:space="preserve">renale </w:t>
      </w:r>
      <w:r w:rsidR="00AE5874" w:rsidRPr="00194162">
        <w:rPr>
          <w:rFonts w:cstheme="minorHAnsi"/>
          <w:sz w:val="20"/>
          <w:szCs w:val="20"/>
        </w:rPr>
        <w:t xml:space="preserve">di acido urico e diminuisce </w:t>
      </w:r>
      <w:r>
        <w:rPr>
          <w:rFonts w:cstheme="minorHAnsi"/>
          <w:sz w:val="20"/>
          <w:szCs w:val="20"/>
        </w:rPr>
        <w:t>conseguentemente</w:t>
      </w:r>
      <w:r w:rsidR="00AE5874" w:rsidRPr="00194162">
        <w:rPr>
          <w:rFonts w:cstheme="minorHAnsi"/>
          <w:sz w:val="20"/>
          <w:szCs w:val="20"/>
        </w:rPr>
        <w:t xml:space="preserve"> i livelli sierici di acido urico (</w:t>
      </w:r>
      <w:r w:rsidR="005848A1">
        <w:rPr>
          <w:rFonts w:cstheme="minorHAnsi"/>
          <w:sz w:val="20"/>
          <w:szCs w:val="20"/>
        </w:rPr>
        <w:t>sUA</w:t>
      </w:r>
      <w:r w:rsidR="00AE5874" w:rsidRPr="00194162">
        <w:rPr>
          <w:rFonts w:cstheme="minorHAnsi"/>
          <w:sz w:val="20"/>
          <w:szCs w:val="20"/>
        </w:rPr>
        <w:t>)</w:t>
      </w:r>
      <w:r w:rsidR="00194162">
        <w:rPr>
          <w:rFonts w:cstheme="minorHAnsi"/>
          <w:sz w:val="20"/>
          <w:szCs w:val="20"/>
        </w:rPr>
        <w:t>.</w:t>
      </w:r>
      <w:r>
        <w:rPr>
          <w:rFonts w:cstheme="minorHAnsi"/>
          <w:sz w:val="20"/>
          <w:szCs w:val="20"/>
        </w:rPr>
        <w:t xml:space="preserve"> </w:t>
      </w:r>
      <w:r w:rsidRPr="00633EB1">
        <w:rPr>
          <w:rFonts w:cstheme="minorHAnsi"/>
          <w:sz w:val="20"/>
          <w:szCs w:val="20"/>
        </w:rPr>
        <w:t xml:space="preserve">Ad aumentare ulteriormente l’efficacia di Lesinurad contribuisce l’azione inibitoria del farmaco su </w:t>
      </w:r>
      <w:r w:rsidR="00AE5874" w:rsidRPr="00194162">
        <w:rPr>
          <w:rFonts w:cstheme="minorHAnsi"/>
          <w:sz w:val="20"/>
          <w:szCs w:val="20"/>
        </w:rPr>
        <w:t xml:space="preserve">OAT4, un trasportatore </w:t>
      </w:r>
      <w:r>
        <w:rPr>
          <w:rFonts w:cstheme="minorHAnsi"/>
          <w:sz w:val="20"/>
          <w:szCs w:val="20"/>
        </w:rPr>
        <w:t xml:space="preserve">renale </w:t>
      </w:r>
      <w:r w:rsidR="00AE5874" w:rsidRPr="00194162">
        <w:rPr>
          <w:rFonts w:cstheme="minorHAnsi"/>
          <w:sz w:val="20"/>
          <w:szCs w:val="20"/>
        </w:rPr>
        <w:t>di acido urico coinvolto nell’iperuricemia indotta da diuretici.</w:t>
      </w:r>
      <w:r w:rsidR="006E45AA">
        <w:rPr>
          <w:rFonts w:cstheme="minorHAnsi"/>
          <w:sz w:val="20"/>
          <w:szCs w:val="20"/>
        </w:rPr>
        <w:t xml:space="preserve"> </w:t>
      </w:r>
      <w:r w:rsidR="004A0A37" w:rsidRPr="001108E0">
        <w:rPr>
          <w:rFonts w:cstheme="minorHAnsi"/>
          <w:sz w:val="20"/>
          <w:szCs w:val="20"/>
        </w:rPr>
        <w:t>Lesinurad</w:t>
      </w:r>
      <w:r>
        <w:rPr>
          <w:rFonts w:cstheme="minorHAnsi"/>
          <w:sz w:val="20"/>
          <w:szCs w:val="20"/>
        </w:rPr>
        <w:t xml:space="preserve"> a dosaggi clinicamente efficaci </w:t>
      </w:r>
      <w:r w:rsidR="004A0A37" w:rsidRPr="001108E0">
        <w:rPr>
          <w:rFonts w:cstheme="minorHAnsi"/>
          <w:sz w:val="20"/>
          <w:szCs w:val="20"/>
        </w:rPr>
        <w:t>non interferisce con OAT</w:t>
      </w:r>
      <w:r w:rsidR="006E66BE" w:rsidRPr="001108E0">
        <w:rPr>
          <w:rFonts w:cstheme="minorHAnsi"/>
          <w:sz w:val="20"/>
          <w:szCs w:val="20"/>
        </w:rPr>
        <w:t>1 e OAT3</w:t>
      </w:r>
      <w:r w:rsidR="004A0A37" w:rsidRPr="001108E0">
        <w:rPr>
          <w:rFonts w:cstheme="minorHAnsi"/>
          <w:sz w:val="20"/>
          <w:szCs w:val="20"/>
        </w:rPr>
        <w:t>, trasportatori renali coinvolti nell’escrezione di farmaci</w:t>
      </w:r>
      <w:r w:rsidR="0038187C">
        <w:rPr>
          <w:rFonts w:cstheme="minorHAnsi"/>
          <w:sz w:val="20"/>
          <w:szCs w:val="20"/>
        </w:rPr>
        <w:t xml:space="preserve"> </w:t>
      </w:r>
      <w:r w:rsidRPr="00633EB1">
        <w:rPr>
          <w:rFonts w:cstheme="minorHAnsi"/>
          <w:sz w:val="20"/>
          <w:szCs w:val="20"/>
        </w:rPr>
        <w:t xml:space="preserve">, evitando così interazioni clinicamente rilevanti con i farmaci substrato di questi trasportatori (ad es. atorvastatina e metformina). </w:t>
      </w:r>
      <w:r w:rsidR="0038187C">
        <w:rPr>
          <w:rFonts w:cstheme="minorHAnsi"/>
          <w:sz w:val="20"/>
          <w:szCs w:val="20"/>
        </w:rPr>
        <w:t>(</w:t>
      </w:r>
      <w:hyperlink w:anchor="Par4_3" w:history="1">
        <w:r w:rsidR="0038187C" w:rsidRPr="00BC34F2">
          <w:rPr>
            <w:rStyle w:val="Hyperlink"/>
            <w:rFonts w:cstheme="minorHAnsi"/>
            <w:sz w:val="20"/>
            <w:szCs w:val="20"/>
          </w:rPr>
          <w:t>Paragrafo 4.3</w:t>
        </w:r>
      </w:hyperlink>
      <w:r w:rsidR="0038187C">
        <w:rPr>
          <w:rFonts w:cstheme="minorHAnsi"/>
          <w:sz w:val="20"/>
          <w:szCs w:val="20"/>
        </w:rPr>
        <w:t>)</w:t>
      </w:r>
      <w:r w:rsidRPr="00633EB1">
        <w:rPr>
          <w:rFonts w:cstheme="minorHAnsi"/>
          <w:sz w:val="20"/>
          <w:szCs w:val="20"/>
        </w:rPr>
        <w:t xml:space="preserve"> (</w:t>
      </w:r>
      <w:r w:rsidRPr="0038187C">
        <w:rPr>
          <w:rFonts w:cstheme="minorHAnsi"/>
          <w:color w:val="0000FF"/>
          <w:sz w:val="20"/>
          <w:szCs w:val="20"/>
        </w:rPr>
        <w:t>SmPC Zurampic, EPAR, 2015 (</w:t>
      </w:r>
      <w:r w:rsidR="00E54BFE">
        <w:rPr>
          <w:rFonts w:cstheme="minorHAnsi"/>
          <w:color w:val="0000FF"/>
          <w:sz w:val="20"/>
          <w:szCs w:val="20"/>
        </w:rPr>
        <w:t>1</w:t>
      </w:r>
      <w:r w:rsidRPr="0038187C">
        <w:rPr>
          <w:rFonts w:cstheme="minorHAnsi"/>
          <w:color w:val="0000FF"/>
          <w:sz w:val="20"/>
          <w:szCs w:val="20"/>
        </w:rPr>
        <w:t>)</w:t>
      </w:r>
      <w:r>
        <w:rPr>
          <w:rFonts w:cstheme="minorHAnsi"/>
          <w:color w:val="0000FF"/>
          <w:sz w:val="20"/>
          <w:szCs w:val="20"/>
        </w:rPr>
        <w:t xml:space="preserve">; </w:t>
      </w:r>
      <w:r w:rsidR="00E54BFE">
        <w:rPr>
          <w:rFonts w:cstheme="minorHAnsi"/>
          <w:color w:val="0000FF"/>
          <w:sz w:val="20"/>
          <w:szCs w:val="20"/>
        </w:rPr>
        <w:t>Keenan, 2013 (2)</w:t>
      </w:r>
      <w:r>
        <w:rPr>
          <w:rFonts w:cstheme="minorHAnsi"/>
          <w:color w:val="0000FF"/>
          <w:sz w:val="20"/>
          <w:szCs w:val="20"/>
        </w:rPr>
        <w:t xml:space="preserve">; </w:t>
      </w:r>
      <w:r w:rsidR="00E54BFE">
        <w:rPr>
          <w:rFonts w:cstheme="minorHAnsi"/>
          <w:color w:val="0000FF"/>
          <w:sz w:val="20"/>
          <w:szCs w:val="20"/>
        </w:rPr>
        <w:t>Tan, 2016 (3)</w:t>
      </w:r>
      <w:r w:rsidRPr="00350984">
        <w:rPr>
          <w:rFonts w:cstheme="minorHAnsi"/>
          <w:color w:val="0000FF"/>
          <w:sz w:val="20"/>
          <w:szCs w:val="20"/>
        </w:rPr>
        <w:t xml:space="preserve">; </w:t>
      </w:r>
      <w:r w:rsidR="00E54BFE">
        <w:rPr>
          <w:rFonts w:cstheme="minorHAnsi"/>
          <w:color w:val="0000FF"/>
          <w:sz w:val="20"/>
          <w:szCs w:val="20"/>
        </w:rPr>
        <w:t>Miner, 2016 (4)</w:t>
      </w:r>
      <w:r w:rsidRPr="00350984">
        <w:rPr>
          <w:rFonts w:cstheme="minorHAnsi"/>
          <w:color w:val="0000FF"/>
          <w:sz w:val="20"/>
          <w:szCs w:val="20"/>
        </w:rPr>
        <w:t xml:space="preserve">; </w:t>
      </w:r>
      <w:r w:rsidR="00E54BFE">
        <w:rPr>
          <w:rFonts w:cstheme="minorHAnsi"/>
          <w:color w:val="0000FF"/>
          <w:sz w:val="20"/>
          <w:szCs w:val="20"/>
        </w:rPr>
        <w:t>Shen, 2016 (5)</w:t>
      </w:r>
      <w:r w:rsidRPr="00633EB1">
        <w:rPr>
          <w:rFonts w:cstheme="minorHAnsi"/>
          <w:sz w:val="20"/>
          <w:szCs w:val="20"/>
        </w:rPr>
        <w:t>)</w:t>
      </w:r>
      <w:r w:rsidR="004A0A37" w:rsidRPr="001108E0">
        <w:rPr>
          <w:rFonts w:cstheme="minorHAnsi"/>
          <w:sz w:val="20"/>
          <w:szCs w:val="20"/>
        </w:rPr>
        <w:t>.</w:t>
      </w:r>
    </w:p>
    <w:p w14:paraId="2F226C57" w14:textId="43F28932" w:rsidR="00F3041B" w:rsidRPr="006E16DE" w:rsidRDefault="00F3041B" w:rsidP="00F3041B">
      <w:pPr>
        <w:pStyle w:val="ListParagraph"/>
        <w:spacing w:line="360" w:lineRule="auto"/>
        <w:rPr>
          <w:rFonts w:asciiTheme="minorHAnsi" w:eastAsiaTheme="minorEastAsia" w:hAnsiTheme="minorHAnsi" w:cstheme="minorHAnsi"/>
          <w:sz w:val="20"/>
          <w:szCs w:val="20"/>
        </w:rPr>
      </w:pPr>
    </w:p>
    <w:p w14:paraId="677FA8D8" w14:textId="247BC02A" w:rsidR="00524699" w:rsidRPr="006E16DE" w:rsidRDefault="00AE5874" w:rsidP="001108E0">
      <w:pPr>
        <w:spacing w:line="360" w:lineRule="auto"/>
        <w:rPr>
          <w:sz w:val="20"/>
          <w:szCs w:val="20"/>
          <w:highlight w:val="yellow"/>
        </w:rPr>
      </w:pPr>
      <w:r w:rsidRPr="006E16DE">
        <w:rPr>
          <w:rFonts w:cs="Arial"/>
          <w:sz w:val="20"/>
          <w:szCs w:val="20"/>
        </w:rPr>
        <w:t>L’efficacia e tollerabilità di ZURAMPIC in mono-somministrazione giornaliera e in associazione con un farmaco XOI, è stata studiata in 3 ampi RCT di Fase III, svolti su oltre 1.500 pazienti adulti affetti da iperuricemia e gotta</w:t>
      </w:r>
      <w:r w:rsidR="001108E0">
        <w:rPr>
          <w:rFonts w:cs="Arial"/>
          <w:sz w:val="20"/>
          <w:szCs w:val="20"/>
        </w:rPr>
        <w:t>.</w:t>
      </w:r>
    </w:p>
    <w:p w14:paraId="277D622D" w14:textId="77777777" w:rsidR="00753DAA" w:rsidRPr="009767F9" w:rsidRDefault="00753DAA">
      <w:pPr>
        <w:rPr>
          <w:rFonts w:cs="Arial"/>
          <w:b/>
          <w:color w:val="000000"/>
          <w:sz w:val="20"/>
          <w:szCs w:val="20"/>
          <w:u w:val="single"/>
        </w:rPr>
      </w:pPr>
      <w:r w:rsidRPr="009767F9">
        <w:rPr>
          <w:rFonts w:cs="Arial"/>
          <w:b/>
          <w:color w:val="000000"/>
          <w:sz w:val="20"/>
          <w:szCs w:val="20"/>
          <w:u w:val="single"/>
        </w:rPr>
        <w:br w:type="page"/>
      </w:r>
    </w:p>
    <w:p w14:paraId="102C2DEB" w14:textId="4A3161D7" w:rsidR="00AA3386" w:rsidRPr="00BE5C44" w:rsidRDefault="00AA3386" w:rsidP="00825BD3">
      <w:pPr>
        <w:pStyle w:val="Heading1"/>
        <w:numPr>
          <w:ilvl w:val="0"/>
          <w:numId w:val="40"/>
        </w:numPr>
        <w:ind w:left="567" w:hanging="567"/>
        <w:rPr>
          <w:rFonts w:asciiTheme="minorHAnsi" w:hAnsiTheme="minorHAnsi" w:cstheme="minorHAnsi"/>
          <w:sz w:val="20"/>
        </w:rPr>
      </w:pPr>
      <w:bookmarkStart w:id="19" w:name="_Toc439456123"/>
      <w:bookmarkStart w:id="20" w:name="_Toc473184553"/>
      <w:r w:rsidRPr="00BE5C44">
        <w:rPr>
          <w:rFonts w:asciiTheme="minorHAnsi" w:hAnsiTheme="minorHAnsi" w:cstheme="minorHAnsi"/>
          <w:sz w:val="20"/>
        </w:rPr>
        <w:t>Specificazioni terapeutiche della specialità medicinale</w:t>
      </w:r>
      <w:bookmarkEnd w:id="19"/>
      <w:bookmarkEnd w:id="20"/>
    </w:p>
    <w:p w14:paraId="09EA547C" w14:textId="77777777" w:rsidR="00AA3386" w:rsidRPr="00221759" w:rsidRDefault="00AA3386" w:rsidP="00350878">
      <w:pPr>
        <w:spacing w:line="360" w:lineRule="auto"/>
        <w:jc w:val="both"/>
        <w:rPr>
          <w:rFonts w:cs="Arial"/>
          <w:sz w:val="20"/>
          <w:szCs w:val="20"/>
          <w:u w:val="single"/>
        </w:rPr>
      </w:pPr>
    </w:p>
    <w:p w14:paraId="7DB7D0CA" w14:textId="77777777" w:rsidR="00AA3386" w:rsidRPr="00D06F5A" w:rsidRDefault="00AA3386" w:rsidP="00231C39">
      <w:pPr>
        <w:numPr>
          <w:ilvl w:val="1"/>
          <w:numId w:val="1"/>
        </w:numPr>
        <w:spacing w:line="360" w:lineRule="auto"/>
        <w:ind w:left="709"/>
        <w:jc w:val="both"/>
        <w:rPr>
          <w:rFonts w:cs="Arial"/>
          <w:b/>
          <w:sz w:val="20"/>
          <w:szCs w:val="20"/>
        </w:rPr>
      </w:pPr>
      <w:r w:rsidRPr="00D06F5A">
        <w:rPr>
          <w:rFonts w:cs="Arial"/>
          <w:b/>
          <w:sz w:val="20"/>
          <w:szCs w:val="20"/>
          <w:u w:val="single"/>
        </w:rPr>
        <w:t>Indicazioni terapeutiche approvate</w:t>
      </w:r>
      <w:r w:rsidRPr="00D06F5A">
        <w:rPr>
          <w:rFonts w:cs="Arial"/>
          <w:b/>
          <w:sz w:val="20"/>
          <w:szCs w:val="20"/>
        </w:rPr>
        <w:t>:</w:t>
      </w:r>
    </w:p>
    <w:p w14:paraId="00CAA3EF" w14:textId="0C0F2DFC" w:rsidR="00D83C1A" w:rsidRPr="00011287" w:rsidRDefault="00606C3E" w:rsidP="00350878">
      <w:pPr>
        <w:pStyle w:val="BodyTextIndent2"/>
        <w:ind w:left="0"/>
        <w:rPr>
          <w:rFonts w:asciiTheme="minorHAnsi" w:eastAsiaTheme="minorEastAsia" w:hAnsiTheme="minorHAnsi" w:cs="Arial"/>
          <w:szCs w:val="20"/>
          <w:lang w:eastAsia="ja-JP"/>
        </w:rPr>
      </w:pPr>
      <w:r>
        <w:rPr>
          <w:rFonts w:asciiTheme="minorHAnsi" w:eastAsiaTheme="minorEastAsia" w:hAnsiTheme="minorHAnsi" w:cs="Arial"/>
          <w:szCs w:val="20"/>
          <w:lang w:eastAsia="ja-JP"/>
        </w:rPr>
        <w:t>Zurampic</w:t>
      </w:r>
      <w:r w:rsidR="003C4CC3" w:rsidRPr="00011287">
        <w:rPr>
          <w:rFonts w:asciiTheme="minorHAnsi" w:eastAsiaTheme="minorEastAsia" w:hAnsiTheme="minorHAnsi" w:cs="Arial"/>
          <w:szCs w:val="20"/>
          <w:lang w:eastAsia="ja-JP"/>
        </w:rPr>
        <w:t xml:space="preserve"> </w:t>
      </w:r>
      <w:r w:rsidRPr="00606C3E">
        <w:rPr>
          <w:rFonts w:asciiTheme="minorHAnsi" w:eastAsiaTheme="minorEastAsia" w:hAnsiTheme="minorHAnsi" w:cs="Arial"/>
          <w:szCs w:val="20"/>
          <w:lang w:eastAsia="ja-JP"/>
        </w:rPr>
        <w:t>in associazione con un inibitore della xantina ossidasi, è indicato in soggetti adulti per il trattamento aggiuntivo dell’iperuricemia in pazienti con gotta (con o senza tofi) che non abbiano raggiunto livelli sierici target di acido urico con una dose adeguata di un inibitore della xantina ossidasi in monoterapia</w:t>
      </w:r>
      <w:r w:rsidR="00D83C1A" w:rsidRPr="00011287">
        <w:rPr>
          <w:rFonts w:asciiTheme="minorHAnsi" w:eastAsiaTheme="minorEastAsia" w:hAnsiTheme="minorHAnsi" w:cs="Arial"/>
          <w:szCs w:val="20"/>
          <w:lang w:eastAsia="ja-JP"/>
        </w:rPr>
        <w:t xml:space="preserve">. </w:t>
      </w:r>
    </w:p>
    <w:p w14:paraId="78FFA5A4" w14:textId="4AE1A689" w:rsidR="00AA3386" w:rsidRPr="00221759" w:rsidRDefault="00AA3386" w:rsidP="00350878">
      <w:pPr>
        <w:spacing w:line="360" w:lineRule="auto"/>
        <w:jc w:val="both"/>
        <w:rPr>
          <w:rFonts w:cs="Arial"/>
          <w:sz w:val="20"/>
          <w:szCs w:val="20"/>
        </w:rPr>
      </w:pPr>
    </w:p>
    <w:p w14:paraId="02829006" w14:textId="77777777" w:rsidR="00AA3386" w:rsidRPr="00E60AA1" w:rsidRDefault="00AA3386" w:rsidP="00231C39">
      <w:pPr>
        <w:numPr>
          <w:ilvl w:val="1"/>
          <w:numId w:val="1"/>
        </w:numPr>
        <w:spacing w:line="360" w:lineRule="auto"/>
        <w:ind w:left="709"/>
        <w:jc w:val="both"/>
        <w:rPr>
          <w:rFonts w:cs="Arial"/>
          <w:b/>
          <w:sz w:val="20"/>
          <w:szCs w:val="20"/>
          <w:u w:val="single"/>
        </w:rPr>
      </w:pPr>
      <w:r w:rsidRPr="00E60AA1">
        <w:rPr>
          <w:rFonts w:cs="Arial"/>
          <w:b/>
          <w:sz w:val="20"/>
          <w:szCs w:val="20"/>
          <w:u w:val="single"/>
        </w:rPr>
        <w:t xml:space="preserve">Posologia media, minima e massima </w:t>
      </w:r>
    </w:p>
    <w:p w14:paraId="39A6F4A1" w14:textId="7E695EE0" w:rsidR="00B51382" w:rsidRDefault="00B51382" w:rsidP="00B51382">
      <w:pPr>
        <w:pStyle w:val="BodyTextIndent2"/>
        <w:ind w:left="0"/>
        <w:rPr>
          <w:rFonts w:asciiTheme="minorHAnsi" w:eastAsiaTheme="minorEastAsia" w:hAnsiTheme="minorHAnsi" w:cs="Arial"/>
          <w:szCs w:val="20"/>
          <w:lang w:eastAsia="ja-JP"/>
        </w:rPr>
      </w:pPr>
      <w:r>
        <w:rPr>
          <w:rFonts w:asciiTheme="minorHAnsi" w:eastAsiaTheme="minorEastAsia" w:hAnsiTheme="minorHAnsi" w:cs="Arial"/>
          <w:szCs w:val="20"/>
          <w:lang w:eastAsia="ja-JP"/>
        </w:rPr>
        <w:t>Il Paragrafo 4.2 – Posologia, del Riassunto delle Caratte</w:t>
      </w:r>
      <w:r w:rsidR="009F5E96">
        <w:rPr>
          <w:rFonts w:asciiTheme="minorHAnsi" w:eastAsiaTheme="minorEastAsia" w:hAnsiTheme="minorHAnsi" w:cs="Arial"/>
          <w:szCs w:val="20"/>
          <w:lang w:eastAsia="ja-JP"/>
        </w:rPr>
        <w:t>r</w:t>
      </w:r>
      <w:r>
        <w:rPr>
          <w:rFonts w:asciiTheme="minorHAnsi" w:eastAsiaTheme="minorEastAsia" w:hAnsiTheme="minorHAnsi" w:cs="Arial"/>
          <w:szCs w:val="20"/>
          <w:lang w:eastAsia="ja-JP"/>
        </w:rPr>
        <w:t>istiche del Prodotto cita:</w:t>
      </w:r>
    </w:p>
    <w:p w14:paraId="3BDFBE95" w14:textId="77777777" w:rsidR="00B51382" w:rsidRDefault="00B51382" w:rsidP="00B51382">
      <w:pPr>
        <w:pStyle w:val="BodyTextIndent2"/>
        <w:ind w:left="0"/>
        <w:rPr>
          <w:rFonts w:asciiTheme="minorHAnsi" w:eastAsiaTheme="minorEastAsia" w:hAnsiTheme="minorHAnsi" w:cs="Arial"/>
          <w:szCs w:val="20"/>
          <w:lang w:eastAsia="ja-JP"/>
        </w:rPr>
      </w:pPr>
      <w:r>
        <w:rPr>
          <w:rFonts w:asciiTheme="minorHAnsi" w:eastAsiaTheme="minorEastAsia" w:hAnsiTheme="minorHAnsi" w:cs="Arial"/>
          <w:szCs w:val="20"/>
          <w:lang w:eastAsia="ja-JP"/>
        </w:rPr>
        <w:t>“</w:t>
      </w:r>
      <w:r w:rsidRPr="00B51382">
        <w:rPr>
          <w:rFonts w:asciiTheme="minorHAnsi" w:eastAsiaTheme="minorEastAsia" w:hAnsiTheme="minorHAnsi" w:cs="Arial"/>
          <w:szCs w:val="20"/>
          <w:lang w:eastAsia="ja-JP"/>
        </w:rPr>
        <w:t>La dose raccomandata di Zurampic è 200 mg una volta al giorno al mattino. Questa è anche la dose massima (vedere paragrafo 4.4).</w:t>
      </w:r>
    </w:p>
    <w:p w14:paraId="4AF959CC" w14:textId="25377025" w:rsidR="00B51382" w:rsidRPr="00B51382" w:rsidRDefault="00B51382" w:rsidP="00B51382">
      <w:pPr>
        <w:pStyle w:val="BodyTextIndent2"/>
        <w:ind w:left="0"/>
        <w:rPr>
          <w:rFonts w:asciiTheme="minorHAnsi" w:eastAsiaTheme="minorEastAsia" w:hAnsiTheme="minorHAnsi" w:cs="Arial"/>
          <w:szCs w:val="20"/>
          <w:lang w:eastAsia="ja-JP"/>
        </w:rPr>
      </w:pPr>
      <w:r w:rsidRPr="00B51382">
        <w:rPr>
          <w:rFonts w:asciiTheme="minorHAnsi" w:eastAsiaTheme="minorEastAsia" w:hAnsiTheme="minorHAnsi" w:cs="Arial"/>
          <w:szCs w:val="20"/>
          <w:lang w:eastAsia="ja-JP"/>
        </w:rPr>
        <w:t>Le compresse di Zurampic devono essere co-somministrate in concomitanza con la dose mattutina di un inibitore della xantina ossidasi, ad es. allopurinolo o febuxostat. La dose minima raccomandata di allopurinolo è 300 mg o 200 mg per i pazienti con moderato danno renale (clearance della creatinina [CrCL] di 30-59 mL/min). Se il trattamento con un inibitore della xantina ossidasi viene interrotto, anche la somministrazione di Zurampic deve essere sospesa.</w:t>
      </w:r>
    </w:p>
    <w:p w14:paraId="2EEE9E52" w14:textId="5C077F6E" w:rsidR="00B51382" w:rsidRPr="00B51382" w:rsidRDefault="00B51382" w:rsidP="00B51382">
      <w:pPr>
        <w:pStyle w:val="BodyTextIndent2"/>
        <w:ind w:left="0"/>
        <w:rPr>
          <w:rFonts w:asciiTheme="minorHAnsi" w:eastAsiaTheme="minorEastAsia" w:hAnsiTheme="minorHAnsi" w:cs="Arial"/>
          <w:szCs w:val="20"/>
          <w:lang w:eastAsia="ja-JP"/>
        </w:rPr>
      </w:pPr>
      <w:r w:rsidRPr="00B51382">
        <w:rPr>
          <w:rFonts w:asciiTheme="minorHAnsi" w:eastAsiaTheme="minorEastAsia" w:hAnsiTheme="minorHAnsi" w:cs="Arial"/>
          <w:szCs w:val="20"/>
          <w:lang w:eastAsia="ja-JP"/>
        </w:rPr>
        <w:t>I pazienti devono essere avvertiti che il mancato rispetto di queste istruzioni potrebbe aumentare il rischio di insorgenza di e</w:t>
      </w:r>
      <w:r w:rsidR="00BC34F2">
        <w:rPr>
          <w:rFonts w:asciiTheme="minorHAnsi" w:eastAsiaTheme="minorEastAsia" w:hAnsiTheme="minorHAnsi" w:cs="Arial"/>
          <w:szCs w:val="20"/>
          <w:lang w:eastAsia="ja-JP"/>
        </w:rPr>
        <w:t>venti renali (vedere p</w:t>
      </w:r>
      <w:r w:rsidRPr="00B51382">
        <w:rPr>
          <w:rFonts w:asciiTheme="minorHAnsi" w:eastAsiaTheme="minorEastAsia" w:hAnsiTheme="minorHAnsi" w:cs="Arial"/>
          <w:szCs w:val="20"/>
          <w:lang w:eastAsia="ja-JP"/>
        </w:rPr>
        <w:t>aragrafo 4.4).</w:t>
      </w:r>
    </w:p>
    <w:p w14:paraId="148156C6" w14:textId="59DA3DAD" w:rsidR="00B51382" w:rsidRPr="00B51382" w:rsidRDefault="00B51382" w:rsidP="00B51382">
      <w:pPr>
        <w:pStyle w:val="BodyTextIndent2"/>
        <w:ind w:left="0"/>
        <w:rPr>
          <w:rFonts w:asciiTheme="minorHAnsi" w:eastAsiaTheme="minorEastAsia" w:hAnsiTheme="minorHAnsi" w:cs="Arial"/>
          <w:szCs w:val="20"/>
          <w:lang w:eastAsia="ja-JP"/>
        </w:rPr>
      </w:pPr>
      <w:r w:rsidRPr="00B51382">
        <w:rPr>
          <w:rFonts w:asciiTheme="minorHAnsi" w:eastAsiaTheme="minorEastAsia" w:hAnsiTheme="minorHAnsi" w:cs="Arial"/>
          <w:szCs w:val="20"/>
          <w:lang w:eastAsia="ja-JP"/>
        </w:rPr>
        <w:t>I pazienti devono ricevere istruzioni per mantenere un buono stato di idratazione (ad es. 2 litri di liquido al giorno).</w:t>
      </w:r>
    </w:p>
    <w:p w14:paraId="0779A45B" w14:textId="247CF648" w:rsidR="00B51382" w:rsidRPr="00B51382" w:rsidRDefault="00B51382" w:rsidP="00B51382">
      <w:pPr>
        <w:pStyle w:val="BodyTextIndent2"/>
        <w:ind w:left="0"/>
        <w:rPr>
          <w:rFonts w:asciiTheme="minorHAnsi" w:eastAsiaTheme="minorEastAsia" w:hAnsiTheme="minorHAnsi" w:cs="Arial"/>
          <w:szCs w:val="20"/>
          <w:lang w:eastAsia="ja-JP"/>
        </w:rPr>
      </w:pPr>
      <w:r w:rsidRPr="00B51382">
        <w:rPr>
          <w:rFonts w:asciiTheme="minorHAnsi" w:eastAsiaTheme="minorEastAsia" w:hAnsiTheme="minorHAnsi" w:cs="Arial"/>
          <w:szCs w:val="20"/>
          <w:lang w:eastAsia="ja-JP"/>
        </w:rPr>
        <w:t>Il livello sierico target di acido urico è inferiore a 6 mg/dL (360 µmol/L). Nei pazienti con tofi o sintomi persistenti, il target è inferiore a 5 mg/dL (300 µmol/L). I test per misurare il livello sierico target di acido urico possono essere eseguiti già 4 settimane dopo l’inizio del trattamento con Zurampic.</w:t>
      </w:r>
    </w:p>
    <w:p w14:paraId="60A2F83F" w14:textId="77777777" w:rsidR="00B51382" w:rsidRPr="00B51382" w:rsidRDefault="00B51382" w:rsidP="00B51382">
      <w:pPr>
        <w:pStyle w:val="BodyTextIndent2"/>
        <w:ind w:left="0"/>
        <w:rPr>
          <w:rFonts w:asciiTheme="minorHAnsi" w:eastAsiaTheme="minorEastAsia" w:hAnsiTheme="minorHAnsi" w:cs="Arial"/>
          <w:szCs w:val="20"/>
          <w:lang w:eastAsia="ja-JP"/>
        </w:rPr>
      </w:pPr>
      <w:r w:rsidRPr="00B51382">
        <w:rPr>
          <w:rFonts w:asciiTheme="minorHAnsi" w:eastAsiaTheme="minorEastAsia" w:hAnsiTheme="minorHAnsi" w:cs="Arial"/>
          <w:szCs w:val="20"/>
          <w:lang w:eastAsia="ja-JP"/>
        </w:rPr>
        <w:t>Si raccomanda una profilassi con colchicina o un farmaco antinfiammatorio non steroideo (FANS)</w:t>
      </w:r>
    </w:p>
    <w:p w14:paraId="671A63C6" w14:textId="77777777" w:rsidR="00B51382" w:rsidRPr="00B51382" w:rsidRDefault="00B51382" w:rsidP="00B51382">
      <w:pPr>
        <w:pStyle w:val="BodyTextIndent2"/>
        <w:ind w:left="0"/>
        <w:rPr>
          <w:rFonts w:asciiTheme="minorHAnsi" w:eastAsiaTheme="minorEastAsia" w:hAnsiTheme="minorHAnsi" w:cs="Arial"/>
          <w:szCs w:val="20"/>
          <w:lang w:eastAsia="ja-JP"/>
        </w:rPr>
      </w:pPr>
      <w:r w:rsidRPr="00B51382">
        <w:rPr>
          <w:rFonts w:asciiTheme="minorHAnsi" w:eastAsiaTheme="minorEastAsia" w:hAnsiTheme="minorHAnsi" w:cs="Arial"/>
          <w:szCs w:val="20"/>
          <w:lang w:eastAsia="ja-JP"/>
        </w:rPr>
        <w:t>contro le riacutizzazioni della gotta per almeno 5 mesi quando si inizia la terapia (vedere paragrafo 4.4).</w:t>
      </w:r>
    </w:p>
    <w:p w14:paraId="170F2D63" w14:textId="77777777" w:rsidR="00B51382" w:rsidRPr="00B51382" w:rsidRDefault="00B51382" w:rsidP="00B51382">
      <w:pPr>
        <w:pStyle w:val="BodyTextIndent2"/>
        <w:ind w:left="0"/>
        <w:rPr>
          <w:rFonts w:asciiTheme="minorHAnsi" w:eastAsiaTheme="minorEastAsia" w:hAnsiTheme="minorHAnsi" w:cs="Arial"/>
          <w:szCs w:val="20"/>
          <w:u w:val="single"/>
          <w:lang w:eastAsia="ja-JP"/>
        </w:rPr>
      </w:pPr>
      <w:r w:rsidRPr="00B51382">
        <w:rPr>
          <w:rFonts w:asciiTheme="minorHAnsi" w:eastAsiaTheme="minorEastAsia" w:hAnsiTheme="minorHAnsi" w:cs="Arial"/>
          <w:szCs w:val="20"/>
          <w:u w:val="single"/>
          <w:lang w:eastAsia="ja-JP"/>
        </w:rPr>
        <w:t>Popolazioni speciali</w:t>
      </w:r>
    </w:p>
    <w:p w14:paraId="6BA66595" w14:textId="77777777" w:rsidR="00B51382" w:rsidRPr="00B51382" w:rsidRDefault="00B51382" w:rsidP="00B51382">
      <w:pPr>
        <w:pStyle w:val="BodyTextIndent2"/>
        <w:ind w:left="0"/>
        <w:rPr>
          <w:rFonts w:asciiTheme="minorHAnsi" w:eastAsiaTheme="minorEastAsia" w:hAnsiTheme="minorHAnsi" w:cs="Arial"/>
          <w:i/>
          <w:szCs w:val="20"/>
          <w:lang w:eastAsia="ja-JP"/>
        </w:rPr>
      </w:pPr>
      <w:r w:rsidRPr="00B51382">
        <w:rPr>
          <w:rFonts w:asciiTheme="minorHAnsi" w:eastAsiaTheme="minorEastAsia" w:hAnsiTheme="minorHAnsi" w:cs="Arial"/>
          <w:i/>
          <w:szCs w:val="20"/>
          <w:lang w:eastAsia="ja-JP"/>
        </w:rPr>
        <w:t>Anziani (≥65 anni)</w:t>
      </w:r>
    </w:p>
    <w:p w14:paraId="6EAE9ED9" w14:textId="6900F93A" w:rsidR="00B51382" w:rsidRPr="00B51382" w:rsidRDefault="00B51382" w:rsidP="00B51382">
      <w:pPr>
        <w:pStyle w:val="BodyTextIndent2"/>
        <w:ind w:left="0"/>
        <w:rPr>
          <w:rFonts w:asciiTheme="minorHAnsi" w:eastAsiaTheme="minorEastAsia" w:hAnsiTheme="minorHAnsi" w:cs="Arial"/>
          <w:szCs w:val="20"/>
          <w:lang w:eastAsia="ja-JP"/>
        </w:rPr>
      </w:pPr>
      <w:r w:rsidRPr="00B51382">
        <w:rPr>
          <w:rFonts w:asciiTheme="minorHAnsi" w:eastAsiaTheme="minorEastAsia" w:hAnsiTheme="minorHAnsi" w:cs="Arial"/>
          <w:szCs w:val="20"/>
          <w:lang w:eastAsia="ja-JP"/>
        </w:rPr>
        <w:t>Non è necessario alcun aggiustamento della dose in base all’età (vedere paragrafo 5.2); tuttavia, i pazienti anziani hanno maggiori probabilità di avere una funzione renale ridotta (vedere le raccomandazioni posologiche per il danno renale). L’esperienza in pazienti molto anziani (≥ 75 anni) è limitata (vedere paragrafo 4.4).</w:t>
      </w:r>
    </w:p>
    <w:p w14:paraId="3C10D8D4" w14:textId="77777777" w:rsidR="00B51382" w:rsidRPr="00B51382" w:rsidRDefault="00B51382" w:rsidP="00B51382">
      <w:pPr>
        <w:pStyle w:val="BodyTextIndent2"/>
        <w:ind w:left="0"/>
        <w:rPr>
          <w:rFonts w:asciiTheme="minorHAnsi" w:eastAsiaTheme="minorEastAsia" w:hAnsiTheme="minorHAnsi" w:cs="Arial"/>
          <w:i/>
          <w:szCs w:val="20"/>
          <w:lang w:eastAsia="ja-JP"/>
        </w:rPr>
      </w:pPr>
      <w:r w:rsidRPr="00B51382">
        <w:rPr>
          <w:rFonts w:asciiTheme="minorHAnsi" w:eastAsiaTheme="minorEastAsia" w:hAnsiTheme="minorHAnsi" w:cs="Arial"/>
          <w:i/>
          <w:szCs w:val="20"/>
          <w:lang w:eastAsia="ja-JP"/>
        </w:rPr>
        <w:t>Danno renale</w:t>
      </w:r>
    </w:p>
    <w:p w14:paraId="6D5B095D" w14:textId="77777777" w:rsidR="00B51382" w:rsidRPr="00B51382" w:rsidRDefault="00B51382" w:rsidP="00B51382">
      <w:pPr>
        <w:pStyle w:val="BodyTextIndent2"/>
        <w:ind w:left="0"/>
        <w:rPr>
          <w:rFonts w:asciiTheme="minorHAnsi" w:eastAsiaTheme="minorEastAsia" w:hAnsiTheme="minorHAnsi" w:cs="Arial"/>
          <w:szCs w:val="20"/>
          <w:lang w:eastAsia="ja-JP"/>
        </w:rPr>
      </w:pPr>
      <w:r w:rsidRPr="00B51382">
        <w:rPr>
          <w:rFonts w:asciiTheme="minorHAnsi" w:eastAsiaTheme="minorEastAsia" w:hAnsiTheme="minorHAnsi" w:cs="Arial"/>
          <w:szCs w:val="20"/>
          <w:lang w:eastAsia="ja-JP"/>
        </w:rPr>
        <w:t>Il trattamento con Zurampic non deve essere iniziato nei pazienti con danno renale grave (CrCL inferiore a 30 mL/min), con una malattia renale allo stadio terminale o nei pazienti in dialisi (vedere paragrafi 4.3 e 4.4). Sulla base del suo meccanismo d’azione, lesinurad potrebbe non essere efficace in questi pazienti (vedere paragrafo 5.1). Zurampic non deve essere iniziato nei soggetti sottoposti a trapianto di reni.</w:t>
      </w:r>
    </w:p>
    <w:p w14:paraId="3D1BB981" w14:textId="77777777" w:rsidR="00B51382" w:rsidRPr="00B51382" w:rsidRDefault="00B51382" w:rsidP="00B51382">
      <w:pPr>
        <w:pStyle w:val="BodyTextIndent2"/>
        <w:ind w:left="0"/>
        <w:rPr>
          <w:rFonts w:asciiTheme="minorHAnsi" w:eastAsiaTheme="minorEastAsia" w:hAnsiTheme="minorHAnsi" w:cs="Arial"/>
          <w:szCs w:val="20"/>
          <w:lang w:eastAsia="ja-JP"/>
        </w:rPr>
      </w:pPr>
      <w:r w:rsidRPr="00B51382">
        <w:rPr>
          <w:rFonts w:asciiTheme="minorHAnsi" w:eastAsiaTheme="minorEastAsia" w:hAnsiTheme="minorHAnsi" w:cs="Arial"/>
          <w:szCs w:val="20"/>
          <w:lang w:eastAsia="ja-JP"/>
        </w:rPr>
        <w:t>Non è necessario alcun aggiustamento della dose nei pazienti con danno renale lieve o moderato (CrCL di 30-89 mL/min) (vedere paragrafi 4.8, 5.1 e 5.2). Zurampic deve essere usato con attenzione nei pazienti con CrCL compreso tra 30 e meno di 45 mL/min (vedere paragrafo 4.4).</w:t>
      </w:r>
    </w:p>
    <w:p w14:paraId="35ACA613" w14:textId="77777777" w:rsidR="00B51382" w:rsidRPr="0065182A" w:rsidRDefault="00B51382" w:rsidP="00B51382">
      <w:pPr>
        <w:pStyle w:val="BodyTextIndent2"/>
        <w:ind w:left="0"/>
        <w:rPr>
          <w:rFonts w:asciiTheme="minorHAnsi" w:eastAsiaTheme="minorEastAsia" w:hAnsiTheme="minorHAnsi" w:cs="Arial"/>
          <w:i/>
          <w:szCs w:val="20"/>
          <w:lang w:eastAsia="ja-JP"/>
        </w:rPr>
      </w:pPr>
      <w:r w:rsidRPr="0065182A">
        <w:rPr>
          <w:rFonts w:asciiTheme="minorHAnsi" w:eastAsiaTheme="minorEastAsia" w:hAnsiTheme="minorHAnsi" w:cs="Arial"/>
          <w:i/>
          <w:szCs w:val="20"/>
          <w:lang w:eastAsia="ja-JP"/>
        </w:rPr>
        <w:t>Compromissione epatica</w:t>
      </w:r>
    </w:p>
    <w:p w14:paraId="3B6BE6AB" w14:textId="77777777" w:rsidR="00B51382" w:rsidRPr="00B51382" w:rsidRDefault="00B51382" w:rsidP="00B51382">
      <w:pPr>
        <w:pStyle w:val="BodyTextIndent2"/>
        <w:ind w:left="0"/>
        <w:rPr>
          <w:rFonts w:asciiTheme="minorHAnsi" w:eastAsiaTheme="minorEastAsia" w:hAnsiTheme="minorHAnsi" w:cs="Arial"/>
          <w:szCs w:val="20"/>
          <w:lang w:eastAsia="ja-JP"/>
        </w:rPr>
      </w:pPr>
      <w:r w:rsidRPr="00B51382">
        <w:rPr>
          <w:rFonts w:asciiTheme="minorHAnsi" w:eastAsiaTheme="minorEastAsia" w:hAnsiTheme="minorHAnsi" w:cs="Arial"/>
          <w:szCs w:val="20"/>
          <w:lang w:eastAsia="ja-JP"/>
        </w:rPr>
        <w:t>Non è necessario alcun aggiustamento della dose nei pazienti con compromissione epatica lieve o moderata (classi di Child-Pugh A e B) (vedere paragrafo 5.2). Zurampic non è stato studiato in pazienti con compromissione epatica grave; pertanto, non possono essere fornite raccomandazioni sulla posologia.</w:t>
      </w:r>
    </w:p>
    <w:p w14:paraId="1637761B" w14:textId="77777777" w:rsidR="00B51382" w:rsidRPr="0065182A" w:rsidRDefault="00B51382" w:rsidP="00B51382">
      <w:pPr>
        <w:pStyle w:val="BodyTextIndent2"/>
        <w:ind w:left="0"/>
        <w:rPr>
          <w:rFonts w:asciiTheme="minorHAnsi" w:eastAsiaTheme="minorEastAsia" w:hAnsiTheme="minorHAnsi" w:cs="Arial"/>
          <w:i/>
          <w:szCs w:val="20"/>
          <w:lang w:eastAsia="ja-JP"/>
        </w:rPr>
      </w:pPr>
      <w:r w:rsidRPr="0065182A">
        <w:rPr>
          <w:rFonts w:asciiTheme="minorHAnsi" w:eastAsiaTheme="minorEastAsia" w:hAnsiTheme="minorHAnsi" w:cs="Arial"/>
          <w:i/>
          <w:szCs w:val="20"/>
          <w:lang w:eastAsia="ja-JP"/>
        </w:rPr>
        <w:t>Popolazione pediatrica</w:t>
      </w:r>
    </w:p>
    <w:p w14:paraId="4447F9BC" w14:textId="68BAA8BF" w:rsidR="00B641A8" w:rsidRPr="00B51382" w:rsidRDefault="00B51382" w:rsidP="00B51382">
      <w:pPr>
        <w:pStyle w:val="BodyTextIndent2"/>
        <w:ind w:left="0"/>
        <w:rPr>
          <w:rFonts w:asciiTheme="minorHAnsi" w:eastAsiaTheme="minorEastAsia" w:hAnsiTheme="minorHAnsi" w:cs="Arial"/>
          <w:szCs w:val="20"/>
          <w:lang w:eastAsia="ja-JP"/>
        </w:rPr>
      </w:pPr>
      <w:r w:rsidRPr="00B51382">
        <w:rPr>
          <w:rFonts w:asciiTheme="minorHAnsi" w:eastAsiaTheme="minorEastAsia" w:hAnsiTheme="minorHAnsi" w:cs="Arial"/>
          <w:szCs w:val="20"/>
          <w:lang w:eastAsia="ja-JP"/>
        </w:rPr>
        <w:t>La sicurezza e l’efficacia di Zurampic in bambini di età inferiore a 18 anni non sono state ancora stabilite. Non ci sono dati disponibili.</w:t>
      </w:r>
      <w:r w:rsidR="00D83C1A" w:rsidRPr="00B51382">
        <w:rPr>
          <w:rFonts w:asciiTheme="minorHAnsi" w:eastAsiaTheme="minorEastAsia" w:hAnsiTheme="minorHAnsi" w:cs="Arial"/>
          <w:szCs w:val="20"/>
          <w:lang w:eastAsia="ja-JP"/>
        </w:rPr>
        <w:t xml:space="preserve"> </w:t>
      </w:r>
    </w:p>
    <w:p w14:paraId="18446928" w14:textId="77777777" w:rsidR="00AA3386" w:rsidRPr="00221759" w:rsidRDefault="00AA3386" w:rsidP="00011287">
      <w:pPr>
        <w:spacing w:line="360" w:lineRule="auto"/>
        <w:jc w:val="both"/>
        <w:rPr>
          <w:rFonts w:cs="Arial"/>
          <w:b/>
          <w:sz w:val="20"/>
          <w:szCs w:val="20"/>
        </w:rPr>
      </w:pPr>
    </w:p>
    <w:p w14:paraId="1382DE6E" w14:textId="77777777" w:rsidR="00AA3386" w:rsidRPr="00221759" w:rsidRDefault="00AA3386" w:rsidP="00231C39">
      <w:pPr>
        <w:numPr>
          <w:ilvl w:val="1"/>
          <w:numId w:val="3"/>
        </w:numPr>
        <w:spacing w:line="360" w:lineRule="auto"/>
        <w:ind w:left="709"/>
        <w:jc w:val="both"/>
        <w:rPr>
          <w:rFonts w:cs="Arial"/>
          <w:b/>
          <w:sz w:val="20"/>
          <w:szCs w:val="20"/>
          <w:u w:val="single"/>
        </w:rPr>
      </w:pPr>
      <w:r w:rsidRPr="00221759">
        <w:rPr>
          <w:rFonts w:cs="Arial"/>
          <w:b/>
          <w:sz w:val="20"/>
          <w:szCs w:val="20"/>
          <w:u w:val="single"/>
        </w:rPr>
        <w:t>Durata del trattamento per ogni indicazione terapeutica</w:t>
      </w:r>
    </w:p>
    <w:p w14:paraId="5A04CA9E" w14:textId="26445247" w:rsidR="00B641A8" w:rsidRPr="00221759" w:rsidRDefault="00606C3E" w:rsidP="00011287">
      <w:pPr>
        <w:pStyle w:val="BodyTextIndent2"/>
        <w:ind w:left="0"/>
        <w:jc w:val="both"/>
        <w:rPr>
          <w:rFonts w:asciiTheme="minorHAnsi" w:hAnsiTheme="minorHAnsi" w:cs="Arial"/>
          <w:szCs w:val="20"/>
        </w:rPr>
      </w:pPr>
      <w:r>
        <w:rPr>
          <w:rFonts w:asciiTheme="minorHAnsi" w:hAnsiTheme="minorHAnsi" w:cs="Arial"/>
          <w:szCs w:val="20"/>
        </w:rPr>
        <w:t>Trattamento cronico</w:t>
      </w:r>
      <w:r w:rsidR="00D83C1A" w:rsidRPr="00221759">
        <w:rPr>
          <w:rFonts w:asciiTheme="minorHAnsi" w:hAnsiTheme="minorHAnsi" w:cs="Arial"/>
          <w:szCs w:val="20"/>
        </w:rPr>
        <w:t>.</w:t>
      </w:r>
    </w:p>
    <w:p w14:paraId="04DE02B8" w14:textId="77777777" w:rsidR="00D83C1A" w:rsidRPr="00221759" w:rsidRDefault="00D83C1A" w:rsidP="00011287">
      <w:pPr>
        <w:pStyle w:val="BodyTextIndent2"/>
        <w:ind w:left="0"/>
        <w:jc w:val="both"/>
        <w:rPr>
          <w:rFonts w:asciiTheme="minorHAnsi" w:hAnsiTheme="minorHAnsi" w:cs="Arial"/>
          <w:szCs w:val="20"/>
        </w:rPr>
      </w:pPr>
    </w:p>
    <w:p w14:paraId="541AEEDC" w14:textId="77777777" w:rsidR="00AA3386" w:rsidRPr="00221759" w:rsidRDefault="00AA3386" w:rsidP="00231C39">
      <w:pPr>
        <w:numPr>
          <w:ilvl w:val="1"/>
          <w:numId w:val="3"/>
        </w:numPr>
        <w:spacing w:line="360" w:lineRule="auto"/>
        <w:ind w:left="709"/>
        <w:jc w:val="both"/>
        <w:rPr>
          <w:rFonts w:cs="Arial"/>
          <w:b/>
          <w:sz w:val="20"/>
          <w:szCs w:val="20"/>
          <w:u w:val="single"/>
        </w:rPr>
      </w:pPr>
      <w:r w:rsidRPr="00221759">
        <w:rPr>
          <w:rFonts w:cs="Arial"/>
          <w:b/>
          <w:sz w:val="20"/>
          <w:szCs w:val="20"/>
          <w:u w:val="single"/>
        </w:rPr>
        <w:t>Durata dell’eventuale ciclo terapeutico ed eventuale numero di cicli</w:t>
      </w:r>
    </w:p>
    <w:p w14:paraId="475BF6BB" w14:textId="77777777" w:rsidR="00B641A8" w:rsidRPr="00221759" w:rsidRDefault="00D83C1A" w:rsidP="00350878">
      <w:pPr>
        <w:pStyle w:val="BodyTextIndent2"/>
        <w:ind w:left="0"/>
        <w:jc w:val="both"/>
        <w:rPr>
          <w:rFonts w:asciiTheme="minorHAnsi" w:hAnsiTheme="minorHAnsi" w:cs="Arial"/>
          <w:szCs w:val="20"/>
        </w:rPr>
      </w:pPr>
      <w:r w:rsidRPr="00221759">
        <w:rPr>
          <w:rFonts w:asciiTheme="minorHAnsi" w:hAnsiTheme="minorHAnsi" w:cs="Arial"/>
          <w:szCs w:val="20"/>
        </w:rPr>
        <w:t>N/A</w:t>
      </w:r>
    </w:p>
    <w:p w14:paraId="2E154DF5" w14:textId="77777777" w:rsidR="00AA3386" w:rsidRPr="00221759" w:rsidRDefault="00AA3386" w:rsidP="00350878">
      <w:pPr>
        <w:pStyle w:val="Default"/>
        <w:spacing w:line="360" w:lineRule="auto"/>
        <w:jc w:val="both"/>
        <w:rPr>
          <w:rFonts w:asciiTheme="minorHAnsi" w:hAnsiTheme="minorHAnsi" w:cs="Arial"/>
          <w:color w:val="auto"/>
          <w:sz w:val="20"/>
          <w:szCs w:val="20"/>
          <w:lang w:val="it-IT" w:eastAsia="it-IT"/>
        </w:rPr>
      </w:pPr>
    </w:p>
    <w:p w14:paraId="025C8AAC" w14:textId="77777777" w:rsidR="00AA3386" w:rsidRPr="00221759" w:rsidRDefault="00AA3386" w:rsidP="00231C39">
      <w:pPr>
        <w:numPr>
          <w:ilvl w:val="1"/>
          <w:numId w:val="3"/>
        </w:numPr>
        <w:spacing w:line="360" w:lineRule="auto"/>
        <w:ind w:left="709"/>
        <w:jc w:val="both"/>
        <w:rPr>
          <w:rFonts w:cs="Arial"/>
          <w:b/>
          <w:sz w:val="20"/>
          <w:szCs w:val="20"/>
          <w:u w:val="single"/>
        </w:rPr>
      </w:pPr>
      <w:r w:rsidRPr="00221759">
        <w:rPr>
          <w:rFonts w:cs="Arial"/>
          <w:b/>
          <w:sz w:val="20"/>
          <w:szCs w:val="20"/>
          <w:u w:val="single"/>
        </w:rPr>
        <w:t>DDD</w:t>
      </w:r>
    </w:p>
    <w:p w14:paraId="5B352F6F" w14:textId="77777777" w:rsidR="00E44433" w:rsidRDefault="00B641A8" w:rsidP="002116EB">
      <w:pPr>
        <w:pStyle w:val="Default"/>
        <w:spacing w:line="360" w:lineRule="auto"/>
        <w:jc w:val="both"/>
        <w:rPr>
          <w:rFonts w:asciiTheme="minorHAnsi" w:hAnsiTheme="minorHAnsi" w:cs="Arial"/>
          <w:color w:val="auto"/>
          <w:sz w:val="20"/>
          <w:szCs w:val="20"/>
          <w:lang w:val="it-IT" w:eastAsia="it-IT"/>
        </w:rPr>
      </w:pPr>
      <w:r w:rsidRPr="00D06F5A">
        <w:rPr>
          <w:rFonts w:asciiTheme="minorHAnsi" w:hAnsiTheme="minorHAnsi" w:cs="Arial"/>
          <w:color w:val="auto"/>
          <w:sz w:val="20"/>
          <w:szCs w:val="20"/>
          <w:lang w:val="it-IT" w:eastAsia="it-IT"/>
        </w:rPr>
        <w:t>N/A</w:t>
      </w:r>
    </w:p>
    <w:p w14:paraId="47A54A54" w14:textId="22699E87" w:rsidR="00BE5C44" w:rsidRDefault="00BE5C44" w:rsidP="002116EB">
      <w:pPr>
        <w:pStyle w:val="Default"/>
        <w:spacing w:line="360" w:lineRule="auto"/>
        <w:jc w:val="both"/>
        <w:rPr>
          <w:rFonts w:cs="Arial"/>
          <w:b/>
          <w:sz w:val="20"/>
          <w:szCs w:val="20"/>
          <w:u w:val="single"/>
        </w:rPr>
      </w:pPr>
      <w:r>
        <w:rPr>
          <w:rFonts w:cs="Arial"/>
          <w:b/>
          <w:sz w:val="20"/>
          <w:szCs w:val="20"/>
          <w:u w:val="single"/>
        </w:rPr>
        <w:br w:type="page"/>
      </w:r>
    </w:p>
    <w:p w14:paraId="7CB27965" w14:textId="78A26BB8" w:rsidR="00530CC9" w:rsidRPr="00BE5C44" w:rsidRDefault="00AA3386" w:rsidP="00825BD3">
      <w:pPr>
        <w:pStyle w:val="Heading1"/>
        <w:numPr>
          <w:ilvl w:val="0"/>
          <w:numId w:val="40"/>
        </w:numPr>
        <w:ind w:left="567" w:hanging="567"/>
        <w:rPr>
          <w:rFonts w:asciiTheme="minorHAnsi" w:hAnsiTheme="minorHAnsi" w:cstheme="minorHAnsi"/>
          <w:sz w:val="20"/>
        </w:rPr>
      </w:pPr>
      <w:bookmarkStart w:id="21" w:name="_Toc439456124"/>
      <w:bookmarkStart w:id="22" w:name="_Toc473184554"/>
      <w:r w:rsidRPr="00BE5C44">
        <w:rPr>
          <w:rFonts w:asciiTheme="minorHAnsi" w:hAnsiTheme="minorHAnsi" w:cstheme="minorHAnsi"/>
          <w:sz w:val="20"/>
        </w:rPr>
        <w:t>Posizione del farmaco in terapia</w:t>
      </w:r>
      <w:bookmarkEnd w:id="21"/>
      <w:bookmarkEnd w:id="22"/>
    </w:p>
    <w:p w14:paraId="01450789" w14:textId="77777777" w:rsidR="00EA36FC" w:rsidRDefault="00EA36FC" w:rsidP="00EA36FC">
      <w:pPr>
        <w:spacing w:line="360" w:lineRule="auto"/>
        <w:rPr>
          <w:rFonts w:cs="Arial"/>
          <w:sz w:val="20"/>
          <w:szCs w:val="20"/>
        </w:rPr>
      </w:pPr>
    </w:p>
    <w:p w14:paraId="109C43A4" w14:textId="7C02E503" w:rsidR="00E402A8" w:rsidRDefault="007073B2" w:rsidP="00EA36FC">
      <w:pPr>
        <w:widowControl w:val="0"/>
        <w:autoSpaceDE w:val="0"/>
        <w:autoSpaceDN w:val="0"/>
        <w:adjustRightInd w:val="0"/>
        <w:spacing w:line="360" w:lineRule="auto"/>
        <w:jc w:val="both"/>
        <w:rPr>
          <w:rFonts w:cs="Arial"/>
          <w:sz w:val="20"/>
          <w:szCs w:val="20"/>
        </w:rPr>
      </w:pPr>
      <w:r w:rsidRPr="00EA36FC">
        <w:rPr>
          <w:rFonts w:cs="Arial"/>
          <w:sz w:val="20"/>
          <w:szCs w:val="20"/>
        </w:rPr>
        <w:t xml:space="preserve">Il trattamento della gotta ha come obiettivo principale </w:t>
      </w:r>
      <w:r w:rsidRPr="00EA36FC">
        <w:rPr>
          <w:rFonts w:cs="Arial"/>
          <w:b/>
          <w:sz w:val="20"/>
          <w:szCs w:val="20"/>
        </w:rPr>
        <w:t xml:space="preserve">il controllo dei livelli </w:t>
      </w:r>
      <w:r w:rsidR="001D1C53" w:rsidRPr="00EA36FC">
        <w:rPr>
          <w:rFonts w:cs="Arial"/>
          <w:b/>
          <w:sz w:val="20"/>
          <w:szCs w:val="20"/>
        </w:rPr>
        <w:t>acido urico</w:t>
      </w:r>
      <w:r w:rsidR="00051F13">
        <w:rPr>
          <w:rFonts w:cs="Arial"/>
          <w:b/>
          <w:sz w:val="20"/>
          <w:szCs w:val="20"/>
        </w:rPr>
        <w:t xml:space="preserve"> nel sangue</w:t>
      </w:r>
      <w:r w:rsidRPr="00EA36FC">
        <w:rPr>
          <w:rFonts w:cs="Arial"/>
          <w:b/>
          <w:sz w:val="20"/>
          <w:szCs w:val="20"/>
        </w:rPr>
        <w:t>, al fine di ridurre il rischio di complicanze cliniche</w:t>
      </w:r>
      <w:r w:rsidR="004C6A7B">
        <w:rPr>
          <w:rFonts w:cs="Arial"/>
          <w:b/>
          <w:sz w:val="20"/>
          <w:szCs w:val="20"/>
        </w:rPr>
        <w:t xml:space="preserve"> ad esso legate</w:t>
      </w:r>
      <w:r w:rsidRPr="00EA36FC">
        <w:rPr>
          <w:rFonts w:cs="Arial"/>
          <w:b/>
          <w:sz w:val="20"/>
          <w:szCs w:val="20"/>
        </w:rPr>
        <w:t>, come stabilito dalle linee guida europee  ed italiane</w:t>
      </w:r>
      <w:r w:rsidRPr="00EA36FC">
        <w:rPr>
          <w:rFonts w:cs="Arial"/>
          <w:sz w:val="20"/>
          <w:szCs w:val="20"/>
        </w:rPr>
        <w:t xml:space="preserve"> (European League Against Rheumatism – EULAR; Società Italiana di Reumatologia - SIR) (</w:t>
      </w:r>
      <w:r w:rsidR="00E54BFE">
        <w:rPr>
          <w:rFonts w:cs="Arial"/>
          <w:color w:val="0000FF"/>
          <w:sz w:val="20"/>
          <w:szCs w:val="20"/>
        </w:rPr>
        <w:t>Richette, 2016 (6)</w:t>
      </w:r>
      <w:r w:rsidRPr="00EA36FC">
        <w:rPr>
          <w:rFonts w:cs="Arial"/>
          <w:color w:val="0000FF"/>
          <w:sz w:val="20"/>
          <w:szCs w:val="20"/>
        </w:rPr>
        <w:t>; Manara, 2013</w:t>
      </w:r>
      <w:r w:rsidR="00832C80" w:rsidRPr="00EA36FC">
        <w:rPr>
          <w:rFonts w:cs="Arial"/>
          <w:color w:val="0000FF"/>
          <w:sz w:val="20"/>
          <w:szCs w:val="20"/>
        </w:rPr>
        <w:t xml:space="preserve"> (7)</w:t>
      </w:r>
      <w:r w:rsidR="00EA36FC" w:rsidRPr="00EA36FC">
        <w:rPr>
          <w:rFonts w:cs="Arial"/>
          <w:sz w:val="20"/>
          <w:szCs w:val="20"/>
        </w:rPr>
        <w:t>).</w:t>
      </w:r>
    </w:p>
    <w:p w14:paraId="4D9F61AE" w14:textId="0E5D2277" w:rsidR="00BA4C59" w:rsidRDefault="00726F5E" w:rsidP="00812156">
      <w:pPr>
        <w:spacing w:line="360" w:lineRule="auto"/>
        <w:rPr>
          <w:rFonts w:cs="Arial"/>
          <w:sz w:val="20"/>
          <w:szCs w:val="20"/>
        </w:rPr>
      </w:pPr>
      <w:r>
        <w:rPr>
          <w:rFonts w:cs="Arial"/>
          <w:sz w:val="20"/>
          <w:szCs w:val="20"/>
        </w:rPr>
        <w:t xml:space="preserve">L’iperuricemia  </w:t>
      </w:r>
      <w:r w:rsidR="00051F13">
        <w:rPr>
          <w:rFonts w:cs="Arial"/>
          <w:sz w:val="20"/>
          <w:szCs w:val="20"/>
        </w:rPr>
        <w:t xml:space="preserve">cronica </w:t>
      </w:r>
      <w:r>
        <w:rPr>
          <w:rFonts w:cs="Arial"/>
          <w:sz w:val="20"/>
          <w:szCs w:val="20"/>
        </w:rPr>
        <w:t xml:space="preserve">(concentrazione </w:t>
      </w:r>
      <w:r w:rsidR="00051F13">
        <w:rPr>
          <w:rFonts w:cs="Arial"/>
          <w:sz w:val="20"/>
          <w:szCs w:val="20"/>
        </w:rPr>
        <w:t xml:space="preserve">cronica </w:t>
      </w:r>
      <w:r>
        <w:rPr>
          <w:rFonts w:cs="Arial"/>
          <w:sz w:val="20"/>
          <w:szCs w:val="20"/>
        </w:rPr>
        <w:t xml:space="preserve">di </w:t>
      </w:r>
      <w:r w:rsidR="00812156" w:rsidRPr="00812156">
        <w:rPr>
          <w:rFonts w:cs="Arial"/>
          <w:sz w:val="20"/>
          <w:szCs w:val="20"/>
        </w:rPr>
        <w:t xml:space="preserve">acido urico nel sangue </w:t>
      </w:r>
      <w:r>
        <w:rPr>
          <w:rFonts w:cs="Arial"/>
          <w:sz w:val="20"/>
          <w:szCs w:val="20"/>
        </w:rPr>
        <w:t xml:space="preserve">(sUA) </w:t>
      </w:r>
      <w:r w:rsidRPr="00384D34">
        <w:rPr>
          <w:rFonts w:cs="Arial"/>
          <w:sz w:val="20"/>
          <w:szCs w:val="20"/>
        </w:rPr>
        <w:t>superior</w:t>
      </w:r>
      <w:r>
        <w:rPr>
          <w:rFonts w:cs="Arial"/>
          <w:sz w:val="20"/>
          <w:szCs w:val="20"/>
        </w:rPr>
        <w:t>i</w:t>
      </w:r>
      <w:r w:rsidRPr="00384D34">
        <w:rPr>
          <w:rFonts w:cs="Arial"/>
          <w:sz w:val="20"/>
          <w:szCs w:val="20"/>
        </w:rPr>
        <w:t xml:space="preserve"> alla soglia di saturazione di 6.8 mg/dl</w:t>
      </w:r>
      <w:r>
        <w:rPr>
          <w:rFonts w:cs="Arial"/>
          <w:sz w:val="20"/>
          <w:szCs w:val="20"/>
        </w:rPr>
        <w:t>)</w:t>
      </w:r>
      <w:r w:rsidRPr="00384D34">
        <w:rPr>
          <w:rFonts w:cs="Arial"/>
          <w:sz w:val="20"/>
          <w:szCs w:val="20"/>
        </w:rPr>
        <w:t xml:space="preserve"> </w:t>
      </w:r>
      <w:r w:rsidR="001D3E15">
        <w:rPr>
          <w:rFonts w:cs="Arial"/>
          <w:sz w:val="20"/>
          <w:szCs w:val="20"/>
        </w:rPr>
        <w:t xml:space="preserve"> </w:t>
      </w:r>
      <w:r>
        <w:rPr>
          <w:rFonts w:cs="Arial"/>
          <w:sz w:val="20"/>
          <w:szCs w:val="20"/>
        </w:rPr>
        <w:t>può causare</w:t>
      </w:r>
      <w:r w:rsidR="007F72A4">
        <w:rPr>
          <w:rFonts w:cs="Arial"/>
          <w:sz w:val="20"/>
          <w:szCs w:val="20"/>
        </w:rPr>
        <w:t xml:space="preserve"> </w:t>
      </w:r>
      <w:r w:rsidR="00384D34">
        <w:rPr>
          <w:rFonts w:cs="Arial"/>
          <w:sz w:val="20"/>
          <w:szCs w:val="20"/>
        </w:rPr>
        <w:t xml:space="preserve">la formazione di </w:t>
      </w:r>
      <w:r w:rsidR="007F72A4" w:rsidRPr="007F72A4">
        <w:rPr>
          <w:rFonts w:cs="Arial"/>
          <w:sz w:val="20"/>
          <w:szCs w:val="20"/>
        </w:rPr>
        <w:t xml:space="preserve">cristalli di urato monosodico (MSU) </w:t>
      </w:r>
      <w:r w:rsidR="00384D34">
        <w:rPr>
          <w:rFonts w:cs="Arial"/>
          <w:sz w:val="20"/>
          <w:szCs w:val="20"/>
        </w:rPr>
        <w:t xml:space="preserve">e il conseguente deposito degli stessi </w:t>
      </w:r>
      <w:r w:rsidR="007F72A4" w:rsidRPr="007F72A4">
        <w:rPr>
          <w:rFonts w:cs="Arial"/>
          <w:sz w:val="20"/>
          <w:szCs w:val="20"/>
        </w:rPr>
        <w:t>a livello delle articolazioni</w:t>
      </w:r>
      <w:r w:rsidR="00384D34">
        <w:rPr>
          <w:rFonts w:cs="Arial"/>
          <w:sz w:val="20"/>
          <w:szCs w:val="20"/>
        </w:rPr>
        <w:t>; questi depositi</w:t>
      </w:r>
      <w:r w:rsidR="007F72A4" w:rsidRPr="007F72A4">
        <w:rPr>
          <w:rFonts w:cs="Arial"/>
          <w:sz w:val="20"/>
          <w:szCs w:val="20"/>
        </w:rPr>
        <w:t xml:space="preserve"> sono inizialmente asintomatici, ma già rilevabili tramite esami diagnostici (</w:t>
      </w:r>
      <w:r w:rsidR="002C781D">
        <w:rPr>
          <w:rFonts w:cs="Arial"/>
          <w:sz w:val="20"/>
          <w:szCs w:val="20"/>
          <w:u w:val="single"/>
        </w:rPr>
        <w:t>i</w:t>
      </w:r>
      <w:r w:rsidR="007F72A4" w:rsidRPr="007F72A4">
        <w:rPr>
          <w:rFonts w:cs="Arial"/>
          <w:sz w:val="20"/>
          <w:szCs w:val="20"/>
          <w:u w:val="single"/>
        </w:rPr>
        <w:t>peruricemia asintomatica</w:t>
      </w:r>
      <w:r w:rsidR="007F72A4" w:rsidRPr="007F72A4">
        <w:rPr>
          <w:rFonts w:cs="Arial"/>
          <w:sz w:val="20"/>
          <w:szCs w:val="20"/>
        </w:rPr>
        <w:t xml:space="preserve">). Una volta formatisi, i </w:t>
      </w:r>
      <w:r w:rsidR="00051F13">
        <w:rPr>
          <w:rFonts w:cs="Arial"/>
          <w:sz w:val="20"/>
          <w:szCs w:val="20"/>
        </w:rPr>
        <w:t>depositi</w:t>
      </w:r>
      <w:r w:rsidR="00051F13" w:rsidRPr="007F72A4">
        <w:rPr>
          <w:rFonts w:cs="Arial"/>
          <w:sz w:val="20"/>
          <w:szCs w:val="20"/>
        </w:rPr>
        <w:t xml:space="preserve"> </w:t>
      </w:r>
      <w:r w:rsidR="007F72A4" w:rsidRPr="007F72A4">
        <w:rPr>
          <w:rFonts w:cs="Arial"/>
          <w:sz w:val="20"/>
          <w:szCs w:val="20"/>
        </w:rPr>
        <w:t xml:space="preserve">possono </w:t>
      </w:r>
      <w:r w:rsidR="00384D34" w:rsidRPr="00384D34">
        <w:rPr>
          <w:rFonts w:cs="Arial"/>
          <w:sz w:val="20"/>
          <w:szCs w:val="20"/>
        </w:rPr>
        <w:t xml:space="preserve">sfaldarsi o spontaneamente o dopo eventi stressanti </w:t>
      </w:r>
      <w:r w:rsidR="00384D34">
        <w:rPr>
          <w:rFonts w:cs="Arial"/>
          <w:sz w:val="20"/>
          <w:szCs w:val="20"/>
        </w:rPr>
        <w:t xml:space="preserve">e, </w:t>
      </w:r>
      <w:r w:rsidR="00384D34" w:rsidRPr="002C781D">
        <w:rPr>
          <w:rFonts w:cs="Arial"/>
          <w:sz w:val="20"/>
          <w:szCs w:val="20"/>
        </w:rPr>
        <w:t>mediante un’azione altamente</w:t>
      </w:r>
      <w:r w:rsidR="00384D34">
        <w:rPr>
          <w:rFonts w:cs="Arial"/>
          <w:sz w:val="20"/>
          <w:szCs w:val="20"/>
        </w:rPr>
        <w:t xml:space="preserve"> flo</w:t>
      </w:r>
      <w:r>
        <w:rPr>
          <w:rFonts w:cs="Arial"/>
          <w:sz w:val="20"/>
          <w:szCs w:val="20"/>
        </w:rPr>
        <w:t>go</w:t>
      </w:r>
      <w:r w:rsidR="00384D34">
        <w:rPr>
          <w:rFonts w:cs="Arial"/>
          <w:sz w:val="20"/>
          <w:szCs w:val="20"/>
        </w:rPr>
        <w:t xml:space="preserve">gena, </w:t>
      </w:r>
      <w:r w:rsidR="007F72A4" w:rsidRPr="007F72A4">
        <w:rPr>
          <w:rFonts w:cs="Arial"/>
          <w:sz w:val="20"/>
          <w:szCs w:val="20"/>
        </w:rPr>
        <w:t xml:space="preserve">causare attacchi acuti con intensa infiammazione articolare, </w:t>
      </w:r>
      <w:r w:rsidR="007F72A4" w:rsidRPr="007F72A4">
        <w:rPr>
          <w:rFonts w:cs="Arial"/>
          <w:bCs/>
          <w:sz w:val="20"/>
          <w:szCs w:val="20"/>
        </w:rPr>
        <w:t>estremamente dolorosi e disabilitanti</w:t>
      </w:r>
      <w:r w:rsidR="007F72A4" w:rsidRPr="007F72A4">
        <w:rPr>
          <w:rFonts w:cs="Arial"/>
          <w:sz w:val="20"/>
          <w:szCs w:val="20"/>
        </w:rPr>
        <w:t xml:space="preserve"> (</w:t>
      </w:r>
      <w:r w:rsidR="007F72A4" w:rsidRPr="007F72A4">
        <w:rPr>
          <w:rFonts w:cs="Arial"/>
          <w:sz w:val="20"/>
          <w:szCs w:val="20"/>
          <w:u w:val="single"/>
        </w:rPr>
        <w:t>artrite gottosa acuta</w:t>
      </w:r>
      <w:r w:rsidR="007F72A4" w:rsidRPr="007F72A4">
        <w:rPr>
          <w:rFonts w:cs="Arial"/>
          <w:sz w:val="20"/>
          <w:szCs w:val="20"/>
        </w:rPr>
        <w:t>)</w:t>
      </w:r>
      <w:r w:rsidR="002C781D">
        <w:rPr>
          <w:rFonts w:cs="Arial"/>
          <w:sz w:val="20"/>
          <w:szCs w:val="20"/>
        </w:rPr>
        <w:t>,</w:t>
      </w:r>
      <w:r w:rsidR="007F72A4" w:rsidRPr="007F72A4">
        <w:rPr>
          <w:rFonts w:cs="Arial"/>
          <w:sz w:val="20"/>
          <w:szCs w:val="20"/>
        </w:rPr>
        <w:t xml:space="preserve"> </w:t>
      </w:r>
      <w:r w:rsidR="007F72A4" w:rsidRPr="00DA0678">
        <w:rPr>
          <w:rFonts w:cs="Arial"/>
          <w:b/>
          <w:sz w:val="20"/>
          <w:szCs w:val="20"/>
        </w:rPr>
        <w:t xml:space="preserve">intervallati da periodi “intercritici” </w:t>
      </w:r>
      <w:r w:rsidRPr="00DA0678">
        <w:rPr>
          <w:rFonts w:cs="Arial"/>
          <w:b/>
          <w:sz w:val="20"/>
          <w:szCs w:val="20"/>
        </w:rPr>
        <w:t xml:space="preserve"> </w:t>
      </w:r>
      <w:r w:rsidR="007F72A4" w:rsidRPr="00DA0678">
        <w:rPr>
          <w:rFonts w:cs="Arial"/>
          <w:b/>
          <w:sz w:val="20"/>
          <w:szCs w:val="20"/>
        </w:rPr>
        <w:t>(</w:t>
      </w:r>
      <w:r w:rsidR="007F72A4" w:rsidRPr="00DA0678">
        <w:rPr>
          <w:rFonts w:cs="Arial"/>
          <w:b/>
          <w:sz w:val="20"/>
          <w:szCs w:val="20"/>
          <w:u w:val="single"/>
        </w:rPr>
        <w:t>gotta intercritica</w:t>
      </w:r>
      <w:r w:rsidR="007F72A4" w:rsidRPr="00DA0678">
        <w:rPr>
          <w:rFonts w:cs="Arial"/>
          <w:b/>
          <w:sz w:val="20"/>
          <w:szCs w:val="20"/>
        </w:rPr>
        <w:t>),</w:t>
      </w:r>
      <w:r w:rsidR="007F72A4" w:rsidRPr="007F72A4">
        <w:rPr>
          <w:rFonts w:cs="Arial"/>
          <w:sz w:val="20"/>
          <w:szCs w:val="20"/>
        </w:rPr>
        <w:t xml:space="preserve"> che possono durare anche anni, durante i quali il paziente è nuovamente asintomatico</w:t>
      </w:r>
      <w:r w:rsidR="00051F13">
        <w:rPr>
          <w:rFonts w:cs="Arial"/>
          <w:sz w:val="20"/>
          <w:szCs w:val="20"/>
        </w:rPr>
        <w:t xml:space="preserve"> </w:t>
      </w:r>
      <w:r w:rsidRPr="007F72A4">
        <w:rPr>
          <w:rFonts w:cs="Arial"/>
          <w:sz w:val="20"/>
          <w:szCs w:val="20"/>
        </w:rPr>
        <w:t>(</w:t>
      </w:r>
      <w:r w:rsidR="00231A40">
        <w:rPr>
          <w:rFonts w:cs="Arial"/>
          <w:color w:val="0000FF"/>
          <w:sz w:val="20"/>
          <w:szCs w:val="20"/>
        </w:rPr>
        <w:t>Burns 2012 (8)</w:t>
      </w:r>
      <w:r w:rsidRPr="007F72A4">
        <w:rPr>
          <w:rFonts w:cs="Arial"/>
          <w:sz w:val="20"/>
          <w:szCs w:val="20"/>
        </w:rPr>
        <w:t>)</w:t>
      </w:r>
      <w:r w:rsidR="00384D34">
        <w:rPr>
          <w:rFonts w:cs="Arial"/>
          <w:sz w:val="20"/>
          <w:szCs w:val="20"/>
        </w:rPr>
        <w:t>.</w:t>
      </w:r>
      <w:r w:rsidR="00BA4C59">
        <w:rPr>
          <w:rFonts w:cs="Arial"/>
          <w:sz w:val="20"/>
          <w:szCs w:val="20"/>
        </w:rPr>
        <w:t xml:space="preserve"> </w:t>
      </w:r>
    </w:p>
    <w:p w14:paraId="02876901" w14:textId="540E05ED" w:rsidR="0004785A" w:rsidRDefault="00E819DA" w:rsidP="0004785A">
      <w:pPr>
        <w:widowControl w:val="0"/>
        <w:autoSpaceDE w:val="0"/>
        <w:autoSpaceDN w:val="0"/>
        <w:adjustRightInd w:val="0"/>
        <w:spacing w:line="360" w:lineRule="auto"/>
        <w:rPr>
          <w:rFonts w:cs="Arial"/>
          <w:sz w:val="20"/>
          <w:szCs w:val="20"/>
        </w:rPr>
      </w:pPr>
      <w:r>
        <w:rPr>
          <w:rFonts w:cs="Arial"/>
          <w:sz w:val="20"/>
          <w:szCs w:val="20"/>
        </w:rPr>
        <w:t xml:space="preserve">Tuttavia, come chiarito anche dall’esperto Prof </w:t>
      </w:r>
      <w:r w:rsidR="00753598">
        <w:rPr>
          <w:rFonts w:cs="Arial"/>
          <w:sz w:val="20"/>
          <w:szCs w:val="20"/>
        </w:rPr>
        <w:t>Punzi Direttore U.O.C. di Reumatologia, Università degli Studi di Padova</w:t>
      </w:r>
      <w:r>
        <w:rPr>
          <w:rFonts w:cs="Arial"/>
          <w:sz w:val="20"/>
          <w:szCs w:val="20"/>
        </w:rPr>
        <w:t xml:space="preserve"> </w:t>
      </w:r>
      <w:hyperlink w:anchor="Allegato1" w:history="1">
        <w:r w:rsidRPr="00B05B41">
          <w:rPr>
            <w:rStyle w:val="Hyperlink"/>
            <w:rFonts w:cs="Arial"/>
            <w:sz w:val="20"/>
            <w:szCs w:val="20"/>
          </w:rPr>
          <w:t>Allegato 1</w:t>
        </w:r>
      </w:hyperlink>
      <w:r>
        <w:rPr>
          <w:rFonts w:cs="Arial"/>
          <w:sz w:val="20"/>
          <w:szCs w:val="20"/>
        </w:rPr>
        <w:t xml:space="preserve">), </w:t>
      </w:r>
      <w:r w:rsidR="007F72A4" w:rsidRPr="007F72A4">
        <w:rPr>
          <w:rFonts w:cs="Arial"/>
          <w:sz w:val="20"/>
          <w:szCs w:val="20"/>
        </w:rPr>
        <w:t xml:space="preserve"> </w:t>
      </w:r>
      <w:r w:rsidR="00016171">
        <w:rPr>
          <w:rFonts w:cs="Arial"/>
          <w:sz w:val="20"/>
          <w:szCs w:val="20"/>
        </w:rPr>
        <w:t xml:space="preserve">anche </w:t>
      </w:r>
      <w:r w:rsidR="007F72A4" w:rsidRPr="00E819DA">
        <w:rPr>
          <w:rFonts w:cs="Arial"/>
          <w:b/>
          <w:sz w:val="20"/>
          <w:szCs w:val="20"/>
        </w:rPr>
        <w:t xml:space="preserve">durante i </w:t>
      </w:r>
      <w:r>
        <w:rPr>
          <w:rFonts w:cs="Arial"/>
          <w:b/>
          <w:sz w:val="20"/>
          <w:szCs w:val="20"/>
        </w:rPr>
        <w:t xml:space="preserve">periodi intercritici, </w:t>
      </w:r>
      <w:r w:rsidR="007F72A4" w:rsidRPr="00E819DA">
        <w:rPr>
          <w:rFonts w:cs="Arial"/>
          <w:b/>
          <w:sz w:val="20"/>
          <w:szCs w:val="20"/>
        </w:rPr>
        <w:t>i</w:t>
      </w:r>
      <w:r>
        <w:rPr>
          <w:rFonts w:cs="Arial"/>
          <w:b/>
          <w:sz w:val="20"/>
          <w:szCs w:val="20"/>
        </w:rPr>
        <w:t>l</w:t>
      </w:r>
      <w:r w:rsidR="007F72A4" w:rsidRPr="00E819DA">
        <w:rPr>
          <w:rFonts w:cs="Arial"/>
          <w:b/>
          <w:sz w:val="20"/>
          <w:szCs w:val="20"/>
        </w:rPr>
        <w:t xml:space="preserve"> paziente deve essere trattato</w:t>
      </w:r>
      <w:r w:rsidR="007F72A4" w:rsidRPr="007F72A4">
        <w:rPr>
          <w:rFonts w:cs="Arial"/>
          <w:sz w:val="20"/>
          <w:szCs w:val="20"/>
        </w:rPr>
        <w:t>.  Infatti, durante le fasi intercritiche o comunque al di fuori degli episodi infiammatori articolari acuti, i cristalli di MSU continuano a depositarsi, anche in assenza di manifestazioni cliniche evidenti, determinando la progressione della malattia gottosa (</w:t>
      </w:r>
      <w:r w:rsidR="009752F0">
        <w:rPr>
          <w:rFonts w:cs="Arial"/>
          <w:color w:val="0000FF"/>
          <w:sz w:val="20"/>
          <w:szCs w:val="20"/>
        </w:rPr>
        <w:t>Perez-Ruiz</w:t>
      </w:r>
      <w:r w:rsidR="00231A40">
        <w:rPr>
          <w:rFonts w:cs="Arial"/>
          <w:color w:val="0000FF"/>
          <w:sz w:val="20"/>
          <w:szCs w:val="20"/>
        </w:rPr>
        <w:t>, 2014 (9)</w:t>
      </w:r>
      <w:r w:rsidR="007F72A4" w:rsidRPr="00B05B41">
        <w:rPr>
          <w:rFonts w:cs="Arial"/>
          <w:color w:val="0000FF"/>
          <w:sz w:val="20"/>
          <w:szCs w:val="20"/>
        </w:rPr>
        <w:t xml:space="preserve">; </w:t>
      </w:r>
      <w:r w:rsidR="00231A40">
        <w:rPr>
          <w:rFonts w:cs="Arial"/>
          <w:color w:val="0000FF"/>
          <w:sz w:val="20"/>
          <w:szCs w:val="20"/>
        </w:rPr>
        <w:t>Doghrami, 2016 (10)</w:t>
      </w:r>
      <w:r w:rsidR="007F72A4" w:rsidRPr="007F72A4">
        <w:rPr>
          <w:rFonts w:cs="Arial"/>
          <w:sz w:val="20"/>
          <w:szCs w:val="20"/>
        </w:rPr>
        <w:t xml:space="preserve">). </w:t>
      </w:r>
      <w:r w:rsidR="0004785A" w:rsidRPr="0045080F">
        <w:rPr>
          <w:rFonts w:cs="Arial"/>
          <w:b/>
          <w:sz w:val="20"/>
          <w:szCs w:val="20"/>
        </w:rPr>
        <w:t>E’ fondamentale che i pazienti con gotta ricevano una gestione terapeutica ottimale anche in questa fase della patologia</w:t>
      </w:r>
      <w:r w:rsidR="0004785A">
        <w:rPr>
          <w:rFonts w:cs="Arial"/>
          <w:sz w:val="20"/>
          <w:szCs w:val="20"/>
        </w:rPr>
        <w:t>, di apparente completo benessere, al fine di mantenere i livelli di sUA al di sotto del livello target</w:t>
      </w:r>
      <w:r w:rsidR="00051F13">
        <w:rPr>
          <w:rFonts w:cs="Arial"/>
          <w:sz w:val="20"/>
          <w:szCs w:val="20"/>
        </w:rPr>
        <w:t xml:space="preserve"> (sUA &lt; 6mg/dl) </w:t>
      </w:r>
      <w:r w:rsidR="0004785A">
        <w:rPr>
          <w:rFonts w:cs="Arial"/>
          <w:sz w:val="20"/>
          <w:szCs w:val="20"/>
        </w:rPr>
        <w:t xml:space="preserve">, così da </w:t>
      </w:r>
      <w:r w:rsidR="0004785A" w:rsidRPr="00EB46C6">
        <w:rPr>
          <w:rFonts w:cs="Arial"/>
          <w:sz w:val="20"/>
          <w:szCs w:val="20"/>
        </w:rPr>
        <w:t>impedire la precipitazione ed il deposito di</w:t>
      </w:r>
      <w:r w:rsidR="0004785A">
        <w:rPr>
          <w:rFonts w:cs="Arial"/>
          <w:sz w:val="20"/>
          <w:szCs w:val="20"/>
        </w:rPr>
        <w:t xml:space="preserve"> nuovi</w:t>
      </w:r>
      <w:r w:rsidR="0004785A" w:rsidRPr="00EB46C6">
        <w:rPr>
          <w:rFonts w:cs="Arial"/>
          <w:sz w:val="20"/>
          <w:szCs w:val="20"/>
        </w:rPr>
        <w:t xml:space="preserve"> cristalli di MSU</w:t>
      </w:r>
      <w:r w:rsidR="0004785A">
        <w:rPr>
          <w:rFonts w:cs="Arial"/>
          <w:sz w:val="20"/>
          <w:szCs w:val="20"/>
        </w:rPr>
        <w:t>, d</w:t>
      </w:r>
      <w:r w:rsidR="0004785A" w:rsidRPr="003149B7">
        <w:rPr>
          <w:rFonts w:cs="Arial"/>
          <w:sz w:val="20"/>
          <w:szCs w:val="20"/>
        </w:rPr>
        <w:t xml:space="preserve">issolvere completamente i depositi  </w:t>
      </w:r>
      <w:r w:rsidR="0004785A">
        <w:rPr>
          <w:rFonts w:cs="Arial"/>
          <w:sz w:val="20"/>
          <w:szCs w:val="20"/>
        </w:rPr>
        <w:t xml:space="preserve">già esistenti e prevenire i successivi episodi gottosi (attacchi acuti ricorrenti) </w:t>
      </w:r>
      <w:r w:rsidR="0004785A" w:rsidRPr="00D40CC5">
        <w:rPr>
          <w:rFonts w:cs="Arial"/>
          <w:sz w:val="20"/>
          <w:szCs w:val="20"/>
        </w:rPr>
        <w:t>(</w:t>
      </w:r>
      <w:r w:rsidR="00E747C5">
        <w:rPr>
          <w:rFonts w:cs="Arial"/>
          <w:color w:val="0000FF"/>
          <w:sz w:val="20"/>
          <w:szCs w:val="20"/>
        </w:rPr>
        <w:t xml:space="preserve">Doghrami, 2016 (10); </w:t>
      </w:r>
      <w:r w:rsidR="009752F0">
        <w:rPr>
          <w:rFonts w:cs="Arial"/>
          <w:color w:val="0000FF"/>
          <w:sz w:val="20"/>
          <w:szCs w:val="20"/>
        </w:rPr>
        <w:t>Perez-Ruiz</w:t>
      </w:r>
      <w:r w:rsidR="00231A40">
        <w:rPr>
          <w:rFonts w:cs="Arial"/>
          <w:color w:val="0000FF"/>
          <w:sz w:val="20"/>
          <w:szCs w:val="20"/>
        </w:rPr>
        <w:t>, 2015 (11)</w:t>
      </w:r>
      <w:r w:rsidR="0004785A" w:rsidRPr="002F1705">
        <w:rPr>
          <w:rFonts w:cs="Arial"/>
          <w:color w:val="0000FF"/>
          <w:sz w:val="20"/>
          <w:szCs w:val="20"/>
        </w:rPr>
        <w:t xml:space="preserve">; </w:t>
      </w:r>
      <w:r w:rsidR="00231A40">
        <w:rPr>
          <w:rFonts w:cs="Arial"/>
          <w:color w:val="0000FF"/>
          <w:sz w:val="20"/>
          <w:szCs w:val="20"/>
        </w:rPr>
        <w:t>Tatlock, 2016 (12)</w:t>
      </w:r>
      <w:r w:rsidR="00EF08D9" w:rsidRPr="00EF08D9">
        <w:rPr>
          <w:rFonts w:cs="Arial"/>
          <w:sz w:val="20"/>
          <w:szCs w:val="20"/>
        </w:rPr>
        <w:t>).</w:t>
      </w:r>
      <w:r w:rsidR="0004785A" w:rsidRPr="002F1705">
        <w:rPr>
          <w:rFonts w:cs="Arial"/>
          <w:color w:val="0000FF"/>
          <w:sz w:val="20"/>
          <w:szCs w:val="20"/>
        </w:rPr>
        <w:t xml:space="preserve"> </w:t>
      </w:r>
    </w:p>
    <w:p w14:paraId="581DF680" w14:textId="42840E98" w:rsidR="007F72A4" w:rsidRPr="00EF08D9" w:rsidRDefault="007F72A4" w:rsidP="007F72A4">
      <w:pPr>
        <w:spacing w:line="360" w:lineRule="auto"/>
        <w:rPr>
          <w:rFonts w:cs="Arial"/>
          <w:sz w:val="20"/>
          <w:szCs w:val="20"/>
        </w:rPr>
      </w:pPr>
      <w:r w:rsidRPr="00EF08D9">
        <w:rPr>
          <w:rFonts w:cs="Arial"/>
          <w:sz w:val="20"/>
          <w:szCs w:val="20"/>
        </w:rPr>
        <w:t xml:space="preserve">Emerge tuttavia, come ad esempio riportato da una recente survey americana effettuata su medici di famiglia,  che </w:t>
      </w:r>
      <w:r w:rsidRPr="00EF08D9">
        <w:rPr>
          <w:rFonts w:cs="Arial"/>
          <w:b/>
          <w:sz w:val="20"/>
          <w:szCs w:val="20"/>
        </w:rPr>
        <w:t xml:space="preserve">meno del 20% del campione analizzato </w:t>
      </w:r>
      <w:r w:rsidR="00384D34" w:rsidRPr="00EF08D9">
        <w:rPr>
          <w:rFonts w:cs="Arial"/>
          <w:b/>
          <w:sz w:val="20"/>
          <w:szCs w:val="20"/>
        </w:rPr>
        <w:t>riceve</w:t>
      </w:r>
      <w:r w:rsidRPr="00EF08D9">
        <w:rPr>
          <w:rFonts w:cs="Arial"/>
          <w:b/>
          <w:sz w:val="20"/>
          <w:szCs w:val="20"/>
        </w:rPr>
        <w:t xml:space="preserve"> una gestione terapeutica ottimale</w:t>
      </w:r>
      <w:r w:rsidRPr="00EF08D9">
        <w:rPr>
          <w:rFonts w:cs="Arial"/>
          <w:sz w:val="20"/>
          <w:szCs w:val="20"/>
        </w:rPr>
        <w:t xml:space="preserve"> per questa fase della patologia (</w:t>
      </w:r>
      <w:r w:rsidR="00231A40">
        <w:rPr>
          <w:rFonts w:cs="Arial"/>
          <w:color w:val="0000FF"/>
          <w:sz w:val="20"/>
          <w:szCs w:val="20"/>
        </w:rPr>
        <w:t>Harrold, 2013 (13)</w:t>
      </w:r>
      <w:r w:rsidRPr="00EF08D9">
        <w:rPr>
          <w:rFonts w:cs="Arial"/>
          <w:sz w:val="20"/>
          <w:szCs w:val="20"/>
        </w:rPr>
        <w:t xml:space="preserve">). </w:t>
      </w:r>
    </w:p>
    <w:p w14:paraId="65B1E297" w14:textId="3D3B1D84" w:rsidR="00016171" w:rsidRDefault="00016171" w:rsidP="00EA36FC">
      <w:pPr>
        <w:spacing w:line="360" w:lineRule="auto"/>
        <w:rPr>
          <w:rFonts w:cs="Arial"/>
          <w:sz w:val="20"/>
          <w:szCs w:val="20"/>
        </w:rPr>
      </w:pPr>
      <w:r w:rsidRPr="00016171">
        <w:rPr>
          <w:rFonts w:cs="Arial"/>
          <w:sz w:val="20"/>
          <w:szCs w:val="20"/>
        </w:rPr>
        <w:t>Se non trattata in maniera adeguat</w:t>
      </w:r>
      <w:r>
        <w:rPr>
          <w:rFonts w:cs="Arial"/>
          <w:sz w:val="20"/>
          <w:szCs w:val="20"/>
        </w:rPr>
        <w:t>a, la gotta evolve allo stadio</w:t>
      </w:r>
      <w:r w:rsidRPr="00016171">
        <w:rPr>
          <w:rFonts w:cs="Arial"/>
          <w:sz w:val="20"/>
          <w:szCs w:val="20"/>
        </w:rPr>
        <w:t xml:space="preserve"> di gotta cronica tofacea, caratterizzata dal coinvolgimento di più articolazioni e dalla presenza di tofi, depositi di cristalli di MSU che causano </w:t>
      </w:r>
      <w:r w:rsidR="00BA4C59" w:rsidRPr="00BA4C59">
        <w:rPr>
          <w:rFonts w:cs="Arial"/>
          <w:sz w:val="20"/>
          <w:szCs w:val="20"/>
        </w:rPr>
        <w:t xml:space="preserve">uno stato infiammatorio cronico, </w:t>
      </w:r>
      <w:r w:rsidR="00BA4C59" w:rsidRPr="00016171">
        <w:rPr>
          <w:rFonts w:cs="Arial"/>
          <w:sz w:val="20"/>
          <w:szCs w:val="20"/>
        </w:rPr>
        <w:t xml:space="preserve">la </w:t>
      </w:r>
      <w:r w:rsidR="00BA4C59" w:rsidRPr="00EF08D9">
        <w:rPr>
          <w:rFonts w:cs="Arial"/>
          <w:b/>
          <w:sz w:val="20"/>
          <w:szCs w:val="20"/>
        </w:rPr>
        <w:t>distruzione delle articolazioni</w:t>
      </w:r>
      <w:r w:rsidR="00BA4C59" w:rsidRPr="00BA4C59">
        <w:rPr>
          <w:rFonts w:cs="Arial"/>
          <w:sz w:val="20"/>
          <w:szCs w:val="20"/>
        </w:rPr>
        <w:t xml:space="preserve"> con presenza di erosioni ossee non reversibili</w:t>
      </w:r>
      <w:r w:rsidRPr="00016171">
        <w:rPr>
          <w:rFonts w:cs="Arial"/>
          <w:sz w:val="20"/>
          <w:szCs w:val="20"/>
        </w:rPr>
        <w:t xml:space="preserve">, </w:t>
      </w:r>
      <w:r w:rsidRPr="00EF08D9">
        <w:rPr>
          <w:rFonts w:cs="Arial"/>
          <w:b/>
          <w:sz w:val="20"/>
          <w:szCs w:val="20"/>
        </w:rPr>
        <w:t>dolore cronico associato a una funzionalità fisica gravemente compromessa e limitazione delle attività quotidiane</w:t>
      </w:r>
      <w:r w:rsidRPr="00016171">
        <w:rPr>
          <w:rFonts w:cs="Arial"/>
          <w:sz w:val="20"/>
          <w:szCs w:val="20"/>
        </w:rPr>
        <w:t>, con progressiva disabilità e crescenti costi sanitari e sociali (</w:t>
      </w:r>
      <w:r w:rsidR="00E747C5">
        <w:rPr>
          <w:rFonts w:cs="Arial"/>
          <w:color w:val="0000FF"/>
          <w:sz w:val="20"/>
          <w:szCs w:val="20"/>
        </w:rPr>
        <w:t>Doghrami, 2016 (10)</w:t>
      </w:r>
      <w:r w:rsidR="00E747C5" w:rsidRPr="00EF08D9">
        <w:rPr>
          <w:rFonts w:cs="Arial"/>
          <w:color w:val="0000FF"/>
          <w:sz w:val="20"/>
          <w:szCs w:val="20"/>
        </w:rPr>
        <w:t xml:space="preserve">; </w:t>
      </w:r>
      <w:r w:rsidR="00562B68">
        <w:rPr>
          <w:rFonts w:cs="Arial"/>
          <w:color w:val="0000FF"/>
          <w:sz w:val="20"/>
          <w:szCs w:val="20"/>
        </w:rPr>
        <w:t>Perez-Ruiz, 2015 (11)</w:t>
      </w:r>
      <w:r w:rsidR="00562B68" w:rsidRPr="00EF08D9">
        <w:rPr>
          <w:rFonts w:cs="Arial"/>
          <w:color w:val="0000FF"/>
          <w:sz w:val="20"/>
          <w:szCs w:val="20"/>
        </w:rPr>
        <w:t xml:space="preserve">; </w:t>
      </w:r>
      <w:r w:rsidR="00E747C5">
        <w:rPr>
          <w:rFonts w:cs="Arial"/>
          <w:color w:val="0000FF"/>
          <w:sz w:val="20"/>
          <w:szCs w:val="20"/>
        </w:rPr>
        <w:t xml:space="preserve">Tatlock, 2016 (12); </w:t>
      </w:r>
      <w:r w:rsidR="00231A40">
        <w:rPr>
          <w:rFonts w:cs="Arial"/>
          <w:color w:val="0000FF"/>
          <w:sz w:val="20"/>
          <w:szCs w:val="20"/>
        </w:rPr>
        <w:t>Terkeltaub, 2013 (14)</w:t>
      </w:r>
      <w:r w:rsidRPr="00EF08D9">
        <w:rPr>
          <w:rFonts w:cs="Arial"/>
          <w:color w:val="0000FF"/>
          <w:sz w:val="20"/>
          <w:szCs w:val="20"/>
        </w:rPr>
        <w:t xml:space="preserve">; </w:t>
      </w:r>
      <w:r w:rsidR="00231A40">
        <w:rPr>
          <w:rFonts w:cs="Arial"/>
          <w:color w:val="0000FF"/>
          <w:sz w:val="20"/>
          <w:szCs w:val="20"/>
        </w:rPr>
        <w:t>Wertheimer, 2013 (15)</w:t>
      </w:r>
      <w:r w:rsidRPr="00EF08D9">
        <w:rPr>
          <w:rFonts w:cs="Arial"/>
          <w:color w:val="0000FF"/>
          <w:sz w:val="20"/>
          <w:szCs w:val="20"/>
        </w:rPr>
        <w:t xml:space="preserve">; </w:t>
      </w:r>
      <w:r w:rsidR="00231A40">
        <w:rPr>
          <w:rFonts w:cs="Arial"/>
          <w:color w:val="0000FF"/>
          <w:sz w:val="20"/>
          <w:szCs w:val="20"/>
        </w:rPr>
        <w:t>Dalbeth, 2009 (16)</w:t>
      </w:r>
      <w:r w:rsidRPr="00016171">
        <w:rPr>
          <w:rFonts w:cs="Arial"/>
          <w:sz w:val="20"/>
          <w:szCs w:val="20"/>
        </w:rPr>
        <w:t>).</w:t>
      </w:r>
    </w:p>
    <w:p w14:paraId="0455921F" w14:textId="159ACB43" w:rsidR="00EA36FC" w:rsidRPr="00EF08D9" w:rsidRDefault="007073B2" w:rsidP="00EA36FC">
      <w:pPr>
        <w:spacing w:line="360" w:lineRule="auto"/>
        <w:rPr>
          <w:rFonts w:cs="Arial"/>
          <w:sz w:val="20"/>
          <w:szCs w:val="20"/>
          <w:u w:val="single"/>
        </w:rPr>
      </w:pPr>
      <w:r w:rsidRPr="00BA4C59">
        <w:rPr>
          <w:rFonts w:cs="Arial"/>
          <w:b/>
          <w:sz w:val="20"/>
          <w:szCs w:val="20"/>
          <w:u w:val="single"/>
        </w:rPr>
        <w:t xml:space="preserve">È dimostrato che la progressione della malattia è correlata ai livelli di acido urico sierico: uricemie più basse portano ad un minor numero di riacutizzazioni e una più rapida risoluzione dei </w:t>
      </w:r>
      <w:r w:rsidRPr="00EF08D9">
        <w:rPr>
          <w:rFonts w:cs="Arial"/>
          <w:b/>
          <w:sz w:val="20"/>
          <w:szCs w:val="20"/>
          <w:u w:val="single"/>
        </w:rPr>
        <w:t xml:space="preserve">tofi </w:t>
      </w:r>
      <w:r w:rsidRPr="00EF08D9">
        <w:rPr>
          <w:rFonts w:cs="Arial"/>
          <w:sz w:val="20"/>
          <w:szCs w:val="20"/>
          <w:u w:val="single"/>
        </w:rPr>
        <w:t>(</w:t>
      </w:r>
      <w:r w:rsidR="00E747C5">
        <w:rPr>
          <w:color w:val="0000FF"/>
          <w:sz w:val="20"/>
          <w:szCs w:val="20"/>
          <w:u w:val="single"/>
        </w:rPr>
        <w:t xml:space="preserve">Terkeltaub, 2013 (14); </w:t>
      </w:r>
      <w:r w:rsidR="00231A40">
        <w:rPr>
          <w:color w:val="0000FF"/>
          <w:sz w:val="20"/>
          <w:szCs w:val="20"/>
          <w:u w:val="single"/>
        </w:rPr>
        <w:t>Shoji, 2004 (17)</w:t>
      </w:r>
      <w:r w:rsidR="00EA36FC" w:rsidRPr="00EF08D9">
        <w:rPr>
          <w:rFonts w:cs="Arial"/>
          <w:sz w:val="20"/>
          <w:szCs w:val="20"/>
          <w:u w:val="single"/>
        </w:rPr>
        <w:t>).</w:t>
      </w:r>
    </w:p>
    <w:p w14:paraId="015E83CD" w14:textId="05931A9E" w:rsidR="00016171" w:rsidRDefault="00BA4C59" w:rsidP="00EA36FC">
      <w:pPr>
        <w:spacing w:line="360" w:lineRule="auto"/>
        <w:rPr>
          <w:rFonts w:cs="Arial"/>
          <w:sz w:val="20"/>
          <w:szCs w:val="20"/>
        </w:rPr>
      </w:pPr>
      <w:r>
        <w:rPr>
          <w:rFonts w:cs="Arial"/>
          <w:sz w:val="20"/>
          <w:szCs w:val="20"/>
        </w:rPr>
        <w:t>Per questo l</w:t>
      </w:r>
      <w:r w:rsidR="00016171" w:rsidRPr="00016171">
        <w:rPr>
          <w:rFonts w:cs="Arial"/>
          <w:sz w:val="20"/>
          <w:szCs w:val="20"/>
        </w:rPr>
        <w:t xml:space="preserve">’approccio terapeutico mirato (treat to target) suggerito sulla base della fisiopatologia della </w:t>
      </w:r>
      <w:r w:rsidR="00EF08D9">
        <w:rPr>
          <w:rFonts w:cs="Arial"/>
          <w:sz w:val="20"/>
          <w:szCs w:val="20"/>
        </w:rPr>
        <w:t>gotta</w:t>
      </w:r>
      <w:r w:rsidR="00016171" w:rsidRPr="00016171">
        <w:rPr>
          <w:rFonts w:cs="Arial"/>
          <w:sz w:val="20"/>
          <w:szCs w:val="20"/>
        </w:rPr>
        <w:t xml:space="preserve"> è un approccio stratificato a due livelli</w:t>
      </w:r>
      <w:r>
        <w:rPr>
          <w:rFonts w:cs="Arial"/>
          <w:sz w:val="20"/>
          <w:szCs w:val="20"/>
        </w:rPr>
        <w:t xml:space="preserve"> </w:t>
      </w:r>
      <w:r w:rsidRPr="00BA4C59">
        <w:rPr>
          <w:rFonts w:cs="Arial"/>
          <w:b/>
          <w:sz w:val="20"/>
          <w:szCs w:val="20"/>
        </w:rPr>
        <w:t>che prevede il trattamento per tutta la vita del paziente</w:t>
      </w:r>
      <w:r w:rsidR="00016171" w:rsidRPr="00016171">
        <w:rPr>
          <w:rFonts w:cs="Arial"/>
          <w:sz w:val="20"/>
          <w:szCs w:val="20"/>
        </w:rPr>
        <w:t>: il primo, un trattamento ipo-uricemizzante “intensivo”,   per cercare di dissolvere completamente i depositi  di cristalli di MSU, specialmente nei pazienti con gotta più grave, e il secondo, successivo, mirato a mantenere i livelli di sUA al di sotto dei livelli di sicurezza per impedire la precipitazione ed il deposito di cristalli di MSU (ovvero 6 mg/dl</w:t>
      </w:r>
      <w:r w:rsidR="00EB3612">
        <w:rPr>
          <w:rFonts w:cs="Arial"/>
          <w:sz w:val="20"/>
          <w:szCs w:val="20"/>
        </w:rPr>
        <w:t>,</w:t>
      </w:r>
      <w:r>
        <w:rPr>
          <w:rFonts w:cs="Arial"/>
          <w:sz w:val="20"/>
          <w:szCs w:val="20"/>
        </w:rPr>
        <w:t xml:space="preserve"> e </w:t>
      </w:r>
      <w:r w:rsidRPr="00016171">
        <w:rPr>
          <w:rFonts w:cs="Arial"/>
          <w:sz w:val="20"/>
          <w:szCs w:val="20"/>
        </w:rPr>
        <w:t>5 mg/dl</w:t>
      </w:r>
      <w:r>
        <w:rPr>
          <w:rFonts w:cs="Arial"/>
          <w:sz w:val="20"/>
          <w:szCs w:val="20"/>
        </w:rPr>
        <w:t xml:space="preserve"> n</w:t>
      </w:r>
      <w:r w:rsidRPr="00016171">
        <w:rPr>
          <w:rFonts w:cs="Arial"/>
          <w:sz w:val="20"/>
          <w:szCs w:val="20"/>
        </w:rPr>
        <w:t>ei pazienti più gravi e con depositi tofacei multipli</w:t>
      </w:r>
      <w:r>
        <w:rPr>
          <w:rFonts w:cs="Arial"/>
          <w:sz w:val="20"/>
          <w:szCs w:val="20"/>
        </w:rPr>
        <w:t>)</w:t>
      </w:r>
      <w:r w:rsidR="00016171" w:rsidRPr="00016171">
        <w:rPr>
          <w:rFonts w:cs="Arial"/>
          <w:sz w:val="20"/>
          <w:szCs w:val="20"/>
        </w:rPr>
        <w:t>. Ciò per  garantire la scomparsa di attacchi acuti e la risoluzione completa dei tofi (</w:t>
      </w:r>
      <w:r w:rsidR="009752F0">
        <w:rPr>
          <w:rFonts w:cs="Arial"/>
          <w:color w:val="0000FF"/>
          <w:sz w:val="20"/>
          <w:szCs w:val="20"/>
        </w:rPr>
        <w:t>Perez-Ruiz</w:t>
      </w:r>
      <w:r w:rsidR="00231A40">
        <w:rPr>
          <w:rFonts w:cs="Arial"/>
          <w:color w:val="0000FF"/>
          <w:sz w:val="20"/>
          <w:szCs w:val="20"/>
        </w:rPr>
        <w:t>,</w:t>
      </w:r>
      <w:r w:rsidR="00016171" w:rsidRPr="00EF08D9">
        <w:rPr>
          <w:rFonts w:cs="Arial"/>
          <w:color w:val="0000FF"/>
          <w:sz w:val="20"/>
          <w:szCs w:val="20"/>
        </w:rPr>
        <w:t xml:space="preserve"> 2015</w:t>
      </w:r>
      <w:r w:rsidR="00EF08D9">
        <w:rPr>
          <w:rFonts w:cs="Arial"/>
          <w:color w:val="0000FF"/>
          <w:sz w:val="20"/>
          <w:szCs w:val="20"/>
        </w:rPr>
        <w:t xml:space="preserve"> (</w:t>
      </w:r>
      <w:r w:rsidR="00231A40">
        <w:rPr>
          <w:rFonts w:cs="Arial"/>
          <w:color w:val="0000FF"/>
          <w:sz w:val="20"/>
          <w:szCs w:val="20"/>
        </w:rPr>
        <w:t>11</w:t>
      </w:r>
      <w:r w:rsidR="00EF08D9">
        <w:rPr>
          <w:rFonts w:cs="Arial"/>
          <w:color w:val="0000FF"/>
          <w:sz w:val="20"/>
          <w:szCs w:val="20"/>
        </w:rPr>
        <w:t>)</w:t>
      </w:r>
      <w:r w:rsidR="00016171" w:rsidRPr="00EF08D9">
        <w:rPr>
          <w:rFonts w:cs="Arial"/>
          <w:color w:val="0000FF"/>
          <w:sz w:val="20"/>
          <w:szCs w:val="20"/>
        </w:rPr>
        <w:t xml:space="preserve">; </w:t>
      </w:r>
      <w:r w:rsidR="009752F0">
        <w:rPr>
          <w:rFonts w:cs="Arial"/>
          <w:color w:val="0000FF"/>
          <w:sz w:val="20"/>
          <w:szCs w:val="20"/>
        </w:rPr>
        <w:t>Perez-Ruiz</w:t>
      </w:r>
      <w:r w:rsidR="00231A40">
        <w:rPr>
          <w:rFonts w:cs="Arial"/>
          <w:color w:val="0000FF"/>
          <w:sz w:val="20"/>
          <w:szCs w:val="20"/>
        </w:rPr>
        <w:t>, 2011 (18)</w:t>
      </w:r>
      <w:r w:rsidR="00016171" w:rsidRPr="00016171">
        <w:rPr>
          <w:rFonts w:cs="Arial"/>
          <w:sz w:val="20"/>
          <w:szCs w:val="20"/>
        </w:rPr>
        <w:t xml:space="preserve">). </w:t>
      </w:r>
    </w:p>
    <w:p w14:paraId="0CD1B091" w14:textId="5248AF11" w:rsidR="00EA36FC" w:rsidRDefault="00E71FA9" w:rsidP="00EA36FC">
      <w:pPr>
        <w:spacing w:line="360" w:lineRule="auto"/>
        <w:rPr>
          <w:rFonts w:cs="Arial"/>
          <w:sz w:val="20"/>
          <w:szCs w:val="20"/>
        </w:rPr>
      </w:pPr>
      <w:r w:rsidRPr="001D1C53">
        <w:rPr>
          <w:rFonts w:cs="Arial"/>
          <w:sz w:val="20"/>
          <w:szCs w:val="20"/>
        </w:rPr>
        <w:t>I pazienti affetti da gotta hanno</w:t>
      </w:r>
      <w:r w:rsidR="00BA4C59">
        <w:rPr>
          <w:rFonts w:cs="Arial"/>
          <w:sz w:val="20"/>
          <w:szCs w:val="20"/>
        </w:rPr>
        <w:t xml:space="preserve"> inoltre</w:t>
      </w:r>
      <w:r w:rsidRPr="001D1C53">
        <w:rPr>
          <w:rFonts w:cs="Arial"/>
          <w:sz w:val="20"/>
          <w:szCs w:val="20"/>
        </w:rPr>
        <w:t xml:space="preserve"> un </w:t>
      </w:r>
      <w:r w:rsidRPr="00EB3612">
        <w:rPr>
          <w:rFonts w:cs="Arial"/>
          <w:b/>
          <w:sz w:val="20"/>
          <w:szCs w:val="20"/>
        </w:rPr>
        <w:t>maggior rischio di complicanze</w:t>
      </w:r>
      <w:r w:rsidRPr="001D1C53">
        <w:rPr>
          <w:rFonts w:cs="Arial"/>
          <w:sz w:val="20"/>
          <w:szCs w:val="20"/>
        </w:rPr>
        <w:t xml:space="preserve"> correlate alla deposizione di cristalli di </w:t>
      </w:r>
      <w:r w:rsidR="00CF1A17">
        <w:rPr>
          <w:rFonts w:cs="Arial"/>
          <w:sz w:val="20"/>
          <w:szCs w:val="20"/>
        </w:rPr>
        <w:t>MSU</w:t>
      </w:r>
      <w:r w:rsidRPr="001D1C53">
        <w:rPr>
          <w:rFonts w:cs="Arial"/>
          <w:sz w:val="20"/>
          <w:szCs w:val="20"/>
        </w:rPr>
        <w:t xml:space="preserve"> nei tessuti degli organi colpiti, con possibili disfunzioni e insufficienza d'organo (complicanze renali e cardiovascolari) (</w:t>
      </w:r>
      <w:r w:rsidR="00231A40">
        <w:rPr>
          <w:rFonts w:cs="Arial"/>
          <w:color w:val="0000FF"/>
          <w:sz w:val="20"/>
          <w:szCs w:val="20"/>
        </w:rPr>
        <w:t>Terkeltaub, 2013 (14)</w:t>
      </w:r>
      <w:r w:rsidRPr="001D1C53">
        <w:rPr>
          <w:rFonts w:cs="Arial"/>
          <w:color w:val="0000FF"/>
          <w:sz w:val="20"/>
          <w:szCs w:val="20"/>
        </w:rPr>
        <w:t xml:space="preserve">; </w:t>
      </w:r>
      <w:r w:rsidR="00231A40">
        <w:rPr>
          <w:rFonts w:cs="Arial"/>
          <w:color w:val="0000FF"/>
          <w:sz w:val="20"/>
          <w:szCs w:val="20"/>
        </w:rPr>
        <w:t>Park, 2014 (19)</w:t>
      </w:r>
      <w:r w:rsidR="00EA36FC">
        <w:rPr>
          <w:rFonts w:cs="Arial"/>
          <w:sz w:val="20"/>
          <w:szCs w:val="20"/>
        </w:rPr>
        <w:t>).</w:t>
      </w:r>
    </w:p>
    <w:p w14:paraId="484EE282" w14:textId="7770DCD6" w:rsidR="003C4149" w:rsidRDefault="007073B2" w:rsidP="00EA36FC">
      <w:pPr>
        <w:spacing w:line="360" w:lineRule="auto"/>
        <w:rPr>
          <w:rFonts w:cs="Arial"/>
          <w:sz w:val="20"/>
          <w:szCs w:val="20"/>
        </w:rPr>
      </w:pPr>
      <w:r w:rsidRPr="001D1C53">
        <w:rPr>
          <w:rFonts w:cs="Arial"/>
          <w:sz w:val="20"/>
          <w:szCs w:val="20"/>
        </w:rPr>
        <w:t xml:space="preserve">Lo studio epidemiologico di Trifirò relativo alla realtà italiana, ha evidenziato nei pazienti affetti da </w:t>
      </w:r>
      <w:r w:rsidR="000E65D9">
        <w:rPr>
          <w:rFonts w:cs="Arial"/>
          <w:sz w:val="20"/>
          <w:szCs w:val="20"/>
        </w:rPr>
        <w:t>iperuricemia e gotta</w:t>
      </w:r>
      <w:r w:rsidR="00EB3612">
        <w:rPr>
          <w:rFonts w:cs="Arial"/>
          <w:sz w:val="20"/>
          <w:szCs w:val="20"/>
        </w:rPr>
        <w:t>,</w:t>
      </w:r>
      <w:r w:rsidRPr="001D1C53">
        <w:rPr>
          <w:rFonts w:cs="Arial"/>
          <w:sz w:val="20"/>
          <w:szCs w:val="20"/>
        </w:rPr>
        <w:t xml:space="preserve"> rispetto ai controlli selezionati per il confronto, una compresenza maggiore di patologie gravi tra cui, ipertensione, dislipidemia, diabete tipo 2, malattia coronarica, malattia cerebrovascolare,</w:t>
      </w:r>
      <w:r w:rsidRPr="00A4023F">
        <w:rPr>
          <w:rFonts w:cs="Arial"/>
          <w:b/>
          <w:sz w:val="20"/>
          <w:szCs w:val="20"/>
        </w:rPr>
        <w:t xml:space="preserve"> </w:t>
      </w:r>
      <w:r w:rsidRPr="001D1C53">
        <w:rPr>
          <w:rFonts w:cs="Arial"/>
          <w:sz w:val="20"/>
          <w:szCs w:val="20"/>
        </w:rPr>
        <w:t>nefrolitiasi, alcune delle quali con incidenza almeno doppia rispetto ai controlli (</w:t>
      </w:r>
      <w:r w:rsidR="00231A40">
        <w:rPr>
          <w:rFonts w:cs="Arial"/>
          <w:color w:val="0000FF"/>
          <w:sz w:val="20"/>
          <w:szCs w:val="20"/>
        </w:rPr>
        <w:t>Trifirò, 2012 (20)</w:t>
      </w:r>
      <w:r w:rsidR="003C4149">
        <w:rPr>
          <w:rFonts w:cs="Arial"/>
          <w:sz w:val="20"/>
          <w:szCs w:val="20"/>
        </w:rPr>
        <w:t>).</w:t>
      </w:r>
    </w:p>
    <w:p w14:paraId="1A010DE2" w14:textId="5079876E" w:rsidR="003C4149" w:rsidRDefault="00EA36FC" w:rsidP="003C4149">
      <w:pPr>
        <w:spacing w:line="360" w:lineRule="auto"/>
        <w:rPr>
          <w:rFonts w:cs="Arial"/>
          <w:sz w:val="20"/>
          <w:szCs w:val="20"/>
        </w:rPr>
      </w:pPr>
      <w:r w:rsidRPr="0049606F">
        <w:rPr>
          <w:rFonts w:cs="Arial"/>
          <w:b/>
          <w:sz w:val="20"/>
          <w:szCs w:val="20"/>
        </w:rPr>
        <w:t>Numerosi studi mostrano che all’iperuricemia è associata ad un aumento del rischio di mortalità per qualsiasi causa ed in particolare, mortalità per patologie cardiovascolari</w:t>
      </w:r>
      <w:r w:rsidRPr="0049606F">
        <w:rPr>
          <w:rFonts w:cs="Arial"/>
          <w:sz w:val="20"/>
          <w:szCs w:val="20"/>
        </w:rPr>
        <w:t xml:space="preserve"> (</w:t>
      </w:r>
      <w:r w:rsidR="007005EC">
        <w:rPr>
          <w:rFonts w:cs="Arial"/>
          <w:color w:val="0000FF"/>
          <w:sz w:val="20"/>
          <w:szCs w:val="20"/>
        </w:rPr>
        <w:t>Perez-Ruiz</w:t>
      </w:r>
      <w:r w:rsidR="007005EC" w:rsidRPr="0083674F">
        <w:rPr>
          <w:rFonts w:cs="Arial"/>
          <w:color w:val="0000FF"/>
          <w:sz w:val="20"/>
          <w:szCs w:val="20"/>
        </w:rPr>
        <w:t xml:space="preserve">, 2014 (9); </w:t>
      </w:r>
      <w:r w:rsidRPr="0049606F">
        <w:rPr>
          <w:rFonts w:cs="Arial"/>
          <w:color w:val="0000FF"/>
          <w:sz w:val="20"/>
          <w:szCs w:val="20"/>
        </w:rPr>
        <w:t>Choi, 2007 (21</w:t>
      </w:r>
      <w:r w:rsidR="00231A40">
        <w:rPr>
          <w:rFonts w:cs="Arial"/>
          <w:color w:val="0000FF"/>
          <w:sz w:val="20"/>
          <w:szCs w:val="20"/>
        </w:rPr>
        <w:t>)</w:t>
      </w:r>
      <w:r w:rsidRPr="0049606F">
        <w:rPr>
          <w:rFonts w:cs="Arial"/>
          <w:color w:val="0000FF"/>
          <w:sz w:val="20"/>
          <w:szCs w:val="20"/>
        </w:rPr>
        <w:t xml:space="preserve">; </w:t>
      </w:r>
      <w:r w:rsidR="00231A40">
        <w:rPr>
          <w:rFonts w:cs="Arial"/>
          <w:color w:val="0000FF"/>
          <w:sz w:val="20"/>
          <w:szCs w:val="20"/>
        </w:rPr>
        <w:t>Kuo, 2011 (22)</w:t>
      </w:r>
      <w:r w:rsidRPr="0049606F">
        <w:rPr>
          <w:rFonts w:cs="Arial"/>
          <w:color w:val="0000FF"/>
          <w:sz w:val="20"/>
          <w:szCs w:val="20"/>
        </w:rPr>
        <w:t xml:space="preserve">; </w:t>
      </w:r>
      <w:r w:rsidR="00231A40" w:rsidRPr="0083674F">
        <w:rPr>
          <w:rFonts w:cs="Arial"/>
          <w:color w:val="0000FF"/>
          <w:sz w:val="20"/>
          <w:szCs w:val="20"/>
        </w:rPr>
        <w:t>Stack, 2013 (23)</w:t>
      </w:r>
      <w:r w:rsidRPr="0083674F">
        <w:rPr>
          <w:rFonts w:cs="Arial"/>
          <w:color w:val="0000FF"/>
          <w:sz w:val="20"/>
          <w:szCs w:val="20"/>
        </w:rPr>
        <w:t xml:space="preserve">; </w:t>
      </w:r>
      <w:r w:rsidR="0083674F" w:rsidRPr="0083674F">
        <w:rPr>
          <w:rFonts w:cs="Arial"/>
          <w:color w:val="0000FF"/>
          <w:sz w:val="20"/>
          <w:szCs w:val="20"/>
        </w:rPr>
        <w:t>Ioachimescu</w:t>
      </w:r>
      <w:r w:rsidR="0083674F">
        <w:rPr>
          <w:rFonts w:cs="Arial"/>
          <w:color w:val="0000FF"/>
          <w:sz w:val="20"/>
          <w:szCs w:val="20"/>
        </w:rPr>
        <w:t>, 2008 (24)</w:t>
      </w:r>
      <w:r w:rsidRPr="0049606F">
        <w:rPr>
          <w:rFonts w:cs="Arial"/>
          <w:color w:val="0000FF"/>
          <w:sz w:val="20"/>
          <w:szCs w:val="20"/>
        </w:rPr>
        <w:t xml:space="preserve">; </w:t>
      </w:r>
      <w:r w:rsidR="0083674F">
        <w:rPr>
          <w:rFonts w:cs="Arial"/>
          <w:color w:val="0000FF"/>
          <w:sz w:val="20"/>
          <w:szCs w:val="20"/>
        </w:rPr>
        <w:t>Kleber, 2015 (25)</w:t>
      </w:r>
      <w:r w:rsidRPr="0049606F">
        <w:rPr>
          <w:rFonts w:cs="Arial"/>
          <w:color w:val="0000FF"/>
          <w:sz w:val="20"/>
          <w:szCs w:val="20"/>
        </w:rPr>
        <w:t xml:space="preserve">; </w:t>
      </w:r>
      <w:r w:rsidR="0083674F">
        <w:rPr>
          <w:rFonts w:cs="Arial"/>
          <w:color w:val="0000FF"/>
          <w:sz w:val="20"/>
          <w:szCs w:val="20"/>
        </w:rPr>
        <w:t>Niskanen, 2004 (26)</w:t>
      </w:r>
      <w:r>
        <w:rPr>
          <w:rFonts w:cs="Arial"/>
          <w:color w:val="0000FF"/>
          <w:sz w:val="20"/>
          <w:szCs w:val="20"/>
        </w:rPr>
        <w:t>)</w:t>
      </w:r>
      <w:r w:rsidRPr="0049606F">
        <w:rPr>
          <w:rFonts w:cs="Arial"/>
          <w:sz w:val="20"/>
          <w:szCs w:val="20"/>
        </w:rPr>
        <w:t xml:space="preserve"> come anche ad un rischio maggiore di comorbidità cardiovascolari e renali, associate pure ad un incrementata mortalità</w:t>
      </w:r>
      <w:r>
        <w:rPr>
          <w:rFonts w:cs="Arial"/>
          <w:sz w:val="20"/>
          <w:szCs w:val="20"/>
        </w:rPr>
        <w:t xml:space="preserve"> (</w:t>
      </w:r>
      <w:r w:rsidR="009752F0">
        <w:rPr>
          <w:rFonts w:cs="Arial"/>
          <w:color w:val="0000FF"/>
          <w:sz w:val="20"/>
          <w:szCs w:val="20"/>
        </w:rPr>
        <w:t>Perez-Ruiz</w:t>
      </w:r>
      <w:r w:rsidRPr="0049606F">
        <w:rPr>
          <w:rFonts w:cs="Arial"/>
          <w:color w:val="0000FF"/>
          <w:sz w:val="20"/>
          <w:szCs w:val="20"/>
        </w:rPr>
        <w:t>, 2014 (</w:t>
      </w:r>
      <w:r w:rsidR="0083674F">
        <w:rPr>
          <w:rFonts w:cs="Arial"/>
          <w:color w:val="0000FF"/>
          <w:sz w:val="20"/>
          <w:szCs w:val="20"/>
        </w:rPr>
        <w:t>9</w:t>
      </w:r>
      <w:r w:rsidRPr="0049606F">
        <w:rPr>
          <w:rFonts w:cs="Arial"/>
          <w:color w:val="0000FF"/>
          <w:sz w:val="20"/>
          <w:szCs w:val="20"/>
        </w:rPr>
        <w:t>)</w:t>
      </w:r>
      <w:r>
        <w:rPr>
          <w:rFonts w:cs="Arial"/>
          <w:sz w:val="20"/>
          <w:szCs w:val="20"/>
        </w:rPr>
        <w:t>)</w:t>
      </w:r>
      <w:r w:rsidR="00D66D2E">
        <w:rPr>
          <w:rFonts w:cs="Arial"/>
          <w:sz w:val="20"/>
          <w:szCs w:val="20"/>
        </w:rPr>
        <w:t xml:space="preserve">; </w:t>
      </w:r>
      <w:r w:rsidR="00D66D2E" w:rsidRPr="00D66D2E">
        <w:rPr>
          <w:rFonts w:cs="Arial"/>
          <w:b/>
          <w:sz w:val="20"/>
          <w:szCs w:val="20"/>
        </w:rPr>
        <w:t>nei pazienti gottosi in trattamento con ULT c’è una riduzione statisticamente significativa</w:t>
      </w:r>
      <w:r w:rsidR="00213070">
        <w:rPr>
          <w:rFonts w:cs="Arial"/>
          <w:b/>
          <w:sz w:val="20"/>
          <w:szCs w:val="20"/>
        </w:rPr>
        <w:t xml:space="preserve"> </w:t>
      </w:r>
      <w:r w:rsidR="00D66D2E" w:rsidRPr="00D66D2E">
        <w:rPr>
          <w:rFonts w:cs="Arial"/>
          <w:b/>
          <w:sz w:val="20"/>
          <w:szCs w:val="20"/>
        </w:rPr>
        <w:t>del rischio di mortalità per qualsiasi causa e per patologie cardiovascolari rispetto ai pazienti non in trattamento con ULT</w:t>
      </w:r>
      <w:r w:rsidR="00D66D2E" w:rsidRPr="00D66D2E">
        <w:rPr>
          <w:rFonts w:cs="Arial"/>
          <w:sz w:val="20"/>
          <w:szCs w:val="20"/>
        </w:rPr>
        <w:t xml:space="preserve"> (</w:t>
      </w:r>
      <w:r w:rsidR="0083674F">
        <w:rPr>
          <w:rFonts w:cs="Arial"/>
          <w:color w:val="0000FF"/>
          <w:sz w:val="20"/>
          <w:szCs w:val="20"/>
        </w:rPr>
        <w:t>Chen, 2015 (27)</w:t>
      </w:r>
      <w:r w:rsidR="00D66D2E" w:rsidRPr="00D66D2E">
        <w:rPr>
          <w:rFonts w:cs="Arial"/>
          <w:sz w:val="20"/>
          <w:szCs w:val="20"/>
        </w:rPr>
        <w:t>)</w:t>
      </w:r>
      <w:r w:rsidRPr="004E2495">
        <w:rPr>
          <w:rFonts w:cs="Arial"/>
          <w:sz w:val="20"/>
          <w:szCs w:val="20"/>
        </w:rPr>
        <w:t>.</w:t>
      </w:r>
    </w:p>
    <w:p w14:paraId="540FBBF4" w14:textId="46D66076" w:rsidR="008C537A" w:rsidRPr="001D1C53" w:rsidRDefault="00EA36FC" w:rsidP="008C537A">
      <w:pPr>
        <w:spacing w:line="360" w:lineRule="auto"/>
        <w:rPr>
          <w:rFonts w:eastAsia="Times New Roman" w:cs="Arial"/>
          <w:sz w:val="20"/>
          <w:szCs w:val="20"/>
          <w:lang w:eastAsia="it-IT"/>
        </w:rPr>
      </w:pPr>
      <w:r w:rsidRPr="000808B5">
        <w:rPr>
          <w:rFonts w:cs="Arial"/>
          <w:b/>
          <w:sz w:val="20"/>
          <w:szCs w:val="20"/>
        </w:rPr>
        <w:t>La gotta, in</w:t>
      </w:r>
      <w:r>
        <w:rPr>
          <w:rFonts w:cs="Arial"/>
          <w:b/>
          <w:sz w:val="20"/>
          <w:szCs w:val="20"/>
        </w:rPr>
        <w:t>oltre</w:t>
      </w:r>
      <w:r w:rsidRPr="000808B5">
        <w:rPr>
          <w:rFonts w:cs="Arial"/>
          <w:b/>
          <w:sz w:val="20"/>
          <w:szCs w:val="20"/>
        </w:rPr>
        <w:t>, ha effetti importanti sulla qualità di vita dei pazienti</w:t>
      </w:r>
      <w:r w:rsidRPr="000808B5">
        <w:rPr>
          <w:rFonts w:cs="Arial"/>
          <w:sz w:val="20"/>
          <w:szCs w:val="20"/>
        </w:rPr>
        <w:t xml:space="preserve">: </w:t>
      </w:r>
      <w:r w:rsidR="008C537A" w:rsidRPr="001D1C53">
        <w:rPr>
          <w:rFonts w:eastAsia="Times New Roman" w:cs="Arial"/>
          <w:sz w:val="20"/>
          <w:szCs w:val="20"/>
          <w:lang w:eastAsia="it-IT"/>
        </w:rPr>
        <w:t>studi internazionali hanno dimostrato che il livello di gestione e controllo della malattia influenza l’outcome di qualità di vita: pazienti con gotta non adeguatamente gestiti hanno un livello di qualità di vita inferiore rispetto ai pazienti con gotta ben controllata farmacologicamente</w:t>
      </w:r>
      <w:r w:rsidR="001D3E15">
        <w:rPr>
          <w:rFonts w:eastAsia="Times New Roman" w:cs="Arial"/>
          <w:sz w:val="20"/>
          <w:szCs w:val="20"/>
          <w:lang w:eastAsia="it-IT"/>
        </w:rPr>
        <w:t xml:space="preserve"> </w:t>
      </w:r>
      <w:r w:rsidR="004C6A7B" w:rsidRPr="00386D3F">
        <w:rPr>
          <w:rFonts w:cs="Arial"/>
          <w:sz w:val="20"/>
          <w:szCs w:val="20"/>
        </w:rPr>
        <w:t>(</w:t>
      </w:r>
      <w:r w:rsidR="0083674F">
        <w:rPr>
          <w:rFonts w:cs="Arial"/>
          <w:color w:val="0000FF"/>
          <w:sz w:val="20"/>
          <w:szCs w:val="20"/>
        </w:rPr>
        <w:t>Scirè, 2013 (28)</w:t>
      </w:r>
      <w:r w:rsidR="004C6A7B" w:rsidRPr="00386D3F">
        <w:rPr>
          <w:rFonts w:cs="Arial"/>
          <w:color w:val="0000FF"/>
          <w:sz w:val="20"/>
          <w:szCs w:val="20"/>
        </w:rPr>
        <w:t xml:space="preserve">; </w:t>
      </w:r>
      <w:r w:rsidR="0083674F">
        <w:rPr>
          <w:rFonts w:cs="Arial"/>
          <w:color w:val="0000FF"/>
          <w:sz w:val="20"/>
          <w:szCs w:val="20"/>
        </w:rPr>
        <w:t>Khanna, 2012 (29)</w:t>
      </w:r>
      <w:r w:rsidR="004C6A7B" w:rsidRPr="00386D3F">
        <w:rPr>
          <w:rFonts w:cs="Arial"/>
          <w:color w:val="0000FF"/>
          <w:sz w:val="20"/>
          <w:szCs w:val="20"/>
        </w:rPr>
        <w:t xml:space="preserve">; </w:t>
      </w:r>
      <w:r w:rsidR="0083674F">
        <w:rPr>
          <w:rFonts w:cs="Arial"/>
          <w:color w:val="0000FF"/>
          <w:sz w:val="20"/>
          <w:szCs w:val="20"/>
        </w:rPr>
        <w:t>Lee, 2009 (30)</w:t>
      </w:r>
      <w:r w:rsidR="004C6A7B" w:rsidRPr="00386D3F">
        <w:rPr>
          <w:rFonts w:cs="Arial"/>
          <w:color w:val="0000FF"/>
          <w:sz w:val="20"/>
          <w:szCs w:val="20"/>
        </w:rPr>
        <w:t xml:space="preserve">; </w:t>
      </w:r>
      <w:r w:rsidR="0083674F">
        <w:rPr>
          <w:rFonts w:cs="Arial"/>
          <w:color w:val="0000FF"/>
          <w:sz w:val="20"/>
          <w:szCs w:val="20"/>
        </w:rPr>
        <w:t>Roddy, 2007 (31)</w:t>
      </w:r>
      <w:r w:rsidR="004C6A7B" w:rsidRPr="00386D3F">
        <w:rPr>
          <w:rFonts w:cs="Arial"/>
          <w:sz w:val="20"/>
          <w:szCs w:val="20"/>
        </w:rPr>
        <w:t>)</w:t>
      </w:r>
      <w:r w:rsidR="008C537A" w:rsidRPr="001D1C53">
        <w:rPr>
          <w:rFonts w:eastAsia="Times New Roman" w:cs="Arial"/>
          <w:sz w:val="20"/>
          <w:szCs w:val="20"/>
          <w:lang w:eastAsia="it-IT"/>
        </w:rPr>
        <w:t>.</w:t>
      </w:r>
    </w:p>
    <w:p w14:paraId="52DD7273" w14:textId="37CE13F3" w:rsidR="00D66D2E" w:rsidRDefault="00EF08D9" w:rsidP="00E71FA9">
      <w:pPr>
        <w:widowControl w:val="0"/>
        <w:autoSpaceDE w:val="0"/>
        <w:autoSpaceDN w:val="0"/>
        <w:adjustRightInd w:val="0"/>
        <w:spacing w:line="360" w:lineRule="auto"/>
        <w:rPr>
          <w:rFonts w:cs="Arial"/>
          <w:sz w:val="20"/>
          <w:szCs w:val="20"/>
        </w:rPr>
      </w:pPr>
      <w:r>
        <w:rPr>
          <w:rFonts w:cs="Arial"/>
          <w:sz w:val="20"/>
          <w:szCs w:val="20"/>
        </w:rPr>
        <w:t>I</w:t>
      </w:r>
      <w:r w:rsidR="004C6A7B" w:rsidRPr="004C6A7B">
        <w:rPr>
          <w:rFonts w:cs="Arial"/>
          <w:sz w:val="20"/>
          <w:szCs w:val="20"/>
        </w:rPr>
        <w:t xml:space="preserve">l trattamento della gotta e delle sue complicanze comporta un </w:t>
      </w:r>
      <w:r w:rsidR="004C6A7B" w:rsidRPr="00EF08D9">
        <w:rPr>
          <w:rFonts w:cs="Arial"/>
          <w:b/>
          <w:sz w:val="20"/>
          <w:szCs w:val="20"/>
        </w:rPr>
        <w:t>carico economico importante sui sistemi sanitari nazionali:</w:t>
      </w:r>
      <w:r w:rsidR="004C6A7B" w:rsidRPr="004C6A7B">
        <w:rPr>
          <w:rFonts w:cs="Arial"/>
          <w:sz w:val="20"/>
          <w:szCs w:val="20"/>
        </w:rPr>
        <w:t xml:space="preserve"> i pazienti con gotta hanno costi diretti ed indiretti sostanzialmente maggiori rispetto ai soggetti non gottosi</w:t>
      </w:r>
      <w:r w:rsidR="007320A0">
        <w:rPr>
          <w:rFonts w:cs="Arial"/>
          <w:sz w:val="20"/>
          <w:szCs w:val="20"/>
        </w:rPr>
        <w:t xml:space="preserve"> e</w:t>
      </w:r>
      <w:r w:rsidR="004C6A7B" w:rsidRPr="004C6A7B">
        <w:rPr>
          <w:rFonts w:cs="Arial"/>
          <w:sz w:val="20"/>
          <w:szCs w:val="20"/>
        </w:rPr>
        <w:t xml:space="preserve"> più elevati tra i pazienti </w:t>
      </w:r>
      <w:r w:rsidR="007320A0">
        <w:rPr>
          <w:rFonts w:cs="Arial"/>
          <w:sz w:val="20"/>
          <w:szCs w:val="20"/>
        </w:rPr>
        <w:t xml:space="preserve">gottosi </w:t>
      </w:r>
      <w:r w:rsidR="004C6A7B" w:rsidRPr="004C6A7B">
        <w:rPr>
          <w:rFonts w:cs="Arial"/>
          <w:sz w:val="20"/>
          <w:szCs w:val="20"/>
        </w:rPr>
        <w:t>anziani ed i pazienti gottosi</w:t>
      </w:r>
      <w:r w:rsidR="007320A0">
        <w:rPr>
          <w:rFonts w:cs="Arial"/>
          <w:sz w:val="20"/>
          <w:szCs w:val="20"/>
        </w:rPr>
        <w:t xml:space="preserve"> refrattari al trattamento</w:t>
      </w:r>
      <w:r w:rsidR="004C6A7B" w:rsidRPr="004C6A7B">
        <w:rPr>
          <w:rFonts w:cs="Arial"/>
          <w:sz w:val="20"/>
          <w:szCs w:val="20"/>
        </w:rPr>
        <w:t xml:space="preserve">. I costi diretti aumentano col peggiorare delle caratteristiche </w:t>
      </w:r>
      <w:r w:rsidR="004C6A7B">
        <w:rPr>
          <w:rFonts w:cs="Arial"/>
          <w:sz w:val="20"/>
          <w:szCs w:val="20"/>
        </w:rPr>
        <w:t>della malattia (</w:t>
      </w:r>
      <w:r w:rsidR="0083674F">
        <w:rPr>
          <w:rFonts w:cs="Arial"/>
          <w:color w:val="0000FF"/>
          <w:sz w:val="20"/>
          <w:szCs w:val="20"/>
        </w:rPr>
        <w:t>Rai, 2015 (32)</w:t>
      </w:r>
      <w:r w:rsidR="004C6A7B">
        <w:rPr>
          <w:rFonts w:cs="Arial"/>
          <w:sz w:val="20"/>
          <w:szCs w:val="20"/>
        </w:rPr>
        <w:t>).</w:t>
      </w:r>
      <w:r w:rsidR="004C6A7B" w:rsidRPr="00951CF7">
        <w:rPr>
          <w:rFonts w:cs="Arial"/>
          <w:sz w:val="20"/>
          <w:szCs w:val="20"/>
        </w:rPr>
        <w:t xml:space="preserve"> </w:t>
      </w:r>
    </w:p>
    <w:p w14:paraId="004DBFCA" w14:textId="77777777" w:rsidR="00213070" w:rsidRDefault="00213070" w:rsidP="00E71FA9">
      <w:pPr>
        <w:widowControl w:val="0"/>
        <w:autoSpaceDE w:val="0"/>
        <w:autoSpaceDN w:val="0"/>
        <w:adjustRightInd w:val="0"/>
        <w:spacing w:line="360" w:lineRule="auto"/>
        <w:rPr>
          <w:rFonts w:cs="Arial"/>
          <w:sz w:val="20"/>
          <w:szCs w:val="20"/>
        </w:rPr>
      </w:pPr>
    </w:p>
    <w:p w14:paraId="1FED1E0F" w14:textId="2EE1B423" w:rsidR="007073B2" w:rsidRDefault="001D1C44" w:rsidP="00E71FA9">
      <w:pPr>
        <w:widowControl w:val="0"/>
        <w:autoSpaceDE w:val="0"/>
        <w:autoSpaceDN w:val="0"/>
        <w:adjustRightInd w:val="0"/>
        <w:spacing w:line="360" w:lineRule="auto"/>
        <w:rPr>
          <w:rFonts w:cs="Arial"/>
          <w:sz w:val="20"/>
          <w:szCs w:val="20"/>
        </w:rPr>
      </w:pPr>
      <w:r w:rsidRPr="00B05B41">
        <w:rPr>
          <w:rFonts w:cs="Arial"/>
          <w:b/>
          <w:sz w:val="20"/>
          <w:szCs w:val="20"/>
        </w:rPr>
        <w:t>L’iperuricemia è nella maggior parte dei casi (80-90%) causata da un’inefficiente escrezione renale di acido urico</w:t>
      </w:r>
      <w:r w:rsidR="001D1C53" w:rsidRPr="00B05B41">
        <w:rPr>
          <w:rFonts w:cs="Arial"/>
          <w:b/>
          <w:sz w:val="20"/>
          <w:szCs w:val="20"/>
        </w:rPr>
        <w:t xml:space="preserve">, </w:t>
      </w:r>
      <w:r w:rsidR="001D1C53" w:rsidRPr="007320A0">
        <w:rPr>
          <w:rFonts w:cs="Arial"/>
          <w:sz w:val="20"/>
          <w:szCs w:val="20"/>
        </w:rPr>
        <w:t>solo nel 10-20% dei casi l’iperuricemia è causata da un’aumentata produzione di acido urico</w:t>
      </w:r>
      <w:r w:rsidR="007073B2">
        <w:rPr>
          <w:rFonts w:cs="Arial"/>
          <w:sz w:val="20"/>
          <w:szCs w:val="20"/>
        </w:rPr>
        <w:t xml:space="preserve"> (</w:t>
      </w:r>
      <w:r w:rsidR="0083674F">
        <w:rPr>
          <w:rFonts w:cs="Arial"/>
          <w:color w:val="0000FF"/>
          <w:sz w:val="20"/>
          <w:szCs w:val="20"/>
        </w:rPr>
        <w:t>Zhu, 2011 (33)</w:t>
      </w:r>
      <w:r w:rsidR="00235B5F">
        <w:rPr>
          <w:rFonts w:cs="Arial"/>
          <w:color w:val="0000FF"/>
          <w:sz w:val="20"/>
          <w:szCs w:val="20"/>
        </w:rPr>
        <w:t>;</w:t>
      </w:r>
      <w:r w:rsidR="00BB6CB7">
        <w:rPr>
          <w:rFonts w:cs="Arial"/>
          <w:color w:val="0000FF"/>
          <w:sz w:val="20"/>
          <w:szCs w:val="20"/>
        </w:rPr>
        <w:t xml:space="preserve"> </w:t>
      </w:r>
      <w:r w:rsidR="0083674F">
        <w:rPr>
          <w:rFonts w:cs="Arial"/>
          <w:color w:val="0000FF"/>
          <w:sz w:val="20"/>
          <w:szCs w:val="20"/>
        </w:rPr>
        <w:t>Boss, 1979 (35)</w:t>
      </w:r>
      <w:r w:rsidR="007073B2">
        <w:rPr>
          <w:rFonts w:cs="Arial"/>
          <w:sz w:val="20"/>
          <w:szCs w:val="20"/>
        </w:rPr>
        <w:t>)</w:t>
      </w:r>
      <w:r w:rsidR="007073B2" w:rsidRPr="000808B5">
        <w:rPr>
          <w:rFonts w:cs="Arial"/>
          <w:sz w:val="20"/>
          <w:szCs w:val="20"/>
        </w:rPr>
        <w:t>.</w:t>
      </w:r>
    </w:p>
    <w:p w14:paraId="66A6D913" w14:textId="3AF4452F" w:rsidR="007073B2" w:rsidRDefault="001D1C53" w:rsidP="001D1C53">
      <w:pPr>
        <w:widowControl w:val="0"/>
        <w:autoSpaceDE w:val="0"/>
        <w:autoSpaceDN w:val="0"/>
        <w:adjustRightInd w:val="0"/>
        <w:spacing w:line="360" w:lineRule="auto"/>
        <w:rPr>
          <w:rFonts w:cs="Arial"/>
          <w:sz w:val="20"/>
          <w:szCs w:val="20"/>
        </w:rPr>
      </w:pPr>
      <w:r>
        <w:rPr>
          <w:rFonts w:cs="Arial"/>
          <w:sz w:val="20"/>
          <w:szCs w:val="20"/>
        </w:rPr>
        <w:t xml:space="preserve">Con le dosi comunemente utilizzate di XOI, </w:t>
      </w:r>
      <w:r w:rsidRPr="00B05B41">
        <w:rPr>
          <w:rFonts w:cs="Arial"/>
          <w:b/>
          <w:sz w:val="20"/>
          <w:szCs w:val="20"/>
        </w:rPr>
        <w:t>più del</w:t>
      </w:r>
      <w:r w:rsidR="007073B2" w:rsidRPr="00B05B41">
        <w:rPr>
          <w:rFonts w:cs="Arial"/>
          <w:b/>
          <w:sz w:val="20"/>
          <w:szCs w:val="20"/>
        </w:rPr>
        <w:t xml:space="preserve"> 50% dei pazienti gottosi non raggiunge il live</w:t>
      </w:r>
      <w:r w:rsidRPr="00B05B41">
        <w:rPr>
          <w:rFonts w:cs="Arial"/>
          <w:b/>
          <w:sz w:val="20"/>
          <w:szCs w:val="20"/>
        </w:rPr>
        <w:t>llo target</w:t>
      </w:r>
      <w:r>
        <w:rPr>
          <w:rFonts w:cs="Arial"/>
          <w:sz w:val="20"/>
          <w:szCs w:val="20"/>
        </w:rPr>
        <w:t xml:space="preserve"> di </w:t>
      </w:r>
      <w:r w:rsidR="005848A1">
        <w:rPr>
          <w:rFonts w:cs="Arial"/>
          <w:sz w:val="20"/>
          <w:szCs w:val="20"/>
        </w:rPr>
        <w:t>SUA</w:t>
      </w:r>
      <w:r>
        <w:rPr>
          <w:rFonts w:cs="Arial"/>
          <w:sz w:val="20"/>
          <w:szCs w:val="20"/>
        </w:rPr>
        <w:t xml:space="preserve"> (&lt; 6.0 mg/dl)</w:t>
      </w:r>
      <w:r w:rsidR="007073B2">
        <w:rPr>
          <w:rFonts w:cs="Arial"/>
          <w:sz w:val="20"/>
          <w:szCs w:val="20"/>
        </w:rPr>
        <w:t xml:space="preserve"> (</w:t>
      </w:r>
      <w:r w:rsidR="00563FA4">
        <w:rPr>
          <w:color w:val="0000FF"/>
          <w:sz w:val="20"/>
          <w:szCs w:val="20"/>
        </w:rPr>
        <w:t>Becker, 2005 (36)</w:t>
      </w:r>
      <w:r w:rsidR="0083674F">
        <w:rPr>
          <w:color w:val="0000FF"/>
          <w:sz w:val="20"/>
          <w:szCs w:val="20"/>
        </w:rPr>
        <w:t xml:space="preserve">; </w:t>
      </w:r>
      <w:r w:rsidR="00D66D2E" w:rsidRPr="008B42E0">
        <w:rPr>
          <w:rFonts w:cstheme="minorHAnsi"/>
          <w:color w:val="0000FF"/>
          <w:sz w:val="20"/>
          <w:szCs w:val="20"/>
        </w:rPr>
        <w:t>Becker, 2009</w:t>
      </w:r>
      <w:r w:rsidR="00D66D2E">
        <w:rPr>
          <w:rFonts w:cstheme="minorHAnsi"/>
          <w:color w:val="0000FF"/>
          <w:sz w:val="20"/>
          <w:szCs w:val="20"/>
        </w:rPr>
        <w:t xml:space="preserve"> (37)</w:t>
      </w:r>
      <w:r w:rsidR="00D66D2E" w:rsidRPr="008B42E0">
        <w:rPr>
          <w:rFonts w:cstheme="minorHAnsi"/>
          <w:color w:val="0000FF"/>
          <w:sz w:val="20"/>
          <w:szCs w:val="20"/>
        </w:rPr>
        <w:t xml:space="preserve">; </w:t>
      </w:r>
      <w:r w:rsidR="00563FA4">
        <w:rPr>
          <w:color w:val="0000FF"/>
          <w:sz w:val="20"/>
          <w:szCs w:val="20"/>
        </w:rPr>
        <w:t>Becker, 2010 (38)</w:t>
      </w:r>
      <w:r w:rsidR="007073B2">
        <w:rPr>
          <w:color w:val="0000FF"/>
          <w:sz w:val="20"/>
          <w:szCs w:val="20"/>
        </w:rPr>
        <w:t>;</w:t>
      </w:r>
      <w:r w:rsidR="0083674F">
        <w:rPr>
          <w:color w:val="0000FF"/>
          <w:sz w:val="20"/>
          <w:szCs w:val="20"/>
        </w:rPr>
        <w:t xml:space="preserve"> </w:t>
      </w:r>
      <w:r w:rsidR="00563FA4">
        <w:rPr>
          <w:rFonts w:cs="Arial"/>
          <w:color w:val="0000FF"/>
          <w:sz w:val="20"/>
          <w:szCs w:val="20"/>
        </w:rPr>
        <w:t>Schumacher, 2008 (39)</w:t>
      </w:r>
      <w:r w:rsidR="0083674F">
        <w:rPr>
          <w:rFonts w:cs="Arial"/>
          <w:color w:val="0000FF"/>
          <w:sz w:val="20"/>
          <w:szCs w:val="20"/>
        </w:rPr>
        <w:t>;</w:t>
      </w:r>
      <w:r w:rsidR="0083674F" w:rsidRPr="0083674F">
        <w:rPr>
          <w:rFonts w:cs="Arial"/>
          <w:color w:val="0000FF"/>
          <w:sz w:val="20"/>
          <w:szCs w:val="20"/>
        </w:rPr>
        <w:t xml:space="preserve"> </w:t>
      </w:r>
      <w:r w:rsidR="00563FA4">
        <w:rPr>
          <w:rFonts w:cs="Arial"/>
          <w:color w:val="0000FF"/>
          <w:sz w:val="20"/>
          <w:szCs w:val="20"/>
        </w:rPr>
        <w:t>Becker, 2015 (40)</w:t>
      </w:r>
      <w:r w:rsidR="007073B2" w:rsidRPr="00782F11">
        <w:rPr>
          <w:rFonts w:cs="Arial"/>
          <w:sz w:val="20"/>
          <w:szCs w:val="20"/>
        </w:rPr>
        <w:t>)</w:t>
      </w:r>
      <w:r w:rsidR="007073B2">
        <w:rPr>
          <w:rFonts w:cs="Arial"/>
          <w:sz w:val="20"/>
          <w:szCs w:val="20"/>
        </w:rPr>
        <w:t>.</w:t>
      </w:r>
    </w:p>
    <w:p w14:paraId="35840A0A" w14:textId="522A3046" w:rsidR="00F1719D" w:rsidRDefault="00F1719D" w:rsidP="00F1719D">
      <w:pPr>
        <w:spacing w:line="360" w:lineRule="auto"/>
        <w:rPr>
          <w:rFonts w:cs="Arial"/>
          <w:sz w:val="20"/>
          <w:szCs w:val="20"/>
        </w:rPr>
      </w:pPr>
      <w:r>
        <w:rPr>
          <w:rFonts w:cs="Arial"/>
          <w:sz w:val="20"/>
          <w:szCs w:val="20"/>
        </w:rPr>
        <w:t xml:space="preserve">Pur utilizzando dosaggi superiori a quelli più comunemente utilizzati di allopurinolo (300 mg/die) </w:t>
      </w:r>
      <w:r w:rsidR="00235B5F" w:rsidRPr="0096302C">
        <w:rPr>
          <w:rFonts w:cs="Arial"/>
          <w:sz w:val="20"/>
          <w:szCs w:val="20"/>
        </w:rPr>
        <w:t>e c</w:t>
      </w:r>
      <w:r w:rsidR="00235B5F">
        <w:rPr>
          <w:rFonts w:cs="Arial"/>
          <w:sz w:val="20"/>
          <w:szCs w:val="20"/>
        </w:rPr>
        <w:t>on un’aderenza alla terapia superiore al 96</w:t>
      </w:r>
      <w:r w:rsidR="00235B5F" w:rsidRPr="0096302C">
        <w:rPr>
          <w:rFonts w:cs="Arial"/>
          <w:sz w:val="20"/>
          <w:szCs w:val="20"/>
        </w:rPr>
        <w:t>%</w:t>
      </w:r>
      <w:r w:rsidR="00235B5F">
        <w:rPr>
          <w:rFonts w:cs="Arial"/>
          <w:sz w:val="20"/>
          <w:szCs w:val="20"/>
        </w:rPr>
        <w:t>,</w:t>
      </w:r>
      <w:r w:rsidR="00235B5F" w:rsidRPr="00FA51BC">
        <w:rPr>
          <w:rFonts w:cs="Arial"/>
          <w:sz w:val="20"/>
          <w:szCs w:val="20"/>
        </w:rPr>
        <w:t xml:space="preserve"> rimane comunque </w:t>
      </w:r>
      <w:r w:rsidR="00235B5F" w:rsidRPr="00CD1C33">
        <w:rPr>
          <w:rFonts w:cs="Arial"/>
          <w:b/>
          <w:sz w:val="20"/>
          <w:szCs w:val="20"/>
        </w:rPr>
        <w:t>alta la percentuale di pazienti che non rispondono al trattamento</w:t>
      </w:r>
      <w:r w:rsidR="00235B5F">
        <w:rPr>
          <w:rFonts w:cs="Arial"/>
          <w:b/>
          <w:sz w:val="20"/>
          <w:szCs w:val="20"/>
        </w:rPr>
        <w:t>,</w:t>
      </w:r>
      <w:r w:rsidR="00235B5F" w:rsidRPr="00FA51BC">
        <w:rPr>
          <w:rFonts w:cs="Arial"/>
          <w:sz w:val="20"/>
          <w:szCs w:val="20"/>
        </w:rPr>
        <w:t xml:space="preserve"> con il 52% dei pazienti che </w:t>
      </w:r>
      <w:r w:rsidR="00235B5F">
        <w:rPr>
          <w:rFonts w:cs="Arial"/>
          <w:sz w:val="20"/>
          <w:szCs w:val="20"/>
        </w:rPr>
        <w:t xml:space="preserve">non </w:t>
      </w:r>
      <w:r w:rsidR="00235B5F" w:rsidRPr="00FA51BC">
        <w:rPr>
          <w:rFonts w:cs="Arial"/>
          <w:sz w:val="20"/>
          <w:szCs w:val="20"/>
        </w:rPr>
        <w:t xml:space="preserve">raggiungono il livello target di </w:t>
      </w:r>
      <w:r w:rsidR="00235B5F">
        <w:rPr>
          <w:rFonts w:cs="Arial"/>
          <w:sz w:val="20"/>
          <w:szCs w:val="20"/>
        </w:rPr>
        <w:t>sUA</w:t>
      </w:r>
      <w:r w:rsidR="00235B5F" w:rsidRPr="00FA51BC">
        <w:rPr>
          <w:rFonts w:cs="Arial"/>
          <w:sz w:val="20"/>
          <w:szCs w:val="20"/>
        </w:rPr>
        <w:t xml:space="preserve"> (&lt;6.0 mg/dl) </w:t>
      </w:r>
      <w:r w:rsidR="00406AA5">
        <w:rPr>
          <w:rFonts w:cs="Arial"/>
          <w:sz w:val="20"/>
          <w:szCs w:val="20"/>
        </w:rPr>
        <w:t>(</w:t>
      </w:r>
      <w:r w:rsidR="00563FA4">
        <w:rPr>
          <w:rFonts w:cs="Arial"/>
          <w:color w:val="0000FF"/>
          <w:sz w:val="20"/>
          <w:szCs w:val="20"/>
        </w:rPr>
        <w:t>Becker, 2015 (40)</w:t>
      </w:r>
      <w:r w:rsidR="00406AA5" w:rsidRPr="00406AA5">
        <w:rPr>
          <w:rFonts w:cs="Arial"/>
          <w:color w:val="0000FF"/>
          <w:sz w:val="20"/>
          <w:szCs w:val="20"/>
        </w:rPr>
        <w:t>)</w:t>
      </w:r>
      <w:r>
        <w:rPr>
          <w:rFonts w:cs="Arial"/>
          <w:sz w:val="20"/>
          <w:szCs w:val="20"/>
        </w:rPr>
        <w:t>.</w:t>
      </w:r>
    </w:p>
    <w:p w14:paraId="4D82BD88" w14:textId="001C938E" w:rsidR="00F2032E" w:rsidRPr="002D1EC0" w:rsidRDefault="00406AA5" w:rsidP="00F1719D">
      <w:pPr>
        <w:spacing w:line="360" w:lineRule="auto"/>
        <w:rPr>
          <w:rFonts w:cs="Arial"/>
          <w:sz w:val="20"/>
          <w:szCs w:val="20"/>
        </w:rPr>
      </w:pPr>
      <w:r>
        <w:rPr>
          <w:rFonts w:cs="Arial"/>
          <w:sz w:val="20"/>
          <w:szCs w:val="20"/>
        </w:rPr>
        <w:t>U</w:t>
      </w:r>
      <w:r w:rsidR="00F2032E">
        <w:rPr>
          <w:rFonts w:cs="Arial"/>
          <w:sz w:val="20"/>
          <w:szCs w:val="20"/>
        </w:rPr>
        <w:t>na ricerca IMS commissionata da Gr</w:t>
      </w:r>
      <w:r w:rsidR="00F2032E">
        <w:rPr>
          <w:rFonts w:cstheme="minorHAnsi"/>
          <w:sz w:val="20"/>
          <w:szCs w:val="20"/>
        </w:rPr>
        <w:t>ü</w:t>
      </w:r>
      <w:r w:rsidR="00F2032E">
        <w:rPr>
          <w:rFonts w:cs="Arial"/>
          <w:sz w:val="20"/>
          <w:szCs w:val="20"/>
        </w:rPr>
        <w:t>nenthal nel corso d</w:t>
      </w:r>
      <w:r w:rsidR="008A4C95">
        <w:rPr>
          <w:rFonts w:cs="Arial"/>
          <w:sz w:val="20"/>
          <w:szCs w:val="20"/>
        </w:rPr>
        <w:t>el 2016 ha evidenziato come il 67,7</w:t>
      </w:r>
      <w:r w:rsidR="00F2032E">
        <w:rPr>
          <w:rFonts w:cs="Arial"/>
          <w:sz w:val="20"/>
          <w:szCs w:val="20"/>
        </w:rPr>
        <w:t>% dei pazienti gottosi, sebbene trattati con ULT, present</w:t>
      </w:r>
      <w:r w:rsidR="001D1C53">
        <w:rPr>
          <w:rFonts w:cs="Arial"/>
          <w:sz w:val="20"/>
          <w:szCs w:val="20"/>
        </w:rPr>
        <w:t>i</w:t>
      </w:r>
      <w:r w:rsidR="00F2032E">
        <w:rPr>
          <w:rFonts w:cs="Arial"/>
          <w:sz w:val="20"/>
          <w:szCs w:val="20"/>
        </w:rPr>
        <w:t xml:space="preserve">no livelli di </w:t>
      </w:r>
      <w:r w:rsidR="005848A1">
        <w:rPr>
          <w:rFonts w:cs="Arial"/>
          <w:sz w:val="20"/>
          <w:szCs w:val="20"/>
        </w:rPr>
        <w:t>sUA</w:t>
      </w:r>
      <w:r w:rsidR="008A4C95">
        <w:rPr>
          <w:rFonts w:cs="Arial"/>
          <w:sz w:val="20"/>
          <w:szCs w:val="20"/>
        </w:rPr>
        <w:t xml:space="preserve"> &gt; 6.0 mg/dl</w:t>
      </w:r>
      <w:r w:rsidR="00F2032E">
        <w:rPr>
          <w:rFonts w:cs="Arial"/>
          <w:sz w:val="20"/>
          <w:szCs w:val="20"/>
        </w:rPr>
        <w:t xml:space="preserve"> (</w:t>
      </w:r>
      <w:r w:rsidR="00563FA4">
        <w:rPr>
          <w:rFonts w:cs="Arial"/>
          <w:color w:val="0000FF"/>
          <w:sz w:val="20"/>
          <w:szCs w:val="20"/>
        </w:rPr>
        <w:t>IMS-Health LPD longitudinal Patient Database, 2016 (41)</w:t>
      </w:r>
      <w:r w:rsidR="00F2032E" w:rsidRPr="00B05B41">
        <w:rPr>
          <w:rFonts w:cs="Arial"/>
          <w:sz w:val="20"/>
          <w:szCs w:val="20"/>
        </w:rPr>
        <w:t>)</w:t>
      </w:r>
      <w:r w:rsidR="00F2032E">
        <w:rPr>
          <w:rFonts w:cs="Arial"/>
          <w:sz w:val="20"/>
          <w:szCs w:val="20"/>
        </w:rPr>
        <w:t>.</w:t>
      </w:r>
    </w:p>
    <w:p w14:paraId="2581F6D4" w14:textId="103EACA3" w:rsidR="00F1719D" w:rsidRPr="00307293" w:rsidRDefault="00F1719D" w:rsidP="00F1719D">
      <w:pPr>
        <w:spacing w:line="360" w:lineRule="auto"/>
        <w:rPr>
          <w:rFonts w:cs="Arial"/>
          <w:sz w:val="20"/>
          <w:szCs w:val="20"/>
        </w:rPr>
      </w:pPr>
      <w:r w:rsidRPr="00307293">
        <w:rPr>
          <w:rFonts w:cs="Arial"/>
          <w:sz w:val="20"/>
          <w:szCs w:val="20"/>
        </w:rPr>
        <w:t xml:space="preserve">Gli XOI in monoterapia agiscono sulla </w:t>
      </w:r>
      <w:r w:rsidR="00FA51BC">
        <w:rPr>
          <w:rFonts w:cs="Arial"/>
          <w:sz w:val="20"/>
          <w:szCs w:val="20"/>
        </w:rPr>
        <w:t>sovra</w:t>
      </w:r>
      <w:r w:rsidRPr="00307293">
        <w:rPr>
          <w:rFonts w:cs="Arial"/>
          <w:sz w:val="20"/>
          <w:szCs w:val="20"/>
        </w:rPr>
        <w:t xml:space="preserve">produzione di acido urico ma non agiscono sulla </w:t>
      </w:r>
      <w:r>
        <w:rPr>
          <w:rFonts w:cs="Arial"/>
          <w:sz w:val="20"/>
          <w:szCs w:val="20"/>
        </w:rPr>
        <w:t>inefficiente e</w:t>
      </w:r>
      <w:r w:rsidRPr="00307293">
        <w:rPr>
          <w:rFonts w:cs="Arial"/>
          <w:sz w:val="20"/>
          <w:szCs w:val="20"/>
        </w:rPr>
        <w:t>screzione di acido urico</w:t>
      </w:r>
      <w:r>
        <w:rPr>
          <w:rFonts w:cs="Arial"/>
          <w:sz w:val="20"/>
          <w:szCs w:val="20"/>
        </w:rPr>
        <w:t>, che è la principale causa di gotta nel 80-90% dei pazienti</w:t>
      </w:r>
      <w:r w:rsidRPr="00307293">
        <w:rPr>
          <w:rFonts w:cs="Arial"/>
          <w:sz w:val="20"/>
          <w:szCs w:val="20"/>
        </w:rPr>
        <w:t xml:space="preserve"> (</w:t>
      </w:r>
      <w:r w:rsidR="0083674F">
        <w:rPr>
          <w:rFonts w:cs="Arial"/>
          <w:color w:val="0000FF"/>
          <w:sz w:val="20"/>
          <w:szCs w:val="20"/>
        </w:rPr>
        <w:t>Richette, 2010 (34)</w:t>
      </w:r>
      <w:r w:rsidR="00563FA4">
        <w:rPr>
          <w:rFonts w:cs="Arial"/>
          <w:color w:val="0000FF"/>
          <w:sz w:val="20"/>
          <w:szCs w:val="20"/>
        </w:rPr>
        <w:t>; Boss, 1979 (35</w:t>
      </w:r>
      <w:r w:rsidR="00BB6CB7">
        <w:rPr>
          <w:rFonts w:cs="Arial"/>
          <w:color w:val="0000FF"/>
          <w:sz w:val="20"/>
          <w:szCs w:val="20"/>
        </w:rPr>
        <w:t>)</w:t>
      </w:r>
      <w:r w:rsidRPr="00307293">
        <w:rPr>
          <w:rFonts w:cs="Arial"/>
          <w:sz w:val="20"/>
          <w:szCs w:val="20"/>
        </w:rPr>
        <w:t xml:space="preserve">). </w:t>
      </w:r>
    </w:p>
    <w:p w14:paraId="73EAA6D4" w14:textId="020BF9D0" w:rsidR="00471240" w:rsidRPr="00213070" w:rsidRDefault="00E819DA" w:rsidP="00F1719D">
      <w:pPr>
        <w:spacing w:line="360" w:lineRule="auto"/>
        <w:rPr>
          <w:rFonts w:cs="Arial"/>
          <w:b/>
          <w:sz w:val="20"/>
          <w:szCs w:val="20"/>
        </w:rPr>
      </w:pPr>
      <w:r>
        <w:rPr>
          <w:rFonts w:cs="Arial"/>
          <w:b/>
          <w:sz w:val="20"/>
          <w:szCs w:val="20"/>
        </w:rPr>
        <w:t xml:space="preserve">Come </w:t>
      </w:r>
      <w:r w:rsidRPr="00E819DA">
        <w:rPr>
          <w:rFonts w:cs="Arial"/>
          <w:b/>
          <w:sz w:val="20"/>
          <w:szCs w:val="20"/>
        </w:rPr>
        <w:t xml:space="preserve">chiarito anche dall’esperto Prof </w:t>
      </w:r>
      <w:r w:rsidR="00753598">
        <w:rPr>
          <w:rFonts w:cs="Arial"/>
          <w:b/>
          <w:sz w:val="20"/>
          <w:szCs w:val="20"/>
        </w:rPr>
        <w:t>Punzi Direttore U.O.C. di Reumatologia, Università degli Studi di Padova</w:t>
      </w:r>
      <w:r w:rsidRPr="00E819DA">
        <w:rPr>
          <w:rFonts w:cs="Arial"/>
          <w:b/>
          <w:sz w:val="20"/>
          <w:szCs w:val="20"/>
        </w:rPr>
        <w:t xml:space="preserve"> </w:t>
      </w:r>
      <w:r>
        <w:rPr>
          <w:rFonts w:cs="Arial"/>
          <w:b/>
          <w:sz w:val="20"/>
          <w:szCs w:val="20"/>
        </w:rPr>
        <w:t>(</w:t>
      </w:r>
      <w:hyperlink w:anchor="Allegato1" w:history="1">
        <w:r w:rsidRPr="00B05B41">
          <w:rPr>
            <w:rStyle w:val="Hyperlink"/>
            <w:rFonts w:cs="Arial"/>
            <w:b/>
            <w:sz w:val="20"/>
            <w:szCs w:val="20"/>
          </w:rPr>
          <w:t>Allegato 1</w:t>
        </w:r>
      </w:hyperlink>
      <w:r w:rsidRPr="00E819DA">
        <w:rPr>
          <w:rFonts w:cs="Arial"/>
          <w:b/>
          <w:sz w:val="20"/>
          <w:szCs w:val="20"/>
        </w:rPr>
        <w:t>)</w:t>
      </w:r>
      <w:r>
        <w:rPr>
          <w:rFonts w:cs="Arial"/>
          <w:b/>
          <w:sz w:val="20"/>
          <w:szCs w:val="20"/>
        </w:rPr>
        <w:t>,</w:t>
      </w:r>
      <w:r w:rsidR="00F1719D" w:rsidRPr="00213070">
        <w:rPr>
          <w:rFonts w:cs="Arial"/>
          <w:b/>
          <w:sz w:val="20"/>
          <w:szCs w:val="20"/>
        </w:rPr>
        <w:t xml:space="preserve"> rimane un’importa</w:t>
      </w:r>
      <w:r w:rsidR="00744582">
        <w:rPr>
          <w:rFonts w:cs="Arial"/>
          <w:b/>
          <w:sz w:val="20"/>
          <w:szCs w:val="20"/>
        </w:rPr>
        <w:t>n</w:t>
      </w:r>
      <w:r w:rsidR="00F1719D" w:rsidRPr="00213070">
        <w:rPr>
          <w:rFonts w:cs="Arial"/>
          <w:b/>
          <w:sz w:val="20"/>
          <w:szCs w:val="20"/>
        </w:rPr>
        <w:t xml:space="preserve">te necessità terapeutica non risolta la gestione di quei pazienti che non riescono a controllare i livelli di </w:t>
      </w:r>
      <w:r w:rsidR="005848A1" w:rsidRPr="00213070">
        <w:rPr>
          <w:rFonts w:cs="Arial"/>
          <w:b/>
          <w:sz w:val="20"/>
          <w:szCs w:val="20"/>
        </w:rPr>
        <w:t>sUA</w:t>
      </w:r>
      <w:r w:rsidR="00F1719D" w:rsidRPr="00213070">
        <w:rPr>
          <w:rFonts w:cs="Arial"/>
          <w:b/>
          <w:sz w:val="20"/>
          <w:szCs w:val="20"/>
        </w:rPr>
        <w:t xml:space="preserve"> nonostante la monoterapia con i f</w:t>
      </w:r>
      <w:r w:rsidR="00FA51BC" w:rsidRPr="00213070">
        <w:rPr>
          <w:rFonts w:cs="Arial"/>
          <w:b/>
          <w:sz w:val="20"/>
          <w:szCs w:val="20"/>
        </w:rPr>
        <w:t>armaci che agiscono sulla sovra</w:t>
      </w:r>
      <w:r w:rsidR="00F1719D" w:rsidRPr="00213070">
        <w:rPr>
          <w:rFonts w:cs="Arial"/>
          <w:b/>
          <w:sz w:val="20"/>
          <w:szCs w:val="20"/>
        </w:rPr>
        <w:t>produzione di acido urico (allopurinolo e febuxostat</w:t>
      </w:r>
      <w:r w:rsidR="007320A0">
        <w:rPr>
          <w:rFonts w:cs="Arial"/>
          <w:b/>
          <w:sz w:val="20"/>
          <w:szCs w:val="20"/>
        </w:rPr>
        <w:t xml:space="preserve"> in monoter</w:t>
      </w:r>
      <w:r w:rsidR="00235B5F">
        <w:rPr>
          <w:rFonts w:cs="Arial"/>
          <w:b/>
          <w:sz w:val="20"/>
          <w:szCs w:val="20"/>
        </w:rPr>
        <w:t>a</w:t>
      </w:r>
      <w:r w:rsidR="007320A0">
        <w:rPr>
          <w:rFonts w:cs="Arial"/>
          <w:b/>
          <w:sz w:val="20"/>
          <w:szCs w:val="20"/>
        </w:rPr>
        <w:t>pia</w:t>
      </w:r>
      <w:r w:rsidR="00F1719D" w:rsidRPr="00213070">
        <w:rPr>
          <w:rFonts w:cs="Arial"/>
          <w:b/>
          <w:sz w:val="20"/>
          <w:szCs w:val="20"/>
        </w:rPr>
        <w:t>)</w:t>
      </w:r>
      <w:r w:rsidR="00D53050" w:rsidRPr="00213070">
        <w:rPr>
          <w:rFonts w:cs="Arial"/>
          <w:b/>
          <w:sz w:val="20"/>
          <w:szCs w:val="20"/>
        </w:rPr>
        <w:t>:</w:t>
      </w:r>
      <w:r w:rsidR="00F1719D" w:rsidRPr="00213070">
        <w:rPr>
          <w:rFonts w:cs="Arial"/>
          <w:b/>
          <w:sz w:val="20"/>
          <w:szCs w:val="20"/>
        </w:rPr>
        <w:t xml:space="preserve"> </w:t>
      </w:r>
      <w:r w:rsidR="00471240" w:rsidRPr="00213070">
        <w:rPr>
          <w:rFonts w:cs="Arial"/>
          <w:b/>
          <w:sz w:val="20"/>
          <w:szCs w:val="20"/>
        </w:rPr>
        <w:t xml:space="preserve">questi ultimi </w:t>
      </w:r>
      <w:r w:rsidR="00D53050" w:rsidRPr="00213070">
        <w:rPr>
          <w:rFonts w:cs="Arial"/>
          <w:b/>
          <w:sz w:val="20"/>
          <w:szCs w:val="20"/>
        </w:rPr>
        <w:t xml:space="preserve">non sono </w:t>
      </w:r>
      <w:r w:rsidR="00F1719D" w:rsidRPr="00213070">
        <w:rPr>
          <w:rFonts w:cs="Arial"/>
          <w:b/>
          <w:sz w:val="20"/>
          <w:szCs w:val="20"/>
        </w:rPr>
        <w:t>in grado di intervenire sull’escrezione renale, che può essere corretta solo da un farmaco uricosurico, quale lesinurad</w:t>
      </w:r>
      <w:r w:rsidR="00471240" w:rsidRPr="00213070">
        <w:rPr>
          <w:rFonts w:cs="Arial"/>
          <w:b/>
          <w:sz w:val="20"/>
          <w:szCs w:val="20"/>
        </w:rPr>
        <w:t>.</w:t>
      </w:r>
    </w:p>
    <w:p w14:paraId="29E28D83" w14:textId="7F8E2933" w:rsidR="007073B2" w:rsidRPr="007320A0" w:rsidRDefault="007073B2" w:rsidP="00F1719D">
      <w:pPr>
        <w:spacing w:line="360" w:lineRule="auto"/>
        <w:rPr>
          <w:rFonts w:eastAsia="Times New Roman" w:cs="Arial"/>
          <w:sz w:val="20"/>
          <w:szCs w:val="20"/>
          <w:lang w:eastAsia="it-IT"/>
        </w:rPr>
      </w:pPr>
      <w:r w:rsidRPr="007320A0">
        <w:rPr>
          <w:rFonts w:eastAsia="Times New Roman" w:cs="Arial"/>
          <w:sz w:val="20"/>
          <w:szCs w:val="20"/>
          <w:lang w:eastAsia="it-IT"/>
        </w:rPr>
        <w:t>Lesinurad è un inibitore selettivo del riassorbimento di acido urico</w:t>
      </w:r>
      <w:r w:rsidR="00C6353A" w:rsidRPr="007320A0">
        <w:rPr>
          <w:rFonts w:eastAsia="Times New Roman" w:cs="Arial"/>
          <w:sz w:val="20"/>
          <w:szCs w:val="20"/>
          <w:lang w:eastAsia="it-IT"/>
        </w:rPr>
        <w:t xml:space="preserve"> che agisce</w:t>
      </w:r>
      <w:r w:rsidRPr="007320A0">
        <w:rPr>
          <w:rFonts w:eastAsia="Times New Roman" w:cs="Arial"/>
          <w:sz w:val="20"/>
          <w:szCs w:val="20"/>
          <w:lang w:eastAsia="it-IT"/>
        </w:rPr>
        <w:t xml:space="preserve"> aumentando l’escrezione di acido urico e diminuendo in tale modo i livelli sierici di acido urico</w:t>
      </w:r>
      <w:r w:rsidR="007320A0" w:rsidRPr="007320A0">
        <w:rPr>
          <w:rFonts w:eastAsia="Times New Roman" w:cs="Arial"/>
          <w:sz w:val="20"/>
          <w:szCs w:val="20"/>
          <w:lang w:eastAsia="it-IT"/>
        </w:rPr>
        <w:t xml:space="preserve"> (</w:t>
      </w:r>
      <w:r w:rsidR="00E54BFE" w:rsidRPr="0038187C">
        <w:rPr>
          <w:rFonts w:cstheme="minorHAnsi"/>
          <w:color w:val="0000FF"/>
          <w:sz w:val="20"/>
          <w:szCs w:val="20"/>
        </w:rPr>
        <w:t>SmPC Zurampic, EPAR, 2015 (</w:t>
      </w:r>
      <w:r w:rsidR="00E54BFE">
        <w:rPr>
          <w:rFonts w:cstheme="minorHAnsi"/>
          <w:color w:val="0000FF"/>
          <w:sz w:val="20"/>
          <w:szCs w:val="20"/>
        </w:rPr>
        <w:t>1</w:t>
      </w:r>
      <w:r w:rsidR="00E54BFE" w:rsidRPr="0038187C">
        <w:rPr>
          <w:rFonts w:cstheme="minorHAnsi"/>
          <w:color w:val="0000FF"/>
          <w:sz w:val="20"/>
          <w:szCs w:val="20"/>
        </w:rPr>
        <w:t>)</w:t>
      </w:r>
      <w:r w:rsidR="007320A0" w:rsidRPr="007320A0">
        <w:rPr>
          <w:rFonts w:cstheme="minorHAnsi"/>
          <w:color w:val="0000FF"/>
          <w:sz w:val="20"/>
          <w:szCs w:val="20"/>
        </w:rPr>
        <w:t xml:space="preserve">; </w:t>
      </w:r>
      <w:r w:rsidR="00E54BFE">
        <w:rPr>
          <w:rFonts w:eastAsia="Times New Roman" w:cs="Arial"/>
          <w:color w:val="0000FF"/>
          <w:sz w:val="20"/>
          <w:szCs w:val="20"/>
          <w:lang w:eastAsia="it-IT"/>
        </w:rPr>
        <w:t>Keenan, 2013 (2)</w:t>
      </w:r>
      <w:r w:rsidR="007320A0" w:rsidRPr="007320A0">
        <w:rPr>
          <w:rFonts w:eastAsia="Times New Roman" w:cs="Arial"/>
          <w:color w:val="0000FF"/>
          <w:sz w:val="20"/>
          <w:szCs w:val="20"/>
          <w:lang w:eastAsia="it-IT"/>
        </w:rPr>
        <w:t xml:space="preserve">; </w:t>
      </w:r>
      <w:r w:rsidR="00E54BFE">
        <w:rPr>
          <w:rFonts w:eastAsia="Times New Roman" w:cs="Arial"/>
          <w:color w:val="0000FF"/>
          <w:sz w:val="20"/>
          <w:szCs w:val="20"/>
          <w:lang w:eastAsia="it-IT"/>
        </w:rPr>
        <w:t>Miner, 2016 (4)</w:t>
      </w:r>
      <w:r w:rsidR="007320A0" w:rsidRPr="007320A0">
        <w:rPr>
          <w:rFonts w:eastAsia="Times New Roman" w:cs="Arial"/>
          <w:sz w:val="20"/>
          <w:szCs w:val="20"/>
          <w:lang w:eastAsia="it-IT"/>
        </w:rPr>
        <w:t>).</w:t>
      </w:r>
    </w:p>
    <w:p w14:paraId="693471EC" w14:textId="75096755" w:rsidR="007073B2" w:rsidRPr="00E749EC" w:rsidRDefault="005B6013" w:rsidP="00E71FA9">
      <w:pPr>
        <w:spacing w:line="360" w:lineRule="auto"/>
        <w:rPr>
          <w:rFonts w:cs="Arial"/>
          <w:sz w:val="20"/>
          <w:szCs w:val="20"/>
        </w:rPr>
      </w:pPr>
      <w:r>
        <w:rPr>
          <w:rFonts w:cs="Arial"/>
          <w:b/>
          <w:sz w:val="20"/>
          <w:szCs w:val="20"/>
        </w:rPr>
        <w:t>Lesinurad</w:t>
      </w:r>
      <w:r w:rsidR="00E749EC" w:rsidRPr="00E749EC">
        <w:rPr>
          <w:rFonts w:cs="Arial"/>
          <w:b/>
          <w:sz w:val="20"/>
          <w:szCs w:val="20"/>
        </w:rPr>
        <w:t xml:space="preserve"> è </w:t>
      </w:r>
      <w:r w:rsidR="007073B2" w:rsidRPr="00E749EC">
        <w:rPr>
          <w:rFonts w:cs="Arial"/>
          <w:b/>
          <w:sz w:val="20"/>
          <w:szCs w:val="20"/>
        </w:rPr>
        <w:t>l</w:t>
      </w:r>
      <w:r w:rsidR="00E749EC" w:rsidRPr="00E749EC">
        <w:rPr>
          <w:rFonts w:cs="Arial"/>
          <w:b/>
          <w:sz w:val="20"/>
          <w:szCs w:val="20"/>
        </w:rPr>
        <w:t>’</w:t>
      </w:r>
      <w:r w:rsidR="007073B2" w:rsidRPr="00E749EC">
        <w:rPr>
          <w:rFonts w:cs="Arial"/>
          <w:b/>
          <w:sz w:val="20"/>
          <w:szCs w:val="20"/>
        </w:rPr>
        <w:t>unico farmaco uricosurico disponibile in Italia</w:t>
      </w:r>
      <w:r w:rsidR="00E749EC">
        <w:rPr>
          <w:rFonts w:cs="Arial"/>
          <w:b/>
          <w:sz w:val="20"/>
          <w:szCs w:val="20"/>
        </w:rPr>
        <w:t xml:space="preserve"> </w:t>
      </w:r>
      <w:r w:rsidR="00E749EC">
        <w:rPr>
          <w:rFonts w:cs="Arial"/>
          <w:sz w:val="20"/>
          <w:szCs w:val="20"/>
        </w:rPr>
        <w:t>e rappresenta</w:t>
      </w:r>
      <w:r w:rsidR="007073B2" w:rsidRPr="00E749EC">
        <w:rPr>
          <w:rFonts w:cs="Arial"/>
          <w:sz w:val="20"/>
          <w:szCs w:val="20"/>
        </w:rPr>
        <w:t xml:space="preserve">  una significativa innovazione per il trattamento </w:t>
      </w:r>
      <w:r w:rsidR="00E749EC">
        <w:rPr>
          <w:rFonts w:cs="Arial"/>
          <w:sz w:val="20"/>
          <w:szCs w:val="20"/>
        </w:rPr>
        <w:t xml:space="preserve">dell’iperuricemia in pazienti con </w:t>
      </w:r>
      <w:r w:rsidR="007073B2" w:rsidRPr="00E749EC">
        <w:rPr>
          <w:rFonts w:cs="Arial"/>
          <w:sz w:val="20"/>
          <w:szCs w:val="20"/>
        </w:rPr>
        <w:t xml:space="preserve">gotta: somministrato in associazione a XOI e quindi grazie al meccanismo d’azione complementare a quello degli XOI, </w:t>
      </w:r>
      <w:r w:rsidR="00235B5F">
        <w:rPr>
          <w:rFonts w:cs="Arial"/>
          <w:sz w:val="20"/>
          <w:szCs w:val="20"/>
        </w:rPr>
        <w:t>lesinurad</w:t>
      </w:r>
      <w:r w:rsidR="007073B2" w:rsidRPr="00E749EC">
        <w:rPr>
          <w:rFonts w:cs="Arial"/>
          <w:sz w:val="20"/>
          <w:szCs w:val="20"/>
        </w:rPr>
        <w:t xml:space="preserve"> ha dimostrato un importante beneficio nella riduzione dei livelli sierici di acido urico del 15-25%, raddoppiando il numero di pazienti che raggiungono il target terapeutico raccomandato dalle Linee Guida, riducendo </w:t>
      </w:r>
      <w:r w:rsidR="00E749EC">
        <w:rPr>
          <w:rFonts w:cs="Arial"/>
          <w:sz w:val="20"/>
          <w:szCs w:val="20"/>
        </w:rPr>
        <w:t>il numero e la frequenza delle riacutizzazioni</w:t>
      </w:r>
      <w:r>
        <w:rPr>
          <w:rFonts w:cs="Arial"/>
          <w:sz w:val="20"/>
          <w:szCs w:val="20"/>
        </w:rPr>
        <w:t>,</w:t>
      </w:r>
      <w:r w:rsidR="001D3E15">
        <w:rPr>
          <w:rFonts w:cs="Arial"/>
          <w:sz w:val="20"/>
          <w:szCs w:val="20"/>
        </w:rPr>
        <w:t xml:space="preserve"> </w:t>
      </w:r>
      <w:r w:rsidR="00E749EC">
        <w:rPr>
          <w:rFonts w:cs="Arial"/>
          <w:sz w:val="20"/>
          <w:szCs w:val="20"/>
        </w:rPr>
        <w:t xml:space="preserve">riducendo </w:t>
      </w:r>
      <w:r w:rsidR="007073B2" w:rsidRPr="00E749EC">
        <w:rPr>
          <w:rFonts w:cs="Arial"/>
          <w:sz w:val="20"/>
          <w:szCs w:val="20"/>
        </w:rPr>
        <w:t>del 50% l’area interessata dai tofi e il numero di tofi</w:t>
      </w:r>
      <w:r w:rsidR="00E44433" w:rsidRPr="00E749EC">
        <w:rPr>
          <w:rFonts w:cs="Arial"/>
          <w:sz w:val="20"/>
          <w:szCs w:val="20"/>
        </w:rPr>
        <w:t xml:space="preserve"> (dati a lungo termine dopo 24 mesi)</w:t>
      </w:r>
      <w:r w:rsidR="007073B2" w:rsidRPr="00E749EC">
        <w:rPr>
          <w:rFonts w:cs="Arial"/>
          <w:sz w:val="20"/>
          <w:szCs w:val="20"/>
        </w:rPr>
        <w:t>.</w:t>
      </w:r>
    </w:p>
    <w:p w14:paraId="1C035A3B" w14:textId="579CF6B9" w:rsidR="007073B2" w:rsidRPr="0035001A" w:rsidRDefault="007073B2" w:rsidP="00E71FA9">
      <w:pPr>
        <w:spacing w:line="360" w:lineRule="auto"/>
        <w:rPr>
          <w:rFonts w:cs="Arial"/>
          <w:b/>
          <w:sz w:val="20"/>
          <w:szCs w:val="20"/>
        </w:rPr>
      </w:pPr>
      <w:r w:rsidRPr="0035001A">
        <w:rPr>
          <w:rFonts w:cs="Arial"/>
          <w:b/>
          <w:sz w:val="20"/>
          <w:szCs w:val="20"/>
        </w:rPr>
        <w:t>Lesinurad alla dose di 200 mg/die, in associazione ad allopurinolo o febuxostat, ha mostrato, nei pazienti con risposta insufficiente alla monoterapia con XOI, effetti di riduzione dell’uricemia rapidi</w:t>
      </w:r>
      <w:r w:rsidR="005B6013">
        <w:rPr>
          <w:rFonts w:cs="Arial"/>
          <w:b/>
          <w:sz w:val="20"/>
          <w:szCs w:val="20"/>
        </w:rPr>
        <w:t>, robusti e sostenuti nel tempo</w:t>
      </w:r>
      <w:r w:rsidRPr="0035001A">
        <w:rPr>
          <w:rFonts w:cs="Arial"/>
          <w:b/>
          <w:sz w:val="20"/>
          <w:szCs w:val="20"/>
        </w:rPr>
        <w:t xml:space="preserve">; i dati di efficacia a lungo termine dopo 24 mesi di trattamento hanno fornito evidenze sufficienti a dimostrare l’effetto clinico con riduzione continua dei tofi e dei flares </w:t>
      </w:r>
      <w:r w:rsidRPr="00B05B41">
        <w:rPr>
          <w:rFonts w:cs="Arial"/>
          <w:sz w:val="20"/>
          <w:szCs w:val="20"/>
        </w:rPr>
        <w:t>(</w:t>
      </w:r>
      <w:r w:rsidR="00563FA4">
        <w:rPr>
          <w:rFonts w:cs="Arial"/>
          <w:color w:val="0000FF"/>
          <w:sz w:val="20"/>
          <w:szCs w:val="20"/>
        </w:rPr>
        <w:t>EPAR, 2015 (42)</w:t>
      </w:r>
      <w:r w:rsidRPr="00B05B41">
        <w:rPr>
          <w:rFonts w:cs="Arial"/>
          <w:sz w:val="20"/>
          <w:szCs w:val="20"/>
        </w:rPr>
        <w:t>).</w:t>
      </w:r>
    </w:p>
    <w:p w14:paraId="499C65FE" w14:textId="49706CCE" w:rsidR="005B6013" w:rsidRPr="00174FF1" w:rsidRDefault="005B6013" w:rsidP="00E71FA9">
      <w:pPr>
        <w:spacing w:line="360" w:lineRule="auto"/>
        <w:rPr>
          <w:rFonts w:cs="Arial"/>
          <w:sz w:val="20"/>
          <w:szCs w:val="20"/>
        </w:rPr>
      </w:pPr>
      <w:r w:rsidRPr="00174FF1">
        <w:rPr>
          <w:rFonts w:cs="Arial"/>
          <w:sz w:val="20"/>
          <w:szCs w:val="20"/>
        </w:rPr>
        <w:t>L'effetto di riduzione dell’uricemia è risultato coerente nei diversi sottogruppi analizzati, tra cui i soggetti con insufficienza renale moderata (</w:t>
      </w:r>
      <w:hyperlink w:anchor="Figura23" w:history="1">
        <w:r w:rsidRPr="00350984">
          <w:rPr>
            <w:rStyle w:val="Hyperlink"/>
            <w:rFonts w:cs="Arial"/>
            <w:sz w:val="20"/>
            <w:szCs w:val="20"/>
          </w:rPr>
          <w:t>Figura 23</w:t>
        </w:r>
      </w:hyperlink>
      <w:r w:rsidRPr="00350984">
        <w:rPr>
          <w:rFonts w:cs="Arial"/>
          <w:sz w:val="20"/>
          <w:szCs w:val="20"/>
        </w:rPr>
        <w:t xml:space="preserve"> e </w:t>
      </w:r>
      <w:hyperlink w:anchor="Figura24" w:history="1">
        <w:r w:rsidRPr="00350984">
          <w:rPr>
            <w:rStyle w:val="Hyperlink"/>
            <w:rFonts w:cs="Arial"/>
            <w:sz w:val="20"/>
            <w:szCs w:val="20"/>
          </w:rPr>
          <w:t>Figura 24</w:t>
        </w:r>
      </w:hyperlink>
      <w:r w:rsidRPr="00174FF1">
        <w:rPr>
          <w:rFonts w:cs="Arial"/>
          <w:sz w:val="20"/>
          <w:szCs w:val="20"/>
        </w:rPr>
        <w:t>), soggetti in trattamento con  aspirina o  diuretici tiazidici (trattamenti  che sono legati a un aumento dei livelli di acido urico a causa di un’azione diretta sui trasportatori renali URAT1 e OAT4, rispettivamente) e nei pazienti con età ≥65 anni (</w:t>
      </w:r>
      <w:hyperlink w:anchor="Paragrafo44" w:history="1">
        <w:r w:rsidRPr="007320A0">
          <w:rPr>
            <w:rStyle w:val="Hyperlink"/>
            <w:rFonts w:cs="Arial"/>
            <w:sz w:val="20"/>
            <w:szCs w:val="20"/>
          </w:rPr>
          <w:t>Paragrafo 4.4</w:t>
        </w:r>
      </w:hyperlink>
      <w:r w:rsidRPr="00174FF1">
        <w:rPr>
          <w:rFonts w:cs="Arial"/>
          <w:sz w:val="20"/>
          <w:szCs w:val="20"/>
        </w:rPr>
        <w:t>) (</w:t>
      </w:r>
      <w:r w:rsidR="00563FA4">
        <w:rPr>
          <w:rFonts w:cs="Arial"/>
          <w:color w:val="0000FF"/>
          <w:sz w:val="20"/>
          <w:szCs w:val="20"/>
        </w:rPr>
        <w:t>Choi, 2006 (43)</w:t>
      </w:r>
      <w:r w:rsidRPr="007320A0">
        <w:rPr>
          <w:rFonts w:cs="Arial"/>
          <w:color w:val="0000FF"/>
          <w:sz w:val="20"/>
          <w:szCs w:val="20"/>
        </w:rPr>
        <w:t xml:space="preserve">; </w:t>
      </w:r>
      <w:r w:rsidR="001679CC">
        <w:rPr>
          <w:rFonts w:cs="Arial"/>
          <w:color w:val="0000FF"/>
          <w:sz w:val="20"/>
          <w:szCs w:val="20"/>
        </w:rPr>
        <w:t xml:space="preserve">Rosch, 2004 (44); </w:t>
      </w:r>
      <w:r w:rsidR="001679CC" w:rsidRPr="001679CC">
        <w:rPr>
          <w:rFonts w:cs="Arial"/>
          <w:color w:val="0000FF"/>
          <w:sz w:val="20"/>
          <w:szCs w:val="20"/>
        </w:rPr>
        <w:t>Hasannejad, 2004 (45)</w:t>
      </w:r>
      <w:r w:rsidRPr="00174FF1">
        <w:rPr>
          <w:rFonts w:cs="Arial"/>
          <w:sz w:val="20"/>
          <w:szCs w:val="20"/>
        </w:rPr>
        <w:t xml:space="preserve">). </w:t>
      </w:r>
    </w:p>
    <w:p w14:paraId="47A947B3" w14:textId="58EC4F70" w:rsidR="007073B2" w:rsidRPr="0035001A" w:rsidRDefault="007073B2" w:rsidP="00E71FA9">
      <w:pPr>
        <w:spacing w:line="360" w:lineRule="auto"/>
        <w:rPr>
          <w:rFonts w:cs="Arial"/>
          <w:b/>
          <w:sz w:val="20"/>
          <w:szCs w:val="20"/>
        </w:rPr>
      </w:pPr>
      <w:r w:rsidRPr="0035001A">
        <w:rPr>
          <w:rFonts w:cs="Arial"/>
          <w:b/>
          <w:sz w:val="20"/>
          <w:szCs w:val="20"/>
        </w:rPr>
        <w:t xml:space="preserve">Un’analisi addizionale ha dimostrato che l’associazione </w:t>
      </w:r>
      <w:r w:rsidR="00F60C2B">
        <w:rPr>
          <w:rFonts w:cs="Arial"/>
          <w:b/>
          <w:sz w:val="20"/>
          <w:szCs w:val="20"/>
        </w:rPr>
        <w:t xml:space="preserve">di </w:t>
      </w:r>
      <w:r w:rsidRPr="0035001A">
        <w:rPr>
          <w:rFonts w:cs="Arial"/>
          <w:b/>
          <w:sz w:val="20"/>
          <w:szCs w:val="20"/>
        </w:rPr>
        <w:t xml:space="preserve">lesinurad con XOI è efficace </w:t>
      </w:r>
      <w:r w:rsidR="005B6013">
        <w:rPr>
          <w:rFonts w:cs="Arial"/>
          <w:b/>
          <w:sz w:val="20"/>
          <w:szCs w:val="20"/>
        </w:rPr>
        <w:t xml:space="preserve">anche </w:t>
      </w:r>
      <w:r w:rsidRPr="0035001A">
        <w:rPr>
          <w:rFonts w:cs="Arial"/>
          <w:b/>
          <w:sz w:val="20"/>
          <w:szCs w:val="20"/>
        </w:rPr>
        <w:t>nei soggetti più resistenti, inclusi q</w:t>
      </w:r>
      <w:r w:rsidR="00E749EC" w:rsidRPr="0035001A">
        <w:rPr>
          <w:rFonts w:cs="Arial"/>
          <w:b/>
          <w:sz w:val="20"/>
          <w:szCs w:val="20"/>
        </w:rPr>
        <w:t xml:space="preserve">uelli con livelli al basale di </w:t>
      </w:r>
      <w:r w:rsidR="005848A1">
        <w:rPr>
          <w:rFonts w:cs="Arial"/>
          <w:b/>
          <w:sz w:val="20"/>
          <w:szCs w:val="20"/>
        </w:rPr>
        <w:t>sUA</w:t>
      </w:r>
      <w:r w:rsidR="00E749EC" w:rsidRPr="0035001A">
        <w:rPr>
          <w:rFonts w:cs="Arial"/>
          <w:b/>
          <w:sz w:val="20"/>
          <w:szCs w:val="20"/>
        </w:rPr>
        <w:t xml:space="preserve"> più elevati (es. </w:t>
      </w:r>
      <w:r w:rsidR="005848A1">
        <w:rPr>
          <w:rFonts w:cs="Arial"/>
          <w:b/>
          <w:sz w:val="20"/>
          <w:szCs w:val="20"/>
        </w:rPr>
        <w:t>sUA</w:t>
      </w:r>
      <w:r w:rsidRPr="0035001A">
        <w:rPr>
          <w:rFonts w:cs="Arial"/>
          <w:b/>
          <w:sz w:val="20"/>
          <w:szCs w:val="20"/>
        </w:rPr>
        <w:t xml:space="preserve"> &gt; 7-8 mg/dl) </w:t>
      </w:r>
      <w:r w:rsidRPr="00B05B41">
        <w:rPr>
          <w:rFonts w:cs="Arial"/>
          <w:sz w:val="20"/>
          <w:szCs w:val="20"/>
        </w:rPr>
        <w:t>(</w:t>
      </w:r>
      <w:r w:rsidR="00563FA4">
        <w:rPr>
          <w:rFonts w:cs="Arial"/>
          <w:color w:val="0000FF"/>
          <w:sz w:val="20"/>
          <w:szCs w:val="20"/>
        </w:rPr>
        <w:t>EPAR, 2015 (42)</w:t>
      </w:r>
      <w:r w:rsidRPr="00B05B41">
        <w:rPr>
          <w:rFonts w:cs="Arial"/>
          <w:sz w:val="20"/>
          <w:szCs w:val="20"/>
        </w:rPr>
        <w:t>).</w:t>
      </w:r>
    </w:p>
    <w:p w14:paraId="1587EE11" w14:textId="07B620C0" w:rsidR="002641D6" w:rsidRDefault="008C537A" w:rsidP="00E71FA9">
      <w:pPr>
        <w:spacing w:line="360" w:lineRule="auto"/>
        <w:rPr>
          <w:rFonts w:cs="Arial"/>
          <w:sz w:val="20"/>
          <w:szCs w:val="20"/>
        </w:rPr>
      </w:pPr>
      <w:r w:rsidRPr="0035001A">
        <w:rPr>
          <w:rFonts w:cs="Arial"/>
          <w:sz w:val="20"/>
          <w:szCs w:val="20"/>
        </w:rPr>
        <w:t>L</w:t>
      </w:r>
      <w:r w:rsidR="002641D6" w:rsidRPr="0035001A">
        <w:rPr>
          <w:rFonts w:cs="Arial"/>
          <w:sz w:val="20"/>
          <w:szCs w:val="20"/>
        </w:rPr>
        <w:t xml:space="preserve">esinurad ha dimostrato di </w:t>
      </w:r>
      <w:r w:rsidR="002641D6" w:rsidRPr="00A1102E">
        <w:rPr>
          <w:rFonts w:cs="Arial"/>
          <w:b/>
          <w:sz w:val="20"/>
          <w:szCs w:val="20"/>
        </w:rPr>
        <w:t xml:space="preserve">non avere rilevanti interazioni con altri farmaci </w:t>
      </w:r>
      <w:r w:rsidR="002641D6" w:rsidRPr="0035001A">
        <w:rPr>
          <w:rFonts w:cs="Arial"/>
          <w:sz w:val="20"/>
          <w:szCs w:val="20"/>
        </w:rPr>
        <w:t xml:space="preserve">quali atorvastatina, metformina e furosemide, non alterandone l’esposizione plasmatica (AUC). Questo aspetto è particolarmente importante in </w:t>
      </w:r>
      <w:r w:rsidR="002641D6" w:rsidRPr="00A1102E">
        <w:rPr>
          <w:rFonts w:cs="Arial"/>
          <w:b/>
          <w:sz w:val="20"/>
          <w:szCs w:val="20"/>
        </w:rPr>
        <w:t>soggetti anziani</w:t>
      </w:r>
      <w:r w:rsidR="002641D6" w:rsidRPr="0035001A">
        <w:rPr>
          <w:rFonts w:cs="Arial"/>
          <w:sz w:val="20"/>
          <w:szCs w:val="20"/>
        </w:rPr>
        <w:t>, tipicamente poli-trattati per altre patologie croniche quali ipercolesterole</w:t>
      </w:r>
      <w:r w:rsidR="0035001A">
        <w:rPr>
          <w:rFonts w:cs="Arial"/>
          <w:sz w:val="20"/>
          <w:szCs w:val="20"/>
        </w:rPr>
        <w:t xml:space="preserve">mia, </w:t>
      </w:r>
      <w:r w:rsidR="002641D6" w:rsidRPr="0035001A">
        <w:rPr>
          <w:rFonts w:cs="Arial"/>
          <w:sz w:val="20"/>
          <w:szCs w:val="20"/>
        </w:rPr>
        <w:t>diabete e ipertensione (</w:t>
      </w:r>
      <w:r w:rsidR="00E54BFE">
        <w:rPr>
          <w:color w:val="0000FF"/>
          <w:sz w:val="20"/>
          <w:szCs w:val="20"/>
        </w:rPr>
        <w:t>Shen, 2016 (5)</w:t>
      </w:r>
      <w:r w:rsidR="002641D6" w:rsidRPr="0035001A">
        <w:rPr>
          <w:rFonts w:cs="Arial"/>
          <w:sz w:val="20"/>
          <w:szCs w:val="20"/>
        </w:rPr>
        <w:t>).</w:t>
      </w:r>
    </w:p>
    <w:p w14:paraId="1A1364C1" w14:textId="1FE83762" w:rsidR="002B078B" w:rsidRPr="0035001A" w:rsidRDefault="002B078B" w:rsidP="00E71FA9">
      <w:pPr>
        <w:spacing w:line="360" w:lineRule="auto"/>
        <w:rPr>
          <w:rFonts w:cs="Arial"/>
          <w:sz w:val="20"/>
          <w:szCs w:val="20"/>
        </w:rPr>
      </w:pPr>
      <w:r>
        <w:rPr>
          <w:rFonts w:cs="Arial"/>
          <w:sz w:val="20"/>
          <w:szCs w:val="20"/>
        </w:rPr>
        <w:t xml:space="preserve">Il meccanismo d’azione di lesinurad e le sue peculiarità </w:t>
      </w:r>
      <w:r w:rsidRPr="00B25E19">
        <w:rPr>
          <w:rFonts w:cs="Arial"/>
          <w:sz w:val="20"/>
          <w:szCs w:val="20"/>
        </w:rPr>
        <w:t>farmacologiche lo rendono</w:t>
      </w:r>
      <w:r>
        <w:rPr>
          <w:rFonts w:cs="Arial"/>
          <w:sz w:val="20"/>
          <w:szCs w:val="20"/>
        </w:rPr>
        <w:t xml:space="preserve"> l’uricosurico con il profilo di sicurezza maggiormente favorevole, </w:t>
      </w:r>
      <w:r w:rsidRPr="00865528">
        <w:rPr>
          <w:rFonts w:cs="Arial"/>
          <w:sz w:val="20"/>
          <w:szCs w:val="20"/>
        </w:rPr>
        <w:t>tanto che l’uso ne è autorizzato anche nei pazienti con insufficienza renale lieve e moderata come anche con insufficienza epatica lieve e moderata senza modifiche del dosaggio (</w:t>
      </w:r>
      <w:r w:rsidRPr="00865528">
        <w:rPr>
          <w:rFonts w:cs="Arial"/>
          <w:color w:val="0000FF"/>
          <w:sz w:val="20"/>
          <w:szCs w:val="20"/>
        </w:rPr>
        <w:t>SmP</w:t>
      </w:r>
      <w:r>
        <w:rPr>
          <w:rFonts w:cs="Arial"/>
          <w:color w:val="0000FF"/>
          <w:sz w:val="20"/>
          <w:szCs w:val="20"/>
        </w:rPr>
        <w:t>C</w:t>
      </w:r>
      <w:r w:rsidR="0018676B" w:rsidRPr="0018676B">
        <w:rPr>
          <w:rFonts w:cs="Arial"/>
          <w:color w:val="0000FF"/>
          <w:sz w:val="20"/>
          <w:szCs w:val="20"/>
        </w:rPr>
        <w:t xml:space="preserve"> </w:t>
      </w:r>
      <w:r w:rsidR="0018676B" w:rsidRPr="00865528">
        <w:rPr>
          <w:rFonts w:cs="Arial"/>
          <w:color w:val="0000FF"/>
          <w:sz w:val="20"/>
          <w:szCs w:val="20"/>
        </w:rPr>
        <w:t>Zurampic</w:t>
      </w:r>
      <w:r w:rsidRPr="00865528">
        <w:rPr>
          <w:rFonts w:cs="Arial"/>
          <w:color w:val="0000FF"/>
          <w:sz w:val="20"/>
          <w:szCs w:val="20"/>
        </w:rPr>
        <w:t>, EPAR, 2015 (</w:t>
      </w:r>
      <w:r w:rsidR="0018676B">
        <w:rPr>
          <w:rFonts w:cs="Arial"/>
          <w:color w:val="0000FF"/>
          <w:sz w:val="20"/>
          <w:szCs w:val="20"/>
        </w:rPr>
        <w:t>1</w:t>
      </w:r>
      <w:r w:rsidRPr="00865528">
        <w:rPr>
          <w:rFonts w:cs="Arial"/>
          <w:color w:val="0000FF"/>
          <w:sz w:val="20"/>
          <w:szCs w:val="20"/>
        </w:rPr>
        <w:t>)</w:t>
      </w:r>
      <w:r>
        <w:rPr>
          <w:rFonts w:cs="Arial"/>
          <w:sz w:val="20"/>
          <w:szCs w:val="20"/>
        </w:rPr>
        <w:t>)</w:t>
      </w:r>
      <w:r w:rsidR="00562B68">
        <w:rPr>
          <w:rFonts w:cs="Arial"/>
          <w:sz w:val="20"/>
          <w:szCs w:val="20"/>
        </w:rPr>
        <w:t>.</w:t>
      </w:r>
    </w:p>
    <w:p w14:paraId="443075B2" w14:textId="2988AF1F" w:rsidR="007073B2" w:rsidRPr="00EF58B4" w:rsidRDefault="007073B2" w:rsidP="00E71FA9">
      <w:pPr>
        <w:spacing w:line="360" w:lineRule="auto"/>
        <w:rPr>
          <w:rFonts w:cs="Arial"/>
          <w:sz w:val="20"/>
          <w:szCs w:val="20"/>
        </w:rPr>
      </w:pPr>
      <w:r w:rsidRPr="00EF58B4">
        <w:rPr>
          <w:rFonts w:cs="Arial"/>
          <w:sz w:val="20"/>
          <w:szCs w:val="20"/>
        </w:rPr>
        <w:t xml:space="preserve">L’attuale approccio </w:t>
      </w:r>
      <w:r w:rsidR="00213070">
        <w:rPr>
          <w:rFonts w:cs="Arial"/>
          <w:sz w:val="20"/>
          <w:szCs w:val="20"/>
        </w:rPr>
        <w:t>farmacologico</w:t>
      </w:r>
      <w:r w:rsidRPr="00EF58B4">
        <w:rPr>
          <w:rFonts w:cs="Arial"/>
          <w:sz w:val="20"/>
          <w:szCs w:val="20"/>
        </w:rPr>
        <w:t xml:space="preserve"> in Italia </w:t>
      </w:r>
      <w:r w:rsidRPr="00A1102E">
        <w:rPr>
          <w:rFonts w:cs="Arial"/>
          <w:b/>
          <w:sz w:val="20"/>
          <w:szCs w:val="20"/>
        </w:rPr>
        <w:t>a carico del SSN</w:t>
      </w:r>
      <w:r w:rsidRPr="00EF58B4">
        <w:rPr>
          <w:rFonts w:cs="Arial"/>
          <w:sz w:val="20"/>
          <w:szCs w:val="20"/>
        </w:rPr>
        <w:t xml:space="preserve"> per i pazienti con iperuricemia e gotta prevede di </w:t>
      </w:r>
      <w:r w:rsidRPr="00A1102E">
        <w:rPr>
          <w:rFonts w:cs="Arial"/>
          <w:b/>
          <w:sz w:val="20"/>
          <w:szCs w:val="20"/>
        </w:rPr>
        <w:t>iniziare il trattamento con allopurinolo</w:t>
      </w:r>
      <w:r w:rsidRPr="00EF58B4">
        <w:rPr>
          <w:rFonts w:cs="Arial"/>
          <w:sz w:val="20"/>
          <w:szCs w:val="20"/>
        </w:rPr>
        <w:t>; in caso di soggetti che non siano adeguatamente controllati con allopurinolo o siano ad esso intolleranti si deve passare a febuxostat</w:t>
      </w:r>
      <w:r w:rsidR="005B6013">
        <w:rPr>
          <w:rFonts w:cs="Arial"/>
          <w:sz w:val="20"/>
          <w:szCs w:val="20"/>
        </w:rPr>
        <w:t>, indicato</w:t>
      </w:r>
      <w:r w:rsidRPr="00EF58B4">
        <w:rPr>
          <w:rFonts w:cs="Arial"/>
          <w:sz w:val="20"/>
          <w:szCs w:val="20"/>
        </w:rPr>
        <w:t xml:space="preserve"> per il trattamento dell'iperuricemia cronica con anamnesi o presenza di tofi e/o di artrite gottosa. </w:t>
      </w:r>
    </w:p>
    <w:p w14:paraId="5FD229E7" w14:textId="4A7AA1F5" w:rsidR="00442C4F" w:rsidRDefault="00653DF6" w:rsidP="00E71FA9">
      <w:pPr>
        <w:spacing w:line="360" w:lineRule="auto"/>
        <w:rPr>
          <w:rFonts w:cs="Arial"/>
          <w:sz w:val="20"/>
          <w:szCs w:val="20"/>
        </w:rPr>
      </w:pPr>
      <w:r w:rsidRPr="00EF58B4">
        <w:rPr>
          <w:rFonts w:cs="Arial"/>
          <w:sz w:val="20"/>
          <w:szCs w:val="20"/>
        </w:rPr>
        <w:t>Le Linee Guida E</w:t>
      </w:r>
      <w:r w:rsidR="000A4D07" w:rsidRPr="00EF58B4">
        <w:rPr>
          <w:rFonts w:cs="Arial"/>
          <w:sz w:val="20"/>
          <w:szCs w:val="20"/>
        </w:rPr>
        <w:t>ULAR</w:t>
      </w:r>
      <w:r w:rsidRPr="00EF58B4">
        <w:rPr>
          <w:rFonts w:cs="Arial"/>
          <w:sz w:val="20"/>
          <w:szCs w:val="20"/>
        </w:rPr>
        <w:t xml:space="preserve"> 2016</w:t>
      </w:r>
      <w:r w:rsidR="00442C4F">
        <w:rPr>
          <w:rFonts w:cs="Arial"/>
          <w:sz w:val="20"/>
          <w:szCs w:val="20"/>
        </w:rPr>
        <w:t xml:space="preserve"> </w:t>
      </w:r>
      <w:r w:rsidR="00442C4F" w:rsidRPr="00442C4F">
        <w:rPr>
          <w:rFonts w:cs="Arial"/>
          <w:sz w:val="20"/>
          <w:szCs w:val="20"/>
        </w:rPr>
        <w:t>(</w:t>
      </w:r>
      <w:r w:rsidR="00E54BFE">
        <w:rPr>
          <w:rFonts w:cs="Arial"/>
          <w:color w:val="0000FF"/>
          <w:sz w:val="20"/>
          <w:szCs w:val="20"/>
        </w:rPr>
        <w:t>Richette, 2016 (6)</w:t>
      </w:r>
      <w:r w:rsidR="00442C4F" w:rsidRPr="00442C4F">
        <w:rPr>
          <w:rFonts w:cs="Arial"/>
          <w:sz w:val="20"/>
          <w:szCs w:val="20"/>
        </w:rPr>
        <w:t>)</w:t>
      </w:r>
      <w:r w:rsidR="005B6013">
        <w:rPr>
          <w:rFonts w:cs="Arial"/>
          <w:sz w:val="20"/>
          <w:szCs w:val="20"/>
        </w:rPr>
        <w:t>, applicate al contesto italiano,</w:t>
      </w:r>
      <w:r w:rsidR="00A1102E">
        <w:rPr>
          <w:rFonts w:cs="Arial"/>
          <w:sz w:val="20"/>
          <w:szCs w:val="20"/>
        </w:rPr>
        <w:t xml:space="preserve"> prevedono che:</w:t>
      </w:r>
      <w:r w:rsidRPr="00EF58B4">
        <w:rPr>
          <w:rFonts w:cs="Arial"/>
          <w:sz w:val="20"/>
          <w:szCs w:val="20"/>
        </w:rPr>
        <w:t xml:space="preserve"> </w:t>
      </w:r>
    </w:p>
    <w:p w14:paraId="11C6AA54" w14:textId="043B8FE6" w:rsidR="00442C4F" w:rsidRDefault="00653DF6" w:rsidP="00825BD3">
      <w:pPr>
        <w:pStyle w:val="ListParagraph"/>
        <w:numPr>
          <w:ilvl w:val="0"/>
          <w:numId w:val="53"/>
        </w:numPr>
        <w:spacing w:line="360" w:lineRule="auto"/>
        <w:rPr>
          <w:rFonts w:asciiTheme="minorHAnsi" w:eastAsiaTheme="minorEastAsia" w:hAnsiTheme="minorHAnsi" w:cs="Arial"/>
          <w:sz w:val="20"/>
          <w:szCs w:val="20"/>
          <w:lang w:eastAsia="ja-JP"/>
        </w:rPr>
      </w:pPr>
      <w:r w:rsidRPr="00442C4F">
        <w:rPr>
          <w:rFonts w:asciiTheme="minorHAnsi" w:eastAsiaTheme="minorEastAsia" w:hAnsiTheme="minorHAnsi" w:cs="Arial"/>
          <w:sz w:val="20"/>
          <w:szCs w:val="20"/>
          <w:lang w:eastAsia="ja-JP"/>
        </w:rPr>
        <w:t xml:space="preserve">in caso di soggetti che </w:t>
      </w:r>
      <w:r w:rsidRPr="00A1102E">
        <w:rPr>
          <w:rFonts w:asciiTheme="minorHAnsi" w:eastAsiaTheme="minorEastAsia" w:hAnsiTheme="minorHAnsi" w:cs="Arial"/>
          <w:i/>
          <w:sz w:val="20"/>
          <w:szCs w:val="20"/>
          <w:u w:val="single"/>
          <w:lang w:eastAsia="ja-JP"/>
        </w:rPr>
        <w:t>non siano adeguatamente controllati con allopurinolo</w:t>
      </w:r>
      <w:r w:rsidR="000A4D07" w:rsidRPr="00442C4F">
        <w:rPr>
          <w:rFonts w:asciiTheme="minorHAnsi" w:eastAsiaTheme="minorEastAsia" w:hAnsiTheme="minorHAnsi" w:cs="Arial"/>
          <w:sz w:val="20"/>
          <w:szCs w:val="20"/>
          <w:lang w:eastAsia="ja-JP"/>
        </w:rPr>
        <w:t>,</w:t>
      </w:r>
      <w:r w:rsidRPr="00442C4F">
        <w:rPr>
          <w:rFonts w:asciiTheme="minorHAnsi" w:eastAsiaTheme="minorEastAsia" w:hAnsiTheme="minorHAnsi" w:cs="Arial"/>
          <w:sz w:val="20"/>
          <w:szCs w:val="20"/>
          <w:lang w:eastAsia="ja-JP"/>
        </w:rPr>
        <w:t xml:space="preserve"> </w:t>
      </w:r>
      <w:r w:rsidR="00F95973">
        <w:rPr>
          <w:rFonts w:asciiTheme="minorHAnsi" w:eastAsiaTheme="minorEastAsia" w:hAnsiTheme="minorHAnsi" w:cs="Arial"/>
          <w:sz w:val="20"/>
          <w:szCs w:val="20"/>
          <w:lang w:eastAsia="ja-JP"/>
        </w:rPr>
        <w:t xml:space="preserve">come </w:t>
      </w:r>
      <w:r w:rsidR="00F95973" w:rsidRPr="00A1102E">
        <w:rPr>
          <w:rFonts w:asciiTheme="minorHAnsi" w:eastAsiaTheme="minorEastAsia" w:hAnsiTheme="minorHAnsi" w:cs="Arial"/>
          <w:b/>
          <w:sz w:val="20"/>
          <w:szCs w:val="20"/>
          <w:lang w:eastAsia="ja-JP"/>
        </w:rPr>
        <w:t>trattamento di seconda linea</w:t>
      </w:r>
      <w:r w:rsidR="00F95973" w:rsidRPr="00442C4F">
        <w:rPr>
          <w:rFonts w:asciiTheme="minorHAnsi" w:eastAsiaTheme="minorEastAsia" w:hAnsiTheme="minorHAnsi" w:cs="Arial"/>
          <w:sz w:val="20"/>
          <w:szCs w:val="20"/>
          <w:lang w:eastAsia="ja-JP"/>
        </w:rPr>
        <w:t xml:space="preserve"> </w:t>
      </w:r>
      <w:r w:rsidRPr="00442C4F">
        <w:rPr>
          <w:rFonts w:asciiTheme="minorHAnsi" w:eastAsiaTheme="minorEastAsia" w:hAnsiTheme="minorHAnsi" w:cs="Arial"/>
          <w:sz w:val="20"/>
          <w:szCs w:val="20"/>
          <w:lang w:eastAsia="ja-JP"/>
        </w:rPr>
        <w:t>si de</w:t>
      </w:r>
      <w:r w:rsidR="00506026" w:rsidRPr="00442C4F">
        <w:rPr>
          <w:rFonts w:asciiTheme="minorHAnsi" w:eastAsiaTheme="minorEastAsia" w:hAnsiTheme="minorHAnsi" w:cs="Arial"/>
          <w:sz w:val="20"/>
          <w:szCs w:val="20"/>
          <w:lang w:eastAsia="ja-JP"/>
        </w:rPr>
        <w:t>bba</w:t>
      </w:r>
      <w:r w:rsidR="00F95973">
        <w:rPr>
          <w:rFonts w:asciiTheme="minorHAnsi" w:eastAsiaTheme="minorEastAsia" w:hAnsiTheme="minorHAnsi" w:cs="Arial"/>
          <w:sz w:val="20"/>
          <w:szCs w:val="20"/>
          <w:lang w:eastAsia="ja-JP"/>
        </w:rPr>
        <w:t xml:space="preserve"> associare allopurinolo a un farmaco uricosurico </w:t>
      </w:r>
      <w:r w:rsidR="00F95973" w:rsidRPr="00920372">
        <w:rPr>
          <w:rFonts w:asciiTheme="minorHAnsi" w:hAnsiTheme="minorHAnsi" w:cstheme="minorHAnsi"/>
          <w:sz w:val="20"/>
          <w:szCs w:val="20"/>
        </w:rPr>
        <w:t xml:space="preserve">(l’unico uricosurico disponibile in Italia </w:t>
      </w:r>
      <w:r w:rsidR="00F95973" w:rsidRPr="003F5468">
        <w:rPr>
          <w:rFonts w:asciiTheme="minorHAnsi" w:hAnsiTheme="minorHAnsi" w:cstheme="minorHAnsi"/>
          <w:sz w:val="20"/>
          <w:szCs w:val="20"/>
        </w:rPr>
        <w:t>è lesinurad)</w:t>
      </w:r>
      <w:r w:rsidR="00F95973">
        <w:rPr>
          <w:rFonts w:asciiTheme="minorHAnsi" w:hAnsiTheme="minorHAnsi" w:cstheme="minorHAnsi"/>
          <w:sz w:val="20"/>
          <w:szCs w:val="20"/>
        </w:rPr>
        <w:t>,</w:t>
      </w:r>
      <w:r w:rsidR="00F95973">
        <w:rPr>
          <w:rFonts w:asciiTheme="minorHAnsi" w:eastAsiaTheme="minorEastAsia" w:hAnsiTheme="minorHAnsi" w:cs="Arial"/>
          <w:sz w:val="20"/>
          <w:szCs w:val="20"/>
          <w:lang w:eastAsia="ja-JP"/>
        </w:rPr>
        <w:t xml:space="preserve"> passare a </w:t>
      </w:r>
      <w:r w:rsidRPr="00442C4F">
        <w:rPr>
          <w:rFonts w:asciiTheme="minorHAnsi" w:eastAsiaTheme="minorEastAsia" w:hAnsiTheme="minorHAnsi" w:cs="Arial"/>
          <w:sz w:val="20"/>
          <w:szCs w:val="20"/>
          <w:lang w:eastAsia="ja-JP"/>
        </w:rPr>
        <w:t xml:space="preserve">febuxostat </w:t>
      </w:r>
      <w:r w:rsidR="00F95973">
        <w:rPr>
          <w:rFonts w:asciiTheme="minorHAnsi" w:eastAsiaTheme="minorEastAsia" w:hAnsiTheme="minorHAnsi" w:cs="Arial"/>
          <w:sz w:val="20"/>
          <w:szCs w:val="20"/>
          <w:lang w:eastAsia="ja-JP"/>
        </w:rPr>
        <w:t xml:space="preserve">in monoterapia </w:t>
      </w:r>
      <w:r w:rsidRPr="00442C4F">
        <w:rPr>
          <w:rFonts w:asciiTheme="minorHAnsi" w:eastAsiaTheme="minorEastAsia" w:hAnsiTheme="minorHAnsi" w:cs="Arial"/>
          <w:sz w:val="20"/>
          <w:szCs w:val="20"/>
          <w:lang w:eastAsia="ja-JP"/>
        </w:rPr>
        <w:t xml:space="preserve">o ad un uricosurico </w:t>
      </w:r>
      <w:r w:rsidR="00442C4F" w:rsidRPr="00442C4F">
        <w:rPr>
          <w:rFonts w:asciiTheme="minorHAnsi" w:eastAsiaTheme="minorEastAsia" w:hAnsiTheme="minorHAnsi" w:cs="Arial"/>
          <w:sz w:val="20"/>
          <w:szCs w:val="20"/>
          <w:lang w:eastAsia="ja-JP"/>
        </w:rPr>
        <w:t>in monoterapia</w:t>
      </w:r>
      <w:r w:rsidR="00A1102E">
        <w:rPr>
          <w:rFonts w:asciiTheme="minorHAnsi" w:eastAsiaTheme="minorEastAsia" w:hAnsiTheme="minorHAnsi" w:cs="Arial"/>
          <w:sz w:val="20"/>
          <w:szCs w:val="20"/>
          <w:lang w:eastAsia="ja-JP"/>
        </w:rPr>
        <w:t xml:space="preserve"> </w:t>
      </w:r>
      <w:r w:rsidRPr="00442C4F">
        <w:rPr>
          <w:rFonts w:asciiTheme="minorHAnsi" w:eastAsiaTheme="minorEastAsia" w:hAnsiTheme="minorHAnsi" w:cs="Arial"/>
          <w:sz w:val="20"/>
          <w:szCs w:val="20"/>
          <w:lang w:eastAsia="ja-JP"/>
        </w:rPr>
        <w:t>(</w:t>
      </w:r>
      <w:r w:rsidR="00442C4F" w:rsidRPr="00442C4F">
        <w:rPr>
          <w:rFonts w:asciiTheme="minorHAnsi" w:eastAsiaTheme="minorEastAsia" w:hAnsiTheme="minorHAnsi" w:cs="Arial"/>
          <w:sz w:val="20"/>
          <w:szCs w:val="20"/>
          <w:lang w:eastAsia="ja-JP"/>
        </w:rPr>
        <w:t>in Italia non è un’opzione disponibile dal momento che per lesinurad è prevista l’associazione</w:t>
      </w:r>
      <w:r w:rsidRPr="00442C4F">
        <w:rPr>
          <w:rFonts w:asciiTheme="minorHAnsi" w:eastAsiaTheme="minorEastAsia" w:hAnsiTheme="minorHAnsi" w:cs="Arial"/>
          <w:sz w:val="20"/>
          <w:szCs w:val="20"/>
          <w:lang w:eastAsia="ja-JP"/>
        </w:rPr>
        <w:t xml:space="preserve">); </w:t>
      </w:r>
    </w:p>
    <w:p w14:paraId="72FF6E73" w14:textId="3E252B05" w:rsidR="00442C4F" w:rsidRPr="00442C4F" w:rsidRDefault="00442C4F" w:rsidP="00825BD3">
      <w:pPr>
        <w:pStyle w:val="ListParagraph"/>
        <w:numPr>
          <w:ilvl w:val="0"/>
          <w:numId w:val="53"/>
        </w:numPr>
        <w:spacing w:line="360" w:lineRule="auto"/>
        <w:rPr>
          <w:rFonts w:asciiTheme="minorHAnsi" w:eastAsiaTheme="minorEastAsia" w:hAnsiTheme="minorHAnsi" w:cs="Arial"/>
          <w:sz w:val="20"/>
          <w:szCs w:val="20"/>
          <w:lang w:eastAsia="ja-JP"/>
        </w:rPr>
      </w:pPr>
      <w:r w:rsidRPr="00442C4F">
        <w:rPr>
          <w:rFonts w:asciiTheme="minorHAnsi" w:eastAsiaTheme="minorEastAsia" w:hAnsiTheme="minorHAnsi" w:cs="Arial"/>
          <w:sz w:val="20"/>
          <w:szCs w:val="20"/>
          <w:lang w:eastAsia="ja-JP"/>
        </w:rPr>
        <w:t xml:space="preserve">in caso di </w:t>
      </w:r>
      <w:r w:rsidRPr="00A1102E">
        <w:rPr>
          <w:rFonts w:asciiTheme="minorHAnsi" w:eastAsiaTheme="minorEastAsia" w:hAnsiTheme="minorHAnsi" w:cs="Arial"/>
          <w:i/>
          <w:sz w:val="20"/>
          <w:szCs w:val="20"/>
          <w:u w:val="single"/>
          <w:lang w:eastAsia="ja-JP"/>
        </w:rPr>
        <w:t>intolleranza ad allopurinolo</w:t>
      </w:r>
      <w:r w:rsidRPr="00442C4F">
        <w:rPr>
          <w:rFonts w:asciiTheme="minorHAnsi" w:eastAsiaTheme="minorEastAsia" w:hAnsiTheme="minorHAnsi" w:cs="Arial"/>
          <w:sz w:val="20"/>
          <w:szCs w:val="20"/>
          <w:lang w:eastAsia="ja-JP"/>
        </w:rPr>
        <w:t xml:space="preserve"> </w:t>
      </w:r>
      <w:r w:rsidR="005B6013" w:rsidRPr="00442C4F">
        <w:rPr>
          <w:rFonts w:asciiTheme="minorHAnsi" w:eastAsiaTheme="minorEastAsia" w:hAnsiTheme="minorHAnsi" w:cs="Arial"/>
          <w:sz w:val="20"/>
          <w:szCs w:val="20"/>
          <w:lang w:eastAsia="ja-JP"/>
        </w:rPr>
        <w:t>raccomandano in</w:t>
      </w:r>
      <w:r w:rsidRPr="00442C4F">
        <w:rPr>
          <w:rFonts w:asciiTheme="minorHAnsi" w:eastAsiaTheme="minorEastAsia" w:hAnsiTheme="minorHAnsi" w:cs="Arial"/>
          <w:sz w:val="20"/>
          <w:szCs w:val="20"/>
          <w:lang w:eastAsia="ja-JP"/>
        </w:rPr>
        <w:t>vece il passaggio a febuxostat in monoterapia</w:t>
      </w:r>
      <w:r w:rsidR="005B6013" w:rsidRPr="00442C4F">
        <w:rPr>
          <w:rFonts w:asciiTheme="minorHAnsi" w:eastAsiaTheme="minorEastAsia" w:hAnsiTheme="minorHAnsi" w:cs="Arial"/>
          <w:sz w:val="20"/>
          <w:szCs w:val="20"/>
          <w:lang w:eastAsia="ja-JP"/>
        </w:rPr>
        <w:t>.</w:t>
      </w:r>
    </w:p>
    <w:p w14:paraId="13704760" w14:textId="67E3C187" w:rsidR="00607AA4" w:rsidRPr="00442C4F" w:rsidRDefault="00E63B51" w:rsidP="00825BD3">
      <w:pPr>
        <w:pStyle w:val="ListParagraph"/>
        <w:numPr>
          <w:ilvl w:val="0"/>
          <w:numId w:val="53"/>
        </w:numPr>
        <w:spacing w:line="360" w:lineRule="auto"/>
        <w:rPr>
          <w:rFonts w:asciiTheme="minorHAnsi" w:eastAsiaTheme="minorEastAsia" w:hAnsiTheme="minorHAnsi" w:cs="Arial"/>
          <w:sz w:val="20"/>
          <w:szCs w:val="20"/>
          <w:lang w:eastAsia="ja-JP"/>
        </w:rPr>
      </w:pPr>
      <w:r w:rsidRPr="00E63B51">
        <w:rPr>
          <w:rFonts w:asciiTheme="minorHAnsi" w:eastAsiaTheme="minorEastAsia" w:hAnsiTheme="minorHAnsi" w:cs="Arial"/>
          <w:sz w:val="20"/>
          <w:szCs w:val="20"/>
          <w:lang w:eastAsia="ja-JP"/>
        </w:rPr>
        <w:t xml:space="preserve">in caso di </w:t>
      </w:r>
      <w:r w:rsidRPr="00E63B51">
        <w:rPr>
          <w:rFonts w:asciiTheme="minorHAnsi" w:eastAsiaTheme="minorEastAsia" w:hAnsiTheme="minorHAnsi" w:cs="Arial"/>
          <w:i/>
          <w:sz w:val="20"/>
          <w:szCs w:val="20"/>
          <w:u w:val="single"/>
          <w:lang w:eastAsia="ja-JP"/>
        </w:rPr>
        <w:t>fallimento delle opzioni di trattamento di seconda linea</w:t>
      </w:r>
      <w:r w:rsidRPr="00E63B51">
        <w:rPr>
          <w:rFonts w:asciiTheme="minorHAnsi" w:eastAsiaTheme="minorEastAsia" w:hAnsiTheme="minorHAnsi" w:cs="Arial"/>
          <w:sz w:val="20"/>
          <w:szCs w:val="20"/>
          <w:lang w:eastAsia="ja-JP"/>
        </w:rPr>
        <w:t xml:space="preserve"> </w:t>
      </w:r>
      <w:r w:rsidR="000A4D07" w:rsidRPr="00442C4F">
        <w:rPr>
          <w:rFonts w:asciiTheme="minorHAnsi" w:eastAsiaTheme="minorEastAsia" w:hAnsiTheme="minorHAnsi" w:cs="Arial"/>
          <w:sz w:val="20"/>
          <w:szCs w:val="20"/>
          <w:lang w:eastAsia="ja-JP"/>
        </w:rPr>
        <w:t>(ovvero allopurinolo associato a lesin</w:t>
      </w:r>
      <w:r w:rsidR="009A5A3D" w:rsidRPr="00442C4F">
        <w:rPr>
          <w:rFonts w:asciiTheme="minorHAnsi" w:eastAsiaTheme="minorEastAsia" w:hAnsiTheme="minorHAnsi" w:cs="Arial"/>
          <w:sz w:val="20"/>
          <w:szCs w:val="20"/>
          <w:lang w:eastAsia="ja-JP"/>
        </w:rPr>
        <w:t>u</w:t>
      </w:r>
      <w:r w:rsidR="000A4D07" w:rsidRPr="00442C4F">
        <w:rPr>
          <w:rFonts w:asciiTheme="minorHAnsi" w:eastAsiaTheme="minorEastAsia" w:hAnsiTheme="minorHAnsi" w:cs="Arial"/>
          <w:sz w:val="20"/>
          <w:szCs w:val="20"/>
          <w:lang w:eastAsia="ja-JP"/>
        </w:rPr>
        <w:t>rad</w:t>
      </w:r>
      <w:r w:rsidR="00506026" w:rsidRPr="00442C4F">
        <w:rPr>
          <w:rFonts w:asciiTheme="minorHAnsi" w:eastAsiaTheme="minorEastAsia" w:hAnsiTheme="minorHAnsi" w:cs="Arial"/>
          <w:sz w:val="20"/>
          <w:szCs w:val="20"/>
          <w:lang w:eastAsia="ja-JP"/>
        </w:rPr>
        <w:t xml:space="preserve"> o febuxostat in monoterapia</w:t>
      </w:r>
      <w:r w:rsidR="000A4D07" w:rsidRPr="00442C4F">
        <w:rPr>
          <w:rFonts w:asciiTheme="minorHAnsi" w:eastAsiaTheme="minorEastAsia" w:hAnsiTheme="minorHAnsi" w:cs="Arial"/>
          <w:sz w:val="20"/>
          <w:szCs w:val="20"/>
          <w:lang w:eastAsia="ja-JP"/>
        </w:rPr>
        <w:t>)</w:t>
      </w:r>
      <w:r w:rsidR="00653DF6" w:rsidRPr="00442C4F">
        <w:rPr>
          <w:rFonts w:asciiTheme="minorHAnsi" w:eastAsiaTheme="minorEastAsia" w:hAnsiTheme="minorHAnsi" w:cs="Arial"/>
          <w:sz w:val="20"/>
          <w:szCs w:val="20"/>
          <w:lang w:eastAsia="ja-JP"/>
        </w:rPr>
        <w:t xml:space="preserve">, le Linee Guida </w:t>
      </w:r>
      <w:r w:rsidR="009A5A3D" w:rsidRPr="00442C4F">
        <w:rPr>
          <w:rFonts w:asciiTheme="minorHAnsi" w:eastAsiaTheme="minorEastAsia" w:hAnsiTheme="minorHAnsi" w:cs="Arial"/>
          <w:sz w:val="20"/>
          <w:szCs w:val="20"/>
          <w:lang w:eastAsia="ja-JP"/>
        </w:rPr>
        <w:t xml:space="preserve">EULAR </w:t>
      </w:r>
      <w:r w:rsidR="00653DF6" w:rsidRPr="00442C4F">
        <w:rPr>
          <w:rFonts w:asciiTheme="minorHAnsi" w:eastAsiaTheme="minorEastAsia" w:hAnsiTheme="minorHAnsi" w:cs="Arial"/>
          <w:sz w:val="20"/>
          <w:szCs w:val="20"/>
          <w:lang w:eastAsia="ja-JP"/>
        </w:rPr>
        <w:t xml:space="preserve">2016 prevedono </w:t>
      </w:r>
      <w:r w:rsidR="00607AA4" w:rsidRPr="00442C4F">
        <w:rPr>
          <w:rFonts w:asciiTheme="minorHAnsi" w:eastAsiaTheme="minorEastAsia" w:hAnsiTheme="minorHAnsi" w:cs="Arial"/>
          <w:sz w:val="20"/>
          <w:szCs w:val="20"/>
          <w:lang w:eastAsia="ja-JP"/>
        </w:rPr>
        <w:t>il trattamento di terza linea (XOI in associazione ad uricosurico, ovvero febuxostat + lesinurad).</w:t>
      </w:r>
    </w:p>
    <w:p w14:paraId="121FF513" w14:textId="51E954E4" w:rsidR="007073B2" w:rsidRPr="009A5A3D" w:rsidRDefault="007073B2" w:rsidP="00E71FA9">
      <w:pPr>
        <w:spacing w:line="360" w:lineRule="auto"/>
        <w:rPr>
          <w:rFonts w:cs="Arial"/>
          <w:b/>
          <w:sz w:val="20"/>
          <w:szCs w:val="20"/>
        </w:rPr>
      </w:pPr>
      <w:r w:rsidRPr="009A5A3D">
        <w:rPr>
          <w:rFonts w:cs="Arial"/>
          <w:b/>
          <w:sz w:val="20"/>
          <w:szCs w:val="20"/>
        </w:rPr>
        <w:t xml:space="preserve">Lesinurad, in associazione ad allopurinolo, si collocherebbe </w:t>
      </w:r>
      <w:r w:rsidR="00607AA4" w:rsidRPr="009A5A3D">
        <w:rPr>
          <w:rFonts w:cs="Arial"/>
          <w:b/>
          <w:sz w:val="20"/>
          <w:szCs w:val="20"/>
        </w:rPr>
        <w:t>quindi</w:t>
      </w:r>
      <w:r w:rsidRPr="009A5A3D">
        <w:rPr>
          <w:rFonts w:cs="Arial"/>
          <w:b/>
          <w:sz w:val="20"/>
          <w:szCs w:val="20"/>
        </w:rPr>
        <w:t xml:space="preserve"> </w:t>
      </w:r>
      <w:r w:rsidR="00607AA4" w:rsidRPr="009A5A3D">
        <w:rPr>
          <w:rFonts w:cs="Arial"/>
          <w:b/>
          <w:sz w:val="20"/>
          <w:szCs w:val="20"/>
        </w:rPr>
        <w:t xml:space="preserve">in seconda linea </w:t>
      </w:r>
      <w:r w:rsidRPr="009A5A3D">
        <w:rPr>
          <w:rFonts w:cs="Arial"/>
          <w:b/>
          <w:sz w:val="20"/>
          <w:szCs w:val="20"/>
        </w:rPr>
        <w:t xml:space="preserve">come nuovo strumento per migliorare la gestione dell’iperuricemia in pazienti gottosi con </w:t>
      </w:r>
      <w:r w:rsidR="00607AA4" w:rsidRPr="009A5A3D">
        <w:rPr>
          <w:rFonts w:cs="Arial"/>
          <w:b/>
          <w:sz w:val="20"/>
          <w:szCs w:val="20"/>
        </w:rPr>
        <w:t>o senza tofi</w:t>
      </w:r>
      <w:r w:rsidRPr="009A5A3D">
        <w:rPr>
          <w:rFonts w:cs="Arial"/>
          <w:b/>
          <w:sz w:val="20"/>
          <w:szCs w:val="20"/>
        </w:rPr>
        <w:t>, non adeguatamente controllati con allopurinolo</w:t>
      </w:r>
      <w:r w:rsidR="00D83C3C">
        <w:rPr>
          <w:rFonts w:cs="Arial"/>
          <w:b/>
          <w:sz w:val="20"/>
          <w:szCs w:val="20"/>
        </w:rPr>
        <w:t xml:space="preserve"> in monoterapia</w:t>
      </w:r>
      <w:r w:rsidRPr="009A5A3D">
        <w:rPr>
          <w:rFonts w:cs="Arial"/>
          <w:b/>
          <w:sz w:val="20"/>
          <w:szCs w:val="20"/>
        </w:rPr>
        <w:t>.</w:t>
      </w:r>
    </w:p>
    <w:p w14:paraId="44ABEDD6" w14:textId="5D216D3F" w:rsidR="00552617" w:rsidRDefault="007073B2" w:rsidP="00E71FA9">
      <w:pPr>
        <w:spacing w:line="360" w:lineRule="auto"/>
        <w:rPr>
          <w:rFonts w:cs="Arial"/>
          <w:b/>
          <w:sz w:val="20"/>
          <w:szCs w:val="20"/>
        </w:rPr>
      </w:pPr>
      <w:r w:rsidRPr="009A5A3D">
        <w:rPr>
          <w:rFonts w:cs="Arial"/>
          <w:b/>
          <w:sz w:val="20"/>
          <w:szCs w:val="20"/>
        </w:rPr>
        <w:t xml:space="preserve">Inoltre lesinurad, in associazione a febuxostat, si collocherebbe </w:t>
      </w:r>
      <w:r w:rsidR="00607AA4" w:rsidRPr="009A5A3D">
        <w:rPr>
          <w:rFonts w:cs="Arial"/>
          <w:b/>
          <w:sz w:val="20"/>
          <w:szCs w:val="20"/>
        </w:rPr>
        <w:t xml:space="preserve">in terza linea </w:t>
      </w:r>
      <w:r w:rsidRPr="009A5A3D">
        <w:rPr>
          <w:rFonts w:cs="Arial"/>
          <w:b/>
          <w:sz w:val="20"/>
          <w:szCs w:val="20"/>
        </w:rPr>
        <w:t xml:space="preserve"> come nuovo strumento per migliorare la gestione dell’iperuricemia in pazienti gottosi con </w:t>
      </w:r>
      <w:r w:rsidR="00607AA4" w:rsidRPr="009A5A3D">
        <w:rPr>
          <w:rFonts w:cs="Arial"/>
          <w:b/>
          <w:sz w:val="20"/>
          <w:szCs w:val="20"/>
        </w:rPr>
        <w:t>o senza tofi</w:t>
      </w:r>
      <w:r w:rsidRPr="009A5A3D">
        <w:rPr>
          <w:rFonts w:cs="Arial"/>
          <w:b/>
          <w:sz w:val="20"/>
          <w:szCs w:val="20"/>
        </w:rPr>
        <w:t>, non adeguatamente controllati con febuxostat</w:t>
      </w:r>
      <w:r w:rsidR="00F95973">
        <w:rPr>
          <w:rFonts w:cs="Arial"/>
          <w:b/>
          <w:sz w:val="20"/>
          <w:szCs w:val="20"/>
        </w:rPr>
        <w:t xml:space="preserve"> in monotera</w:t>
      </w:r>
      <w:r w:rsidR="00D83C3C">
        <w:rPr>
          <w:rFonts w:cs="Arial"/>
          <w:b/>
          <w:sz w:val="20"/>
          <w:szCs w:val="20"/>
        </w:rPr>
        <w:t>pia</w:t>
      </w:r>
      <w:r w:rsidR="00A1102E">
        <w:rPr>
          <w:rFonts w:cs="Arial"/>
          <w:b/>
          <w:sz w:val="20"/>
          <w:szCs w:val="20"/>
        </w:rPr>
        <w:t xml:space="preserve"> o </w:t>
      </w:r>
      <w:r w:rsidR="00F95973">
        <w:rPr>
          <w:rFonts w:cs="Arial"/>
          <w:b/>
          <w:sz w:val="20"/>
          <w:szCs w:val="20"/>
        </w:rPr>
        <w:t xml:space="preserve">con </w:t>
      </w:r>
      <w:r w:rsidR="00A1102E">
        <w:rPr>
          <w:rFonts w:cs="Arial"/>
          <w:b/>
          <w:sz w:val="20"/>
          <w:szCs w:val="20"/>
        </w:rPr>
        <w:t>allopurinolo + lesinurad</w:t>
      </w:r>
      <w:r w:rsidRPr="009A5A3D">
        <w:rPr>
          <w:rFonts w:cs="Arial"/>
          <w:b/>
          <w:sz w:val="20"/>
          <w:szCs w:val="20"/>
        </w:rPr>
        <w:t>.</w:t>
      </w:r>
    </w:p>
    <w:p w14:paraId="207B5683" w14:textId="77777777" w:rsidR="000E2E7C" w:rsidRDefault="000E2E7C" w:rsidP="00E71FA9">
      <w:pPr>
        <w:spacing w:line="360" w:lineRule="auto"/>
        <w:rPr>
          <w:rFonts w:cs="Arial"/>
          <w:sz w:val="20"/>
          <w:szCs w:val="20"/>
        </w:rPr>
      </w:pPr>
    </w:p>
    <w:p w14:paraId="13CE6D0B" w14:textId="6757E887" w:rsidR="00AA3386" w:rsidRPr="00E21542" w:rsidRDefault="00E21542" w:rsidP="00E21542">
      <w:pPr>
        <w:pStyle w:val="Heading2"/>
        <w:jc w:val="left"/>
        <w:rPr>
          <w:rFonts w:asciiTheme="minorHAnsi" w:hAnsiTheme="minorHAnsi" w:cstheme="minorHAnsi"/>
          <w:i w:val="0"/>
          <w:sz w:val="20"/>
        </w:rPr>
      </w:pPr>
      <w:bookmarkStart w:id="23" w:name="Paragrafo41"/>
      <w:bookmarkStart w:id="24" w:name="_Toc473184555"/>
      <w:bookmarkEnd w:id="23"/>
      <w:r w:rsidRPr="00E21542">
        <w:rPr>
          <w:rFonts w:asciiTheme="minorHAnsi" w:hAnsiTheme="minorHAnsi" w:cstheme="minorHAnsi"/>
          <w:i w:val="0"/>
          <w:sz w:val="20"/>
        </w:rPr>
        <w:t xml:space="preserve">4.1 </w:t>
      </w:r>
      <w:r w:rsidR="00AA3386" w:rsidRPr="00E21542">
        <w:rPr>
          <w:rFonts w:asciiTheme="minorHAnsi" w:hAnsiTheme="minorHAnsi" w:cstheme="minorHAnsi"/>
          <w:i w:val="0"/>
          <w:sz w:val="20"/>
          <w:u w:val="single"/>
        </w:rPr>
        <w:t>Frequenza della condizione morbosa alla quale il farmaco è destinato</w:t>
      </w:r>
      <w:bookmarkEnd w:id="24"/>
    </w:p>
    <w:p w14:paraId="78F8EA4D" w14:textId="77777777" w:rsidR="005923E5" w:rsidRPr="005923E5" w:rsidRDefault="005923E5" w:rsidP="005923E5">
      <w:pPr>
        <w:pStyle w:val="NoSpacing"/>
        <w:rPr>
          <w:color w:val="A6A6A6"/>
          <w:sz w:val="20"/>
          <w:szCs w:val="20"/>
        </w:rPr>
      </w:pPr>
      <w:r w:rsidRPr="005923E5">
        <w:rPr>
          <w:color w:val="A6A6A6"/>
          <w:sz w:val="20"/>
          <w:szCs w:val="20"/>
        </w:rPr>
        <w:t>4.1a</w:t>
      </w:r>
      <w:r w:rsidRPr="005923E5">
        <w:rPr>
          <w:color w:val="A6A6A6"/>
          <w:sz w:val="20"/>
          <w:szCs w:val="20"/>
        </w:rPr>
        <w:tab/>
        <w:t>bassa</w:t>
      </w:r>
    </w:p>
    <w:p w14:paraId="00418A62" w14:textId="77777777" w:rsidR="005923E5" w:rsidRPr="005923E5" w:rsidRDefault="005923E5" w:rsidP="005923E5">
      <w:pPr>
        <w:pStyle w:val="NoSpacing"/>
        <w:rPr>
          <w:b/>
          <w:sz w:val="20"/>
          <w:szCs w:val="20"/>
        </w:rPr>
      </w:pPr>
      <w:r w:rsidRPr="005923E5">
        <w:rPr>
          <w:b/>
          <w:sz w:val="20"/>
          <w:szCs w:val="20"/>
        </w:rPr>
        <w:t xml:space="preserve">4.1b </w:t>
      </w:r>
      <w:r w:rsidRPr="005923E5">
        <w:rPr>
          <w:b/>
          <w:sz w:val="20"/>
          <w:szCs w:val="20"/>
        </w:rPr>
        <w:tab/>
        <w:t>media</w:t>
      </w:r>
    </w:p>
    <w:p w14:paraId="6D666F32" w14:textId="77777777" w:rsidR="005923E5" w:rsidRPr="005923E5" w:rsidRDefault="005923E5" w:rsidP="005923E5">
      <w:pPr>
        <w:pStyle w:val="NoSpacing"/>
        <w:rPr>
          <w:color w:val="A6A6A6"/>
          <w:sz w:val="20"/>
          <w:szCs w:val="20"/>
        </w:rPr>
      </w:pPr>
      <w:r w:rsidRPr="005923E5">
        <w:rPr>
          <w:color w:val="A6A6A6"/>
          <w:sz w:val="20"/>
          <w:szCs w:val="20"/>
        </w:rPr>
        <w:t xml:space="preserve">4.1c </w:t>
      </w:r>
      <w:r w:rsidRPr="005923E5">
        <w:rPr>
          <w:color w:val="A6A6A6"/>
          <w:sz w:val="20"/>
          <w:szCs w:val="20"/>
        </w:rPr>
        <w:tab/>
        <w:t>elevata</w:t>
      </w:r>
    </w:p>
    <w:p w14:paraId="2B342284" w14:textId="77777777" w:rsidR="00F8440F" w:rsidRPr="005923E5" w:rsidRDefault="00F8440F" w:rsidP="00A12078">
      <w:pPr>
        <w:spacing w:line="360" w:lineRule="auto"/>
        <w:jc w:val="both"/>
        <w:rPr>
          <w:rFonts w:cs="Arial"/>
          <w:b/>
          <w:sz w:val="20"/>
          <w:szCs w:val="20"/>
          <w:u w:val="single"/>
        </w:rPr>
      </w:pPr>
    </w:p>
    <w:p w14:paraId="37538FDB" w14:textId="6EB21D53" w:rsidR="005923E5" w:rsidRPr="005923E5" w:rsidRDefault="005923E5" w:rsidP="00203F75">
      <w:pPr>
        <w:widowControl w:val="0"/>
        <w:autoSpaceDE w:val="0"/>
        <w:autoSpaceDN w:val="0"/>
        <w:adjustRightInd w:val="0"/>
        <w:spacing w:line="360" w:lineRule="auto"/>
        <w:rPr>
          <w:rFonts w:cs="Arial"/>
          <w:sz w:val="20"/>
          <w:szCs w:val="20"/>
        </w:rPr>
      </w:pPr>
      <w:r w:rsidRPr="005923E5">
        <w:rPr>
          <w:rFonts w:cs="Arial"/>
          <w:sz w:val="20"/>
          <w:szCs w:val="20"/>
        </w:rPr>
        <w:t>La gotta è la causa più comune di artropatia infiammatoria negli adulti e la seconda più comune forma di artrite</w:t>
      </w:r>
      <w:r w:rsidR="00DD6004">
        <w:rPr>
          <w:rFonts w:cs="Arial"/>
          <w:sz w:val="20"/>
          <w:szCs w:val="20"/>
        </w:rPr>
        <w:t xml:space="preserve"> </w:t>
      </w:r>
      <w:r w:rsidRPr="005923E5">
        <w:rPr>
          <w:rFonts w:cs="Arial"/>
          <w:sz w:val="20"/>
          <w:szCs w:val="20"/>
        </w:rPr>
        <w:t>(</w:t>
      </w:r>
      <w:r w:rsidR="0018676B">
        <w:rPr>
          <w:rFonts w:cs="Arial"/>
          <w:color w:val="0000FF"/>
          <w:sz w:val="20"/>
          <w:szCs w:val="20"/>
        </w:rPr>
        <w:t>Doghramji, 2012 (46)</w:t>
      </w:r>
      <w:r w:rsidR="00DD6004" w:rsidRPr="00DD6004">
        <w:rPr>
          <w:rFonts w:cs="Arial"/>
          <w:color w:val="0000FF"/>
          <w:sz w:val="20"/>
          <w:szCs w:val="20"/>
        </w:rPr>
        <w:t>;</w:t>
      </w:r>
      <w:r w:rsidR="00DD6004">
        <w:rPr>
          <w:rFonts w:cs="Arial"/>
          <w:color w:val="0000FF"/>
          <w:sz w:val="20"/>
          <w:szCs w:val="20"/>
        </w:rPr>
        <w:t xml:space="preserve"> </w:t>
      </w:r>
      <w:r w:rsidR="0018676B">
        <w:rPr>
          <w:rFonts w:cs="Arial"/>
          <w:color w:val="0000FF"/>
          <w:sz w:val="20"/>
          <w:szCs w:val="20"/>
        </w:rPr>
        <w:t>Doherty, 2012 (47)</w:t>
      </w:r>
      <w:r w:rsidRPr="005923E5">
        <w:rPr>
          <w:rFonts w:cs="Arial"/>
          <w:sz w:val="20"/>
          <w:szCs w:val="20"/>
        </w:rPr>
        <w:t>)</w:t>
      </w:r>
      <w:r w:rsidR="00DD6004">
        <w:rPr>
          <w:rFonts w:cs="Arial"/>
          <w:sz w:val="20"/>
          <w:szCs w:val="20"/>
        </w:rPr>
        <w:t>.</w:t>
      </w:r>
      <w:r w:rsidRPr="005923E5">
        <w:rPr>
          <w:rFonts w:cs="Arial"/>
          <w:sz w:val="20"/>
          <w:szCs w:val="20"/>
        </w:rPr>
        <w:t xml:space="preserve"> La prevalenza riportata varia tra lo 0,5% ed il 3,9% della popolazione </w:t>
      </w:r>
      <w:r w:rsidR="00A912DF" w:rsidRPr="005923E5">
        <w:rPr>
          <w:rFonts w:cs="Arial"/>
          <w:sz w:val="20"/>
          <w:szCs w:val="20"/>
        </w:rPr>
        <w:t>(</w:t>
      </w:r>
      <w:r w:rsidR="0083674F">
        <w:rPr>
          <w:rFonts w:cs="Arial"/>
          <w:color w:val="0000FF"/>
          <w:sz w:val="20"/>
          <w:szCs w:val="20"/>
        </w:rPr>
        <w:t>Zhu, 2011 (33)</w:t>
      </w:r>
      <w:r w:rsidR="00A912DF" w:rsidRPr="00DD6004">
        <w:rPr>
          <w:rFonts w:cs="Arial"/>
          <w:color w:val="0000FF"/>
          <w:sz w:val="20"/>
          <w:szCs w:val="20"/>
        </w:rPr>
        <w:t>;</w:t>
      </w:r>
      <w:r w:rsidR="00A912DF">
        <w:rPr>
          <w:rFonts w:cs="Arial"/>
          <w:color w:val="0000FF"/>
          <w:sz w:val="20"/>
          <w:szCs w:val="20"/>
        </w:rPr>
        <w:t xml:space="preserve"> </w:t>
      </w:r>
      <w:r w:rsidR="0018676B">
        <w:rPr>
          <w:rFonts w:cs="Arial"/>
          <w:color w:val="0000FF"/>
          <w:sz w:val="20"/>
          <w:szCs w:val="20"/>
        </w:rPr>
        <w:t>Elliot, 2011 (48)</w:t>
      </w:r>
      <w:r w:rsidR="00A912DF">
        <w:rPr>
          <w:rFonts w:cs="Arial"/>
          <w:color w:val="0000FF"/>
          <w:sz w:val="20"/>
          <w:szCs w:val="20"/>
        </w:rPr>
        <w:t xml:space="preserve">; </w:t>
      </w:r>
      <w:r w:rsidR="0018676B">
        <w:rPr>
          <w:rFonts w:cs="Arial"/>
          <w:color w:val="0000FF"/>
          <w:sz w:val="20"/>
          <w:szCs w:val="20"/>
        </w:rPr>
        <w:t>Hakoda, 2012 (49)</w:t>
      </w:r>
      <w:r w:rsidR="00A912DF" w:rsidRPr="005923E5">
        <w:rPr>
          <w:rFonts w:cs="Arial"/>
          <w:sz w:val="20"/>
          <w:szCs w:val="20"/>
        </w:rPr>
        <w:t>)</w:t>
      </w:r>
      <w:r w:rsidR="001E2707">
        <w:rPr>
          <w:rFonts w:cs="Arial"/>
          <w:sz w:val="20"/>
          <w:szCs w:val="20"/>
        </w:rPr>
        <w:t xml:space="preserve">, aumenta con l’aumentare dell’età fino a circa 80-84 anni, quando si osserva un plateau </w:t>
      </w:r>
      <w:r w:rsidR="001E2707" w:rsidRPr="00DD6004">
        <w:rPr>
          <w:rFonts w:cs="Arial"/>
          <w:sz w:val="20"/>
          <w:szCs w:val="20"/>
        </w:rPr>
        <w:t>(</w:t>
      </w:r>
      <w:r w:rsidR="0018676B">
        <w:rPr>
          <w:rFonts w:cs="Arial"/>
          <w:color w:val="0000FF"/>
          <w:sz w:val="20"/>
          <w:szCs w:val="20"/>
        </w:rPr>
        <w:t>Mikuls, 2005 (50)</w:t>
      </w:r>
      <w:r w:rsidR="001E2707">
        <w:rPr>
          <w:rFonts w:cs="Arial"/>
          <w:color w:val="0000FF"/>
          <w:sz w:val="20"/>
          <w:szCs w:val="20"/>
        </w:rPr>
        <w:t xml:space="preserve">; </w:t>
      </w:r>
      <w:r w:rsidR="0018676B">
        <w:rPr>
          <w:rFonts w:cs="Arial"/>
          <w:color w:val="0000FF"/>
          <w:sz w:val="20"/>
          <w:szCs w:val="20"/>
        </w:rPr>
        <w:t>Kuo, 2013 (51)</w:t>
      </w:r>
      <w:r w:rsidR="001E2707" w:rsidRPr="00DD6004">
        <w:rPr>
          <w:sz w:val="20"/>
          <w:szCs w:val="20"/>
        </w:rPr>
        <w:t>)</w:t>
      </w:r>
      <w:r w:rsidR="00A912DF">
        <w:rPr>
          <w:rFonts w:cs="Arial"/>
          <w:sz w:val="20"/>
          <w:szCs w:val="20"/>
        </w:rPr>
        <w:t xml:space="preserve"> </w:t>
      </w:r>
      <w:r w:rsidRPr="005923E5">
        <w:rPr>
          <w:rFonts w:cs="Arial"/>
          <w:sz w:val="20"/>
          <w:szCs w:val="20"/>
        </w:rPr>
        <w:t>ed è generalmente 3 (o anche più) volte più frequente negli uomini che nelle donne, in tutti i paesi per cui questa informazione è di fatto disponibile</w:t>
      </w:r>
      <w:r w:rsidR="00DD6004" w:rsidRPr="00DD6004">
        <w:rPr>
          <w:rFonts w:cs="Arial"/>
          <w:sz w:val="20"/>
          <w:szCs w:val="20"/>
        </w:rPr>
        <w:t xml:space="preserve"> </w:t>
      </w:r>
      <w:r w:rsidR="00DD6004" w:rsidRPr="005923E5">
        <w:rPr>
          <w:rFonts w:cs="Arial"/>
          <w:sz w:val="20"/>
          <w:szCs w:val="20"/>
        </w:rPr>
        <w:t>(</w:t>
      </w:r>
      <w:r w:rsidR="0018676B">
        <w:rPr>
          <w:rFonts w:cs="Arial"/>
          <w:color w:val="0000FF"/>
          <w:sz w:val="20"/>
          <w:szCs w:val="20"/>
        </w:rPr>
        <w:t>Kuo, 2013 (51)</w:t>
      </w:r>
      <w:r w:rsidR="00DD6004" w:rsidRPr="005923E5">
        <w:rPr>
          <w:rFonts w:cs="Arial"/>
          <w:sz w:val="20"/>
          <w:szCs w:val="20"/>
        </w:rPr>
        <w:t>)</w:t>
      </w:r>
      <w:r w:rsidR="00DD6004">
        <w:rPr>
          <w:rFonts w:cs="Arial"/>
          <w:sz w:val="20"/>
          <w:szCs w:val="20"/>
        </w:rPr>
        <w:t>.</w:t>
      </w:r>
    </w:p>
    <w:p w14:paraId="1BC28F7D" w14:textId="04EDAE8A" w:rsidR="005923E5" w:rsidRPr="00DD6004" w:rsidRDefault="005923E5" w:rsidP="00203F75">
      <w:pPr>
        <w:widowControl w:val="0"/>
        <w:autoSpaceDE w:val="0"/>
        <w:autoSpaceDN w:val="0"/>
        <w:adjustRightInd w:val="0"/>
        <w:spacing w:line="360" w:lineRule="auto"/>
        <w:rPr>
          <w:rFonts w:cs="Arial"/>
          <w:sz w:val="20"/>
          <w:szCs w:val="20"/>
        </w:rPr>
      </w:pPr>
      <w:r w:rsidRPr="005923E5">
        <w:rPr>
          <w:rFonts w:cs="Arial"/>
          <w:sz w:val="20"/>
          <w:szCs w:val="20"/>
        </w:rPr>
        <w:t>Secondo la letteratura</w:t>
      </w:r>
      <w:r w:rsidR="00A1102E">
        <w:rPr>
          <w:rFonts w:cs="Arial"/>
          <w:sz w:val="20"/>
          <w:szCs w:val="20"/>
        </w:rPr>
        <w:t>,</w:t>
      </w:r>
      <w:r w:rsidRPr="005923E5">
        <w:rPr>
          <w:rFonts w:cs="Arial"/>
          <w:sz w:val="20"/>
          <w:szCs w:val="20"/>
        </w:rPr>
        <w:t xml:space="preserve"> </w:t>
      </w:r>
      <w:r w:rsidR="005C7230" w:rsidRPr="005C7230">
        <w:rPr>
          <w:rFonts w:cs="Arial"/>
          <w:sz w:val="20"/>
          <w:szCs w:val="20"/>
        </w:rPr>
        <w:t xml:space="preserve">negli USA </w:t>
      </w:r>
      <w:r w:rsidRPr="005923E5">
        <w:rPr>
          <w:rFonts w:cs="Arial"/>
          <w:sz w:val="20"/>
          <w:szCs w:val="20"/>
        </w:rPr>
        <w:t xml:space="preserve">la prevalenza </w:t>
      </w:r>
      <w:r w:rsidR="005C7230">
        <w:rPr>
          <w:rFonts w:cs="Arial"/>
          <w:sz w:val="20"/>
          <w:szCs w:val="20"/>
        </w:rPr>
        <w:t>della</w:t>
      </w:r>
      <w:r w:rsidR="005C7230" w:rsidRPr="005923E5">
        <w:rPr>
          <w:rFonts w:cs="Arial"/>
          <w:sz w:val="20"/>
          <w:szCs w:val="20"/>
        </w:rPr>
        <w:t xml:space="preserve"> </w:t>
      </w:r>
      <w:r w:rsidRPr="005923E5">
        <w:rPr>
          <w:rFonts w:cs="Arial"/>
          <w:sz w:val="20"/>
          <w:szCs w:val="20"/>
        </w:rPr>
        <w:t>gotta è aumentata del 40% nelle ultime due decadi e si ritiene che possa ulteriormente aumentare nel futuro</w:t>
      </w:r>
      <w:r w:rsidR="006A5106">
        <w:rPr>
          <w:rFonts w:cs="Arial"/>
          <w:sz w:val="20"/>
          <w:szCs w:val="20"/>
        </w:rPr>
        <w:t xml:space="preserve"> </w:t>
      </w:r>
      <w:r w:rsidRPr="005923E5">
        <w:rPr>
          <w:rFonts w:cs="Arial"/>
          <w:sz w:val="20"/>
          <w:szCs w:val="20"/>
        </w:rPr>
        <w:t>(</w:t>
      </w:r>
      <w:r w:rsidR="0083674F">
        <w:rPr>
          <w:rFonts w:cs="Arial"/>
          <w:color w:val="0000FF"/>
          <w:sz w:val="20"/>
          <w:szCs w:val="20"/>
        </w:rPr>
        <w:t>Zhu, 2011 (33)</w:t>
      </w:r>
      <w:r w:rsidRPr="005923E5">
        <w:rPr>
          <w:rFonts w:cs="Arial"/>
          <w:sz w:val="20"/>
          <w:szCs w:val="20"/>
        </w:rPr>
        <w:t>)</w:t>
      </w:r>
      <w:r w:rsidR="0065182A">
        <w:rPr>
          <w:rFonts w:cs="Arial"/>
          <w:sz w:val="20"/>
          <w:szCs w:val="20"/>
        </w:rPr>
        <w:t>.</w:t>
      </w:r>
      <w:r w:rsidRPr="005923E5">
        <w:rPr>
          <w:rFonts w:cs="Arial"/>
          <w:sz w:val="20"/>
          <w:szCs w:val="20"/>
        </w:rPr>
        <w:t xml:space="preserve"> Le ragioni </w:t>
      </w:r>
      <w:r w:rsidR="00167AB4">
        <w:rPr>
          <w:rFonts w:cs="Arial"/>
          <w:sz w:val="20"/>
          <w:szCs w:val="20"/>
        </w:rPr>
        <w:t xml:space="preserve">di </w:t>
      </w:r>
      <w:r w:rsidR="00167AB4" w:rsidRPr="005923E5">
        <w:rPr>
          <w:rFonts w:cs="Arial"/>
          <w:sz w:val="20"/>
          <w:szCs w:val="20"/>
        </w:rPr>
        <w:t xml:space="preserve"> </w:t>
      </w:r>
      <w:r w:rsidRPr="005923E5">
        <w:rPr>
          <w:rFonts w:cs="Arial"/>
          <w:sz w:val="20"/>
          <w:szCs w:val="20"/>
        </w:rPr>
        <w:t xml:space="preserve">questo aumento vengono fatte risalire principalmente alle modificazioni della dieta e degli stili di vita, </w:t>
      </w:r>
      <w:r w:rsidR="006A5106">
        <w:rPr>
          <w:rFonts w:cs="Arial"/>
          <w:sz w:val="20"/>
          <w:szCs w:val="20"/>
        </w:rPr>
        <w:t>al</w:t>
      </w:r>
      <w:r w:rsidRPr="005923E5">
        <w:rPr>
          <w:rFonts w:cs="Arial"/>
          <w:sz w:val="20"/>
          <w:szCs w:val="20"/>
        </w:rPr>
        <w:t xml:space="preserve">l’invecchiamento della popolazione, </w:t>
      </w:r>
      <w:r w:rsidR="006A5106">
        <w:rPr>
          <w:rFonts w:cs="Arial"/>
          <w:sz w:val="20"/>
          <w:szCs w:val="20"/>
        </w:rPr>
        <w:t>al</w:t>
      </w:r>
      <w:r w:rsidRPr="005923E5">
        <w:rPr>
          <w:rFonts w:cs="Arial"/>
          <w:sz w:val="20"/>
          <w:szCs w:val="20"/>
        </w:rPr>
        <w:t xml:space="preserve">l’incremento nell’uso di alcuni farmaci ed anche </w:t>
      </w:r>
      <w:r w:rsidR="006A5106">
        <w:rPr>
          <w:rFonts w:cs="Arial"/>
          <w:sz w:val="20"/>
          <w:szCs w:val="20"/>
        </w:rPr>
        <w:t>a</w:t>
      </w:r>
      <w:r w:rsidRPr="005923E5">
        <w:rPr>
          <w:rFonts w:cs="Arial"/>
          <w:sz w:val="20"/>
          <w:szCs w:val="20"/>
        </w:rPr>
        <w:t>i limiti terapeutici delle attuali terapie</w:t>
      </w:r>
      <w:r w:rsidR="00DD6004">
        <w:rPr>
          <w:rFonts w:cs="Arial"/>
          <w:sz w:val="20"/>
          <w:szCs w:val="20"/>
        </w:rPr>
        <w:t xml:space="preserve"> </w:t>
      </w:r>
      <w:r w:rsidR="00DD6004" w:rsidRPr="00DD6004">
        <w:rPr>
          <w:rFonts w:cs="Arial"/>
          <w:sz w:val="20"/>
          <w:szCs w:val="20"/>
        </w:rPr>
        <w:t>(</w:t>
      </w:r>
      <w:r w:rsidR="0018676B">
        <w:rPr>
          <w:rFonts w:cs="Arial"/>
          <w:color w:val="0000FF"/>
          <w:sz w:val="20"/>
          <w:szCs w:val="20"/>
        </w:rPr>
        <w:t>Kuo, 2013 (51)</w:t>
      </w:r>
      <w:r w:rsidR="00B063C7">
        <w:rPr>
          <w:rFonts w:cs="Arial"/>
          <w:color w:val="0000FF"/>
          <w:sz w:val="20"/>
          <w:szCs w:val="20"/>
        </w:rPr>
        <w:t xml:space="preserve">; </w:t>
      </w:r>
      <w:r w:rsidR="0018676B">
        <w:rPr>
          <w:rFonts w:cs="Arial"/>
          <w:color w:val="0000FF"/>
          <w:sz w:val="20"/>
          <w:szCs w:val="20"/>
        </w:rPr>
        <w:t>Edwards, 2014 (52)</w:t>
      </w:r>
      <w:r w:rsidR="00DD6004" w:rsidRPr="00DD6004">
        <w:rPr>
          <w:sz w:val="20"/>
          <w:szCs w:val="20"/>
        </w:rPr>
        <w:t>)</w:t>
      </w:r>
      <w:r w:rsidR="00A1102E">
        <w:rPr>
          <w:sz w:val="20"/>
          <w:szCs w:val="20"/>
        </w:rPr>
        <w:t>.</w:t>
      </w:r>
    </w:p>
    <w:p w14:paraId="12077A77" w14:textId="2D4D8ADF" w:rsidR="005923E5" w:rsidRDefault="005923E5" w:rsidP="00203F75">
      <w:pPr>
        <w:widowControl w:val="0"/>
        <w:autoSpaceDE w:val="0"/>
        <w:autoSpaceDN w:val="0"/>
        <w:adjustRightInd w:val="0"/>
        <w:spacing w:line="360" w:lineRule="auto"/>
        <w:rPr>
          <w:rFonts w:cs="Arial"/>
          <w:sz w:val="20"/>
          <w:szCs w:val="20"/>
        </w:rPr>
      </w:pPr>
      <w:r w:rsidRPr="002F1705">
        <w:rPr>
          <w:rFonts w:cs="Arial"/>
          <w:sz w:val="20"/>
          <w:szCs w:val="20"/>
        </w:rPr>
        <w:t>In Italia la prevalenza di gotta appare inferiore rispetto ad altri paesi industrializzati, variando nei dati storici</w:t>
      </w:r>
      <w:r w:rsidRPr="005923E5">
        <w:rPr>
          <w:rFonts w:cs="Arial"/>
          <w:sz w:val="20"/>
          <w:szCs w:val="20"/>
        </w:rPr>
        <w:t xml:space="preserve"> </w:t>
      </w:r>
      <w:r w:rsidR="006A5106">
        <w:rPr>
          <w:rFonts w:cs="Arial"/>
          <w:sz w:val="20"/>
          <w:szCs w:val="20"/>
        </w:rPr>
        <w:t xml:space="preserve">del </w:t>
      </w:r>
      <w:r w:rsidRPr="005923E5">
        <w:rPr>
          <w:rFonts w:cs="Arial"/>
          <w:sz w:val="20"/>
          <w:szCs w:val="20"/>
        </w:rPr>
        <w:t>2005-2009 tra lo 0,5% e lo 0,9%, sebbene anche il nostro paese appaia in linea con i trend internazionali per ciò che riguarda il rapido incremento dei tassi di prevalenza</w:t>
      </w:r>
      <w:r w:rsidR="00203F75">
        <w:rPr>
          <w:rFonts w:cs="Arial"/>
          <w:sz w:val="20"/>
          <w:szCs w:val="20"/>
        </w:rPr>
        <w:t xml:space="preserve"> </w:t>
      </w:r>
      <w:r w:rsidR="001E2707" w:rsidRPr="005923E5">
        <w:rPr>
          <w:rFonts w:cs="Arial"/>
          <w:sz w:val="20"/>
          <w:szCs w:val="20"/>
        </w:rPr>
        <w:t>(</w:t>
      </w:r>
      <w:r w:rsidR="00231A40">
        <w:rPr>
          <w:rFonts w:cs="Arial"/>
          <w:color w:val="0000FF"/>
          <w:sz w:val="20"/>
          <w:szCs w:val="20"/>
        </w:rPr>
        <w:t>Trifirò, 2012 (20)</w:t>
      </w:r>
      <w:r w:rsidR="00167AB4" w:rsidRPr="001D3E15">
        <w:rPr>
          <w:rFonts w:cs="Arial"/>
          <w:color w:val="0000FF"/>
          <w:sz w:val="20"/>
          <w:szCs w:val="20"/>
        </w:rPr>
        <w:t>; Sciré, 2013 (</w:t>
      </w:r>
      <w:r w:rsidR="0018676B">
        <w:rPr>
          <w:rFonts w:cs="Arial"/>
          <w:color w:val="0000FF"/>
          <w:sz w:val="20"/>
          <w:szCs w:val="20"/>
        </w:rPr>
        <w:t>28</w:t>
      </w:r>
      <w:r w:rsidR="00167AB4" w:rsidRPr="001D3E15">
        <w:rPr>
          <w:rFonts w:cs="Arial"/>
          <w:color w:val="0000FF"/>
          <w:sz w:val="20"/>
          <w:szCs w:val="20"/>
        </w:rPr>
        <w:t>)</w:t>
      </w:r>
      <w:r w:rsidR="00C7153C">
        <w:rPr>
          <w:rFonts w:cs="Arial"/>
          <w:color w:val="0000FF"/>
          <w:sz w:val="20"/>
          <w:szCs w:val="20"/>
        </w:rPr>
        <w:t xml:space="preserve">; </w:t>
      </w:r>
      <w:r w:rsidR="00C7153C" w:rsidRPr="001D3E15">
        <w:rPr>
          <w:rFonts w:cs="Arial"/>
          <w:color w:val="0000FF"/>
          <w:sz w:val="20"/>
          <w:szCs w:val="20"/>
        </w:rPr>
        <w:t>Salaffi, 2005 (</w:t>
      </w:r>
      <w:r w:rsidR="00C7153C">
        <w:rPr>
          <w:rFonts w:cs="Arial"/>
          <w:color w:val="0000FF"/>
          <w:sz w:val="20"/>
          <w:szCs w:val="20"/>
        </w:rPr>
        <w:t>53</w:t>
      </w:r>
      <w:r w:rsidR="00C7153C" w:rsidRPr="001D3E15">
        <w:rPr>
          <w:rFonts w:cs="Arial"/>
          <w:color w:val="0000FF"/>
          <w:sz w:val="20"/>
          <w:szCs w:val="20"/>
        </w:rPr>
        <w:t>)</w:t>
      </w:r>
      <w:r w:rsidR="00167AB4" w:rsidRPr="001D3E15">
        <w:rPr>
          <w:rFonts w:cs="Arial"/>
          <w:sz w:val="20"/>
          <w:szCs w:val="20"/>
        </w:rPr>
        <w:t>).</w:t>
      </w:r>
      <w:r w:rsidR="00167AB4">
        <w:rPr>
          <w:rFonts w:cs="Arial"/>
          <w:sz w:val="20"/>
          <w:szCs w:val="20"/>
        </w:rPr>
        <w:t xml:space="preserve"> </w:t>
      </w:r>
    </w:p>
    <w:p w14:paraId="43F1E8B8" w14:textId="7F2F5321" w:rsidR="005923E5" w:rsidRDefault="005923E5" w:rsidP="00203F75">
      <w:pPr>
        <w:widowControl w:val="0"/>
        <w:autoSpaceDE w:val="0"/>
        <w:autoSpaceDN w:val="0"/>
        <w:adjustRightInd w:val="0"/>
        <w:spacing w:line="360" w:lineRule="auto"/>
        <w:rPr>
          <w:rFonts w:cs="Arial"/>
          <w:sz w:val="20"/>
          <w:szCs w:val="20"/>
        </w:rPr>
      </w:pPr>
      <w:r w:rsidRPr="005923E5">
        <w:rPr>
          <w:rFonts w:cs="Arial"/>
          <w:sz w:val="20"/>
          <w:szCs w:val="20"/>
        </w:rPr>
        <w:t>Lo studio Italiano più significativo da</w:t>
      </w:r>
      <w:r w:rsidR="00A1102E">
        <w:rPr>
          <w:rFonts w:cs="Arial"/>
          <w:sz w:val="20"/>
          <w:szCs w:val="20"/>
        </w:rPr>
        <w:t>l punto di vista epidemiologico</w:t>
      </w:r>
      <w:r w:rsidRPr="005923E5">
        <w:rPr>
          <w:rFonts w:cs="Arial"/>
          <w:sz w:val="20"/>
          <w:szCs w:val="20"/>
        </w:rPr>
        <w:t xml:space="preserve"> e certamente rilevante anche sul piano internazionale, è la ricerca di Trifirò et al. pubblicata nel 201</w:t>
      </w:r>
      <w:r w:rsidR="00832C80">
        <w:rPr>
          <w:rFonts w:cs="Arial"/>
          <w:sz w:val="20"/>
          <w:szCs w:val="20"/>
        </w:rPr>
        <w:t>2</w:t>
      </w:r>
      <w:r w:rsidRPr="005923E5">
        <w:rPr>
          <w:rFonts w:cs="Arial"/>
          <w:sz w:val="20"/>
          <w:szCs w:val="20"/>
        </w:rPr>
        <w:t>, i cui principali r</w:t>
      </w:r>
      <w:r w:rsidR="00EE1DF0">
        <w:rPr>
          <w:rFonts w:cs="Arial"/>
          <w:sz w:val="20"/>
          <w:szCs w:val="20"/>
        </w:rPr>
        <w:t xml:space="preserve">isultati sono illustrati nella </w:t>
      </w:r>
      <w:r w:rsidR="00FB69B2">
        <w:rPr>
          <w:rFonts w:cs="Arial"/>
          <w:sz w:val="20"/>
          <w:szCs w:val="20"/>
        </w:rPr>
        <w:t xml:space="preserve"> </w:t>
      </w:r>
      <w:hyperlink w:anchor="Figura1" w:history="1">
        <w:r w:rsidR="00EE1DF0" w:rsidRPr="00EE1DF0">
          <w:rPr>
            <w:rStyle w:val="Hyperlink"/>
            <w:rFonts w:cs="Arial"/>
            <w:sz w:val="20"/>
            <w:szCs w:val="20"/>
          </w:rPr>
          <w:t>F</w:t>
        </w:r>
        <w:r w:rsidRPr="00EE1DF0">
          <w:rPr>
            <w:rStyle w:val="Hyperlink"/>
            <w:rFonts w:cs="Arial"/>
            <w:sz w:val="20"/>
            <w:szCs w:val="20"/>
          </w:rPr>
          <w:t>igura</w:t>
        </w:r>
        <w:r w:rsidR="00EE1DF0" w:rsidRPr="00EE1DF0">
          <w:rPr>
            <w:rStyle w:val="Hyperlink"/>
            <w:rFonts w:cs="Arial"/>
            <w:sz w:val="20"/>
            <w:szCs w:val="20"/>
          </w:rPr>
          <w:t xml:space="preserve"> 1</w:t>
        </w:r>
      </w:hyperlink>
      <w:r w:rsidRPr="005923E5">
        <w:rPr>
          <w:rFonts w:cs="Arial"/>
          <w:sz w:val="20"/>
          <w:szCs w:val="20"/>
        </w:rPr>
        <w:t xml:space="preserve"> (</w:t>
      </w:r>
      <w:r w:rsidR="00231A40">
        <w:rPr>
          <w:rFonts w:cs="Arial"/>
          <w:color w:val="0000FF"/>
          <w:sz w:val="20"/>
          <w:szCs w:val="20"/>
        </w:rPr>
        <w:t>Trifirò, 2012 (20)</w:t>
      </w:r>
      <w:r w:rsidRPr="005923E5">
        <w:rPr>
          <w:rFonts w:cs="Arial"/>
          <w:sz w:val="20"/>
          <w:szCs w:val="20"/>
        </w:rPr>
        <w:t>)</w:t>
      </w:r>
      <w:r w:rsidR="00EE1DF0">
        <w:rPr>
          <w:rFonts w:cs="Arial"/>
          <w:sz w:val="20"/>
          <w:szCs w:val="20"/>
        </w:rPr>
        <w:t>.</w:t>
      </w:r>
      <w:r w:rsidRPr="005923E5">
        <w:rPr>
          <w:rFonts w:cs="Arial"/>
          <w:sz w:val="20"/>
          <w:szCs w:val="20"/>
        </w:rPr>
        <w:t xml:space="preserve"> </w:t>
      </w:r>
    </w:p>
    <w:p w14:paraId="3BA622F9" w14:textId="77777777" w:rsidR="00A1102E" w:rsidRPr="005923E5" w:rsidRDefault="00A1102E" w:rsidP="00203F75">
      <w:pPr>
        <w:widowControl w:val="0"/>
        <w:autoSpaceDE w:val="0"/>
        <w:autoSpaceDN w:val="0"/>
        <w:adjustRightInd w:val="0"/>
        <w:spacing w:line="360" w:lineRule="auto"/>
        <w:rPr>
          <w:rFonts w:cs="Arial"/>
          <w:sz w:val="20"/>
          <w:szCs w:val="20"/>
        </w:rPr>
      </w:pPr>
    </w:p>
    <w:p w14:paraId="3279AB3E" w14:textId="6C14C989" w:rsidR="005923E5" w:rsidRPr="00EE1DF0" w:rsidRDefault="00EE1DF0" w:rsidP="00EE1DF0">
      <w:pPr>
        <w:pStyle w:val="Caption"/>
        <w:rPr>
          <w:rFonts w:asciiTheme="minorHAnsi" w:hAnsiTheme="minorHAnsi" w:cstheme="minorHAnsi"/>
          <w:b w:val="0"/>
          <w:iCs/>
          <w:lang w:val="it-IT"/>
        </w:rPr>
      </w:pPr>
      <w:bookmarkStart w:id="25" w:name="Figura1"/>
      <w:bookmarkStart w:id="26" w:name="_Toc473186896"/>
      <w:r w:rsidRPr="00EE1DF0">
        <w:rPr>
          <w:rFonts w:asciiTheme="minorHAnsi" w:hAnsiTheme="minorHAnsi" w:cstheme="minorHAnsi"/>
          <w:lang w:val="it-IT"/>
        </w:rPr>
        <w:t xml:space="preserve">Figura </w:t>
      </w:r>
      <w:r w:rsidRPr="00EE1DF0">
        <w:rPr>
          <w:rFonts w:asciiTheme="minorHAnsi" w:hAnsiTheme="minorHAnsi" w:cstheme="minorHAnsi"/>
        </w:rPr>
        <w:fldChar w:fldCharType="begin"/>
      </w:r>
      <w:r w:rsidRPr="00EE1DF0">
        <w:rPr>
          <w:rFonts w:asciiTheme="minorHAnsi" w:hAnsiTheme="minorHAnsi" w:cstheme="minorHAnsi"/>
          <w:lang w:val="it-IT"/>
        </w:rPr>
        <w:instrText xml:space="preserve"> SEQ Figura \* ARABIC </w:instrText>
      </w:r>
      <w:r w:rsidRPr="00EE1DF0">
        <w:rPr>
          <w:rFonts w:asciiTheme="minorHAnsi" w:hAnsiTheme="minorHAnsi" w:cstheme="minorHAnsi"/>
        </w:rPr>
        <w:fldChar w:fldCharType="separate"/>
      </w:r>
      <w:r w:rsidR="00A1679C">
        <w:rPr>
          <w:rFonts w:asciiTheme="minorHAnsi" w:hAnsiTheme="minorHAnsi" w:cstheme="minorHAnsi"/>
          <w:noProof/>
          <w:lang w:val="it-IT"/>
        </w:rPr>
        <w:t>1</w:t>
      </w:r>
      <w:r w:rsidRPr="00EE1DF0">
        <w:rPr>
          <w:rFonts w:asciiTheme="minorHAnsi" w:hAnsiTheme="minorHAnsi" w:cstheme="minorHAnsi"/>
        </w:rPr>
        <w:fldChar w:fldCharType="end"/>
      </w:r>
      <w:bookmarkEnd w:id="25"/>
      <w:r w:rsidRPr="00EE1DF0">
        <w:rPr>
          <w:rFonts w:asciiTheme="minorHAnsi" w:hAnsiTheme="minorHAnsi" w:cstheme="minorHAnsi"/>
          <w:lang w:val="it-IT"/>
        </w:rPr>
        <w:t xml:space="preserve"> - </w:t>
      </w:r>
      <w:r w:rsidR="005923E5" w:rsidRPr="00EE1DF0">
        <w:rPr>
          <w:rFonts w:asciiTheme="minorHAnsi" w:hAnsiTheme="minorHAnsi" w:cstheme="minorHAnsi"/>
          <w:b w:val="0"/>
          <w:iCs/>
          <w:lang w:val="it-IT"/>
        </w:rPr>
        <w:t>Prevalenza ed evoluzione di gotta ed iperuricemia per sesso (x1000 abitanti) (</w:t>
      </w:r>
      <w:r w:rsidR="0065182A" w:rsidRPr="00EE1DF0">
        <w:rPr>
          <w:rFonts w:asciiTheme="minorHAnsi" w:hAnsiTheme="minorHAnsi" w:cstheme="minorHAnsi"/>
          <w:color w:val="0000FF"/>
          <w:lang w:val="it-IT"/>
        </w:rPr>
        <w:t>Trifirò, 201</w:t>
      </w:r>
      <w:r w:rsidR="00832C80">
        <w:rPr>
          <w:rFonts w:asciiTheme="minorHAnsi" w:hAnsiTheme="minorHAnsi" w:cstheme="minorHAnsi"/>
          <w:color w:val="0000FF"/>
          <w:lang w:val="it-IT"/>
        </w:rPr>
        <w:t>2</w:t>
      </w:r>
      <w:r w:rsidR="005923E5" w:rsidRPr="00EE1DF0">
        <w:rPr>
          <w:rFonts w:asciiTheme="minorHAnsi" w:hAnsiTheme="minorHAnsi" w:cstheme="minorHAnsi"/>
          <w:b w:val="0"/>
          <w:iCs/>
          <w:lang w:val="it-IT"/>
        </w:rPr>
        <w:t>)</w:t>
      </w:r>
      <w:bookmarkEnd w:id="26"/>
      <w:r w:rsidR="00C403EF" w:rsidRPr="00C403EF">
        <w:rPr>
          <w:rFonts w:cs="Arial"/>
          <w:iCs/>
          <w:noProof/>
          <w:lang w:val="it-IT" w:eastAsia="it-IT"/>
        </w:rPr>
        <w:t xml:space="preserve"> </w:t>
      </w:r>
    </w:p>
    <w:tbl>
      <w:tblPr>
        <w:tblW w:w="99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6"/>
        <w:gridCol w:w="4986"/>
      </w:tblGrid>
      <w:tr w:rsidR="005923E5" w:rsidRPr="005923E5" w14:paraId="68640178" w14:textId="77777777" w:rsidTr="00A03CEC">
        <w:tc>
          <w:tcPr>
            <w:tcW w:w="5011" w:type="dxa"/>
            <w:shd w:val="clear" w:color="auto" w:fill="auto"/>
            <w:vAlign w:val="center"/>
          </w:tcPr>
          <w:p w14:paraId="00AB3F8C" w14:textId="7E9D1966" w:rsidR="005923E5" w:rsidRPr="005923E5" w:rsidRDefault="005923E5" w:rsidP="005923E5">
            <w:pPr>
              <w:widowControl w:val="0"/>
              <w:autoSpaceDE w:val="0"/>
              <w:autoSpaceDN w:val="0"/>
              <w:adjustRightInd w:val="0"/>
              <w:spacing w:line="360" w:lineRule="auto"/>
              <w:jc w:val="both"/>
              <w:rPr>
                <w:rFonts w:cs="Arial"/>
                <w:iCs/>
                <w:sz w:val="20"/>
                <w:szCs w:val="20"/>
              </w:rPr>
            </w:pPr>
            <w:r w:rsidRPr="005923E5">
              <w:rPr>
                <w:rFonts w:cs="Arial"/>
                <w:iCs/>
                <w:noProof/>
                <w:sz w:val="20"/>
                <w:szCs w:val="20"/>
                <w:lang w:val="en-GB" w:eastAsia="en-GB"/>
              </w:rPr>
              <w:drawing>
                <wp:inline distT="0" distB="0" distL="0" distR="0" wp14:anchorId="539483D9" wp14:editId="1B67F7E0">
                  <wp:extent cx="3048000" cy="1581150"/>
                  <wp:effectExtent l="0" t="0" r="0" b="0"/>
                  <wp:docPr id="288" name="Immagin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0" cy="1581150"/>
                          </a:xfrm>
                          <a:prstGeom prst="rect">
                            <a:avLst/>
                          </a:prstGeom>
                          <a:noFill/>
                          <a:ln>
                            <a:noFill/>
                          </a:ln>
                        </pic:spPr>
                      </pic:pic>
                    </a:graphicData>
                  </a:graphic>
                </wp:inline>
              </w:drawing>
            </w:r>
          </w:p>
        </w:tc>
        <w:tc>
          <w:tcPr>
            <w:tcW w:w="4965" w:type="dxa"/>
            <w:shd w:val="clear" w:color="auto" w:fill="auto"/>
            <w:vAlign w:val="center"/>
          </w:tcPr>
          <w:p w14:paraId="44B17F0D" w14:textId="56311425" w:rsidR="005923E5" w:rsidRPr="005923E5" w:rsidRDefault="00C403EF" w:rsidP="005923E5">
            <w:pPr>
              <w:widowControl w:val="0"/>
              <w:autoSpaceDE w:val="0"/>
              <w:autoSpaceDN w:val="0"/>
              <w:adjustRightInd w:val="0"/>
              <w:spacing w:line="360" w:lineRule="auto"/>
              <w:jc w:val="both"/>
              <w:rPr>
                <w:rFonts w:cs="Arial"/>
                <w:iCs/>
                <w:sz w:val="20"/>
                <w:szCs w:val="20"/>
              </w:rPr>
            </w:pPr>
            <w:r w:rsidRPr="005923E5">
              <w:rPr>
                <w:rFonts w:cs="Arial"/>
                <w:iCs/>
                <w:noProof/>
                <w:sz w:val="20"/>
                <w:szCs w:val="20"/>
                <w:lang w:val="en-GB" w:eastAsia="en-GB"/>
              </w:rPr>
              <w:drawing>
                <wp:inline distT="0" distB="0" distL="0" distR="0" wp14:anchorId="33DEB27F" wp14:editId="017290ED">
                  <wp:extent cx="3019425" cy="2114550"/>
                  <wp:effectExtent l="0" t="0" r="9525" b="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9425" cy="2114550"/>
                          </a:xfrm>
                          <a:prstGeom prst="rect">
                            <a:avLst/>
                          </a:prstGeom>
                          <a:noFill/>
                          <a:ln>
                            <a:noFill/>
                          </a:ln>
                        </pic:spPr>
                      </pic:pic>
                    </a:graphicData>
                  </a:graphic>
                </wp:inline>
              </w:drawing>
            </w:r>
          </w:p>
        </w:tc>
      </w:tr>
    </w:tbl>
    <w:p w14:paraId="5F99458A" w14:textId="77777777" w:rsidR="005923E5" w:rsidRPr="005923E5" w:rsidRDefault="005923E5" w:rsidP="005923E5">
      <w:pPr>
        <w:widowControl w:val="0"/>
        <w:autoSpaceDE w:val="0"/>
        <w:autoSpaceDN w:val="0"/>
        <w:adjustRightInd w:val="0"/>
        <w:spacing w:line="360" w:lineRule="auto"/>
        <w:jc w:val="both"/>
        <w:rPr>
          <w:rFonts w:cs="Arial"/>
          <w:sz w:val="20"/>
          <w:szCs w:val="20"/>
        </w:rPr>
      </w:pPr>
    </w:p>
    <w:p w14:paraId="0BBC8302" w14:textId="33673DBF" w:rsidR="00203F75" w:rsidRPr="00203F75" w:rsidRDefault="00203F75" w:rsidP="00203F75">
      <w:pPr>
        <w:widowControl w:val="0"/>
        <w:autoSpaceDE w:val="0"/>
        <w:autoSpaceDN w:val="0"/>
        <w:adjustRightInd w:val="0"/>
        <w:spacing w:line="360" w:lineRule="auto"/>
        <w:rPr>
          <w:rFonts w:cs="Arial"/>
          <w:sz w:val="20"/>
          <w:szCs w:val="20"/>
        </w:rPr>
      </w:pPr>
      <w:r w:rsidRPr="00203F75">
        <w:rPr>
          <w:rFonts w:cs="Arial"/>
          <w:sz w:val="20"/>
          <w:szCs w:val="20"/>
        </w:rPr>
        <w:t xml:space="preserve">Lo studio si è basato sul database HealthSearch (HSD) dal quale sono stati selezionati tutti i soggetti di età </w:t>
      </w:r>
      <w:r w:rsidRPr="00203F75">
        <w:rPr>
          <w:rFonts w:cs="Arial"/>
          <w:sz w:val="20"/>
          <w:szCs w:val="20"/>
          <w:u w:val="single"/>
        </w:rPr>
        <w:t>&gt;</w:t>
      </w:r>
      <w:r w:rsidRPr="00203F75">
        <w:rPr>
          <w:rFonts w:cs="Arial"/>
          <w:sz w:val="20"/>
          <w:szCs w:val="20"/>
        </w:rPr>
        <w:t>18</w:t>
      </w:r>
      <w:r w:rsidR="006A5106">
        <w:rPr>
          <w:rFonts w:cs="Arial"/>
          <w:sz w:val="20"/>
          <w:szCs w:val="20"/>
        </w:rPr>
        <w:t xml:space="preserve"> </w:t>
      </w:r>
      <w:r w:rsidRPr="00203F75">
        <w:rPr>
          <w:rFonts w:cs="Arial"/>
          <w:sz w:val="20"/>
          <w:szCs w:val="20"/>
        </w:rPr>
        <w:t xml:space="preserve">aa, viventi e registrati presso le liste dei GP alla </w:t>
      </w:r>
      <w:r w:rsidRPr="00203F75">
        <w:rPr>
          <w:rFonts w:cs="Arial"/>
          <w:i/>
          <w:sz w:val="20"/>
          <w:szCs w:val="20"/>
        </w:rPr>
        <w:t>index date</w:t>
      </w:r>
      <w:r w:rsidRPr="00203F75">
        <w:rPr>
          <w:rFonts w:cs="Arial"/>
          <w:sz w:val="20"/>
          <w:szCs w:val="20"/>
        </w:rPr>
        <w:t xml:space="preserve"> (inizio dell’analisi 01/01/2005) con almeno 2 anni di storia medica registrata prima della </w:t>
      </w:r>
      <w:r w:rsidRPr="00203F75">
        <w:rPr>
          <w:rFonts w:cs="Arial"/>
          <w:i/>
          <w:sz w:val="20"/>
          <w:szCs w:val="20"/>
        </w:rPr>
        <w:t>index date</w:t>
      </w:r>
      <w:r w:rsidRPr="00203F75">
        <w:rPr>
          <w:rFonts w:cs="Arial"/>
          <w:sz w:val="20"/>
          <w:szCs w:val="20"/>
        </w:rPr>
        <w:t xml:space="preserve">. La gotta è stata identificata con i codici ICD 9-CM e parole chiave correlate per la ricerca testuale (274.0: artrite gottosa; 274.1: nefropatia gottosa; 274.8: gotta con altre manifestazioni non specificate; 274.9: gotta non specificata); analogamente per l’iperuricemia (274.9: iperuricemia) che è stata inoltre definita considerando livelli medi di </w:t>
      </w:r>
      <w:r w:rsidR="005848A1">
        <w:rPr>
          <w:rFonts w:cs="Arial"/>
          <w:sz w:val="20"/>
          <w:szCs w:val="20"/>
        </w:rPr>
        <w:t>sUA</w:t>
      </w:r>
      <w:r w:rsidRPr="00203F75">
        <w:rPr>
          <w:rFonts w:cs="Arial"/>
          <w:sz w:val="20"/>
          <w:szCs w:val="20"/>
        </w:rPr>
        <w:t xml:space="preserve"> &gt;360 mmol/l (6 mg/dl)</w:t>
      </w:r>
      <w:r w:rsidR="00B063C7">
        <w:rPr>
          <w:rFonts w:cs="Arial"/>
          <w:sz w:val="20"/>
          <w:szCs w:val="20"/>
        </w:rPr>
        <w:t xml:space="preserve">, come indicato dalle Linee Guida </w:t>
      </w:r>
      <w:r w:rsidR="00B063C7" w:rsidRPr="00B063C7">
        <w:rPr>
          <w:rFonts w:cs="Arial"/>
          <w:sz w:val="20"/>
          <w:szCs w:val="20"/>
        </w:rPr>
        <w:t xml:space="preserve">EULAR 2016 </w:t>
      </w:r>
      <w:r w:rsidR="00B063C7">
        <w:rPr>
          <w:rFonts w:cs="Arial"/>
          <w:sz w:val="20"/>
          <w:szCs w:val="20"/>
        </w:rPr>
        <w:t>ed anche riconosciuto dalle Linee Guida SIR (Società Italiana di Reumatologia) (</w:t>
      </w:r>
      <w:r w:rsidR="00E54BFE">
        <w:rPr>
          <w:rFonts w:cs="Arial"/>
          <w:color w:val="0000FF"/>
          <w:sz w:val="20"/>
          <w:szCs w:val="20"/>
        </w:rPr>
        <w:t>Richette, 2016 (6)</w:t>
      </w:r>
      <w:r w:rsidR="00B063C7" w:rsidRPr="00B063C7">
        <w:rPr>
          <w:rFonts w:cs="Arial"/>
          <w:color w:val="0000FF"/>
          <w:sz w:val="20"/>
          <w:szCs w:val="20"/>
        </w:rPr>
        <w:t xml:space="preserve">; </w:t>
      </w:r>
      <w:r w:rsidR="00167AB4" w:rsidRPr="00B063C7">
        <w:rPr>
          <w:rFonts w:cs="Arial"/>
          <w:color w:val="0000FF"/>
          <w:sz w:val="20"/>
          <w:szCs w:val="20"/>
        </w:rPr>
        <w:t>Manara, 2013 (7)</w:t>
      </w:r>
      <w:r w:rsidR="00B063C7">
        <w:rPr>
          <w:rFonts w:cs="Arial"/>
          <w:sz w:val="20"/>
          <w:szCs w:val="20"/>
        </w:rPr>
        <w:t>)</w:t>
      </w:r>
      <w:r w:rsidRPr="00203F75">
        <w:rPr>
          <w:rFonts w:cs="Arial"/>
          <w:sz w:val="20"/>
          <w:szCs w:val="20"/>
        </w:rPr>
        <w:t>.</w:t>
      </w:r>
    </w:p>
    <w:p w14:paraId="19F3CEA4" w14:textId="7F5BA9FA" w:rsidR="00203F75" w:rsidRPr="00FB69B2" w:rsidRDefault="00203F75" w:rsidP="00203F75">
      <w:pPr>
        <w:widowControl w:val="0"/>
        <w:autoSpaceDE w:val="0"/>
        <w:autoSpaceDN w:val="0"/>
        <w:adjustRightInd w:val="0"/>
        <w:spacing w:line="360" w:lineRule="auto"/>
        <w:rPr>
          <w:rFonts w:cs="Arial"/>
          <w:iCs/>
          <w:sz w:val="20"/>
          <w:szCs w:val="20"/>
        </w:rPr>
      </w:pPr>
      <w:r w:rsidRPr="00FB69B2">
        <w:rPr>
          <w:rFonts w:cs="Arial"/>
          <w:iCs/>
          <w:sz w:val="20"/>
          <w:szCs w:val="20"/>
        </w:rPr>
        <w:t xml:space="preserve">Durante il periodo di osservazione Trifirò et al. hanno dunque riscontrato un aumento della prevalenza di gotta da 6,7/1000 abitanti nel 2005 a 9,1/1000 abitanti nel 2009 </w:t>
      </w:r>
      <w:r w:rsidR="00167AB4">
        <w:rPr>
          <w:rFonts w:cs="Arial"/>
          <w:iCs/>
          <w:sz w:val="20"/>
          <w:szCs w:val="20"/>
        </w:rPr>
        <w:t>e così anche</w:t>
      </w:r>
      <w:r w:rsidRPr="00FB69B2">
        <w:rPr>
          <w:rFonts w:cs="Arial"/>
          <w:iCs/>
          <w:sz w:val="20"/>
          <w:szCs w:val="20"/>
        </w:rPr>
        <w:t xml:space="preserve"> per l’iperuricemia i cui tassi di prevalenza riscontrati nell’analisi erano rispettivamente 85,4/1000 abitanti nel 2005 vs 119,3/1000 abitanti nel 2009.</w:t>
      </w:r>
    </w:p>
    <w:p w14:paraId="11199A19" w14:textId="0892334F" w:rsidR="00203F75" w:rsidRPr="00FB69B2" w:rsidRDefault="00203F75" w:rsidP="00203F75">
      <w:pPr>
        <w:widowControl w:val="0"/>
        <w:autoSpaceDE w:val="0"/>
        <w:autoSpaceDN w:val="0"/>
        <w:adjustRightInd w:val="0"/>
        <w:spacing w:line="360" w:lineRule="auto"/>
        <w:rPr>
          <w:rFonts w:cs="Arial"/>
          <w:iCs/>
          <w:sz w:val="20"/>
          <w:szCs w:val="20"/>
        </w:rPr>
      </w:pPr>
      <w:r w:rsidRPr="00FB69B2">
        <w:rPr>
          <w:rFonts w:cs="Arial"/>
          <w:iCs/>
          <w:sz w:val="20"/>
          <w:szCs w:val="20"/>
        </w:rPr>
        <w:t>Sulla base delle stime di prevalenza riportate da Trifirò, considerando la popolazione adulta residente nel 2009 (49.240.179) (</w:t>
      </w:r>
      <w:r w:rsidR="0018676B">
        <w:rPr>
          <w:rFonts w:cs="Arial"/>
          <w:iCs/>
          <w:color w:val="0000FF"/>
          <w:sz w:val="20"/>
          <w:szCs w:val="20"/>
        </w:rPr>
        <w:t>ISTAT (54)</w:t>
      </w:r>
      <w:r w:rsidRPr="00FB69B2">
        <w:rPr>
          <w:rFonts w:cs="Arial"/>
          <w:iCs/>
          <w:sz w:val="20"/>
          <w:szCs w:val="20"/>
        </w:rPr>
        <w:t>), si produrrebbe una stima di pazienti con diagnosi di gotta pari a circa 448</w:t>
      </w:r>
      <w:r w:rsidR="00166C1B">
        <w:rPr>
          <w:rFonts w:cs="Arial"/>
          <w:iCs/>
          <w:sz w:val="20"/>
          <w:szCs w:val="20"/>
        </w:rPr>
        <w:t>.</w:t>
      </w:r>
      <w:r w:rsidRPr="00FB69B2">
        <w:rPr>
          <w:rFonts w:cs="Arial"/>
          <w:iCs/>
          <w:sz w:val="20"/>
          <w:szCs w:val="20"/>
        </w:rPr>
        <w:t>086 e di pazienti con iperuricemia pari a circa  5</w:t>
      </w:r>
      <w:r w:rsidR="00166C1B">
        <w:rPr>
          <w:rFonts w:cs="Arial"/>
          <w:iCs/>
          <w:sz w:val="20"/>
          <w:szCs w:val="20"/>
        </w:rPr>
        <w:t>.</w:t>
      </w:r>
      <w:r w:rsidRPr="00FB69B2">
        <w:rPr>
          <w:rFonts w:cs="Arial"/>
          <w:iCs/>
          <w:sz w:val="20"/>
          <w:szCs w:val="20"/>
        </w:rPr>
        <w:t>874</w:t>
      </w:r>
      <w:r w:rsidR="00166C1B">
        <w:rPr>
          <w:rFonts w:cs="Arial"/>
          <w:iCs/>
          <w:sz w:val="20"/>
          <w:szCs w:val="20"/>
        </w:rPr>
        <w:t>.</w:t>
      </w:r>
      <w:r w:rsidRPr="00FB69B2">
        <w:rPr>
          <w:rFonts w:cs="Arial"/>
          <w:iCs/>
          <w:sz w:val="20"/>
          <w:szCs w:val="20"/>
        </w:rPr>
        <w:t xml:space="preserve">353 soggetti per il 2009. </w:t>
      </w:r>
    </w:p>
    <w:p w14:paraId="21AE8522" w14:textId="34031E57" w:rsidR="00C403EF" w:rsidRDefault="00203F75" w:rsidP="00203F75">
      <w:pPr>
        <w:widowControl w:val="0"/>
        <w:autoSpaceDE w:val="0"/>
        <w:autoSpaceDN w:val="0"/>
        <w:adjustRightInd w:val="0"/>
        <w:spacing w:line="360" w:lineRule="auto"/>
        <w:rPr>
          <w:rFonts w:cs="Arial"/>
          <w:iCs/>
          <w:sz w:val="20"/>
          <w:szCs w:val="20"/>
        </w:rPr>
      </w:pPr>
      <w:r w:rsidRPr="00FB69B2">
        <w:rPr>
          <w:rFonts w:cs="Arial"/>
          <w:iCs/>
          <w:sz w:val="20"/>
          <w:szCs w:val="20"/>
        </w:rPr>
        <w:t>Estrapolando sul trend rilevato nello studio, nel 2015 si stimerebbero più di 600 mila pazienti con gotta e più di 8.000.000 di soggetti con iperuricemia. Analizzando invece i dati di mercato prodotti da IMS, si riscontra una frequenza nettamente inferiore di persone affette da iperuricemia o gotta</w:t>
      </w:r>
      <w:r w:rsidR="00500613">
        <w:rPr>
          <w:rFonts w:cs="Arial"/>
          <w:iCs/>
          <w:sz w:val="20"/>
          <w:szCs w:val="20"/>
        </w:rPr>
        <w:t xml:space="preserve"> </w:t>
      </w:r>
      <w:r w:rsidR="00500613" w:rsidRPr="00FB69B2">
        <w:rPr>
          <w:rFonts w:cs="Arial"/>
          <w:sz w:val="20"/>
          <w:szCs w:val="20"/>
        </w:rPr>
        <w:t>(</w:t>
      </w:r>
      <w:r w:rsidR="00500613">
        <w:rPr>
          <w:rFonts w:cs="Arial"/>
          <w:color w:val="0000FF"/>
          <w:sz w:val="20"/>
          <w:szCs w:val="20"/>
        </w:rPr>
        <w:t>IMS-Health LPD longitudinal Patient Database, 2016 (41)</w:t>
      </w:r>
      <w:r w:rsidR="00500613" w:rsidRPr="00FB69B2">
        <w:rPr>
          <w:rFonts w:cs="Arial"/>
          <w:sz w:val="20"/>
          <w:szCs w:val="20"/>
        </w:rPr>
        <w:t>)</w:t>
      </w:r>
      <w:r w:rsidRPr="00FB69B2">
        <w:rPr>
          <w:rFonts w:cs="Arial"/>
          <w:iCs/>
          <w:sz w:val="20"/>
          <w:szCs w:val="20"/>
        </w:rPr>
        <w:t>.</w:t>
      </w:r>
      <w:r w:rsidR="00500613">
        <w:rPr>
          <w:rFonts w:cs="Arial"/>
          <w:iCs/>
          <w:sz w:val="20"/>
          <w:szCs w:val="20"/>
        </w:rPr>
        <w:t xml:space="preserve"> </w:t>
      </w:r>
    </w:p>
    <w:p w14:paraId="438AC374" w14:textId="26986E06" w:rsidR="00166C1B" w:rsidRDefault="00166C1B" w:rsidP="00166C1B">
      <w:pPr>
        <w:widowControl w:val="0"/>
        <w:autoSpaceDE w:val="0"/>
        <w:autoSpaceDN w:val="0"/>
        <w:adjustRightInd w:val="0"/>
        <w:spacing w:line="360" w:lineRule="auto"/>
        <w:rPr>
          <w:rFonts w:cs="Arial"/>
          <w:sz w:val="20"/>
          <w:szCs w:val="20"/>
        </w:rPr>
      </w:pPr>
      <w:r w:rsidRPr="00203F75">
        <w:rPr>
          <w:rFonts w:cs="Arial"/>
          <w:sz w:val="20"/>
          <w:szCs w:val="20"/>
        </w:rPr>
        <w:t xml:space="preserve">L’eterogeneità nelle stime di prevalenza derivanti dai dati disponibili sono in gran parte legate </w:t>
      </w:r>
      <w:r w:rsidRPr="00A04E2B">
        <w:rPr>
          <w:rFonts w:cs="Arial"/>
          <w:b/>
          <w:sz w:val="20"/>
          <w:szCs w:val="20"/>
        </w:rPr>
        <w:t>all’eterogeneità della definizione e registrazione dei casi di gotta e iperuricemia</w:t>
      </w:r>
      <w:r w:rsidRPr="00203F75">
        <w:rPr>
          <w:rFonts w:cs="Arial"/>
          <w:sz w:val="20"/>
          <w:szCs w:val="20"/>
        </w:rPr>
        <w:t xml:space="preserve">. </w:t>
      </w:r>
    </w:p>
    <w:p w14:paraId="66E09D49" w14:textId="77777777" w:rsidR="0085653D" w:rsidRDefault="00C403EF" w:rsidP="00203F75">
      <w:pPr>
        <w:widowControl w:val="0"/>
        <w:autoSpaceDE w:val="0"/>
        <w:autoSpaceDN w:val="0"/>
        <w:adjustRightInd w:val="0"/>
        <w:spacing w:line="360" w:lineRule="auto"/>
        <w:rPr>
          <w:rFonts w:cs="Arial"/>
          <w:iCs/>
          <w:sz w:val="20"/>
          <w:szCs w:val="20"/>
        </w:rPr>
      </w:pPr>
      <w:r w:rsidRPr="00FB69B2">
        <w:rPr>
          <w:rFonts w:cs="Arial"/>
          <w:iCs/>
          <w:sz w:val="20"/>
          <w:szCs w:val="20"/>
        </w:rPr>
        <w:t xml:space="preserve">Nel corso del 2016 IMS ha </w:t>
      </w:r>
      <w:r w:rsidR="00203F75" w:rsidRPr="00FB69B2">
        <w:rPr>
          <w:rFonts w:cs="Arial"/>
          <w:iCs/>
          <w:sz w:val="20"/>
          <w:szCs w:val="20"/>
        </w:rPr>
        <w:t xml:space="preserve">svolto </w:t>
      </w:r>
      <w:r w:rsidRPr="00FB69B2">
        <w:rPr>
          <w:rFonts w:cs="Arial"/>
          <w:iCs/>
          <w:sz w:val="20"/>
          <w:szCs w:val="20"/>
        </w:rPr>
        <w:t xml:space="preserve">una ricerca commissionata da Grünenthal </w:t>
      </w:r>
      <w:r w:rsidR="00203F75" w:rsidRPr="00FB69B2">
        <w:rPr>
          <w:rFonts w:cs="Arial"/>
          <w:iCs/>
          <w:sz w:val="20"/>
          <w:szCs w:val="20"/>
        </w:rPr>
        <w:t xml:space="preserve">sul database LPD (Longitudinal Patient Database - database pazienti longitudinale composto da oltre 1.100.000 schede pazienti informatizzate originate dai software di gestione ambulatoriale utilizzati da 900 MMG rappresentativi della popolazione italiana e stratificati per Regione, età, sesso e numero di assistiti per GP). Sono stati estratti tutti i Pazienti con diagnosi di gotta/iperuricemia (codici ICD9 274 e sottocodici) nei 12 mesi mobili (MAT) a </w:t>
      </w:r>
      <w:r w:rsidRPr="00FB69B2">
        <w:rPr>
          <w:rFonts w:cs="Arial"/>
          <w:iCs/>
          <w:sz w:val="20"/>
          <w:szCs w:val="20"/>
        </w:rPr>
        <w:t>Giugno 2016</w:t>
      </w:r>
      <w:r w:rsidR="00203F75" w:rsidRPr="00FB69B2">
        <w:rPr>
          <w:rFonts w:cs="Arial"/>
          <w:iCs/>
          <w:sz w:val="20"/>
          <w:szCs w:val="20"/>
        </w:rPr>
        <w:t xml:space="preserve">. </w:t>
      </w:r>
    </w:p>
    <w:p w14:paraId="51DA3795" w14:textId="3B57DB8E" w:rsidR="005923E5" w:rsidRDefault="00203F75" w:rsidP="00203F75">
      <w:pPr>
        <w:widowControl w:val="0"/>
        <w:autoSpaceDE w:val="0"/>
        <w:autoSpaceDN w:val="0"/>
        <w:adjustRightInd w:val="0"/>
        <w:spacing w:line="360" w:lineRule="auto"/>
        <w:rPr>
          <w:rFonts w:cs="Arial"/>
          <w:sz w:val="20"/>
          <w:szCs w:val="20"/>
        </w:rPr>
      </w:pPr>
      <w:r w:rsidRPr="00FB69B2">
        <w:rPr>
          <w:rFonts w:cs="Arial"/>
          <w:iCs/>
          <w:sz w:val="20"/>
          <w:szCs w:val="20"/>
        </w:rPr>
        <w:t>I risultati sono presentati</w:t>
      </w:r>
      <w:r w:rsidR="009A1BE9">
        <w:rPr>
          <w:rFonts w:cs="Arial"/>
          <w:iCs/>
          <w:sz w:val="20"/>
          <w:szCs w:val="20"/>
        </w:rPr>
        <w:t xml:space="preserve"> </w:t>
      </w:r>
      <w:r w:rsidR="001C5ABF">
        <w:rPr>
          <w:rFonts w:cs="Arial"/>
          <w:iCs/>
          <w:sz w:val="20"/>
          <w:szCs w:val="20"/>
        </w:rPr>
        <w:t xml:space="preserve">nella </w:t>
      </w:r>
      <w:hyperlink w:anchor="Tabella1" w:history="1">
        <w:r w:rsidR="001C5ABF" w:rsidRPr="001C5ABF">
          <w:rPr>
            <w:rStyle w:val="Hyperlink"/>
            <w:rFonts w:cs="Arial"/>
            <w:iCs/>
            <w:sz w:val="20"/>
            <w:szCs w:val="20"/>
          </w:rPr>
          <w:t>Tabella 1</w:t>
        </w:r>
      </w:hyperlink>
      <w:r w:rsidR="001C5ABF">
        <w:rPr>
          <w:rFonts w:cs="Arial"/>
          <w:iCs/>
          <w:sz w:val="20"/>
          <w:szCs w:val="20"/>
        </w:rPr>
        <w:t xml:space="preserve"> </w:t>
      </w:r>
      <w:r w:rsidRPr="00FB69B2">
        <w:rPr>
          <w:rFonts w:cs="Arial"/>
          <w:iCs/>
          <w:sz w:val="20"/>
          <w:szCs w:val="20"/>
        </w:rPr>
        <w:t>e mostrano che</w:t>
      </w:r>
      <w:r w:rsidR="00A04E2B">
        <w:rPr>
          <w:rFonts w:cs="Arial"/>
          <w:iCs/>
          <w:sz w:val="20"/>
          <w:szCs w:val="20"/>
        </w:rPr>
        <w:t>,</w:t>
      </w:r>
      <w:r w:rsidRPr="00FB69B2">
        <w:rPr>
          <w:rFonts w:cs="Arial"/>
          <w:iCs/>
          <w:sz w:val="20"/>
          <w:szCs w:val="20"/>
        </w:rPr>
        <w:t xml:space="preserve"> estrapolando all’universo dei GP in It</w:t>
      </w:r>
      <w:r w:rsidR="00C403EF" w:rsidRPr="00FB69B2">
        <w:rPr>
          <w:rFonts w:cs="Arial"/>
          <w:iCs/>
          <w:sz w:val="20"/>
          <w:szCs w:val="20"/>
        </w:rPr>
        <w:t>alia, si può stimare per il 2016</w:t>
      </w:r>
      <w:r w:rsidRPr="00FB69B2">
        <w:rPr>
          <w:rFonts w:cs="Arial"/>
          <w:iCs/>
          <w:sz w:val="20"/>
          <w:szCs w:val="20"/>
        </w:rPr>
        <w:t xml:space="preserve"> un numero pari a circa </w:t>
      </w:r>
      <w:r w:rsidR="00C403EF" w:rsidRPr="00FB69B2">
        <w:rPr>
          <w:rFonts w:cs="Arial"/>
          <w:iCs/>
          <w:sz w:val="20"/>
          <w:szCs w:val="20"/>
        </w:rPr>
        <w:t>4,7</w:t>
      </w:r>
      <w:r w:rsidRPr="00FB69B2">
        <w:rPr>
          <w:rFonts w:cs="Arial"/>
          <w:iCs/>
          <w:sz w:val="20"/>
          <w:szCs w:val="20"/>
        </w:rPr>
        <w:t xml:space="preserve"> milioni di soggetti </w:t>
      </w:r>
      <w:r w:rsidR="00C403EF" w:rsidRPr="00FB69B2">
        <w:rPr>
          <w:rFonts w:cs="Arial"/>
          <w:iCs/>
          <w:sz w:val="20"/>
          <w:szCs w:val="20"/>
        </w:rPr>
        <w:t>ai quali è stat</w:t>
      </w:r>
      <w:r w:rsidR="00167AB4">
        <w:rPr>
          <w:rFonts w:cs="Arial"/>
          <w:iCs/>
          <w:sz w:val="20"/>
          <w:szCs w:val="20"/>
        </w:rPr>
        <w:t>a</w:t>
      </w:r>
      <w:r w:rsidR="00C403EF" w:rsidRPr="00FB69B2">
        <w:rPr>
          <w:rFonts w:cs="Arial"/>
          <w:iCs/>
          <w:sz w:val="20"/>
          <w:szCs w:val="20"/>
        </w:rPr>
        <w:t xml:space="preserve"> diagnosticata</w:t>
      </w:r>
      <w:r w:rsidRPr="00FB69B2">
        <w:rPr>
          <w:rFonts w:cs="Arial"/>
          <w:iCs/>
          <w:sz w:val="20"/>
          <w:szCs w:val="20"/>
        </w:rPr>
        <w:t xml:space="preserve"> gotta/iperuricemia </w:t>
      </w:r>
      <w:r w:rsidRPr="00FB69B2">
        <w:rPr>
          <w:rFonts w:cs="Arial"/>
          <w:sz w:val="20"/>
          <w:szCs w:val="20"/>
        </w:rPr>
        <w:t>(</w:t>
      </w:r>
      <w:r w:rsidR="00563FA4">
        <w:rPr>
          <w:rFonts w:cs="Arial"/>
          <w:color w:val="0000FF"/>
          <w:sz w:val="20"/>
          <w:szCs w:val="20"/>
        </w:rPr>
        <w:t>IMS-Health LPD longitudinal Patient Database, 2016 (41)</w:t>
      </w:r>
      <w:r w:rsidRPr="00FB69B2">
        <w:rPr>
          <w:rFonts w:cs="Arial"/>
          <w:sz w:val="20"/>
          <w:szCs w:val="20"/>
        </w:rPr>
        <w:t>).</w:t>
      </w:r>
    </w:p>
    <w:p w14:paraId="40C1AAEE" w14:textId="77777777" w:rsidR="00A27B84" w:rsidRDefault="00A27B84" w:rsidP="00203F75">
      <w:pPr>
        <w:widowControl w:val="0"/>
        <w:autoSpaceDE w:val="0"/>
        <w:autoSpaceDN w:val="0"/>
        <w:adjustRightInd w:val="0"/>
        <w:spacing w:line="360" w:lineRule="auto"/>
        <w:rPr>
          <w:rFonts w:cs="Arial"/>
          <w:sz w:val="20"/>
          <w:szCs w:val="20"/>
        </w:rPr>
      </w:pPr>
    </w:p>
    <w:p w14:paraId="6011EEBE" w14:textId="3311130D" w:rsidR="001C5ABF" w:rsidRPr="001C5ABF" w:rsidRDefault="001C5ABF" w:rsidP="001C5ABF">
      <w:pPr>
        <w:pStyle w:val="Caption"/>
        <w:rPr>
          <w:rFonts w:asciiTheme="minorHAnsi" w:hAnsiTheme="minorHAnsi" w:cstheme="minorHAnsi"/>
          <w:lang w:val="it-IT"/>
        </w:rPr>
      </w:pPr>
      <w:bookmarkStart w:id="27" w:name="Tabella1"/>
      <w:bookmarkStart w:id="28" w:name="_Toc473150686"/>
      <w:bookmarkEnd w:id="27"/>
      <w:r w:rsidRPr="001C5ABF">
        <w:rPr>
          <w:rFonts w:asciiTheme="minorHAnsi" w:hAnsiTheme="minorHAnsi" w:cstheme="minorHAnsi"/>
          <w:lang w:val="it-IT"/>
        </w:rPr>
        <w:t xml:space="preserve">Tabella </w:t>
      </w:r>
      <w:r w:rsidRPr="001C5ABF">
        <w:rPr>
          <w:rFonts w:asciiTheme="minorHAnsi" w:hAnsiTheme="minorHAnsi" w:cstheme="minorHAnsi"/>
        </w:rPr>
        <w:fldChar w:fldCharType="begin"/>
      </w:r>
      <w:r w:rsidRPr="001C5ABF">
        <w:rPr>
          <w:rFonts w:asciiTheme="minorHAnsi" w:hAnsiTheme="minorHAnsi" w:cstheme="minorHAnsi"/>
          <w:lang w:val="it-IT"/>
        </w:rPr>
        <w:instrText xml:space="preserve"> SEQ Tabella \* ARABIC </w:instrText>
      </w:r>
      <w:r w:rsidRPr="001C5ABF">
        <w:rPr>
          <w:rFonts w:asciiTheme="minorHAnsi" w:hAnsiTheme="minorHAnsi" w:cstheme="minorHAnsi"/>
        </w:rPr>
        <w:fldChar w:fldCharType="separate"/>
      </w:r>
      <w:r w:rsidR="00A1679C">
        <w:rPr>
          <w:rFonts w:asciiTheme="minorHAnsi" w:hAnsiTheme="minorHAnsi" w:cstheme="minorHAnsi"/>
          <w:noProof/>
          <w:lang w:val="it-IT"/>
        </w:rPr>
        <w:t>1</w:t>
      </w:r>
      <w:r w:rsidRPr="001C5ABF">
        <w:rPr>
          <w:rFonts w:asciiTheme="minorHAnsi" w:hAnsiTheme="minorHAnsi" w:cstheme="minorHAnsi"/>
        </w:rPr>
        <w:fldChar w:fldCharType="end"/>
      </w:r>
      <w:r w:rsidRPr="001C5ABF">
        <w:rPr>
          <w:rFonts w:asciiTheme="minorHAnsi" w:hAnsiTheme="minorHAnsi" w:cstheme="minorHAnsi"/>
          <w:lang w:val="it-IT"/>
        </w:rPr>
        <w:t xml:space="preserve"> - </w:t>
      </w:r>
      <w:r w:rsidRPr="002F1705">
        <w:rPr>
          <w:rFonts w:asciiTheme="minorHAnsi" w:hAnsiTheme="minorHAnsi" w:cstheme="minorHAnsi"/>
          <w:b w:val="0"/>
          <w:lang w:val="it-IT"/>
        </w:rPr>
        <w:t>Pazienti con diagnosi di gotta/iperuricemia (</w:t>
      </w:r>
      <w:r w:rsidRPr="002F1705">
        <w:rPr>
          <w:rFonts w:asciiTheme="minorHAnsi" w:hAnsiTheme="minorHAnsi" w:cstheme="minorHAnsi"/>
          <w:b w:val="0"/>
          <w:color w:val="0000FF"/>
          <w:lang w:val="it-IT"/>
        </w:rPr>
        <w:t>IMS-Health LPD longitudinal Patient Database</w:t>
      </w:r>
      <w:r w:rsidRPr="002F1705">
        <w:rPr>
          <w:rFonts w:asciiTheme="minorHAnsi" w:hAnsiTheme="minorHAnsi" w:cstheme="minorHAnsi"/>
          <w:b w:val="0"/>
          <w:lang w:val="it-IT"/>
        </w:rPr>
        <w:t xml:space="preserve">, </w:t>
      </w:r>
      <w:r w:rsidRPr="002F1705">
        <w:rPr>
          <w:rFonts w:asciiTheme="minorHAnsi" w:hAnsiTheme="minorHAnsi" w:cstheme="minorHAnsi"/>
          <w:b w:val="0"/>
          <w:color w:val="0000FF"/>
          <w:lang w:val="it-IT"/>
        </w:rPr>
        <w:t>2016</w:t>
      </w:r>
      <w:r w:rsidRPr="001C5ABF">
        <w:rPr>
          <w:rFonts w:asciiTheme="minorHAnsi" w:hAnsiTheme="minorHAnsi" w:cstheme="minorHAnsi"/>
          <w:b w:val="0"/>
          <w:color w:val="auto"/>
          <w:lang w:val="it-IT"/>
        </w:rPr>
        <w:t>)</w:t>
      </w:r>
      <w:bookmarkEnd w:id="28"/>
    </w:p>
    <w:p w14:paraId="60C742A0" w14:textId="1790444B" w:rsidR="00A27B84" w:rsidRDefault="008601B4" w:rsidP="008601B4">
      <w:r>
        <w:rPr>
          <w:noProof/>
          <w:lang w:val="en-GB" w:eastAsia="en-GB"/>
        </w:rPr>
        <w:drawing>
          <wp:inline distT="0" distB="0" distL="0" distR="0" wp14:anchorId="57A76766" wp14:editId="2614EEDC">
            <wp:extent cx="5265420" cy="4020469"/>
            <wp:effectExtent l="0" t="0" r="0" b="0"/>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5036" cy="4020175"/>
                    </a:xfrm>
                    <a:prstGeom prst="rect">
                      <a:avLst/>
                    </a:prstGeom>
                    <a:noFill/>
                  </pic:spPr>
                </pic:pic>
              </a:graphicData>
            </a:graphic>
          </wp:inline>
        </w:drawing>
      </w:r>
    </w:p>
    <w:p w14:paraId="70D88E77" w14:textId="78A5D25C" w:rsidR="00CC3943" w:rsidRDefault="003963D4" w:rsidP="00CC3943">
      <w:pPr>
        <w:widowControl w:val="0"/>
        <w:autoSpaceDE w:val="0"/>
        <w:autoSpaceDN w:val="0"/>
        <w:adjustRightInd w:val="0"/>
        <w:spacing w:line="360" w:lineRule="auto"/>
        <w:rPr>
          <w:rFonts w:cs="Arial"/>
          <w:sz w:val="20"/>
          <w:szCs w:val="20"/>
        </w:rPr>
      </w:pPr>
      <w:r>
        <w:rPr>
          <w:rFonts w:cs="Arial"/>
          <w:sz w:val="20"/>
          <w:szCs w:val="20"/>
        </w:rPr>
        <w:t>I</w:t>
      </w:r>
      <w:r w:rsidR="00166C1B">
        <w:rPr>
          <w:rFonts w:cs="Arial"/>
          <w:sz w:val="20"/>
          <w:szCs w:val="20"/>
        </w:rPr>
        <w:t xml:space="preserve"> </w:t>
      </w:r>
      <w:r w:rsidR="00CC3943">
        <w:rPr>
          <w:rFonts w:cs="Arial"/>
          <w:sz w:val="20"/>
          <w:szCs w:val="20"/>
        </w:rPr>
        <w:t>642.000 pazienti gottosi (1% della popolazione</w:t>
      </w:r>
      <w:r w:rsidR="00166C1B">
        <w:rPr>
          <w:rFonts w:cs="Arial"/>
          <w:sz w:val="20"/>
          <w:szCs w:val="20"/>
        </w:rPr>
        <w:t>)</w:t>
      </w:r>
      <w:r w:rsidR="00B42CAA">
        <w:rPr>
          <w:rFonts w:cs="Arial"/>
          <w:sz w:val="20"/>
          <w:szCs w:val="20"/>
        </w:rPr>
        <w:t xml:space="preserve"> </w:t>
      </w:r>
      <w:r>
        <w:rPr>
          <w:rFonts w:cs="Arial"/>
          <w:sz w:val="20"/>
          <w:szCs w:val="20"/>
        </w:rPr>
        <w:t xml:space="preserve">sono stati </w:t>
      </w:r>
      <w:r w:rsidR="00166C1B">
        <w:rPr>
          <w:rFonts w:cs="Arial"/>
          <w:sz w:val="20"/>
          <w:szCs w:val="20"/>
        </w:rPr>
        <w:t>individuati da IMS sulla base d</w:t>
      </w:r>
      <w:r>
        <w:rPr>
          <w:rFonts w:cs="Arial"/>
          <w:sz w:val="20"/>
          <w:szCs w:val="20"/>
        </w:rPr>
        <w:t xml:space="preserve">ei seguenti </w:t>
      </w:r>
      <w:r w:rsidR="00166C1B">
        <w:rPr>
          <w:rFonts w:cs="Arial"/>
          <w:sz w:val="20"/>
          <w:szCs w:val="20"/>
        </w:rPr>
        <w:t>criteri strettamente identificati</w:t>
      </w:r>
      <w:r w:rsidR="001C5173">
        <w:rPr>
          <w:rFonts w:cs="Arial"/>
          <w:sz w:val="20"/>
          <w:szCs w:val="20"/>
        </w:rPr>
        <w:t xml:space="preserve">:  </w:t>
      </w:r>
      <w:r w:rsidR="00CC3943">
        <w:rPr>
          <w:rFonts w:cs="Arial"/>
          <w:sz w:val="20"/>
          <w:szCs w:val="20"/>
        </w:rPr>
        <w:t>a) almeno 1 prescrizione di colchicina e/o b) 1 prescrizione di corticosteroide e/o FANS in presenza di diagnosi di gotta e/o c) 1 prescrizione di corticosteroide e/o FANS in assenza di diagnosi ma con sUA &gt; 8 mg/dl analizzato nei due anni precedenti</w:t>
      </w:r>
      <w:r>
        <w:rPr>
          <w:rFonts w:cs="Arial"/>
          <w:sz w:val="20"/>
          <w:szCs w:val="20"/>
        </w:rPr>
        <w:t>.</w:t>
      </w:r>
    </w:p>
    <w:p w14:paraId="262A02D3" w14:textId="4AF63DD2" w:rsidR="00CC3943" w:rsidRPr="00BA4C59" w:rsidRDefault="00B42CAA" w:rsidP="00CC3943">
      <w:pPr>
        <w:widowControl w:val="0"/>
        <w:autoSpaceDE w:val="0"/>
        <w:autoSpaceDN w:val="0"/>
        <w:adjustRightInd w:val="0"/>
        <w:spacing w:line="360" w:lineRule="auto"/>
        <w:rPr>
          <w:rFonts w:cs="Arial"/>
          <w:sz w:val="20"/>
          <w:szCs w:val="20"/>
        </w:rPr>
      </w:pPr>
      <w:r>
        <w:rPr>
          <w:rStyle w:val="CommentReference"/>
          <w:rFonts w:ascii="Times New Roman" w:eastAsia="Times New Roman" w:hAnsi="Times New Roman"/>
          <w:lang w:eastAsia="it-IT"/>
        </w:rPr>
        <w:t>L</w:t>
      </w:r>
      <w:r w:rsidR="00CC3943">
        <w:rPr>
          <w:rFonts w:cs="Arial"/>
          <w:sz w:val="20"/>
          <w:szCs w:val="20"/>
        </w:rPr>
        <w:t>a parte rimanente dei pazienti</w:t>
      </w:r>
      <w:r w:rsidR="000529D2">
        <w:rPr>
          <w:rFonts w:cs="Arial"/>
          <w:sz w:val="20"/>
          <w:szCs w:val="20"/>
        </w:rPr>
        <w:t xml:space="preserve"> </w:t>
      </w:r>
      <w:r w:rsidR="0034252B">
        <w:rPr>
          <w:rFonts w:cs="Arial"/>
          <w:sz w:val="20"/>
          <w:szCs w:val="20"/>
        </w:rPr>
        <w:t>(</w:t>
      </w:r>
      <w:r w:rsidR="000529D2">
        <w:rPr>
          <w:rFonts w:cs="Arial"/>
          <w:sz w:val="20"/>
          <w:szCs w:val="20"/>
        </w:rPr>
        <w:t>4</w:t>
      </w:r>
      <w:r w:rsidR="0034252B">
        <w:rPr>
          <w:rFonts w:cs="Arial"/>
          <w:sz w:val="20"/>
          <w:szCs w:val="20"/>
        </w:rPr>
        <w:t>.</w:t>
      </w:r>
      <w:r w:rsidR="000529D2">
        <w:rPr>
          <w:rFonts w:cs="Arial"/>
          <w:sz w:val="20"/>
          <w:szCs w:val="20"/>
        </w:rPr>
        <w:t>063</w:t>
      </w:r>
      <w:r w:rsidR="0034252B">
        <w:rPr>
          <w:rFonts w:cs="Arial"/>
          <w:sz w:val="20"/>
          <w:szCs w:val="20"/>
        </w:rPr>
        <w:t>.000</w:t>
      </w:r>
      <w:r w:rsidR="001C5ABF">
        <w:rPr>
          <w:rFonts w:cs="Arial"/>
          <w:sz w:val="20"/>
          <w:szCs w:val="20"/>
        </w:rPr>
        <w:t>)</w:t>
      </w:r>
      <w:r w:rsidR="0034252B">
        <w:rPr>
          <w:rFonts w:cs="Arial"/>
          <w:sz w:val="20"/>
          <w:szCs w:val="20"/>
        </w:rPr>
        <w:t>,</w:t>
      </w:r>
      <w:r w:rsidR="00CC3943">
        <w:rPr>
          <w:rFonts w:cs="Arial"/>
          <w:sz w:val="20"/>
          <w:szCs w:val="20"/>
        </w:rPr>
        <w:t xml:space="preserve"> ad esclusione di quelli per cui sono identificate altre diagnosi</w:t>
      </w:r>
      <w:r w:rsidR="001C5ABF">
        <w:rPr>
          <w:rFonts w:cs="Arial"/>
          <w:sz w:val="20"/>
          <w:szCs w:val="20"/>
        </w:rPr>
        <w:t xml:space="preserve"> (</w:t>
      </w:r>
      <w:r w:rsidR="00CC3943">
        <w:rPr>
          <w:rFonts w:cs="Arial"/>
          <w:sz w:val="20"/>
          <w:szCs w:val="20"/>
        </w:rPr>
        <w:t xml:space="preserve">ca 19.000 pazienti) costituisce invece il gruppo dei </w:t>
      </w:r>
      <w:r w:rsidR="00CC3943" w:rsidRPr="00014B7A">
        <w:rPr>
          <w:rFonts w:cs="Arial"/>
          <w:sz w:val="20"/>
          <w:szCs w:val="20"/>
        </w:rPr>
        <w:t xml:space="preserve">pazienti </w:t>
      </w:r>
      <w:r w:rsidR="00CC3943" w:rsidRPr="001C5ABF">
        <w:rPr>
          <w:rFonts w:cs="Arial"/>
          <w:sz w:val="20"/>
          <w:szCs w:val="20"/>
        </w:rPr>
        <w:t>iperuricemici</w:t>
      </w:r>
      <w:r w:rsidR="003A18F4" w:rsidRPr="001C5ABF">
        <w:rPr>
          <w:rFonts w:cs="Arial"/>
          <w:sz w:val="20"/>
          <w:szCs w:val="20"/>
        </w:rPr>
        <w:t>/gottosi</w:t>
      </w:r>
      <w:r w:rsidR="00CC3943" w:rsidRPr="001C5ABF">
        <w:rPr>
          <w:rFonts w:cs="Arial"/>
          <w:sz w:val="20"/>
          <w:szCs w:val="20"/>
        </w:rPr>
        <w:t xml:space="preserve"> </w:t>
      </w:r>
      <w:r w:rsidR="003A18F4" w:rsidRPr="001C5ABF">
        <w:rPr>
          <w:rFonts w:cs="Arial"/>
          <w:sz w:val="20"/>
          <w:szCs w:val="20"/>
        </w:rPr>
        <w:t>che, a causa dell</w:t>
      </w:r>
      <w:r w:rsidR="003A18F4" w:rsidRPr="001C5ABF">
        <w:rPr>
          <w:rFonts w:cs="Arial"/>
          <w:b/>
          <w:sz w:val="20"/>
          <w:szCs w:val="20"/>
        </w:rPr>
        <w:t>’eterogeneità</w:t>
      </w:r>
      <w:r w:rsidR="003A18F4" w:rsidRPr="00A04E2B">
        <w:rPr>
          <w:rFonts w:cs="Arial"/>
          <w:b/>
          <w:sz w:val="20"/>
          <w:szCs w:val="20"/>
        </w:rPr>
        <w:t xml:space="preserve"> della definizione e registrazione dei casi di gotta e iperuricemia</w:t>
      </w:r>
      <w:r w:rsidR="003A18F4">
        <w:rPr>
          <w:rFonts w:cs="Arial"/>
          <w:b/>
          <w:sz w:val="20"/>
          <w:szCs w:val="20"/>
        </w:rPr>
        <w:t xml:space="preserve"> </w:t>
      </w:r>
      <w:r w:rsidR="003A18F4" w:rsidRPr="00082F7E">
        <w:rPr>
          <w:rFonts w:cs="Arial"/>
          <w:sz w:val="20"/>
          <w:szCs w:val="20"/>
        </w:rPr>
        <w:t xml:space="preserve">include </w:t>
      </w:r>
      <w:r w:rsidR="00CC3943" w:rsidRPr="00082F7E">
        <w:rPr>
          <w:rFonts w:cs="Arial"/>
          <w:sz w:val="20"/>
          <w:szCs w:val="20"/>
        </w:rPr>
        <w:t>u</w:t>
      </w:r>
      <w:r w:rsidR="00CC3943">
        <w:rPr>
          <w:rFonts w:cs="Arial"/>
          <w:sz w:val="20"/>
          <w:szCs w:val="20"/>
        </w:rPr>
        <w:t xml:space="preserve">na parte dei pazienti gottosi, che non rientravano nei criteri strettamente identificati dal primo gruppo. Tra questi, ad esempio rientrano parte dei </w:t>
      </w:r>
      <w:r w:rsidR="00CC3943" w:rsidRPr="00BA4C59">
        <w:rPr>
          <w:rFonts w:cs="Arial"/>
          <w:b/>
          <w:sz w:val="20"/>
          <w:szCs w:val="20"/>
        </w:rPr>
        <w:t xml:space="preserve">pazienti con gotta </w:t>
      </w:r>
      <w:r w:rsidR="00CC3943">
        <w:rPr>
          <w:rFonts w:cs="Arial"/>
          <w:b/>
          <w:sz w:val="20"/>
          <w:szCs w:val="20"/>
        </w:rPr>
        <w:t xml:space="preserve">nella fase </w:t>
      </w:r>
      <w:r w:rsidR="00CC3943" w:rsidRPr="00BA4C59">
        <w:rPr>
          <w:rFonts w:cs="Arial"/>
          <w:b/>
          <w:sz w:val="20"/>
          <w:szCs w:val="20"/>
        </w:rPr>
        <w:t>intercritica</w:t>
      </w:r>
      <w:r w:rsidR="00CC3943" w:rsidRPr="00D67AD5">
        <w:rPr>
          <w:rFonts w:cs="Arial"/>
          <w:sz w:val="20"/>
          <w:szCs w:val="20"/>
        </w:rPr>
        <w:t xml:space="preserve"> </w:t>
      </w:r>
      <w:r w:rsidR="00500613">
        <w:rPr>
          <w:rFonts w:cs="Arial"/>
          <w:sz w:val="20"/>
          <w:szCs w:val="20"/>
        </w:rPr>
        <w:t xml:space="preserve">(a target e non) </w:t>
      </w:r>
      <w:r w:rsidR="00CC3943" w:rsidRPr="00D67AD5">
        <w:rPr>
          <w:rFonts w:cs="Arial"/>
          <w:sz w:val="20"/>
          <w:szCs w:val="20"/>
        </w:rPr>
        <w:t>che</w:t>
      </w:r>
      <w:r w:rsidR="00CC3943">
        <w:rPr>
          <w:rFonts w:cs="Arial"/>
          <w:sz w:val="20"/>
          <w:szCs w:val="20"/>
        </w:rPr>
        <w:t xml:space="preserve">, pur avendo avuto almeno un attacco acuto di gotta in passato, </w:t>
      </w:r>
      <w:r w:rsidR="00CC3943" w:rsidRPr="00BA4C59">
        <w:rPr>
          <w:rFonts w:cs="Arial"/>
          <w:sz w:val="20"/>
          <w:szCs w:val="20"/>
        </w:rPr>
        <w:t xml:space="preserve">non sono </w:t>
      </w:r>
      <w:r w:rsidR="00CC3943">
        <w:rPr>
          <w:rFonts w:cs="Arial"/>
          <w:sz w:val="20"/>
          <w:szCs w:val="20"/>
        </w:rPr>
        <w:t xml:space="preserve">stati rilevati dall’analisi IMS come pazienti gottosi perché non sono </w:t>
      </w:r>
      <w:r w:rsidR="00CC3943" w:rsidRPr="00BA4C59">
        <w:rPr>
          <w:rFonts w:cs="Arial"/>
          <w:sz w:val="20"/>
          <w:szCs w:val="20"/>
        </w:rPr>
        <w:t>andati incontro a flares negli intervalli di</w:t>
      </w:r>
      <w:r w:rsidR="00CC3943">
        <w:rPr>
          <w:rFonts w:cs="Arial"/>
          <w:sz w:val="20"/>
          <w:szCs w:val="20"/>
        </w:rPr>
        <w:t xml:space="preserve"> tempo considerati.</w:t>
      </w:r>
    </w:p>
    <w:p w14:paraId="34BB15A5" w14:textId="0F8C1A3A" w:rsidR="00CC3943" w:rsidRDefault="00CC3943" w:rsidP="00CC3943">
      <w:pPr>
        <w:widowControl w:val="0"/>
        <w:autoSpaceDE w:val="0"/>
        <w:autoSpaceDN w:val="0"/>
        <w:adjustRightInd w:val="0"/>
        <w:spacing w:line="360" w:lineRule="auto"/>
        <w:rPr>
          <w:rFonts w:cs="Arial"/>
          <w:sz w:val="20"/>
          <w:szCs w:val="20"/>
        </w:rPr>
      </w:pPr>
      <w:r>
        <w:rPr>
          <w:rFonts w:cs="Arial"/>
          <w:sz w:val="20"/>
          <w:szCs w:val="20"/>
        </w:rPr>
        <w:t xml:space="preserve">Infatti, la fisiopatologia della gotta prevede che, a seguito di un attacco acuto </w:t>
      </w:r>
      <w:r w:rsidRPr="00D40CC5">
        <w:rPr>
          <w:rFonts w:cs="Arial"/>
          <w:sz w:val="20"/>
          <w:szCs w:val="20"/>
        </w:rPr>
        <w:t xml:space="preserve">di infiammazione articolare </w:t>
      </w:r>
      <w:r w:rsidRPr="00D40CC5">
        <w:rPr>
          <w:rFonts w:cs="Arial"/>
          <w:b/>
          <w:sz w:val="20"/>
          <w:szCs w:val="20"/>
        </w:rPr>
        <w:t>estremamente doloros</w:t>
      </w:r>
      <w:r>
        <w:rPr>
          <w:rFonts w:cs="Arial"/>
          <w:b/>
          <w:sz w:val="20"/>
          <w:szCs w:val="20"/>
        </w:rPr>
        <w:t>o</w:t>
      </w:r>
      <w:r w:rsidRPr="00D40CC5">
        <w:rPr>
          <w:rFonts w:cs="Arial"/>
          <w:b/>
          <w:sz w:val="20"/>
          <w:szCs w:val="20"/>
        </w:rPr>
        <w:t xml:space="preserve"> e disabilitant</w:t>
      </w:r>
      <w:r>
        <w:rPr>
          <w:rFonts w:cs="Arial"/>
          <w:b/>
          <w:sz w:val="20"/>
          <w:szCs w:val="20"/>
        </w:rPr>
        <w:t xml:space="preserve">e </w:t>
      </w:r>
      <w:r w:rsidRPr="00D40CC5">
        <w:rPr>
          <w:rFonts w:cs="Arial"/>
          <w:sz w:val="20"/>
          <w:szCs w:val="20"/>
        </w:rPr>
        <w:t>(</w:t>
      </w:r>
      <w:r w:rsidRPr="00D40CC5">
        <w:rPr>
          <w:rFonts w:cs="Arial"/>
          <w:sz w:val="20"/>
          <w:szCs w:val="20"/>
          <w:u w:val="single"/>
        </w:rPr>
        <w:t>artrite gottosa acuta</w:t>
      </w:r>
      <w:r w:rsidRPr="00D40CC5">
        <w:rPr>
          <w:rFonts w:cs="Arial"/>
          <w:sz w:val="20"/>
          <w:szCs w:val="20"/>
        </w:rPr>
        <w:t>)</w:t>
      </w:r>
      <w:r>
        <w:rPr>
          <w:rFonts w:cs="Arial"/>
          <w:sz w:val="20"/>
          <w:szCs w:val="20"/>
        </w:rPr>
        <w:t xml:space="preserve">, il paziente possa andare incontro a una </w:t>
      </w:r>
      <w:r w:rsidRPr="00014B7A">
        <w:rPr>
          <w:rFonts w:cs="Arial"/>
          <w:sz w:val="20"/>
          <w:szCs w:val="20"/>
          <w:u w:val="single"/>
        </w:rPr>
        <w:t>fase “intercritica”</w:t>
      </w:r>
      <w:r>
        <w:rPr>
          <w:rFonts w:cs="Arial"/>
          <w:sz w:val="20"/>
          <w:szCs w:val="20"/>
        </w:rPr>
        <w:t xml:space="preserve"> , </w:t>
      </w:r>
      <w:r w:rsidRPr="00353C28">
        <w:rPr>
          <w:rFonts w:cs="Arial"/>
          <w:sz w:val="20"/>
          <w:szCs w:val="20"/>
        </w:rPr>
        <w:t>che p</w:t>
      </w:r>
      <w:r>
        <w:rPr>
          <w:rFonts w:cs="Arial"/>
          <w:sz w:val="20"/>
          <w:szCs w:val="20"/>
        </w:rPr>
        <w:t>uò</w:t>
      </w:r>
      <w:r w:rsidRPr="00353C28">
        <w:rPr>
          <w:rFonts w:cs="Arial"/>
          <w:sz w:val="20"/>
          <w:szCs w:val="20"/>
        </w:rPr>
        <w:t xml:space="preserve"> durare anche anni, durante </w:t>
      </w:r>
      <w:r>
        <w:rPr>
          <w:rFonts w:cs="Arial"/>
          <w:sz w:val="20"/>
          <w:szCs w:val="20"/>
        </w:rPr>
        <w:t>la quale</w:t>
      </w:r>
      <w:r w:rsidRPr="00353C28">
        <w:rPr>
          <w:rFonts w:cs="Arial"/>
          <w:sz w:val="20"/>
          <w:szCs w:val="20"/>
        </w:rPr>
        <w:t xml:space="preserve"> il paziente, pur essendo nuovamente asintomatico, deve </w:t>
      </w:r>
      <w:r>
        <w:rPr>
          <w:rFonts w:cs="Arial"/>
          <w:sz w:val="20"/>
          <w:szCs w:val="20"/>
        </w:rPr>
        <w:t xml:space="preserve">però </w:t>
      </w:r>
      <w:r w:rsidRPr="00353C28">
        <w:rPr>
          <w:rFonts w:cs="Arial"/>
          <w:sz w:val="20"/>
          <w:szCs w:val="20"/>
        </w:rPr>
        <w:t>essere trattato</w:t>
      </w:r>
      <w:r>
        <w:rPr>
          <w:rFonts w:cs="Arial"/>
          <w:sz w:val="20"/>
          <w:szCs w:val="20"/>
        </w:rPr>
        <w:t xml:space="preserve">, perché </w:t>
      </w:r>
      <w:r w:rsidRPr="00353C28">
        <w:rPr>
          <w:rFonts w:cs="Arial"/>
          <w:sz w:val="20"/>
          <w:szCs w:val="20"/>
        </w:rPr>
        <w:t>i cristalli d</w:t>
      </w:r>
      <w:r>
        <w:rPr>
          <w:rFonts w:cs="Arial"/>
          <w:sz w:val="20"/>
          <w:szCs w:val="20"/>
        </w:rPr>
        <w:t xml:space="preserve">i MSU continuano a depositarsi </w:t>
      </w:r>
      <w:r w:rsidRPr="00353C28">
        <w:rPr>
          <w:rFonts w:cs="Arial"/>
          <w:sz w:val="20"/>
          <w:szCs w:val="20"/>
        </w:rPr>
        <w:t>anche in assenza di manifestazioni cliniche evidenti e la malattia progredisce</w:t>
      </w:r>
      <w:r>
        <w:rPr>
          <w:rFonts w:cs="Arial"/>
          <w:sz w:val="20"/>
          <w:szCs w:val="20"/>
        </w:rPr>
        <w:t xml:space="preserve"> </w:t>
      </w:r>
      <w:r w:rsidRPr="001B27C3">
        <w:rPr>
          <w:rFonts w:cs="Arial"/>
          <w:sz w:val="20"/>
          <w:szCs w:val="20"/>
        </w:rPr>
        <w:t>(</w:t>
      </w:r>
      <w:r w:rsidRPr="00500613">
        <w:rPr>
          <w:rFonts w:cs="Arial"/>
          <w:color w:val="0000FF"/>
          <w:sz w:val="20"/>
          <w:szCs w:val="20"/>
        </w:rPr>
        <w:t>Perez Ruiz, 2014 (9); Doghrami, 2016 (10)</w:t>
      </w:r>
      <w:r w:rsidRPr="001B27C3">
        <w:rPr>
          <w:rFonts w:cs="Arial"/>
          <w:sz w:val="20"/>
          <w:szCs w:val="20"/>
        </w:rPr>
        <w:t>)</w:t>
      </w:r>
      <w:r>
        <w:rPr>
          <w:rFonts w:cs="Arial"/>
          <w:sz w:val="20"/>
          <w:szCs w:val="20"/>
        </w:rPr>
        <w:t>.</w:t>
      </w:r>
      <w:r w:rsidRPr="00016171">
        <w:t xml:space="preserve"> </w:t>
      </w:r>
      <w:r w:rsidRPr="00016171">
        <w:rPr>
          <w:rFonts w:cs="Arial"/>
          <w:sz w:val="20"/>
          <w:szCs w:val="20"/>
        </w:rPr>
        <w:t>In oltre il 60% dei pazienti, la recidiva si verifica entro 1 anno</w:t>
      </w:r>
      <w:r>
        <w:rPr>
          <w:rFonts w:cs="Arial"/>
          <w:sz w:val="20"/>
          <w:szCs w:val="20"/>
        </w:rPr>
        <w:t>, nell’80% dei casi entro 3 anni</w:t>
      </w:r>
      <w:r w:rsidRPr="00016171">
        <w:rPr>
          <w:rFonts w:cs="Arial"/>
          <w:sz w:val="20"/>
          <w:szCs w:val="20"/>
        </w:rPr>
        <w:t xml:space="preserve"> </w:t>
      </w:r>
      <w:r>
        <w:rPr>
          <w:rFonts w:cs="Arial"/>
          <w:sz w:val="20"/>
          <w:szCs w:val="20"/>
        </w:rPr>
        <w:t>(</w:t>
      </w:r>
      <w:r w:rsidRPr="00157A70">
        <w:rPr>
          <w:rFonts w:cs="Arial"/>
          <w:color w:val="0000FF"/>
          <w:sz w:val="20"/>
          <w:szCs w:val="20"/>
        </w:rPr>
        <w:t>Terkeltaub, 2011 (55)</w:t>
      </w:r>
      <w:r>
        <w:rPr>
          <w:rFonts w:cs="Arial"/>
          <w:sz w:val="20"/>
          <w:szCs w:val="20"/>
        </w:rPr>
        <w:t>)</w:t>
      </w:r>
      <w:r w:rsidRPr="00016171">
        <w:rPr>
          <w:rFonts w:cs="Arial"/>
          <w:sz w:val="20"/>
          <w:szCs w:val="20"/>
        </w:rPr>
        <w:t>.</w:t>
      </w:r>
      <w:r w:rsidRPr="00353C28">
        <w:rPr>
          <w:rFonts w:cs="Arial"/>
          <w:sz w:val="20"/>
          <w:szCs w:val="20"/>
        </w:rPr>
        <w:t xml:space="preserve"> </w:t>
      </w:r>
      <w:r w:rsidRPr="00174FF1">
        <w:rPr>
          <w:rFonts w:cs="Arial"/>
          <w:sz w:val="20"/>
          <w:szCs w:val="20"/>
        </w:rPr>
        <w:t>Se in questi intervalli di tempo i livelli di sUA non vengono controllati</w:t>
      </w:r>
      <w:r w:rsidR="002B5225">
        <w:rPr>
          <w:rFonts w:cs="Arial"/>
          <w:sz w:val="20"/>
          <w:szCs w:val="20"/>
        </w:rPr>
        <w:t>,</w:t>
      </w:r>
      <w:r w:rsidRPr="00174FF1">
        <w:rPr>
          <w:rFonts w:cs="Arial"/>
          <w:sz w:val="20"/>
          <w:szCs w:val="20"/>
        </w:rPr>
        <w:t xml:space="preserve"> i cristalli di MSU continuano a depositarsi a livello di articolazioni, tessuti e organi, con il rischio di andare incontro a tutte le complicanze tipicamente riscontrate in presenza di questa patologia</w:t>
      </w:r>
      <w:r>
        <w:rPr>
          <w:rFonts w:cs="Arial"/>
          <w:sz w:val="20"/>
          <w:szCs w:val="20"/>
        </w:rPr>
        <w:t>.</w:t>
      </w:r>
    </w:p>
    <w:p w14:paraId="3B32F7E6" w14:textId="1E57E2C4" w:rsidR="00CC3943" w:rsidRDefault="00CC3943" w:rsidP="00CC3943">
      <w:pPr>
        <w:widowControl w:val="0"/>
        <w:autoSpaceDE w:val="0"/>
        <w:autoSpaceDN w:val="0"/>
        <w:adjustRightInd w:val="0"/>
        <w:spacing w:line="360" w:lineRule="auto"/>
        <w:rPr>
          <w:rFonts w:cs="Arial"/>
          <w:sz w:val="20"/>
          <w:szCs w:val="20"/>
        </w:rPr>
      </w:pPr>
      <w:r w:rsidRPr="00174FF1">
        <w:rPr>
          <w:rFonts w:cs="Arial"/>
          <w:b/>
          <w:sz w:val="20"/>
          <w:szCs w:val="20"/>
        </w:rPr>
        <w:t xml:space="preserve">Come dichiarato dall’esperto Prof. </w:t>
      </w:r>
      <w:r w:rsidR="00753598">
        <w:rPr>
          <w:rFonts w:cs="Arial"/>
          <w:b/>
          <w:sz w:val="20"/>
          <w:szCs w:val="20"/>
        </w:rPr>
        <w:t>Punzi Direttore U.O.C. di Reumatologia, Università degli Studi di Padova</w:t>
      </w:r>
      <w:r w:rsidR="005265FE">
        <w:rPr>
          <w:rFonts w:cs="Arial"/>
          <w:b/>
          <w:sz w:val="20"/>
          <w:szCs w:val="20"/>
        </w:rPr>
        <w:t xml:space="preserve"> (</w:t>
      </w:r>
      <w:hyperlink w:anchor="Allegato1" w:history="1">
        <w:r w:rsidRPr="00174FF1">
          <w:rPr>
            <w:rStyle w:val="Hyperlink"/>
            <w:rFonts w:cs="Arial"/>
            <w:b/>
            <w:sz w:val="20"/>
            <w:szCs w:val="20"/>
          </w:rPr>
          <w:t>Allegato 1</w:t>
        </w:r>
      </w:hyperlink>
      <w:r w:rsidRPr="00174FF1">
        <w:rPr>
          <w:rFonts w:cs="Arial"/>
          <w:b/>
          <w:sz w:val="20"/>
          <w:szCs w:val="20"/>
        </w:rPr>
        <w:t>), anche i pazienti gottosi in fase intercritica, ovvero asintomatici, devono essere adeguatamente trattati farmacologicamente</w:t>
      </w:r>
      <w:r>
        <w:rPr>
          <w:rFonts w:cs="Arial"/>
          <w:sz w:val="20"/>
          <w:szCs w:val="20"/>
        </w:rPr>
        <w:t>.</w:t>
      </w:r>
    </w:p>
    <w:p w14:paraId="65555480" w14:textId="77777777" w:rsidR="00CC3943" w:rsidRDefault="00CC3943" w:rsidP="00CC3943">
      <w:pPr>
        <w:widowControl w:val="0"/>
        <w:autoSpaceDE w:val="0"/>
        <w:autoSpaceDN w:val="0"/>
        <w:adjustRightInd w:val="0"/>
        <w:spacing w:line="360" w:lineRule="auto"/>
        <w:rPr>
          <w:rFonts w:cs="Arial"/>
          <w:sz w:val="20"/>
          <w:szCs w:val="20"/>
        </w:rPr>
      </w:pPr>
      <w:r w:rsidRPr="00174FF1">
        <w:rPr>
          <w:rFonts w:cs="Arial"/>
          <w:b/>
          <w:sz w:val="20"/>
          <w:szCs w:val="20"/>
        </w:rPr>
        <w:t>E’ fondamentale che i pazienti con gotta ricevano una gestione terapeutica ottimale anche in questa fase della patologia</w:t>
      </w:r>
      <w:r>
        <w:rPr>
          <w:rFonts w:cs="Arial"/>
          <w:sz w:val="20"/>
          <w:szCs w:val="20"/>
        </w:rPr>
        <w:t xml:space="preserve">, di apparente completo benessere, al fine di mantenere i livelli di sUA al di sotto del livello target, così da </w:t>
      </w:r>
      <w:r w:rsidRPr="00EB46C6">
        <w:rPr>
          <w:rFonts w:cs="Arial"/>
          <w:sz w:val="20"/>
          <w:szCs w:val="20"/>
        </w:rPr>
        <w:t>impedire la precipitazione ed il deposito di</w:t>
      </w:r>
      <w:r>
        <w:rPr>
          <w:rFonts w:cs="Arial"/>
          <w:sz w:val="20"/>
          <w:szCs w:val="20"/>
        </w:rPr>
        <w:t xml:space="preserve"> nuovi</w:t>
      </w:r>
      <w:r w:rsidRPr="00EB46C6">
        <w:rPr>
          <w:rFonts w:cs="Arial"/>
          <w:sz w:val="20"/>
          <w:szCs w:val="20"/>
        </w:rPr>
        <w:t xml:space="preserve"> cristalli di MSU</w:t>
      </w:r>
      <w:r>
        <w:rPr>
          <w:rFonts w:cs="Arial"/>
          <w:sz w:val="20"/>
          <w:szCs w:val="20"/>
        </w:rPr>
        <w:t>, d</w:t>
      </w:r>
      <w:r w:rsidRPr="003149B7">
        <w:rPr>
          <w:rFonts w:cs="Arial"/>
          <w:sz w:val="20"/>
          <w:szCs w:val="20"/>
        </w:rPr>
        <w:t xml:space="preserve">issolvere completamente i depositi  </w:t>
      </w:r>
      <w:r>
        <w:rPr>
          <w:rFonts w:cs="Arial"/>
          <w:sz w:val="20"/>
          <w:szCs w:val="20"/>
        </w:rPr>
        <w:t>già esistenti, prevenire i successivi episodi gottosi (attacchi acuti ricorrenti) e</w:t>
      </w:r>
      <w:r>
        <w:rPr>
          <w:rFonts w:cs="Arial"/>
          <w:b/>
          <w:sz w:val="20"/>
          <w:szCs w:val="20"/>
        </w:rPr>
        <w:t xml:space="preserve"> l’evoluzione</w:t>
      </w:r>
      <w:r w:rsidRPr="00D40CC5">
        <w:rPr>
          <w:rFonts w:cs="Arial"/>
          <w:sz w:val="20"/>
          <w:szCs w:val="20"/>
        </w:rPr>
        <w:t xml:space="preserve"> allo stadio di </w:t>
      </w:r>
      <w:r>
        <w:rPr>
          <w:rFonts w:cs="Arial"/>
          <w:sz w:val="20"/>
          <w:szCs w:val="20"/>
        </w:rPr>
        <w:t>gotta</w:t>
      </w:r>
      <w:r w:rsidRPr="00D40CC5">
        <w:rPr>
          <w:rFonts w:cs="Arial"/>
          <w:sz w:val="20"/>
          <w:szCs w:val="20"/>
          <w:u w:val="single"/>
        </w:rPr>
        <w:t xml:space="preserve"> cronica tofacea</w:t>
      </w:r>
      <w:r w:rsidRPr="00D40CC5">
        <w:rPr>
          <w:rFonts w:cs="Arial"/>
          <w:sz w:val="20"/>
          <w:szCs w:val="20"/>
        </w:rPr>
        <w:t xml:space="preserve">, caratterizzata dal coinvolgimento di più articolazioni e dalla presenza di </w:t>
      </w:r>
      <w:r w:rsidRPr="00D40CC5">
        <w:rPr>
          <w:rFonts w:cs="Arial"/>
          <w:b/>
          <w:sz w:val="20"/>
          <w:szCs w:val="20"/>
        </w:rPr>
        <w:t>tofi</w:t>
      </w:r>
      <w:r w:rsidRPr="00D40CC5">
        <w:rPr>
          <w:rFonts w:cs="Arial"/>
          <w:sz w:val="20"/>
          <w:szCs w:val="20"/>
        </w:rPr>
        <w:t xml:space="preserve">, depositi di cristalli di </w:t>
      </w:r>
      <w:r>
        <w:rPr>
          <w:rFonts w:cs="Arial"/>
          <w:sz w:val="20"/>
          <w:szCs w:val="20"/>
        </w:rPr>
        <w:t>MSU</w:t>
      </w:r>
      <w:r w:rsidRPr="00D40CC5">
        <w:rPr>
          <w:rFonts w:cs="Arial"/>
          <w:sz w:val="20"/>
          <w:szCs w:val="20"/>
        </w:rPr>
        <w:t xml:space="preserve"> che causano la distruzione delle articolazioni, </w:t>
      </w:r>
      <w:r w:rsidRPr="00D40CC5">
        <w:rPr>
          <w:rFonts w:cs="Arial"/>
          <w:b/>
          <w:sz w:val="20"/>
          <w:szCs w:val="20"/>
        </w:rPr>
        <w:t>dolore cronico</w:t>
      </w:r>
      <w:r w:rsidRPr="00D40CC5">
        <w:rPr>
          <w:rFonts w:cs="Arial"/>
          <w:sz w:val="20"/>
          <w:szCs w:val="20"/>
        </w:rPr>
        <w:t xml:space="preserve"> e grave compromissione della funzionalità fisica. (</w:t>
      </w:r>
      <w:r>
        <w:rPr>
          <w:rFonts w:cs="Arial"/>
          <w:color w:val="0000FF"/>
          <w:sz w:val="20"/>
          <w:szCs w:val="20"/>
        </w:rPr>
        <w:t>Perez Ruiz, 2015 (11)</w:t>
      </w:r>
      <w:r w:rsidRPr="002F1705">
        <w:rPr>
          <w:rFonts w:cs="Arial"/>
          <w:color w:val="0000FF"/>
          <w:sz w:val="20"/>
          <w:szCs w:val="20"/>
        </w:rPr>
        <w:t xml:space="preserve">; </w:t>
      </w:r>
      <w:r>
        <w:rPr>
          <w:rFonts w:cs="Arial"/>
          <w:color w:val="0000FF"/>
          <w:sz w:val="20"/>
          <w:szCs w:val="20"/>
        </w:rPr>
        <w:t>Doghrami, 2016 (10)</w:t>
      </w:r>
      <w:r w:rsidRPr="002F1705">
        <w:rPr>
          <w:rFonts w:cs="Arial"/>
          <w:color w:val="0000FF"/>
          <w:sz w:val="20"/>
          <w:szCs w:val="20"/>
        </w:rPr>
        <w:t xml:space="preserve">; </w:t>
      </w:r>
      <w:r>
        <w:rPr>
          <w:rFonts w:cs="Arial"/>
          <w:color w:val="0000FF"/>
          <w:sz w:val="20"/>
          <w:szCs w:val="20"/>
        </w:rPr>
        <w:t>Tatlock, 2016 (12)</w:t>
      </w:r>
      <w:r w:rsidRPr="00174FF1">
        <w:rPr>
          <w:rFonts w:cs="Arial"/>
          <w:sz w:val="20"/>
          <w:szCs w:val="20"/>
        </w:rPr>
        <w:t>).</w:t>
      </w:r>
    </w:p>
    <w:p w14:paraId="7C4D2458" w14:textId="348EAF87" w:rsidR="00CC3943" w:rsidRDefault="003A18F4" w:rsidP="00CC3943">
      <w:pPr>
        <w:widowControl w:val="0"/>
        <w:autoSpaceDE w:val="0"/>
        <w:autoSpaceDN w:val="0"/>
        <w:adjustRightInd w:val="0"/>
        <w:spacing w:line="360" w:lineRule="auto"/>
        <w:rPr>
          <w:rFonts w:cs="Arial"/>
          <w:iCs/>
          <w:sz w:val="20"/>
          <w:szCs w:val="20"/>
        </w:rPr>
      </w:pPr>
      <w:r>
        <w:rPr>
          <w:rFonts w:cs="Arial"/>
          <w:iCs/>
          <w:sz w:val="20"/>
          <w:szCs w:val="20"/>
        </w:rPr>
        <w:t xml:space="preserve">Dei </w:t>
      </w:r>
      <w:r w:rsidRPr="00FB69B2">
        <w:rPr>
          <w:rFonts w:cs="Arial"/>
          <w:iCs/>
          <w:sz w:val="20"/>
          <w:szCs w:val="20"/>
        </w:rPr>
        <w:t>circa 4,7 milioni di soggetti ai quali è stat</w:t>
      </w:r>
      <w:r>
        <w:rPr>
          <w:rFonts w:cs="Arial"/>
          <w:iCs/>
          <w:sz w:val="20"/>
          <w:szCs w:val="20"/>
        </w:rPr>
        <w:t>a</w:t>
      </w:r>
      <w:r w:rsidRPr="00FB69B2">
        <w:rPr>
          <w:rFonts w:cs="Arial"/>
          <w:iCs/>
          <w:sz w:val="20"/>
          <w:szCs w:val="20"/>
        </w:rPr>
        <w:t xml:space="preserve"> diagnosticata gotta/iperuricemia</w:t>
      </w:r>
      <w:r w:rsidR="00082F7E">
        <w:rPr>
          <w:rFonts w:cs="Arial"/>
          <w:iCs/>
          <w:sz w:val="20"/>
          <w:szCs w:val="20"/>
        </w:rPr>
        <w:t xml:space="preserve"> (</w:t>
      </w:r>
      <w:hyperlink w:anchor="Tabella1" w:history="1">
        <w:r w:rsidR="00082F7E" w:rsidRPr="00082F7E">
          <w:rPr>
            <w:rStyle w:val="Hyperlink"/>
            <w:rFonts w:cs="Arial"/>
            <w:iCs/>
            <w:sz w:val="20"/>
            <w:szCs w:val="20"/>
          </w:rPr>
          <w:t>Tabella 1</w:t>
        </w:r>
      </w:hyperlink>
      <w:r w:rsidR="00082F7E">
        <w:rPr>
          <w:rFonts w:cs="Arial"/>
          <w:iCs/>
          <w:sz w:val="20"/>
          <w:szCs w:val="20"/>
        </w:rPr>
        <w:t>)</w:t>
      </w:r>
      <w:r>
        <w:rPr>
          <w:rFonts w:cs="Arial"/>
          <w:iCs/>
          <w:sz w:val="20"/>
          <w:szCs w:val="20"/>
        </w:rPr>
        <w:t xml:space="preserve"> si riporta in </w:t>
      </w:r>
      <w:hyperlink w:anchor="Tabella2" w:history="1">
        <w:r w:rsidRPr="00082F7E">
          <w:rPr>
            <w:rStyle w:val="Hyperlink"/>
            <w:rFonts w:cs="Arial"/>
            <w:iCs/>
            <w:sz w:val="20"/>
            <w:szCs w:val="20"/>
          </w:rPr>
          <w:t xml:space="preserve">Tabella </w:t>
        </w:r>
        <w:r w:rsidR="00082F7E" w:rsidRPr="00082F7E">
          <w:rPr>
            <w:rStyle w:val="Hyperlink"/>
            <w:rFonts w:cs="Arial"/>
            <w:iCs/>
            <w:sz w:val="20"/>
            <w:szCs w:val="20"/>
          </w:rPr>
          <w:t>2</w:t>
        </w:r>
      </w:hyperlink>
      <w:r>
        <w:rPr>
          <w:rFonts w:cs="Arial"/>
          <w:iCs/>
          <w:sz w:val="20"/>
          <w:szCs w:val="20"/>
        </w:rPr>
        <w:t xml:space="preserve"> il</w:t>
      </w:r>
      <w:r w:rsidR="00CC3943" w:rsidRPr="00203F75">
        <w:rPr>
          <w:rFonts w:cs="Arial"/>
          <w:iCs/>
          <w:sz w:val="20"/>
          <w:szCs w:val="20"/>
        </w:rPr>
        <w:t xml:space="preserve"> numero di soggetti in trattamento con farmaci XOI,</w:t>
      </w:r>
      <w:r w:rsidR="00CC3943" w:rsidRPr="00203F75">
        <w:rPr>
          <w:rFonts w:cs="Arial"/>
          <w:sz w:val="20"/>
          <w:szCs w:val="20"/>
        </w:rPr>
        <w:t xml:space="preserve"> </w:t>
      </w:r>
      <w:r w:rsidR="00CC3943" w:rsidRPr="00203F75">
        <w:rPr>
          <w:rFonts w:cs="Arial"/>
          <w:iCs/>
          <w:sz w:val="20"/>
          <w:szCs w:val="20"/>
        </w:rPr>
        <w:t xml:space="preserve">rispetto al totale </w:t>
      </w:r>
      <w:r w:rsidR="007B6083">
        <w:rPr>
          <w:rFonts w:cs="Arial"/>
          <w:iCs/>
          <w:sz w:val="20"/>
          <w:szCs w:val="20"/>
        </w:rPr>
        <w:t xml:space="preserve">mercato </w:t>
      </w:r>
      <w:r w:rsidR="00CC3943" w:rsidRPr="00203F75">
        <w:rPr>
          <w:rFonts w:cs="Arial"/>
          <w:iCs/>
          <w:sz w:val="20"/>
          <w:szCs w:val="20"/>
        </w:rPr>
        <w:t>dei pazienti con diagnosi di gotta/iperuricemia</w:t>
      </w:r>
      <w:r w:rsidR="00CC3943">
        <w:rPr>
          <w:rFonts w:cs="Arial"/>
          <w:iCs/>
          <w:sz w:val="20"/>
          <w:szCs w:val="20"/>
        </w:rPr>
        <w:t xml:space="preserve"> (</w:t>
      </w:r>
      <w:r w:rsidR="00CC3943" w:rsidRPr="00EE09F5">
        <w:rPr>
          <w:rFonts w:cs="Arial"/>
          <w:b/>
          <w:iCs/>
          <w:sz w:val="20"/>
          <w:szCs w:val="20"/>
        </w:rPr>
        <w:t>ove è quindi corretto stimare l’inclusione di pazienti con gotta intercritica</w:t>
      </w:r>
      <w:r w:rsidR="0085653D" w:rsidRPr="0085653D">
        <w:rPr>
          <w:rFonts w:cs="Arial"/>
          <w:iCs/>
          <w:sz w:val="20"/>
          <w:szCs w:val="20"/>
        </w:rPr>
        <w:t>)</w:t>
      </w:r>
      <w:r w:rsidR="00CC3943" w:rsidRPr="00203F75">
        <w:rPr>
          <w:rFonts w:cs="Arial"/>
          <w:iCs/>
          <w:sz w:val="20"/>
          <w:szCs w:val="20"/>
        </w:rPr>
        <w:t xml:space="preserve">. </w:t>
      </w:r>
      <w:r w:rsidR="00CC3943">
        <w:rPr>
          <w:rFonts w:cs="Arial"/>
          <w:iCs/>
          <w:sz w:val="20"/>
          <w:szCs w:val="20"/>
        </w:rPr>
        <w:t>Solo il 37,4% dei pazienti diagnosticati gottosi/ipeuricemici risulta</w:t>
      </w:r>
      <w:r w:rsidR="00CC3943" w:rsidRPr="00203F75">
        <w:rPr>
          <w:rFonts w:cs="Arial"/>
          <w:iCs/>
          <w:sz w:val="20"/>
          <w:szCs w:val="20"/>
        </w:rPr>
        <w:t xml:space="preserve"> effettivamente trattat</w:t>
      </w:r>
      <w:r w:rsidR="00CC3943">
        <w:rPr>
          <w:rFonts w:cs="Arial"/>
          <w:iCs/>
          <w:sz w:val="20"/>
          <w:szCs w:val="20"/>
        </w:rPr>
        <w:t>o</w:t>
      </w:r>
      <w:r w:rsidR="00CC3943" w:rsidRPr="00203F75">
        <w:rPr>
          <w:rFonts w:cs="Arial"/>
          <w:iCs/>
          <w:sz w:val="20"/>
          <w:szCs w:val="20"/>
        </w:rPr>
        <w:t xml:space="preserve"> con XOI, in particolare: allopurinolo rappresenta </w:t>
      </w:r>
      <w:r w:rsidR="00CC3943">
        <w:rPr>
          <w:rFonts w:cs="Arial"/>
          <w:iCs/>
          <w:sz w:val="20"/>
          <w:szCs w:val="20"/>
        </w:rPr>
        <w:t xml:space="preserve">il </w:t>
      </w:r>
      <w:r w:rsidR="00CC3943" w:rsidRPr="00203F75">
        <w:rPr>
          <w:rFonts w:cs="Arial"/>
          <w:iCs/>
          <w:sz w:val="20"/>
          <w:szCs w:val="20"/>
        </w:rPr>
        <w:t xml:space="preserve"> </w:t>
      </w:r>
      <w:r w:rsidR="00CC3943">
        <w:rPr>
          <w:rFonts w:cs="Arial"/>
          <w:iCs/>
          <w:sz w:val="20"/>
          <w:szCs w:val="20"/>
        </w:rPr>
        <w:t>92%</w:t>
      </w:r>
      <w:r w:rsidR="00CC3943" w:rsidRPr="00203F75">
        <w:rPr>
          <w:rFonts w:cs="Arial"/>
          <w:iCs/>
          <w:sz w:val="20"/>
          <w:szCs w:val="20"/>
        </w:rPr>
        <w:t xml:space="preserve"> d</w:t>
      </w:r>
      <w:r w:rsidR="00CC3943">
        <w:rPr>
          <w:rFonts w:cs="Arial"/>
          <w:iCs/>
          <w:sz w:val="20"/>
          <w:szCs w:val="20"/>
        </w:rPr>
        <w:t>elle prescrizioni e febuxostat il</w:t>
      </w:r>
      <w:r w:rsidR="00CC3943" w:rsidRPr="00203F75">
        <w:rPr>
          <w:rFonts w:cs="Arial"/>
          <w:iCs/>
          <w:sz w:val="20"/>
          <w:szCs w:val="20"/>
        </w:rPr>
        <w:t xml:space="preserve"> </w:t>
      </w:r>
      <w:r w:rsidR="00CC3943">
        <w:rPr>
          <w:rFonts w:cs="Arial"/>
          <w:iCs/>
          <w:sz w:val="20"/>
          <w:szCs w:val="20"/>
        </w:rPr>
        <w:t>10</w:t>
      </w:r>
      <w:r w:rsidR="00CC3943" w:rsidRPr="00203F75">
        <w:rPr>
          <w:rFonts w:cs="Arial"/>
          <w:iCs/>
          <w:sz w:val="20"/>
          <w:szCs w:val="20"/>
        </w:rPr>
        <w:t>% (</w:t>
      </w:r>
      <w:r w:rsidR="00CC3943">
        <w:rPr>
          <w:rFonts w:cs="Arial"/>
          <w:iCs/>
          <w:sz w:val="20"/>
          <w:szCs w:val="20"/>
        </w:rPr>
        <w:t xml:space="preserve">la percentuale in eccesso rispetto al </w:t>
      </w:r>
      <w:r w:rsidR="00CC3943" w:rsidRPr="00203F75">
        <w:rPr>
          <w:rFonts w:cs="Arial"/>
          <w:iCs/>
          <w:sz w:val="20"/>
          <w:szCs w:val="20"/>
        </w:rPr>
        <w:t xml:space="preserve">100% </w:t>
      </w:r>
      <w:r w:rsidR="00CC3943">
        <w:rPr>
          <w:rFonts w:cs="Arial"/>
          <w:iCs/>
          <w:sz w:val="20"/>
          <w:szCs w:val="20"/>
        </w:rPr>
        <w:t xml:space="preserve">è da ritenersi </w:t>
      </w:r>
      <w:r w:rsidR="00CC3943" w:rsidRPr="00203F75">
        <w:rPr>
          <w:rFonts w:cs="Arial"/>
          <w:iCs/>
          <w:sz w:val="20"/>
          <w:szCs w:val="20"/>
        </w:rPr>
        <w:t xml:space="preserve"> co-prescrizione</w:t>
      </w:r>
      <w:r w:rsidR="00CC3943">
        <w:rPr>
          <w:rFonts w:cs="Arial"/>
          <w:iCs/>
          <w:sz w:val="20"/>
          <w:szCs w:val="20"/>
        </w:rPr>
        <w:t xml:space="preserve">). </w:t>
      </w:r>
    </w:p>
    <w:p w14:paraId="3DDF291D" w14:textId="77777777" w:rsidR="00CC3943" w:rsidRPr="00EE1DF0" w:rsidRDefault="00CC3943" w:rsidP="00CC3943">
      <w:pPr>
        <w:pStyle w:val="Caption"/>
        <w:rPr>
          <w:rFonts w:asciiTheme="minorHAnsi" w:hAnsiTheme="minorHAnsi" w:cstheme="minorHAnsi"/>
          <w:b w:val="0"/>
          <w:lang w:val="it-IT"/>
        </w:rPr>
      </w:pPr>
      <w:bookmarkStart w:id="29" w:name="Tabella2"/>
      <w:bookmarkStart w:id="30" w:name="_Toc473150687"/>
      <w:bookmarkEnd w:id="29"/>
      <w:r w:rsidRPr="002F1705">
        <w:rPr>
          <w:rFonts w:asciiTheme="minorHAnsi" w:hAnsiTheme="minorHAnsi" w:cstheme="minorHAnsi"/>
          <w:lang w:val="it-IT"/>
        </w:rPr>
        <w:t xml:space="preserve">Tabella </w:t>
      </w:r>
      <w:r w:rsidRPr="002F1705">
        <w:rPr>
          <w:rFonts w:asciiTheme="minorHAnsi" w:hAnsiTheme="minorHAnsi" w:cstheme="minorHAnsi"/>
        </w:rPr>
        <w:fldChar w:fldCharType="begin"/>
      </w:r>
      <w:r w:rsidRPr="002F1705">
        <w:rPr>
          <w:rFonts w:asciiTheme="minorHAnsi" w:hAnsiTheme="minorHAnsi" w:cstheme="minorHAnsi"/>
          <w:lang w:val="it-IT"/>
        </w:rPr>
        <w:instrText xml:space="preserve"> SEQ Tabella \* ARABIC </w:instrText>
      </w:r>
      <w:r w:rsidRPr="002F1705">
        <w:rPr>
          <w:rFonts w:asciiTheme="minorHAnsi" w:hAnsiTheme="minorHAnsi" w:cstheme="minorHAnsi"/>
        </w:rPr>
        <w:fldChar w:fldCharType="separate"/>
      </w:r>
      <w:r w:rsidR="00A1679C">
        <w:rPr>
          <w:rFonts w:asciiTheme="minorHAnsi" w:hAnsiTheme="minorHAnsi" w:cstheme="minorHAnsi"/>
          <w:noProof/>
          <w:lang w:val="it-IT"/>
        </w:rPr>
        <w:t>2</w:t>
      </w:r>
      <w:r w:rsidRPr="002F1705">
        <w:rPr>
          <w:rFonts w:asciiTheme="minorHAnsi" w:hAnsiTheme="minorHAnsi" w:cstheme="minorHAnsi"/>
        </w:rPr>
        <w:fldChar w:fldCharType="end"/>
      </w:r>
      <w:r w:rsidRPr="002F1705">
        <w:rPr>
          <w:rFonts w:asciiTheme="minorHAnsi" w:hAnsiTheme="minorHAnsi" w:cstheme="minorHAnsi"/>
          <w:lang w:val="it-IT"/>
        </w:rPr>
        <w:t xml:space="preserve"> - </w:t>
      </w:r>
      <w:r w:rsidRPr="002F1705">
        <w:rPr>
          <w:rFonts w:asciiTheme="minorHAnsi" w:hAnsiTheme="minorHAnsi" w:cstheme="minorHAnsi"/>
          <w:b w:val="0"/>
          <w:lang w:val="it-IT"/>
        </w:rPr>
        <w:t>Pazienti con diagnosi di gotta/iperuricemia e trattati con XOI (</w:t>
      </w:r>
      <w:r w:rsidRPr="002F1705">
        <w:rPr>
          <w:rFonts w:asciiTheme="minorHAnsi" w:hAnsiTheme="minorHAnsi" w:cstheme="minorHAnsi"/>
          <w:color w:val="0000FF"/>
          <w:lang w:val="it-IT"/>
        </w:rPr>
        <w:t>IMS-Health LPD longitudinal Patient</w:t>
      </w:r>
      <w:r w:rsidRPr="00EE1DF0">
        <w:rPr>
          <w:rFonts w:asciiTheme="minorHAnsi" w:hAnsiTheme="minorHAnsi" w:cstheme="minorHAnsi"/>
          <w:color w:val="0000FF"/>
          <w:lang w:val="it-IT"/>
        </w:rPr>
        <w:t xml:space="preserve"> Database</w:t>
      </w:r>
      <w:r w:rsidRPr="00EE1DF0">
        <w:rPr>
          <w:rFonts w:asciiTheme="minorHAnsi" w:hAnsiTheme="minorHAnsi" w:cstheme="minorHAnsi"/>
          <w:lang w:val="it-IT"/>
        </w:rPr>
        <w:t xml:space="preserve">, </w:t>
      </w:r>
      <w:r w:rsidRPr="00EE1DF0">
        <w:rPr>
          <w:rFonts w:asciiTheme="minorHAnsi" w:hAnsiTheme="minorHAnsi" w:cstheme="minorHAnsi"/>
          <w:color w:val="0000FF"/>
          <w:lang w:val="it-IT"/>
        </w:rPr>
        <w:t>201</w:t>
      </w:r>
      <w:r>
        <w:rPr>
          <w:rFonts w:asciiTheme="minorHAnsi" w:hAnsiTheme="minorHAnsi" w:cstheme="minorHAnsi"/>
          <w:color w:val="0000FF"/>
          <w:lang w:val="it-IT"/>
        </w:rPr>
        <w:t>6</w:t>
      </w:r>
      <w:r w:rsidRPr="00EE1DF0">
        <w:rPr>
          <w:rFonts w:asciiTheme="minorHAnsi" w:hAnsiTheme="minorHAnsi" w:cstheme="minorHAnsi"/>
          <w:b w:val="0"/>
          <w:lang w:val="it-IT"/>
        </w:rPr>
        <w:t>)</w:t>
      </w:r>
      <w:bookmarkEnd w:id="30"/>
    </w:p>
    <w:p w14:paraId="353908EA" w14:textId="06549516" w:rsidR="00CC3943" w:rsidRDefault="0087637F" w:rsidP="00CC3943">
      <w:pPr>
        <w:widowControl w:val="0"/>
        <w:autoSpaceDE w:val="0"/>
        <w:autoSpaceDN w:val="0"/>
        <w:adjustRightInd w:val="0"/>
        <w:spacing w:line="360" w:lineRule="auto"/>
        <w:rPr>
          <w:rFonts w:cs="Arial"/>
          <w:iCs/>
          <w:sz w:val="20"/>
          <w:szCs w:val="20"/>
        </w:rPr>
      </w:pPr>
      <w:r w:rsidRPr="00133CC3">
        <w:rPr>
          <w:noProof/>
          <w:lang w:val="en-GB" w:eastAsia="en-GB"/>
        </w:rPr>
        <w:drawing>
          <wp:inline distT="0" distB="0" distL="0" distR="0" wp14:anchorId="75E82064" wp14:editId="652F8D65">
            <wp:extent cx="4804185" cy="2385646"/>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04287" cy="2385697"/>
                    </a:xfrm>
                    <a:prstGeom prst="rect">
                      <a:avLst/>
                    </a:prstGeom>
                    <a:noFill/>
                    <a:ln>
                      <a:noFill/>
                    </a:ln>
                  </pic:spPr>
                </pic:pic>
              </a:graphicData>
            </a:graphic>
          </wp:inline>
        </w:drawing>
      </w:r>
    </w:p>
    <w:p w14:paraId="6817C881" w14:textId="77777777" w:rsidR="00CC3943" w:rsidRDefault="00CC3943" w:rsidP="00CC3943">
      <w:pPr>
        <w:widowControl w:val="0"/>
        <w:autoSpaceDE w:val="0"/>
        <w:autoSpaceDN w:val="0"/>
        <w:adjustRightInd w:val="0"/>
        <w:spacing w:line="360" w:lineRule="auto"/>
        <w:rPr>
          <w:rFonts w:cs="Arial"/>
          <w:iCs/>
          <w:sz w:val="20"/>
          <w:szCs w:val="20"/>
        </w:rPr>
      </w:pPr>
    </w:p>
    <w:p w14:paraId="094DC9C0" w14:textId="0D12DBD6" w:rsidR="007D684B" w:rsidRDefault="000529D2" w:rsidP="007D684B">
      <w:pPr>
        <w:widowControl w:val="0"/>
        <w:autoSpaceDE w:val="0"/>
        <w:autoSpaceDN w:val="0"/>
        <w:adjustRightInd w:val="0"/>
        <w:spacing w:line="360" w:lineRule="auto"/>
        <w:rPr>
          <w:rFonts w:cs="Arial"/>
          <w:iCs/>
          <w:sz w:val="20"/>
          <w:szCs w:val="20"/>
        </w:rPr>
      </w:pPr>
      <w:r>
        <w:rPr>
          <w:rFonts w:cs="Arial"/>
          <w:iCs/>
          <w:sz w:val="20"/>
          <w:szCs w:val="20"/>
        </w:rPr>
        <w:t xml:space="preserve">All’interno dei pazienti con diagnosi di gotta/iperuricemia presenti in </w:t>
      </w:r>
      <w:hyperlink w:anchor="Tabella2" w:history="1">
        <w:r w:rsidRPr="00082F7E">
          <w:rPr>
            <w:rStyle w:val="Hyperlink"/>
            <w:rFonts w:cs="Arial"/>
            <w:iCs/>
            <w:sz w:val="20"/>
            <w:szCs w:val="20"/>
          </w:rPr>
          <w:t xml:space="preserve">Tabella </w:t>
        </w:r>
        <w:r w:rsidR="00082F7E" w:rsidRPr="00082F7E">
          <w:rPr>
            <w:rStyle w:val="Hyperlink"/>
            <w:rFonts w:cs="Arial"/>
            <w:iCs/>
            <w:sz w:val="20"/>
            <w:szCs w:val="20"/>
          </w:rPr>
          <w:t>2</w:t>
        </w:r>
      </w:hyperlink>
      <w:r>
        <w:rPr>
          <w:rFonts w:cs="Arial"/>
          <w:iCs/>
          <w:sz w:val="20"/>
          <w:szCs w:val="20"/>
        </w:rPr>
        <w:t>, lo studio IMS evidenzia che dei circa 642.000 pazienti</w:t>
      </w:r>
      <w:r w:rsidR="0034252B">
        <w:rPr>
          <w:rFonts w:cs="Arial"/>
          <w:iCs/>
          <w:sz w:val="20"/>
          <w:szCs w:val="20"/>
        </w:rPr>
        <w:t xml:space="preserve"> gottosi, il 48.5% vengono trattati con XOI</w:t>
      </w:r>
      <w:r w:rsidR="007D684B">
        <w:rPr>
          <w:rFonts w:cs="Arial"/>
          <w:iCs/>
          <w:sz w:val="20"/>
          <w:szCs w:val="20"/>
        </w:rPr>
        <w:t xml:space="preserve">: i soggetti gottosi in trattamento con allopurinolo rappresenta l’89.3 % delle prescrizioni e febuxostat il 14.2% </w:t>
      </w:r>
      <w:r w:rsidR="007D684B" w:rsidRPr="00203F75">
        <w:rPr>
          <w:rFonts w:cs="Arial"/>
          <w:iCs/>
          <w:sz w:val="20"/>
          <w:szCs w:val="20"/>
        </w:rPr>
        <w:t>(</w:t>
      </w:r>
      <w:r w:rsidR="007D684B">
        <w:rPr>
          <w:rFonts w:cs="Arial"/>
          <w:iCs/>
          <w:sz w:val="20"/>
          <w:szCs w:val="20"/>
        </w:rPr>
        <w:t xml:space="preserve">la percentuale in eccesso rispetto al </w:t>
      </w:r>
      <w:r w:rsidR="007D684B" w:rsidRPr="00203F75">
        <w:rPr>
          <w:rFonts w:cs="Arial"/>
          <w:iCs/>
          <w:sz w:val="20"/>
          <w:szCs w:val="20"/>
        </w:rPr>
        <w:t xml:space="preserve">100% </w:t>
      </w:r>
      <w:r w:rsidR="007D684B">
        <w:rPr>
          <w:rFonts w:cs="Arial"/>
          <w:iCs/>
          <w:sz w:val="20"/>
          <w:szCs w:val="20"/>
        </w:rPr>
        <w:t xml:space="preserve">è da ritenersi </w:t>
      </w:r>
      <w:r w:rsidR="007D684B" w:rsidRPr="00203F75">
        <w:rPr>
          <w:rFonts w:cs="Arial"/>
          <w:iCs/>
          <w:sz w:val="20"/>
          <w:szCs w:val="20"/>
        </w:rPr>
        <w:t xml:space="preserve"> co-prescrizione</w:t>
      </w:r>
      <w:r w:rsidR="007D684B">
        <w:rPr>
          <w:rFonts w:cs="Arial"/>
          <w:iCs/>
          <w:sz w:val="20"/>
          <w:szCs w:val="20"/>
        </w:rPr>
        <w:t>)</w:t>
      </w:r>
      <w:r w:rsidR="0034252B">
        <w:rPr>
          <w:rFonts w:cs="Arial"/>
          <w:iCs/>
          <w:sz w:val="20"/>
          <w:szCs w:val="20"/>
        </w:rPr>
        <w:t xml:space="preserve"> (</w:t>
      </w:r>
      <w:hyperlink w:anchor="Tabella3" w:history="1">
        <w:r w:rsidR="0034252B" w:rsidRPr="00444C43">
          <w:rPr>
            <w:rStyle w:val="Hyperlink"/>
            <w:rFonts w:cs="Arial"/>
            <w:iCs/>
            <w:sz w:val="20"/>
            <w:szCs w:val="20"/>
          </w:rPr>
          <w:t>Tabella</w:t>
        </w:r>
        <w:r w:rsidR="0034252B">
          <w:rPr>
            <w:rStyle w:val="Hyperlink"/>
            <w:rFonts w:cs="Arial"/>
            <w:iCs/>
            <w:sz w:val="20"/>
            <w:szCs w:val="20"/>
          </w:rPr>
          <w:t xml:space="preserve"> </w:t>
        </w:r>
        <w:r w:rsidR="00082F7E">
          <w:rPr>
            <w:rStyle w:val="Hyperlink"/>
            <w:rFonts w:cs="Arial"/>
            <w:iCs/>
            <w:sz w:val="20"/>
            <w:szCs w:val="20"/>
          </w:rPr>
          <w:t>3</w:t>
        </w:r>
      </w:hyperlink>
      <w:r w:rsidR="0034252B" w:rsidRPr="00082F7E">
        <w:rPr>
          <w:rStyle w:val="Hyperlink"/>
          <w:rFonts w:cs="Arial"/>
          <w:iCs/>
          <w:color w:val="auto"/>
          <w:sz w:val="20"/>
          <w:szCs w:val="20"/>
        </w:rPr>
        <w:t>)</w:t>
      </w:r>
      <w:r w:rsidR="007D684B">
        <w:rPr>
          <w:rFonts w:cs="Arial"/>
          <w:iCs/>
          <w:sz w:val="20"/>
          <w:szCs w:val="20"/>
        </w:rPr>
        <w:t>.</w:t>
      </w:r>
    </w:p>
    <w:p w14:paraId="205F7665" w14:textId="77777777" w:rsidR="007D684B" w:rsidRDefault="007D684B" w:rsidP="00CC3943">
      <w:pPr>
        <w:widowControl w:val="0"/>
        <w:autoSpaceDE w:val="0"/>
        <w:autoSpaceDN w:val="0"/>
        <w:adjustRightInd w:val="0"/>
        <w:spacing w:line="360" w:lineRule="auto"/>
        <w:rPr>
          <w:rFonts w:cs="Arial"/>
          <w:iCs/>
          <w:sz w:val="20"/>
          <w:szCs w:val="20"/>
        </w:rPr>
      </w:pPr>
    </w:p>
    <w:p w14:paraId="7373F259" w14:textId="77777777" w:rsidR="00CC3943" w:rsidRPr="00EE1DF0" w:rsidRDefault="00CC3943" w:rsidP="00CC3943">
      <w:pPr>
        <w:pStyle w:val="Caption"/>
        <w:rPr>
          <w:rFonts w:asciiTheme="minorHAnsi" w:hAnsiTheme="minorHAnsi" w:cstheme="minorHAnsi"/>
          <w:b w:val="0"/>
          <w:lang w:val="it-IT"/>
        </w:rPr>
      </w:pPr>
      <w:bookmarkStart w:id="31" w:name="Tabella3"/>
      <w:bookmarkStart w:id="32" w:name="_Toc473150688"/>
      <w:bookmarkEnd w:id="31"/>
      <w:r w:rsidRPr="002F1705">
        <w:rPr>
          <w:rFonts w:asciiTheme="minorHAnsi" w:hAnsiTheme="minorHAnsi" w:cstheme="minorHAnsi"/>
          <w:lang w:val="it-IT"/>
        </w:rPr>
        <w:t xml:space="preserve">Tabella </w:t>
      </w:r>
      <w:r w:rsidRPr="002F1705">
        <w:rPr>
          <w:rFonts w:asciiTheme="minorHAnsi" w:hAnsiTheme="minorHAnsi" w:cstheme="minorHAnsi"/>
        </w:rPr>
        <w:fldChar w:fldCharType="begin"/>
      </w:r>
      <w:r w:rsidRPr="002F1705">
        <w:rPr>
          <w:rFonts w:asciiTheme="minorHAnsi" w:hAnsiTheme="minorHAnsi" w:cstheme="minorHAnsi"/>
          <w:lang w:val="it-IT"/>
        </w:rPr>
        <w:instrText xml:space="preserve"> SEQ Tabella \* ARABIC </w:instrText>
      </w:r>
      <w:r w:rsidRPr="002F1705">
        <w:rPr>
          <w:rFonts w:asciiTheme="minorHAnsi" w:hAnsiTheme="minorHAnsi" w:cstheme="minorHAnsi"/>
        </w:rPr>
        <w:fldChar w:fldCharType="separate"/>
      </w:r>
      <w:r w:rsidR="00A1679C">
        <w:rPr>
          <w:rFonts w:asciiTheme="minorHAnsi" w:hAnsiTheme="minorHAnsi" w:cstheme="minorHAnsi"/>
          <w:noProof/>
          <w:lang w:val="it-IT"/>
        </w:rPr>
        <w:t>3</w:t>
      </w:r>
      <w:r w:rsidRPr="002F1705">
        <w:rPr>
          <w:rFonts w:asciiTheme="minorHAnsi" w:hAnsiTheme="minorHAnsi" w:cstheme="minorHAnsi"/>
        </w:rPr>
        <w:fldChar w:fldCharType="end"/>
      </w:r>
      <w:r w:rsidRPr="002F1705">
        <w:rPr>
          <w:rFonts w:asciiTheme="minorHAnsi" w:hAnsiTheme="minorHAnsi" w:cstheme="minorHAnsi"/>
          <w:lang w:val="it-IT"/>
        </w:rPr>
        <w:t xml:space="preserve"> - </w:t>
      </w:r>
      <w:r w:rsidRPr="002F1705">
        <w:rPr>
          <w:rFonts w:asciiTheme="minorHAnsi" w:hAnsiTheme="minorHAnsi" w:cstheme="minorHAnsi"/>
          <w:b w:val="0"/>
          <w:lang w:val="it-IT"/>
        </w:rPr>
        <w:t>Pazienti con diagnosi di gotta e trattati con XOI (</w:t>
      </w:r>
      <w:r w:rsidRPr="002F1705">
        <w:rPr>
          <w:rFonts w:asciiTheme="minorHAnsi" w:hAnsiTheme="minorHAnsi" w:cstheme="minorHAnsi"/>
          <w:color w:val="0000FF"/>
          <w:lang w:val="it-IT"/>
        </w:rPr>
        <w:t>IMS-Health LPD longitudinal Patient Database</w:t>
      </w:r>
      <w:r w:rsidRPr="002F1705">
        <w:rPr>
          <w:rFonts w:asciiTheme="minorHAnsi" w:hAnsiTheme="minorHAnsi" w:cstheme="minorHAnsi"/>
          <w:lang w:val="it-IT"/>
        </w:rPr>
        <w:t>,</w:t>
      </w:r>
      <w:r w:rsidRPr="00EE1DF0">
        <w:rPr>
          <w:rFonts w:asciiTheme="minorHAnsi" w:hAnsiTheme="minorHAnsi" w:cstheme="minorHAnsi"/>
          <w:lang w:val="it-IT"/>
        </w:rPr>
        <w:t xml:space="preserve"> </w:t>
      </w:r>
      <w:r w:rsidRPr="00EE1DF0">
        <w:rPr>
          <w:rFonts w:asciiTheme="minorHAnsi" w:hAnsiTheme="minorHAnsi" w:cstheme="minorHAnsi"/>
          <w:color w:val="0000FF"/>
          <w:lang w:val="it-IT"/>
        </w:rPr>
        <w:t>201</w:t>
      </w:r>
      <w:r>
        <w:rPr>
          <w:rFonts w:asciiTheme="minorHAnsi" w:hAnsiTheme="minorHAnsi" w:cstheme="minorHAnsi"/>
          <w:color w:val="0000FF"/>
          <w:lang w:val="it-IT"/>
        </w:rPr>
        <w:t>6</w:t>
      </w:r>
      <w:r w:rsidRPr="00EE1DF0">
        <w:rPr>
          <w:rFonts w:asciiTheme="minorHAnsi" w:hAnsiTheme="minorHAnsi" w:cstheme="minorHAnsi"/>
          <w:b w:val="0"/>
          <w:lang w:val="it-IT"/>
        </w:rPr>
        <w:t>)</w:t>
      </w:r>
      <w:bookmarkEnd w:id="32"/>
    </w:p>
    <w:tbl>
      <w:tblPr>
        <w:tblW w:w="412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35"/>
        <w:gridCol w:w="1799"/>
        <w:gridCol w:w="1801"/>
      </w:tblGrid>
      <w:tr w:rsidR="00CC3943" w:rsidRPr="003A5C9B" w14:paraId="09E5DCB4" w14:textId="77777777" w:rsidTr="0087637F">
        <w:trPr>
          <w:trHeight w:val="503"/>
        </w:trPr>
        <w:tc>
          <w:tcPr>
            <w:tcW w:w="3936" w:type="dxa"/>
            <w:shd w:val="clear" w:color="auto" w:fill="D9D9D9"/>
          </w:tcPr>
          <w:p w14:paraId="42253957" w14:textId="77777777" w:rsidR="00CC3943" w:rsidRPr="00BB0496" w:rsidRDefault="00CC3943" w:rsidP="0087637F">
            <w:pPr>
              <w:spacing w:before="60"/>
              <w:jc w:val="center"/>
              <w:rPr>
                <w:rFonts w:ascii="Arial" w:eastAsia="Calibri" w:hAnsi="Arial" w:cs="Arial"/>
                <w:b/>
                <w:sz w:val="20"/>
                <w:szCs w:val="20"/>
                <w:lang w:eastAsia="en-US"/>
              </w:rPr>
            </w:pPr>
          </w:p>
        </w:tc>
        <w:tc>
          <w:tcPr>
            <w:tcW w:w="1842" w:type="dxa"/>
            <w:shd w:val="clear" w:color="auto" w:fill="D9D9D9"/>
            <w:vAlign w:val="center"/>
          </w:tcPr>
          <w:p w14:paraId="2915A5EF" w14:textId="77777777" w:rsidR="00CC3943" w:rsidRPr="003A5C9B" w:rsidRDefault="00CC3943" w:rsidP="0087637F">
            <w:pPr>
              <w:spacing w:before="60"/>
              <w:jc w:val="center"/>
              <w:rPr>
                <w:rFonts w:ascii="Arial" w:eastAsia="Calibri" w:hAnsi="Arial" w:cs="Arial"/>
                <w:b/>
                <w:sz w:val="20"/>
                <w:szCs w:val="20"/>
                <w:lang w:val="en-GB" w:eastAsia="en-US"/>
              </w:rPr>
            </w:pPr>
            <w:r>
              <w:rPr>
                <w:rFonts w:ascii="Arial" w:eastAsia="Calibri" w:hAnsi="Arial" w:cs="Arial"/>
                <w:b/>
                <w:sz w:val="20"/>
                <w:szCs w:val="20"/>
                <w:lang w:val="en-GB" w:eastAsia="en-US"/>
              </w:rPr>
              <w:t>Abs.</w:t>
            </w:r>
          </w:p>
        </w:tc>
        <w:tc>
          <w:tcPr>
            <w:tcW w:w="1844" w:type="dxa"/>
            <w:shd w:val="clear" w:color="auto" w:fill="D9D9D9"/>
            <w:vAlign w:val="center"/>
          </w:tcPr>
          <w:p w14:paraId="3E8B87CF" w14:textId="77777777" w:rsidR="00CC3943" w:rsidRPr="003A5C9B" w:rsidRDefault="00CC3943" w:rsidP="0087637F">
            <w:pPr>
              <w:spacing w:before="60"/>
              <w:jc w:val="center"/>
              <w:rPr>
                <w:rFonts w:ascii="Arial" w:eastAsia="Calibri" w:hAnsi="Arial" w:cs="Arial"/>
                <w:b/>
                <w:sz w:val="20"/>
                <w:szCs w:val="20"/>
                <w:lang w:val="en-GB" w:eastAsia="en-US"/>
              </w:rPr>
            </w:pPr>
            <w:r w:rsidRPr="003A5C9B">
              <w:rPr>
                <w:rFonts w:ascii="Arial" w:eastAsia="Calibri" w:hAnsi="Arial" w:cs="Arial"/>
                <w:b/>
                <w:sz w:val="20"/>
                <w:szCs w:val="20"/>
                <w:lang w:val="en-GB" w:eastAsia="en-US"/>
              </w:rPr>
              <w:t>%</w:t>
            </w:r>
          </w:p>
        </w:tc>
      </w:tr>
      <w:tr w:rsidR="00CC3943" w:rsidRPr="003A5C9B" w14:paraId="509CA72E" w14:textId="77777777" w:rsidTr="0087637F">
        <w:trPr>
          <w:trHeight w:val="219"/>
        </w:trPr>
        <w:tc>
          <w:tcPr>
            <w:tcW w:w="3936" w:type="dxa"/>
            <w:tcBorders>
              <w:bottom w:val="single" w:sz="4" w:space="0" w:color="auto"/>
            </w:tcBorders>
            <w:vAlign w:val="center"/>
          </w:tcPr>
          <w:p w14:paraId="5250AA53" w14:textId="77777777" w:rsidR="00CC3943" w:rsidRPr="00BB0496" w:rsidRDefault="00CC3943" w:rsidP="0087637F">
            <w:pPr>
              <w:spacing w:before="60"/>
              <w:rPr>
                <w:rFonts w:ascii="Arial" w:eastAsia="Calibri" w:hAnsi="Arial" w:cs="Arial"/>
                <w:b/>
                <w:sz w:val="20"/>
                <w:szCs w:val="20"/>
                <w:lang w:eastAsia="en-US"/>
              </w:rPr>
            </w:pPr>
            <w:r w:rsidRPr="00BB0496">
              <w:rPr>
                <w:rFonts w:ascii="Arial" w:eastAsia="Calibri" w:hAnsi="Arial" w:cs="Arial"/>
                <w:b/>
                <w:sz w:val="20"/>
                <w:szCs w:val="20"/>
                <w:lang w:eastAsia="en-US"/>
              </w:rPr>
              <w:t>Totale pazienti con diagnosi di GOTTA</w:t>
            </w:r>
          </w:p>
        </w:tc>
        <w:tc>
          <w:tcPr>
            <w:tcW w:w="1842" w:type="dxa"/>
            <w:tcBorders>
              <w:bottom w:val="single" w:sz="4" w:space="0" w:color="auto"/>
            </w:tcBorders>
          </w:tcPr>
          <w:p w14:paraId="7BA3102F" w14:textId="70053891" w:rsidR="00CC3943" w:rsidRPr="003A5C9B" w:rsidRDefault="00CC3943" w:rsidP="002B5225">
            <w:pPr>
              <w:jc w:val="center"/>
              <w:rPr>
                <w:rFonts w:ascii="Arial" w:eastAsia="Times New Roman" w:hAnsi="Arial" w:cs="Arial"/>
                <w:b/>
                <w:bCs/>
                <w:sz w:val="20"/>
                <w:szCs w:val="20"/>
                <w:lang w:val="en-GB" w:eastAsia="en-US"/>
              </w:rPr>
            </w:pPr>
            <w:r w:rsidRPr="003A5C9B">
              <w:rPr>
                <w:rFonts w:ascii="Arial" w:eastAsia="Calibri" w:hAnsi="Arial" w:cs="Arial"/>
                <w:b/>
                <w:bCs/>
                <w:sz w:val="20"/>
                <w:szCs w:val="20"/>
                <w:lang w:val="en-GB" w:eastAsia="en-US"/>
              </w:rPr>
              <w:t>642</w:t>
            </w:r>
            <w:r w:rsidR="002B5225">
              <w:rPr>
                <w:rFonts w:ascii="Arial" w:eastAsia="Calibri" w:hAnsi="Arial" w:cs="Arial"/>
                <w:b/>
                <w:bCs/>
                <w:sz w:val="20"/>
                <w:szCs w:val="20"/>
                <w:lang w:val="en-GB" w:eastAsia="en-US"/>
              </w:rPr>
              <w:t>.</w:t>
            </w:r>
            <w:r w:rsidRPr="003A5C9B">
              <w:rPr>
                <w:rFonts w:ascii="Arial" w:eastAsia="Calibri" w:hAnsi="Arial" w:cs="Arial"/>
                <w:b/>
                <w:bCs/>
                <w:sz w:val="20"/>
                <w:szCs w:val="20"/>
                <w:lang w:val="en-GB" w:eastAsia="en-US"/>
              </w:rPr>
              <w:t>063</w:t>
            </w:r>
          </w:p>
        </w:tc>
        <w:tc>
          <w:tcPr>
            <w:tcW w:w="1844" w:type="dxa"/>
            <w:tcBorders>
              <w:bottom w:val="single" w:sz="4" w:space="0" w:color="auto"/>
            </w:tcBorders>
          </w:tcPr>
          <w:p w14:paraId="39B0D9B4" w14:textId="13580E3C" w:rsidR="00CC3943" w:rsidRPr="003A5C9B" w:rsidRDefault="00CC3943" w:rsidP="002B5225">
            <w:pPr>
              <w:spacing w:line="276" w:lineRule="auto"/>
              <w:jc w:val="center"/>
              <w:rPr>
                <w:rFonts w:ascii="Arial" w:eastAsia="Calibri" w:hAnsi="Arial" w:cs="Arial"/>
                <w:b/>
                <w:bCs/>
                <w:sz w:val="20"/>
                <w:szCs w:val="20"/>
                <w:lang w:val="en-GB" w:eastAsia="en-US"/>
              </w:rPr>
            </w:pPr>
            <w:r w:rsidRPr="003A5C9B">
              <w:rPr>
                <w:rFonts w:ascii="Arial" w:eastAsia="Calibri" w:hAnsi="Arial" w:cs="Arial"/>
                <w:b/>
                <w:bCs/>
                <w:sz w:val="20"/>
                <w:szCs w:val="20"/>
                <w:lang w:val="en-GB" w:eastAsia="en-US"/>
              </w:rPr>
              <w:t>100</w:t>
            </w:r>
            <w:r w:rsidR="002B5225">
              <w:rPr>
                <w:rFonts w:ascii="Arial" w:eastAsia="Calibri" w:hAnsi="Arial" w:cs="Arial"/>
                <w:b/>
                <w:bCs/>
                <w:sz w:val="20"/>
                <w:szCs w:val="20"/>
                <w:lang w:val="en-GB" w:eastAsia="en-US"/>
              </w:rPr>
              <w:t>,</w:t>
            </w:r>
            <w:r w:rsidRPr="003A5C9B">
              <w:rPr>
                <w:rFonts w:ascii="Arial" w:eastAsia="Calibri" w:hAnsi="Arial" w:cs="Arial"/>
                <w:b/>
                <w:bCs/>
                <w:sz w:val="20"/>
                <w:szCs w:val="20"/>
                <w:lang w:val="en-GB" w:eastAsia="en-US"/>
              </w:rPr>
              <w:t>0%</w:t>
            </w:r>
          </w:p>
        </w:tc>
      </w:tr>
      <w:tr w:rsidR="00CC3943" w:rsidRPr="003A5C9B" w14:paraId="47FD9CB3" w14:textId="77777777" w:rsidTr="0087637F">
        <w:trPr>
          <w:trHeight w:val="312"/>
        </w:trPr>
        <w:tc>
          <w:tcPr>
            <w:tcW w:w="3936" w:type="dxa"/>
            <w:tcBorders>
              <w:top w:val="single" w:sz="4" w:space="0" w:color="auto"/>
              <w:bottom w:val="dotted" w:sz="4" w:space="0" w:color="auto"/>
            </w:tcBorders>
            <w:vAlign w:val="center"/>
          </w:tcPr>
          <w:p w14:paraId="24C672EB" w14:textId="77777777" w:rsidR="00CC3943" w:rsidRPr="00BB0496" w:rsidRDefault="00CC3943" w:rsidP="0087637F">
            <w:pPr>
              <w:spacing w:before="60"/>
              <w:ind w:left="34" w:hanging="34"/>
              <w:rPr>
                <w:rFonts w:ascii="Arial" w:eastAsia="Calibri" w:hAnsi="Arial" w:cs="Arial"/>
                <w:sz w:val="20"/>
                <w:szCs w:val="20"/>
                <w:lang w:eastAsia="en-US"/>
              </w:rPr>
            </w:pPr>
            <w:r w:rsidRPr="00BB0496">
              <w:rPr>
                <w:rFonts w:ascii="Arial" w:eastAsia="Calibri" w:hAnsi="Arial" w:cs="Arial"/>
                <w:sz w:val="20"/>
                <w:szCs w:val="20"/>
                <w:lang w:eastAsia="en-US"/>
              </w:rPr>
              <w:t>Totale pazienti trattati con XOI</w:t>
            </w:r>
          </w:p>
        </w:tc>
        <w:tc>
          <w:tcPr>
            <w:tcW w:w="1842" w:type="dxa"/>
            <w:tcBorders>
              <w:top w:val="single" w:sz="4" w:space="0" w:color="auto"/>
              <w:bottom w:val="dotted" w:sz="4" w:space="0" w:color="auto"/>
            </w:tcBorders>
          </w:tcPr>
          <w:p w14:paraId="6C3367BA" w14:textId="3426DB81" w:rsidR="00CC3943" w:rsidRPr="003A5C9B" w:rsidRDefault="00CC3943" w:rsidP="002B5225">
            <w:pPr>
              <w:spacing w:line="276" w:lineRule="auto"/>
              <w:jc w:val="center"/>
              <w:rPr>
                <w:rFonts w:ascii="Arial" w:eastAsia="Calibri" w:hAnsi="Arial" w:cs="Arial"/>
                <w:bCs/>
                <w:sz w:val="20"/>
                <w:szCs w:val="20"/>
                <w:lang w:val="en-GB" w:eastAsia="en-US"/>
              </w:rPr>
            </w:pPr>
            <w:r w:rsidRPr="003A5C9B">
              <w:rPr>
                <w:rFonts w:ascii="Arial" w:eastAsia="Calibri" w:hAnsi="Arial" w:cs="Arial"/>
                <w:bCs/>
                <w:sz w:val="20"/>
                <w:szCs w:val="20"/>
                <w:lang w:val="en-GB" w:eastAsia="en-US"/>
              </w:rPr>
              <w:t>311</w:t>
            </w:r>
            <w:r w:rsidR="002B5225">
              <w:rPr>
                <w:rFonts w:ascii="Arial" w:eastAsia="Calibri" w:hAnsi="Arial" w:cs="Arial"/>
                <w:bCs/>
                <w:sz w:val="20"/>
                <w:szCs w:val="20"/>
                <w:lang w:val="en-GB" w:eastAsia="en-US"/>
              </w:rPr>
              <w:t>.</w:t>
            </w:r>
            <w:r w:rsidRPr="003A5C9B">
              <w:rPr>
                <w:rFonts w:ascii="Arial" w:eastAsia="Calibri" w:hAnsi="Arial" w:cs="Arial"/>
                <w:bCs/>
                <w:sz w:val="20"/>
                <w:szCs w:val="20"/>
                <w:lang w:val="en-GB" w:eastAsia="en-US"/>
              </w:rPr>
              <w:t>688</w:t>
            </w:r>
          </w:p>
        </w:tc>
        <w:tc>
          <w:tcPr>
            <w:tcW w:w="1844" w:type="dxa"/>
            <w:tcBorders>
              <w:top w:val="single" w:sz="4" w:space="0" w:color="auto"/>
              <w:bottom w:val="dotted" w:sz="4" w:space="0" w:color="auto"/>
            </w:tcBorders>
          </w:tcPr>
          <w:p w14:paraId="0B1F39EB" w14:textId="51BFB72F" w:rsidR="00CC3943" w:rsidRPr="003A5C9B" w:rsidRDefault="00CC3943" w:rsidP="002B5225">
            <w:pPr>
              <w:spacing w:line="276" w:lineRule="auto"/>
              <w:jc w:val="center"/>
              <w:rPr>
                <w:rFonts w:ascii="Arial" w:eastAsia="Calibri" w:hAnsi="Arial" w:cs="Arial"/>
                <w:bCs/>
                <w:sz w:val="20"/>
                <w:szCs w:val="20"/>
                <w:lang w:val="en-GB" w:eastAsia="en-US"/>
              </w:rPr>
            </w:pPr>
            <w:r w:rsidRPr="003A5C9B">
              <w:rPr>
                <w:rFonts w:ascii="Arial" w:eastAsia="Calibri" w:hAnsi="Arial" w:cs="Arial"/>
                <w:bCs/>
                <w:sz w:val="20"/>
                <w:szCs w:val="20"/>
                <w:lang w:val="en-GB" w:eastAsia="en-US"/>
              </w:rPr>
              <w:t>48</w:t>
            </w:r>
            <w:r w:rsidR="002B5225">
              <w:rPr>
                <w:rFonts w:ascii="Arial" w:eastAsia="Calibri" w:hAnsi="Arial" w:cs="Arial"/>
                <w:bCs/>
                <w:sz w:val="20"/>
                <w:szCs w:val="20"/>
                <w:lang w:val="en-GB" w:eastAsia="en-US"/>
              </w:rPr>
              <w:t>,</w:t>
            </w:r>
            <w:r w:rsidRPr="003A5C9B">
              <w:rPr>
                <w:rFonts w:ascii="Arial" w:eastAsia="Calibri" w:hAnsi="Arial" w:cs="Arial"/>
                <w:bCs/>
                <w:sz w:val="20"/>
                <w:szCs w:val="20"/>
                <w:lang w:val="en-GB" w:eastAsia="en-US"/>
              </w:rPr>
              <w:t>5%</w:t>
            </w:r>
          </w:p>
        </w:tc>
      </w:tr>
      <w:tr w:rsidR="00CC3943" w:rsidRPr="003A5C9B" w14:paraId="1AF0C85D" w14:textId="77777777" w:rsidTr="0087637F">
        <w:trPr>
          <w:trHeight w:val="252"/>
        </w:trPr>
        <w:tc>
          <w:tcPr>
            <w:tcW w:w="3936" w:type="dxa"/>
            <w:tcBorders>
              <w:top w:val="dotted" w:sz="4" w:space="0" w:color="auto"/>
              <w:bottom w:val="dotted" w:sz="4" w:space="0" w:color="auto"/>
            </w:tcBorders>
            <w:vAlign w:val="center"/>
          </w:tcPr>
          <w:p w14:paraId="67715EEF" w14:textId="77777777" w:rsidR="00CC3943" w:rsidRPr="00BB0496" w:rsidRDefault="00CC3943" w:rsidP="0087637F">
            <w:pPr>
              <w:spacing w:before="60"/>
              <w:ind w:left="176"/>
              <w:rPr>
                <w:rFonts w:ascii="Arial" w:eastAsia="Calibri" w:hAnsi="Arial" w:cs="Arial"/>
                <w:sz w:val="20"/>
                <w:szCs w:val="20"/>
                <w:lang w:eastAsia="en-US"/>
              </w:rPr>
            </w:pPr>
            <w:r>
              <w:rPr>
                <w:rFonts w:ascii="Arial" w:eastAsia="Calibri" w:hAnsi="Arial" w:cs="Arial"/>
                <w:sz w:val="20"/>
                <w:szCs w:val="20"/>
                <w:lang w:eastAsia="en-US"/>
              </w:rPr>
              <w:t>di cui p</w:t>
            </w:r>
            <w:r w:rsidRPr="00BB0496">
              <w:rPr>
                <w:rFonts w:ascii="Arial" w:eastAsia="Calibri" w:hAnsi="Arial" w:cs="Arial"/>
                <w:sz w:val="20"/>
                <w:szCs w:val="20"/>
                <w:lang w:eastAsia="en-US"/>
              </w:rPr>
              <w:t>azienti trattati con Allopurinolo</w:t>
            </w:r>
          </w:p>
        </w:tc>
        <w:tc>
          <w:tcPr>
            <w:tcW w:w="1842" w:type="dxa"/>
            <w:tcBorders>
              <w:top w:val="dotted" w:sz="4" w:space="0" w:color="auto"/>
              <w:bottom w:val="dotted" w:sz="4" w:space="0" w:color="auto"/>
            </w:tcBorders>
          </w:tcPr>
          <w:p w14:paraId="0353E3D9" w14:textId="42E35F50" w:rsidR="00CC3943" w:rsidRPr="003A5C9B" w:rsidRDefault="00CC3943" w:rsidP="002B5225">
            <w:pPr>
              <w:spacing w:line="276" w:lineRule="auto"/>
              <w:jc w:val="center"/>
              <w:rPr>
                <w:rFonts w:ascii="Arial" w:eastAsia="Calibri" w:hAnsi="Arial" w:cs="Arial"/>
                <w:sz w:val="20"/>
                <w:szCs w:val="20"/>
                <w:lang w:val="en-GB" w:eastAsia="en-US"/>
              </w:rPr>
            </w:pPr>
            <w:r w:rsidRPr="003A5C9B">
              <w:rPr>
                <w:rFonts w:ascii="Arial" w:eastAsia="Calibri" w:hAnsi="Arial" w:cs="Arial"/>
                <w:sz w:val="20"/>
                <w:szCs w:val="20"/>
                <w:lang w:val="en-GB" w:eastAsia="en-US"/>
              </w:rPr>
              <w:t>278</w:t>
            </w:r>
            <w:r w:rsidR="002B5225">
              <w:rPr>
                <w:rFonts w:ascii="Arial" w:eastAsia="Calibri" w:hAnsi="Arial" w:cs="Arial"/>
                <w:sz w:val="20"/>
                <w:szCs w:val="20"/>
                <w:lang w:val="en-GB" w:eastAsia="en-US"/>
              </w:rPr>
              <w:t>.</w:t>
            </w:r>
            <w:r w:rsidRPr="003A5C9B">
              <w:rPr>
                <w:rFonts w:ascii="Arial" w:eastAsia="Calibri" w:hAnsi="Arial" w:cs="Arial"/>
                <w:sz w:val="20"/>
                <w:szCs w:val="20"/>
                <w:lang w:val="en-GB" w:eastAsia="en-US"/>
              </w:rPr>
              <w:t>188</w:t>
            </w:r>
          </w:p>
        </w:tc>
        <w:tc>
          <w:tcPr>
            <w:tcW w:w="1844" w:type="dxa"/>
            <w:tcBorders>
              <w:top w:val="dotted" w:sz="4" w:space="0" w:color="auto"/>
              <w:bottom w:val="dotted" w:sz="4" w:space="0" w:color="auto"/>
            </w:tcBorders>
          </w:tcPr>
          <w:p w14:paraId="4458BA53" w14:textId="27CC66B7" w:rsidR="00CC3943" w:rsidRPr="003A5C9B" w:rsidRDefault="00CC3943" w:rsidP="002B5225">
            <w:pPr>
              <w:spacing w:line="276" w:lineRule="auto"/>
              <w:jc w:val="center"/>
              <w:rPr>
                <w:rFonts w:ascii="Arial" w:eastAsia="Calibri" w:hAnsi="Arial" w:cs="Arial"/>
                <w:sz w:val="20"/>
                <w:szCs w:val="20"/>
                <w:lang w:val="en-GB" w:eastAsia="en-US"/>
              </w:rPr>
            </w:pPr>
            <w:r w:rsidRPr="003A5C9B">
              <w:rPr>
                <w:rFonts w:ascii="Arial" w:eastAsia="Calibri" w:hAnsi="Arial" w:cs="Arial"/>
                <w:sz w:val="20"/>
                <w:szCs w:val="20"/>
                <w:lang w:val="en-GB" w:eastAsia="en-US"/>
              </w:rPr>
              <w:t>89</w:t>
            </w:r>
            <w:r w:rsidR="002B5225">
              <w:rPr>
                <w:rFonts w:ascii="Arial" w:eastAsia="Calibri" w:hAnsi="Arial" w:cs="Arial"/>
                <w:sz w:val="20"/>
                <w:szCs w:val="20"/>
                <w:lang w:val="en-GB" w:eastAsia="en-US"/>
              </w:rPr>
              <w:t>,</w:t>
            </w:r>
            <w:r w:rsidRPr="003A5C9B">
              <w:rPr>
                <w:rFonts w:ascii="Arial" w:eastAsia="Calibri" w:hAnsi="Arial" w:cs="Arial"/>
                <w:sz w:val="20"/>
                <w:szCs w:val="20"/>
                <w:lang w:val="en-GB" w:eastAsia="en-US"/>
              </w:rPr>
              <w:t>3%</w:t>
            </w:r>
          </w:p>
        </w:tc>
      </w:tr>
      <w:tr w:rsidR="00CC3943" w:rsidRPr="003A5C9B" w14:paraId="0222DEA4" w14:textId="77777777" w:rsidTr="0087637F">
        <w:trPr>
          <w:trHeight w:val="302"/>
        </w:trPr>
        <w:tc>
          <w:tcPr>
            <w:tcW w:w="3936" w:type="dxa"/>
            <w:tcBorders>
              <w:top w:val="dotted" w:sz="4" w:space="0" w:color="auto"/>
              <w:bottom w:val="dotted" w:sz="4" w:space="0" w:color="auto"/>
            </w:tcBorders>
            <w:vAlign w:val="center"/>
          </w:tcPr>
          <w:p w14:paraId="224369D5" w14:textId="77777777" w:rsidR="00CC3943" w:rsidRPr="00BB0496" w:rsidRDefault="00CC3943" w:rsidP="0087637F">
            <w:pPr>
              <w:spacing w:before="60"/>
              <w:ind w:left="176"/>
              <w:rPr>
                <w:rFonts w:ascii="Arial" w:eastAsia="Calibri" w:hAnsi="Arial" w:cs="Arial"/>
                <w:sz w:val="20"/>
                <w:szCs w:val="20"/>
                <w:lang w:eastAsia="en-US"/>
              </w:rPr>
            </w:pPr>
            <w:r>
              <w:rPr>
                <w:rFonts w:ascii="Arial" w:eastAsia="Calibri" w:hAnsi="Arial" w:cs="Arial"/>
                <w:sz w:val="20"/>
                <w:szCs w:val="20"/>
                <w:lang w:eastAsia="en-US"/>
              </w:rPr>
              <w:t>d</w:t>
            </w:r>
            <w:r w:rsidRPr="00BB0496">
              <w:rPr>
                <w:rFonts w:ascii="Arial" w:eastAsia="Calibri" w:hAnsi="Arial" w:cs="Arial"/>
                <w:sz w:val="20"/>
                <w:szCs w:val="20"/>
                <w:lang w:eastAsia="en-US"/>
              </w:rPr>
              <w:t>i cui pazienti tratta</w:t>
            </w:r>
            <w:r>
              <w:rPr>
                <w:rFonts w:ascii="Arial" w:eastAsia="Calibri" w:hAnsi="Arial" w:cs="Arial"/>
                <w:sz w:val="20"/>
                <w:szCs w:val="20"/>
                <w:lang w:eastAsia="en-US"/>
              </w:rPr>
              <w:t>t</w:t>
            </w:r>
            <w:r w:rsidRPr="00BB0496">
              <w:rPr>
                <w:rFonts w:ascii="Arial" w:eastAsia="Calibri" w:hAnsi="Arial" w:cs="Arial"/>
                <w:sz w:val="20"/>
                <w:szCs w:val="20"/>
                <w:lang w:eastAsia="en-US"/>
              </w:rPr>
              <w:t>i con Febuxostat</w:t>
            </w:r>
          </w:p>
        </w:tc>
        <w:tc>
          <w:tcPr>
            <w:tcW w:w="1842" w:type="dxa"/>
            <w:tcBorders>
              <w:top w:val="dotted" w:sz="4" w:space="0" w:color="auto"/>
              <w:bottom w:val="dotted" w:sz="4" w:space="0" w:color="auto"/>
            </w:tcBorders>
          </w:tcPr>
          <w:p w14:paraId="0F3FE640" w14:textId="678D4E79" w:rsidR="00CC3943" w:rsidRPr="003A5C9B" w:rsidRDefault="00CC3943" w:rsidP="002B5225">
            <w:pPr>
              <w:spacing w:line="276" w:lineRule="auto"/>
              <w:jc w:val="center"/>
              <w:rPr>
                <w:rFonts w:ascii="Arial" w:eastAsia="Calibri" w:hAnsi="Arial" w:cs="Arial"/>
                <w:sz w:val="20"/>
                <w:szCs w:val="20"/>
                <w:lang w:val="en-GB" w:eastAsia="en-US"/>
              </w:rPr>
            </w:pPr>
            <w:r w:rsidRPr="003A5C9B">
              <w:rPr>
                <w:rFonts w:ascii="Arial" w:eastAsia="Calibri" w:hAnsi="Arial" w:cs="Arial"/>
                <w:sz w:val="20"/>
                <w:szCs w:val="20"/>
                <w:lang w:val="en-GB" w:eastAsia="en-US"/>
              </w:rPr>
              <w:t>44</w:t>
            </w:r>
            <w:r w:rsidR="002B5225">
              <w:rPr>
                <w:rFonts w:ascii="Arial" w:eastAsia="Calibri" w:hAnsi="Arial" w:cs="Arial"/>
                <w:sz w:val="20"/>
                <w:szCs w:val="20"/>
                <w:lang w:val="en-GB" w:eastAsia="en-US"/>
              </w:rPr>
              <w:t>.</w:t>
            </w:r>
            <w:r w:rsidRPr="003A5C9B">
              <w:rPr>
                <w:rFonts w:ascii="Arial" w:eastAsia="Calibri" w:hAnsi="Arial" w:cs="Arial"/>
                <w:sz w:val="20"/>
                <w:szCs w:val="20"/>
                <w:lang w:val="en-GB" w:eastAsia="en-US"/>
              </w:rPr>
              <w:t>313</w:t>
            </w:r>
          </w:p>
        </w:tc>
        <w:tc>
          <w:tcPr>
            <w:tcW w:w="1844" w:type="dxa"/>
            <w:tcBorders>
              <w:top w:val="dotted" w:sz="4" w:space="0" w:color="auto"/>
              <w:bottom w:val="dotted" w:sz="4" w:space="0" w:color="auto"/>
            </w:tcBorders>
          </w:tcPr>
          <w:p w14:paraId="2170DEDF" w14:textId="3308698D" w:rsidR="00CC3943" w:rsidRPr="003A5C9B" w:rsidRDefault="00CC3943" w:rsidP="002B5225">
            <w:pPr>
              <w:spacing w:line="276" w:lineRule="auto"/>
              <w:jc w:val="center"/>
              <w:rPr>
                <w:rFonts w:ascii="Arial" w:eastAsia="Calibri" w:hAnsi="Arial" w:cs="Arial"/>
                <w:sz w:val="20"/>
                <w:szCs w:val="20"/>
                <w:lang w:val="en-GB" w:eastAsia="en-US"/>
              </w:rPr>
            </w:pPr>
            <w:r w:rsidRPr="003A5C9B">
              <w:rPr>
                <w:rFonts w:ascii="Arial" w:eastAsia="Calibri" w:hAnsi="Arial" w:cs="Arial"/>
                <w:sz w:val="20"/>
                <w:szCs w:val="20"/>
                <w:lang w:val="en-GB" w:eastAsia="en-US"/>
              </w:rPr>
              <w:t>14</w:t>
            </w:r>
            <w:r w:rsidR="002B5225">
              <w:rPr>
                <w:rFonts w:ascii="Arial" w:eastAsia="Calibri" w:hAnsi="Arial" w:cs="Arial"/>
                <w:sz w:val="20"/>
                <w:szCs w:val="20"/>
                <w:lang w:val="en-GB" w:eastAsia="en-US"/>
              </w:rPr>
              <w:t>,</w:t>
            </w:r>
            <w:r w:rsidRPr="003A5C9B">
              <w:rPr>
                <w:rFonts w:ascii="Arial" w:eastAsia="Calibri" w:hAnsi="Arial" w:cs="Arial"/>
                <w:sz w:val="20"/>
                <w:szCs w:val="20"/>
                <w:lang w:val="en-GB" w:eastAsia="en-US"/>
              </w:rPr>
              <w:t>2%</w:t>
            </w:r>
          </w:p>
        </w:tc>
      </w:tr>
    </w:tbl>
    <w:p w14:paraId="0EC3F3F3" w14:textId="77777777" w:rsidR="00CC3943" w:rsidRDefault="00CC3943" w:rsidP="00CC3943">
      <w:pPr>
        <w:widowControl w:val="0"/>
        <w:autoSpaceDE w:val="0"/>
        <w:autoSpaceDN w:val="0"/>
        <w:adjustRightInd w:val="0"/>
        <w:spacing w:line="360" w:lineRule="auto"/>
        <w:rPr>
          <w:rFonts w:cs="Arial"/>
          <w:iCs/>
          <w:sz w:val="20"/>
          <w:szCs w:val="20"/>
        </w:rPr>
      </w:pPr>
    </w:p>
    <w:p w14:paraId="79A51650" w14:textId="672EF32E" w:rsidR="00415426" w:rsidRDefault="00415426" w:rsidP="00415426">
      <w:pPr>
        <w:widowControl w:val="0"/>
        <w:autoSpaceDE w:val="0"/>
        <w:autoSpaceDN w:val="0"/>
        <w:adjustRightInd w:val="0"/>
        <w:spacing w:line="360" w:lineRule="auto"/>
        <w:rPr>
          <w:rFonts w:cs="Arial"/>
          <w:iCs/>
          <w:sz w:val="20"/>
          <w:szCs w:val="20"/>
        </w:rPr>
      </w:pPr>
      <w:r>
        <w:rPr>
          <w:rFonts w:cs="Arial"/>
          <w:iCs/>
          <w:sz w:val="20"/>
          <w:szCs w:val="20"/>
        </w:rPr>
        <w:t xml:space="preserve">Di questi circa 312.000 pazienti gottosi trattati, nella </w:t>
      </w:r>
      <w:hyperlink w:anchor="Tabella4" w:history="1">
        <w:r w:rsidRPr="00444C43">
          <w:rPr>
            <w:rStyle w:val="Hyperlink"/>
            <w:rFonts w:cs="Arial"/>
            <w:iCs/>
            <w:sz w:val="20"/>
            <w:szCs w:val="20"/>
          </w:rPr>
          <w:t xml:space="preserve">Tabella </w:t>
        </w:r>
        <w:r>
          <w:rPr>
            <w:rStyle w:val="Hyperlink"/>
            <w:rFonts w:cs="Arial"/>
            <w:iCs/>
            <w:sz w:val="20"/>
            <w:szCs w:val="20"/>
          </w:rPr>
          <w:t>4</w:t>
        </w:r>
      </w:hyperlink>
      <w:r w:rsidRPr="00444C43">
        <w:rPr>
          <w:rStyle w:val="Hyperlink"/>
          <w:rFonts w:cs="Arial"/>
          <w:iCs/>
          <w:color w:val="auto"/>
          <w:sz w:val="20"/>
          <w:szCs w:val="20"/>
          <w:u w:val="none"/>
        </w:rPr>
        <w:t xml:space="preserve"> </w:t>
      </w:r>
      <w:r>
        <w:rPr>
          <w:rFonts w:cs="Arial"/>
          <w:iCs/>
          <w:sz w:val="20"/>
          <w:szCs w:val="20"/>
        </w:rPr>
        <w:t>si r</w:t>
      </w:r>
      <w:r w:rsidRPr="00203F75">
        <w:rPr>
          <w:rFonts w:cs="Arial"/>
          <w:iCs/>
          <w:sz w:val="20"/>
          <w:szCs w:val="20"/>
        </w:rPr>
        <w:t xml:space="preserve">iporta la casistica di </w:t>
      </w:r>
      <w:r w:rsidRPr="00EE09F5">
        <w:rPr>
          <w:rFonts w:cs="Arial"/>
          <w:b/>
          <w:iCs/>
          <w:sz w:val="20"/>
          <w:szCs w:val="20"/>
        </w:rPr>
        <w:t>pazienti gottosi non a target uricemico</w:t>
      </w:r>
      <w:r>
        <w:rPr>
          <w:rFonts w:cs="Arial"/>
          <w:iCs/>
          <w:sz w:val="20"/>
          <w:szCs w:val="20"/>
        </w:rPr>
        <w:t>:</w:t>
      </w:r>
      <w:r w:rsidRPr="00203F75">
        <w:rPr>
          <w:rFonts w:cs="Arial"/>
          <w:iCs/>
          <w:sz w:val="20"/>
          <w:szCs w:val="20"/>
        </w:rPr>
        <w:t xml:space="preserve"> </w:t>
      </w:r>
      <w:r>
        <w:rPr>
          <w:rFonts w:cs="Arial"/>
          <w:iCs/>
          <w:sz w:val="20"/>
          <w:szCs w:val="20"/>
        </w:rPr>
        <w:t xml:space="preserve">il </w:t>
      </w:r>
      <w:r>
        <w:rPr>
          <w:rFonts w:cs="Arial"/>
          <w:b/>
          <w:iCs/>
          <w:sz w:val="20"/>
          <w:szCs w:val="20"/>
        </w:rPr>
        <w:t>67,7</w:t>
      </w:r>
      <w:r w:rsidRPr="00EE09F5">
        <w:rPr>
          <w:rFonts w:cs="Arial"/>
          <w:b/>
          <w:iCs/>
          <w:sz w:val="20"/>
          <w:szCs w:val="20"/>
        </w:rPr>
        <w:t>% non è sotto controllo e quindi non a target</w:t>
      </w:r>
      <w:r>
        <w:rPr>
          <w:rFonts w:cs="Arial"/>
          <w:iCs/>
          <w:sz w:val="20"/>
          <w:szCs w:val="20"/>
        </w:rPr>
        <w:t>.</w:t>
      </w:r>
    </w:p>
    <w:p w14:paraId="4D55EC6E" w14:textId="62E49C79" w:rsidR="00415426" w:rsidRPr="0085653D" w:rsidRDefault="0085653D" w:rsidP="0085653D">
      <w:pPr>
        <w:pStyle w:val="Caption"/>
        <w:rPr>
          <w:rFonts w:asciiTheme="minorHAnsi" w:hAnsiTheme="minorHAnsi" w:cstheme="minorHAnsi"/>
          <w:lang w:val="it-IT"/>
        </w:rPr>
      </w:pPr>
      <w:bookmarkStart w:id="33" w:name="Tabella4"/>
      <w:bookmarkStart w:id="34" w:name="_Toc473150689"/>
      <w:bookmarkEnd w:id="33"/>
      <w:r w:rsidRPr="0085653D">
        <w:rPr>
          <w:rFonts w:asciiTheme="minorHAnsi" w:hAnsiTheme="minorHAnsi" w:cstheme="minorHAnsi"/>
          <w:lang w:val="it-IT"/>
        </w:rPr>
        <w:t xml:space="preserve">Tabella </w:t>
      </w:r>
      <w:r w:rsidRPr="0085653D">
        <w:rPr>
          <w:rFonts w:asciiTheme="minorHAnsi" w:hAnsiTheme="minorHAnsi" w:cstheme="minorHAnsi"/>
        </w:rPr>
        <w:fldChar w:fldCharType="begin"/>
      </w:r>
      <w:r w:rsidRPr="0085653D">
        <w:rPr>
          <w:rFonts w:asciiTheme="minorHAnsi" w:hAnsiTheme="minorHAnsi" w:cstheme="minorHAnsi"/>
          <w:lang w:val="it-IT"/>
        </w:rPr>
        <w:instrText xml:space="preserve"> SEQ Tabella \* ARABIC </w:instrText>
      </w:r>
      <w:r w:rsidRPr="0085653D">
        <w:rPr>
          <w:rFonts w:asciiTheme="minorHAnsi" w:hAnsiTheme="minorHAnsi" w:cstheme="minorHAnsi"/>
        </w:rPr>
        <w:fldChar w:fldCharType="separate"/>
      </w:r>
      <w:r w:rsidR="00A1679C">
        <w:rPr>
          <w:rFonts w:asciiTheme="minorHAnsi" w:hAnsiTheme="minorHAnsi" w:cstheme="minorHAnsi"/>
          <w:noProof/>
          <w:lang w:val="it-IT"/>
        </w:rPr>
        <w:t>4</w:t>
      </w:r>
      <w:r w:rsidRPr="0085653D">
        <w:rPr>
          <w:rFonts w:asciiTheme="minorHAnsi" w:hAnsiTheme="minorHAnsi" w:cstheme="minorHAnsi"/>
        </w:rPr>
        <w:fldChar w:fldCharType="end"/>
      </w:r>
      <w:r w:rsidRPr="0085653D">
        <w:rPr>
          <w:rFonts w:asciiTheme="minorHAnsi" w:hAnsiTheme="minorHAnsi" w:cstheme="minorHAnsi"/>
          <w:lang w:val="it-IT"/>
        </w:rPr>
        <w:t xml:space="preserve"> - </w:t>
      </w:r>
      <w:r w:rsidRPr="00444C43">
        <w:rPr>
          <w:rFonts w:asciiTheme="minorHAnsi" w:hAnsiTheme="minorHAnsi" w:cstheme="minorHAnsi"/>
          <w:b w:val="0"/>
          <w:lang w:val="it-IT"/>
        </w:rPr>
        <w:t>Pazienti gottosi trattati con XOI e target uricemico (</w:t>
      </w:r>
      <w:r w:rsidRPr="00444C43">
        <w:rPr>
          <w:rFonts w:asciiTheme="minorHAnsi" w:hAnsiTheme="minorHAnsi" w:cstheme="minorHAnsi"/>
          <w:color w:val="0000FF"/>
          <w:lang w:val="it-IT"/>
        </w:rPr>
        <w:t>IMS-Health LPD longitudinal Patient</w:t>
      </w:r>
      <w:r w:rsidRPr="00EE1DF0">
        <w:rPr>
          <w:rFonts w:asciiTheme="minorHAnsi" w:hAnsiTheme="minorHAnsi" w:cstheme="minorHAnsi"/>
          <w:color w:val="0000FF"/>
          <w:lang w:val="it-IT"/>
        </w:rPr>
        <w:t xml:space="preserve"> Database</w:t>
      </w:r>
      <w:r w:rsidRPr="00EE1DF0">
        <w:rPr>
          <w:rFonts w:asciiTheme="minorHAnsi" w:hAnsiTheme="minorHAnsi" w:cstheme="minorHAnsi"/>
          <w:lang w:val="it-IT"/>
        </w:rPr>
        <w:t xml:space="preserve">, </w:t>
      </w:r>
      <w:r w:rsidRPr="00EE1DF0">
        <w:rPr>
          <w:rFonts w:asciiTheme="minorHAnsi" w:hAnsiTheme="minorHAnsi" w:cstheme="minorHAnsi"/>
          <w:color w:val="0000FF"/>
          <w:lang w:val="it-IT"/>
        </w:rPr>
        <w:t>201</w:t>
      </w:r>
      <w:r>
        <w:rPr>
          <w:rFonts w:asciiTheme="minorHAnsi" w:hAnsiTheme="minorHAnsi" w:cstheme="minorHAnsi"/>
          <w:color w:val="0000FF"/>
          <w:lang w:val="it-IT"/>
        </w:rPr>
        <w:t>6</w:t>
      </w:r>
      <w:r w:rsidRPr="00EE1DF0">
        <w:rPr>
          <w:rFonts w:asciiTheme="minorHAnsi" w:hAnsiTheme="minorHAnsi" w:cstheme="minorHAnsi"/>
          <w:b w:val="0"/>
          <w:lang w:val="it-IT"/>
        </w:rPr>
        <w:t>)</w:t>
      </w:r>
      <w:bookmarkEnd w:id="34"/>
    </w:p>
    <w:p w14:paraId="0A2102CA" w14:textId="77777777" w:rsidR="00415426" w:rsidRPr="00B52B33" w:rsidRDefault="00415426" w:rsidP="00415426">
      <w:pPr>
        <w:pStyle w:val="BodyText"/>
        <w:rPr>
          <w:b/>
          <w:lang w:val="it-IT"/>
        </w:rPr>
      </w:pPr>
      <w:r w:rsidRPr="00084326">
        <w:rPr>
          <w:noProof/>
          <w:lang w:val="en-GB" w:eastAsia="en-GB"/>
        </w:rPr>
        <w:drawing>
          <wp:inline distT="0" distB="0" distL="0" distR="0" wp14:anchorId="2F74A5AC" wp14:editId="4A396E64">
            <wp:extent cx="5029200" cy="1396473"/>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32396" cy="1397360"/>
                    </a:xfrm>
                    <a:prstGeom prst="rect">
                      <a:avLst/>
                    </a:prstGeom>
                    <a:noFill/>
                    <a:ln>
                      <a:noFill/>
                    </a:ln>
                  </pic:spPr>
                </pic:pic>
              </a:graphicData>
            </a:graphic>
          </wp:inline>
        </w:drawing>
      </w:r>
    </w:p>
    <w:p w14:paraId="15A3DEB6" w14:textId="4AA3B2D9" w:rsidR="00415426" w:rsidRDefault="00415426" w:rsidP="00CC3943">
      <w:pPr>
        <w:widowControl w:val="0"/>
        <w:autoSpaceDE w:val="0"/>
        <w:autoSpaceDN w:val="0"/>
        <w:adjustRightInd w:val="0"/>
        <w:spacing w:line="360" w:lineRule="auto"/>
        <w:rPr>
          <w:rFonts w:cs="Arial"/>
          <w:iCs/>
          <w:sz w:val="20"/>
          <w:szCs w:val="20"/>
        </w:rPr>
      </w:pPr>
    </w:p>
    <w:p w14:paraId="629C93F1" w14:textId="35B0E710" w:rsidR="00415426" w:rsidRDefault="00415426" w:rsidP="00CC3943">
      <w:pPr>
        <w:widowControl w:val="0"/>
        <w:autoSpaceDE w:val="0"/>
        <w:autoSpaceDN w:val="0"/>
        <w:adjustRightInd w:val="0"/>
        <w:spacing w:line="360" w:lineRule="auto"/>
        <w:rPr>
          <w:rFonts w:cs="Arial"/>
          <w:iCs/>
          <w:sz w:val="20"/>
          <w:szCs w:val="20"/>
        </w:rPr>
      </w:pPr>
      <w:r>
        <w:rPr>
          <w:rFonts w:cs="Arial"/>
          <w:iCs/>
          <w:sz w:val="20"/>
          <w:szCs w:val="20"/>
        </w:rPr>
        <w:t>Riferendosi poi ai pazienti iperuricemici</w:t>
      </w:r>
      <w:r w:rsidR="0085653D">
        <w:rPr>
          <w:rFonts w:cs="Arial"/>
          <w:iCs/>
          <w:sz w:val="20"/>
          <w:szCs w:val="20"/>
        </w:rPr>
        <w:t>/gottosi</w:t>
      </w:r>
      <w:r>
        <w:rPr>
          <w:rFonts w:cs="Arial"/>
          <w:iCs/>
          <w:sz w:val="20"/>
          <w:szCs w:val="20"/>
        </w:rPr>
        <w:t xml:space="preserve"> come codificati da IMS ovvero,</w:t>
      </w:r>
      <w:r w:rsidRPr="00415426">
        <w:rPr>
          <w:rFonts w:cs="Arial"/>
          <w:sz w:val="20"/>
          <w:szCs w:val="20"/>
        </w:rPr>
        <w:t xml:space="preserve"> con</w:t>
      </w:r>
      <w:r>
        <w:rPr>
          <w:rFonts w:cs="Arial"/>
          <w:sz w:val="20"/>
          <w:szCs w:val="20"/>
        </w:rPr>
        <w:t xml:space="preserve"> la possibilità di avere incluso all’interno di questi una parte dei </w:t>
      </w:r>
      <w:r w:rsidRPr="00BA4C59">
        <w:rPr>
          <w:rFonts w:cs="Arial"/>
          <w:b/>
          <w:sz w:val="20"/>
          <w:szCs w:val="20"/>
        </w:rPr>
        <w:t xml:space="preserve">pazienti con gotta </w:t>
      </w:r>
      <w:r>
        <w:rPr>
          <w:rFonts w:cs="Arial"/>
          <w:b/>
          <w:sz w:val="20"/>
          <w:szCs w:val="20"/>
        </w:rPr>
        <w:t xml:space="preserve">nella fase </w:t>
      </w:r>
      <w:r w:rsidRPr="00BA4C59">
        <w:rPr>
          <w:rFonts w:cs="Arial"/>
          <w:b/>
          <w:sz w:val="20"/>
          <w:szCs w:val="20"/>
        </w:rPr>
        <w:t>intercritica</w:t>
      </w:r>
      <w:r w:rsidRPr="00D67AD5">
        <w:rPr>
          <w:rFonts w:cs="Arial"/>
          <w:sz w:val="20"/>
          <w:szCs w:val="20"/>
        </w:rPr>
        <w:t xml:space="preserve"> </w:t>
      </w:r>
      <w:r>
        <w:rPr>
          <w:rFonts w:cs="Arial"/>
          <w:sz w:val="20"/>
          <w:szCs w:val="20"/>
        </w:rPr>
        <w:t>(</w:t>
      </w:r>
      <w:r w:rsidR="003A18F4">
        <w:rPr>
          <w:rFonts w:cs="Arial"/>
          <w:sz w:val="20"/>
          <w:szCs w:val="20"/>
        </w:rPr>
        <w:t xml:space="preserve">trattati </w:t>
      </w:r>
      <w:r>
        <w:rPr>
          <w:rFonts w:cs="Arial"/>
          <w:sz w:val="20"/>
          <w:szCs w:val="20"/>
        </w:rPr>
        <w:t>a target e non)</w:t>
      </w:r>
      <w:r w:rsidR="003A18F4">
        <w:rPr>
          <w:rFonts w:cs="Arial"/>
          <w:sz w:val="20"/>
          <w:szCs w:val="20"/>
        </w:rPr>
        <w:t xml:space="preserve"> nella </w:t>
      </w:r>
    </w:p>
    <w:p w14:paraId="0E7277DE" w14:textId="332E91CA" w:rsidR="00CC3943" w:rsidRDefault="00000000" w:rsidP="00CC3943">
      <w:pPr>
        <w:widowControl w:val="0"/>
        <w:autoSpaceDE w:val="0"/>
        <w:autoSpaceDN w:val="0"/>
        <w:adjustRightInd w:val="0"/>
        <w:spacing w:line="360" w:lineRule="auto"/>
        <w:rPr>
          <w:rFonts w:cs="Arial"/>
          <w:iCs/>
          <w:sz w:val="20"/>
          <w:szCs w:val="20"/>
        </w:rPr>
      </w:pPr>
      <w:hyperlink w:anchor="Tabella5" w:history="1">
        <w:r w:rsidR="00CC3943" w:rsidRPr="00444C43">
          <w:rPr>
            <w:rStyle w:val="Hyperlink"/>
            <w:rFonts w:cs="Arial"/>
            <w:iCs/>
            <w:sz w:val="20"/>
            <w:szCs w:val="20"/>
          </w:rPr>
          <w:t xml:space="preserve">Tabella </w:t>
        </w:r>
        <w:r w:rsidR="0085653D">
          <w:rPr>
            <w:rStyle w:val="Hyperlink"/>
            <w:rFonts w:cs="Arial"/>
            <w:iCs/>
            <w:sz w:val="20"/>
            <w:szCs w:val="20"/>
          </w:rPr>
          <w:t>5</w:t>
        </w:r>
      </w:hyperlink>
      <w:r w:rsidR="00CC3943" w:rsidRPr="00203F75">
        <w:rPr>
          <w:rFonts w:cs="Arial"/>
          <w:iCs/>
          <w:sz w:val="20"/>
          <w:szCs w:val="20"/>
        </w:rPr>
        <w:t xml:space="preserve"> </w:t>
      </w:r>
      <w:r w:rsidR="003A18F4">
        <w:rPr>
          <w:rFonts w:cs="Arial"/>
          <w:iCs/>
          <w:sz w:val="20"/>
          <w:szCs w:val="20"/>
        </w:rPr>
        <w:t xml:space="preserve">viene </w:t>
      </w:r>
      <w:r w:rsidR="00CC3943" w:rsidRPr="00203F75">
        <w:rPr>
          <w:rFonts w:cs="Arial"/>
          <w:iCs/>
          <w:sz w:val="20"/>
          <w:szCs w:val="20"/>
        </w:rPr>
        <w:t>riporta</w:t>
      </w:r>
      <w:r w:rsidR="003A18F4">
        <w:rPr>
          <w:rFonts w:cs="Arial"/>
          <w:iCs/>
          <w:sz w:val="20"/>
          <w:szCs w:val="20"/>
        </w:rPr>
        <w:t>ta</w:t>
      </w:r>
      <w:r w:rsidR="00CC3943" w:rsidRPr="00203F75">
        <w:rPr>
          <w:rFonts w:cs="Arial"/>
          <w:iCs/>
          <w:sz w:val="20"/>
          <w:szCs w:val="20"/>
        </w:rPr>
        <w:t xml:space="preserve"> la casistica di </w:t>
      </w:r>
      <w:r w:rsidR="00CC3943">
        <w:rPr>
          <w:rFonts w:cs="Arial"/>
          <w:iCs/>
          <w:sz w:val="20"/>
          <w:szCs w:val="20"/>
        </w:rPr>
        <w:t>pazienti non a target uricemico</w:t>
      </w:r>
      <w:r w:rsidR="003A18F4">
        <w:rPr>
          <w:rFonts w:cs="Arial"/>
          <w:iCs/>
          <w:sz w:val="20"/>
          <w:szCs w:val="20"/>
        </w:rPr>
        <w:t>: il 37.7% (546.599 pazienti) non sono a ta</w:t>
      </w:r>
      <w:r w:rsidR="005265FE">
        <w:rPr>
          <w:rFonts w:cs="Arial"/>
          <w:iCs/>
          <w:sz w:val="20"/>
          <w:szCs w:val="20"/>
        </w:rPr>
        <w:t>r</w:t>
      </w:r>
      <w:r w:rsidR="003A18F4">
        <w:rPr>
          <w:rFonts w:cs="Arial"/>
          <w:iCs/>
          <w:sz w:val="20"/>
          <w:szCs w:val="20"/>
        </w:rPr>
        <w:t>get uricemico, sebbene in trattamento</w:t>
      </w:r>
      <w:r w:rsidR="0085653D">
        <w:rPr>
          <w:rFonts w:cs="Arial"/>
          <w:iCs/>
          <w:sz w:val="20"/>
          <w:szCs w:val="20"/>
        </w:rPr>
        <w:t>.</w:t>
      </w:r>
    </w:p>
    <w:p w14:paraId="586D27CF" w14:textId="77777777" w:rsidR="00CC3943" w:rsidRPr="00203F75" w:rsidRDefault="00CC3943" w:rsidP="00CC3943">
      <w:pPr>
        <w:widowControl w:val="0"/>
        <w:autoSpaceDE w:val="0"/>
        <w:autoSpaceDN w:val="0"/>
        <w:adjustRightInd w:val="0"/>
        <w:spacing w:line="360" w:lineRule="auto"/>
        <w:rPr>
          <w:rFonts w:cs="Arial"/>
          <w:iCs/>
          <w:sz w:val="20"/>
          <w:szCs w:val="20"/>
        </w:rPr>
      </w:pPr>
    </w:p>
    <w:p w14:paraId="6E9D17D3" w14:textId="77777777" w:rsidR="00CC3943" w:rsidRPr="002F1705" w:rsidRDefault="00CC3943" w:rsidP="00CC3943">
      <w:pPr>
        <w:pStyle w:val="Caption"/>
        <w:rPr>
          <w:rFonts w:asciiTheme="minorHAnsi" w:hAnsiTheme="minorHAnsi" w:cstheme="minorHAnsi"/>
          <w:b w:val="0"/>
          <w:lang w:val="it-IT"/>
        </w:rPr>
      </w:pPr>
      <w:bookmarkStart w:id="35" w:name="Tabella5"/>
      <w:bookmarkStart w:id="36" w:name="_Toc473150690"/>
      <w:bookmarkEnd w:id="35"/>
      <w:r w:rsidRPr="002F1705">
        <w:rPr>
          <w:rFonts w:asciiTheme="minorHAnsi" w:hAnsiTheme="minorHAnsi" w:cstheme="minorHAnsi"/>
          <w:lang w:val="it-IT"/>
        </w:rPr>
        <w:t xml:space="preserve">Tabella </w:t>
      </w:r>
      <w:r w:rsidRPr="002F1705">
        <w:rPr>
          <w:rFonts w:asciiTheme="minorHAnsi" w:hAnsiTheme="minorHAnsi" w:cstheme="minorHAnsi"/>
        </w:rPr>
        <w:fldChar w:fldCharType="begin"/>
      </w:r>
      <w:r w:rsidRPr="002F1705">
        <w:rPr>
          <w:rFonts w:asciiTheme="minorHAnsi" w:hAnsiTheme="minorHAnsi" w:cstheme="minorHAnsi"/>
          <w:lang w:val="it-IT"/>
        </w:rPr>
        <w:instrText xml:space="preserve"> SEQ Tabella \* ARABIC </w:instrText>
      </w:r>
      <w:r w:rsidRPr="002F1705">
        <w:rPr>
          <w:rFonts w:asciiTheme="minorHAnsi" w:hAnsiTheme="minorHAnsi" w:cstheme="minorHAnsi"/>
        </w:rPr>
        <w:fldChar w:fldCharType="separate"/>
      </w:r>
      <w:r w:rsidR="00A1679C">
        <w:rPr>
          <w:rFonts w:asciiTheme="minorHAnsi" w:hAnsiTheme="minorHAnsi" w:cstheme="minorHAnsi"/>
          <w:noProof/>
          <w:lang w:val="it-IT"/>
        </w:rPr>
        <w:t>5</w:t>
      </w:r>
      <w:r w:rsidRPr="002F1705">
        <w:rPr>
          <w:rFonts w:asciiTheme="minorHAnsi" w:hAnsiTheme="minorHAnsi" w:cstheme="minorHAnsi"/>
        </w:rPr>
        <w:fldChar w:fldCharType="end"/>
      </w:r>
      <w:r w:rsidRPr="002F1705">
        <w:rPr>
          <w:rFonts w:asciiTheme="minorHAnsi" w:hAnsiTheme="minorHAnsi" w:cstheme="minorHAnsi"/>
          <w:lang w:val="it-IT"/>
        </w:rPr>
        <w:t xml:space="preserve"> - </w:t>
      </w:r>
      <w:r w:rsidRPr="002F1705">
        <w:rPr>
          <w:rFonts w:asciiTheme="minorHAnsi" w:hAnsiTheme="minorHAnsi" w:cstheme="minorHAnsi"/>
          <w:b w:val="0"/>
          <w:lang w:val="it-IT"/>
        </w:rPr>
        <w:t>Pazienti trattati con XOI e target uricemico (</w:t>
      </w:r>
      <w:r w:rsidRPr="002F1705">
        <w:rPr>
          <w:rFonts w:asciiTheme="minorHAnsi" w:hAnsiTheme="minorHAnsi" w:cstheme="minorHAnsi"/>
          <w:color w:val="0000FF"/>
          <w:lang w:val="it-IT"/>
        </w:rPr>
        <w:t>IMS-Health LPD longitudinal Patient Database</w:t>
      </w:r>
      <w:r w:rsidRPr="002F1705">
        <w:rPr>
          <w:rFonts w:asciiTheme="minorHAnsi" w:hAnsiTheme="minorHAnsi" w:cstheme="minorHAnsi"/>
          <w:lang w:val="it-IT"/>
        </w:rPr>
        <w:t xml:space="preserve">, </w:t>
      </w:r>
      <w:r w:rsidRPr="002F1705">
        <w:rPr>
          <w:rFonts w:asciiTheme="minorHAnsi" w:hAnsiTheme="minorHAnsi" w:cstheme="minorHAnsi"/>
          <w:color w:val="0000FF"/>
          <w:lang w:val="it-IT"/>
        </w:rPr>
        <w:t>2016</w:t>
      </w:r>
      <w:r w:rsidRPr="002F1705">
        <w:rPr>
          <w:rFonts w:asciiTheme="minorHAnsi" w:hAnsiTheme="minorHAnsi" w:cstheme="minorHAnsi"/>
          <w:b w:val="0"/>
          <w:lang w:val="it-IT"/>
        </w:rPr>
        <w:t>)</w:t>
      </w:r>
      <w:bookmarkEnd w:id="36"/>
    </w:p>
    <w:p w14:paraId="790D8FF6" w14:textId="2403EEF4" w:rsidR="009A1BE9" w:rsidRDefault="00CC3943" w:rsidP="00CC3943">
      <w:pPr>
        <w:widowControl w:val="0"/>
        <w:autoSpaceDE w:val="0"/>
        <w:autoSpaceDN w:val="0"/>
        <w:adjustRightInd w:val="0"/>
        <w:spacing w:line="360" w:lineRule="auto"/>
        <w:rPr>
          <w:noProof/>
          <w:lang w:eastAsia="it-IT"/>
        </w:rPr>
      </w:pPr>
      <w:r>
        <w:rPr>
          <w:noProof/>
          <w:lang w:eastAsia="it-IT"/>
        </w:rPr>
        <w:t>I</w:t>
      </w:r>
      <w:r w:rsidR="009A1BE9" w:rsidRPr="009A1BE9">
        <w:rPr>
          <w:noProof/>
          <w:lang w:eastAsia="it-IT"/>
        </w:rPr>
        <w:t xml:space="preserve"> </w:t>
      </w:r>
      <w:r w:rsidR="009A1BE9" w:rsidRPr="009A1BE9">
        <w:rPr>
          <w:noProof/>
          <w:lang w:val="en-GB" w:eastAsia="en-GB"/>
        </w:rPr>
        <w:drawing>
          <wp:inline distT="0" distB="0" distL="0" distR="0" wp14:anchorId="038AE855" wp14:editId="5AD31AA5">
            <wp:extent cx="4927480" cy="1343891"/>
            <wp:effectExtent l="0" t="0" r="6985" b="889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27121" cy="1343793"/>
                    </a:xfrm>
                    <a:prstGeom prst="rect">
                      <a:avLst/>
                    </a:prstGeom>
                    <a:noFill/>
                    <a:ln>
                      <a:noFill/>
                    </a:ln>
                  </pic:spPr>
                </pic:pic>
              </a:graphicData>
            </a:graphic>
          </wp:inline>
        </w:drawing>
      </w:r>
    </w:p>
    <w:p w14:paraId="1CE588C0" w14:textId="77777777" w:rsidR="0085653D" w:rsidRDefault="0085653D" w:rsidP="00CC3943">
      <w:pPr>
        <w:widowControl w:val="0"/>
        <w:autoSpaceDE w:val="0"/>
        <w:autoSpaceDN w:val="0"/>
        <w:adjustRightInd w:val="0"/>
        <w:spacing w:line="360" w:lineRule="auto"/>
        <w:rPr>
          <w:rFonts w:cs="Arial"/>
          <w:iCs/>
          <w:sz w:val="20"/>
          <w:szCs w:val="20"/>
        </w:rPr>
      </w:pPr>
    </w:p>
    <w:p w14:paraId="52F18CED" w14:textId="5EFF4733" w:rsidR="00CC3943" w:rsidRDefault="00CC3943" w:rsidP="00CC3943">
      <w:pPr>
        <w:widowControl w:val="0"/>
        <w:autoSpaceDE w:val="0"/>
        <w:autoSpaceDN w:val="0"/>
        <w:adjustRightInd w:val="0"/>
        <w:spacing w:line="360" w:lineRule="auto"/>
        <w:rPr>
          <w:rFonts w:cs="Arial"/>
          <w:iCs/>
          <w:sz w:val="20"/>
          <w:szCs w:val="20"/>
        </w:rPr>
      </w:pPr>
      <w:r>
        <w:rPr>
          <w:rFonts w:cs="Arial"/>
          <w:iCs/>
          <w:sz w:val="20"/>
          <w:szCs w:val="20"/>
        </w:rPr>
        <w:t>Pertanto, q</w:t>
      </w:r>
      <w:r w:rsidRPr="00203F75">
        <w:rPr>
          <w:rFonts w:cs="Arial"/>
          <w:iCs/>
          <w:sz w:val="20"/>
          <w:szCs w:val="20"/>
        </w:rPr>
        <w:t>uesta sotto-popolazione di pazienti diagnosticati, trattati con XOI e non a target uricemico</w:t>
      </w:r>
      <w:r w:rsidR="00783687">
        <w:rPr>
          <w:rFonts w:cs="Arial"/>
          <w:iCs/>
          <w:sz w:val="20"/>
          <w:szCs w:val="20"/>
        </w:rPr>
        <w:t xml:space="preserve"> (</w:t>
      </w:r>
      <w:hyperlink w:anchor="Tabella4" w:history="1">
        <w:r w:rsidR="00783687" w:rsidRPr="00783687">
          <w:rPr>
            <w:rStyle w:val="Hyperlink"/>
            <w:rFonts w:cs="Arial"/>
            <w:iCs/>
            <w:sz w:val="20"/>
            <w:szCs w:val="20"/>
          </w:rPr>
          <w:t>Tabella 4</w:t>
        </w:r>
      </w:hyperlink>
      <w:r w:rsidR="00783687">
        <w:rPr>
          <w:rFonts w:cs="Arial"/>
          <w:iCs/>
          <w:sz w:val="20"/>
          <w:szCs w:val="20"/>
        </w:rPr>
        <w:t xml:space="preserve"> e </w:t>
      </w:r>
      <w:hyperlink w:anchor="Tabella5" w:history="1">
        <w:r w:rsidR="00783687" w:rsidRPr="00783687">
          <w:rPr>
            <w:rStyle w:val="Hyperlink"/>
            <w:rFonts w:cs="Arial"/>
            <w:iCs/>
            <w:sz w:val="20"/>
            <w:szCs w:val="20"/>
          </w:rPr>
          <w:t>Tabella 5</w:t>
        </w:r>
      </w:hyperlink>
      <w:r w:rsidR="00783687">
        <w:rPr>
          <w:rFonts w:cs="Arial"/>
          <w:iCs/>
          <w:sz w:val="20"/>
          <w:szCs w:val="20"/>
        </w:rPr>
        <w:t>)</w:t>
      </w:r>
      <w:r w:rsidRPr="00203F75">
        <w:rPr>
          <w:rFonts w:cs="Arial"/>
          <w:iCs/>
          <w:sz w:val="20"/>
          <w:szCs w:val="20"/>
        </w:rPr>
        <w:t>, rappresenta l’obiettivo di una nuova terapia mirata al controllo dell’iperuricemia in pazienti con gotta, quale appunto è ZURAMPIC.</w:t>
      </w:r>
    </w:p>
    <w:p w14:paraId="7B29155F" w14:textId="33A4757B" w:rsidR="00832752" w:rsidRDefault="0087637F" w:rsidP="00CC3943">
      <w:pPr>
        <w:widowControl w:val="0"/>
        <w:autoSpaceDE w:val="0"/>
        <w:autoSpaceDN w:val="0"/>
        <w:adjustRightInd w:val="0"/>
        <w:spacing w:line="360" w:lineRule="auto"/>
        <w:rPr>
          <w:rFonts w:cs="Arial"/>
          <w:sz w:val="20"/>
          <w:szCs w:val="20"/>
        </w:rPr>
      </w:pPr>
      <w:r w:rsidRPr="00966D8B">
        <w:rPr>
          <w:rFonts w:cs="Arial"/>
          <w:iCs/>
          <w:sz w:val="20"/>
          <w:szCs w:val="20"/>
        </w:rPr>
        <w:t>Sintetizzando: secondo l’analisi di IMS dal database longitudinale LPD, nel 2016 in Italia si possono stimare 4.705.063 pazienti affetti da gotta/iperuricemia; di questi 1.761.06</w:t>
      </w:r>
      <w:r>
        <w:rPr>
          <w:rFonts w:cs="Arial"/>
          <w:iCs/>
          <w:sz w:val="20"/>
          <w:szCs w:val="20"/>
        </w:rPr>
        <w:t>4</w:t>
      </w:r>
      <w:r w:rsidRPr="00966D8B">
        <w:rPr>
          <w:rFonts w:cs="Arial"/>
          <w:iCs/>
          <w:sz w:val="20"/>
          <w:szCs w:val="20"/>
        </w:rPr>
        <w:t xml:space="preserve"> (37,43%) sono trattati con XOI e circa il </w:t>
      </w:r>
      <w:r>
        <w:rPr>
          <w:rFonts w:cs="Arial"/>
          <w:iCs/>
          <w:sz w:val="20"/>
          <w:szCs w:val="20"/>
        </w:rPr>
        <w:t>43</w:t>
      </w:r>
      <w:r w:rsidRPr="00966D8B">
        <w:rPr>
          <w:rFonts w:cs="Arial"/>
          <w:iCs/>
          <w:sz w:val="20"/>
          <w:szCs w:val="20"/>
        </w:rPr>
        <w:t>% dei pazienti totali non è a target uricemico: pertanto si stima che i pazienti che potrebbero beneficiare di un trattamento con Zurampic deriverebbero da un pool di circa 2</w:t>
      </w:r>
      <w:r>
        <w:rPr>
          <w:rFonts w:cs="Arial"/>
          <w:iCs/>
          <w:sz w:val="20"/>
          <w:szCs w:val="20"/>
        </w:rPr>
        <w:t>10</w:t>
      </w:r>
      <w:r w:rsidRPr="00966D8B">
        <w:rPr>
          <w:rFonts w:cs="Arial"/>
          <w:iCs/>
          <w:sz w:val="20"/>
          <w:szCs w:val="20"/>
        </w:rPr>
        <w:t xml:space="preserve">.000 </w:t>
      </w:r>
      <w:r w:rsidRPr="00EE09F5">
        <w:rPr>
          <w:rFonts w:cs="Arial"/>
          <w:iCs/>
          <w:sz w:val="20"/>
          <w:szCs w:val="20"/>
          <w:u w:val="single"/>
        </w:rPr>
        <w:t>pazienti gottosi</w:t>
      </w:r>
      <w:r w:rsidRPr="00966D8B">
        <w:rPr>
          <w:rFonts w:cs="Arial"/>
          <w:iCs/>
          <w:sz w:val="20"/>
          <w:szCs w:val="20"/>
        </w:rPr>
        <w:t xml:space="preserve"> ma anche da un pool di </w:t>
      </w:r>
      <w:r>
        <w:rPr>
          <w:rFonts w:cs="Arial"/>
          <w:iCs/>
          <w:sz w:val="20"/>
          <w:szCs w:val="20"/>
        </w:rPr>
        <w:t>55</w:t>
      </w:r>
      <w:r w:rsidRPr="00966D8B">
        <w:rPr>
          <w:rFonts w:cs="Arial"/>
          <w:iCs/>
          <w:sz w:val="20"/>
          <w:szCs w:val="20"/>
        </w:rPr>
        <w:t xml:space="preserve">0.000 </w:t>
      </w:r>
      <w:r w:rsidR="00A27B84" w:rsidRPr="00EE09F5">
        <w:rPr>
          <w:rFonts w:cs="Arial"/>
          <w:iCs/>
          <w:sz w:val="20"/>
          <w:szCs w:val="20"/>
          <w:u w:val="single"/>
        </w:rPr>
        <w:t>pazienti iperuricemici/gottosi al cui interno si celano in parte anche i pazienti con gotta intercritica</w:t>
      </w:r>
      <w:r w:rsidR="00A27B84" w:rsidRPr="00966D8B">
        <w:rPr>
          <w:rFonts w:cs="Arial"/>
          <w:iCs/>
          <w:sz w:val="20"/>
          <w:szCs w:val="20"/>
        </w:rPr>
        <w:t xml:space="preserve"> che necesiterebbero di Zurampic proprio per trattare la malattia </w:t>
      </w:r>
      <w:r w:rsidR="00A27B84">
        <w:rPr>
          <w:rFonts w:cs="Arial"/>
          <w:iCs/>
          <w:sz w:val="20"/>
          <w:szCs w:val="20"/>
        </w:rPr>
        <w:t>in maniera adeguata per ridurre gli</w:t>
      </w:r>
      <w:r w:rsidR="00A27B84" w:rsidRPr="00966D8B">
        <w:rPr>
          <w:rFonts w:cs="Arial"/>
          <w:iCs/>
          <w:sz w:val="20"/>
          <w:szCs w:val="20"/>
        </w:rPr>
        <w:t xml:space="preserve"> attacchi acuti ricorrenti</w:t>
      </w:r>
      <w:r w:rsidR="00A27B84">
        <w:rPr>
          <w:rFonts w:cs="Arial"/>
          <w:iCs/>
          <w:sz w:val="20"/>
          <w:szCs w:val="20"/>
        </w:rPr>
        <w:t xml:space="preserve"> e prevenire l’evoluzione della malattia</w:t>
      </w:r>
      <w:r w:rsidRPr="00966D8B">
        <w:rPr>
          <w:rFonts w:cs="Arial"/>
          <w:sz w:val="20"/>
          <w:szCs w:val="20"/>
        </w:rPr>
        <w:t>.</w:t>
      </w:r>
    </w:p>
    <w:p w14:paraId="0F7F2E81" w14:textId="79AE4F58" w:rsidR="00021D98" w:rsidRDefault="00021D98" w:rsidP="00CC3943">
      <w:pPr>
        <w:widowControl w:val="0"/>
        <w:autoSpaceDE w:val="0"/>
        <w:autoSpaceDN w:val="0"/>
        <w:adjustRightInd w:val="0"/>
        <w:spacing w:line="360" w:lineRule="auto"/>
        <w:rPr>
          <w:rFonts w:cs="Arial"/>
          <w:sz w:val="20"/>
          <w:szCs w:val="20"/>
        </w:rPr>
      </w:pPr>
      <w:r>
        <w:rPr>
          <w:rFonts w:cs="Arial"/>
          <w:sz w:val="20"/>
          <w:szCs w:val="20"/>
        </w:rPr>
        <w:t>Di seguito viene riportata la Tabella riassuntiva della popolazione eleggibile a Zurampic (</w:t>
      </w:r>
      <w:hyperlink w:anchor="Tabella6" w:history="1">
        <w:r w:rsidRPr="00021D98">
          <w:rPr>
            <w:rStyle w:val="Hyperlink"/>
            <w:rFonts w:cs="Arial"/>
            <w:sz w:val="20"/>
            <w:szCs w:val="20"/>
          </w:rPr>
          <w:t>Tabella 6</w:t>
        </w:r>
      </w:hyperlink>
      <w:r>
        <w:rPr>
          <w:rFonts w:cs="Arial"/>
          <w:sz w:val="20"/>
          <w:szCs w:val="20"/>
        </w:rPr>
        <w:t>):</w:t>
      </w:r>
    </w:p>
    <w:p w14:paraId="74B9DA07" w14:textId="77777777" w:rsidR="00021D98" w:rsidRDefault="00021D98" w:rsidP="00021D98">
      <w:pPr>
        <w:pStyle w:val="Caption"/>
        <w:rPr>
          <w:rFonts w:asciiTheme="minorHAnsi" w:hAnsiTheme="minorHAnsi" w:cstheme="minorHAnsi"/>
          <w:lang w:val="it-IT"/>
        </w:rPr>
      </w:pPr>
      <w:bookmarkStart w:id="37" w:name="Tabella6"/>
      <w:bookmarkEnd w:id="37"/>
    </w:p>
    <w:p w14:paraId="62A5D245" w14:textId="22A4A2E7" w:rsidR="00021D98" w:rsidRPr="00444C43" w:rsidRDefault="00021D98" w:rsidP="00021D98">
      <w:pPr>
        <w:pStyle w:val="Caption"/>
        <w:rPr>
          <w:rFonts w:asciiTheme="minorHAnsi" w:hAnsiTheme="minorHAnsi" w:cstheme="minorHAnsi"/>
          <w:lang w:val="it-IT"/>
        </w:rPr>
      </w:pPr>
      <w:bookmarkStart w:id="38" w:name="_Toc473150691"/>
      <w:r w:rsidRPr="00444C43">
        <w:rPr>
          <w:rFonts w:asciiTheme="minorHAnsi" w:hAnsiTheme="minorHAnsi" w:cstheme="minorHAnsi"/>
          <w:lang w:val="it-IT"/>
        </w:rPr>
        <w:t xml:space="preserve">Tabella </w:t>
      </w:r>
      <w:r w:rsidRPr="00444C43">
        <w:rPr>
          <w:rFonts w:asciiTheme="minorHAnsi" w:hAnsiTheme="minorHAnsi" w:cstheme="minorHAnsi"/>
        </w:rPr>
        <w:fldChar w:fldCharType="begin"/>
      </w:r>
      <w:r w:rsidRPr="00444C43">
        <w:rPr>
          <w:rFonts w:asciiTheme="minorHAnsi" w:hAnsiTheme="minorHAnsi" w:cstheme="minorHAnsi"/>
          <w:lang w:val="it-IT"/>
        </w:rPr>
        <w:instrText xml:space="preserve"> SEQ Tabella \* ARABIC </w:instrText>
      </w:r>
      <w:r w:rsidRPr="00444C43">
        <w:rPr>
          <w:rFonts w:asciiTheme="minorHAnsi" w:hAnsiTheme="minorHAnsi" w:cstheme="minorHAnsi"/>
        </w:rPr>
        <w:fldChar w:fldCharType="separate"/>
      </w:r>
      <w:r w:rsidR="00A1679C">
        <w:rPr>
          <w:rFonts w:asciiTheme="minorHAnsi" w:hAnsiTheme="minorHAnsi" w:cstheme="minorHAnsi"/>
          <w:noProof/>
          <w:lang w:val="it-IT"/>
        </w:rPr>
        <w:t>6</w:t>
      </w:r>
      <w:r w:rsidRPr="00444C43">
        <w:rPr>
          <w:rFonts w:asciiTheme="minorHAnsi" w:hAnsiTheme="minorHAnsi" w:cstheme="minorHAnsi"/>
        </w:rPr>
        <w:fldChar w:fldCharType="end"/>
      </w:r>
      <w:r w:rsidRPr="00444C43">
        <w:rPr>
          <w:rFonts w:asciiTheme="minorHAnsi" w:hAnsiTheme="minorHAnsi" w:cstheme="minorHAnsi"/>
          <w:lang w:val="it-IT"/>
        </w:rPr>
        <w:t xml:space="preserve"> – </w:t>
      </w:r>
      <w:r w:rsidR="00211678">
        <w:rPr>
          <w:rFonts w:asciiTheme="minorHAnsi" w:hAnsiTheme="minorHAnsi" w:cstheme="minorHAnsi"/>
          <w:lang w:val="it-IT"/>
        </w:rPr>
        <w:t>Popolazione eleggibile a Zurampic</w:t>
      </w:r>
      <w:bookmarkEnd w:id="38"/>
    </w:p>
    <w:p w14:paraId="1D27C3D0" w14:textId="710E50CF" w:rsidR="00021D98" w:rsidRDefault="00FF183D" w:rsidP="00CC3943">
      <w:pPr>
        <w:widowControl w:val="0"/>
        <w:autoSpaceDE w:val="0"/>
        <w:autoSpaceDN w:val="0"/>
        <w:adjustRightInd w:val="0"/>
        <w:spacing w:line="360" w:lineRule="auto"/>
        <w:rPr>
          <w:rFonts w:cs="Arial"/>
          <w:sz w:val="20"/>
          <w:szCs w:val="20"/>
        </w:rPr>
      </w:pPr>
      <w:r>
        <w:rPr>
          <w:noProof/>
          <w:lang w:val="en-GB" w:eastAsia="en-GB"/>
        </w:rPr>
        <w:drawing>
          <wp:inline distT="0" distB="0" distL="0" distR="0" wp14:anchorId="4D3F0D02" wp14:editId="415FFB35">
            <wp:extent cx="5732145" cy="3998996"/>
            <wp:effectExtent l="0" t="0" r="1905" b="1905"/>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2145" cy="3998996"/>
                    </a:xfrm>
                    <a:prstGeom prst="rect">
                      <a:avLst/>
                    </a:prstGeom>
                  </pic:spPr>
                </pic:pic>
              </a:graphicData>
            </a:graphic>
          </wp:inline>
        </w:drawing>
      </w:r>
    </w:p>
    <w:p w14:paraId="398C6C34" w14:textId="77777777" w:rsidR="00021D98" w:rsidRDefault="00021D98" w:rsidP="00CC3943">
      <w:pPr>
        <w:widowControl w:val="0"/>
        <w:autoSpaceDE w:val="0"/>
        <w:autoSpaceDN w:val="0"/>
        <w:adjustRightInd w:val="0"/>
        <w:spacing w:line="360" w:lineRule="auto"/>
        <w:rPr>
          <w:rFonts w:cs="Arial"/>
          <w:sz w:val="20"/>
          <w:szCs w:val="20"/>
        </w:rPr>
      </w:pPr>
    </w:p>
    <w:p w14:paraId="6AA907F4" w14:textId="77777777" w:rsidR="0085653D" w:rsidRPr="00221759" w:rsidRDefault="0085653D" w:rsidP="00CC3943">
      <w:pPr>
        <w:widowControl w:val="0"/>
        <w:autoSpaceDE w:val="0"/>
        <w:autoSpaceDN w:val="0"/>
        <w:adjustRightInd w:val="0"/>
        <w:spacing w:line="360" w:lineRule="auto"/>
        <w:rPr>
          <w:rFonts w:cs="Arial"/>
          <w:sz w:val="20"/>
          <w:szCs w:val="20"/>
        </w:rPr>
      </w:pPr>
    </w:p>
    <w:p w14:paraId="7225DA7D" w14:textId="656D7D1B" w:rsidR="00AA3386" w:rsidRPr="00E21542" w:rsidRDefault="00E21542" w:rsidP="00E21542">
      <w:pPr>
        <w:pStyle w:val="Heading2"/>
        <w:jc w:val="left"/>
        <w:rPr>
          <w:rFonts w:asciiTheme="minorHAnsi" w:hAnsiTheme="minorHAnsi" w:cstheme="minorHAnsi"/>
          <w:i w:val="0"/>
          <w:sz w:val="20"/>
          <w:u w:val="single"/>
        </w:rPr>
      </w:pPr>
      <w:bookmarkStart w:id="39" w:name="Paragrafo42"/>
      <w:bookmarkStart w:id="40" w:name="_Toc473184556"/>
      <w:bookmarkEnd w:id="39"/>
      <w:r w:rsidRPr="00E21542">
        <w:rPr>
          <w:rFonts w:asciiTheme="minorHAnsi" w:hAnsiTheme="minorHAnsi" w:cstheme="minorHAnsi"/>
          <w:i w:val="0"/>
          <w:sz w:val="20"/>
        </w:rPr>
        <w:t xml:space="preserve">4.2 </w:t>
      </w:r>
      <w:r w:rsidR="00AA3386" w:rsidRPr="00E21542">
        <w:rPr>
          <w:rFonts w:asciiTheme="minorHAnsi" w:hAnsiTheme="minorHAnsi" w:cstheme="minorHAnsi"/>
          <w:i w:val="0"/>
          <w:sz w:val="20"/>
          <w:u w:val="single"/>
        </w:rPr>
        <w:t>Gravità/severità della condizione morbosa alla quale il farmaco è destinato</w:t>
      </w:r>
      <w:bookmarkEnd w:id="40"/>
    </w:p>
    <w:p w14:paraId="57C94D16" w14:textId="77777777" w:rsidR="00F23DB6" w:rsidRPr="00F23DB6" w:rsidRDefault="00F23DB6" w:rsidP="00F23DB6">
      <w:pPr>
        <w:pStyle w:val="NoSpacing"/>
        <w:rPr>
          <w:b/>
          <w:sz w:val="20"/>
          <w:szCs w:val="20"/>
        </w:rPr>
      </w:pPr>
      <w:r w:rsidRPr="00F23DB6">
        <w:rPr>
          <w:b/>
          <w:sz w:val="20"/>
          <w:szCs w:val="20"/>
        </w:rPr>
        <w:t xml:space="preserve">4.2a </w:t>
      </w:r>
      <w:r w:rsidRPr="00F23DB6">
        <w:rPr>
          <w:b/>
          <w:sz w:val="20"/>
          <w:szCs w:val="20"/>
        </w:rPr>
        <w:tab/>
        <w:t>grave</w:t>
      </w:r>
    </w:p>
    <w:p w14:paraId="609F3190" w14:textId="77777777" w:rsidR="00F23DB6" w:rsidRPr="00F23DB6" w:rsidRDefault="00F23DB6" w:rsidP="00F23DB6">
      <w:pPr>
        <w:pStyle w:val="NoSpacing"/>
        <w:rPr>
          <w:color w:val="A6A6A6"/>
          <w:sz w:val="20"/>
          <w:szCs w:val="20"/>
        </w:rPr>
      </w:pPr>
      <w:r w:rsidRPr="00F23DB6">
        <w:rPr>
          <w:color w:val="A6A6A6"/>
          <w:sz w:val="20"/>
          <w:szCs w:val="20"/>
        </w:rPr>
        <w:t xml:space="preserve">4.2b </w:t>
      </w:r>
      <w:r w:rsidRPr="00F23DB6">
        <w:rPr>
          <w:color w:val="A6A6A6"/>
          <w:sz w:val="20"/>
          <w:szCs w:val="20"/>
        </w:rPr>
        <w:tab/>
        <w:t>media</w:t>
      </w:r>
    </w:p>
    <w:p w14:paraId="563D42B8" w14:textId="77777777" w:rsidR="00F23DB6" w:rsidRPr="00F23DB6" w:rsidRDefault="00F23DB6" w:rsidP="00F23DB6">
      <w:pPr>
        <w:pStyle w:val="NoSpacing"/>
        <w:rPr>
          <w:color w:val="A6A6A6"/>
          <w:sz w:val="20"/>
          <w:szCs w:val="20"/>
        </w:rPr>
      </w:pPr>
      <w:r w:rsidRPr="00F23DB6">
        <w:rPr>
          <w:color w:val="A6A6A6"/>
          <w:sz w:val="20"/>
          <w:szCs w:val="20"/>
        </w:rPr>
        <w:t xml:space="preserve">4.2c </w:t>
      </w:r>
      <w:r w:rsidRPr="00F23DB6">
        <w:rPr>
          <w:color w:val="A6A6A6"/>
          <w:sz w:val="20"/>
          <w:szCs w:val="20"/>
        </w:rPr>
        <w:tab/>
        <w:t>bassa</w:t>
      </w:r>
    </w:p>
    <w:p w14:paraId="313BECB7" w14:textId="77777777" w:rsidR="00AA3386" w:rsidRPr="00221759" w:rsidRDefault="00AA3386" w:rsidP="00373C68">
      <w:pPr>
        <w:pStyle w:val="ListParagraph"/>
        <w:spacing w:line="360" w:lineRule="auto"/>
        <w:ind w:left="0"/>
        <w:jc w:val="both"/>
        <w:rPr>
          <w:rFonts w:asciiTheme="minorHAnsi" w:hAnsiTheme="minorHAnsi" w:cs="Arial"/>
          <w:sz w:val="20"/>
          <w:szCs w:val="20"/>
          <w:u w:val="single"/>
        </w:rPr>
      </w:pPr>
    </w:p>
    <w:p w14:paraId="644143CD" w14:textId="3451BF53" w:rsidR="000808B5" w:rsidRPr="001D1C44" w:rsidRDefault="000808B5" w:rsidP="000808B5">
      <w:pPr>
        <w:widowControl w:val="0"/>
        <w:autoSpaceDE w:val="0"/>
        <w:autoSpaceDN w:val="0"/>
        <w:adjustRightInd w:val="0"/>
        <w:spacing w:line="360" w:lineRule="auto"/>
        <w:rPr>
          <w:rFonts w:cs="Arial"/>
          <w:sz w:val="20"/>
          <w:szCs w:val="20"/>
        </w:rPr>
      </w:pPr>
      <w:r w:rsidRPr="001D1C44">
        <w:rPr>
          <w:rFonts w:cs="Arial"/>
          <w:sz w:val="20"/>
          <w:szCs w:val="20"/>
        </w:rPr>
        <w:t>La gotta è una malattia cronica, ingravescente e disabilitante causata da un eccesso di acido urico nel sangue (</w:t>
      </w:r>
      <w:r w:rsidRPr="00CF1E4E">
        <w:rPr>
          <w:rFonts w:cs="Arial"/>
          <w:b/>
          <w:sz w:val="20"/>
          <w:szCs w:val="20"/>
        </w:rPr>
        <w:t>iperuricemia</w:t>
      </w:r>
      <w:r w:rsidRPr="001D1C44">
        <w:rPr>
          <w:rFonts w:cs="Arial"/>
          <w:sz w:val="20"/>
          <w:szCs w:val="20"/>
        </w:rPr>
        <w:t xml:space="preserve">). La malattia si manifesta come un’artrite infiammatoria associata a dolore intenso, </w:t>
      </w:r>
      <w:r w:rsidR="00812156">
        <w:rPr>
          <w:rFonts w:cs="Arial"/>
          <w:sz w:val="20"/>
          <w:szCs w:val="20"/>
        </w:rPr>
        <w:t>tumefazione</w:t>
      </w:r>
      <w:r w:rsidR="00812156" w:rsidRPr="001D1C44">
        <w:rPr>
          <w:rFonts w:cs="Arial"/>
          <w:sz w:val="20"/>
          <w:szCs w:val="20"/>
        </w:rPr>
        <w:t xml:space="preserve"> </w:t>
      </w:r>
      <w:r w:rsidRPr="001D1C44">
        <w:rPr>
          <w:rFonts w:cs="Arial"/>
          <w:sz w:val="20"/>
          <w:szCs w:val="20"/>
        </w:rPr>
        <w:t xml:space="preserve">e </w:t>
      </w:r>
      <w:r w:rsidR="00D83C3C">
        <w:rPr>
          <w:rFonts w:cs="Arial"/>
          <w:sz w:val="20"/>
          <w:szCs w:val="20"/>
        </w:rPr>
        <w:t>compromessa funzionalità fisica</w:t>
      </w:r>
      <w:r w:rsidRPr="001D1C44">
        <w:rPr>
          <w:rFonts w:cs="Arial"/>
          <w:sz w:val="20"/>
          <w:szCs w:val="20"/>
        </w:rPr>
        <w:t xml:space="preserve"> nei pazienti che ne sono affetti (</w:t>
      </w:r>
      <w:r w:rsidR="0018676B">
        <w:rPr>
          <w:rFonts w:cs="Arial"/>
          <w:color w:val="0000FF"/>
          <w:sz w:val="20"/>
          <w:szCs w:val="20"/>
        </w:rPr>
        <w:t>Doghramji, 2012 (46)</w:t>
      </w:r>
      <w:r w:rsidR="003F0018">
        <w:rPr>
          <w:rFonts w:cs="Arial"/>
          <w:color w:val="0000FF"/>
          <w:sz w:val="20"/>
          <w:szCs w:val="20"/>
        </w:rPr>
        <w:t xml:space="preserve">; </w:t>
      </w:r>
      <w:r w:rsidR="0018676B">
        <w:rPr>
          <w:rFonts w:cs="Arial"/>
          <w:color w:val="0000FF"/>
          <w:sz w:val="20"/>
          <w:szCs w:val="20"/>
        </w:rPr>
        <w:t>Doherty, 2012 (47)</w:t>
      </w:r>
      <w:r w:rsidRPr="001D1C44">
        <w:rPr>
          <w:rFonts w:cs="Arial"/>
          <w:sz w:val="20"/>
          <w:szCs w:val="20"/>
        </w:rPr>
        <w:t>).</w:t>
      </w:r>
    </w:p>
    <w:p w14:paraId="7E590FC9" w14:textId="02B4410A" w:rsidR="00A03CEC" w:rsidRDefault="001D1C44" w:rsidP="000808B5">
      <w:pPr>
        <w:widowControl w:val="0"/>
        <w:autoSpaceDE w:val="0"/>
        <w:autoSpaceDN w:val="0"/>
        <w:adjustRightInd w:val="0"/>
        <w:spacing w:line="360" w:lineRule="auto"/>
        <w:rPr>
          <w:rFonts w:cs="Arial"/>
          <w:sz w:val="20"/>
          <w:szCs w:val="20"/>
        </w:rPr>
      </w:pPr>
      <w:r w:rsidRPr="00CF1E4E">
        <w:rPr>
          <w:rFonts w:cs="Arial"/>
          <w:b/>
          <w:sz w:val="20"/>
          <w:szCs w:val="20"/>
        </w:rPr>
        <w:t>L’iperuricemia è nella maggior parte dei casi (80-90%) causata da un’inefficiente escrezione renale di acido urico</w:t>
      </w:r>
      <w:r w:rsidR="00D83C3C">
        <w:rPr>
          <w:rFonts w:cs="Arial"/>
          <w:sz w:val="20"/>
          <w:szCs w:val="20"/>
        </w:rPr>
        <w:t>, solo nel 10-20% dei casi l’iperuricemia è causata da un’aumentata produzione di acido urico</w:t>
      </w:r>
      <w:r w:rsidRPr="000808B5">
        <w:rPr>
          <w:rFonts w:cs="Arial"/>
          <w:sz w:val="20"/>
          <w:szCs w:val="20"/>
        </w:rPr>
        <w:t xml:space="preserve"> </w:t>
      </w:r>
      <w:r w:rsidR="00A03CEC">
        <w:rPr>
          <w:rFonts w:cs="Arial"/>
          <w:sz w:val="20"/>
          <w:szCs w:val="20"/>
        </w:rPr>
        <w:t>(</w:t>
      </w:r>
      <w:r w:rsidR="0083674F">
        <w:rPr>
          <w:rFonts w:cs="Arial"/>
          <w:color w:val="0000FF"/>
          <w:sz w:val="20"/>
          <w:szCs w:val="20"/>
        </w:rPr>
        <w:t>Richette, 2010 (34)</w:t>
      </w:r>
      <w:r w:rsidR="00A03CEC" w:rsidRPr="000808B5">
        <w:rPr>
          <w:rFonts w:cs="Arial"/>
          <w:color w:val="0000FF"/>
          <w:sz w:val="20"/>
          <w:szCs w:val="20"/>
        </w:rPr>
        <w:t xml:space="preserve">; </w:t>
      </w:r>
      <w:r w:rsidR="003F0018">
        <w:rPr>
          <w:rFonts w:cs="Arial"/>
          <w:color w:val="0000FF"/>
          <w:sz w:val="20"/>
          <w:szCs w:val="20"/>
        </w:rPr>
        <w:t>Boss, 1979 (</w:t>
      </w:r>
      <w:r w:rsidR="00FA3A90">
        <w:rPr>
          <w:rFonts w:cs="Arial"/>
          <w:color w:val="0000FF"/>
          <w:sz w:val="20"/>
          <w:szCs w:val="20"/>
        </w:rPr>
        <w:t>35</w:t>
      </w:r>
      <w:r w:rsidR="003F0018">
        <w:rPr>
          <w:rFonts w:cs="Arial"/>
          <w:color w:val="0000FF"/>
          <w:sz w:val="20"/>
          <w:szCs w:val="20"/>
        </w:rPr>
        <w:t>)</w:t>
      </w:r>
      <w:r w:rsidR="00A03CEC">
        <w:rPr>
          <w:rFonts w:cs="Arial"/>
          <w:sz w:val="20"/>
          <w:szCs w:val="20"/>
        </w:rPr>
        <w:t>)</w:t>
      </w:r>
      <w:r w:rsidR="00A03CEC" w:rsidRPr="000808B5">
        <w:rPr>
          <w:rFonts w:cs="Arial"/>
          <w:sz w:val="20"/>
          <w:szCs w:val="20"/>
        </w:rPr>
        <w:t>.</w:t>
      </w:r>
      <w:r w:rsidR="006B5BC6">
        <w:rPr>
          <w:rFonts w:cs="Arial"/>
          <w:sz w:val="20"/>
          <w:szCs w:val="20"/>
        </w:rPr>
        <w:t xml:space="preserve"> </w:t>
      </w:r>
    </w:p>
    <w:p w14:paraId="0772EE33" w14:textId="3349461F" w:rsidR="00A03CEC" w:rsidRDefault="00D83C3C" w:rsidP="000808B5">
      <w:pPr>
        <w:widowControl w:val="0"/>
        <w:autoSpaceDE w:val="0"/>
        <w:autoSpaceDN w:val="0"/>
        <w:adjustRightInd w:val="0"/>
        <w:spacing w:line="360" w:lineRule="auto"/>
        <w:rPr>
          <w:rFonts w:cs="Arial"/>
          <w:sz w:val="20"/>
          <w:szCs w:val="20"/>
        </w:rPr>
      </w:pPr>
      <w:r>
        <w:rPr>
          <w:rFonts w:cs="Arial"/>
          <w:sz w:val="20"/>
          <w:szCs w:val="20"/>
        </w:rPr>
        <w:t xml:space="preserve">Il trattamento della gotta ha come obiettivo il controllo dei livelli sierici di urato, tuttavia, </w:t>
      </w:r>
      <w:r w:rsidRPr="00CF1E4E">
        <w:rPr>
          <w:rFonts w:cs="Arial"/>
          <w:b/>
          <w:sz w:val="20"/>
          <w:szCs w:val="20"/>
        </w:rPr>
        <w:t>con i farmaci XOI alle dosi più comunemente utilizzate (gli unici ad oggi disponibili in Italia), più de</w:t>
      </w:r>
      <w:r w:rsidR="00A03CEC" w:rsidRPr="00CF1E4E">
        <w:rPr>
          <w:rFonts w:cs="Arial"/>
          <w:b/>
          <w:sz w:val="20"/>
          <w:szCs w:val="20"/>
        </w:rPr>
        <w:t>l 50% dei pazienti gotto</w:t>
      </w:r>
      <w:r w:rsidR="006F2ED8" w:rsidRPr="00CF1E4E">
        <w:rPr>
          <w:rFonts w:cs="Arial"/>
          <w:b/>
          <w:sz w:val="20"/>
          <w:szCs w:val="20"/>
        </w:rPr>
        <w:t>s</w:t>
      </w:r>
      <w:r w:rsidR="00A03CEC" w:rsidRPr="00CF1E4E">
        <w:rPr>
          <w:rFonts w:cs="Arial"/>
          <w:b/>
          <w:sz w:val="20"/>
          <w:szCs w:val="20"/>
        </w:rPr>
        <w:t xml:space="preserve">i non </w:t>
      </w:r>
      <w:r w:rsidRPr="00CF1E4E">
        <w:rPr>
          <w:rFonts w:cs="Arial"/>
          <w:b/>
          <w:sz w:val="20"/>
          <w:szCs w:val="20"/>
        </w:rPr>
        <w:t xml:space="preserve">raggiunge il livello target di </w:t>
      </w:r>
      <w:r w:rsidR="005848A1" w:rsidRPr="00CF1E4E">
        <w:rPr>
          <w:rFonts w:cs="Arial"/>
          <w:b/>
          <w:sz w:val="20"/>
          <w:szCs w:val="20"/>
        </w:rPr>
        <w:t>sUA</w:t>
      </w:r>
      <w:r w:rsidR="00A03CEC">
        <w:rPr>
          <w:rFonts w:cs="Arial"/>
          <w:sz w:val="20"/>
          <w:szCs w:val="20"/>
        </w:rPr>
        <w:t xml:space="preserve"> (&lt; 6.0 mg/d</w:t>
      </w:r>
      <w:r w:rsidR="00270C15">
        <w:rPr>
          <w:rFonts w:cs="Arial"/>
          <w:sz w:val="20"/>
          <w:szCs w:val="20"/>
        </w:rPr>
        <w:t>l</w:t>
      </w:r>
      <w:r w:rsidR="00A03CEC">
        <w:rPr>
          <w:rFonts w:cs="Arial"/>
          <w:sz w:val="20"/>
          <w:szCs w:val="20"/>
        </w:rPr>
        <w:t>), (</w:t>
      </w:r>
      <w:r w:rsidR="006B5BC6">
        <w:rPr>
          <w:rFonts w:cs="Arial"/>
          <w:sz w:val="20"/>
          <w:szCs w:val="20"/>
        </w:rPr>
        <w:t>(</w:t>
      </w:r>
      <w:r w:rsidR="006B5BC6">
        <w:rPr>
          <w:color w:val="0000FF"/>
          <w:sz w:val="20"/>
          <w:szCs w:val="20"/>
        </w:rPr>
        <w:t xml:space="preserve">Becker, 2005 (36); </w:t>
      </w:r>
      <w:r w:rsidR="006B5BC6" w:rsidRPr="008B42E0">
        <w:rPr>
          <w:rFonts w:cstheme="minorHAnsi"/>
          <w:color w:val="0000FF"/>
          <w:sz w:val="20"/>
          <w:szCs w:val="20"/>
        </w:rPr>
        <w:t>Becker, 2009</w:t>
      </w:r>
      <w:r w:rsidR="006B5BC6">
        <w:rPr>
          <w:rFonts w:cstheme="minorHAnsi"/>
          <w:color w:val="0000FF"/>
          <w:sz w:val="20"/>
          <w:szCs w:val="20"/>
        </w:rPr>
        <w:t xml:space="preserve"> (37)</w:t>
      </w:r>
      <w:r w:rsidR="006B5BC6" w:rsidRPr="008B42E0">
        <w:rPr>
          <w:rFonts w:cstheme="minorHAnsi"/>
          <w:color w:val="0000FF"/>
          <w:sz w:val="20"/>
          <w:szCs w:val="20"/>
        </w:rPr>
        <w:t xml:space="preserve">; </w:t>
      </w:r>
      <w:r w:rsidR="006B5BC6">
        <w:rPr>
          <w:color w:val="0000FF"/>
          <w:sz w:val="20"/>
          <w:szCs w:val="20"/>
        </w:rPr>
        <w:t xml:space="preserve">Becker, 2010 (38); </w:t>
      </w:r>
      <w:r w:rsidR="006B5BC6">
        <w:rPr>
          <w:rFonts w:cs="Arial"/>
          <w:color w:val="0000FF"/>
          <w:sz w:val="20"/>
          <w:szCs w:val="20"/>
        </w:rPr>
        <w:t>Schumacher, 2008 (39);</w:t>
      </w:r>
      <w:r w:rsidR="006B5BC6" w:rsidRPr="0083674F">
        <w:rPr>
          <w:rFonts w:cs="Arial"/>
          <w:color w:val="0000FF"/>
          <w:sz w:val="20"/>
          <w:szCs w:val="20"/>
        </w:rPr>
        <w:t xml:space="preserve"> </w:t>
      </w:r>
      <w:r w:rsidR="006B5BC6">
        <w:rPr>
          <w:rFonts w:cs="Arial"/>
          <w:color w:val="0000FF"/>
          <w:sz w:val="20"/>
          <w:szCs w:val="20"/>
        </w:rPr>
        <w:t xml:space="preserve">Becker, </w:t>
      </w:r>
      <w:r w:rsidR="006B5BC6" w:rsidRPr="006B5BC6">
        <w:rPr>
          <w:rFonts w:cs="Arial"/>
          <w:color w:val="0000FF"/>
          <w:sz w:val="20"/>
          <w:szCs w:val="20"/>
        </w:rPr>
        <w:t>2015 (40)</w:t>
      </w:r>
      <w:r w:rsidR="00270C15" w:rsidRPr="006B5BC6">
        <w:rPr>
          <w:rFonts w:cs="Arial"/>
          <w:sz w:val="20"/>
          <w:szCs w:val="20"/>
        </w:rPr>
        <w:t>)</w:t>
      </w:r>
      <w:r w:rsidR="00EF58B4" w:rsidRPr="006B5BC6">
        <w:rPr>
          <w:rFonts w:cs="Arial"/>
          <w:sz w:val="20"/>
          <w:szCs w:val="20"/>
        </w:rPr>
        <w:t>.</w:t>
      </w:r>
    </w:p>
    <w:p w14:paraId="33AAA2F6" w14:textId="62D4AAAF" w:rsidR="00EF58B4" w:rsidRDefault="00EF58B4" w:rsidP="00EF58B4">
      <w:pPr>
        <w:spacing w:line="360" w:lineRule="auto"/>
        <w:rPr>
          <w:rFonts w:cs="Arial"/>
          <w:sz w:val="20"/>
          <w:szCs w:val="20"/>
        </w:rPr>
      </w:pPr>
      <w:r>
        <w:rPr>
          <w:rFonts w:cs="Arial"/>
          <w:sz w:val="20"/>
          <w:szCs w:val="20"/>
        </w:rPr>
        <w:t xml:space="preserve">Pur utilizzando dosaggi superiori a quelli più comunemente utilizzati di allopurinolo (300 mg/die) </w:t>
      </w:r>
      <w:r w:rsidR="00235B5F" w:rsidRPr="0096302C">
        <w:rPr>
          <w:rFonts w:cs="Arial"/>
          <w:sz w:val="20"/>
          <w:szCs w:val="20"/>
        </w:rPr>
        <w:t>e c</w:t>
      </w:r>
      <w:r w:rsidR="00235B5F">
        <w:rPr>
          <w:rFonts w:cs="Arial"/>
          <w:sz w:val="20"/>
          <w:szCs w:val="20"/>
        </w:rPr>
        <w:t>on un’aderenza alla terapia superiore al 96</w:t>
      </w:r>
      <w:r w:rsidR="00235B5F" w:rsidRPr="0096302C">
        <w:rPr>
          <w:rFonts w:cs="Arial"/>
          <w:sz w:val="20"/>
          <w:szCs w:val="20"/>
        </w:rPr>
        <w:t>%</w:t>
      </w:r>
      <w:r w:rsidR="00235B5F">
        <w:rPr>
          <w:rFonts w:cs="Arial"/>
          <w:sz w:val="20"/>
          <w:szCs w:val="20"/>
        </w:rPr>
        <w:t>,</w:t>
      </w:r>
      <w:r w:rsidR="00235B5F" w:rsidRPr="00FA51BC">
        <w:rPr>
          <w:rFonts w:cs="Arial"/>
          <w:sz w:val="20"/>
          <w:szCs w:val="20"/>
        </w:rPr>
        <w:t xml:space="preserve"> rimane comunque </w:t>
      </w:r>
      <w:r w:rsidR="00235B5F" w:rsidRPr="00CD1C33">
        <w:rPr>
          <w:rFonts w:cs="Arial"/>
          <w:b/>
          <w:sz w:val="20"/>
          <w:szCs w:val="20"/>
        </w:rPr>
        <w:t>alta la percentuale di pazienti che non rispondono al trattamento</w:t>
      </w:r>
      <w:r w:rsidR="00235B5F">
        <w:rPr>
          <w:rFonts w:cs="Arial"/>
          <w:b/>
          <w:sz w:val="20"/>
          <w:szCs w:val="20"/>
        </w:rPr>
        <w:t>,</w:t>
      </w:r>
      <w:r w:rsidR="00235B5F" w:rsidRPr="00FA51BC">
        <w:rPr>
          <w:rFonts w:cs="Arial"/>
          <w:sz w:val="20"/>
          <w:szCs w:val="20"/>
        </w:rPr>
        <w:t xml:space="preserve"> con il 52% dei pazienti che </w:t>
      </w:r>
      <w:r w:rsidR="00235B5F">
        <w:rPr>
          <w:rFonts w:cs="Arial"/>
          <w:sz w:val="20"/>
          <w:szCs w:val="20"/>
        </w:rPr>
        <w:t xml:space="preserve">non </w:t>
      </w:r>
      <w:r w:rsidR="00235B5F" w:rsidRPr="00FA51BC">
        <w:rPr>
          <w:rFonts w:cs="Arial"/>
          <w:sz w:val="20"/>
          <w:szCs w:val="20"/>
        </w:rPr>
        <w:t xml:space="preserve">raggiungono il livello target di </w:t>
      </w:r>
      <w:r w:rsidR="00235B5F">
        <w:rPr>
          <w:rFonts w:cs="Arial"/>
          <w:sz w:val="20"/>
          <w:szCs w:val="20"/>
        </w:rPr>
        <w:t>sUA</w:t>
      </w:r>
      <w:r w:rsidR="00235B5F" w:rsidRPr="00FA51BC">
        <w:rPr>
          <w:rFonts w:cs="Arial"/>
          <w:sz w:val="20"/>
          <w:szCs w:val="20"/>
        </w:rPr>
        <w:t xml:space="preserve"> (&lt;6.0 mg/dl) </w:t>
      </w:r>
      <w:r w:rsidR="00406AA5">
        <w:rPr>
          <w:rFonts w:cs="Arial"/>
          <w:sz w:val="20"/>
          <w:szCs w:val="20"/>
        </w:rPr>
        <w:t xml:space="preserve"> (</w:t>
      </w:r>
      <w:r w:rsidR="00563FA4">
        <w:rPr>
          <w:rFonts w:cs="Arial"/>
          <w:color w:val="0000FF"/>
          <w:sz w:val="20"/>
          <w:szCs w:val="20"/>
        </w:rPr>
        <w:t>Becker, 2015 (40)</w:t>
      </w:r>
      <w:r w:rsidR="003F0018" w:rsidRPr="003F0018">
        <w:rPr>
          <w:rFonts w:cs="Arial"/>
          <w:sz w:val="20"/>
          <w:szCs w:val="20"/>
        </w:rPr>
        <w:t>)</w:t>
      </w:r>
      <w:r>
        <w:rPr>
          <w:rFonts w:cs="Arial"/>
          <w:sz w:val="20"/>
          <w:szCs w:val="20"/>
        </w:rPr>
        <w:t>.</w:t>
      </w:r>
    </w:p>
    <w:p w14:paraId="12E699E5" w14:textId="1912182F" w:rsidR="00EF58B4" w:rsidRDefault="00406AA5" w:rsidP="00EF58B4">
      <w:pPr>
        <w:spacing w:line="360" w:lineRule="auto"/>
        <w:rPr>
          <w:rFonts w:cs="Arial"/>
          <w:sz w:val="20"/>
          <w:szCs w:val="20"/>
        </w:rPr>
      </w:pPr>
      <w:r>
        <w:rPr>
          <w:rFonts w:cs="Arial"/>
          <w:sz w:val="20"/>
          <w:szCs w:val="20"/>
        </w:rPr>
        <w:t>U</w:t>
      </w:r>
      <w:r w:rsidR="00EF58B4">
        <w:rPr>
          <w:rFonts w:cs="Arial"/>
          <w:sz w:val="20"/>
          <w:szCs w:val="20"/>
        </w:rPr>
        <w:t>na ricerca IMS commissionata da Gr</w:t>
      </w:r>
      <w:r w:rsidR="00EF58B4">
        <w:rPr>
          <w:rFonts w:cstheme="minorHAnsi"/>
          <w:sz w:val="20"/>
          <w:szCs w:val="20"/>
        </w:rPr>
        <w:t>ü</w:t>
      </w:r>
      <w:r w:rsidR="00EF58B4">
        <w:rPr>
          <w:rFonts w:cs="Arial"/>
          <w:sz w:val="20"/>
          <w:szCs w:val="20"/>
        </w:rPr>
        <w:t xml:space="preserve">nenthal nel corso del 2016 ha evidenziato come il </w:t>
      </w:r>
      <w:r w:rsidR="008A4C95">
        <w:rPr>
          <w:rFonts w:cs="Arial"/>
          <w:b/>
          <w:sz w:val="20"/>
          <w:szCs w:val="20"/>
        </w:rPr>
        <w:t>67,7</w:t>
      </w:r>
      <w:r w:rsidR="00EF58B4" w:rsidRPr="00CF1E4E">
        <w:rPr>
          <w:rFonts w:cs="Arial"/>
          <w:b/>
          <w:sz w:val="20"/>
          <w:szCs w:val="20"/>
        </w:rPr>
        <w:t xml:space="preserve">% dei pazienti gottosi, sebbene trattati con ULT, presentano livelli di </w:t>
      </w:r>
      <w:r w:rsidR="005848A1" w:rsidRPr="00CF1E4E">
        <w:rPr>
          <w:rFonts w:cs="Arial"/>
          <w:b/>
          <w:sz w:val="20"/>
          <w:szCs w:val="20"/>
        </w:rPr>
        <w:t>SUA</w:t>
      </w:r>
      <w:r w:rsidR="00EF58B4" w:rsidRPr="00CF1E4E">
        <w:rPr>
          <w:rFonts w:cs="Arial"/>
          <w:b/>
          <w:sz w:val="20"/>
          <w:szCs w:val="20"/>
        </w:rPr>
        <w:t xml:space="preserve"> &gt; 6.0 mg/dl</w:t>
      </w:r>
      <w:r w:rsidR="00EF58B4">
        <w:rPr>
          <w:rFonts w:cs="Arial"/>
          <w:sz w:val="20"/>
          <w:szCs w:val="20"/>
        </w:rPr>
        <w:t xml:space="preserve"> (</w:t>
      </w:r>
      <w:r w:rsidR="00563FA4">
        <w:rPr>
          <w:rFonts w:cstheme="minorHAnsi"/>
          <w:color w:val="0000FF"/>
          <w:sz w:val="20"/>
          <w:szCs w:val="20"/>
        </w:rPr>
        <w:t>IMS-Health LPD longitudinal Patient Database, 2016 (41)</w:t>
      </w:r>
      <w:r w:rsidR="00EF58B4" w:rsidRPr="006337C9">
        <w:rPr>
          <w:rFonts w:cs="Arial"/>
          <w:color w:val="0000FF"/>
          <w:sz w:val="20"/>
          <w:szCs w:val="20"/>
        </w:rPr>
        <w:t>)</w:t>
      </w:r>
      <w:r w:rsidR="00EF58B4">
        <w:rPr>
          <w:rFonts w:cs="Arial"/>
          <w:sz w:val="20"/>
          <w:szCs w:val="20"/>
        </w:rPr>
        <w:t>.</w:t>
      </w:r>
    </w:p>
    <w:p w14:paraId="36D2F3E1" w14:textId="35BA3FE6" w:rsidR="000808B5" w:rsidRPr="000808B5" w:rsidRDefault="000808B5" w:rsidP="000808B5">
      <w:pPr>
        <w:widowControl w:val="0"/>
        <w:autoSpaceDE w:val="0"/>
        <w:autoSpaceDN w:val="0"/>
        <w:adjustRightInd w:val="0"/>
        <w:spacing w:line="360" w:lineRule="auto"/>
        <w:rPr>
          <w:rFonts w:cs="Arial"/>
          <w:sz w:val="20"/>
          <w:szCs w:val="20"/>
        </w:rPr>
      </w:pPr>
      <w:r w:rsidRPr="000808B5">
        <w:rPr>
          <w:rFonts w:cs="Arial"/>
          <w:sz w:val="20"/>
          <w:szCs w:val="20"/>
        </w:rPr>
        <w:t xml:space="preserve">Con il termine di iperuricemia si fa riferimento all’incremento dei livelli sierici di acido urico oltre la soglia di </w:t>
      </w:r>
      <w:r w:rsidR="0083416A">
        <w:rPr>
          <w:rFonts w:cs="Arial"/>
          <w:sz w:val="20"/>
          <w:szCs w:val="20"/>
        </w:rPr>
        <w:t>saturazione</w:t>
      </w:r>
      <w:r w:rsidRPr="000808B5">
        <w:rPr>
          <w:rFonts w:cs="Arial"/>
          <w:sz w:val="20"/>
          <w:szCs w:val="20"/>
        </w:rPr>
        <w:t xml:space="preserve"> (&gt; 6,8 mg/dl)</w:t>
      </w:r>
      <w:r>
        <w:rPr>
          <w:rFonts w:cs="Arial"/>
          <w:sz w:val="20"/>
          <w:szCs w:val="20"/>
        </w:rPr>
        <w:t xml:space="preserve"> (</w:t>
      </w:r>
      <w:r w:rsidR="008B00C5">
        <w:rPr>
          <w:rFonts w:cs="Arial"/>
          <w:color w:val="0000FF"/>
          <w:sz w:val="20"/>
          <w:szCs w:val="20"/>
        </w:rPr>
        <w:t>Pascual, 2013 (56)</w:t>
      </w:r>
      <w:r w:rsidRPr="000808B5">
        <w:rPr>
          <w:rFonts w:cs="Arial"/>
          <w:sz w:val="20"/>
          <w:szCs w:val="20"/>
        </w:rPr>
        <w:t>)</w:t>
      </w:r>
      <w:r>
        <w:rPr>
          <w:rFonts w:cs="Arial"/>
          <w:sz w:val="20"/>
          <w:szCs w:val="20"/>
        </w:rPr>
        <w:t>.</w:t>
      </w:r>
      <w:r w:rsidRPr="000808B5">
        <w:rPr>
          <w:rFonts w:cs="Arial"/>
          <w:sz w:val="20"/>
          <w:szCs w:val="20"/>
        </w:rPr>
        <w:t xml:space="preserve"> L’iperuricemia può essere classificata come primaria o secondaria. Nella forma primaria, la causa è intrinseca (ad esempio legata a fattori genetici). Nei casi secondari, l’iperuricemia può svilupparsi come risultato di un'altra malattia o per effetto di un farmaco</w:t>
      </w:r>
      <w:r>
        <w:rPr>
          <w:rFonts w:cs="Arial"/>
          <w:sz w:val="20"/>
          <w:szCs w:val="20"/>
        </w:rPr>
        <w:t xml:space="preserve"> (</w:t>
      </w:r>
      <w:r w:rsidRPr="000808B5">
        <w:rPr>
          <w:rFonts w:cs="Arial"/>
          <w:color w:val="0000FF"/>
          <w:sz w:val="20"/>
          <w:szCs w:val="20"/>
        </w:rPr>
        <w:t>Burns, 2013</w:t>
      </w:r>
      <w:r w:rsidR="0012608E">
        <w:rPr>
          <w:rFonts w:cs="Arial"/>
          <w:color w:val="0000FF"/>
          <w:sz w:val="20"/>
          <w:szCs w:val="20"/>
        </w:rPr>
        <w:t xml:space="preserve"> (</w:t>
      </w:r>
      <w:r w:rsidR="00FA3A90">
        <w:rPr>
          <w:rFonts w:cs="Arial"/>
          <w:color w:val="0000FF"/>
          <w:sz w:val="20"/>
          <w:szCs w:val="20"/>
        </w:rPr>
        <w:t>8</w:t>
      </w:r>
      <w:r w:rsidR="0012608E">
        <w:rPr>
          <w:rFonts w:cs="Arial"/>
          <w:color w:val="0000FF"/>
          <w:sz w:val="20"/>
          <w:szCs w:val="20"/>
        </w:rPr>
        <w:t>)</w:t>
      </w:r>
      <w:r>
        <w:rPr>
          <w:rFonts w:cs="Arial"/>
          <w:sz w:val="20"/>
          <w:szCs w:val="20"/>
        </w:rPr>
        <w:t>)</w:t>
      </w:r>
      <w:r w:rsidRPr="000808B5">
        <w:rPr>
          <w:rFonts w:cs="Arial"/>
          <w:sz w:val="20"/>
          <w:szCs w:val="20"/>
        </w:rPr>
        <w:t>.</w:t>
      </w:r>
    </w:p>
    <w:p w14:paraId="77261F44" w14:textId="28D5DF08" w:rsidR="000808B5" w:rsidRPr="000808B5" w:rsidRDefault="000808B5" w:rsidP="006F2ED8">
      <w:pPr>
        <w:widowControl w:val="0"/>
        <w:autoSpaceDE w:val="0"/>
        <w:autoSpaceDN w:val="0"/>
        <w:adjustRightInd w:val="0"/>
        <w:spacing w:line="360" w:lineRule="auto"/>
        <w:rPr>
          <w:rFonts w:cs="Arial"/>
          <w:sz w:val="20"/>
          <w:szCs w:val="20"/>
        </w:rPr>
      </w:pPr>
      <w:r w:rsidRPr="000808B5">
        <w:rPr>
          <w:rFonts w:cs="Arial"/>
          <w:sz w:val="20"/>
          <w:szCs w:val="20"/>
        </w:rPr>
        <w:t xml:space="preserve">La presenza di iperuricemia, ovvero di livelli di </w:t>
      </w:r>
      <w:r w:rsidR="00812156">
        <w:rPr>
          <w:rFonts w:cs="Arial"/>
          <w:sz w:val="20"/>
          <w:szCs w:val="20"/>
        </w:rPr>
        <w:t>acido urico nel sangue</w:t>
      </w:r>
      <w:r w:rsidR="00D83C3C">
        <w:rPr>
          <w:rFonts w:cs="Arial"/>
          <w:sz w:val="20"/>
          <w:szCs w:val="20"/>
        </w:rPr>
        <w:t xml:space="preserve"> (</w:t>
      </w:r>
      <w:r w:rsidR="005848A1">
        <w:rPr>
          <w:rFonts w:cs="Arial"/>
          <w:sz w:val="20"/>
          <w:szCs w:val="20"/>
        </w:rPr>
        <w:t>sUA</w:t>
      </w:r>
      <w:r w:rsidRPr="000808B5">
        <w:rPr>
          <w:rFonts w:cs="Arial"/>
          <w:sz w:val="20"/>
          <w:szCs w:val="20"/>
        </w:rPr>
        <w:t xml:space="preserve">) al di sopra della soglia di </w:t>
      </w:r>
      <w:r w:rsidR="0083416A">
        <w:rPr>
          <w:rFonts w:cs="Arial"/>
          <w:sz w:val="20"/>
          <w:szCs w:val="20"/>
        </w:rPr>
        <w:t xml:space="preserve">saturazione </w:t>
      </w:r>
      <w:r w:rsidRPr="000808B5">
        <w:rPr>
          <w:rFonts w:cs="Arial"/>
          <w:sz w:val="20"/>
          <w:szCs w:val="20"/>
        </w:rPr>
        <w:t xml:space="preserve">(&gt;6,8 mg/dl) </w:t>
      </w:r>
      <w:r w:rsidR="00C933A4">
        <w:rPr>
          <w:rFonts w:cs="Arial"/>
          <w:sz w:val="20"/>
          <w:szCs w:val="20"/>
        </w:rPr>
        <w:t xml:space="preserve">promuove </w:t>
      </w:r>
      <w:r w:rsidRPr="000808B5">
        <w:rPr>
          <w:rFonts w:cs="Arial"/>
          <w:sz w:val="20"/>
          <w:szCs w:val="20"/>
        </w:rPr>
        <w:t xml:space="preserve">la formazione di cristalli di </w:t>
      </w:r>
      <w:r w:rsidR="00895CA0">
        <w:rPr>
          <w:rFonts w:cs="Arial"/>
          <w:sz w:val="20"/>
          <w:szCs w:val="20"/>
        </w:rPr>
        <w:t>MSU</w:t>
      </w:r>
      <w:r w:rsidRPr="000808B5">
        <w:rPr>
          <w:rFonts w:cs="Arial"/>
          <w:sz w:val="20"/>
          <w:szCs w:val="20"/>
        </w:rPr>
        <w:t xml:space="preserve"> che si depositano e si accumulano nel corpo, in particolare presso le articolazioni, i tessuti molli e gli organi</w:t>
      </w:r>
      <w:r w:rsidR="003F0018">
        <w:rPr>
          <w:rFonts w:cs="Arial"/>
          <w:sz w:val="20"/>
          <w:szCs w:val="20"/>
        </w:rPr>
        <w:t xml:space="preserve"> (</w:t>
      </w:r>
      <w:r w:rsidR="008B00C5">
        <w:rPr>
          <w:rFonts w:cs="Arial"/>
          <w:color w:val="0000FF"/>
          <w:sz w:val="20"/>
          <w:szCs w:val="20"/>
        </w:rPr>
        <w:t>Hamburger 2011 (57</w:t>
      </w:r>
      <w:r w:rsidR="00FC1DCB">
        <w:rPr>
          <w:rFonts w:cs="Arial"/>
          <w:color w:val="0000FF"/>
          <w:sz w:val="20"/>
          <w:szCs w:val="20"/>
        </w:rPr>
        <w:t>)</w:t>
      </w:r>
      <w:r w:rsidR="003F0018">
        <w:rPr>
          <w:rFonts w:cs="Arial"/>
          <w:sz w:val="20"/>
          <w:szCs w:val="20"/>
        </w:rPr>
        <w:t>)</w:t>
      </w:r>
      <w:r w:rsidRPr="000808B5">
        <w:rPr>
          <w:rFonts w:cs="Arial"/>
          <w:sz w:val="20"/>
          <w:szCs w:val="20"/>
        </w:rPr>
        <w:t xml:space="preserve">. </w:t>
      </w:r>
    </w:p>
    <w:p w14:paraId="7A7DC555" w14:textId="7DE4E8CB" w:rsidR="00C933A4" w:rsidRDefault="000808B5" w:rsidP="000808B5">
      <w:pPr>
        <w:widowControl w:val="0"/>
        <w:autoSpaceDE w:val="0"/>
        <w:autoSpaceDN w:val="0"/>
        <w:adjustRightInd w:val="0"/>
        <w:spacing w:line="360" w:lineRule="auto"/>
        <w:rPr>
          <w:rFonts w:cs="Arial"/>
          <w:sz w:val="20"/>
          <w:szCs w:val="20"/>
        </w:rPr>
      </w:pPr>
      <w:r w:rsidRPr="000808B5">
        <w:rPr>
          <w:rFonts w:cs="Arial"/>
          <w:sz w:val="20"/>
          <w:szCs w:val="20"/>
        </w:rPr>
        <w:t xml:space="preserve">La deposizione di questi cristalli in diversi tessuti è il fattore eziologico della gotta: </w:t>
      </w:r>
      <w:r w:rsidR="00C933A4">
        <w:rPr>
          <w:rFonts w:cs="Arial"/>
          <w:sz w:val="20"/>
          <w:szCs w:val="20"/>
        </w:rPr>
        <w:t>essi</w:t>
      </w:r>
      <w:r w:rsidR="00C933A4" w:rsidRPr="00C933A4">
        <w:rPr>
          <w:rFonts w:cs="Arial"/>
          <w:sz w:val="20"/>
          <w:szCs w:val="20"/>
        </w:rPr>
        <w:t xml:space="preserve"> possono sfaldarsi o spontaneamente o dopo eventi stressanti (ad es.traumatici, metabolici, alimentari, ecc) liberando nel mezzo i cristalli di MSU </w:t>
      </w:r>
      <w:r w:rsidR="00C933A4">
        <w:rPr>
          <w:rFonts w:cs="Arial"/>
          <w:sz w:val="20"/>
          <w:szCs w:val="20"/>
        </w:rPr>
        <w:t xml:space="preserve">che risultano altamente flogogeni e </w:t>
      </w:r>
      <w:r w:rsidRPr="000808B5">
        <w:rPr>
          <w:rFonts w:cs="Arial"/>
          <w:sz w:val="20"/>
          <w:szCs w:val="20"/>
        </w:rPr>
        <w:t xml:space="preserve"> genera</w:t>
      </w:r>
      <w:r w:rsidR="00C933A4">
        <w:rPr>
          <w:rFonts w:cs="Arial"/>
          <w:sz w:val="20"/>
          <w:szCs w:val="20"/>
        </w:rPr>
        <w:t>no</w:t>
      </w:r>
      <w:r w:rsidRPr="000808B5">
        <w:rPr>
          <w:rFonts w:cs="Arial"/>
          <w:sz w:val="20"/>
          <w:szCs w:val="20"/>
        </w:rPr>
        <w:t xml:space="preserve"> una risposta infiammatoria con conseguente rilascio di citochine pro-infiammatorie causan</w:t>
      </w:r>
      <w:r w:rsidR="00C933A4">
        <w:rPr>
          <w:rFonts w:cs="Arial"/>
          <w:sz w:val="20"/>
          <w:szCs w:val="20"/>
        </w:rPr>
        <w:t>d</w:t>
      </w:r>
      <w:r w:rsidRPr="000808B5">
        <w:rPr>
          <w:rFonts w:cs="Arial"/>
          <w:sz w:val="20"/>
          <w:szCs w:val="20"/>
        </w:rPr>
        <w:t xml:space="preserve">o </w:t>
      </w:r>
      <w:r w:rsidR="00C933A4">
        <w:rPr>
          <w:rFonts w:cs="Arial"/>
          <w:sz w:val="20"/>
          <w:szCs w:val="20"/>
        </w:rPr>
        <w:t xml:space="preserve">così il manifestarsi di </w:t>
      </w:r>
      <w:r w:rsidRPr="000808B5">
        <w:rPr>
          <w:rFonts w:cs="Arial"/>
          <w:sz w:val="20"/>
          <w:szCs w:val="20"/>
        </w:rPr>
        <w:t>attacchi acuti di artrite</w:t>
      </w:r>
      <w:r>
        <w:rPr>
          <w:rFonts w:cs="Arial"/>
          <w:sz w:val="20"/>
          <w:szCs w:val="20"/>
        </w:rPr>
        <w:t xml:space="preserve"> (</w:t>
      </w:r>
      <w:r w:rsidR="00231A40">
        <w:rPr>
          <w:rFonts w:cs="Arial"/>
          <w:color w:val="0000FF"/>
          <w:sz w:val="20"/>
          <w:szCs w:val="20"/>
        </w:rPr>
        <w:t>Terkeltaub, 2013 (14)</w:t>
      </w:r>
      <w:r>
        <w:rPr>
          <w:rFonts w:cs="Arial"/>
          <w:sz w:val="20"/>
          <w:szCs w:val="20"/>
        </w:rPr>
        <w:t>).</w:t>
      </w:r>
      <w:r w:rsidRPr="000808B5">
        <w:rPr>
          <w:rFonts w:cs="Arial"/>
          <w:sz w:val="20"/>
          <w:szCs w:val="20"/>
        </w:rPr>
        <w:t xml:space="preserve"> </w:t>
      </w:r>
    </w:p>
    <w:p w14:paraId="0C8A76C2" w14:textId="7E975CB3" w:rsidR="000808B5" w:rsidRPr="000808B5" w:rsidRDefault="000808B5" w:rsidP="000808B5">
      <w:pPr>
        <w:widowControl w:val="0"/>
        <w:autoSpaceDE w:val="0"/>
        <w:autoSpaceDN w:val="0"/>
        <w:adjustRightInd w:val="0"/>
        <w:spacing w:line="360" w:lineRule="auto"/>
        <w:rPr>
          <w:rFonts w:cs="Arial"/>
          <w:sz w:val="20"/>
          <w:szCs w:val="20"/>
        </w:rPr>
      </w:pPr>
      <w:r w:rsidRPr="000808B5">
        <w:rPr>
          <w:rFonts w:cs="Arial"/>
          <w:sz w:val="20"/>
          <w:szCs w:val="20"/>
        </w:rPr>
        <w:t xml:space="preserve">La deposizione di cristalli di </w:t>
      </w:r>
      <w:r w:rsidR="00C933A4">
        <w:rPr>
          <w:rFonts w:cs="Arial"/>
          <w:sz w:val="20"/>
          <w:szCs w:val="20"/>
        </w:rPr>
        <w:t>MSU</w:t>
      </w:r>
      <w:r w:rsidRPr="000808B5">
        <w:rPr>
          <w:rFonts w:cs="Arial"/>
          <w:sz w:val="20"/>
          <w:szCs w:val="20"/>
        </w:rPr>
        <w:t xml:space="preserve"> è inizialmente favorita nei tessuti molli e nelle articolazioni, localizzati in sedi corporee poco vascolarizzate e periferiche, come ad esempio gli arti inferiori. Un chiaro sintomo di gotta è, infatti, </w:t>
      </w:r>
      <w:r w:rsidR="00812156">
        <w:rPr>
          <w:rFonts w:cs="Arial"/>
          <w:sz w:val="20"/>
          <w:szCs w:val="20"/>
        </w:rPr>
        <w:t>la tumefazione</w:t>
      </w:r>
      <w:r w:rsidRPr="000808B5">
        <w:rPr>
          <w:rFonts w:cs="Arial"/>
          <w:sz w:val="20"/>
          <w:szCs w:val="20"/>
        </w:rPr>
        <w:t xml:space="preserve"> con infiammazione dolorosa delle articolazioni, in particolare a livello dei piedi</w:t>
      </w:r>
      <w:r>
        <w:rPr>
          <w:rFonts w:cs="Arial"/>
          <w:sz w:val="20"/>
          <w:szCs w:val="20"/>
        </w:rPr>
        <w:t xml:space="preserve"> (</w:t>
      </w:r>
      <w:r w:rsidR="00E54BFE">
        <w:rPr>
          <w:rFonts w:cs="Arial"/>
          <w:color w:val="0000FF"/>
          <w:sz w:val="20"/>
          <w:szCs w:val="20"/>
        </w:rPr>
        <w:t>Keenan, 2013 (2)</w:t>
      </w:r>
      <w:r w:rsidR="00FC1DCB">
        <w:rPr>
          <w:rFonts w:cs="Arial"/>
          <w:color w:val="0000FF"/>
          <w:sz w:val="20"/>
          <w:szCs w:val="20"/>
        </w:rPr>
        <w:t xml:space="preserve">; </w:t>
      </w:r>
      <w:r w:rsidR="008B00C5">
        <w:rPr>
          <w:rFonts w:cs="Arial"/>
          <w:color w:val="0000FF"/>
          <w:sz w:val="20"/>
          <w:szCs w:val="20"/>
        </w:rPr>
        <w:t>Yu, 1967 (58)</w:t>
      </w:r>
      <w:r w:rsidRPr="00E674F8">
        <w:rPr>
          <w:rFonts w:cs="Arial"/>
          <w:sz w:val="20"/>
          <w:szCs w:val="20"/>
        </w:rPr>
        <w:t>)</w:t>
      </w:r>
      <w:r>
        <w:rPr>
          <w:rFonts w:cs="Arial"/>
          <w:color w:val="0000FF"/>
          <w:sz w:val="20"/>
          <w:szCs w:val="20"/>
        </w:rPr>
        <w:t>.</w:t>
      </w:r>
    </w:p>
    <w:p w14:paraId="081A9B09" w14:textId="734FE3F8" w:rsidR="0018545D" w:rsidRDefault="0018545D" w:rsidP="000808B5">
      <w:pPr>
        <w:widowControl w:val="0"/>
        <w:autoSpaceDE w:val="0"/>
        <w:autoSpaceDN w:val="0"/>
        <w:adjustRightInd w:val="0"/>
        <w:spacing w:line="360" w:lineRule="auto"/>
        <w:rPr>
          <w:rFonts w:cs="Arial"/>
          <w:sz w:val="20"/>
          <w:szCs w:val="20"/>
        </w:rPr>
      </w:pPr>
      <w:r w:rsidRPr="00CF1E4E">
        <w:rPr>
          <w:rFonts w:cs="Arial"/>
          <w:b/>
          <w:sz w:val="20"/>
          <w:szCs w:val="20"/>
        </w:rPr>
        <w:t>La sintomatologia è estremamente dolorosa:</w:t>
      </w:r>
      <w:r w:rsidRPr="0018545D">
        <w:rPr>
          <w:rFonts w:cs="Arial"/>
          <w:sz w:val="20"/>
          <w:szCs w:val="20"/>
        </w:rPr>
        <w:t xml:space="preserve"> il dolore è infatti il sintomo cardine e identificativo della patologia; progressivamente crescente è intenso, </w:t>
      </w:r>
      <w:r w:rsidRPr="00CF1E4E">
        <w:rPr>
          <w:rFonts w:cs="Arial"/>
          <w:b/>
          <w:sz w:val="20"/>
          <w:szCs w:val="20"/>
        </w:rPr>
        <w:t>costringe il paziente all’immobilità ed è causa di profonda angoscia.</w:t>
      </w:r>
      <w:r>
        <w:rPr>
          <w:rFonts w:cs="Arial"/>
          <w:sz w:val="20"/>
          <w:szCs w:val="20"/>
        </w:rPr>
        <w:t xml:space="preserve"> I</w:t>
      </w:r>
      <w:r w:rsidRPr="0018545D">
        <w:rPr>
          <w:rFonts w:cs="Arial"/>
          <w:sz w:val="20"/>
          <w:szCs w:val="20"/>
        </w:rPr>
        <w:t>n una recente survey tutti i pazienti intervistati hanno riportato di aver sperimentato dolore severo e disabilitante, più frequentemente descritto come una sensazione di accoltellamento, o intenso tanto quanto un parto o un’articolazione fratturata (</w:t>
      </w:r>
      <w:r w:rsidR="00231A40">
        <w:rPr>
          <w:rFonts w:cs="Arial"/>
          <w:color w:val="0000FF"/>
          <w:sz w:val="20"/>
          <w:szCs w:val="20"/>
        </w:rPr>
        <w:t>Tatlock, 2016 (12)</w:t>
      </w:r>
      <w:r w:rsidRPr="0018545D">
        <w:rPr>
          <w:rFonts w:cs="Arial"/>
          <w:sz w:val="20"/>
          <w:szCs w:val="20"/>
        </w:rPr>
        <w:t>).</w:t>
      </w:r>
    </w:p>
    <w:p w14:paraId="5156FB57" w14:textId="76686A50" w:rsidR="00EB46C6" w:rsidRDefault="0018545D" w:rsidP="00C933A4">
      <w:pPr>
        <w:widowControl w:val="0"/>
        <w:autoSpaceDE w:val="0"/>
        <w:autoSpaceDN w:val="0"/>
        <w:adjustRightInd w:val="0"/>
        <w:spacing w:line="360" w:lineRule="auto"/>
        <w:rPr>
          <w:rFonts w:cs="Arial"/>
          <w:sz w:val="20"/>
          <w:szCs w:val="20"/>
        </w:rPr>
      </w:pPr>
      <w:r w:rsidRPr="00CF1E4E">
        <w:rPr>
          <w:rFonts w:cs="Arial"/>
          <w:b/>
          <w:sz w:val="20"/>
          <w:szCs w:val="20"/>
        </w:rPr>
        <w:t>Tra un episodio acuto e l’altro, il paziente è completamente asintomatico. Questi intervalli di tempo sono detti periodi “intercritici” asintomatici (</w:t>
      </w:r>
      <w:r w:rsidR="002B078B" w:rsidRPr="00CF1E4E">
        <w:rPr>
          <w:rFonts w:cs="Arial"/>
          <w:b/>
          <w:sz w:val="20"/>
          <w:szCs w:val="20"/>
          <w:u w:val="single"/>
        </w:rPr>
        <w:t>gotta</w:t>
      </w:r>
      <w:r w:rsidRPr="00CF1E4E">
        <w:rPr>
          <w:rFonts w:cs="Arial"/>
          <w:b/>
          <w:sz w:val="20"/>
          <w:szCs w:val="20"/>
          <w:u w:val="single"/>
        </w:rPr>
        <w:t xml:space="preserve"> intercritica</w:t>
      </w:r>
      <w:r w:rsidRPr="00CF1E4E">
        <w:rPr>
          <w:rFonts w:cs="Arial"/>
          <w:b/>
          <w:sz w:val="20"/>
          <w:szCs w:val="20"/>
        </w:rPr>
        <w:t>).</w:t>
      </w:r>
      <w:r w:rsidRPr="0018545D">
        <w:rPr>
          <w:rFonts w:cs="Arial"/>
          <w:sz w:val="20"/>
          <w:szCs w:val="20"/>
        </w:rPr>
        <w:t xml:space="preserve"> </w:t>
      </w:r>
      <w:r w:rsidRPr="00456C03">
        <w:rPr>
          <w:rFonts w:cs="Arial"/>
          <w:sz w:val="20"/>
          <w:szCs w:val="20"/>
        </w:rPr>
        <w:t>Durante le fasi intercritiche o comunque quando le articolazioni non sono nella fase acuta dell</w:t>
      </w:r>
      <w:r w:rsidR="00CF1E4E">
        <w:rPr>
          <w:rFonts w:cs="Arial"/>
          <w:sz w:val="20"/>
          <w:szCs w:val="20"/>
        </w:rPr>
        <w:t>’</w:t>
      </w:r>
      <w:r w:rsidRPr="00456C03">
        <w:rPr>
          <w:rFonts w:cs="Arial"/>
          <w:sz w:val="20"/>
          <w:szCs w:val="20"/>
        </w:rPr>
        <w:t>infiammazione</w:t>
      </w:r>
      <w:r w:rsidR="00CF1E4E">
        <w:rPr>
          <w:rFonts w:cs="Arial"/>
          <w:sz w:val="20"/>
          <w:szCs w:val="20"/>
        </w:rPr>
        <w:t>,</w:t>
      </w:r>
      <w:r w:rsidRPr="00456C03">
        <w:rPr>
          <w:rFonts w:cs="Arial"/>
          <w:sz w:val="20"/>
          <w:szCs w:val="20"/>
        </w:rPr>
        <w:t xml:space="preserve"> i cristalli di MSU continuano a depositarsi, anche in assenza di m</w:t>
      </w:r>
      <w:r w:rsidR="00CF1E4E">
        <w:rPr>
          <w:rFonts w:cs="Arial"/>
          <w:sz w:val="20"/>
          <w:szCs w:val="20"/>
        </w:rPr>
        <w:t>anifestazioni cliniche evidenti</w:t>
      </w:r>
      <w:r w:rsidRPr="00456C03">
        <w:rPr>
          <w:rFonts w:cs="Arial"/>
          <w:sz w:val="20"/>
          <w:szCs w:val="20"/>
        </w:rPr>
        <w:t xml:space="preserve"> e la malattia progredisce (</w:t>
      </w:r>
      <w:r w:rsidR="009752F0">
        <w:rPr>
          <w:rFonts w:cs="Arial"/>
          <w:color w:val="0000FF"/>
          <w:sz w:val="20"/>
          <w:szCs w:val="20"/>
        </w:rPr>
        <w:t>Perez-Ruiz</w:t>
      </w:r>
      <w:r w:rsidR="00231A40">
        <w:rPr>
          <w:rFonts w:cs="Arial"/>
          <w:color w:val="0000FF"/>
          <w:sz w:val="20"/>
          <w:szCs w:val="20"/>
        </w:rPr>
        <w:t>, 2014 (9)</w:t>
      </w:r>
      <w:r w:rsidRPr="00456C03">
        <w:rPr>
          <w:rFonts w:cs="Arial"/>
          <w:color w:val="0000FF"/>
          <w:sz w:val="20"/>
          <w:szCs w:val="20"/>
        </w:rPr>
        <w:t xml:space="preserve">; </w:t>
      </w:r>
      <w:r w:rsidR="00231A40">
        <w:rPr>
          <w:rFonts w:cs="Arial"/>
          <w:color w:val="0000FF"/>
          <w:sz w:val="20"/>
          <w:szCs w:val="20"/>
        </w:rPr>
        <w:t>Doghrami, 2016 (10)</w:t>
      </w:r>
      <w:r w:rsidRPr="0018545D">
        <w:rPr>
          <w:rFonts w:cs="Arial"/>
          <w:sz w:val="20"/>
          <w:szCs w:val="20"/>
        </w:rPr>
        <w:t>).</w:t>
      </w:r>
      <w:r w:rsidR="00210052">
        <w:rPr>
          <w:rFonts w:cs="Arial"/>
          <w:sz w:val="20"/>
          <w:szCs w:val="20"/>
        </w:rPr>
        <w:t xml:space="preserve"> </w:t>
      </w:r>
    </w:p>
    <w:p w14:paraId="34FDF054" w14:textId="0ACE8F39" w:rsidR="00C933A4" w:rsidRDefault="00C933A4" w:rsidP="00C933A4">
      <w:pPr>
        <w:widowControl w:val="0"/>
        <w:autoSpaceDE w:val="0"/>
        <w:autoSpaceDN w:val="0"/>
        <w:adjustRightInd w:val="0"/>
        <w:spacing w:line="360" w:lineRule="auto"/>
        <w:rPr>
          <w:rFonts w:cs="Arial"/>
          <w:sz w:val="20"/>
          <w:szCs w:val="20"/>
        </w:rPr>
      </w:pPr>
      <w:r>
        <w:rPr>
          <w:rFonts w:cs="Arial"/>
          <w:sz w:val="20"/>
          <w:szCs w:val="20"/>
        </w:rPr>
        <w:t xml:space="preserve">E’ fondamentale che i pazienti con gotta ricevano una gestione terapeutica ottimale anche in questa fase della patologia, di apparente completo benessere, al fine di mantenere i livelli di sUA al di sotto del livello target, così da </w:t>
      </w:r>
      <w:r w:rsidR="00EB46C6" w:rsidRPr="00EB46C6">
        <w:rPr>
          <w:rFonts w:cs="Arial"/>
          <w:sz w:val="20"/>
          <w:szCs w:val="20"/>
        </w:rPr>
        <w:t>impedire la precipitazione ed il deposito di</w:t>
      </w:r>
      <w:r w:rsidR="00EB46C6">
        <w:rPr>
          <w:rFonts w:cs="Arial"/>
          <w:sz w:val="20"/>
          <w:szCs w:val="20"/>
        </w:rPr>
        <w:t xml:space="preserve"> nuovi</w:t>
      </w:r>
      <w:r w:rsidR="00EB46C6" w:rsidRPr="00EB46C6">
        <w:rPr>
          <w:rFonts w:cs="Arial"/>
          <w:sz w:val="20"/>
          <w:szCs w:val="20"/>
        </w:rPr>
        <w:t xml:space="preserve"> cristalli di MSU</w:t>
      </w:r>
      <w:r w:rsidR="00EB46C6">
        <w:rPr>
          <w:rFonts w:cs="Arial"/>
          <w:sz w:val="20"/>
          <w:szCs w:val="20"/>
        </w:rPr>
        <w:t>,</w:t>
      </w:r>
      <w:r w:rsidR="00EB46C6" w:rsidRPr="00EB46C6">
        <w:rPr>
          <w:rFonts w:cs="Arial"/>
          <w:sz w:val="20"/>
          <w:szCs w:val="20"/>
        </w:rPr>
        <w:t xml:space="preserve"> </w:t>
      </w:r>
      <w:r>
        <w:rPr>
          <w:rFonts w:cs="Arial"/>
          <w:sz w:val="20"/>
          <w:szCs w:val="20"/>
        </w:rPr>
        <w:t>d</w:t>
      </w:r>
      <w:r w:rsidRPr="003149B7">
        <w:rPr>
          <w:rFonts w:cs="Arial"/>
          <w:sz w:val="20"/>
          <w:szCs w:val="20"/>
        </w:rPr>
        <w:t xml:space="preserve">issolvere completamente i depositi  </w:t>
      </w:r>
      <w:r w:rsidR="00EB46C6">
        <w:rPr>
          <w:rFonts w:cs="Arial"/>
          <w:sz w:val="20"/>
          <w:szCs w:val="20"/>
        </w:rPr>
        <w:t>già esistenti e</w:t>
      </w:r>
      <w:r>
        <w:rPr>
          <w:rFonts w:cs="Arial"/>
          <w:sz w:val="20"/>
          <w:szCs w:val="20"/>
        </w:rPr>
        <w:t xml:space="preserve"> prevenire i successivi episodi gottosi (attacchi acuti ricorrenti) </w:t>
      </w:r>
      <w:r w:rsidRPr="00D40CC5">
        <w:rPr>
          <w:rFonts w:cs="Arial"/>
          <w:sz w:val="20"/>
          <w:szCs w:val="20"/>
        </w:rPr>
        <w:t>(</w:t>
      </w:r>
      <w:r w:rsidR="00562B68">
        <w:rPr>
          <w:rFonts w:cs="Arial"/>
          <w:color w:val="0000FF"/>
          <w:sz w:val="20"/>
          <w:szCs w:val="20"/>
        </w:rPr>
        <w:t>Doghrami, 2016 (10)</w:t>
      </w:r>
      <w:r w:rsidR="00562B68" w:rsidRPr="002F1705">
        <w:rPr>
          <w:rFonts w:cs="Arial"/>
          <w:color w:val="0000FF"/>
          <w:sz w:val="20"/>
          <w:szCs w:val="20"/>
        </w:rPr>
        <w:t>;</w:t>
      </w:r>
      <w:r w:rsidR="00562B68">
        <w:rPr>
          <w:rFonts w:cs="Arial"/>
          <w:color w:val="0000FF"/>
          <w:sz w:val="20"/>
          <w:szCs w:val="20"/>
        </w:rPr>
        <w:t xml:space="preserve"> </w:t>
      </w:r>
      <w:r w:rsidR="009752F0">
        <w:rPr>
          <w:rFonts w:cs="Arial"/>
          <w:color w:val="0000FF"/>
          <w:sz w:val="20"/>
          <w:szCs w:val="20"/>
        </w:rPr>
        <w:t>Perez-Ruiz</w:t>
      </w:r>
      <w:r w:rsidR="00231A40">
        <w:rPr>
          <w:rFonts w:cs="Arial"/>
          <w:color w:val="0000FF"/>
          <w:sz w:val="20"/>
          <w:szCs w:val="20"/>
        </w:rPr>
        <w:t>, 2015 (11)</w:t>
      </w:r>
      <w:r w:rsidRPr="002F1705">
        <w:rPr>
          <w:rFonts w:cs="Arial"/>
          <w:color w:val="0000FF"/>
          <w:sz w:val="20"/>
          <w:szCs w:val="20"/>
        </w:rPr>
        <w:t xml:space="preserve">; </w:t>
      </w:r>
      <w:r w:rsidR="00231A40">
        <w:rPr>
          <w:rFonts w:cs="Arial"/>
          <w:color w:val="0000FF"/>
          <w:sz w:val="20"/>
          <w:szCs w:val="20"/>
        </w:rPr>
        <w:t>Tatlock, 2016 (12)</w:t>
      </w:r>
      <w:r w:rsidRPr="00D40CC5">
        <w:rPr>
          <w:rFonts w:cs="Arial"/>
          <w:sz w:val="20"/>
          <w:szCs w:val="20"/>
        </w:rPr>
        <w:t>)</w:t>
      </w:r>
      <w:r>
        <w:rPr>
          <w:rFonts w:cs="Arial"/>
          <w:sz w:val="20"/>
          <w:szCs w:val="20"/>
        </w:rPr>
        <w:t>.</w:t>
      </w:r>
    </w:p>
    <w:p w14:paraId="0CF99605" w14:textId="77777777" w:rsidR="00C933A4" w:rsidRDefault="00C933A4" w:rsidP="00C933A4">
      <w:pPr>
        <w:widowControl w:val="0"/>
        <w:autoSpaceDE w:val="0"/>
        <w:autoSpaceDN w:val="0"/>
        <w:adjustRightInd w:val="0"/>
        <w:spacing w:line="360" w:lineRule="auto"/>
        <w:rPr>
          <w:rFonts w:cs="Arial"/>
          <w:sz w:val="20"/>
          <w:szCs w:val="20"/>
        </w:rPr>
      </w:pPr>
    </w:p>
    <w:p w14:paraId="36FA981D" w14:textId="5CA39DA9" w:rsidR="000808B5" w:rsidRDefault="00F45014" w:rsidP="000808B5">
      <w:pPr>
        <w:widowControl w:val="0"/>
        <w:autoSpaceDE w:val="0"/>
        <w:autoSpaceDN w:val="0"/>
        <w:adjustRightInd w:val="0"/>
        <w:spacing w:line="360" w:lineRule="auto"/>
        <w:rPr>
          <w:rFonts w:cs="Arial"/>
          <w:sz w:val="20"/>
          <w:szCs w:val="20"/>
        </w:rPr>
      </w:pPr>
      <w:r>
        <w:rPr>
          <w:rFonts w:cs="Arial"/>
          <w:sz w:val="20"/>
          <w:szCs w:val="20"/>
        </w:rPr>
        <w:t>Infatti, s</w:t>
      </w:r>
      <w:r w:rsidR="000808B5" w:rsidRPr="00FE6AA1">
        <w:rPr>
          <w:rFonts w:cs="Arial"/>
          <w:sz w:val="20"/>
          <w:szCs w:val="20"/>
        </w:rPr>
        <w:t xml:space="preserve">e non adeguatamente trattata, la patologia evolve </w:t>
      </w:r>
      <w:r w:rsidR="00EB46C6">
        <w:rPr>
          <w:rFonts w:cs="Arial"/>
          <w:sz w:val="20"/>
          <w:szCs w:val="20"/>
        </w:rPr>
        <w:t xml:space="preserve">a gotta cronica tofacea </w:t>
      </w:r>
      <w:r w:rsidR="000808B5" w:rsidRPr="00FE6AA1">
        <w:rPr>
          <w:rFonts w:cs="Arial"/>
          <w:sz w:val="20"/>
          <w:szCs w:val="20"/>
        </w:rPr>
        <w:t xml:space="preserve">con la formazione di </w:t>
      </w:r>
      <w:r w:rsidR="00925C50">
        <w:rPr>
          <w:rFonts w:cs="Arial"/>
          <w:sz w:val="20"/>
          <w:szCs w:val="20"/>
        </w:rPr>
        <w:t xml:space="preserve">tofi </w:t>
      </w:r>
      <w:r w:rsidR="000808B5" w:rsidRPr="00FE6AA1">
        <w:rPr>
          <w:rFonts w:cs="Arial"/>
          <w:sz w:val="20"/>
          <w:szCs w:val="20"/>
        </w:rPr>
        <w:t xml:space="preserve">palpabili </w:t>
      </w:r>
      <w:r w:rsidR="000808B5" w:rsidRPr="007126AA">
        <w:rPr>
          <w:rFonts w:cs="Arial"/>
          <w:sz w:val="20"/>
          <w:szCs w:val="20"/>
        </w:rPr>
        <w:t>, circondati da cellule infiammatorie e tessuto connettivo, a livello di articolazioni, tessuti molli e organi (</w:t>
      </w:r>
      <w:hyperlink w:anchor="Figura2" w:history="1">
        <w:r w:rsidR="000808B5" w:rsidRPr="00350984">
          <w:rPr>
            <w:rStyle w:val="Hyperlink"/>
            <w:rFonts w:cs="Arial"/>
            <w:sz w:val="20"/>
            <w:szCs w:val="20"/>
          </w:rPr>
          <w:t>Fig</w:t>
        </w:r>
        <w:r w:rsidR="00F619CE" w:rsidRPr="00350984">
          <w:rPr>
            <w:rStyle w:val="Hyperlink"/>
            <w:rFonts w:cs="Arial"/>
            <w:sz w:val="20"/>
            <w:szCs w:val="20"/>
          </w:rPr>
          <w:t>ura 2</w:t>
        </w:r>
      </w:hyperlink>
      <w:r w:rsidR="000808B5" w:rsidRPr="007126AA">
        <w:rPr>
          <w:rFonts w:cs="Arial"/>
          <w:sz w:val="20"/>
          <w:szCs w:val="20"/>
        </w:rPr>
        <w:t>)</w:t>
      </w:r>
      <w:r w:rsidR="00A51873">
        <w:rPr>
          <w:rFonts w:cs="Arial"/>
          <w:sz w:val="20"/>
          <w:szCs w:val="20"/>
        </w:rPr>
        <w:t>.</w:t>
      </w:r>
    </w:p>
    <w:p w14:paraId="46AA6DBF" w14:textId="4E78F408" w:rsidR="000808B5" w:rsidRPr="00F619CE" w:rsidRDefault="00F619CE" w:rsidP="00F619CE">
      <w:pPr>
        <w:pStyle w:val="Caption"/>
        <w:rPr>
          <w:rFonts w:asciiTheme="minorHAnsi" w:hAnsiTheme="minorHAnsi" w:cstheme="minorHAnsi"/>
          <w:b w:val="0"/>
          <w:lang w:val="it-IT"/>
        </w:rPr>
      </w:pPr>
      <w:bookmarkStart w:id="41" w:name="Figura2"/>
      <w:bookmarkStart w:id="42" w:name="_Toc473186897"/>
      <w:bookmarkEnd w:id="41"/>
      <w:r w:rsidRPr="00174FF1">
        <w:rPr>
          <w:rFonts w:asciiTheme="minorHAnsi" w:hAnsiTheme="minorHAnsi" w:cstheme="minorHAnsi"/>
          <w:lang w:val="it-IT"/>
        </w:rPr>
        <w:t xml:space="preserve">Figura </w:t>
      </w:r>
      <w:r w:rsidRPr="00174FF1">
        <w:rPr>
          <w:rFonts w:asciiTheme="minorHAnsi" w:hAnsiTheme="minorHAnsi" w:cstheme="minorHAnsi"/>
        </w:rPr>
        <w:fldChar w:fldCharType="begin"/>
      </w:r>
      <w:r w:rsidRPr="00174FF1">
        <w:rPr>
          <w:rFonts w:asciiTheme="minorHAnsi" w:hAnsiTheme="minorHAnsi" w:cstheme="minorHAnsi"/>
          <w:lang w:val="it-IT"/>
        </w:rPr>
        <w:instrText xml:space="preserve"> SEQ Figura \* ARABIC </w:instrText>
      </w:r>
      <w:r w:rsidRPr="00174FF1">
        <w:rPr>
          <w:rFonts w:asciiTheme="minorHAnsi" w:hAnsiTheme="minorHAnsi" w:cstheme="minorHAnsi"/>
        </w:rPr>
        <w:fldChar w:fldCharType="separate"/>
      </w:r>
      <w:r w:rsidR="00A1679C">
        <w:rPr>
          <w:rFonts w:asciiTheme="minorHAnsi" w:hAnsiTheme="minorHAnsi" w:cstheme="minorHAnsi"/>
          <w:noProof/>
          <w:lang w:val="it-IT"/>
        </w:rPr>
        <w:t>2</w:t>
      </w:r>
      <w:r w:rsidRPr="00174FF1">
        <w:rPr>
          <w:rFonts w:asciiTheme="minorHAnsi" w:hAnsiTheme="minorHAnsi" w:cstheme="minorHAnsi"/>
        </w:rPr>
        <w:fldChar w:fldCharType="end"/>
      </w:r>
      <w:r w:rsidRPr="00174FF1">
        <w:rPr>
          <w:rFonts w:asciiTheme="minorHAnsi" w:hAnsiTheme="minorHAnsi" w:cstheme="minorHAnsi"/>
          <w:lang w:val="it-IT"/>
        </w:rPr>
        <w:t xml:space="preserve"> - </w:t>
      </w:r>
      <w:r w:rsidR="000808B5" w:rsidRPr="00174FF1">
        <w:rPr>
          <w:rFonts w:asciiTheme="minorHAnsi" w:hAnsiTheme="minorHAnsi" w:cstheme="minorHAnsi"/>
          <w:b w:val="0"/>
          <w:lang w:val="it-IT"/>
        </w:rPr>
        <w:t>Gotta tofacea della mano</w:t>
      </w:r>
      <w:r w:rsidR="007126AA" w:rsidRPr="00174FF1">
        <w:rPr>
          <w:rFonts w:asciiTheme="minorHAnsi" w:hAnsiTheme="minorHAnsi" w:cstheme="minorHAnsi"/>
          <w:b w:val="0"/>
          <w:lang w:val="it-IT"/>
        </w:rPr>
        <w:t xml:space="preserve"> (</w:t>
      </w:r>
      <w:r w:rsidR="007126AA" w:rsidRPr="00174FF1">
        <w:rPr>
          <w:rFonts w:asciiTheme="minorHAnsi" w:hAnsiTheme="minorHAnsi" w:cstheme="minorHAnsi"/>
          <w:b w:val="0"/>
          <w:color w:val="0000FF"/>
          <w:lang w:val="it-IT"/>
        </w:rPr>
        <w:t xml:space="preserve">cortesia di </w:t>
      </w:r>
      <w:r w:rsidR="009752F0">
        <w:rPr>
          <w:rFonts w:asciiTheme="minorHAnsi" w:hAnsiTheme="minorHAnsi" w:cstheme="minorHAnsi"/>
          <w:b w:val="0"/>
          <w:color w:val="0000FF"/>
          <w:lang w:val="it-IT"/>
        </w:rPr>
        <w:t>Perez-Ruiz</w:t>
      </w:r>
      <w:r w:rsidR="007126AA" w:rsidRPr="00174FF1">
        <w:rPr>
          <w:rFonts w:asciiTheme="minorHAnsi" w:hAnsiTheme="minorHAnsi" w:cstheme="minorHAnsi"/>
          <w:b w:val="0"/>
          <w:color w:val="0000FF"/>
          <w:lang w:val="it-IT"/>
        </w:rPr>
        <w:t xml:space="preserve"> F.</w:t>
      </w:r>
      <w:r w:rsidR="007126AA" w:rsidRPr="00174FF1">
        <w:rPr>
          <w:rFonts w:asciiTheme="minorHAnsi" w:hAnsiTheme="minorHAnsi" w:cstheme="minorHAnsi"/>
          <w:b w:val="0"/>
          <w:lang w:val="it-IT"/>
        </w:rPr>
        <w:t>)</w:t>
      </w:r>
      <w:bookmarkEnd w:id="42"/>
    </w:p>
    <w:tbl>
      <w:tblPr>
        <w:tblW w:w="0" w:type="auto"/>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3936"/>
        <w:gridCol w:w="3850"/>
      </w:tblGrid>
      <w:tr w:rsidR="000808B5" w:rsidRPr="000808B5" w14:paraId="1C26689A" w14:textId="77777777" w:rsidTr="00A03CEC">
        <w:trPr>
          <w:trHeight w:val="3639"/>
        </w:trPr>
        <w:tc>
          <w:tcPr>
            <w:tcW w:w="3936" w:type="dxa"/>
            <w:shd w:val="clear" w:color="auto" w:fill="auto"/>
          </w:tcPr>
          <w:p w14:paraId="134110BB" w14:textId="38C3EFB9" w:rsidR="000808B5" w:rsidRPr="000808B5" w:rsidRDefault="000808B5" w:rsidP="000808B5">
            <w:pPr>
              <w:widowControl w:val="0"/>
              <w:autoSpaceDE w:val="0"/>
              <w:autoSpaceDN w:val="0"/>
              <w:adjustRightInd w:val="0"/>
              <w:spacing w:line="360" w:lineRule="auto"/>
              <w:jc w:val="both"/>
              <w:rPr>
                <w:rFonts w:cs="Arial"/>
                <w:sz w:val="20"/>
                <w:szCs w:val="20"/>
              </w:rPr>
            </w:pPr>
            <w:r w:rsidRPr="000808B5">
              <w:rPr>
                <w:rFonts w:cs="Arial"/>
                <w:noProof/>
                <w:sz w:val="20"/>
                <w:szCs w:val="20"/>
                <w:lang w:val="en-GB" w:eastAsia="en-GB"/>
              </w:rPr>
              <mc:AlternateContent>
                <mc:Choice Requires="wpg">
                  <w:drawing>
                    <wp:anchor distT="0" distB="0" distL="114300" distR="114300" simplePos="0" relativeHeight="251663360" behindDoc="0" locked="0" layoutInCell="1" allowOverlap="1" wp14:anchorId="18640A35" wp14:editId="6EBF3793">
                      <wp:simplePos x="0" y="0"/>
                      <wp:positionH relativeFrom="column">
                        <wp:posOffset>-2540</wp:posOffset>
                      </wp:positionH>
                      <wp:positionV relativeFrom="paragraph">
                        <wp:posOffset>62230</wp:posOffset>
                      </wp:positionV>
                      <wp:extent cx="2664460" cy="2054860"/>
                      <wp:effectExtent l="8890" t="11430" r="3175" b="635"/>
                      <wp:wrapNone/>
                      <wp:docPr id="1073741842" name="Gruppo 1073741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4460" cy="2054860"/>
                                <a:chOff x="0" y="0"/>
                                <a:chExt cx="2831465" cy="2078297"/>
                              </a:xfrm>
                            </wpg:grpSpPr>
                            <wps:wsp>
                              <wps:cNvPr id="1073741843" name="TextBox 11"/>
                              <wps:cNvSpPr txBox="1">
                                <a:spLocks noChangeArrowheads="1"/>
                              </wps:cNvSpPr>
                              <wps:spPr bwMode="auto">
                                <a:xfrm>
                                  <a:off x="0" y="1831289"/>
                                  <a:ext cx="2831465" cy="247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B40AD" w14:textId="77777777" w:rsidR="00410477" w:rsidRPr="00A65A05" w:rsidRDefault="00410477" w:rsidP="000808B5">
                                    <w:pPr>
                                      <w:pStyle w:val="NormalWeb"/>
                                      <w:spacing w:before="0" w:beforeAutospacing="0" w:after="0" w:afterAutospacing="0"/>
                                      <w:rPr>
                                        <w:b/>
                                        <w:lang w:val="en-GB"/>
                                      </w:rPr>
                                    </w:pPr>
                                    <w:r w:rsidRPr="00A65A05">
                                      <w:rPr>
                                        <w:rFonts w:ascii="Calibri" w:hAnsi="Calibri"/>
                                        <w:b/>
                                        <w:color w:val="000000"/>
                                        <w:kern w:val="24"/>
                                        <w:sz w:val="20"/>
                                        <w:szCs w:val="20"/>
                                        <w:lang w:val="en-GB"/>
                                      </w:rPr>
                                      <w:t>Tophaceous gout of the hand.</w:t>
                                    </w:r>
                                  </w:p>
                                </w:txbxContent>
                              </wps:txbx>
                              <wps:bodyPr rot="0" vert="horz" wrap="square" lIns="91440" tIns="45720" rIns="91440" bIns="45720" anchor="t" anchorCtr="0" upright="1">
                                <a:noAutofit/>
                              </wps:bodyPr>
                            </wps:wsp>
                            <pic:pic xmlns:pic="http://schemas.openxmlformats.org/drawingml/2006/picture">
                              <pic:nvPicPr>
                                <pic:cNvPr id="1073741844" name="Picture 3" descr="D:\Imaging\Clinica\Mano\DSCN0765.JPG"/>
                                <pic:cNvPicPr>
                                  <a:picLocks noChangeAspect="1" noChangeArrowheads="1"/>
                                </pic:cNvPicPr>
                              </pic:nvPicPr>
                              <pic:blipFill>
                                <a:blip r:embed="rId18">
                                  <a:extLst>
                                    <a:ext uri="{28A0092B-C50C-407E-A947-70E740481C1C}">
                                      <a14:useLocalDpi xmlns:a14="http://schemas.microsoft.com/office/drawing/2010/main" val="0"/>
                                    </a:ext>
                                  </a:extLst>
                                </a:blip>
                                <a:srcRect t="5299"/>
                                <a:stretch>
                                  <a:fillRect/>
                                </a:stretch>
                              </pic:blipFill>
                              <pic:spPr bwMode="auto">
                                <a:xfrm rot="10800000" flipV="1">
                                  <a:off x="5053" y="0"/>
                                  <a:ext cx="2583907" cy="1835233"/>
                                </a:xfrm>
                                <a:prstGeom prst="rect">
                                  <a:avLst/>
                                </a:prstGeom>
                                <a:noFill/>
                                <a:ln w="9525">
                                  <a:solidFill>
                                    <a:srgbClr val="000000"/>
                                  </a:solidFill>
                                  <a:miter lim="800000"/>
                                  <a:headEnd/>
                                  <a:tailEnd/>
                                </a:ln>
                                <a:effectLst>
                                  <a:outerShdw blurRad="50800" dist="38100" dir="2700000" algn="tl" rotWithShape="0">
                                    <a:srgbClr val="000000">
                                      <a:alpha val="39999"/>
                                    </a:srgbClr>
                                  </a:outerShdw>
                                </a:effectLst>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8640A35" id="Gruppo 1073741842" o:spid="_x0000_s1026" style="position:absolute;left:0;text-align:left;margin-left:-.2pt;margin-top:4.9pt;width:209.8pt;height:161.8pt;z-index:251663360" coordsize="28314,207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">
                      <v:shapetype id="_x0000_t202" coordsize="21600,21600" o:spt="202" path="m,l,21600r21600,l21600,xe">
                        <v:stroke joinstyle="miter"/>
                        <v:path gradientshapeok="t" o:connecttype="rect"/>
                      </v:shapetype>
                      <v:shape id="TextBox 11" o:spid="_x0000_s1027" type="#_x0000_t202" style="position:absolute;top:18312;width:28314;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" filled="f" stroked="f">
                        <v:textbox>
                          <w:txbxContent>
                            <w:p w14:paraId="1EDB40AD" w14:textId="77777777" w:rsidR="00410477" w:rsidRPr="00A65A05" w:rsidRDefault="00410477" w:rsidP="000808B5">
                              <w:pPr>
                                <w:pStyle w:val="NormalWeb"/>
                                <w:spacing w:before="0" w:beforeAutospacing="0" w:after="0" w:afterAutospacing="0"/>
                                <w:rPr>
                                  <w:b/>
                                  <w:lang w:val="en-GB"/>
                                </w:rPr>
                              </w:pPr>
                              <w:r w:rsidRPr="00A65A05">
                                <w:rPr>
                                  <w:rFonts w:ascii="Calibri" w:hAnsi="Calibri"/>
                                  <w:b/>
                                  <w:color w:val="000000"/>
                                  <w:kern w:val="24"/>
                                  <w:sz w:val="20"/>
                                  <w:szCs w:val="20"/>
                                  <w:lang w:val="en-GB"/>
                                </w:rPr>
                                <w:t>Tophaceous gout of the hand.</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50;width:25839;height:18352;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" stroked="t">
                        <v:imagedata r:id="rId19" o:title="DSCN0765" croptop="3473f"/>
                        <v:shadow on="t" color="black" opacity="26213f" origin="-.5,-.5" offset=".74836mm,.74836mm"/>
                      </v:shape>
                    </v:group>
                  </w:pict>
                </mc:Fallback>
              </mc:AlternateContent>
            </w:r>
          </w:p>
        </w:tc>
        <w:tc>
          <w:tcPr>
            <w:tcW w:w="3850" w:type="dxa"/>
            <w:shd w:val="clear" w:color="auto" w:fill="auto"/>
          </w:tcPr>
          <w:p w14:paraId="422B8F54" w14:textId="0C26D4F2" w:rsidR="000808B5" w:rsidRPr="000808B5" w:rsidRDefault="000808B5" w:rsidP="000808B5">
            <w:pPr>
              <w:widowControl w:val="0"/>
              <w:autoSpaceDE w:val="0"/>
              <w:autoSpaceDN w:val="0"/>
              <w:adjustRightInd w:val="0"/>
              <w:spacing w:line="360" w:lineRule="auto"/>
              <w:jc w:val="both"/>
              <w:rPr>
                <w:rFonts w:cs="Arial"/>
                <w:sz w:val="20"/>
                <w:szCs w:val="20"/>
              </w:rPr>
            </w:pPr>
            <w:r w:rsidRPr="000808B5">
              <w:rPr>
                <w:rFonts w:cs="Arial"/>
                <w:noProof/>
                <w:sz w:val="20"/>
                <w:szCs w:val="20"/>
                <w:lang w:val="en-GB" w:eastAsia="en-GB"/>
              </w:rPr>
              <mc:AlternateContent>
                <mc:Choice Requires="wpg">
                  <w:drawing>
                    <wp:anchor distT="0" distB="0" distL="114300" distR="114300" simplePos="0" relativeHeight="251662336" behindDoc="0" locked="0" layoutInCell="1" allowOverlap="1" wp14:anchorId="50E855F0" wp14:editId="79DC1BE3">
                      <wp:simplePos x="0" y="0"/>
                      <wp:positionH relativeFrom="column">
                        <wp:posOffset>-635</wp:posOffset>
                      </wp:positionH>
                      <wp:positionV relativeFrom="paragraph">
                        <wp:posOffset>62230</wp:posOffset>
                      </wp:positionV>
                      <wp:extent cx="2463165" cy="2179955"/>
                      <wp:effectExtent l="5080" t="11430" r="0" b="0"/>
                      <wp:wrapNone/>
                      <wp:docPr id="1073741837" name="Gruppo 1073741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3165" cy="2179955"/>
                                <a:chOff x="0" y="0"/>
                                <a:chExt cx="2835026" cy="2496030"/>
                              </a:xfrm>
                            </wpg:grpSpPr>
                            <wps:wsp>
                              <wps:cNvPr id="1073741838" name="TextBox 9"/>
                              <wps:cNvSpPr txBox="1">
                                <a:spLocks noChangeArrowheads="1"/>
                              </wps:cNvSpPr>
                              <wps:spPr bwMode="auto">
                                <a:xfrm>
                                  <a:off x="0" y="1910012"/>
                                  <a:ext cx="2835026" cy="586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282BC" w14:textId="77777777" w:rsidR="00410477" w:rsidRPr="00933BB8" w:rsidRDefault="00410477" w:rsidP="000808B5">
                                    <w:pPr>
                                      <w:pStyle w:val="NormalWeb"/>
                                      <w:spacing w:before="0" w:beforeAutospacing="0" w:after="0" w:afterAutospacing="0" w:line="216" w:lineRule="auto"/>
                                      <w:rPr>
                                        <w:b/>
                                        <w:lang w:val="en-GB"/>
                                      </w:rPr>
                                    </w:pPr>
                                    <w:r w:rsidRPr="00933BB8">
                                      <w:rPr>
                                        <w:rFonts w:ascii="Calibri" w:hAnsi="Calibri"/>
                                        <w:b/>
                                        <w:color w:val="000000"/>
                                        <w:kern w:val="24"/>
                                        <w:sz w:val="20"/>
                                        <w:szCs w:val="20"/>
                                        <w:lang w:val="en-GB"/>
                                      </w:rPr>
                                      <w:t>X-ray of hand with tophaceous gout showing bone erosion of index finger (white arrow).</w:t>
                                    </w:r>
                                  </w:p>
                                </w:txbxContent>
                              </wps:txbx>
                              <wps:bodyPr rot="0" vert="horz" wrap="square" lIns="91440" tIns="45720" rIns="91440" bIns="45720" anchor="t" anchorCtr="0" upright="1">
                                <a:spAutoFit/>
                              </wps:bodyPr>
                            </wps:wsp>
                            <wpg:grpSp>
                              <wpg:cNvPr id="1073741839" name="Group 13"/>
                              <wpg:cNvGrpSpPr>
                                <a:grpSpLocks/>
                              </wpg:cNvGrpSpPr>
                              <wpg:grpSpPr bwMode="auto">
                                <a:xfrm>
                                  <a:off x="0" y="0"/>
                                  <a:ext cx="2560015" cy="1920662"/>
                                  <a:chOff x="0" y="0"/>
                                  <a:chExt cx="2560015" cy="1920662"/>
                                </a:xfrm>
                              </wpg:grpSpPr>
                              <pic:pic xmlns:pic="http://schemas.openxmlformats.org/drawingml/2006/picture">
                                <pic:nvPicPr>
                                  <pic:cNvPr id="1073741840" name="Picture 2" descr="D:\Imaging\Rx\Mano\Med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0800000">
                                    <a:off x="0" y="0"/>
                                    <a:ext cx="2560015" cy="192066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073741841" name="Flecha abajo 4"/>
                                <wps:cNvSpPr>
                                  <a:spLocks noChangeArrowheads="1"/>
                                </wps:cNvSpPr>
                                <wps:spPr bwMode="auto">
                                  <a:xfrm rot="4500000">
                                    <a:off x="1889175" y="769083"/>
                                    <a:ext cx="317693" cy="554858"/>
                                  </a:xfrm>
                                  <a:prstGeom prst="downArrow">
                                    <a:avLst>
                                      <a:gd name="adj1" fmla="val 50000"/>
                                      <a:gd name="adj2" fmla="val 40882"/>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0E855F0" id="Gruppo 1073741837" o:spid="_x0000_s1029" style="position:absolute;left:0;text-align:left;margin-left:-.05pt;margin-top:4.9pt;width:193.95pt;height:171.65pt;z-index:251662336" coordsize="28350,24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">
                      <v:shape id="TextBox 9" o:spid="_x0000_s1030" type="#_x0000_t202" style="position:absolute;top:19100;width:28350;height:5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" filled="f" stroked="f">
                        <v:textbox style="mso-fit-shape-to-text:t">
                          <w:txbxContent>
                            <w:p w14:paraId="0C3282BC" w14:textId="77777777" w:rsidR="00410477" w:rsidRPr="00933BB8" w:rsidRDefault="00410477" w:rsidP="000808B5">
                              <w:pPr>
                                <w:pStyle w:val="NormalWeb"/>
                                <w:spacing w:before="0" w:beforeAutospacing="0" w:after="0" w:afterAutospacing="0" w:line="216" w:lineRule="auto"/>
                                <w:rPr>
                                  <w:b/>
                                  <w:lang w:val="en-GB"/>
                                </w:rPr>
                              </w:pPr>
                              <w:r w:rsidRPr="00933BB8">
                                <w:rPr>
                                  <w:rFonts w:ascii="Calibri" w:hAnsi="Calibri"/>
                                  <w:b/>
                                  <w:color w:val="000000"/>
                                  <w:kern w:val="24"/>
                                  <w:sz w:val="20"/>
                                  <w:szCs w:val="20"/>
                                  <w:lang w:val="en-GB"/>
                                </w:rPr>
                                <w:t>X-ray of hand with tophaceous gout showing bone erosion of index finger (white arrow).</w:t>
                              </w:r>
                            </w:p>
                          </w:txbxContent>
                        </v:textbox>
                      </v:shape>
                      <v:group id="Group 13" o:spid="_x0000_s1031" style="position:absolute;width:25600;height:19206" coordsize="25600,19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">
                        <v:shape id="Picture 2" o:spid="_x0000_s1032" type="#_x0000_t75" style="position:absolute;width:25600;height:1920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" stroked="t">
                          <v:imagedata r:id="rId21" o:title="Med1"/>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4" o:spid="_x0000_s1033" type="#_x0000_t67" style="position:absolute;left:18891;top:7690;width:3177;height:5549;rotation: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" adj="16544" strokeweight="1pt"/>
                      </v:group>
                    </v:group>
                  </w:pict>
                </mc:Fallback>
              </mc:AlternateContent>
            </w:r>
          </w:p>
        </w:tc>
      </w:tr>
    </w:tbl>
    <w:p w14:paraId="2FD9F8F8" w14:textId="77777777" w:rsidR="0083416A" w:rsidRDefault="0083416A" w:rsidP="009F1699">
      <w:pPr>
        <w:widowControl w:val="0"/>
        <w:autoSpaceDE w:val="0"/>
        <w:autoSpaceDN w:val="0"/>
        <w:adjustRightInd w:val="0"/>
        <w:spacing w:line="360" w:lineRule="auto"/>
        <w:rPr>
          <w:rFonts w:cs="Arial"/>
          <w:sz w:val="20"/>
          <w:szCs w:val="20"/>
        </w:rPr>
      </w:pPr>
    </w:p>
    <w:p w14:paraId="0887A2AE" w14:textId="7011D60E" w:rsidR="000808B5" w:rsidRPr="00A51873" w:rsidRDefault="000808B5" w:rsidP="009F1699">
      <w:pPr>
        <w:widowControl w:val="0"/>
        <w:autoSpaceDE w:val="0"/>
        <w:autoSpaceDN w:val="0"/>
        <w:adjustRightInd w:val="0"/>
        <w:spacing w:line="360" w:lineRule="auto"/>
        <w:rPr>
          <w:rFonts w:cs="Arial"/>
          <w:sz w:val="20"/>
          <w:szCs w:val="20"/>
        </w:rPr>
      </w:pPr>
      <w:r w:rsidRPr="00A51873">
        <w:rPr>
          <w:rFonts w:cs="Arial"/>
          <w:sz w:val="20"/>
          <w:szCs w:val="20"/>
        </w:rPr>
        <w:t xml:space="preserve">I pazienti con tofi sono affetti dalla forma cronica più severa di malattia, accompagnata da uno stato infiammatorio cronico, danno articolare con presenza di erosioni ossee non reversibili, dolore cronico associato a </w:t>
      </w:r>
      <w:r w:rsidR="00A51873" w:rsidRPr="00A51873">
        <w:rPr>
          <w:rFonts w:cs="Arial"/>
          <w:sz w:val="20"/>
          <w:szCs w:val="20"/>
        </w:rPr>
        <w:t>funzionalità fisica</w:t>
      </w:r>
      <w:r w:rsidRPr="00A51873">
        <w:rPr>
          <w:rFonts w:cs="Arial"/>
          <w:sz w:val="20"/>
          <w:szCs w:val="20"/>
        </w:rPr>
        <w:t xml:space="preserve"> </w:t>
      </w:r>
      <w:r w:rsidR="00A51873" w:rsidRPr="00A51873">
        <w:rPr>
          <w:rFonts w:cs="Arial"/>
          <w:sz w:val="20"/>
          <w:szCs w:val="20"/>
        </w:rPr>
        <w:t xml:space="preserve">gravemente compromessa </w:t>
      </w:r>
      <w:r w:rsidRPr="00A51873">
        <w:rPr>
          <w:rFonts w:cs="Arial"/>
          <w:sz w:val="20"/>
          <w:szCs w:val="20"/>
        </w:rPr>
        <w:t>e limitazione delle attività quotidiane, con progressiva disabilità e crescenti costi sanitari e sociali (</w:t>
      </w:r>
      <w:r w:rsidR="00231A40">
        <w:rPr>
          <w:rFonts w:cs="Arial"/>
          <w:color w:val="0000FF"/>
          <w:sz w:val="20"/>
          <w:szCs w:val="20"/>
        </w:rPr>
        <w:t>Terkeltaub, 2013 (14)</w:t>
      </w:r>
      <w:r w:rsidRPr="00A51873">
        <w:rPr>
          <w:rFonts w:cs="Arial"/>
          <w:color w:val="0000FF"/>
          <w:sz w:val="20"/>
          <w:szCs w:val="20"/>
        </w:rPr>
        <w:t xml:space="preserve">; </w:t>
      </w:r>
      <w:r w:rsidR="00231A40">
        <w:rPr>
          <w:rFonts w:cs="Arial"/>
          <w:color w:val="0000FF"/>
          <w:sz w:val="20"/>
          <w:szCs w:val="20"/>
        </w:rPr>
        <w:t>Wertheimer, 2013 (15)</w:t>
      </w:r>
      <w:r w:rsidRPr="00A51873">
        <w:rPr>
          <w:rFonts w:cs="Arial"/>
          <w:color w:val="0000FF"/>
          <w:sz w:val="20"/>
          <w:szCs w:val="20"/>
        </w:rPr>
        <w:t xml:space="preserve">; </w:t>
      </w:r>
      <w:r w:rsidR="00231A40">
        <w:rPr>
          <w:rFonts w:cs="Arial"/>
          <w:color w:val="0000FF"/>
          <w:sz w:val="20"/>
          <w:szCs w:val="20"/>
        </w:rPr>
        <w:t>Dalbeth, 2009 (16)</w:t>
      </w:r>
      <w:r w:rsidRPr="00A51873">
        <w:rPr>
          <w:rFonts w:cs="Arial"/>
          <w:sz w:val="20"/>
          <w:szCs w:val="20"/>
        </w:rPr>
        <w:t>).</w:t>
      </w:r>
    </w:p>
    <w:p w14:paraId="5678B2AB" w14:textId="49710EE5" w:rsidR="000808B5" w:rsidRDefault="00A51873" w:rsidP="009F1699">
      <w:pPr>
        <w:widowControl w:val="0"/>
        <w:autoSpaceDE w:val="0"/>
        <w:autoSpaceDN w:val="0"/>
        <w:adjustRightInd w:val="0"/>
        <w:spacing w:line="360" w:lineRule="auto"/>
        <w:rPr>
          <w:rFonts w:cs="Arial"/>
          <w:sz w:val="20"/>
          <w:szCs w:val="20"/>
        </w:rPr>
      </w:pPr>
      <w:r>
        <w:rPr>
          <w:rFonts w:cs="Arial"/>
          <w:sz w:val="20"/>
          <w:szCs w:val="20"/>
        </w:rPr>
        <w:t xml:space="preserve">Infatti, elevati livelli di </w:t>
      </w:r>
      <w:r w:rsidR="005848A1">
        <w:rPr>
          <w:rFonts w:cs="Arial"/>
          <w:sz w:val="20"/>
          <w:szCs w:val="20"/>
        </w:rPr>
        <w:t>sUA</w:t>
      </w:r>
      <w:r w:rsidR="000808B5" w:rsidRPr="00A51873">
        <w:rPr>
          <w:rFonts w:cs="Arial"/>
          <w:sz w:val="20"/>
          <w:szCs w:val="20"/>
        </w:rPr>
        <w:t xml:space="preserve">, protratti nel tempo, conducono a depositi di cristalli </w:t>
      </w:r>
      <w:r w:rsidR="00CF1A17">
        <w:rPr>
          <w:rFonts w:cs="Arial"/>
          <w:sz w:val="20"/>
          <w:szCs w:val="20"/>
        </w:rPr>
        <w:t xml:space="preserve">di </w:t>
      </w:r>
      <w:r w:rsidR="000808B5" w:rsidRPr="00A51873">
        <w:rPr>
          <w:rFonts w:cs="Arial"/>
          <w:sz w:val="20"/>
          <w:szCs w:val="20"/>
        </w:rPr>
        <w:t>MSU sempre più importanti e alla cronicizzazione della gotta (</w:t>
      </w:r>
      <w:hyperlink w:anchor="Figura3" w:history="1">
        <w:r w:rsidR="000808B5" w:rsidRPr="00A51873">
          <w:rPr>
            <w:rStyle w:val="Hyperlink"/>
            <w:rFonts w:cs="Arial"/>
            <w:sz w:val="20"/>
            <w:szCs w:val="20"/>
          </w:rPr>
          <w:t xml:space="preserve">Figura </w:t>
        </w:r>
        <w:r w:rsidR="00F619CE" w:rsidRPr="00A51873">
          <w:rPr>
            <w:rStyle w:val="Hyperlink"/>
            <w:rFonts w:cs="Arial"/>
            <w:sz w:val="20"/>
            <w:szCs w:val="20"/>
          </w:rPr>
          <w:t>3</w:t>
        </w:r>
      </w:hyperlink>
      <w:r w:rsidR="000808B5" w:rsidRPr="00A51873">
        <w:rPr>
          <w:rFonts w:cs="Arial"/>
          <w:sz w:val="20"/>
          <w:szCs w:val="20"/>
        </w:rPr>
        <w:t xml:space="preserve">) </w:t>
      </w:r>
      <w:r w:rsidR="00FA57E6" w:rsidRPr="00A51873">
        <w:rPr>
          <w:rFonts w:cs="Arial"/>
          <w:sz w:val="20"/>
          <w:szCs w:val="20"/>
        </w:rPr>
        <w:t>(</w:t>
      </w:r>
      <w:r w:rsidR="0018676B">
        <w:rPr>
          <w:rFonts w:cs="Arial"/>
          <w:color w:val="0000FF"/>
          <w:sz w:val="20"/>
          <w:szCs w:val="20"/>
        </w:rPr>
        <w:t>Doghramji, 2012 (46)</w:t>
      </w:r>
      <w:r w:rsidR="00FA57E6" w:rsidRPr="00A51873">
        <w:rPr>
          <w:rFonts w:cs="Arial"/>
          <w:color w:val="0000FF"/>
          <w:sz w:val="20"/>
          <w:szCs w:val="20"/>
        </w:rPr>
        <w:t xml:space="preserve">; </w:t>
      </w:r>
      <w:r w:rsidR="008B00C5">
        <w:rPr>
          <w:rFonts w:cs="Arial"/>
          <w:color w:val="0000FF"/>
          <w:sz w:val="20"/>
          <w:szCs w:val="20"/>
        </w:rPr>
        <w:t>Taylor, 2012 (59</w:t>
      </w:r>
      <w:r w:rsidR="005C2581">
        <w:rPr>
          <w:rFonts w:cs="Arial"/>
          <w:color w:val="0000FF"/>
          <w:sz w:val="20"/>
          <w:szCs w:val="20"/>
        </w:rPr>
        <w:t>)</w:t>
      </w:r>
      <w:r w:rsidR="00FA57E6" w:rsidRPr="00A51873">
        <w:rPr>
          <w:rFonts w:cs="Arial"/>
          <w:color w:val="0000FF"/>
          <w:sz w:val="20"/>
          <w:szCs w:val="20"/>
        </w:rPr>
        <w:t xml:space="preserve">; </w:t>
      </w:r>
      <w:r w:rsidR="008B00C5">
        <w:rPr>
          <w:rFonts w:cs="Arial"/>
          <w:color w:val="0000FF"/>
          <w:sz w:val="20"/>
          <w:szCs w:val="20"/>
        </w:rPr>
        <w:t>Mandell, 2008 (60</w:t>
      </w:r>
      <w:r w:rsidR="005C2581">
        <w:rPr>
          <w:rFonts w:cs="Arial"/>
          <w:color w:val="0000FF"/>
          <w:sz w:val="20"/>
          <w:szCs w:val="20"/>
        </w:rPr>
        <w:t>)</w:t>
      </w:r>
      <w:r w:rsidR="00FA57E6" w:rsidRPr="00A51873">
        <w:rPr>
          <w:rFonts w:cs="Arial"/>
          <w:sz w:val="20"/>
          <w:szCs w:val="20"/>
        </w:rPr>
        <w:t>)</w:t>
      </w:r>
      <w:r w:rsidR="000808B5" w:rsidRPr="00A51873">
        <w:rPr>
          <w:rFonts w:cs="Arial"/>
          <w:sz w:val="20"/>
          <w:szCs w:val="20"/>
        </w:rPr>
        <w:t xml:space="preserve">. </w:t>
      </w:r>
    </w:p>
    <w:p w14:paraId="739165B7" w14:textId="77777777" w:rsidR="00444C43" w:rsidRPr="00A51873" w:rsidRDefault="00444C43" w:rsidP="009F1699">
      <w:pPr>
        <w:widowControl w:val="0"/>
        <w:autoSpaceDE w:val="0"/>
        <w:autoSpaceDN w:val="0"/>
        <w:adjustRightInd w:val="0"/>
        <w:spacing w:line="360" w:lineRule="auto"/>
        <w:rPr>
          <w:rFonts w:cs="Arial"/>
          <w:sz w:val="20"/>
          <w:szCs w:val="20"/>
        </w:rPr>
      </w:pPr>
    </w:p>
    <w:p w14:paraId="6F6B3292" w14:textId="67139594" w:rsidR="000808B5" w:rsidRPr="00661983" w:rsidRDefault="00F619CE" w:rsidP="00F619CE">
      <w:pPr>
        <w:pStyle w:val="Caption"/>
        <w:rPr>
          <w:rFonts w:asciiTheme="minorHAnsi" w:hAnsiTheme="minorHAnsi" w:cstheme="minorHAnsi"/>
          <w:b w:val="0"/>
          <w:lang w:val="it-IT"/>
        </w:rPr>
      </w:pPr>
      <w:bookmarkStart w:id="43" w:name="Figura3"/>
      <w:bookmarkStart w:id="44" w:name="_Toc473186898"/>
      <w:bookmarkEnd w:id="43"/>
      <w:r w:rsidRPr="00F619CE">
        <w:rPr>
          <w:rFonts w:asciiTheme="minorHAnsi" w:hAnsiTheme="minorHAnsi" w:cstheme="minorHAnsi"/>
          <w:lang w:val="it-IT"/>
        </w:rPr>
        <w:t xml:space="preserve">Figura </w:t>
      </w:r>
      <w:r w:rsidRPr="00F619CE">
        <w:rPr>
          <w:rFonts w:asciiTheme="minorHAnsi" w:hAnsiTheme="minorHAnsi" w:cstheme="minorHAnsi"/>
        </w:rPr>
        <w:fldChar w:fldCharType="begin"/>
      </w:r>
      <w:r w:rsidRPr="00F619CE">
        <w:rPr>
          <w:rFonts w:asciiTheme="minorHAnsi" w:hAnsiTheme="minorHAnsi" w:cstheme="minorHAnsi"/>
          <w:lang w:val="it-IT"/>
        </w:rPr>
        <w:instrText xml:space="preserve"> SEQ Figura \* ARABIC </w:instrText>
      </w:r>
      <w:r w:rsidRPr="00F619CE">
        <w:rPr>
          <w:rFonts w:asciiTheme="minorHAnsi" w:hAnsiTheme="minorHAnsi" w:cstheme="minorHAnsi"/>
        </w:rPr>
        <w:fldChar w:fldCharType="separate"/>
      </w:r>
      <w:r w:rsidR="00A1679C">
        <w:rPr>
          <w:rFonts w:asciiTheme="minorHAnsi" w:hAnsiTheme="minorHAnsi" w:cstheme="minorHAnsi"/>
          <w:noProof/>
          <w:lang w:val="it-IT"/>
        </w:rPr>
        <w:t>3</w:t>
      </w:r>
      <w:r w:rsidRPr="00F619CE">
        <w:rPr>
          <w:rFonts w:asciiTheme="minorHAnsi" w:hAnsiTheme="minorHAnsi" w:cstheme="minorHAnsi"/>
        </w:rPr>
        <w:fldChar w:fldCharType="end"/>
      </w:r>
      <w:r w:rsidRPr="00F619CE">
        <w:rPr>
          <w:rFonts w:asciiTheme="minorHAnsi" w:hAnsiTheme="minorHAnsi" w:cstheme="minorHAnsi"/>
          <w:lang w:val="it-IT"/>
        </w:rPr>
        <w:t xml:space="preserve"> - </w:t>
      </w:r>
      <w:r w:rsidR="000808B5" w:rsidRPr="00F619CE">
        <w:rPr>
          <w:rFonts w:asciiTheme="minorHAnsi" w:hAnsiTheme="minorHAnsi" w:cstheme="minorHAnsi"/>
          <w:b w:val="0"/>
          <w:lang w:val="it-IT"/>
        </w:rPr>
        <w:t xml:space="preserve">Evoluzione di </w:t>
      </w:r>
      <w:r w:rsidR="00A51873">
        <w:rPr>
          <w:rFonts w:asciiTheme="minorHAnsi" w:hAnsiTheme="minorHAnsi" w:cstheme="minorHAnsi"/>
          <w:b w:val="0"/>
          <w:lang w:val="it-IT"/>
        </w:rPr>
        <w:t>iperuricemia e gotta nel tempo (</w:t>
      </w:r>
      <w:r w:rsidR="000808B5" w:rsidRPr="00A51873">
        <w:rPr>
          <w:rFonts w:asciiTheme="minorHAnsi" w:hAnsiTheme="minorHAnsi" w:cstheme="minorHAnsi"/>
          <w:b w:val="0"/>
          <w:color w:val="0000FF"/>
          <w:lang w:val="it-IT"/>
        </w:rPr>
        <w:t>adattata da</w:t>
      </w:r>
      <w:r w:rsidR="00FA57E6" w:rsidRPr="00A51873">
        <w:rPr>
          <w:rFonts w:asciiTheme="minorHAnsi" w:hAnsiTheme="minorHAnsi" w:cstheme="minorHAnsi"/>
          <w:b w:val="0"/>
          <w:color w:val="0000FF"/>
          <w:lang w:val="it-IT"/>
        </w:rPr>
        <w:t xml:space="preserve"> Doghramji, 2012</w:t>
      </w:r>
      <w:r w:rsidR="000808B5" w:rsidRPr="00661983">
        <w:rPr>
          <w:rFonts w:asciiTheme="minorHAnsi" w:hAnsiTheme="minorHAnsi" w:cstheme="minorHAnsi"/>
          <w:b w:val="0"/>
          <w:lang w:val="it-IT"/>
        </w:rPr>
        <w:t>)</w:t>
      </w:r>
      <w:bookmarkEnd w:id="44"/>
    </w:p>
    <w:p w14:paraId="7E7FECD1" w14:textId="259827D3" w:rsidR="000808B5" w:rsidRPr="000808B5" w:rsidRDefault="000808B5" w:rsidP="000808B5">
      <w:pPr>
        <w:widowControl w:val="0"/>
        <w:autoSpaceDE w:val="0"/>
        <w:autoSpaceDN w:val="0"/>
        <w:adjustRightInd w:val="0"/>
        <w:spacing w:line="360" w:lineRule="auto"/>
        <w:jc w:val="both"/>
        <w:rPr>
          <w:rFonts w:cs="Arial"/>
          <w:sz w:val="20"/>
          <w:szCs w:val="20"/>
        </w:rPr>
      </w:pPr>
      <w:r w:rsidRPr="000808B5">
        <w:rPr>
          <w:rFonts w:cs="Arial"/>
          <w:noProof/>
          <w:sz w:val="20"/>
          <w:szCs w:val="20"/>
          <w:lang w:val="en-GB" w:eastAsia="en-GB"/>
        </w:rPr>
        <w:drawing>
          <wp:inline distT="0" distB="0" distL="0" distR="0" wp14:anchorId="7C35CB59" wp14:editId="03105BA3">
            <wp:extent cx="4862830" cy="2644140"/>
            <wp:effectExtent l="0" t="0" r="0" b="3810"/>
            <wp:docPr id="1073741824" name="Immagin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62830" cy="2644140"/>
                    </a:xfrm>
                    <a:prstGeom prst="rect">
                      <a:avLst/>
                    </a:prstGeom>
                    <a:noFill/>
                  </pic:spPr>
                </pic:pic>
              </a:graphicData>
            </a:graphic>
          </wp:inline>
        </w:drawing>
      </w:r>
    </w:p>
    <w:p w14:paraId="0CAD0FC8" w14:textId="258A84B1" w:rsidR="000808B5" w:rsidRDefault="000808B5" w:rsidP="009F1699">
      <w:pPr>
        <w:widowControl w:val="0"/>
        <w:autoSpaceDE w:val="0"/>
        <w:autoSpaceDN w:val="0"/>
        <w:adjustRightInd w:val="0"/>
        <w:spacing w:line="360" w:lineRule="auto"/>
        <w:rPr>
          <w:rFonts w:cs="Arial"/>
          <w:sz w:val="20"/>
          <w:szCs w:val="20"/>
        </w:rPr>
      </w:pPr>
      <w:r w:rsidRPr="000808B5">
        <w:rPr>
          <w:rFonts w:cs="Arial"/>
          <w:sz w:val="20"/>
          <w:szCs w:val="20"/>
        </w:rPr>
        <w:t xml:space="preserve">La iniziale condizione di iperuricemia può essere asintomatica per un certo periodo di tempo, </w:t>
      </w:r>
      <w:r w:rsidR="00A51873">
        <w:rPr>
          <w:rFonts w:cs="Arial"/>
          <w:sz w:val="20"/>
          <w:szCs w:val="20"/>
        </w:rPr>
        <w:t>evolvere a gotta acuta dando luogo ad episodi infiammatori (flares) dovuti al deposito di cristalli nelle articolazioni</w:t>
      </w:r>
      <w:r w:rsidRPr="000808B5">
        <w:rPr>
          <w:rFonts w:cs="Arial"/>
          <w:sz w:val="20"/>
          <w:szCs w:val="20"/>
        </w:rPr>
        <w:t xml:space="preserve"> e nel tempo </w:t>
      </w:r>
      <w:r w:rsidR="0083416A">
        <w:rPr>
          <w:rFonts w:cs="Arial"/>
          <w:sz w:val="20"/>
          <w:szCs w:val="20"/>
        </w:rPr>
        <w:t xml:space="preserve">progredire </w:t>
      </w:r>
      <w:r w:rsidRPr="000808B5">
        <w:rPr>
          <w:rFonts w:cs="Arial"/>
          <w:sz w:val="20"/>
          <w:szCs w:val="20"/>
        </w:rPr>
        <w:t>ad una forma cronica di gotta con manifestazioni cliniche anche importanti (</w:t>
      </w:r>
      <w:hyperlink w:anchor="Figura4" w:history="1">
        <w:r w:rsidRPr="00350984">
          <w:rPr>
            <w:rStyle w:val="Hyperlink"/>
            <w:rFonts w:cs="Arial"/>
            <w:sz w:val="20"/>
            <w:szCs w:val="20"/>
          </w:rPr>
          <w:t>Figura 4</w:t>
        </w:r>
      </w:hyperlink>
      <w:r w:rsidRPr="000808B5">
        <w:rPr>
          <w:rFonts w:cs="Arial"/>
          <w:sz w:val="20"/>
          <w:szCs w:val="20"/>
        </w:rPr>
        <w:t>)</w:t>
      </w:r>
      <w:r w:rsidR="00FA57E6">
        <w:rPr>
          <w:rFonts w:cs="Arial"/>
          <w:sz w:val="20"/>
          <w:szCs w:val="20"/>
        </w:rPr>
        <w:t xml:space="preserve"> (</w:t>
      </w:r>
      <w:r w:rsidR="009752F0">
        <w:rPr>
          <w:rFonts w:cs="Arial"/>
          <w:color w:val="0000FF"/>
          <w:sz w:val="20"/>
          <w:szCs w:val="20"/>
        </w:rPr>
        <w:t>Perez-Ruiz</w:t>
      </w:r>
      <w:r w:rsidR="00231A40">
        <w:rPr>
          <w:rFonts w:cs="Arial"/>
          <w:color w:val="0000FF"/>
          <w:sz w:val="20"/>
          <w:szCs w:val="20"/>
        </w:rPr>
        <w:t>, 2015 (11)</w:t>
      </w:r>
      <w:r w:rsidR="00FA57E6" w:rsidRPr="00FA57E6">
        <w:rPr>
          <w:rFonts w:cs="Arial"/>
          <w:color w:val="0000FF"/>
          <w:sz w:val="20"/>
          <w:szCs w:val="20"/>
        </w:rPr>
        <w:t xml:space="preserve">; </w:t>
      </w:r>
      <w:r w:rsidR="008B00C5">
        <w:rPr>
          <w:rFonts w:cs="Arial"/>
          <w:color w:val="0000FF"/>
          <w:sz w:val="20"/>
          <w:szCs w:val="20"/>
        </w:rPr>
        <w:t>Dalbeth, 2015 (61</w:t>
      </w:r>
      <w:r w:rsidR="00335C59">
        <w:rPr>
          <w:rFonts w:cs="Arial"/>
          <w:color w:val="0000FF"/>
          <w:sz w:val="20"/>
          <w:szCs w:val="20"/>
        </w:rPr>
        <w:t>)</w:t>
      </w:r>
      <w:r w:rsidR="00FA57E6">
        <w:rPr>
          <w:rFonts w:cs="Arial"/>
          <w:sz w:val="20"/>
          <w:szCs w:val="20"/>
        </w:rPr>
        <w:t>)</w:t>
      </w:r>
      <w:r w:rsidRPr="000808B5">
        <w:rPr>
          <w:rFonts w:cs="Arial"/>
          <w:sz w:val="20"/>
          <w:szCs w:val="20"/>
        </w:rPr>
        <w:t>.</w:t>
      </w:r>
    </w:p>
    <w:p w14:paraId="73BEF6BC" w14:textId="77777777" w:rsidR="000E2E7C" w:rsidRDefault="000E2E7C" w:rsidP="009F1699">
      <w:pPr>
        <w:widowControl w:val="0"/>
        <w:autoSpaceDE w:val="0"/>
        <w:autoSpaceDN w:val="0"/>
        <w:adjustRightInd w:val="0"/>
        <w:spacing w:line="360" w:lineRule="auto"/>
        <w:rPr>
          <w:rFonts w:cs="Arial"/>
          <w:sz w:val="20"/>
          <w:szCs w:val="20"/>
        </w:rPr>
      </w:pPr>
    </w:p>
    <w:p w14:paraId="664316E3" w14:textId="0765D0DD" w:rsidR="000808B5" w:rsidRPr="00F619CE" w:rsidRDefault="00F619CE" w:rsidP="00F619CE">
      <w:pPr>
        <w:pStyle w:val="Caption"/>
        <w:rPr>
          <w:rFonts w:asciiTheme="minorHAnsi" w:hAnsiTheme="minorHAnsi" w:cstheme="minorHAnsi"/>
          <w:b w:val="0"/>
          <w:lang w:val="it-IT"/>
        </w:rPr>
      </w:pPr>
      <w:bookmarkStart w:id="45" w:name="Figura4"/>
      <w:bookmarkStart w:id="46" w:name="_Toc473186899"/>
      <w:bookmarkEnd w:id="45"/>
      <w:r w:rsidRPr="00F619CE">
        <w:rPr>
          <w:rFonts w:asciiTheme="minorHAnsi" w:hAnsiTheme="minorHAnsi" w:cstheme="minorHAnsi"/>
          <w:lang w:val="it-IT"/>
        </w:rPr>
        <w:t xml:space="preserve">Figura </w:t>
      </w:r>
      <w:r w:rsidRPr="00F619CE">
        <w:rPr>
          <w:rFonts w:asciiTheme="minorHAnsi" w:hAnsiTheme="minorHAnsi" w:cstheme="minorHAnsi"/>
        </w:rPr>
        <w:fldChar w:fldCharType="begin"/>
      </w:r>
      <w:r w:rsidRPr="00F619CE">
        <w:rPr>
          <w:rFonts w:asciiTheme="minorHAnsi" w:hAnsiTheme="minorHAnsi" w:cstheme="minorHAnsi"/>
          <w:lang w:val="it-IT"/>
        </w:rPr>
        <w:instrText xml:space="preserve"> SEQ Figura \* ARABIC </w:instrText>
      </w:r>
      <w:r w:rsidRPr="00F619CE">
        <w:rPr>
          <w:rFonts w:asciiTheme="minorHAnsi" w:hAnsiTheme="minorHAnsi" w:cstheme="minorHAnsi"/>
        </w:rPr>
        <w:fldChar w:fldCharType="separate"/>
      </w:r>
      <w:r w:rsidR="00A1679C">
        <w:rPr>
          <w:rFonts w:asciiTheme="minorHAnsi" w:hAnsiTheme="minorHAnsi" w:cstheme="minorHAnsi"/>
          <w:noProof/>
          <w:lang w:val="it-IT"/>
        </w:rPr>
        <w:t>4</w:t>
      </w:r>
      <w:r w:rsidRPr="00F619CE">
        <w:rPr>
          <w:rFonts w:asciiTheme="minorHAnsi" w:hAnsiTheme="minorHAnsi" w:cstheme="minorHAnsi"/>
        </w:rPr>
        <w:fldChar w:fldCharType="end"/>
      </w:r>
      <w:r w:rsidRPr="00F619CE">
        <w:rPr>
          <w:rFonts w:asciiTheme="minorHAnsi" w:hAnsiTheme="minorHAnsi" w:cstheme="minorHAnsi"/>
          <w:lang w:val="it-IT"/>
        </w:rPr>
        <w:t xml:space="preserve"> - </w:t>
      </w:r>
      <w:r w:rsidR="000808B5" w:rsidRPr="00F619CE">
        <w:rPr>
          <w:rFonts w:asciiTheme="minorHAnsi" w:hAnsiTheme="minorHAnsi" w:cstheme="minorHAnsi"/>
          <w:b w:val="0"/>
          <w:lang w:val="it-IT"/>
        </w:rPr>
        <w:t>Evoluzione di iperuricemia e gotta nel tempo</w:t>
      </w:r>
      <w:r w:rsidR="00E71FA9" w:rsidRPr="00F619CE">
        <w:rPr>
          <w:rFonts w:asciiTheme="minorHAnsi" w:hAnsiTheme="minorHAnsi" w:cstheme="minorHAnsi"/>
          <w:b w:val="0"/>
          <w:lang w:val="it-IT"/>
        </w:rPr>
        <w:t xml:space="preserve"> </w:t>
      </w:r>
      <w:r w:rsidR="00E71FA9" w:rsidRPr="00F619CE">
        <w:rPr>
          <w:rFonts w:asciiTheme="minorHAnsi" w:hAnsiTheme="minorHAnsi" w:cstheme="minorHAnsi"/>
          <w:lang w:val="it-IT"/>
        </w:rPr>
        <w:t>(</w:t>
      </w:r>
      <w:r w:rsidR="009752F0">
        <w:rPr>
          <w:rFonts w:asciiTheme="minorHAnsi" w:hAnsiTheme="minorHAnsi" w:cstheme="minorHAnsi"/>
          <w:b w:val="0"/>
          <w:color w:val="0000FF"/>
          <w:lang w:val="it-IT"/>
        </w:rPr>
        <w:t>Perez-Ruiz</w:t>
      </w:r>
      <w:r w:rsidR="00334EDA">
        <w:rPr>
          <w:rFonts w:asciiTheme="minorHAnsi" w:hAnsiTheme="minorHAnsi" w:cstheme="minorHAnsi"/>
          <w:b w:val="0"/>
          <w:color w:val="0000FF"/>
          <w:lang w:val="it-IT"/>
        </w:rPr>
        <w:t>, 2015</w:t>
      </w:r>
      <w:r w:rsidR="00E71FA9" w:rsidRPr="00F619CE">
        <w:rPr>
          <w:rFonts w:asciiTheme="minorHAnsi" w:hAnsiTheme="minorHAnsi" w:cstheme="minorHAnsi"/>
          <w:lang w:val="it-IT"/>
        </w:rPr>
        <w:t>)</w:t>
      </w:r>
      <w:bookmarkEnd w:id="46"/>
    </w:p>
    <w:p w14:paraId="1EA8C30D" w14:textId="1AFC7C6D" w:rsidR="000B0B07" w:rsidRPr="000808B5" w:rsidRDefault="000B0B07" w:rsidP="000808B5">
      <w:pPr>
        <w:widowControl w:val="0"/>
        <w:autoSpaceDE w:val="0"/>
        <w:autoSpaceDN w:val="0"/>
        <w:adjustRightInd w:val="0"/>
        <w:spacing w:line="360" w:lineRule="auto"/>
        <w:jc w:val="both"/>
        <w:rPr>
          <w:rFonts w:cs="Arial"/>
          <w:b/>
          <w:sz w:val="20"/>
          <w:szCs w:val="20"/>
        </w:rPr>
      </w:pPr>
      <w:r>
        <w:rPr>
          <w:noProof/>
          <w:lang w:val="en-GB" w:eastAsia="en-GB"/>
        </w:rPr>
        <w:drawing>
          <wp:inline distT="0" distB="0" distL="0" distR="0" wp14:anchorId="633E33F1" wp14:editId="74FF98F1">
            <wp:extent cx="5726383" cy="2628900"/>
            <wp:effectExtent l="0" t="0" r="8255"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26224" cy="2628827"/>
                    </a:xfrm>
                    <a:prstGeom prst="rect">
                      <a:avLst/>
                    </a:prstGeom>
                  </pic:spPr>
                </pic:pic>
              </a:graphicData>
            </a:graphic>
          </wp:inline>
        </w:drawing>
      </w:r>
    </w:p>
    <w:p w14:paraId="30A09899" w14:textId="77777777" w:rsidR="000808B5" w:rsidRPr="000808B5" w:rsidRDefault="000808B5" w:rsidP="000808B5">
      <w:pPr>
        <w:widowControl w:val="0"/>
        <w:autoSpaceDE w:val="0"/>
        <w:autoSpaceDN w:val="0"/>
        <w:adjustRightInd w:val="0"/>
        <w:spacing w:line="360" w:lineRule="auto"/>
        <w:jc w:val="both"/>
        <w:rPr>
          <w:rFonts w:cs="Arial"/>
          <w:b/>
          <w:sz w:val="20"/>
          <w:szCs w:val="20"/>
        </w:rPr>
      </w:pPr>
    </w:p>
    <w:p w14:paraId="1C0AF0F6" w14:textId="7F7A0CF0" w:rsidR="000808B5" w:rsidRPr="00C637E4" w:rsidRDefault="000808B5" w:rsidP="009F1699">
      <w:pPr>
        <w:widowControl w:val="0"/>
        <w:autoSpaceDE w:val="0"/>
        <w:autoSpaceDN w:val="0"/>
        <w:adjustRightInd w:val="0"/>
        <w:spacing w:line="360" w:lineRule="auto"/>
        <w:rPr>
          <w:rFonts w:cs="Arial"/>
          <w:sz w:val="20"/>
          <w:szCs w:val="20"/>
        </w:rPr>
      </w:pPr>
      <w:r w:rsidRPr="00C637E4">
        <w:rPr>
          <w:rFonts w:cs="Arial"/>
          <w:sz w:val="20"/>
          <w:szCs w:val="20"/>
        </w:rPr>
        <w:t>All’aumentare della deposizione di cristalli MSU e delle dimensioni del tofo all’interno dell’osso, aumenta il danno strutturale all’articolazione, in termini di gravità e dimensioni dell’erosione</w:t>
      </w:r>
      <w:r w:rsidR="00F619CE" w:rsidRPr="00C637E4">
        <w:rPr>
          <w:rFonts w:cs="Arial"/>
          <w:sz w:val="20"/>
          <w:szCs w:val="20"/>
        </w:rPr>
        <w:t xml:space="preserve"> (</w:t>
      </w:r>
      <w:hyperlink w:anchor="Figura5" w:history="1">
        <w:r w:rsidR="00F619CE" w:rsidRPr="00350984">
          <w:rPr>
            <w:rStyle w:val="Hyperlink"/>
            <w:rFonts w:cs="Arial"/>
            <w:sz w:val="20"/>
            <w:szCs w:val="20"/>
          </w:rPr>
          <w:t>Figura 5</w:t>
        </w:r>
      </w:hyperlink>
      <w:r w:rsidR="00F619CE" w:rsidRPr="00C637E4">
        <w:rPr>
          <w:rFonts w:cs="Arial"/>
          <w:sz w:val="20"/>
          <w:szCs w:val="20"/>
        </w:rPr>
        <w:t>)</w:t>
      </w:r>
      <w:r w:rsidR="00FA57E6" w:rsidRPr="00C637E4">
        <w:rPr>
          <w:rFonts w:cs="Arial"/>
          <w:sz w:val="20"/>
          <w:szCs w:val="20"/>
        </w:rPr>
        <w:t xml:space="preserve"> (</w:t>
      </w:r>
      <w:r w:rsidR="00231A40">
        <w:rPr>
          <w:rFonts w:cs="Arial"/>
          <w:color w:val="0000FF"/>
          <w:sz w:val="20"/>
          <w:szCs w:val="20"/>
        </w:rPr>
        <w:t>Dalbeth, 2009 (16)</w:t>
      </w:r>
      <w:r w:rsidRPr="00C637E4">
        <w:rPr>
          <w:rFonts w:cs="Arial"/>
          <w:sz w:val="20"/>
          <w:szCs w:val="20"/>
        </w:rPr>
        <w:t>)</w:t>
      </w:r>
      <w:r w:rsidR="00FA57E6" w:rsidRPr="00C637E4">
        <w:rPr>
          <w:rFonts w:cs="Arial"/>
          <w:sz w:val="20"/>
          <w:szCs w:val="20"/>
        </w:rPr>
        <w:t>.</w:t>
      </w:r>
    </w:p>
    <w:p w14:paraId="5C79D45F" w14:textId="77777777" w:rsidR="00270C15" w:rsidRPr="000808B5" w:rsidRDefault="00270C15" w:rsidP="009F1699">
      <w:pPr>
        <w:widowControl w:val="0"/>
        <w:autoSpaceDE w:val="0"/>
        <w:autoSpaceDN w:val="0"/>
        <w:adjustRightInd w:val="0"/>
        <w:spacing w:line="360" w:lineRule="auto"/>
        <w:rPr>
          <w:rFonts w:cs="Arial"/>
          <w:sz w:val="20"/>
          <w:szCs w:val="20"/>
        </w:rPr>
      </w:pPr>
    </w:p>
    <w:p w14:paraId="6ACADCDD" w14:textId="7929D95F" w:rsidR="000808B5" w:rsidRPr="00F619CE" w:rsidRDefault="00F619CE" w:rsidP="00F619CE">
      <w:pPr>
        <w:pStyle w:val="Caption"/>
        <w:rPr>
          <w:rFonts w:asciiTheme="minorHAnsi" w:hAnsiTheme="minorHAnsi" w:cstheme="minorHAnsi"/>
          <w:b w:val="0"/>
          <w:lang w:val="it-IT"/>
        </w:rPr>
      </w:pPr>
      <w:bookmarkStart w:id="47" w:name="Figura5"/>
      <w:bookmarkStart w:id="48" w:name="_Toc473186900"/>
      <w:bookmarkEnd w:id="47"/>
      <w:r w:rsidRPr="00F619CE">
        <w:rPr>
          <w:rFonts w:asciiTheme="minorHAnsi" w:hAnsiTheme="minorHAnsi" w:cstheme="minorHAnsi"/>
          <w:lang w:val="it-IT"/>
        </w:rPr>
        <w:t xml:space="preserve">Figura </w:t>
      </w:r>
      <w:r w:rsidRPr="00F619CE">
        <w:rPr>
          <w:rFonts w:asciiTheme="minorHAnsi" w:hAnsiTheme="minorHAnsi" w:cstheme="minorHAnsi"/>
        </w:rPr>
        <w:fldChar w:fldCharType="begin"/>
      </w:r>
      <w:r w:rsidRPr="00F619CE">
        <w:rPr>
          <w:rFonts w:asciiTheme="minorHAnsi" w:hAnsiTheme="minorHAnsi" w:cstheme="minorHAnsi"/>
          <w:lang w:val="it-IT"/>
        </w:rPr>
        <w:instrText xml:space="preserve"> SEQ Figura \* ARABIC </w:instrText>
      </w:r>
      <w:r w:rsidRPr="00F619CE">
        <w:rPr>
          <w:rFonts w:asciiTheme="minorHAnsi" w:hAnsiTheme="minorHAnsi" w:cstheme="minorHAnsi"/>
        </w:rPr>
        <w:fldChar w:fldCharType="separate"/>
      </w:r>
      <w:r w:rsidR="00A1679C">
        <w:rPr>
          <w:rFonts w:asciiTheme="minorHAnsi" w:hAnsiTheme="minorHAnsi" w:cstheme="minorHAnsi"/>
          <w:noProof/>
          <w:lang w:val="it-IT"/>
        </w:rPr>
        <w:t>5</w:t>
      </w:r>
      <w:r w:rsidRPr="00F619CE">
        <w:rPr>
          <w:rFonts w:asciiTheme="minorHAnsi" w:hAnsiTheme="minorHAnsi" w:cstheme="minorHAnsi"/>
        </w:rPr>
        <w:fldChar w:fldCharType="end"/>
      </w:r>
      <w:r w:rsidRPr="00F619CE">
        <w:rPr>
          <w:rFonts w:asciiTheme="minorHAnsi" w:hAnsiTheme="minorHAnsi" w:cstheme="minorHAnsi"/>
          <w:lang w:val="it-IT"/>
        </w:rPr>
        <w:t xml:space="preserve"> - </w:t>
      </w:r>
      <w:r w:rsidR="000808B5" w:rsidRPr="00F619CE">
        <w:rPr>
          <w:rFonts w:asciiTheme="minorHAnsi" w:hAnsiTheme="minorHAnsi" w:cstheme="minorHAnsi"/>
          <w:b w:val="0"/>
          <w:lang w:val="it-IT"/>
        </w:rPr>
        <w:t xml:space="preserve"> Correlazione tra diametro dei tofi e danno articolare (</w:t>
      </w:r>
      <w:r w:rsidR="00FA57E6" w:rsidRPr="00F619CE">
        <w:rPr>
          <w:rFonts w:asciiTheme="minorHAnsi" w:hAnsiTheme="minorHAnsi" w:cstheme="minorHAnsi"/>
          <w:color w:val="0000FF"/>
          <w:lang w:val="it-IT"/>
        </w:rPr>
        <w:t xml:space="preserve">Dalbeth, </w:t>
      </w:r>
      <w:r w:rsidR="000B0B07" w:rsidRPr="00F619CE">
        <w:rPr>
          <w:rFonts w:asciiTheme="minorHAnsi" w:hAnsiTheme="minorHAnsi" w:cstheme="minorHAnsi"/>
          <w:color w:val="0000FF"/>
          <w:lang w:val="it-IT"/>
        </w:rPr>
        <w:t>20</w:t>
      </w:r>
      <w:r w:rsidR="000B0B07">
        <w:rPr>
          <w:rFonts w:asciiTheme="minorHAnsi" w:hAnsiTheme="minorHAnsi" w:cstheme="minorHAnsi"/>
          <w:color w:val="0000FF"/>
          <w:lang w:val="it-IT"/>
        </w:rPr>
        <w:t>09</w:t>
      </w:r>
      <w:r w:rsidR="000808B5" w:rsidRPr="00F619CE">
        <w:rPr>
          <w:rFonts w:asciiTheme="minorHAnsi" w:hAnsiTheme="minorHAnsi" w:cstheme="minorHAnsi"/>
          <w:b w:val="0"/>
          <w:lang w:val="it-IT"/>
        </w:rPr>
        <w:t>)</w:t>
      </w:r>
      <w:bookmarkEnd w:id="48"/>
    </w:p>
    <w:p w14:paraId="0387FFC7" w14:textId="187C1C7D" w:rsidR="000808B5" w:rsidRPr="000808B5" w:rsidRDefault="000808B5" w:rsidP="000808B5">
      <w:pPr>
        <w:widowControl w:val="0"/>
        <w:autoSpaceDE w:val="0"/>
        <w:autoSpaceDN w:val="0"/>
        <w:adjustRightInd w:val="0"/>
        <w:spacing w:line="360" w:lineRule="auto"/>
        <w:jc w:val="both"/>
        <w:rPr>
          <w:rFonts w:cs="Arial"/>
          <w:b/>
          <w:sz w:val="20"/>
          <w:szCs w:val="20"/>
        </w:rPr>
      </w:pPr>
      <w:r w:rsidRPr="000808B5">
        <w:rPr>
          <w:rFonts w:cs="Arial"/>
          <w:b/>
          <w:noProof/>
          <w:sz w:val="20"/>
          <w:szCs w:val="20"/>
          <w:lang w:val="en-GB" w:eastAsia="en-GB"/>
        </w:rPr>
        <w:drawing>
          <wp:inline distT="0" distB="0" distL="0" distR="0" wp14:anchorId="0F9D4E6B" wp14:editId="350EEBE2">
            <wp:extent cx="4970780" cy="2534920"/>
            <wp:effectExtent l="0" t="0" r="1270" b="0"/>
            <wp:docPr id="318" name="Immagin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70780" cy="2534920"/>
                    </a:xfrm>
                    <a:prstGeom prst="rect">
                      <a:avLst/>
                    </a:prstGeom>
                    <a:noFill/>
                  </pic:spPr>
                </pic:pic>
              </a:graphicData>
            </a:graphic>
          </wp:inline>
        </w:drawing>
      </w:r>
    </w:p>
    <w:p w14:paraId="60F2C239" w14:textId="77777777" w:rsidR="00F619CE" w:rsidRDefault="00F619CE" w:rsidP="000808B5">
      <w:pPr>
        <w:widowControl w:val="0"/>
        <w:autoSpaceDE w:val="0"/>
        <w:autoSpaceDN w:val="0"/>
        <w:adjustRightInd w:val="0"/>
        <w:spacing w:line="360" w:lineRule="auto"/>
        <w:jc w:val="both"/>
        <w:rPr>
          <w:rFonts w:cs="Arial"/>
          <w:b/>
          <w:sz w:val="20"/>
          <w:szCs w:val="20"/>
        </w:rPr>
      </w:pPr>
    </w:p>
    <w:p w14:paraId="136C2194" w14:textId="03E3DD5B" w:rsidR="000808B5" w:rsidRDefault="000808B5" w:rsidP="009F1699">
      <w:pPr>
        <w:widowControl w:val="0"/>
        <w:autoSpaceDE w:val="0"/>
        <w:autoSpaceDN w:val="0"/>
        <w:adjustRightInd w:val="0"/>
        <w:spacing w:line="360" w:lineRule="auto"/>
        <w:rPr>
          <w:rFonts w:cs="Arial"/>
          <w:sz w:val="20"/>
          <w:szCs w:val="20"/>
        </w:rPr>
      </w:pPr>
      <w:r w:rsidRPr="000808B5">
        <w:rPr>
          <w:rFonts w:cs="Arial"/>
          <w:b/>
          <w:sz w:val="20"/>
          <w:szCs w:val="20"/>
        </w:rPr>
        <w:t xml:space="preserve">Oltre al danno osteo-articolare, i pazienti affetti da gotta hanno un </w:t>
      </w:r>
      <w:r w:rsidRPr="000808B5">
        <w:rPr>
          <w:rFonts w:cs="Arial"/>
          <w:b/>
          <w:sz w:val="20"/>
          <w:szCs w:val="20"/>
          <w:u w:val="single"/>
        </w:rPr>
        <w:t>maggior rischio di complicanze</w:t>
      </w:r>
      <w:r w:rsidRPr="000808B5">
        <w:rPr>
          <w:rFonts w:cs="Arial"/>
          <w:b/>
          <w:sz w:val="20"/>
          <w:szCs w:val="20"/>
        </w:rPr>
        <w:t xml:space="preserve"> correlate alla deposizione di cristalli di </w:t>
      </w:r>
      <w:r w:rsidR="000B0B07">
        <w:rPr>
          <w:rFonts w:cs="Arial"/>
          <w:b/>
          <w:sz w:val="20"/>
          <w:szCs w:val="20"/>
        </w:rPr>
        <w:t>MSU</w:t>
      </w:r>
      <w:r w:rsidRPr="000808B5">
        <w:rPr>
          <w:rFonts w:cs="Arial"/>
          <w:b/>
          <w:sz w:val="20"/>
          <w:szCs w:val="20"/>
        </w:rPr>
        <w:t xml:space="preserve"> nei tessuti degli organi colpiti, con possibili disfunzioni e insufficienza d'organo </w:t>
      </w:r>
      <w:r w:rsidRPr="00E674F8">
        <w:rPr>
          <w:rFonts w:cs="Arial"/>
          <w:sz w:val="20"/>
          <w:szCs w:val="20"/>
        </w:rPr>
        <w:t>(</w:t>
      </w:r>
      <w:hyperlink w:anchor="Figura6" w:history="1">
        <w:r w:rsidRPr="00E674F8">
          <w:rPr>
            <w:rStyle w:val="Hyperlink"/>
            <w:rFonts w:cs="Arial"/>
            <w:sz w:val="20"/>
            <w:szCs w:val="20"/>
          </w:rPr>
          <w:t xml:space="preserve">Figura </w:t>
        </w:r>
        <w:r w:rsidR="00F619CE" w:rsidRPr="00E674F8">
          <w:rPr>
            <w:rStyle w:val="Hyperlink"/>
            <w:rFonts w:cs="Arial"/>
            <w:sz w:val="20"/>
            <w:szCs w:val="20"/>
          </w:rPr>
          <w:t>6</w:t>
        </w:r>
      </w:hyperlink>
      <w:r w:rsidRPr="00E674F8">
        <w:rPr>
          <w:rFonts w:cs="Arial"/>
          <w:sz w:val="20"/>
          <w:szCs w:val="20"/>
        </w:rPr>
        <w:t>):</w:t>
      </w:r>
    </w:p>
    <w:p w14:paraId="581BC40C" w14:textId="77777777" w:rsidR="009F1699" w:rsidRPr="000808B5" w:rsidRDefault="009F1699" w:rsidP="009F1699">
      <w:pPr>
        <w:widowControl w:val="0"/>
        <w:autoSpaceDE w:val="0"/>
        <w:autoSpaceDN w:val="0"/>
        <w:adjustRightInd w:val="0"/>
        <w:spacing w:line="360" w:lineRule="auto"/>
        <w:rPr>
          <w:rFonts w:cs="Arial"/>
          <w:b/>
          <w:sz w:val="20"/>
          <w:szCs w:val="20"/>
        </w:rPr>
      </w:pPr>
    </w:p>
    <w:p w14:paraId="59F84017" w14:textId="3F2BC7CC" w:rsidR="00A51873" w:rsidRPr="00A51873" w:rsidRDefault="00A51873" w:rsidP="00825BD3">
      <w:pPr>
        <w:pStyle w:val="ListParagraph"/>
        <w:widowControl w:val="0"/>
        <w:numPr>
          <w:ilvl w:val="0"/>
          <w:numId w:val="49"/>
        </w:numPr>
        <w:autoSpaceDE w:val="0"/>
        <w:autoSpaceDN w:val="0"/>
        <w:adjustRightInd w:val="0"/>
        <w:spacing w:line="360" w:lineRule="auto"/>
        <w:rPr>
          <w:rFonts w:cs="Arial"/>
          <w:sz w:val="20"/>
          <w:szCs w:val="20"/>
        </w:rPr>
      </w:pPr>
      <w:r w:rsidRPr="00A51873">
        <w:rPr>
          <w:rFonts w:asciiTheme="minorHAnsi" w:hAnsiTheme="minorHAnsi" w:cstheme="minorHAnsi"/>
          <w:sz w:val="20"/>
          <w:szCs w:val="20"/>
        </w:rPr>
        <w:t>i</w:t>
      </w:r>
      <w:r w:rsidR="000808B5" w:rsidRPr="00A51873">
        <w:rPr>
          <w:rFonts w:asciiTheme="minorHAnsi" w:hAnsiTheme="minorHAnsi" w:cstheme="minorHAnsi"/>
          <w:sz w:val="20"/>
          <w:szCs w:val="20"/>
        </w:rPr>
        <w:t xml:space="preserve"> reni sono l’organo più comunemente colpito e l’urolitiasi </w:t>
      </w:r>
      <w:r w:rsidRPr="00A51873">
        <w:rPr>
          <w:rFonts w:asciiTheme="minorHAnsi" w:hAnsiTheme="minorHAnsi" w:cstheme="minorHAnsi"/>
          <w:sz w:val="20"/>
          <w:szCs w:val="20"/>
        </w:rPr>
        <w:t xml:space="preserve">(formazione di calcoli renali) </w:t>
      </w:r>
      <w:r w:rsidR="000808B5" w:rsidRPr="00A51873">
        <w:rPr>
          <w:rFonts w:asciiTheme="minorHAnsi" w:hAnsiTheme="minorHAnsi" w:cstheme="minorHAnsi"/>
          <w:sz w:val="20"/>
          <w:szCs w:val="20"/>
        </w:rPr>
        <w:t>è infatti la manifestazione renale più comune nei pazienti con gotta. Questa patologia è riportata nel 13% degli uomini con livelli sierici di acido urico compresi tra 7,0 e 7,9 mg/dl</w:t>
      </w:r>
      <w:r w:rsidR="00FA57E6" w:rsidRPr="00A51873">
        <w:rPr>
          <w:rFonts w:asciiTheme="minorHAnsi" w:hAnsiTheme="minorHAnsi" w:cstheme="minorHAnsi"/>
          <w:sz w:val="20"/>
          <w:szCs w:val="20"/>
        </w:rPr>
        <w:t xml:space="preserve"> (</w:t>
      </w:r>
      <w:r w:rsidR="008B00C5">
        <w:rPr>
          <w:rFonts w:asciiTheme="minorHAnsi" w:hAnsiTheme="minorHAnsi" w:cstheme="minorHAnsi"/>
          <w:color w:val="0000FF"/>
          <w:sz w:val="20"/>
          <w:szCs w:val="20"/>
        </w:rPr>
        <w:t>Hall, 1967 (62</w:t>
      </w:r>
      <w:r w:rsidR="00E720FA">
        <w:rPr>
          <w:rFonts w:asciiTheme="minorHAnsi" w:hAnsiTheme="minorHAnsi" w:cstheme="minorHAnsi"/>
          <w:color w:val="0000FF"/>
          <w:sz w:val="20"/>
          <w:szCs w:val="20"/>
        </w:rPr>
        <w:t>)</w:t>
      </w:r>
      <w:r w:rsidR="003441F8">
        <w:rPr>
          <w:rFonts w:asciiTheme="minorHAnsi" w:hAnsiTheme="minorHAnsi" w:cstheme="minorHAnsi"/>
          <w:color w:val="0000FF"/>
          <w:sz w:val="20"/>
          <w:szCs w:val="20"/>
        </w:rPr>
        <w:t>;</w:t>
      </w:r>
      <w:r w:rsidR="00335C59">
        <w:rPr>
          <w:rFonts w:asciiTheme="minorHAnsi" w:hAnsiTheme="minorHAnsi" w:cstheme="minorHAnsi"/>
          <w:color w:val="0000FF"/>
          <w:sz w:val="20"/>
          <w:szCs w:val="20"/>
        </w:rPr>
        <w:t xml:space="preserve">  </w:t>
      </w:r>
      <w:r w:rsidR="008B00C5">
        <w:rPr>
          <w:rFonts w:asciiTheme="minorHAnsi" w:hAnsiTheme="minorHAnsi" w:cstheme="minorHAnsi"/>
          <w:color w:val="0000FF"/>
          <w:sz w:val="20"/>
          <w:szCs w:val="20"/>
        </w:rPr>
        <w:t>NICE, CKS – Gout, 2015 (63</w:t>
      </w:r>
      <w:r w:rsidR="00335C59">
        <w:rPr>
          <w:rFonts w:asciiTheme="minorHAnsi" w:hAnsiTheme="minorHAnsi" w:cstheme="minorHAnsi"/>
          <w:color w:val="0000FF"/>
          <w:sz w:val="20"/>
          <w:szCs w:val="20"/>
        </w:rPr>
        <w:t xml:space="preserve">); </w:t>
      </w:r>
      <w:r w:rsidR="008B00C5">
        <w:rPr>
          <w:rFonts w:asciiTheme="minorHAnsi" w:hAnsiTheme="minorHAnsi" w:cstheme="minorHAnsi"/>
          <w:color w:val="0000FF"/>
          <w:sz w:val="20"/>
          <w:szCs w:val="20"/>
        </w:rPr>
        <w:t>Annemans, 2008 (64</w:t>
      </w:r>
      <w:r w:rsidR="00335C59">
        <w:rPr>
          <w:rFonts w:asciiTheme="minorHAnsi" w:hAnsiTheme="minorHAnsi" w:cstheme="minorHAnsi"/>
          <w:color w:val="0000FF"/>
          <w:sz w:val="20"/>
          <w:szCs w:val="20"/>
        </w:rPr>
        <w:t>)</w:t>
      </w:r>
      <w:r w:rsidR="00FA57E6" w:rsidRPr="00A51873">
        <w:rPr>
          <w:rFonts w:asciiTheme="minorHAnsi" w:hAnsiTheme="minorHAnsi" w:cstheme="minorHAnsi"/>
          <w:sz w:val="20"/>
          <w:szCs w:val="20"/>
        </w:rPr>
        <w:t>)</w:t>
      </w:r>
      <w:r w:rsidRPr="00A51873">
        <w:rPr>
          <w:rFonts w:asciiTheme="minorHAnsi" w:hAnsiTheme="minorHAnsi" w:cstheme="minorHAnsi"/>
          <w:sz w:val="20"/>
          <w:szCs w:val="20"/>
        </w:rPr>
        <w:t>;</w:t>
      </w:r>
    </w:p>
    <w:p w14:paraId="3A4EE3C3" w14:textId="6916C0FD" w:rsidR="00A51873" w:rsidRPr="00A51873" w:rsidRDefault="00A51873" w:rsidP="00825BD3">
      <w:pPr>
        <w:pStyle w:val="ListParagraph"/>
        <w:widowControl w:val="0"/>
        <w:numPr>
          <w:ilvl w:val="0"/>
          <w:numId w:val="49"/>
        </w:numPr>
        <w:autoSpaceDE w:val="0"/>
        <w:autoSpaceDN w:val="0"/>
        <w:adjustRightInd w:val="0"/>
        <w:spacing w:line="360" w:lineRule="auto"/>
        <w:rPr>
          <w:rFonts w:cs="Arial"/>
          <w:sz w:val="20"/>
          <w:szCs w:val="20"/>
        </w:rPr>
      </w:pPr>
      <w:r w:rsidRPr="00A51873">
        <w:rPr>
          <w:rFonts w:asciiTheme="minorHAnsi" w:hAnsiTheme="minorHAnsi" w:cstheme="minorHAnsi"/>
          <w:sz w:val="20"/>
          <w:szCs w:val="20"/>
        </w:rPr>
        <w:t>a</w:t>
      </w:r>
      <w:r w:rsidR="000808B5" w:rsidRPr="00A51873">
        <w:rPr>
          <w:rFonts w:asciiTheme="minorHAnsi" w:hAnsiTheme="minorHAnsi" w:cstheme="minorHAnsi"/>
          <w:sz w:val="20"/>
          <w:szCs w:val="20"/>
        </w:rPr>
        <w:t>nche l’insufficienza renale cronica è una condizione più frequente nelle persone con gotta rispetto alla popolazione non affetta</w:t>
      </w:r>
      <w:r w:rsidR="00FA57E6" w:rsidRPr="00A51873">
        <w:rPr>
          <w:rFonts w:asciiTheme="minorHAnsi" w:hAnsiTheme="minorHAnsi" w:cstheme="minorHAnsi"/>
          <w:sz w:val="20"/>
          <w:szCs w:val="20"/>
        </w:rPr>
        <w:t xml:space="preserve"> (</w:t>
      </w:r>
      <w:r w:rsidR="00562B68">
        <w:rPr>
          <w:rFonts w:asciiTheme="minorHAnsi" w:hAnsiTheme="minorHAnsi" w:cstheme="minorHAnsi"/>
          <w:color w:val="0000FF"/>
          <w:sz w:val="20"/>
          <w:szCs w:val="20"/>
        </w:rPr>
        <w:t xml:space="preserve">Terkeltaub, 2013 (14); </w:t>
      </w:r>
      <w:r w:rsidR="008B00C5">
        <w:rPr>
          <w:rFonts w:asciiTheme="minorHAnsi" w:hAnsiTheme="minorHAnsi" w:cstheme="minorHAnsi"/>
          <w:color w:val="0000FF"/>
          <w:sz w:val="20"/>
          <w:szCs w:val="20"/>
        </w:rPr>
        <w:t>Zhu, 2012 (65</w:t>
      </w:r>
      <w:r w:rsidR="00335C59">
        <w:rPr>
          <w:rFonts w:asciiTheme="minorHAnsi" w:hAnsiTheme="minorHAnsi" w:cstheme="minorHAnsi"/>
          <w:color w:val="0000FF"/>
          <w:sz w:val="20"/>
          <w:szCs w:val="20"/>
        </w:rPr>
        <w:t>)</w:t>
      </w:r>
      <w:r w:rsidR="00FA57E6" w:rsidRPr="00A51873">
        <w:rPr>
          <w:rFonts w:asciiTheme="minorHAnsi" w:hAnsiTheme="minorHAnsi" w:cstheme="minorHAnsi"/>
          <w:color w:val="0000FF"/>
          <w:sz w:val="20"/>
          <w:szCs w:val="20"/>
        </w:rPr>
        <w:t xml:space="preserve">; </w:t>
      </w:r>
      <w:r w:rsidR="008B00C5">
        <w:rPr>
          <w:rFonts w:asciiTheme="minorHAnsi" w:hAnsiTheme="minorHAnsi" w:cstheme="minorHAnsi"/>
          <w:color w:val="0000FF"/>
          <w:sz w:val="20"/>
          <w:szCs w:val="20"/>
        </w:rPr>
        <w:t>Eggebeen, 2007 (66</w:t>
      </w:r>
      <w:r w:rsidR="00E720FA">
        <w:rPr>
          <w:rFonts w:asciiTheme="minorHAnsi" w:hAnsiTheme="minorHAnsi" w:cstheme="minorHAnsi"/>
          <w:color w:val="0000FF"/>
          <w:sz w:val="20"/>
          <w:szCs w:val="20"/>
        </w:rPr>
        <w:t>)</w:t>
      </w:r>
      <w:r w:rsidR="00FA57E6" w:rsidRPr="00A51873">
        <w:rPr>
          <w:rFonts w:asciiTheme="minorHAnsi" w:hAnsiTheme="minorHAnsi" w:cstheme="minorHAnsi"/>
          <w:sz w:val="20"/>
          <w:szCs w:val="20"/>
        </w:rPr>
        <w:t>)</w:t>
      </w:r>
      <w:r w:rsidRPr="00A51873">
        <w:rPr>
          <w:rFonts w:asciiTheme="minorHAnsi" w:hAnsiTheme="minorHAnsi" w:cstheme="minorHAnsi"/>
          <w:sz w:val="20"/>
          <w:szCs w:val="20"/>
        </w:rPr>
        <w:t xml:space="preserve">; </w:t>
      </w:r>
    </w:p>
    <w:p w14:paraId="50E4DBFB" w14:textId="5EEFC012" w:rsidR="000808B5" w:rsidRDefault="00C637E4" w:rsidP="00825BD3">
      <w:pPr>
        <w:pStyle w:val="ListParagraph"/>
        <w:widowControl w:val="0"/>
        <w:numPr>
          <w:ilvl w:val="0"/>
          <w:numId w:val="49"/>
        </w:numPr>
        <w:autoSpaceDE w:val="0"/>
        <w:autoSpaceDN w:val="0"/>
        <w:adjustRightInd w:val="0"/>
        <w:spacing w:line="360" w:lineRule="auto"/>
        <w:rPr>
          <w:rFonts w:asciiTheme="minorHAnsi" w:hAnsiTheme="minorHAnsi" w:cstheme="minorHAnsi"/>
          <w:sz w:val="20"/>
          <w:szCs w:val="20"/>
        </w:rPr>
      </w:pPr>
      <w:r>
        <w:rPr>
          <w:rFonts w:asciiTheme="minorHAnsi" w:hAnsiTheme="minorHAnsi" w:cstheme="minorHAnsi"/>
          <w:sz w:val="20"/>
          <w:szCs w:val="20"/>
        </w:rPr>
        <w:t>n</w:t>
      </w:r>
      <w:r w:rsidR="000808B5" w:rsidRPr="00A51873">
        <w:rPr>
          <w:rFonts w:asciiTheme="minorHAnsi" w:hAnsiTheme="minorHAnsi" w:cstheme="minorHAnsi"/>
          <w:sz w:val="20"/>
          <w:szCs w:val="20"/>
        </w:rPr>
        <w:t>ei pazienti con gotta, sono comuni anche altre patologie cardiovascolari e dismetaboliche come l'ipertensione, l'obesità e il diabete</w:t>
      </w:r>
      <w:r w:rsidR="00FA57E6" w:rsidRPr="00A51873">
        <w:rPr>
          <w:rFonts w:asciiTheme="minorHAnsi" w:hAnsiTheme="minorHAnsi" w:cstheme="minorHAnsi"/>
          <w:sz w:val="20"/>
          <w:szCs w:val="20"/>
        </w:rPr>
        <w:t xml:space="preserve"> (</w:t>
      </w:r>
      <w:r w:rsidR="00335C59">
        <w:rPr>
          <w:rFonts w:asciiTheme="minorHAnsi" w:hAnsiTheme="minorHAnsi" w:cstheme="minorHAnsi"/>
          <w:color w:val="0000FF"/>
          <w:sz w:val="20"/>
          <w:szCs w:val="20"/>
        </w:rPr>
        <w:t xml:space="preserve">Manara, 2013 (7); </w:t>
      </w:r>
      <w:r w:rsidR="00562B68">
        <w:rPr>
          <w:rFonts w:asciiTheme="minorHAnsi" w:hAnsiTheme="minorHAnsi" w:cstheme="minorHAnsi"/>
          <w:color w:val="0000FF"/>
          <w:sz w:val="20"/>
          <w:szCs w:val="20"/>
        </w:rPr>
        <w:t xml:space="preserve">Park, 2014 (19); Mikuls, 2005 (50); </w:t>
      </w:r>
      <w:r w:rsidR="008B00C5">
        <w:rPr>
          <w:rFonts w:asciiTheme="minorHAnsi" w:hAnsiTheme="minorHAnsi" w:cstheme="minorHAnsi"/>
          <w:color w:val="0000FF"/>
          <w:sz w:val="20"/>
          <w:szCs w:val="20"/>
        </w:rPr>
        <w:t>Annemans, 2008 (64</w:t>
      </w:r>
      <w:r w:rsidR="006E3998">
        <w:rPr>
          <w:rFonts w:asciiTheme="minorHAnsi" w:hAnsiTheme="minorHAnsi" w:cstheme="minorHAnsi"/>
          <w:color w:val="0000FF"/>
          <w:sz w:val="20"/>
          <w:szCs w:val="20"/>
        </w:rPr>
        <w:t xml:space="preserve">); </w:t>
      </w:r>
      <w:r w:rsidR="001A56FE">
        <w:rPr>
          <w:rFonts w:asciiTheme="minorHAnsi" w:hAnsiTheme="minorHAnsi" w:cstheme="minorHAnsi"/>
          <w:color w:val="0000FF"/>
          <w:sz w:val="20"/>
          <w:szCs w:val="20"/>
        </w:rPr>
        <w:t>Grayson, 2011 (67</w:t>
      </w:r>
      <w:r w:rsidR="006E3998">
        <w:rPr>
          <w:rFonts w:asciiTheme="minorHAnsi" w:hAnsiTheme="minorHAnsi" w:cstheme="minorHAnsi"/>
          <w:color w:val="0000FF"/>
          <w:sz w:val="20"/>
          <w:szCs w:val="20"/>
        </w:rPr>
        <w:t xml:space="preserve">); </w:t>
      </w:r>
      <w:r w:rsidR="001A56FE">
        <w:rPr>
          <w:rFonts w:asciiTheme="minorHAnsi" w:hAnsiTheme="minorHAnsi" w:cstheme="minorHAnsi"/>
          <w:color w:val="0000FF"/>
          <w:sz w:val="20"/>
          <w:szCs w:val="20"/>
        </w:rPr>
        <w:t>Kodama, 2009 (68</w:t>
      </w:r>
      <w:r w:rsidR="006E3998">
        <w:rPr>
          <w:rFonts w:asciiTheme="minorHAnsi" w:hAnsiTheme="minorHAnsi" w:cstheme="minorHAnsi"/>
          <w:color w:val="0000FF"/>
          <w:sz w:val="20"/>
          <w:szCs w:val="20"/>
        </w:rPr>
        <w:t xml:space="preserve">); </w:t>
      </w:r>
      <w:r w:rsidR="001A56FE">
        <w:rPr>
          <w:rFonts w:asciiTheme="minorHAnsi" w:hAnsiTheme="minorHAnsi" w:cstheme="minorHAnsi"/>
          <w:color w:val="0000FF"/>
          <w:sz w:val="20"/>
          <w:szCs w:val="20"/>
        </w:rPr>
        <w:t>Mikuls, 2006 (69</w:t>
      </w:r>
      <w:r w:rsidR="003441F8">
        <w:rPr>
          <w:rFonts w:asciiTheme="minorHAnsi" w:hAnsiTheme="minorHAnsi" w:cstheme="minorHAnsi"/>
          <w:color w:val="0000FF"/>
          <w:sz w:val="20"/>
          <w:szCs w:val="20"/>
        </w:rPr>
        <w:t xml:space="preserve">); </w:t>
      </w:r>
      <w:r w:rsidR="001A56FE">
        <w:rPr>
          <w:rFonts w:asciiTheme="minorHAnsi" w:hAnsiTheme="minorHAnsi" w:cstheme="minorHAnsi"/>
          <w:color w:val="0000FF"/>
          <w:sz w:val="20"/>
          <w:szCs w:val="20"/>
        </w:rPr>
        <w:t>Bos, 2006 (70</w:t>
      </w:r>
      <w:r w:rsidR="006E3998">
        <w:rPr>
          <w:rFonts w:asciiTheme="minorHAnsi" w:hAnsiTheme="minorHAnsi" w:cstheme="minorHAnsi"/>
          <w:color w:val="0000FF"/>
          <w:sz w:val="20"/>
          <w:szCs w:val="20"/>
        </w:rPr>
        <w:t xml:space="preserve">); </w:t>
      </w:r>
      <w:r w:rsidR="001A56FE">
        <w:rPr>
          <w:rFonts w:asciiTheme="minorHAnsi" w:hAnsiTheme="minorHAnsi" w:cstheme="minorHAnsi"/>
          <w:color w:val="0000FF"/>
          <w:sz w:val="20"/>
          <w:szCs w:val="20"/>
        </w:rPr>
        <w:t>Kuo, 2016 (71</w:t>
      </w:r>
      <w:r w:rsidR="006E3998">
        <w:rPr>
          <w:rFonts w:asciiTheme="minorHAnsi" w:hAnsiTheme="minorHAnsi" w:cstheme="minorHAnsi"/>
          <w:color w:val="0000FF"/>
          <w:sz w:val="20"/>
          <w:szCs w:val="20"/>
        </w:rPr>
        <w:t>)</w:t>
      </w:r>
      <w:r w:rsidR="003441F8">
        <w:rPr>
          <w:rFonts w:asciiTheme="minorHAnsi" w:hAnsiTheme="minorHAnsi" w:cstheme="minorHAnsi"/>
          <w:color w:val="0000FF"/>
          <w:sz w:val="20"/>
          <w:szCs w:val="20"/>
        </w:rPr>
        <w:t>;</w:t>
      </w:r>
      <w:r w:rsidR="006E3998">
        <w:rPr>
          <w:rFonts w:asciiTheme="minorHAnsi" w:hAnsiTheme="minorHAnsi" w:cstheme="minorHAnsi"/>
          <w:color w:val="0000FF"/>
          <w:sz w:val="20"/>
          <w:szCs w:val="20"/>
        </w:rPr>
        <w:t xml:space="preserve"> </w:t>
      </w:r>
      <w:r w:rsidR="001A56FE">
        <w:rPr>
          <w:rFonts w:asciiTheme="minorHAnsi" w:hAnsiTheme="minorHAnsi" w:cstheme="minorHAnsi"/>
          <w:color w:val="0000FF"/>
          <w:sz w:val="20"/>
          <w:szCs w:val="20"/>
        </w:rPr>
        <w:t>Richette, 2013 (72</w:t>
      </w:r>
      <w:r w:rsidR="00E720FA">
        <w:rPr>
          <w:rFonts w:asciiTheme="minorHAnsi" w:hAnsiTheme="minorHAnsi" w:cstheme="minorHAnsi"/>
          <w:color w:val="0000FF"/>
          <w:sz w:val="20"/>
          <w:szCs w:val="20"/>
        </w:rPr>
        <w:t>)</w:t>
      </w:r>
      <w:r w:rsidR="00FA57E6" w:rsidRPr="00A51873">
        <w:rPr>
          <w:rFonts w:asciiTheme="minorHAnsi" w:hAnsiTheme="minorHAnsi" w:cstheme="minorHAnsi"/>
          <w:sz w:val="20"/>
          <w:szCs w:val="20"/>
        </w:rPr>
        <w:t>)</w:t>
      </w:r>
      <w:r w:rsidR="000808B5" w:rsidRPr="00A51873">
        <w:rPr>
          <w:rFonts w:asciiTheme="minorHAnsi" w:hAnsiTheme="minorHAnsi" w:cstheme="minorHAnsi"/>
          <w:sz w:val="20"/>
          <w:szCs w:val="20"/>
        </w:rPr>
        <w:t xml:space="preserve">. </w:t>
      </w:r>
    </w:p>
    <w:p w14:paraId="7CA9DA98" w14:textId="77777777" w:rsidR="00FB69B2" w:rsidRPr="00A51873" w:rsidRDefault="00FB69B2" w:rsidP="009F1699">
      <w:pPr>
        <w:pStyle w:val="ListParagraph"/>
        <w:widowControl w:val="0"/>
        <w:autoSpaceDE w:val="0"/>
        <w:autoSpaceDN w:val="0"/>
        <w:adjustRightInd w:val="0"/>
        <w:spacing w:line="360" w:lineRule="auto"/>
        <w:rPr>
          <w:rFonts w:asciiTheme="minorHAnsi" w:hAnsiTheme="minorHAnsi" w:cstheme="minorHAnsi"/>
          <w:sz w:val="20"/>
          <w:szCs w:val="20"/>
        </w:rPr>
      </w:pPr>
    </w:p>
    <w:p w14:paraId="76D8171A" w14:textId="702B4623" w:rsidR="000808B5" w:rsidRPr="00F619CE" w:rsidRDefault="00F619CE" w:rsidP="00F619CE">
      <w:pPr>
        <w:pStyle w:val="Caption"/>
        <w:rPr>
          <w:rFonts w:asciiTheme="minorHAnsi" w:hAnsiTheme="minorHAnsi" w:cstheme="minorHAnsi"/>
          <w:b w:val="0"/>
          <w:lang w:val="it-IT"/>
        </w:rPr>
      </w:pPr>
      <w:bookmarkStart w:id="49" w:name="Figura6"/>
      <w:bookmarkStart w:id="50" w:name="_Toc473186901"/>
      <w:bookmarkEnd w:id="49"/>
      <w:r w:rsidRPr="00F619CE">
        <w:rPr>
          <w:rFonts w:asciiTheme="minorHAnsi" w:hAnsiTheme="minorHAnsi" w:cstheme="minorHAnsi"/>
          <w:lang w:val="it-IT"/>
        </w:rPr>
        <w:t xml:space="preserve">Figura </w:t>
      </w:r>
      <w:r w:rsidRPr="00F619CE">
        <w:rPr>
          <w:rFonts w:asciiTheme="minorHAnsi" w:hAnsiTheme="minorHAnsi" w:cstheme="minorHAnsi"/>
        </w:rPr>
        <w:fldChar w:fldCharType="begin"/>
      </w:r>
      <w:r w:rsidRPr="00F619CE">
        <w:rPr>
          <w:rFonts w:asciiTheme="minorHAnsi" w:hAnsiTheme="minorHAnsi" w:cstheme="minorHAnsi"/>
          <w:lang w:val="it-IT"/>
        </w:rPr>
        <w:instrText xml:space="preserve"> SEQ Figura \* ARABIC </w:instrText>
      </w:r>
      <w:r w:rsidRPr="00F619CE">
        <w:rPr>
          <w:rFonts w:asciiTheme="minorHAnsi" w:hAnsiTheme="minorHAnsi" w:cstheme="minorHAnsi"/>
        </w:rPr>
        <w:fldChar w:fldCharType="separate"/>
      </w:r>
      <w:r w:rsidR="00A1679C">
        <w:rPr>
          <w:rFonts w:asciiTheme="minorHAnsi" w:hAnsiTheme="minorHAnsi" w:cstheme="minorHAnsi"/>
          <w:noProof/>
          <w:lang w:val="it-IT"/>
        </w:rPr>
        <w:t>6</w:t>
      </w:r>
      <w:r w:rsidRPr="00F619CE">
        <w:rPr>
          <w:rFonts w:asciiTheme="minorHAnsi" w:hAnsiTheme="minorHAnsi" w:cstheme="minorHAnsi"/>
        </w:rPr>
        <w:fldChar w:fldCharType="end"/>
      </w:r>
      <w:r w:rsidRPr="00F619CE">
        <w:rPr>
          <w:rFonts w:asciiTheme="minorHAnsi" w:hAnsiTheme="minorHAnsi" w:cstheme="minorHAnsi"/>
          <w:lang w:val="it-IT"/>
        </w:rPr>
        <w:t xml:space="preserve"> - </w:t>
      </w:r>
      <w:r w:rsidR="000808B5" w:rsidRPr="00F619CE">
        <w:rPr>
          <w:rFonts w:asciiTheme="minorHAnsi" w:hAnsiTheme="minorHAnsi" w:cstheme="minorHAnsi"/>
          <w:b w:val="0"/>
          <w:lang w:val="it-IT"/>
        </w:rPr>
        <w:t>Complicanze renali e cardiovascolari dell’iperuricemia</w:t>
      </w:r>
      <w:r w:rsidR="000808B5" w:rsidRPr="00F619CE">
        <w:rPr>
          <w:rFonts w:asciiTheme="minorHAnsi" w:hAnsiTheme="minorHAnsi" w:cstheme="minorHAnsi"/>
          <w:lang w:val="it-IT"/>
        </w:rPr>
        <w:t xml:space="preserve"> </w:t>
      </w:r>
      <w:r w:rsidR="00FA57E6" w:rsidRPr="00F619CE">
        <w:rPr>
          <w:rFonts w:asciiTheme="minorHAnsi" w:hAnsiTheme="minorHAnsi" w:cstheme="minorHAnsi"/>
          <w:lang w:val="it-IT"/>
        </w:rPr>
        <w:t>(</w:t>
      </w:r>
      <w:r w:rsidR="00FA57E6" w:rsidRPr="00F619CE">
        <w:rPr>
          <w:rFonts w:asciiTheme="minorHAnsi" w:hAnsiTheme="minorHAnsi" w:cstheme="minorHAnsi"/>
          <w:color w:val="0000FF"/>
          <w:lang w:val="it-IT"/>
        </w:rPr>
        <w:t>Terkeltaub, 2013; Park, 2014</w:t>
      </w:r>
      <w:r w:rsidR="000808B5" w:rsidRPr="00F619CE">
        <w:rPr>
          <w:rFonts w:asciiTheme="minorHAnsi" w:hAnsiTheme="minorHAnsi" w:cstheme="minorHAnsi"/>
          <w:lang w:val="it-IT"/>
        </w:rPr>
        <w:t>)</w:t>
      </w:r>
      <w:bookmarkEnd w:id="50"/>
      <w:r w:rsidR="000808B5" w:rsidRPr="00F619CE">
        <w:rPr>
          <w:rFonts w:asciiTheme="minorHAnsi" w:hAnsiTheme="minorHAnsi" w:cstheme="minorHAnsi"/>
          <w:b w:val="0"/>
          <w:lang w:val="it-IT"/>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4096"/>
        <w:gridCol w:w="4921"/>
      </w:tblGrid>
      <w:tr w:rsidR="000808B5" w:rsidRPr="000808B5" w14:paraId="1C0377F3" w14:textId="77777777" w:rsidTr="00A03CEC">
        <w:tc>
          <w:tcPr>
            <w:tcW w:w="4763" w:type="dxa"/>
            <w:shd w:val="clear" w:color="auto" w:fill="auto"/>
          </w:tcPr>
          <w:p w14:paraId="5AFB485D" w14:textId="50042291" w:rsidR="000808B5" w:rsidRPr="000808B5" w:rsidRDefault="000808B5" w:rsidP="000808B5">
            <w:pPr>
              <w:widowControl w:val="0"/>
              <w:autoSpaceDE w:val="0"/>
              <w:autoSpaceDN w:val="0"/>
              <w:adjustRightInd w:val="0"/>
              <w:spacing w:line="360" w:lineRule="auto"/>
              <w:jc w:val="both"/>
              <w:rPr>
                <w:rFonts w:cs="Arial"/>
                <w:sz w:val="20"/>
                <w:szCs w:val="20"/>
              </w:rPr>
            </w:pPr>
            <w:r w:rsidRPr="000808B5">
              <w:rPr>
                <w:rFonts w:cs="Arial"/>
                <w:noProof/>
                <w:sz w:val="20"/>
                <w:szCs w:val="20"/>
                <w:lang w:val="en-GB" w:eastAsia="en-GB"/>
              </w:rPr>
              <w:drawing>
                <wp:inline distT="0" distB="0" distL="0" distR="0" wp14:anchorId="20D61246" wp14:editId="1500853D">
                  <wp:extent cx="2609215" cy="2694940"/>
                  <wp:effectExtent l="0" t="0" r="635" b="0"/>
                  <wp:docPr id="316" name="Immagin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09215" cy="2694940"/>
                          </a:xfrm>
                          <a:prstGeom prst="rect">
                            <a:avLst/>
                          </a:prstGeom>
                          <a:noFill/>
                        </pic:spPr>
                      </pic:pic>
                    </a:graphicData>
                  </a:graphic>
                </wp:inline>
              </w:drawing>
            </w:r>
          </w:p>
        </w:tc>
        <w:tc>
          <w:tcPr>
            <w:tcW w:w="4763" w:type="dxa"/>
            <w:shd w:val="clear" w:color="auto" w:fill="auto"/>
          </w:tcPr>
          <w:p w14:paraId="751404A7" w14:textId="6FDD84C7" w:rsidR="000808B5" w:rsidRPr="000808B5" w:rsidRDefault="000808B5" w:rsidP="000808B5">
            <w:pPr>
              <w:widowControl w:val="0"/>
              <w:autoSpaceDE w:val="0"/>
              <w:autoSpaceDN w:val="0"/>
              <w:adjustRightInd w:val="0"/>
              <w:spacing w:line="360" w:lineRule="auto"/>
              <w:jc w:val="both"/>
              <w:rPr>
                <w:rFonts w:cs="Arial"/>
                <w:sz w:val="20"/>
                <w:szCs w:val="20"/>
              </w:rPr>
            </w:pPr>
            <w:r w:rsidRPr="000808B5">
              <w:rPr>
                <w:rFonts w:cs="Arial"/>
                <w:noProof/>
                <w:sz w:val="20"/>
                <w:szCs w:val="20"/>
                <w:lang w:val="en-GB" w:eastAsia="en-GB"/>
              </w:rPr>
              <w:drawing>
                <wp:inline distT="0" distB="0" distL="0" distR="0" wp14:anchorId="4F87D222" wp14:editId="66F56982">
                  <wp:extent cx="3164205" cy="2573020"/>
                  <wp:effectExtent l="0" t="0" r="0" b="0"/>
                  <wp:docPr id="315" name="Immagin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64205" cy="2573020"/>
                          </a:xfrm>
                          <a:prstGeom prst="rect">
                            <a:avLst/>
                          </a:prstGeom>
                          <a:noFill/>
                        </pic:spPr>
                      </pic:pic>
                    </a:graphicData>
                  </a:graphic>
                </wp:inline>
              </w:drawing>
            </w:r>
          </w:p>
        </w:tc>
      </w:tr>
    </w:tbl>
    <w:p w14:paraId="711CE06D" w14:textId="77777777" w:rsidR="002E7D1D" w:rsidRDefault="002E7D1D" w:rsidP="000808B5">
      <w:pPr>
        <w:widowControl w:val="0"/>
        <w:autoSpaceDE w:val="0"/>
        <w:autoSpaceDN w:val="0"/>
        <w:adjustRightInd w:val="0"/>
        <w:spacing w:line="360" w:lineRule="auto"/>
        <w:jc w:val="both"/>
        <w:rPr>
          <w:rFonts w:cs="Arial"/>
          <w:sz w:val="20"/>
          <w:szCs w:val="20"/>
        </w:rPr>
      </w:pPr>
    </w:p>
    <w:p w14:paraId="75CE481A" w14:textId="6D8B9DD9" w:rsidR="000808B5" w:rsidRDefault="002E7D1D" w:rsidP="009F1699">
      <w:pPr>
        <w:widowControl w:val="0"/>
        <w:autoSpaceDE w:val="0"/>
        <w:autoSpaceDN w:val="0"/>
        <w:adjustRightInd w:val="0"/>
        <w:spacing w:line="360" w:lineRule="auto"/>
        <w:rPr>
          <w:rFonts w:cs="Arial"/>
          <w:sz w:val="20"/>
          <w:szCs w:val="20"/>
        </w:rPr>
      </w:pPr>
      <w:r w:rsidRPr="002E7D1D">
        <w:rPr>
          <w:rFonts w:cs="Arial"/>
          <w:sz w:val="20"/>
          <w:szCs w:val="20"/>
        </w:rPr>
        <w:t>Per l’Italia lo studio epidemiologico di Trifirò et al. (</w:t>
      </w:r>
      <w:r w:rsidR="00231A40">
        <w:rPr>
          <w:rFonts w:cs="Arial"/>
          <w:color w:val="0000FF"/>
          <w:sz w:val="20"/>
          <w:szCs w:val="20"/>
        </w:rPr>
        <w:t>Trifirò, 2012 (20)</w:t>
      </w:r>
      <w:r w:rsidRPr="002E7D1D">
        <w:rPr>
          <w:rFonts w:cs="Arial"/>
          <w:sz w:val="20"/>
          <w:szCs w:val="20"/>
        </w:rPr>
        <w:t>) ha evidenziato, nel confronto tra pazienti affetti da gotta e un gruppo di controllo, una maggiore prevalenza di patologie gravi, tra cui ipertensione (64%), dislipidemia (25.3%), diabete di tipo 2 (17.1%), nefrolitiasi (7,3%) e obesità (7.2%). Per alcune di queste patologie (ipertensione, insufficienza renale, scompenso cardiaco e colica renale) è stato inoltre evidenziato un rischio di incidenza superiore al doppio rispetto al gruppo di controllo</w:t>
      </w:r>
      <w:r w:rsidR="00E13875">
        <w:rPr>
          <w:rFonts w:cs="Arial"/>
          <w:sz w:val="20"/>
          <w:szCs w:val="20"/>
        </w:rPr>
        <w:t xml:space="preserve"> </w:t>
      </w:r>
      <w:r w:rsidR="00F619CE">
        <w:rPr>
          <w:rFonts w:cs="Arial"/>
          <w:sz w:val="20"/>
          <w:szCs w:val="20"/>
        </w:rPr>
        <w:t>(</w:t>
      </w:r>
      <w:hyperlink w:anchor="Tabella7" w:history="1">
        <w:r w:rsidR="00F619CE" w:rsidRPr="00323FEC">
          <w:rPr>
            <w:rStyle w:val="Hyperlink"/>
            <w:rFonts w:cs="Arial"/>
            <w:sz w:val="20"/>
            <w:szCs w:val="20"/>
          </w:rPr>
          <w:t xml:space="preserve">Tabella </w:t>
        </w:r>
        <w:r w:rsidR="00444C43" w:rsidRPr="00323FEC">
          <w:rPr>
            <w:rStyle w:val="Hyperlink"/>
            <w:rFonts w:cs="Arial"/>
            <w:sz w:val="20"/>
            <w:szCs w:val="20"/>
          </w:rPr>
          <w:t>7</w:t>
        </w:r>
      </w:hyperlink>
      <w:r w:rsidR="000808B5" w:rsidRPr="000808B5">
        <w:rPr>
          <w:rFonts w:cs="Arial"/>
          <w:sz w:val="20"/>
          <w:szCs w:val="20"/>
        </w:rPr>
        <w:t>)</w:t>
      </w:r>
      <w:r w:rsidR="00E13875">
        <w:rPr>
          <w:rFonts w:cs="Arial"/>
          <w:sz w:val="20"/>
          <w:szCs w:val="20"/>
        </w:rPr>
        <w:t>.</w:t>
      </w:r>
      <w:r w:rsidR="000808B5" w:rsidRPr="000808B5">
        <w:rPr>
          <w:rFonts w:cs="Arial"/>
          <w:sz w:val="20"/>
          <w:szCs w:val="20"/>
        </w:rPr>
        <w:t xml:space="preserve"> </w:t>
      </w:r>
      <w:r w:rsidR="001D714F" w:rsidRPr="001D714F">
        <w:rPr>
          <w:rFonts w:cs="Arial"/>
          <w:sz w:val="20"/>
          <w:szCs w:val="20"/>
        </w:rPr>
        <w:t xml:space="preserve">Il dato di prevalenza evidenziato dallo studio Trifirò è stato confermato anche dal recente studio svolto nel </w:t>
      </w:r>
      <w:r w:rsidR="001D714F" w:rsidRPr="001D714F">
        <w:rPr>
          <w:rFonts w:cs="Arial"/>
          <w:iCs/>
          <w:sz w:val="20"/>
          <w:szCs w:val="20"/>
        </w:rPr>
        <w:t>2016 da IMS per conto di Grünenthal sul database LPD</w:t>
      </w:r>
      <w:r w:rsidR="001D714F" w:rsidRPr="001D714F">
        <w:rPr>
          <w:rFonts w:cs="Arial"/>
          <w:sz w:val="20"/>
          <w:szCs w:val="20"/>
        </w:rPr>
        <w:t xml:space="preserve"> (</w:t>
      </w:r>
      <w:r w:rsidR="00563FA4">
        <w:rPr>
          <w:rFonts w:cs="Arial"/>
          <w:color w:val="0000FF"/>
          <w:sz w:val="20"/>
          <w:szCs w:val="20"/>
        </w:rPr>
        <w:t>IMS-Health LPD longitudinal Patient Database, 2016 (41)</w:t>
      </w:r>
      <w:r w:rsidR="001D714F" w:rsidRPr="001D714F">
        <w:rPr>
          <w:rFonts w:cs="Arial"/>
          <w:sz w:val="20"/>
          <w:szCs w:val="20"/>
        </w:rPr>
        <w:t>).</w:t>
      </w:r>
    </w:p>
    <w:p w14:paraId="268D136C" w14:textId="1A3500EA" w:rsidR="00087BDD" w:rsidRDefault="00087BDD">
      <w:pPr>
        <w:rPr>
          <w:rFonts w:cs="Arial"/>
          <w:sz w:val="20"/>
          <w:szCs w:val="20"/>
        </w:rPr>
      </w:pPr>
    </w:p>
    <w:p w14:paraId="05B0F201" w14:textId="6D8B4144" w:rsidR="000808B5" w:rsidRPr="00F619CE" w:rsidRDefault="00444C43" w:rsidP="00444C43">
      <w:pPr>
        <w:pStyle w:val="Caption"/>
        <w:rPr>
          <w:rFonts w:asciiTheme="minorHAnsi" w:hAnsiTheme="minorHAnsi" w:cstheme="minorHAnsi"/>
          <w:b w:val="0"/>
          <w:lang w:val="it-IT"/>
        </w:rPr>
      </w:pPr>
      <w:bookmarkStart w:id="51" w:name="Tabella7"/>
      <w:bookmarkStart w:id="52" w:name="_Toc473150692"/>
      <w:bookmarkEnd w:id="51"/>
      <w:r w:rsidRPr="00444C43">
        <w:rPr>
          <w:rFonts w:asciiTheme="minorHAnsi" w:hAnsiTheme="minorHAnsi" w:cstheme="minorHAnsi"/>
          <w:lang w:val="it-IT"/>
        </w:rPr>
        <w:t xml:space="preserve">Tabella </w:t>
      </w:r>
      <w:r w:rsidRPr="00444C43">
        <w:rPr>
          <w:rFonts w:asciiTheme="minorHAnsi" w:hAnsiTheme="minorHAnsi" w:cstheme="minorHAnsi"/>
        </w:rPr>
        <w:fldChar w:fldCharType="begin"/>
      </w:r>
      <w:r w:rsidRPr="00444C43">
        <w:rPr>
          <w:rFonts w:asciiTheme="minorHAnsi" w:hAnsiTheme="minorHAnsi" w:cstheme="minorHAnsi"/>
          <w:lang w:val="it-IT"/>
        </w:rPr>
        <w:instrText xml:space="preserve"> SEQ Tabella \* ARABIC </w:instrText>
      </w:r>
      <w:r w:rsidRPr="00444C43">
        <w:rPr>
          <w:rFonts w:asciiTheme="minorHAnsi" w:hAnsiTheme="minorHAnsi" w:cstheme="minorHAnsi"/>
        </w:rPr>
        <w:fldChar w:fldCharType="separate"/>
      </w:r>
      <w:r w:rsidR="00A1679C">
        <w:rPr>
          <w:rFonts w:asciiTheme="minorHAnsi" w:hAnsiTheme="minorHAnsi" w:cstheme="minorHAnsi"/>
          <w:noProof/>
          <w:lang w:val="it-IT"/>
        </w:rPr>
        <w:t>7</w:t>
      </w:r>
      <w:r w:rsidRPr="00444C43">
        <w:rPr>
          <w:rFonts w:asciiTheme="minorHAnsi" w:hAnsiTheme="minorHAnsi" w:cstheme="minorHAnsi"/>
        </w:rPr>
        <w:fldChar w:fldCharType="end"/>
      </w:r>
      <w:r w:rsidR="00F619CE" w:rsidRPr="00F619CE">
        <w:rPr>
          <w:rFonts w:asciiTheme="minorHAnsi" w:hAnsiTheme="minorHAnsi" w:cstheme="minorHAnsi"/>
          <w:lang w:val="it-IT"/>
        </w:rPr>
        <w:t xml:space="preserve"> - </w:t>
      </w:r>
      <w:r w:rsidR="000808B5" w:rsidRPr="00F619CE">
        <w:rPr>
          <w:rFonts w:asciiTheme="minorHAnsi" w:hAnsiTheme="minorHAnsi" w:cstheme="minorHAnsi"/>
          <w:b w:val="0"/>
          <w:lang w:val="it-IT"/>
        </w:rPr>
        <w:t>Caratteristiche dei pazienti con nuova diagnosi di gotta e controlli</w:t>
      </w:r>
      <w:r w:rsidR="000808B5" w:rsidRPr="00F619CE">
        <w:rPr>
          <w:rFonts w:asciiTheme="minorHAnsi" w:hAnsiTheme="minorHAnsi" w:cstheme="minorHAnsi"/>
          <w:lang w:val="it-IT"/>
        </w:rPr>
        <w:t xml:space="preserve"> </w:t>
      </w:r>
      <w:r w:rsidR="00534AEB" w:rsidRPr="00F619CE">
        <w:rPr>
          <w:rFonts w:asciiTheme="minorHAnsi" w:hAnsiTheme="minorHAnsi" w:cstheme="minorHAnsi"/>
          <w:lang w:val="it-IT"/>
        </w:rPr>
        <w:t>(</w:t>
      </w:r>
      <w:r w:rsidR="00534AEB" w:rsidRPr="00F619CE">
        <w:rPr>
          <w:rFonts w:asciiTheme="minorHAnsi" w:hAnsiTheme="minorHAnsi" w:cstheme="minorHAnsi"/>
          <w:color w:val="0000FF"/>
          <w:lang w:val="it-IT"/>
        </w:rPr>
        <w:t>Trifirò, 20</w:t>
      </w:r>
      <w:r w:rsidR="006E3998">
        <w:rPr>
          <w:rFonts w:asciiTheme="minorHAnsi" w:hAnsiTheme="minorHAnsi" w:cstheme="minorHAnsi"/>
          <w:color w:val="0000FF"/>
          <w:lang w:val="it-IT"/>
        </w:rPr>
        <w:t>12</w:t>
      </w:r>
      <w:r w:rsidR="00534AEB" w:rsidRPr="00F619CE">
        <w:rPr>
          <w:rFonts w:asciiTheme="minorHAnsi" w:hAnsiTheme="minorHAnsi" w:cstheme="minorHAnsi"/>
          <w:lang w:val="it-IT"/>
        </w:rPr>
        <w:t>)</w:t>
      </w:r>
      <w:bookmarkEnd w:id="52"/>
    </w:p>
    <w:p w14:paraId="7040BAB2" w14:textId="4967B4B4" w:rsidR="000808B5" w:rsidRPr="000808B5" w:rsidRDefault="000808B5" w:rsidP="000808B5">
      <w:pPr>
        <w:widowControl w:val="0"/>
        <w:autoSpaceDE w:val="0"/>
        <w:autoSpaceDN w:val="0"/>
        <w:adjustRightInd w:val="0"/>
        <w:spacing w:line="360" w:lineRule="auto"/>
        <w:jc w:val="both"/>
        <w:rPr>
          <w:rFonts w:cs="Arial"/>
          <w:b/>
          <w:sz w:val="20"/>
          <w:szCs w:val="20"/>
        </w:rPr>
      </w:pPr>
      <w:r w:rsidRPr="000808B5">
        <w:rPr>
          <w:rFonts w:cs="Arial"/>
          <w:b/>
          <w:noProof/>
          <w:sz w:val="20"/>
          <w:szCs w:val="20"/>
          <w:lang w:val="en-GB" w:eastAsia="en-GB"/>
        </w:rPr>
        <w:drawing>
          <wp:inline distT="0" distB="0" distL="0" distR="0" wp14:anchorId="10A7E699" wp14:editId="43EBD56E">
            <wp:extent cx="4973955" cy="3193415"/>
            <wp:effectExtent l="0" t="0" r="0" b="6985"/>
            <wp:docPr id="302" name="Immagin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73955" cy="3193415"/>
                    </a:xfrm>
                    <a:prstGeom prst="rect">
                      <a:avLst/>
                    </a:prstGeom>
                    <a:noFill/>
                    <a:ln>
                      <a:noFill/>
                    </a:ln>
                  </pic:spPr>
                </pic:pic>
              </a:graphicData>
            </a:graphic>
          </wp:inline>
        </w:drawing>
      </w:r>
      <w:r w:rsidRPr="000808B5">
        <w:rPr>
          <w:rFonts w:cs="Arial"/>
          <w:b/>
          <w:noProof/>
          <w:sz w:val="20"/>
          <w:szCs w:val="20"/>
          <w:lang w:val="en-GB" w:eastAsia="en-GB"/>
        </w:rPr>
        <w:drawing>
          <wp:inline distT="0" distB="0" distL="0" distR="0" wp14:anchorId="1446367B" wp14:editId="150C804B">
            <wp:extent cx="5146675" cy="526415"/>
            <wp:effectExtent l="0" t="0" r="0" b="6985"/>
            <wp:docPr id="294" name="Immagin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46675" cy="526415"/>
                    </a:xfrm>
                    <a:prstGeom prst="rect">
                      <a:avLst/>
                    </a:prstGeom>
                    <a:noFill/>
                    <a:ln>
                      <a:noFill/>
                    </a:ln>
                  </pic:spPr>
                </pic:pic>
              </a:graphicData>
            </a:graphic>
          </wp:inline>
        </w:drawing>
      </w:r>
    </w:p>
    <w:p w14:paraId="7E47308D" w14:textId="77777777" w:rsidR="000808B5" w:rsidRPr="000808B5" w:rsidRDefault="000808B5" w:rsidP="009F1699">
      <w:pPr>
        <w:widowControl w:val="0"/>
        <w:autoSpaceDE w:val="0"/>
        <w:autoSpaceDN w:val="0"/>
        <w:adjustRightInd w:val="0"/>
        <w:spacing w:line="360" w:lineRule="auto"/>
        <w:rPr>
          <w:rFonts w:cs="Arial"/>
          <w:b/>
          <w:sz w:val="20"/>
          <w:szCs w:val="20"/>
        </w:rPr>
      </w:pPr>
    </w:p>
    <w:p w14:paraId="0C47CE24" w14:textId="3062C113" w:rsidR="000808B5" w:rsidRPr="000808B5" w:rsidRDefault="000F272C" w:rsidP="009F1699">
      <w:pPr>
        <w:widowControl w:val="0"/>
        <w:autoSpaceDE w:val="0"/>
        <w:autoSpaceDN w:val="0"/>
        <w:adjustRightInd w:val="0"/>
        <w:spacing w:line="360" w:lineRule="auto"/>
        <w:rPr>
          <w:rFonts w:cs="Arial"/>
          <w:sz w:val="20"/>
          <w:szCs w:val="20"/>
        </w:rPr>
      </w:pPr>
      <w:r w:rsidRPr="0049606F">
        <w:rPr>
          <w:rFonts w:cs="Arial"/>
          <w:b/>
          <w:sz w:val="20"/>
          <w:szCs w:val="20"/>
        </w:rPr>
        <w:t>Numerosi studi mostrano che all’iperuricemia è associata ad un aumento del rischio di mortalità per qualsiasi causa ed in particolare, mortalità per patologie cardiovascolari</w:t>
      </w:r>
      <w:r w:rsidR="0049606F" w:rsidRPr="0049606F">
        <w:rPr>
          <w:rFonts w:cs="Arial"/>
          <w:sz w:val="20"/>
          <w:szCs w:val="20"/>
        </w:rPr>
        <w:t xml:space="preserve"> (</w:t>
      </w:r>
      <w:r w:rsidR="00A25A75">
        <w:rPr>
          <w:rFonts w:cs="Arial"/>
          <w:color w:val="0000FF"/>
          <w:sz w:val="20"/>
          <w:szCs w:val="20"/>
        </w:rPr>
        <w:t>Perez-Ruiz</w:t>
      </w:r>
      <w:r w:rsidR="00A25A75" w:rsidRPr="0049606F">
        <w:rPr>
          <w:rFonts w:cs="Arial"/>
          <w:color w:val="0000FF"/>
          <w:sz w:val="20"/>
          <w:szCs w:val="20"/>
        </w:rPr>
        <w:t>, 2014 (</w:t>
      </w:r>
      <w:r w:rsidR="00A25A75">
        <w:rPr>
          <w:rFonts w:cs="Arial"/>
          <w:color w:val="0000FF"/>
          <w:sz w:val="20"/>
          <w:szCs w:val="20"/>
        </w:rPr>
        <w:t>9</w:t>
      </w:r>
      <w:r w:rsidR="00A25A75" w:rsidRPr="0049606F">
        <w:rPr>
          <w:rFonts w:cs="Arial"/>
          <w:color w:val="0000FF"/>
          <w:sz w:val="20"/>
          <w:szCs w:val="20"/>
        </w:rPr>
        <w:t xml:space="preserve">); </w:t>
      </w:r>
      <w:r w:rsidR="0049606F" w:rsidRPr="0049606F">
        <w:rPr>
          <w:rFonts w:cs="Arial"/>
          <w:color w:val="0000FF"/>
          <w:sz w:val="20"/>
          <w:szCs w:val="20"/>
        </w:rPr>
        <w:t>Choi, 2007 (21</w:t>
      </w:r>
      <w:r w:rsidR="003441F8">
        <w:rPr>
          <w:rFonts w:cs="Arial"/>
          <w:color w:val="0000FF"/>
          <w:sz w:val="20"/>
          <w:szCs w:val="20"/>
        </w:rPr>
        <w:t>)</w:t>
      </w:r>
      <w:r w:rsidR="0049606F" w:rsidRPr="0049606F">
        <w:rPr>
          <w:rFonts w:cs="Arial"/>
          <w:color w:val="0000FF"/>
          <w:sz w:val="20"/>
          <w:szCs w:val="20"/>
        </w:rPr>
        <w:t xml:space="preserve">; </w:t>
      </w:r>
      <w:r w:rsidR="00231A40">
        <w:rPr>
          <w:rFonts w:cs="Arial"/>
          <w:color w:val="0000FF"/>
          <w:sz w:val="20"/>
          <w:szCs w:val="20"/>
        </w:rPr>
        <w:t>Kuo, 2011 (22)</w:t>
      </w:r>
      <w:r w:rsidR="0049606F" w:rsidRPr="0049606F">
        <w:rPr>
          <w:rFonts w:cs="Arial"/>
          <w:color w:val="0000FF"/>
          <w:sz w:val="20"/>
          <w:szCs w:val="20"/>
        </w:rPr>
        <w:t xml:space="preserve">; </w:t>
      </w:r>
      <w:r w:rsidR="00231A40">
        <w:rPr>
          <w:rFonts w:cs="Arial"/>
          <w:color w:val="0000FF"/>
          <w:sz w:val="20"/>
          <w:szCs w:val="20"/>
        </w:rPr>
        <w:t>Stack, 2013 (23)</w:t>
      </w:r>
      <w:r w:rsidR="0049606F" w:rsidRPr="0049606F">
        <w:rPr>
          <w:rFonts w:cs="Arial"/>
          <w:color w:val="0000FF"/>
          <w:sz w:val="20"/>
          <w:szCs w:val="20"/>
        </w:rPr>
        <w:t xml:space="preserve">; </w:t>
      </w:r>
      <w:r w:rsidR="0083674F">
        <w:rPr>
          <w:rFonts w:cs="Arial"/>
          <w:color w:val="0000FF"/>
          <w:sz w:val="20"/>
          <w:szCs w:val="20"/>
        </w:rPr>
        <w:t>Ioachimescu, 2008 (24)</w:t>
      </w:r>
      <w:r w:rsidR="0049606F" w:rsidRPr="0049606F">
        <w:rPr>
          <w:rFonts w:cs="Arial"/>
          <w:color w:val="0000FF"/>
          <w:sz w:val="20"/>
          <w:szCs w:val="20"/>
        </w:rPr>
        <w:t xml:space="preserve">; </w:t>
      </w:r>
      <w:r w:rsidR="0083674F">
        <w:rPr>
          <w:rFonts w:cs="Arial"/>
          <w:color w:val="0000FF"/>
          <w:sz w:val="20"/>
          <w:szCs w:val="20"/>
        </w:rPr>
        <w:t>Kleber, 2015 (25)</w:t>
      </w:r>
      <w:r w:rsidR="0049606F" w:rsidRPr="0049606F">
        <w:rPr>
          <w:rFonts w:cs="Arial"/>
          <w:color w:val="0000FF"/>
          <w:sz w:val="20"/>
          <w:szCs w:val="20"/>
        </w:rPr>
        <w:t xml:space="preserve">; </w:t>
      </w:r>
      <w:r w:rsidR="0083674F">
        <w:rPr>
          <w:rFonts w:cs="Arial"/>
          <w:color w:val="0000FF"/>
          <w:sz w:val="20"/>
          <w:szCs w:val="20"/>
        </w:rPr>
        <w:t>Niskanen, 2004 (26)</w:t>
      </w:r>
      <w:r w:rsidR="00EA36FC">
        <w:rPr>
          <w:rFonts w:cs="Arial"/>
          <w:color w:val="0000FF"/>
          <w:sz w:val="20"/>
          <w:szCs w:val="20"/>
        </w:rPr>
        <w:t>)</w:t>
      </w:r>
      <w:r w:rsidRPr="0049606F">
        <w:rPr>
          <w:rFonts w:cs="Arial"/>
          <w:sz w:val="20"/>
          <w:szCs w:val="20"/>
        </w:rPr>
        <w:t xml:space="preserve"> come anche ad un rischio maggiore di comorbidità cardiovascolari e renali, associate pure ad un incrementata mortalità</w:t>
      </w:r>
      <w:r w:rsidR="0049606F">
        <w:rPr>
          <w:rFonts w:cs="Arial"/>
          <w:sz w:val="20"/>
          <w:szCs w:val="20"/>
        </w:rPr>
        <w:t xml:space="preserve"> (</w:t>
      </w:r>
      <w:r w:rsidR="009752F0">
        <w:rPr>
          <w:rFonts w:cs="Arial"/>
          <w:color w:val="0000FF"/>
          <w:sz w:val="20"/>
          <w:szCs w:val="20"/>
        </w:rPr>
        <w:t>Perez-Ruiz</w:t>
      </w:r>
      <w:r w:rsidR="0049606F" w:rsidRPr="0049606F">
        <w:rPr>
          <w:rFonts w:cs="Arial"/>
          <w:color w:val="0000FF"/>
          <w:sz w:val="20"/>
          <w:szCs w:val="20"/>
        </w:rPr>
        <w:t>, 2014 (</w:t>
      </w:r>
      <w:r w:rsidR="003441F8">
        <w:rPr>
          <w:rFonts w:cs="Arial"/>
          <w:color w:val="0000FF"/>
          <w:sz w:val="20"/>
          <w:szCs w:val="20"/>
        </w:rPr>
        <w:t>9</w:t>
      </w:r>
      <w:r w:rsidR="0049606F" w:rsidRPr="0049606F">
        <w:rPr>
          <w:rFonts w:cs="Arial"/>
          <w:color w:val="0000FF"/>
          <w:sz w:val="20"/>
          <w:szCs w:val="20"/>
        </w:rPr>
        <w:t>)</w:t>
      </w:r>
      <w:r w:rsidR="0049606F">
        <w:rPr>
          <w:rFonts w:cs="Arial"/>
          <w:sz w:val="20"/>
          <w:szCs w:val="20"/>
        </w:rPr>
        <w:t>)</w:t>
      </w:r>
      <w:r w:rsidRPr="004E2495">
        <w:rPr>
          <w:rFonts w:cs="Arial"/>
          <w:sz w:val="20"/>
          <w:szCs w:val="20"/>
        </w:rPr>
        <w:t xml:space="preserve">. </w:t>
      </w:r>
      <w:r w:rsidRPr="0049606F">
        <w:rPr>
          <w:rFonts w:cs="Arial"/>
          <w:sz w:val="20"/>
          <w:szCs w:val="20"/>
        </w:rPr>
        <w:t xml:space="preserve">Ad esempio, Stack ha analizzato la relazione </w:t>
      </w:r>
      <w:r w:rsidRPr="004E2495">
        <w:rPr>
          <w:rFonts w:cs="Arial"/>
          <w:sz w:val="20"/>
          <w:szCs w:val="20"/>
        </w:rPr>
        <w:t>esistente nella popolazione americana tra gotta e acido urico con la mortalità</w:t>
      </w:r>
      <w:r w:rsidR="0049606F" w:rsidRPr="004E2495">
        <w:rPr>
          <w:rFonts w:cs="Arial"/>
          <w:sz w:val="20"/>
          <w:szCs w:val="20"/>
        </w:rPr>
        <w:t xml:space="preserve"> (15.</w:t>
      </w:r>
      <w:r w:rsidR="0049606F" w:rsidRPr="0049606F">
        <w:rPr>
          <w:rFonts w:cs="Arial"/>
          <w:sz w:val="20"/>
          <w:szCs w:val="20"/>
        </w:rPr>
        <w:t>773 partecipanti), collegando le informazioni disponibili al basale raccolte negli anni 1988-1994 con i dati di mortalità fino al 2006. I risultati dimostrano che la g</w:t>
      </w:r>
      <w:r w:rsidR="004E2495">
        <w:rPr>
          <w:rFonts w:cs="Arial"/>
          <w:sz w:val="20"/>
          <w:szCs w:val="20"/>
        </w:rPr>
        <w:t>otta</w:t>
      </w:r>
      <w:r w:rsidR="0049606F" w:rsidRPr="0049606F">
        <w:rPr>
          <w:rFonts w:cs="Arial"/>
          <w:sz w:val="20"/>
          <w:szCs w:val="20"/>
        </w:rPr>
        <w:t xml:space="preserve"> e i livelli di acido urico sono indipendentemente </w:t>
      </w:r>
      <w:r w:rsidR="0049606F" w:rsidRPr="004E2495">
        <w:rPr>
          <w:rFonts w:cs="Arial"/>
          <w:sz w:val="20"/>
          <w:szCs w:val="20"/>
        </w:rPr>
        <w:t xml:space="preserve">associati alla mortalità </w:t>
      </w:r>
      <w:r w:rsidR="0049606F" w:rsidRPr="0049606F">
        <w:rPr>
          <w:rFonts w:cs="Arial"/>
          <w:sz w:val="20"/>
          <w:szCs w:val="20"/>
        </w:rPr>
        <w:t xml:space="preserve">per qualsiasi causa e </w:t>
      </w:r>
      <w:r w:rsidR="004E2495">
        <w:rPr>
          <w:rFonts w:cs="Arial"/>
          <w:sz w:val="20"/>
          <w:szCs w:val="20"/>
        </w:rPr>
        <w:t xml:space="preserve">mortalità </w:t>
      </w:r>
      <w:r w:rsidR="0049606F" w:rsidRPr="004E2495">
        <w:rPr>
          <w:rFonts w:cs="Arial"/>
          <w:sz w:val="20"/>
          <w:szCs w:val="20"/>
        </w:rPr>
        <w:t>cardiovascolare e che questi rischi aum</w:t>
      </w:r>
      <w:r w:rsidR="0049606F" w:rsidRPr="0049606F">
        <w:rPr>
          <w:rFonts w:cs="Arial"/>
          <w:sz w:val="20"/>
          <w:szCs w:val="20"/>
        </w:rPr>
        <w:t>e</w:t>
      </w:r>
      <w:r w:rsidR="0049606F" w:rsidRPr="004E2495">
        <w:rPr>
          <w:rFonts w:cs="Arial"/>
          <w:sz w:val="20"/>
          <w:szCs w:val="20"/>
        </w:rPr>
        <w:t>ntano all’aumentare dei livelli di acido urico</w:t>
      </w:r>
      <w:r w:rsidR="004E2495">
        <w:rPr>
          <w:rFonts w:cs="Arial"/>
          <w:sz w:val="20"/>
          <w:szCs w:val="20"/>
        </w:rPr>
        <w:t xml:space="preserve"> (</w:t>
      </w:r>
      <w:r w:rsidR="00231A40">
        <w:rPr>
          <w:rFonts w:cs="Arial"/>
          <w:color w:val="0000FF"/>
          <w:sz w:val="20"/>
          <w:szCs w:val="20"/>
        </w:rPr>
        <w:t>Stack, 2013 (23)</w:t>
      </w:r>
      <w:r w:rsidR="004E2495">
        <w:rPr>
          <w:rFonts w:cs="Arial"/>
          <w:sz w:val="20"/>
          <w:szCs w:val="20"/>
        </w:rPr>
        <w:t>)</w:t>
      </w:r>
      <w:r w:rsidRPr="0049606F">
        <w:rPr>
          <w:rFonts w:cs="Arial"/>
          <w:sz w:val="20"/>
          <w:szCs w:val="20"/>
        </w:rPr>
        <w:t xml:space="preserve">. </w:t>
      </w:r>
      <w:r w:rsidR="0049606F" w:rsidRPr="004E2495">
        <w:rPr>
          <w:rFonts w:cs="Arial"/>
          <w:sz w:val="20"/>
          <w:szCs w:val="20"/>
        </w:rPr>
        <w:t>Analogamente</w:t>
      </w:r>
      <w:r w:rsidR="004E2495">
        <w:rPr>
          <w:rFonts w:cs="Arial"/>
          <w:sz w:val="20"/>
          <w:szCs w:val="20"/>
        </w:rPr>
        <w:t xml:space="preserve"> </w:t>
      </w:r>
      <w:r w:rsidR="0049606F">
        <w:rPr>
          <w:rFonts w:cs="Arial"/>
          <w:sz w:val="20"/>
          <w:szCs w:val="20"/>
        </w:rPr>
        <w:t>u</w:t>
      </w:r>
      <w:r w:rsidR="000808B5" w:rsidRPr="000808B5">
        <w:rPr>
          <w:rFonts w:cs="Arial"/>
          <w:sz w:val="20"/>
          <w:szCs w:val="20"/>
        </w:rPr>
        <w:t xml:space="preserve">no studio su 51.297 uomini seguiti per 12 anni ha mostrato un </w:t>
      </w:r>
      <w:r w:rsidR="000808B5" w:rsidRPr="000808B5">
        <w:rPr>
          <w:rFonts w:cs="Arial"/>
          <w:b/>
          <w:sz w:val="20"/>
          <w:szCs w:val="20"/>
        </w:rPr>
        <w:t>aumento della mortalità per qualsiasi causa, della mortalità cardiovascolare e coronaropatia fatale</w:t>
      </w:r>
      <w:r w:rsidR="000808B5" w:rsidRPr="000808B5">
        <w:rPr>
          <w:rFonts w:cs="Arial"/>
          <w:sz w:val="20"/>
          <w:szCs w:val="20"/>
        </w:rPr>
        <w:t xml:space="preserve"> nei soggetti affetti da gotta (senza storia CV) rispetto ad una popolazione di non gottosi (</w:t>
      </w:r>
      <w:hyperlink w:anchor="Figura7" w:history="1">
        <w:r w:rsidR="000808B5" w:rsidRPr="00323FEC">
          <w:rPr>
            <w:rStyle w:val="Hyperlink"/>
            <w:rFonts w:cs="Arial"/>
            <w:sz w:val="20"/>
            <w:szCs w:val="20"/>
          </w:rPr>
          <w:t xml:space="preserve">Figura </w:t>
        </w:r>
        <w:r w:rsidR="001C6230" w:rsidRPr="00323FEC">
          <w:rPr>
            <w:rStyle w:val="Hyperlink"/>
            <w:rFonts w:cs="Arial"/>
            <w:sz w:val="20"/>
            <w:szCs w:val="20"/>
          </w:rPr>
          <w:t>7</w:t>
        </w:r>
      </w:hyperlink>
      <w:r w:rsidR="000808B5" w:rsidRPr="000808B5">
        <w:rPr>
          <w:rFonts w:cs="Arial"/>
          <w:sz w:val="20"/>
          <w:szCs w:val="20"/>
        </w:rPr>
        <w:t>)</w:t>
      </w:r>
      <w:r w:rsidR="00534AEB">
        <w:rPr>
          <w:rFonts w:cs="Arial"/>
          <w:sz w:val="20"/>
          <w:szCs w:val="20"/>
        </w:rPr>
        <w:t xml:space="preserve"> (</w:t>
      </w:r>
      <w:r w:rsidR="00CF77E0">
        <w:rPr>
          <w:rFonts w:cs="Arial"/>
          <w:color w:val="0000FF"/>
          <w:sz w:val="20"/>
          <w:szCs w:val="20"/>
        </w:rPr>
        <w:t>Choi, 2007 (21)</w:t>
      </w:r>
      <w:r w:rsidR="00534AEB">
        <w:rPr>
          <w:rFonts w:cs="Arial"/>
          <w:sz w:val="20"/>
          <w:szCs w:val="20"/>
        </w:rPr>
        <w:t>).</w:t>
      </w:r>
    </w:p>
    <w:p w14:paraId="30F1FC1B" w14:textId="4E114275" w:rsidR="004E2495" w:rsidRPr="00E674F8" w:rsidRDefault="004E2495" w:rsidP="009F1699">
      <w:pPr>
        <w:widowControl w:val="0"/>
        <w:autoSpaceDE w:val="0"/>
        <w:autoSpaceDN w:val="0"/>
        <w:adjustRightInd w:val="0"/>
        <w:spacing w:line="360" w:lineRule="auto"/>
        <w:rPr>
          <w:rFonts w:cs="Arial"/>
          <w:sz w:val="20"/>
          <w:szCs w:val="20"/>
        </w:rPr>
      </w:pPr>
      <w:r w:rsidRPr="004E2495">
        <w:rPr>
          <w:rFonts w:cs="Arial"/>
          <w:sz w:val="20"/>
          <w:szCs w:val="20"/>
        </w:rPr>
        <w:t>Inoltre due revisioni sistematiche della letteratura con relative meta</w:t>
      </w:r>
      <w:r>
        <w:rPr>
          <w:rFonts w:cs="Arial"/>
          <w:sz w:val="20"/>
          <w:szCs w:val="20"/>
        </w:rPr>
        <w:t>-</w:t>
      </w:r>
      <w:r w:rsidRPr="004E2495">
        <w:rPr>
          <w:rFonts w:cs="Arial"/>
          <w:sz w:val="20"/>
          <w:szCs w:val="20"/>
        </w:rPr>
        <w:t xml:space="preserve">analisi </w:t>
      </w:r>
      <w:r>
        <w:rPr>
          <w:rFonts w:cs="Arial"/>
          <w:sz w:val="20"/>
          <w:szCs w:val="20"/>
        </w:rPr>
        <w:t xml:space="preserve">eseguite </w:t>
      </w:r>
      <w:r w:rsidRPr="004E2495">
        <w:rPr>
          <w:rFonts w:cs="Arial"/>
          <w:sz w:val="20"/>
          <w:szCs w:val="20"/>
        </w:rPr>
        <w:t xml:space="preserve">per determinare il rischio </w:t>
      </w:r>
      <w:r w:rsidR="00CF1A17">
        <w:rPr>
          <w:rFonts w:cs="Arial"/>
          <w:sz w:val="20"/>
          <w:szCs w:val="20"/>
        </w:rPr>
        <w:t xml:space="preserve">di </w:t>
      </w:r>
      <w:r w:rsidR="00CF1A17" w:rsidRPr="00CF1A17">
        <w:rPr>
          <w:rFonts w:cs="Arial"/>
          <w:sz w:val="20"/>
          <w:szCs w:val="20"/>
        </w:rPr>
        <w:t>patologie cardiache coronariche</w:t>
      </w:r>
      <w:r w:rsidR="00CF1A17">
        <w:rPr>
          <w:rFonts w:cs="Arial"/>
          <w:sz w:val="20"/>
          <w:szCs w:val="20"/>
        </w:rPr>
        <w:t xml:space="preserve"> (Coronary</w:t>
      </w:r>
      <w:r w:rsidRPr="004E2495">
        <w:rPr>
          <w:rFonts w:cs="Arial"/>
          <w:sz w:val="20"/>
          <w:szCs w:val="20"/>
        </w:rPr>
        <w:t xml:space="preserve"> Heart Disease</w:t>
      </w:r>
      <w:r w:rsidR="00CF1A17">
        <w:rPr>
          <w:rFonts w:cs="Arial"/>
          <w:sz w:val="20"/>
          <w:szCs w:val="20"/>
        </w:rPr>
        <w:t>, CHD</w:t>
      </w:r>
      <w:r w:rsidRPr="004E2495">
        <w:rPr>
          <w:rFonts w:cs="Arial"/>
          <w:sz w:val="20"/>
          <w:szCs w:val="20"/>
        </w:rPr>
        <w:t>) in pazienti adulti associat</w:t>
      </w:r>
      <w:r>
        <w:rPr>
          <w:rFonts w:cs="Arial"/>
          <w:sz w:val="20"/>
          <w:szCs w:val="20"/>
        </w:rPr>
        <w:t>o</w:t>
      </w:r>
      <w:r w:rsidRPr="004E2495">
        <w:rPr>
          <w:rFonts w:cs="Arial"/>
          <w:sz w:val="20"/>
          <w:szCs w:val="20"/>
        </w:rPr>
        <w:t xml:space="preserve"> ad iperuricemia </w:t>
      </w:r>
      <w:r>
        <w:rPr>
          <w:rFonts w:cs="Arial"/>
          <w:sz w:val="20"/>
          <w:szCs w:val="20"/>
        </w:rPr>
        <w:t xml:space="preserve">hanno dimostrato un aumento del rischio relativo di incidenza </w:t>
      </w:r>
      <w:r w:rsidR="00BA2AD9">
        <w:rPr>
          <w:rFonts w:cs="Arial"/>
          <w:sz w:val="20"/>
          <w:szCs w:val="20"/>
        </w:rPr>
        <w:t>di</w:t>
      </w:r>
      <w:r>
        <w:rPr>
          <w:rFonts w:cs="Arial"/>
          <w:sz w:val="20"/>
          <w:szCs w:val="20"/>
        </w:rPr>
        <w:t xml:space="preserve"> CHD e del rischio</w:t>
      </w:r>
      <w:r w:rsidR="00BA2AD9">
        <w:rPr>
          <w:rFonts w:cs="Arial"/>
          <w:sz w:val="20"/>
          <w:szCs w:val="20"/>
        </w:rPr>
        <w:t xml:space="preserve"> </w:t>
      </w:r>
      <w:r>
        <w:rPr>
          <w:rFonts w:cs="Arial"/>
          <w:sz w:val="20"/>
          <w:szCs w:val="20"/>
        </w:rPr>
        <w:t>di mortalità (</w:t>
      </w:r>
      <w:r w:rsidR="001A56FE">
        <w:rPr>
          <w:rFonts w:cs="Arial"/>
          <w:color w:val="0000FF"/>
          <w:sz w:val="20"/>
          <w:szCs w:val="20"/>
        </w:rPr>
        <w:t>Braga, 2016 (73</w:t>
      </w:r>
      <w:r w:rsidRPr="004E2495">
        <w:rPr>
          <w:rFonts w:cs="Arial"/>
          <w:color w:val="0000FF"/>
          <w:sz w:val="20"/>
          <w:szCs w:val="20"/>
        </w:rPr>
        <w:t xml:space="preserve">); </w:t>
      </w:r>
      <w:r w:rsidR="001A56FE">
        <w:rPr>
          <w:rFonts w:cs="Arial"/>
          <w:color w:val="0000FF"/>
          <w:sz w:val="20"/>
          <w:szCs w:val="20"/>
        </w:rPr>
        <w:t>Kim, 2010 (74</w:t>
      </w:r>
      <w:r w:rsidRPr="004E2495">
        <w:rPr>
          <w:rFonts w:cs="Arial"/>
          <w:color w:val="0000FF"/>
          <w:sz w:val="20"/>
          <w:szCs w:val="20"/>
        </w:rPr>
        <w:t>)</w:t>
      </w:r>
      <w:r>
        <w:rPr>
          <w:rFonts w:cs="Arial"/>
          <w:sz w:val="20"/>
          <w:szCs w:val="20"/>
        </w:rPr>
        <w:t>)</w:t>
      </w:r>
      <w:r w:rsidRPr="00F86AE8">
        <w:rPr>
          <w:rFonts w:cs="Arial"/>
          <w:sz w:val="20"/>
          <w:szCs w:val="20"/>
        </w:rPr>
        <w:t>.</w:t>
      </w:r>
      <w:r w:rsidR="00540500">
        <w:rPr>
          <w:rFonts w:cs="Arial"/>
          <w:sz w:val="20"/>
          <w:szCs w:val="20"/>
        </w:rPr>
        <w:t xml:space="preserve"> </w:t>
      </w:r>
      <w:r w:rsidR="00540500" w:rsidRPr="00540500">
        <w:rPr>
          <w:rFonts w:cs="Arial"/>
          <w:sz w:val="20"/>
          <w:szCs w:val="20"/>
        </w:rPr>
        <w:t xml:space="preserve">Altre due revisioni sistematiche con associate metanalisi hanno evdienziato in pazienti con iperuricemia e rischio di ictus che l’iperuricemia aumentava il rischio di avere un ictus </w:t>
      </w:r>
      <w:r w:rsidR="00BC5634">
        <w:rPr>
          <w:rFonts w:cs="Arial"/>
          <w:sz w:val="20"/>
          <w:szCs w:val="20"/>
        </w:rPr>
        <w:t>fatale e non</w:t>
      </w:r>
      <w:r w:rsidR="00540500" w:rsidRPr="00540500">
        <w:rPr>
          <w:rFonts w:cs="Arial"/>
          <w:sz w:val="20"/>
          <w:szCs w:val="20"/>
        </w:rPr>
        <w:t xml:space="preserve"> (</w:t>
      </w:r>
      <w:r w:rsidR="001A56FE">
        <w:rPr>
          <w:rFonts w:cs="Arial"/>
          <w:color w:val="0000FF"/>
          <w:sz w:val="20"/>
          <w:szCs w:val="20"/>
        </w:rPr>
        <w:t>Li, 2014 (75)</w:t>
      </w:r>
      <w:r w:rsidR="00540500" w:rsidRPr="00540500">
        <w:rPr>
          <w:rFonts w:cs="Arial"/>
          <w:color w:val="0000FF"/>
          <w:sz w:val="20"/>
          <w:szCs w:val="20"/>
        </w:rPr>
        <w:t xml:space="preserve">; </w:t>
      </w:r>
      <w:r w:rsidR="001A56FE">
        <w:rPr>
          <w:rFonts w:cs="Arial"/>
          <w:color w:val="0000FF"/>
          <w:sz w:val="20"/>
          <w:szCs w:val="20"/>
        </w:rPr>
        <w:t>Kim, 2009 (76</w:t>
      </w:r>
      <w:r w:rsidR="00540500" w:rsidRPr="00540500">
        <w:rPr>
          <w:rFonts w:cs="Arial"/>
          <w:color w:val="0000FF"/>
          <w:sz w:val="20"/>
          <w:szCs w:val="20"/>
        </w:rPr>
        <w:t>)</w:t>
      </w:r>
      <w:r w:rsidR="00540500" w:rsidRPr="00540500">
        <w:rPr>
          <w:rFonts w:cs="Arial"/>
          <w:sz w:val="20"/>
          <w:szCs w:val="20"/>
        </w:rPr>
        <w:t>)</w:t>
      </w:r>
      <w:r w:rsidR="00540500">
        <w:rPr>
          <w:rFonts w:cs="Arial"/>
          <w:sz w:val="20"/>
          <w:szCs w:val="20"/>
        </w:rPr>
        <w:t>.</w:t>
      </w:r>
    </w:p>
    <w:p w14:paraId="39BBEF14" w14:textId="35AFFCB5" w:rsidR="000808B5" w:rsidRDefault="00540500" w:rsidP="009F1699">
      <w:pPr>
        <w:widowControl w:val="0"/>
        <w:autoSpaceDE w:val="0"/>
        <w:autoSpaceDN w:val="0"/>
        <w:adjustRightInd w:val="0"/>
        <w:spacing w:line="360" w:lineRule="auto"/>
        <w:rPr>
          <w:rFonts w:cs="Arial"/>
          <w:sz w:val="20"/>
          <w:szCs w:val="20"/>
        </w:rPr>
      </w:pPr>
      <w:r w:rsidRPr="00540500">
        <w:rPr>
          <w:rFonts w:cs="Arial"/>
          <w:sz w:val="20"/>
          <w:szCs w:val="20"/>
        </w:rPr>
        <w:t xml:space="preserve">Altre evidenze suggeriscono che pazienti con gotta e livelli alti di sUA o tofi hanno un </w:t>
      </w:r>
      <w:r>
        <w:rPr>
          <w:rFonts w:cs="Arial"/>
          <w:sz w:val="20"/>
          <w:szCs w:val="20"/>
        </w:rPr>
        <w:t xml:space="preserve">aumento del </w:t>
      </w:r>
      <w:r w:rsidRPr="00540500">
        <w:rPr>
          <w:rFonts w:cs="Arial"/>
          <w:sz w:val="20"/>
          <w:szCs w:val="20"/>
        </w:rPr>
        <w:t xml:space="preserve">rischio </w:t>
      </w:r>
      <w:r>
        <w:rPr>
          <w:rFonts w:cs="Arial"/>
          <w:sz w:val="20"/>
          <w:szCs w:val="20"/>
        </w:rPr>
        <w:t>di mortalità:</w:t>
      </w:r>
      <w:r w:rsidR="004E2495" w:rsidRPr="00540500">
        <w:rPr>
          <w:rFonts w:cs="Arial"/>
          <w:sz w:val="20"/>
          <w:szCs w:val="20"/>
        </w:rPr>
        <w:t xml:space="preserve"> </w:t>
      </w:r>
      <w:r w:rsidRPr="00540500">
        <w:rPr>
          <w:rFonts w:cs="Arial"/>
          <w:sz w:val="20"/>
          <w:szCs w:val="20"/>
        </w:rPr>
        <w:t>u</w:t>
      </w:r>
      <w:r w:rsidR="000808B5" w:rsidRPr="000808B5">
        <w:rPr>
          <w:rFonts w:cs="Arial"/>
          <w:sz w:val="20"/>
          <w:szCs w:val="20"/>
        </w:rPr>
        <w:t>n</w:t>
      </w:r>
      <w:r>
        <w:rPr>
          <w:rFonts w:cs="Arial"/>
          <w:sz w:val="20"/>
          <w:szCs w:val="20"/>
        </w:rPr>
        <w:t>o</w:t>
      </w:r>
      <w:r w:rsidR="000808B5" w:rsidRPr="000808B5">
        <w:rPr>
          <w:rFonts w:cs="Arial"/>
          <w:sz w:val="20"/>
          <w:szCs w:val="20"/>
        </w:rPr>
        <w:t xml:space="preserve">  studio prospettico di gravità e mortalità in pazienti affetti da gotta (N=706) ha dimostrato un </w:t>
      </w:r>
      <w:r w:rsidR="002A7325">
        <w:rPr>
          <w:rFonts w:cs="Arial"/>
          <w:sz w:val="20"/>
          <w:szCs w:val="20"/>
        </w:rPr>
        <w:t>aumento</w:t>
      </w:r>
      <w:r w:rsidR="000808B5" w:rsidRPr="000808B5">
        <w:rPr>
          <w:rFonts w:cs="Arial"/>
          <w:sz w:val="20"/>
          <w:szCs w:val="20"/>
        </w:rPr>
        <w:t xml:space="preserve"> di mortalità in questi pazienti, rispetto alla popolazione generale (SMR 2.37; 95% CI 1.82-30.3). </w:t>
      </w:r>
      <w:r w:rsidR="000808B5" w:rsidRPr="000808B5">
        <w:rPr>
          <w:rFonts w:cs="Arial"/>
          <w:b/>
          <w:sz w:val="20"/>
          <w:szCs w:val="20"/>
        </w:rPr>
        <w:t xml:space="preserve">Livelli elevati di </w:t>
      </w:r>
      <w:r w:rsidR="005848A1">
        <w:rPr>
          <w:rFonts w:cs="Arial"/>
          <w:b/>
          <w:sz w:val="20"/>
          <w:szCs w:val="20"/>
        </w:rPr>
        <w:t>sUA</w:t>
      </w:r>
      <w:r w:rsidR="000808B5" w:rsidRPr="000808B5">
        <w:rPr>
          <w:rFonts w:cs="Arial"/>
          <w:b/>
          <w:sz w:val="20"/>
          <w:szCs w:val="20"/>
        </w:rPr>
        <w:t xml:space="preserve"> al</w:t>
      </w:r>
      <w:r w:rsidR="002A7325">
        <w:rPr>
          <w:rFonts w:cs="Arial"/>
          <w:b/>
          <w:sz w:val="20"/>
          <w:szCs w:val="20"/>
        </w:rPr>
        <w:t xml:space="preserve"> basale</w:t>
      </w:r>
      <w:r w:rsidR="000808B5" w:rsidRPr="000808B5">
        <w:rPr>
          <w:rFonts w:cs="Arial"/>
          <w:b/>
          <w:sz w:val="20"/>
          <w:szCs w:val="20"/>
        </w:rPr>
        <w:t xml:space="preserve"> e la presenza di tofi subcutanei sono stati identificati come variabili indipendenti associate all’aumento del rischio di mort</w:t>
      </w:r>
      <w:r w:rsidR="002A7325">
        <w:rPr>
          <w:rFonts w:cs="Arial"/>
          <w:b/>
          <w:sz w:val="20"/>
          <w:szCs w:val="20"/>
        </w:rPr>
        <w:t>alità</w:t>
      </w:r>
      <w:r w:rsidR="00534AEB">
        <w:rPr>
          <w:rFonts w:cs="Arial"/>
          <w:b/>
          <w:sz w:val="20"/>
          <w:szCs w:val="20"/>
        </w:rPr>
        <w:t xml:space="preserve"> </w:t>
      </w:r>
      <w:r w:rsidR="00534AEB">
        <w:rPr>
          <w:rFonts w:cs="Arial"/>
          <w:sz w:val="20"/>
          <w:szCs w:val="20"/>
        </w:rPr>
        <w:t>(</w:t>
      </w:r>
      <w:r w:rsidR="009752F0">
        <w:rPr>
          <w:rFonts w:cs="Arial"/>
          <w:color w:val="0000FF"/>
          <w:sz w:val="20"/>
          <w:szCs w:val="20"/>
        </w:rPr>
        <w:t>Perez-Ruiz</w:t>
      </w:r>
      <w:r w:rsidR="00534AEB" w:rsidRPr="00534AEB">
        <w:rPr>
          <w:rFonts w:cs="Arial"/>
          <w:color w:val="0000FF"/>
          <w:sz w:val="20"/>
          <w:szCs w:val="20"/>
        </w:rPr>
        <w:t>, 2014</w:t>
      </w:r>
      <w:r w:rsidR="00CF77E0">
        <w:rPr>
          <w:rFonts w:cs="Arial"/>
          <w:color w:val="0000FF"/>
          <w:sz w:val="20"/>
          <w:szCs w:val="20"/>
        </w:rPr>
        <w:t xml:space="preserve"> (</w:t>
      </w:r>
      <w:r w:rsidR="003441F8">
        <w:rPr>
          <w:rFonts w:cs="Arial"/>
          <w:color w:val="0000FF"/>
          <w:sz w:val="20"/>
          <w:szCs w:val="20"/>
        </w:rPr>
        <w:t>9</w:t>
      </w:r>
      <w:r w:rsidR="00CF77E0">
        <w:rPr>
          <w:rFonts w:cs="Arial"/>
          <w:color w:val="0000FF"/>
          <w:sz w:val="20"/>
          <w:szCs w:val="20"/>
        </w:rPr>
        <w:t>)</w:t>
      </w:r>
      <w:r w:rsidR="00534AEB">
        <w:rPr>
          <w:rFonts w:cs="Arial"/>
          <w:sz w:val="20"/>
          <w:szCs w:val="20"/>
        </w:rPr>
        <w:t>).</w:t>
      </w:r>
    </w:p>
    <w:p w14:paraId="53C41544" w14:textId="77777777" w:rsidR="002A7325" w:rsidRPr="000808B5" w:rsidRDefault="002A7325" w:rsidP="009F1699">
      <w:pPr>
        <w:widowControl w:val="0"/>
        <w:autoSpaceDE w:val="0"/>
        <w:autoSpaceDN w:val="0"/>
        <w:adjustRightInd w:val="0"/>
        <w:spacing w:line="360" w:lineRule="auto"/>
        <w:rPr>
          <w:rFonts w:cs="Arial"/>
          <w:sz w:val="20"/>
          <w:szCs w:val="20"/>
        </w:rPr>
      </w:pPr>
    </w:p>
    <w:p w14:paraId="79CFAE59" w14:textId="105151B1" w:rsidR="000808B5" w:rsidRPr="001C6230" w:rsidRDefault="001C6230" w:rsidP="001C6230">
      <w:pPr>
        <w:pStyle w:val="Caption"/>
        <w:rPr>
          <w:rFonts w:asciiTheme="minorHAnsi" w:hAnsiTheme="minorHAnsi" w:cstheme="minorHAnsi"/>
          <w:b w:val="0"/>
          <w:lang w:val="it-IT"/>
        </w:rPr>
      </w:pPr>
      <w:bookmarkStart w:id="53" w:name="Figura7"/>
      <w:bookmarkStart w:id="54" w:name="_Toc473186902"/>
      <w:bookmarkEnd w:id="53"/>
      <w:r w:rsidRPr="001C6230">
        <w:rPr>
          <w:rFonts w:asciiTheme="minorHAnsi" w:hAnsiTheme="minorHAnsi" w:cstheme="minorHAnsi"/>
          <w:lang w:val="it-IT"/>
        </w:rPr>
        <w:t xml:space="preserve">Figura </w:t>
      </w:r>
      <w:r w:rsidRPr="001C6230">
        <w:rPr>
          <w:rFonts w:asciiTheme="minorHAnsi" w:hAnsiTheme="minorHAnsi" w:cstheme="minorHAnsi"/>
        </w:rPr>
        <w:fldChar w:fldCharType="begin"/>
      </w:r>
      <w:r w:rsidRPr="001C6230">
        <w:rPr>
          <w:rFonts w:asciiTheme="minorHAnsi" w:hAnsiTheme="minorHAnsi" w:cstheme="minorHAnsi"/>
          <w:lang w:val="it-IT"/>
        </w:rPr>
        <w:instrText xml:space="preserve"> SEQ Figura \* ARABIC </w:instrText>
      </w:r>
      <w:r w:rsidRPr="001C6230">
        <w:rPr>
          <w:rFonts w:asciiTheme="minorHAnsi" w:hAnsiTheme="minorHAnsi" w:cstheme="minorHAnsi"/>
        </w:rPr>
        <w:fldChar w:fldCharType="separate"/>
      </w:r>
      <w:r w:rsidR="00A1679C">
        <w:rPr>
          <w:rFonts w:asciiTheme="minorHAnsi" w:hAnsiTheme="minorHAnsi" w:cstheme="minorHAnsi"/>
          <w:noProof/>
          <w:lang w:val="it-IT"/>
        </w:rPr>
        <w:t>7</w:t>
      </w:r>
      <w:r w:rsidRPr="001C6230">
        <w:rPr>
          <w:rFonts w:asciiTheme="minorHAnsi" w:hAnsiTheme="minorHAnsi" w:cstheme="minorHAnsi"/>
        </w:rPr>
        <w:fldChar w:fldCharType="end"/>
      </w:r>
      <w:r w:rsidRPr="001C6230">
        <w:rPr>
          <w:rFonts w:asciiTheme="minorHAnsi" w:hAnsiTheme="minorHAnsi" w:cstheme="minorHAnsi"/>
          <w:lang w:val="it-IT"/>
        </w:rPr>
        <w:t xml:space="preserve"> - </w:t>
      </w:r>
      <w:r w:rsidR="000808B5" w:rsidRPr="001C6230">
        <w:rPr>
          <w:rFonts w:asciiTheme="minorHAnsi" w:hAnsiTheme="minorHAnsi" w:cstheme="minorHAnsi"/>
          <w:b w:val="0"/>
          <w:lang w:val="it-IT"/>
        </w:rPr>
        <w:t>Analisi multivariata RR (rischio relativo) di morte in pazienti con gotta</w:t>
      </w:r>
      <w:r w:rsidR="00534AEB" w:rsidRPr="001C6230">
        <w:rPr>
          <w:rFonts w:asciiTheme="minorHAnsi" w:hAnsiTheme="minorHAnsi" w:cstheme="minorHAnsi"/>
          <w:lang w:val="it-IT"/>
        </w:rPr>
        <w:t xml:space="preserve"> (</w:t>
      </w:r>
      <w:r w:rsidR="00F65548">
        <w:rPr>
          <w:rFonts w:asciiTheme="minorHAnsi" w:hAnsiTheme="minorHAnsi" w:cstheme="minorHAnsi"/>
          <w:color w:val="0000FF"/>
          <w:lang w:val="it-IT"/>
        </w:rPr>
        <w:t>Choi, 2007</w:t>
      </w:r>
      <w:r w:rsidR="00534AEB" w:rsidRPr="001C6230">
        <w:rPr>
          <w:rFonts w:asciiTheme="minorHAnsi" w:hAnsiTheme="minorHAnsi" w:cstheme="minorHAnsi"/>
          <w:lang w:val="it-IT"/>
        </w:rPr>
        <w:t>)</w:t>
      </w:r>
      <w:bookmarkEnd w:id="54"/>
    </w:p>
    <w:p w14:paraId="2F60959A" w14:textId="7F3ACFB2" w:rsidR="000808B5" w:rsidRPr="000808B5" w:rsidRDefault="000808B5" w:rsidP="000808B5">
      <w:pPr>
        <w:widowControl w:val="0"/>
        <w:autoSpaceDE w:val="0"/>
        <w:autoSpaceDN w:val="0"/>
        <w:adjustRightInd w:val="0"/>
        <w:spacing w:line="360" w:lineRule="auto"/>
        <w:jc w:val="both"/>
        <w:rPr>
          <w:rFonts w:cs="Arial"/>
          <w:sz w:val="20"/>
          <w:szCs w:val="20"/>
        </w:rPr>
      </w:pPr>
      <w:r w:rsidRPr="000808B5">
        <w:rPr>
          <w:rFonts w:cs="Arial"/>
          <w:noProof/>
          <w:sz w:val="20"/>
          <w:szCs w:val="20"/>
          <w:lang w:val="en-GB" w:eastAsia="en-GB"/>
        </w:rPr>
        <w:drawing>
          <wp:inline distT="0" distB="0" distL="0" distR="0" wp14:anchorId="28953FDD" wp14:editId="2BB0DB75">
            <wp:extent cx="3406140" cy="2221605"/>
            <wp:effectExtent l="19050" t="19050" r="22860" b="26670"/>
            <wp:docPr id="314" name="Immagin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05451" cy="2221156"/>
                    </a:xfrm>
                    <a:prstGeom prst="rect">
                      <a:avLst/>
                    </a:prstGeom>
                    <a:noFill/>
                    <a:ln w="9525">
                      <a:solidFill>
                        <a:srgbClr val="000000"/>
                      </a:solidFill>
                      <a:miter lim="800000"/>
                      <a:headEnd/>
                      <a:tailEnd/>
                    </a:ln>
                  </pic:spPr>
                </pic:pic>
              </a:graphicData>
            </a:graphic>
          </wp:inline>
        </w:drawing>
      </w:r>
    </w:p>
    <w:p w14:paraId="0BCF588E" w14:textId="77777777" w:rsidR="00333403" w:rsidRDefault="00333403" w:rsidP="009F1699">
      <w:pPr>
        <w:widowControl w:val="0"/>
        <w:autoSpaceDE w:val="0"/>
        <w:autoSpaceDN w:val="0"/>
        <w:adjustRightInd w:val="0"/>
        <w:spacing w:line="360" w:lineRule="auto"/>
        <w:rPr>
          <w:rFonts w:cs="Arial"/>
          <w:sz w:val="20"/>
          <w:szCs w:val="20"/>
        </w:rPr>
      </w:pPr>
    </w:p>
    <w:p w14:paraId="3CAB08AF" w14:textId="2252457A" w:rsidR="009B2780" w:rsidRPr="00365CDE" w:rsidRDefault="009B2780" w:rsidP="009F1699">
      <w:pPr>
        <w:widowControl w:val="0"/>
        <w:autoSpaceDE w:val="0"/>
        <w:autoSpaceDN w:val="0"/>
        <w:adjustRightInd w:val="0"/>
        <w:spacing w:line="360" w:lineRule="auto"/>
        <w:rPr>
          <w:rFonts w:cs="Arial"/>
          <w:sz w:val="20"/>
          <w:szCs w:val="20"/>
        </w:rPr>
      </w:pPr>
      <w:r w:rsidRPr="0050662E">
        <w:rPr>
          <w:rFonts w:cs="Arial"/>
          <w:sz w:val="20"/>
          <w:szCs w:val="20"/>
        </w:rPr>
        <w:t xml:space="preserve">Il rischio di mortalità per qualsiasi causa e per patologie cardiovascolari </w:t>
      </w:r>
      <w:r>
        <w:rPr>
          <w:rFonts w:cs="Arial"/>
          <w:sz w:val="20"/>
          <w:szCs w:val="20"/>
        </w:rPr>
        <w:t xml:space="preserve">associato alla gotta </w:t>
      </w:r>
      <w:r w:rsidRPr="0050662E">
        <w:rPr>
          <w:rFonts w:cs="Arial"/>
          <w:sz w:val="20"/>
          <w:szCs w:val="20"/>
        </w:rPr>
        <w:t>è stato oggetto di una revision</w:t>
      </w:r>
      <w:r>
        <w:rPr>
          <w:rFonts w:cs="Arial"/>
          <w:sz w:val="20"/>
          <w:szCs w:val="20"/>
        </w:rPr>
        <w:t>e</w:t>
      </w:r>
      <w:r w:rsidRPr="0050662E">
        <w:rPr>
          <w:rFonts w:cs="Arial"/>
          <w:sz w:val="20"/>
          <w:szCs w:val="20"/>
        </w:rPr>
        <w:t xml:space="preserve"> sistematica della letteratura, co</w:t>
      </w:r>
      <w:r>
        <w:rPr>
          <w:rFonts w:cs="Arial"/>
          <w:sz w:val="20"/>
          <w:szCs w:val="20"/>
        </w:rPr>
        <w:t>ordinata</w:t>
      </w:r>
      <w:r w:rsidRPr="0050662E">
        <w:rPr>
          <w:rFonts w:cs="Arial"/>
          <w:sz w:val="20"/>
          <w:szCs w:val="20"/>
        </w:rPr>
        <w:t xml:space="preserve"> da Gr</w:t>
      </w:r>
      <w:r>
        <w:rPr>
          <w:rFonts w:cstheme="minorHAnsi"/>
          <w:sz w:val="20"/>
          <w:szCs w:val="20"/>
        </w:rPr>
        <w:t>ü</w:t>
      </w:r>
      <w:r>
        <w:rPr>
          <w:rFonts w:cs="Arial"/>
          <w:sz w:val="20"/>
          <w:szCs w:val="20"/>
        </w:rPr>
        <w:t xml:space="preserve">nenthal a Maggio </w:t>
      </w:r>
      <w:r w:rsidR="0050662E">
        <w:rPr>
          <w:rFonts w:cs="Arial"/>
          <w:sz w:val="20"/>
          <w:szCs w:val="20"/>
        </w:rPr>
        <w:t xml:space="preserve">2016 </w:t>
      </w:r>
      <w:r w:rsidRPr="0050662E">
        <w:rPr>
          <w:rFonts w:cs="Arial"/>
          <w:sz w:val="20"/>
          <w:szCs w:val="20"/>
        </w:rPr>
        <w:t>(</w:t>
      </w:r>
      <w:r w:rsidR="001A56FE">
        <w:rPr>
          <w:rFonts w:cs="Arial"/>
          <w:color w:val="0000FF"/>
          <w:sz w:val="20"/>
          <w:szCs w:val="20"/>
        </w:rPr>
        <w:t>Grünenthal Ltd. DOF, Maggio 2016 (77</w:t>
      </w:r>
      <w:r w:rsidR="004D6438">
        <w:rPr>
          <w:rFonts w:cs="Arial"/>
          <w:color w:val="0000FF"/>
          <w:sz w:val="20"/>
          <w:szCs w:val="20"/>
        </w:rPr>
        <w:t>)</w:t>
      </w:r>
      <w:r w:rsidRPr="00B51382">
        <w:rPr>
          <w:rFonts w:cs="Arial"/>
          <w:sz w:val="20"/>
          <w:szCs w:val="20"/>
        </w:rPr>
        <w:t xml:space="preserve">). </w:t>
      </w:r>
      <w:r w:rsidRPr="0050662E">
        <w:rPr>
          <w:rFonts w:cs="Arial"/>
          <w:sz w:val="20"/>
          <w:szCs w:val="20"/>
        </w:rPr>
        <w:t xml:space="preserve">Sono state identificate 19 pubblicazioni </w:t>
      </w:r>
      <w:r w:rsidR="000810E2" w:rsidRPr="000810E2">
        <w:rPr>
          <w:rFonts w:cs="Arial"/>
          <w:sz w:val="20"/>
          <w:szCs w:val="20"/>
        </w:rPr>
        <w:t>(</w:t>
      </w:r>
      <w:r w:rsidR="00A25A75">
        <w:rPr>
          <w:rFonts w:cs="Arial"/>
          <w:color w:val="0000FF"/>
          <w:sz w:val="20"/>
          <w:szCs w:val="20"/>
        </w:rPr>
        <w:t>Perez-Ruiz</w:t>
      </w:r>
      <w:r w:rsidR="00A25A75" w:rsidRPr="00FE7207">
        <w:rPr>
          <w:rFonts w:cs="Arial"/>
          <w:color w:val="0000FF"/>
          <w:sz w:val="20"/>
          <w:szCs w:val="20"/>
        </w:rPr>
        <w:t>, 2014 (</w:t>
      </w:r>
      <w:r w:rsidR="00A25A75">
        <w:rPr>
          <w:rFonts w:cs="Arial"/>
          <w:color w:val="0000FF"/>
          <w:sz w:val="20"/>
          <w:szCs w:val="20"/>
        </w:rPr>
        <w:t xml:space="preserve">9); </w:t>
      </w:r>
      <w:r w:rsidR="00A25A75" w:rsidRPr="00FE7207">
        <w:rPr>
          <w:rFonts w:cs="Arial"/>
          <w:color w:val="0000FF"/>
          <w:sz w:val="20"/>
          <w:szCs w:val="20"/>
        </w:rPr>
        <w:t xml:space="preserve">Choi, 2007 (21); </w:t>
      </w:r>
      <w:r w:rsidR="00A25A75">
        <w:rPr>
          <w:rFonts w:cs="Arial"/>
          <w:color w:val="0000FF"/>
          <w:sz w:val="20"/>
          <w:szCs w:val="20"/>
        </w:rPr>
        <w:t xml:space="preserve"> Kuo, 2011 (22)</w:t>
      </w:r>
      <w:r w:rsidR="00A25A75" w:rsidRPr="00FE7207">
        <w:rPr>
          <w:rFonts w:cs="Arial"/>
          <w:color w:val="0000FF"/>
          <w:sz w:val="20"/>
          <w:szCs w:val="20"/>
        </w:rPr>
        <w:t xml:space="preserve">; </w:t>
      </w:r>
      <w:r w:rsidR="00A25A75">
        <w:rPr>
          <w:rFonts w:cs="Arial"/>
          <w:color w:val="0000FF"/>
          <w:sz w:val="20"/>
          <w:szCs w:val="20"/>
        </w:rPr>
        <w:t>Stack, 2013 (23)</w:t>
      </w:r>
      <w:r w:rsidR="00A25A75" w:rsidRPr="00FE7207">
        <w:rPr>
          <w:rFonts w:cs="Arial"/>
          <w:color w:val="0000FF"/>
          <w:sz w:val="20"/>
          <w:szCs w:val="20"/>
        </w:rPr>
        <w:t xml:space="preserve">; </w:t>
      </w:r>
      <w:r w:rsidR="00A25A75">
        <w:rPr>
          <w:rFonts w:cs="Arial"/>
          <w:color w:val="0000FF"/>
          <w:sz w:val="20"/>
          <w:szCs w:val="20"/>
        </w:rPr>
        <w:t>Chen, 2015 (27)</w:t>
      </w:r>
      <w:r w:rsidR="00A25A75" w:rsidRPr="00FE7207">
        <w:rPr>
          <w:rFonts w:cs="Arial"/>
          <w:color w:val="0000FF"/>
          <w:sz w:val="20"/>
          <w:szCs w:val="20"/>
        </w:rPr>
        <w:t xml:space="preserve">; </w:t>
      </w:r>
      <w:r w:rsidR="001A56FE">
        <w:rPr>
          <w:rFonts w:cs="Arial"/>
          <w:color w:val="0000FF"/>
          <w:sz w:val="20"/>
          <w:szCs w:val="20"/>
        </w:rPr>
        <w:t>Abbott, 2005 (78</w:t>
      </w:r>
      <w:r w:rsidR="004D6438">
        <w:rPr>
          <w:rFonts w:cs="Arial"/>
          <w:color w:val="0000FF"/>
          <w:sz w:val="20"/>
          <w:szCs w:val="20"/>
        </w:rPr>
        <w:t>)</w:t>
      </w:r>
      <w:r w:rsidR="00FE7207" w:rsidRPr="00FE7207">
        <w:rPr>
          <w:rFonts w:cs="Arial"/>
          <w:color w:val="0000FF"/>
          <w:sz w:val="20"/>
          <w:szCs w:val="20"/>
        </w:rPr>
        <w:t xml:space="preserve">; </w:t>
      </w:r>
      <w:r w:rsidR="001A56FE">
        <w:rPr>
          <w:rFonts w:cs="Arial"/>
          <w:color w:val="0000FF"/>
          <w:sz w:val="20"/>
          <w:szCs w:val="20"/>
        </w:rPr>
        <w:t>Cohen, 2008 (79</w:t>
      </w:r>
      <w:r w:rsidR="004D6438">
        <w:rPr>
          <w:rFonts w:cs="Arial"/>
          <w:color w:val="0000FF"/>
          <w:sz w:val="20"/>
          <w:szCs w:val="20"/>
        </w:rPr>
        <w:t>)</w:t>
      </w:r>
      <w:r w:rsidR="00FE7207" w:rsidRPr="00FE7207">
        <w:rPr>
          <w:rFonts w:cs="Arial"/>
          <w:color w:val="0000FF"/>
          <w:sz w:val="20"/>
          <w:szCs w:val="20"/>
        </w:rPr>
        <w:t xml:space="preserve">; </w:t>
      </w:r>
      <w:r w:rsidR="00756E4F">
        <w:rPr>
          <w:rFonts w:cs="Arial"/>
          <w:color w:val="0000FF"/>
          <w:sz w:val="20"/>
          <w:szCs w:val="20"/>
        </w:rPr>
        <w:t>Krishnan, 2012 (80</w:t>
      </w:r>
      <w:r w:rsidR="004D6438">
        <w:rPr>
          <w:rFonts w:cs="Arial"/>
          <w:color w:val="0000FF"/>
          <w:sz w:val="20"/>
          <w:szCs w:val="20"/>
        </w:rPr>
        <w:t>)</w:t>
      </w:r>
      <w:r w:rsidR="00FE7207" w:rsidRPr="00FE7207">
        <w:rPr>
          <w:rFonts w:cs="Arial"/>
          <w:color w:val="0000FF"/>
          <w:sz w:val="20"/>
          <w:szCs w:val="20"/>
        </w:rPr>
        <w:t xml:space="preserve">; </w:t>
      </w:r>
      <w:r w:rsidR="00756E4F">
        <w:rPr>
          <w:rFonts w:cs="Arial"/>
          <w:color w:val="0000FF"/>
          <w:sz w:val="20"/>
          <w:szCs w:val="20"/>
        </w:rPr>
        <w:t>Krishnan, 2012 (81</w:t>
      </w:r>
      <w:r w:rsidR="00AC6036">
        <w:rPr>
          <w:rFonts w:cs="Arial"/>
          <w:color w:val="0000FF"/>
          <w:sz w:val="20"/>
          <w:szCs w:val="20"/>
        </w:rPr>
        <w:t>)</w:t>
      </w:r>
      <w:r w:rsidR="00FE7207" w:rsidRPr="00FE7207">
        <w:rPr>
          <w:rFonts w:cs="Arial"/>
          <w:color w:val="0000FF"/>
          <w:sz w:val="20"/>
          <w:szCs w:val="20"/>
        </w:rPr>
        <w:t xml:space="preserve">; </w:t>
      </w:r>
      <w:r w:rsidR="00756E4F">
        <w:rPr>
          <w:rFonts w:cs="Arial"/>
          <w:color w:val="0000FF"/>
          <w:sz w:val="20"/>
          <w:szCs w:val="20"/>
        </w:rPr>
        <w:t>Kuo, 2016 (82</w:t>
      </w:r>
      <w:r w:rsidR="00AC6036">
        <w:rPr>
          <w:rFonts w:cs="Arial"/>
          <w:color w:val="0000FF"/>
          <w:sz w:val="20"/>
          <w:szCs w:val="20"/>
        </w:rPr>
        <w:t>)</w:t>
      </w:r>
      <w:r w:rsidR="00FE7207" w:rsidRPr="00FE7207">
        <w:rPr>
          <w:rFonts w:cs="Arial"/>
          <w:color w:val="0000FF"/>
          <w:sz w:val="20"/>
          <w:szCs w:val="20"/>
        </w:rPr>
        <w:t xml:space="preserve">; </w:t>
      </w:r>
      <w:r w:rsidR="00756E4F">
        <w:rPr>
          <w:rFonts w:cs="Arial"/>
          <w:color w:val="0000FF"/>
          <w:sz w:val="20"/>
          <w:szCs w:val="20"/>
        </w:rPr>
        <w:t>Kuo, 2010 (83</w:t>
      </w:r>
      <w:r w:rsidR="00AC6036">
        <w:rPr>
          <w:rFonts w:cs="Arial"/>
          <w:color w:val="0000FF"/>
          <w:sz w:val="20"/>
          <w:szCs w:val="20"/>
        </w:rPr>
        <w:t>)</w:t>
      </w:r>
      <w:r w:rsidR="00FE7207" w:rsidRPr="00FE7207">
        <w:rPr>
          <w:rFonts w:cs="Arial"/>
          <w:color w:val="0000FF"/>
          <w:sz w:val="20"/>
          <w:szCs w:val="20"/>
        </w:rPr>
        <w:t xml:space="preserve">; </w:t>
      </w:r>
      <w:r w:rsidR="00756E4F">
        <w:rPr>
          <w:rFonts w:cs="Arial"/>
          <w:color w:val="0000FF"/>
          <w:sz w:val="20"/>
          <w:szCs w:val="20"/>
        </w:rPr>
        <w:t>Teng, 2012 (84</w:t>
      </w:r>
      <w:r w:rsidR="00AC6036">
        <w:rPr>
          <w:rFonts w:cs="Arial"/>
          <w:color w:val="0000FF"/>
          <w:sz w:val="20"/>
          <w:szCs w:val="20"/>
        </w:rPr>
        <w:t>)</w:t>
      </w:r>
      <w:r w:rsidR="00FE7207" w:rsidRPr="00FE7207">
        <w:rPr>
          <w:rFonts w:cs="Arial"/>
          <w:color w:val="0000FF"/>
          <w:sz w:val="20"/>
          <w:szCs w:val="20"/>
        </w:rPr>
        <w:t xml:space="preserve">; </w:t>
      </w:r>
      <w:r w:rsidR="00756E4F">
        <w:rPr>
          <w:rFonts w:cs="Arial"/>
          <w:color w:val="0000FF"/>
          <w:sz w:val="20"/>
          <w:szCs w:val="20"/>
        </w:rPr>
        <w:t>Thanassoulis, 2010 (85</w:t>
      </w:r>
      <w:r w:rsidR="00AC6036">
        <w:rPr>
          <w:rFonts w:cs="Arial"/>
          <w:color w:val="0000FF"/>
          <w:sz w:val="20"/>
          <w:szCs w:val="20"/>
        </w:rPr>
        <w:t>)</w:t>
      </w:r>
      <w:r w:rsidR="00FE7207" w:rsidRPr="00FE7207">
        <w:rPr>
          <w:rFonts w:cs="Arial"/>
          <w:color w:val="0000FF"/>
          <w:sz w:val="20"/>
          <w:szCs w:val="20"/>
        </w:rPr>
        <w:t xml:space="preserve">; </w:t>
      </w:r>
      <w:r w:rsidR="00756E4F">
        <w:rPr>
          <w:rFonts w:cs="Arial"/>
          <w:color w:val="0000FF"/>
          <w:sz w:val="20"/>
          <w:szCs w:val="20"/>
        </w:rPr>
        <w:t>De Vera, 2010 (86</w:t>
      </w:r>
      <w:r w:rsidR="00AC6036">
        <w:rPr>
          <w:rFonts w:cs="Arial"/>
          <w:color w:val="0000FF"/>
          <w:sz w:val="20"/>
          <w:szCs w:val="20"/>
        </w:rPr>
        <w:t>)</w:t>
      </w:r>
      <w:r w:rsidR="00FE7207" w:rsidRPr="00FE7207">
        <w:rPr>
          <w:rFonts w:cs="Arial"/>
          <w:color w:val="0000FF"/>
          <w:sz w:val="20"/>
          <w:szCs w:val="20"/>
        </w:rPr>
        <w:t xml:space="preserve">; </w:t>
      </w:r>
      <w:r w:rsidR="00756E4F">
        <w:rPr>
          <w:rFonts w:cs="Arial"/>
          <w:color w:val="0000FF"/>
          <w:sz w:val="20"/>
          <w:szCs w:val="20"/>
        </w:rPr>
        <w:t>Kok, 2012 (87)</w:t>
      </w:r>
      <w:r w:rsidR="00FE7207" w:rsidRPr="00FE7207">
        <w:rPr>
          <w:rFonts w:cs="Arial"/>
          <w:color w:val="0000FF"/>
          <w:sz w:val="20"/>
          <w:szCs w:val="20"/>
        </w:rPr>
        <w:t xml:space="preserve">; </w:t>
      </w:r>
      <w:r w:rsidR="00756E4F">
        <w:rPr>
          <w:rFonts w:cs="Arial"/>
          <w:color w:val="0000FF"/>
          <w:sz w:val="20"/>
          <w:szCs w:val="20"/>
        </w:rPr>
        <w:t>Krishnan, 2008 (88</w:t>
      </w:r>
      <w:r w:rsidR="00AC6036">
        <w:rPr>
          <w:rFonts w:cs="Arial"/>
          <w:color w:val="0000FF"/>
          <w:sz w:val="20"/>
          <w:szCs w:val="20"/>
        </w:rPr>
        <w:t>)</w:t>
      </w:r>
      <w:r w:rsidRPr="009B2780">
        <w:rPr>
          <w:rFonts w:cs="Arial"/>
          <w:sz w:val="20"/>
          <w:szCs w:val="20"/>
          <w:lang w:val="en-GB"/>
        </w:rPr>
        <w:fldChar w:fldCharType="begin">
          <w:fldData xml:space="preserve">LWRhdGVzPjwvZGF0ZXM+PGlzYm4+MTUzOC0zNjc5PC9pc2JuPjxhY2Nlc3Npb24tbnVtPjIwNjk2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</w:fldData>
        </w:fldChar>
      </w:r>
      <w:r w:rsidRPr="0050662E">
        <w:rPr>
          <w:rFonts w:cs="Arial"/>
          <w:sz w:val="20"/>
          <w:szCs w:val="20"/>
        </w:rPr>
        <w:instrText xml:space="preserve"> ADDIN EN.CITE </w:instrText>
      </w:r>
      <w:r w:rsidRPr="009B2780">
        <w:rPr>
          <w:rFonts w:cs="Arial"/>
          <w:sz w:val="20"/>
          <w:szCs w:val="20"/>
          <w:lang w:val="en-GB"/>
        </w:rPr>
        <w:fldChar w:fldCharType="begin">
          <w:fldData xml:space="preserve">PEVuZE5vdGU+PENpdGU+PEF1dGhvcj5BYmJvdHQ8L0F1dGhvcj48WWVhcj4yMDA1PC9ZZWFyPjxS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==
</w:fldData>
        </w:fldChar>
      </w:r>
      <w:r w:rsidRPr="0050662E">
        <w:rPr>
          <w:rFonts w:cs="Arial"/>
          <w:sz w:val="20"/>
          <w:szCs w:val="20"/>
        </w:rPr>
        <w:instrText xml:space="preserve"> ADDIN EN.CITE.DATA </w:instrText>
      </w:r>
      <w:r w:rsidRPr="009B2780">
        <w:rPr>
          <w:rFonts w:cs="Arial"/>
          <w:sz w:val="20"/>
          <w:szCs w:val="20"/>
        </w:rPr>
      </w:r>
      <w:r w:rsidRPr="009B2780">
        <w:rPr>
          <w:rFonts w:cs="Arial"/>
          <w:sz w:val="20"/>
          <w:szCs w:val="20"/>
        </w:rPr>
        <w:fldChar w:fldCharType="end"/>
      </w:r>
      <w:r w:rsidRPr="009B2780">
        <w:rPr>
          <w:rFonts w:cs="Arial"/>
          <w:sz w:val="20"/>
          <w:szCs w:val="20"/>
          <w:lang w:val="en-GB"/>
        </w:rPr>
        <w:fldChar w:fldCharType="begin">
          <w:fldData xml:space="preserve">LWRhdGVzPjwvZGF0ZXM+PGlzYm4+MTUzOC0zNjc5PC9pc2JuPjxhY2Nlc3Npb24tbnVtPjIwNjk2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</w:fldData>
        </w:fldChar>
      </w:r>
      <w:r w:rsidRPr="0050662E">
        <w:rPr>
          <w:rFonts w:cs="Arial"/>
          <w:sz w:val="20"/>
          <w:szCs w:val="20"/>
        </w:rPr>
        <w:instrText xml:space="preserve"> ADDIN EN.CITE.DATA </w:instrText>
      </w:r>
      <w:r w:rsidRPr="009B2780">
        <w:rPr>
          <w:rFonts w:cs="Arial"/>
          <w:sz w:val="20"/>
          <w:szCs w:val="20"/>
        </w:rPr>
      </w:r>
      <w:r w:rsidRPr="009B2780">
        <w:rPr>
          <w:rFonts w:cs="Arial"/>
          <w:sz w:val="20"/>
          <w:szCs w:val="20"/>
        </w:rPr>
        <w:fldChar w:fldCharType="end"/>
      </w:r>
      <w:r w:rsidRPr="009B2780">
        <w:rPr>
          <w:rFonts w:cs="Arial"/>
          <w:sz w:val="20"/>
          <w:szCs w:val="20"/>
          <w:lang w:val="en-GB"/>
        </w:rPr>
      </w:r>
      <w:r w:rsidRPr="009B2780">
        <w:rPr>
          <w:rFonts w:cs="Arial"/>
          <w:sz w:val="20"/>
          <w:szCs w:val="20"/>
          <w:lang w:val="en-GB"/>
        </w:rPr>
        <w:fldChar w:fldCharType="separate"/>
      </w:r>
      <w:r w:rsidRPr="00365CDE">
        <w:rPr>
          <w:rFonts w:cs="Arial"/>
          <w:sz w:val="20"/>
          <w:szCs w:val="20"/>
        </w:rPr>
        <w:t>)</w:t>
      </w:r>
      <w:r w:rsidRPr="009B2780">
        <w:rPr>
          <w:rFonts w:cs="Arial"/>
          <w:sz w:val="20"/>
          <w:szCs w:val="20"/>
        </w:rPr>
        <w:fldChar w:fldCharType="end"/>
      </w:r>
      <w:r w:rsidRPr="00365CDE">
        <w:rPr>
          <w:rFonts w:cs="Arial"/>
          <w:sz w:val="20"/>
          <w:szCs w:val="20"/>
        </w:rPr>
        <w:t xml:space="preserve">, la cui analisi ha dimostrato che: </w:t>
      </w:r>
    </w:p>
    <w:p w14:paraId="087902FC" w14:textId="06D10D88" w:rsidR="009B2780" w:rsidRPr="00840CF2" w:rsidRDefault="0050662E" w:rsidP="00825BD3">
      <w:pPr>
        <w:pStyle w:val="ListParagraph"/>
        <w:widowControl w:val="0"/>
        <w:numPr>
          <w:ilvl w:val="0"/>
          <w:numId w:val="46"/>
        </w:numPr>
        <w:autoSpaceDE w:val="0"/>
        <w:autoSpaceDN w:val="0"/>
        <w:adjustRightInd w:val="0"/>
        <w:spacing w:line="360" w:lineRule="auto"/>
        <w:rPr>
          <w:rFonts w:asciiTheme="minorHAnsi" w:hAnsiTheme="minorHAnsi" w:cstheme="minorHAnsi"/>
          <w:sz w:val="20"/>
          <w:szCs w:val="20"/>
        </w:rPr>
      </w:pPr>
      <w:r w:rsidRPr="00840CF2">
        <w:rPr>
          <w:rFonts w:asciiTheme="minorHAnsi" w:hAnsiTheme="minorHAnsi" w:cstheme="minorHAnsi"/>
          <w:sz w:val="20"/>
          <w:szCs w:val="20"/>
        </w:rPr>
        <w:t>n</w:t>
      </w:r>
      <w:r w:rsidR="009B2780" w:rsidRPr="00840CF2">
        <w:rPr>
          <w:rFonts w:asciiTheme="minorHAnsi" w:hAnsiTheme="minorHAnsi" w:cstheme="minorHAnsi"/>
          <w:sz w:val="20"/>
          <w:szCs w:val="20"/>
        </w:rPr>
        <w:t>ei pazienti gottosi (sia in assenza che in presenza di diagnosi confermata dal medico) c’è un aumento del rischio di mortalità per qualsiasi causa</w:t>
      </w:r>
      <w:r w:rsidR="00B82DC6" w:rsidRPr="00840CF2">
        <w:rPr>
          <w:rFonts w:asciiTheme="minorHAnsi" w:hAnsiTheme="minorHAnsi" w:cstheme="minorHAnsi"/>
          <w:sz w:val="20"/>
          <w:szCs w:val="20"/>
        </w:rPr>
        <w:t xml:space="preserve">  </w:t>
      </w:r>
      <w:r w:rsidR="00540500" w:rsidRPr="00540500">
        <w:rPr>
          <w:rFonts w:asciiTheme="minorHAnsi" w:hAnsiTheme="minorHAnsi" w:cstheme="minorHAnsi"/>
          <w:sz w:val="20"/>
          <w:szCs w:val="20"/>
        </w:rPr>
        <w:t>(</w:t>
      </w:r>
      <w:r w:rsidR="00E42F17">
        <w:rPr>
          <w:rFonts w:asciiTheme="minorHAnsi" w:hAnsiTheme="minorHAnsi" w:cstheme="minorHAnsi"/>
          <w:color w:val="0000FF"/>
          <w:sz w:val="20"/>
          <w:szCs w:val="20"/>
        </w:rPr>
        <w:t>Perez-Ruiz, 2014 (9</w:t>
      </w:r>
      <w:r w:rsidR="00E42F17" w:rsidRPr="00323FEC">
        <w:rPr>
          <w:rFonts w:asciiTheme="minorHAnsi" w:hAnsiTheme="minorHAnsi" w:cstheme="minorHAnsi"/>
          <w:color w:val="0000FF"/>
          <w:sz w:val="20"/>
          <w:szCs w:val="20"/>
        </w:rPr>
        <w:t xml:space="preserve">); Choi, 2007 (21); </w:t>
      </w:r>
      <w:r w:rsidR="00E42F17">
        <w:rPr>
          <w:rFonts w:asciiTheme="minorHAnsi" w:hAnsiTheme="minorHAnsi" w:cstheme="minorHAnsi"/>
          <w:color w:val="0000FF"/>
          <w:sz w:val="20"/>
          <w:szCs w:val="20"/>
        </w:rPr>
        <w:t>Kuo, 2011 (22)</w:t>
      </w:r>
      <w:r w:rsidR="00E42F17" w:rsidRPr="00323FEC">
        <w:rPr>
          <w:rFonts w:asciiTheme="minorHAnsi" w:hAnsiTheme="minorHAnsi" w:cstheme="minorHAnsi"/>
          <w:color w:val="0000FF"/>
          <w:sz w:val="20"/>
          <w:szCs w:val="20"/>
        </w:rPr>
        <w:t xml:space="preserve">; </w:t>
      </w:r>
      <w:r w:rsidR="00E42F17">
        <w:rPr>
          <w:rFonts w:asciiTheme="minorHAnsi" w:hAnsiTheme="minorHAnsi" w:cstheme="minorHAnsi"/>
          <w:color w:val="0000FF"/>
          <w:sz w:val="20"/>
          <w:szCs w:val="20"/>
        </w:rPr>
        <w:t>Stack, 2013 (23)</w:t>
      </w:r>
      <w:r w:rsidR="00E42F17" w:rsidRPr="00323FEC">
        <w:rPr>
          <w:rFonts w:asciiTheme="minorHAnsi" w:hAnsiTheme="minorHAnsi" w:cstheme="minorHAnsi"/>
          <w:color w:val="0000FF"/>
          <w:sz w:val="20"/>
          <w:szCs w:val="20"/>
        </w:rPr>
        <w:t>;</w:t>
      </w:r>
      <w:r w:rsidR="0083674F">
        <w:rPr>
          <w:rFonts w:asciiTheme="minorHAnsi" w:hAnsiTheme="minorHAnsi" w:cstheme="minorHAnsi"/>
          <w:color w:val="0000FF"/>
          <w:sz w:val="20"/>
          <w:szCs w:val="20"/>
        </w:rPr>
        <w:t>Chen, 2015 (27)</w:t>
      </w:r>
      <w:r w:rsidR="00FE7207" w:rsidRPr="00323FEC">
        <w:rPr>
          <w:rFonts w:asciiTheme="minorHAnsi" w:hAnsiTheme="minorHAnsi" w:cstheme="minorHAnsi"/>
          <w:color w:val="0000FF"/>
          <w:sz w:val="20"/>
          <w:szCs w:val="20"/>
        </w:rPr>
        <w:t xml:space="preserve">; </w:t>
      </w:r>
      <w:r w:rsidR="00E42F17">
        <w:rPr>
          <w:rFonts w:asciiTheme="minorHAnsi" w:hAnsiTheme="minorHAnsi" w:cstheme="minorHAnsi"/>
          <w:color w:val="0000FF"/>
          <w:sz w:val="20"/>
          <w:szCs w:val="20"/>
        </w:rPr>
        <w:t>Abbott, 2005 (78)</w:t>
      </w:r>
      <w:r w:rsidR="00E42F17" w:rsidRPr="00323FEC">
        <w:rPr>
          <w:rFonts w:asciiTheme="minorHAnsi" w:hAnsiTheme="minorHAnsi" w:cstheme="minorHAnsi"/>
          <w:color w:val="0000FF"/>
          <w:sz w:val="20"/>
          <w:szCs w:val="20"/>
        </w:rPr>
        <w:t xml:space="preserve">; </w:t>
      </w:r>
      <w:r w:rsidR="001A56FE">
        <w:rPr>
          <w:rFonts w:asciiTheme="minorHAnsi" w:hAnsiTheme="minorHAnsi" w:cstheme="minorHAnsi"/>
          <w:color w:val="0000FF"/>
          <w:sz w:val="20"/>
          <w:szCs w:val="20"/>
        </w:rPr>
        <w:t>Cohen, 2008 (79</w:t>
      </w:r>
      <w:r w:rsidR="004D6438">
        <w:rPr>
          <w:rFonts w:asciiTheme="minorHAnsi" w:hAnsiTheme="minorHAnsi" w:cstheme="minorHAnsi"/>
          <w:color w:val="0000FF"/>
          <w:sz w:val="20"/>
          <w:szCs w:val="20"/>
        </w:rPr>
        <w:t>)</w:t>
      </w:r>
      <w:r w:rsidR="00FE7207" w:rsidRPr="00323FEC">
        <w:rPr>
          <w:rFonts w:asciiTheme="minorHAnsi" w:hAnsiTheme="minorHAnsi" w:cstheme="minorHAnsi"/>
          <w:color w:val="0000FF"/>
          <w:sz w:val="20"/>
          <w:szCs w:val="20"/>
        </w:rPr>
        <w:t xml:space="preserve">; </w:t>
      </w:r>
      <w:r w:rsidR="00756E4F">
        <w:rPr>
          <w:rFonts w:asciiTheme="minorHAnsi" w:hAnsiTheme="minorHAnsi" w:cstheme="minorHAnsi"/>
          <w:color w:val="0000FF"/>
          <w:sz w:val="20"/>
          <w:szCs w:val="20"/>
        </w:rPr>
        <w:t>Krishnan, 2012 (80</w:t>
      </w:r>
      <w:r w:rsidR="004D6438">
        <w:rPr>
          <w:rFonts w:asciiTheme="minorHAnsi" w:hAnsiTheme="minorHAnsi" w:cstheme="minorHAnsi"/>
          <w:color w:val="0000FF"/>
          <w:sz w:val="20"/>
          <w:szCs w:val="20"/>
        </w:rPr>
        <w:t>)</w:t>
      </w:r>
      <w:r w:rsidR="00FE7207" w:rsidRPr="00323FEC">
        <w:rPr>
          <w:rFonts w:asciiTheme="minorHAnsi" w:hAnsiTheme="minorHAnsi" w:cstheme="minorHAnsi"/>
          <w:color w:val="0000FF"/>
          <w:sz w:val="20"/>
          <w:szCs w:val="20"/>
        </w:rPr>
        <w:t xml:space="preserve">; </w:t>
      </w:r>
      <w:r w:rsidR="00756E4F">
        <w:rPr>
          <w:rFonts w:asciiTheme="minorHAnsi" w:hAnsiTheme="minorHAnsi" w:cstheme="minorHAnsi"/>
          <w:color w:val="0000FF"/>
          <w:sz w:val="20"/>
          <w:szCs w:val="20"/>
        </w:rPr>
        <w:t>Krishnan, 2012 (81</w:t>
      </w:r>
      <w:r w:rsidR="00AC6036">
        <w:rPr>
          <w:rFonts w:asciiTheme="minorHAnsi" w:hAnsiTheme="minorHAnsi" w:cstheme="minorHAnsi"/>
          <w:color w:val="0000FF"/>
          <w:sz w:val="20"/>
          <w:szCs w:val="20"/>
        </w:rPr>
        <w:t>)</w:t>
      </w:r>
      <w:r w:rsidR="00FE7207" w:rsidRPr="00323FEC">
        <w:rPr>
          <w:rFonts w:asciiTheme="minorHAnsi" w:hAnsiTheme="minorHAnsi" w:cstheme="minorHAnsi"/>
          <w:color w:val="0000FF"/>
          <w:sz w:val="20"/>
          <w:szCs w:val="20"/>
        </w:rPr>
        <w:t xml:space="preserve">; </w:t>
      </w:r>
      <w:r w:rsidR="00756E4F">
        <w:rPr>
          <w:rFonts w:asciiTheme="minorHAnsi" w:hAnsiTheme="minorHAnsi" w:cstheme="minorHAnsi"/>
          <w:color w:val="0000FF"/>
          <w:sz w:val="20"/>
          <w:szCs w:val="20"/>
        </w:rPr>
        <w:t>Kuo, 2016 (82</w:t>
      </w:r>
      <w:r w:rsidR="00AC6036">
        <w:rPr>
          <w:rFonts w:asciiTheme="minorHAnsi" w:hAnsiTheme="minorHAnsi" w:cstheme="minorHAnsi"/>
          <w:color w:val="0000FF"/>
          <w:sz w:val="20"/>
          <w:szCs w:val="20"/>
        </w:rPr>
        <w:t>)</w:t>
      </w:r>
      <w:r w:rsidR="00FE7207" w:rsidRPr="00323FEC">
        <w:rPr>
          <w:rFonts w:asciiTheme="minorHAnsi" w:hAnsiTheme="minorHAnsi" w:cstheme="minorHAnsi"/>
          <w:color w:val="0000FF"/>
          <w:sz w:val="20"/>
          <w:szCs w:val="20"/>
        </w:rPr>
        <w:t xml:space="preserve">; </w:t>
      </w:r>
      <w:r w:rsidR="00756E4F">
        <w:rPr>
          <w:rFonts w:asciiTheme="minorHAnsi" w:hAnsiTheme="minorHAnsi" w:cstheme="minorHAnsi"/>
          <w:color w:val="0000FF"/>
          <w:sz w:val="20"/>
          <w:szCs w:val="20"/>
        </w:rPr>
        <w:t>Kuo, 2010 (83</w:t>
      </w:r>
      <w:r w:rsidR="00AC6036">
        <w:rPr>
          <w:rFonts w:asciiTheme="minorHAnsi" w:hAnsiTheme="minorHAnsi" w:cstheme="minorHAnsi"/>
          <w:color w:val="0000FF"/>
          <w:sz w:val="20"/>
          <w:szCs w:val="20"/>
        </w:rPr>
        <w:t>)</w:t>
      </w:r>
      <w:r w:rsidR="00FE7207" w:rsidRPr="00323FEC">
        <w:rPr>
          <w:rFonts w:asciiTheme="minorHAnsi" w:hAnsiTheme="minorHAnsi" w:cstheme="minorHAnsi"/>
          <w:color w:val="0000FF"/>
          <w:sz w:val="20"/>
          <w:szCs w:val="20"/>
        </w:rPr>
        <w:t xml:space="preserve">; </w:t>
      </w:r>
      <w:r w:rsidR="00756E4F">
        <w:rPr>
          <w:rFonts w:asciiTheme="minorHAnsi" w:hAnsiTheme="minorHAnsi" w:cstheme="minorHAnsi"/>
          <w:color w:val="0000FF"/>
          <w:sz w:val="20"/>
          <w:szCs w:val="20"/>
        </w:rPr>
        <w:t>Teng, 2012 (84</w:t>
      </w:r>
      <w:r w:rsidR="00AC6036">
        <w:rPr>
          <w:rFonts w:asciiTheme="minorHAnsi" w:hAnsiTheme="minorHAnsi" w:cstheme="minorHAnsi"/>
          <w:color w:val="0000FF"/>
          <w:sz w:val="20"/>
          <w:szCs w:val="20"/>
        </w:rPr>
        <w:t>)</w:t>
      </w:r>
      <w:r w:rsidR="00FE7207" w:rsidRPr="00323FEC">
        <w:rPr>
          <w:rFonts w:asciiTheme="minorHAnsi" w:hAnsiTheme="minorHAnsi" w:cstheme="minorHAnsi"/>
          <w:color w:val="0000FF"/>
          <w:sz w:val="20"/>
          <w:szCs w:val="20"/>
        </w:rPr>
        <w:t xml:space="preserve">; </w:t>
      </w:r>
      <w:r w:rsidR="00756E4F">
        <w:rPr>
          <w:rFonts w:asciiTheme="minorHAnsi" w:hAnsiTheme="minorHAnsi" w:cstheme="minorHAnsi"/>
          <w:color w:val="0000FF"/>
          <w:sz w:val="20"/>
          <w:szCs w:val="20"/>
        </w:rPr>
        <w:t>Thanassoulis, 2010 (85</w:t>
      </w:r>
      <w:r w:rsidR="00AC6036">
        <w:rPr>
          <w:rFonts w:asciiTheme="minorHAnsi" w:hAnsiTheme="minorHAnsi" w:cstheme="minorHAnsi"/>
          <w:color w:val="0000FF"/>
          <w:sz w:val="20"/>
          <w:szCs w:val="20"/>
        </w:rPr>
        <w:t>)</w:t>
      </w:r>
      <w:r w:rsidR="00540500" w:rsidRPr="00540500">
        <w:rPr>
          <w:rFonts w:asciiTheme="minorHAnsi" w:hAnsiTheme="minorHAnsi" w:cstheme="minorHAnsi"/>
          <w:sz w:val="20"/>
          <w:szCs w:val="20"/>
        </w:rPr>
        <w:t>)</w:t>
      </w:r>
      <w:r w:rsidR="00B82DC6" w:rsidRPr="00840CF2">
        <w:rPr>
          <w:rFonts w:asciiTheme="minorHAnsi" w:hAnsiTheme="minorHAnsi" w:cstheme="minorHAnsi"/>
          <w:sz w:val="20"/>
          <w:szCs w:val="20"/>
        </w:rPr>
        <w:t xml:space="preserve"> </w:t>
      </w:r>
      <w:r w:rsidR="009B2780" w:rsidRPr="00840CF2">
        <w:rPr>
          <w:rFonts w:asciiTheme="minorHAnsi" w:hAnsiTheme="minorHAnsi" w:cstheme="minorHAnsi"/>
          <w:sz w:val="20"/>
          <w:szCs w:val="20"/>
        </w:rPr>
        <w:t xml:space="preserve"> e per patologie cardiovascolari</w:t>
      </w:r>
      <w:r w:rsidR="00B82DC6" w:rsidRPr="00840CF2">
        <w:rPr>
          <w:rFonts w:asciiTheme="minorHAnsi" w:hAnsiTheme="minorHAnsi" w:cstheme="minorHAnsi"/>
          <w:sz w:val="20"/>
          <w:szCs w:val="20"/>
        </w:rPr>
        <w:t xml:space="preserve"> </w:t>
      </w:r>
      <w:r w:rsidR="00540500">
        <w:rPr>
          <w:rFonts w:asciiTheme="minorHAnsi" w:hAnsiTheme="minorHAnsi" w:cstheme="minorHAnsi"/>
          <w:sz w:val="20"/>
          <w:szCs w:val="20"/>
        </w:rPr>
        <w:t>(</w:t>
      </w:r>
      <w:r w:rsidR="00A25A75">
        <w:rPr>
          <w:rFonts w:asciiTheme="minorHAnsi" w:hAnsiTheme="minorHAnsi" w:cstheme="minorHAnsi"/>
          <w:color w:val="0000FF"/>
          <w:sz w:val="20"/>
          <w:szCs w:val="20"/>
        </w:rPr>
        <w:t>Perez-Ruiz</w:t>
      </w:r>
      <w:r w:rsidR="00A25A75" w:rsidRPr="00323FEC">
        <w:rPr>
          <w:rFonts w:asciiTheme="minorHAnsi" w:hAnsiTheme="minorHAnsi" w:cstheme="minorHAnsi"/>
          <w:color w:val="0000FF"/>
          <w:sz w:val="20"/>
          <w:szCs w:val="20"/>
        </w:rPr>
        <w:t>, 2014 (</w:t>
      </w:r>
      <w:r w:rsidR="00A25A75">
        <w:rPr>
          <w:rFonts w:asciiTheme="minorHAnsi" w:hAnsiTheme="minorHAnsi" w:cstheme="minorHAnsi"/>
          <w:color w:val="0000FF"/>
          <w:sz w:val="20"/>
          <w:szCs w:val="20"/>
        </w:rPr>
        <w:t>9</w:t>
      </w:r>
      <w:r w:rsidR="00A25A75" w:rsidRPr="00323FEC">
        <w:rPr>
          <w:rFonts w:asciiTheme="minorHAnsi" w:hAnsiTheme="minorHAnsi" w:cstheme="minorHAnsi"/>
          <w:color w:val="0000FF"/>
          <w:sz w:val="20"/>
          <w:szCs w:val="20"/>
        </w:rPr>
        <w:t xml:space="preserve">); </w:t>
      </w:r>
      <w:r w:rsidR="00FE7207" w:rsidRPr="00323FEC">
        <w:rPr>
          <w:rFonts w:asciiTheme="minorHAnsi" w:hAnsiTheme="minorHAnsi" w:cstheme="minorHAnsi"/>
          <w:color w:val="0000FF"/>
          <w:sz w:val="20"/>
          <w:szCs w:val="20"/>
        </w:rPr>
        <w:t xml:space="preserve">Choi, 2007 (21); </w:t>
      </w:r>
      <w:r w:rsidR="00231A40">
        <w:rPr>
          <w:rFonts w:asciiTheme="minorHAnsi" w:hAnsiTheme="minorHAnsi" w:cstheme="minorHAnsi"/>
          <w:color w:val="0000FF"/>
          <w:sz w:val="20"/>
          <w:szCs w:val="20"/>
        </w:rPr>
        <w:t>Kuo, 2011 (22)</w:t>
      </w:r>
      <w:r w:rsidR="00FE7207" w:rsidRPr="00323FEC">
        <w:rPr>
          <w:rFonts w:asciiTheme="minorHAnsi" w:hAnsiTheme="minorHAnsi" w:cstheme="minorHAnsi"/>
          <w:color w:val="0000FF"/>
          <w:sz w:val="20"/>
          <w:szCs w:val="20"/>
        </w:rPr>
        <w:t xml:space="preserve">; </w:t>
      </w:r>
      <w:r w:rsidR="00231A40">
        <w:rPr>
          <w:rFonts w:asciiTheme="minorHAnsi" w:hAnsiTheme="minorHAnsi" w:cstheme="minorHAnsi"/>
          <w:color w:val="0000FF"/>
          <w:sz w:val="20"/>
          <w:szCs w:val="20"/>
        </w:rPr>
        <w:t>Stack, 2013 (23)</w:t>
      </w:r>
      <w:r w:rsidR="00FE7207" w:rsidRPr="00323FEC">
        <w:rPr>
          <w:rFonts w:asciiTheme="minorHAnsi" w:hAnsiTheme="minorHAnsi" w:cstheme="minorHAnsi"/>
          <w:color w:val="0000FF"/>
          <w:sz w:val="20"/>
          <w:szCs w:val="20"/>
        </w:rPr>
        <w:t>;</w:t>
      </w:r>
      <w:r w:rsidR="00A25A75" w:rsidRPr="00A25A75">
        <w:rPr>
          <w:rFonts w:asciiTheme="minorHAnsi" w:hAnsiTheme="minorHAnsi" w:cstheme="minorHAnsi"/>
          <w:color w:val="0000FF"/>
          <w:sz w:val="20"/>
          <w:szCs w:val="20"/>
        </w:rPr>
        <w:t xml:space="preserve"> </w:t>
      </w:r>
      <w:r w:rsidR="00A25A75">
        <w:rPr>
          <w:rFonts w:asciiTheme="minorHAnsi" w:hAnsiTheme="minorHAnsi" w:cstheme="minorHAnsi"/>
          <w:color w:val="0000FF"/>
          <w:sz w:val="20"/>
          <w:szCs w:val="20"/>
        </w:rPr>
        <w:t>Chen, 2015 (27)</w:t>
      </w:r>
      <w:r w:rsidR="00A25A75" w:rsidRPr="00323FEC">
        <w:rPr>
          <w:rFonts w:asciiTheme="minorHAnsi" w:hAnsiTheme="minorHAnsi" w:cstheme="minorHAnsi"/>
          <w:color w:val="0000FF"/>
          <w:sz w:val="20"/>
          <w:szCs w:val="20"/>
        </w:rPr>
        <w:t xml:space="preserve">; </w:t>
      </w:r>
      <w:r w:rsidR="00A25A75">
        <w:rPr>
          <w:rFonts w:asciiTheme="minorHAnsi" w:hAnsiTheme="minorHAnsi" w:cstheme="minorHAnsi"/>
          <w:color w:val="0000FF"/>
          <w:sz w:val="20"/>
          <w:szCs w:val="20"/>
        </w:rPr>
        <w:t>Cohen, 2008 (79)</w:t>
      </w:r>
      <w:r w:rsidR="00A25A75" w:rsidRPr="00323FEC">
        <w:rPr>
          <w:rFonts w:asciiTheme="minorHAnsi" w:hAnsiTheme="minorHAnsi" w:cstheme="minorHAnsi"/>
          <w:color w:val="0000FF"/>
          <w:sz w:val="20"/>
          <w:szCs w:val="20"/>
        </w:rPr>
        <w:t xml:space="preserve">; </w:t>
      </w:r>
      <w:r w:rsidR="00A25A75">
        <w:rPr>
          <w:rFonts w:asciiTheme="minorHAnsi" w:hAnsiTheme="minorHAnsi" w:cstheme="minorHAnsi"/>
          <w:color w:val="0000FF"/>
          <w:sz w:val="20"/>
          <w:szCs w:val="20"/>
        </w:rPr>
        <w:t>Krishnan, 2012 (81)</w:t>
      </w:r>
      <w:r w:rsidR="00A25A75" w:rsidRPr="00323FEC">
        <w:rPr>
          <w:rFonts w:asciiTheme="minorHAnsi" w:hAnsiTheme="minorHAnsi" w:cstheme="minorHAnsi"/>
          <w:color w:val="0000FF"/>
          <w:sz w:val="20"/>
          <w:szCs w:val="20"/>
        </w:rPr>
        <w:t xml:space="preserve">; </w:t>
      </w:r>
      <w:r w:rsidR="00A25A75">
        <w:rPr>
          <w:rFonts w:asciiTheme="minorHAnsi" w:hAnsiTheme="minorHAnsi" w:cstheme="minorHAnsi"/>
          <w:color w:val="0000FF"/>
          <w:sz w:val="20"/>
          <w:szCs w:val="20"/>
        </w:rPr>
        <w:t>Kuo, 2010 (83)</w:t>
      </w:r>
      <w:r w:rsidR="00A25A75" w:rsidRPr="00323FEC">
        <w:rPr>
          <w:rFonts w:asciiTheme="minorHAnsi" w:hAnsiTheme="minorHAnsi" w:cstheme="minorHAnsi"/>
          <w:color w:val="0000FF"/>
          <w:sz w:val="20"/>
          <w:szCs w:val="20"/>
        </w:rPr>
        <w:t xml:space="preserve">; </w:t>
      </w:r>
      <w:r w:rsidR="00FE7207" w:rsidRPr="00323FEC">
        <w:rPr>
          <w:rFonts w:asciiTheme="minorHAnsi" w:hAnsiTheme="minorHAnsi" w:cstheme="minorHAnsi"/>
          <w:color w:val="0000FF"/>
          <w:sz w:val="20"/>
          <w:szCs w:val="20"/>
        </w:rPr>
        <w:t xml:space="preserve"> </w:t>
      </w:r>
      <w:r w:rsidR="00756E4F">
        <w:rPr>
          <w:rFonts w:asciiTheme="minorHAnsi" w:hAnsiTheme="minorHAnsi" w:cstheme="minorHAnsi"/>
          <w:color w:val="0000FF"/>
          <w:sz w:val="20"/>
          <w:szCs w:val="20"/>
        </w:rPr>
        <w:t>Teng, 2012 (84</w:t>
      </w:r>
      <w:r w:rsidR="00AC6036">
        <w:rPr>
          <w:rFonts w:asciiTheme="minorHAnsi" w:hAnsiTheme="minorHAnsi" w:cstheme="minorHAnsi"/>
          <w:color w:val="0000FF"/>
          <w:sz w:val="20"/>
          <w:szCs w:val="20"/>
        </w:rPr>
        <w:t>)</w:t>
      </w:r>
      <w:r w:rsidR="00FE7207" w:rsidRPr="00323FEC">
        <w:rPr>
          <w:rFonts w:asciiTheme="minorHAnsi" w:hAnsiTheme="minorHAnsi" w:cstheme="minorHAnsi"/>
          <w:color w:val="0000FF"/>
          <w:sz w:val="20"/>
          <w:szCs w:val="20"/>
        </w:rPr>
        <w:t>;</w:t>
      </w:r>
      <w:r w:rsidR="00540500" w:rsidRPr="00323FEC">
        <w:rPr>
          <w:rFonts w:asciiTheme="minorHAnsi" w:hAnsiTheme="minorHAnsi" w:cstheme="minorHAnsi"/>
          <w:color w:val="0000FF"/>
          <w:sz w:val="20"/>
          <w:szCs w:val="20"/>
        </w:rPr>
        <w:t xml:space="preserve"> </w:t>
      </w:r>
      <w:r w:rsidR="00756E4F">
        <w:rPr>
          <w:rFonts w:asciiTheme="minorHAnsi" w:hAnsiTheme="minorHAnsi" w:cstheme="minorHAnsi"/>
          <w:color w:val="0000FF"/>
          <w:sz w:val="20"/>
          <w:szCs w:val="20"/>
        </w:rPr>
        <w:t>De Vera, 2010 (86</w:t>
      </w:r>
      <w:r w:rsidR="00AC6036">
        <w:rPr>
          <w:rFonts w:asciiTheme="minorHAnsi" w:hAnsiTheme="minorHAnsi" w:cstheme="minorHAnsi"/>
          <w:color w:val="0000FF"/>
          <w:sz w:val="20"/>
          <w:szCs w:val="20"/>
        </w:rPr>
        <w:t>)</w:t>
      </w:r>
      <w:r w:rsidR="00FE7207" w:rsidRPr="00323FEC">
        <w:rPr>
          <w:rFonts w:asciiTheme="minorHAnsi" w:hAnsiTheme="minorHAnsi" w:cstheme="minorHAnsi"/>
          <w:color w:val="0000FF"/>
          <w:sz w:val="20"/>
          <w:szCs w:val="20"/>
        </w:rPr>
        <w:t xml:space="preserve">; </w:t>
      </w:r>
      <w:r w:rsidR="00756E4F">
        <w:rPr>
          <w:rFonts w:asciiTheme="minorHAnsi" w:hAnsiTheme="minorHAnsi" w:cstheme="minorHAnsi"/>
          <w:color w:val="0000FF"/>
          <w:sz w:val="20"/>
          <w:szCs w:val="20"/>
        </w:rPr>
        <w:t>Kok, 2012 (87)</w:t>
      </w:r>
      <w:r w:rsidR="00FE7207" w:rsidRPr="00323FEC">
        <w:rPr>
          <w:rFonts w:asciiTheme="minorHAnsi" w:hAnsiTheme="minorHAnsi" w:cstheme="minorHAnsi"/>
          <w:color w:val="0000FF"/>
          <w:sz w:val="20"/>
          <w:szCs w:val="20"/>
        </w:rPr>
        <w:t xml:space="preserve">; </w:t>
      </w:r>
      <w:r w:rsidR="00756E4F">
        <w:rPr>
          <w:rFonts w:asciiTheme="minorHAnsi" w:hAnsiTheme="minorHAnsi" w:cstheme="minorHAnsi"/>
          <w:color w:val="0000FF"/>
          <w:sz w:val="20"/>
          <w:szCs w:val="20"/>
        </w:rPr>
        <w:t>Krishnan, 2008 (88</w:t>
      </w:r>
      <w:r w:rsidR="00AC6036">
        <w:rPr>
          <w:rFonts w:asciiTheme="minorHAnsi" w:hAnsiTheme="minorHAnsi" w:cstheme="minorHAnsi"/>
          <w:color w:val="0000FF"/>
          <w:sz w:val="20"/>
          <w:szCs w:val="20"/>
        </w:rPr>
        <w:t>)</w:t>
      </w:r>
      <w:r w:rsidR="00540500">
        <w:rPr>
          <w:rFonts w:asciiTheme="minorHAnsi" w:hAnsiTheme="minorHAnsi" w:cstheme="minorHAnsi"/>
          <w:sz w:val="20"/>
          <w:szCs w:val="20"/>
        </w:rPr>
        <w:t>)</w:t>
      </w:r>
      <w:r w:rsidRPr="00840CF2">
        <w:rPr>
          <w:rFonts w:asciiTheme="minorHAnsi" w:hAnsiTheme="minorHAnsi" w:cstheme="minorHAnsi"/>
          <w:sz w:val="20"/>
          <w:szCs w:val="20"/>
        </w:rPr>
        <w:t>;</w:t>
      </w:r>
      <w:r w:rsidR="009B2780" w:rsidRPr="00840CF2">
        <w:rPr>
          <w:rFonts w:asciiTheme="minorHAnsi" w:hAnsiTheme="minorHAnsi" w:cstheme="minorHAnsi"/>
          <w:sz w:val="20"/>
          <w:szCs w:val="20"/>
        </w:rPr>
        <w:t xml:space="preserve"> </w:t>
      </w:r>
    </w:p>
    <w:p w14:paraId="2574361F" w14:textId="77521D10" w:rsidR="009B2780" w:rsidRPr="00840CF2" w:rsidRDefault="0050662E" w:rsidP="00825BD3">
      <w:pPr>
        <w:pStyle w:val="ListParagraph"/>
        <w:widowControl w:val="0"/>
        <w:numPr>
          <w:ilvl w:val="0"/>
          <w:numId w:val="46"/>
        </w:numPr>
        <w:autoSpaceDE w:val="0"/>
        <w:autoSpaceDN w:val="0"/>
        <w:adjustRightInd w:val="0"/>
        <w:spacing w:line="360" w:lineRule="auto"/>
        <w:rPr>
          <w:rFonts w:asciiTheme="minorHAnsi" w:hAnsiTheme="minorHAnsi" w:cstheme="minorHAnsi"/>
          <w:sz w:val="20"/>
          <w:szCs w:val="20"/>
        </w:rPr>
      </w:pPr>
      <w:r w:rsidRPr="00840CF2">
        <w:rPr>
          <w:rFonts w:asciiTheme="minorHAnsi" w:hAnsiTheme="minorHAnsi" w:cstheme="minorHAnsi"/>
          <w:sz w:val="20"/>
          <w:szCs w:val="20"/>
        </w:rPr>
        <w:t>l’aumento del</w:t>
      </w:r>
      <w:r w:rsidR="009B2780" w:rsidRPr="00840CF2">
        <w:rPr>
          <w:rFonts w:asciiTheme="minorHAnsi" w:hAnsiTheme="minorHAnsi" w:cstheme="minorHAnsi"/>
          <w:sz w:val="20"/>
          <w:szCs w:val="20"/>
        </w:rPr>
        <w:t xml:space="preserve"> rischio di mortalità per qualsiasi causa era principalmente legato ad un aumento di mortalità per patologie cardiovascolari</w:t>
      </w:r>
      <w:r w:rsidR="00B82DC6" w:rsidRPr="00840CF2">
        <w:rPr>
          <w:rFonts w:asciiTheme="minorHAnsi" w:hAnsiTheme="minorHAnsi" w:cstheme="minorHAnsi"/>
          <w:sz w:val="20"/>
          <w:szCs w:val="20"/>
        </w:rPr>
        <w:t xml:space="preserve"> </w:t>
      </w:r>
      <w:r w:rsidR="00C0143F">
        <w:rPr>
          <w:rFonts w:asciiTheme="minorHAnsi" w:hAnsiTheme="minorHAnsi" w:cstheme="minorHAnsi"/>
          <w:sz w:val="20"/>
          <w:szCs w:val="20"/>
        </w:rPr>
        <w:t>(</w:t>
      </w:r>
      <w:r w:rsidR="00A25A75">
        <w:rPr>
          <w:rFonts w:asciiTheme="minorHAnsi" w:hAnsiTheme="minorHAnsi" w:cstheme="minorHAnsi"/>
          <w:color w:val="0000FF"/>
          <w:sz w:val="20"/>
          <w:szCs w:val="20"/>
        </w:rPr>
        <w:t>Perez-Ruiz, 2014 (9</w:t>
      </w:r>
      <w:r w:rsidR="00A25A75" w:rsidRPr="00323FEC">
        <w:rPr>
          <w:rFonts w:asciiTheme="minorHAnsi" w:hAnsiTheme="minorHAnsi" w:cstheme="minorHAnsi"/>
          <w:color w:val="0000FF"/>
          <w:sz w:val="20"/>
          <w:szCs w:val="20"/>
        </w:rPr>
        <w:t xml:space="preserve">); </w:t>
      </w:r>
      <w:r w:rsidR="00FE7207" w:rsidRPr="00323FEC">
        <w:rPr>
          <w:rFonts w:asciiTheme="minorHAnsi" w:hAnsiTheme="minorHAnsi" w:cstheme="minorHAnsi"/>
          <w:color w:val="0000FF"/>
          <w:sz w:val="20"/>
          <w:szCs w:val="20"/>
        </w:rPr>
        <w:t>Choi, 2007 (21);</w:t>
      </w:r>
      <w:r w:rsidR="00C0143F" w:rsidRPr="00323FEC">
        <w:rPr>
          <w:rFonts w:asciiTheme="minorHAnsi" w:hAnsiTheme="minorHAnsi" w:cstheme="minorHAnsi"/>
          <w:color w:val="0000FF"/>
          <w:sz w:val="20"/>
          <w:szCs w:val="20"/>
        </w:rPr>
        <w:t xml:space="preserve"> </w:t>
      </w:r>
      <w:r w:rsidR="00231A40">
        <w:rPr>
          <w:rFonts w:asciiTheme="minorHAnsi" w:hAnsiTheme="minorHAnsi" w:cstheme="minorHAnsi"/>
          <w:color w:val="0000FF"/>
          <w:sz w:val="20"/>
          <w:szCs w:val="20"/>
        </w:rPr>
        <w:t>Kuo, 2011 (22)</w:t>
      </w:r>
      <w:r w:rsidR="00FE7207" w:rsidRPr="00323FEC">
        <w:rPr>
          <w:rFonts w:asciiTheme="minorHAnsi" w:hAnsiTheme="minorHAnsi" w:cstheme="minorHAnsi"/>
          <w:color w:val="0000FF"/>
          <w:sz w:val="20"/>
          <w:szCs w:val="20"/>
        </w:rPr>
        <w:t xml:space="preserve">; </w:t>
      </w:r>
      <w:r w:rsidR="00A25A75">
        <w:rPr>
          <w:rFonts w:asciiTheme="minorHAnsi" w:hAnsiTheme="minorHAnsi" w:cstheme="minorHAnsi"/>
          <w:color w:val="0000FF"/>
          <w:sz w:val="20"/>
          <w:szCs w:val="20"/>
        </w:rPr>
        <w:t>Chen, 2015 (27)</w:t>
      </w:r>
      <w:r w:rsidR="00A25A75" w:rsidRPr="00323FEC">
        <w:rPr>
          <w:rFonts w:asciiTheme="minorHAnsi" w:hAnsiTheme="minorHAnsi" w:cstheme="minorHAnsi"/>
          <w:color w:val="0000FF"/>
          <w:sz w:val="20"/>
          <w:szCs w:val="20"/>
        </w:rPr>
        <w:t xml:space="preserve">; </w:t>
      </w:r>
      <w:r w:rsidR="00A25A75">
        <w:rPr>
          <w:rFonts w:asciiTheme="minorHAnsi" w:hAnsiTheme="minorHAnsi" w:cstheme="minorHAnsi"/>
          <w:color w:val="0000FF"/>
          <w:sz w:val="20"/>
          <w:szCs w:val="20"/>
        </w:rPr>
        <w:t>Kuo, 2010 (83)</w:t>
      </w:r>
      <w:r w:rsidR="00A25A75" w:rsidRPr="00323FEC">
        <w:rPr>
          <w:rFonts w:asciiTheme="minorHAnsi" w:hAnsiTheme="minorHAnsi" w:cstheme="minorHAnsi"/>
          <w:color w:val="0000FF"/>
          <w:sz w:val="20"/>
          <w:szCs w:val="20"/>
        </w:rPr>
        <w:t xml:space="preserve">; </w:t>
      </w:r>
      <w:r w:rsidR="00756E4F">
        <w:rPr>
          <w:rFonts w:asciiTheme="minorHAnsi" w:hAnsiTheme="minorHAnsi" w:cstheme="minorHAnsi"/>
          <w:color w:val="0000FF"/>
          <w:sz w:val="20"/>
          <w:szCs w:val="20"/>
        </w:rPr>
        <w:t>Teng, 2012 (84</w:t>
      </w:r>
      <w:r w:rsidR="00AC6036">
        <w:rPr>
          <w:rFonts w:asciiTheme="minorHAnsi" w:hAnsiTheme="minorHAnsi" w:cstheme="minorHAnsi"/>
          <w:color w:val="0000FF"/>
          <w:sz w:val="20"/>
          <w:szCs w:val="20"/>
        </w:rPr>
        <w:t>)</w:t>
      </w:r>
      <w:r w:rsidR="00C0143F">
        <w:rPr>
          <w:rFonts w:asciiTheme="minorHAnsi" w:hAnsiTheme="minorHAnsi" w:cstheme="minorHAnsi"/>
          <w:sz w:val="20"/>
          <w:szCs w:val="20"/>
        </w:rPr>
        <w:t>)</w:t>
      </w:r>
      <w:r w:rsidR="00B82DC6" w:rsidRPr="00840CF2">
        <w:rPr>
          <w:rFonts w:asciiTheme="minorHAnsi" w:hAnsiTheme="minorHAnsi" w:cstheme="minorHAnsi"/>
          <w:sz w:val="20"/>
          <w:szCs w:val="20"/>
          <w:lang w:val="en-GB"/>
        </w:rPr>
        <w:fldChar w:fldCharType="begin">
          <w:fldData xml:space="preserve">PEVuZE5vdGU+PENpdGU+PEF1dGhvcj5DaGVuPC9BdXRob3I+PFllYXI+MjAxNTwvWWVhcj48UmVj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</w:fldData>
        </w:fldChar>
      </w:r>
      <w:r w:rsidR="00B82DC6" w:rsidRPr="00840CF2">
        <w:rPr>
          <w:rFonts w:asciiTheme="minorHAnsi" w:hAnsiTheme="minorHAnsi" w:cstheme="minorHAnsi"/>
          <w:sz w:val="20"/>
          <w:szCs w:val="20"/>
        </w:rPr>
        <w:instrText xml:space="preserve"> ADDIN EN.CITE </w:instrText>
      </w:r>
      <w:r w:rsidR="00B82DC6" w:rsidRPr="00840CF2">
        <w:rPr>
          <w:rFonts w:asciiTheme="minorHAnsi" w:hAnsiTheme="minorHAnsi" w:cstheme="minorHAnsi"/>
          <w:sz w:val="20"/>
          <w:szCs w:val="20"/>
          <w:lang w:val="en-GB"/>
        </w:rPr>
        <w:fldChar w:fldCharType="begin">
          <w:fldData xml:space="preserve">PEVuZE5vdGU+PENpdGU+PEF1dGhvcj5DaGVuPC9BdXRob3I+PFllYXI+MjAxNTwvWWVhcj48UmVj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</w:fldData>
        </w:fldChar>
      </w:r>
      <w:r w:rsidR="00B82DC6" w:rsidRPr="00840CF2">
        <w:rPr>
          <w:rFonts w:asciiTheme="minorHAnsi" w:hAnsiTheme="minorHAnsi" w:cstheme="minorHAnsi"/>
          <w:sz w:val="20"/>
          <w:szCs w:val="20"/>
        </w:rPr>
        <w:instrText xml:space="preserve"> ADDIN EN.CITE.DATA </w:instrText>
      </w:r>
      <w:r w:rsidR="00B82DC6" w:rsidRPr="00840CF2">
        <w:rPr>
          <w:rFonts w:asciiTheme="minorHAnsi" w:hAnsiTheme="minorHAnsi" w:cstheme="minorHAnsi"/>
          <w:sz w:val="20"/>
          <w:szCs w:val="20"/>
        </w:rPr>
      </w:r>
      <w:r w:rsidR="00B82DC6" w:rsidRPr="00840CF2">
        <w:rPr>
          <w:rFonts w:asciiTheme="minorHAnsi" w:hAnsiTheme="minorHAnsi" w:cstheme="minorHAnsi"/>
          <w:sz w:val="20"/>
          <w:szCs w:val="20"/>
        </w:rPr>
        <w:fldChar w:fldCharType="end"/>
      </w:r>
      <w:r w:rsidR="00B82DC6" w:rsidRPr="00840CF2">
        <w:rPr>
          <w:rFonts w:asciiTheme="minorHAnsi" w:hAnsiTheme="minorHAnsi" w:cstheme="minorHAnsi"/>
          <w:sz w:val="20"/>
          <w:szCs w:val="20"/>
          <w:lang w:val="en-GB"/>
        </w:rPr>
      </w:r>
      <w:r w:rsidR="00B82DC6" w:rsidRPr="00840CF2">
        <w:rPr>
          <w:rFonts w:asciiTheme="minorHAnsi" w:hAnsiTheme="minorHAnsi" w:cstheme="minorHAnsi"/>
          <w:sz w:val="20"/>
          <w:szCs w:val="20"/>
          <w:lang w:val="en-GB"/>
        </w:rPr>
        <w:fldChar w:fldCharType="end"/>
      </w:r>
      <w:r w:rsidRPr="00840CF2">
        <w:rPr>
          <w:rFonts w:asciiTheme="minorHAnsi" w:hAnsiTheme="minorHAnsi" w:cstheme="minorHAnsi"/>
          <w:sz w:val="20"/>
          <w:szCs w:val="20"/>
        </w:rPr>
        <w:t>;</w:t>
      </w:r>
    </w:p>
    <w:p w14:paraId="5575D05E" w14:textId="523A9EF1" w:rsidR="00393D4D" w:rsidRPr="007578E1" w:rsidRDefault="00393D4D" w:rsidP="00825BD3">
      <w:pPr>
        <w:pStyle w:val="ListParagraph"/>
        <w:widowControl w:val="0"/>
        <w:numPr>
          <w:ilvl w:val="0"/>
          <w:numId w:val="46"/>
        </w:numPr>
        <w:autoSpaceDE w:val="0"/>
        <w:autoSpaceDN w:val="0"/>
        <w:adjustRightInd w:val="0"/>
        <w:spacing w:line="360" w:lineRule="auto"/>
        <w:rPr>
          <w:rFonts w:cstheme="minorHAnsi"/>
          <w:sz w:val="20"/>
          <w:szCs w:val="20"/>
        </w:rPr>
      </w:pPr>
      <w:r w:rsidRPr="00A273B6">
        <w:rPr>
          <w:rFonts w:asciiTheme="minorHAnsi" w:hAnsiTheme="minorHAnsi" w:cstheme="minorHAnsi"/>
          <w:b/>
          <w:sz w:val="20"/>
          <w:szCs w:val="20"/>
        </w:rPr>
        <w:t>nei pazienti gottosi in trattamento con ULT c’è una riduzione statisticamente significativa</w:t>
      </w:r>
      <w:r w:rsidR="007A7837">
        <w:rPr>
          <w:rFonts w:asciiTheme="minorHAnsi" w:hAnsiTheme="minorHAnsi" w:cstheme="minorHAnsi"/>
          <w:b/>
          <w:sz w:val="20"/>
          <w:szCs w:val="20"/>
        </w:rPr>
        <w:t xml:space="preserve"> </w:t>
      </w:r>
      <w:r w:rsidRPr="00A273B6">
        <w:rPr>
          <w:rFonts w:asciiTheme="minorHAnsi" w:hAnsiTheme="minorHAnsi" w:cstheme="minorHAnsi"/>
          <w:b/>
          <w:sz w:val="20"/>
          <w:szCs w:val="20"/>
        </w:rPr>
        <w:t xml:space="preserve">del rischio di mortalità per qualsiasi causa </w:t>
      </w:r>
      <w:r w:rsidR="00A63D8D" w:rsidRPr="00A273B6">
        <w:rPr>
          <w:rFonts w:asciiTheme="minorHAnsi" w:hAnsiTheme="minorHAnsi" w:cstheme="minorHAnsi"/>
          <w:b/>
          <w:sz w:val="20"/>
          <w:szCs w:val="20"/>
        </w:rPr>
        <w:t xml:space="preserve">(HR [hazard ratio] 0.47 [95% confidence interval [CI] 0.29-0.79]) </w:t>
      </w:r>
      <w:r w:rsidRPr="00A273B6">
        <w:rPr>
          <w:rFonts w:asciiTheme="minorHAnsi" w:hAnsiTheme="minorHAnsi" w:cstheme="minorHAnsi"/>
          <w:b/>
          <w:sz w:val="20"/>
          <w:szCs w:val="20"/>
        </w:rPr>
        <w:t xml:space="preserve">e per patologie cardiovascolari </w:t>
      </w:r>
      <w:r w:rsidR="00A63D8D" w:rsidRPr="00A273B6">
        <w:rPr>
          <w:rFonts w:asciiTheme="minorHAnsi" w:hAnsiTheme="minorHAnsi" w:cstheme="minorHAnsi"/>
          <w:b/>
          <w:sz w:val="20"/>
          <w:szCs w:val="20"/>
        </w:rPr>
        <w:t>(HR 0.29 [95% CI 0.11–0.80) rispetto ai pazienti non in trattamento con ULT</w:t>
      </w:r>
      <w:r w:rsidR="00A63D8D">
        <w:rPr>
          <w:rFonts w:asciiTheme="minorHAnsi" w:hAnsiTheme="minorHAnsi" w:cstheme="minorHAnsi"/>
          <w:sz w:val="20"/>
          <w:szCs w:val="20"/>
        </w:rPr>
        <w:t xml:space="preserve"> (</w:t>
      </w:r>
      <w:r w:rsidR="0083674F">
        <w:rPr>
          <w:rFonts w:asciiTheme="minorHAnsi" w:hAnsiTheme="minorHAnsi" w:cstheme="minorHAnsi"/>
          <w:color w:val="0000FF"/>
          <w:sz w:val="20"/>
          <w:szCs w:val="20"/>
        </w:rPr>
        <w:t>Chen, 2015 (27)</w:t>
      </w:r>
      <w:r w:rsidR="00A63D8D">
        <w:rPr>
          <w:rFonts w:asciiTheme="minorHAnsi" w:hAnsiTheme="minorHAnsi" w:cstheme="minorHAnsi"/>
          <w:sz w:val="20"/>
          <w:szCs w:val="20"/>
        </w:rPr>
        <w:t>)</w:t>
      </w:r>
    </w:p>
    <w:p w14:paraId="6F28C07D" w14:textId="49003953" w:rsidR="003A5185" w:rsidRDefault="00A63D8D" w:rsidP="009F1699">
      <w:pPr>
        <w:widowControl w:val="0"/>
        <w:autoSpaceDE w:val="0"/>
        <w:autoSpaceDN w:val="0"/>
        <w:adjustRightInd w:val="0"/>
        <w:spacing w:line="360" w:lineRule="auto"/>
        <w:rPr>
          <w:rFonts w:cs="Arial"/>
          <w:sz w:val="20"/>
          <w:szCs w:val="20"/>
        </w:rPr>
      </w:pPr>
      <w:r w:rsidRPr="002A7325">
        <w:rPr>
          <w:rFonts w:cs="Arial"/>
          <w:sz w:val="20"/>
          <w:szCs w:val="20"/>
        </w:rPr>
        <w:t>So</w:t>
      </w:r>
      <w:r w:rsidR="00BC5634">
        <w:rPr>
          <w:rFonts w:cs="Arial"/>
          <w:sz w:val="20"/>
          <w:szCs w:val="20"/>
        </w:rPr>
        <w:t>no inoltre state identificate 3</w:t>
      </w:r>
      <w:r w:rsidRPr="002A7325">
        <w:rPr>
          <w:rFonts w:cs="Arial"/>
          <w:sz w:val="20"/>
          <w:szCs w:val="20"/>
        </w:rPr>
        <w:t xml:space="preserve"> reviews </w:t>
      </w:r>
      <w:r w:rsidR="003A5185" w:rsidRPr="002A7325">
        <w:rPr>
          <w:rFonts w:cs="Arial"/>
          <w:sz w:val="20"/>
          <w:szCs w:val="20"/>
        </w:rPr>
        <w:t>di letteratura pubblicate</w:t>
      </w:r>
      <w:r w:rsidR="003A5185">
        <w:rPr>
          <w:rFonts w:cs="Arial"/>
          <w:sz w:val="20"/>
          <w:szCs w:val="20"/>
        </w:rPr>
        <w:t xml:space="preserve"> (</w:t>
      </w:r>
      <w:r w:rsidR="00EC3329">
        <w:rPr>
          <w:rFonts w:cs="Arial"/>
          <w:color w:val="0000FF"/>
          <w:sz w:val="20"/>
          <w:szCs w:val="20"/>
        </w:rPr>
        <w:t>Lottmann, 2012 (89</w:t>
      </w:r>
      <w:r w:rsidR="000776B7">
        <w:rPr>
          <w:rFonts w:cs="Arial"/>
          <w:color w:val="0000FF"/>
          <w:sz w:val="20"/>
          <w:szCs w:val="20"/>
        </w:rPr>
        <w:t>)</w:t>
      </w:r>
      <w:r w:rsidR="003A5185" w:rsidRPr="002A7325">
        <w:rPr>
          <w:rFonts w:cs="Arial"/>
          <w:color w:val="0000FF"/>
          <w:sz w:val="20"/>
          <w:szCs w:val="20"/>
        </w:rPr>
        <w:t xml:space="preserve">; </w:t>
      </w:r>
      <w:r w:rsidR="00EC3329">
        <w:rPr>
          <w:rFonts w:cs="Arial"/>
          <w:color w:val="0000FF"/>
          <w:sz w:val="20"/>
          <w:szCs w:val="20"/>
        </w:rPr>
        <w:t>Clarson, 2015 (90</w:t>
      </w:r>
      <w:r w:rsidR="00C0143F">
        <w:rPr>
          <w:rFonts w:cs="Arial"/>
          <w:color w:val="0000FF"/>
          <w:sz w:val="20"/>
          <w:szCs w:val="20"/>
        </w:rPr>
        <w:t>)</w:t>
      </w:r>
      <w:r w:rsidR="003A5185" w:rsidRPr="002A7325">
        <w:rPr>
          <w:rFonts w:cs="Arial"/>
          <w:color w:val="0000FF"/>
          <w:sz w:val="20"/>
          <w:szCs w:val="20"/>
        </w:rPr>
        <w:t xml:space="preserve">; </w:t>
      </w:r>
      <w:r w:rsidR="00EC3329">
        <w:rPr>
          <w:rFonts w:cs="Arial"/>
          <w:color w:val="0000FF"/>
          <w:sz w:val="20"/>
          <w:szCs w:val="20"/>
        </w:rPr>
        <w:t>Kim, 2008 (91</w:t>
      </w:r>
      <w:r w:rsidR="00C0143F">
        <w:rPr>
          <w:rFonts w:cs="Arial"/>
          <w:color w:val="0000FF"/>
          <w:sz w:val="20"/>
          <w:szCs w:val="20"/>
        </w:rPr>
        <w:t>)</w:t>
      </w:r>
      <w:r w:rsidR="003A5185">
        <w:rPr>
          <w:rFonts w:cs="Arial"/>
          <w:sz w:val="20"/>
          <w:szCs w:val="20"/>
        </w:rPr>
        <w:t>)</w:t>
      </w:r>
      <w:r w:rsidR="003A5185" w:rsidRPr="002A7325">
        <w:rPr>
          <w:rFonts w:cs="Arial"/>
          <w:sz w:val="20"/>
          <w:szCs w:val="20"/>
        </w:rPr>
        <w:t>: sebbe</w:t>
      </w:r>
      <w:r w:rsidR="003A5185">
        <w:rPr>
          <w:rFonts w:cs="Arial"/>
          <w:sz w:val="20"/>
          <w:szCs w:val="20"/>
        </w:rPr>
        <w:t>ne</w:t>
      </w:r>
      <w:r w:rsidR="003A5185" w:rsidRPr="002A7325">
        <w:rPr>
          <w:rFonts w:cs="Arial"/>
          <w:sz w:val="20"/>
          <w:szCs w:val="20"/>
        </w:rPr>
        <w:t xml:space="preserve"> questi art</w:t>
      </w:r>
      <w:r w:rsidR="003A5185">
        <w:rPr>
          <w:rFonts w:cs="Arial"/>
          <w:sz w:val="20"/>
          <w:szCs w:val="20"/>
        </w:rPr>
        <w:t>i</w:t>
      </w:r>
      <w:r w:rsidR="003A5185" w:rsidRPr="002A7325">
        <w:rPr>
          <w:rFonts w:cs="Arial"/>
          <w:sz w:val="20"/>
          <w:szCs w:val="20"/>
        </w:rPr>
        <w:t xml:space="preserve">coli non </w:t>
      </w:r>
      <w:r w:rsidR="00BC5634">
        <w:rPr>
          <w:rFonts w:cs="Arial"/>
          <w:sz w:val="20"/>
          <w:szCs w:val="20"/>
        </w:rPr>
        <w:t>sono risultati</w:t>
      </w:r>
      <w:r w:rsidR="003A5185" w:rsidRPr="002A7325">
        <w:rPr>
          <w:rFonts w:cs="Arial"/>
          <w:sz w:val="20"/>
          <w:szCs w:val="20"/>
        </w:rPr>
        <w:t xml:space="preserve"> perfettamente allineati ai criteri predefiniti per la revision</w:t>
      </w:r>
      <w:r w:rsidR="003A5185">
        <w:rPr>
          <w:rFonts w:cs="Arial"/>
          <w:sz w:val="20"/>
          <w:szCs w:val="20"/>
        </w:rPr>
        <w:t>e</w:t>
      </w:r>
      <w:r w:rsidR="003A5185" w:rsidRPr="002A7325">
        <w:rPr>
          <w:rFonts w:cs="Arial"/>
          <w:sz w:val="20"/>
          <w:szCs w:val="20"/>
        </w:rPr>
        <w:t xml:space="preserve"> sistematica della letteratura, i </w:t>
      </w:r>
      <w:r w:rsidR="003A5185">
        <w:rPr>
          <w:rFonts w:cs="Arial"/>
          <w:sz w:val="20"/>
          <w:szCs w:val="20"/>
        </w:rPr>
        <w:t xml:space="preserve">relativi risultati confermano che </w:t>
      </w:r>
      <w:r w:rsidR="003A5185" w:rsidRPr="002C53D6">
        <w:rPr>
          <w:rFonts w:cstheme="minorHAnsi"/>
          <w:sz w:val="20"/>
          <w:szCs w:val="20"/>
        </w:rPr>
        <w:t>n</w:t>
      </w:r>
      <w:r w:rsidR="003A5185">
        <w:rPr>
          <w:rFonts w:cstheme="minorHAnsi"/>
          <w:sz w:val="20"/>
          <w:szCs w:val="20"/>
        </w:rPr>
        <w:t>ei pazienti gottosi</w:t>
      </w:r>
      <w:r w:rsidR="003A5185" w:rsidRPr="002C53D6">
        <w:rPr>
          <w:rFonts w:cstheme="minorHAnsi"/>
          <w:sz w:val="20"/>
          <w:szCs w:val="20"/>
        </w:rPr>
        <w:t xml:space="preserve"> c’è un aumento del rischio di mortalità per qualsiasi causa e per patologie cardiovascolari </w:t>
      </w:r>
      <w:r w:rsidR="003A5185">
        <w:rPr>
          <w:rFonts w:cstheme="minorHAnsi"/>
          <w:sz w:val="20"/>
          <w:szCs w:val="20"/>
        </w:rPr>
        <w:t>rispetto alla popolazione generale.</w:t>
      </w:r>
    </w:p>
    <w:p w14:paraId="38832BA8" w14:textId="77777777" w:rsidR="009B2780" w:rsidRPr="004A667D" w:rsidRDefault="009B2780" w:rsidP="009F1699">
      <w:pPr>
        <w:widowControl w:val="0"/>
        <w:autoSpaceDE w:val="0"/>
        <w:autoSpaceDN w:val="0"/>
        <w:adjustRightInd w:val="0"/>
        <w:spacing w:line="360" w:lineRule="auto"/>
        <w:rPr>
          <w:rFonts w:cs="Arial"/>
          <w:sz w:val="20"/>
          <w:szCs w:val="20"/>
        </w:rPr>
      </w:pPr>
    </w:p>
    <w:p w14:paraId="76E31635" w14:textId="7F7B869D" w:rsidR="000808B5" w:rsidRPr="000808B5" w:rsidRDefault="000808B5" w:rsidP="009F1699">
      <w:pPr>
        <w:widowControl w:val="0"/>
        <w:autoSpaceDE w:val="0"/>
        <w:autoSpaceDN w:val="0"/>
        <w:adjustRightInd w:val="0"/>
        <w:spacing w:line="360" w:lineRule="auto"/>
        <w:rPr>
          <w:rFonts w:cs="Arial"/>
          <w:sz w:val="20"/>
          <w:szCs w:val="20"/>
        </w:rPr>
      </w:pPr>
      <w:r w:rsidRPr="000808B5">
        <w:rPr>
          <w:rFonts w:cs="Arial"/>
          <w:b/>
          <w:sz w:val="20"/>
          <w:szCs w:val="20"/>
        </w:rPr>
        <w:t>La gotta, infine, ha effetti importanti sulla qualità di vita dei pazienti</w:t>
      </w:r>
      <w:r w:rsidR="00386D3F">
        <w:rPr>
          <w:rFonts w:cs="Arial"/>
          <w:b/>
          <w:sz w:val="20"/>
          <w:szCs w:val="20"/>
        </w:rPr>
        <w:t xml:space="preserve"> </w:t>
      </w:r>
      <w:r w:rsidR="00386D3F" w:rsidRPr="00386D3F">
        <w:rPr>
          <w:rFonts w:cs="Arial"/>
          <w:sz w:val="20"/>
          <w:szCs w:val="20"/>
        </w:rPr>
        <w:t>(</w:t>
      </w:r>
      <w:r w:rsidR="0083674F">
        <w:rPr>
          <w:rFonts w:cs="Arial"/>
          <w:color w:val="0000FF"/>
          <w:sz w:val="20"/>
          <w:szCs w:val="20"/>
        </w:rPr>
        <w:t>Scirè, 2013 (28)</w:t>
      </w:r>
      <w:r w:rsidR="00386D3F" w:rsidRPr="00386D3F">
        <w:rPr>
          <w:rFonts w:cs="Arial"/>
          <w:color w:val="0000FF"/>
          <w:sz w:val="20"/>
          <w:szCs w:val="20"/>
        </w:rPr>
        <w:t xml:space="preserve">; </w:t>
      </w:r>
      <w:r w:rsidR="0083674F">
        <w:rPr>
          <w:rFonts w:cs="Arial"/>
          <w:color w:val="0000FF"/>
          <w:sz w:val="20"/>
          <w:szCs w:val="20"/>
        </w:rPr>
        <w:t>Khanna, 2012 (29)</w:t>
      </w:r>
      <w:r w:rsidR="00386D3F" w:rsidRPr="00386D3F">
        <w:rPr>
          <w:rFonts w:cs="Arial"/>
          <w:color w:val="0000FF"/>
          <w:sz w:val="20"/>
          <w:szCs w:val="20"/>
        </w:rPr>
        <w:t xml:space="preserve">; </w:t>
      </w:r>
      <w:r w:rsidR="0083674F">
        <w:rPr>
          <w:rFonts w:cs="Arial"/>
          <w:color w:val="0000FF"/>
          <w:sz w:val="20"/>
          <w:szCs w:val="20"/>
        </w:rPr>
        <w:t>Lee, 2009 (30)</w:t>
      </w:r>
      <w:r w:rsidR="00386D3F" w:rsidRPr="00386D3F">
        <w:rPr>
          <w:rFonts w:cs="Arial"/>
          <w:color w:val="0000FF"/>
          <w:sz w:val="20"/>
          <w:szCs w:val="20"/>
        </w:rPr>
        <w:t xml:space="preserve">; </w:t>
      </w:r>
      <w:r w:rsidR="0083674F">
        <w:rPr>
          <w:rFonts w:cs="Arial"/>
          <w:color w:val="0000FF"/>
          <w:sz w:val="20"/>
          <w:szCs w:val="20"/>
        </w:rPr>
        <w:t>Roddy, 2007 (31)</w:t>
      </w:r>
      <w:r w:rsidR="00386D3F" w:rsidRPr="00386D3F">
        <w:rPr>
          <w:rFonts w:cs="Arial"/>
          <w:sz w:val="20"/>
          <w:szCs w:val="20"/>
        </w:rPr>
        <w:t>)</w:t>
      </w:r>
      <w:r w:rsidRPr="000808B5">
        <w:rPr>
          <w:rFonts w:cs="Arial"/>
          <w:sz w:val="20"/>
          <w:szCs w:val="20"/>
        </w:rPr>
        <w:t xml:space="preserve">: </w:t>
      </w:r>
      <w:r w:rsidRPr="000808B5">
        <w:rPr>
          <w:rFonts w:cs="Arial"/>
          <w:b/>
          <w:sz w:val="20"/>
          <w:szCs w:val="20"/>
        </w:rPr>
        <w:t>dati molto significativi, e in linea con le evidenze da studi internazionali, sono stati pubblicati per l’Italia nell’ambito dello studio KING</w:t>
      </w:r>
      <w:r w:rsidRPr="000808B5">
        <w:rPr>
          <w:rFonts w:cs="Arial"/>
          <w:sz w:val="20"/>
          <w:szCs w:val="20"/>
        </w:rPr>
        <w:t xml:space="preserve"> (Kick-off of the Italian Network for Gout). Lo studio nazionale multicentrico ha randomizzato pazienti con gotta (N=446) da Centri di Reumatologia Italiani</w:t>
      </w:r>
      <w:r w:rsidR="002A7325">
        <w:rPr>
          <w:rFonts w:cs="Arial"/>
          <w:sz w:val="20"/>
          <w:szCs w:val="20"/>
        </w:rPr>
        <w:t xml:space="preserve"> selezionati</w:t>
      </w:r>
      <w:r w:rsidRPr="000808B5">
        <w:rPr>
          <w:rFonts w:cs="Arial"/>
          <w:sz w:val="20"/>
          <w:szCs w:val="20"/>
        </w:rPr>
        <w:t>, dimostrando che:</w:t>
      </w:r>
    </w:p>
    <w:p w14:paraId="00D7EAD1" w14:textId="2678942F" w:rsidR="000808B5" w:rsidRPr="002A7325" w:rsidRDefault="000808B5" w:rsidP="00825BD3">
      <w:pPr>
        <w:pStyle w:val="ListParagraph"/>
        <w:widowControl w:val="0"/>
        <w:numPr>
          <w:ilvl w:val="0"/>
          <w:numId w:val="47"/>
        </w:numPr>
        <w:autoSpaceDE w:val="0"/>
        <w:autoSpaceDN w:val="0"/>
        <w:adjustRightInd w:val="0"/>
        <w:spacing w:line="360" w:lineRule="auto"/>
        <w:rPr>
          <w:rFonts w:cstheme="minorHAnsi"/>
          <w:sz w:val="20"/>
          <w:szCs w:val="20"/>
        </w:rPr>
      </w:pPr>
      <w:r w:rsidRPr="002A7325">
        <w:rPr>
          <w:rFonts w:asciiTheme="minorHAnsi" w:hAnsiTheme="minorHAnsi" w:cstheme="minorHAnsi"/>
          <w:sz w:val="20"/>
          <w:szCs w:val="20"/>
        </w:rPr>
        <w:t xml:space="preserve">la compromissione funzionale e della HRQoL osservata nei pazienti con gotta non è causata solo da variabili </w:t>
      </w:r>
      <w:r w:rsidR="002A7325">
        <w:rPr>
          <w:rFonts w:asciiTheme="minorHAnsi" w:hAnsiTheme="minorHAnsi" w:cstheme="minorHAnsi"/>
          <w:sz w:val="20"/>
          <w:szCs w:val="20"/>
        </w:rPr>
        <w:t xml:space="preserve">indipendenti dalla patologia legati alla </w:t>
      </w:r>
      <w:r w:rsidRPr="002A7325">
        <w:rPr>
          <w:rFonts w:asciiTheme="minorHAnsi" w:hAnsiTheme="minorHAnsi" w:cstheme="minorHAnsi"/>
          <w:sz w:val="20"/>
          <w:szCs w:val="20"/>
        </w:rPr>
        <w:t xml:space="preserve">salute generale (fattori di rischio associati </w:t>
      </w:r>
      <w:r w:rsidR="002A7325">
        <w:rPr>
          <w:rFonts w:asciiTheme="minorHAnsi" w:hAnsiTheme="minorHAnsi" w:cstheme="minorHAnsi"/>
          <w:sz w:val="20"/>
          <w:szCs w:val="20"/>
        </w:rPr>
        <w:t xml:space="preserve">alla patologia </w:t>
      </w:r>
      <w:r w:rsidRPr="002A7325">
        <w:rPr>
          <w:rFonts w:asciiTheme="minorHAnsi" w:hAnsiTheme="minorHAnsi" w:cstheme="minorHAnsi"/>
          <w:sz w:val="20"/>
          <w:szCs w:val="20"/>
        </w:rPr>
        <w:t>e comorbi</w:t>
      </w:r>
      <w:r w:rsidR="002A7325">
        <w:rPr>
          <w:rFonts w:asciiTheme="minorHAnsi" w:hAnsiTheme="minorHAnsi" w:cstheme="minorHAnsi"/>
          <w:sz w:val="20"/>
          <w:szCs w:val="20"/>
        </w:rPr>
        <w:t>dità</w:t>
      </w:r>
      <w:r w:rsidRPr="002A7325">
        <w:rPr>
          <w:rFonts w:asciiTheme="minorHAnsi" w:hAnsiTheme="minorHAnsi" w:cstheme="minorHAnsi"/>
          <w:sz w:val="20"/>
          <w:szCs w:val="20"/>
        </w:rPr>
        <w:t xml:space="preserve">), </w:t>
      </w:r>
    </w:p>
    <w:p w14:paraId="7657F544" w14:textId="77777777" w:rsidR="000808B5" w:rsidRPr="002A7325" w:rsidRDefault="000808B5" w:rsidP="00825BD3">
      <w:pPr>
        <w:pStyle w:val="ListParagraph"/>
        <w:widowControl w:val="0"/>
        <w:numPr>
          <w:ilvl w:val="0"/>
          <w:numId w:val="47"/>
        </w:numPr>
        <w:autoSpaceDE w:val="0"/>
        <w:autoSpaceDN w:val="0"/>
        <w:adjustRightInd w:val="0"/>
        <w:spacing w:line="360" w:lineRule="auto"/>
        <w:rPr>
          <w:rFonts w:cstheme="minorHAnsi"/>
          <w:sz w:val="20"/>
          <w:szCs w:val="20"/>
        </w:rPr>
      </w:pPr>
      <w:r w:rsidRPr="002A7325">
        <w:rPr>
          <w:rFonts w:asciiTheme="minorHAnsi" w:hAnsiTheme="minorHAnsi" w:cstheme="minorHAnsi"/>
          <w:sz w:val="20"/>
          <w:szCs w:val="20"/>
        </w:rPr>
        <w:t>ma è anche influenzata dall'attività e dalla gravità di diverse variabili correlate alla malattia tra cui il numero complessivo di articolazioni interessate (OR 3,82; IC 1,63-8,95), la presenza di tofi, (OR 1,92; IC 1,07-3,43) e una storia recente di attacchi acuti (OR 2,20; IC 1,27-3,81),</w:t>
      </w:r>
    </w:p>
    <w:p w14:paraId="27692B64" w14:textId="608896D0" w:rsidR="000808B5" w:rsidRPr="002A7325" w:rsidRDefault="000808B5" w:rsidP="00825BD3">
      <w:pPr>
        <w:pStyle w:val="ListParagraph"/>
        <w:widowControl w:val="0"/>
        <w:numPr>
          <w:ilvl w:val="0"/>
          <w:numId w:val="47"/>
        </w:numPr>
        <w:autoSpaceDE w:val="0"/>
        <w:autoSpaceDN w:val="0"/>
        <w:adjustRightInd w:val="0"/>
        <w:spacing w:line="360" w:lineRule="auto"/>
        <w:rPr>
          <w:rFonts w:cstheme="minorHAnsi"/>
          <w:sz w:val="20"/>
          <w:szCs w:val="20"/>
        </w:rPr>
      </w:pPr>
      <w:r w:rsidRPr="002A7325">
        <w:rPr>
          <w:rFonts w:asciiTheme="minorHAnsi" w:hAnsiTheme="minorHAnsi" w:cstheme="minorHAnsi"/>
          <w:sz w:val="20"/>
          <w:szCs w:val="20"/>
        </w:rPr>
        <w:t xml:space="preserve">come pure dai fattori che indicano </w:t>
      </w:r>
      <w:r w:rsidR="002A7325">
        <w:rPr>
          <w:rFonts w:asciiTheme="minorHAnsi" w:hAnsiTheme="minorHAnsi" w:cstheme="minorHAnsi"/>
          <w:sz w:val="20"/>
          <w:szCs w:val="20"/>
        </w:rPr>
        <w:t>l’</w:t>
      </w:r>
      <w:r w:rsidRPr="002A7325">
        <w:rPr>
          <w:rFonts w:asciiTheme="minorHAnsi" w:hAnsiTheme="minorHAnsi" w:cstheme="minorHAnsi"/>
          <w:sz w:val="20"/>
          <w:szCs w:val="20"/>
        </w:rPr>
        <w:t>attività</w:t>
      </w:r>
      <w:r w:rsidR="002A7325">
        <w:rPr>
          <w:rFonts w:asciiTheme="minorHAnsi" w:hAnsiTheme="minorHAnsi" w:cstheme="minorHAnsi"/>
          <w:sz w:val="20"/>
          <w:szCs w:val="20"/>
        </w:rPr>
        <w:t xml:space="preserve"> della</w:t>
      </w:r>
      <w:r w:rsidRPr="002A7325">
        <w:rPr>
          <w:rFonts w:asciiTheme="minorHAnsi" w:hAnsiTheme="minorHAnsi" w:cstheme="minorHAnsi"/>
          <w:sz w:val="20"/>
          <w:szCs w:val="20"/>
        </w:rPr>
        <w:t xml:space="preserve"> malattia (numero di articolazioni tumefatte, frequenza degli attacchi)</w:t>
      </w:r>
      <w:r w:rsidR="00534AEB" w:rsidRPr="002A7325">
        <w:rPr>
          <w:rFonts w:asciiTheme="minorHAnsi" w:hAnsiTheme="minorHAnsi" w:cstheme="minorHAnsi"/>
          <w:sz w:val="20"/>
          <w:szCs w:val="20"/>
        </w:rPr>
        <w:t xml:space="preserve"> (</w:t>
      </w:r>
      <w:r w:rsidR="00156E01">
        <w:rPr>
          <w:rFonts w:asciiTheme="minorHAnsi" w:hAnsiTheme="minorHAnsi" w:cstheme="minorHAnsi"/>
          <w:color w:val="0000FF"/>
          <w:sz w:val="20"/>
          <w:szCs w:val="20"/>
        </w:rPr>
        <w:t>Scirè</w:t>
      </w:r>
      <w:r w:rsidR="00534AEB" w:rsidRPr="002A7325">
        <w:rPr>
          <w:rFonts w:asciiTheme="minorHAnsi" w:hAnsiTheme="minorHAnsi" w:cstheme="minorHAnsi"/>
          <w:color w:val="0000FF"/>
          <w:sz w:val="20"/>
          <w:szCs w:val="20"/>
        </w:rPr>
        <w:t>, 2013</w:t>
      </w:r>
      <w:r w:rsidR="00386D3F">
        <w:rPr>
          <w:rFonts w:asciiTheme="minorHAnsi" w:hAnsiTheme="minorHAnsi" w:cstheme="minorHAnsi"/>
          <w:color w:val="0000FF"/>
          <w:sz w:val="20"/>
          <w:szCs w:val="20"/>
        </w:rPr>
        <w:t xml:space="preserve"> (</w:t>
      </w:r>
      <w:r w:rsidR="00156E01">
        <w:rPr>
          <w:rFonts w:asciiTheme="minorHAnsi" w:hAnsiTheme="minorHAnsi" w:cstheme="minorHAnsi"/>
          <w:color w:val="0000FF"/>
          <w:sz w:val="20"/>
          <w:szCs w:val="20"/>
        </w:rPr>
        <w:t>28</w:t>
      </w:r>
      <w:r w:rsidR="00386D3F">
        <w:rPr>
          <w:rFonts w:asciiTheme="minorHAnsi" w:hAnsiTheme="minorHAnsi" w:cstheme="minorHAnsi"/>
          <w:color w:val="0000FF"/>
          <w:sz w:val="20"/>
          <w:szCs w:val="20"/>
        </w:rPr>
        <w:t>)</w:t>
      </w:r>
      <w:r w:rsidR="00534AEB" w:rsidRPr="002A7325">
        <w:rPr>
          <w:rFonts w:asciiTheme="minorHAnsi" w:hAnsiTheme="minorHAnsi" w:cstheme="minorHAnsi"/>
          <w:sz w:val="20"/>
          <w:szCs w:val="20"/>
        </w:rPr>
        <w:t>)</w:t>
      </w:r>
      <w:r w:rsidRPr="002A7325">
        <w:rPr>
          <w:rFonts w:asciiTheme="minorHAnsi" w:hAnsiTheme="minorHAnsi" w:cstheme="minorHAnsi"/>
          <w:sz w:val="20"/>
          <w:szCs w:val="20"/>
        </w:rPr>
        <w:t>.</w:t>
      </w:r>
    </w:p>
    <w:p w14:paraId="7DE27D97" w14:textId="79F0B876" w:rsidR="00386D3F" w:rsidRPr="00E674F8" w:rsidRDefault="00386D3F" w:rsidP="009F1699">
      <w:pPr>
        <w:widowControl w:val="0"/>
        <w:autoSpaceDE w:val="0"/>
        <w:autoSpaceDN w:val="0"/>
        <w:adjustRightInd w:val="0"/>
        <w:spacing w:line="360" w:lineRule="auto"/>
        <w:rPr>
          <w:rFonts w:cs="Arial"/>
          <w:sz w:val="20"/>
          <w:szCs w:val="20"/>
        </w:rPr>
      </w:pPr>
      <w:r w:rsidRPr="00386D3F">
        <w:rPr>
          <w:rFonts w:cs="Arial"/>
          <w:sz w:val="20"/>
          <w:szCs w:val="20"/>
        </w:rPr>
        <w:t xml:space="preserve">Un’indagine condotta in Europa e USA (n=620) ha dimostrato che i pazienti con gotta hanno una significativa diminuzione della HRQoL, </w:t>
      </w:r>
      <w:r w:rsidRPr="00E674F8">
        <w:rPr>
          <w:rFonts w:cs="Arial"/>
          <w:sz w:val="20"/>
          <w:szCs w:val="20"/>
        </w:rPr>
        <w:t>sia relativ</w:t>
      </w:r>
      <w:r w:rsidR="00E55D38">
        <w:rPr>
          <w:rFonts w:cs="Arial"/>
          <w:sz w:val="20"/>
          <w:szCs w:val="20"/>
        </w:rPr>
        <w:t>amente</w:t>
      </w:r>
      <w:r w:rsidRPr="00E674F8">
        <w:rPr>
          <w:rFonts w:cs="Arial"/>
          <w:sz w:val="20"/>
          <w:szCs w:val="20"/>
        </w:rPr>
        <w:t xml:space="preserve"> allo stato mentale che fisico. </w:t>
      </w:r>
      <w:r w:rsidRPr="00D6179A">
        <w:rPr>
          <w:rFonts w:cs="Arial"/>
          <w:sz w:val="20"/>
          <w:szCs w:val="20"/>
        </w:rPr>
        <w:t>Questa ri</w:t>
      </w:r>
      <w:r w:rsidRPr="00E674F8">
        <w:rPr>
          <w:rFonts w:cs="Arial"/>
          <w:sz w:val="20"/>
          <w:szCs w:val="20"/>
        </w:rPr>
        <w:t xml:space="preserve">duzione della qualità della vita, varia in funzione della gravità della gotta (presenza e frequenza di attacchi acuti e tofi confermati; </w:t>
      </w:r>
      <w:r w:rsidR="00D6179A" w:rsidRPr="00E674F8">
        <w:rPr>
          <w:rFonts w:cs="Arial"/>
          <w:sz w:val="20"/>
          <w:szCs w:val="20"/>
        </w:rPr>
        <w:t xml:space="preserve">test statistici di </w:t>
      </w:r>
      <w:r w:rsidR="00D6179A" w:rsidRPr="00D6179A">
        <w:rPr>
          <w:rFonts w:cs="Arial"/>
          <w:sz w:val="20"/>
          <w:szCs w:val="20"/>
        </w:rPr>
        <w:t>questo studio hanno inoltre dim</w:t>
      </w:r>
      <w:r w:rsidR="00D6179A">
        <w:rPr>
          <w:rFonts w:cs="Arial"/>
          <w:sz w:val="20"/>
          <w:szCs w:val="20"/>
        </w:rPr>
        <w:t>o</w:t>
      </w:r>
      <w:r w:rsidR="00D6179A" w:rsidRPr="00E674F8">
        <w:rPr>
          <w:rFonts w:cs="Arial"/>
          <w:sz w:val="20"/>
          <w:szCs w:val="20"/>
        </w:rPr>
        <w:t xml:space="preserve">strato che </w:t>
      </w:r>
      <w:r w:rsidR="00D6179A">
        <w:rPr>
          <w:rFonts w:cs="Arial"/>
          <w:sz w:val="20"/>
          <w:szCs w:val="20"/>
        </w:rPr>
        <w:t>la popolazione con tofi è associata ad una riduzione maggiore dell’attività lavorativa e dell’attività quotidiana, rispetto alla popolazione senza tofi (</w:t>
      </w:r>
      <w:r w:rsidR="0083674F">
        <w:rPr>
          <w:rFonts w:cs="Arial"/>
          <w:color w:val="0000FF"/>
          <w:sz w:val="20"/>
          <w:szCs w:val="20"/>
        </w:rPr>
        <w:t>Khanna, 2012 (29)</w:t>
      </w:r>
      <w:r w:rsidR="00D6179A">
        <w:rPr>
          <w:rFonts w:cs="Arial"/>
          <w:sz w:val="20"/>
          <w:szCs w:val="20"/>
        </w:rPr>
        <w:t>).</w:t>
      </w:r>
      <w:r w:rsidRPr="00E674F8">
        <w:rPr>
          <w:rFonts w:cs="Arial"/>
          <w:sz w:val="20"/>
          <w:szCs w:val="20"/>
        </w:rPr>
        <w:t xml:space="preserve"> </w:t>
      </w:r>
    </w:p>
    <w:p w14:paraId="5BA5B65C" w14:textId="496F150E" w:rsidR="00386D3F" w:rsidRPr="00A84212" w:rsidRDefault="00D6179A" w:rsidP="009F1699">
      <w:pPr>
        <w:widowControl w:val="0"/>
        <w:autoSpaceDE w:val="0"/>
        <w:autoSpaceDN w:val="0"/>
        <w:adjustRightInd w:val="0"/>
        <w:spacing w:line="360" w:lineRule="auto"/>
        <w:rPr>
          <w:rFonts w:cs="Arial"/>
          <w:sz w:val="20"/>
          <w:szCs w:val="20"/>
        </w:rPr>
      </w:pPr>
      <w:r w:rsidRPr="00E674F8">
        <w:rPr>
          <w:rFonts w:cs="Arial"/>
          <w:sz w:val="20"/>
          <w:szCs w:val="20"/>
        </w:rPr>
        <w:t xml:space="preserve">In un grande studio </w:t>
      </w:r>
      <w:r w:rsidR="00E674F8">
        <w:rPr>
          <w:rFonts w:cs="Arial"/>
          <w:sz w:val="20"/>
          <w:szCs w:val="20"/>
        </w:rPr>
        <w:t>a</w:t>
      </w:r>
      <w:r w:rsidRPr="00E674F8">
        <w:rPr>
          <w:rFonts w:cs="Arial"/>
          <w:sz w:val="20"/>
          <w:szCs w:val="20"/>
        </w:rPr>
        <w:t>mericano (n=300.000 impiegati) si è verificato un aumento s</w:t>
      </w:r>
      <w:r w:rsidRPr="00D6179A">
        <w:rPr>
          <w:rFonts w:cs="Arial"/>
          <w:sz w:val="20"/>
          <w:szCs w:val="20"/>
        </w:rPr>
        <w:t>ignificativo nell’assenteismo d</w:t>
      </w:r>
      <w:r w:rsidRPr="00E674F8">
        <w:rPr>
          <w:rFonts w:cs="Arial"/>
          <w:sz w:val="20"/>
          <w:szCs w:val="20"/>
        </w:rPr>
        <w:t>al</w:t>
      </w:r>
      <w:r w:rsidRPr="00D6179A">
        <w:rPr>
          <w:rFonts w:cs="Arial"/>
          <w:sz w:val="20"/>
          <w:szCs w:val="20"/>
        </w:rPr>
        <w:t>l’attività lavorativa</w:t>
      </w:r>
      <w:r w:rsidRPr="00E674F8">
        <w:rPr>
          <w:rFonts w:cs="Arial"/>
          <w:sz w:val="20"/>
          <w:szCs w:val="20"/>
        </w:rPr>
        <w:t xml:space="preserve"> nella popolazione con gotta, quest’ultima </w:t>
      </w:r>
      <w:r w:rsidR="00E674F8">
        <w:rPr>
          <w:rFonts w:cs="Arial"/>
          <w:sz w:val="20"/>
          <w:szCs w:val="20"/>
        </w:rPr>
        <w:t>produceva</w:t>
      </w:r>
      <w:r w:rsidRPr="00E674F8">
        <w:rPr>
          <w:rFonts w:cs="Arial"/>
          <w:sz w:val="20"/>
          <w:szCs w:val="20"/>
        </w:rPr>
        <w:t xml:space="preserve"> una media di 6.</w:t>
      </w:r>
      <w:r>
        <w:rPr>
          <w:rFonts w:cs="Arial"/>
          <w:sz w:val="20"/>
          <w:szCs w:val="20"/>
        </w:rPr>
        <w:t xml:space="preserve">34 giorni di assenza </w:t>
      </w:r>
      <w:r w:rsidR="00E55D38">
        <w:rPr>
          <w:rFonts w:cs="Arial"/>
          <w:sz w:val="20"/>
          <w:szCs w:val="20"/>
        </w:rPr>
        <w:t xml:space="preserve">annuali </w:t>
      </w:r>
      <w:r>
        <w:rPr>
          <w:rFonts w:cs="Arial"/>
          <w:sz w:val="20"/>
          <w:szCs w:val="20"/>
        </w:rPr>
        <w:t>per malattia, rispetto ai 3.56 giorni di assenza per malattia nella popolazione non gottosa (p&lt;0,0001) (</w:t>
      </w:r>
      <w:r w:rsidR="00EC3329">
        <w:rPr>
          <w:rFonts w:cs="Arial"/>
          <w:color w:val="0000FF"/>
          <w:sz w:val="20"/>
          <w:szCs w:val="20"/>
        </w:rPr>
        <w:t>Kleinman, 2007 (92</w:t>
      </w:r>
      <w:r w:rsidR="00156E01">
        <w:rPr>
          <w:rFonts w:cs="Arial"/>
          <w:color w:val="0000FF"/>
          <w:sz w:val="20"/>
          <w:szCs w:val="20"/>
        </w:rPr>
        <w:t>)</w:t>
      </w:r>
      <w:r w:rsidR="00E674F8">
        <w:rPr>
          <w:rFonts w:cs="Arial"/>
          <w:sz w:val="20"/>
          <w:szCs w:val="20"/>
        </w:rPr>
        <w:t>)</w:t>
      </w:r>
      <w:r>
        <w:rPr>
          <w:rFonts w:cs="Arial"/>
          <w:sz w:val="20"/>
          <w:szCs w:val="20"/>
        </w:rPr>
        <w:t xml:space="preserve">. </w:t>
      </w:r>
      <w:r w:rsidRPr="009531C9">
        <w:rPr>
          <w:rFonts w:cs="Arial"/>
          <w:sz w:val="20"/>
          <w:szCs w:val="20"/>
        </w:rPr>
        <w:t xml:space="preserve">Anche uno studio inglese ha dimostrato l’impatto negativo della gotta sulla qualità della vita; la gotta riduce significativamente il punteggio generale dei pazienti </w:t>
      </w:r>
      <w:r w:rsidR="009531C9">
        <w:rPr>
          <w:rFonts w:cs="Arial"/>
          <w:sz w:val="20"/>
          <w:szCs w:val="20"/>
        </w:rPr>
        <w:t xml:space="preserve">inglesi </w:t>
      </w:r>
      <w:r w:rsidRPr="009531C9">
        <w:rPr>
          <w:rFonts w:cs="Arial"/>
          <w:sz w:val="20"/>
          <w:szCs w:val="20"/>
        </w:rPr>
        <w:t xml:space="preserve">relativo alla </w:t>
      </w:r>
      <w:r w:rsidR="00E674F8" w:rsidRPr="009531C9">
        <w:rPr>
          <w:rFonts w:cs="Arial"/>
          <w:sz w:val="20"/>
          <w:szCs w:val="20"/>
        </w:rPr>
        <w:t xml:space="preserve">loro </w:t>
      </w:r>
      <w:r w:rsidRPr="009531C9">
        <w:rPr>
          <w:rFonts w:cs="Arial"/>
          <w:sz w:val="20"/>
          <w:szCs w:val="20"/>
        </w:rPr>
        <w:t xml:space="preserve">qualità di vita (p&lt;0,01) </w:t>
      </w:r>
      <w:r w:rsidR="00E674F8" w:rsidRPr="009531C9">
        <w:rPr>
          <w:rFonts w:cs="Arial"/>
          <w:sz w:val="20"/>
          <w:szCs w:val="20"/>
        </w:rPr>
        <w:t>alla loro generale soddisfazione del proprio stato di salute (p&lt;0,001), e alla loro salute fisica (p&lt;</w:t>
      </w:r>
      <w:r w:rsidR="00E674F8">
        <w:rPr>
          <w:rFonts w:cs="Arial"/>
          <w:sz w:val="20"/>
          <w:szCs w:val="20"/>
        </w:rPr>
        <w:t>0,001)</w:t>
      </w:r>
      <w:r w:rsidR="009531C9">
        <w:rPr>
          <w:rFonts w:cs="Arial"/>
          <w:sz w:val="20"/>
          <w:szCs w:val="20"/>
        </w:rPr>
        <w:t>, rispetto a quello dei soggetti senza gotta (</w:t>
      </w:r>
      <w:r w:rsidR="0083674F">
        <w:rPr>
          <w:rFonts w:cs="Arial"/>
          <w:color w:val="0000FF"/>
          <w:sz w:val="20"/>
          <w:szCs w:val="20"/>
        </w:rPr>
        <w:t>Roddy, 2007 (31)</w:t>
      </w:r>
      <w:r w:rsidR="009531C9">
        <w:rPr>
          <w:rFonts w:cs="Arial"/>
          <w:sz w:val="20"/>
          <w:szCs w:val="20"/>
        </w:rPr>
        <w:t xml:space="preserve">). </w:t>
      </w:r>
      <w:r w:rsidR="009531C9" w:rsidRPr="009531C9">
        <w:rPr>
          <w:rFonts w:cs="Arial"/>
          <w:sz w:val="20"/>
          <w:szCs w:val="20"/>
        </w:rPr>
        <w:t xml:space="preserve">Inoltre, una recente indagine retrospettiva </w:t>
      </w:r>
      <w:r w:rsidR="009531C9" w:rsidRPr="009531C9">
        <w:rPr>
          <w:rFonts w:cs="Arial"/>
          <w:i/>
          <w:sz w:val="20"/>
          <w:szCs w:val="20"/>
        </w:rPr>
        <w:t>cross-sectional</w:t>
      </w:r>
      <w:r w:rsidR="009531C9" w:rsidRPr="009531C9">
        <w:rPr>
          <w:rFonts w:cs="Arial"/>
          <w:sz w:val="20"/>
          <w:szCs w:val="20"/>
        </w:rPr>
        <w:t xml:space="preserve"> (pazienti con gotta in Francia, Germania, UK e USA) ha valutato le implicazioni di un controllo inadeguato della gotta attraverso la HRQoL e la produttività lavorativa.</w:t>
      </w:r>
      <w:r w:rsidR="009531C9">
        <w:rPr>
          <w:rFonts w:cs="Arial"/>
          <w:sz w:val="20"/>
          <w:szCs w:val="20"/>
        </w:rPr>
        <w:t xml:space="preserve"> </w:t>
      </w:r>
      <w:r w:rsidR="009531C9" w:rsidRPr="009531C9">
        <w:rPr>
          <w:rFonts w:cs="Arial"/>
          <w:sz w:val="20"/>
          <w:szCs w:val="20"/>
        </w:rPr>
        <w:t>I ridultati mostrano che coloro che hanno un controllo inadeguato della gotta hanno riportato un peggioramento significativo della funzionalità, della qualità della vita e della produttività lavorativa, in confront</w:t>
      </w:r>
      <w:r w:rsidR="00314D34">
        <w:rPr>
          <w:rFonts w:cs="Arial"/>
          <w:sz w:val="20"/>
          <w:szCs w:val="20"/>
        </w:rPr>
        <w:t>o</w:t>
      </w:r>
      <w:r w:rsidR="009531C9" w:rsidRPr="009531C9">
        <w:rPr>
          <w:rFonts w:cs="Arial"/>
          <w:sz w:val="20"/>
          <w:szCs w:val="20"/>
        </w:rPr>
        <w:t xml:space="preserve"> a coloro con livelli di sUA sotto controllo (</w:t>
      </w:r>
      <w:r w:rsidR="00EC3329">
        <w:rPr>
          <w:rFonts w:cs="Arial"/>
          <w:color w:val="0000FF"/>
          <w:sz w:val="20"/>
          <w:szCs w:val="20"/>
        </w:rPr>
        <w:t>Wood, 2016 (93</w:t>
      </w:r>
      <w:r w:rsidR="00156E01">
        <w:rPr>
          <w:rFonts w:cs="Arial"/>
          <w:color w:val="0000FF"/>
          <w:sz w:val="20"/>
          <w:szCs w:val="20"/>
        </w:rPr>
        <w:t>)</w:t>
      </w:r>
      <w:r w:rsidR="009531C9" w:rsidRPr="009531C9">
        <w:rPr>
          <w:rFonts w:cs="Arial"/>
          <w:sz w:val="20"/>
          <w:szCs w:val="20"/>
        </w:rPr>
        <w:t>).</w:t>
      </w:r>
      <w:r w:rsidR="009531C9">
        <w:rPr>
          <w:rFonts w:cs="Arial"/>
          <w:sz w:val="20"/>
          <w:szCs w:val="20"/>
        </w:rPr>
        <w:t xml:space="preserve"> </w:t>
      </w:r>
      <w:r w:rsidR="009531C9" w:rsidRPr="00A84212">
        <w:rPr>
          <w:rFonts w:cs="Arial"/>
          <w:sz w:val="20"/>
          <w:szCs w:val="20"/>
        </w:rPr>
        <w:t>Altri studi hanno anche dimostrato che la HRQoL</w:t>
      </w:r>
      <w:r w:rsidR="00A84212" w:rsidRPr="00A84212">
        <w:rPr>
          <w:rFonts w:cs="Arial"/>
          <w:sz w:val="20"/>
          <w:szCs w:val="20"/>
        </w:rPr>
        <w:t xml:space="preserve"> dei pazienti con gotta è direttamente associat</w:t>
      </w:r>
      <w:r w:rsidR="00E55D38">
        <w:rPr>
          <w:rFonts w:cs="Arial"/>
          <w:sz w:val="20"/>
          <w:szCs w:val="20"/>
        </w:rPr>
        <w:t>a</w:t>
      </w:r>
      <w:r w:rsidR="00A84212" w:rsidRPr="00A84212">
        <w:rPr>
          <w:rFonts w:cs="Arial"/>
          <w:sz w:val="20"/>
          <w:szCs w:val="20"/>
        </w:rPr>
        <w:t xml:space="preserve"> a livelli elevate di sUA e a attacchi acuti.</w:t>
      </w:r>
      <w:r w:rsidR="00A84212">
        <w:rPr>
          <w:rFonts w:cs="Arial"/>
          <w:sz w:val="20"/>
          <w:szCs w:val="20"/>
        </w:rPr>
        <w:t xml:space="preserve"> Uno studio osservazionale cross-sectional, in pazienti con gotta in UK, Francia e Germania ha dimostrato che gli attacchi acuti di gotta riducono significativamente la qualità di vita e che la qualità di vita al basale era significativamente peggiorata con l’aumentare dei livelli di sUA (</w:t>
      </w:r>
      <w:r w:rsidR="00EC3329">
        <w:rPr>
          <w:rFonts w:cs="Arial"/>
          <w:color w:val="0000FF"/>
          <w:sz w:val="20"/>
          <w:szCs w:val="20"/>
        </w:rPr>
        <w:t>Van Vlaenderen, 2008 (94</w:t>
      </w:r>
      <w:r w:rsidR="00156E01" w:rsidRPr="00156E01">
        <w:rPr>
          <w:rFonts w:cs="Arial"/>
          <w:color w:val="0000FF"/>
          <w:sz w:val="20"/>
          <w:szCs w:val="20"/>
        </w:rPr>
        <w:t>)</w:t>
      </w:r>
      <w:r w:rsidR="00A84212" w:rsidRPr="00156E01">
        <w:rPr>
          <w:rFonts w:cs="Arial"/>
          <w:sz w:val="20"/>
          <w:szCs w:val="20"/>
        </w:rPr>
        <w:t>).</w:t>
      </w:r>
    </w:p>
    <w:p w14:paraId="304E620E" w14:textId="31665784" w:rsidR="00A84212" w:rsidRPr="007A7837" w:rsidRDefault="007A7837" w:rsidP="009F1699">
      <w:pPr>
        <w:widowControl w:val="0"/>
        <w:autoSpaceDE w:val="0"/>
        <w:autoSpaceDN w:val="0"/>
        <w:adjustRightInd w:val="0"/>
        <w:spacing w:line="360" w:lineRule="auto"/>
        <w:rPr>
          <w:rFonts w:cstheme="minorHAnsi"/>
          <w:sz w:val="20"/>
          <w:szCs w:val="20"/>
        </w:rPr>
      </w:pPr>
      <w:r w:rsidRPr="00A531CA">
        <w:rPr>
          <w:rFonts w:cstheme="minorHAnsi"/>
          <w:sz w:val="20"/>
          <w:szCs w:val="20"/>
        </w:rPr>
        <w:t xml:space="preserve">Il trattamento della gotta e delle sue complicanze comporta un </w:t>
      </w:r>
      <w:r w:rsidRPr="00A531CA">
        <w:rPr>
          <w:rFonts w:cstheme="minorHAnsi"/>
          <w:b/>
          <w:sz w:val="20"/>
          <w:szCs w:val="20"/>
        </w:rPr>
        <w:t>carico economico importante sui sistemi sanitari nazionali</w:t>
      </w:r>
      <w:r w:rsidRPr="00A531CA">
        <w:rPr>
          <w:rFonts w:cstheme="minorHAnsi"/>
          <w:sz w:val="20"/>
          <w:szCs w:val="20"/>
        </w:rPr>
        <w:t xml:space="preserve">: i pazienti con gotta </w:t>
      </w:r>
      <w:r>
        <w:rPr>
          <w:rFonts w:cstheme="minorHAnsi"/>
          <w:sz w:val="20"/>
          <w:szCs w:val="20"/>
        </w:rPr>
        <w:t xml:space="preserve">hanno </w:t>
      </w:r>
      <w:r w:rsidRPr="00A531CA">
        <w:rPr>
          <w:rFonts w:cstheme="minorHAnsi"/>
          <w:sz w:val="20"/>
          <w:szCs w:val="20"/>
        </w:rPr>
        <w:t xml:space="preserve">costi diretti ed indiretti </w:t>
      </w:r>
      <w:r>
        <w:rPr>
          <w:rFonts w:cstheme="minorHAnsi"/>
          <w:sz w:val="20"/>
          <w:szCs w:val="20"/>
        </w:rPr>
        <w:t>sostanzialmente maggiori rispetto ai soggetti non gottosi</w:t>
      </w:r>
      <w:r w:rsidRPr="00A531CA">
        <w:rPr>
          <w:rFonts w:cstheme="minorHAnsi"/>
          <w:sz w:val="20"/>
          <w:szCs w:val="20"/>
        </w:rPr>
        <w:t xml:space="preserve">, </w:t>
      </w:r>
      <w:r>
        <w:rPr>
          <w:rFonts w:cstheme="minorHAnsi"/>
          <w:sz w:val="20"/>
          <w:szCs w:val="20"/>
        </w:rPr>
        <w:t xml:space="preserve">più elevati tra </w:t>
      </w:r>
      <w:r w:rsidRPr="00A531CA">
        <w:rPr>
          <w:rFonts w:cstheme="minorHAnsi"/>
          <w:sz w:val="20"/>
          <w:szCs w:val="20"/>
        </w:rPr>
        <w:t xml:space="preserve">i </w:t>
      </w:r>
      <w:r>
        <w:rPr>
          <w:rFonts w:cstheme="minorHAnsi"/>
          <w:sz w:val="20"/>
          <w:szCs w:val="20"/>
        </w:rPr>
        <w:t xml:space="preserve">pazienti </w:t>
      </w:r>
      <w:r w:rsidRPr="00A531CA">
        <w:rPr>
          <w:rFonts w:cstheme="minorHAnsi"/>
          <w:sz w:val="20"/>
          <w:szCs w:val="20"/>
        </w:rPr>
        <w:t xml:space="preserve">anziani e </w:t>
      </w:r>
      <w:r>
        <w:rPr>
          <w:rFonts w:cstheme="minorHAnsi"/>
          <w:sz w:val="20"/>
          <w:szCs w:val="20"/>
        </w:rPr>
        <w:t>quelli</w:t>
      </w:r>
      <w:r w:rsidRPr="00A531CA">
        <w:rPr>
          <w:rFonts w:cstheme="minorHAnsi"/>
          <w:sz w:val="20"/>
          <w:szCs w:val="20"/>
        </w:rPr>
        <w:t xml:space="preserve"> refrattari al trattamento</w:t>
      </w:r>
      <w:r>
        <w:rPr>
          <w:rFonts w:cstheme="minorHAnsi"/>
          <w:sz w:val="20"/>
          <w:szCs w:val="20"/>
        </w:rPr>
        <w:t xml:space="preserve"> rispetto a quelli de</w:t>
      </w:r>
      <w:r w:rsidRPr="00A531CA">
        <w:rPr>
          <w:rFonts w:cstheme="minorHAnsi"/>
          <w:sz w:val="20"/>
          <w:szCs w:val="20"/>
        </w:rPr>
        <w:t>i pazienti gottosi più giovani. I costi diretti aumentano col peggiorare delle caratteristiche della malattia (</w:t>
      </w:r>
      <w:r w:rsidR="0083674F">
        <w:rPr>
          <w:rFonts w:cstheme="minorHAnsi"/>
          <w:color w:val="0000FF"/>
          <w:sz w:val="20"/>
          <w:szCs w:val="20"/>
        </w:rPr>
        <w:t>Rai, 2015 (32)</w:t>
      </w:r>
      <w:r w:rsidRPr="00A531CA">
        <w:rPr>
          <w:rFonts w:cstheme="minorHAnsi"/>
          <w:sz w:val="20"/>
          <w:szCs w:val="20"/>
        </w:rPr>
        <w:t xml:space="preserve">); </w:t>
      </w:r>
      <w:r>
        <w:rPr>
          <w:rFonts w:cstheme="minorHAnsi"/>
          <w:sz w:val="20"/>
          <w:szCs w:val="20"/>
        </w:rPr>
        <w:t>u</w:t>
      </w:r>
      <w:r w:rsidRPr="00FE0112">
        <w:rPr>
          <w:rFonts w:cs="Arial"/>
          <w:sz w:val="20"/>
          <w:szCs w:val="20"/>
        </w:rPr>
        <w:t xml:space="preserve">n’altra revisione </w:t>
      </w:r>
      <w:r w:rsidRPr="006C6E20">
        <w:rPr>
          <w:rFonts w:cs="Arial"/>
          <w:sz w:val="20"/>
          <w:szCs w:val="20"/>
        </w:rPr>
        <w:t xml:space="preserve">sistematica per valutare </w:t>
      </w:r>
      <w:r>
        <w:rPr>
          <w:rFonts w:cs="Arial"/>
          <w:sz w:val="20"/>
          <w:szCs w:val="20"/>
        </w:rPr>
        <w:t>gl</w:t>
      </w:r>
      <w:r w:rsidRPr="00FE0112">
        <w:rPr>
          <w:rFonts w:cs="Arial"/>
          <w:sz w:val="20"/>
          <w:szCs w:val="20"/>
        </w:rPr>
        <w:t xml:space="preserve">i impatti </w:t>
      </w:r>
      <w:r>
        <w:rPr>
          <w:rFonts w:cs="Arial"/>
          <w:sz w:val="20"/>
          <w:szCs w:val="20"/>
        </w:rPr>
        <w:t xml:space="preserve">attuali </w:t>
      </w:r>
      <w:r w:rsidRPr="00FE0112">
        <w:rPr>
          <w:rFonts w:cs="Arial"/>
          <w:sz w:val="20"/>
          <w:szCs w:val="20"/>
        </w:rPr>
        <w:t>della malattia</w:t>
      </w:r>
      <w:r>
        <w:rPr>
          <w:rFonts w:cs="Arial"/>
          <w:sz w:val="20"/>
          <w:szCs w:val="20"/>
        </w:rPr>
        <w:t>,</w:t>
      </w:r>
      <w:r w:rsidRPr="00FE0112">
        <w:rPr>
          <w:rFonts w:cs="Arial"/>
          <w:sz w:val="20"/>
          <w:szCs w:val="20"/>
        </w:rPr>
        <w:t xml:space="preserve"> ha </w:t>
      </w:r>
      <w:r>
        <w:rPr>
          <w:rFonts w:cs="Arial"/>
          <w:sz w:val="20"/>
          <w:szCs w:val="20"/>
        </w:rPr>
        <w:t xml:space="preserve">evidenziato </w:t>
      </w:r>
      <w:r w:rsidRPr="00FE0112">
        <w:rPr>
          <w:rFonts w:cs="Arial"/>
          <w:sz w:val="20"/>
          <w:szCs w:val="20"/>
        </w:rPr>
        <w:t>che la gotta rappresenta un carico significativo in termini sia di costi di salute che di qualità di vita</w:t>
      </w:r>
      <w:r w:rsidRPr="00A531CA">
        <w:rPr>
          <w:rFonts w:cstheme="minorHAnsi"/>
          <w:sz w:val="20"/>
          <w:szCs w:val="20"/>
        </w:rPr>
        <w:t xml:space="preserve"> (</w:t>
      </w:r>
      <w:r w:rsidR="00EC3329">
        <w:rPr>
          <w:rFonts w:cstheme="minorHAnsi"/>
          <w:color w:val="0000FF"/>
          <w:sz w:val="20"/>
          <w:szCs w:val="20"/>
        </w:rPr>
        <w:t>Shields, 2015 (95)</w:t>
      </w:r>
      <w:r w:rsidRPr="00A531CA">
        <w:rPr>
          <w:rFonts w:cstheme="minorHAnsi"/>
          <w:sz w:val="20"/>
          <w:szCs w:val="20"/>
        </w:rPr>
        <w:t>).</w:t>
      </w:r>
      <w:r>
        <w:rPr>
          <w:rFonts w:cstheme="minorHAnsi"/>
          <w:sz w:val="20"/>
          <w:szCs w:val="20"/>
        </w:rPr>
        <w:t xml:space="preserve"> </w:t>
      </w:r>
      <w:r w:rsidR="006C6E20" w:rsidRPr="00FE0112">
        <w:rPr>
          <w:rFonts w:cs="Arial"/>
          <w:sz w:val="20"/>
          <w:szCs w:val="20"/>
        </w:rPr>
        <w:t xml:space="preserve">Questo studio </w:t>
      </w:r>
      <w:r w:rsidR="00FE0112" w:rsidRPr="00FE0112">
        <w:rPr>
          <w:rFonts w:cs="Arial"/>
          <w:sz w:val="20"/>
          <w:szCs w:val="20"/>
        </w:rPr>
        <w:t xml:space="preserve">ha dimostrato che </w:t>
      </w:r>
      <w:r w:rsidR="00FE0112">
        <w:rPr>
          <w:rFonts w:cs="Arial"/>
          <w:sz w:val="20"/>
          <w:szCs w:val="20"/>
        </w:rPr>
        <w:t>i</w:t>
      </w:r>
      <w:r w:rsidR="00FE0112" w:rsidRPr="00FE0112">
        <w:rPr>
          <w:rFonts w:cs="Arial"/>
          <w:sz w:val="20"/>
          <w:szCs w:val="20"/>
        </w:rPr>
        <w:t xml:space="preserve"> costi diretti legati alla gotta differiscono </w:t>
      </w:r>
      <w:r w:rsidR="00FE0112">
        <w:rPr>
          <w:rFonts w:cs="Arial"/>
          <w:sz w:val="20"/>
          <w:szCs w:val="20"/>
        </w:rPr>
        <w:t>in base a numerosi fattori, prin</w:t>
      </w:r>
      <w:r w:rsidR="00FE0112" w:rsidRPr="00FE0112">
        <w:rPr>
          <w:rFonts w:cs="Arial"/>
          <w:sz w:val="20"/>
          <w:szCs w:val="20"/>
        </w:rPr>
        <w:t>c</w:t>
      </w:r>
      <w:r w:rsidR="00FE0112">
        <w:rPr>
          <w:rFonts w:cs="Arial"/>
          <w:sz w:val="20"/>
          <w:szCs w:val="20"/>
        </w:rPr>
        <w:t>i</w:t>
      </w:r>
      <w:r w:rsidR="00FE0112" w:rsidRPr="00FE0112">
        <w:rPr>
          <w:rFonts w:cs="Arial"/>
          <w:sz w:val="20"/>
          <w:szCs w:val="20"/>
        </w:rPr>
        <w:t xml:space="preserve">palmente </w:t>
      </w:r>
      <w:r w:rsidR="00FE0112">
        <w:rPr>
          <w:rFonts w:cs="Arial"/>
          <w:sz w:val="20"/>
          <w:szCs w:val="20"/>
        </w:rPr>
        <w:t>per i</w:t>
      </w:r>
      <w:r w:rsidR="00FE0112" w:rsidRPr="00FE0112">
        <w:rPr>
          <w:rFonts w:cs="Arial"/>
          <w:sz w:val="20"/>
          <w:szCs w:val="20"/>
        </w:rPr>
        <w:t xml:space="preserve"> livelli di sUA</w:t>
      </w:r>
      <w:r w:rsidR="00FE0112">
        <w:rPr>
          <w:rFonts w:cs="Arial"/>
          <w:sz w:val="20"/>
          <w:szCs w:val="20"/>
        </w:rPr>
        <w:t xml:space="preserve"> e per il numero di attacchi acuti e tofi, generando un maggior consumo di risorse maggiormente attribuito all’ospedalizzazione.</w:t>
      </w:r>
    </w:p>
    <w:p w14:paraId="1AADBCAD" w14:textId="0F8C6D14" w:rsidR="000808B5" w:rsidRPr="00FE0112" w:rsidRDefault="000808B5" w:rsidP="009F1699">
      <w:pPr>
        <w:widowControl w:val="0"/>
        <w:autoSpaceDE w:val="0"/>
        <w:autoSpaceDN w:val="0"/>
        <w:adjustRightInd w:val="0"/>
        <w:spacing w:line="360" w:lineRule="auto"/>
        <w:rPr>
          <w:rFonts w:cs="Arial"/>
          <w:sz w:val="20"/>
          <w:szCs w:val="20"/>
        </w:rPr>
      </w:pPr>
    </w:p>
    <w:p w14:paraId="162BEA3A" w14:textId="4587859D" w:rsidR="000808B5" w:rsidRPr="000808B5" w:rsidRDefault="007B4A91" w:rsidP="009F1699">
      <w:pPr>
        <w:widowControl w:val="0"/>
        <w:autoSpaceDE w:val="0"/>
        <w:autoSpaceDN w:val="0"/>
        <w:adjustRightInd w:val="0"/>
        <w:spacing w:line="360" w:lineRule="auto"/>
        <w:rPr>
          <w:rFonts w:cs="Arial"/>
          <w:sz w:val="20"/>
          <w:szCs w:val="20"/>
        </w:rPr>
      </w:pPr>
      <w:r w:rsidRPr="007A7837">
        <w:rPr>
          <w:rFonts w:cs="Arial"/>
          <w:sz w:val="20"/>
          <w:szCs w:val="20"/>
        </w:rPr>
        <w:t>Le principali Linee Guida internazionali (</w:t>
      </w:r>
      <w:r w:rsidR="00F114DC">
        <w:rPr>
          <w:rFonts w:cs="Arial"/>
          <w:color w:val="0000FF"/>
          <w:sz w:val="20"/>
          <w:szCs w:val="20"/>
        </w:rPr>
        <w:t>R</w:t>
      </w:r>
      <w:r w:rsidR="00C57973">
        <w:rPr>
          <w:rFonts w:cs="Arial"/>
          <w:color w:val="0000FF"/>
          <w:sz w:val="20"/>
          <w:szCs w:val="20"/>
        </w:rPr>
        <w:t>ichette</w:t>
      </w:r>
      <w:r w:rsidR="00F114DC">
        <w:rPr>
          <w:rFonts w:cs="Arial"/>
          <w:color w:val="0000FF"/>
          <w:sz w:val="20"/>
          <w:szCs w:val="20"/>
        </w:rPr>
        <w:t>, 2016 (6)</w:t>
      </w:r>
      <w:r w:rsidRPr="00185C85">
        <w:rPr>
          <w:rFonts w:cs="Arial"/>
          <w:color w:val="0000FF"/>
          <w:sz w:val="20"/>
          <w:szCs w:val="20"/>
        </w:rPr>
        <w:t xml:space="preserve">; </w:t>
      </w:r>
      <w:r w:rsidR="00F114DC">
        <w:rPr>
          <w:rFonts w:cs="Arial"/>
          <w:color w:val="0000FF"/>
          <w:sz w:val="20"/>
          <w:szCs w:val="20"/>
        </w:rPr>
        <w:t>K</w:t>
      </w:r>
      <w:r w:rsidR="00C57973">
        <w:rPr>
          <w:rFonts w:cs="Arial"/>
          <w:color w:val="0000FF"/>
          <w:sz w:val="20"/>
          <w:szCs w:val="20"/>
        </w:rPr>
        <w:t>hanna</w:t>
      </w:r>
      <w:r w:rsidR="00F114DC">
        <w:rPr>
          <w:rFonts w:cs="Arial"/>
          <w:color w:val="0000FF"/>
          <w:sz w:val="20"/>
          <w:szCs w:val="20"/>
        </w:rPr>
        <w:t>, 2012 (96)</w:t>
      </w:r>
      <w:r w:rsidRPr="00185C85">
        <w:rPr>
          <w:rFonts w:cs="Arial"/>
          <w:color w:val="0000FF"/>
          <w:sz w:val="20"/>
          <w:szCs w:val="20"/>
        </w:rPr>
        <w:t xml:space="preserve">, </w:t>
      </w:r>
      <w:r w:rsidR="00E63B51">
        <w:rPr>
          <w:rFonts w:cs="Arial"/>
          <w:color w:val="0000FF"/>
          <w:sz w:val="20"/>
          <w:szCs w:val="20"/>
        </w:rPr>
        <w:t>Jordan</w:t>
      </w:r>
      <w:r w:rsidR="00EC3329">
        <w:rPr>
          <w:rFonts w:cs="Arial"/>
          <w:color w:val="0000FF"/>
          <w:sz w:val="20"/>
          <w:szCs w:val="20"/>
        </w:rPr>
        <w:t>, 2007 (97</w:t>
      </w:r>
      <w:r w:rsidR="00156E01">
        <w:rPr>
          <w:rFonts w:cs="Arial"/>
          <w:color w:val="0000FF"/>
          <w:sz w:val="20"/>
          <w:szCs w:val="20"/>
        </w:rPr>
        <w:t>)</w:t>
      </w:r>
      <w:r w:rsidR="00E55D38">
        <w:rPr>
          <w:rFonts w:cs="Arial"/>
          <w:color w:val="0000FF"/>
          <w:sz w:val="20"/>
          <w:szCs w:val="20"/>
        </w:rPr>
        <w:t>, Manara, 2013 (7)</w:t>
      </w:r>
      <w:r w:rsidRPr="007A7837">
        <w:rPr>
          <w:rFonts w:cs="Arial"/>
          <w:sz w:val="20"/>
          <w:szCs w:val="20"/>
        </w:rPr>
        <w:t xml:space="preserve">) </w:t>
      </w:r>
      <w:r w:rsidR="000808B5" w:rsidRPr="007A7837">
        <w:rPr>
          <w:rFonts w:cs="Arial"/>
          <w:sz w:val="20"/>
          <w:szCs w:val="20"/>
        </w:rPr>
        <w:t xml:space="preserve">raccomandano il controllo dei livelli di </w:t>
      </w:r>
      <w:r w:rsidR="00A273B6" w:rsidRPr="007A7837">
        <w:rPr>
          <w:rFonts w:cs="Arial"/>
          <w:sz w:val="20"/>
          <w:szCs w:val="20"/>
        </w:rPr>
        <w:t>acido urico</w:t>
      </w:r>
      <w:r w:rsidRPr="007A7837">
        <w:rPr>
          <w:rFonts w:cs="Arial"/>
          <w:sz w:val="20"/>
          <w:szCs w:val="20"/>
        </w:rPr>
        <w:t xml:space="preserve"> nel sangue</w:t>
      </w:r>
      <w:r w:rsidR="000808B5" w:rsidRPr="007A7837">
        <w:rPr>
          <w:rFonts w:cs="Arial"/>
          <w:sz w:val="20"/>
          <w:szCs w:val="20"/>
        </w:rPr>
        <w:t xml:space="preserve">, al fine di ridurre il rischio di complicanze cliniche: più in particolare </w:t>
      </w:r>
      <w:r w:rsidRPr="007A7837">
        <w:rPr>
          <w:rFonts w:cs="Arial"/>
          <w:sz w:val="20"/>
          <w:szCs w:val="20"/>
        </w:rPr>
        <w:t xml:space="preserve">le linee guida EULAR di più recente pubblicazione </w:t>
      </w:r>
      <w:r w:rsidR="000808B5" w:rsidRPr="007A7837">
        <w:rPr>
          <w:rFonts w:cs="Arial"/>
          <w:sz w:val="20"/>
          <w:szCs w:val="20"/>
        </w:rPr>
        <w:t>raccomandano il mantenimento di livelli sierici di acido urico &lt;6mg/dl, o &lt;5mg/dl in caso di pazienti con forme severe di malattia</w:t>
      </w:r>
      <w:r w:rsidR="00C3636C" w:rsidRPr="007A7837">
        <w:rPr>
          <w:rFonts w:cs="Arial"/>
          <w:sz w:val="20"/>
          <w:szCs w:val="20"/>
        </w:rPr>
        <w:t xml:space="preserve"> e</w:t>
      </w:r>
      <w:r w:rsidR="00C3636C" w:rsidRPr="007A7837">
        <w:t xml:space="preserve"> </w:t>
      </w:r>
      <w:r w:rsidR="00C3636C" w:rsidRPr="007A7837">
        <w:rPr>
          <w:rFonts w:cs="Arial"/>
          <w:sz w:val="20"/>
          <w:szCs w:val="20"/>
        </w:rPr>
        <w:t>raccomandano l’inizio di</w:t>
      </w:r>
      <w:r w:rsidR="00C3636C" w:rsidRPr="00C3636C">
        <w:rPr>
          <w:rFonts w:cs="Arial"/>
          <w:sz w:val="20"/>
          <w:szCs w:val="20"/>
        </w:rPr>
        <w:t xml:space="preserve"> una terapia ipouricemizzante fin dalle prime manifestazioni, ovvero fin dal primo attacco acuto, oltre che in presenza di attacchi acuti ricorrenti, tofi, artropatia gottosa e/o calcoli renali.</w:t>
      </w:r>
      <w:r w:rsidR="00534AEB">
        <w:rPr>
          <w:rFonts w:cs="Arial"/>
          <w:sz w:val="20"/>
          <w:szCs w:val="20"/>
        </w:rPr>
        <w:t xml:space="preserve"> (</w:t>
      </w:r>
      <w:r w:rsidR="00E54BFE">
        <w:rPr>
          <w:rFonts w:cs="Arial"/>
          <w:color w:val="0000FF"/>
          <w:sz w:val="20"/>
          <w:szCs w:val="20"/>
        </w:rPr>
        <w:t>Richette, 2016 (6)</w:t>
      </w:r>
      <w:r w:rsidR="00534AEB">
        <w:rPr>
          <w:rFonts w:cs="Arial"/>
          <w:sz w:val="20"/>
          <w:szCs w:val="20"/>
        </w:rPr>
        <w:t>)</w:t>
      </w:r>
      <w:r w:rsidR="000808B5" w:rsidRPr="000808B5">
        <w:rPr>
          <w:rFonts w:cs="Arial"/>
          <w:sz w:val="20"/>
          <w:szCs w:val="20"/>
        </w:rPr>
        <w:t>.</w:t>
      </w:r>
    </w:p>
    <w:p w14:paraId="2DC58172" w14:textId="24B1A023" w:rsidR="000808B5" w:rsidRPr="000808B5" w:rsidRDefault="000808B5" w:rsidP="009F1699">
      <w:pPr>
        <w:widowControl w:val="0"/>
        <w:autoSpaceDE w:val="0"/>
        <w:autoSpaceDN w:val="0"/>
        <w:adjustRightInd w:val="0"/>
        <w:spacing w:line="360" w:lineRule="auto"/>
        <w:rPr>
          <w:rFonts w:cs="Arial"/>
          <w:sz w:val="20"/>
          <w:szCs w:val="20"/>
        </w:rPr>
      </w:pPr>
      <w:r w:rsidRPr="000808B5">
        <w:rPr>
          <w:rFonts w:cs="Arial"/>
          <w:sz w:val="20"/>
          <w:szCs w:val="20"/>
        </w:rPr>
        <w:t xml:space="preserve">Il livello </w:t>
      </w:r>
      <w:r w:rsidR="005848A1">
        <w:rPr>
          <w:rFonts w:cs="Arial"/>
          <w:sz w:val="20"/>
          <w:szCs w:val="20"/>
        </w:rPr>
        <w:t>sUA</w:t>
      </w:r>
      <w:r w:rsidRPr="000808B5">
        <w:rPr>
          <w:rFonts w:cs="Arial"/>
          <w:sz w:val="20"/>
          <w:szCs w:val="20"/>
        </w:rPr>
        <w:t xml:space="preserve">&lt;6.0 mg/dl è raccomandato in quanto considerato ben al di sotto </w:t>
      </w:r>
      <w:r w:rsidR="002A7325">
        <w:rPr>
          <w:rFonts w:cs="Arial"/>
          <w:sz w:val="20"/>
          <w:szCs w:val="20"/>
        </w:rPr>
        <w:t>del</w:t>
      </w:r>
      <w:r w:rsidRPr="000808B5">
        <w:rPr>
          <w:rFonts w:cs="Arial"/>
          <w:sz w:val="20"/>
          <w:szCs w:val="20"/>
        </w:rPr>
        <w:t xml:space="preserve"> valore soglia di solubilità dell’urato (MSU); anche le Linee Guida Italiane della SIR riportano: “</w:t>
      </w:r>
      <w:r w:rsidRPr="007A7837">
        <w:rPr>
          <w:rFonts w:cs="Arial"/>
          <w:b/>
          <w:i/>
          <w:sz w:val="20"/>
          <w:szCs w:val="20"/>
        </w:rPr>
        <w:t>lo scopo della terapia ipouricemizzante è quello di promuovere la dissoluzione e di prevenire la formazione dei cristalli di UMS</w:t>
      </w:r>
      <w:r w:rsidR="00E55D38">
        <w:rPr>
          <w:rFonts w:cs="Arial"/>
          <w:b/>
          <w:i/>
          <w:sz w:val="20"/>
          <w:szCs w:val="20"/>
        </w:rPr>
        <w:t xml:space="preserve"> </w:t>
      </w:r>
      <w:r w:rsidRPr="007A7837">
        <w:rPr>
          <w:rFonts w:cs="Arial"/>
          <w:b/>
          <w:i/>
          <w:sz w:val="20"/>
          <w:szCs w:val="20"/>
        </w:rPr>
        <w:t>t</w:t>
      </w:r>
      <w:r w:rsidR="00E55D38">
        <w:rPr>
          <w:rFonts w:cs="Arial"/>
          <w:b/>
          <w:i/>
          <w:sz w:val="20"/>
          <w:szCs w:val="20"/>
        </w:rPr>
        <w:t>essutali</w:t>
      </w:r>
      <w:r w:rsidRPr="007A7837">
        <w:rPr>
          <w:rFonts w:cs="Arial"/>
          <w:b/>
          <w:i/>
          <w:sz w:val="20"/>
          <w:szCs w:val="20"/>
        </w:rPr>
        <w:t>. Al tal fine, i livelli sierici di uricemia devono essere mantenuti al di sotto di 6 mg/dl, valore che riflette una concentrazione tissutale inferiore al punto di saturazione del</w:t>
      </w:r>
      <w:r w:rsidR="00F65548" w:rsidRPr="007A7837">
        <w:rPr>
          <w:rFonts w:cs="Arial"/>
          <w:b/>
          <w:i/>
          <w:sz w:val="20"/>
          <w:szCs w:val="20"/>
        </w:rPr>
        <w:t>l’urato monosodico (MSU)</w:t>
      </w:r>
      <w:r w:rsidRPr="000808B5">
        <w:rPr>
          <w:rFonts w:cs="Arial"/>
          <w:i/>
          <w:sz w:val="20"/>
          <w:szCs w:val="20"/>
          <w:vertAlign w:val="superscript"/>
        </w:rPr>
        <w:footnoteReference w:id="2"/>
      </w:r>
      <w:r w:rsidR="00534AEB">
        <w:rPr>
          <w:rFonts w:cs="Arial"/>
          <w:sz w:val="20"/>
          <w:szCs w:val="20"/>
        </w:rPr>
        <w:t xml:space="preserve"> (</w:t>
      </w:r>
      <w:r w:rsidR="00534AEB" w:rsidRPr="00534AEB">
        <w:rPr>
          <w:rFonts w:cs="Arial"/>
          <w:color w:val="0000FF"/>
          <w:sz w:val="20"/>
          <w:szCs w:val="20"/>
        </w:rPr>
        <w:t>Manara, 2013</w:t>
      </w:r>
      <w:r w:rsidR="00FE0112">
        <w:rPr>
          <w:rFonts w:cs="Arial"/>
          <w:color w:val="0000FF"/>
          <w:sz w:val="20"/>
          <w:szCs w:val="20"/>
        </w:rPr>
        <w:t xml:space="preserve"> (7)</w:t>
      </w:r>
      <w:r w:rsidR="00534AEB">
        <w:rPr>
          <w:rFonts w:cs="Arial"/>
          <w:sz w:val="20"/>
          <w:szCs w:val="20"/>
        </w:rPr>
        <w:t>).</w:t>
      </w:r>
    </w:p>
    <w:p w14:paraId="0D03CC1B" w14:textId="47B47EB6" w:rsidR="000808B5" w:rsidRDefault="000808B5" w:rsidP="009F1699">
      <w:pPr>
        <w:widowControl w:val="0"/>
        <w:autoSpaceDE w:val="0"/>
        <w:autoSpaceDN w:val="0"/>
        <w:adjustRightInd w:val="0"/>
        <w:spacing w:line="360" w:lineRule="auto"/>
        <w:rPr>
          <w:rFonts w:cs="Arial"/>
          <w:sz w:val="20"/>
          <w:szCs w:val="20"/>
        </w:rPr>
      </w:pPr>
      <w:r w:rsidRPr="007A7837">
        <w:rPr>
          <w:rFonts w:cs="Arial"/>
          <w:sz w:val="20"/>
          <w:szCs w:val="20"/>
        </w:rPr>
        <w:t xml:space="preserve">La riduzione dei livelli di urato al di sotto del valore soglia di 6.0 mg/dl consente, non solo l’interruzione del deposito di urati nelle articolazioni e nell’osso, ma anche la dissoluzione dei cristalli già depositati </w:t>
      </w:r>
      <w:r w:rsidR="00782F11" w:rsidRPr="007A7837">
        <w:rPr>
          <w:rFonts w:cs="Arial"/>
          <w:sz w:val="20"/>
          <w:szCs w:val="20"/>
        </w:rPr>
        <w:t>(</w:t>
      </w:r>
      <w:r w:rsidR="00E54BFE">
        <w:rPr>
          <w:rFonts w:cs="Arial"/>
          <w:color w:val="0000FF"/>
          <w:sz w:val="20"/>
          <w:szCs w:val="20"/>
        </w:rPr>
        <w:t>Richette, 2016 (6)</w:t>
      </w:r>
      <w:r w:rsidR="00782F11">
        <w:rPr>
          <w:rFonts w:cs="Arial"/>
          <w:sz w:val="20"/>
          <w:szCs w:val="20"/>
        </w:rPr>
        <w:t>)</w:t>
      </w:r>
      <w:r w:rsidRPr="000808B5">
        <w:rPr>
          <w:rFonts w:cs="Arial"/>
          <w:sz w:val="20"/>
          <w:szCs w:val="20"/>
        </w:rPr>
        <w:t xml:space="preserve">; un esempio interessante è illustrato nella </w:t>
      </w:r>
      <w:hyperlink w:anchor="Figura8" w:history="1">
        <w:r w:rsidRPr="00323FEC">
          <w:rPr>
            <w:rStyle w:val="Hyperlink"/>
            <w:rFonts w:cs="Arial"/>
            <w:sz w:val="20"/>
            <w:szCs w:val="20"/>
          </w:rPr>
          <w:t xml:space="preserve">Figura </w:t>
        </w:r>
        <w:r w:rsidR="00AC4573" w:rsidRPr="00323FEC">
          <w:rPr>
            <w:rStyle w:val="Hyperlink"/>
            <w:rFonts w:cs="Arial"/>
            <w:sz w:val="20"/>
            <w:szCs w:val="20"/>
          </w:rPr>
          <w:t>8</w:t>
        </w:r>
      </w:hyperlink>
      <w:r w:rsidRPr="000808B5">
        <w:rPr>
          <w:rFonts w:cs="Arial"/>
          <w:sz w:val="20"/>
          <w:szCs w:val="20"/>
        </w:rPr>
        <w:t xml:space="preserve"> che mostra la riduzione del volume dei tofi da 20.2 cm</w:t>
      </w:r>
      <w:r w:rsidRPr="000808B5">
        <w:rPr>
          <w:rFonts w:cs="Arial"/>
          <w:sz w:val="20"/>
          <w:szCs w:val="20"/>
          <w:vertAlign w:val="superscript"/>
        </w:rPr>
        <w:t>3</w:t>
      </w:r>
      <w:r w:rsidRPr="000808B5">
        <w:rPr>
          <w:rFonts w:cs="Arial"/>
          <w:sz w:val="20"/>
          <w:szCs w:val="20"/>
        </w:rPr>
        <w:t xml:space="preserve"> a 0.6 cm</w:t>
      </w:r>
      <w:r w:rsidRPr="000808B5">
        <w:rPr>
          <w:rFonts w:cs="Arial"/>
          <w:sz w:val="20"/>
          <w:szCs w:val="20"/>
          <w:vertAlign w:val="superscript"/>
        </w:rPr>
        <w:t>3</w:t>
      </w:r>
      <w:r w:rsidRPr="000808B5">
        <w:rPr>
          <w:rFonts w:cs="Arial"/>
          <w:sz w:val="20"/>
          <w:szCs w:val="20"/>
        </w:rPr>
        <w:t xml:space="preserve"> dopo terapia ipouricemizzante (</w:t>
      </w:r>
      <w:r w:rsidR="00315622" w:rsidRPr="000808B5">
        <w:rPr>
          <w:rFonts w:cs="Arial"/>
          <w:sz w:val="20"/>
          <w:szCs w:val="20"/>
        </w:rPr>
        <w:t xml:space="preserve">Urate Lowering Treatment - </w:t>
      </w:r>
      <w:r w:rsidRPr="000808B5">
        <w:rPr>
          <w:rFonts w:cs="Arial"/>
          <w:sz w:val="20"/>
          <w:szCs w:val="20"/>
        </w:rPr>
        <w:t>ULT) in una donna di 48 anni affetta da gotta</w:t>
      </w:r>
      <w:r w:rsidR="00782F11">
        <w:rPr>
          <w:rFonts w:cs="Arial"/>
          <w:sz w:val="20"/>
          <w:szCs w:val="20"/>
        </w:rPr>
        <w:t xml:space="preserve"> (</w:t>
      </w:r>
      <w:r w:rsidR="00620C58">
        <w:rPr>
          <w:rFonts w:cs="Arial"/>
          <w:color w:val="0000FF"/>
          <w:sz w:val="20"/>
          <w:szCs w:val="20"/>
        </w:rPr>
        <w:t>Nicolaou, 2012 (98</w:t>
      </w:r>
      <w:r w:rsidR="00426717">
        <w:rPr>
          <w:rFonts w:cs="Arial"/>
          <w:color w:val="0000FF"/>
          <w:sz w:val="20"/>
          <w:szCs w:val="20"/>
        </w:rPr>
        <w:t>)</w:t>
      </w:r>
      <w:r w:rsidR="00782F11">
        <w:rPr>
          <w:rFonts w:cs="Arial"/>
          <w:sz w:val="20"/>
          <w:szCs w:val="20"/>
        </w:rPr>
        <w:t>)</w:t>
      </w:r>
      <w:r w:rsidR="001C6230">
        <w:rPr>
          <w:rFonts w:cs="Arial"/>
          <w:sz w:val="20"/>
          <w:szCs w:val="20"/>
        </w:rPr>
        <w:t>.</w:t>
      </w:r>
    </w:p>
    <w:p w14:paraId="573276BF" w14:textId="77777777" w:rsidR="001C6230" w:rsidRPr="000808B5" w:rsidRDefault="001C6230" w:rsidP="009F1699">
      <w:pPr>
        <w:widowControl w:val="0"/>
        <w:autoSpaceDE w:val="0"/>
        <w:autoSpaceDN w:val="0"/>
        <w:adjustRightInd w:val="0"/>
        <w:spacing w:line="360" w:lineRule="auto"/>
        <w:rPr>
          <w:rFonts w:cs="Arial"/>
          <w:sz w:val="20"/>
          <w:szCs w:val="20"/>
        </w:rPr>
      </w:pPr>
    </w:p>
    <w:p w14:paraId="65B9EB8B" w14:textId="6BC22372" w:rsidR="000808B5" w:rsidRPr="001C6230" w:rsidRDefault="001C6230" w:rsidP="001C6230">
      <w:pPr>
        <w:pStyle w:val="Caption"/>
        <w:rPr>
          <w:rFonts w:asciiTheme="minorHAnsi" w:hAnsiTheme="minorHAnsi" w:cstheme="minorHAnsi"/>
          <w:lang w:val="it-IT"/>
        </w:rPr>
      </w:pPr>
      <w:bookmarkStart w:id="55" w:name="Figura8"/>
      <w:bookmarkStart w:id="56" w:name="_Toc473186903"/>
      <w:bookmarkEnd w:id="55"/>
      <w:r w:rsidRPr="001C6230">
        <w:rPr>
          <w:rFonts w:asciiTheme="minorHAnsi" w:hAnsiTheme="minorHAnsi" w:cstheme="minorHAnsi"/>
          <w:lang w:val="it-IT"/>
        </w:rPr>
        <w:t xml:space="preserve">Figura </w:t>
      </w:r>
      <w:r w:rsidRPr="001C6230">
        <w:rPr>
          <w:rFonts w:asciiTheme="minorHAnsi" w:hAnsiTheme="minorHAnsi" w:cstheme="minorHAnsi"/>
        </w:rPr>
        <w:fldChar w:fldCharType="begin"/>
      </w:r>
      <w:r w:rsidRPr="001C6230">
        <w:rPr>
          <w:rFonts w:asciiTheme="minorHAnsi" w:hAnsiTheme="minorHAnsi" w:cstheme="minorHAnsi"/>
          <w:lang w:val="it-IT"/>
        </w:rPr>
        <w:instrText xml:space="preserve"> SEQ Figura \* ARABIC </w:instrText>
      </w:r>
      <w:r w:rsidRPr="001C6230">
        <w:rPr>
          <w:rFonts w:asciiTheme="minorHAnsi" w:hAnsiTheme="minorHAnsi" w:cstheme="minorHAnsi"/>
        </w:rPr>
        <w:fldChar w:fldCharType="separate"/>
      </w:r>
      <w:r w:rsidR="00A1679C">
        <w:rPr>
          <w:rFonts w:asciiTheme="minorHAnsi" w:hAnsiTheme="minorHAnsi" w:cstheme="minorHAnsi"/>
          <w:noProof/>
          <w:lang w:val="it-IT"/>
        </w:rPr>
        <w:t>8</w:t>
      </w:r>
      <w:r w:rsidRPr="001C6230">
        <w:rPr>
          <w:rFonts w:asciiTheme="minorHAnsi" w:hAnsiTheme="minorHAnsi" w:cstheme="minorHAnsi"/>
        </w:rPr>
        <w:fldChar w:fldCharType="end"/>
      </w:r>
      <w:r w:rsidRPr="001C6230">
        <w:rPr>
          <w:rFonts w:asciiTheme="minorHAnsi" w:hAnsiTheme="minorHAnsi" w:cstheme="minorHAnsi"/>
          <w:lang w:val="it-IT"/>
        </w:rPr>
        <w:t xml:space="preserve"> - </w:t>
      </w:r>
      <w:r w:rsidR="000808B5" w:rsidRPr="001C6230">
        <w:rPr>
          <w:rFonts w:asciiTheme="minorHAnsi" w:hAnsiTheme="minorHAnsi" w:cstheme="minorHAnsi"/>
          <w:b w:val="0"/>
          <w:lang w:val="it-IT"/>
        </w:rPr>
        <w:t>Riduzione del volume dei tofi dopo ULT in un paziente con gotta</w:t>
      </w:r>
      <w:r w:rsidR="000808B5" w:rsidRPr="001C6230">
        <w:rPr>
          <w:rFonts w:asciiTheme="minorHAnsi" w:hAnsiTheme="minorHAnsi" w:cstheme="minorHAnsi"/>
          <w:lang w:val="it-IT"/>
        </w:rPr>
        <w:t xml:space="preserve"> </w:t>
      </w:r>
      <w:r w:rsidR="00782F11" w:rsidRPr="001C6230">
        <w:rPr>
          <w:rFonts w:asciiTheme="minorHAnsi" w:hAnsiTheme="minorHAnsi" w:cstheme="minorHAnsi"/>
          <w:lang w:val="it-IT"/>
        </w:rPr>
        <w:t>(</w:t>
      </w:r>
      <w:r w:rsidR="00782F11" w:rsidRPr="001C6230">
        <w:rPr>
          <w:rFonts w:asciiTheme="minorHAnsi" w:hAnsiTheme="minorHAnsi" w:cstheme="minorHAnsi"/>
          <w:color w:val="0000FF"/>
          <w:lang w:val="it-IT"/>
        </w:rPr>
        <w:t>Nicolaou, 2012</w:t>
      </w:r>
      <w:r w:rsidR="00782F11" w:rsidRPr="001C6230">
        <w:rPr>
          <w:rFonts w:asciiTheme="minorHAnsi" w:hAnsiTheme="minorHAnsi" w:cstheme="minorHAnsi"/>
          <w:lang w:val="it-IT"/>
        </w:rPr>
        <w:t>)</w:t>
      </w:r>
      <w:bookmarkEnd w:id="56"/>
    </w:p>
    <w:p w14:paraId="288E1521" w14:textId="121AF410" w:rsidR="000808B5" w:rsidRPr="000808B5" w:rsidRDefault="000808B5" w:rsidP="000808B5">
      <w:pPr>
        <w:widowControl w:val="0"/>
        <w:autoSpaceDE w:val="0"/>
        <w:autoSpaceDN w:val="0"/>
        <w:adjustRightInd w:val="0"/>
        <w:spacing w:line="360" w:lineRule="auto"/>
        <w:jc w:val="both"/>
        <w:rPr>
          <w:rFonts w:cs="Arial"/>
          <w:sz w:val="20"/>
          <w:szCs w:val="20"/>
        </w:rPr>
      </w:pPr>
      <w:r w:rsidRPr="000808B5">
        <w:rPr>
          <w:rFonts w:cs="Arial"/>
          <w:noProof/>
          <w:sz w:val="20"/>
          <w:szCs w:val="20"/>
          <w:lang w:val="en-GB" w:eastAsia="en-GB"/>
        </w:rPr>
        <w:drawing>
          <wp:inline distT="0" distB="0" distL="0" distR="0" wp14:anchorId="597A40FD" wp14:editId="1399E60B">
            <wp:extent cx="4847590" cy="2025015"/>
            <wp:effectExtent l="19050" t="19050" r="10160" b="13335"/>
            <wp:docPr id="312" name="Immagin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47590" cy="2025015"/>
                    </a:xfrm>
                    <a:prstGeom prst="rect">
                      <a:avLst/>
                    </a:prstGeom>
                    <a:noFill/>
                    <a:ln w="9525">
                      <a:solidFill>
                        <a:srgbClr val="000000"/>
                      </a:solidFill>
                      <a:miter lim="800000"/>
                      <a:headEnd/>
                      <a:tailEnd/>
                    </a:ln>
                  </pic:spPr>
                </pic:pic>
              </a:graphicData>
            </a:graphic>
          </wp:inline>
        </w:drawing>
      </w:r>
    </w:p>
    <w:p w14:paraId="64FB452B" w14:textId="77777777" w:rsidR="001C6230" w:rsidRDefault="001C6230" w:rsidP="009F1699">
      <w:pPr>
        <w:widowControl w:val="0"/>
        <w:autoSpaceDE w:val="0"/>
        <w:autoSpaceDN w:val="0"/>
        <w:adjustRightInd w:val="0"/>
        <w:spacing w:line="360" w:lineRule="auto"/>
        <w:rPr>
          <w:rFonts w:cs="Arial"/>
          <w:sz w:val="20"/>
          <w:szCs w:val="20"/>
        </w:rPr>
      </w:pPr>
    </w:p>
    <w:p w14:paraId="6DCD6076" w14:textId="68886B2D" w:rsidR="000808B5" w:rsidRDefault="006260DF" w:rsidP="009F1699">
      <w:pPr>
        <w:widowControl w:val="0"/>
        <w:autoSpaceDE w:val="0"/>
        <w:autoSpaceDN w:val="0"/>
        <w:adjustRightInd w:val="0"/>
        <w:spacing w:line="360" w:lineRule="auto"/>
        <w:rPr>
          <w:rFonts w:cs="Arial"/>
          <w:sz w:val="20"/>
          <w:szCs w:val="20"/>
        </w:rPr>
      </w:pPr>
      <w:r>
        <w:rPr>
          <w:rFonts w:cs="Arial"/>
          <w:sz w:val="20"/>
          <w:szCs w:val="20"/>
        </w:rPr>
        <w:t xml:space="preserve">La riduzione dei livelli </w:t>
      </w:r>
      <w:r w:rsidR="005848A1">
        <w:rPr>
          <w:rFonts w:cs="Arial"/>
          <w:sz w:val="20"/>
          <w:szCs w:val="20"/>
        </w:rPr>
        <w:t>sUA</w:t>
      </w:r>
      <w:r w:rsidR="000808B5" w:rsidRPr="000808B5">
        <w:rPr>
          <w:rFonts w:cs="Arial"/>
          <w:sz w:val="20"/>
          <w:szCs w:val="20"/>
        </w:rPr>
        <w:t xml:space="preserve"> si associa anche alla riduzione di altri marker infiammatori, tra cui i livelli di proteina C-reattiva (CRP), un marker di infiammazione sistemica di cui si sono rilevati livelli elevati nei pazienti con iperuricemia</w:t>
      </w:r>
      <w:r w:rsidR="001C6230">
        <w:rPr>
          <w:rFonts w:cs="Arial"/>
          <w:sz w:val="20"/>
          <w:szCs w:val="20"/>
        </w:rPr>
        <w:t xml:space="preserve"> (</w:t>
      </w:r>
      <w:hyperlink w:anchor="Figura9" w:history="1">
        <w:r w:rsidR="001C6230" w:rsidRPr="00323FEC">
          <w:rPr>
            <w:rStyle w:val="Hyperlink"/>
            <w:rFonts w:cs="Arial"/>
            <w:sz w:val="20"/>
            <w:szCs w:val="20"/>
          </w:rPr>
          <w:t xml:space="preserve">Figura </w:t>
        </w:r>
        <w:r w:rsidR="00AC4573" w:rsidRPr="00323FEC">
          <w:rPr>
            <w:rStyle w:val="Hyperlink"/>
            <w:rFonts w:cs="Arial"/>
            <w:sz w:val="20"/>
            <w:szCs w:val="20"/>
          </w:rPr>
          <w:t>9</w:t>
        </w:r>
      </w:hyperlink>
      <w:r w:rsidR="001C6230">
        <w:rPr>
          <w:rFonts w:cs="Arial"/>
          <w:sz w:val="20"/>
          <w:szCs w:val="20"/>
        </w:rPr>
        <w:t>)</w:t>
      </w:r>
      <w:r w:rsidR="00782F11">
        <w:rPr>
          <w:rFonts w:cs="Arial"/>
          <w:sz w:val="20"/>
          <w:szCs w:val="20"/>
        </w:rPr>
        <w:t xml:space="preserve"> (</w:t>
      </w:r>
      <w:r w:rsidR="00620C58">
        <w:rPr>
          <w:rFonts w:cs="Arial"/>
          <w:color w:val="0000FF"/>
          <w:sz w:val="20"/>
          <w:szCs w:val="20"/>
        </w:rPr>
        <w:t>Grainger, 2013 (99</w:t>
      </w:r>
      <w:r w:rsidR="00EB401D">
        <w:rPr>
          <w:rFonts w:cs="Arial"/>
          <w:color w:val="0000FF"/>
          <w:sz w:val="20"/>
          <w:szCs w:val="20"/>
        </w:rPr>
        <w:t>)</w:t>
      </w:r>
      <w:r w:rsidR="00782F11" w:rsidRPr="00EB401D">
        <w:rPr>
          <w:rFonts w:cs="Arial"/>
          <w:color w:val="0000FF"/>
          <w:sz w:val="20"/>
          <w:szCs w:val="20"/>
        </w:rPr>
        <w:t xml:space="preserve">; </w:t>
      </w:r>
      <w:r w:rsidR="00620C58">
        <w:rPr>
          <w:rFonts w:cs="Arial"/>
          <w:color w:val="0000FF"/>
          <w:sz w:val="20"/>
          <w:szCs w:val="20"/>
        </w:rPr>
        <w:t>Kanbay, 2011 (100</w:t>
      </w:r>
      <w:r w:rsidR="00EB401D">
        <w:rPr>
          <w:rFonts w:cs="Arial"/>
          <w:color w:val="0000FF"/>
          <w:sz w:val="20"/>
          <w:szCs w:val="20"/>
        </w:rPr>
        <w:t>)</w:t>
      </w:r>
      <w:r w:rsidR="00782F11" w:rsidRPr="00782F11">
        <w:rPr>
          <w:rFonts w:cs="Arial"/>
          <w:color w:val="0000FF"/>
          <w:sz w:val="20"/>
          <w:szCs w:val="20"/>
        </w:rPr>
        <w:t xml:space="preserve">; </w:t>
      </w:r>
      <w:r w:rsidR="00620C58">
        <w:rPr>
          <w:rFonts w:cs="Arial"/>
          <w:color w:val="0000FF"/>
          <w:sz w:val="20"/>
          <w:szCs w:val="20"/>
        </w:rPr>
        <w:t>Goicoechea, 2010 (101</w:t>
      </w:r>
      <w:r w:rsidR="00C3636C">
        <w:rPr>
          <w:rFonts w:cs="Arial"/>
          <w:color w:val="0000FF"/>
          <w:sz w:val="20"/>
          <w:szCs w:val="20"/>
        </w:rPr>
        <w:t>)</w:t>
      </w:r>
      <w:r w:rsidR="00782F11">
        <w:rPr>
          <w:rFonts w:cs="Arial"/>
          <w:sz w:val="20"/>
          <w:szCs w:val="20"/>
        </w:rPr>
        <w:t>)</w:t>
      </w:r>
      <w:r w:rsidR="000808B5" w:rsidRPr="000808B5">
        <w:rPr>
          <w:rFonts w:cs="Arial"/>
          <w:sz w:val="20"/>
          <w:szCs w:val="20"/>
        </w:rPr>
        <w:t xml:space="preserve">. </w:t>
      </w:r>
    </w:p>
    <w:p w14:paraId="216846C1" w14:textId="77777777" w:rsidR="00FB69B2" w:rsidRPr="000808B5" w:rsidRDefault="00FB69B2" w:rsidP="009F1699">
      <w:pPr>
        <w:widowControl w:val="0"/>
        <w:autoSpaceDE w:val="0"/>
        <w:autoSpaceDN w:val="0"/>
        <w:adjustRightInd w:val="0"/>
        <w:spacing w:line="360" w:lineRule="auto"/>
        <w:rPr>
          <w:rFonts w:cs="Arial"/>
          <w:sz w:val="20"/>
          <w:szCs w:val="20"/>
        </w:rPr>
      </w:pPr>
    </w:p>
    <w:p w14:paraId="7AFA8806" w14:textId="7CDAED74" w:rsidR="000808B5" w:rsidRPr="001C6230" w:rsidRDefault="001C6230" w:rsidP="001C6230">
      <w:pPr>
        <w:pStyle w:val="Caption"/>
        <w:rPr>
          <w:rFonts w:asciiTheme="minorHAnsi" w:hAnsiTheme="minorHAnsi" w:cstheme="minorHAnsi"/>
          <w:lang w:val="it-IT"/>
        </w:rPr>
      </w:pPr>
      <w:bookmarkStart w:id="57" w:name="Figura9"/>
      <w:bookmarkStart w:id="58" w:name="_Toc473186904"/>
      <w:bookmarkEnd w:id="57"/>
      <w:r w:rsidRPr="001C6230">
        <w:rPr>
          <w:rFonts w:asciiTheme="minorHAnsi" w:hAnsiTheme="minorHAnsi" w:cstheme="minorHAnsi"/>
          <w:lang w:val="it-IT"/>
        </w:rPr>
        <w:t xml:space="preserve">Figura </w:t>
      </w:r>
      <w:r w:rsidRPr="001C6230">
        <w:rPr>
          <w:rFonts w:asciiTheme="minorHAnsi" w:hAnsiTheme="minorHAnsi" w:cstheme="minorHAnsi"/>
        </w:rPr>
        <w:fldChar w:fldCharType="begin"/>
      </w:r>
      <w:r w:rsidRPr="001C6230">
        <w:rPr>
          <w:rFonts w:asciiTheme="minorHAnsi" w:hAnsiTheme="minorHAnsi" w:cstheme="minorHAnsi"/>
          <w:lang w:val="it-IT"/>
        </w:rPr>
        <w:instrText xml:space="preserve"> SEQ Figura \* ARABIC </w:instrText>
      </w:r>
      <w:r w:rsidRPr="001C6230">
        <w:rPr>
          <w:rFonts w:asciiTheme="minorHAnsi" w:hAnsiTheme="minorHAnsi" w:cstheme="minorHAnsi"/>
        </w:rPr>
        <w:fldChar w:fldCharType="separate"/>
      </w:r>
      <w:r w:rsidR="00A1679C">
        <w:rPr>
          <w:rFonts w:asciiTheme="minorHAnsi" w:hAnsiTheme="minorHAnsi" w:cstheme="minorHAnsi"/>
          <w:noProof/>
          <w:lang w:val="it-IT"/>
        </w:rPr>
        <w:t>9</w:t>
      </w:r>
      <w:r w:rsidRPr="001C6230">
        <w:rPr>
          <w:rFonts w:asciiTheme="minorHAnsi" w:hAnsiTheme="minorHAnsi" w:cstheme="minorHAnsi"/>
        </w:rPr>
        <w:fldChar w:fldCharType="end"/>
      </w:r>
      <w:r w:rsidRPr="001C6230">
        <w:rPr>
          <w:rFonts w:asciiTheme="minorHAnsi" w:hAnsiTheme="minorHAnsi" w:cstheme="minorHAnsi"/>
          <w:lang w:val="it-IT"/>
        </w:rPr>
        <w:t xml:space="preserve"> - </w:t>
      </w:r>
      <w:r w:rsidR="000808B5" w:rsidRPr="001C6230">
        <w:rPr>
          <w:rFonts w:asciiTheme="minorHAnsi" w:hAnsiTheme="minorHAnsi" w:cstheme="minorHAnsi"/>
          <w:b w:val="0"/>
          <w:lang w:val="it-IT"/>
        </w:rPr>
        <w:t xml:space="preserve">Riduzione livelli </w:t>
      </w:r>
      <w:r w:rsidR="005848A1">
        <w:rPr>
          <w:rFonts w:asciiTheme="minorHAnsi" w:hAnsiTheme="minorHAnsi" w:cstheme="minorHAnsi"/>
          <w:b w:val="0"/>
          <w:lang w:val="it-IT"/>
        </w:rPr>
        <w:t>SUA</w:t>
      </w:r>
      <w:r w:rsidR="000808B5" w:rsidRPr="001C6230">
        <w:rPr>
          <w:rFonts w:asciiTheme="minorHAnsi" w:hAnsiTheme="minorHAnsi" w:cstheme="minorHAnsi"/>
          <w:b w:val="0"/>
          <w:lang w:val="it-IT"/>
        </w:rPr>
        <w:t xml:space="preserve"> e CRP</w:t>
      </w:r>
      <w:r w:rsidR="00782F11" w:rsidRPr="001C6230">
        <w:rPr>
          <w:rFonts w:asciiTheme="minorHAnsi" w:hAnsiTheme="minorHAnsi" w:cstheme="minorHAnsi"/>
          <w:lang w:val="it-IT"/>
        </w:rPr>
        <w:t xml:space="preserve"> (</w:t>
      </w:r>
      <w:r w:rsidR="00782F11" w:rsidRPr="001C6230">
        <w:rPr>
          <w:rFonts w:asciiTheme="minorHAnsi" w:hAnsiTheme="minorHAnsi" w:cstheme="minorHAnsi"/>
          <w:color w:val="0000FF"/>
          <w:lang w:val="it-IT"/>
        </w:rPr>
        <w:t>Goicoechea, 2010</w:t>
      </w:r>
      <w:r w:rsidR="00782F11" w:rsidRPr="001C6230">
        <w:rPr>
          <w:rFonts w:asciiTheme="minorHAnsi" w:hAnsiTheme="minorHAnsi" w:cstheme="minorHAnsi"/>
          <w:lang w:val="it-IT"/>
        </w:rPr>
        <w:t>)</w:t>
      </w:r>
      <w:bookmarkEnd w:id="58"/>
    </w:p>
    <w:p w14:paraId="78414370" w14:textId="4F6C4821" w:rsidR="000808B5" w:rsidRPr="000808B5" w:rsidRDefault="000808B5" w:rsidP="000808B5">
      <w:pPr>
        <w:widowControl w:val="0"/>
        <w:autoSpaceDE w:val="0"/>
        <w:autoSpaceDN w:val="0"/>
        <w:adjustRightInd w:val="0"/>
        <w:spacing w:line="360" w:lineRule="auto"/>
        <w:jc w:val="both"/>
        <w:rPr>
          <w:rFonts w:cs="Arial"/>
          <w:sz w:val="20"/>
          <w:szCs w:val="20"/>
        </w:rPr>
      </w:pPr>
      <w:r w:rsidRPr="000808B5">
        <w:rPr>
          <w:rFonts w:cs="Arial"/>
          <w:noProof/>
          <w:sz w:val="20"/>
          <w:szCs w:val="20"/>
          <w:lang w:val="en-GB" w:eastAsia="en-GB"/>
        </w:rPr>
        <w:drawing>
          <wp:inline distT="0" distB="0" distL="0" distR="0" wp14:anchorId="421C0A7E" wp14:editId="526D62A3">
            <wp:extent cx="5549342" cy="2971800"/>
            <wp:effectExtent l="19050" t="19050" r="13335" b="19050"/>
            <wp:docPr id="311" name="Immagin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65619" cy="2980517"/>
                    </a:xfrm>
                    <a:prstGeom prst="rect">
                      <a:avLst/>
                    </a:prstGeom>
                    <a:noFill/>
                    <a:ln w="9525">
                      <a:solidFill>
                        <a:srgbClr val="000000"/>
                      </a:solidFill>
                      <a:miter lim="800000"/>
                      <a:headEnd/>
                      <a:tailEnd/>
                    </a:ln>
                  </pic:spPr>
                </pic:pic>
              </a:graphicData>
            </a:graphic>
          </wp:inline>
        </w:drawing>
      </w:r>
    </w:p>
    <w:p w14:paraId="3D0F2C34" w14:textId="77777777" w:rsidR="001C6230" w:rsidRDefault="001C6230" w:rsidP="000808B5">
      <w:pPr>
        <w:widowControl w:val="0"/>
        <w:autoSpaceDE w:val="0"/>
        <w:autoSpaceDN w:val="0"/>
        <w:adjustRightInd w:val="0"/>
        <w:spacing w:line="360" w:lineRule="auto"/>
        <w:jc w:val="both"/>
        <w:rPr>
          <w:rFonts w:cs="Arial"/>
          <w:b/>
          <w:sz w:val="20"/>
          <w:szCs w:val="20"/>
        </w:rPr>
      </w:pPr>
    </w:p>
    <w:p w14:paraId="6E75FE45" w14:textId="17488DE8" w:rsidR="001C6230" w:rsidRDefault="006260DF" w:rsidP="009F1699">
      <w:pPr>
        <w:widowControl w:val="0"/>
        <w:autoSpaceDE w:val="0"/>
        <w:autoSpaceDN w:val="0"/>
        <w:adjustRightInd w:val="0"/>
        <w:spacing w:line="360" w:lineRule="auto"/>
        <w:rPr>
          <w:rFonts w:cs="Arial"/>
          <w:sz w:val="20"/>
          <w:szCs w:val="20"/>
        </w:rPr>
      </w:pPr>
      <w:r>
        <w:rPr>
          <w:rFonts w:cs="Arial"/>
          <w:b/>
          <w:sz w:val="20"/>
          <w:szCs w:val="20"/>
        </w:rPr>
        <w:t xml:space="preserve">Al di sopra di valori </w:t>
      </w:r>
      <w:r w:rsidR="005848A1">
        <w:rPr>
          <w:rFonts w:cs="Arial"/>
          <w:b/>
          <w:sz w:val="20"/>
          <w:szCs w:val="20"/>
        </w:rPr>
        <w:t>sUA</w:t>
      </w:r>
      <w:r w:rsidR="000808B5" w:rsidRPr="000808B5">
        <w:rPr>
          <w:rFonts w:cs="Arial"/>
          <w:b/>
          <w:sz w:val="20"/>
          <w:szCs w:val="20"/>
        </w:rPr>
        <w:t xml:space="preserve"> &gt;6.0 mg/dl aumenta in modo importante il rischio di attacchi acuti.</w:t>
      </w:r>
      <w:r w:rsidR="000808B5" w:rsidRPr="000808B5">
        <w:rPr>
          <w:rFonts w:cs="Arial"/>
          <w:sz w:val="20"/>
          <w:szCs w:val="20"/>
        </w:rPr>
        <w:t xml:space="preserve"> I dati riportati nella </w:t>
      </w:r>
      <w:hyperlink w:anchor="Figura10" w:history="1">
        <w:r w:rsidR="000808B5" w:rsidRPr="00323FEC">
          <w:rPr>
            <w:rStyle w:val="Hyperlink"/>
            <w:rFonts w:cs="Arial"/>
            <w:sz w:val="20"/>
            <w:szCs w:val="20"/>
          </w:rPr>
          <w:t xml:space="preserve">Figura </w:t>
        </w:r>
        <w:r w:rsidR="001C6230" w:rsidRPr="00323FEC">
          <w:rPr>
            <w:rStyle w:val="Hyperlink"/>
            <w:rFonts w:cs="Arial"/>
            <w:sz w:val="20"/>
            <w:szCs w:val="20"/>
          </w:rPr>
          <w:t>1</w:t>
        </w:r>
        <w:r w:rsidR="00AC4573" w:rsidRPr="00323FEC">
          <w:rPr>
            <w:rStyle w:val="Hyperlink"/>
            <w:rFonts w:cs="Arial"/>
            <w:sz w:val="20"/>
            <w:szCs w:val="20"/>
          </w:rPr>
          <w:t>0</w:t>
        </w:r>
      </w:hyperlink>
      <w:r w:rsidR="000808B5" w:rsidRPr="000808B5">
        <w:rPr>
          <w:rFonts w:cs="Arial"/>
          <w:sz w:val="20"/>
          <w:szCs w:val="20"/>
        </w:rPr>
        <w:t xml:space="preserve"> derivano da uno studio in cui sono stati analizzati retrospettivamente 267 pazienti seguiti per gotta presso l'Istituto di Reumatologia, dell’Università di Tokyo. I pazienti avevano sperimentato ≥1 attacco acuto prima della prima visita ed avevano frequentato la clinica per almeno 1 anno. Il grafico nella </w:t>
      </w:r>
      <w:hyperlink w:anchor="Figura10" w:history="1">
        <w:r w:rsidR="000808B5" w:rsidRPr="00323FEC">
          <w:rPr>
            <w:rStyle w:val="Hyperlink"/>
            <w:rFonts w:cs="Arial"/>
            <w:sz w:val="20"/>
            <w:szCs w:val="20"/>
          </w:rPr>
          <w:t xml:space="preserve">Figura </w:t>
        </w:r>
        <w:r w:rsidRPr="00323FEC">
          <w:rPr>
            <w:rStyle w:val="Hyperlink"/>
            <w:rFonts w:cs="Arial"/>
            <w:sz w:val="20"/>
            <w:szCs w:val="20"/>
          </w:rPr>
          <w:t>10</w:t>
        </w:r>
      </w:hyperlink>
      <w:r w:rsidR="000808B5" w:rsidRPr="000808B5">
        <w:rPr>
          <w:rFonts w:cs="Arial"/>
          <w:sz w:val="20"/>
          <w:szCs w:val="20"/>
        </w:rPr>
        <w:t xml:space="preserve"> mostra l’evidente correlazione tra livelli uricemici (valori </w:t>
      </w:r>
      <w:r w:rsidR="00A273B6">
        <w:rPr>
          <w:rFonts w:cs="Arial"/>
          <w:sz w:val="20"/>
          <w:szCs w:val="20"/>
        </w:rPr>
        <w:t>s</w:t>
      </w:r>
      <w:r w:rsidR="005848A1">
        <w:rPr>
          <w:rFonts w:cs="Arial"/>
          <w:sz w:val="20"/>
          <w:szCs w:val="20"/>
        </w:rPr>
        <w:t>UA</w:t>
      </w:r>
      <w:r w:rsidR="000808B5" w:rsidRPr="000808B5">
        <w:rPr>
          <w:rFonts w:cs="Arial"/>
          <w:sz w:val="20"/>
          <w:szCs w:val="20"/>
        </w:rPr>
        <w:t xml:space="preserve"> calcolati come media su 3 anni per i pazienti che hanno ricevuto il trattamento), e </w:t>
      </w:r>
      <w:r w:rsidR="00315622">
        <w:rPr>
          <w:rFonts w:cs="Arial"/>
          <w:sz w:val="20"/>
          <w:szCs w:val="20"/>
        </w:rPr>
        <w:t xml:space="preserve">l’incidenza </w:t>
      </w:r>
      <w:r w:rsidR="000808B5" w:rsidRPr="000808B5">
        <w:rPr>
          <w:rFonts w:cs="Arial"/>
          <w:sz w:val="20"/>
          <w:szCs w:val="20"/>
        </w:rPr>
        <w:t>di attacchi acuti ricorrenti di gotta</w:t>
      </w:r>
      <w:r w:rsidR="00782F11">
        <w:rPr>
          <w:rFonts w:cs="Arial"/>
          <w:sz w:val="20"/>
          <w:szCs w:val="20"/>
        </w:rPr>
        <w:t xml:space="preserve"> (</w:t>
      </w:r>
      <w:r w:rsidR="00231A40">
        <w:rPr>
          <w:rFonts w:cs="Arial"/>
          <w:color w:val="0000FF"/>
          <w:sz w:val="20"/>
          <w:szCs w:val="20"/>
        </w:rPr>
        <w:t>Shoji, 2004 (17)</w:t>
      </w:r>
      <w:r w:rsidR="00782F11">
        <w:rPr>
          <w:rFonts w:cs="Arial"/>
          <w:sz w:val="20"/>
          <w:szCs w:val="20"/>
        </w:rPr>
        <w:t>)</w:t>
      </w:r>
      <w:r w:rsidR="000808B5" w:rsidRPr="000808B5">
        <w:rPr>
          <w:rFonts w:cs="Arial"/>
          <w:sz w:val="20"/>
          <w:szCs w:val="20"/>
        </w:rPr>
        <w:t>.</w:t>
      </w:r>
    </w:p>
    <w:p w14:paraId="7AC52A3A" w14:textId="3E7EA1AA" w:rsidR="000808B5" w:rsidRPr="000808B5" w:rsidRDefault="000808B5" w:rsidP="009F1699">
      <w:pPr>
        <w:widowControl w:val="0"/>
        <w:autoSpaceDE w:val="0"/>
        <w:autoSpaceDN w:val="0"/>
        <w:adjustRightInd w:val="0"/>
        <w:spacing w:line="360" w:lineRule="auto"/>
        <w:rPr>
          <w:rFonts w:cs="Arial"/>
          <w:sz w:val="20"/>
          <w:szCs w:val="20"/>
        </w:rPr>
      </w:pPr>
    </w:p>
    <w:p w14:paraId="78F1EDBA" w14:textId="5E055400" w:rsidR="000808B5" w:rsidRPr="001C6230" w:rsidRDefault="001C6230" w:rsidP="001C6230">
      <w:pPr>
        <w:pStyle w:val="Caption"/>
        <w:rPr>
          <w:rFonts w:asciiTheme="minorHAnsi" w:hAnsiTheme="minorHAnsi" w:cstheme="minorHAnsi"/>
          <w:lang w:val="it-IT"/>
        </w:rPr>
      </w:pPr>
      <w:bookmarkStart w:id="59" w:name="Figura10"/>
      <w:bookmarkStart w:id="60" w:name="_Toc473186905"/>
      <w:bookmarkEnd w:id="59"/>
      <w:r w:rsidRPr="001C6230">
        <w:rPr>
          <w:rFonts w:asciiTheme="minorHAnsi" w:hAnsiTheme="minorHAnsi" w:cstheme="minorHAnsi"/>
          <w:lang w:val="it-IT"/>
        </w:rPr>
        <w:t xml:space="preserve">Figura </w:t>
      </w:r>
      <w:r w:rsidRPr="001C6230">
        <w:rPr>
          <w:rFonts w:asciiTheme="minorHAnsi" w:hAnsiTheme="minorHAnsi" w:cstheme="minorHAnsi"/>
        </w:rPr>
        <w:fldChar w:fldCharType="begin"/>
      </w:r>
      <w:r w:rsidRPr="001C6230">
        <w:rPr>
          <w:rFonts w:asciiTheme="minorHAnsi" w:hAnsiTheme="minorHAnsi" w:cstheme="minorHAnsi"/>
          <w:lang w:val="it-IT"/>
        </w:rPr>
        <w:instrText xml:space="preserve"> SEQ Figura \* ARABIC </w:instrText>
      </w:r>
      <w:r w:rsidRPr="001C6230">
        <w:rPr>
          <w:rFonts w:asciiTheme="minorHAnsi" w:hAnsiTheme="minorHAnsi" w:cstheme="minorHAnsi"/>
        </w:rPr>
        <w:fldChar w:fldCharType="separate"/>
      </w:r>
      <w:r w:rsidR="00A1679C">
        <w:rPr>
          <w:rFonts w:asciiTheme="minorHAnsi" w:hAnsiTheme="minorHAnsi" w:cstheme="minorHAnsi"/>
          <w:noProof/>
          <w:lang w:val="it-IT"/>
        </w:rPr>
        <w:t>10</w:t>
      </w:r>
      <w:r w:rsidRPr="001C6230">
        <w:rPr>
          <w:rFonts w:asciiTheme="minorHAnsi" w:hAnsiTheme="minorHAnsi" w:cstheme="minorHAnsi"/>
        </w:rPr>
        <w:fldChar w:fldCharType="end"/>
      </w:r>
      <w:r w:rsidRPr="001C6230">
        <w:rPr>
          <w:rFonts w:asciiTheme="minorHAnsi" w:hAnsiTheme="minorHAnsi" w:cstheme="minorHAnsi"/>
          <w:lang w:val="it-IT"/>
        </w:rPr>
        <w:t xml:space="preserve"> - </w:t>
      </w:r>
      <w:r w:rsidR="000808B5" w:rsidRPr="001C6230">
        <w:rPr>
          <w:rFonts w:asciiTheme="minorHAnsi" w:hAnsiTheme="minorHAnsi" w:cstheme="minorHAnsi"/>
          <w:b w:val="0"/>
          <w:lang w:val="it-IT"/>
        </w:rPr>
        <w:t>Relazione tra livelli di uricemia e rischio di attacchi acuti</w:t>
      </w:r>
      <w:r w:rsidR="000808B5" w:rsidRPr="001C6230">
        <w:rPr>
          <w:rFonts w:asciiTheme="minorHAnsi" w:hAnsiTheme="minorHAnsi" w:cstheme="minorHAnsi"/>
          <w:lang w:val="it-IT"/>
        </w:rPr>
        <w:t xml:space="preserve"> </w:t>
      </w:r>
      <w:r w:rsidR="00782F11" w:rsidRPr="001C6230">
        <w:rPr>
          <w:rFonts w:asciiTheme="minorHAnsi" w:hAnsiTheme="minorHAnsi" w:cstheme="minorHAnsi"/>
          <w:lang w:val="it-IT"/>
        </w:rPr>
        <w:t>(</w:t>
      </w:r>
      <w:r w:rsidR="00782F11" w:rsidRPr="001C6230">
        <w:rPr>
          <w:rFonts w:asciiTheme="minorHAnsi" w:hAnsiTheme="minorHAnsi" w:cstheme="minorHAnsi"/>
          <w:color w:val="0000FF"/>
          <w:lang w:val="it-IT"/>
        </w:rPr>
        <w:t>Shoji, 2004</w:t>
      </w:r>
      <w:r w:rsidR="00782F11" w:rsidRPr="001C6230">
        <w:rPr>
          <w:rFonts w:asciiTheme="minorHAnsi" w:hAnsiTheme="minorHAnsi" w:cstheme="minorHAnsi"/>
          <w:lang w:val="it-IT"/>
        </w:rPr>
        <w:t>)</w:t>
      </w:r>
      <w:bookmarkEnd w:id="60"/>
    </w:p>
    <w:p w14:paraId="7439DFBE" w14:textId="6FC2C996" w:rsidR="000808B5" w:rsidRPr="000808B5" w:rsidRDefault="000808B5" w:rsidP="000808B5">
      <w:pPr>
        <w:widowControl w:val="0"/>
        <w:autoSpaceDE w:val="0"/>
        <w:autoSpaceDN w:val="0"/>
        <w:adjustRightInd w:val="0"/>
        <w:spacing w:line="360" w:lineRule="auto"/>
        <w:jc w:val="both"/>
        <w:rPr>
          <w:rFonts w:cs="Arial"/>
          <w:sz w:val="20"/>
          <w:szCs w:val="20"/>
        </w:rPr>
      </w:pPr>
      <w:r w:rsidRPr="000808B5">
        <w:rPr>
          <w:rFonts w:cs="Arial"/>
          <w:noProof/>
          <w:sz w:val="20"/>
          <w:szCs w:val="20"/>
          <w:lang w:val="en-GB" w:eastAsia="en-GB"/>
        </w:rPr>
        <w:drawing>
          <wp:inline distT="0" distB="0" distL="0" distR="0" wp14:anchorId="48CB6E3F" wp14:editId="57A1CE34">
            <wp:extent cx="5448300" cy="3311569"/>
            <wp:effectExtent l="19050" t="19050" r="19050" b="22225"/>
            <wp:docPr id="310" name="Immagin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70607" cy="3325127"/>
                    </a:xfrm>
                    <a:prstGeom prst="rect">
                      <a:avLst/>
                    </a:prstGeom>
                    <a:noFill/>
                    <a:ln w="9525">
                      <a:solidFill>
                        <a:srgbClr val="000000"/>
                      </a:solidFill>
                      <a:miter lim="800000"/>
                      <a:headEnd/>
                      <a:tailEnd/>
                    </a:ln>
                  </pic:spPr>
                </pic:pic>
              </a:graphicData>
            </a:graphic>
          </wp:inline>
        </w:drawing>
      </w:r>
    </w:p>
    <w:p w14:paraId="1B0CCD61" w14:textId="77777777" w:rsidR="001C6230" w:rsidRDefault="001C6230" w:rsidP="000808B5">
      <w:pPr>
        <w:widowControl w:val="0"/>
        <w:autoSpaceDE w:val="0"/>
        <w:autoSpaceDN w:val="0"/>
        <w:adjustRightInd w:val="0"/>
        <w:spacing w:line="360" w:lineRule="auto"/>
        <w:jc w:val="both"/>
        <w:rPr>
          <w:rFonts w:cs="Arial"/>
          <w:b/>
          <w:sz w:val="20"/>
          <w:szCs w:val="20"/>
        </w:rPr>
      </w:pPr>
    </w:p>
    <w:p w14:paraId="6B4980DE" w14:textId="30BE83C4" w:rsidR="000808B5" w:rsidRDefault="000808B5" w:rsidP="009F1699">
      <w:pPr>
        <w:widowControl w:val="0"/>
        <w:autoSpaceDE w:val="0"/>
        <w:autoSpaceDN w:val="0"/>
        <w:adjustRightInd w:val="0"/>
        <w:spacing w:line="360" w:lineRule="auto"/>
        <w:rPr>
          <w:rFonts w:cs="Arial"/>
          <w:sz w:val="20"/>
          <w:szCs w:val="20"/>
        </w:rPr>
      </w:pPr>
      <w:r w:rsidRPr="000808B5">
        <w:rPr>
          <w:rFonts w:cs="Arial"/>
          <w:b/>
          <w:sz w:val="20"/>
          <w:szCs w:val="20"/>
        </w:rPr>
        <w:t xml:space="preserve">Infine, è dimostrata la correlazione tra il </w:t>
      </w:r>
      <w:r w:rsidR="006260DF">
        <w:rPr>
          <w:rFonts w:cs="Arial"/>
          <w:b/>
          <w:sz w:val="20"/>
          <w:szCs w:val="20"/>
        </w:rPr>
        <w:t>controllo</w:t>
      </w:r>
      <w:r w:rsidRPr="000808B5">
        <w:rPr>
          <w:rFonts w:cs="Arial"/>
          <w:b/>
          <w:sz w:val="20"/>
          <w:szCs w:val="20"/>
        </w:rPr>
        <w:t xml:space="preserve"> stabile </w:t>
      </w:r>
      <w:r w:rsidR="006260DF">
        <w:rPr>
          <w:rFonts w:cs="Arial"/>
          <w:b/>
          <w:sz w:val="20"/>
          <w:szCs w:val="20"/>
        </w:rPr>
        <w:t xml:space="preserve">dei livelli di </w:t>
      </w:r>
      <w:r w:rsidR="005848A1">
        <w:rPr>
          <w:rFonts w:cs="Arial"/>
          <w:b/>
          <w:sz w:val="20"/>
          <w:szCs w:val="20"/>
        </w:rPr>
        <w:t>sUA</w:t>
      </w:r>
      <w:r w:rsidR="006260DF">
        <w:rPr>
          <w:rFonts w:cs="Arial"/>
          <w:b/>
          <w:sz w:val="20"/>
          <w:szCs w:val="20"/>
        </w:rPr>
        <w:t xml:space="preserve"> nel</w:t>
      </w:r>
      <w:r w:rsidR="00315622">
        <w:rPr>
          <w:rFonts w:cs="Arial"/>
          <w:b/>
          <w:sz w:val="20"/>
          <w:szCs w:val="20"/>
        </w:rPr>
        <w:t xml:space="preserve"> lungo termine </w:t>
      </w:r>
      <w:r w:rsidR="006260DF">
        <w:rPr>
          <w:rFonts w:cs="Arial"/>
          <w:b/>
          <w:sz w:val="20"/>
          <w:szCs w:val="20"/>
        </w:rPr>
        <w:t>in</w:t>
      </w:r>
      <w:r w:rsidRPr="000808B5">
        <w:rPr>
          <w:rFonts w:cs="Arial"/>
          <w:b/>
          <w:sz w:val="20"/>
          <w:szCs w:val="20"/>
        </w:rPr>
        <w:t xml:space="preserve"> pazienti in terapia </w:t>
      </w:r>
      <w:r w:rsidR="006260DF">
        <w:rPr>
          <w:rFonts w:cs="Arial"/>
          <w:b/>
          <w:sz w:val="20"/>
          <w:szCs w:val="20"/>
        </w:rPr>
        <w:t xml:space="preserve">con un farmaco </w:t>
      </w:r>
      <w:r w:rsidRPr="000808B5">
        <w:rPr>
          <w:rFonts w:cs="Arial"/>
          <w:b/>
          <w:sz w:val="20"/>
          <w:szCs w:val="20"/>
        </w:rPr>
        <w:t>ipouricemizzante e la riduzione/eliminazione degli attacchi acuti.</w:t>
      </w:r>
      <w:r w:rsidRPr="000808B5">
        <w:rPr>
          <w:rFonts w:cs="Arial"/>
          <w:sz w:val="20"/>
          <w:szCs w:val="20"/>
        </w:rPr>
        <w:t xml:space="preserve"> </w:t>
      </w:r>
      <w:r w:rsidR="0039759F">
        <w:rPr>
          <w:rFonts w:cs="Arial"/>
          <w:sz w:val="20"/>
          <w:szCs w:val="20"/>
        </w:rPr>
        <w:t>Degno di nota è che l’assenza di differenze significative sull’effetto del trattamento in un periodo di tempo relativamente breve (12 mesi) non deve sorprendere in quanto nessun farmaco orale è stato in grado di dimostrare ciò in studi a 12 mesi: l</w:t>
      </w:r>
      <w:r w:rsidRPr="000808B5">
        <w:rPr>
          <w:rFonts w:cs="Arial"/>
          <w:sz w:val="20"/>
          <w:szCs w:val="20"/>
        </w:rPr>
        <w:t>o studio FOCUS (FOCUS=Febuxostat Open-label Clinical trial of Urate-lowering efficacy and Safety)</w:t>
      </w:r>
      <w:r w:rsidR="00770F55">
        <w:rPr>
          <w:rFonts w:cs="Arial"/>
          <w:sz w:val="20"/>
          <w:szCs w:val="20"/>
        </w:rPr>
        <w:t xml:space="preserve">, </w:t>
      </w:r>
      <w:r w:rsidR="00770F55" w:rsidRPr="009766A7">
        <w:rPr>
          <w:rFonts w:cs="Arial"/>
          <w:sz w:val="20"/>
          <w:szCs w:val="20"/>
        </w:rPr>
        <w:t>che valuta</w:t>
      </w:r>
      <w:r w:rsidR="00770F55">
        <w:rPr>
          <w:rFonts w:cs="Arial"/>
          <w:sz w:val="20"/>
          <w:szCs w:val="20"/>
        </w:rPr>
        <w:t>va</w:t>
      </w:r>
      <w:r w:rsidR="00770F55" w:rsidRPr="009766A7">
        <w:rPr>
          <w:rFonts w:cs="Arial"/>
          <w:sz w:val="20"/>
          <w:szCs w:val="20"/>
        </w:rPr>
        <w:t xml:space="preserve"> il trattamento dei pazienti affetti da gotta con febuxostat</w:t>
      </w:r>
      <w:r w:rsidR="00770F55">
        <w:rPr>
          <w:rFonts w:cs="Arial"/>
          <w:sz w:val="20"/>
          <w:szCs w:val="20"/>
        </w:rPr>
        <w:t xml:space="preserve"> a lungo termine</w:t>
      </w:r>
      <w:r w:rsidR="00770F55" w:rsidRPr="009766A7">
        <w:rPr>
          <w:rFonts w:cs="Arial"/>
          <w:sz w:val="20"/>
          <w:szCs w:val="20"/>
        </w:rPr>
        <w:t>,</w:t>
      </w:r>
      <w:r w:rsidRPr="000808B5">
        <w:rPr>
          <w:rFonts w:cs="Arial"/>
          <w:sz w:val="20"/>
          <w:szCs w:val="20"/>
        </w:rPr>
        <w:t xml:space="preserve"> ha dimostrato che la terapia continuativa con un farmaco XOI riduce e addirittura può </w:t>
      </w:r>
      <w:r w:rsidR="00EB401D">
        <w:rPr>
          <w:rFonts w:cs="Arial"/>
          <w:sz w:val="20"/>
          <w:szCs w:val="20"/>
        </w:rPr>
        <w:t xml:space="preserve">eliminare </w:t>
      </w:r>
      <w:r w:rsidRPr="000808B5">
        <w:rPr>
          <w:rFonts w:cs="Arial"/>
          <w:sz w:val="20"/>
          <w:szCs w:val="20"/>
        </w:rPr>
        <w:t xml:space="preserve">gli attacchi acuti </w:t>
      </w:r>
      <w:r w:rsidR="00770F55">
        <w:rPr>
          <w:rFonts w:cs="Arial"/>
          <w:sz w:val="20"/>
          <w:szCs w:val="20"/>
        </w:rPr>
        <w:t xml:space="preserve">e ridurre il numero di tofi </w:t>
      </w:r>
      <w:r w:rsidR="00770F55" w:rsidRPr="009766A7">
        <w:rPr>
          <w:rFonts w:cs="Arial"/>
          <w:sz w:val="20"/>
          <w:szCs w:val="20"/>
        </w:rPr>
        <w:t xml:space="preserve">solo con la persistenza di dosi stabili di febuxostat a 5 anni </w:t>
      </w:r>
      <w:r w:rsidR="001C6230">
        <w:rPr>
          <w:rFonts w:cs="Arial"/>
          <w:sz w:val="20"/>
          <w:szCs w:val="20"/>
        </w:rPr>
        <w:t>(</w:t>
      </w:r>
      <w:hyperlink w:anchor="Figura11" w:history="1">
        <w:r w:rsidR="001C6230" w:rsidRPr="00350984">
          <w:rPr>
            <w:rStyle w:val="Hyperlink"/>
            <w:rFonts w:cs="Arial"/>
            <w:sz w:val="20"/>
            <w:szCs w:val="20"/>
          </w:rPr>
          <w:t>Figura 1</w:t>
        </w:r>
        <w:r w:rsidR="00AC4573" w:rsidRPr="00350984">
          <w:rPr>
            <w:rStyle w:val="Hyperlink"/>
            <w:rFonts w:cs="Arial"/>
            <w:sz w:val="20"/>
            <w:szCs w:val="20"/>
          </w:rPr>
          <w:t>1</w:t>
        </w:r>
      </w:hyperlink>
      <w:r w:rsidR="001C6230">
        <w:rPr>
          <w:rFonts w:cs="Arial"/>
          <w:sz w:val="20"/>
          <w:szCs w:val="20"/>
        </w:rPr>
        <w:t>)</w:t>
      </w:r>
      <w:r w:rsidR="00782F11">
        <w:rPr>
          <w:rFonts w:cs="Arial"/>
          <w:sz w:val="20"/>
          <w:szCs w:val="20"/>
        </w:rPr>
        <w:t xml:space="preserve"> (</w:t>
      </w:r>
      <w:r w:rsidR="00563FA4">
        <w:rPr>
          <w:rFonts w:cs="Arial"/>
          <w:color w:val="0000FF"/>
          <w:sz w:val="20"/>
          <w:szCs w:val="20"/>
        </w:rPr>
        <w:t>Schumacher, 2008 (39)</w:t>
      </w:r>
      <w:r w:rsidR="00782F11">
        <w:rPr>
          <w:rFonts w:cs="Arial"/>
          <w:sz w:val="20"/>
          <w:szCs w:val="20"/>
        </w:rPr>
        <w:t>).</w:t>
      </w:r>
    </w:p>
    <w:p w14:paraId="7CA792DF" w14:textId="77777777" w:rsidR="001C6230" w:rsidRPr="000808B5" w:rsidRDefault="001C6230" w:rsidP="009F1699">
      <w:pPr>
        <w:widowControl w:val="0"/>
        <w:autoSpaceDE w:val="0"/>
        <w:autoSpaceDN w:val="0"/>
        <w:adjustRightInd w:val="0"/>
        <w:spacing w:line="360" w:lineRule="auto"/>
        <w:rPr>
          <w:rFonts w:cs="Arial"/>
          <w:sz w:val="20"/>
          <w:szCs w:val="20"/>
        </w:rPr>
      </w:pPr>
    </w:p>
    <w:p w14:paraId="7DE1C6CC" w14:textId="46B058EC" w:rsidR="000808B5" w:rsidRPr="001C6230" w:rsidRDefault="001C6230" w:rsidP="001C6230">
      <w:pPr>
        <w:pStyle w:val="Caption"/>
        <w:rPr>
          <w:rFonts w:asciiTheme="minorHAnsi" w:hAnsiTheme="minorHAnsi" w:cstheme="minorHAnsi"/>
          <w:b w:val="0"/>
          <w:lang w:val="it-IT"/>
        </w:rPr>
      </w:pPr>
      <w:bookmarkStart w:id="61" w:name="Figura11"/>
      <w:bookmarkStart w:id="62" w:name="_Toc473186906"/>
      <w:bookmarkEnd w:id="61"/>
      <w:r w:rsidRPr="001C6230">
        <w:rPr>
          <w:rFonts w:asciiTheme="minorHAnsi" w:hAnsiTheme="minorHAnsi" w:cstheme="minorHAnsi"/>
          <w:lang w:val="it-IT"/>
        </w:rPr>
        <w:t xml:space="preserve">Figura </w:t>
      </w:r>
      <w:r w:rsidRPr="001C6230">
        <w:rPr>
          <w:rFonts w:asciiTheme="minorHAnsi" w:hAnsiTheme="minorHAnsi" w:cstheme="minorHAnsi"/>
        </w:rPr>
        <w:fldChar w:fldCharType="begin"/>
      </w:r>
      <w:r w:rsidRPr="001C6230">
        <w:rPr>
          <w:rFonts w:asciiTheme="minorHAnsi" w:hAnsiTheme="minorHAnsi" w:cstheme="minorHAnsi"/>
          <w:lang w:val="it-IT"/>
        </w:rPr>
        <w:instrText xml:space="preserve"> SEQ Figura \* ARABIC </w:instrText>
      </w:r>
      <w:r w:rsidRPr="001C6230">
        <w:rPr>
          <w:rFonts w:asciiTheme="minorHAnsi" w:hAnsiTheme="minorHAnsi" w:cstheme="minorHAnsi"/>
        </w:rPr>
        <w:fldChar w:fldCharType="separate"/>
      </w:r>
      <w:r w:rsidR="00A1679C">
        <w:rPr>
          <w:rFonts w:asciiTheme="minorHAnsi" w:hAnsiTheme="minorHAnsi" w:cstheme="minorHAnsi"/>
          <w:noProof/>
          <w:lang w:val="it-IT"/>
        </w:rPr>
        <w:t>11</w:t>
      </w:r>
      <w:r w:rsidRPr="001C6230">
        <w:rPr>
          <w:rFonts w:asciiTheme="minorHAnsi" w:hAnsiTheme="minorHAnsi" w:cstheme="minorHAnsi"/>
        </w:rPr>
        <w:fldChar w:fldCharType="end"/>
      </w:r>
      <w:r w:rsidRPr="001C6230">
        <w:rPr>
          <w:rFonts w:asciiTheme="minorHAnsi" w:hAnsiTheme="minorHAnsi" w:cstheme="minorHAnsi"/>
          <w:lang w:val="it-IT"/>
        </w:rPr>
        <w:t xml:space="preserve"> - </w:t>
      </w:r>
      <w:r w:rsidR="000808B5" w:rsidRPr="001C6230">
        <w:rPr>
          <w:rFonts w:asciiTheme="minorHAnsi" w:hAnsiTheme="minorHAnsi" w:cstheme="minorHAnsi"/>
          <w:b w:val="0"/>
          <w:lang w:val="it-IT"/>
        </w:rPr>
        <w:t>Mantenimento con ULT, effetto sugli attacchi acuti - Studio FOCUS</w:t>
      </w:r>
      <w:r w:rsidR="00782F11" w:rsidRPr="001C6230">
        <w:rPr>
          <w:rFonts w:asciiTheme="minorHAnsi" w:hAnsiTheme="minorHAnsi" w:cstheme="minorHAnsi"/>
          <w:lang w:val="it-IT"/>
        </w:rPr>
        <w:t xml:space="preserve"> </w:t>
      </w:r>
      <w:r w:rsidR="00782F11" w:rsidRPr="00587B63">
        <w:rPr>
          <w:rFonts w:asciiTheme="minorHAnsi" w:hAnsiTheme="minorHAnsi" w:cstheme="minorHAnsi"/>
          <w:b w:val="0"/>
          <w:lang w:val="it-IT"/>
        </w:rPr>
        <w:t>(</w:t>
      </w:r>
      <w:r w:rsidR="00782F11" w:rsidRPr="00587B63">
        <w:rPr>
          <w:rFonts w:asciiTheme="minorHAnsi" w:hAnsiTheme="minorHAnsi" w:cstheme="minorHAnsi"/>
          <w:b w:val="0"/>
          <w:color w:val="0000FF"/>
          <w:lang w:val="it-IT"/>
        </w:rPr>
        <w:t>Schumacher, 200</w:t>
      </w:r>
      <w:r w:rsidR="00587B63" w:rsidRPr="00587B63">
        <w:rPr>
          <w:rFonts w:asciiTheme="minorHAnsi" w:hAnsiTheme="minorHAnsi" w:cstheme="minorHAnsi"/>
          <w:b w:val="0"/>
          <w:color w:val="0000FF"/>
          <w:lang w:val="it-IT"/>
        </w:rPr>
        <w:t>8</w:t>
      </w:r>
      <w:r w:rsidR="00782F11" w:rsidRPr="00587B63">
        <w:rPr>
          <w:rFonts w:asciiTheme="minorHAnsi" w:hAnsiTheme="minorHAnsi" w:cstheme="minorHAnsi"/>
          <w:b w:val="0"/>
          <w:lang w:val="it-IT"/>
        </w:rPr>
        <w:t>)</w:t>
      </w:r>
      <w:bookmarkEnd w:id="62"/>
    </w:p>
    <w:p w14:paraId="59946D94" w14:textId="3C5B44E5" w:rsidR="000808B5" w:rsidRPr="000808B5" w:rsidRDefault="000808B5" w:rsidP="000808B5">
      <w:pPr>
        <w:widowControl w:val="0"/>
        <w:autoSpaceDE w:val="0"/>
        <w:autoSpaceDN w:val="0"/>
        <w:adjustRightInd w:val="0"/>
        <w:spacing w:line="360" w:lineRule="auto"/>
        <w:jc w:val="both"/>
        <w:rPr>
          <w:rFonts w:cs="Arial"/>
          <w:sz w:val="20"/>
          <w:szCs w:val="20"/>
        </w:rPr>
      </w:pPr>
      <w:r w:rsidRPr="000808B5">
        <w:rPr>
          <w:rFonts w:cs="Arial"/>
          <w:noProof/>
          <w:sz w:val="20"/>
          <w:szCs w:val="20"/>
          <w:lang w:val="en-GB" w:eastAsia="en-GB"/>
        </w:rPr>
        <w:drawing>
          <wp:inline distT="0" distB="0" distL="0" distR="0" wp14:anchorId="3F5144FF" wp14:editId="02627D7D">
            <wp:extent cx="5507182" cy="2647605"/>
            <wp:effectExtent l="19050" t="19050" r="17780" b="19685"/>
            <wp:docPr id="309" name="Immagin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05620" cy="2646854"/>
                    </a:xfrm>
                    <a:prstGeom prst="rect">
                      <a:avLst/>
                    </a:prstGeom>
                    <a:noFill/>
                    <a:ln w="9525">
                      <a:solidFill>
                        <a:srgbClr val="000000"/>
                      </a:solidFill>
                      <a:miter lim="800000"/>
                      <a:headEnd/>
                      <a:tailEnd/>
                    </a:ln>
                  </pic:spPr>
                </pic:pic>
              </a:graphicData>
            </a:graphic>
          </wp:inline>
        </w:drawing>
      </w:r>
    </w:p>
    <w:p w14:paraId="43BA71C4" w14:textId="77777777" w:rsidR="001C6230" w:rsidRDefault="001C6230" w:rsidP="000808B5">
      <w:pPr>
        <w:widowControl w:val="0"/>
        <w:autoSpaceDE w:val="0"/>
        <w:autoSpaceDN w:val="0"/>
        <w:adjustRightInd w:val="0"/>
        <w:spacing w:line="360" w:lineRule="auto"/>
        <w:jc w:val="both"/>
        <w:rPr>
          <w:rFonts w:cs="Arial"/>
          <w:b/>
          <w:sz w:val="20"/>
          <w:szCs w:val="20"/>
        </w:rPr>
      </w:pPr>
    </w:p>
    <w:p w14:paraId="2E3CAF24" w14:textId="7B119206" w:rsidR="000808B5" w:rsidRPr="000808B5" w:rsidRDefault="000808B5" w:rsidP="009F1699">
      <w:pPr>
        <w:widowControl w:val="0"/>
        <w:autoSpaceDE w:val="0"/>
        <w:autoSpaceDN w:val="0"/>
        <w:adjustRightInd w:val="0"/>
        <w:spacing w:line="360" w:lineRule="auto"/>
        <w:rPr>
          <w:rFonts w:cs="Arial"/>
          <w:b/>
          <w:sz w:val="20"/>
          <w:szCs w:val="20"/>
        </w:rPr>
      </w:pPr>
      <w:r w:rsidRPr="000808B5">
        <w:rPr>
          <w:rFonts w:cs="Arial"/>
          <w:b/>
          <w:sz w:val="20"/>
          <w:szCs w:val="20"/>
        </w:rPr>
        <w:t xml:space="preserve">La riduzione dei livelli di </w:t>
      </w:r>
      <w:r w:rsidR="00A273B6">
        <w:rPr>
          <w:rFonts w:cs="Arial"/>
          <w:b/>
          <w:sz w:val="20"/>
          <w:szCs w:val="20"/>
        </w:rPr>
        <w:t>acido urico</w:t>
      </w:r>
      <w:r w:rsidRPr="000808B5">
        <w:rPr>
          <w:rFonts w:cs="Arial"/>
          <w:b/>
          <w:sz w:val="20"/>
          <w:szCs w:val="20"/>
        </w:rPr>
        <w:t xml:space="preserve"> può produrre un importante beneficio di salute, riducendo la mortalità nei pazienti affetti da gotta: </w:t>
      </w:r>
    </w:p>
    <w:p w14:paraId="6917D2E4" w14:textId="7C0476EC" w:rsidR="000808B5" w:rsidRPr="000808B5" w:rsidRDefault="00782F11" w:rsidP="009F1699">
      <w:pPr>
        <w:widowControl w:val="0"/>
        <w:autoSpaceDE w:val="0"/>
        <w:autoSpaceDN w:val="0"/>
        <w:adjustRightInd w:val="0"/>
        <w:spacing w:line="360" w:lineRule="auto"/>
        <w:rPr>
          <w:rFonts w:cs="Arial"/>
          <w:sz w:val="20"/>
          <w:szCs w:val="20"/>
        </w:rPr>
      </w:pPr>
      <w:r>
        <w:rPr>
          <w:rFonts w:cs="Arial"/>
          <w:sz w:val="20"/>
          <w:szCs w:val="20"/>
        </w:rPr>
        <w:t>i</w:t>
      </w:r>
      <w:r w:rsidR="000808B5" w:rsidRPr="000808B5">
        <w:rPr>
          <w:rFonts w:cs="Arial"/>
          <w:sz w:val="20"/>
          <w:szCs w:val="20"/>
        </w:rPr>
        <w:t xml:space="preserve">n uno studio caso-controllo in pazienti seguiti per 6.5 anni, dopo aggiustamento per le covariate, i pazienti con gotta non trattati con ULT (N=1189) hanno mostrato un aumento del rischio di mortalità cardiovascolare (HR 2.43, IC 95% 1.33-4.45) e di mortalità per qualsiasi causa (1.45, 1.05-2.00) rispetto </w:t>
      </w:r>
      <w:r w:rsidR="006260DF">
        <w:rPr>
          <w:rFonts w:cs="Arial"/>
          <w:sz w:val="20"/>
          <w:szCs w:val="20"/>
        </w:rPr>
        <w:t xml:space="preserve">al gruppo di controllo </w:t>
      </w:r>
      <w:r w:rsidR="000808B5" w:rsidRPr="000808B5">
        <w:rPr>
          <w:rFonts w:cs="Arial"/>
          <w:sz w:val="20"/>
          <w:szCs w:val="20"/>
        </w:rPr>
        <w:t>nella popolazione generale (senza gotta, senza ULT). I pazienti con gotta trattati con ULT (N=764) hanno riportato un minor rischio di malattia cardiovascolare (0.29, 0.11-0.80) e mortalità per qualsiasi causa (0.47, 0.29-0.79) rispetto ai pazienti con gotta non trattati con ULT (N=764). Questo beneficio di sopravvivenza era indipendente dal farmaco usato (allopurinolo o benzbromarone)</w:t>
      </w:r>
      <w:r>
        <w:rPr>
          <w:rFonts w:cs="Arial"/>
          <w:sz w:val="20"/>
          <w:szCs w:val="20"/>
        </w:rPr>
        <w:t xml:space="preserve"> (</w:t>
      </w:r>
      <w:r w:rsidR="0083674F">
        <w:rPr>
          <w:rFonts w:cs="Arial"/>
          <w:color w:val="0000FF"/>
          <w:sz w:val="20"/>
          <w:szCs w:val="20"/>
        </w:rPr>
        <w:t>Chen, 2015 (27)</w:t>
      </w:r>
      <w:r>
        <w:rPr>
          <w:rFonts w:cs="Arial"/>
          <w:sz w:val="20"/>
          <w:szCs w:val="20"/>
        </w:rPr>
        <w:t>)</w:t>
      </w:r>
      <w:r w:rsidR="000808B5" w:rsidRPr="000808B5">
        <w:rPr>
          <w:rFonts w:cs="Arial"/>
          <w:sz w:val="20"/>
          <w:szCs w:val="20"/>
        </w:rPr>
        <w:t>.</w:t>
      </w:r>
    </w:p>
    <w:p w14:paraId="5202545C" w14:textId="4B675EE6" w:rsidR="000808B5" w:rsidRPr="000808B5" w:rsidRDefault="000808B5" w:rsidP="009F1699">
      <w:pPr>
        <w:widowControl w:val="0"/>
        <w:autoSpaceDE w:val="0"/>
        <w:autoSpaceDN w:val="0"/>
        <w:adjustRightInd w:val="0"/>
        <w:spacing w:line="360" w:lineRule="auto"/>
        <w:rPr>
          <w:rFonts w:cs="Arial"/>
          <w:sz w:val="20"/>
          <w:szCs w:val="20"/>
        </w:rPr>
      </w:pPr>
      <w:r w:rsidRPr="000808B5">
        <w:rPr>
          <w:rFonts w:cs="Arial"/>
          <w:b/>
          <w:sz w:val="20"/>
          <w:szCs w:val="20"/>
        </w:rPr>
        <w:t xml:space="preserve">L’approccio </w:t>
      </w:r>
      <w:r w:rsidR="00A404E9">
        <w:rPr>
          <w:rFonts w:cs="Arial"/>
          <w:b/>
          <w:sz w:val="20"/>
          <w:szCs w:val="20"/>
        </w:rPr>
        <w:t>farmacologico</w:t>
      </w:r>
      <w:r w:rsidRPr="000808B5">
        <w:rPr>
          <w:rFonts w:cs="Arial"/>
          <w:b/>
          <w:sz w:val="20"/>
          <w:szCs w:val="20"/>
        </w:rPr>
        <w:t xml:space="preserve"> per i pazienti con iperuricemia e gotta attualmente raccomandato dalle Linee Guida EULAR 2016</w:t>
      </w:r>
      <w:r w:rsidRPr="000808B5">
        <w:rPr>
          <w:rFonts w:cs="Arial"/>
          <w:sz w:val="20"/>
          <w:szCs w:val="20"/>
        </w:rPr>
        <w:t xml:space="preserve"> </w:t>
      </w:r>
      <w:r w:rsidR="002C0B9C" w:rsidRPr="002C0B9C">
        <w:rPr>
          <w:rFonts w:cs="Arial"/>
          <w:sz w:val="20"/>
          <w:szCs w:val="20"/>
        </w:rPr>
        <w:t>(</w:t>
      </w:r>
      <w:r w:rsidR="00E54BFE">
        <w:rPr>
          <w:color w:val="0000FF"/>
          <w:sz w:val="20"/>
          <w:szCs w:val="20"/>
        </w:rPr>
        <w:t>Richette, 2016 (6)</w:t>
      </w:r>
      <w:r w:rsidR="002C0B9C" w:rsidRPr="002C0B9C">
        <w:rPr>
          <w:rFonts w:cs="Arial"/>
          <w:sz w:val="20"/>
          <w:szCs w:val="20"/>
        </w:rPr>
        <w:t>)</w:t>
      </w:r>
      <w:r w:rsidR="002C0B9C">
        <w:rPr>
          <w:rFonts w:cs="Arial"/>
          <w:sz w:val="20"/>
          <w:szCs w:val="20"/>
        </w:rPr>
        <w:t xml:space="preserve"> </w:t>
      </w:r>
      <w:r w:rsidRPr="000808B5">
        <w:rPr>
          <w:rFonts w:cs="Arial"/>
          <w:sz w:val="20"/>
          <w:szCs w:val="20"/>
        </w:rPr>
        <w:t xml:space="preserve">è illustrato nella </w:t>
      </w:r>
      <w:hyperlink w:anchor="Figura12" w:history="1">
        <w:r w:rsidRPr="002B7BEA">
          <w:rPr>
            <w:rStyle w:val="Hyperlink"/>
            <w:rFonts w:cs="Arial"/>
            <w:sz w:val="20"/>
            <w:szCs w:val="20"/>
          </w:rPr>
          <w:t xml:space="preserve">Figura </w:t>
        </w:r>
        <w:r w:rsidR="001C6230" w:rsidRPr="002B7BEA">
          <w:rPr>
            <w:rStyle w:val="Hyperlink"/>
            <w:rFonts w:cs="Arial"/>
            <w:sz w:val="20"/>
            <w:szCs w:val="20"/>
          </w:rPr>
          <w:t>1</w:t>
        </w:r>
        <w:r w:rsidR="00840CF2" w:rsidRPr="002B7BEA">
          <w:rPr>
            <w:rStyle w:val="Hyperlink"/>
            <w:rFonts w:cs="Arial"/>
            <w:sz w:val="20"/>
            <w:szCs w:val="20"/>
          </w:rPr>
          <w:t>2</w:t>
        </w:r>
      </w:hyperlink>
      <w:r w:rsidRPr="000808B5">
        <w:rPr>
          <w:rFonts w:cs="Arial"/>
          <w:sz w:val="20"/>
          <w:szCs w:val="20"/>
        </w:rPr>
        <w:t xml:space="preserve">. </w:t>
      </w:r>
    </w:p>
    <w:p w14:paraId="246AB349" w14:textId="437F1DDE" w:rsidR="00776182" w:rsidRPr="000808B5" w:rsidRDefault="00776182" w:rsidP="009F1699">
      <w:pPr>
        <w:widowControl w:val="0"/>
        <w:autoSpaceDE w:val="0"/>
        <w:autoSpaceDN w:val="0"/>
        <w:adjustRightInd w:val="0"/>
        <w:spacing w:line="360" w:lineRule="auto"/>
        <w:rPr>
          <w:rFonts w:cs="Arial"/>
          <w:sz w:val="20"/>
          <w:szCs w:val="20"/>
        </w:rPr>
      </w:pPr>
      <w:r>
        <w:rPr>
          <w:rFonts w:cs="Arial"/>
          <w:sz w:val="20"/>
          <w:szCs w:val="20"/>
        </w:rPr>
        <w:t>Nei pazienti con iperuricemia e gotta</w:t>
      </w:r>
      <w:r w:rsidRPr="000808B5">
        <w:rPr>
          <w:rFonts w:cs="Arial"/>
          <w:sz w:val="20"/>
          <w:szCs w:val="20"/>
        </w:rPr>
        <w:t xml:space="preserve"> le </w:t>
      </w:r>
      <w:r w:rsidR="005E1129">
        <w:rPr>
          <w:rFonts w:cs="Arial"/>
          <w:sz w:val="20"/>
          <w:szCs w:val="20"/>
        </w:rPr>
        <w:t xml:space="preserve"> linee guida </w:t>
      </w:r>
      <w:r w:rsidRPr="000808B5">
        <w:rPr>
          <w:rFonts w:cs="Arial"/>
          <w:sz w:val="20"/>
          <w:szCs w:val="20"/>
        </w:rPr>
        <w:t>raccomandano l’inizio di una terapia ULT</w:t>
      </w:r>
      <w:r>
        <w:rPr>
          <w:rFonts w:cs="Arial"/>
          <w:sz w:val="20"/>
          <w:szCs w:val="20"/>
        </w:rPr>
        <w:t xml:space="preserve"> fin dalle prime manifestazioni, ovvero fin dal primo attacco acuto, oltre che in presenza di  </w:t>
      </w:r>
      <w:r w:rsidRPr="000808B5">
        <w:rPr>
          <w:rFonts w:cs="Arial"/>
          <w:sz w:val="20"/>
          <w:szCs w:val="20"/>
        </w:rPr>
        <w:t>attacchi acuti ricorrenti, tofi, artrop</w:t>
      </w:r>
      <w:r w:rsidR="005E1129">
        <w:rPr>
          <w:rFonts w:cs="Arial"/>
          <w:sz w:val="20"/>
          <w:szCs w:val="20"/>
        </w:rPr>
        <w:t>atia gottosa e/o calcoli renali.</w:t>
      </w:r>
    </w:p>
    <w:p w14:paraId="2C6CBABB" w14:textId="739C9467" w:rsidR="00776182" w:rsidRDefault="005E1129" w:rsidP="009F1699">
      <w:pPr>
        <w:widowControl w:val="0"/>
        <w:autoSpaceDE w:val="0"/>
        <w:autoSpaceDN w:val="0"/>
        <w:adjustRightInd w:val="0"/>
        <w:spacing w:line="360" w:lineRule="auto"/>
        <w:rPr>
          <w:rFonts w:cs="Arial"/>
          <w:sz w:val="20"/>
          <w:szCs w:val="20"/>
        </w:rPr>
      </w:pPr>
      <w:r>
        <w:rPr>
          <w:rFonts w:cs="Arial"/>
          <w:b/>
          <w:sz w:val="20"/>
          <w:szCs w:val="20"/>
        </w:rPr>
        <w:t>A</w:t>
      </w:r>
      <w:r w:rsidR="00776182" w:rsidRPr="000808B5">
        <w:rPr>
          <w:rFonts w:cs="Arial"/>
          <w:b/>
          <w:sz w:val="20"/>
          <w:szCs w:val="20"/>
        </w:rPr>
        <w:t xml:space="preserve">llopurinolo, </w:t>
      </w:r>
      <w:r w:rsidR="00776182" w:rsidRPr="000808B5">
        <w:rPr>
          <w:rFonts w:cs="Arial"/>
          <w:sz w:val="20"/>
          <w:szCs w:val="20"/>
          <w:u w:val="single"/>
        </w:rPr>
        <w:t xml:space="preserve">inibitore della xantino-ossidasi </w:t>
      </w:r>
      <w:r w:rsidR="00776182">
        <w:rPr>
          <w:rFonts w:cs="Arial"/>
          <w:sz w:val="20"/>
          <w:szCs w:val="20"/>
          <w:u w:val="single"/>
        </w:rPr>
        <w:t>(</w:t>
      </w:r>
      <w:r w:rsidR="00776182" w:rsidRPr="000808B5">
        <w:rPr>
          <w:rFonts w:cs="Arial"/>
          <w:sz w:val="20"/>
          <w:szCs w:val="20"/>
          <w:u w:val="single"/>
        </w:rPr>
        <w:t>XOI</w:t>
      </w:r>
      <w:r w:rsidR="00776182">
        <w:rPr>
          <w:rFonts w:cs="Arial"/>
          <w:sz w:val="20"/>
          <w:szCs w:val="20"/>
          <w:u w:val="single"/>
        </w:rPr>
        <w:t>)</w:t>
      </w:r>
      <w:r w:rsidR="00776182" w:rsidRPr="000808B5">
        <w:rPr>
          <w:rFonts w:cs="Arial"/>
          <w:sz w:val="20"/>
          <w:szCs w:val="20"/>
        </w:rPr>
        <w:t xml:space="preserve"> </w:t>
      </w:r>
      <w:r w:rsidR="00776182">
        <w:rPr>
          <w:rFonts w:cs="Arial"/>
          <w:sz w:val="20"/>
          <w:szCs w:val="20"/>
        </w:rPr>
        <w:t xml:space="preserve">che </w:t>
      </w:r>
      <w:r w:rsidR="00776182" w:rsidRPr="00B12A0D">
        <w:rPr>
          <w:rFonts w:cs="Arial"/>
          <w:sz w:val="20"/>
          <w:szCs w:val="20"/>
        </w:rPr>
        <w:t>agisc</w:t>
      </w:r>
      <w:r w:rsidR="00776182">
        <w:rPr>
          <w:rFonts w:cs="Arial"/>
          <w:sz w:val="20"/>
          <w:szCs w:val="20"/>
        </w:rPr>
        <w:t>e</w:t>
      </w:r>
      <w:r w:rsidR="00776182" w:rsidRPr="00B12A0D">
        <w:rPr>
          <w:rFonts w:cs="Arial"/>
          <w:sz w:val="20"/>
          <w:szCs w:val="20"/>
        </w:rPr>
        <w:t xml:space="preserve"> sulla sovrapproduzione di acido urico,</w:t>
      </w:r>
      <w:r w:rsidR="00776182">
        <w:rPr>
          <w:rFonts w:cs="Arial"/>
          <w:sz w:val="20"/>
          <w:szCs w:val="20"/>
        </w:rPr>
        <w:t xml:space="preserve"> è raccomandato come </w:t>
      </w:r>
      <w:r w:rsidR="00776182" w:rsidRPr="003B3977">
        <w:rPr>
          <w:rFonts w:cs="Arial"/>
          <w:b/>
          <w:sz w:val="20"/>
          <w:szCs w:val="20"/>
        </w:rPr>
        <w:t>trattamento di prima linea</w:t>
      </w:r>
      <w:r w:rsidR="00776182">
        <w:rPr>
          <w:rFonts w:cs="Arial"/>
          <w:sz w:val="20"/>
          <w:szCs w:val="20"/>
        </w:rPr>
        <w:t>; all’inizio del trattamento deve essere utilizzato un basso dosaggio (</w:t>
      </w:r>
      <w:r w:rsidR="00776182" w:rsidRPr="000808B5">
        <w:rPr>
          <w:rFonts w:cs="Arial"/>
          <w:sz w:val="20"/>
          <w:szCs w:val="20"/>
        </w:rPr>
        <w:t xml:space="preserve">100 </w:t>
      </w:r>
      <w:r w:rsidR="00776182">
        <w:rPr>
          <w:rFonts w:cs="Arial"/>
          <w:sz w:val="20"/>
          <w:szCs w:val="20"/>
        </w:rPr>
        <w:t xml:space="preserve">mg/die), </w:t>
      </w:r>
      <w:r w:rsidR="00776182" w:rsidRPr="000808B5">
        <w:rPr>
          <w:rFonts w:cs="Arial"/>
          <w:sz w:val="20"/>
          <w:szCs w:val="20"/>
        </w:rPr>
        <w:t xml:space="preserve">con titolazione </w:t>
      </w:r>
      <w:r w:rsidR="00776182">
        <w:rPr>
          <w:rFonts w:cs="Arial"/>
          <w:sz w:val="20"/>
          <w:szCs w:val="20"/>
        </w:rPr>
        <w:t xml:space="preserve">di ulteriori 100 mg </w:t>
      </w:r>
      <w:r w:rsidR="00776182" w:rsidRPr="000808B5">
        <w:rPr>
          <w:rFonts w:cs="Arial"/>
          <w:sz w:val="20"/>
          <w:szCs w:val="20"/>
        </w:rPr>
        <w:t>ogni 2-4 settimane</w:t>
      </w:r>
      <w:r w:rsidR="00531BFC">
        <w:rPr>
          <w:rFonts w:cs="Arial"/>
          <w:sz w:val="20"/>
          <w:szCs w:val="20"/>
        </w:rPr>
        <w:t xml:space="preserve"> (fino al dosaggio massimo consentito)</w:t>
      </w:r>
      <w:r w:rsidR="00776182">
        <w:rPr>
          <w:rFonts w:cs="Arial"/>
          <w:sz w:val="20"/>
          <w:szCs w:val="20"/>
        </w:rPr>
        <w:t xml:space="preserve"> fino al raggiungimento del target uricemico. </w:t>
      </w:r>
    </w:p>
    <w:p w14:paraId="62446F26" w14:textId="77777777" w:rsidR="00776182" w:rsidRPr="007C4D73" w:rsidRDefault="00776182" w:rsidP="009F1699">
      <w:pPr>
        <w:widowControl w:val="0"/>
        <w:autoSpaceDE w:val="0"/>
        <w:autoSpaceDN w:val="0"/>
        <w:adjustRightInd w:val="0"/>
        <w:spacing w:line="360" w:lineRule="auto"/>
        <w:rPr>
          <w:rFonts w:cstheme="minorHAnsi"/>
          <w:sz w:val="20"/>
          <w:szCs w:val="20"/>
        </w:rPr>
      </w:pPr>
      <w:r w:rsidRPr="007C4D73">
        <w:rPr>
          <w:rFonts w:cstheme="minorHAnsi"/>
          <w:sz w:val="20"/>
          <w:szCs w:val="20"/>
        </w:rPr>
        <w:t xml:space="preserve">Come </w:t>
      </w:r>
      <w:r w:rsidRPr="003B3977">
        <w:rPr>
          <w:rFonts w:cstheme="minorHAnsi"/>
          <w:b/>
          <w:sz w:val="20"/>
          <w:szCs w:val="20"/>
        </w:rPr>
        <w:t>seconda linea di trattamento</w:t>
      </w:r>
      <w:r w:rsidRPr="007C4D73">
        <w:rPr>
          <w:rFonts w:cstheme="minorHAnsi"/>
          <w:sz w:val="20"/>
          <w:szCs w:val="20"/>
        </w:rPr>
        <w:t>:</w:t>
      </w:r>
    </w:p>
    <w:p w14:paraId="7668EF20" w14:textId="270D3722" w:rsidR="00776182" w:rsidRPr="007C4D73" w:rsidRDefault="00776182" w:rsidP="00825BD3">
      <w:pPr>
        <w:pStyle w:val="ListParagraph"/>
        <w:widowControl w:val="0"/>
        <w:numPr>
          <w:ilvl w:val="0"/>
          <w:numId w:val="44"/>
        </w:numPr>
        <w:autoSpaceDE w:val="0"/>
        <w:autoSpaceDN w:val="0"/>
        <w:adjustRightInd w:val="0"/>
        <w:spacing w:line="360" w:lineRule="auto"/>
        <w:rPr>
          <w:rFonts w:asciiTheme="minorHAnsi" w:hAnsiTheme="minorHAnsi" w:cstheme="minorHAnsi"/>
          <w:sz w:val="20"/>
          <w:szCs w:val="20"/>
        </w:rPr>
      </w:pPr>
      <w:r w:rsidRPr="007C4D73">
        <w:rPr>
          <w:rFonts w:asciiTheme="minorHAnsi" w:hAnsiTheme="minorHAnsi" w:cstheme="minorHAnsi"/>
          <w:sz w:val="20"/>
          <w:szCs w:val="20"/>
        </w:rPr>
        <w:t xml:space="preserve">in caso di </w:t>
      </w:r>
      <w:r w:rsidRPr="003B3977">
        <w:rPr>
          <w:rFonts w:asciiTheme="minorHAnsi" w:hAnsiTheme="minorHAnsi" w:cstheme="minorHAnsi"/>
          <w:i/>
          <w:sz w:val="20"/>
          <w:szCs w:val="20"/>
          <w:u w:val="single"/>
        </w:rPr>
        <w:t>inefficacia di allopurinolo in monoterapia</w:t>
      </w:r>
      <w:r w:rsidRPr="007C4D73">
        <w:rPr>
          <w:rFonts w:asciiTheme="minorHAnsi" w:hAnsiTheme="minorHAnsi" w:cstheme="minorHAnsi"/>
          <w:sz w:val="20"/>
          <w:szCs w:val="20"/>
        </w:rPr>
        <w:t xml:space="preserve"> (nel controllare i livelli </w:t>
      </w:r>
      <w:r w:rsidR="005848A1">
        <w:rPr>
          <w:rFonts w:asciiTheme="minorHAnsi" w:hAnsiTheme="minorHAnsi" w:cstheme="minorHAnsi"/>
          <w:sz w:val="20"/>
          <w:szCs w:val="20"/>
        </w:rPr>
        <w:t>sUA</w:t>
      </w:r>
      <w:r w:rsidRPr="007C4D73">
        <w:rPr>
          <w:rFonts w:asciiTheme="minorHAnsi" w:hAnsiTheme="minorHAnsi" w:cstheme="minorHAnsi"/>
          <w:sz w:val="20"/>
          <w:szCs w:val="20"/>
        </w:rPr>
        <w:t>) si raccomanda:</w:t>
      </w:r>
    </w:p>
    <w:p w14:paraId="468DEA6A" w14:textId="77777777" w:rsidR="00531BFC" w:rsidRPr="007F281C" w:rsidRDefault="00531BFC" w:rsidP="00825BD3">
      <w:pPr>
        <w:pStyle w:val="ListParagraph"/>
        <w:widowControl w:val="0"/>
        <w:numPr>
          <w:ilvl w:val="2"/>
          <w:numId w:val="55"/>
        </w:numPr>
        <w:autoSpaceDE w:val="0"/>
        <w:autoSpaceDN w:val="0"/>
        <w:adjustRightInd w:val="0"/>
        <w:spacing w:line="360" w:lineRule="auto"/>
        <w:jc w:val="both"/>
        <w:rPr>
          <w:rFonts w:asciiTheme="minorHAnsi" w:hAnsiTheme="minorHAnsi" w:cstheme="minorHAnsi"/>
          <w:sz w:val="20"/>
          <w:szCs w:val="20"/>
        </w:rPr>
      </w:pPr>
      <w:r w:rsidRPr="00920372">
        <w:rPr>
          <w:rFonts w:asciiTheme="minorHAnsi" w:hAnsiTheme="minorHAnsi" w:cstheme="minorHAnsi"/>
          <w:sz w:val="20"/>
          <w:szCs w:val="20"/>
        </w:rPr>
        <w:t xml:space="preserve">l’aggiunta ad allopurinolo di un farmaco uricosurico (l’unico uricosurico disponibile in Italia </w:t>
      </w:r>
      <w:r w:rsidRPr="003F5468">
        <w:rPr>
          <w:rFonts w:asciiTheme="minorHAnsi" w:hAnsiTheme="minorHAnsi" w:cstheme="minorHAnsi"/>
          <w:sz w:val="20"/>
          <w:szCs w:val="20"/>
        </w:rPr>
        <w:t xml:space="preserve">è lesinurad), </w:t>
      </w:r>
      <w:r w:rsidRPr="007F281C">
        <w:rPr>
          <w:rFonts w:asciiTheme="minorHAnsi" w:hAnsiTheme="minorHAnsi" w:cstheme="minorHAnsi"/>
          <w:sz w:val="20"/>
          <w:szCs w:val="20"/>
        </w:rPr>
        <w:t xml:space="preserve">lo switch a febuxostat (XOI) in monoterapia (80-120 mg/die) oppure lo switch ad un uricosurico </w:t>
      </w:r>
      <w:r>
        <w:rPr>
          <w:rFonts w:asciiTheme="minorHAnsi" w:hAnsiTheme="minorHAnsi" w:cstheme="minorHAnsi"/>
          <w:sz w:val="20"/>
          <w:szCs w:val="20"/>
        </w:rPr>
        <w:t xml:space="preserve">in monoterapia </w:t>
      </w:r>
      <w:r w:rsidRPr="007F281C">
        <w:rPr>
          <w:rFonts w:asciiTheme="minorHAnsi" w:hAnsiTheme="minorHAnsi" w:cstheme="minorHAnsi"/>
          <w:sz w:val="20"/>
          <w:szCs w:val="20"/>
        </w:rPr>
        <w:t>(opzione da non considerare per l’Italia, dove l’unico uricosurico disponibile è lesinurad, che deve essere somministrato in associazione)</w:t>
      </w:r>
    </w:p>
    <w:p w14:paraId="4EDF8B95" w14:textId="77777777" w:rsidR="00776182" w:rsidRPr="007C4D73" w:rsidRDefault="00776182" w:rsidP="00825BD3">
      <w:pPr>
        <w:pStyle w:val="ListParagraph"/>
        <w:widowControl w:val="0"/>
        <w:numPr>
          <w:ilvl w:val="0"/>
          <w:numId w:val="44"/>
        </w:numPr>
        <w:autoSpaceDE w:val="0"/>
        <w:autoSpaceDN w:val="0"/>
        <w:adjustRightInd w:val="0"/>
        <w:spacing w:line="360" w:lineRule="auto"/>
        <w:rPr>
          <w:rFonts w:asciiTheme="minorHAnsi" w:hAnsiTheme="minorHAnsi" w:cstheme="minorHAnsi"/>
          <w:sz w:val="20"/>
          <w:szCs w:val="20"/>
        </w:rPr>
      </w:pPr>
      <w:r w:rsidRPr="007C4D73">
        <w:rPr>
          <w:rFonts w:asciiTheme="minorHAnsi" w:hAnsiTheme="minorHAnsi" w:cstheme="minorHAnsi"/>
          <w:sz w:val="20"/>
          <w:szCs w:val="20"/>
        </w:rPr>
        <w:t xml:space="preserve">in caso di </w:t>
      </w:r>
      <w:r w:rsidRPr="003B3977">
        <w:rPr>
          <w:rFonts w:asciiTheme="minorHAnsi" w:hAnsiTheme="minorHAnsi" w:cstheme="minorHAnsi"/>
          <w:i/>
          <w:sz w:val="20"/>
          <w:szCs w:val="20"/>
          <w:u w:val="single"/>
        </w:rPr>
        <w:t>intolleranza ad allopurinolo</w:t>
      </w:r>
      <w:r w:rsidRPr="007C4D73">
        <w:rPr>
          <w:rFonts w:asciiTheme="minorHAnsi" w:hAnsiTheme="minorHAnsi" w:cstheme="minorHAnsi"/>
          <w:sz w:val="20"/>
          <w:szCs w:val="20"/>
        </w:rPr>
        <w:t xml:space="preserve"> si raccomanda:</w:t>
      </w:r>
    </w:p>
    <w:p w14:paraId="70FABF2C" w14:textId="63364C05" w:rsidR="00776182" w:rsidRPr="007C4D73" w:rsidRDefault="00776182" w:rsidP="00825BD3">
      <w:pPr>
        <w:widowControl w:val="0"/>
        <w:numPr>
          <w:ilvl w:val="2"/>
          <w:numId w:val="56"/>
        </w:numPr>
        <w:autoSpaceDE w:val="0"/>
        <w:autoSpaceDN w:val="0"/>
        <w:adjustRightInd w:val="0"/>
        <w:spacing w:line="360" w:lineRule="auto"/>
        <w:rPr>
          <w:rFonts w:cstheme="minorHAnsi"/>
          <w:sz w:val="20"/>
          <w:szCs w:val="20"/>
        </w:rPr>
      </w:pPr>
      <w:r w:rsidRPr="007C4D73">
        <w:rPr>
          <w:rFonts w:cstheme="minorHAnsi"/>
          <w:sz w:val="20"/>
          <w:szCs w:val="20"/>
        </w:rPr>
        <w:t xml:space="preserve"> lo switch a </w:t>
      </w:r>
      <w:r w:rsidRPr="00776182">
        <w:rPr>
          <w:rFonts w:cstheme="minorHAnsi"/>
          <w:sz w:val="20"/>
          <w:szCs w:val="20"/>
        </w:rPr>
        <w:t>febuxostat in monoterapia</w:t>
      </w:r>
      <w:r w:rsidRPr="007C4D73">
        <w:rPr>
          <w:rFonts w:cstheme="minorHAnsi"/>
          <w:b/>
          <w:sz w:val="20"/>
          <w:szCs w:val="20"/>
        </w:rPr>
        <w:t xml:space="preserve"> </w:t>
      </w:r>
      <w:r w:rsidRPr="007C4D73">
        <w:rPr>
          <w:rFonts w:cstheme="minorHAnsi"/>
          <w:sz w:val="20"/>
          <w:szCs w:val="20"/>
        </w:rPr>
        <w:t>(80-120 mg/die)</w:t>
      </w:r>
    </w:p>
    <w:p w14:paraId="685E77B6" w14:textId="1B6E2722" w:rsidR="00776182" w:rsidRDefault="00776182" w:rsidP="009F1699">
      <w:pPr>
        <w:widowControl w:val="0"/>
        <w:autoSpaceDE w:val="0"/>
        <w:autoSpaceDN w:val="0"/>
        <w:adjustRightInd w:val="0"/>
        <w:spacing w:line="360" w:lineRule="auto"/>
        <w:rPr>
          <w:rFonts w:cs="Arial"/>
          <w:sz w:val="20"/>
          <w:szCs w:val="20"/>
        </w:rPr>
      </w:pPr>
      <w:r>
        <w:rPr>
          <w:rFonts w:cs="Arial"/>
          <w:sz w:val="20"/>
          <w:szCs w:val="20"/>
        </w:rPr>
        <w:t xml:space="preserve">In caso di </w:t>
      </w:r>
      <w:r w:rsidRPr="003B3977">
        <w:rPr>
          <w:rFonts w:cs="Arial"/>
          <w:i/>
          <w:sz w:val="20"/>
          <w:szCs w:val="20"/>
          <w:u w:val="single"/>
        </w:rPr>
        <w:t>fallimento delle opzioni di trattamento di seconda linea</w:t>
      </w:r>
      <w:r>
        <w:rPr>
          <w:rFonts w:cs="Arial"/>
          <w:sz w:val="20"/>
          <w:szCs w:val="20"/>
        </w:rPr>
        <w:t xml:space="preserve"> (febuxostat in monoterapia</w:t>
      </w:r>
      <w:r w:rsidR="003B3977">
        <w:rPr>
          <w:rFonts w:cs="Arial"/>
          <w:sz w:val="20"/>
          <w:szCs w:val="20"/>
        </w:rPr>
        <w:t xml:space="preserve"> o allopurinolo + lesinurad</w:t>
      </w:r>
      <w:r>
        <w:rPr>
          <w:rFonts w:cs="Arial"/>
          <w:sz w:val="20"/>
          <w:szCs w:val="20"/>
        </w:rPr>
        <w:t>) è prevista l’associazione di uno XOI (febuxostat) ad un uricosurico (ovvero lesinurad).</w:t>
      </w:r>
    </w:p>
    <w:p w14:paraId="339C3DBC" w14:textId="619C55F8" w:rsidR="00EC3A0B" w:rsidRPr="00EC3A0B" w:rsidRDefault="00EC3A0B" w:rsidP="009F1699">
      <w:pPr>
        <w:widowControl w:val="0"/>
        <w:autoSpaceDE w:val="0"/>
        <w:autoSpaceDN w:val="0"/>
        <w:adjustRightInd w:val="0"/>
        <w:spacing w:line="360" w:lineRule="auto"/>
        <w:rPr>
          <w:rFonts w:cs="Arial"/>
          <w:sz w:val="20"/>
          <w:szCs w:val="20"/>
        </w:rPr>
      </w:pPr>
    </w:p>
    <w:p w14:paraId="31CDFA4E" w14:textId="5C2983B5" w:rsidR="000808B5" w:rsidRDefault="001C6230" w:rsidP="001C6230">
      <w:pPr>
        <w:pStyle w:val="Caption"/>
        <w:rPr>
          <w:rFonts w:asciiTheme="minorHAnsi" w:hAnsiTheme="minorHAnsi" w:cstheme="minorHAnsi"/>
          <w:lang w:val="it-IT"/>
        </w:rPr>
      </w:pPr>
      <w:bookmarkStart w:id="63" w:name="Figura12"/>
      <w:bookmarkStart w:id="64" w:name="_Toc473186907"/>
      <w:bookmarkEnd w:id="63"/>
      <w:r w:rsidRPr="00776182">
        <w:rPr>
          <w:rFonts w:asciiTheme="minorHAnsi" w:hAnsiTheme="minorHAnsi" w:cstheme="minorHAnsi"/>
          <w:lang w:val="it-IT"/>
        </w:rPr>
        <w:t xml:space="preserve">Figura </w:t>
      </w:r>
      <w:r w:rsidRPr="001C6230">
        <w:rPr>
          <w:rFonts w:asciiTheme="minorHAnsi" w:hAnsiTheme="minorHAnsi" w:cstheme="minorHAnsi"/>
        </w:rPr>
        <w:fldChar w:fldCharType="begin"/>
      </w:r>
      <w:r w:rsidRPr="00776182">
        <w:rPr>
          <w:rFonts w:asciiTheme="minorHAnsi" w:hAnsiTheme="minorHAnsi" w:cstheme="minorHAnsi"/>
          <w:lang w:val="it-IT"/>
        </w:rPr>
        <w:instrText xml:space="preserve"> SEQ Figura \* ARABIC </w:instrText>
      </w:r>
      <w:r w:rsidRPr="001C6230">
        <w:rPr>
          <w:rFonts w:asciiTheme="minorHAnsi" w:hAnsiTheme="minorHAnsi" w:cstheme="minorHAnsi"/>
        </w:rPr>
        <w:fldChar w:fldCharType="separate"/>
      </w:r>
      <w:r w:rsidR="00A1679C">
        <w:rPr>
          <w:rFonts w:asciiTheme="minorHAnsi" w:hAnsiTheme="minorHAnsi" w:cstheme="minorHAnsi"/>
          <w:noProof/>
          <w:lang w:val="it-IT"/>
        </w:rPr>
        <w:t>12</w:t>
      </w:r>
      <w:r w:rsidRPr="001C6230">
        <w:rPr>
          <w:rFonts w:asciiTheme="minorHAnsi" w:hAnsiTheme="minorHAnsi" w:cstheme="minorHAnsi"/>
        </w:rPr>
        <w:fldChar w:fldCharType="end"/>
      </w:r>
      <w:r w:rsidRPr="00776182">
        <w:rPr>
          <w:rFonts w:asciiTheme="minorHAnsi" w:hAnsiTheme="minorHAnsi" w:cstheme="minorHAnsi"/>
          <w:lang w:val="it-IT"/>
        </w:rPr>
        <w:t xml:space="preserve"> - </w:t>
      </w:r>
      <w:r w:rsidR="000808B5" w:rsidRPr="00776182">
        <w:rPr>
          <w:rFonts w:asciiTheme="minorHAnsi" w:hAnsiTheme="minorHAnsi" w:cstheme="minorHAnsi"/>
          <w:b w:val="0"/>
          <w:lang w:val="it-IT"/>
        </w:rPr>
        <w:t>Linee Guida EULAR 2016</w:t>
      </w:r>
      <w:r w:rsidR="000808B5" w:rsidRPr="00776182">
        <w:rPr>
          <w:rFonts w:asciiTheme="minorHAnsi" w:hAnsiTheme="minorHAnsi" w:cstheme="minorHAnsi"/>
          <w:lang w:val="it-IT"/>
        </w:rPr>
        <w:t xml:space="preserve"> </w:t>
      </w:r>
      <w:r w:rsidR="00776182" w:rsidRPr="00776182">
        <w:rPr>
          <w:rFonts w:asciiTheme="minorHAnsi" w:hAnsiTheme="minorHAnsi" w:cstheme="minorHAnsi"/>
          <w:lang w:val="it-IT"/>
        </w:rPr>
        <w:t>(</w:t>
      </w:r>
      <w:r w:rsidR="00776182" w:rsidRPr="00776182">
        <w:rPr>
          <w:rFonts w:asciiTheme="minorHAnsi" w:hAnsiTheme="minorHAnsi" w:cstheme="minorHAnsi"/>
          <w:b w:val="0"/>
          <w:color w:val="0000FF"/>
          <w:lang w:val="it-IT"/>
        </w:rPr>
        <w:t>adattato da Richette, 2016</w:t>
      </w:r>
      <w:r w:rsidR="00776182" w:rsidRPr="00776182">
        <w:rPr>
          <w:rFonts w:asciiTheme="minorHAnsi" w:hAnsiTheme="minorHAnsi" w:cstheme="minorHAnsi"/>
          <w:lang w:val="it-IT"/>
        </w:rPr>
        <w:t>)</w:t>
      </w:r>
      <w:bookmarkEnd w:id="64"/>
    </w:p>
    <w:p w14:paraId="22FDF119" w14:textId="787E0DC1" w:rsidR="004644BC" w:rsidRDefault="004644BC" w:rsidP="004644BC">
      <w:pPr>
        <w:pStyle w:val="BodyText"/>
        <w:rPr>
          <w:lang w:val="it-IT"/>
        </w:rPr>
      </w:pPr>
      <w:r>
        <w:rPr>
          <w:noProof/>
          <w:lang w:val="en-GB" w:eastAsia="en-GB"/>
        </w:rPr>
        <w:drawing>
          <wp:inline distT="0" distB="0" distL="0" distR="0" wp14:anchorId="16E2A16C" wp14:editId="0F576CE7">
            <wp:extent cx="5608320" cy="5951220"/>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608320" cy="5951220"/>
                    </a:xfrm>
                    <a:prstGeom prst="rect">
                      <a:avLst/>
                    </a:prstGeom>
                  </pic:spPr>
                </pic:pic>
              </a:graphicData>
            </a:graphic>
          </wp:inline>
        </w:drawing>
      </w:r>
    </w:p>
    <w:p w14:paraId="3AAF4DF7" w14:textId="77777777" w:rsidR="004644BC" w:rsidRPr="004644BC" w:rsidRDefault="004644BC" w:rsidP="000808B5">
      <w:pPr>
        <w:widowControl w:val="0"/>
        <w:autoSpaceDE w:val="0"/>
        <w:autoSpaceDN w:val="0"/>
        <w:adjustRightInd w:val="0"/>
        <w:spacing w:line="360" w:lineRule="auto"/>
        <w:jc w:val="both"/>
        <w:rPr>
          <w:rFonts w:cs="Arial"/>
          <w:b/>
          <w:sz w:val="20"/>
          <w:szCs w:val="20"/>
          <w:lang w:val="en-US"/>
        </w:rPr>
      </w:pPr>
    </w:p>
    <w:p w14:paraId="4769572E" w14:textId="08C77B6C" w:rsidR="000808B5" w:rsidRPr="000808B5" w:rsidRDefault="000808B5" w:rsidP="009F1699">
      <w:pPr>
        <w:widowControl w:val="0"/>
        <w:autoSpaceDE w:val="0"/>
        <w:autoSpaceDN w:val="0"/>
        <w:adjustRightInd w:val="0"/>
        <w:spacing w:line="360" w:lineRule="auto"/>
        <w:rPr>
          <w:rFonts w:cs="Arial"/>
          <w:b/>
          <w:sz w:val="20"/>
          <w:szCs w:val="20"/>
        </w:rPr>
      </w:pPr>
      <w:r w:rsidRPr="000808B5">
        <w:rPr>
          <w:rFonts w:cs="Arial"/>
          <w:b/>
          <w:sz w:val="20"/>
          <w:szCs w:val="20"/>
        </w:rPr>
        <w:t xml:space="preserve">Nonostante la disponibilità di trattamenti, per ridurre i livelli di </w:t>
      </w:r>
      <w:r w:rsidR="00A273B6">
        <w:rPr>
          <w:rFonts w:cs="Arial"/>
          <w:b/>
          <w:sz w:val="20"/>
          <w:szCs w:val="20"/>
        </w:rPr>
        <w:t>acido urico</w:t>
      </w:r>
      <w:r w:rsidRPr="000808B5">
        <w:rPr>
          <w:rFonts w:cs="Arial"/>
          <w:b/>
          <w:sz w:val="20"/>
          <w:szCs w:val="20"/>
        </w:rPr>
        <w:t xml:space="preserve"> nel sangue, le attuali opzioni terapeutiche presentano dei limiti importanti:</w:t>
      </w:r>
    </w:p>
    <w:p w14:paraId="46270277" w14:textId="6B3B3E72" w:rsidR="00400976" w:rsidRPr="00AB6374" w:rsidRDefault="008B42E0" w:rsidP="00825BD3">
      <w:pPr>
        <w:pStyle w:val="ListParagraph"/>
        <w:widowControl w:val="0"/>
        <w:numPr>
          <w:ilvl w:val="0"/>
          <w:numId w:val="43"/>
        </w:numPr>
        <w:autoSpaceDE w:val="0"/>
        <w:autoSpaceDN w:val="0"/>
        <w:adjustRightInd w:val="0"/>
        <w:spacing w:line="360" w:lineRule="auto"/>
        <w:rPr>
          <w:rFonts w:asciiTheme="minorHAnsi" w:hAnsiTheme="minorHAnsi" w:cstheme="minorHAnsi"/>
          <w:sz w:val="20"/>
          <w:szCs w:val="20"/>
        </w:rPr>
      </w:pPr>
      <w:r w:rsidRPr="00AB6374">
        <w:rPr>
          <w:rFonts w:asciiTheme="minorHAnsi" w:hAnsiTheme="minorHAnsi" w:cstheme="minorHAnsi"/>
          <w:sz w:val="20"/>
          <w:szCs w:val="20"/>
        </w:rPr>
        <w:t xml:space="preserve">molti pazienti non raggiungono il target di </w:t>
      </w:r>
      <w:r w:rsidR="006148F5" w:rsidRPr="00AB6374">
        <w:rPr>
          <w:rFonts w:asciiTheme="minorHAnsi" w:hAnsiTheme="minorHAnsi" w:cstheme="minorHAnsi"/>
          <w:sz w:val="20"/>
          <w:szCs w:val="20"/>
        </w:rPr>
        <w:t>acido urico</w:t>
      </w:r>
      <w:r w:rsidRPr="00AB6374">
        <w:rPr>
          <w:rFonts w:asciiTheme="minorHAnsi" w:hAnsiTheme="minorHAnsi" w:cstheme="minorHAnsi"/>
          <w:sz w:val="20"/>
          <w:szCs w:val="20"/>
        </w:rPr>
        <w:t xml:space="preserve"> (</w:t>
      </w:r>
      <w:r w:rsidR="005848A1" w:rsidRPr="00AB6374">
        <w:rPr>
          <w:rFonts w:asciiTheme="minorHAnsi" w:hAnsiTheme="minorHAnsi" w:cstheme="minorHAnsi"/>
          <w:sz w:val="20"/>
          <w:szCs w:val="20"/>
        </w:rPr>
        <w:t>sUA</w:t>
      </w:r>
      <w:r w:rsidRPr="00AB6374">
        <w:rPr>
          <w:rFonts w:asciiTheme="minorHAnsi" w:hAnsiTheme="minorHAnsi" w:cstheme="minorHAnsi"/>
          <w:sz w:val="20"/>
          <w:szCs w:val="20"/>
        </w:rPr>
        <w:t>) con le terapie attuali, in Italia rappresentate solo dai farmaci XOI, allopurinolo e febuxostat</w:t>
      </w:r>
      <w:r w:rsidR="003B3977">
        <w:rPr>
          <w:rFonts w:asciiTheme="minorHAnsi" w:hAnsiTheme="minorHAnsi" w:cstheme="minorHAnsi"/>
          <w:sz w:val="20"/>
          <w:szCs w:val="20"/>
        </w:rPr>
        <w:t xml:space="preserve"> in monoterapia</w:t>
      </w:r>
      <w:r w:rsidRPr="00AB6374">
        <w:rPr>
          <w:rFonts w:asciiTheme="minorHAnsi" w:hAnsiTheme="minorHAnsi" w:cstheme="minorHAnsi"/>
          <w:sz w:val="20"/>
          <w:szCs w:val="20"/>
        </w:rPr>
        <w:t>, che agiscono sulla sovra</w:t>
      </w:r>
      <w:r w:rsidR="006148F5" w:rsidRPr="00AB6374">
        <w:rPr>
          <w:rFonts w:asciiTheme="minorHAnsi" w:hAnsiTheme="minorHAnsi" w:cstheme="minorHAnsi"/>
          <w:sz w:val="20"/>
          <w:szCs w:val="20"/>
        </w:rPr>
        <w:t xml:space="preserve"> </w:t>
      </w:r>
      <w:r w:rsidRPr="00AB6374">
        <w:rPr>
          <w:rFonts w:asciiTheme="minorHAnsi" w:hAnsiTheme="minorHAnsi" w:cstheme="minorHAnsi"/>
          <w:sz w:val="20"/>
          <w:szCs w:val="20"/>
        </w:rPr>
        <w:t>produzione di acido urico, nonostante i dosaggi comunemente utilizzati in pratica clinica</w:t>
      </w:r>
      <w:r w:rsidR="00AB6374">
        <w:rPr>
          <w:rFonts w:asciiTheme="minorHAnsi" w:hAnsiTheme="minorHAnsi" w:cstheme="minorHAnsi"/>
          <w:sz w:val="20"/>
          <w:szCs w:val="20"/>
        </w:rPr>
        <w:t xml:space="preserve">. </w:t>
      </w:r>
      <w:r w:rsidRPr="00AB6374">
        <w:rPr>
          <w:rFonts w:asciiTheme="minorHAnsi" w:hAnsiTheme="minorHAnsi" w:cstheme="minorHAnsi"/>
          <w:sz w:val="20"/>
          <w:szCs w:val="20"/>
        </w:rPr>
        <w:t xml:space="preserve">Gli XOI non sono in grado di intervenire sulla ridotta escrezione renale, che viene corretta da Lesinurad, farmaco uricosurico </w:t>
      </w:r>
      <w:r w:rsidR="001C6230" w:rsidRPr="00AB6374">
        <w:rPr>
          <w:rFonts w:asciiTheme="minorHAnsi" w:hAnsiTheme="minorHAnsi" w:cstheme="minorHAnsi"/>
          <w:sz w:val="20"/>
          <w:szCs w:val="20"/>
        </w:rPr>
        <w:t xml:space="preserve"> </w:t>
      </w:r>
      <w:r w:rsidR="002C0B9C" w:rsidRPr="00AB6374">
        <w:rPr>
          <w:rFonts w:asciiTheme="minorHAnsi" w:hAnsiTheme="minorHAnsi" w:cstheme="minorHAnsi"/>
          <w:sz w:val="20"/>
          <w:szCs w:val="20"/>
        </w:rPr>
        <w:t>(</w:t>
      </w:r>
      <w:r w:rsidR="00E54BFE" w:rsidRPr="00E54BFE">
        <w:rPr>
          <w:rFonts w:asciiTheme="minorHAnsi" w:hAnsiTheme="minorHAnsi" w:cstheme="minorHAnsi"/>
          <w:color w:val="0000FF"/>
          <w:sz w:val="20"/>
          <w:szCs w:val="20"/>
        </w:rPr>
        <w:t>SmPC Zurampic, EPAR, 2015 (1)</w:t>
      </w:r>
      <w:r w:rsidRPr="00AB6374">
        <w:rPr>
          <w:rFonts w:asciiTheme="minorHAnsi" w:hAnsiTheme="minorHAnsi" w:cstheme="minorHAnsi"/>
          <w:color w:val="0000FF"/>
          <w:sz w:val="20"/>
          <w:szCs w:val="20"/>
        </w:rPr>
        <w:t xml:space="preserve">, </w:t>
      </w:r>
      <w:r w:rsidR="00563FA4">
        <w:rPr>
          <w:rFonts w:asciiTheme="minorHAnsi" w:hAnsiTheme="minorHAnsi" w:cstheme="minorHAnsi"/>
          <w:color w:val="0000FF"/>
          <w:sz w:val="20"/>
          <w:szCs w:val="20"/>
        </w:rPr>
        <w:t>EPAR, 2015 (42)</w:t>
      </w:r>
      <w:r w:rsidRPr="00AB6374">
        <w:rPr>
          <w:rFonts w:asciiTheme="minorHAnsi" w:hAnsiTheme="minorHAnsi" w:cstheme="minorHAnsi"/>
          <w:sz w:val="20"/>
          <w:szCs w:val="20"/>
        </w:rPr>
        <w:t>)</w:t>
      </w:r>
      <w:r w:rsidR="00AB6374" w:rsidRPr="00AB6374">
        <w:rPr>
          <w:rFonts w:asciiTheme="minorHAnsi" w:hAnsiTheme="minorHAnsi" w:cstheme="minorHAnsi"/>
          <w:sz w:val="20"/>
          <w:szCs w:val="20"/>
        </w:rPr>
        <w:t xml:space="preserve">. In particolare, </w:t>
      </w:r>
      <w:r w:rsidR="00AB6374">
        <w:rPr>
          <w:rFonts w:asciiTheme="minorHAnsi" w:hAnsiTheme="minorHAnsi" w:cstheme="minorHAnsi"/>
          <w:sz w:val="20"/>
          <w:szCs w:val="20"/>
        </w:rPr>
        <w:t>c</w:t>
      </w:r>
      <w:r w:rsidR="00400976" w:rsidRPr="00AB6374">
        <w:rPr>
          <w:rFonts w:asciiTheme="minorHAnsi" w:hAnsiTheme="minorHAnsi" w:cstheme="minorHAnsi"/>
          <w:sz w:val="20"/>
          <w:szCs w:val="20"/>
        </w:rPr>
        <w:t>on le dosi comunemente utilizzate di XOI,</w:t>
      </w:r>
      <w:r w:rsidR="00825BD3">
        <w:rPr>
          <w:rFonts w:asciiTheme="minorHAnsi" w:hAnsiTheme="minorHAnsi" w:cstheme="minorHAnsi"/>
          <w:sz w:val="20"/>
          <w:szCs w:val="20"/>
        </w:rPr>
        <w:t xml:space="preserve"> </w:t>
      </w:r>
      <w:r w:rsidR="00400976" w:rsidRPr="00AB6374">
        <w:rPr>
          <w:rFonts w:asciiTheme="minorHAnsi" w:hAnsiTheme="minorHAnsi" w:cstheme="minorHAnsi"/>
          <w:sz w:val="20"/>
          <w:szCs w:val="20"/>
        </w:rPr>
        <w:t xml:space="preserve"> più del 50% dei pazienti gottosi non raggiunge il livello target di SUA (&lt; 6.0 mg/dl) (</w:t>
      </w:r>
      <w:r w:rsidR="00D77568">
        <w:rPr>
          <w:rFonts w:asciiTheme="minorHAnsi" w:hAnsiTheme="minorHAnsi" w:cstheme="minorHAnsi"/>
          <w:color w:val="0000FF"/>
          <w:sz w:val="20"/>
          <w:szCs w:val="20"/>
        </w:rPr>
        <w:t>Becker, 2005 (36)</w:t>
      </w:r>
      <w:r w:rsidR="00D77568" w:rsidRPr="00AB6374">
        <w:rPr>
          <w:rFonts w:asciiTheme="minorHAnsi" w:hAnsiTheme="minorHAnsi" w:cstheme="minorHAnsi"/>
          <w:color w:val="0000FF"/>
          <w:sz w:val="20"/>
          <w:szCs w:val="20"/>
        </w:rPr>
        <w:t xml:space="preserve">; </w:t>
      </w:r>
      <w:r w:rsidR="00400976" w:rsidRPr="00AB6374">
        <w:rPr>
          <w:rFonts w:asciiTheme="minorHAnsi" w:hAnsiTheme="minorHAnsi" w:cstheme="minorHAnsi"/>
          <w:color w:val="0000FF"/>
          <w:sz w:val="20"/>
          <w:szCs w:val="20"/>
        </w:rPr>
        <w:t xml:space="preserve">Becker, 2009 (37); </w:t>
      </w:r>
      <w:r w:rsidR="00563FA4">
        <w:rPr>
          <w:rFonts w:asciiTheme="minorHAnsi" w:hAnsiTheme="minorHAnsi" w:cstheme="minorHAnsi"/>
          <w:color w:val="0000FF"/>
          <w:sz w:val="20"/>
          <w:szCs w:val="20"/>
        </w:rPr>
        <w:t>Becker, 2010 (38)</w:t>
      </w:r>
      <w:r w:rsidR="00400976" w:rsidRPr="00AB6374">
        <w:rPr>
          <w:rFonts w:asciiTheme="minorHAnsi" w:hAnsiTheme="minorHAnsi" w:cstheme="minorHAnsi"/>
          <w:color w:val="0000FF"/>
          <w:sz w:val="20"/>
          <w:szCs w:val="20"/>
        </w:rPr>
        <w:t xml:space="preserve">; </w:t>
      </w:r>
      <w:r w:rsidR="00563FA4">
        <w:rPr>
          <w:rFonts w:asciiTheme="minorHAnsi" w:hAnsiTheme="minorHAnsi" w:cstheme="minorHAnsi"/>
          <w:color w:val="0000FF"/>
          <w:sz w:val="20"/>
          <w:szCs w:val="20"/>
        </w:rPr>
        <w:t>Schumacher, 2008 (39)</w:t>
      </w:r>
      <w:r w:rsidR="00D77568">
        <w:rPr>
          <w:rFonts w:asciiTheme="minorHAnsi" w:hAnsiTheme="minorHAnsi" w:cstheme="minorHAnsi"/>
          <w:color w:val="0000FF"/>
          <w:sz w:val="20"/>
          <w:szCs w:val="20"/>
        </w:rPr>
        <w:t>;</w:t>
      </w:r>
      <w:r w:rsidR="00D77568" w:rsidRPr="00D77568">
        <w:rPr>
          <w:rFonts w:asciiTheme="minorHAnsi" w:hAnsiTheme="minorHAnsi" w:cstheme="minorHAnsi"/>
          <w:color w:val="0000FF"/>
          <w:sz w:val="20"/>
          <w:szCs w:val="20"/>
        </w:rPr>
        <w:t xml:space="preserve"> </w:t>
      </w:r>
      <w:r w:rsidR="00D77568">
        <w:rPr>
          <w:rFonts w:asciiTheme="minorHAnsi" w:hAnsiTheme="minorHAnsi" w:cstheme="minorHAnsi"/>
          <w:color w:val="0000FF"/>
          <w:sz w:val="20"/>
          <w:szCs w:val="20"/>
        </w:rPr>
        <w:t>Becker, 2015 (40)</w:t>
      </w:r>
      <w:r w:rsidR="00400976" w:rsidRPr="00AB6374">
        <w:rPr>
          <w:rFonts w:asciiTheme="minorHAnsi" w:hAnsiTheme="minorHAnsi" w:cstheme="minorHAnsi"/>
          <w:sz w:val="20"/>
          <w:szCs w:val="20"/>
        </w:rPr>
        <w:t>)</w:t>
      </w:r>
      <w:r w:rsidR="00AB6374" w:rsidRPr="00AB6374">
        <w:rPr>
          <w:rFonts w:asciiTheme="minorHAnsi" w:hAnsiTheme="minorHAnsi" w:cstheme="minorHAnsi"/>
          <w:sz w:val="20"/>
          <w:szCs w:val="20"/>
        </w:rPr>
        <w:t xml:space="preserve"> (</w:t>
      </w:r>
      <w:hyperlink w:anchor="Figura13" w:history="1">
        <w:r w:rsidR="00AB6374" w:rsidRPr="00AB6374">
          <w:rPr>
            <w:rStyle w:val="Hyperlink"/>
            <w:rFonts w:asciiTheme="minorHAnsi" w:hAnsiTheme="minorHAnsi" w:cstheme="minorHAnsi"/>
            <w:sz w:val="20"/>
            <w:szCs w:val="20"/>
          </w:rPr>
          <w:t>Figura 13</w:t>
        </w:r>
      </w:hyperlink>
      <w:r w:rsidR="00AB6374" w:rsidRPr="00AB6374">
        <w:rPr>
          <w:rFonts w:asciiTheme="minorHAnsi" w:hAnsiTheme="minorHAnsi" w:cstheme="minorHAnsi"/>
          <w:sz w:val="20"/>
          <w:szCs w:val="20"/>
        </w:rPr>
        <w:t>)</w:t>
      </w:r>
      <w:r w:rsidR="00400976" w:rsidRPr="00AB6374">
        <w:rPr>
          <w:rFonts w:asciiTheme="minorHAnsi" w:hAnsiTheme="minorHAnsi" w:cstheme="minorHAnsi"/>
          <w:sz w:val="20"/>
          <w:szCs w:val="20"/>
        </w:rPr>
        <w:t xml:space="preserve">; </w:t>
      </w:r>
    </w:p>
    <w:p w14:paraId="6D211698" w14:textId="0584DA52" w:rsidR="00400976" w:rsidRPr="00400976" w:rsidRDefault="00400976" w:rsidP="00825BD3">
      <w:pPr>
        <w:pStyle w:val="ListParagraph"/>
        <w:widowControl w:val="0"/>
        <w:numPr>
          <w:ilvl w:val="0"/>
          <w:numId w:val="43"/>
        </w:numPr>
        <w:autoSpaceDE w:val="0"/>
        <w:autoSpaceDN w:val="0"/>
        <w:adjustRightInd w:val="0"/>
        <w:spacing w:line="360" w:lineRule="auto"/>
        <w:rPr>
          <w:rFonts w:asciiTheme="minorHAnsi" w:hAnsiTheme="minorHAnsi" w:cstheme="minorHAnsi"/>
          <w:sz w:val="20"/>
          <w:szCs w:val="20"/>
        </w:rPr>
      </w:pPr>
      <w:r w:rsidRPr="00400976">
        <w:rPr>
          <w:rFonts w:asciiTheme="minorHAnsi" w:hAnsiTheme="minorHAnsi" w:cstheme="minorHAnsi"/>
          <w:sz w:val="20"/>
          <w:szCs w:val="20"/>
        </w:rPr>
        <w:t>anche con dosaggi superiori a quelli più comunemente utilizzati di allopurinolo (300 mg/die) e con un’aderenza alla terapia superiore al 96%, rimane comunque alta la percentuale di pazienti che non rispondono al trattamento , con il 52% dei pazienti che non raggiungono il livello target di sUA (&lt;6.0 mg/dl) (</w:t>
      </w:r>
      <w:r w:rsidR="00563FA4">
        <w:rPr>
          <w:rFonts w:asciiTheme="minorHAnsi" w:hAnsiTheme="minorHAnsi" w:cstheme="minorHAnsi"/>
          <w:color w:val="0000FF"/>
          <w:sz w:val="20"/>
          <w:szCs w:val="20"/>
        </w:rPr>
        <w:t>Becker, 2015 (40)</w:t>
      </w:r>
      <w:r w:rsidRPr="00400976">
        <w:rPr>
          <w:rFonts w:asciiTheme="minorHAnsi" w:hAnsiTheme="minorHAnsi" w:cstheme="minorHAnsi"/>
          <w:sz w:val="20"/>
          <w:szCs w:val="20"/>
        </w:rPr>
        <w:t>).</w:t>
      </w:r>
    </w:p>
    <w:p w14:paraId="313F59F8" w14:textId="296CC6EC" w:rsidR="0037215C" w:rsidRPr="006148F5" w:rsidRDefault="0037215C" w:rsidP="00825BD3">
      <w:pPr>
        <w:pStyle w:val="ListParagraph"/>
        <w:widowControl w:val="0"/>
        <w:numPr>
          <w:ilvl w:val="0"/>
          <w:numId w:val="43"/>
        </w:numPr>
        <w:autoSpaceDE w:val="0"/>
        <w:autoSpaceDN w:val="0"/>
        <w:adjustRightInd w:val="0"/>
        <w:spacing w:line="360" w:lineRule="auto"/>
        <w:rPr>
          <w:rFonts w:asciiTheme="minorHAnsi" w:hAnsiTheme="minorHAnsi" w:cstheme="minorHAnsi"/>
          <w:b/>
          <w:sz w:val="20"/>
          <w:szCs w:val="20"/>
        </w:rPr>
      </w:pPr>
      <w:r w:rsidRPr="006148F5">
        <w:rPr>
          <w:rFonts w:asciiTheme="minorHAnsi" w:hAnsiTheme="minorHAnsi" w:cstheme="minorHAnsi"/>
          <w:b/>
          <w:sz w:val="20"/>
          <w:szCs w:val="20"/>
        </w:rPr>
        <w:t>La prat</w:t>
      </w:r>
      <w:r w:rsidR="00C53D5C" w:rsidRPr="006148F5">
        <w:rPr>
          <w:rFonts w:asciiTheme="minorHAnsi" w:hAnsiTheme="minorHAnsi" w:cstheme="minorHAnsi"/>
          <w:b/>
          <w:sz w:val="20"/>
          <w:szCs w:val="20"/>
        </w:rPr>
        <w:t>ica</w:t>
      </w:r>
      <w:r w:rsidRPr="006148F5">
        <w:rPr>
          <w:rFonts w:asciiTheme="minorHAnsi" w:hAnsiTheme="minorHAnsi" w:cstheme="minorHAnsi"/>
          <w:b/>
          <w:sz w:val="20"/>
          <w:szCs w:val="20"/>
        </w:rPr>
        <w:t xml:space="preserve"> clinica dimostra che la maggior parte dei pazienti sono in trattamento con allopurinolo a dosi pari a 300 mg/die, nonostante le Linee Guida raccomandino di titolare allopurinolo (fino a 800mg/die) per raggiungere il livello ottimale di </w:t>
      </w:r>
      <w:r w:rsidR="005848A1" w:rsidRPr="006148F5">
        <w:rPr>
          <w:rFonts w:asciiTheme="minorHAnsi" w:hAnsiTheme="minorHAnsi" w:cstheme="minorHAnsi"/>
          <w:b/>
          <w:sz w:val="20"/>
          <w:szCs w:val="20"/>
        </w:rPr>
        <w:t>sUA</w:t>
      </w:r>
      <w:r w:rsidRPr="006148F5">
        <w:rPr>
          <w:rFonts w:asciiTheme="minorHAnsi" w:hAnsiTheme="minorHAnsi" w:cstheme="minorHAnsi"/>
          <w:b/>
          <w:sz w:val="20"/>
          <w:szCs w:val="20"/>
        </w:rPr>
        <w:t>:</w:t>
      </w:r>
    </w:p>
    <w:p w14:paraId="3268AD79" w14:textId="2DCDCD0D" w:rsidR="0037215C" w:rsidRPr="00C53D5C" w:rsidRDefault="00DF067A" w:rsidP="00825BD3">
      <w:pPr>
        <w:pStyle w:val="ListParagraph"/>
        <w:widowControl w:val="0"/>
        <w:numPr>
          <w:ilvl w:val="1"/>
          <w:numId w:val="43"/>
        </w:numPr>
        <w:autoSpaceDE w:val="0"/>
        <w:autoSpaceDN w:val="0"/>
        <w:adjustRightInd w:val="0"/>
        <w:spacing w:line="360" w:lineRule="auto"/>
        <w:rPr>
          <w:rFonts w:asciiTheme="minorHAnsi" w:hAnsiTheme="minorHAnsi" w:cstheme="minorHAnsi"/>
          <w:sz w:val="20"/>
          <w:szCs w:val="20"/>
        </w:rPr>
      </w:pPr>
      <w:r>
        <w:rPr>
          <w:rFonts w:asciiTheme="minorHAnsi" w:hAnsiTheme="minorHAnsi" w:cstheme="minorHAnsi"/>
          <w:sz w:val="20"/>
          <w:szCs w:val="20"/>
        </w:rPr>
        <w:t>d</w:t>
      </w:r>
      <w:r w:rsidR="0037215C" w:rsidRPr="00C53D5C">
        <w:rPr>
          <w:rFonts w:asciiTheme="minorHAnsi" w:hAnsiTheme="minorHAnsi" w:cstheme="minorHAnsi"/>
          <w:sz w:val="20"/>
          <w:szCs w:val="20"/>
        </w:rPr>
        <w:t xml:space="preserve">ati provenienti da un sondaggio quantitativo effettuato su 126 reumatologi e 126 medici di base in Italia, Francia, Germania, Spagna e UK ha dimostrato che solo il 10% dei pazienti </w:t>
      </w:r>
      <w:r w:rsidR="0037215C">
        <w:rPr>
          <w:rFonts w:asciiTheme="minorHAnsi" w:hAnsiTheme="minorHAnsi" w:cstheme="minorHAnsi"/>
          <w:sz w:val="20"/>
          <w:szCs w:val="20"/>
        </w:rPr>
        <w:t xml:space="preserve">sono trattati in Italia a dosaggi &gt; 300 mg/die </w:t>
      </w:r>
      <w:r w:rsidR="0037215C" w:rsidRPr="00C53D5C">
        <w:rPr>
          <w:rFonts w:asciiTheme="minorHAnsi" w:hAnsiTheme="minorHAnsi" w:cstheme="minorHAnsi"/>
          <w:sz w:val="20"/>
          <w:szCs w:val="20"/>
        </w:rPr>
        <w:t>(</w:t>
      </w:r>
      <w:r w:rsidR="00CA7B84">
        <w:rPr>
          <w:rFonts w:asciiTheme="minorHAnsi" w:hAnsiTheme="minorHAnsi" w:cstheme="minorHAnsi"/>
          <w:color w:val="0000FF"/>
          <w:sz w:val="20"/>
          <w:szCs w:val="20"/>
        </w:rPr>
        <w:t>Singh, 2013 (102</w:t>
      </w:r>
      <w:r w:rsidR="00587B63">
        <w:rPr>
          <w:rFonts w:asciiTheme="minorHAnsi" w:hAnsiTheme="minorHAnsi" w:cstheme="minorHAnsi"/>
          <w:color w:val="0000FF"/>
          <w:sz w:val="20"/>
          <w:szCs w:val="20"/>
        </w:rPr>
        <w:t>)</w:t>
      </w:r>
      <w:r w:rsidR="00AC6378">
        <w:rPr>
          <w:rFonts w:asciiTheme="minorHAnsi" w:hAnsiTheme="minorHAnsi" w:cstheme="minorHAnsi"/>
          <w:sz w:val="20"/>
          <w:szCs w:val="20"/>
        </w:rPr>
        <w:t>).</w:t>
      </w:r>
    </w:p>
    <w:p w14:paraId="666B5DBA" w14:textId="0CB41327" w:rsidR="0037215C" w:rsidRDefault="00DF067A" w:rsidP="00825BD3">
      <w:pPr>
        <w:pStyle w:val="ListParagraph"/>
        <w:widowControl w:val="0"/>
        <w:numPr>
          <w:ilvl w:val="1"/>
          <w:numId w:val="43"/>
        </w:numPr>
        <w:autoSpaceDE w:val="0"/>
        <w:autoSpaceDN w:val="0"/>
        <w:adjustRightInd w:val="0"/>
        <w:spacing w:line="360" w:lineRule="auto"/>
        <w:rPr>
          <w:rFonts w:asciiTheme="minorHAnsi" w:hAnsiTheme="minorHAnsi" w:cstheme="minorHAnsi"/>
          <w:sz w:val="20"/>
          <w:szCs w:val="20"/>
        </w:rPr>
      </w:pPr>
      <w:r>
        <w:rPr>
          <w:rFonts w:asciiTheme="minorHAnsi" w:hAnsiTheme="minorHAnsi" w:cstheme="minorHAnsi"/>
          <w:sz w:val="20"/>
          <w:szCs w:val="20"/>
        </w:rPr>
        <w:t>d</w:t>
      </w:r>
      <w:r w:rsidR="0037215C" w:rsidRPr="00C53D5C">
        <w:rPr>
          <w:rFonts w:asciiTheme="minorHAnsi" w:hAnsiTheme="minorHAnsi" w:cstheme="minorHAnsi"/>
          <w:sz w:val="20"/>
          <w:szCs w:val="20"/>
        </w:rPr>
        <w:t>at</w:t>
      </w:r>
      <w:r w:rsidR="00C53D5C" w:rsidRPr="00C53D5C">
        <w:rPr>
          <w:rFonts w:asciiTheme="minorHAnsi" w:hAnsiTheme="minorHAnsi" w:cstheme="minorHAnsi"/>
          <w:sz w:val="20"/>
          <w:szCs w:val="20"/>
        </w:rPr>
        <w:t>i ricavati da un Delphi Panel in UK indicano una assenza di conoscenza da parte di medici di base/specialisti d</w:t>
      </w:r>
      <w:r>
        <w:rPr>
          <w:rFonts w:asciiTheme="minorHAnsi" w:hAnsiTheme="minorHAnsi" w:cstheme="minorHAnsi"/>
          <w:sz w:val="20"/>
          <w:szCs w:val="20"/>
        </w:rPr>
        <w:t>i dover</w:t>
      </w:r>
      <w:r w:rsidR="00C53D5C" w:rsidRPr="00C53D5C">
        <w:rPr>
          <w:rFonts w:asciiTheme="minorHAnsi" w:hAnsiTheme="minorHAnsi" w:cstheme="minorHAnsi"/>
          <w:sz w:val="20"/>
          <w:szCs w:val="20"/>
        </w:rPr>
        <w:t xml:space="preserve"> </w:t>
      </w:r>
      <w:r w:rsidR="003A5BA7">
        <w:rPr>
          <w:rFonts w:asciiTheme="minorHAnsi" w:hAnsiTheme="minorHAnsi" w:cstheme="minorHAnsi"/>
          <w:sz w:val="20"/>
          <w:szCs w:val="20"/>
        </w:rPr>
        <w:t>aumentare il dosaggio di</w:t>
      </w:r>
      <w:r w:rsidR="00C53D5C" w:rsidRPr="00C53D5C">
        <w:rPr>
          <w:rFonts w:asciiTheme="minorHAnsi" w:hAnsiTheme="minorHAnsi" w:cstheme="minorHAnsi"/>
          <w:sz w:val="20"/>
          <w:szCs w:val="20"/>
        </w:rPr>
        <w:t xml:space="preserve"> allopurinolo in monoter</w:t>
      </w:r>
      <w:r w:rsidR="00C53D5C">
        <w:rPr>
          <w:rFonts w:asciiTheme="minorHAnsi" w:hAnsiTheme="minorHAnsi" w:cstheme="minorHAnsi"/>
          <w:sz w:val="20"/>
          <w:szCs w:val="20"/>
        </w:rPr>
        <w:t>a</w:t>
      </w:r>
      <w:r w:rsidR="00C53D5C" w:rsidRPr="00C53D5C">
        <w:rPr>
          <w:rFonts w:asciiTheme="minorHAnsi" w:hAnsiTheme="minorHAnsi" w:cstheme="minorHAnsi"/>
          <w:sz w:val="20"/>
          <w:szCs w:val="20"/>
        </w:rPr>
        <w:t xml:space="preserve">pia, </w:t>
      </w:r>
      <w:r w:rsidR="00C53D5C">
        <w:rPr>
          <w:rFonts w:asciiTheme="minorHAnsi" w:hAnsiTheme="minorHAnsi" w:cstheme="minorHAnsi"/>
          <w:sz w:val="20"/>
          <w:szCs w:val="20"/>
        </w:rPr>
        <w:t xml:space="preserve">e dei dubbi circa </w:t>
      </w:r>
      <w:r w:rsidR="00D32A17">
        <w:rPr>
          <w:rFonts w:asciiTheme="minorHAnsi" w:hAnsiTheme="minorHAnsi" w:cstheme="minorHAnsi"/>
          <w:sz w:val="20"/>
          <w:szCs w:val="20"/>
        </w:rPr>
        <w:t xml:space="preserve">il fatto che </w:t>
      </w:r>
      <w:r w:rsidR="00C53D5C">
        <w:rPr>
          <w:rFonts w:asciiTheme="minorHAnsi" w:hAnsiTheme="minorHAnsi" w:cstheme="minorHAnsi"/>
          <w:sz w:val="20"/>
          <w:szCs w:val="20"/>
        </w:rPr>
        <w:t>l’aderenza del paziente alla terapia poss</w:t>
      </w:r>
      <w:r w:rsidR="00AC6378">
        <w:rPr>
          <w:rFonts w:asciiTheme="minorHAnsi" w:hAnsiTheme="minorHAnsi" w:cstheme="minorHAnsi"/>
          <w:sz w:val="20"/>
          <w:szCs w:val="20"/>
        </w:rPr>
        <w:t>a aver influenzato molti clinici</w:t>
      </w:r>
      <w:r w:rsidR="00C53D5C">
        <w:rPr>
          <w:rFonts w:asciiTheme="minorHAnsi" w:hAnsiTheme="minorHAnsi" w:cstheme="minorHAnsi"/>
          <w:sz w:val="20"/>
          <w:szCs w:val="20"/>
        </w:rPr>
        <w:t xml:space="preserve"> a non titolare routinariamente allopurinolo a dosi &gt; 300 mg/die </w:t>
      </w:r>
      <w:r w:rsidR="00AC6378">
        <w:rPr>
          <w:rFonts w:asciiTheme="minorHAnsi" w:hAnsiTheme="minorHAnsi" w:cstheme="minorHAnsi"/>
          <w:sz w:val="20"/>
          <w:szCs w:val="20"/>
        </w:rPr>
        <w:t>(</w:t>
      </w:r>
      <w:r w:rsidR="00AC6378" w:rsidRPr="00AC6378">
        <w:rPr>
          <w:rFonts w:asciiTheme="minorHAnsi" w:hAnsiTheme="minorHAnsi" w:cstheme="minorHAnsi"/>
          <w:color w:val="0000FF"/>
          <w:sz w:val="20"/>
          <w:szCs w:val="20"/>
        </w:rPr>
        <w:t xml:space="preserve">Grünenthal Ltd. </w:t>
      </w:r>
      <w:r w:rsidR="00AC6378" w:rsidRPr="00D32A17">
        <w:rPr>
          <w:rFonts w:asciiTheme="minorHAnsi" w:hAnsiTheme="minorHAnsi" w:cstheme="minorHAnsi"/>
          <w:color w:val="0000FF"/>
          <w:sz w:val="20"/>
          <w:szCs w:val="20"/>
        </w:rPr>
        <w:t>Delphi Survey report 2016, DOF</w:t>
      </w:r>
      <w:r w:rsidR="00587B63">
        <w:rPr>
          <w:rFonts w:asciiTheme="minorHAnsi" w:hAnsiTheme="minorHAnsi" w:cstheme="minorHAnsi"/>
          <w:color w:val="0000FF"/>
          <w:sz w:val="20"/>
          <w:szCs w:val="20"/>
        </w:rPr>
        <w:t xml:space="preserve"> (</w:t>
      </w:r>
      <w:r w:rsidR="00C8595E">
        <w:rPr>
          <w:rFonts w:asciiTheme="minorHAnsi" w:hAnsiTheme="minorHAnsi" w:cstheme="minorHAnsi"/>
          <w:color w:val="0000FF"/>
          <w:sz w:val="20"/>
          <w:szCs w:val="20"/>
        </w:rPr>
        <w:t>103</w:t>
      </w:r>
      <w:r w:rsidR="00587B63">
        <w:rPr>
          <w:rFonts w:asciiTheme="minorHAnsi" w:hAnsiTheme="minorHAnsi" w:cstheme="minorHAnsi"/>
          <w:color w:val="0000FF"/>
          <w:sz w:val="20"/>
          <w:szCs w:val="20"/>
        </w:rPr>
        <w:t>)</w:t>
      </w:r>
      <w:r w:rsidR="00AC6378" w:rsidRPr="00D32A17">
        <w:rPr>
          <w:rFonts w:asciiTheme="minorHAnsi" w:hAnsiTheme="minorHAnsi" w:cstheme="minorHAnsi"/>
          <w:sz w:val="20"/>
          <w:szCs w:val="20"/>
        </w:rPr>
        <w:t>).</w:t>
      </w:r>
    </w:p>
    <w:p w14:paraId="45A04135" w14:textId="77777777" w:rsidR="00DF067A" w:rsidRPr="00DF067A" w:rsidRDefault="00DF067A" w:rsidP="009F1699">
      <w:pPr>
        <w:widowControl w:val="0"/>
        <w:autoSpaceDE w:val="0"/>
        <w:autoSpaceDN w:val="0"/>
        <w:adjustRightInd w:val="0"/>
        <w:spacing w:line="360" w:lineRule="auto"/>
        <w:ind w:left="1080"/>
        <w:rPr>
          <w:rFonts w:cstheme="minorHAnsi"/>
          <w:sz w:val="20"/>
          <w:szCs w:val="20"/>
        </w:rPr>
      </w:pPr>
    </w:p>
    <w:p w14:paraId="0E6CFEF3" w14:textId="7FDCBD0F" w:rsidR="000808B5" w:rsidRPr="000F1539" w:rsidRDefault="000F1539" w:rsidP="000F1539">
      <w:pPr>
        <w:pStyle w:val="Caption"/>
        <w:rPr>
          <w:rFonts w:asciiTheme="minorHAnsi" w:hAnsiTheme="minorHAnsi" w:cstheme="minorHAnsi"/>
          <w:b w:val="0"/>
          <w:lang w:val="it-IT"/>
        </w:rPr>
      </w:pPr>
      <w:bookmarkStart w:id="65" w:name="Figura13"/>
      <w:bookmarkStart w:id="66" w:name="_Toc473186908"/>
      <w:bookmarkEnd w:id="65"/>
      <w:r w:rsidRPr="000F1539">
        <w:rPr>
          <w:rFonts w:asciiTheme="minorHAnsi" w:hAnsiTheme="minorHAnsi" w:cstheme="minorHAnsi"/>
          <w:lang w:val="it-IT"/>
        </w:rPr>
        <w:t xml:space="preserve">Figura </w:t>
      </w:r>
      <w:r w:rsidRPr="000F1539">
        <w:rPr>
          <w:rFonts w:asciiTheme="minorHAnsi" w:hAnsiTheme="minorHAnsi" w:cstheme="minorHAnsi"/>
        </w:rPr>
        <w:fldChar w:fldCharType="begin"/>
      </w:r>
      <w:r w:rsidRPr="000F1539">
        <w:rPr>
          <w:rFonts w:asciiTheme="minorHAnsi" w:hAnsiTheme="minorHAnsi" w:cstheme="minorHAnsi"/>
          <w:lang w:val="it-IT"/>
        </w:rPr>
        <w:instrText xml:space="preserve"> SEQ Figura \* ARABIC </w:instrText>
      </w:r>
      <w:r w:rsidRPr="000F1539">
        <w:rPr>
          <w:rFonts w:asciiTheme="minorHAnsi" w:hAnsiTheme="minorHAnsi" w:cstheme="minorHAnsi"/>
        </w:rPr>
        <w:fldChar w:fldCharType="separate"/>
      </w:r>
      <w:r w:rsidR="00A1679C">
        <w:rPr>
          <w:rFonts w:asciiTheme="minorHAnsi" w:hAnsiTheme="minorHAnsi" w:cstheme="minorHAnsi"/>
          <w:noProof/>
          <w:lang w:val="it-IT"/>
        </w:rPr>
        <w:t>13</w:t>
      </w:r>
      <w:r w:rsidRPr="000F1539">
        <w:rPr>
          <w:rFonts w:asciiTheme="minorHAnsi" w:hAnsiTheme="minorHAnsi" w:cstheme="minorHAnsi"/>
        </w:rPr>
        <w:fldChar w:fldCharType="end"/>
      </w:r>
      <w:r w:rsidRPr="000F1539">
        <w:rPr>
          <w:rFonts w:asciiTheme="minorHAnsi" w:hAnsiTheme="minorHAnsi" w:cstheme="minorHAnsi"/>
          <w:lang w:val="it-IT"/>
        </w:rPr>
        <w:t xml:space="preserve"> - </w:t>
      </w:r>
      <w:r w:rsidR="000808B5" w:rsidRPr="000F1539">
        <w:rPr>
          <w:rFonts w:asciiTheme="minorHAnsi" w:hAnsiTheme="minorHAnsi" w:cstheme="minorHAnsi"/>
          <w:b w:val="0"/>
          <w:lang w:val="it-IT"/>
        </w:rPr>
        <w:t xml:space="preserve">Pazienti non a target </w:t>
      </w:r>
      <w:r w:rsidR="005848A1">
        <w:rPr>
          <w:rFonts w:asciiTheme="minorHAnsi" w:hAnsiTheme="minorHAnsi" w:cstheme="minorHAnsi"/>
          <w:b w:val="0"/>
          <w:lang w:val="it-IT"/>
        </w:rPr>
        <w:t>SUA</w:t>
      </w:r>
      <w:r w:rsidR="000808B5" w:rsidRPr="000F1539">
        <w:rPr>
          <w:rFonts w:asciiTheme="minorHAnsi" w:hAnsiTheme="minorHAnsi" w:cstheme="minorHAnsi"/>
          <w:b w:val="0"/>
          <w:lang w:val="it-IT"/>
        </w:rPr>
        <w:t xml:space="preserve"> &lt;6.0 mg/dl con allopurinolo o febuxostat </w:t>
      </w:r>
      <w:r w:rsidR="00825BD3">
        <w:rPr>
          <w:rFonts w:asciiTheme="minorHAnsi" w:hAnsiTheme="minorHAnsi" w:cstheme="minorHAnsi"/>
          <w:b w:val="0"/>
          <w:lang w:val="it-IT"/>
        </w:rPr>
        <w:t>(dati di 3</w:t>
      </w:r>
      <w:r w:rsidR="000808B5" w:rsidRPr="000F1539">
        <w:rPr>
          <w:rFonts w:asciiTheme="minorHAnsi" w:hAnsiTheme="minorHAnsi" w:cstheme="minorHAnsi"/>
          <w:b w:val="0"/>
          <w:lang w:val="it-IT"/>
        </w:rPr>
        <w:t xml:space="preserve"> RCT</w:t>
      </w:r>
      <w:r w:rsidR="00825BD3">
        <w:rPr>
          <w:rFonts w:asciiTheme="minorHAnsi" w:hAnsiTheme="minorHAnsi" w:cstheme="minorHAnsi"/>
          <w:b w:val="0"/>
          <w:lang w:val="it-IT"/>
        </w:rPr>
        <w:t>)</w:t>
      </w:r>
      <w:r w:rsidR="002C0B9C" w:rsidRPr="000F1539">
        <w:rPr>
          <w:rFonts w:asciiTheme="minorHAnsi" w:hAnsiTheme="minorHAnsi" w:cstheme="minorHAnsi"/>
          <w:b w:val="0"/>
          <w:lang w:val="it-IT"/>
        </w:rPr>
        <w:t xml:space="preserve"> </w:t>
      </w:r>
      <w:r w:rsidR="002C0B9C" w:rsidRPr="000F1539">
        <w:rPr>
          <w:rFonts w:asciiTheme="minorHAnsi" w:hAnsiTheme="minorHAnsi" w:cstheme="minorHAnsi"/>
          <w:lang w:val="it-IT"/>
        </w:rPr>
        <w:t>(</w:t>
      </w:r>
      <w:r w:rsidR="00DF067A" w:rsidRPr="00DF067A">
        <w:rPr>
          <w:rFonts w:asciiTheme="minorHAnsi" w:hAnsiTheme="minorHAnsi" w:cstheme="minorHAnsi"/>
          <w:b w:val="0"/>
          <w:color w:val="0000FF"/>
          <w:lang w:val="it-IT"/>
        </w:rPr>
        <w:t xml:space="preserve">Schumacher, 2008; Becker, 2005; </w:t>
      </w:r>
      <w:r w:rsidR="002C0B9C" w:rsidRPr="00DF067A">
        <w:rPr>
          <w:rFonts w:asciiTheme="minorHAnsi" w:hAnsiTheme="minorHAnsi" w:cstheme="minorHAnsi"/>
          <w:b w:val="0"/>
          <w:color w:val="0000FF"/>
          <w:lang w:val="it-IT"/>
        </w:rPr>
        <w:t>Becker, 2010</w:t>
      </w:r>
      <w:r w:rsidR="002C0B9C" w:rsidRPr="00DF067A">
        <w:rPr>
          <w:rFonts w:asciiTheme="minorHAnsi" w:hAnsiTheme="minorHAnsi" w:cstheme="minorHAnsi"/>
          <w:b w:val="0"/>
          <w:lang w:val="it-IT"/>
        </w:rPr>
        <w:t>)</w:t>
      </w:r>
      <w:bookmarkEnd w:id="66"/>
    </w:p>
    <w:p w14:paraId="067D7451" w14:textId="35CC1FBF" w:rsidR="000808B5" w:rsidRPr="000808B5" w:rsidRDefault="000808B5" w:rsidP="000808B5">
      <w:pPr>
        <w:widowControl w:val="0"/>
        <w:autoSpaceDE w:val="0"/>
        <w:autoSpaceDN w:val="0"/>
        <w:adjustRightInd w:val="0"/>
        <w:spacing w:line="360" w:lineRule="auto"/>
        <w:jc w:val="both"/>
        <w:rPr>
          <w:rFonts w:cs="Arial"/>
          <w:sz w:val="20"/>
          <w:szCs w:val="20"/>
          <w:lang w:val="en-GB"/>
        </w:rPr>
      </w:pPr>
      <w:r w:rsidRPr="000808B5">
        <w:rPr>
          <w:rFonts w:cs="Arial"/>
          <w:noProof/>
          <w:sz w:val="20"/>
          <w:szCs w:val="20"/>
          <w:lang w:val="en-GB" w:eastAsia="en-GB"/>
        </w:rPr>
        <w:drawing>
          <wp:inline distT="0" distB="0" distL="0" distR="0" wp14:anchorId="03DD44AF" wp14:editId="47D0F176">
            <wp:extent cx="4284980" cy="2056765"/>
            <wp:effectExtent l="19050" t="19050" r="20320" b="19685"/>
            <wp:docPr id="306" name="Immagin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84980" cy="2056765"/>
                    </a:xfrm>
                    <a:prstGeom prst="rect">
                      <a:avLst/>
                    </a:prstGeom>
                    <a:noFill/>
                    <a:ln w="9525">
                      <a:solidFill>
                        <a:srgbClr val="000000"/>
                      </a:solidFill>
                      <a:miter lim="800000"/>
                      <a:headEnd/>
                      <a:tailEnd/>
                    </a:ln>
                  </pic:spPr>
                </pic:pic>
              </a:graphicData>
            </a:graphic>
          </wp:inline>
        </w:drawing>
      </w:r>
    </w:p>
    <w:p w14:paraId="4E25CF28" w14:textId="77777777" w:rsidR="000F1539" w:rsidRDefault="000F1539" w:rsidP="000808B5">
      <w:pPr>
        <w:widowControl w:val="0"/>
        <w:autoSpaceDE w:val="0"/>
        <w:autoSpaceDN w:val="0"/>
        <w:adjustRightInd w:val="0"/>
        <w:spacing w:line="360" w:lineRule="auto"/>
        <w:jc w:val="both"/>
        <w:rPr>
          <w:rFonts w:cs="Arial"/>
          <w:sz w:val="20"/>
          <w:szCs w:val="20"/>
        </w:rPr>
      </w:pPr>
    </w:p>
    <w:p w14:paraId="15E3F835" w14:textId="7455483C" w:rsidR="000808B5" w:rsidRPr="000808B5" w:rsidRDefault="000808B5" w:rsidP="009F1699">
      <w:pPr>
        <w:widowControl w:val="0"/>
        <w:autoSpaceDE w:val="0"/>
        <w:autoSpaceDN w:val="0"/>
        <w:adjustRightInd w:val="0"/>
        <w:spacing w:line="360" w:lineRule="auto"/>
        <w:rPr>
          <w:rFonts w:cs="Arial"/>
          <w:sz w:val="20"/>
          <w:szCs w:val="20"/>
        </w:rPr>
      </w:pPr>
      <w:r w:rsidRPr="000808B5">
        <w:rPr>
          <w:rFonts w:cs="Arial"/>
          <w:sz w:val="20"/>
          <w:szCs w:val="20"/>
        </w:rPr>
        <w:t xml:space="preserve">La </w:t>
      </w:r>
      <w:hyperlink w:anchor="Figura13" w:history="1">
        <w:r w:rsidRPr="00EC36B8">
          <w:rPr>
            <w:rStyle w:val="Hyperlink"/>
            <w:rFonts w:cs="Arial"/>
            <w:sz w:val="20"/>
            <w:szCs w:val="20"/>
          </w:rPr>
          <w:t xml:space="preserve">Figura </w:t>
        </w:r>
        <w:r w:rsidR="000F1539" w:rsidRPr="00EC36B8">
          <w:rPr>
            <w:rStyle w:val="Hyperlink"/>
            <w:rFonts w:cs="Arial"/>
            <w:sz w:val="20"/>
            <w:szCs w:val="20"/>
          </w:rPr>
          <w:t>1</w:t>
        </w:r>
        <w:r w:rsidR="00AC4573" w:rsidRPr="00EC36B8">
          <w:rPr>
            <w:rStyle w:val="Hyperlink"/>
            <w:rFonts w:cs="Arial"/>
            <w:sz w:val="20"/>
            <w:szCs w:val="20"/>
          </w:rPr>
          <w:t>3</w:t>
        </w:r>
      </w:hyperlink>
      <w:r w:rsidRPr="000808B5">
        <w:rPr>
          <w:rFonts w:cs="Arial"/>
          <w:sz w:val="20"/>
          <w:szCs w:val="20"/>
        </w:rPr>
        <w:t xml:space="preserve"> mostra la propor</w:t>
      </w:r>
      <w:r w:rsidR="00D871C3">
        <w:rPr>
          <w:rFonts w:cs="Arial"/>
          <w:sz w:val="20"/>
          <w:szCs w:val="20"/>
        </w:rPr>
        <w:t xml:space="preserve">zione di pazienti non a target </w:t>
      </w:r>
      <w:r w:rsidR="005848A1">
        <w:rPr>
          <w:rFonts w:cs="Arial"/>
          <w:sz w:val="20"/>
          <w:szCs w:val="20"/>
        </w:rPr>
        <w:t>sUA</w:t>
      </w:r>
      <w:r w:rsidR="00D871C3">
        <w:rPr>
          <w:rFonts w:cs="Arial"/>
          <w:sz w:val="20"/>
          <w:szCs w:val="20"/>
        </w:rPr>
        <w:t xml:space="preserve"> con allopurinolo o febuxostat di tre studi clinici randomizzati</w:t>
      </w:r>
      <w:r w:rsidRPr="000808B5">
        <w:rPr>
          <w:rFonts w:cs="Arial"/>
          <w:sz w:val="20"/>
          <w:szCs w:val="20"/>
        </w:rPr>
        <w:t>: studio APEX su 1072 pazienti trattati per 28 settimane con febuxostat vs. allopurinolo</w:t>
      </w:r>
      <w:r w:rsidR="002C0B9C">
        <w:rPr>
          <w:rFonts w:cs="Arial"/>
          <w:sz w:val="20"/>
          <w:szCs w:val="20"/>
        </w:rPr>
        <w:t xml:space="preserve"> (</w:t>
      </w:r>
      <w:r w:rsidR="00563FA4">
        <w:rPr>
          <w:color w:val="0000FF"/>
          <w:sz w:val="20"/>
          <w:szCs w:val="20"/>
        </w:rPr>
        <w:t>Schumacher, 2008 (39)</w:t>
      </w:r>
      <w:r w:rsidR="002C0B9C">
        <w:rPr>
          <w:rFonts w:cs="Arial"/>
          <w:sz w:val="20"/>
          <w:szCs w:val="20"/>
        </w:rPr>
        <w:t>)</w:t>
      </w:r>
      <w:r w:rsidRPr="000808B5">
        <w:rPr>
          <w:rFonts w:cs="Arial"/>
          <w:sz w:val="20"/>
          <w:szCs w:val="20"/>
        </w:rPr>
        <w:t>; studio FACT su 762 pazienti trattati per 52 settimane con febuxostat vs. allopurinolo</w:t>
      </w:r>
      <w:r w:rsidR="002C0B9C">
        <w:rPr>
          <w:rFonts w:cs="Arial"/>
          <w:sz w:val="20"/>
          <w:szCs w:val="20"/>
        </w:rPr>
        <w:t xml:space="preserve"> (</w:t>
      </w:r>
      <w:r w:rsidR="00563FA4">
        <w:rPr>
          <w:color w:val="0000FF"/>
          <w:sz w:val="20"/>
          <w:szCs w:val="20"/>
        </w:rPr>
        <w:t>Becker, 2005 (36)</w:t>
      </w:r>
      <w:r w:rsidR="002C0B9C">
        <w:rPr>
          <w:rFonts w:cs="Arial"/>
          <w:sz w:val="20"/>
          <w:szCs w:val="20"/>
        </w:rPr>
        <w:t>)</w:t>
      </w:r>
      <w:r w:rsidRPr="000808B5">
        <w:rPr>
          <w:rFonts w:cs="Arial"/>
          <w:sz w:val="20"/>
          <w:szCs w:val="20"/>
        </w:rPr>
        <w:t xml:space="preserve"> e studio CONFIRMS su 2269 pazienti trattati </w:t>
      </w:r>
      <w:r w:rsidR="007007BC">
        <w:rPr>
          <w:rFonts w:cs="Arial"/>
          <w:sz w:val="20"/>
          <w:szCs w:val="20"/>
        </w:rPr>
        <w:t xml:space="preserve">per 6 mesi </w:t>
      </w:r>
      <w:r w:rsidRPr="000808B5">
        <w:rPr>
          <w:rFonts w:cs="Arial"/>
          <w:sz w:val="20"/>
          <w:szCs w:val="20"/>
        </w:rPr>
        <w:t>con febuxostat o allopurinolo</w:t>
      </w:r>
      <w:r w:rsidR="002C0B9C">
        <w:rPr>
          <w:rFonts w:cs="Arial"/>
          <w:sz w:val="20"/>
          <w:szCs w:val="20"/>
        </w:rPr>
        <w:t xml:space="preserve"> (</w:t>
      </w:r>
      <w:r w:rsidR="00563FA4">
        <w:rPr>
          <w:color w:val="0000FF"/>
          <w:sz w:val="20"/>
          <w:szCs w:val="20"/>
        </w:rPr>
        <w:t>Becker, 2010 (38)</w:t>
      </w:r>
      <w:r w:rsidR="002C0B9C">
        <w:rPr>
          <w:rFonts w:cs="Arial"/>
          <w:sz w:val="20"/>
          <w:szCs w:val="20"/>
        </w:rPr>
        <w:t>)</w:t>
      </w:r>
      <w:r w:rsidRPr="000808B5">
        <w:rPr>
          <w:rFonts w:cs="Arial"/>
          <w:sz w:val="20"/>
          <w:szCs w:val="20"/>
        </w:rPr>
        <w:t>.</w:t>
      </w:r>
    </w:p>
    <w:p w14:paraId="65B5C63E" w14:textId="380E5FFB" w:rsidR="000808B5" w:rsidRDefault="000808B5" w:rsidP="009F1699">
      <w:pPr>
        <w:widowControl w:val="0"/>
        <w:autoSpaceDE w:val="0"/>
        <w:autoSpaceDN w:val="0"/>
        <w:adjustRightInd w:val="0"/>
        <w:spacing w:line="360" w:lineRule="auto"/>
        <w:rPr>
          <w:rFonts w:cs="Arial"/>
          <w:sz w:val="20"/>
          <w:szCs w:val="20"/>
        </w:rPr>
      </w:pPr>
      <w:r w:rsidRPr="000808B5">
        <w:rPr>
          <w:rFonts w:cs="Arial"/>
          <w:sz w:val="20"/>
          <w:szCs w:val="20"/>
        </w:rPr>
        <w:t xml:space="preserve">La </w:t>
      </w:r>
      <w:hyperlink w:anchor="Figura14" w:history="1">
        <w:r w:rsidRPr="00EC36B8">
          <w:rPr>
            <w:rStyle w:val="Hyperlink"/>
            <w:rFonts w:cs="Arial"/>
            <w:sz w:val="20"/>
            <w:szCs w:val="20"/>
          </w:rPr>
          <w:t xml:space="preserve">Figura </w:t>
        </w:r>
        <w:r w:rsidR="000F1539" w:rsidRPr="00EC36B8">
          <w:rPr>
            <w:rStyle w:val="Hyperlink"/>
            <w:rFonts w:cs="Arial"/>
            <w:sz w:val="20"/>
            <w:szCs w:val="20"/>
          </w:rPr>
          <w:t>1</w:t>
        </w:r>
        <w:r w:rsidR="00AC4573" w:rsidRPr="00EC36B8">
          <w:rPr>
            <w:rStyle w:val="Hyperlink"/>
            <w:rFonts w:cs="Arial"/>
            <w:sz w:val="20"/>
            <w:szCs w:val="20"/>
          </w:rPr>
          <w:t>4</w:t>
        </w:r>
      </w:hyperlink>
      <w:r w:rsidRPr="000808B5">
        <w:rPr>
          <w:rFonts w:cs="Arial"/>
          <w:sz w:val="20"/>
          <w:szCs w:val="20"/>
        </w:rPr>
        <w:t xml:space="preserve"> mostra invece i risultati dello studio LASSO</w:t>
      </w:r>
      <w:r w:rsidR="007007BC">
        <w:rPr>
          <w:rFonts w:cs="Arial"/>
          <w:sz w:val="20"/>
          <w:szCs w:val="20"/>
        </w:rPr>
        <w:t>, studio</w:t>
      </w:r>
      <w:r w:rsidRPr="000808B5">
        <w:rPr>
          <w:rFonts w:cs="Arial"/>
          <w:sz w:val="20"/>
          <w:szCs w:val="20"/>
        </w:rPr>
        <w:t xml:space="preserve"> </w:t>
      </w:r>
      <w:r w:rsidR="007007BC">
        <w:rPr>
          <w:rFonts w:cs="Arial"/>
          <w:sz w:val="20"/>
          <w:szCs w:val="20"/>
        </w:rPr>
        <w:t>in aperto della durata di 6 mesi in cui sono stati arruolati</w:t>
      </w:r>
      <w:r w:rsidR="00AC6378">
        <w:rPr>
          <w:rFonts w:cs="Arial"/>
          <w:sz w:val="20"/>
          <w:szCs w:val="20"/>
        </w:rPr>
        <w:t xml:space="preserve"> </w:t>
      </w:r>
      <w:r w:rsidRPr="000808B5">
        <w:rPr>
          <w:rFonts w:cs="Arial"/>
          <w:sz w:val="20"/>
          <w:szCs w:val="20"/>
        </w:rPr>
        <w:t xml:space="preserve">1735 pazienti affetti da gotta con 2 o più attacchi acuti </w:t>
      </w:r>
      <w:r w:rsidR="007007BC">
        <w:rPr>
          <w:rFonts w:cs="Arial"/>
          <w:sz w:val="20"/>
          <w:szCs w:val="20"/>
        </w:rPr>
        <w:t>avuti nell’ultimo anno,</w:t>
      </w:r>
      <w:r w:rsidR="00AC6378">
        <w:rPr>
          <w:rFonts w:cs="Arial"/>
          <w:sz w:val="20"/>
          <w:szCs w:val="20"/>
        </w:rPr>
        <w:t xml:space="preserve"> </w:t>
      </w:r>
      <w:r w:rsidR="007007BC">
        <w:rPr>
          <w:rFonts w:cs="Arial"/>
          <w:sz w:val="20"/>
          <w:szCs w:val="20"/>
        </w:rPr>
        <w:t>che sono stati</w:t>
      </w:r>
      <w:r w:rsidR="007007BC" w:rsidRPr="000808B5">
        <w:rPr>
          <w:rFonts w:cs="Arial"/>
          <w:sz w:val="20"/>
          <w:szCs w:val="20"/>
        </w:rPr>
        <w:t xml:space="preserve"> </w:t>
      </w:r>
      <w:r w:rsidRPr="000808B5">
        <w:rPr>
          <w:rFonts w:cs="Arial"/>
          <w:sz w:val="20"/>
          <w:szCs w:val="20"/>
        </w:rPr>
        <w:t xml:space="preserve">trattati con allopurinolo </w:t>
      </w:r>
      <w:r w:rsidR="00986271">
        <w:rPr>
          <w:rFonts w:cs="Arial"/>
          <w:sz w:val="20"/>
          <w:szCs w:val="20"/>
        </w:rPr>
        <w:t xml:space="preserve">con la raccomandazione agli sperimentatori coinvolti di </w:t>
      </w:r>
      <w:r w:rsidRPr="000808B5">
        <w:rPr>
          <w:rFonts w:cs="Arial"/>
          <w:sz w:val="20"/>
          <w:szCs w:val="20"/>
        </w:rPr>
        <w:t xml:space="preserve"> titolare il farmaco per raggiungere il target </w:t>
      </w:r>
      <w:r w:rsidR="00986271">
        <w:rPr>
          <w:rFonts w:cs="Arial"/>
          <w:sz w:val="20"/>
          <w:szCs w:val="20"/>
        </w:rPr>
        <w:t xml:space="preserve">di </w:t>
      </w:r>
      <w:r w:rsidR="006148F5">
        <w:rPr>
          <w:rFonts w:cs="Arial"/>
          <w:sz w:val="20"/>
          <w:szCs w:val="20"/>
        </w:rPr>
        <w:t>s</w:t>
      </w:r>
      <w:r w:rsidR="005848A1">
        <w:rPr>
          <w:rFonts w:cs="Arial"/>
          <w:sz w:val="20"/>
          <w:szCs w:val="20"/>
        </w:rPr>
        <w:t>UA</w:t>
      </w:r>
      <w:r w:rsidR="00986271">
        <w:rPr>
          <w:rFonts w:cs="Arial"/>
          <w:sz w:val="20"/>
          <w:szCs w:val="20"/>
        </w:rPr>
        <w:t>&lt;6 mg/d</w:t>
      </w:r>
      <w:r w:rsidR="006148F5">
        <w:rPr>
          <w:rFonts w:cs="Arial"/>
          <w:sz w:val="20"/>
          <w:szCs w:val="20"/>
        </w:rPr>
        <w:t>l</w:t>
      </w:r>
      <w:r w:rsidRPr="000808B5">
        <w:rPr>
          <w:rFonts w:cs="Arial"/>
          <w:sz w:val="20"/>
          <w:szCs w:val="20"/>
        </w:rPr>
        <w:t xml:space="preserve">. </w:t>
      </w:r>
      <w:r w:rsidRPr="000808B5">
        <w:rPr>
          <w:rFonts w:cs="Arial"/>
          <w:sz w:val="20"/>
          <w:szCs w:val="20"/>
          <w:lang w:val="en-GB"/>
        </w:rPr>
        <w:t>Come da conclusioni degli Autori “</w:t>
      </w:r>
      <w:r w:rsidRPr="000808B5">
        <w:rPr>
          <w:rFonts w:cs="Arial"/>
          <w:i/>
          <w:sz w:val="20"/>
          <w:szCs w:val="20"/>
          <w:lang w:val="en-GB"/>
        </w:rPr>
        <w:t>despite encouragement to treat to target,</w:t>
      </w:r>
      <w:r w:rsidR="00986271">
        <w:rPr>
          <w:rFonts w:cs="Arial"/>
          <w:i/>
          <w:sz w:val="20"/>
          <w:szCs w:val="20"/>
          <w:lang w:val="en-GB"/>
        </w:rPr>
        <w:t>(…),</w:t>
      </w:r>
      <w:r w:rsidRPr="000808B5">
        <w:rPr>
          <w:rFonts w:cs="Arial"/>
          <w:i/>
          <w:sz w:val="20"/>
          <w:szCs w:val="20"/>
          <w:lang w:val="en-GB"/>
        </w:rPr>
        <w:t xml:space="preserve"> significant proportions of patients did not achieve target </w:t>
      </w:r>
      <w:r w:rsidR="005848A1">
        <w:rPr>
          <w:rFonts w:cs="Arial"/>
          <w:i/>
          <w:sz w:val="20"/>
          <w:szCs w:val="20"/>
          <w:lang w:val="en-GB"/>
        </w:rPr>
        <w:t>sUA</w:t>
      </w:r>
      <w:r w:rsidRPr="000808B5">
        <w:rPr>
          <w:rFonts w:cs="Arial"/>
          <w:sz w:val="20"/>
          <w:szCs w:val="20"/>
          <w:lang w:val="en-GB"/>
        </w:rPr>
        <w:t xml:space="preserve">”. </w:t>
      </w:r>
      <w:r w:rsidRPr="000808B5">
        <w:rPr>
          <w:rFonts w:cs="Arial"/>
          <w:sz w:val="20"/>
          <w:szCs w:val="20"/>
        </w:rPr>
        <w:t>Infatti come si può notare dalla Figura a dosaggi sia inferiori che superiori a 300 mg/die quote rilevanti di pazienti</w:t>
      </w:r>
      <w:r w:rsidR="00D871C3">
        <w:rPr>
          <w:rFonts w:cs="Arial"/>
          <w:sz w:val="20"/>
          <w:szCs w:val="20"/>
        </w:rPr>
        <w:t xml:space="preserve"> non hanno raggiunto il target </w:t>
      </w:r>
      <w:r w:rsidR="005848A1">
        <w:rPr>
          <w:rFonts w:cs="Arial"/>
          <w:sz w:val="20"/>
          <w:szCs w:val="20"/>
        </w:rPr>
        <w:t>sUA</w:t>
      </w:r>
      <w:r w:rsidRPr="000808B5">
        <w:rPr>
          <w:rFonts w:cs="Arial"/>
          <w:sz w:val="20"/>
          <w:szCs w:val="20"/>
        </w:rPr>
        <w:t>&lt;6.0</w:t>
      </w:r>
      <w:r w:rsidR="002C0B9C">
        <w:rPr>
          <w:rFonts w:cs="Arial"/>
          <w:sz w:val="20"/>
          <w:szCs w:val="20"/>
        </w:rPr>
        <w:t xml:space="preserve"> (</w:t>
      </w:r>
      <w:r w:rsidR="00563FA4">
        <w:rPr>
          <w:color w:val="0000FF"/>
          <w:sz w:val="20"/>
          <w:szCs w:val="20"/>
        </w:rPr>
        <w:t>Becker, 2015 (40)</w:t>
      </w:r>
      <w:r w:rsidR="002C0B9C">
        <w:rPr>
          <w:rFonts w:cs="Arial"/>
          <w:sz w:val="20"/>
          <w:szCs w:val="20"/>
        </w:rPr>
        <w:t>)</w:t>
      </w:r>
      <w:r w:rsidRPr="000808B5">
        <w:rPr>
          <w:rFonts w:cs="Arial"/>
          <w:sz w:val="20"/>
          <w:szCs w:val="20"/>
        </w:rPr>
        <w:t>.</w:t>
      </w:r>
    </w:p>
    <w:p w14:paraId="4051136D" w14:textId="77777777" w:rsidR="000F1539" w:rsidRPr="000808B5" w:rsidRDefault="000F1539" w:rsidP="009F1699">
      <w:pPr>
        <w:widowControl w:val="0"/>
        <w:autoSpaceDE w:val="0"/>
        <w:autoSpaceDN w:val="0"/>
        <w:adjustRightInd w:val="0"/>
        <w:spacing w:line="360" w:lineRule="auto"/>
        <w:rPr>
          <w:rFonts w:cs="Arial"/>
          <w:sz w:val="20"/>
          <w:szCs w:val="20"/>
        </w:rPr>
      </w:pPr>
    </w:p>
    <w:p w14:paraId="0983332F" w14:textId="2E8A9416" w:rsidR="000808B5" w:rsidRPr="000F1539" w:rsidRDefault="000F1539" w:rsidP="000F1539">
      <w:pPr>
        <w:pStyle w:val="Caption"/>
        <w:rPr>
          <w:rFonts w:asciiTheme="minorHAnsi" w:hAnsiTheme="minorHAnsi" w:cstheme="minorHAnsi"/>
          <w:b w:val="0"/>
          <w:lang w:val="it-IT"/>
        </w:rPr>
      </w:pPr>
      <w:bookmarkStart w:id="67" w:name="Figura14"/>
      <w:bookmarkStart w:id="68" w:name="_Toc473186909"/>
      <w:bookmarkEnd w:id="67"/>
      <w:r w:rsidRPr="000F1539">
        <w:rPr>
          <w:rFonts w:asciiTheme="minorHAnsi" w:hAnsiTheme="minorHAnsi" w:cstheme="minorHAnsi"/>
          <w:lang w:val="it-IT"/>
        </w:rPr>
        <w:t xml:space="preserve">Figura </w:t>
      </w:r>
      <w:r w:rsidRPr="000F1539">
        <w:rPr>
          <w:rFonts w:asciiTheme="minorHAnsi" w:hAnsiTheme="minorHAnsi" w:cstheme="minorHAnsi"/>
        </w:rPr>
        <w:fldChar w:fldCharType="begin"/>
      </w:r>
      <w:r w:rsidRPr="000F1539">
        <w:rPr>
          <w:rFonts w:asciiTheme="minorHAnsi" w:hAnsiTheme="minorHAnsi" w:cstheme="minorHAnsi"/>
          <w:lang w:val="it-IT"/>
        </w:rPr>
        <w:instrText xml:space="preserve"> SEQ Figura \* ARABIC </w:instrText>
      </w:r>
      <w:r w:rsidRPr="000F1539">
        <w:rPr>
          <w:rFonts w:asciiTheme="minorHAnsi" w:hAnsiTheme="minorHAnsi" w:cstheme="minorHAnsi"/>
        </w:rPr>
        <w:fldChar w:fldCharType="separate"/>
      </w:r>
      <w:r w:rsidR="00A1679C">
        <w:rPr>
          <w:rFonts w:asciiTheme="minorHAnsi" w:hAnsiTheme="minorHAnsi" w:cstheme="minorHAnsi"/>
          <w:noProof/>
          <w:lang w:val="it-IT"/>
        </w:rPr>
        <w:t>14</w:t>
      </w:r>
      <w:r w:rsidRPr="000F1539">
        <w:rPr>
          <w:rFonts w:asciiTheme="minorHAnsi" w:hAnsiTheme="minorHAnsi" w:cstheme="minorHAnsi"/>
        </w:rPr>
        <w:fldChar w:fldCharType="end"/>
      </w:r>
      <w:r w:rsidRPr="000F1539">
        <w:rPr>
          <w:rFonts w:asciiTheme="minorHAnsi" w:hAnsiTheme="minorHAnsi" w:cstheme="minorHAnsi"/>
          <w:lang w:val="it-IT"/>
        </w:rPr>
        <w:t xml:space="preserve"> - </w:t>
      </w:r>
      <w:r w:rsidR="000808B5" w:rsidRPr="000F1539">
        <w:rPr>
          <w:rFonts w:asciiTheme="minorHAnsi" w:hAnsiTheme="minorHAnsi" w:cstheme="minorHAnsi"/>
          <w:b w:val="0"/>
          <w:lang w:val="it-IT"/>
        </w:rPr>
        <w:t xml:space="preserve">Pazienti non a target </w:t>
      </w:r>
      <w:r w:rsidR="005848A1">
        <w:rPr>
          <w:rFonts w:asciiTheme="minorHAnsi" w:hAnsiTheme="minorHAnsi" w:cstheme="minorHAnsi"/>
          <w:b w:val="0"/>
          <w:lang w:val="it-IT"/>
        </w:rPr>
        <w:t>SUA</w:t>
      </w:r>
      <w:r w:rsidR="000808B5" w:rsidRPr="000F1539">
        <w:rPr>
          <w:rFonts w:asciiTheme="minorHAnsi" w:hAnsiTheme="minorHAnsi" w:cstheme="minorHAnsi"/>
          <w:b w:val="0"/>
          <w:lang w:val="it-IT"/>
        </w:rPr>
        <w:t xml:space="preserve"> &lt;6.0 mg/dl con allopurinolo – studio LASSO</w:t>
      </w:r>
      <w:r w:rsidR="00D871C3">
        <w:rPr>
          <w:rFonts w:asciiTheme="minorHAnsi" w:hAnsiTheme="minorHAnsi" w:cstheme="minorHAnsi"/>
          <w:b w:val="0"/>
          <w:lang w:val="it-IT"/>
        </w:rPr>
        <w:t xml:space="preserve"> (</w:t>
      </w:r>
      <w:r w:rsidR="00D871C3" w:rsidRPr="00D871C3">
        <w:rPr>
          <w:rFonts w:asciiTheme="minorHAnsi" w:hAnsiTheme="minorHAnsi" w:cstheme="minorHAnsi"/>
          <w:b w:val="0"/>
          <w:color w:val="0000FF"/>
          <w:lang w:val="it-IT"/>
        </w:rPr>
        <w:t>Becker, 2015</w:t>
      </w:r>
      <w:r w:rsidR="00D871C3">
        <w:rPr>
          <w:rFonts w:asciiTheme="minorHAnsi" w:hAnsiTheme="minorHAnsi" w:cstheme="minorHAnsi"/>
          <w:b w:val="0"/>
          <w:lang w:val="it-IT"/>
        </w:rPr>
        <w:t>)</w:t>
      </w:r>
      <w:bookmarkEnd w:id="68"/>
    </w:p>
    <w:p w14:paraId="094F52D1" w14:textId="5DC56B68" w:rsidR="000808B5" w:rsidRPr="000808B5" w:rsidRDefault="000808B5" w:rsidP="000808B5">
      <w:pPr>
        <w:widowControl w:val="0"/>
        <w:autoSpaceDE w:val="0"/>
        <w:autoSpaceDN w:val="0"/>
        <w:adjustRightInd w:val="0"/>
        <w:spacing w:line="360" w:lineRule="auto"/>
        <w:jc w:val="both"/>
        <w:rPr>
          <w:rFonts w:cs="Arial"/>
          <w:sz w:val="20"/>
          <w:szCs w:val="20"/>
        </w:rPr>
      </w:pPr>
      <w:r w:rsidRPr="000808B5">
        <w:rPr>
          <w:rFonts w:cs="Arial"/>
          <w:noProof/>
          <w:sz w:val="20"/>
          <w:szCs w:val="20"/>
          <w:lang w:val="en-GB" w:eastAsia="en-GB"/>
        </w:rPr>
        <w:drawing>
          <wp:inline distT="0" distB="0" distL="0" distR="0" wp14:anchorId="5AA0AACA" wp14:editId="2253E4CD">
            <wp:extent cx="5327138" cy="2964180"/>
            <wp:effectExtent l="19050" t="19050" r="26035" b="26670"/>
            <wp:docPr id="303" name="Immagin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31407" cy="2966555"/>
                    </a:xfrm>
                    <a:prstGeom prst="rect">
                      <a:avLst/>
                    </a:prstGeom>
                    <a:noFill/>
                    <a:ln w="9525">
                      <a:solidFill>
                        <a:srgbClr val="000000"/>
                      </a:solidFill>
                      <a:miter lim="800000"/>
                      <a:headEnd/>
                      <a:tailEnd/>
                    </a:ln>
                  </pic:spPr>
                </pic:pic>
              </a:graphicData>
            </a:graphic>
          </wp:inline>
        </w:drawing>
      </w:r>
    </w:p>
    <w:p w14:paraId="21ADA441" w14:textId="77777777" w:rsidR="000F1539" w:rsidRDefault="000F1539" w:rsidP="009F1699">
      <w:pPr>
        <w:widowControl w:val="0"/>
        <w:autoSpaceDE w:val="0"/>
        <w:autoSpaceDN w:val="0"/>
        <w:adjustRightInd w:val="0"/>
        <w:spacing w:line="360" w:lineRule="auto"/>
        <w:rPr>
          <w:rFonts w:cs="Arial"/>
          <w:b/>
          <w:sz w:val="20"/>
          <w:szCs w:val="20"/>
        </w:rPr>
      </w:pPr>
    </w:p>
    <w:p w14:paraId="4328CD01" w14:textId="013F2FF2" w:rsidR="000808B5" w:rsidRDefault="00FF3F67" w:rsidP="009F1699">
      <w:pPr>
        <w:widowControl w:val="0"/>
        <w:autoSpaceDE w:val="0"/>
        <w:autoSpaceDN w:val="0"/>
        <w:adjustRightInd w:val="0"/>
        <w:spacing w:line="360" w:lineRule="auto"/>
        <w:rPr>
          <w:rFonts w:cs="Arial"/>
          <w:b/>
          <w:sz w:val="20"/>
          <w:szCs w:val="20"/>
        </w:rPr>
      </w:pPr>
      <w:r>
        <w:rPr>
          <w:rFonts w:cs="Arial"/>
          <w:b/>
          <w:sz w:val="20"/>
          <w:szCs w:val="20"/>
        </w:rPr>
        <w:t xml:space="preserve">Come confermato dall’esperto Porf. </w:t>
      </w:r>
      <w:r w:rsidR="00753598">
        <w:rPr>
          <w:rFonts w:cs="Arial"/>
          <w:b/>
          <w:sz w:val="20"/>
          <w:szCs w:val="20"/>
        </w:rPr>
        <w:t>Punzi Direttore U.O.C. di Reumatologia, Università degli Studi di Padova</w:t>
      </w:r>
      <w:r>
        <w:rPr>
          <w:rFonts w:cs="Arial"/>
          <w:b/>
          <w:sz w:val="20"/>
          <w:szCs w:val="20"/>
        </w:rPr>
        <w:t xml:space="preserve"> (</w:t>
      </w:r>
      <w:hyperlink w:anchor="Allegato1" w:history="1">
        <w:r w:rsidRPr="00EC36B8">
          <w:rPr>
            <w:rStyle w:val="Hyperlink"/>
            <w:rFonts w:cs="Arial"/>
            <w:b/>
            <w:sz w:val="20"/>
            <w:szCs w:val="20"/>
          </w:rPr>
          <w:t>Allegato 1</w:t>
        </w:r>
      </w:hyperlink>
      <w:r>
        <w:rPr>
          <w:rFonts w:cs="Arial"/>
          <w:b/>
          <w:sz w:val="20"/>
          <w:szCs w:val="20"/>
        </w:rPr>
        <w:t>), e</w:t>
      </w:r>
      <w:r w:rsidR="00E54C7D">
        <w:rPr>
          <w:rFonts w:cs="Arial"/>
          <w:b/>
          <w:sz w:val="20"/>
          <w:szCs w:val="20"/>
        </w:rPr>
        <w:t>siste</w:t>
      </w:r>
      <w:r w:rsidR="000808B5" w:rsidRPr="000808B5">
        <w:rPr>
          <w:rFonts w:cs="Arial"/>
          <w:b/>
          <w:sz w:val="20"/>
          <w:szCs w:val="20"/>
        </w:rPr>
        <w:t xml:space="preserve"> quindi un importante bisogno terapeutico insoddisfatto</w:t>
      </w:r>
      <w:r w:rsidR="00D871C3">
        <w:rPr>
          <w:rFonts w:cs="Arial"/>
          <w:b/>
          <w:sz w:val="20"/>
          <w:szCs w:val="20"/>
        </w:rPr>
        <w:t xml:space="preserve"> dalle attuali terapie farmacologiche</w:t>
      </w:r>
      <w:r w:rsidR="000808B5" w:rsidRPr="000808B5">
        <w:rPr>
          <w:rFonts w:cs="Arial"/>
          <w:b/>
          <w:sz w:val="20"/>
          <w:szCs w:val="20"/>
        </w:rPr>
        <w:t xml:space="preserve">, </w:t>
      </w:r>
      <w:r w:rsidR="00E54C7D">
        <w:rPr>
          <w:rFonts w:cs="Arial"/>
          <w:b/>
          <w:sz w:val="20"/>
          <w:szCs w:val="20"/>
        </w:rPr>
        <w:t xml:space="preserve">nel trattamento dell’iperuricemia </w:t>
      </w:r>
      <w:r w:rsidR="000808B5" w:rsidRPr="000808B5">
        <w:rPr>
          <w:rFonts w:cs="Arial"/>
          <w:b/>
          <w:sz w:val="20"/>
          <w:szCs w:val="20"/>
        </w:rPr>
        <w:t xml:space="preserve">nei pazienti affetti da gotta che non riescono a raggiungere il target </w:t>
      </w:r>
      <w:r w:rsidR="005848A1">
        <w:rPr>
          <w:rFonts w:cs="Arial"/>
          <w:b/>
          <w:sz w:val="20"/>
          <w:szCs w:val="20"/>
        </w:rPr>
        <w:t>SUA</w:t>
      </w:r>
      <w:r w:rsidR="000808B5" w:rsidRPr="000808B5">
        <w:rPr>
          <w:rFonts w:cs="Arial"/>
          <w:b/>
          <w:sz w:val="20"/>
          <w:szCs w:val="20"/>
        </w:rPr>
        <w:t xml:space="preserve"> co</w:t>
      </w:r>
      <w:r w:rsidR="00D871C3">
        <w:rPr>
          <w:rFonts w:cs="Arial"/>
          <w:b/>
          <w:sz w:val="20"/>
          <w:szCs w:val="20"/>
        </w:rPr>
        <w:t>me prescritto dalle Linee Guida</w:t>
      </w:r>
      <w:r w:rsidR="000808B5" w:rsidRPr="000808B5">
        <w:rPr>
          <w:rFonts w:cs="Arial"/>
          <w:b/>
          <w:sz w:val="20"/>
          <w:szCs w:val="20"/>
        </w:rPr>
        <w:t xml:space="preserve">. </w:t>
      </w:r>
    </w:p>
    <w:p w14:paraId="695A2971" w14:textId="77777777" w:rsidR="00D33C1E" w:rsidRDefault="00D33C1E" w:rsidP="009F1699">
      <w:pPr>
        <w:widowControl w:val="0"/>
        <w:autoSpaceDE w:val="0"/>
        <w:autoSpaceDN w:val="0"/>
        <w:adjustRightInd w:val="0"/>
        <w:spacing w:line="360" w:lineRule="auto"/>
        <w:rPr>
          <w:rFonts w:cs="Arial"/>
          <w:b/>
          <w:sz w:val="20"/>
          <w:szCs w:val="20"/>
          <w:highlight w:val="yellow"/>
        </w:rPr>
      </w:pPr>
    </w:p>
    <w:p w14:paraId="3A29CB94" w14:textId="55DD5ED1" w:rsidR="00D33C1E" w:rsidRDefault="00D33C1E" w:rsidP="009F1699">
      <w:pPr>
        <w:spacing w:line="360" w:lineRule="auto"/>
        <w:rPr>
          <w:rFonts w:cs="Arial"/>
          <w:sz w:val="20"/>
          <w:szCs w:val="20"/>
        </w:rPr>
      </w:pPr>
      <w:r>
        <w:rPr>
          <w:rFonts w:cs="Arial"/>
          <w:sz w:val="20"/>
          <w:szCs w:val="20"/>
        </w:rPr>
        <w:t>Nell’ambito di quanto declinato dalle LineeGuida EULAR 2016 (</w:t>
      </w:r>
      <w:r w:rsidR="00E54BFE">
        <w:rPr>
          <w:rFonts w:cs="Arial"/>
          <w:color w:val="0000FF"/>
          <w:sz w:val="20"/>
          <w:szCs w:val="20"/>
        </w:rPr>
        <w:t>Richette, 2016 (6)</w:t>
      </w:r>
      <w:r>
        <w:rPr>
          <w:rFonts w:cs="Arial"/>
          <w:sz w:val="20"/>
          <w:szCs w:val="20"/>
        </w:rPr>
        <w:t>), l</w:t>
      </w:r>
      <w:r w:rsidRPr="007208D4">
        <w:rPr>
          <w:rFonts w:cs="Arial"/>
          <w:sz w:val="20"/>
          <w:szCs w:val="20"/>
        </w:rPr>
        <w:t xml:space="preserve">’azienda inoltre lancerà in tutta Europa, Italia compresa, nel corso del 2017 </w:t>
      </w:r>
      <w:r w:rsidRPr="007208D4">
        <w:rPr>
          <w:rFonts w:cs="Arial"/>
          <w:b/>
          <w:sz w:val="20"/>
          <w:szCs w:val="20"/>
        </w:rPr>
        <w:t>il programma a lungo termine</w:t>
      </w:r>
      <w:r w:rsidRPr="007208D4">
        <w:rPr>
          <w:rFonts w:cs="Arial"/>
          <w:sz w:val="20"/>
          <w:szCs w:val="20"/>
        </w:rPr>
        <w:t xml:space="preserve"> </w:t>
      </w:r>
      <w:r w:rsidRPr="007208D4">
        <w:rPr>
          <w:rFonts w:cs="Arial"/>
          <w:b/>
          <w:sz w:val="20"/>
          <w:szCs w:val="20"/>
        </w:rPr>
        <w:t>CHANGE GOUT</w:t>
      </w:r>
      <w:r w:rsidRPr="007208D4">
        <w:rPr>
          <w:rFonts w:cstheme="minorHAnsi"/>
          <w:b/>
          <w:sz w:val="20"/>
          <w:szCs w:val="20"/>
        </w:rPr>
        <w:t>®</w:t>
      </w:r>
      <w:r w:rsidRPr="007208D4">
        <w:rPr>
          <w:rFonts w:cs="Arial"/>
          <w:b/>
          <w:sz w:val="20"/>
          <w:szCs w:val="20"/>
        </w:rPr>
        <w:t xml:space="preserve">: </w:t>
      </w:r>
      <w:r w:rsidRPr="007208D4">
        <w:rPr>
          <w:rFonts w:cs="Arial"/>
          <w:sz w:val="20"/>
          <w:szCs w:val="20"/>
        </w:rPr>
        <w:t xml:space="preserve">si tratta di una </w:t>
      </w:r>
      <w:r w:rsidRPr="007208D4">
        <w:rPr>
          <w:rFonts w:cs="Arial"/>
          <w:i/>
          <w:sz w:val="20"/>
          <w:szCs w:val="20"/>
          <w:u w:val="single"/>
        </w:rPr>
        <w:t>iniziativa educazionale</w:t>
      </w:r>
      <w:r w:rsidRPr="007208D4">
        <w:rPr>
          <w:rFonts w:cs="Arial"/>
          <w:sz w:val="20"/>
          <w:szCs w:val="20"/>
        </w:rPr>
        <w:t xml:space="preserve"> indirizzata alla sensibilizzazione ed educazione di medici e pazienti per una gestione a 360° della gotta</w:t>
      </w:r>
      <w:r>
        <w:rPr>
          <w:rFonts w:cs="Arial"/>
          <w:sz w:val="20"/>
          <w:szCs w:val="20"/>
        </w:rPr>
        <w:t>. Le</w:t>
      </w:r>
      <w:r w:rsidRPr="007208D4">
        <w:rPr>
          <w:rFonts w:cs="Arial"/>
          <w:sz w:val="20"/>
          <w:szCs w:val="20"/>
        </w:rPr>
        <w:t xml:space="preserve"> LineeGuida EULAR 2016 infatti evidenziano quanto l’aspetto educazionale sia un fattore chiave per il successo del trattamento di questa patologia, enfatizzano la necessità di introdurre un trattamento “treat to serum target”, che è stato dimostrato essere un fattore chiave nel migliorare le manifestazioni della patologia</w:t>
      </w:r>
      <w:r w:rsidR="00F437A6">
        <w:rPr>
          <w:rFonts w:cs="Arial"/>
          <w:sz w:val="20"/>
          <w:szCs w:val="20"/>
        </w:rPr>
        <w:t xml:space="preserve"> (</w:t>
      </w:r>
      <w:r w:rsidR="0087651E">
        <w:rPr>
          <w:rFonts w:cs="Arial"/>
          <w:color w:val="0000FF"/>
          <w:sz w:val="20"/>
          <w:szCs w:val="20"/>
        </w:rPr>
        <w:t>Kiltz, 2016 (104</w:t>
      </w:r>
      <w:r w:rsidR="00F437A6" w:rsidRPr="00F437A6">
        <w:rPr>
          <w:rFonts w:cs="Arial"/>
          <w:color w:val="0000FF"/>
          <w:sz w:val="20"/>
          <w:szCs w:val="20"/>
        </w:rPr>
        <w:t>)</w:t>
      </w:r>
      <w:r w:rsidR="00F437A6">
        <w:rPr>
          <w:rFonts w:cs="Arial"/>
          <w:sz w:val="20"/>
          <w:szCs w:val="20"/>
        </w:rPr>
        <w:t>)</w:t>
      </w:r>
      <w:r w:rsidRPr="007208D4">
        <w:rPr>
          <w:rFonts w:cs="Arial"/>
          <w:sz w:val="20"/>
          <w:szCs w:val="20"/>
        </w:rPr>
        <w:t>.</w:t>
      </w:r>
    </w:p>
    <w:p w14:paraId="7073C39B" w14:textId="4255AE17" w:rsidR="00D33C1E" w:rsidRDefault="00D33C1E" w:rsidP="009F1699">
      <w:pPr>
        <w:spacing w:line="360" w:lineRule="auto"/>
        <w:rPr>
          <w:rFonts w:cs="Arial"/>
          <w:sz w:val="20"/>
          <w:szCs w:val="20"/>
        </w:rPr>
      </w:pPr>
      <w:r w:rsidRPr="007208D4">
        <w:rPr>
          <w:rFonts w:cs="Arial"/>
          <w:sz w:val="20"/>
          <w:szCs w:val="20"/>
        </w:rPr>
        <w:t>In quest’ottica si colloca quindi l’ambi</w:t>
      </w:r>
      <w:r w:rsidR="00F437A6">
        <w:rPr>
          <w:rFonts w:cs="Arial"/>
          <w:sz w:val="20"/>
          <w:szCs w:val="20"/>
        </w:rPr>
        <w:t>zi</w:t>
      </w:r>
      <w:r w:rsidRPr="007208D4">
        <w:rPr>
          <w:rFonts w:cs="Arial"/>
          <w:sz w:val="20"/>
          <w:szCs w:val="20"/>
        </w:rPr>
        <w:t>oso programma a lungo termine</w:t>
      </w:r>
      <w:r w:rsidR="003B3977">
        <w:rPr>
          <w:rFonts w:cs="Arial"/>
          <w:sz w:val="20"/>
          <w:szCs w:val="20"/>
        </w:rPr>
        <w:t xml:space="preserve"> di Gr</w:t>
      </w:r>
      <w:r w:rsidR="003B3977">
        <w:rPr>
          <w:rFonts w:cstheme="minorHAnsi"/>
          <w:sz w:val="20"/>
          <w:szCs w:val="20"/>
        </w:rPr>
        <w:t>ü</w:t>
      </w:r>
      <w:r w:rsidR="003B3977">
        <w:rPr>
          <w:rFonts w:cs="Arial"/>
          <w:sz w:val="20"/>
          <w:szCs w:val="20"/>
        </w:rPr>
        <w:t>nenthal</w:t>
      </w:r>
      <w:r w:rsidRPr="007208D4">
        <w:rPr>
          <w:rFonts w:cs="Arial"/>
          <w:sz w:val="20"/>
          <w:szCs w:val="20"/>
        </w:rPr>
        <w:t xml:space="preserve"> </w:t>
      </w:r>
      <w:r w:rsidR="003B3977">
        <w:rPr>
          <w:rFonts w:cs="Arial"/>
          <w:sz w:val="20"/>
          <w:szCs w:val="20"/>
        </w:rPr>
        <w:t>“</w:t>
      </w:r>
      <w:r w:rsidRPr="007208D4">
        <w:rPr>
          <w:rFonts w:cs="Arial"/>
          <w:sz w:val="20"/>
          <w:szCs w:val="20"/>
        </w:rPr>
        <w:t>CHANGE GOUT</w:t>
      </w:r>
      <w:r w:rsidRPr="007208D4">
        <w:rPr>
          <w:rFonts w:cstheme="minorHAnsi"/>
          <w:sz w:val="20"/>
          <w:szCs w:val="20"/>
        </w:rPr>
        <w:t>®</w:t>
      </w:r>
      <w:r w:rsidR="003B3977">
        <w:rPr>
          <w:rFonts w:cs="Arial"/>
          <w:sz w:val="20"/>
          <w:szCs w:val="20"/>
        </w:rPr>
        <w:t>“,</w:t>
      </w:r>
      <w:r w:rsidRPr="007208D4">
        <w:rPr>
          <w:rFonts w:cs="Arial"/>
          <w:sz w:val="20"/>
          <w:szCs w:val="20"/>
        </w:rPr>
        <w:t xml:space="preserve"> con lo scopo di far conoscere meglio la gotta e le modalità di gestione del paziente gottoso, che dovrà essere </w:t>
      </w:r>
      <w:r w:rsidRPr="007208D4">
        <w:rPr>
          <w:rFonts w:cs="Arial"/>
          <w:b/>
          <w:sz w:val="20"/>
          <w:szCs w:val="20"/>
        </w:rPr>
        <w:t>preso in carico globalmente</w:t>
      </w:r>
      <w:r w:rsidRPr="007208D4">
        <w:rPr>
          <w:rFonts w:cs="Arial"/>
          <w:sz w:val="20"/>
          <w:szCs w:val="20"/>
        </w:rPr>
        <w:t>, considerando tutti gli aspetti, compreso lo stile di vita e dovrà essere informato sullo scopo e sui vantaggi della terapia. Il programma è a lungo termine e verrà indirizzato sia agli operatori sanitari che ai pazienti al fine di ridurre le barriere esistenti al trattamento adeguato di questa patologia.</w:t>
      </w:r>
    </w:p>
    <w:p w14:paraId="0B060031" w14:textId="12A47B49" w:rsidR="00836F73" w:rsidRPr="00836F73" w:rsidRDefault="00836F73" w:rsidP="009F1699">
      <w:pPr>
        <w:spacing w:line="360" w:lineRule="auto"/>
        <w:rPr>
          <w:rFonts w:cs="Arial"/>
          <w:sz w:val="20"/>
          <w:szCs w:val="20"/>
        </w:rPr>
      </w:pPr>
      <w:r>
        <w:rPr>
          <w:rFonts w:cs="Arial"/>
          <w:sz w:val="20"/>
          <w:szCs w:val="20"/>
        </w:rPr>
        <w:t>L’azienda inoltre collaborerà con l</w:t>
      </w:r>
      <w:r w:rsidRPr="00836F73">
        <w:rPr>
          <w:rFonts w:cs="Arial"/>
          <w:sz w:val="20"/>
          <w:szCs w:val="20"/>
        </w:rPr>
        <w:t>’U</w:t>
      </w:r>
      <w:r>
        <w:rPr>
          <w:rFonts w:cs="Arial"/>
          <w:sz w:val="20"/>
          <w:szCs w:val="20"/>
        </w:rPr>
        <w:t xml:space="preserve">niversità degli Studi di Parma al programma di </w:t>
      </w:r>
      <w:r w:rsidRPr="00836F73">
        <w:rPr>
          <w:rFonts w:cs="Arial"/>
          <w:sz w:val="20"/>
          <w:szCs w:val="20"/>
        </w:rPr>
        <w:t>EFSA</w:t>
      </w:r>
      <w:r w:rsidR="00D71FA1">
        <w:rPr>
          <w:rFonts w:cs="Arial"/>
          <w:sz w:val="20"/>
          <w:szCs w:val="20"/>
        </w:rPr>
        <w:t xml:space="preserve"> (European Food Safety Authority)</w:t>
      </w:r>
      <w:r>
        <w:rPr>
          <w:rFonts w:cs="Arial"/>
          <w:sz w:val="20"/>
          <w:szCs w:val="20"/>
        </w:rPr>
        <w:t xml:space="preserve"> “</w:t>
      </w:r>
      <w:r w:rsidRPr="00836F73">
        <w:rPr>
          <w:rFonts w:cs="Arial"/>
          <w:b/>
          <w:sz w:val="20"/>
          <w:szCs w:val="20"/>
        </w:rPr>
        <w:t>Multidisciplinary patient care in the elderly: personalization of pain therapy and nutrition, based on epigenetic biomarkers (PANE)</w:t>
      </w:r>
      <w:r>
        <w:rPr>
          <w:rFonts w:cs="Arial"/>
          <w:b/>
          <w:sz w:val="20"/>
          <w:szCs w:val="20"/>
        </w:rPr>
        <w:t xml:space="preserve">”, </w:t>
      </w:r>
      <w:r w:rsidRPr="00836F73">
        <w:rPr>
          <w:rFonts w:cs="Arial"/>
          <w:sz w:val="20"/>
          <w:szCs w:val="20"/>
        </w:rPr>
        <w:t xml:space="preserve">progetto focalizzato sul dolore e sulla nutrizione nel paziente anziano. </w:t>
      </w:r>
      <w:r>
        <w:rPr>
          <w:rFonts w:cs="Arial"/>
          <w:sz w:val="20"/>
          <w:szCs w:val="20"/>
        </w:rPr>
        <w:t>Infatti u</w:t>
      </w:r>
      <w:r w:rsidRPr="00836F73">
        <w:rPr>
          <w:rFonts w:cs="Arial"/>
          <w:sz w:val="20"/>
          <w:szCs w:val="20"/>
        </w:rPr>
        <w:t xml:space="preserve">na corretta alimentazione risulta fondamentale non solo per particolari malattie come per esempio la gotta, ma anche in molte patologie frequentemente presenti nella popolaziona anziana come l’osteoartrosi e la lombalgia. L’obiettivo primario </w:t>
      </w:r>
      <w:r>
        <w:rPr>
          <w:rFonts w:cs="Arial"/>
          <w:sz w:val="20"/>
          <w:szCs w:val="20"/>
        </w:rPr>
        <w:t xml:space="preserve">del progetto </w:t>
      </w:r>
      <w:r w:rsidRPr="00836F73">
        <w:rPr>
          <w:rFonts w:cs="Arial"/>
          <w:sz w:val="20"/>
          <w:szCs w:val="20"/>
        </w:rPr>
        <w:t>consiste nel gestire il dolore attraverso un approccio multidisciplinare, analizzando sia la fisiopatologia del dolore sia lo stile di vita dei pazienti. Piani nutrizionali personalizzati e appropriati nutraceutici potranno ottimizzare la qualità della vita dei pazienti.</w:t>
      </w:r>
    </w:p>
    <w:p w14:paraId="7FA31672" w14:textId="1D831DAB" w:rsidR="00F8440F" w:rsidRPr="000F1539" w:rsidRDefault="00F8440F">
      <w:pPr>
        <w:rPr>
          <w:rFonts w:ascii="Tahoma" w:eastAsia="Times New Roman" w:hAnsi="Tahoma" w:cs="Arial"/>
          <w:sz w:val="16"/>
          <w:szCs w:val="16"/>
          <w:lang w:eastAsia="it-IT"/>
        </w:rPr>
      </w:pPr>
    </w:p>
    <w:p w14:paraId="2EA10468" w14:textId="646C363E" w:rsidR="00AA3386" w:rsidRPr="00E21542" w:rsidRDefault="00E21542" w:rsidP="00E21542">
      <w:pPr>
        <w:pStyle w:val="Heading2"/>
        <w:jc w:val="left"/>
        <w:rPr>
          <w:rFonts w:asciiTheme="minorHAnsi" w:hAnsiTheme="minorHAnsi" w:cstheme="minorHAnsi"/>
          <w:i w:val="0"/>
          <w:sz w:val="20"/>
          <w:u w:val="single"/>
        </w:rPr>
      </w:pPr>
      <w:bookmarkStart w:id="69" w:name="Par4_3"/>
      <w:bookmarkStart w:id="70" w:name="_Toc473184557"/>
      <w:bookmarkEnd w:id="69"/>
      <w:r w:rsidRPr="00E21542">
        <w:rPr>
          <w:rFonts w:asciiTheme="minorHAnsi" w:hAnsiTheme="minorHAnsi" w:cstheme="minorHAnsi"/>
          <w:i w:val="0"/>
          <w:sz w:val="20"/>
        </w:rPr>
        <w:t xml:space="preserve">4.3 </w:t>
      </w:r>
      <w:r w:rsidR="00AA3386" w:rsidRPr="00E21542">
        <w:rPr>
          <w:rFonts w:asciiTheme="minorHAnsi" w:hAnsiTheme="minorHAnsi" w:cstheme="minorHAnsi"/>
          <w:i w:val="0"/>
          <w:sz w:val="20"/>
          <w:u w:val="single"/>
        </w:rPr>
        <w:t>Tipo di azione del farmaco sulla condizione morbosa</w:t>
      </w:r>
      <w:bookmarkEnd w:id="70"/>
    </w:p>
    <w:p w14:paraId="757183AB" w14:textId="77777777" w:rsidR="001A0C27" w:rsidRPr="003B4442" w:rsidRDefault="001A0C27" w:rsidP="001A0C27">
      <w:pPr>
        <w:pStyle w:val="NoSpacing"/>
        <w:rPr>
          <w:color w:val="A6A6A6"/>
        </w:rPr>
      </w:pPr>
      <w:r w:rsidRPr="003B4442">
        <w:rPr>
          <w:color w:val="A6A6A6"/>
        </w:rPr>
        <w:t xml:space="preserve">4.3a </w:t>
      </w:r>
      <w:r w:rsidRPr="003B4442">
        <w:rPr>
          <w:color w:val="A6A6A6"/>
        </w:rPr>
        <w:tab/>
        <w:t>eziologica</w:t>
      </w:r>
    </w:p>
    <w:p w14:paraId="1ED528CA" w14:textId="77777777" w:rsidR="001A0C27" w:rsidRPr="003B4442" w:rsidRDefault="001A0C27" w:rsidP="001A0C27">
      <w:pPr>
        <w:pStyle w:val="NoSpacing"/>
        <w:rPr>
          <w:b/>
        </w:rPr>
      </w:pPr>
      <w:r w:rsidRPr="003B4442">
        <w:rPr>
          <w:b/>
        </w:rPr>
        <w:t xml:space="preserve">4.3b </w:t>
      </w:r>
      <w:r w:rsidRPr="003B4442">
        <w:rPr>
          <w:b/>
        </w:rPr>
        <w:tab/>
        <w:t>patogenetica/fisiopatologica</w:t>
      </w:r>
    </w:p>
    <w:p w14:paraId="728A95FC" w14:textId="77777777" w:rsidR="001A0C27" w:rsidRPr="003B4442" w:rsidRDefault="001A0C27" w:rsidP="001A0C27">
      <w:pPr>
        <w:pStyle w:val="NoSpacing"/>
        <w:rPr>
          <w:color w:val="A6A6A6"/>
        </w:rPr>
      </w:pPr>
      <w:r w:rsidRPr="003B4442">
        <w:rPr>
          <w:color w:val="A6A6A6"/>
        </w:rPr>
        <w:t xml:space="preserve">4.3c </w:t>
      </w:r>
      <w:r w:rsidRPr="003B4442">
        <w:rPr>
          <w:color w:val="A6A6A6"/>
        </w:rPr>
        <w:tab/>
        <w:t>sintomatica</w:t>
      </w:r>
    </w:p>
    <w:p w14:paraId="6A1F9BC8" w14:textId="77777777" w:rsidR="001A0C27" w:rsidRDefault="001A0C27" w:rsidP="00586871">
      <w:pPr>
        <w:pStyle w:val="BodyTextIndent2"/>
        <w:ind w:left="0"/>
        <w:jc w:val="both"/>
        <w:rPr>
          <w:rFonts w:asciiTheme="minorHAnsi" w:hAnsiTheme="minorHAnsi" w:cs="Arial"/>
          <w:b/>
          <w:szCs w:val="20"/>
          <w:u w:val="single"/>
        </w:rPr>
      </w:pPr>
    </w:p>
    <w:p w14:paraId="02ACF9ED" w14:textId="107E2515" w:rsidR="00C96441" w:rsidRDefault="00786DEB" w:rsidP="00EE6F19">
      <w:pPr>
        <w:widowControl w:val="0"/>
        <w:autoSpaceDE w:val="0"/>
        <w:autoSpaceDN w:val="0"/>
        <w:adjustRightInd w:val="0"/>
        <w:spacing w:line="360" w:lineRule="auto"/>
        <w:rPr>
          <w:sz w:val="20"/>
          <w:szCs w:val="20"/>
        </w:rPr>
      </w:pPr>
      <w:r w:rsidRPr="00786DEB">
        <w:rPr>
          <w:rFonts w:cs="Arial"/>
          <w:sz w:val="20"/>
          <w:szCs w:val="20"/>
        </w:rPr>
        <w:t>L’iperuricemia è nella maggior parte dei casi (80-90%) causata da un’ inefficiente escrezione renale di acido urico (</w:t>
      </w:r>
      <w:r w:rsidRPr="00786DEB">
        <w:rPr>
          <w:rFonts w:cs="Arial"/>
          <w:color w:val="0000FF"/>
          <w:sz w:val="20"/>
          <w:szCs w:val="20"/>
        </w:rPr>
        <w:t>Burns, 201</w:t>
      </w:r>
      <w:r w:rsidR="005F4295">
        <w:rPr>
          <w:rFonts w:cs="Arial"/>
          <w:color w:val="0000FF"/>
          <w:sz w:val="20"/>
          <w:szCs w:val="20"/>
        </w:rPr>
        <w:t>3</w:t>
      </w:r>
      <w:r w:rsidR="0012608E">
        <w:rPr>
          <w:rFonts w:cs="Arial"/>
          <w:color w:val="0000FF"/>
          <w:sz w:val="20"/>
          <w:szCs w:val="20"/>
        </w:rPr>
        <w:t xml:space="preserve"> (</w:t>
      </w:r>
      <w:r w:rsidR="00FA3A90">
        <w:rPr>
          <w:rFonts w:cs="Arial"/>
          <w:color w:val="0000FF"/>
          <w:sz w:val="20"/>
          <w:szCs w:val="20"/>
        </w:rPr>
        <w:t>8</w:t>
      </w:r>
      <w:r w:rsidR="0012608E">
        <w:rPr>
          <w:rFonts w:cs="Arial"/>
          <w:color w:val="0000FF"/>
          <w:sz w:val="20"/>
          <w:szCs w:val="20"/>
        </w:rPr>
        <w:t>)</w:t>
      </w:r>
      <w:r w:rsidRPr="00786DEB">
        <w:rPr>
          <w:rFonts w:cs="Arial"/>
          <w:color w:val="0000FF"/>
          <w:sz w:val="20"/>
          <w:szCs w:val="20"/>
        </w:rPr>
        <w:t xml:space="preserve">; </w:t>
      </w:r>
      <w:r w:rsidR="0083674F">
        <w:rPr>
          <w:rFonts w:cs="Arial"/>
          <w:color w:val="0000FF"/>
          <w:sz w:val="20"/>
          <w:szCs w:val="20"/>
        </w:rPr>
        <w:t>Zhu, 2011 (33)</w:t>
      </w:r>
      <w:r w:rsidR="00B25E19">
        <w:rPr>
          <w:rFonts w:cs="Arial"/>
          <w:color w:val="0000FF"/>
          <w:sz w:val="20"/>
          <w:szCs w:val="20"/>
        </w:rPr>
        <w:t>;</w:t>
      </w:r>
      <w:r w:rsidR="008C6668">
        <w:rPr>
          <w:rFonts w:cs="Arial"/>
          <w:color w:val="0000FF"/>
          <w:sz w:val="20"/>
          <w:szCs w:val="20"/>
        </w:rPr>
        <w:t xml:space="preserve"> </w:t>
      </w:r>
      <w:r w:rsidR="0083674F">
        <w:rPr>
          <w:rFonts w:cs="Arial"/>
          <w:color w:val="0000FF"/>
          <w:sz w:val="20"/>
          <w:szCs w:val="20"/>
        </w:rPr>
        <w:t>Richette, 2010 (34)</w:t>
      </w:r>
      <w:r w:rsidR="00B25E19">
        <w:rPr>
          <w:rFonts w:cs="Arial"/>
          <w:color w:val="0000FF"/>
          <w:sz w:val="20"/>
          <w:szCs w:val="20"/>
        </w:rPr>
        <w:t>; Boss, 1979</w:t>
      </w:r>
      <w:r w:rsidR="008C6668">
        <w:rPr>
          <w:rFonts w:cs="Arial"/>
          <w:color w:val="0000FF"/>
          <w:sz w:val="20"/>
          <w:szCs w:val="20"/>
        </w:rPr>
        <w:t xml:space="preserve"> (</w:t>
      </w:r>
      <w:r w:rsidR="00FA3A90">
        <w:rPr>
          <w:rFonts w:cs="Arial"/>
          <w:color w:val="0000FF"/>
          <w:sz w:val="20"/>
          <w:szCs w:val="20"/>
        </w:rPr>
        <w:t>35</w:t>
      </w:r>
      <w:r w:rsidR="008C6668">
        <w:rPr>
          <w:rFonts w:cs="Arial"/>
          <w:color w:val="0000FF"/>
          <w:sz w:val="20"/>
          <w:szCs w:val="20"/>
        </w:rPr>
        <w:t>)</w:t>
      </w:r>
      <w:r w:rsidRPr="00786DEB">
        <w:rPr>
          <w:rFonts w:cs="Arial"/>
          <w:sz w:val="20"/>
          <w:szCs w:val="20"/>
        </w:rPr>
        <w:t>).</w:t>
      </w:r>
    </w:p>
    <w:p w14:paraId="628F506D" w14:textId="26560BA0" w:rsidR="001A0C27" w:rsidRPr="001A0C27" w:rsidRDefault="001A0C27" w:rsidP="00EE6F19">
      <w:pPr>
        <w:widowControl w:val="0"/>
        <w:autoSpaceDE w:val="0"/>
        <w:autoSpaceDN w:val="0"/>
        <w:adjustRightInd w:val="0"/>
        <w:spacing w:line="360" w:lineRule="auto"/>
        <w:rPr>
          <w:rFonts w:cs="Arial"/>
          <w:sz w:val="20"/>
          <w:szCs w:val="20"/>
        </w:rPr>
      </w:pPr>
      <w:r w:rsidRPr="001A0C27">
        <w:rPr>
          <w:rFonts w:cs="Arial"/>
          <w:sz w:val="20"/>
          <w:szCs w:val="20"/>
        </w:rPr>
        <w:t xml:space="preserve">Gli inibitori della xantina-ossidasi (XOI), come allopurinolo e febuxostat agiscono </w:t>
      </w:r>
      <w:r w:rsidRPr="0037617B">
        <w:rPr>
          <w:rFonts w:cs="Arial"/>
          <w:sz w:val="20"/>
          <w:szCs w:val="20"/>
        </w:rPr>
        <w:t xml:space="preserve">diminuendo la produzione di acido urico; la WHO li ha inseriti nella classe terapeutica M04AA </w:t>
      </w:r>
      <w:r w:rsidRPr="0037617B">
        <w:rPr>
          <w:rFonts w:cs="Arial"/>
          <w:i/>
          <w:sz w:val="20"/>
          <w:szCs w:val="20"/>
        </w:rPr>
        <w:t>Preparations inhi</w:t>
      </w:r>
      <w:r w:rsidRPr="001A0C27">
        <w:rPr>
          <w:rFonts w:cs="Arial"/>
          <w:i/>
          <w:sz w:val="20"/>
          <w:szCs w:val="20"/>
        </w:rPr>
        <w:t>biting uric acid production</w:t>
      </w:r>
      <w:r w:rsidRPr="001A0C27">
        <w:rPr>
          <w:rFonts w:cs="Arial"/>
          <w:sz w:val="20"/>
          <w:szCs w:val="20"/>
        </w:rPr>
        <w:t xml:space="preserve"> </w:t>
      </w:r>
      <w:r>
        <w:rPr>
          <w:rFonts w:cs="Arial"/>
          <w:sz w:val="20"/>
          <w:szCs w:val="20"/>
        </w:rPr>
        <w:t>(</w:t>
      </w:r>
      <w:r w:rsidRPr="001A0C27">
        <w:rPr>
          <w:rFonts w:cs="Arial"/>
          <w:color w:val="0000FF"/>
          <w:sz w:val="20"/>
          <w:szCs w:val="20"/>
        </w:rPr>
        <w:t>www.whocc.no</w:t>
      </w:r>
      <w:r>
        <w:rPr>
          <w:rFonts w:cs="Arial"/>
          <w:sz w:val="20"/>
          <w:szCs w:val="20"/>
        </w:rPr>
        <w:t>)</w:t>
      </w:r>
      <w:r w:rsidRPr="001A0C27">
        <w:rPr>
          <w:rFonts w:cs="Arial"/>
          <w:sz w:val="20"/>
          <w:szCs w:val="20"/>
        </w:rPr>
        <w:t xml:space="preserve">. </w:t>
      </w:r>
    </w:p>
    <w:p w14:paraId="2F0D5637" w14:textId="218DB5C9" w:rsidR="001A0C27" w:rsidRPr="001A0C27" w:rsidRDefault="001A0C27" w:rsidP="00EE6F19">
      <w:pPr>
        <w:widowControl w:val="0"/>
        <w:autoSpaceDE w:val="0"/>
        <w:autoSpaceDN w:val="0"/>
        <w:adjustRightInd w:val="0"/>
        <w:spacing w:line="360" w:lineRule="auto"/>
        <w:rPr>
          <w:rFonts w:cs="Arial"/>
          <w:sz w:val="20"/>
          <w:szCs w:val="20"/>
        </w:rPr>
      </w:pPr>
      <w:r w:rsidRPr="001A0C27">
        <w:rPr>
          <w:rFonts w:cs="Arial"/>
          <w:sz w:val="20"/>
          <w:szCs w:val="20"/>
        </w:rPr>
        <w:t xml:space="preserve">La WHO ha invece inserito lesinurad nella classe terapeutica M04AB </w:t>
      </w:r>
      <w:r w:rsidRPr="001A0C27">
        <w:rPr>
          <w:rFonts w:cs="Arial"/>
          <w:i/>
          <w:sz w:val="20"/>
          <w:szCs w:val="20"/>
        </w:rPr>
        <w:t>Preparations increasing uric acid excretion</w:t>
      </w:r>
      <w:r w:rsidRPr="001A0C27">
        <w:rPr>
          <w:rFonts w:cs="Arial"/>
          <w:sz w:val="20"/>
          <w:szCs w:val="20"/>
        </w:rPr>
        <w:t xml:space="preserve"> </w:t>
      </w:r>
      <w:r>
        <w:rPr>
          <w:rFonts w:cs="Arial"/>
          <w:sz w:val="20"/>
          <w:szCs w:val="20"/>
        </w:rPr>
        <w:t>(</w:t>
      </w:r>
      <w:r w:rsidRPr="001A0C27">
        <w:rPr>
          <w:rFonts w:cs="Arial"/>
          <w:color w:val="0000FF"/>
          <w:sz w:val="20"/>
          <w:szCs w:val="20"/>
        </w:rPr>
        <w:t>www.whocc.no</w:t>
      </w:r>
      <w:r>
        <w:rPr>
          <w:rFonts w:cs="Arial"/>
          <w:sz w:val="20"/>
          <w:szCs w:val="20"/>
        </w:rPr>
        <w:t>),</w:t>
      </w:r>
      <w:r w:rsidRPr="001A0C27">
        <w:rPr>
          <w:rFonts w:cs="Arial"/>
          <w:sz w:val="20"/>
          <w:szCs w:val="20"/>
        </w:rPr>
        <w:t xml:space="preserve"> perché lesinurad ha un meccanismo d’azione </w:t>
      </w:r>
      <w:r w:rsidRPr="001A0C27">
        <w:rPr>
          <w:rFonts w:cs="Arial"/>
          <w:b/>
          <w:sz w:val="20"/>
          <w:szCs w:val="20"/>
        </w:rPr>
        <w:t>URICOSURICO</w:t>
      </w:r>
      <w:r w:rsidRPr="001A0C27">
        <w:rPr>
          <w:rFonts w:cs="Arial"/>
          <w:sz w:val="20"/>
          <w:szCs w:val="20"/>
        </w:rPr>
        <w:t xml:space="preserve">, ovvero è un </w:t>
      </w:r>
      <w:r w:rsidRPr="001A0C27">
        <w:rPr>
          <w:rFonts w:cs="Arial"/>
          <w:b/>
          <w:sz w:val="20"/>
          <w:szCs w:val="20"/>
        </w:rPr>
        <w:t>inibitore selettivo del riassorbimento dell'acido urico</w:t>
      </w:r>
      <w:r w:rsidRPr="001A0C27">
        <w:rPr>
          <w:rFonts w:cs="Arial"/>
          <w:b/>
          <w:sz w:val="20"/>
          <w:szCs w:val="20"/>
          <w:vertAlign w:val="superscript"/>
        </w:rPr>
        <w:footnoteReference w:id="3"/>
      </w:r>
      <w:r w:rsidRPr="001A0C27">
        <w:rPr>
          <w:rFonts w:cs="Arial"/>
          <w:b/>
          <w:sz w:val="20"/>
          <w:szCs w:val="20"/>
        </w:rPr>
        <w:t>,</w:t>
      </w:r>
      <w:r w:rsidRPr="001A0C27">
        <w:rPr>
          <w:rFonts w:cs="Arial"/>
          <w:sz w:val="20"/>
          <w:szCs w:val="20"/>
        </w:rPr>
        <w:t xml:space="preserve"> inibendo i trasportatori di acido urico URAT1</w:t>
      </w:r>
      <w:r w:rsidRPr="001A0C27">
        <w:rPr>
          <w:rFonts w:cs="Arial"/>
          <w:sz w:val="20"/>
          <w:szCs w:val="20"/>
          <w:vertAlign w:val="superscript"/>
        </w:rPr>
        <w:footnoteReference w:id="4"/>
      </w:r>
      <w:r w:rsidRPr="001A0C27">
        <w:rPr>
          <w:rFonts w:cs="Arial"/>
          <w:sz w:val="20"/>
          <w:szCs w:val="20"/>
        </w:rPr>
        <w:t xml:space="preserve"> e OAT4</w:t>
      </w:r>
      <w:r w:rsidRPr="001A0C27">
        <w:rPr>
          <w:rFonts w:cs="Arial"/>
          <w:sz w:val="20"/>
          <w:szCs w:val="20"/>
          <w:vertAlign w:val="superscript"/>
        </w:rPr>
        <w:footnoteReference w:id="5"/>
      </w:r>
      <w:r w:rsidRPr="001A0C27">
        <w:rPr>
          <w:rFonts w:cs="Arial"/>
          <w:sz w:val="20"/>
          <w:szCs w:val="20"/>
        </w:rPr>
        <w:t xml:space="preserve"> a livello dei tubuli prossimali dei reni</w:t>
      </w:r>
      <w:r>
        <w:rPr>
          <w:rFonts w:cs="Arial"/>
          <w:sz w:val="20"/>
          <w:szCs w:val="20"/>
        </w:rPr>
        <w:t xml:space="preserve"> (</w:t>
      </w:r>
      <w:r w:rsidR="00E42F17">
        <w:rPr>
          <w:color w:val="0000FF"/>
          <w:sz w:val="20"/>
          <w:szCs w:val="20"/>
        </w:rPr>
        <w:t xml:space="preserve">Miner, 2016 (4); </w:t>
      </w:r>
      <w:r w:rsidR="00563FA4">
        <w:rPr>
          <w:rFonts w:cs="Arial"/>
          <w:color w:val="0000FF"/>
          <w:sz w:val="20"/>
          <w:szCs w:val="20"/>
        </w:rPr>
        <w:t>EPAR, 2015 (42)</w:t>
      </w:r>
      <w:r w:rsidRPr="001A0C27">
        <w:rPr>
          <w:rFonts w:cs="Arial"/>
          <w:sz w:val="20"/>
          <w:szCs w:val="20"/>
        </w:rPr>
        <w:t xml:space="preserve">). </w:t>
      </w:r>
    </w:p>
    <w:p w14:paraId="2DB1560C" w14:textId="43DBF755" w:rsidR="001A0C27" w:rsidRPr="001A0C27" w:rsidRDefault="001A0C27" w:rsidP="00EE6F19">
      <w:pPr>
        <w:widowControl w:val="0"/>
        <w:autoSpaceDE w:val="0"/>
        <w:autoSpaceDN w:val="0"/>
        <w:adjustRightInd w:val="0"/>
        <w:spacing w:line="360" w:lineRule="auto"/>
        <w:rPr>
          <w:rFonts w:cs="Arial"/>
          <w:sz w:val="20"/>
          <w:szCs w:val="20"/>
        </w:rPr>
      </w:pPr>
      <w:r w:rsidRPr="001A0C27">
        <w:rPr>
          <w:rFonts w:cs="Arial"/>
          <w:sz w:val="20"/>
          <w:szCs w:val="20"/>
        </w:rPr>
        <w:t xml:space="preserve">URAT1 svolge un importante ruolo nel riassorbimento dell'acido urico e nei processi di omeostasi; si ritiene che sia responsabile per la maggior parte del riassorbimento </w:t>
      </w:r>
      <w:r w:rsidR="00430EEE">
        <w:rPr>
          <w:rFonts w:cs="Arial"/>
          <w:sz w:val="20"/>
          <w:szCs w:val="20"/>
        </w:rPr>
        <w:t xml:space="preserve">plasmatico </w:t>
      </w:r>
      <w:r w:rsidRPr="001A0C27">
        <w:rPr>
          <w:rFonts w:cs="Arial"/>
          <w:sz w:val="20"/>
          <w:szCs w:val="20"/>
        </w:rPr>
        <w:t>dell’acido urico filtrato da parte dei tubuli renali</w:t>
      </w:r>
      <w:r w:rsidR="00D871C3">
        <w:rPr>
          <w:rFonts w:cs="Arial"/>
          <w:sz w:val="20"/>
          <w:szCs w:val="20"/>
        </w:rPr>
        <w:t xml:space="preserve"> (</w:t>
      </w:r>
      <w:r w:rsidR="0087651E">
        <w:rPr>
          <w:rFonts w:cs="Arial"/>
          <w:color w:val="0000FF"/>
          <w:sz w:val="20"/>
          <w:szCs w:val="20"/>
        </w:rPr>
        <w:t>Crittenden, 2011 (105</w:t>
      </w:r>
      <w:r w:rsidR="00F77D26">
        <w:rPr>
          <w:rFonts w:cs="Arial"/>
          <w:color w:val="0000FF"/>
          <w:sz w:val="20"/>
          <w:szCs w:val="20"/>
        </w:rPr>
        <w:t>)</w:t>
      </w:r>
      <w:r w:rsidR="00D871C3" w:rsidRPr="00D871C3">
        <w:rPr>
          <w:rFonts w:cs="Arial"/>
          <w:color w:val="0000FF"/>
          <w:sz w:val="20"/>
          <w:szCs w:val="20"/>
        </w:rPr>
        <w:t xml:space="preserve">; </w:t>
      </w:r>
      <w:r w:rsidR="0087651E">
        <w:rPr>
          <w:rFonts w:cs="Arial"/>
          <w:color w:val="0000FF"/>
          <w:sz w:val="20"/>
          <w:szCs w:val="20"/>
        </w:rPr>
        <w:t>Enomoto, 2005 (106</w:t>
      </w:r>
      <w:r w:rsidR="00F77D26">
        <w:rPr>
          <w:rFonts w:cs="Arial"/>
          <w:color w:val="0000FF"/>
          <w:sz w:val="20"/>
          <w:szCs w:val="20"/>
        </w:rPr>
        <w:t>)</w:t>
      </w:r>
      <w:r w:rsidR="00D871C3">
        <w:rPr>
          <w:rFonts w:cs="Arial"/>
          <w:sz w:val="20"/>
          <w:szCs w:val="20"/>
        </w:rPr>
        <w:t>)</w:t>
      </w:r>
      <w:r w:rsidRPr="001A0C27">
        <w:rPr>
          <w:rFonts w:cs="Arial"/>
          <w:sz w:val="20"/>
          <w:szCs w:val="20"/>
        </w:rPr>
        <w:t xml:space="preserve">; inibendo URAT1, lesinurad aumenta l’escrezione renale </w:t>
      </w:r>
      <w:r w:rsidR="00D871C3">
        <w:rPr>
          <w:rFonts w:cs="Arial"/>
          <w:sz w:val="20"/>
          <w:szCs w:val="20"/>
        </w:rPr>
        <w:t xml:space="preserve">di acido urico </w:t>
      </w:r>
      <w:r w:rsidRPr="001A0C27">
        <w:rPr>
          <w:rFonts w:cs="Arial"/>
          <w:sz w:val="20"/>
          <w:szCs w:val="20"/>
        </w:rPr>
        <w:t>e</w:t>
      </w:r>
      <w:r w:rsidR="00D871C3">
        <w:rPr>
          <w:rFonts w:cs="Arial"/>
          <w:sz w:val="20"/>
          <w:szCs w:val="20"/>
        </w:rPr>
        <w:t xml:space="preserve"> diminuisce in tal modo i livelli sierici di acido urico</w:t>
      </w:r>
      <w:r w:rsidRPr="001A0C27">
        <w:rPr>
          <w:rFonts w:cs="Arial"/>
          <w:sz w:val="20"/>
          <w:szCs w:val="20"/>
        </w:rPr>
        <w:t xml:space="preserve">. </w:t>
      </w:r>
    </w:p>
    <w:p w14:paraId="073ECA94" w14:textId="708F9862" w:rsidR="001A0C27" w:rsidRPr="001A0C27" w:rsidRDefault="001A0C27" w:rsidP="00EE6F19">
      <w:pPr>
        <w:widowControl w:val="0"/>
        <w:autoSpaceDE w:val="0"/>
        <w:autoSpaceDN w:val="0"/>
        <w:adjustRightInd w:val="0"/>
        <w:spacing w:line="360" w:lineRule="auto"/>
        <w:rPr>
          <w:rFonts w:cs="Arial"/>
          <w:b/>
          <w:sz w:val="20"/>
          <w:szCs w:val="20"/>
        </w:rPr>
      </w:pPr>
      <w:r w:rsidRPr="001A0C27">
        <w:rPr>
          <w:rFonts w:cs="Arial"/>
          <w:sz w:val="20"/>
          <w:szCs w:val="20"/>
        </w:rPr>
        <w:t>Inoltre lesinurad inibisce OAT4 che si ritiene coinvolto nell’iperuricemia secondaria all’uso dei diuretici tiazidici; come di recente riportato “</w:t>
      </w:r>
      <w:r w:rsidRPr="001A0C27">
        <w:rPr>
          <w:rFonts w:cs="Arial"/>
          <w:i/>
          <w:sz w:val="20"/>
          <w:szCs w:val="20"/>
        </w:rPr>
        <w:t xml:space="preserve">la </w:t>
      </w:r>
      <w:r w:rsidR="005F4295">
        <w:rPr>
          <w:rFonts w:cs="Arial"/>
          <w:i/>
          <w:sz w:val="20"/>
          <w:szCs w:val="20"/>
        </w:rPr>
        <w:t>sua</w:t>
      </w:r>
      <w:r w:rsidRPr="001A0C27">
        <w:rPr>
          <w:rFonts w:cs="Arial"/>
          <w:i/>
          <w:sz w:val="20"/>
          <w:szCs w:val="20"/>
        </w:rPr>
        <w:t xml:space="preserve"> capacità di inibire OAT4 può contrastare l’iperuricemia indotta dai diuretici. E i trial clinici hanno confermato che lesinurad riduce in modo adeguato i livelli </w:t>
      </w:r>
      <w:r w:rsidR="006148F5">
        <w:rPr>
          <w:rFonts w:cs="Arial"/>
          <w:i/>
          <w:sz w:val="20"/>
          <w:szCs w:val="20"/>
        </w:rPr>
        <w:t>s</w:t>
      </w:r>
      <w:r w:rsidR="005848A1">
        <w:rPr>
          <w:rFonts w:cs="Arial"/>
          <w:i/>
          <w:sz w:val="20"/>
          <w:szCs w:val="20"/>
        </w:rPr>
        <w:t>UA</w:t>
      </w:r>
      <w:r w:rsidRPr="001A0C27">
        <w:rPr>
          <w:rFonts w:cs="Arial"/>
          <w:i/>
          <w:sz w:val="20"/>
          <w:szCs w:val="20"/>
        </w:rPr>
        <w:t xml:space="preserve"> in co-somministrazione con i diuretici</w:t>
      </w:r>
      <w:r w:rsidRPr="001A0C27">
        <w:rPr>
          <w:rFonts w:cs="Arial"/>
          <w:sz w:val="20"/>
          <w:szCs w:val="20"/>
        </w:rPr>
        <w:t>”</w:t>
      </w:r>
      <w:r w:rsidR="00C96441">
        <w:rPr>
          <w:rFonts w:cs="Arial"/>
          <w:sz w:val="20"/>
          <w:szCs w:val="20"/>
        </w:rPr>
        <w:t xml:space="preserve"> (</w:t>
      </w:r>
      <w:r w:rsidR="00E54BFE">
        <w:rPr>
          <w:color w:val="0000FF"/>
          <w:sz w:val="20"/>
          <w:szCs w:val="20"/>
        </w:rPr>
        <w:t>Miner, 2016 (4)</w:t>
      </w:r>
      <w:r w:rsidR="00C96441">
        <w:rPr>
          <w:rFonts w:cs="Arial"/>
          <w:sz w:val="20"/>
          <w:szCs w:val="20"/>
        </w:rPr>
        <w:t>).</w:t>
      </w:r>
    </w:p>
    <w:p w14:paraId="0EEE366F" w14:textId="78C29BB4" w:rsidR="001A0C27" w:rsidRDefault="001A0C27" w:rsidP="00EE6F19">
      <w:pPr>
        <w:widowControl w:val="0"/>
        <w:autoSpaceDE w:val="0"/>
        <w:autoSpaceDN w:val="0"/>
        <w:adjustRightInd w:val="0"/>
        <w:spacing w:line="360" w:lineRule="auto"/>
        <w:rPr>
          <w:rFonts w:cs="Arial"/>
          <w:sz w:val="20"/>
          <w:szCs w:val="20"/>
        </w:rPr>
      </w:pPr>
      <w:r w:rsidRPr="001A0C27">
        <w:rPr>
          <w:rFonts w:cs="Arial"/>
          <w:sz w:val="20"/>
          <w:szCs w:val="20"/>
        </w:rPr>
        <w:t xml:space="preserve">L’inibizione da parte di lesinurad dei due trasportatori determina un </w:t>
      </w:r>
      <w:r w:rsidRPr="001A0C27">
        <w:rPr>
          <w:rFonts w:cs="Arial"/>
          <w:b/>
          <w:sz w:val="20"/>
          <w:szCs w:val="20"/>
        </w:rPr>
        <w:t>ridotto riassorbimento di acido urico</w:t>
      </w:r>
      <w:r w:rsidRPr="001A0C27">
        <w:rPr>
          <w:rFonts w:cs="Arial"/>
          <w:sz w:val="20"/>
          <w:szCs w:val="20"/>
        </w:rPr>
        <w:t xml:space="preserve"> </w:t>
      </w:r>
      <w:r w:rsidR="00430EEE" w:rsidRPr="006E16DE">
        <w:rPr>
          <w:rFonts w:cstheme="minorHAnsi"/>
          <w:sz w:val="20"/>
          <w:szCs w:val="20"/>
        </w:rPr>
        <w:t>dal lume tubulare</w:t>
      </w:r>
      <w:r w:rsidR="00430EEE">
        <w:rPr>
          <w:rFonts w:cstheme="minorHAnsi"/>
          <w:sz w:val="20"/>
          <w:szCs w:val="20"/>
        </w:rPr>
        <w:t xml:space="preserve"> </w:t>
      </w:r>
      <w:r w:rsidR="00430EEE" w:rsidRPr="006E16DE">
        <w:rPr>
          <w:rFonts w:cstheme="minorHAnsi"/>
          <w:sz w:val="20"/>
          <w:szCs w:val="20"/>
        </w:rPr>
        <w:t>renale</w:t>
      </w:r>
      <w:r w:rsidR="00430EEE">
        <w:rPr>
          <w:rFonts w:cstheme="minorHAnsi"/>
          <w:sz w:val="20"/>
          <w:szCs w:val="20"/>
        </w:rPr>
        <w:t xml:space="preserve"> al plasma</w:t>
      </w:r>
      <w:r w:rsidRPr="001A0C27">
        <w:rPr>
          <w:rFonts w:cs="Arial"/>
          <w:sz w:val="20"/>
          <w:szCs w:val="20"/>
        </w:rPr>
        <w:t>, con conseguente aumento dell’escrezione renale (</w:t>
      </w:r>
      <w:r w:rsidR="00563FA4">
        <w:rPr>
          <w:rFonts w:cs="Arial"/>
          <w:color w:val="0000FF"/>
          <w:sz w:val="20"/>
          <w:szCs w:val="20"/>
        </w:rPr>
        <w:t>EPAR, 2015 (42)</w:t>
      </w:r>
      <w:r w:rsidRPr="001A0C27">
        <w:rPr>
          <w:rFonts w:cs="Arial"/>
          <w:sz w:val="20"/>
          <w:szCs w:val="20"/>
        </w:rPr>
        <w:t>) (</w:t>
      </w:r>
      <w:hyperlink w:anchor="Figura15" w:history="1">
        <w:r w:rsidRPr="00422D45">
          <w:rPr>
            <w:rStyle w:val="Hyperlink"/>
            <w:rFonts w:cs="Arial"/>
            <w:sz w:val="20"/>
            <w:szCs w:val="20"/>
          </w:rPr>
          <w:t xml:space="preserve">Figura </w:t>
        </w:r>
        <w:r w:rsidR="00453EC3" w:rsidRPr="00422D45">
          <w:rPr>
            <w:rStyle w:val="Hyperlink"/>
            <w:rFonts w:cs="Arial"/>
            <w:sz w:val="20"/>
            <w:szCs w:val="20"/>
          </w:rPr>
          <w:t>1</w:t>
        </w:r>
        <w:r w:rsidR="00AC4573" w:rsidRPr="00422D45">
          <w:rPr>
            <w:rStyle w:val="Hyperlink"/>
            <w:rFonts w:cs="Arial"/>
            <w:sz w:val="20"/>
            <w:szCs w:val="20"/>
          </w:rPr>
          <w:t>5</w:t>
        </w:r>
      </w:hyperlink>
      <w:r w:rsidRPr="001A0C27">
        <w:rPr>
          <w:rFonts w:cs="Arial"/>
          <w:sz w:val="20"/>
          <w:szCs w:val="20"/>
        </w:rPr>
        <w:t>).</w:t>
      </w:r>
    </w:p>
    <w:p w14:paraId="63AAE94F" w14:textId="50324613" w:rsidR="001A0C27" w:rsidRPr="00453EC3" w:rsidRDefault="00453EC3" w:rsidP="00453EC3">
      <w:pPr>
        <w:pStyle w:val="Caption"/>
        <w:rPr>
          <w:rFonts w:asciiTheme="minorHAnsi" w:hAnsiTheme="minorHAnsi" w:cstheme="minorHAnsi"/>
          <w:b w:val="0"/>
          <w:lang w:val="it-IT"/>
        </w:rPr>
      </w:pPr>
      <w:bookmarkStart w:id="71" w:name="Figura15"/>
      <w:bookmarkStart w:id="72" w:name="_Toc473186910"/>
      <w:bookmarkEnd w:id="71"/>
      <w:r w:rsidRPr="00453EC3">
        <w:rPr>
          <w:rFonts w:asciiTheme="minorHAnsi" w:hAnsiTheme="minorHAnsi" w:cstheme="minorHAnsi"/>
          <w:lang w:val="it-IT"/>
        </w:rPr>
        <w:t xml:space="preserve">Figura </w:t>
      </w:r>
      <w:r w:rsidRPr="00453EC3">
        <w:rPr>
          <w:rFonts w:asciiTheme="minorHAnsi" w:hAnsiTheme="minorHAnsi" w:cstheme="minorHAnsi"/>
        </w:rPr>
        <w:fldChar w:fldCharType="begin"/>
      </w:r>
      <w:r w:rsidRPr="00453EC3">
        <w:rPr>
          <w:rFonts w:asciiTheme="minorHAnsi" w:hAnsiTheme="minorHAnsi" w:cstheme="minorHAnsi"/>
          <w:lang w:val="it-IT"/>
        </w:rPr>
        <w:instrText xml:space="preserve"> SEQ Figura \* ARABIC </w:instrText>
      </w:r>
      <w:r w:rsidRPr="00453EC3">
        <w:rPr>
          <w:rFonts w:asciiTheme="minorHAnsi" w:hAnsiTheme="minorHAnsi" w:cstheme="minorHAnsi"/>
        </w:rPr>
        <w:fldChar w:fldCharType="separate"/>
      </w:r>
      <w:r w:rsidR="00A1679C">
        <w:rPr>
          <w:rFonts w:asciiTheme="minorHAnsi" w:hAnsiTheme="minorHAnsi" w:cstheme="minorHAnsi"/>
          <w:noProof/>
          <w:lang w:val="it-IT"/>
        </w:rPr>
        <w:t>15</w:t>
      </w:r>
      <w:r w:rsidRPr="00453EC3">
        <w:rPr>
          <w:rFonts w:asciiTheme="minorHAnsi" w:hAnsiTheme="minorHAnsi" w:cstheme="minorHAnsi"/>
        </w:rPr>
        <w:fldChar w:fldCharType="end"/>
      </w:r>
      <w:r w:rsidRPr="00453EC3">
        <w:rPr>
          <w:rFonts w:asciiTheme="minorHAnsi" w:hAnsiTheme="minorHAnsi" w:cstheme="minorHAnsi"/>
          <w:lang w:val="it-IT"/>
        </w:rPr>
        <w:t xml:space="preserve"> - </w:t>
      </w:r>
      <w:r w:rsidR="001A0C27" w:rsidRPr="00453EC3">
        <w:rPr>
          <w:rFonts w:asciiTheme="minorHAnsi" w:hAnsiTheme="minorHAnsi" w:cstheme="minorHAnsi"/>
          <w:b w:val="0"/>
          <w:lang w:val="it-IT"/>
        </w:rPr>
        <w:t xml:space="preserve">Meccanismo d’azione di lesinurad </w:t>
      </w:r>
      <w:r w:rsidR="001A0C27" w:rsidRPr="00453EC3">
        <w:rPr>
          <w:rFonts w:asciiTheme="minorHAnsi" w:hAnsiTheme="minorHAnsi" w:cstheme="minorHAnsi"/>
          <w:lang w:val="it-IT"/>
        </w:rPr>
        <w:t>(</w:t>
      </w:r>
      <w:r w:rsidR="00C96441" w:rsidRPr="00453EC3">
        <w:rPr>
          <w:rFonts w:asciiTheme="minorHAnsi" w:hAnsiTheme="minorHAnsi" w:cstheme="minorHAnsi"/>
          <w:color w:val="0000FF"/>
          <w:lang w:val="it-IT"/>
        </w:rPr>
        <w:t>Miner, 2016</w:t>
      </w:r>
      <w:r w:rsidR="001A0C27" w:rsidRPr="00453EC3">
        <w:rPr>
          <w:rFonts w:asciiTheme="minorHAnsi" w:hAnsiTheme="minorHAnsi" w:cstheme="minorHAnsi"/>
          <w:lang w:val="it-IT"/>
        </w:rPr>
        <w:t>)</w:t>
      </w:r>
      <w:bookmarkEnd w:id="72"/>
    </w:p>
    <w:p w14:paraId="2EC56340" w14:textId="478CA662" w:rsidR="001A0C27" w:rsidRPr="001A0C27" w:rsidRDefault="001A0C27" w:rsidP="001A0C27">
      <w:pPr>
        <w:widowControl w:val="0"/>
        <w:autoSpaceDE w:val="0"/>
        <w:autoSpaceDN w:val="0"/>
        <w:adjustRightInd w:val="0"/>
        <w:spacing w:line="360" w:lineRule="auto"/>
        <w:jc w:val="both"/>
        <w:rPr>
          <w:rFonts w:cs="Arial"/>
          <w:sz w:val="20"/>
          <w:szCs w:val="20"/>
        </w:rPr>
      </w:pPr>
      <w:r w:rsidRPr="001A0C27">
        <w:rPr>
          <w:rFonts w:cs="Arial"/>
          <w:noProof/>
          <w:sz w:val="20"/>
          <w:szCs w:val="20"/>
          <w:lang w:val="en-GB" w:eastAsia="en-GB"/>
        </w:rPr>
        <w:drawing>
          <wp:inline distT="0" distB="0" distL="0" distR="0" wp14:anchorId="625D0CA3" wp14:editId="5B8495D8">
            <wp:extent cx="5410200" cy="2655586"/>
            <wp:effectExtent l="0" t="0" r="0" b="0"/>
            <wp:docPr id="1073741845" name="Immagine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12222" cy="2656578"/>
                    </a:xfrm>
                    <a:prstGeom prst="rect">
                      <a:avLst/>
                    </a:prstGeom>
                    <a:noFill/>
                    <a:ln>
                      <a:noFill/>
                    </a:ln>
                  </pic:spPr>
                </pic:pic>
              </a:graphicData>
            </a:graphic>
          </wp:inline>
        </w:drawing>
      </w:r>
    </w:p>
    <w:p w14:paraId="3E8147B2" w14:textId="77777777" w:rsidR="00453EC3" w:rsidRDefault="00453EC3" w:rsidP="00EE6F19">
      <w:pPr>
        <w:widowControl w:val="0"/>
        <w:autoSpaceDE w:val="0"/>
        <w:autoSpaceDN w:val="0"/>
        <w:adjustRightInd w:val="0"/>
        <w:spacing w:line="360" w:lineRule="auto"/>
        <w:rPr>
          <w:rFonts w:cs="Arial"/>
          <w:sz w:val="20"/>
          <w:szCs w:val="20"/>
        </w:rPr>
      </w:pPr>
    </w:p>
    <w:p w14:paraId="657D6923" w14:textId="0AE514DE" w:rsidR="001A0C27" w:rsidRPr="001A0C27" w:rsidRDefault="001A0C27" w:rsidP="00EE6F19">
      <w:pPr>
        <w:widowControl w:val="0"/>
        <w:autoSpaceDE w:val="0"/>
        <w:autoSpaceDN w:val="0"/>
        <w:adjustRightInd w:val="0"/>
        <w:spacing w:line="360" w:lineRule="auto"/>
        <w:rPr>
          <w:rFonts w:cs="Arial"/>
          <w:sz w:val="20"/>
          <w:szCs w:val="20"/>
        </w:rPr>
      </w:pPr>
      <w:r w:rsidRPr="001A0C27">
        <w:rPr>
          <w:rFonts w:cs="Arial"/>
          <w:sz w:val="20"/>
          <w:szCs w:val="20"/>
        </w:rPr>
        <w:t xml:space="preserve">Quando lesinurad viene associato ad un farmaco XOI, </w:t>
      </w:r>
      <w:r w:rsidRPr="001A0C27">
        <w:rPr>
          <w:rFonts w:cs="Arial"/>
          <w:b/>
          <w:sz w:val="20"/>
          <w:szCs w:val="20"/>
        </w:rPr>
        <w:t>offre un MECCANISMO D’AZIONE COMPLEMENTARE</w:t>
      </w:r>
      <w:r w:rsidRPr="001A0C27">
        <w:rPr>
          <w:rFonts w:cs="Arial"/>
          <w:sz w:val="20"/>
          <w:szCs w:val="20"/>
        </w:rPr>
        <w:t xml:space="preserve"> a quest’ultimo: infatti nei pazienti con gotta e iperuricemia, </w:t>
      </w:r>
      <w:r w:rsidR="00D871C3">
        <w:rPr>
          <w:rFonts w:cs="Arial"/>
          <w:sz w:val="20"/>
          <w:szCs w:val="20"/>
        </w:rPr>
        <w:t>oltre a</w:t>
      </w:r>
      <w:r w:rsidRPr="001A0C27">
        <w:rPr>
          <w:rFonts w:cs="Arial"/>
          <w:sz w:val="20"/>
          <w:szCs w:val="20"/>
        </w:rPr>
        <w:t xml:space="preserve">lla riduzione </w:t>
      </w:r>
      <w:r w:rsidR="00430EEE">
        <w:rPr>
          <w:rFonts w:cs="Arial"/>
          <w:sz w:val="20"/>
          <w:szCs w:val="20"/>
        </w:rPr>
        <w:t xml:space="preserve">della produzione </w:t>
      </w:r>
      <w:r w:rsidRPr="001A0C27">
        <w:rPr>
          <w:rFonts w:cs="Arial"/>
          <w:sz w:val="20"/>
          <w:szCs w:val="20"/>
        </w:rPr>
        <w:t xml:space="preserve">dei livelli di </w:t>
      </w:r>
      <w:r w:rsidR="006148F5">
        <w:rPr>
          <w:rFonts w:cs="Arial"/>
          <w:sz w:val="20"/>
          <w:szCs w:val="20"/>
        </w:rPr>
        <w:t>acido urico</w:t>
      </w:r>
      <w:r w:rsidRPr="001A0C27">
        <w:rPr>
          <w:rFonts w:cs="Arial"/>
          <w:sz w:val="20"/>
          <w:szCs w:val="20"/>
        </w:rPr>
        <w:t xml:space="preserve"> da parte del farmaco XOI, </w:t>
      </w:r>
      <w:r w:rsidRPr="001A0C27">
        <w:rPr>
          <w:rFonts w:cs="Arial"/>
          <w:b/>
          <w:sz w:val="20"/>
          <w:szCs w:val="20"/>
        </w:rPr>
        <w:t>lesinurad aumenta l’escrezione di acido urico</w:t>
      </w:r>
      <w:r w:rsidR="00430EEE">
        <w:rPr>
          <w:rFonts w:cs="Arial"/>
          <w:b/>
          <w:sz w:val="20"/>
          <w:szCs w:val="20"/>
        </w:rPr>
        <w:t>,</w:t>
      </w:r>
      <w:r w:rsidRPr="001A0C27">
        <w:rPr>
          <w:rFonts w:cs="Arial"/>
          <w:b/>
          <w:sz w:val="20"/>
          <w:szCs w:val="20"/>
        </w:rPr>
        <w:t xml:space="preserve"> determinando quindi maggiori riduzioni dei livelli di uricemia </w:t>
      </w:r>
      <w:r w:rsidRPr="001A0C27">
        <w:rPr>
          <w:rFonts w:cs="Arial"/>
          <w:sz w:val="20"/>
          <w:szCs w:val="20"/>
        </w:rPr>
        <w:t>(</w:t>
      </w:r>
      <w:hyperlink w:anchor="Figura16" w:history="1">
        <w:r w:rsidRPr="00422D45">
          <w:rPr>
            <w:rStyle w:val="Hyperlink"/>
            <w:rFonts w:cs="Arial"/>
            <w:sz w:val="20"/>
            <w:szCs w:val="20"/>
          </w:rPr>
          <w:t xml:space="preserve">Figura </w:t>
        </w:r>
        <w:r w:rsidR="00453EC3" w:rsidRPr="00422D45">
          <w:rPr>
            <w:rStyle w:val="Hyperlink"/>
            <w:rFonts w:cs="Arial"/>
            <w:sz w:val="20"/>
            <w:szCs w:val="20"/>
          </w:rPr>
          <w:t>1</w:t>
        </w:r>
        <w:r w:rsidR="00AC4573" w:rsidRPr="00422D45">
          <w:rPr>
            <w:rStyle w:val="Hyperlink"/>
            <w:rFonts w:cs="Arial"/>
            <w:sz w:val="20"/>
            <w:szCs w:val="20"/>
          </w:rPr>
          <w:t>6</w:t>
        </w:r>
      </w:hyperlink>
      <w:r w:rsidRPr="001A0C27">
        <w:rPr>
          <w:rFonts w:cs="Arial"/>
          <w:sz w:val="20"/>
          <w:szCs w:val="20"/>
        </w:rPr>
        <w:t>) (</w:t>
      </w:r>
      <w:r w:rsidR="00563FA4">
        <w:rPr>
          <w:rFonts w:cs="Arial"/>
          <w:color w:val="0000FF"/>
          <w:sz w:val="20"/>
          <w:szCs w:val="20"/>
        </w:rPr>
        <w:t>EPAR, 2015 (42)</w:t>
      </w:r>
      <w:r w:rsidRPr="001A0C27">
        <w:rPr>
          <w:rFonts w:cs="Arial"/>
          <w:sz w:val="20"/>
          <w:szCs w:val="20"/>
        </w:rPr>
        <w:t xml:space="preserve">). </w:t>
      </w:r>
    </w:p>
    <w:p w14:paraId="17374A38" w14:textId="5930DDC7" w:rsidR="001A0C27" w:rsidRDefault="001A0C27" w:rsidP="00EE6F19">
      <w:pPr>
        <w:widowControl w:val="0"/>
        <w:autoSpaceDE w:val="0"/>
        <w:autoSpaceDN w:val="0"/>
        <w:adjustRightInd w:val="0"/>
        <w:spacing w:line="360" w:lineRule="auto"/>
        <w:rPr>
          <w:rFonts w:cs="Arial"/>
          <w:sz w:val="20"/>
          <w:szCs w:val="20"/>
        </w:rPr>
      </w:pPr>
      <w:r w:rsidRPr="0037617B">
        <w:rPr>
          <w:rFonts w:cs="Arial"/>
          <w:b/>
          <w:sz w:val="20"/>
          <w:szCs w:val="20"/>
        </w:rPr>
        <w:t>Questo meccanismo d’azione è particolarmente importante perché l’80% - 90% dei casi di iperuricemia primaria è causata da un’inefficiente escrezione renale di acido urico</w:t>
      </w:r>
      <w:r w:rsidRPr="001A0C27">
        <w:rPr>
          <w:rFonts w:cs="Arial"/>
          <w:sz w:val="20"/>
          <w:szCs w:val="20"/>
        </w:rPr>
        <w:t xml:space="preserve">, piuttosto che dalla iperproduzione di acido urico </w:t>
      </w:r>
      <w:r w:rsidRPr="00C96441">
        <w:rPr>
          <w:rFonts w:cs="Arial"/>
          <w:sz w:val="20"/>
          <w:szCs w:val="20"/>
        </w:rPr>
        <w:t>(</w:t>
      </w:r>
      <w:r w:rsidR="005F4295" w:rsidRPr="005F4295">
        <w:rPr>
          <w:color w:val="0000FF"/>
          <w:sz w:val="20"/>
          <w:szCs w:val="20"/>
        </w:rPr>
        <w:t>Burns, 2012</w:t>
      </w:r>
      <w:r w:rsidR="005F4295">
        <w:rPr>
          <w:color w:val="0000FF"/>
          <w:sz w:val="20"/>
          <w:szCs w:val="20"/>
        </w:rPr>
        <w:t xml:space="preserve"> (</w:t>
      </w:r>
      <w:r w:rsidR="003840E3">
        <w:rPr>
          <w:color w:val="0000FF"/>
          <w:sz w:val="20"/>
          <w:szCs w:val="20"/>
        </w:rPr>
        <w:t>8</w:t>
      </w:r>
      <w:r w:rsidR="005F4295">
        <w:rPr>
          <w:color w:val="0000FF"/>
          <w:sz w:val="20"/>
          <w:szCs w:val="20"/>
        </w:rPr>
        <w:t>)</w:t>
      </w:r>
      <w:r w:rsidR="005F4295" w:rsidRPr="005F4295">
        <w:rPr>
          <w:color w:val="0000FF"/>
          <w:sz w:val="20"/>
          <w:szCs w:val="20"/>
        </w:rPr>
        <w:t xml:space="preserve">; </w:t>
      </w:r>
      <w:r w:rsidR="0083674F">
        <w:rPr>
          <w:color w:val="0000FF"/>
          <w:sz w:val="20"/>
          <w:szCs w:val="20"/>
        </w:rPr>
        <w:t>Richette, 2010 (34)</w:t>
      </w:r>
      <w:r w:rsidR="00C96441" w:rsidRPr="00C96441">
        <w:rPr>
          <w:sz w:val="20"/>
          <w:szCs w:val="20"/>
        </w:rPr>
        <w:t>)</w:t>
      </w:r>
      <w:r w:rsidRPr="001A0C27">
        <w:rPr>
          <w:rFonts w:cs="Arial"/>
          <w:sz w:val="20"/>
          <w:szCs w:val="20"/>
        </w:rPr>
        <w:t>.</w:t>
      </w:r>
    </w:p>
    <w:p w14:paraId="703D2D42" w14:textId="1A1D5641" w:rsidR="00CF7E55" w:rsidRDefault="00CF7E55" w:rsidP="00CF7E55">
      <w:pPr>
        <w:widowControl w:val="0"/>
        <w:autoSpaceDE w:val="0"/>
        <w:autoSpaceDN w:val="0"/>
        <w:adjustRightInd w:val="0"/>
        <w:spacing w:line="360" w:lineRule="auto"/>
        <w:rPr>
          <w:rFonts w:cs="Arial"/>
          <w:sz w:val="20"/>
          <w:szCs w:val="20"/>
        </w:rPr>
      </w:pPr>
      <w:r>
        <w:rPr>
          <w:rFonts w:cs="Arial"/>
          <w:sz w:val="20"/>
          <w:szCs w:val="20"/>
        </w:rPr>
        <w:t xml:space="preserve">Lesinurad è quindi in grado di correggere l’alterazione patogenetica </w:t>
      </w:r>
      <w:r w:rsidR="00C00B31">
        <w:rPr>
          <w:rFonts w:cs="Arial"/>
          <w:sz w:val="20"/>
          <w:szCs w:val="20"/>
        </w:rPr>
        <w:t>di più frequente riscontro nei pazienti con gotta</w:t>
      </w:r>
      <w:r>
        <w:rPr>
          <w:rFonts w:cs="Arial"/>
          <w:sz w:val="20"/>
          <w:szCs w:val="20"/>
        </w:rPr>
        <w:t xml:space="preserve"> (cioè l’insufficiente escrezione renale di acido urico).</w:t>
      </w:r>
    </w:p>
    <w:p w14:paraId="20E710EE" w14:textId="77777777" w:rsidR="00453EC3" w:rsidRPr="001A0C27" w:rsidRDefault="00453EC3" w:rsidP="00EE6F19">
      <w:pPr>
        <w:widowControl w:val="0"/>
        <w:autoSpaceDE w:val="0"/>
        <w:autoSpaceDN w:val="0"/>
        <w:adjustRightInd w:val="0"/>
        <w:spacing w:line="360" w:lineRule="auto"/>
        <w:rPr>
          <w:rFonts w:cs="Arial"/>
          <w:sz w:val="20"/>
          <w:szCs w:val="20"/>
        </w:rPr>
      </w:pPr>
    </w:p>
    <w:p w14:paraId="3F270C67" w14:textId="4690EFFC" w:rsidR="001A0C27" w:rsidRPr="00453EC3" w:rsidRDefault="00453EC3" w:rsidP="00453EC3">
      <w:pPr>
        <w:pStyle w:val="Caption"/>
        <w:rPr>
          <w:rFonts w:asciiTheme="minorHAnsi" w:hAnsiTheme="minorHAnsi" w:cstheme="minorHAnsi"/>
          <w:b w:val="0"/>
          <w:lang w:val="it-IT"/>
        </w:rPr>
      </w:pPr>
      <w:bookmarkStart w:id="73" w:name="Figura16"/>
      <w:bookmarkStart w:id="74" w:name="_Toc473186911"/>
      <w:bookmarkEnd w:id="73"/>
      <w:r w:rsidRPr="00500766">
        <w:rPr>
          <w:rFonts w:asciiTheme="minorHAnsi" w:hAnsiTheme="minorHAnsi" w:cstheme="minorHAnsi"/>
          <w:lang w:val="it-IT"/>
        </w:rPr>
        <w:t xml:space="preserve">Figura </w:t>
      </w:r>
      <w:r w:rsidRPr="00500766">
        <w:rPr>
          <w:rFonts w:asciiTheme="minorHAnsi" w:hAnsiTheme="minorHAnsi" w:cstheme="minorHAnsi"/>
        </w:rPr>
        <w:fldChar w:fldCharType="begin"/>
      </w:r>
      <w:r w:rsidRPr="00500766">
        <w:rPr>
          <w:rFonts w:asciiTheme="minorHAnsi" w:hAnsiTheme="minorHAnsi" w:cstheme="minorHAnsi"/>
          <w:lang w:val="it-IT"/>
        </w:rPr>
        <w:instrText xml:space="preserve"> SEQ Figura \* ARABIC </w:instrText>
      </w:r>
      <w:r w:rsidRPr="00500766">
        <w:rPr>
          <w:rFonts w:asciiTheme="minorHAnsi" w:hAnsiTheme="minorHAnsi" w:cstheme="minorHAnsi"/>
        </w:rPr>
        <w:fldChar w:fldCharType="separate"/>
      </w:r>
      <w:r w:rsidR="00A1679C" w:rsidRPr="00500766">
        <w:rPr>
          <w:rFonts w:asciiTheme="minorHAnsi" w:hAnsiTheme="minorHAnsi" w:cstheme="minorHAnsi"/>
          <w:noProof/>
          <w:lang w:val="it-IT"/>
        </w:rPr>
        <w:t>16</w:t>
      </w:r>
      <w:r w:rsidRPr="00500766">
        <w:rPr>
          <w:rFonts w:asciiTheme="minorHAnsi" w:hAnsiTheme="minorHAnsi" w:cstheme="minorHAnsi"/>
        </w:rPr>
        <w:fldChar w:fldCharType="end"/>
      </w:r>
      <w:r w:rsidRPr="00500766">
        <w:rPr>
          <w:rFonts w:asciiTheme="minorHAnsi" w:hAnsiTheme="minorHAnsi" w:cstheme="minorHAnsi"/>
          <w:lang w:val="it-IT"/>
        </w:rPr>
        <w:t xml:space="preserve"> - </w:t>
      </w:r>
      <w:r w:rsidR="001A0C27" w:rsidRPr="00500766">
        <w:rPr>
          <w:rFonts w:asciiTheme="minorHAnsi" w:hAnsiTheme="minorHAnsi" w:cstheme="minorHAnsi"/>
          <w:b w:val="0"/>
          <w:lang w:val="it-IT"/>
        </w:rPr>
        <w:t>Complementarietà del meccanismo d’azione</w:t>
      </w:r>
      <w:r w:rsidR="000A2E21" w:rsidRPr="00500766">
        <w:rPr>
          <w:rFonts w:asciiTheme="minorHAnsi" w:hAnsiTheme="minorHAnsi" w:cstheme="minorHAnsi"/>
          <w:b w:val="0"/>
          <w:lang w:val="it-IT"/>
        </w:rPr>
        <w:t xml:space="preserve"> (</w:t>
      </w:r>
      <w:r w:rsidR="00504665" w:rsidRPr="00500766">
        <w:rPr>
          <w:rFonts w:asciiTheme="minorHAnsi" w:hAnsiTheme="minorHAnsi" w:cstheme="minorHAnsi"/>
          <w:b w:val="0"/>
          <w:color w:val="0000FF"/>
          <w:lang w:val="it-IT"/>
        </w:rPr>
        <w:t>elaborato da</w:t>
      </w:r>
      <w:r w:rsidR="00FC77CB" w:rsidRPr="00500766">
        <w:rPr>
          <w:rFonts w:asciiTheme="minorHAnsi" w:hAnsiTheme="minorHAnsi" w:cstheme="minorHAnsi"/>
          <w:b w:val="0"/>
          <w:color w:val="0000FF"/>
          <w:lang w:val="it-IT"/>
        </w:rPr>
        <w:t xml:space="preserve"> Richette</w:t>
      </w:r>
      <w:r w:rsidR="00504665" w:rsidRPr="00500766">
        <w:rPr>
          <w:rFonts w:asciiTheme="minorHAnsi" w:hAnsiTheme="minorHAnsi" w:cstheme="minorHAnsi"/>
          <w:b w:val="0"/>
          <w:color w:val="0000FF"/>
          <w:lang w:val="it-IT"/>
        </w:rPr>
        <w:t>, 201</w:t>
      </w:r>
      <w:r w:rsidR="003840E3" w:rsidRPr="00500766">
        <w:rPr>
          <w:rFonts w:asciiTheme="minorHAnsi" w:hAnsiTheme="minorHAnsi" w:cstheme="minorHAnsi"/>
          <w:b w:val="0"/>
          <w:color w:val="0000FF"/>
          <w:lang w:val="it-IT"/>
        </w:rPr>
        <w:t>6</w:t>
      </w:r>
      <w:r w:rsidR="00504665" w:rsidRPr="00500766">
        <w:rPr>
          <w:rFonts w:asciiTheme="minorHAnsi" w:hAnsiTheme="minorHAnsi" w:cstheme="minorHAnsi"/>
          <w:b w:val="0"/>
          <w:color w:val="auto"/>
          <w:lang w:val="it-IT"/>
        </w:rPr>
        <w:t>)</w:t>
      </w:r>
      <w:bookmarkEnd w:id="74"/>
    </w:p>
    <w:p w14:paraId="58139EE3" w14:textId="3EE1652B" w:rsidR="001A0C27" w:rsidRPr="001A0C27" w:rsidRDefault="001A0C27" w:rsidP="001A0C27">
      <w:pPr>
        <w:widowControl w:val="0"/>
        <w:autoSpaceDE w:val="0"/>
        <w:autoSpaceDN w:val="0"/>
        <w:adjustRightInd w:val="0"/>
        <w:spacing w:line="360" w:lineRule="auto"/>
        <w:jc w:val="both"/>
        <w:rPr>
          <w:rFonts w:cs="Arial"/>
          <w:sz w:val="20"/>
          <w:szCs w:val="20"/>
        </w:rPr>
      </w:pPr>
      <w:r w:rsidRPr="001A0C27">
        <w:rPr>
          <w:rFonts w:cs="Arial"/>
          <w:noProof/>
          <w:sz w:val="20"/>
          <w:szCs w:val="20"/>
          <w:lang w:val="en-GB" w:eastAsia="en-GB"/>
        </w:rPr>
        <w:drawing>
          <wp:inline distT="0" distB="0" distL="0" distR="0" wp14:anchorId="25B66C14" wp14:editId="39990855">
            <wp:extent cx="4455795" cy="2138680"/>
            <wp:effectExtent l="0" t="0" r="1905" b="0"/>
            <wp:docPr id="1073741846" name="Immagine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55795" cy="2138680"/>
                    </a:xfrm>
                    <a:prstGeom prst="rect">
                      <a:avLst/>
                    </a:prstGeom>
                    <a:noFill/>
                  </pic:spPr>
                </pic:pic>
              </a:graphicData>
            </a:graphic>
          </wp:inline>
        </w:drawing>
      </w:r>
    </w:p>
    <w:p w14:paraId="2107FC28" w14:textId="77777777" w:rsidR="00453EC3" w:rsidRDefault="00453EC3" w:rsidP="00EE6F19">
      <w:pPr>
        <w:widowControl w:val="0"/>
        <w:autoSpaceDE w:val="0"/>
        <w:autoSpaceDN w:val="0"/>
        <w:adjustRightInd w:val="0"/>
        <w:spacing w:line="360" w:lineRule="auto"/>
        <w:rPr>
          <w:rFonts w:cs="Arial"/>
          <w:sz w:val="20"/>
          <w:szCs w:val="20"/>
        </w:rPr>
      </w:pPr>
    </w:p>
    <w:p w14:paraId="777793AC" w14:textId="77777777" w:rsidR="002C52FC" w:rsidRDefault="002C52FC" w:rsidP="00EE6F19">
      <w:pPr>
        <w:widowControl w:val="0"/>
        <w:autoSpaceDE w:val="0"/>
        <w:autoSpaceDN w:val="0"/>
        <w:adjustRightInd w:val="0"/>
        <w:spacing w:line="360" w:lineRule="auto"/>
        <w:rPr>
          <w:rFonts w:cs="Arial"/>
          <w:sz w:val="20"/>
          <w:szCs w:val="20"/>
        </w:rPr>
      </w:pPr>
    </w:p>
    <w:p w14:paraId="5F4A7CAA" w14:textId="03658723" w:rsidR="00743E2A" w:rsidRDefault="00864646" w:rsidP="00EE6F19">
      <w:pPr>
        <w:widowControl w:val="0"/>
        <w:autoSpaceDE w:val="0"/>
        <w:autoSpaceDN w:val="0"/>
        <w:adjustRightInd w:val="0"/>
        <w:spacing w:line="360" w:lineRule="auto"/>
        <w:rPr>
          <w:rFonts w:cs="Arial"/>
          <w:sz w:val="20"/>
          <w:szCs w:val="20"/>
        </w:rPr>
      </w:pPr>
      <w:r>
        <w:rPr>
          <w:rFonts w:cs="Arial"/>
          <w:sz w:val="20"/>
          <w:szCs w:val="20"/>
        </w:rPr>
        <w:t>Lesinurad ha un’alta affinità per URAT1 e OAT4</w:t>
      </w:r>
      <w:r w:rsidR="00CF7E55">
        <w:rPr>
          <w:rFonts w:cs="Arial"/>
          <w:sz w:val="20"/>
          <w:szCs w:val="20"/>
        </w:rPr>
        <w:t xml:space="preserve"> e</w:t>
      </w:r>
      <w:r w:rsidR="00CF7E55" w:rsidRPr="00CF7E55">
        <w:rPr>
          <w:rFonts w:cs="Arial"/>
          <w:sz w:val="20"/>
          <w:szCs w:val="20"/>
        </w:rPr>
        <w:t xml:space="preserve"> ai dosaggi clinicamente efficaci (200 mg/die) non </w:t>
      </w:r>
      <w:r w:rsidR="00CF7E55" w:rsidRPr="00CF7E55">
        <w:rPr>
          <w:rFonts w:cs="Arial"/>
          <w:b/>
          <w:bCs/>
          <w:sz w:val="20"/>
          <w:szCs w:val="20"/>
          <w:u w:val="single"/>
        </w:rPr>
        <w:t>interferisce con l’attività di OAT1 e OAT3,</w:t>
      </w:r>
      <w:r w:rsidR="00CF7E55" w:rsidRPr="00CF7E55">
        <w:rPr>
          <w:rFonts w:cs="Arial"/>
          <w:sz w:val="20"/>
          <w:szCs w:val="20"/>
        </w:rPr>
        <w:t xml:space="preserve"> trasportatori renali coinvolti nell’escrezione di farmaci, evitando così interazioni clinicamente rilevanti con i farmaci substrato di questi trasportatori (ad es. atorvastatina e metformina) (</w:t>
      </w:r>
      <w:r w:rsidR="00E54BFE">
        <w:rPr>
          <w:rFonts w:cs="Arial"/>
          <w:color w:val="0000FF"/>
          <w:sz w:val="20"/>
          <w:szCs w:val="20"/>
        </w:rPr>
        <w:t>Tan, 2016 (3)</w:t>
      </w:r>
      <w:r w:rsidR="00CF7E55" w:rsidRPr="008565DD">
        <w:rPr>
          <w:rFonts w:cs="Arial"/>
          <w:color w:val="0000FF"/>
          <w:sz w:val="20"/>
          <w:szCs w:val="20"/>
        </w:rPr>
        <w:t xml:space="preserve">; </w:t>
      </w:r>
      <w:r w:rsidR="00E54BFE">
        <w:rPr>
          <w:rFonts w:cs="Arial"/>
          <w:color w:val="0000FF"/>
          <w:sz w:val="20"/>
          <w:szCs w:val="20"/>
        </w:rPr>
        <w:t>Miner, 2016 (4)</w:t>
      </w:r>
      <w:r w:rsidR="00CF7E55" w:rsidRPr="008565DD">
        <w:rPr>
          <w:rFonts w:cs="Arial"/>
          <w:color w:val="0000FF"/>
          <w:sz w:val="20"/>
          <w:szCs w:val="20"/>
        </w:rPr>
        <w:t xml:space="preserve">; </w:t>
      </w:r>
      <w:r w:rsidR="00E54BFE">
        <w:rPr>
          <w:rFonts w:cs="Arial"/>
          <w:color w:val="0000FF"/>
          <w:sz w:val="20"/>
          <w:szCs w:val="20"/>
        </w:rPr>
        <w:t>Shen, 2016 (5)</w:t>
      </w:r>
      <w:r w:rsidR="00CF7E55" w:rsidRPr="00CF7E55">
        <w:rPr>
          <w:rFonts w:cs="Arial"/>
          <w:sz w:val="20"/>
          <w:szCs w:val="20"/>
        </w:rPr>
        <w:t>)</w:t>
      </w:r>
      <w:r w:rsidR="00743E2A">
        <w:rPr>
          <w:rFonts w:cs="Arial"/>
          <w:sz w:val="20"/>
          <w:szCs w:val="20"/>
        </w:rPr>
        <w:t>.</w:t>
      </w:r>
    </w:p>
    <w:p w14:paraId="4B29B839" w14:textId="70B0897D" w:rsidR="009362C7" w:rsidRDefault="00743E2A" w:rsidP="00EE6F19">
      <w:pPr>
        <w:widowControl w:val="0"/>
        <w:autoSpaceDE w:val="0"/>
        <w:autoSpaceDN w:val="0"/>
        <w:adjustRightInd w:val="0"/>
        <w:spacing w:line="360" w:lineRule="auto"/>
        <w:rPr>
          <w:rFonts w:cs="Arial"/>
          <w:sz w:val="20"/>
          <w:szCs w:val="20"/>
        </w:rPr>
      </w:pPr>
      <w:r w:rsidRPr="00743E2A">
        <w:rPr>
          <w:rFonts w:cs="Arial"/>
          <w:sz w:val="20"/>
          <w:szCs w:val="20"/>
        </w:rPr>
        <w:t>La biodisponibilità assoluta di Lesinurad è pari approssimativamente al 100%. Lesinurad è rapidamente assorbito nell’organismo dopo somministrazione orale con il raggiungimento della concentrazione plasmatica massima (Cmax) entro 1–4 ore (con una Cmax pari a 6 μg/mL dopo singola somministrazione di Lesinurad 200 mg). Il legame con le proteine plasmatiche è del 98% (</w:t>
      </w:r>
      <w:r w:rsidR="00E54BFE" w:rsidRPr="00E54BFE">
        <w:rPr>
          <w:rFonts w:cstheme="minorHAnsi"/>
          <w:color w:val="0000FF"/>
          <w:sz w:val="20"/>
          <w:szCs w:val="20"/>
        </w:rPr>
        <w:t>SmPC Zurampic, EPAR, 2015 (1)</w:t>
      </w:r>
      <w:r w:rsidRPr="00743E2A">
        <w:rPr>
          <w:rFonts w:cs="Arial"/>
          <w:sz w:val="20"/>
          <w:szCs w:val="20"/>
        </w:rPr>
        <w:t>)</w:t>
      </w:r>
      <w:r w:rsidR="009362C7">
        <w:rPr>
          <w:rFonts w:cs="Arial"/>
          <w:sz w:val="20"/>
          <w:szCs w:val="20"/>
        </w:rPr>
        <w:t>.</w:t>
      </w:r>
      <w:r w:rsidRPr="00743E2A">
        <w:rPr>
          <w:rFonts w:cs="Arial"/>
          <w:sz w:val="20"/>
          <w:szCs w:val="20"/>
        </w:rPr>
        <w:t xml:space="preserve"> </w:t>
      </w:r>
    </w:p>
    <w:p w14:paraId="48C42786" w14:textId="7199A179" w:rsidR="00743E2A" w:rsidRDefault="00743E2A" w:rsidP="00EE6F19">
      <w:pPr>
        <w:widowControl w:val="0"/>
        <w:autoSpaceDE w:val="0"/>
        <w:autoSpaceDN w:val="0"/>
        <w:adjustRightInd w:val="0"/>
        <w:spacing w:line="360" w:lineRule="auto"/>
        <w:rPr>
          <w:rFonts w:cs="Arial"/>
          <w:sz w:val="20"/>
          <w:szCs w:val="20"/>
        </w:rPr>
      </w:pPr>
      <w:r w:rsidRPr="00743E2A">
        <w:rPr>
          <w:rFonts w:cs="Arial"/>
          <w:sz w:val="20"/>
          <w:szCs w:val="20"/>
        </w:rPr>
        <w:t>Nelle prime ore dopo la somministrazione è stata osservata una rapida riduzione dei livelli di sUA (</w:t>
      </w:r>
      <w:r w:rsidR="00E54BFE" w:rsidRPr="0038187C">
        <w:rPr>
          <w:rFonts w:cstheme="minorHAnsi"/>
          <w:color w:val="0000FF"/>
          <w:sz w:val="20"/>
          <w:szCs w:val="20"/>
        </w:rPr>
        <w:t>SmPC Zurampic, EPAR, 2015 (</w:t>
      </w:r>
      <w:r w:rsidR="00E54BFE">
        <w:rPr>
          <w:rFonts w:cstheme="minorHAnsi"/>
          <w:color w:val="0000FF"/>
          <w:sz w:val="20"/>
          <w:szCs w:val="20"/>
        </w:rPr>
        <w:t>1</w:t>
      </w:r>
      <w:r w:rsidR="00E54BFE" w:rsidRPr="0038187C">
        <w:rPr>
          <w:rFonts w:cstheme="minorHAnsi"/>
          <w:color w:val="0000FF"/>
          <w:sz w:val="20"/>
          <w:szCs w:val="20"/>
        </w:rPr>
        <w:t>)</w:t>
      </w:r>
      <w:r w:rsidRPr="00743E2A">
        <w:rPr>
          <w:rFonts w:cs="Arial"/>
          <w:sz w:val="20"/>
          <w:szCs w:val="20"/>
        </w:rPr>
        <w:t>)</w:t>
      </w:r>
      <w:r w:rsidR="009362C7">
        <w:rPr>
          <w:rFonts w:cs="Arial"/>
          <w:sz w:val="20"/>
          <w:szCs w:val="20"/>
        </w:rPr>
        <w:t>,</w:t>
      </w:r>
      <w:r w:rsidRPr="00743E2A">
        <w:rPr>
          <w:rFonts w:cs="Arial"/>
          <w:sz w:val="20"/>
          <w:szCs w:val="20"/>
        </w:rPr>
        <w:t xml:space="preserve"> accompagnata da un’aumentata escrezione a livello renale (</w:t>
      </w:r>
      <w:r w:rsidR="00E54BFE">
        <w:rPr>
          <w:rFonts w:cs="Arial"/>
          <w:color w:val="0000FF"/>
          <w:sz w:val="20"/>
          <w:szCs w:val="20"/>
        </w:rPr>
        <w:t>Miner, 2016 (4)</w:t>
      </w:r>
      <w:r w:rsidRPr="008565DD">
        <w:rPr>
          <w:rFonts w:cs="Arial"/>
          <w:color w:val="0000FF"/>
          <w:sz w:val="20"/>
          <w:szCs w:val="20"/>
        </w:rPr>
        <w:t xml:space="preserve">; </w:t>
      </w:r>
      <w:r w:rsidR="00E54BFE">
        <w:rPr>
          <w:rFonts w:cs="Arial"/>
          <w:color w:val="0000FF"/>
          <w:sz w:val="20"/>
          <w:szCs w:val="20"/>
        </w:rPr>
        <w:t>Shen, 2016 (5)</w:t>
      </w:r>
      <w:r w:rsidRPr="00743E2A">
        <w:rPr>
          <w:rFonts w:cs="Arial"/>
          <w:sz w:val="20"/>
          <w:szCs w:val="20"/>
        </w:rPr>
        <w:t xml:space="preserve">). </w:t>
      </w:r>
    </w:p>
    <w:p w14:paraId="0D19E036" w14:textId="6732896D" w:rsidR="00743E2A" w:rsidRPr="00743E2A" w:rsidRDefault="00743E2A" w:rsidP="00743E2A">
      <w:pPr>
        <w:widowControl w:val="0"/>
        <w:autoSpaceDE w:val="0"/>
        <w:autoSpaceDN w:val="0"/>
        <w:adjustRightInd w:val="0"/>
        <w:spacing w:line="360" w:lineRule="auto"/>
        <w:rPr>
          <w:rFonts w:cs="Arial"/>
          <w:sz w:val="20"/>
          <w:szCs w:val="20"/>
        </w:rPr>
      </w:pPr>
      <w:r w:rsidRPr="00743E2A">
        <w:rPr>
          <w:rFonts w:cs="Arial"/>
          <w:sz w:val="20"/>
          <w:szCs w:val="20"/>
        </w:rPr>
        <w:t xml:space="preserve">Lesinurad ha un’emivita di 5h, ma l’effetto di riduzione di sUA si mantiene fino alle 24h post-dose. Viene metabolizzato principalmente dal CYP2C9 con formazione di 2 metaboliti, M3 e M4, che sono stati rilevati a basse concentrazioni tali da ritenersi non rilevanti per l’attività farmacologica di Lesinurad. Viene eliminato attraverso le urine (&gt;60%, di cui ~30% è </w:t>
      </w:r>
      <w:r w:rsidR="009362C7">
        <w:rPr>
          <w:rFonts w:cs="Arial"/>
          <w:sz w:val="20"/>
          <w:szCs w:val="20"/>
        </w:rPr>
        <w:t>l</w:t>
      </w:r>
      <w:r w:rsidRPr="00743E2A">
        <w:rPr>
          <w:rFonts w:cs="Arial"/>
          <w:sz w:val="20"/>
          <w:szCs w:val="20"/>
        </w:rPr>
        <w:t xml:space="preserve">esinurad non metabolizzato e ~64% sono metaboliti inattivi) e feci (~30%) </w:t>
      </w:r>
      <w:r w:rsidRPr="00865528">
        <w:rPr>
          <w:rFonts w:cs="Arial"/>
          <w:sz w:val="20"/>
          <w:szCs w:val="20"/>
        </w:rPr>
        <w:t>(</w:t>
      </w:r>
      <w:r w:rsidR="00E54BFE" w:rsidRPr="0038187C">
        <w:rPr>
          <w:rFonts w:cstheme="minorHAnsi"/>
          <w:color w:val="0000FF"/>
          <w:sz w:val="20"/>
          <w:szCs w:val="20"/>
        </w:rPr>
        <w:t>SmPC Zurampic, EPAR, 2015 (</w:t>
      </w:r>
      <w:r w:rsidR="00E54BFE">
        <w:rPr>
          <w:rFonts w:cstheme="minorHAnsi"/>
          <w:color w:val="0000FF"/>
          <w:sz w:val="20"/>
          <w:szCs w:val="20"/>
        </w:rPr>
        <w:t>1</w:t>
      </w:r>
      <w:r w:rsidR="00E54BFE" w:rsidRPr="0038187C">
        <w:rPr>
          <w:rFonts w:cstheme="minorHAnsi"/>
          <w:color w:val="0000FF"/>
          <w:sz w:val="20"/>
          <w:szCs w:val="20"/>
        </w:rPr>
        <w:t>)</w:t>
      </w:r>
      <w:r>
        <w:rPr>
          <w:rFonts w:cs="Arial"/>
          <w:color w:val="0000FF"/>
          <w:sz w:val="20"/>
          <w:szCs w:val="20"/>
        </w:rPr>
        <w:t xml:space="preserve">; </w:t>
      </w:r>
      <w:r w:rsidR="00563FA4">
        <w:rPr>
          <w:rFonts w:cs="Arial"/>
          <w:color w:val="0000FF"/>
          <w:sz w:val="20"/>
          <w:szCs w:val="20"/>
        </w:rPr>
        <w:t>EPAR, 2015 (42)</w:t>
      </w:r>
      <w:r>
        <w:rPr>
          <w:rFonts w:cs="Arial"/>
          <w:sz w:val="20"/>
          <w:szCs w:val="20"/>
        </w:rPr>
        <w:t>).</w:t>
      </w:r>
    </w:p>
    <w:p w14:paraId="7AC61D0C" w14:textId="59D4BD3E" w:rsidR="00743E2A" w:rsidRDefault="00743E2A" w:rsidP="00743E2A">
      <w:pPr>
        <w:widowControl w:val="0"/>
        <w:autoSpaceDE w:val="0"/>
        <w:autoSpaceDN w:val="0"/>
        <w:adjustRightInd w:val="0"/>
        <w:spacing w:line="360" w:lineRule="auto"/>
        <w:rPr>
          <w:rFonts w:cs="Arial"/>
          <w:sz w:val="20"/>
          <w:szCs w:val="20"/>
        </w:rPr>
      </w:pPr>
      <w:r w:rsidRPr="00743E2A">
        <w:rPr>
          <w:rFonts w:cs="Arial"/>
          <w:sz w:val="20"/>
          <w:szCs w:val="20"/>
        </w:rPr>
        <w:t xml:space="preserve">Lesinurad per le sue peculiarità farmacologiche si </w:t>
      </w:r>
      <w:r w:rsidRPr="009362C7">
        <w:rPr>
          <w:rFonts w:cs="Arial"/>
          <w:b/>
          <w:sz w:val="20"/>
          <w:szCs w:val="20"/>
        </w:rPr>
        <w:t>differenzia in maniera netta rispetto ai precedenti uricosurici (e.g. probenecid e benzbromarone)</w:t>
      </w:r>
      <w:r w:rsidRPr="00743E2A">
        <w:rPr>
          <w:rFonts w:cs="Arial"/>
          <w:sz w:val="20"/>
          <w:szCs w:val="20"/>
        </w:rPr>
        <w:t>, che presentavano non solo limiti di efficacia ma soprattutto di sicurezza, motivo per cui sono stati ritirati dal commercio in Italia e in molti dei paesi europei; ad es</w:t>
      </w:r>
      <w:r w:rsidR="009362C7">
        <w:rPr>
          <w:rFonts w:cs="Arial"/>
          <w:sz w:val="20"/>
          <w:szCs w:val="20"/>
        </w:rPr>
        <w:t>empio</w:t>
      </w:r>
      <w:r w:rsidRPr="00743E2A">
        <w:rPr>
          <w:rFonts w:cs="Arial"/>
          <w:sz w:val="20"/>
          <w:szCs w:val="20"/>
        </w:rPr>
        <w:t xml:space="preserve"> probenecid altera il metabolismo e la potenza di molti farmaci (come ad esempio FANS, metotrexato e penicillina)</w:t>
      </w:r>
      <w:r w:rsidR="009362C7">
        <w:rPr>
          <w:rFonts w:cs="Arial"/>
          <w:sz w:val="20"/>
          <w:szCs w:val="20"/>
        </w:rPr>
        <w:t>,</w:t>
      </w:r>
      <w:r w:rsidRPr="00743E2A">
        <w:rPr>
          <w:rFonts w:cs="Arial"/>
          <w:sz w:val="20"/>
          <w:szCs w:val="20"/>
        </w:rPr>
        <w:t xml:space="preserve"> riducendone l’escrezione renale (tramite l’azione inibitoria su OAT1 e OAT3), il metabolismo e l’assorbimento epatico. Un terzo dei pazienti sviluppa intolleranza, fino al 18% dei pazienti sviluppa effetti collaterali a livello gastrointestinale e</w:t>
      </w:r>
      <w:r w:rsidR="009362C7">
        <w:rPr>
          <w:rFonts w:cs="Arial"/>
          <w:sz w:val="20"/>
          <w:szCs w:val="20"/>
        </w:rPr>
        <w:t>d</w:t>
      </w:r>
      <w:r w:rsidRPr="00743E2A">
        <w:rPr>
          <w:rFonts w:cs="Arial"/>
          <w:sz w:val="20"/>
          <w:szCs w:val="20"/>
        </w:rPr>
        <w:t xml:space="preserve"> il 5% ipersensibilità e rash (</w:t>
      </w:r>
      <w:r w:rsidRPr="009362C7">
        <w:rPr>
          <w:rFonts w:cs="Arial"/>
          <w:color w:val="0000FF"/>
          <w:sz w:val="20"/>
          <w:szCs w:val="20"/>
        </w:rPr>
        <w:t>Miner, 2016</w:t>
      </w:r>
      <w:r w:rsidR="00A123A8">
        <w:rPr>
          <w:rFonts w:cs="Arial"/>
          <w:color w:val="0000FF"/>
          <w:sz w:val="20"/>
          <w:szCs w:val="20"/>
        </w:rPr>
        <w:t xml:space="preserve"> </w:t>
      </w:r>
      <w:r w:rsidRPr="009362C7">
        <w:rPr>
          <w:rFonts w:cs="Arial"/>
          <w:color w:val="0000FF"/>
          <w:sz w:val="20"/>
          <w:szCs w:val="20"/>
        </w:rPr>
        <w:t>(</w:t>
      </w:r>
      <w:r w:rsidR="00A123A8">
        <w:rPr>
          <w:rFonts w:cs="Arial"/>
          <w:color w:val="0000FF"/>
          <w:sz w:val="20"/>
          <w:szCs w:val="20"/>
        </w:rPr>
        <w:t>4</w:t>
      </w:r>
      <w:r w:rsidRPr="009362C7">
        <w:rPr>
          <w:rFonts w:cs="Arial"/>
          <w:color w:val="0000FF"/>
          <w:sz w:val="20"/>
          <w:szCs w:val="20"/>
        </w:rPr>
        <w:t>)</w:t>
      </w:r>
      <w:r w:rsidR="00D77568">
        <w:rPr>
          <w:rFonts w:cs="Arial"/>
          <w:color w:val="0000FF"/>
          <w:sz w:val="20"/>
          <w:szCs w:val="20"/>
        </w:rPr>
        <w:t>; Cunningham, 1981 (107)</w:t>
      </w:r>
      <w:r w:rsidRPr="00743E2A">
        <w:rPr>
          <w:rFonts w:cs="Arial"/>
          <w:sz w:val="20"/>
          <w:szCs w:val="20"/>
        </w:rPr>
        <w:t>), mentre benzbromarone, anch’esso inibitore ad alta affinità di URAT1, è associato a  epatotossicità  mitocondriale (</w:t>
      </w:r>
      <w:r w:rsidR="00D77568">
        <w:rPr>
          <w:rFonts w:cs="Arial"/>
          <w:color w:val="0000FF"/>
          <w:sz w:val="20"/>
          <w:szCs w:val="20"/>
        </w:rPr>
        <w:t xml:space="preserve">Miner, 2016 (4); </w:t>
      </w:r>
      <w:r w:rsidR="0087651E">
        <w:rPr>
          <w:rFonts w:cs="Arial"/>
          <w:color w:val="0000FF"/>
          <w:sz w:val="20"/>
          <w:szCs w:val="20"/>
        </w:rPr>
        <w:t>Lee M-HH, 2008 (108</w:t>
      </w:r>
      <w:r w:rsidR="00E42F17">
        <w:rPr>
          <w:rFonts w:cs="Arial"/>
          <w:color w:val="0000FF"/>
          <w:sz w:val="20"/>
          <w:szCs w:val="20"/>
        </w:rPr>
        <w:t>)</w:t>
      </w:r>
      <w:r w:rsidRPr="00743E2A">
        <w:rPr>
          <w:rFonts w:cs="Arial"/>
          <w:sz w:val="20"/>
          <w:szCs w:val="20"/>
        </w:rPr>
        <w:t xml:space="preserve">). </w:t>
      </w:r>
    </w:p>
    <w:p w14:paraId="3239B119" w14:textId="77777777" w:rsidR="0049072F" w:rsidRDefault="0049072F" w:rsidP="00EE6F19">
      <w:pPr>
        <w:widowControl w:val="0"/>
        <w:autoSpaceDE w:val="0"/>
        <w:autoSpaceDN w:val="0"/>
        <w:adjustRightInd w:val="0"/>
        <w:spacing w:line="360" w:lineRule="auto"/>
        <w:rPr>
          <w:rFonts w:cs="Arial"/>
          <w:sz w:val="20"/>
          <w:szCs w:val="20"/>
        </w:rPr>
      </w:pPr>
    </w:p>
    <w:p w14:paraId="3A9E36FD" w14:textId="6A799BF6" w:rsidR="00864646" w:rsidRPr="0049072F" w:rsidRDefault="00864646" w:rsidP="00EE6F19">
      <w:pPr>
        <w:widowControl w:val="0"/>
        <w:autoSpaceDE w:val="0"/>
        <w:autoSpaceDN w:val="0"/>
        <w:adjustRightInd w:val="0"/>
        <w:spacing w:line="360" w:lineRule="auto"/>
        <w:rPr>
          <w:rFonts w:cs="Arial"/>
          <w:b/>
          <w:sz w:val="20"/>
          <w:szCs w:val="20"/>
        </w:rPr>
      </w:pPr>
      <w:r w:rsidRPr="0049072F">
        <w:rPr>
          <w:rFonts w:cs="Arial"/>
          <w:b/>
          <w:sz w:val="20"/>
          <w:szCs w:val="20"/>
        </w:rPr>
        <w:t>Di conseguenza, rispetto agli altri uricosurici, il meccanismo d’azione di lesinurad e le sue peculiarità farmacologiche</w:t>
      </w:r>
      <w:r w:rsidR="005153BE" w:rsidRPr="0049072F">
        <w:rPr>
          <w:rFonts w:cs="Arial"/>
          <w:b/>
          <w:sz w:val="20"/>
          <w:szCs w:val="20"/>
        </w:rPr>
        <w:t xml:space="preserve">, come confermato dall’esperto Prof. </w:t>
      </w:r>
      <w:r w:rsidR="00753598">
        <w:rPr>
          <w:rFonts w:cs="Arial"/>
          <w:b/>
          <w:sz w:val="20"/>
          <w:szCs w:val="20"/>
        </w:rPr>
        <w:t>Punzi Direttore U.O.C. di Reumatologia, Università degli Studi di Padova</w:t>
      </w:r>
      <w:r w:rsidR="005153BE" w:rsidRPr="0049072F">
        <w:rPr>
          <w:rFonts w:cs="Arial"/>
          <w:b/>
          <w:sz w:val="20"/>
          <w:szCs w:val="20"/>
        </w:rPr>
        <w:t xml:space="preserve"> (</w:t>
      </w:r>
      <w:hyperlink w:anchor="Allegato1" w:history="1">
        <w:r w:rsidR="005153BE" w:rsidRPr="0049072F">
          <w:rPr>
            <w:rStyle w:val="Hyperlink"/>
            <w:rFonts w:cs="Arial"/>
            <w:b/>
            <w:sz w:val="20"/>
            <w:szCs w:val="20"/>
          </w:rPr>
          <w:t>Allegato 1</w:t>
        </w:r>
      </w:hyperlink>
      <w:r w:rsidR="005153BE" w:rsidRPr="0049072F">
        <w:rPr>
          <w:rFonts w:cs="Arial"/>
          <w:b/>
          <w:sz w:val="20"/>
          <w:szCs w:val="20"/>
        </w:rPr>
        <w:t>),</w:t>
      </w:r>
      <w:r w:rsidRPr="0049072F">
        <w:rPr>
          <w:rFonts w:cs="Arial"/>
          <w:b/>
          <w:sz w:val="20"/>
          <w:szCs w:val="20"/>
        </w:rPr>
        <w:t xml:space="preserve"> lo rendono l’uricosurico con il profilo di sicurezza </w:t>
      </w:r>
      <w:r w:rsidR="0049072F">
        <w:rPr>
          <w:rFonts w:cs="Arial"/>
          <w:b/>
          <w:sz w:val="20"/>
          <w:szCs w:val="20"/>
        </w:rPr>
        <w:t>ottimale</w:t>
      </w:r>
      <w:r w:rsidR="00865528" w:rsidRPr="0049072F">
        <w:rPr>
          <w:rFonts w:cs="Arial"/>
          <w:b/>
          <w:sz w:val="20"/>
          <w:szCs w:val="20"/>
        </w:rPr>
        <w:t>, tanto che l’uso ne è autorizzato anche nei pazienti con insufficienza renale lieve e moderata come anche con insufficienza epatica lieve e moderata senza modifiche del dosaggio (</w:t>
      </w:r>
      <w:r w:rsidR="00865528" w:rsidRPr="0049072F">
        <w:rPr>
          <w:rFonts w:cs="Arial"/>
          <w:b/>
          <w:color w:val="0000FF"/>
          <w:sz w:val="20"/>
          <w:szCs w:val="20"/>
        </w:rPr>
        <w:t>SmPC</w:t>
      </w:r>
      <w:r w:rsidR="0018676B" w:rsidRPr="0018676B">
        <w:rPr>
          <w:rFonts w:cs="Arial"/>
          <w:b/>
          <w:color w:val="0000FF"/>
          <w:sz w:val="20"/>
          <w:szCs w:val="20"/>
        </w:rPr>
        <w:t xml:space="preserve"> </w:t>
      </w:r>
      <w:r w:rsidR="0018676B" w:rsidRPr="0049072F">
        <w:rPr>
          <w:rFonts w:cs="Arial"/>
          <w:b/>
          <w:color w:val="0000FF"/>
          <w:sz w:val="20"/>
          <w:szCs w:val="20"/>
        </w:rPr>
        <w:t>Zurampic</w:t>
      </w:r>
      <w:r w:rsidR="00865528" w:rsidRPr="0049072F">
        <w:rPr>
          <w:rFonts w:cs="Arial"/>
          <w:b/>
          <w:color w:val="0000FF"/>
          <w:sz w:val="20"/>
          <w:szCs w:val="20"/>
        </w:rPr>
        <w:t>, EPAR, 2015 (</w:t>
      </w:r>
      <w:r w:rsidR="0018676B">
        <w:rPr>
          <w:rFonts w:cs="Arial"/>
          <w:b/>
          <w:color w:val="0000FF"/>
          <w:sz w:val="20"/>
          <w:szCs w:val="20"/>
        </w:rPr>
        <w:t>1</w:t>
      </w:r>
      <w:r w:rsidR="00865528" w:rsidRPr="0049072F">
        <w:rPr>
          <w:rFonts w:cs="Arial"/>
          <w:b/>
          <w:color w:val="0000FF"/>
          <w:sz w:val="20"/>
          <w:szCs w:val="20"/>
        </w:rPr>
        <w:t>)</w:t>
      </w:r>
      <w:r w:rsidR="00865528" w:rsidRPr="0049072F">
        <w:rPr>
          <w:rFonts w:cs="Arial"/>
          <w:b/>
          <w:sz w:val="20"/>
          <w:szCs w:val="20"/>
        </w:rPr>
        <w:t>)</w:t>
      </w:r>
      <w:r w:rsidRPr="0049072F">
        <w:rPr>
          <w:rFonts w:cs="Arial"/>
          <w:b/>
          <w:sz w:val="20"/>
          <w:szCs w:val="20"/>
        </w:rPr>
        <w:t xml:space="preserve">. </w:t>
      </w:r>
    </w:p>
    <w:p w14:paraId="1BB0139B" w14:textId="57111805" w:rsidR="00865528" w:rsidRDefault="00AF5C2F" w:rsidP="00EE6F19">
      <w:pPr>
        <w:widowControl w:val="0"/>
        <w:autoSpaceDE w:val="0"/>
        <w:autoSpaceDN w:val="0"/>
        <w:adjustRightInd w:val="0"/>
        <w:spacing w:line="360" w:lineRule="auto"/>
        <w:rPr>
          <w:rFonts w:cs="Arial"/>
          <w:sz w:val="20"/>
          <w:szCs w:val="20"/>
        </w:rPr>
      </w:pPr>
      <w:r>
        <w:rPr>
          <w:rFonts w:cs="Arial"/>
          <w:sz w:val="20"/>
          <w:szCs w:val="20"/>
        </w:rPr>
        <w:t>Infatti, a</w:t>
      </w:r>
      <w:r w:rsidR="006148F5">
        <w:rPr>
          <w:rFonts w:cs="Arial"/>
          <w:sz w:val="20"/>
          <w:szCs w:val="20"/>
        </w:rPr>
        <w:t xml:space="preserve"> seguito di controlli periodici, si è evidenziato che tra il gruppo lesinurad ed il gruppo placebo non c’era una differenza rilevante negli aumenti degli enzimi epatici. Inoltre non si sono verificati con lesinurad in tutto il safety database casi di epatotossicità indotta da farmaco. Gli eventi avversi appartenenti alla categoria “disordini epatobiliari”</w:t>
      </w:r>
      <w:r>
        <w:rPr>
          <w:rFonts w:cs="Arial"/>
          <w:sz w:val="20"/>
          <w:szCs w:val="20"/>
        </w:rPr>
        <w:t xml:space="preserve"> erano leggeremente più frequenti per lesinuard  200 mg (2,3%) rispetto a placebo (1,2%). I dati a lungo termine (24 mesi) non hanno evidenziato una tendenza all’aumento di disordini epatobiliari o segnali di iperplasia del dotto biliare (</w:t>
      </w:r>
      <w:r w:rsidR="00563FA4">
        <w:rPr>
          <w:rFonts w:cs="Arial"/>
          <w:color w:val="0000FF"/>
          <w:sz w:val="20"/>
          <w:szCs w:val="20"/>
        </w:rPr>
        <w:t>EPAR, 2015 (42)</w:t>
      </w:r>
      <w:r>
        <w:rPr>
          <w:rFonts w:cs="Arial"/>
          <w:sz w:val="20"/>
          <w:szCs w:val="20"/>
        </w:rPr>
        <w:t>).</w:t>
      </w:r>
    </w:p>
    <w:p w14:paraId="1BE3AC95" w14:textId="2EABD011" w:rsidR="00864646" w:rsidRDefault="00864646" w:rsidP="00EE6F19">
      <w:pPr>
        <w:widowControl w:val="0"/>
        <w:autoSpaceDE w:val="0"/>
        <w:autoSpaceDN w:val="0"/>
        <w:adjustRightInd w:val="0"/>
        <w:spacing w:line="360" w:lineRule="auto"/>
        <w:rPr>
          <w:rFonts w:cs="Arial"/>
          <w:sz w:val="20"/>
          <w:szCs w:val="20"/>
        </w:rPr>
      </w:pPr>
      <w:r>
        <w:rPr>
          <w:rFonts w:cs="Arial"/>
          <w:sz w:val="20"/>
          <w:szCs w:val="20"/>
        </w:rPr>
        <w:t>E’ degno di</w:t>
      </w:r>
      <w:r w:rsidR="00AF5C2F">
        <w:rPr>
          <w:rFonts w:cs="Arial"/>
          <w:sz w:val="20"/>
          <w:szCs w:val="20"/>
        </w:rPr>
        <w:t xml:space="preserve"> nota che gli antipertensivi co</w:t>
      </w:r>
      <w:r>
        <w:rPr>
          <w:rFonts w:cs="Arial"/>
          <w:sz w:val="20"/>
          <w:szCs w:val="20"/>
        </w:rPr>
        <w:t>m</w:t>
      </w:r>
      <w:r w:rsidR="00AF5C2F">
        <w:rPr>
          <w:rFonts w:cs="Arial"/>
          <w:sz w:val="20"/>
          <w:szCs w:val="20"/>
        </w:rPr>
        <w:t>e</w:t>
      </w:r>
      <w:r>
        <w:rPr>
          <w:rFonts w:cs="Arial"/>
          <w:sz w:val="20"/>
          <w:szCs w:val="20"/>
        </w:rPr>
        <w:t xml:space="preserve"> i diuretici tiazidici </w:t>
      </w:r>
      <w:r w:rsidR="00CE60E6">
        <w:rPr>
          <w:rFonts w:cs="Arial"/>
          <w:sz w:val="20"/>
          <w:szCs w:val="20"/>
        </w:rPr>
        <w:t xml:space="preserve">e l’aspirina a basse dosi per la prevenzione cardiovascolare </w:t>
      </w:r>
      <w:r>
        <w:rPr>
          <w:rFonts w:cs="Arial"/>
          <w:sz w:val="20"/>
          <w:szCs w:val="20"/>
        </w:rPr>
        <w:t xml:space="preserve">riducono l’escrezione renale di acido urico attivando OAT4, quindi aumentando il rischio di sviluppare </w:t>
      </w:r>
      <w:r w:rsidR="00743E2A">
        <w:rPr>
          <w:rFonts w:cs="Arial"/>
          <w:sz w:val="20"/>
          <w:szCs w:val="20"/>
        </w:rPr>
        <w:t>iperuricemia</w:t>
      </w:r>
      <w:r w:rsidR="0049072F">
        <w:rPr>
          <w:rFonts w:cs="Arial"/>
          <w:sz w:val="20"/>
          <w:szCs w:val="20"/>
        </w:rPr>
        <w:t xml:space="preserve"> </w:t>
      </w:r>
      <w:r w:rsidR="00CE60E6" w:rsidRPr="00174FF1">
        <w:rPr>
          <w:rFonts w:cs="Arial"/>
          <w:sz w:val="20"/>
          <w:szCs w:val="20"/>
        </w:rPr>
        <w:t>(</w:t>
      </w:r>
      <w:r w:rsidR="00563FA4">
        <w:rPr>
          <w:rFonts w:cs="Arial"/>
          <w:color w:val="0000FF"/>
          <w:sz w:val="20"/>
          <w:szCs w:val="20"/>
        </w:rPr>
        <w:t>Choi, 2006 (43)</w:t>
      </w:r>
      <w:r w:rsidR="00CE60E6" w:rsidRPr="0049072F">
        <w:rPr>
          <w:rFonts w:cs="Arial"/>
          <w:color w:val="0000FF"/>
          <w:sz w:val="20"/>
          <w:szCs w:val="20"/>
        </w:rPr>
        <w:t xml:space="preserve">; </w:t>
      </w:r>
      <w:r w:rsidR="001679CC">
        <w:rPr>
          <w:rFonts w:cs="Arial"/>
          <w:color w:val="0000FF"/>
          <w:sz w:val="20"/>
          <w:szCs w:val="20"/>
        </w:rPr>
        <w:t>Rosch, 2004 (44)</w:t>
      </w:r>
      <w:r w:rsidR="00CE60E6" w:rsidRPr="00174FF1">
        <w:rPr>
          <w:rFonts w:cs="Arial"/>
          <w:sz w:val="20"/>
          <w:szCs w:val="20"/>
        </w:rPr>
        <w:t>)</w:t>
      </w:r>
      <w:r>
        <w:rPr>
          <w:rFonts w:cs="Arial"/>
          <w:sz w:val="20"/>
          <w:szCs w:val="20"/>
        </w:rPr>
        <w:t xml:space="preserve">. Grazie alla capacità di lesinurad di inibire OAT4, il farmaco </w:t>
      </w:r>
      <w:r w:rsidR="00743E2A">
        <w:rPr>
          <w:rFonts w:cs="Arial"/>
          <w:sz w:val="20"/>
          <w:szCs w:val="20"/>
        </w:rPr>
        <w:t>contrasta</w:t>
      </w:r>
      <w:r>
        <w:rPr>
          <w:rFonts w:cs="Arial"/>
          <w:sz w:val="20"/>
          <w:szCs w:val="20"/>
        </w:rPr>
        <w:t xml:space="preserve"> gli effetti dei diuretici tiazidici</w:t>
      </w:r>
      <w:r w:rsidR="00C01CE8">
        <w:rPr>
          <w:rFonts w:cs="Arial"/>
          <w:sz w:val="20"/>
          <w:szCs w:val="20"/>
        </w:rPr>
        <w:t xml:space="preserve"> di aumentare i livelli di sUA</w:t>
      </w:r>
      <w:r>
        <w:rPr>
          <w:rFonts w:cs="Arial"/>
          <w:sz w:val="20"/>
          <w:szCs w:val="20"/>
        </w:rPr>
        <w:t>, a beneficio di quei pazienti con gotta trattati per l’ipertensione</w:t>
      </w:r>
      <w:r w:rsidR="00C01CE8">
        <w:rPr>
          <w:rFonts w:cs="Arial"/>
          <w:sz w:val="20"/>
          <w:szCs w:val="20"/>
        </w:rPr>
        <w:t xml:space="preserve"> (</w:t>
      </w:r>
      <w:r w:rsidR="00E54BFE">
        <w:rPr>
          <w:rFonts w:cs="Arial"/>
          <w:color w:val="0000FF"/>
          <w:sz w:val="20"/>
          <w:szCs w:val="20"/>
        </w:rPr>
        <w:t>Miner, 2016 (4)</w:t>
      </w:r>
      <w:r w:rsidR="00C01CE8">
        <w:rPr>
          <w:rFonts w:cs="Arial"/>
          <w:sz w:val="20"/>
          <w:szCs w:val="20"/>
        </w:rPr>
        <w:t>)</w:t>
      </w:r>
      <w:r>
        <w:rPr>
          <w:rFonts w:cs="Arial"/>
          <w:sz w:val="20"/>
          <w:szCs w:val="20"/>
        </w:rPr>
        <w:t xml:space="preserve">. </w:t>
      </w:r>
      <w:r w:rsidR="00C01CE8">
        <w:rPr>
          <w:rFonts w:cs="Arial"/>
          <w:sz w:val="20"/>
          <w:szCs w:val="20"/>
        </w:rPr>
        <w:t>Il programma di sviluppo clinico di lesinurad prevedeva pazienti in trattamento concomitante con tiazidici e diuretici simil-tiazidici al basale (</w:t>
      </w:r>
      <w:hyperlink w:anchor="Paragrafo44" w:history="1">
        <w:r w:rsidR="00C01CE8" w:rsidRPr="00F759F0">
          <w:rPr>
            <w:rStyle w:val="Hyperlink"/>
            <w:rFonts w:cs="Arial"/>
            <w:sz w:val="20"/>
            <w:szCs w:val="20"/>
          </w:rPr>
          <w:t>Paragrafo 4.4</w:t>
        </w:r>
      </w:hyperlink>
      <w:r w:rsidR="00C01CE8">
        <w:rPr>
          <w:rFonts w:cs="Arial"/>
          <w:sz w:val="20"/>
          <w:szCs w:val="20"/>
        </w:rPr>
        <w:t>)</w:t>
      </w:r>
      <w:r w:rsidR="008565DD">
        <w:rPr>
          <w:rFonts w:cs="Arial"/>
          <w:sz w:val="20"/>
          <w:szCs w:val="20"/>
        </w:rPr>
        <w:t>.</w:t>
      </w:r>
      <w:r w:rsidR="00743E2A">
        <w:rPr>
          <w:rFonts w:cs="Arial"/>
          <w:sz w:val="20"/>
          <w:szCs w:val="20"/>
        </w:rPr>
        <w:t xml:space="preserve"> </w:t>
      </w:r>
      <w:r w:rsidR="00CE60E6">
        <w:rPr>
          <w:rFonts w:cs="Arial"/>
          <w:sz w:val="20"/>
          <w:szCs w:val="20"/>
        </w:rPr>
        <w:t xml:space="preserve"> </w:t>
      </w:r>
    </w:p>
    <w:p w14:paraId="01B1ADD5" w14:textId="331DCA98" w:rsidR="00495D8A" w:rsidRDefault="00495D8A" w:rsidP="00EE6F19">
      <w:pPr>
        <w:widowControl w:val="0"/>
        <w:autoSpaceDE w:val="0"/>
        <w:autoSpaceDN w:val="0"/>
        <w:adjustRightInd w:val="0"/>
        <w:spacing w:line="360" w:lineRule="auto"/>
        <w:rPr>
          <w:rFonts w:cs="Arial"/>
          <w:sz w:val="20"/>
          <w:szCs w:val="20"/>
        </w:rPr>
      </w:pPr>
    </w:p>
    <w:p w14:paraId="771FDEFC" w14:textId="1DD37F5D" w:rsidR="001A0C27" w:rsidRDefault="001A0C27" w:rsidP="00EE6F19">
      <w:pPr>
        <w:widowControl w:val="0"/>
        <w:autoSpaceDE w:val="0"/>
        <w:autoSpaceDN w:val="0"/>
        <w:adjustRightInd w:val="0"/>
        <w:spacing w:line="360" w:lineRule="auto"/>
        <w:rPr>
          <w:rFonts w:cs="Arial"/>
          <w:sz w:val="20"/>
          <w:szCs w:val="20"/>
        </w:rPr>
      </w:pPr>
      <w:r w:rsidRPr="001A0C27">
        <w:rPr>
          <w:rFonts w:cs="Arial"/>
          <w:sz w:val="20"/>
          <w:szCs w:val="20"/>
        </w:rPr>
        <w:t>Per concludere: “</w:t>
      </w:r>
      <w:r w:rsidRPr="001A0C27">
        <w:rPr>
          <w:rFonts w:cs="Arial"/>
          <w:b/>
          <w:i/>
          <w:sz w:val="20"/>
          <w:szCs w:val="20"/>
        </w:rPr>
        <w:t xml:space="preserve">l’azione di lesinurad contrasta l’insufficiente escrezione di acido urico che è comune nei pazienti affetti da gotta. La combinazione dei due meccanismi di trattamento, inibizione della produzione con XOI e inibizione del riassorbimento con un inibitore selettivo </w:t>
      </w:r>
      <w:r w:rsidRPr="001A0C27">
        <w:rPr>
          <w:rFonts w:cs="Arial"/>
          <w:b/>
          <w:sz w:val="20"/>
          <w:szCs w:val="20"/>
        </w:rPr>
        <w:t>(come lesinurad)</w:t>
      </w:r>
      <w:r w:rsidRPr="001A0C27">
        <w:rPr>
          <w:rFonts w:cs="Arial"/>
          <w:b/>
          <w:i/>
          <w:sz w:val="20"/>
          <w:szCs w:val="20"/>
        </w:rPr>
        <w:t xml:space="preserve">, costituisce un approccio potente alla riduzione dei livelli </w:t>
      </w:r>
      <w:r w:rsidR="00AF5C2F">
        <w:rPr>
          <w:rFonts w:cs="Arial"/>
          <w:b/>
          <w:i/>
          <w:sz w:val="20"/>
          <w:szCs w:val="20"/>
        </w:rPr>
        <w:t>s</w:t>
      </w:r>
      <w:r w:rsidR="005848A1">
        <w:rPr>
          <w:rFonts w:cs="Arial"/>
          <w:b/>
          <w:i/>
          <w:sz w:val="20"/>
          <w:szCs w:val="20"/>
        </w:rPr>
        <w:t>UA</w:t>
      </w:r>
      <w:r w:rsidRPr="001A0C27">
        <w:rPr>
          <w:rFonts w:cs="Arial"/>
          <w:b/>
          <w:i/>
          <w:sz w:val="20"/>
          <w:szCs w:val="20"/>
        </w:rPr>
        <w:t xml:space="preserve">. Lesinurad ha mostrato una significativa attività inibente su URAT 1 e OAT4, che </w:t>
      </w:r>
      <w:r w:rsidRPr="005179B0">
        <w:rPr>
          <w:rFonts w:cs="Arial"/>
          <w:b/>
          <w:i/>
          <w:sz w:val="20"/>
          <w:szCs w:val="20"/>
        </w:rPr>
        <w:t>probabilmente</w:t>
      </w:r>
      <w:r w:rsidRPr="001A0C27">
        <w:rPr>
          <w:rFonts w:cs="Arial"/>
          <w:b/>
          <w:i/>
          <w:sz w:val="20"/>
          <w:szCs w:val="20"/>
        </w:rPr>
        <w:t xml:space="preserve"> spiega i suoi effetti farmacodinamici, così come un profilo di selettività in vitro migliore, rispetto ad altri farmaci che inibiscono il riassorbimento dell’urato. Lesinurad rappresenta dunque una nuova opzione di trattamento per l’iperuricemia associata alla gotta in combinazione con XOI</w:t>
      </w:r>
      <w:r w:rsidR="00C96441">
        <w:rPr>
          <w:rFonts w:cs="Arial"/>
          <w:sz w:val="20"/>
          <w:szCs w:val="20"/>
        </w:rPr>
        <w:t>”</w:t>
      </w:r>
      <w:r w:rsidR="00C96441" w:rsidRPr="00C96441">
        <w:rPr>
          <w:rFonts w:cs="Arial"/>
          <w:sz w:val="20"/>
          <w:szCs w:val="20"/>
        </w:rPr>
        <w:t xml:space="preserve"> (</w:t>
      </w:r>
      <w:r w:rsidR="00E54BFE">
        <w:rPr>
          <w:color w:val="0000FF"/>
          <w:sz w:val="20"/>
          <w:szCs w:val="20"/>
        </w:rPr>
        <w:t>Miner, 2016 (4)</w:t>
      </w:r>
      <w:r w:rsidR="00C96441">
        <w:rPr>
          <w:rFonts w:cs="Arial"/>
          <w:sz w:val="20"/>
          <w:szCs w:val="20"/>
        </w:rPr>
        <w:t>).</w:t>
      </w:r>
    </w:p>
    <w:p w14:paraId="5903040C" w14:textId="77777777" w:rsidR="000210A2" w:rsidRDefault="000210A2" w:rsidP="00EE6F19">
      <w:pPr>
        <w:widowControl w:val="0"/>
        <w:autoSpaceDE w:val="0"/>
        <w:autoSpaceDN w:val="0"/>
        <w:adjustRightInd w:val="0"/>
        <w:spacing w:line="360" w:lineRule="auto"/>
        <w:rPr>
          <w:rFonts w:cs="Arial"/>
          <w:sz w:val="20"/>
          <w:szCs w:val="20"/>
        </w:rPr>
      </w:pPr>
    </w:p>
    <w:p w14:paraId="5682813B" w14:textId="6ECACFB1" w:rsidR="00AA3386" w:rsidRPr="00E21542" w:rsidRDefault="00E21542" w:rsidP="00E21542">
      <w:pPr>
        <w:pStyle w:val="Heading2"/>
        <w:jc w:val="left"/>
        <w:rPr>
          <w:rFonts w:asciiTheme="minorHAnsi" w:hAnsiTheme="minorHAnsi" w:cstheme="minorHAnsi"/>
          <w:i w:val="0"/>
          <w:sz w:val="20"/>
          <w:u w:val="single"/>
        </w:rPr>
      </w:pPr>
      <w:bookmarkStart w:id="75" w:name="Paragrafo44"/>
      <w:bookmarkStart w:id="76" w:name="_Toc473184558"/>
      <w:bookmarkEnd w:id="75"/>
      <w:r w:rsidRPr="00E21542">
        <w:rPr>
          <w:rFonts w:asciiTheme="minorHAnsi" w:hAnsiTheme="minorHAnsi" w:cstheme="minorHAnsi"/>
          <w:i w:val="0"/>
          <w:sz w:val="20"/>
        </w:rPr>
        <w:t xml:space="preserve">4.4 </w:t>
      </w:r>
      <w:r w:rsidR="00AA3386" w:rsidRPr="00E21542">
        <w:rPr>
          <w:rFonts w:asciiTheme="minorHAnsi" w:hAnsiTheme="minorHAnsi" w:cstheme="minorHAnsi"/>
          <w:i w:val="0"/>
          <w:sz w:val="20"/>
          <w:u w:val="single"/>
        </w:rPr>
        <w:t>Entità dell’effetto terapeutico sulla condizione morbosa</w:t>
      </w:r>
      <w:bookmarkEnd w:id="76"/>
    </w:p>
    <w:p w14:paraId="79AD5FB8" w14:textId="77777777" w:rsidR="00EE6F19" w:rsidRPr="00E333C0" w:rsidRDefault="00EE6F19" w:rsidP="00EE6F19">
      <w:pPr>
        <w:pStyle w:val="NoSpacing"/>
        <w:rPr>
          <w:color w:val="A6A6A6"/>
        </w:rPr>
      </w:pPr>
      <w:r w:rsidRPr="00E333C0">
        <w:rPr>
          <w:color w:val="A6A6A6"/>
        </w:rPr>
        <w:t xml:space="preserve">4.4a </w:t>
      </w:r>
      <w:r w:rsidRPr="00E333C0">
        <w:rPr>
          <w:color w:val="A6A6A6"/>
        </w:rPr>
        <w:tab/>
        <w:t>abolizione/eradicazione della malattia</w:t>
      </w:r>
    </w:p>
    <w:p w14:paraId="0B3E13A7" w14:textId="77777777" w:rsidR="00EE6F19" w:rsidRPr="00E333C0" w:rsidRDefault="00EE6F19" w:rsidP="00EE6F19">
      <w:pPr>
        <w:pStyle w:val="NoSpacing"/>
        <w:rPr>
          <w:b/>
        </w:rPr>
      </w:pPr>
      <w:r w:rsidRPr="00E333C0">
        <w:rPr>
          <w:b/>
        </w:rPr>
        <w:t xml:space="preserve">4.4b </w:t>
      </w:r>
      <w:r w:rsidRPr="00E333C0">
        <w:rPr>
          <w:b/>
        </w:rPr>
        <w:tab/>
        <w:t>miglioramento marcato</w:t>
      </w:r>
    </w:p>
    <w:p w14:paraId="6784A03E" w14:textId="77777777" w:rsidR="00EE6F19" w:rsidRPr="00E333C0" w:rsidRDefault="00EE6F19" w:rsidP="00EE6F19">
      <w:pPr>
        <w:pStyle w:val="NoSpacing"/>
        <w:rPr>
          <w:color w:val="A6A6A6"/>
        </w:rPr>
      </w:pPr>
      <w:r w:rsidRPr="00E333C0">
        <w:rPr>
          <w:color w:val="A6A6A6"/>
        </w:rPr>
        <w:t xml:space="preserve">4.4c </w:t>
      </w:r>
      <w:r w:rsidRPr="00E333C0">
        <w:rPr>
          <w:color w:val="A6A6A6"/>
        </w:rPr>
        <w:tab/>
        <w:t>miglioramento lieve</w:t>
      </w:r>
    </w:p>
    <w:p w14:paraId="66045BAA" w14:textId="77777777" w:rsidR="00EE6F19" w:rsidRPr="00E333C0" w:rsidRDefault="00EE6F19" w:rsidP="00EE6F19">
      <w:pPr>
        <w:pStyle w:val="NoSpacing"/>
        <w:rPr>
          <w:color w:val="A6A6A6"/>
        </w:rPr>
      </w:pPr>
      <w:r w:rsidRPr="00E333C0">
        <w:rPr>
          <w:color w:val="A6A6A6"/>
        </w:rPr>
        <w:t xml:space="preserve">4.4d </w:t>
      </w:r>
      <w:r w:rsidRPr="00E333C0">
        <w:rPr>
          <w:color w:val="A6A6A6"/>
        </w:rPr>
        <w:tab/>
        <w:t>riduzione della progressione</w:t>
      </w:r>
    </w:p>
    <w:p w14:paraId="67A4A9C5" w14:textId="77777777" w:rsidR="00AA3386" w:rsidRPr="00E333C0" w:rsidRDefault="00AA3386" w:rsidP="00EE6F19">
      <w:pPr>
        <w:spacing w:line="360" w:lineRule="auto"/>
        <w:jc w:val="both"/>
        <w:rPr>
          <w:rFonts w:cs="Arial"/>
          <w:sz w:val="20"/>
          <w:szCs w:val="20"/>
          <w:u w:val="single"/>
        </w:rPr>
      </w:pPr>
    </w:p>
    <w:p w14:paraId="7948BA1D" w14:textId="5B1ADBB9" w:rsidR="00EE6F19" w:rsidRPr="00B51382" w:rsidRDefault="00EE6F19" w:rsidP="001D59E9">
      <w:pPr>
        <w:widowControl w:val="0"/>
        <w:autoSpaceDE w:val="0"/>
        <w:autoSpaceDN w:val="0"/>
        <w:adjustRightInd w:val="0"/>
        <w:spacing w:line="360" w:lineRule="auto"/>
        <w:rPr>
          <w:rFonts w:cs="Arial"/>
          <w:sz w:val="20"/>
          <w:szCs w:val="20"/>
        </w:rPr>
      </w:pPr>
      <w:r w:rsidRPr="00E333C0">
        <w:rPr>
          <w:rFonts w:cs="Arial"/>
          <w:b/>
          <w:sz w:val="20"/>
          <w:szCs w:val="20"/>
        </w:rPr>
        <w:t xml:space="preserve">ZURAMPIC (lesinurad) è l'unico farmaco orale approvato a livello Europeo con efficacia dimostrata, in </w:t>
      </w:r>
      <w:r w:rsidR="00D32A17">
        <w:rPr>
          <w:rFonts w:cs="Arial"/>
          <w:b/>
          <w:sz w:val="20"/>
          <w:szCs w:val="20"/>
        </w:rPr>
        <w:t>associazione</w:t>
      </w:r>
      <w:r w:rsidRPr="00E333C0">
        <w:rPr>
          <w:rFonts w:cs="Arial"/>
          <w:b/>
          <w:sz w:val="20"/>
          <w:szCs w:val="20"/>
        </w:rPr>
        <w:t xml:space="preserve"> ad un farmaco XOI, </w:t>
      </w:r>
      <w:r w:rsidR="00896697">
        <w:rPr>
          <w:rFonts w:cs="Arial"/>
          <w:b/>
          <w:sz w:val="20"/>
          <w:szCs w:val="20"/>
        </w:rPr>
        <w:t>n</w:t>
      </w:r>
      <w:r w:rsidR="00896697" w:rsidRPr="00896697">
        <w:rPr>
          <w:rFonts w:cs="Arial"/>
          <w:b/>
          <w:sz w:val="20"/>
          <w:szCs w:val="20"/>
        </w:rPr>
        <w:t xml:space="preserve">el trattamento dell’iperuricemia in pazienti con gotta </w:t>
      </w:r>
      <w:r w:rsidRPr="00E333C0">
        <w:rPr>
          <w:rFonts w:cs="Arial"/>
          <w:b/>
          <w:sz w:val="20"/>
          <w:szCs w:val="20"/>
        </w:rPr>
        <w:t xml:space="preserve">non adeguatamente controllata con uno XOI </w:t>
      </w:r>
      <w:r w:rsidR="00D32A17">
        <w:rPr>
          <w:rFonts w:cs="Arial"/>
          <w:b/>
          <w:sz w:val="20"/>
          <w:szCs w:val="20"/>
        </w:rPr>
        <w:t>in monoterapia</w:t>
      </w:r>
      <w:r w:rsidRPr="00E333C0">
        <w:rPr>
          <w:rFonts w:cs="Arial"/>
          <w:sz w:val="20"/>
          <w:szCs w:val="20"/>
        </w:rPr>
        <w:t xml:space="preserve"> (</w:t>
      </w:r>
      <w:r w:rsidR="00563FA4">
        <w:rPr>
          <w:rFonts w:cs="Arial"/>
          <w:color w:val="0000FF"/>
          <w:sz w:val="20"/>
          <w:szCs w:val="20"/>
        </w:rPr>
        <w:t>EPAR, 2015 (42)</w:t>
      </w:r>
      <w:r w:rsidRPr="00E333C0">
        <w:rPr>
          <w:rFonts w:cs="Arial"/>
          <w:sz w:val="20"/>
          <w:szCs w:val="20"/>
        </w:rPr>
        <w:t>).</w:t>
      </w:r>
    </w:p>
    <w:p w14:paraId="326883A3" w14:textId="40294F1C" w:rsidR="00EE6F19" w:rsidRPr="00EE6F19" w:rsidRDefault="00EE6F19" w:rsidP="001D59E9">
      <w:pPr>
        <w:widowControl w:val="0"/>
        <w:autoSpaceDE w:val="0"/>
        <w:autoSpaceDN w:val="0"/>
        <w:adjustRightInd w:val="0"/>
        <w:spacing w:line="360" w:lineRule="auto"/>
        <w:rPr>
          <w:rFonts w:cs="Arial"/>
          <w:b/>
          <w:sz w:val="20"/>
          <w:szCs w:val="20"/>
        </w:rPr>
      </w:pPr>
      <w:r w:rsidRPr="00EE6F19">
        <w:rPr>
          <w:rFonts w:cs="Arial"/>
          <w:sz w:val="20"/>
          <w:szCs w:val="20"/>
        </w:rPr>
        <w:t xml:space="preserve">Lesinurad è stato ampiamente ed approfonditamente studiato nel corso del Piano di Sviluppo Clinico. Gli studi del programma CLEAR-CRYSTAL rappresentano i primi trial clinici ad aver studiato l’efficacia di una terapia </w:t>
      </w:r>
      <w:r w:rsidRPr="0015527E">
        <w:rPr>
          <w:rFonts w:cs="Arial"/>
          <w:sz w:val="20"/>
          <w:szCs w:val="20"/>
        </w:rPr>
        <w:t xml:space="preserve">orale in pazienti non adeguatamente controllati in terapia con inibitori di xantina ossidasi. L’efficacia e tollerabilità di lesinurad in mono-somministrazione giornaliera e in associazione con un farmaco XOI, è stata studiata in 3 trial clinici multicentrici, randomizzati, in doppio cieco e controllati verso </w:t>
      </w:r>
      <w:r w:rsidR="00492C00" w:rsidRPr="0015527E">
        <w:rPr>
          <w:rFonts w:cs="Arial"/>
          <w:sz w:val="20"/>
          <w:szCs w:val="20"/>
        </w:rPr>
        <w:t xml:space="preserve">un farmaco XOI in associazione a </w:t>
      </w:r>
      <w:r w:rsidRPr="0015527E">
        <w:rPr>
          <w:rFonts w:cs="Arial"/>
          <w:sz w:val="20"/>
          <w:szCs w:val="20"/>
        </w:rPr>
        <w:t xml:space="preserve">placebo, e sulle loro estensioni a lungo termine, in pazienti adulti affetti da iperuricemia e gotta. </w:t>
      </w:r>
      <w:r w:rsidR="00CE60E6" w:rsidRPr="00CE60E6">
        <w:rPr>
          <w:rFonts w:cs="Arial"/>
          <w:sz w:val="20"/>
          <w:szCs w:val="20"/>
        </w:rPr>
        <w:t>Complessivamente in tutto il programma di sviluppo clinico di Lesinurad sono stati inclusi più di 1500 pazienti per le valutazioni di efficacia e 2586 pazienti sono stati valu</w:t>
      </w:r>
      <w:r w:rsidR="00CE60E6">
        <w:rPr>
          <w:rFonts w:cs="Arial"/>
          <w:sz w:val="20"/>
          <w:szCs w:val="20"/>
        </w:rPr>
        <w:t xml:space="preserve">tati per l’analisi della safety </w:t>
      </w:r>
      <w:r w:rsidRPr="00EE6F19">
        <w:rPr>
          <w:rFonts w:cs="Arial"/>
          <w:sz w:val="20"/>
          <w:szCs w:val="20"/>
        </w:rPr>
        <w:t>(</w:t>
      </w:r>
      <w:r w:rsidR="00563FA4">
        <w:rPr>
          <w:rFonts w:cs="Arial"/>
          <w:color w:val="0000FF"/>
          <w:sz w:val="20"/>
          <w:szCs w:val="20"/>
        </w:rPr>
        <w:t>EPAR, 2015 (42)</w:t>
      </w:r>
      <w:r w:rsidRPr="00EE6F19">
        <w:rPr>
          <w:rFonts w:cs="Arial"/>
          <w:sz w:val="20"/>
          <w:szCs w:val="20"/>
        </w:rPr>
        <w:t>)</w:t>
      </w:r>
      <w:r w:rsidR="00CE60E6">
        <w:rPr>
          <w:rFonts w:cs="Arial"/>
          <w:sz w:val="20"/>
          <w:szCs w:val="20"/>
        </w:rPr>
        <w:t>.</w:t>
      </w:r>
    </w:p>
    <w:p w14:paraId="76BEF53A" w14:textId="4658E3D3" w:rsidR="00EE6F19" w:rsidRPr="00EE6F19" w:rsidRDefault="00EE6F19" w:rsidP="001D59E9">
      <w:pPr>
        <w:widowControl w:val="0"/>
        <w:autoSpaceDE w:val="0"/>
        <w:autoSpaceDN w:val="0"/>
        <w:adjustRightInd w:val="0"/>
        <w:spacing w:line="360" w:lineRule="auto"/>
        <w:rPr>
          <w:rFonts w:cs="Arial"/>
          <w:b/>
          <w:sz w:val="20"/>
          <w:szCs w:val="20"/>
        </w:rPr>
      </w:pPr>
      <w:r w:rsidRPr="003E22B3">
        <w:rPr>
          <w:rFonts w:cs="Arial"/>
          <w:sz w:val="20"/>
          <w:szCs w:val="20"/>
        </w:rPr>
        <w:t>Come riportato nell’EPAR:</w:t>
      </w:r>
      <w:r w:rsidRPr="00EE6F19">
        <w:rPr>
          <w:rFonts w:cs="Arial"/>
          <w:b/>
          <w:sz w:val="20"/>
          <w:szCs w:val="20"/>
        </w:rPr>
        <w:t xml:space="preserve"> </w:t>
      </w:r>
      <w:r w:rsidRPr="00EE6F19">
        <w:rPr>
          <w:rFonts w:cs="Arial"/>
          <w:b/>
          <w:i/>
          <w:sz w:val="20"/>
          <w:szCs w:val="20"/>
        </w:rPr>
        <w:t xml:space="preserve">“lesinurad alla dose di 200 mg/die, in </w:t>
      </w:r>
      <w:r w:rsidR="00F50130">
        <w:rPr>
          <w:rFonts w:cs="Arial"/>
          <w:b/>
          <w:i/>
          <w:sz w:val="20"/>
          <w:szCs w:val="20"/>
        </w:rPr>
        <w:t>associazione</w:t>
      </w:r>
      <w:r w:rsidRPr="00EE6F19">
        <w:rPr>
          <w:rFonts w:cs="Arial"/>
          <w:b/>
          <w:i/>
          <w:sz w:val="20"/>
          <w:szCs w:val="20"/>
        </w:rPr>
        <w:t xml:space="preserve"> ad allopurinolo o febuxostat, ha mostrato, nei pazienti con risposta insufficiente alla monoterapia con XOI, effetti di riduzione dell’uricemia rapidi, robusti e sostenuti nel tempo”</w:t>
      </w:r>
      <w:r w:rsidRPr="00EE6F19">
        <w:rPr>
          <w:rFonts w:cs="Arial"/>
          <w:sz w:val="20"/>
          <w:szCs w:val="20"/>
        </w:rPr>
        <w:t xml:space="preserve"> (</w:t>
      </w:r>
      <w:r w:rsidR="00563FA4">
        <w:rPr>
          <w:rFonts w:cs="Arial"/>
          <w:color w:val="0000FF"/>
          <w:sz w:val="20"/>
          <w:szCs w:val="20"/>
        </w:rPr>
        <w:t>EPAR, 2015 (42)</w:t>
      </w:r>
      <w:r w:rsidRPr="00EE6F19">
        <w:rPr>
          <w:rFonts w:cs="Arial"/>
          <w:sz w:val="20"/>
          <w:szCs w:val="20"/>
        </w:rPr>
        <w:t>)</w:t>
      </w:r>
      <w:r>
        <w:rPr>
          <w:rFonts w:cs="Arial"/>
          <w:sz w:val="20"/>
          <w:szCs w:val="20"/>
        </w:rPr>
        <w:t>.</w:t>
      </w:r>
    </w:p>
    <w:p w14:paraId="16D296B4" w14:textId="77777777" w:rsidR="00EE6F19" w:rsidRDefault="00EE6F19" w:rsidP="001D59E9">
      <w:pPr>
        <w:widowControl w:val="0"/>
        <w:autoSpaceDE w:val="0"/>
        <w:autoSpaceDN w:val="0"/>
        <w:adjustRightInd w:val="0"/>
        <w:spacing w:line="360" w:lineRule="auto"/>
        <w:rPr>
          <w:rFonts w:cs="Arial"/>
          <w:b/>
          <w:sz w:val="20"/>
          <w:szCs w:val="20"/>
        </w:rPr>
      </w:pPr>
    </w:p>
    <w:p w14:paraId="6647C49B" w14:textId="16075596" w:rsidR="00B31D60" w:rsidRPr="00EE6F19" w:rsidRDefault="00B31D60" w:rsidP="00B31D60">
      <w:pPr>
        <w:widowControl w:val="0"/>
        <w:autoSpaceDE w:val="0"/>
        <w:autoSpaceDN w:val="0"/>
        <w:adjustRightInd w:val="0"/>
        <w:spacing w:line="360" w:lineRule="auto"/>
        <w:rPr>
          <w:rFonts w:cs="Arial"/>
          <w:sz w:val="20"/>
          <w:szCs w:val="20"/>
        </w:rPr>
      </w:pPr>
      <w:r w:rsidRPr="00EE6F19">
        <w:rPr>
          <w:rFonts w:cs="Arial"/>
          <w:b/>
          <w:sz w:val="20"/>
          <w:szCs w:val="20"/>
        </w:rPr>
        <w:t>Già ad un mese dall’add-on a XOI, lesinurad ha determinato un’ulteriore riduzione</w:t>
      </w:r>
      <w:r>
        <w:rPr>
          <w:rFonts w:cs="Arial"/>
          <w:b/>
          <w:sz w:val="20"/>
          <w:szCs w:val="20"/>
        </w:rPr>
        <w:t xml:space="preserve"> </w:t>
      </w:r>
      <w:r w:rsidRPr="00EE6F19">
        <w:rPr>
          <w:rFonts w:cs="Arial"/>
          <w:b/>
          <w:sz w:val="20"/>
          <w:szCs w:val="20"/>
        </w:rPr>
        <w:t xml:space="preserve">dei livelli di uricemia </w:t>
      </w:r>
      <w:r>
        <w:rPr>
          <w:rFonts w:cs="Arial"/>
          <w:sz w:val="20"/>
          <w:szCs w:val="20"/>
        </w:rPr>
        <w:t xml:space="preserve">del </w:t>
      </w:r>
      <w:r w:rsidR="00743A32">
        <w:rPr>
          <w:rFonts w:eastAsia="Calibri" w:cs="Arial"/>
          <w:b/>
          <w:sz w:val="20"/>
          <w:szCs w:val="20"/>
          <w:lang w:eastAsia="it-IT"/>
        </w:rPr>
        <w:t>15</w:t>
      </w:r>
      <w:r w:rsidRPr="00CE60E6">
        <w:rPr>
          <w:rFonts w:eastAsia="Calibri" w:cs="Arial"/>
          <w:b/>
          <w:sz w:val="20"/>
          <w:szCs w:val="20"/>
          <w:lang w:eastAsia="it-IT"/>
        </w:rPr>
        <w:t>-</w:t>
      </w:r>
      <w:r w:rsidR="00832662">
        <w:rPr>
          <w:rFonts w:eastAsia="Calibri" w:cs="Arial"/>
          <w:b/>
          <w:sz w:val="20"/>
          <w:szCs w:val="20"/>
          <w:lang w:eastAsia="it-IT"/>
        </w:rPr>
        <w:t>25</w:t>
      </w:r>
      <w:r w:rsidRPr="00CE60E6">
        <w:rPr>
          <w:rFonts w:eastAsia="Calibri" w:cs="Arial"/>
          <w:b/>
          <w:sz w:val="20"/>
          <w:szCs w:val="20"/>
          <w:lang w:eastAsia="it-IT"/>
        </w:rPr>
        <w:t>%</w:t>
      </w:r>
      <w:r w:rsidRPr="00EE6F19">
        <w:rPr>
          <w:rFonts w:cs="Arial"/>
          <w:sz w:val="20"/>
          <w:szCs w:val="20"/>
        </w:rPr>
        <w:t xml:space="preserve"> </w:t>
      </w:r>
      <w:r w:rsidRPr="00EE6F19">
        <w:rPr>
          <w:rFonts w:cs="Arial"/>
          <w:b/>
          <w:sz w:val="20"/>
          <w:szCs w:val="20"/>
        </w:rPr>
        <w:t>rispetto al trattamento standard</w:t>
      </w:r>
      <w:r w:rsidRPr="0015527E">
        <w:rPr>
          <w:rFonts w:cs="Arial"/>
          <w:sz w:val="20"/>
          <w:szCs w:val="20"/>
        </w:rPr>
        <w:t xml:space="preserve"> (</w:t>
      </w:r>
      <w:r w:rsidRPr="00EE6F19">
        <w:rPr>
          <w:rFonts w:cs="Arial"/>
          <w:sz w:val="20"/>
          <w:szCs w:val="20"/>
        </w:rPr>
        <w:t>monoterapia con allopurinolo o febuxostat</w:t>
      </w:r>
      <w:r>
        <w:rPr>
          <w:rFonts w:cs="Arial"/>
          <w:sz w:val="20"/>
          <w:szCs w:val="20"/>
        </w:rPr>
        <w:t xml:space="preserve">), raggiungendo livelli di </w:t>
      </w:r>
      <w:r w:rsidR="005848A1">
        <w:rPr>
          <w:rFonts w:cs="Arial"/>
          <w:sz w:val="20"/>
          <w:szCs w:val="20"/>
        </w:rPr>
        <w:t>sUA</w:t>
      </w:r>
      <w:r>
        <w:rPr>
          <w:rFonts w:cs="Arial"/>
          <w:sz w:val="20"/>
          <w:szCs w:val="20"/>
        </w:rPr>
        <w:t xml:space="preserve"> rispetto al basale </w:t>
      </w:r>
      <w:r w:rsidRPr="00185C85">
        <w:rPr>
          <w:rFonts w:cs="Arial"/>
          <w:sz w:val="20"/>
          <w:szCs w:val="20"/>
        </w:rPr>
        <w:t>&lt; 15% - 25%</w:t>
      </w:r>
      <w:r>
        <w:rPr>
          <w:rFonts w:cs="Arial"/>
          <w:sz w:val="20"/>
          <w:szCs w:val="20"/>
        </w:rPr>
        <w:t xml:space="preserve">  </w:t>
      </w:r>
      <w:r w:rsidRPr="00EE6F19">
        <w:rPr>
          <w:rFonts w:cs="Arial"/>
          <w:sz w:val="20"/>
          <w:szCs w:val="20"/>
        </w:rPr>
        <w:t>(</w:t>
      </w:r>
      <w:hyperlink w:anchor="Figura17" w:history="1">
        <w:r w:rsidRPr="00531EFC">
          <w:rPr>
            <w:rStyle w:val="Hyperlink"/>
            <w:rFonts w:cs="Arial"/>
            <w:sz w:val="20"/>
            <w:szCs w:val="20"/>
          </w:rPr>
          <w:t xml:space="preserve">Figura </w:t>
        </w:r>
        <w:r w:rsidR="0015527E" w:rsidRPr="00531EFC">
          <w:rPr>
            <w:rStyle w:val="Hyperlink"/>
            <w:rFonts w:cs="Arial"/>
            <w:sz w:val="20"/>
            <w:szCs w:val="20"/>
          </w:rPr>
          <w:t>1</w:t>
        </w:r>
        <w:r w:rsidR="00AC4573" w:rsidRPr="00531EFC">
          <w:rPr>
            <w:rStyle w:val="Hyperlink"/>
            <w:rFonts w:cs="Arial"/>
            <w:sz w:val="20"/>
            <w:szCs w:val="20"/>
          </w:rPr>
          <w:t>7</w:t>
        </w:r>
      </w:hyperlink>
      <w:r w:rsidR="005B7E45" w:rsidRPr="00531EFC">
        <w:rPr>
          <w:rFonts w:cs="Arial"/>
          <w:sz w:val="20"/>
          <w:szCs w:val="20"/>
        </w:rPr>
        <w:t xml:space="preserve"> e </w:t>
      </w:r>
      <w:hyperlink w:anchor="Figura18" w:history="1">
        <w:r w:rsidR="005B7E45" w:rsidRPr="00531EFC">
          <w:rPr>
            <w:rStyle w:val="Hyperlink"/>
            <w:rFonts w:cs="Arial"/>
            <w:sz w:val="20"/>
            <w:szCs w:val="20"/>
          </w:rPr>
          <w:t xml:space="preserve">Figura </w:t>
        </w:r>
        <w:r w:rsidR="00AC4573" w:rsidRPr="00531EFC">
          <w:rPr>
            <w:rStyle w:val="Hyperlink"/>
            <w:rFonts w:cs="Arial"/>
            <w:sz w:val="20"/>
            <w:szCs w:val="20"/>
          </w:rPr>
          <w:t>18</w:t>
        </w:r>
      </w:hyperlink>
      <w:r w:rsidRPr="00EE6F19">
        <w:rPr>
          <w:rFonts w:cs="Arial"/>
          <w:sz w:val="20"/>
          <w:szCs w:val="20"/>
        </w:rPr>
        <w:t>)</w:t>
      </w:r>
      <w:r>
        <w:rPr>
          <w:rFonts w:cs="Arial"/>
          <w:sz w:val="20"/>
          <w:szCs w:val="20"/>
        </w:rPr>
        <w:t xml:space="preserve"> (</w:t>
      </w:r>
      <w:r w:rsidR="0087651E">
        <w:rPr>
          <w:color w:val="0000FF"/>
          <w:sz w:val="20"/>
          <w:szCs w:val="20"/>
        </w:rPr>
        <w:t>CSR 301, 2014 (109</w:t>
      </w:r>
      <w:r w:rsidR="008E6BDD">
        <w:rPr>
          <w:color w:val="0000FF"/>
          <w:sz w:val="20"/>
          <w:szCs w:val="20"/>
        </w:rPr>
        <w:t xml:space="preserve">) </w:t>
      </w:r>
      <w:r w:rsidR="00743A32" w:rsidRPr="00743A32">
        <w:rPr>
          <w:color w:val="0000FF"/>
          <w:sz w:val="20"/>
          <w:szCs w:val="20"/>
        </w:rPr>
        <w:t xml:space="preserve">e </w:t>
      </w:r>
      <w:r w:rsidR="0087651E">
        <w:rPr>
          <w:color w:val="0000FF"/>
          <w:sz w:val="20"/>
          <w:szCs w:val="20"/>
        </w:rPr>
        <w:t>CSR 302, 2014 (110</w:t>
      </w:r>
      <w:r w:rsidR="008E6BDD">
        <w:rPr>
          <w:color w:val="0000FF"/>
          <w:sz w:val="20"/>
          <w:szCs w:val="20"/>
        </w:rPr>
        <w:t>)</w:t>
      </w:r>
      <w:r w:rsidR="00743A32">
        <w:rPr>
          <w:color w:val="0000FF"/>
          <w:sz w:val="20"/>
          <w:szCs w:val="20"/>
        </w:rPr>
        <w:t>;</w:t>
      </w:r>
      <w:r w:rsidR="00743A32" w:rsidRPr="00743A32">
        <w:t xml:space="preserve"> </w:t>
      </w:r>
      <w:r w:rsidR="0087651E">
        <w:rPr>
          <w:color w:val="0000FF"/>
          <w:sz w:val="20"/>
          <w:szCs w:val="20"/>
        </w:rPr>
        <w:t>CSR 304, 2014 (111</w:t>
      </w:r>
      <w:r w:rsidR="008E6BDD">
        <w:rPr>
          <w:color w:val="0000FF"/>
          <w:sz w:val="20"/>
          <w:szCs w:val="20"/>
        </w:rPr>
        <w:t>)</w:t>
      </w:r>
      <w:r w:rsidR="00743A32" w:rsidRPr="00743A32">
        <w:rPr>
          <w:color w:val="0000FF"/>
          <w:sz w:val="20"/>
          <w:szCs w:val="20"/>
        </w:rPr>
        <w:t>)</w:t>
      </w:r>
      <w:r w:rsidRPr="00EE6F19">
        <w:rPr>
          <w:rFonts w:cs="Arial"/>
          <w:sz w:val="20"/>
          <w:szCs w:val="20"/>
        </w:rPr>
        <w:t xml:space="preserve">. </w:t>
      </w:r>
    </w:p>
    <w:p w14:paraId="69C70FAC" w14:textId="4F948048" w:rsidR="00A94C35" w:rsidRDefault="008E6BDD" w:rsidP="008E6BDD">
      <w:pPr>
        <w:widowControl w:val="0"/>
        <w:tabs>
          <w:tab w:val="left" w:pos="6880"/>
        </w:tabs>
        <w:autoSpaceDE w:val="0"/>
        <w:autoSpaceDN w:val="0"/>
        <w:adjustRightInd w:val="0"/>
        <w:spacing w:line="360" w:lineRule="auto"/>
        <w:rPr>
          <w:rFonts w:cs="Arial"/>
          <w:b/>
          <w:sz w:val="20"/>
          <w:szCs w:val="20"/>
        </w:rPr>
      </w:pPr>
      <w:r>
        <w:rPr>
          <w:rFonts w:cs="Arial"/>
          <w:b/>
          <w:sz w:val="20"/>
          <w:szCs w:val="20"/>
        </w:rPr>
        <w:tab/>
      </w:r>
    </w:p>
    <w:p w14:paraId="2E84BA60" w14:textId="519D30FA" w:rsidR="005B7E45" w:rsidRPr="00B62035" w:rsidRDefault="005B7E45" w:rsidP="005B7E45">
      <w:pPr>
        <w:pStyle w:val="Caption"/>
        <w:rPr>
          <w:rFonts w:asciiTheme="minorHAnsi" w:hAnsiTheme="minorHAnsi" w:cstheme="minorHAnsi"/>
          <w:lang w:val="it-IT"/>
        </w:rPr>
      </w:pPr>
      <w:bookmarkStart w:id="77" w:name="Figura17"/>
      <w:bookmarkStart w:id="78" w:name="_Toc473186912"/>
      <w:bookmarkEnd w:id="77"/>
      <w:r w:rsidRPr="007904CF">
        <w:rPr>
          <w:rFonts w:asciiTheme="minorHAnsi" w:hAnsiTheme="minorHAnsi" w:cstheme="minorHAnsi"/>
          <w:lang w:val="it-IT"/>
        </w:rPr>
        <w:t xml:space="preserve">Figura </w:t>
      </w:r>
      <w:r w:rsidRPr="007904CF">
        <w:rPr>
          <w:rFonts w:asciiTheme="minorHAnsi" w:hAnsiTheme="minorHAnsi" w:cstheme="minorHAnsi"/>
        </w:rPr>
        <w:fldChar w:fldCharType="begin"/>
      </w:r>
      <w:r w:rsidRPr="007904CF">
        <w:rPr>
          <w:rFonts w:asciiTheme="minorHAnsi" w:hAnsiTheme="minorHAnsi" w:cstheme="minorHAnsi"/>
          <w:lang w:val="it-IT"/>
        </w:rPr>
        <w:instrText xml:space="preserve"> SEQ Figura \* ARABIC </w:instrText>
      </w:r>
      <w:r w:rsidRPr="007904CF">
        <w:rPr>
          <w:rFonts w:asciiTheme="minorHAnsi" w:hAnsiTheme="minorHAnsi" w:cstheme="minorHAnsi"/>
        </w:rPr>
        <w:fldChar w:fldCharType="separate"/>
      </w:r>
      <w:r w:rsidR="00A1679C">
        <w:rPr>
          <w:rFonts w:asciiTheme="minorHAnsi" w:hAnsiTheme="minorHAnsi" w:cstheme="minorHAnsi"/>
          <w:noProof/>
          <w:lang w:val="it-IT"/>
        </w:rPr>
        <w:t>17</w:t>
      </w:r>
      <w:r w:rsidRPr="007904CF">
        <w:rPr>
          <w:rFonts w:asciiTheme="minorHAnsi" w:hAnsiTheme="minorHAnsi" w:cstheme="minorHAnsi"/>
        </w:rPr>
        <w:fldChar w:fldCharType="end"/>
      </w:r>
      <w:r w:rsidRPr="007904CF">
        <w:rPr>
          <w:rFonts w:asciiTheme="minorHAnsi" w:hAnsiTheme="minorHAnsi" w:cstheme="minorHAnsi"/>
          <w:lang w:val="it-IT"/>
        </w:rPr>
        <w:t xml:space="preserve"> - </w:t>
      </w:r>
      <w:r w:rsidRPr="00B62035">
        <w:rPr>
          <w:rFonts w:asciiTheme="minorHAnsi" w:hAnsiTheme="minorHAnsi" w:cstheme="minorHAnsi"/>
          <w:lang w:val="it-IT"/>
        </w:rPr>
        <w:t xml:space="preserve">Livelli medi di urato sierico ad ogni visita – Studi CLEAR </w:t>
      </w:r>
      <w:r w:rsidR="00743A32" w:rsidRPr="00B62035">
        <w:rPr>
          <w:rFonts w:asciiTheme="minorHAnsi" w:hAnsiTheme="minorHAnsi" w:cstheme="minorHAnsi"/>
          <w:lang w:val="it-IT"/>
        </w:rPr>
        <w:t xml:space="preserve">(observed cases – popolazione ITT) </w:t>
      </w:r>
      <w:r w:rsidRPr="00B62035">
        <w:rPr>
          <w:rFonts w:asciiTheme="minorHAnsi" w:hAnsiTheme="minorHAnsi" w:cstheme="minorHAnsi"/>
          <w:lang w:val="it-IT"/>
        </w:rPr>
        <w:t>(</w:t>
      </w:r>
      <w:r w:rsidRPr="00B62035">
        <w:rPr>
          <w:rFonts w:asciiTheme="minorHAnsi" w:hAnsiTheme="minorHAnsi" w:cstheme="minorHAnsi"/>
          <w:color w:val="0000FF"/>
          <w:lang w:val="it-IT"/>
        </w:rPr>
        <w:t>SmPC</w:t>
      </w:r>
      <w:r w:rsidR="0015527E" w:rsidRPr="00B62035">
        <w:rPr>
          <w:rFonts w:asciiTheme="minorHAnsi" w:hAnsiTheme="minorHAnsi" w:cstheme="minorHAnsi"/>
          <w:color w:val="0000FF"/>
          <w:lang w:val="it-IT"/>
        </w:rPr>
        <w:t xml:space="preserve"> Zurampic</w:t>
      </w:r>
      <w:r w:rsidRPr="00B62035">
        <w:rPr>
          <w:rFonts w:asciiTheme="minorHAnsi" w:hAnsiTheme="minorHAnsi" w:cstheme="minorHAnsi"/>
          <w:color w:val="0000FF"/>
          <w:lang w:val="it-IT"/>
        </w:rPr>
        <w:t>, EPAR, 2015</w:t>
      </w:r>
      <w:r w:rsidRPr="00B62035">
        <w:rPr>
          <w:rFonts w:asciiTheme="minorHAnsi" w:hAnsiTheme="minorHAnsi" w:cstheme="minorHAnsi"/>
          <w:lang w:val="it-IT"/>
        </w:rPr>
        <w:t>)</w:t>
      </w:r>
      <w:bookmarkEnd w:id="78"/>
    </w:p>
    <w:p w14:paraId="4C092B5E" w14:textId="717DEF56" w:rsidR="005B7E45" w:rsidRPr="00EE6F19" w:rsidRDefault="0015527E" w:rsidP="005B7E45">
      <w:pPr>
        <w:widowControl w:val="0"/>
        <w:autoSpaceDE w:val="0"/>
        <w:autoSpaceDN w:val="0"/>
        <w:adjustRightInd w:val="0"/>
        <w:spacing w:line="360" w:lineRule="auto"/>
        <w:rPr>
          <w:rFonts w:cs="Arial"/>
          <w:b/>
          <w:sz w:val="20"/>
          <w:szCs w:val="20"/>
        </w:rPr>
      </w:pPr>
      <w:r>
        <w:rPr>
          <w:noProof/>
          <w:lang w:val="en-GB" w:eastAsia="en-GB"/>
        </w:rPr>
        <w:drawing>
          <wp:inline distT="0" distB="0" distL="0" distR="0" wp14:anchorId="0753BCAB" wp14:editId="3CFE3B13">
            <wp:extent cx="5556250" cy="3785576"/>
            <wp:effectExtent l="0" t="0" r="6350" b="571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560306" cy="3788339"/>
                    </a:xfrm>
                    <a:prstGeom prst="rect">
                      <a:avLst/>
                    </a:prstGeom>
                  </pic:spPr>
                </pic:pic>
              </a:graphicData>
            </a:graphic>
          </wp:inline>
        </w:drawing>
      </w:r>
    </w:p>
    <w:p w14:paraId="4434CC8D" w14:textId="77777777" w:rsidR="00234ABA" w:rsidRDefault="00234ABA" w:rsidP="00234ABA">
      <w:pPr>
        <w:pStyle w:val="Caption"/>
        <w:jc w:val="left"/>
        <w:rPr>
          <w:rFonts w:asciiTheme="minorHAnsi" w:hAnsiTheme="minorHAnsi" w:cstheme="minorHAnsi"/>
          <w:lang w:val="it-IT"/>
        </w:rPr>
      </w:pPr>
      <w:bookmarkStart w:id="79" w:name="Figura18"/>
      <w:bookmarkStart w:id="80" w:name="_Toc473186913"/>
      <w:bookmarkEnd w:id="79"/>
      <w:r w:rsidRPr="00234ABA">
        <w:rPr>
          <w:rFonts w:asciiTheme="minorHAnsi" w:hAnsiTheme="minorHAnsi" w:cstheme="minorHAnsi"/>
          <w:lang w:val="it-IT"/>
        </w:rPr>
        <w:t xml:space="preserve">Figura </w:t>
      </w:r>
      <w:r w:rsidRPr="00234ABA">
        <w:rPr>
          <w:rFonts w:asciiTheme="minorHAnsi" w:hAnsiTheme="minorHAnsi" w:cstheme="minorHAnsi"/>
        </w:rPr>
        <w:fldChar w:fldCharType="begin"/>
      </w:r>
      <w:r w:rsidRPr="00234ABA">
        <w:rPr>
          <w:rFonts w:asciiTheme="minorHAnsi" w:hAnsiTheme="minorHAnsi" w:cstheme="minorHAnsi"/>
          <w:lang w:val="it-IT"/>
        </w:rPr>
        <w:instrText xml:space="preserve"> SEQ Figura \* ARABIC </w:instrText>
      </w:r>
      <w:r w:rsidRPr="00234ABA">
        <w:rPr>
          <w:rFonts w:asciiTheme="minorHAnsi" w:hAnsiTheme="minorHAnsi" w:cstheme="minorHAnsi"/>
        </w:rPr>
        <w:fldChar w:fldCharType="separate"/>
      </w:r>
      <w:r w:rsidR="00A1679C">
        <w:rPr>
          <w:rFonts w:asciiTheme="minorHAnsi" w:hAnsiTheme="minorHAnsi" w:cstheme="minorHAnsi"/>
          <w:noProof/>
          <w:lang w:val="it-IT"/>
        </w:rPr>
        <w:t>18</w:t>
      </w:r>
      <w:r w:rsidRPr="00234ABA">
        <w:rPr>
          <w:rFonts w:asciiTheme="minorHAnsi" w:hAnsiTheme="minorHAnsi" w:cstheme="minorHAnsi"/>
        </w:rPr>
        <w:fldChar w:fldCharType="end"/>
      </w:r>
      <w:r w:rsidRPr="00234ABA">
        <w:rPr>
          <w:rFonts w:asciiTheme="minorHAnsi" w:hAnsiTheme="minorHAnsi" w:cstheme="minorHAnsi"/>
          <w:lang w:val="it-IT"/>
        </w:rPr>
        <w:t xml:space="preserve"> </w:t>
      </w:r>
      <w:r w:rsidR="005B7E45" w:rsidRPr="00234ABA">
        <w:rPr>
          <w:rFonts w:asciiTheme="minorHAnsi" w:hAnsiTheme="minorHAnsi" w:cstheme="minorHAnsi"/>
          <w:lang w:val="it-IT"/>
        </w:rPr>
        <w:t xml:space="preserve">- </w:t>
      </w:r>
      <w:r w:rsidR="00B62035" w:rsidRPr="00234ABA">
        <w:rPr>
          <w:rFonts w:asciiTheme="minorHAnsi" w:hAnsiTheme="minorHAnsi" w:cstheme="minorHAnsi"/>
          <w:lang w:val="it-IT"/>
        </w:rPr>
        <w:t>Livelli medi di urato sierico ad ogni visita fino al mese 12 - studio CRYSTAL (Observed cases, popolazione ITT) (</w:t>
      </w:r>
      <w:r w:rsidR="00B62035" w:rsidRPr="00234ABA">
        <w:rPr>
          <w:rFonts w:asciiTheme="minorHAnsi" w:hAnsiTheme="minorHAnsi" w:cstheme="minorHAnsi"/>
          <w:color w:val="0000FF"/>
          <w:lang w:val="it-IT"/>
        </w:rPr>
        <w:t>adattato da CSR 304, 2014 – Dalbeth, 2015</w:t>
      </w:r>
      <w:r w:rsidR="00B62035" w:rsidRPr="00234ABA">
        <w:rPr>
          <w:rFonts w:asciiTheme="minorHAnsi" w:hAnsiTheme="minorHAnsi" w:cstheme="minorHAnsi"/>
          <w:lang w:val="it-IT"/>
        </w:rPr>
        <w:t>)</w:t>
      </w:r>
      <w:bookmarkEnd w:id="80"/>
    </w:p>
    <w:p w14:paraId="63B6D66A" w14:textId="389809E0" w:rsidR="005B7E45" w:rsidRPr="00234ABA" w:rsidRDefault="00B62035" w:rsidP="00234ABA">
      <w:pPr>
        <w:pStyle w:val="Caption"/>
        <w:jc w:val="left"/>
        <w:rPr>
          <w:rFonts w:asciiTheme="minorHAnsi" w:eastAsiaTheme="minorEastAsia" w:hAnsiTheme="minorHAnsi" w:cstheme="minorBidi"/>
          <w:b w:val="0"/>
          <w:bCs w:val="0"/>
          <w:noProof/>
          <w:color w:val="auto"/>
          <w:sz w:val="24"/>
          <w:szCs w:val="24"/>
          <w:lang w:val="it-IT" w:eastAsia="it-IT"/>
        </w:rPr>
      </w:pPr>
      <w:r w:rsidRPr="00234ABA">
        <w:rPr>
          <w:rFonts w:asciiTheme="minorHAnsi" w:eastAsiaTheme="minorEastAsia" w:hAnsiTheme="minorHAnsi" w:cstheme="minorBidi"/>
          <w:b w:val="0"/>
          <w:bCs w:val="0"/>
          <w:noProof/>
          <w:color w:val="auto"/>
          <w:sz w:val="24"/>
          <w:szCs w:val="24"/>
          <w:lang w:val="en-GB" w:eastAsia="en-GB"/>
        </w:rPr>
        <w:drawing>
          <wp:inline distT="0" distB="0" distL="0" distR="0" wp14:anchorId="64EE2944" wp14:editId="1AED861E">
            <wp:extent cx="5657850" cy="3066444"/>
            <wp:effectExtent l="0" t="0" r="0" b="635"/>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64882" cy="3070255"/>
                    </a:xfrm>
                    <a:prstGeom prst="rect">
                      <a:avLst/>
                    </a:prstGeom>
                    <a:noFill/>
                  </pic:spPr>
                </pic:pic>
              </a:graphicData>
            </a:graphic>
          </wp:inline>
        </w:drawing>
      </w:r>
    </w:p>
    <w:p w14:paraId="784C9F35" w14:textId="77777777" w:rsidR="005B7E45" w:rsidRPr="00EE6F19" w:rsidRDefault="005B7E45" w:rsidP="001D59E9">
      <w:pPr>
        <w:widowControl w:val="0"/>
        <w:autoSpaceDE w:val="0"/>
        <w:autoSpaceDN w:val="0"/>
        <w:adjustRightInd w:val="0"/>
        <w:spacing w:line="360" w:lineRule="auto"/>
        <w:rPr>
          <w:rFonts w:cs="Arial"/>
          <w:b/>
          <w:sz w:val="20"/>
          <w:szCs w:val="20"/>
        </w:rPr>
      </w:pPr>
    </w:p>
    <w:p w14:paraId="29E4DBF1" w14:textId="6FE42EC7" w:rsidR="00EE6F19" w:rsidRDefault="001526A2" w:rsidP="00EE6F19">
      <w:pPr>
        <w:widowControl w:val="0"/>
        <w:autoSpaceDE w:val="0"/>
        <w:autoSpaceDN w:val="0"/>
        <w:adjustRightInd w:val="0"/>
        <w:spacing w:line="360" w:lineRule="auto"/>
        <w:jc w:val="both"/>
        <w:rPr>
          <w:rFonts w:cs="Arial"/>
          <w:sz w:val="20"/>
          <w:szCs w:val="20"/>
        </w:rPr>
      </w:pPr>
      <w:r w:rsidRPr="00F62E7C">
        <w:rPr>
          <w:rFonts w:cs="Arial"/>
          <w:sz w:val="20"/>
          <w:szCs w:val="20"/>
        </w:rPr>
        <w:t xml:space="preserve">Negli studi CLEAR lesinurad </w:t>
      </w:r>
      <w:r>
        <w:rPr>
          <w:rFonts w:cs="Arial"/>
          <w:sz w:val="20"/>
          <w:szCs w:val="20"/>
        </w:rPr>
        <w:t xml:space="preserve">in associazione ad allopurino ha dimostrato </w:t>
      </w:r>
      <w:r w:rsidRPr="001526A2">
        <w:rPr>
          <w:rFonts w:cs="Arial"/>
          <w:b/>
          <w:sz w:val="20"/>
          <w:szCs w:val="20"/>
        </w:rPr>
        <w:t>la propria superiore efficacia rispetto ad allopurinolo in monoterapia, quasi raddoppiando il numero di pazienti a target al 6° mese</w:t>
      </w:r>
      <w:r w:rsidRPr="00F62E7C">
        <w:rPr>
          <w:rFonts w:cs="Arial"/>
          <w:sz w:val="20"/>
          <w:szCs w:val="20"/>
        </w:rPr>
        <w:t xml:space="preserve"> (pazienti che hanno raggiunto livelli </w:t>
      </w:r>
      <w:r w:rsidR="005848A1">
        <w:rPr>
          <w:rFonts w:cs="Arial"/>
          <w:sz w:val="20"/>
          <w:szCs w:val="20"/>
        </w:rPr>
        <w:t>sUA</w:t>
      </w:r>
      <w:r>
        <w:rPr>
          <w:rFonts w:cs="Arial"/>
          <w:sz w:val="20"/>
          <w:szCs w:val="20"/>
        </w:rPr>
        <w:t>&lt;6 mg/dl)</w:t>
      </w:r>
      <w:r w:rsidRPr="00F62E7C">
        <w:rPr>
          <w:rFonts w:cs="Arial"/>
          <w:sz w:val="20"/>
          <w:szCs w:val="20"/>
        </w:rPr>
        <w:t>.</w:t>
      </w:r>
    </w:p>
    <w:p w14:paraId="1E8B119C" w14:textId="77777777" w:rsidR="00EE6F19" w:rsidRPr="00EE6F19" w:rsidRDefault="00EE6F19" w:rsidP="00EE6F19">
      <w:pPr>
        <w:widowControl w:val="0"/>
        <w:autoSpaceDE w:val="0"/>
        <w:autoSpaceDN w:val="0"/>
        <w:adjustRightInd w:val="0"/>
        <w:spacing w:line="360" w:lineRule="auto"/>
        <w:jc w:val="both"/>
        <w:rPr>
          <w:rFonts w:cs="Arial"/>
          <w:sz w:val="20"/>
          <w:szCs w:val="20"/>
        </w:rPr>
      </w:pPr>
    </w:p>
    <w:p w14:paraId="4865123D" w14:textId="6C5F7213" w:rsidR="00C131B6" w:rsidRDefault="00C131B6" w:rsidP="00C131B6">
      <w:pPr>
        <w:widowControl w:val="0"/>
        <w:autoSpaceDE w:val="0"/>
        <w:autoSpaceDN w:val="0"/>
        <w:adjustRightInd w:val="0"/>
        <w:spacing w:line="360" w:lineRule="auto"/>
        <w:rPr>
          <w:rFonts w:cs="Arial"/>
          <w:sz w:val="20"/>
          <w:szCs w:val="20"/>
        </w:rPr>
      </w:pPr>
      <w:r w:rsidRPr="001526A2">
        <w:rPr>
          <w:rFonts w:cs="Arial"/>
          <w:b/>
          <w:sz w:val="20"/>
          <w:szCs w:val="20"/>
        </w:rPr>
        <w:t xml:space="preserve">Un numero significativamente maggiore di pazienti trattati con lesinurad 200 mg + febuxostat ha raggiunto livelli di </w:t>
      </w:r>
      <w:r w:rsidR="005848A1">
        <w:rPr>
          <w:rFonts w:cs="Arial"/>
          <w:b/>
          <w:sz w:val="20"/>
          <w:szCs w:val="20"/>
        </w:rPr>
        <w:t>sUA</w:t>
      </w:r>
      <w:r w:rsidRPr="001526A2">
        <w:rPr>
          <w:rFonts w:cs="Arial"/>
          <w:b/>
          <w:sz w:val="20"/>
          <w:szCs w:val="20"/>
        </w:rPr>
        <w:t xml:space="preserve"> &lt;5.0 mg/dl rispetto al soggetti in monoterapia con febuxostat a tutti i mesi</w:t>
      </w:r>
      <w:r>
        <w:rPr>
          <w:rFonts w:cs="Arial"/>
          <w:sz w:val="20"/>
          <w:szCs w:val="20"/>
        </w:rPr>
        <w:t>, con eccezione del Mese 6 (Analisi NRI). Tuttavia, l</w:t>
      </w:r>
      <w:r w:rsidRPr="00561CDA">
        <w:rPr>
          <w:rFonts w:cs="Arial"/>
          <w:sz w:val="20"/>
          <w:szCs w:val="20"/>
        </w:rPr>
        <w:t xml:space="preserve">’analisi LOCF (last observation carried forward) ha dimostrato che una proporzione significativamente maggiore di pazienti </w:t>
      </w:r>
      <w:r>
        <w:rPr>
          <w:rFonts w:cs="Arial"/>
          <w:sz w:val="20"/>
          <w:szCs w:val="20"/>
        </w:rPr>
        <w:t xml:space="preserve">trattati con lesinurad 200 mg + febuxostat </w:t>
      </w:r>
      <w:r w:rsidRPr="00561CDA">
        <w:rPr>
          <w:rFonts w:cs="Arial"/>
          <w:sz w:val="20"/>
          <w:szCs w:val="20"/>
        </w:rPr>
        <w:t xml:space="preserve">ha raggiunto livelli di </w:t>
      </w:r>
      <w:r w:rsidR="005848A1">
        <w:rPr>
          <w:rFonts w:cs="Arial"/>
          <w:sz w:val="20"/>
          <w:szCs w:val="20"/>
        </w:rPr>
        <w:t>sUA</w:t>
      </w:r>
      <w:r w:rsidRPr="00561CDA">
        <w:rPr>
          <w:rFonts w:cs="Arial"/>
          <w:sz w:val="20"/>
          <w:szCs w:val="20"/>
        </w:rPr>
        <w:t xml:space="preserve"> &lt;5.0 mg/d</w:t>
      </w:r>
      <w:r>
        <w:rPr>
          <w:rFonts w:cs="Arial"/>
          <w:sz w:val="20"/>
          <w:szCs w:val="20"/>
        </w:rPr>
        <w:t xml:space="preserve">l al Mese 6 </w:t>
      </w:r>
      <w:r w:rsidRPr="00561CDA">
        <w:rPr>
          <w:rFonts w:cs="Arial"/>
          <w:sz w:val="20"/>
          <w:szCs w:val="20"/>
        </w:rPr>
        <w:t xml:space="preserve"> </w:t>
      </w:r>
      <w:r>
        <w:rPr>
          <w:rFonts w:cs="Arial"/>
          <w:sz w:val="20"/>
          <w:szCs w:val="20"/>
        </w:rPr>
        <w:t xml:space="preserve">rispetto al soggetti in monoterapia con febuxostat </w:t>
      </w:r>
      <w:r w:rsidRPr="00561CDA">
        <w:rPr>
          <w:rFonts w:cs="Arial"/>
          <w:sz w:val="20"/>
          <w:szCs w:val="20"/>
        </w:rPr>
        <w:t>(64.1% v</w:t>
      </w:r>
      <w:r>
        <w:rPr>
          <w:rFonts w:cs="Arial"/>
          <w:sz w:val="20"/>
          <w:szCs w:val="20"/>
        </w:rPr>
        <w:t>s</w:t>
      </w:r>
      <w:r w:rsidRPr="00561CDA">
        <w:rPr>
          <w:rFonts w:cs="Arial"/>
          <w:sz w:val="20"/>
          <w:szCs w:val="20"/>
        </w:rPr>
        <w:t xml:space="preserve"> 50.9%, r</w:t>
      </w:r>
      <w:r>
        <w:rPr>
          <w:rFonts w:cs="Arial"/>
          <w:sz w:val="20"/>
          <w:szCs w:val="20"/>
        </w:rPr>
        <w:t>ispettivamente</w:t>
      </w:r>
      <w:r w:rsidRPr="00561CDA">
        <w:rPr>
          <w:rFonts w:cs="Arial"/>
          <w:sz w:val="20"/>
          <w:szCs w:val="20"/>
        </w:rPr>
        <w:t>; p=0.0377)</w:t>
      </w:r>
      <w:r>
        <w:rPr>
          <w:rFonts w:cs="Arial"/>
          <w:sz w:val="20"/>
          <w:szCs w:val="20"/>
        </w:rPr>
        <w:t xml:space="preserve"> (</w:t>
      </w:r>
      <w:hyperlink w:anchor="Tabella8" w:history="1">
        <w:r w:rsidRPr="00531EFC">
          <w:rPr>
            <w:rStyle w:val="Hyperlink"/>
            <w:rFonts w:cs="Arial"/>
            <w:sz w:val="20"/>
            <w:szCs w:val="20"/>
          </w:rPr>
          <w:t xml:space="preserve">Tabella </w:t>
        </w:r>
        <w:r w:rsidR="00531EFC" w:rsidRPr="00531EFC">
          <w:rPr>
            <w:rStyle w:val="Hyperlink"/>
            <w:rFonts w:cs="Arial"/>
            <w:sz w:val="20"/>
            <w:szCs w:val="20"/>
          </w:rPr>
          <w:t>8</w:t>
        </w:r>
      </w:hyperlink>
      <w:r>
        <w:rPr>
          <w:rFonts w:cs="Arial"/>
          <w:sz w:val="20"/>
          <w:szCs w:val="20"/>
        </w:rPr>
        <w:t>)</w:t>
      </w:r>
    </w:p>
    <w:p w14:paraId="190E460C" w14:textId="77777777" w:rsidR="00C131B6" w:rsidRPr="00561CDA" w:rsidRDefault="00C131B6" w:rsidP="00C131B6">
      <w:pPr>
        <w:widowControl w:val="0"/>
        <w:autoSpaceDE w:val="0"/>
        <w:autoSpaceDN w:val="0"/>
        <w:adjustRightInd w:val="0"/>
        <w:spacing w:line="360" w:lineRule="auto"/>
        <w:rPr>
          <w:rFonts w:cs="Arial"/>
          <w:sz w:val="20"/>
          <w:szCs w:val="20"/>
        </w:rPr>
      </w:pPr>
    </w:p>
    <w:p w14:paraId="63930F1D" w14:textId="4E690879" w:rsidR="00C131B6" w:rsidRPr="00A94C35" w:rsidRDefault="00531EFC" w:rsidP="00C131B6">
      <w:pPr>
        <w:pStyle w:val="Caption"/>
        <w:rPr>
          <w:rFonts w:asciiTheme="minorHAnsi" w:hAnsiTheme="minorHAnsi" w:cs="Arial"/>
          <w:lang w:val="it-IT"/>
        </w:rPr>
      </w:pPr>
      <w:bookmarkStart w:id="81" w:name="Tabella8"/>
      <w:bookmarkStart w:id="82" w:name="_Toc473150693"/>
      <w:bookmarkEnd w:id="81"/>
      <w:r w:rsidRPr="00531EFC">
        <w:rPr>
          <w:rFonts w:asciiTheme="minorHAnsi" w:hAnsiTheme="minorHAnsi" w:cstheme="minorHAnsi"/>
          <w:lang w:val="it-IT"/>
        </w:rPr>
        <w:t xml:space="preserve">Tabella </w:t>
      </w:r>
      <w:r w:rsidRPr="00531EFC">
        <w:rPr>
          <w:rFonts w:asciiTheme="minorHAnsi" w:hAnsiTheme="minorHAnsi" w:cstheme="minorHAnsi"/>
        </w:rPr>
        <w:fldChar w:fldCharType="begin"/>
      </w:r>
      <w:r w:rsidRPr="00531EFC">
        <w:rPr>
          <w:rFonts w:asciiTheme="minorHAnsi" w:hAnsiTheme="minorHAnsi" w:cstheme="minorHAnsi"/>
          <w:lang w:val="it-IT"/>
        </w:rPr>
        <w:instrText xml:space="preserve"> SEQ Tabella \* ARABIC </w:instrText>
      </w:r>
      <w:r w:rsidRPr="00531EFC">
        <w:rPr>
          <w:rFonts w:asciiTheme="minorHAnsi" w:hAnsiTheme="minorHAnsi" w:cstheme="minorHAnsi"/>
        </w:rPr>
        <w:fldChar w:fldCharType="separate"/>
      </w:r>
      <w:r w:rsidR="00A1679C">
        <w:rPr>
          <w:rFonts w:asciiTheme="minorHAnsi" w:hAnsiTheme="minorHAnsi" w:cstheme="minorHAnsi"/>
          <w:noProof/>
          <w:lang w:val="it-IT"/>
        </w:rPr>
        <w:t>8</w:t>
      </w:r>
      <w:r w:rsidRPr="00531EFC">
        <w:rPr>
          <w:rFonts w:asciiTheme="minorHAnsi" w:hAnsiTheme="minorHAnsi" w:cstheme="minorHAnsi"/>
        </w:rPr>
        <w:fldChar w:fldCharType="end"/>
      </w:r>
      <w:r w:rsidRPr="00531EFC">
        <w:rPr>
          <w:rFonts w:asciiTheme="minorHAnsi" w:hAnsiTheme="minorHAnsi" w:cstheme="minorHAnsi"/>
          <w:lang w:val="it-IT"/>
        </w:rPr>
        <w:t xml:space="preserve"> </w:t>
      </w:r>
      <w:r w:rsidR="00C131B6" w:rsidRPr="00531EFC">
        <w:rPr>
          <w:rFonts w:asciiTheme="minorHAnsi" w:hAnsiTheme="minorHAnsi" w:cstheme="minorHAnsi"/>
          <w:lang w:val="it-IT"/>
        </w:rPr>
        <w:t xml:space="preserve">– Proporzione di soggetti con livelli </w:t>
      </w:r>
      <w:r w:rsidR="005848A1" w:rsidRPr="00531EFC">
        <w:rPr>
          <w:rFonts w:asciiTheme="minorHAnsi" w:hAnsiTheme="minorHAnsi" w:cstheme="minorHAnsi"/>
          <w:lang w:val="it-IT"/>
        </w:rPr>
        <w:t>sUA</w:t>
      </w:r>
      <w:r w:rsidR="00C131B6" w:rsidRPr="00531EFC">
        <w:rPr>
          <w:rFonts w:asciiTheme="minorHAnsi" w:hAnsiTheme="minorHAnsi" w:cstheme="minorHAnsi"/>
          <w:lang w:val="it-IT"/>
        </w:rPr>
        <w:t xml:space="preserve"> &lt; 5 mg/dl al Mese 6 (Analisi LOCF – popolazione ITT) (</w:t>
      </w:r>
      <w:r w:rsidR="00C131B6" w:rsidRPr="00531EFC">
        <w:rPr>
          <w:rFonts w:asciiTheme="minorHAnsi" w:hAnsiTheme="minorHAnsi" w:cstheme="minorHAnsi"/>
          <w:color w:val="0000FF"/>
          <w:lang w:val="it-IT"/>
        </w:rPr>
        <w:t>CSR</w:t>
      </w:r>
      <w:r w:rsidR="00C131B6" w:rsidRPr="00A94C35">
        <w:rPr>
          <w:rFonts w:asciiTheme="minorHAnsi" w:hAnsiTheme="minorHAnsi" w:cstheme="minorHAnsi"/>
          <w:color w:val="0000FF"/>
          <w:lang w:val="it-IT"/>
        </w:rPr>
        <w:t xml:space="preserve"> 304, 2014)</w:t>
      </w:r>
      <w:bookmarkEnd w:id="82"/>
    </w:p>
    <w:tbl>
      <w:tblPr>
        <w:tblW w:w="496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85"/>
        <w:gridCol w:w="3176"/>
        <w:gridCol w:w="2495"/>
      </w:tblGrid>
      <w:tr w:rsidR="00C669BC" w:rsidRPr="00401FE7" w14:paraId="4B7BB88C" w14:textId="77777777" w:rsidTr="0079658A">
        <w:trPr>
          <w:tblHeader/>
        </w:trPr>
        <w:tc>
          <w:tcPr>
            <w:tcW w:w="3369" w:type="dxa"/>
            <w:shd w:val="clear" w:color="auto" w:fill="D9D9D9"/>
          </w:tcPr>
          <w:p w14:paraId="2F1762EE" w14:textId="77777777" w:rsidR="00C669BC" w:rsidRPr="00401FE7" w:rsidRDefault="00C669BC" w:rsidP="0079658A">
            <w:pPr>
              <w:pStyle w:val="Tabletext"/>
              <w:widowControl w:val="0"/>
              <w:rPr>
                <w:rFonts w:asciiTheme="minorHAnsi" w:hAnsiTheme="minorHAnsi" w:cstheme="minorHAnsi"/>
                <w:b/>
                <w:i/>
                <w:lang w:val="it-IT"/>
              </w:rPr>
            </w:pPr>
          </w:p>
        </w:tc>
        <w:tc>
          <w:tcPr>
            <w:tcW w:w="3260" w:type="dxa"/>
            <w:shd w:val="clear" w:color="auto" w:fill="D9D9D9"/>
          </w:tcPr>
          <w:p w14:paraId="2F3B0EDE" w14:textId="77777777" w:rsidR="00C669BC" w:rsidRPr="00401FE7" w:rsidRDefault="00C669BC" w:rsidP="0079658A">
            <w:pPr>
              <w:pStyle w:val="Tabletext"/>
              <w:jc w:val="center"/>
              <w:rPr>
                <w:rFonts w:asciiTheme="minorHAnsi" w:hAnsiTheme="minorHAnsi" w:cstheme="minorHAnsi"/>
                <w:b/>
              </w:rPr>
            </w:pPr>
            <w:r w:rsidRPr="00401FE7">
              <w:rPr>
                <w:rFonts w:asciiTheme="minorHAnsi" w:hAnsiTheme="minorHAnsi" w:cstheme="minorHAnsi"/>
                <w:b/>
              </w:rPr>
              <w:t>Lesinurad 200 mg + febuxostat</w:t>
            </w:r>
          </w:p>
          <w:p w14:paraId="07B61C4A" w14:textId="77777777" w:rsidR="00C669BC" w:rsidRPr="00401FE7" w:rsidRDefault="00C669BC" w:rsidP="0079658A">
            <w:pPr>
              <w:pStyle w:val="Tabletext"/>
              <w:widowControl w:val="0"/>
              <w:jc w:val="center"/>
              <w:rPr>
                <w:rFonts w:asciiTheme="minorHAnsi" w:hAnsiTheme="minorHAnsi" w:cstheme="minorHAnsi"/>
                <w:b/>
              </w:rPr>
            </w:pPr>
            <w:r w:rsidRPr="00401FE7">
              <w:rPr>
                <w:rFonts w:asciiTheme="minorHAnsi" w:hAnsiTheme="minorHAnsi" w:cstheme="minorHAnsi"/>
                <w:b/>
              </w:rPr>
              <w:t>N=106</w:t>
            </w:r>
          </w:p>
        </w:tc>
        <w:tc>
          <w:tcPr>
            <w:tcW w:w="2551" w:type="dxa"/>
            <w:shd w:val="clear" w:color="auto" w:fill="D9D9D9"/>
          </w:tcPr>
          <w:p w14:paraId="7067FADA" w14:textId="77777777" w:rsidR="00C669BC" w:rsidRPr="00401FE7" w:rsidRDefault="00C669BC" w:rsidP="0079658A">
            <w:pPr>
              <w:pStyle w:val="Tabletext"/>
              <w:jc w:val="center"/>
              <w:rPr>
                <w:rFonts w:asciiTheme="minorHAnsi" w:hAnsiTheme="minorHAnsi" w:cstheme="minorHAnsi"/>
                <w:b/>
              </w:rPr>
            </w:pPr>
            <w:r w:rsidRPr="00401FE7">
              <w:rPr>
                <w:rFonts w:asciiTheme="minorHAnsi" w:hAnsiTheme="minorHAnsi" w:cstheme="minorHAnsi"/>
                <w:b/>
              </w:rPr>
              <w:t>Placebo + febuxostat</w:t>
            </w:r>
          </w:p>
          <w:p w14:paraId="600F7155" w14:textId="77777777" w:rsidR="00C669BC" w:rsidRPr="00401FE7" w:rsidRDefault="00C669BC" w:rsidP="0079658A">
            <w:pPr>
              <w:pStyle w:val="Tabletext"/>
              <w:widowControl w:val="0"/>
              <w:jc w:val="center"/>
              <w:rPr>
                <w:rFonts w:asciiTheme="minorHAnsi" w:hAnsiTheme="minorHAnsi" w:cstheme="minorHAnsi"/>
                <w:b/>
              </w:rPr>
            </w:pPr>
            <w:r w:rsidRPr="00401FE7">
              <w:rPr>
                <w:rFonts w:asciiTheme="minorHAnsi" w:hAnsiTheme="minorHAnsi" w:cstheme="minorHAnsi"/>
                <w:b/>
              </w:rPr>
              <w:t>N=109</w:t>
            </w:r>
          </w:p>
        </w:tc>
      </w:tr>
      <w:tr w:rsidR="00C669BC" w:rsidRPr="00401FE7" w14:paraId="44CDE07F" w14:textId="77777777" w:rsidTr="0079658A">
        <w:tc>
          <w:tcPr>
            <w:tcW w:w="3369" w:type="dxa"/>
          </w:tcPr>
          <w:p w14:paraId="6463B790" w14:textId="77777777" w:rsidR="00C669BC" w:rsidRPr="00401FE7" w:rsidRDefault="00C669BC" w:rsidP="0079658A">
            <w:pPr>
              <w:pStyle w:val="Tabletext"/>
              <w:widowControl w:val="0"/>
              <w:tabs>
                <w:tab w:val="left" w:pos="1875"/>
              </w:tabs>
              <w:rPr>
                <w:rFonts w:asciiTheme="minorHAnsi" w:hAnsiTheme="minorHAnsi" w:cstheme="minorHAnsi"/>
              </w:rPr>
            </w:pPr>
            <w:r w:rsidRPr="00401FE7">
              <w:rPr>
                <w:rFonts w:asciiTheme="minorHAnsi" w:hAnsiTheme="minorHAnsi" w:cstheme="minorHAnsi"/>
              </w:rPr>
              <w:t>LOCF Imputation: Proportion of sUA responders</w:t>
            </w:r>
            <w:r w:rsidRPr="00401FE7">
              <w:rPr>
                <w:rFonts w:asciiTheme="minorHAnsi" w:hAnsiTheme="minorHAnsi" w:cstheme="minorHAnsi"/>
                <w:vertAlign w:val="superscript"/>
              </w:rPr>
              <w:t>†</w:t>
            </w:r>
            <w:r w:rsidRPr="00401FE7">
              <w:rPr>
                <w:rFonts w:asciiTheme="minorHAnsi" w:hAnsiTheme="minorHAnsi" w:cstheme="minorHAnsi"/>
              </w:rPr>
              <w:t>,</w:t>
            </w:r>
            <w:r w:rsidRPr="00401FE7">
              <w:rPr>
                <w:rFonts w:asciiTheme="minorHAnsi" w:hAnsiTheme="minorHAnsi" w:cstheme="minorHAnsi"/>
                <w:vertAlign w:val="superscript"/>
              </w:rPr>
              <w:t xml:space="preserve"> </w:t>
            </w:r>
            <w:r w:rsidRPr="00401FE7">
              <w:rPr>
                <w:rFonts w:asciiTheme="minorHAnsi" w:hAnsiTheme="minorHAnsi" w:cstheme="minorHAnsi"/>
              </w:rPr>
              <w:t>n/N (%)</w:t>
            </w:r>
          </w:p>
        </w:tc>
        <w:tc>
          <w:tcPr>
            <w:tcW w:w="3260" w:type="dxa"/>
          </w:tcPr>
          <w:p w14:paraId="6085EDF2" w14:textId="77777777" w:rsidR="00C669BC" w:rsidRPr="00401FE7" w:rsidRDefault="00C669BC" w:rsidP="0079658A">
            <w:pPr>
              <w:pStyle w:val="Tabletext"/>
              <w:widowControl w:val="0"/>
              <w:jc w:val="center"/>
              <w:rPr>
                <w:rFonts w:asciiTheme="minorHAnsi" w:hAnsiTheme="minorHAnsi" w:cstheme="minorHAnsi"/>
              </w:rPr>
            </w:pPr>
            <w:r w:rsidRPr="00401FE7">
              <w:rPr>
                <w:rFonts w:asciiTheme="minorHAnsi" w:hAnsiTheme="minorHAnsi" w:cstheme="minorHAnsi"/>
              </w:rPr>
              <w:t>66/103 (64.1)</w:t>
            </w:r>
          </w:p>
        </w:tc>
        <w:tc>
          <w:tcPr>
            <w:tcW w:w="2551" w:type="dxa"/>
          </w:tcPr>
          <w:p w14:paraId="0D064691" w14:textId="77777777" w:rsidR="00C669BC" w:rsidRPr="00401FE7" w:rsidRDefault="00C669BC" w:rsidP="0079658A">
            <w:pPr>
              <w:pStyle w:val="Tabletext"/>
              <w:widowControl w:val="0"/>
              <w:jc w:val="center"/>
              <w:rPr>
                <w:rFonts w:asciiTheme="minorHAnsi" w:hAnsiTheme="minorHAnsi" w:cstheme="minorHAnsi"/>
              </w:rPr>
            </w:pPr>
            <w:r w:rsidRPr="00401FE7">
              <w:rPr>
                <w:rFonts w:asciiTheme="minorHAnsi" w:hAnsiTheme="minorHAnsi" w:cstheme="minorHAnsi"/>
              </w:rPr>
              <w:t>54/106 (50.9)</w:t>
            </w:r>
          </w:p>
        </w:tc>
      </w:tr>
      <w:tr w:rsidR="00C669BC" w:rsidRPr="00401FE7" w14:paraId="60C986F0" w14:textId="77777777" w:rsidTr="0079658A">
        <w:tc>
          <w:tcPr>
            <w:tcW w:w="3369" w:type="dxa"/>
          </w:tcPr>
          <w:p w14:paraId="292A4E57" w14:textId="77777777" w:rsidR="00C669BC" w:rsidRPr="00401FE7" w:rsidRDefault="00C669BC" w:rsidP="0079658A">
            <w:pPr>
              <w:pStyle w:val="Tabletext"/>
              <w:widowControl w:val="0"/>
              <w:rPr>
                <w:rFonts w:asciiTheme="minorHAnsi" w:hAnsiTheme="minorHAnsi" w:cstheme="minorHAnsi"/>
              </w:rPr>
            </w:pPr>
            <w:r w:rsidRPr="00401FE7">
              <w:rPr>
                <w:rFonts w:asciiTheme="minorHAnsi" w:hAnsiTheme="minorHAnsi" w:cstheme="minorHAnsi"/>
              </w:rPr>
              <w:t xml:space="preserve">Difference in proportions </w:t>
            </w:r>
            <w:r w:rsidRPr="00401FE7">
              <w:rPr>
                <w:rFonts w:asciiTheme="minorHAnsi" w:hAnsiTheme="minorHAnsi" w:cstheme="minorHAnsi"/>
              </w:rPr>
              <w:br/>
              <w:t>(95% CI), lesinurad versus placebo</w:t>
            </w:r>
          </w:p>
        </w:tc>
        <w:tc>
          <w:tcPr>
            <w:tcW w:w="3260" w:type="dxa"/>
          </w:tcPr>
          <w:p w14:paraId="570C3027" w14:textId="77777777" w:rsidR="00C669BC" w:rsidRPr="00401FE7" w:rsidRDefault="00C669BC" w:rsidP="0079658A">
            <w:pPr>
              <w:pStyle w:val="Tabletext"/>
              <w:widowControl w:val="0"/>
              <w:jc w:val="center"/>
              <w:rPr>
                <w:rFonts w:asciiTheme="minorHAnsi" w:hAnsiTheme="minorHAnsi" w:cstheme="minorHAnsi"/>
              </w:rPr>
            </w:pPr>
            <w:r w:rsidRPr="00401FE7">
              <w:rPr>
                <w:rFonts w:asciiTheme="minorHAnsi" w:hAnsiTheme="minorHAnsi" w:cstheme="minorHAnsi"/>
              </w:rPr>
              <w:t>0.13 (–0.00; 0.26)</w:t>
            </w:r>
          </w:p>
        </w:tc>
        <w:tc>
          <w:tcPr>
            <w:tcW w:w="2551" w:type="dxa"/>
          </w:tcPr>
          <w:p w14:paraId="09A02C20" w14:textId="77777777" w:rsidR="00C669BC" w:rsidRPr="00401FE7" w:rsidRDefault="00C669BC" w:rsidP="0079658A">
            <w:pPr>
              <w:pStyle w:val="Tabletext"/>
              <w:widowControl w:val="0"/>
              <w:jc w:val="center"/>
              <w:rPr>
                <w:rFonts w:asciiTheme="minorHAnsi" w:hAnsiTheme="minorHAnsi" w:cstheme="minorHAnsi"/>
              </w:rPr>
            </w:pPr>
          </w:p>
        </w:tc>
      </w:tr>
      <w:tr w:rsidR="00C669BC" w:rsidRPr="00401FE7" w14:paraId="2CDE313A" w14:textId="77777777" w:rsidTr="0079658A">
        <w:tc>
          <w:tcPr>
            <w:tcW w:w="3369" w:type="dxa"/>
            <w:tcBorders>
              <w:top w:val="single" w:sz="4" w:space="0" w:color="auto"/>
            </w:tcBorders>
          </w:tcPr>
          <w:p w14:paraId="2E4A91AF" w14:textId="77777777" w:rsidR="00C669BC" w:rsidRPr="00401FE7" w:rsidRDefault="00C669BC" w:rsidP="0079658A">
            <w:pPr>
              <w:pStyle w:val="Tabletext"/>
              <w:widowControl w:val="0"/>
              <w:rPr>
                <w:rFonts w:asciiTheme="minorHAnsi" w:hAnsiTheme="minorHAnsi" w:cstheme="minorHAnsi"/>
              </w:rPr>
            </w:pPr>
            <w:r w:rsidRPr="00401FE7">
              <w:rPr>
                <w:rFonts w:asciiTheme="minorHAnsi" w:hAnsiTheme="minorHAnsi" w:cstheme="minorHAnsi"/>
              </w:rPr>
              <w:t>p-value</w:t>
            </w:r>
          </w:p>
        </w:tc>
        <w:tc>
          <w:tcPr>
            <w:tcW w:w="3260" w:type="dxa"/>
            <w:tcBorders>
              <w:top w:val="single" w:sz="4" w:space="0" w:color="auto"/>
            </w:tcBorders>
          </w:tcPr>
          <w:p w14:paraId="7DC3C102" w14:textId="77777777" w:rsidR="00C669BC" w:rsidRPr="00401FE7" w:rsidRDefault="00C669BC" w:rsidP="0079658A">
            <w:pPr>
              <w:pStyle w:val="Tabletext"/>
              <w:widowControl w:val="0"/>
              <w:jc w:val="center"/>
              <w:rPr>
                <w:rFonts w:asciiTheme="minorHAnsi" w:hAnsiTheme="minorHAnsi" w:cstheme="minorHAnsi"/>
              </w:rPr>
            </w:pPr>
            <w:r w:rsidRPr="00401FE7">
              <w:rPr>
                <w:rFonts w:asciiTheme="minorHAnsi" w:hAnsiTheme="minorHAnsi" w:cstheme="minorHAnsi"/>
              </w:rPr>
              <w:t>0.0377</w:t>
            </w:r>
          </w:p>
        </w:tc>
        <w:tc>
          <w:tcPr>
            <w:tcW w:w="2551" w:type="dxa"/>
            <w:tcBorders>
              <w:top w:val="single" w:sz="4" w:space="0" w:color="auto"/>
            </w:tcBorders>
          </w:tcPr>
          <w:p w14:paraId="59D07325" w14:textId="77777777" w:rsidR="00C669BC" w:rsidRPr="00401FE7" w:rsidRDefault="00C669BC" w:rsidP="0079658A">
            <w:pPr>
              <w:pStyle w:val="Tabletext"/>
              <w:widowControl w:val="0"/>
              <w:jc w:val="center"/>
              <w:rPr>
                <w:rFonts w:asciiTheme="minorHAnsi" w:hAnsiTheme="minorHAnsi" w:cstheme="minorHAnsi"/>
              </w:rPr>
            </w:pPr>
          </w:p>
        </w:tc>
      </w:tr>
    </w:tbl>
    <w:p w14:paraId="63134F4A" w14:textId="77777777" w:rsidR="00C669BC" w:rsidRPr="00465C98" w:rsidRDefault="00C669BC" w:rsidP="00C669BC">
      <w:pPr>
        <w:rPr>
          <w:lang w:val="en-US"/>
        </w:rPr>
      </w:pPr>
      <w:r>
        <w:rPr>
          <w:rStyle w:val="TablefootnoteChar"/>
          <w:rFonts w:eastAsiaTheme="minorEastAsia"/>
        </w:rPr>
        <w:t>†</w:t>
      </w:r>
      <w:r w:rsidRPr="00E9530C">
        <w:rPr>
          <w:rStyle w:val="TablefootnoteChar"/>
          <w:rFonts w:eastAsiaTheme="minorEastAsia"/>
        </w:rPr>
        <w:t>Defined as subjects achieving sUA &lt;5.0 mg/dL by Month 6.</w:t>
      </w:r>
      <w:r w:rsidRPr="00E9530C">
        <w:rPr>
          <w:rStyle w:val="TablefootnoteChar"/>
          <w:rFonts w:eastAsiaTheme="minorEastAsia"/>
        </w:rPr>
        <w:br/>
        <w:t xml:space="preserve">Abbreviations: CI, confidence interval; ITT, intent-to-treat; </w:t>
      </w:r>
      <w:r>
        <w:rPr>
          <w:rStyle w:val="TablefootnoteChar"/>
          <w:rFonts w:eastAsiaTheme="minorEastAsia"/>
        </w:rPr>
        <w:t xml:space="preserve">LOCF, last observation carried forward; </w:t>
      </w:r>
      <w:r w:rsidRPr="00E9530C">
        <w:rPr>
          <w:rStyle w:val="TablefootnoteChar"/>
          <w:rFonts w:eastAsiaTheme="minorEastAsia"/>
        </w:rPr>
        <w:t>sUA, serum uric acid.</w:t>
      </w:r>
    </w:p>
    <w:p w14:paraId="582F5B39" w14:textId="2DC06B19" w:rsidR="00EE6F19" w:rsidRDefault="00EE6F19" w:rsidP="001D59E9">
      <w:pPr>
        <w:widowControl w:val="0"/>
        <w:autoSpaceDE w:val="0"/>
        <w:autoSpaceDN w:val="0"/>
        <w:adjustRightInd w:val="0"/>
        <w:spacing w:line="360" w:lineRule="auto"/>
        <w:rPr>
          <w:rFonts w:cs="Arial"/>
          <w:sz w:val="20"/>
          <w:szCs w:val="20"/>
        </w:rPr>
      </w:pPr>
      <w:r w:rsidRPr="00EE6F19">
        <w:rPr>
          <w:rFonts w:cs="Arial"/>
          <w:b/>
          <w:sz w:val="20"/>
          <w:szCs w:val="20"/>
        </w:rPr>
        <w:t xml:space="preserve">Nei pazienti non responder a febuxostat lesinurad ha mostrato maggiore riduzione dei livelli </w:t>
      </w:r>
      <w:r w:rsidR="00185C85">
        <w:rPr>
          <w:rFonts w:cs="Arial"/>
          <w:b/>
          <w:sz w:val="20"/>
          <w:szCs w:val="20"/>
        </w:rPr>
        <w:t>s</w:t>
      </w:r>
      <w:r w:rsidR="005848A1">
        <w:rPr>
          <w:rFonts w:cs="Arial"/>
          <w:b/>
          <w:sz w:val="20"/>
          <w:szCs w:val="20"/>
        </w:rPr>
        <w:t>UA</w:t>
      </w:r>
      <w:r w:rsidRPr="00EE6F19">
        <w:rPr>
          <w:rFonts w:cs="Arial"/>
          <w:b/>
          <w:sz w:val="20"/>
          <w:szCs w:val="20"/>
        </w:rPr>
        <w:t xml:space="preserve"> rispetto al basale: le percentuali di pazienti con uricemia &lt;5,0 mg/dl al </w:t>
      </w:r>
      <w:r w:rsidR="001526A2">
        <w:rPr>
          <w:rFonts w:cs="Arial"/>
          <w:b/>
          <w:sz w:val="20"/>
          <w:szCs w:val="20"/>
        </w:rPr>
        <w:t xml:space="preserve">Mese 6 </w:t>
      </w:r>
      <w:r w:rsidRPr="00EE6F19">
        <w:rPr>
          <w:rFonts w:cs="Arial"/>
          <w:b/>
          <w:sz w:val="20"/>
          <w:szCs w:val="20"/>
        </w:rPr>
        <w:t>erano del 44,1% per lesinurad vs. 23,5% per febuxostat monoterapia (p &lt;0,05)</w:t>
      </w:r>
      <w:r w:rsidR="00D142E4">
        <w:rPr>
          <w:rFonts w:cs="Arial"/>
          <w:b/>
          <w:sz w:val="20"/>
          <w:szCs w:val="20"/>
        </w:rPr>
        <w:t xml:space="preserve"> (</w:t>
      </w:r>
      <w:hyperlink w:anchor="Paragrafo518" w:history="1">
        <w:r w:rsidR="00D142E4" w:rsidRPr="00C81561">
          <w:rPr>
            <w:rStyle w:val="Hyperlink"/>
            <w:rFonts w:cs="Arial"/>
            <w:sz w:val="20"/>
            <w:szCs w:val="20"/>
          </w:rPr>
          <w:t>P</w:t>
        </w:r>
        <w:r w:rsidR="00AF5C2F" w:rsidRPr="00C81561">
          <w:rPr>
            <w:rStyle w:val="Hyperlink"/>
            <w:rFonts w:cs="Arial"/>
            <w:sz w:val="20"/>
            <w:szCs w:val="20"/>
          </w:rPr>
          <w:t>aragrafo 5.1</w:t>
        </w:r>
        <w:r w:rsidR="00D142E4" w:rsidRPr="00C81561">
          <w:rPr>
            <w:rStyle w:val="Hyperlink"/>
            <w:rFonts w:cs="Arial"/>
            <w:sz w:val="20"/>
            <w:szCs w:val="20"/>
          </w:rPr>
          <w:t>8</w:t>
        </w:r>
      </w:hyperlink>
      <w:r w:rsidR="00D142E4">
        <w:rPr>
          <w:rFonts w:cs="Arial"/>
          <w:b/>
          <w:sz w:val="20"/>
          <w:szCs w:val="20"/>
        </w:rPr>
        <w:t>)</w:t>
      </w:r>
      <w:r w:rsidRPr="00EE6F19">
        <w:rPr>
          <w:rFonts w:cs="Arial"/>
          <w:b/>
          <w:sz w:val="20"/>
          <w:szCs w:val="20"/>
        </w:rPr>
        <w:t xml:space="preserve"> </w:t>
      </w:r>
      <w:r w:rsidRPr="00EE6F19">
        <w:rPr>
          <w:rFonts w:cs="Arial"/>
          <w:sz w:val="20"/>
          <w:szCs w:val="20"/>
        </w:rPr>
        <w:t>(</w:t>
      </w:r>
      <w:hyperlink w:anchor="Figura19" w:history="1">
        <w:r w:rsidRPr="001B3060">
          <w:rPr>
            <w:rStyle w:val="Hyperlink"/>
            <w:rFonts w:cs="Arial"/>
            <w:sz w:val="20"/>
            <w:szCs w:val="20"/>
          </w:rPr>
          <w:t xml:space="preserve">Figura </w:t>
        </w:r>
        <w:r w:rsidR="00453EC3" w:rsidRPr="001B3060">
          <w:rPr>
            <w:rStyle w:val="Hyperlink"/>
            <w:rFonts w:cs="Arial"/>
            <w:sz w:val="20"/>
            <w:szCs w:val="20"/>
          </w:rPr>
          <w:t>1</w:t>
        </w:r>
        <w:r w:rsidR="00AC4573" w:rsidRPr="001B3060">
          <w:rPr>
            <w:rStyle w:val="Hyperlink"/>
            <w:rFonts w:cs="Arial"/>
            <w:sz w:val="20"/>
            <w:szCs w:val="20"/>
          </w:rPr>
          <w:t>9</w:t>
        </w:r>
      </w:hyperlink>
      <w:r w:rsidR="00453EC3">
        <w:rPr>
          <w:rFonts w:cs="Arial"/>
          <w:sz w:val="20"/>
          <w:szCs w:val="20"/>
        </w:rPr>
        <w:t>).</w:t>
      </w:r>
    </w:p>
    <w:p w14:paraId="76A1DE34" w14:textId="77777777" w:rsidR="00453EC3" w:rsidRPr="00EE6F19" w:rsidRDefault="00453EC3" w:rsidP="001D59E9">
      <w:pPr>
        <w:widowControl w:val="0"/>
        <w:autoSpaceDE w:val="0"/>
        <w:autoSpaceDN w:val="0"/>
        <w:adjustRightInd w:val="0"/>
        <w:spacing w:line="360" w:lineRule="auto"/>
        <w:rPr>
          <w:rFonts w:cs="Arial"/>
          <w:sz w:val="20"/>
          <w:szCs w:val="20"/>
        </w:rPr>
      </w:pPr>
    </w:p>
    <w:p w14:paraId="26621DD1" w14:textId="77777777" w:rsidR="008448C8" w:rsidRPr="004A0A1A" w:rsidRDefault="00453EC3" w:rsidP="008448C8">
      <w:pPr>
        <w:pStyle w:val="Caption"/>
        <w:rPr>
          <w:rFonts w:asciiTheme="minorHAnsi" w:hAnsiTheme="minorHAnsi" w:cstheme="minorHAnsi"/>
          <w:lang w:val="it-IT"/>
        </w:rPr>
      </w:pPr>
      <w:bookmarkStart w:id="83" w:name="Figura19"/>
      <w:bookmarkStart w:id="84" w:name="_Toc473186914"/>
      <w:bookmarkEnd w:id="83"/>
      <w:r w:rsidRPr="00453EC3">
        <w:rPr>
          <w:rFonts w:asciiTheme="minorHAnsi" w:hAnsiTheme="minorHAnsi" w:cstheme="minorHAnsi"/>
          <w:lang w:val="it-IT"/>
        </w:rPr>
        <w:t xml:space="preserve">Figura </w:t>
      </w:r>
      <w:r w:rsidRPr="00453EC3">
        <w:rPr>
          <w:rFonts w:asciiTheme="minorHAnsi" w:hAnsiTheme="minorHAnsi" w:cstheme="minorHAnsi"/>
        </w:rPr>
        <w:fldChar w:fldCharType="begin"/>
      </w:r>
      <w:r w:rsidRPr="00453EC3">
        <w:rPr>
          <w:rFonts w:asciiTheme="minorHAnsi" w:hAnsiTheme="minorHAnsi" w:cstheme="minorHAnsi"/>
          <w:lang w:val="it-IT"/>
        </w:rPr>
        <w:instrText xml:space="preserve"> SEQ Figura \* ARABIC </w:instrText>
      </w:r>
      <w:r w:rsidRPr="00453EC3">
        <w:rPr>
          <w:rFonts w:asciiTheme="minorHAnsi" w:hAnsiTheme="minorHAnsi" w:cstheme="minorHAnsi"/>
        </w:rPr>
        <w:fldChar w:fldCharType="separate"/>
      </w:r>
      <w:r w:rsidR="00A1679C">
        <w:rPr>
          <w:rFonts w:asciiTheme="minorHAnsi" w:hAnsiTheme="minorHAnsi" w:cstheme="minorHAnsi"/>
          <w:noProof/>
          <w:lang w:val="it-IT"/>
        </w:rPr>
        <w:t>19</w:t>
      </w:r>
      <w:r w:rsidRPr="00453EC3">
        <w:rPr>
          <w:rFonts w:asciiTheme="minorHAnsi" w:hAnsiTheme="minorHAnsi" w:cstheme="minorHAnsi"/>
        </w:rPr>
        <w:fldChar w:fldCharType="end"/>
      </w:r>
      <w:r w:rsidRPr="00453EC3">
        <w:rPr>
          <w:rFonts w:asciiTheme="minorHAnsi" w:hAnsiTheme="minorHAnsi" w:cstheme="minorHAnsi"/>
          <w:lang w:val="it-IT"/>
        </w:rPr>
        <w:t xml:space="preserve"> - </w:t>
      </w:r>
      <w:r w:rsidR="008448C8" w:rsidRPr="004A0A1A">
        <w:rPr>
          <w:rFonts w:asciiTheme="minorHAnsi" w:hAnsiTheme="minorHAnsi" w:cstheme="minorHAnsi"/>
          <w:lang w:val="it-IT"/>
        </w:rPr>
        <w:t xml:space="preserve">End-point primario nei pazienti </w:t>
      </w:r>
      <w:r w:rsidR="008448C8">
        <w:rPr>
          <w:rFonts w:asciiTheme="minorHAnsi" w:hAnsiTheme="minorHAnsi" w:cstheme="minorHAnsi"/>
          <w:lang w:val="it-IT"/>
        </w:rPr>
        <w:t>SUA</w:t>
      </w:r>
      <w:r w:rsidR="008448C8" w:rsidRPr="004A0A1A">
        <w:rPr>
          <w:rFonts w:asciiTheme="minorHAnsi" w:hAnsiTheme="minorHAnsi" w:cstheme="minorHAnsi"/>
          <w:u w:val="single"/>
          <w:lang w:val="it-IT"/>
        </w:rPr>
        <w:t>&gt;</w:t>
      </w:r>
      <w:r w:rsidR="008448C8" w:rsidRPr="004A0A1A">
        <w:rPr>
          <w:rFonts w:asciiTheme="minorHAnsi" w:hAnsiTheme="minorHAnsi" w:cstheme="minorHAnsi"/>
          <w:lang w:val="it-IT"/>
        </w:rPr>
        <w:t>5 mg/dl al basale - studio CRYSTAL</w:t>
      </w:r>
      <w:r w:rsidR="008448C8">
        <w:rPr>
          <w:rFonts w:asciiTheme="minorHAnsi" w:hAnsiTheme="minorHAnsi" w:cstheme="minorHAnsi"/>
          <w:lang w:val="it-IT"/>
        </w:rPr>
        <w:t xml:space="preserve"> (analisi NRI, popolazione ITT) (adattato da </w:t>
      </w:r>
      <w:r w:rsidR="008448C8">
        <w:rPr>
          <w:rFonts w:asciiTheme="minorHAnsi" w:hAnsiTheme="minorHAnsi" w:cstheme="minorHAnsi"/>
          <w:color w:val="0000FF"/>
          <w:lang w:val="it-IT"/>
        </w:rPr>
        <w:t>CSR 304, 2014</w:t>
      </w:r>
      <w:r w:rsidR="008448C8">
        <w:rPr>
          <w:rFonts w:asciiTheme="minorHAnsi" w:hAnsiTheme="minorHAnsi" w:cstheme="minorHAnsi"/>
          <w:lang w:val="it-IT"/>
        </w:rPr>
        <w:t>)</w:t>
      </w:r>
      <w:bookmarkEnd w:id="84"/>
    </w:p>
    <w:p w14:paraId="3719B3A9" w14:textId="0BC52D28" w:rsidR="00EE6F19" w:rsidRPr="00EE6F19" w:rsidRDefault="00B62035" w:rsidP="008448C8">
      <w:pPr>
        <w:pStyle w:val="Caption"/>
        <w:rPr>
          <w:rFonts w:cs="Arial"/>
        </w:rPr>
      </w:pPr>
      <w:r>
        <w:rPr>
          <w:rFonts w:cs="Arial"/>
          <w:noProof/>
          <w:lang w:val="en-GB" w:eastAsia="en-GB"/>
        </w:rPr>
        <w:drawing>
          <wp:inline distT="0" distB="0" distL="0" distR="0" wp14:anchorId="759EB84E" wp14:editId="0380A8F9">
            <wp:extent cx="5670550" cy="3289596"/>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73502" cy="3291309"/>
                    </a:xfrm>
                    <a:prstGeom prst="rect">
                      <a:avLst/>
                    </a:prstGeom>
                    <a:noFill/>
                  </pic:spPr>
                </pic:pic>
              </a:graphicData>
            </a:graphic>
          </wp:inline>
        </w:drawing>
      </w:r>
    </w:p>
    <w:p w14:paraId="700E37E7" w14:textId="77777777" w:rsidR="00EE6F19" w:rsidRPr="00EE6F19" w:rsidRDefault="00EE6F19" w:rsidP="001D59E9">
      <w:pPr>
        <w:widowControl w:val="0"/>
        <w:autoSpaceDE w:val="0"/>
        <w:autoSpaceDN w:val="0"/>
        <w:adjustRightInd w:val="0"/>
        <w:spacing w:line="360" w:lineRule="auto"/>
        <w:rPr>
          <w:rFonts w:cs="Arial"/>
          <w:b/>
          <w:sz w:val="20"/>
          <w:szCs w:val="20"/>
        </w:rPr>
      </w:pPr>
    </w:p>
    <w:p w14:paraId="3EDC0659" w14:textId="77777777" w:rsidR="00EE6F19" w:rsidRPr="00EE6F19" w:rsidRDefault="00EE6F19" w:rsidP="001D59E9">
      <w:pPr>
        <w:widowControl w:val="0"/>
        <w:autoSpaceDE w:val="0"/>
        <w:autoSpaceDN w:val="0"/>
        <w:adjustRightInd w:val="0"/>
        <w:spacing w:line="360" w:lineRule="auto"/>
        <w:rPr>
          <w:rFonts w:cs="Arial"/>
          <w:sz w:val="20"/>
          <w:szCs w:val="20"/>
        </w:rPr>
      </w:pPr>
      <w:r w:rsidRPr="00EE6F19">
        <w:rPr>
          <w:rFonts w:cs="Arial"/>
          <w:sz w:val="20"/>
          <w:szCs w:val="20"/>
        </w:rPr>
        <w:t>La significativa riduzione dell’uricemia determinata dall’aggiunta di lesinurad alla terapia con un farmaco XOI è considerata un end-point importante per il trattamento della gotta, in quanto si correla positivamente con la riduzione delle manifestazioni cliniche della malattia, rappresentate principalmente dagli attacchi di gotta e dai tofi.</w:t>
      </w:r>
    </w:p>
    <w:p w14:paraId="4D1D164A" w14:textId="714F00B9" w:rsidR="00652AEE" w:rsidRPr="004A667D" w:rsidRDefault="00A53FB9" w:rsidP="000210A2">
      <w:pPr>
        <w:widowControl w:val="0"/>
        <w:autoSpaceDE w:val="0"/>
        <w:autoSpaceDN w:val="0"/>
        <w:adjustRightInd w:val="0"/>
        <w:spacing w:line="360" w:lineRule="auto"/>
        <w:rPr>
          <w:rFonts w:cs="Arial"/>
          <w:sz w:val="20"/>
          <w:szCs w:val="20"/>
        </w:rPr>
      </w:pPr>
      <w:r>
        <w:rPr>
          <w:rFonts w:cs="Arial"/>
          <w:sz w:val="20"/>
          <w:szCs w:val="20"/>
        </w:rPr>
        <w:t>L</w:t>
      </w:r>
      <w:r w:rsidR="00652AEE">
        <w:rPr>
          <w:rFonts w:cs="Arial"/>
          <w:sz w:val="20"/>
          <w:szCs w:val="20"/>
        </w:rPr>
        <w:t>e principali Linee Guida internazionali (</w:t>
      </w:r>
      <w:r w:rsidR="00F114DC">
        <w:rPr>
          <w:rFonts w:cs="Arial"/>
          <w:color w:val="0000FF"/>
          <w:sz w:val="20"/>
          <w:szCs w:val="20"/>
        </w:rPr>
        <w:t>R</w:t>
      </w:r>
      <w:r w:rsidR="00C57973">
        <w:rPr>
          <w:rFonts w:cs="Arial"/>
          <w:color w:val="0000FF"/>
          <w:sz w:val="20"/>
          <w:szCs w:val="20"/>
        </w:rPr>
        <w:t>ichette</w:t>
      </w:r>
      <w:r w:rsidR="00F114DC">
        <w:rPr>
          <w:rFonts w:cs="Arial"/>
          <w:color w:val="0000FF"/>
          <w:sz w:val="20"/>
          <w:szCs w:val="20"/>
        </w:rPr>
        <w:t>, 2016 (6)</w:t>
      </w:r>
      <w:r w:rsidR="00652AEE" w:rsidRPr="007871D0">
        <w:rPr>
          <w:rFonts w:cs="Arial"/>
          <w:color w:val="0000FF"/>
          <w:sz w:val="20"/>
          <w:szCs w:val="20"/>
        </w:rPr>
        <w:t xml:space="preserve">; </w:t>
      </w:r>
      <w:r w:rsidR="00F114DC">
        <w:rPr>
          <w:rFonts w:cs="Arial"/>
          <w:color w:val="0000FF"/>
          <w:sz w:val="20"/>
          <w:szCs w:val="20"/>
        </w:rPr>
        <w:t>K</w:t>
      </w:r>
      <w:r w:rsidR="00C57973">
        <w:rPr>
          <w:rFonts w:cs="Arial"/>
          <w:color w:val="0000FF"/>
          <w:sz w:val="20"/>
          <w:szCs w:val="20"/>
        </w:rPr>
        <w:t>hanna</w:t>
      </w:r>
      <w:r w:rsidR="00F114DC">
        <w:rPr>
          <w:rFonts w:cs="Arial"/>
          <w:color w:val="0000FF"/>
          <w:sz w:val="20"/>
          <w:szCs w:val="20"/>
        </w:rPr>
        <w:t>, 2012 (96)</w:t>
      </w:r>
      <w:r w:rsidR="00652AEE" w:rsidRPr="007871D0">
        <w:rPr>
          <w:rFonts w:cs="Arial"/>
          <w:color w:val="0000FF"/>
          <w:sz w:val="20"/>
          <w:szCs w:val="20"/>
        </w:rPr>
        <w:t xml:space="preserve">, </w:t>
      </w:r>
      <w:r w:rsidR="00E63B51">
        <w:rPr>
          <w:rFonts w:cs="Arial"/>
          <w:color w:val="0000FF"/>
          <w:sz w:val="20"/>
          <w:szCs w:val="20"/>
        </w:rPr>
        <w:t>Jordan</w:t>
      </w:r>
      <w:r w:rsidR="00EC3329">
        <w:rPr>
          <w:rFonts w:cs="Arial"/>
          <w:color w:val="0000FF"/>
          <w:sz w:val="20"/>
          <w:szCs w:val="20"/>
        </w:rPr>
        <w:t>, 2007 (97</w:t>
      </w:r>
      <w:r w:rsidR="00156E01">
        <w:rPr>
          <w:rFonts w:cs="Arial"/>
          <w:color w:val="0000FF"/>
          <w:sz w:val="20"/>
          <w:szCs w:val="20"/>
        </w:rPr>
        <w:t>)</w:t>
      </w:r>
      <w:r w:rsidR="00652AEE">
        <w:rPr>
          <w:rFonts w:cs="Arial"/>
          <w:sz w:val="20"/>
          <w:szCs w:val="20"/>
        </w:rPr>
        <w:t>) e d</w:t>
      </w:r>
      <w:r w:rsidR="00652AEE" w:rsidRPr="004A667D">
        <w:rPr>
          <w:rFonts w:cs="Arial"/>
          <w:sz w:val="20"/>
          <w:szCs w:val="20"/>
        </w:rPr>
        <w:t xml:space="preserve">iversi studi supportano </w:t>
      </w:r>
      <w:r w:rsidR="00652AEE" w:rsidRPr="00185C85">
        <w:rPr>
          <w:rFonts w:cs="Arial"/>
          <w:b/>
          <w:sz w:val="20"/>
          <w:szCs w:val="20"/>
        </w:rPr>
        <w:t xml:space="preserve">l’utilizzo dei livelli di </w:t>
      </w:r>
      <w:r w:rsidR="005848A1" w:rsidRPr="00185C85">
        <w:rPr>
          <w:rFonts w:cs="Arial"/>
          <w:b/>
          <w:sz w:val="20"/>
          <w:szCs w:val="20"/>
        </w:rPr>
        <w:t>sUA</w:t>
      </w:r>
      <w:r w:rsidR="00652AEE" w:rsidRPr="00185C85">
        <w:rPr>
          <w:rFonts w:cs="Arial"/>
          <w:b/>
          <w:sz w:val="20"/>
          <w:szCs w:val="20"/>
        </w:rPr>
        <w:t xml:space="preserve"> come marker dei benefici clinici nel trattamento e nella gestione della gotta</w:t>
      </w:r>
      <w:r w:rsidR="00652AEE" w:rsidRPr="004A667D">
        <w:rPr>
          <w:rFonts w:cs="Arial"/>
          <w:sz w:val="20"/>
          <w:szCs w:val="20"/>
        </w:rPr>
        <w:t xml:space="preserve"> (</w:t>
      </w:r>
      <w:r w:rsidR="00E42F17">
        <w:rPr>
          <w:rFonts w:cs="Arial"/>
          <w:color w:val="0000FF"/>
          <w:sz w:val="20"/>
          <w:szCs w:val="20"/>
        </w:rPr>
        <w:t>Shoji, 2004 (17)</w:t>
      </w:r>
      <w:r w:rsidR="00E42F17" w:rsidRPr="001526A2">
        <w:rPr>
          <w:rFonts w:cs="Arial"/>
          <w:color w:val="0000FF"/>
          <w:sz w:val="20"/>
          <w:szCs w:val="20"/>
        </w:rPr>
        <w:t xml:space="preserve">; </w:t>
      </w:r>
      <w:r w:rsidR="00652AEE" w:rsidRPr="001526A2">
        <w:rPr>
          <w:rFonts w:cs="Arial"/>
          <w:color w:val="0000FF"/>
          <w:sz w:val="20"/>
          <w:szCs w:val="20"/>
        </w:rPr>
        <w:t>Becker, 2009</w:t>
      </w:r>
      <w:r w:rsidR="00B352E9">
        <w:rPr>
          <w:rFonts w:cs="Arial"/>
          <w:color w:val="0000FF"/>
          <w:sz w:val="20"/>
          <w:szCs w:val="20"/>
        </w:rPr>
        <w:t xml:space="preserve"> (37)</w:t>
      </w:r>
      <w:r w:rsidR="00652AEE" w:rsidRPr="001526A2">
        <w:rPr>
          <w:rFonts w:cs="Arial"/>
          <w:color w:val="0000FF"/>
          <w:sz w:val="20"/>
          <w:szCs w:val="20"/>
        </w:rPr>
        <w:t xml:space="preserve">; </w:t>
      </w:r>
      <w:r w:rsidR="00E42F17">
        <w:rPr>
          <w:rFonts w:cs="Arial"/>
          <w:color w:val="0000FF"/>
          <w:sz w:val="20"/>
          <w:szCs w:val="20"/>
        </w:rPr>
        <w:t xml:space="preserve">Kiltz, 2016 (104); </w:t>
      </w:r>
      <w:r w:rsidR="0087651E">
        <w:rPr>
          <w:rFonts w:cs="Arial"/>
          <w:color w:val="0000FF"/>
          <w:sz w:val="20"/>
          <w:szCs w:val="20"/>
        </w:rPr>
        <w:t>Li-Yu, 2001 (112</w:t>
      </w:r>
      <w:r w:rsidR="008E6BDD">
        <w:rPr>
          <w:rFonts w:cs="Arial"/>
          <w:color w:val="0000FF"/>
          <w:sz w:val="20"/>
          <w:szCs w:val="20"/>
        </w:rPr>
        <w:t>)</w:t>
      </w:r>
      <w:r w:rsidR="00652AEE" w:rsidRPr="001526A2">
        <w:rPr>
          <w:rFonts w:cs="Arial"/>
          <w:color w:val="0000FF"/>
          <w:sz w:val="20"/>
          <w:szCs w:val="20"/>
        </w:rPr>
        <w:t xml:space="preserve">; </w:t>
      </w:r>
      <w:r w:rsidR="0087651E">
        <w:rPr>
          <w:rFonts w:cs="Arial"/>
          <w:color w:val="0000FF"/>
          <w:sz w:val="20"/>
          <w:szCs w:val="20"/>
        </w:rPr>
        <w:t>Pascual, 2007 (113</w:t>
      </w:r>
      <w:r w:rsidR="00F64F56">
        <w:rPr>
          <w:rFonts w:cs="Arial"/>
          <w:color w:val="0000FF"/>
          <w:sz w:val="20"/>
          <w:szCs w:val="20"/>
        </w:rPr>
        <w:t>)</w:t>
      </w:r>
      <w:r w:rsidR="00652AEE" w:rsidRPr="001526A2">
        <w:rPr>
          <w:rFonts w:cs="Arial"/>
          <w:color w:val="0000FF"/>
          <w:sz w:val="20"/>
          <w:szCs w:val="20"/>
        </w:rPr>
        <w:t xml:space="preserve">; </w:t>
      </w:r>
      <w:r w:rsidR="009752F0">
        <w:rPr>
          <w:rFonts w:cs="Arial"/>
          <w:color w:val="0000FF"/>
          <w:sz w:val="20"/>
          <w:szCs w:val="20"/>
        </w:rPr>
        <w:t>Perez-Ruiz</w:t>
      </w:r>
      <w:r w:rsidR="0087651E">
        <w:rPr>
          <w:rFonts w:cs="Arial"/>
          <w:color w:val="0000FF"/>
          <w:sz w:val="20"/>
          <w:szCs w:val="20"/>
        </w:rPr>
        <w:t>, 2002 (114</w:t>
      </w:r>
      <w:r w:rsidR="00F64F56">
        <w:rPr>
          <w:rFonts w:cs="Arial"/>
          <w:color w:val="0000FF"/>
          <w:sz w:val="20"/>
          <w:szCs w:val="20"/>
        </w:rPr>
        <w:t>)</w:t>
      </w:r>
      <w:r w:rsidR="00652AEE" w:rsidRPr="001526A2">
        <w:rPr>
          <w:rFonts w:cs="Arial"/>
          <w:color w:val="0000FF"/>
          <w:sz w:val="20"/>
          <w:szCs w:val="20"/>
        </w:rPr>
        <w:t xml:space="preserve">; </w:t>
      </w:r>
      <w:r w:rsidR="00B200A7">
        <w:rPr>
          <w:rFonts w:cs="Arial"/>
          <w:color w:val="0000FF"/>
          <w:sz w:val="20"/>
          <w:szCs w:val="20"/>
        </w:rPr>
        <w:t>Campion, 1987 (115</w:t>
      </w:r>
      <w:r w:rsidR="00E42F17">
        <w:rPr>
          <w:rFonts w:cs="Arial"/>
          <w:color w:val="0000FF"/>
          <w:sz w:val="20"/>
          <w:szCs w:val="20"/>
        </w:rPr>
        <w:t>)</w:t>
      </w:r>
      <w:r w:rsidR="00652AEE" w:rsidRPr="004A667D">
        <w:rPr>
          <w:rFonts w:cs="Arial"/>
          <w:sz w:val="20"/>
          <w:szCs w:val="20"/>
        </w:rPr>
        <w:t>). Ulteriore supporto</w:t>
      </w:r>
      <w:r w:rsidR="00652AEE">
        <w:rPr>
          <w:rFonts w:cs="Arial"/>
          <w:sz w:val="20"/>
          <w:szCs w:val="20"/>
        </w:rPr>
        <w:t xml:space="preserve"> all’applicabilità dei livelli </w:t>
      </w:r>
      <w:r w:rsidR="005848A1">
        <w:rPr>
          <w:rFonts w:cs="Arial"/>
          <w:sz w:val="20"/>
          <w:szCs w:val="20"/>
        </w:rPr>
        <w:t>sUA</w:t>
      </w:r>
      <w:r w:rsidR="00652AEE" w:rsidRPr="004A667D">
        <w:rPr>
          <w:rFonts w:cs="Arial"/>
          <w:sz w:val="20"/>
          <w:szCs w:val="20"/>
        </w:rPr>
        <w:t xml:space="preserve"> come marker clinici deriva da uno studio prospettico osservazionale che ha dimostrato che il rischio cumulato a 5 anni di sviluppare la </w:t>
      </w:r>
      <w:r w:rsidR="00652AEE">
        <w:rPr>
          <w:rFonts w:cs="Arial"/>
          <w:sz w:val="20"/>
          <w:szCs w:val="20"/>
        </w:rPr>
        <w:t xml:space="preserve">gotta nei soggetti con livelli </w:t>
      </w:r>
      <w:r w:rsidR="005848A1">
        <w:rPr>
          <w:rFonts w:cs="Arial"/>
          <w:sz w:val="20"/>
          <w:szCs w:val="20"/>
        </w:rPr>
        <w:t>sUA</w:t>
      </w:r>
      <w:r w:rsidR="00652AEE" w:rsidRPr="004A667D">
        <w:rPr>
          <w:rFonts w:cs="Arial"/>
          <w:sz w:val="20"/>
          <w:szCs w:val="20"/>
        </w:rPr>
        <w:t xml:space="preserve"> non controllati (≥10.0 mg/dl) è di 30,5%, rispetto a solo</w:t>
      </w:r>
      <w:r w:rsidR="00652AEE">
        <w:rPr>
          <w:rFonts w:cs="Arial"/>
          <w:sz w:val="20"/>
          <w:szCs w:val="20"/>
        </w:rPr>
        <w:t xml:space="preserve"> 0,5% nei pazienti con livelli </w:t>
      </w:r>
      <w:r w:rsidR="005848A1">
        <w:rPr>
          <w:rFonts w:cs="Arial"/>
          <w:sz w:val="20"/>
          <w:szCs w:val="20"/>
        </w:rPr>
        <w:t>sUA</w:t>
      </w:r>
      <w:r w:rsidR="00652AEE" w:rsidRPr="004A667D">
        <w:rPr>
          <w:rFonts w:cs="Arial"/>
          <w:sz w:val="20"/>
          <w:szCs w:val="20"/>
        </w:rPr>
        <w:t xml:space="preserve"> sotto controllo (≤6.0 mg/dl) (</w:t>
      </w:r>
      <w:r w:rsidR="00B200A7">
        <w:rPr>
          <w:rFonts w:cs="Arial"/>
          <w:color w:val="0000FF"/>
          <w:sz w:val="20"/>
          <w:szCs w:val="20"/>
        </w:rPr>
        <w:t>Campion, 1987 (115</w:t>
      </w:r>
      <w:r w:rsidR="00F64F56">
        <w:rPr>
          <w:rFonts w:cs="Arial"/>
          <w:color w:val="0000FF"/>
          <w:sz w:val="20"/>
          <w:szCs w:val="20"/>
        </w:rPr>
        <w:t>)</w:t>
      </w:r>
      <w:r w:rsidR="00652AEE" w:rsidRPr="004A667D">
        <w:rPr>
          <w:rFonts w:cs="Arial"/>
          <w:sz w:val="20"/>
          <w:szCs w:val="20"/>
        </w:rPr>
        <w:t>).</w:t>
      </w:r>
    </w:p>
    <w:p w14:paraId="77DA100E" w14:textId="41A8D197" w:rsidR="00652AEE" w:rsidRDefault="00652AEE" w:rsidP="00652AEE">
      <w:pPr>
        <w:widowControl w:val="0"/>
        <w:autoSpaceDE w:val="0"/>
        <w:autoSpaceDN w:val="0"/>
        <w:adjustRightInd w:val="0"/>
        <w:spacing w:line="360" w:lineRule="auto"/>
        <w:rPr>
          <w:rFonts w:cs="Arial"/>
          <w:sz w:val="20"/>
          <w:szCs w:val="20"/>
        </w:rPr>
      </w:pPr>
      <w:r w:rsidRPr="004A667D">
        <w:rPr>
          <w:rFonts w:cs="Arial"/>
          <w:sz w:val="20"/>
          <w:szCs w:val="20"/>
        </w:rPr>
        <w:t>Inol</w:t>
      </w:r>
      <w:r>
        <w:rPr>
          <w:rFonts w:cs="Arial"/>
          <w:sz w:val="20"/>
          <w:szCs w:val="20"/>
        </w:rPr>
        <w:t xml:space="preserve">tre gli effetti dei livelli di </w:t>
      </w:r>
      <w:r w:rsidR="005848A1">
        <w:rPr>
          <w:rFonts w:cs="Arial"/>
          <w:sz w:val="20"/>
          <w:szCs w:val="20"/>
        </w:rPr>
        <w:t>sUA</w:t>
      </w:r>
      <w:r w:rsidRPr="004A667D">
        <w:rPr>
          <w:rFonts w:cs="Arial"/>
          <w:sz w:val="20"/>
          <w:szCs w:val="20"/>
        </w:rPr>
        <w:t xml:space="preserve"> sugli outcome clinici rilevanti per la patologia (episodi infiammatori acuti (flares) e tofi) sono stati confermati attraverso una ricerca sistematica di letteratura </w:t>
      </w:r>
      <w:r>
        <w:rPr>
          <w:rFonts w:cs="Arial"/>
          <w:sz w:val="20"/>
          <w:szCs w:val="20"/>
        </w:rPr>
        <w:t xml:space="preserve">effettuata da </w:t>
      </w:r>
      <w:r w:rsidRPr="004A667D">
        <w:rPr>
          <w:rFonts w:cs="Arial"/>
          <w:sz w:val="20"/>
          <w:szCs w:val="20"/>
        </w:rPr>
        <w:t xml:space="preserve">Grünenthal </w:t>
      </w:r>
      <w:r>
        <w:rPr>
          <w:rFonts w:cs="Arial"/>
          <w:sz w:val="20"/>
          <w:szCs w:val="20"/>
        </w:rPr>
        <w:t xml:space="preserve">nel Settembre 2016, </w:t>
      </w:r>
      <w:r w:rsidRPr="004A667D">
        <w:rPr>
          <w:rFonts w:cs="Arial"/>
          <w:sz w:val="20"/>
          <w:szCs w:val="20"/>
        </w:rPr>
        <w:t>i cui risu</w:t>
      </w:r>
      <w:r>
        <w:rPr>
          <w:rFonts w:cs="Arial"/>
          <w:sz w:val="20"/>
          <w:szCs w:val="20"/>
        </w:rPr>
        <w:t xml:space="preserve">ltati dimostrano che valori di </w:t>
      </w:r>
      <w:r w:rsidR="005848A1">
        <w:rPr>
          <w:rFonts w:cs="Arial"/>
          <w:sz w:val="20"/>
          <w:szCs w:val="20"/>
        </w:rPr>
        <w:t>sUA</w:t>
      </w:r>
      <w:r w:rsidRPr="004A667D">
        <w:rPr>
          <w:rFonts w:cs="Arial"/>
          <w:sz w:val="20"/>
          <w:szCs w:val="20"/>
        </w:rPr>
        <w:t xml:space="preserve"> ≥6 mg/dl sono stati associati ad un peggioramento degli outcome clinici di cui sopra (</w:t>
      </w:r>
      <w:r w:rsidR="00B200A7">
        <w:rPr>
          <w:rFonts w:cs="Arial"/>
          <w:color w:val="0000FF"/>
          <w:sz w:val="20"/>
          <w:szCs w:val="20"/>
        </w:rPr>
        <w:t>Grünenthal DOF, SLR, Settembre 2016 (116</w:t>
      </w:r>
      <w:r w:rsidR="00F64F56">
        <w:rPr>
          <w:rFonts w:cs="Arial"/>
          <w:color w:val="0000FF"/>
          <w:sz w:val="20"/>
          <w:szCs w:val="20"/>
        </w:rPr>
        <w:t>)</w:t>
      </w:r>
      <w:r w:rsidRPr="004A667D">
        <w:rPr>
          <w:rFonts w:cs="Arial"/>
          <w:sz w:val="20"/>
          <w:szCs w:val="20"/>
        </w:rPr>
        <w:t>).</w:t>
      </w:r>
    </w:p>
    <w:p w14:paraId="4149CF92" w14:textId="40B12E2B" w:rsidR="008A05BB" w:rsidRPr="00FF5AAB" w:rsidRDefault="008A05BB" w:rsidP="00652AEE">
      <w:pPr>
        <w:widowControl w:val="0"/>
        <w:autoSpaceDE w:val="0"/>
        <w:autoSpaceDN w:val="0"/>
        <w:adjustRightInd w:val="0"/>
        <w:spacing w:line="360" w:lineRule="auto"/>
        <w:rPr>
          <w:rFonts w:cs="Arial"/>
          <w:sz w:val="20"/>
          <w:szCs w:val="20"/>
        </w:rPr>
      </w:pPr>
      <w:r w:rsidRPr="00FF5AAB">
        <w:rPr>
          <w:rFonts w:cs="Arial"/>
          <w:sz w:val="20"/>
          <w:szCs w:val="20"/>
        </w:rPr>
        <w:t>Con tale revision</w:t>
      </w:r>
      <w:r>
        <w:rPr>
          <w:rFonts w:cs="Arial"/>
          <w:sz w:val="20"/>
          <w:szCs w:val="20"/>
        </w:rPr>
        <w:t>e</w:t>
      </w:r>
      <w:r w:rsidRPr="00FF5AAB">
        <w:rPr>
          <w:rFonts w:cs="Arial"/>
          <w:sz w:val="20"/>
          <w:szCs w:val="20"/>
        </w:rPr>
        <w:t xml:space="preserve"> infatti viene fornita evidenza dell’associazione esistente </w:t>
      </w:r>
      <w:r>
        <w:rPr>
          <w:rFonts w:cs="Arial"/>
          <w:sz w:val="20"/>
          <w:szCs w:val="20"/>
        </w:rPr>
        <w:t xml:space="preserve">nei pazienti adulti gottosi/iperuricemici </w:t>
      </w:r>
      <w:r w:rsidRPr="00FF5AAB">
        <w:rPr>
          <w:rFonts w:cs="Arial"/>
          <w:sz w:val="20"/>
          <w:szCs w:val="20"/>
        </w:rPr>
        <w:t xml:space="preserve">tra la riduzione dei </w:t>
      </w:r>
      <w:r>
        <w:rPr>
          <w:rFonts w:cs="Arial"/>
          <w:sz w:val="20"/>
          <w:szCs w:val="20"/>
        </w:rPr>
        <w:t>livelli</w:t>
      </w:r>
      <w:r w:rsidRPr="00FF5AAB">
        <w:rPr>
          <w:rFonts w:cs="Arial"/>
          <w:sz w:val="20"/>
          <w:szCs w:val="20"/>
        </w:rPr>
        <w:t xml:space="preserve"> di</w:t>
      </w:r>
      <w:r w:rsidR="00652AEE">
        <w:rPr>
          <w:rFonts w:cs="Arial"/>
          <w:sz w:val="20"/>
          <w:szCs w:val="20"/>
        </w:rPr>
        <w:t xml:space="preserve"> </w:t>
      </w:r>
      <w:r w:rsidR="005848A1">
        <w:rPr>
          <w:rFonts w:cs="Arial"/>
          <w:sz w:val="20"/>
          <w:szCs w:val="20"/>
        </w:rPr>
        <w:t>sUA</w:t>
      </w:r>
      <w:r w:rsidRPr="00FF5AAB">
        <w:rPr>
          <w:rFonts w:cs="Arial"/>
          <w:sz w:val="20"/>
          <w:szCs w:val="20"/>
        </w:rPr>
        <w:t xml:space="preserve"> e la risoluzione di tofi e </w:t>
      </w:r>
      <w:r w:rsidR="00D13F69">
        <w:rPr>
          <w:rFonts w:cs="Arial"/>
          <w:sz w:val="20"/>
          <w:szCs w:val="20"/>
        </w:rPr>
        <w:t xml:space="preserve">la riduzione </w:t>
      </w:r>
      <w:r w:rsidRPr="00FF5AAB">
        <w:rPr>
          <w:rFonts w:cs="Arial"/>
          <w:sz w:val="20"/>
          <w:szCs w:val="20"/>
        </w:rPr>
        <w:t xml:space="preserve">di </w:t>
      </w:r>
      <w:r>
        <w:rPr>
          <w:rFonts w:cs="Arial"/>
          <w:sz w:val="20"/>
          <w:szCs w:val="20"/>
        </w:rPr>
        <w:t>episodi infiammatori acuti.</w:t>
      </w:r>
      <w:r w:rsidRPr="00FF5AAB">
        <w:rPr>
          <w:rFonts w:cs="Arial"/>
          <w:sz w:val="20"/>
          <w:szCs w:val="20"/>
        </w:rPr>
        <w:t xml:space="preserve"> </w:t>
      </w:r>
    </w:p>
    <w:p w14:paraId="47ACE0D7" w14:textId="54D5415F" w:rsidR="008A05BB" w:rsidRPr="00FF5AAB" w:rsidRDefault="00880936" w:rsidP="001D59E9">
      <w:pPr>
        <w:widowControl w:val="0"/>
        <w:autoSpaceDE w:val="0"/>
        <w:autoSpaceDN w:val="0"/>
        <w:adjustRightInd w:val="0"/>
        <w:spacing w:line="360" w:lineRule="auto"/>
        <w:rPr>
          <w:rFonts w:cs="Arial"/>
          <w:sz w:val="20"/>
          <w:szCs w:val="20"/>
        </w:rPr>
      </w:pPr>
      <w:r>
        <w:rPr>
          <w:rFonts w:cs="Arial"/>
          <w:sz w:val="20"/>
          <w:szCs w:val="20"/>
        </w:rPr>
        <w:t>Dodici</w:t>
      </w:r>
      <w:r w:rsidR="008A05BB" w:rsidRPr="00FF5AAB">
        <w:rPr>
          <w:rFonts w:cs="Arial"/>
          <w:sz w:val="20"/>
          <w:szCs w:val="20"/>
        </w:rPr>
        <w:t xml:space="preserve"> pubblicazioni eleggibili all’analisi hanno riportato l’associazione tra </w:t>
      </w:r>
      <w:r w:rsidR="00652AEE">
        <w:rPr>
          <w:rFonts w:cs="Arial"/>
          <w:sz w:val="20"/>
          <w:szCs w:val="20"/>
        </w:rPr>
        <w:t xml:space="preserve">livelli di </w:t>
      </w:r>
      <w:r w:rsidR="005848A1">
        <w:rPr>
          <w:rFonts w:cs="Arial"/>
          <w:sz w:val="20"/>
          <w:szCs w:val="20"/>
        </w:rPr>
        <w:t>sUA</w:t>
      </w:r>
      <w:r w:rsidR="008A05BB" w:rsidRPr="00FF5AAB">
        <w:rPr>
          <w:rFonts w:cs="Arial"/>
          <w:sz w:val="20"/>
          <w:szCs w:val="20"/>
        </w:rPr>
        <w:t xml:space="preserve"> e</w:t>
      </w:r>
      <w:r w:rsidR="00D13F69">
        <w:rPr>
          <w:rFonts w:cs="Arial"/>
          <w:sz w:val="20"/>
          <w:szCs w:val="20"/>
        </w:rPr>
        <w:t>d</w:t>
      </w:r>
      <w:r w:rsidR="008A05BB" w:rsidRPr="00FF5AAB">
        <w:rPr>
          <w:rFonts w:cs="Arial"/>
          <w:sz w:val="20"/>
          <w:szCs w:val="20"/>
        </w:rPr>
        <w:t xml:space="preserve"> </w:t>
      </w:r>
      <w:r w:rsidR="008A05BB">
        <w:rPr>
          <w:rFonts w:cs="Arial"/>
          <w:sz w:val="20"/>
          <w:szCs w:val="20"/>
        </w:rPr>
        <w:t xml:space="preserve">episodi infiammatori acuti </w:t>
      </w:r>
      <w:r w:rsidR="008A05BB" w:rsidRPr="00FF5AAB">
        <w:rPr>
          <w:rFonts w:cs="Arial"/>
          <w:sz w:val="20"/>
          <w:szCs w:val="20"/>
        </w:rPr>
        <w:t>(</w:t>
      </w:r>
      <w:r w:rsidR="00231A40">
        <w:rPr>
          <w:rFonts w:cs="Arial"/>
          <w:color w:val="0000FF"/>
          <w:sz w:val="20"/>
          <w:szCs w:val="20"/>
        </w:rPr>
        <w:t>Shoji, 2004 (17)</w:t>
      </w:r>
      <w:r w:rsidR="00162B9A" w:rsidRPr="00FB7328">
        <w:rPr>
          <w:rFonts w:cs="Arial"/>
          <w:color w:val="0000FF"/>
          <w:sz w:val="20"/>
          <w:szCs w:val="20"/>
        </w:rPr>
        <w:t xml:space="preserve">; </w:t>
      </w:r>
      <w:r w:rsidR="00E42F17" w:rsidRPr="00FB7328">
        <w:rPr>
          <w:rFonts w:cs="Arial"/>
          <w:color w:val="0000FF"/>
          <w:sz w:val="20"/>
          <w:szCs w:val="20"/>
        </w:rPr>
        <w:t xml:space="preserve">Becker, 2009 (37); </w:t>
      </w:r>
      <w:r w:rsidR="00F64F56">
        <w:rPr>
          <w:rFonts w:cs="Arial"/>
          <w:color w:val="0000FF"/>
          <w:sz w:val="20"/>
          <w:szCs w:val="20"/>
        </w:rPr>
        <w:t>Becker, 2005 (39)</w:t>
      </w:r>
      <w:r w:rsidR="00162B9A" w:rsidRPr="00FB7328">
        <w:rPr>
          <w:rFonts w:cs="Arial"/>
          <w:color w:val="0000FF"/>
          <w:sz w:val="20"/>
          <w:szCs w:val="20"/>
        </w:rPr>
        <w:t xml:space="preserve">; </w:t>
      </w:r>
      <w:r w:rsidR="00B200A7">
        <w:rPr>
          <w:rFonts w:cs="Arial"/>
          <w:color w:val="0000FF"/>
          <w:sz w:val="20"/>
          <w:szCs w:val="20"/>
        </w:rPr>
        <w:t>Wortmann, 2010 (117</w:t>
      </w:r>
      <w:r w:rsidR="00162B9A" w:rsidRPr="00FB7328">
        <w:rPr>
          <w:rFonts w:cs="Arial"/>
          <w:color w:val="0000FF"/>
          <w:sz w:val="20"/>
          <w:szCs w:val="20"/>
        </w:rPr>
        <w:t xml:space="preserve">); </w:t>
      </w:r>
      <w:r w:rsidR="00B200A7">
        <w:rPr>
          <w:rFonts w:cs="Arial"/>
          <w:color w:val="0000FF"/>
          <w:sz w:val="20"/>
          <w:szCs w:val="20"/>
        </w:rPr>
        <w:t>Becker, 2013 (118</w:t>
      </w:r>
      <w:r w:rsidR="00162B9A" w:rsidRPr="00FB7328">
        <w:rPr>
          <w:rFonts w:cs="Arial"/>
          <w:color w:val="0000FF"/>
          <w:sz w:val="20"/>
          <w:szCs w:val="20"/>
        </w:rPr>
        <w:t xml:space="preserve">); </w:t>
      </w:r>
      <w:r w:rsidR="00B200A7">
        <w:rPr>
          <w:rFonts w:cs="Arial"/>
          <w:color w:val="0000FF"/>
          <w:sz w:val="20"/>
          <w:szCs w:val="20"/>
        </w:rPr>
        <w:t>Becker, 2008 (119</w:t>
      </w:r>
      <w:r w:rsidR="00F64F56">
        <w:rPr>
          <w:rFonts w:cs="Arial"/>
          <w:color w:val="0000FF"/>
          <w:sz w:val="20"/>
          <w:szCs w:val="20"/>
        </w:rPr>
        <w:t>)</w:t>
      </w:r>
      <w:r w:rsidR="00162B9A" w:rsidRPr="00FB7328">
        <w:rPr>
          <w:rFonts w:cs="Arial"/>
          <w:color w:val="0000FF"/>
          <w:sz w:val="20"/>
          <w:szCs w:val="20"/>
        </w:rPr>
        <w:t xml:space="preserve">; </w:t>
      </w:r>
      <w:r w:rsidR="00B200A7">
        <w:rPr>
          <w:rFonts w:cs="Arial"/>
          <w:color w:val="0000FF"/>
          <w:sz w:val="20"/>
          <w:szCs w:val="20"/>
        </w:rPr>
        <w:t>Dalbeth, 2012 (120</w:t>
      </w:r>
      <w:r w:rsidR="00F64F56">
        <w:rPr>
          <w:rFonts w:cs="Arial"/>
          <w:color w:val="0000FF"/>
          <w:sz w:val="20"/>
          <w:szCs w:val="20"/>
        </w:rPr>
        <w:t>)</w:t>
      </w:r>
      <w:r w:rsidR="00162B9A" w:rsidRPr="00FB7328">
        <w:rPr>
          <w:rFonts w:cs="Arial"/>
          <w:color w:val="0000FF"/>
          <w:sz w:val="20"/>
          <w:szCs w:val="20"/>
        </w:rPr>
        <w:t xml:space="preserve">; </w:t>
      </w:r>
      <w:r w:rsidR="00B200A7">
        <w:rPr>
          <w:rFonts w:cs="Arial"/>
          <w:color w:val="0000FF"/>
          <w:sz w:val="20"/>
          <w:szCs w:val="20"/>
        </w:rPr>
        <w:t>Hamburger, 2012 (121</w:t>
      </w:r>
      <w:r w:rsidR="00F64F56">
        <w:rPr>
          <w:rFonts w:cs="Arial"/>
          <w:color w:val="0000FF"/>
          <w:sz w:val="20"/>
          <w:szCs w:val="20"/>
        </w:rPr>
        <w:t>)</w:t>
      </w:r>
      <w:r w:rsidR="00162B9A" w:rsidRPr="00FB7328">
        <w:rPr>
          <w:rFonts w:cs="Arial"/>
          <w:color w:val="0000FF"/>
          <w:sz w:val="20"/>
          <w:szCs w:val="20"/>
        </w:rPr>
        <w:t xml:space="preserve">; </w:t>
      </w:r>
      <w:r w:rsidR="00B200A7">
        <w:rPr>
          <w:rFonts w:cs="Arial"/>
          <w:color w:val="0000FF"/>
          <w:sz w:val="20"/>
          <w:szCs w:val="20"/>
        </w:rPr>
        <w:t>Khanna, 2013 (122</w:t>
      </w:r>
      <w:r w:rsidR="00F64F56">
        <w:rPr>
          <w:rFonts w:cs="Arial"/>
          <w:color w:val="0000FF"/>
          <w:sz w:val="20"/>
          <w:szCs w:val="20"/>
        </w:rPr>
        <w:t>)</w:t>
      </w:r>
      <w:r w:rsidR="00162B9A" w:rsidRPr="00FB7328">
        <w:rPr>
          <w:rFonts w:cs="Arial"/>
          <w:color w:val="0000FF"/>
          <w:sz w:val="20"/>
          <w:szCs w:val="20"/>
        </w:rPr>
        <w:t xml:space="preserve">; </w:t>
      </w:r>
      <w:r w:rsidR="00B200A7">
        <w:rPr>
          <w:rFonts w:cs="Arial"/>
          <w:color w:val="0000FF"/>
          <w:sz w:val="20"/>
          <w:szCs w:val="20"/>
        </w:rPr>
        <w:t>Sarawate, 2006 (123</w:t>
      </w:r>
      <w:r w:rsidR="00F64F56">
        <w:rPr>
          <w:rFonts w:cs="Arial"/>
          <w:color w:val="0000FF"/>
          <w:sz w:val="20"/>
          <w:szCs w:val="20"/>
        </w:rPr>
        <w:t>)</w:t>
      </w:r>
      <w:r w:rsidR="00162B9A" w:rsidRPr="00FB7328">
        <w:rPr>
          <w:rFonts w:cs="Arial"/>
          <w:color w:val="0000FF"/>
          <w:sz w:val="20"/>
          <w:szCs w:val="20"/>
        </w:rPr>
        <w:t xml:space="preserve">; </w:t>
      </w:r>
      <w:r w:rsidR="00B200A7">
        <w:rPr>
          <w:rFonts w:cs="Arial"/>
          <w:color w:val="0000FF"/>
          <w:sz w:val="20"/>
          <w:szCs w:val="20"/>
        </w:rPr>
        <w:t>Shiozawa, 2015 (124</w:t>
      </w:r>
      <w:r w:rsidR="00F64F56">
        <w:rPr>
          <w:rFonts w:cs="Arial"/>
          <w:color w:val="0000FF"/>
          <w:sz w:val="20"/>
          <w:szCs w:val="20"/>
        </w:rPr>
        <w:t>)</w:t>
      </w:r>
      <w:r w:rsidR="00162B9A" w:rsidRPr="00FB7328">
        <w:rPr>
          <w:rFonts w:cs="Arial"/>
          <w:color w:val="0000FF"/>
          <w:sz w:val="20"/>
          <w:szCs w:val="20"/>
        </w:rPr>
        <w:t xml:space="preserve">; </w:t>
      </w:r>
      <w:r w:rsidR="00B200A7">
        <w:rPr>
          <w:rFonts w:cs="Arial"/>
          <w:color w:val="0000FF"/>
          <w:sz w:val="20"/>
          <w:szCs w:val="20"/>
        </w:rPr>
        <w:t>Wu, 2009 (125</w:t>
      </w:r>
      <w:r w:rsidR="00F64F56">
        <w:rPr>
          <w:rFonts w:cs="Arial"/>
          <w:color w:val="0000FF"/>
          <w:sz w:val="20"/>
          <w:szCs w:val="20"/>
        </w:rPr>
        <w:t>)</w:t>
      </w:r>
      <w:r w:rsidR="008A05BB" w:rsidRPr="00FF5AAB">
        <w:rPr>
          <w:rFonts w:cs="Arial"/>
          <w:sz w:val="20"/>
          <w:szCs w:val="20"/>
        </w:rPr>
        <w:t>).</w:t>
      </w:r>
      <w:r w:rsidR="008A05BB">
        <w:rPr>
          <w:rFonts w:cs="Arial"/>
          <w:sz w:val="20"/>
          <w:szCs w:val="20"/>
        </w:rPr>
        <w:t xml:space="preserve"> </w:t>
      </w:r>
      <w:r>
        <w:rPr>
          <w:rFonts w:cs="Arial"/>
          <w:sz w:val="20"/>
          <w:szCs w:val="20"/>
        </w:rPr>
        <w:t xml:space="preserve">Il raggiungimento di livelli sUA </w:t>
      </w:r>
      <w:r>
        <w:rPr>
          <w:rFonts w:cstheme="minorHAnsi"/>
          <w:sz w:val="20"/>
          <w:szCs w:val="20"/>
        </w:rPr>
        <w:t>≤</w:t>
      </w:r>
      <w:r w:rsidR="00162B9A">
        <w:rPr>
          <w:rFonts w:cs="Arial"/>
          <w:sz w:val="20"/>
          <w:szCs w:val="20"/>
        </w:rPr>
        <w:t>6 mg/</w:t>
      </w:r>
      <w:r>
        <w:rPr>
          <w:rFonts w:cs="Arial"/>
          <w:sz w:val="20"/>
          <w:szCs w:val="20"/>
        </w:rPr>
        <w:t>dL era associato ad un rischio inferiore d</w:t>
      </w:r>
      <w:r w:rsidR="00162B9A">
        <w:rPr>
          <w:rFonts w:cs="Arial"/>
          <w:sz w:val="20"/>
          <w:szCs w:val="20"/>
        </w:rPr>
        <w:t>i episodi infiammatori acuti ri</w:t>
      </w:r>
      <w:r>
        <w:rPr>
          <w:rFonts w:cs="Arial"/>
          <w:sz w:val="20"/>
          <w:szCs w:val="20"/>
        </w:rPr>
        <w:t>s</w:t>
      </w:r>
      <w:r w:rsidR="00162B9A">
        <w:rPr>
          <w:rFonts w:cs="Arial"/>
          <w:sz w:val="20"/>
          <w:szCs w:val="20"/>
        </w:rPr>
        <w:t>p</w:t>
      </w:r>
      <w:r>
        <w:rPr>
          <w:rFonts w:cs="Arial"/>
          <w:sz w:val="20"/>
          <w:szCs w:val="20"/>
        </w:rPr>
        <w:t xml:space="preserve">etto a livelli sUA &gt;6 mg/dl. </w:t>
      </w:r>
      <w:r w:rsidR="008A05BB">
        <w:rPr>
          <w:rFonts w:cs="Arial"/>
          <w:sz w:val="20"/>
          <w:szCs w:val="20"/>
        </w:rPr>
        <w:t xml:space="preserve">Questo dato era statisticamente significativo </w:t>
      </w:r>
      <w:r w:rsidR="008A05BB" w:rsidRPr="00F54A1D">
        <w:rPr>
          <w:rFonts w:cs="Arial"/>
          <w:sz w:val="20"/>
          <w:szCs w:val="20"/>
        </w:rPr>
        <w:t>(p&lt;0.05)</w:t>
      </w:r>
      <w:r w:rsidR="008A05BB">
        <w:rPr>
          <w:rFonts w:cs="Arial"/>
          <w:sz w:val="20"/>
          <w:szCs w:val="20"/>
        </w:rPr>
        <w:t xml:space="preserve"> in 8 </w:t>
      </w:r>
      <w:r>
        <w:rPr>
          <w:rFonts w:cs="Arial"/>
          <w:sz w:val="20"/>
          <w:szCs w:val="20"/>
        </w:rPr>
        <w:t xml:space="preserve">dei 12 </w:t>
      </w:r>
      <w:r w:rsidR="00162B9A">
        <w:rPr>
          <w:rFonts w:cs="Arial"/>
          <w:sz w:val="20"/>
          <w:szCs w:val="20"/>
        </w:rPr>
        <w:t xml:space="preserve">studi con </w:t>
      </w:r>
      <w:r>
        <w:rPr>
          <w:rFonts w:cs="Arial"/>
          <w:sz w:val="20"/>
          <w:szCs w:val="20"/>
        </w:rPr>
        <w:t>episodi infiammatori acuti  (</w:t>
      </w:r>
      <w:r w:rsidR="00F64F56">
        <w:rPr>
          <w:rFonts w:cs="Arial"/>
          <w:color w:val="0000FF"/>
          <w:sz w:val="20"/>
          <w:szCs w:val="20"/>
        </w:rPr>
        <w:t>Becker, 2005 (39)</w:t>
      </w:r>
      <w:r w:rsidR="00FB7328" w:rsidRPr="00FB7328">
        <w:rPr>
          <w:rFonts w:cs="Arial"/>
          <w:color w:val="0000FF"/>
          <w:sz w:val="20"/>
          <w:szCs w:val="20"/>
        </w:rPr>
        <w:t xml:space="preserve">; </w:t>
      </w:r>
      <w:r w:rsidR="00B200A7">
        <w:rPr>
          <w:rFonts w:cs="Arial"/>
          <w:color w:val="0000FF"/>
          <w:sz w:val="20"/>
          <w:szCs w:val="20"/>
        </w:rPr>
        <w:t>Becker, 2008 (119</w:t>
      </w:r>
      <w:r w:rsidR="00F64F56">
        <w:rPr>
          <w:rFonts w:cs="Arial"/>
          <w:color w:val="0000FF"/>
          <w:sz w:val="20"/>
          <w:szCs w:val="20"/>
        </w:rPr>
        <w:t>)</w:t>
      </w:r>
      <w:r w:rsidR="00FB7328" w:rsidRPr="00FB7328">
        <w:rPr>
          <w:rFonts w:cs="Arial"/>
          <w:color w:val="0000FF"/>
          <w:sz w:val="20"/>
          <w:szCs w:val="20"/>
        </w:rPr>
        <w:t xml:space="preserve">; </w:t>
      </w:r>
      <w:r w:rsidR="00B200A7">
        <w:rPr>
          <w:rFonts w:cs="Arial"/>
          <w:color w:val="0000FF"/>
          <w:sz w:val="20"/>
          <w:szCs w:val="20"/>
        </w:rPr>
        <w:t>Dalbeth, 2012 (120</w:t>
      </w:r>
      <w:r w:rsidR="00F64F56">
        <w:rPr>
          <w:rFonts w:cs="Arial"/>
          <w:color w:val="0000FF"/>
          <w:sz w:val="20"/>
          <w:szCs w:val="20"/>
        </w:rPr>
        <w:t>)</w:t>
      </w:r>
      <w:r w:rsidR="00FB7328" w:rsidRPr="00FB7328">
        <w:rPr>
          <w:rFonts w:cs="Arial"/>
          <w:color w:val="0000FF"/>
          <w:sz w:val="20"/>
          <w:szCs w:val="20"/>
        </w:rPr>
        <w:t xml:space="preserve">; </w:t>
      </w:r>
      <w:r w:rsidR="00B200A7">
        <w:rPr>
          <w:rFonts w:cs="Arial"/>
          <w:color w:val="0000FF"/>
          <w:sz w:val="20"/>
          <w:szCs w:val="20"/>
        </w:rPr>
        <w:t>Hamburger, 2012 (121</w:t>
      </w:r>
      <w:r w:rsidR="00F64F56">
        <w:rPr>
          <w:rFonts w:cs="Arial"/>
          <w:color w:val="0000FF"/>
          <w:sz w:val="20"/>
          <w:szCs w:val="20"/>
        </w:rPr>
        <w:t>)</w:t>
      </w:r>
      <w:r w:rsidR="00FB7328" w:rsidRPr="00FB7328">
        <w:rPr>
          <w:rFonts w:cs="Arial"/>
          <w:color w:val="0000FF"/>
          <w:sz w:val="20"/>
          <w:szCs w:val="20"/>
        </w:rPr>
        <w:t xml:space="preserve">; </w:t>
      </w:r>
      <w:r w:rsidR="00B200A7">
        <w:rPr>
          <w:rFonts w:cs="Arial"/>
          <w:color w:val="0000FF"/>
          <w:sz w:val="20"/>
          <w:szCs w:val="20"/>
        </w:rPr>
        <w:t>Khanna, 2013 (122</w:t>
      </w:r>
      <w:r w:rsidR="00F64F56">
        <w:rPr>
          <w:rFonts w:cs="Arial"/>
          <w:color w:val="0000FF"/>
          <w:sz w:val="20"/>
          <w:szCs w:val="20"/>
        </w:rPr>
        <w:t>)</w:t>
      </w:r>
      <w:r w:rsidR="00FB7328" w:rsidRPr="00FB7328">
        <w:rPr>
          <w:rFonts w:cs="Arial"/>
          <w:color w:val="0000FF"/>
          <w:sz w:val="20"/>
          <w:szCs w:val="20"/>
        </w:rPr>
        <w:t xml:space="preserve">; </w:t>
      </w:r>
      <w:r w:rsidR="00B200A7">
        <w:rPr>
          <w:rFonts w:cs="Arial"/>
          <w:color w:val="0000FF"/>
          <w:sz w:val="20"/>
          <w:szCs w:val="20"/>
        </w:rPr>
        <w:t>Sarawate, 2006 (123</w:t>
      </w:r>
      <w:r w:rsidR="00F64F56">
        <w:rPr>
          <w:rFonts w:cs="Arial"/>
          <w:color w:val="0000FF"/>
          <w:sz w:val="20"/>
          <w:szCs w:val="20"/>
        </w:rPr>
        <w:t>)</w:t>
      </w:r>
      <w:r w:rsidR="00FB7328" w:rsidRPr="00FB7328">
        <w:rPr>
          <w:rFonts w:cs="Arial"/>
          <w:color w:val="0000FF"/>
          <w:sz w:val="20"/>
          <w:szCs w:val="20"/>
        </w:rPr>
        <w:t xml:space="preserve">; </w:t>
      </w:r>
      <w:r w:rsidR="00B200A7">
        <w:rPr>
          <w:rFonts w:cs="Arial"/>
          <w:color w:val="0000FF"/>
          <w:sz w:val="20"/>
          <w:szCs w:val="20"/>
        </w:rPr>
        <w:t>Shiozawa, 2015 (124</w:t>
      </w:r>
      <w:r w:rsidR="00F64F56">
        <w:rPr>
          <w:rFonts w:cs="Arial"/>
          <w:color w:val="0000FF"/>
          <w:sz w:val="20"/>
          <w:szCs w:val="20"/>
        </w:rPr>
        <w:t>)</w:t>
      </w:r>
      <w:r w:rsidR="00FB7328" w:rsidRPr="00FB7328">
        <w:rPr>
          <w:rFonts w:cs="Arial"/>
          <w:color w:val="0000FF"/>
          <w:sz w:val="20"/>
          <w:szCs w:val="20"/>
        </w:rPr>
        <w:t xml:space="preserve">; </w:t>
      </w:r>
      <w:r w:rsidR="00B200A7">
        <w:rPr>
          <w:rFonts w:cs="Arial"/>
          <w:color w:val="0000FF"/>
          <w:sz w:val="20"/>
          <w:szCs w:val="20"/>
        </w:rPr>
        <w:t>Wu, 2009 (125</w:t>
      </w:r>
      <w:r w:rsidR="00F64F56">
        <w:rPr>
          <w:rFonts w:cs="Arial"/>
          <w:color w:val="0000FF"/>
          <w:sz w:val="20"/>
          <w:szCs w:val="20"/>
        </w:rPr>
        <w:t>)</w:t>
      </w:r>
      <w:r>
        <w:rPr>
          <w:rFonts w:cs="Arial"/>
          <w:sz w:val="20"/>
          <w:szCs w:val="20"/>
        </w:rPr>
        <w:t>).</w:t>
      </w:r>
    </w:p>
    <w:p w14:paraId="4E3A78EA" w14:textId="58A1AFED" w:rsidR="008A05BB" w:rsidRPr="00FF5AAB" w:rsidRDefault="00880936" w:rsidP="001D59E9">
      <w:pPr>
        <w:widowControl w:val="0"/>
        <w:autoSpaceDE w:val="0"/>
        <w:autoSpaceDN w:val="0"/>
        <w:adjustRightInd w:val="0"/>
        <w:spacing w:line="360" w:lineRule="auto"/>
        <w:rPr>
          <w:rFonts w:cs="Arial"/>
          <w:sz w:val="20"/>
          <w:szCs w:val="20"/>
        </w:rPr>
      </w:pPr>
      <w:r>
        <w:rPr>
          <w:rFonts w:cs="Arial"/>
          <w:sz w:val="20"/>
          <w:szCs w:val="20"/>
        </w:rPr>
        <w:t>Undici</w:t>
      </w:r>
      <w:r w:rsidR="008A05BB" w:rsidRPr="00F54A1D">
        <w:rPr>
          <w:rFonts w:cs="Arial"/>
          <w:sz w:val="20"/>
          <w:szCs w:val="20"/>
        </w:rPr>
        <w:t xml:space="preserve"> pubblicazioni eleggibili all’analisi</w:t>
      </w:r>
      <w:r w:rsidR="008A05BB" w:rsidRPr="00FF5AAB">
        <w:rPr>
          <w:rFonts w:cs="Arial"/>
          <w:sz w:val="20"/>
          <w:szCs w:val="20"/>
        </w:rPr>
        <w:t xml:space="preserve"> hanno riportato </w:t>
      </w:r>
      <w:r w:rsidR="00652AEE">
        <w:rPr>
          <w:rFonts w:cs="Arial"/>
          <w:sz w:val="20"/>
          <w:szCs w:val="20"/>
        </w:rPr>
        <w:t xml:space="preserve">l’associazione tra livelli di </w:t>
      </w:r>
      <w:r w:rsidR="005848A1">
        <w:rPr>
          <w:rFonts w:cs="Arial"/>
          <w:sz w:val="20"/>
          <w:szCs w:val="20"/>
        </w:rPr>
        <w:t>sUA</w:t>
      </w:r>
      <w:r w:rsidR="008A05BB">
        <w:rPr>
          <w:rFonts w:cs="Arial"/>
          <w:sz w:val="20"/>
          <w:szCs w:val="20"/>
        </w:rPr>
        <w:t xml:space="preserve"> e tofi</w:t>
      </w:r>
      <w:r w:rsidR="0046619A">
        <w:rPr>
          <w:rFonts w:cs="Arial"/>
          <w:sz w:val="20"/>
          <w:szCs w:val="20"/>
        </w:rPr>
        <w:t xml:space="preserve"> </w:t>
      </w:r>
      <w:r>
        <w:rPr>
          <w:rFonts w:cs="Arial"/>
          <w:sz w:val="20"/>
          <w:szCs w:val="20"/>
        </w:rPr>
        <w:t>(</w:t>
      </w:r>
      <w:r w:rsidR="00FB7328" w:rsidRPr="00FB7328">
        <w:rPr>
          <w:rFonts w:cs="Arial"/>
          <w:color w:val="0000FF"/>
          <w:sz w:val="20"/>
          <w:szCs w:val="20"/>
        </w:rPr>
        <w:t>Becker, 2009 (37);</w:t>
      </w:r>
      <w:r w:rsidR="00FB7328">
        <w:rPr>
          <w:rFonts w:cs="Arial"/>
          <w:color w:val="0000FF"/>
          <w:sz w:val="20"/>
          <w:szCs w:val="20"/>
        </w:rPr>
        <w:t xml:space="preserve"> </w:t>
      </w:r>
      <w:r w:rsidR="00F64F56">
        <w:rPr>
          <w:rFonts w:cs="Arial"/>
          <w:color w:val="0000FF"/>
          <w:sz w:val="20"/>
          <w:szCs w:val="20"/>
        </w:rPr>
        <w:t>Becker, 2005 (39)</w:t>
      </w:r>
      <w:r w:rsidR="00FB7328" w:rsidRPr="00FB7328">
        <w:rPr>
          <w:rFonts w:cs="Arial"/>
          <w:color w:val="0000FF"/>
          <w:sz w:val="20"/>
          <w:szCs w:val="20"/>
        </w:rPr>
        <w:t xml:space="preserve">; </w:t>
      </w:r>
      <w:r w:rsidR="00E42F17">
        <w:rPr>
          <w:rFonts w:cs="Arial"/>
          <w:color w:val="0000FF"/>
          <w:sz w:val="20"/>
          <w:szCs w:val="20"/>
        </w:rPr>
        <w:t xml:space="preserve">Li-Yu, 2001 (112); </w:t>
      </w:r>
      <w:r w:rsidR="009752F0">
        <w:rPr>
          <w:rFonts w:cs="Arial"/>
          <w:color w:val="0000FF"/>
          <w:sz w:val="20"/>
          <w:szCs w:val="20"/>
        </w:rPr>
        <w:t>Perez-Ruiz</w:t>
      </w:r>
      <w:r w:rsidR="0087651E">
        <w:rPr>
          <w:rFonts w:cs="Arial"/>
          <w:color w:val="0000FF"/>
          <w:sz w:val="20"/>
          <w:szCs w:val="20"/>
        </w:rPr>
        <w:t>, 2002 (114</w:t>
      </w:r>
      <w:r w:rsidR="00FB7328">
        <w:rPr>
          <w:rFonts w:cs="Arial"/>
          <w:color w:val="0000FF"/>
          <w:sz w:val="20"/>
          <w:szCs w:val="20"/>
        </w:rPr>
        <w:t xml:space="preserve">); </w:t>
      </w:r>
      <w:r w:rsidR="00E42F17">
        <w:rPr>
          <w:rFonts w:cs="Arial"/>
          <w:color w:val="0000FF"/>
          <w:sz w:val="20"/>
          <w:szCs w:val="20"/>
        </w:rPr>
        <w:t>Becker, 2013 (118);</w:t>
      </w:r>
      <w:r>
        <w:rPr>
          <w:rFonts w:cs="Arial"/>
          <w:sz w:val="20"/>
          <w:szCs w:val="20"/>
        </w:rPr>
        <w:t xml:space="preserve"> </w:t>
      </w:r>
      <w:r w:rsidR="00B200A7">
        <w:rPr>
          <w:rFonts w:cs="Arial"/>
          <w:color w:val="0000FF"/>
          <w:sz w:val="20"/>
          <w:szCs w:val="20"/>
        </w:rPr>
        <w:t>Becker, 2008 (119</w:t>
      </w:r>
      <w:r w:rsidR="00F64F56">
        <w:rPr>
          <w:rFonts w:cs="Arial"/>
          <w:color w:val="0000FF"/>
          <w:sz w:val="20"/>
          <w:szCs w:val="20"/>
        </w:rPr>
        <w:t>)</w:t>
      </w:r>
      <w:r w:rsidR="00FB7328" w:rsidRPr="00FB7328">
        <w:rPr>
          <w:rFonts w:cs="Arial"/>
          <w:color w:val="0000FF"/>
          <w:sz w:val="20"/>
          <w:szCs w:val="20"/>
        </w:rPr>
        <w:t xml:space="preserve">; </w:t>
      </w:r>
      <w:r w:rsidR="00B200A7">
        <w:rPr>
          <w:rFonts w:cs="Arial"/>
          <w:color w:val="0000FF"/>
          <w:sz w:val="20"/>
          <w:szCs w:val="20"/>
        </w:rPr>
        <w:t>Dalbeth, 2012 (120</w:t>
      </w:r>
      <w:r w:rsidR="00F64F56">
        <w:rPr>
          <w:rFonts w:cs="Arial"/>
          <w:color w:val="0000FF"/>
          <w:sz w:val="20"/>
          <w:szCs w:val="20"/>
        </w:rPr>
        <w:t>)</w:t>
      </w:r>
      <w:r w:rsidR="00FB7328" w:rsidRPr="00FB7328">
        <w:rPr>
          <w:rFonts w:cs="Arial"/>
          <w:color w:val="0000FF"/>
          <w:sz w:val="20"/>
          <w:szCs w:val="20"/>
        </w:rPr>
        <w:t xml:space="preserve">; </w:t>
      </w:r>
      <w:r w:rsidR="00B200A7">
        <w:rPr>
          <w:rFonts w:cs="Arial"/>
          <w:color w:val="0000FF"/>
          <w:sz w:val="20"/>
          <w:szCs w:val="20"/>
        </w:rPr>
        <w:t>Khanna, 2013 (122</w:t>
      </w:r>
      <w:r w:rsidR="00F64F56">
        <w:rPr>
          <w:rFonts w:cs="Arial"/>
          <w:color w:val="0000FF"/>
          <w:sz w:val="20"/>
          <w:szCs w:val="20"/>
        </w:rPr>
        <w:t>)</w:t>
      </w:r>
      <w:r w:rsidR="00FB7328" w:rsidRPr="00FB7328">
        <w:rPr>
          <w:rFonts w:cs="Arial"/>
          <w:color w:val="0000FF"/>
          <w:sz w:val="20"/>
          <w:szCs w:val="20"/>
        </w:rPr>
        <w:t>;</w:t>
      </w:r>
      <w:r w:rsidR="00FB7328">
        <w:rPr>
          <w:rFonts w:cs="Arial"/>
          <w:color w:val="0000FF"/>
          <w:sz w:val="20"/>
          <w:szCs w:val="20"/>
        </w:rPr>
        <w:t xml:space="preserve"> </w:t>
      </w:r>
      <w:r w:rsidR="00B200A7">
        <w:rPr>
          <w:rFonts w:cs="Arial"/>
          <w:color w:val="0000FF"/>
          <w:sz w:val="20"/>
          <w:szCs w:val="20"/>
        </w:rPr>
        <w:t>Araujo, 2015 (126</w:t>
      </w:r>
      <w:r w:rsidR="00FB7328">
        <w:rPr>
          <w:rFonts w:cs="Arial"/>
          <w:color w:val="0000FF"/>
          <w:sz w:val="20"/>
          <w:szCs w:val="20"/>
        </w:rPr>
        <w:t xml:space="preserve">); </w:t>
      </w:r>
      <w:r w:rsidR="00B200A7">
        <w:rPr>
          <w:rFonts w:cs="Arial"/>
          <w:color w:val="0000FF"/>
          <w:sz w:val="20"/>
          <w:szCs w:val="20"/>
        </w:rPr>
        <w:t>Baraf, 2013 (127</w:t>
      </w:r>
      <w:r w:rsidR="00FB7328">
        <w:rPr>
          <w:rFonts w:cs="Arial"/>
          <w:color w:val="0000FF"/>
          <w:sz w:val="20"/>
          <w:szCs w:val="20"/>
        </w:rPr>
        <w:t xml:space="preserve">); </w:t>
      </w:r>
      <w:r w:rsidR="0020764E">
        <w:rPr>
          <w:rFonts w:cs="Arial"/>
          <w:color w:val="0000FF"/>
          <w:sz w:val="20"/>
          <w:szCs w:val="20"/>
        </w:rPr>
        <w:t>Perez-Ruiz, 2007 (128</w:t>
      </w:r>
      <w:r w:rsidR="0033498B">
        <w:rPr>
          <w:rFonts w:cs="Arial"/>
          <w:color w:val="0000FF"/>
          <w:sz w:val="20"/>
          <w:szCs w:val="20"/>
        </w:rPr>
        <w:t>)</w:t>
      </w:r>
      <w:r w:rsidR="008A05BB" w:rsidRPr="00FF5AAB">
        <w:rPr>
          <w:rFonts w:cs="Arial"/>
          <w:sz w:val="20"/>
          <w:szCs w:val="20"/>
        </w:rPr>
        <w:t xml:space="preserve">. </w:t>
      </w:r>
      <w:r w:rsidR="00162B9A">
        <w:rPr>
          <w:rFonts w:cs="Arial"/>
          <w:sz w:val="20"/>
          <w:szCs w:val="20"/>
        </w:rPr>
        <w:t xml:space="preserve">Il raggiungimento di livelli sUA </w:t>
      </w:r>
      <w:r w:rsidR="00162B9A">
        <w:rPr>
          <w:rFonts w:cstheme="minorHAnsi"/>
          <w:sz w:val="20"/>
          <w:szCs w:val="20"/>
        </w:rPr>
        <w:t>≤</w:t>
      </w:r>
      <w:r w:rsidR="00162B9A">
        <w:rPr>
          <w:rFonts w:cs="Arial"/>
          <w:sz w:val="20"/>
          <w:szCs w:val="20"/>
        </w:rPr>
        <w:t xml:space="preserve">6 mg/dL era associato ad un miglioramento dello stato dei tofi rispetto a livelli sUA &gt;6 mg/dl. </w:t>
      </w:r>
      <w:r w:rsidR="008A05BB" w:rsidRPr="00FF5AAB">
        <w:rPr>
          <w:rFonts w:cs="Arial"/>
          <w:sz w:val="20"/>
          <w:szCs w:val="20"/>
        </w:rPr>
        <w:t xml:space="preserve">Questo dato era statisticamente significativo (p&lt;0.05) in 4 </w:t>
      </w:r>
      <w:r w:rsidR="00162B9A">
        <w:rPr>
          <w:rFonts w:cs="Arial"/>
          <w:sz w:val="20"/>
          <w:szCs w:val="20"/>
        </w:rPr>
        <w:t xml:space="preserve">degli 11 </w:t>
      </w:r>
      <w:r w:rsidR="008A05BB" w:rsidRPr="00FF5AAB">
        <w:rPr>
          <w:rFonts w:cs="Arial"/>
          <w:sz w:val="20"/>
          <w:szCs w:val="20"/>
        </w:rPr>
        <w:t xml:space="preserve">studi </w:t>
      </w:r>
      <w:r w:rsidR="00162B9A">
        <w:rPr>
          <w:rFonts w:cs="Arial"/>
          <w:sz w:val="20"/>
          <w:szCs w:val="20"/>
        </w:rPr>
        <w:t>con tofi (</w:t>
      </w:r>
      <w:r w:rsidR="00FB7328">
        <w:rPr>
          <w:rFonts w:cs="Arial"/>
          <w:color w:val="0000FF"/>
          <w:sz w:val="20"/>
          <w:szCs w:val="20"/>
        </w:rPr>
        <w:t>Perez-Ruiz, 2002 (</w:t>
      </w:r>
      <w:r w:rsidR="009752F0">
        <w:rPr>
          <w:rFonts w:cs="Arial"/>
          <w:color w:val="0000FF"/>
          <w:sz w:val="20"/>
          <w:szCs w:val="20"/>
        </w:rPr>
        <w:t>114</w:t>
      </w:r>
      <w:r w:rsidR="00FB7328">
        <w:rPr>
          <w:rFonts w:cs="Arial"/>
          <w:color w:val="0000FF"/>
          <w:sz w:val="20"/>
          <w:szCs w:val="20"/>
        </w:rPr>
        <w:t xml:space="preserve">); </w:t>
      </w:r>
      <w:r w:rsidR="00FB7328">
        <w:rPr>
          <w:rFonts w:cs="Arial"/>
          <w:sz w:val="20"/>
          <w:szCs w:val="20"/>
        </w:rPr>
        <w:t xml:space="preserve"> </w:t>
      </w:r>
      <w:r w:rsidR="00B200A7">
        <w:rPr>
          <w:rFonts w:cs="Arial"/>
          <w:color w:val="0000FF"/>
          <w:sz w:val="20"/>
          <w:szCs w:val="20"/>
        </w:rPr>
        <w:t>Becker, 2008 (119</w:t>
      </w:r>
      <w:r w:rsidR="00F64F56">
        <w:rPr>
          <w:rFonts w:cs="Arial"/>
          <w:color w:val="0000FF"/>
          <w:sz w:val="20"/>
          <w:szCs w:val="20"/>
        </w:rPr>
        <w:t>)</w:t>
      </w:r>
      <w:r w:rsidR="00FB7328" w:rsidRPr="00FB7328">
        <w:rPr>
          <w:rFonts w:cs="Arial"/>
          <w:color w:val="0000FF"/>
          <w:sz w:val="20"/>
          <w:szCs w:val="20"/>
        </w:rPr>
        <w:t xml:space="preserve">; </w:t>
      </w:r>
      <w:r w:rsidR="00B200A7">
        <w:rPr>
          <w:rFonts w:cs="Arial"/>
          <w:color w:val="0000FF"/>
          <w:sz w:val="20"/>
          <w:szCs w:val="20"/>
        </w:rPr>
        <w:t>Khanna, 2013 (122</w:t>
      </w:r>
      <w:r w:rsidR="00F64F56">
        <w:rPr>
          <w:rFonts w:cs="Arial"/>
          <w:color w:val="0000FF"/>
          <w:sz w:val="20"/>
          <w:szCs w:val="20"/>
        </w:rPr>
        <w:t>)</w:t>
      </w:r>
      <w:r w:rsidR="00FB7328" w:rsidRPr="00FB7328">
        <w:rPr>
          <w:rFonts w:cs="Arial"/>
          <w:color w:val="0000FF"/>
          <w:sz w:val="20"/>
          <w:szCs w:val="20"/>
        </w:rPr>
        <w:t>;</w:t>
      </w:r>
      <w:r w:rsidR="00162B9A">
        <w:rPr>
          <w:rFonts w:cs="Arial"/>
          <w:sz w:val="20"/>
          <w:szCs w:val="20"/>
        </w:rPr>
        <w:t xml:space="preserve"> </w:t>
      </w:r>
      <w:r w:rsidR="0020764E">
        <w:rPr>
          <w:rFonts w:cs="Arial"/>
          <w:color w:val="0000FF"/>
          <w:sz w:val="20"/>
          <w:szCs w:val="20"/>
        </w:rPr>
        <w:t>Perez-Ruiz, 2007 (128</w:t>
      </w:r>
      <w:r w:rsidR="0033498B">
        <w:rPr>
          <w:rFonts w:cs="Arial"/>
          <w:color w:val="0000FF"/>
          <w:sz w:val="20"/>
          <w:szCs w:val="20"/>
        </w:rPr>
        <w:t>)</w:t>
      </w:r>
      <w:r w:rsidR="00162B9A">
        <w:rPr>
          <w:rFonts w:cs="Arial"/>
          <w:sz w:val="20"/>
          <w:szCs w:val="20"/>
        </w:rPr>
        <w:t>)</w:t>
      </w:r>
      <w:r w:rsidR="008A05BB" w:rsidRPr="00FF5AAB">
        <w:rPr>
          <w:rFonts w:cs="Arial"/>
          <w:sz w:val="20"/>
          <w:szCs w:val="20"/>
        </w:rPr>
        <w:t xml:space="preserve"> (</w:t>
      </w:r>
      <w:r w:rsidR="008A05BB" w:rsidRPr="0096619C">
        <w:rPr>
          <w:rFonts w:cs="Arial"/>
          <w:color w:val="0000FF"/>
          <w:sz w:val="20"/>
          <w:szCs w:val="20"/>
        </w:rPr>
        <w:t>Grünenthal DOF, SLR</w:t>
      </w:r>
      <w:r w:rsidR="006A2E71">
        <w:rPr>
          <w:rFonts w:cs="Arial"/>
          <w:color w:val="0000FF"/>
          <w:sz w:val="20"/>
          <w:szCs w:val="20"/>
        </w:rPr>
        <w:t>,</w:t>
      </w:r>
      <w:r w:rsidR="008A05BB" w:rsidRPr="0096619C">
        <w:rPr>
          <w:rFonts w:cs="Arial"/>
          <w:color w:val="0000FF"/>
          <w:sz w:val="20"/>
          <w:szCs w:val="20"/>
        </w:rPr>
        <w:t xml:space="preserve"> Se</w:t>
      </w:r>
      <w:r w:rsidR="0096619C" w:rsidRPr="0096619C">
        <w:rPr>
          <w:rFonts w:cs="Arial"/>
          <w:color w:val="0000FF"/>
          <w:sz w:val="20"/>
          <w:szCs w:val="20"/>
        </w:rPr>
        <w:t>ttembre</w:t>
      </w:r>
      <w:r w:rsidR="008A05BB" w:rsidRPr="0096619C">
        <w:rPr>
          <w:rFonts w:cs="Arial"/>
          <w:color w:val="0000FF"/>
          <w:sz w:val="20"/>
          <w:szCs w:val="20"/>
        </w:rPr>
        <w:t xml:space="preserve"> 2016</w:t>
      </w:r>
      <w:r w:rsidR="00674AEC">
        <w:rPr>
          <w:rFonts w:cs="Arial"/>
          <w:color w:val="0000FF"/>
          <w:sz w:val="20"/>
          <w:szCs w:val="20"/>
        </w:rPr>
        <w:t xml:space="preserve"> (1</w:t>
      </w:r>
      <w:r w:rsidR="006A2E71">
        <w:rPr>
          <w:rFonts w:cs="Arial"/>
          <w:color w:val="0000FF"/>
          <w:sz w:val="20"/>
          <w:szCs w:val="20"/>
        </w:rPr>
        <w:t>16</w:t>
      </w:r>
      <w:r w:rsidR="00674AEC">
        <w:rPr>
          <w:rFonts w:cs="Arial"/>
          <w:color w:val="0000FF"/>
          <w:sz w:val="20"/>
          <w:szCs w:val="20"/>
        </w:rPr>
        <w:t>)</w:t>
      </w:r>
      <w:r w:rsidR="008A05BB" w:rsidRPr="00FF5AAB">
        <w:rPr>
          <w:rFonts w:cs="Arial"/>
          <w:sz w:val="20"/>
          <w:szCs w:val="20"/>
        </w:rPr>
        <w:t>).</w:t>
      </w:r>
    </w:p>
    <w:p w14:paraId="19EC4778" w14:textId="77777777" w:rsidR="00EE6F19" w:rsidRPr="00C71010" w:rsidRDefault="00EE6F19" w:rsidP="001D59E9">
      <w:pPr>
        <w:widowControl w:val="0"/>
        <w:autoSpaceDE w:val="0"/>
        <w:autoSpaceDN w:val="0"/>
        <w:adjustRightInd w:val="0"/>
        <w:spacing w:line="360" w:lineRule="auto"/>
        <w:rPr>
          <w:rFonts w:cs="Arial"/>
          <w:sz w:val="20"/>
          <w:szCs w:val="20"/>
        </w:rPr>
      </w:pPr>
    </w:p>
    <w:p w14:paraId="08C2415C" w14:textId="77777777" w:rsidR="005D0DE1" w:rsidRDefault="00EE6F19" w:rsidP="001D59E9">
      <w:pPr>
        <w:widowControl w:val="0"/>
        <w:autoSpaceDE w:val="0"/>
        <w:autoSpaceDN w:val="0"/>
        <w:adjustRightInd w:val="0"/>
        <w:spacing w:line="360" w:lineRule="auto"/>
        <w:rPr>
          <w:rFonts w:cs="Arial"/>
          <w:sz w:val="20"/>
          <w:szCs w:val="20"/>
        </w:rPr>
      </w:pPr>
      <w:r w:rsidRPr="00C71010">
        <w:rPr>
          <w:rFonts w:cs="Arial"/>
          <w:sz w:val="20"/>
          <w:szCs w:val="20"/>
        </w:rPr>
        <w:t xml:space="preserve">Una significativa evidenza dell’effetto di lesinurad sulla riduzione dei tofi, è stata misurata direttamente nello studio CRYSTAL </w:t>
      </w:r>
      <w:r w:rsidRPr="00C71010">
        <w:rPr>
          <w:rFonts w:cs="Arial"/>
          <w:sz w:val="20"/>
          <w:szCs w:val="20"/>
          <w:u w:val="single"/>
        </w:rPr>
        <w:t>in una popolazione di pazienti con tofi visibili al basale</w:t>
      </w:r>
      <w:r w:rsidRPr="00C71010">
        <w:rPr>
          <w:rFonts w:cs="Arial"/>
          <w:sz w:val="20"/>
          <w:szCs w:val="20"/>
        </w:rPr>
        <w:t xml:space="preserve">. </w:t>
      </w:r>
    </w:p>
    <w:p w14:paraId="19F12153" w14:textId="7C8FD217" w:rsidR="005D0DE1" w:rsidRDefault="005D0DE1" w:rsidP="001D59E9">
      <w:pPr>
        <w:widowControl w:val="0"/>
        <w:autoSpaceDE w:val="0"/>
        <w:autoSpaceDN w:val="0"/>
        <w:adjustRightInd w:val="0"/>
        <w:spacing w:line="360" w:lineRule="auto"/>
        <w:rPr>
          <w:rFonts w:eastAsia="Times New Roman" w:cs="Arial"/>
          <w:color w:val="222222"/>
          <w:sz w:val="20"/>
          <w:szCs w:val="20"/>
        </w:rPr>
      </w:pPr>
      <w:r w:rsidRPr="00D138F4">
        <w:rPr>
          <w:rFonts w:eastAsia="Times New Roman" w:cs="Arial"/>
          <w:color w:val="222222"/>
          <w:sz w:val="20"/>
          <w:szCs w:val="20"/>
        </w:rPr>
        <w:t xml:space="preserve">La proporzione di pazienti con risoluzione completa di almeno 1 tofo target ha continuato ad aumentare sia nello studio core che nello studio di estensione e </w:t>
      </w:r>
      <w:r>
        <w:rPr>
          <w:rFonts w:eastAsia="Times New Roman" w:cs="Arial"/>
          <w:color w:val="222222"/>
          <w:sz w:val="20"/>
          <w:szCs w:val="20"/>
        </w:rPr>
        <w:t>si è consolidata al 50</w:t>
      </w:r>
      <w:r w:rsidRPr="00D138F4">
        <w:rPr>
          <w:rFonts w:eastAsia="Times New Roman" w:cs="Arial"/>
          <w:color w:val="222222"/>
          <w:sz w:val="20"/>
          <w:szCs w:val="20"/>
        </w:rPr>
        <w:t>.</w:t>
      </w:r>
      <w:r>
        <w:rPr>
          <w:rFonts w:eastAsia="Times New Roman" w:cs="Arial"/>
          <w:color w:val="222222"/>
          <w:sz w:val="20"/>
          <w:szCs w:val="20"/>
        </w:rPr>
        <w:t>0</w:t>
      </w:r>
      <w:r w:rsidRPr="00D138F4">
        <w:rPr>
          <w:rFonts w:eastAsia="Times New Roman" w:cs="Arial"/>
          <w:color w:val="222222"/>
          <w:sz w:val="20"/>
          <w:szCs w:val="20"/>
        </w:rPr>
        <w:t xml:space="preserve">% dei pazienti nel gruppo </w:t>
      </w:r>
      <w:r>
        <w:rPr>
          <w:rFonts w:eastAsia="Times New Roman" w:cs="Arial"/>
          <w:color w:val="222222"/>
          <w:sz w:val="20"/>
          <w:szCs w:val="20"/>
        </w:rPr>
        <w:t>in cross-over da PBO+FBX (rispetto a 21.1% al Mese 12 dello studio core) e al 53</w:t>
      </w:r>
      <w:r w:rsidRPr="00D138F4">
        <w:rPr>
          <w:rFonts w:eastAsia="Times New Roman" w:cs="Arial"/>
          <w:color w:val="222222"/>
          <w:sz w:val="20"/>
          <w:szCs w:val="20"/>
        </w:rPr>
        <w:t>.</w:t>
      </w:r>
      <w:r>
        <w:rPr>
          <w:rFonts w:eastAsia="Times New Roman" w:cs="Arial"/>
          <w:color w:val="222222"/>
          <w:sz w:val="20"/>
          <w:szCs w:val="20"/>
        </w:rPr>
        <w:t>1</w:t>
      </w:r>
      <w:r w:rsidRPr="00D138F4">
        <w:rPr>
          <w:rFonts w:eastAsia="Times New Roman" w:cs="Arial"/>
          <w:color w:val="222222"/>
          <w:sz w:val="20"/>
          <w:szCs w:val="20"/>
        </w:rPr>
        <w:t>% dei pazienti in terapia continuata con LESU200+FBX</w:t>
      </w:r>
      <w:r>
        <w:rPr>
          <w:rFonts w:eastAsia="Times New Roman" w:cs="Arial"/>
          <w:color w:val="222222"/>
          <w:sz w:val="20"/>
          <w:szCs w:val="20"/>
        </w:rPr>
        <w:t xml:space="preserve"> (rispetto a 25.5% al Mese 12 dello studio core) (p=</w:t>
      </w:r>
      <w:r w:rsidRPr="005D0DE1">
        <w:rPr>
          <w:rFonts w:eastAsia="Times New Roman" w:cs="Arial"/>
          <w:color w:val="222222"/>
          <w:sz w:val="20"/>
          <w:szCs w:val="20"/>
        </w:rPr>
        <w:t>0.5700</w:t>
      </w:r>
      <w:r>
        <w:rPr>
          <w:rFonts w:eastAsia="Times New Roman" w:cs="Arial"/>
          <w:color w:val="222222"/>
          <w:sz w:val="20"/>
          <w:szCs w:val="20"/>
        </w:rPr>
        <w:t>)</w:t>
      </w:r>
      <w:r w:rsidR="0000375A" w:rsidRPr="0000375A">
        <w:rPr>
          <w:rFonts w:cs="Arial"/>
          <w:color w:val="0000FF"/>
          <w:sz w:val="20"/>
          <w:szCs w:val="20"/>
        </w:rPr>
        <w:t xml:space="preserve"> </w:t>
      </w:r>
      <w:r w:rsidR="0000375A">
        <w:rPr>
          <w:rFonts w:cs="Arial"/>
          <w:color w:val="0000FF"/>
          <w:sz w:val="20"/>
          <w:szCs w:val="20"/>
        </w:rPr>
        <w:t>(</w:t>
      </w:r>
      <w:r w:rsidR="0020764E">
        <w:rPr>
          <w:rFonts w:cs="Arial"/>
          <w:color w:val="0000FF"/>
          <w:sz w:val="20"/>
          <w:szCs w:val="20"/>
        </w:rPr>
        <w:t>CSR 307, 2015 (129</w:t>
      </w:r>
      <w:r w:rsidR="0000375A" w:rsidRPr="008966FD">
        <w:rPr>
          <w:rFonts w:cs="Arial"/>
          <w:color w:val="0000FF"/>
          <w:sz w:val="20"/>
          <w:szCs w:val="20"/>
        </w:rPr>
        <w:t>)</w:t>
      </w:r>
      <w:r w:rsidR="0000375A">
        <w:rPr>
          <w:rFonts w:cs="Arial"/>
          <w:color w:val="0000FF"/>
          <w:sz w:val="20"/>
          <w:szCs w:val="20"/>
        </w:rPr>
        <w:t>)</w:t>
      </w:r>
      <w:r w:rsidRPr="00D138F4">
        <w:rPr>
          <w:rFonts w:eastAsia="Times New Roman" w:cs="Arial"/>
          <w:color w:val="222222"/>
          <w:sz w:val="20"/>
          <w:szCs w:val="20"/>
        </w:rPr>
        <w:t>.</w:t>
      </w:r>
    </w:p>
    <w:p w14:paraId="187E96D8" w14:textId="5301510C" w:rsidR="00EE6F19" w:rsidRPr="00C71010" w:rsidRDefault="00EE6F19" w:rsidP="001D59E9">
      <w:pPr>
        <w:widowControl w:val="0"/>
        <w:autoSpaceDE w:val="0"/>
        <w:autoSpaceDN w:val="0"/>
        <w:adjustRightInd w:val="0"/>
        <w:spacing w:line="360" w:lineRule="auto"/>
        <w:rPr>
          <w:rFonts w:cs="Arial"/>
          <w:sz w:val="20"/>
          <w:szCs w:val="20"/>
        </w:rPr>
      </w:pPr>
      <w:r w:rsidRPr="003E3083">
        <w:rPr>
          <w:rFonts w:cs="Arial"/>
          <w:b/>
          <w:sz w:val="20"/>
          <w:szCs w:val="20"/>
        </w:rPr>
        <w:t xml:space="preserve">Lesinurad in combinazione con febuxostat ha determinato </w:t>
      </w:r>
      <w:r w:rsidR="003E3083" w:rsidRPr="003E3083">
        <w:rPr>
          <w:rFonts w:cs="Arial"/>
          <w:b/>
          <w:sz w:val="20"/>
          <w:szCs w:val="20"/>
        </w:rPr>
        <w:t xml:space="preserve">una riduzione </w:t>
      </w:r>
      <w:r w:rsidR="00C71010" w:rsidRPr="003E3083">
        <w:rPr>
          <w:rFonts w:cs="Arial"/>
          <w:b/>
          <w:sz w:val="20"/>
          <w:szCs w:val="20"/>
        </w:rPr>
        <w:t xml:space="preserve">dell'area complessiva dei tofi, in diversi momenti temporali rispetto </w:t>
      </w:r>
      <w:r w:rsidRPr="003E3083">
        <w:rPr>
          <w:rFonts w:cs="Arial"/>
          <w:b/>
          <w:sz w:val="20"/>
          <w:szCs w:val="20"/>
        </w:rPr>
        <w:t xml:space="preserve">al trattamento con febuxostat in monoterapia: </w:t>
      </w:r>
      <w:r w:rsidR="00C71010" w:rsidRPr="003E3083">
        <w:rPr>
          <w:rFonts w:cs="Arial"/>
          <w:b/>
          <w:sz w:val="20"/>
          <w:szCs w:val="20"/>
        </w:rPr>
        <w:t xml:space="preserve">al dodicesimo mese </w:t>
      </w:r>
      <w:r w:rsidRPr="003E3083">
        <w:rPr>
          <w:rFonts w:cs="Arial"/>
          <w:b/>
          <w:sz w:val="20"/>
          <w:szCs w:val="20"/>
        </w:rPr>
        <w:t>l’area interessata dai tofi si è ridotta del 50</w:t>
      </w:r>
      <w:r w:rsidR="00C71010" w:rsidRPr="003E3083">
        <w:rPr>
          <w:rFonts w:cs="Arial"/>
          <w:b/>
          <w:sz w:val="20"/>
          <w:szCs w:val="20"/>
        </w:rPr>
        <w:t>.1</w:t>
      </w:r>
      <w:r w:rsidRPr="003E3083">
        <w:rPr>
          <w:rFonts w:cs="Arial"/>
          <w:b/>
          <w:sz w:val="20"/>
          <w:szCs w:val="20"/>
        </w:rPr>
        <w:t>% contro il 28</w:t>
      </w:r>
      <w:r w:rsidR="00C71010" w:rsidRPr="003E3083">
        <w:rPr>
          <w:rFonts w:cs="Arial"/>
          <w:b/>
          <w:sz w:val="20"/>
          <w:szCs w:val="20"/>
        </w:rPr>
        <w:t>.3</w:t>
      </w:r>
      <w:r w:rsidRPr="003E3083">
        <w:rPr>
          <w:rFonts w:cs="Arial"/>
          <w:b/>
          <w:sz w:val="20"/>
          <w:szCs w:val="20"/>
        </w:rPr>
        <w:t>% della monoterapia</w:t>
      </w:r>
      <w:r w:rsidR="00C71010" w:rsidRPr="003E3083">
        <w:rPr>
          <w:rFonts w:cs="Arial"/>
          <w:b/>
          <w:sz w:val="20"/>
          <w:szCs w:val="20"/>
        </w:rPr>
        <w:t xml:space="preserve"> </w:t>
      </w:r>
      <w:r w:rsidR="00C71010" w:rsidRPr="007A664C">
        <w:rPr>
          <w:rFonts w:cs="Arial"/>
          <w:sz w:val="20"/>
          <w:szCs w:val="20"/>
        </w:rPr>
        <w:t>(p &lt;0,05</w:t>
      </w:r>
      <w:r w:rsidR="007A664C" w:rsidRPr="007A664C">
        <w:rPr>
          <w:rFonts w:cs="Arial"/>
          <w:sz w:val="20"/>
          <w:szCs w:val="20"/>
        </w:rPr>
        <w:t xml:space="preserve"> – Analisi LOCF</w:t>
      </w:r>
      <w:r w:rsidR="00C71010" w:rsidRPr="007A664C">
        <w:rPr>
          <w:rFonts w:cs="Arial"/>
          <w:sz w:val="20"/>
          <w:szCs w:val="20"/>
        </w:rPr>
        <w:t>)</w:t>
      </w:r>
      <w:r w:rsidRPr="00C71010">
        <w:rPr>
          <w:rFonts w:cs="Arial"/>
          <w:sz w:val="20"/>
          <w:szCs w:val="20"/>
        </w:rPr>
        <w:t xml:space="preserve"> (</w:t>
      </w:r>
      <w:hyperlink w:anchor="Figura20" w:history="1">
        <w:r w:rsidRPr="0046619A">
          <w:rPr>
            <w:rStyle w:val="Hyperlink"/>
            <w:rFonts w:cs="Arial"/>
            <w:sz w:val="20"/>
            <w:szCs w:val="20"/>
          </w:rPr>
          <w:t xml:space="preserve">Figura </w:t>
        </w:r>
        <w:r w:rsidR="00661983" w:rsidRPr="0046619A">
          <w:rPr>
            <w:rStyle w:val="Hyperlink"/>
            <w:rFonts w:cs="Arial"/>
            <w:sz w:val="20"/>
            <w:szCs w:val="20"/>
          </w:rPr>
          <w:t>2</w:t>
        </w:r>
        <w:r w:rsidR="00C71010" w:rsidRPr="0046619A">
          <w:rPr>
            <w:rStyle w:val="Hyperlink"/>
            <w:rFonts w:cs="Arial"/>
            <w:sz w:val="20"/>
            <w:szCs w:val="20"/>
          </w:rPr>
          <w:t>0</w:t>
        </w:r>
      </w:hyperlink>
      <w:r w:rsidRPr="00C71010">
        <w:rPr>
          <w:rFonts w:cs="Arial"/>
          <w:sz w:val="20"/>
          <w:szCs w:val="20"/>
        </w:rPr>
        <w:t>) (</w:t>
      </w:r>
      <w:r w:rsidR="0087651E">
        <w:rPr>
          <w:color w:val="0000FF"/>
          <w:sz w:val="20"/>
          <w:szCs w:val="20"/>
        </w:rPr>
        <w:t>CSR 304, 2014 (111</w:t>
      </w:r>
      <w:r w:rsidR="008E6BDD">
        <w:rPr>
          <w:color w:val="0000FF"/>
          <w:sz w:val="20"/>
          <w:szCs w:val="20"/>
        </w:rPr>
        <w:t>)</w:t>
      </w:r>
      <w:r w:rsidRPr="00C71010">
        <w:rPr>
          <w:rFonts w:cs="Arial"/>
          <w:sz w:val="20"/>
          <w:szCs w:val="20"/>
        </w:rPr>
        <w:t xml:space="preserve">). </w:t>
      </w:r>
    </w:p>
    <w:p w14:paraId="2F6D253B" w14:textId="77777777" w:rsidR="00661983" w:rsidRDefault="00661983" w:rsidP="001D59E9">
      <w:pPr>
        <w:widowControl w:val="0"/>
        <w:autoSpaceDE w:val="0"/>
        <w:autoSpaceDN w:val="0"/>
        <w:adjustRightInd w:val="0"/>
        <w:spacing w:line="360" w:lineRule="auto"/>
        <w:rPr>
          <w:rFonts w:cs="Arial"/>
          <w:sz w:val="20"/>
          <w:szCs w:val="20"/>
        </w:rPr>
      </w:pPr>
    </w:p>
    <w:p w14:paraId="18F8AC85" w14:textId="618FCE31" w:rsidR="0000375A" w:rsidRPr="0000375A" w:rsidRDefault="00661983" w:rsidP="0000375A">
      <w:pPr>
        <w:pStyle w:val="Caption"/>
        <w:rPr>
          <w:rFonts w:asciiTheme="minorHAnsi" w:hAnsiTheme="minorHAnsi" w:cstheme="minorHAnsi"/>
          <w:lang w:val="it-IT"/>
        </w:rPr>
      </w:pPr>
      <w:bookmarkStart w:id="85" w:name="Figura20"/>
      <w:bookmarkStart w:id="86" w:name="_Toc473186915"/>
      <w:bookmarkEnd w:id="85"/>
      <w:r w:rsidRPr="00661983">
        <w:rPr>
          <w:rFonts w:asciiTheme="minorHAnsi" w:hAnsiTheme="minorHAnsi" w:cstheme="minorHAnsi"/>
          <w:lang w:val="it-IT"/>
        </w:rPr>
        <w:t xml:space="preserve">Figura </w:t>
      </w:r>
      <w:r w:rsidRPr="00661983">
        <w:rPr>
          <w:rFonts w:asciiTheme="minorHAnsi" w:hAnsiTheme="minorHAnsi" w:cstheme="minorHAnsi"/>
        </w:rPr>
        <w:fldChar w:fldCharType="begin"/>
      </w:r>
      <w:r w:rsidRPr="00661983">
        <w:rPr>
          <w:rFonts w:asciiTheme="minorHAnsi" w:hAnsiTheme="minorHAnsi" w:cstheme="minorHAnsi"/>
          <w:lang w:val="it-IT"/>
        </w:rPr>
        <w:instrText xml:space="preserve"> SEQ Figura \* ARABIC </w:instrText>
      </w:r>
      <w:r w:rsidRPr="00661983">
        <w:rPr>
          <w:rFonts w:asciiTheme="minorHAnsi" w:hAnsiTheme="minorHAnsi" w:cstheme="minorHAnsi"/>
        </w:rPr>
        <w:fldChar w:fldCharType="separate"/>
      </w:r>
      <w:r w:rsidR="00A1679C">
        <w:rPr>
          <w:rFonts w:asciiTheme="minorHAnsi" w:hAnsiTheme="minorHAnsi" w:cstheme="minorHAnsi"/>
          <w:noProof/>
          <w:lang w:val="it-IT"/>
        </w:rPr>
        <w:t>20</w:t>
      </w:r>
      <w:r w:rsidRPr="00661983">
        <w:rPr>
          <w:rFonts w:asciiTheme="minorHAnsi" w:hAnsiTheme="minorHAnsi" w:cstheme="minorHAnsi"/>
        </w:rPr>
        <w:fldChar w:fldCharType="end"/>
      </w:r>
      <w:r w:rsidRPr="00661983">
        <w:rPr>
          <w:rFonts w:asciiTheme="minorHAnsi" w:hAnsiTheme="minorHAnsi" w:cstheme="minorHAnsi"/>
          <w:lang w:val="it-IT"/>
        </w:rPr>
        <w:t xml:space="preserve"> - </w:t>
      </w:r>
      <w:r w:rsidR="003E3083" w:rsidRPr="004A0A1A">
        <w:rPr>
          <w:rFonts w:asciiTheme="minorHAnsi" w:hAnsiTheme="minorHAnsi" w:cstheme="minorHAnsi"/>
          <w:lang w:val="it-IT"/>
        </w:rPr>
        <w:t>Variazione % nella somma delle aree per tutti i tofi target (mm</w:t>
      </w:r>
      <w:r w:rsidR="003E3083" w:rsidRPr="004A0A1A">
        <w:rPr>
          <w:rFonts w:asciiTheme="minorHAnsi" w:hAnsiTheme="minorHAnsi" w:cstheme="minorHAnsi"/>
          <w:vertAlign w:val="superscript"/>
          <w:lang w:val="it-IT"/>
        </w:rPr>
        <w:t>2</w:t>
      </w:r>
      <w:r w:rsidR="003E3083" w:rsidRPr="004A0A1A">
        <w:rPr>
          <w:rFonts w:asciiTheme="minorHAnsi" w:hAnsiTheme="minorHAnsi" w:cstheme="minorHAnsi"/>
          <w:lang w:val="it-IT"/>
        </w:rPr>
        <w:t>) - studio CRYSTAL</w:t>
      </w:r>
      <w:r w:rsidR="003E3083">
        <w:rPr>
          <w:rFonts w:asciiTheme="minorHAnsi" w:hAnsiTheme="minorHAnsi" w:cstheme="minorHAnsi"/>
          <w:lang w:val="it-IT"/>
        </w:rPr>
        <w:t xml:space="preserve"> </w:t>
      </w:r>
      <w:r w:rsidR="0000375A" w:rsidRPr="0000375A">
        <w:rPr>
          <w:rFonts w:asciiTheme="minorHAnsi" w:hAnsiTheme="minorHAnsi" w:cstheme="minorHAnsi"/>
          <w:lang w:val="it-IT"/>
        </w:rPr>
        <w:t>(</w:t>
      </w:r>
      <w:r w:rsidR="008448C8">
        <w:rPr>
          <w:rFonts w:asciiTheme="minorHAnsi" w:hAnsiTheme="minorHAnsi" w:cstheme="minorHAnsi"/>
          <w:lang w:val="it-IT"/>
        </w:rPr>
        <w:t xml:space="preserve">Analisi </w:t>
      </w:r>
      <w:r w:rsidR="0000375A" w:rsidRPr="0000375A">
        <w:rPr>
          <w:rFonts w:asciiTheme="minorHAnsi" w:hAnsiTheme="minorHAnsi" w:cstheme="minorHAnsi"/>
          <w:lang w:val="it-IT"/>
        </w:rPr>
        <w:t xml:space="preserve">Observed cases; popolazione ITT) (adattato da </w:t>
      </w:r>
      <w:r w:rsidR="008448C8">
        <w:rPr>
          <w:rFonts w:asciiTheme="minorHAnsi" w:hAnsiTheme="minorHAnsi" w:cstheme="minorHAnsi"/>
          <w:color w:val="0000FF"/>
          <w:lang w:val="it-IT"/>
        </w:rPr>
        <w:t>CSR 304, 2014</w:t>
      </w:r>
      <w:r w:rsidR="0000375A" w:rsidRPr="0000375A">
        <w:rPr>
          <w:rFonts w:asciiTheme="minorHAnsi" w:hAnsiTheme="minorHAnsi" w:cstheme="minorHAnsi"/>
          <w:lang w:val="it-IT"/>
        </w:rPr>
        <w:t>)</w:t>
      </w:r>
      <w:bookmarkEnd w:id="86"/>
    </w:p>
    <w:p w14:paraId="484E8505" w14:textId="121A609A" w:rsidR="00EE6F19" w:rsidRPr="00EE6F19" w:rsidRDefault="00EE6F19" w:rsidP="0000375A">
      <w:pPr>
        <w:pStyle w:val="Caption"/>
        <w:rPr>
          <w:rFonts w:cs="Arial"/>
        </w:rPr>
      </w:pPr>
      <w:r w:rsidRPr="00EE6F19">
        <w:rPr>
          <w:rFonts w:cs="Arial"/>
          <w:noProof/>
          <w:lang w:val="en-GB" w:eastAsia="en-GB"/>
        </w:rPr>
        <w:drawing>
          <wp:inline distT="0" distB="0" distL="0" distR="0" wp14:anchorId="68A2A9A9" wp14:editId="5559ED83">
            <wp:extent cx="5645150" cy="3274956"/>
            <wp:effectExtent l="19050" t="19050" r="12700" b="20955"/>
            <wp:docPr id="1073741854" name="Immagine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50003" cy="3277771"/>
                    </a:xfrm>
                    <a:prstGeom prst="rect">
                      <a:avLst/>
                    </a:prstGeom>
                    <a:noFill/>
                    <a:ln w="9525">
                      <a:solidFill>
                        <a:srgbClr val="000000"/>
                      </a:solidFill>
                      <a:miter lim="800000"/>
                      <a:headEnd/>
                      <a:tailEnd/>
                    </a:ln>
                  </pic:spPr>
                </pic:pic>
              </a:graphicData>
            </a:graphic>
          </wp:inline>
        </w:drawing>
      </w:r>
    </w:p>
    <w:p w14:paraId="3BD48D55" w14:textId="77777777" w:rsidR="00661983" w:rsidRDefault="00661983" w:rsidP="001D59E9">
      <w:pPr>
        <w:widowControl w:val="0"/>
        <w:autoSpaceDE w:val="0"/>
        <w:autoSpaceDN w:val="0"/>
        <w:adjustRightInd w:val="0"/>
        <w:spacing w:line="360" w:lineRule="auto"/>
        <w:rPr>
          <w:rFonts w:cs="Arial"/>
          <w:sz w:val="20"/>
          <w:szCs w:val="20"/>
        </w:rPr>
      </w:pPr>
    </w:p>
    <w:p w14:paraId="649F6BAB" w14:textId="65BF40E0" w:rsidR="00DB19D3" w:rsidRPr="00EE6F19" w:rsidRDefault="00DB19D3" w:rsidP="001D59E9">
      <w:pPr>
        <w:widowControl w:val="0"/>
        <w:autoSpaceDE w:val="0"/>
        <w:autoSpaceDN w:val="0"/>
        <w:adjustRightInd w:val="0"/>
        <w:spacing w:line="360" w:lineRule="auto"/>
        <w:rPr>
          <w:rFonts w:cs="Arial"/>
          <w:sz w:val="20"/>
          <w:szCs w:val="20"/>
        </w:rPr>
      </w:pPr>
      <w:r w:rsidRPr="00EE6F19">
        <w:rPr>
          <w:rFonts w:cs="Arial"/>
          <w:sz w:val="20"/>
          <w:szCs w:val="20"/>
        </w:rPr>
        <w:t>L’effetto di lesinurad sulla riduzione dell’area totale dei tofi è stato infatti riconfermato nello studio di estensione (CRYSTAL extension) in cui la</w:t>
      </w:r>
      <w:r w:rsidRPr="00D138F4">
        <w:rPr>
          <w:rFonts w:eastAsia="Times New Roman" w:cs="Arial"/>
          <w:color w:val="222222"/>
          <w:sz w:val="20"/>
          <w:szCs w:val="20"/>
        </w:rPr>
        <w:t xml:space="preserve"> riduzione dell’area totale del tofo targe</w:t>
      </w:r>
      <w:r>
        <w:rPr>
          <w:rFonts w:eastAsia="Times New Roman" w:cs="Arial"/>
          <w:color w:val="222222"/>
          <w:sz w:val="20"/>
          <w:szCs w:val="20"/>
        </w:rPr>
        <w:t>t</w:t>
      </w:r>
      <w:r w:rsidRPr="00D138F4">
        <w:rPr>
          <w:rFonts w:eastAsia="Times New Roman" w:cs="Arial"/>
          <w:color w:val="222222"/>
          <w:sz w:val="20"/>
          <w:szCs w:val="20"/>
        </w:rPr>
        <w:t xml:space="preserve"> è stata mantenuta nel tempo, per entrambi i gruppi studiati</w:t>
      </w:r>
      <w:r>
        <w:rPr>
          <w:rFonts w:eastAsia="Times New Roman" w:cs="Arial"/>
          <w:color w:val="222222"/>
          <w:sz w:val="20"/>
          <w:szCs w:val="20"/>
        </w:rPr>
        <w:t xml:space="preserve"> 200CONT e 200CROSS</w:t>
      </w:r>
      <w:r w:rsidRPr="00D138F4">
        <w:rPr>
          <w:rFonts w:eastAsia="Times New Roman" w:cs="Arial"/>
          <w:color w:val="222222"/>
          <w:sz w:val="20"/>
          <w:szCs w:val="20"/>
        </w:rPr>
        <w:t>, e all’ultima osservazione dello studio di estensione (</w:t>
      </w:r>
      <w:r>
        <w:rPr>
          <w:rFonts w:eastAsia="Times New Roman" w:cs="Arial"/>
          <w:color w:val="222222"/>
          <w:sz w:val="20"/>
          <w:szCs w:val="20"/>
        </w:rPr>
        <w:t>Mese 24</w:t>
      </w:r>
      <w:r w:rsidRPr="00D138F4">
        <w:rPr>
          <w:rFonts w:eastAsia="Times New Roman" w:cs="Arial"/>
          <w:color w:val="222222"/>
          <w:sz w:val="20"/>
          <w:szCs w:val="20"/>
        </w:rPr>
        <w:t xml:space="preserve">), i pazienti nel gruppo 200CONT hanno avuto una riduzione del </w:t>
      </w:r>
      <w:r>
        <w:rPr>
          <w:rFonts w:eastAsia="Times New Roman" w:cs="Arial"/>
          <w:color w:val="222222"/>
          <w:sz w:val="20"/>
          <w:szCs w:val="20"/>
        </w:rPr>
        <w:t>68.25</w:t>
      </w:r>
      <w:r w:rsidRPr="00D138F4">
        <w:rPr>
          <w:rFonts w:eastAsia="Times New Roman" w:cs="Arial"/>
          <w:color w:val="222222"/>
          <w:sz w:val="20"/>
          <w:szCs w:val="20"/>
        </w:rPr>
        <w:t>% e i pa</w:t>
      </w:r>
      <w:r>
        <w:rPr>
          <w:rFonts w:eastAsia="Times New Roman" w:cs="Arial"/>
          <w:color w:val="222222"/>
          <w:sz w:val="20"/>
          <w:szCs w:val="20"/>
        </w:rPr>
        <w:t>zienti nel gruppo 200CROSS del 64.07%.</w:t>
      </w:r>
    </w:p>
    <w:p w14:paraId="71A65B7E" w14:textId="77777777" w:rsidR="005D0DE1" w:rsidRDefault="005D0DE1" w:rsidP="001D59E9">
      <w:pPr>
        <w:widowControl w:val="0"/>
        <w:autoSpaceDE w:val="0"/>
        <w:autoSpaceDN w:val="0"/>
        <w:adjustRightInd w:val="0"/>
        <w:spacing w:line="360" w:lineRule="auto"/>
        <w:rPr>
          <w:rFonts w:cs="Arial"/>
          <w:sz w:val="20"/>
          <w:szCs w:val="20"/>
        </w:rPr>
      </w:pPr>
    </w:p>
    <w:p w14:paraId="1C17F495" w14:textId="02FE7AA2" w:rsidR="00EE6F19" w:rsidRDefault="00EE6F19" w:rsidP="001D59E9">
      <w:pPr>
        <w:widowControl w:val="0"/>
        <w:autoSpaceDE w:val="0"/>
        <w:autoSpaceDN w:val="0"/>
        <w:adjustRightInd w:val="0"/>
        <w:spacing w:line="360" w:lineRule="auto"/>
        <w:rPr>
          <w:rFonts w:cs="Arial"/>
          <w:sz w:val="20"/>
          <w:szCs w:val="20"/>
        </w:rPr>
      </w:pPr>
      <w:r w:rsidRPr="00EE6F19">
        <w:rPr>
          <w:rFonts w:cs="Arial"/>
          <w:sz w:val="20"/>
          <w:szCs w:val="20"/>
        </w:rPr>
        <w:t xml:space="preserve">In entrambi gli studi CLEAR e CRYSTAL </w:t>
      </w:r>
      <w:r w:rsidRPr="00185C85">
        <w:rPr>
          <w:rFonts w:cs="Arial"/>
          <w:b/>
          <w:sz w:val="20"/>
          <w:szCs w:val="20"/>
        </w:rPr>
        <w:t xml:space="preserve">il tasso di attacchi di gotta che richiedevano trattamento ha continuato a diminuire per tutto il periodo di estensione </w:t>
      </w:r>
      <w:r w:rsidRPr="00EE6F19">
        <w:rPr>
          <w:rFonts w:cs="Arial"/>
          <w:sz w:val="20"/>
          <w:szCs w:val="20"/>
        </w:rPr>
        <w:t>nei pazienti trattati con lesinurad in associazione ad uno XOI (</w:t>
      </w:r>
      <w:hyperlink w:anchor="Figura21" w:history="1">
        <w:r w:rsidRPr="0046619A">
          <w:rPr>
            <w:rStyle w:val="Hyperlink"/>
            <w:rFonts w:cs="Arial"/>
            <w:sz w:val="20"/>
            <w:szCs w:val="20"/>
          </w:rPr>
          <w:t xml:space="preserve">Figura </w:t>
        </w:r>
        <w:r w:rsidR="005D5464" w:rsidRPr="0046619A">
          <w:rPr>
            <w:rStyle w:val="Hyperlink"/>
            <w:rFonts w:cs="Arial"/>
            <w:sz w:val="20"/>
            <w:szCs w:val="20"/>
          </w:rPr>
          <w:t>2</w:t>
        </w:r>
        <w:r w:rsidR="00AC4573" w:rsidRPr="0046619A">
          <w:rPr>
            <w:rStyle w:val="Hyperlink"/>
            <w:rFonts w:cs="Arial"/>
            <w:sz w:val="20"/>
            <w:szCs w:val="20"/>
          </w:rPr>
          <w:t>1</w:t>
        </w:r>
      </w:hyperlink>
      <w:r w:rsidR="00333403" w:rsidRPr="0046619A">
        <w:rPr>
          <w:rStyle w:val="Hyperlink"/>
          <w:rFonts w:cs="Arial"/>
          <w:color w:val="auto"/>
          <w:sz w:val="20"/>
          <w:szCs w:val="20"/>
          <w:u w:val="none"/>
        </w:rPr>
        <w:t xml:space="preserve"> e </w:t>
      </w:r>
      <w:hyperlink w:anchor="Figura22" w:history="1">
        <w:r w:rsidR="00333403" w:rsidRPr="0046619A">
          <w:rPr>
            <w:rStyle w:val="Hyperlink"/>
            <w:rFonts w:cs="Arial"/>
            <w:sz w:val="20"/>
            <w:szCs w:val="20"/>
          </w:rPr>
          <w:t>Figura 2</w:t>
        </w:r>
        <w:r w:rsidR="00AC4573" w:rsidRPr="0046619A">
          <w:rPr>
            <w:rStyle w:val="Hyperlink"/>
            <w:rFonts w:cs="Arial"/>
            <w:sz w:val="20"/>
            <w:szCs w:val="20"/>
          </w:rPr>
          <w:t>2</w:t>
        </w:r>
      </w:hyperlink>
      <w:r w:rsidRPr="00EE6F19">
        <w:rPr>
          <w:rFonts w:cs="Arial"/>
          <w:sz w:val="20"/>
          <w:szCs w:val="20"/>
        </w:rPr>
        <w:t xml:space="preserve">) </w:t>
      </w:r>
      <w:r w:rsidR="001D59E9">
        <w:rPr>
          <w:rFonts w:cs="Arial"/>
          <w:sz w:val="20"/>
          <w:szCs w:val="20"/>
        </w:rPr>
        <w:t>(</w:t>
      </w:r>
      <w:r w:rsidR="008E6BDD">
        <w:rPr>
          <w:color w:val="0000FF"/>
          <w:sz w:val="20"/>
          <w:szCs w:val="20"/>
        </w:rPr>
        <w:t>CSR 301,2014 (107)</w:t>
      </w:r>
      <w:r w:rsidR="00333403">
        <w:rPr>
          <w:color w:val="0000FF"/>
          <w:sz w:val="20"/>
          <w:szCs w:val="20"/>
        </w:rPr>
        <w:t xml:space="preserve"> e 302, 2014</w:t>
      </w:r>
      <w:r w:rsidR="00B25494">
        <w:rPr>
          <w:color w:val="0000FF"/>
          <w:sz w:val="20"/>
          <w:szCs w:val="20"/>
        </w:rPr>
        <w:t xml:space="preserve"> (</w:t>
      </w:r>
      <w:r w:rsidR="0033498B">
        <w:rPr>
          <w:color w:val="0000FF"/>
          <w:sz w:val="20"/>
          <w:szCs w:val="20"/>
        </w:rPr>
        <w:t>108</w:t>
      </w:r>
      <w:r w:rsidR="00B25494">
        <w:rPr>
          <w:color w:val="0000FF"/>
          <w:sz w:val="20"/>
          <w:szCs w:val="20"/>
        </w:rPr>
        <w:t>)</w:t>
      </w:r>
      <w:r w:rsidR="00333403">
        <w:rPr>
          <w:color w:val="0000FF"/>
          <w:sz w:val="20"/>
          <w:szCs w:val="20"/>
        </w:rPr>
        <w:t xml:space="preserve">; </w:t>
      </w:r>
      <w:r w:rsidR="0087651E">
        <w:rPr>
          <w:color w:val="0000FF"/>
          <w:sz w:val="20"/>
          <w:szCs w:val="20"/>
        </w:rPr>
        <w:t>CSR 304, 2014 (111</w:t>
      </w:r>
      <w:r w:rsidR="008E6BDD">
        <w:rPr>
          <w:color w:val="0000FF"/>
          <w:sz w:val="20"/>
          <w:szCs w:val="20"/>
        </w:rPr>
        <w:t>)</w:t>
      </w:r>
      <w:r w:rsidR="00333403">
        <w:rPr>
          <w:color w:val="0000FF"/>
          <w:sz w:val="20"/>
          <w:szCs w:val="20"/>
        </w:rPr>
        <w:t xml:space="preserve">; </w:t>
      </w:r>
      <w:r w:rsidR="0020764E">
        <w:rPr>
          <w:color w:val="0000FF"/>
          <w:sz w:val="20"/>
          <w:szCs w:val="20"/>
        </w:rPr>
        <w:t>CSR 307, 2015 (129</w:t>
      </w:r>
      <w:r w:rsidR="001D59E9">
        <w:rPr>
          <w:rFonts w:cs="Arial"/>
          <w:sz w:val="20"/>
          <w:szCs w:val="20"/>
        </w:rPr>
        <w:t>)</w:t>
      </w:r>
      <w:r w:rsidR="00FE3339">
        <w:rPr>
          <w:rFonts w:cs="Arial"/>
          <w:sz w:val="20"/>
          <w:szCs w:val="20"/>
        </w:rPr>
        <w:t xml:space="preserve">; </w:t>
      </w:r>
      <w:r w:rsidR="00FE3339">
        <w:rPr>
          <w:color w:val="0000FF"/>
          <w:sz w:val="20"/>
          <w:szCs w:val="20"/>
        </w:rPr>
        <w:t>CSR 306, 2015 (130)</w:t>
      </w:r>
      <w:r w:rsidR="00FE3339" w:rsidRPr="00FE3339">
        <w:rPr>
          <w:sz w:val="20"/>
          <w:szCs w:val="20"/>
        </w:rPr>
        <w:t>)</w:t>
      </w:r>
      <w:r w:rsidR="001D59E9">
        <w:rPr>
          <w:rFonts w:cs="Arial"/>
          <w:sz w:val="20"/>
          <w:szCs w:val="20"/>
        </w:rPr>
        <w:t>.</w:t>
      </w:r>
    </w:p>
    <w:p w14:paraId="16068016" w14:textId="6E0C0C2E" w:rsidR="00213A82" w:rsidRPr="00F562F7" w:rsidRDefault="00333403" w:rsidP="00213A82">
      <w:pPr>
        <w:pStyle w:val="Caption"/>
        <w:rPr>
          <w:rFonts w:asciiTheme="minorHAnsi" w:hAnsiTheme="minorHAnsi" w:cstheme="minorHAnsi"/>
          <w:lang w:val="it-IT"/>
        </w:rPr>
      </w:pPr>
      <w:bookmarkStart w:id="87" w:name="Figura21"/>
      <w:bookmarkStart w:id="88" w:name="_Toc473186916"/>
      <w:bookmarkEnd w:id="87"/>
      <w:r w:rsidRPr="00F562F7">
        <w:rPr>
          <w:rFonts w:asciiTheme="minorHAnsi" w:hAnsiTheme="minorHAnsi" w:cstheme="minorHAnsi"/>
          <w:lang w:val="it-IT"/>
        </w:rPr>
        <w:t>Figura</w:t>
      </w:r>
      <w:r>
        <w:rPr>
          <w:rFonts w:asciiTheme="minorHAnsi" w:hAnsiTheme="minorHAnsi" w:cstheme="minorHAnsi"/>
          <w:lang w:val="it-IT"/>
        </w:rPr>
        <w:t xml:space="preserve"> </w:t>
      </w:r>
      <w:r w:rsidRPr="00B05B41">
        <w:rPr>
          <w:rFonts w:asciiTheme="minorHAnsi" w:hAnsiTheme="minorHAnsi" w:cstheme="minorHAnsi"/>
        </w:rPr>
        <w:fldChar w:fldCharType="begin"/>
      </w:r>
      <w:r w:rsidRPr="00B05B41">
        <w:rPr>
          <w:rFonts w:asciiTheme="minorHAnsi" w:hAnsiTheme="minorHAnsi" w:cstheme="minorHAnsi"/>
          <w:lang w:val="it-IT"/>
        </w:rPr>
        <w:instrText xml:space="preserve"> SEQ Figura \* ARABIC </w:instrText>
      </w:r>
      <w:r w:rsidRPr="00B05B41">
        <w:rPr>
          <w:rFonts w:asciiTheme="minorHAnsi" w:hAnsiTheme="minorHAnsi" w:cstheme="minorHAnsi"/>
        </w:rPr>
        <w:fldChar w:fldCharType="separate"/>
      </w:r>
      <w:r w:rsidR="00A1679C">
        <w:rPr>
          <w:rFonts w:asciiTheme="minorHAnsi" w:hAnsiTheme="minorHAnsi" w:cstheme="minorHAnsi"/>
          <w:noProof/>
          <w:lang w:val="it-IT"/>
        </w:rPr>
        <w:t>21</w:t>
      </w:r>
      <w:r w:rsidRPr="00B05B41">
        <w:rPr>
          <w:rFonts w:asciiTheme="minorHAnsi" w:hAnsiTheme="minorHAnsi" w:cstheme="minorHAnsi"/>
        </w:rPr>
        <w:fldChar w:fldCharType="end"/>
      </w:r>
      <w:r w:rsidRPr="00F562F7">
        <w:rPr>
          <w:rFonts w:asciiTheme="minorHAnsi" w:hAnsiTheme="minorHAnsi" w:cstheme="minorHAnsi"/>
          <w:lang w:val="it-IT"/>
        </w:rPr>
        <w:t xml:space="preserve"> - </w:t>
      </w:r>
      <w:r w:rsidR="00213A82" w:rsidRPr="00F562F7">
        <w:rPr>
          <w:rFonts w:asciiTheme="minorHAnsi" w:hAnsiTheme="minorHAnsi" w:cstheme="minorHAnsi"/>
          <w:lang w:val="it-IT"/>
        </w:rPr>
        <w:t>Percentuale di pazienti con trattamento per un attacco acuto - CLEAR core ed extension</w:t>
      </w:r>
      <w:r w:rsidR="00213A82">
        <w:rPr>
          <w:rFonts w:asciiTheme="minorHAnsi" w:hAnsiTheme="minorHAnsi" w:cstheme="minorHAnsi"/>
          <w:lang w:val="it-IT"/>
        </w:rPr>
        <w:t xml:space="preserve"> (</w:t>
      </w:r>
      <w:r w:rsidR="008448C8">
        <w:rPr>
          <w:rFonts w:asciiTheme="minorHAnsi" w:hAnsiTheme="minorHAnsi" w:cstheme="minorHAnsi"/>
          <w:lang w:val="it-IT"/>
        </w:rPr>
        <w:t xml:space="preserve">Analisi </w:t>
      </w:r>
      <w:r w:rsidR="00213A82">
        <w:rPr>
          <w:rFonts w:asciiTheme="minorHAnsi" w:hAnsiTheme="minorHAnsi" w:cstheme="minorHAnsi"/>
          <w:lang w:val="it-IT"/>
        </w:rPr>
        <w:t>observed case</w:t>
      </w:r>
      <w:r w:rsidR="008448C8">
        <w:rPr>
          <w:rFonts w:asciiTheme="minorHAnsi" w:hAnsiTheme="minorHAnsi" w:cstheme="minorHAnsi"/>
          <w:lang w:val="it-IT"/>
        </w:rPr>
        <w:t>s</w:t>
      </w:r>
      <w:r w:rsidR="00213A82">
        <w:rPr>
          <w:rFonts w:asciiTheme="minorHAnsi" w:hAnsiTheme="minorHAnsi" w:cstheme="minorHAnsi"/>
          <w:lang w:val="it-IT"/>
        </w:rPr>
        <w:t xml:space="preserve">, popolazione ITT) </w:t>
      </w:r>
      <w:r w:rsidR="00213A82" w:rsidRPr="000563A6">
        <w:rPr>
          <w:rFonts w:asciiTheme="minorHAnsi" w:hAnsiTheme="minorHAnsi" w:cstheme="minorHAnsi"/>
          <w:color w:val="auto"/>
          <w:lang w:val="it-IT"/>
        </w:rPr>
        <w:t>(</w:t>
      </w:r>
      <w:r w:rsidR="00213A82">
        <w:rPr>
          <w:rFonts w:asciiTheme="minorHAnsi" w:hAnsiTheme="minorHAnsi" w:cstheme="minorHAnsi"/>
          <w:color w:val="0000FF"/>
          <w:lang w:val="it-IT"/>
        </w:rPr>
        <w:t xml:space="preserve">CSR </w:t>
      </w:r>
      <w:r w:rsidR="00213A82" w:rsidRPr="008C3185">
        <w:rPr>
          <w:rFonts w:asciiTheme="minorHAnsi" w:hAnsiTheme="minorHAnsi" w:cstheme="minorHAnsi"/>
          <w:color w:val="0000FF"/>
          <w:lang w:val="it-IT"/>
        </w:rPr>
        <w:t>306, 201</w:t>
      </w:r>
      <w:r w:rsidR="00213A82">
        <w:rPr>
          <w:rFonts w:asciiTheme="minorHAnsi" w:hAnsiTheme="minorHAnsi" w:cstheme="minorHAnsi"/>
          <w:color w:val="0000FF"/>
          <w:lang w:val="it-IT"/>
        </w:rPr>
        <w:t>5</w:t>
      </w:r>
      <w:r w:rsidR="00213A82" w:rsidRPr="000563A6">
        <w:rPr>
          <w:rFonts w:asciiTheme="minorHAnsi" w:hAnsiTheme="minorHAnsi" w:cstheme="minorHAnsi"/>
          <w:color w:val="auto"/>
          <w:lang w:val="it-IT"/>
        </w:rPr>
        <w:t>)</w:t>
      </w:r>
      <w:bookmarkEnd w:id="88"/>
    </w:p>
    <w:p w14:paraId="3242CBD4" w14:textId="775C839E" w:rsidR="00333403" w:rsidRDefault="00213A82" w:rsidP="00213A82">
      <w:pPr>
        <w:pStyle w:val="Caption"/>
      </w:pPr>
      <w:r>
        <w:rPr>
          <w:noProof/>
          <w:lang w:val="en-GB" w:eastAsia="en-GB"/>
        </w:rPr>
        <w:drawing>
          <wp:inline distT="0" distB="0" distL="0" distR="0" wp14:anchorId="33324D4B" wp14:editId="7CAF73F5">
            <wp:extent cx="5708650" cy="3524681"/>
            <wp:effectExtent l="0" t="0" r="635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07423" cy="3523924"/>
                    </a:xfrm>
                    <a:prstGeom prst="rect">
                      <a:avLst/>
                    </a:prstGeom>
                  </pic:spPr>
                </pic:pic>
              </a:graphicData>
            </a:graphic>
          </wp:inline>
        </w:drawing>
      </w:r>
    </w:p>
    <w:p w14:paraId="47925C0E" w14:textId="77777777" w:rsidR="00333403" w:rsidRDefault="00333403" w:rsidP="00333403">
      <w:pPr>
        <w:pStyle w:val="Paragrafoelenco3"/>
        <w:spacing w:line="360" w:lineRule="auto"/>
        <w:ind w:left="0"/>
        <w:jc w:val="both"/>
        <w:rPr>
          <w:rFonts w:asciiTheme="minorHAnsi" w:hAnsiTheme="minorHAnsi" w:cs="Arial"/>
          <w:sz w:val="20"/>
          <w:szCs w:val="20"/>
        </w:rPr>
      </w:pPr>
    </w:p>
    <w:p w14:paraId="042C6F90" w14:textId="45C39A0D" w:rsidR="00333403" w:rsidRPr="00F63E7B" w:rsidRDefault="00333403" w:rsidP="00333403">
      <w:pPr>
        <w:pStyle w:val="Caption"/>
        <w:rPr>
          <w:rFonts w:asciiTheme="minorHAnsi" w:hAnsiTheme="minorHAnsi" w:cstheme="minorHAnsi"/>
          <w:lang w:val="it-IT"/>
        </w:rPr>
      </w:pPr>
      <w:bookmarkStart w:id="89" w:name="Figura22"/>
      <w:bookmarkStart w:id="90" w:name="_Toc473186917"/>
      <w:bookmarkEnd w:id="89"/>
      <w:r w:rsidRPr="00F63E7B">
        <w:rPr>
          <w:rFonts w:asciiTheme="minorHAnsi" w:hAnsiTheme="minorHAnsi" w:cstheme="minorHAnsi"/>
          <w:lang w:val="it-IT"/>
        </w:rPr>
        <w:t>Figura</w:t>
      </w:r>
      <w:r>
        <w:rPr>
          <w:rFonts w:asciiTheme="minorHAnsi" w:hAnsiTheme="minorHAnsi" w:cstheme="minorHAnsi"/>
          <w:lang w:val="it-IT"/>
        </w:rPr>
        <w:t xml:space="preserve"> </w:t>
      </w:r>
      <w:r w:rsidRPr="00B05B41">
        <w:rPr>
          <w:rFonts w:asciiTheme="minorHAnsi" w:hAnsiTheme="minorHAnsi" w:cstheme="minorHAnsi"/>
        </w:rPr>
        <w:fldChar w:fldCharType="begin"/>
      </w:r>
      <w:r w:rsidRPr="00B05B41">
        <w:rPr>
          <w:rFonts w:asciiTheme="minorHAnsi" w:hAnsiTheme="minorHAnsi" w:cstheme="minorHAnsi"/>
          <w:lang w:val="it-IT"/>
        </w:rPr>
        <w:instrText xml:space="preserve"> SEQ Figura \* ARABIC </w:instrText>
      </w:r>
      <w:r w:rsidRPr="00B05B41">
        <w:rPr>
          <w:rFonts w:asciiTheme="minorHAnsi" w:hAnsiTheme="minorHAnsi" w:cstheme="minorHAnsi"/>
        </w:rPr>
        <w:fldChar w:fldCharType="separate"/>
      </w:r>
      <w:r w:rsidR="00A1679C">
        <w:rPr>
          <w:rFonts w:asciiTheme="minorHAnsi" w:hAnsiTheme="minorHAnsi" w:cstheme="minorHAnsi"/>
          <w:noProof/>
          <w:lang w:val="it-IT"/>
        </w:rPr>
        <w:t>22</w:t>
      </w:r>
      <w:r w:rsidRPr="00B05B41">
        <w:rPr>
          <w:rFonts w:asciiTheme="minorHAnsi" w:hAnsiTheme="minorHAnsi" w:cstheme="minorHAnsi"/>
        </w:rPr>
        <w:fldChar w:fldCharType="end"/>
      </w:r>
      <w:r w:rsidRPr="00F63E7B">
        <w:rPr>
          <w:rFonts w:asciiTheme="minorHAnsi" w:hAnsiTheme="minorHAnsi" w:cstheme="minorHAnsi"/>
          <w:lang w:val="it-IT"/>
        </w:rPr>
        <w:t xml:space="preserve"> - </w:t>
      </w:r>
      <w:r w:rsidR="00213A82" w:rsidRPr="00F63E7B">
        <w:rPr>
          <w:rFonts w:asciiTheme="minorHAnsi" w:hAnsiTheme="minorHAnsi" w:cstheme="minorHAnsi"/>
          <w:lang w:val="it-IT"/>
        </w:rPr>
        <w:t>Percentuale di pazienti con trattamento per un attacco acuto - CRYSTAL core ed extension</w:t>
      </w:r>
      <w:r w:rsidR="00213A82">
        <w:rPr>
          <w:rFonts w:asciiTheme="minorHAnsi" w:hAnsiTheme="minorHAnsi" w:cstheme="minorHAnsi"/>
          <w:lang w:val="it-IT"/>
        </w:rPr>
        <w:t xml:space="preserve"> (</w:t>
      </w:r>
      <w:r w:rsidR="008448C8">
        <w:rPr>
          <w:rFonts w:asciiTheme="minorHAnsi" w:hAnsiTheme="minorHAnsi" w:cstheme="minorHAnsi"/>
          <w:lang w:val="it-IT"/>
        </w:rPr>
        <w:t xml:space="preserve">analisis </w:t>
      </w:r>
      <w:r w:rsidR="00213A82">
        <w:rPr>
          <w:rFonts w:asciiTheme="minorHAnsi" w:hAnsiTheme="minorHAnsi" w:cstheme="minorHAnsi"/>
          <w:lang w:val="it-IT"/>
        </w:rPr>
        <w:t>observed case</w:t>
      </w:r>
      <w:r w:rsidR="008448C8">
        <w:rPr>
          <w:rFonts w:asciiTheme="minorHAnsi" w:hAnsiTheme="minorHAnsi" w:cstheme="minorHAnsi"/>
          <w:lang w:val="it-IT"/>
        </w:rPr>
        <w:t>s</w:t>
      </w:r>
      <w:r w:rsidR="00213A82">
        <w:rPr>
          <w:rFonts w:asciiTheme="minorHAnsi" w:hAnsiTheme="minorHAnsi" w:cstheme="minorHAnsi"/>
          <w:lang w:val="it-IT"/>
        </w:rPr>
        <w:t>, popolazione ITT) (</w:t>
      </w:r>
      <w:r w:rsidR="00213A82" w:rsidRPr="00117E3B">
        <w:rPr>
          <w:rFonts w:asciiTheme="minorHAnsi" w:hAnsiTheme="minorHAnsi" w:cstheme="minorHAnsi"/>
          <w:color w:val="0000FF"/>
          <w:lang w:val="it-IT"/>
        </w:rPr>
        <w:t>CSR 307, 201</w:t>
      </w:r>
      <w:r w:rsidR="00213A82">
        <w:rPr>
          <w:rFonts w:asciiTheme="minorHAnsi" w:hAnsiTheme="minorHAnsi" w:cstheme="minorHAnsi"/>
          <w:color w:val="0000FF"/>
          <w:lang w:val="it-IT"/>
        </w:rPr>
        <w:t>5</w:t>
      </w:r>
      <w:r w:rsidR="00213A82">
        <w:rPr>
          <w:rFonts w:asciiTheme="minorHAnsi" w:hAnsiTheme="minorHAnsi" w:cstheme="minorHAnsi"/>
          <w:lang w:val="it-IT"/>
        </w:rPr>
        <w:t>)</w:t>
      </w:r>
      <w:bookmarkEnd w:id="90"/>
    </w:p>
    <w:p w14:paraId="37C09266" w14:textId="02B1316F" w:rsidR="00333403" w:rsidRDefault="00213A82" w:rsidP="00333403">
      <w:r>
        <w:rPr>
          <w:noProof/>
          <w:lang w:val="en-GB" w:eastAsia="en-GB"/>
        </w:rPr>
        <w:drawing>
          <wp:inline distT="0" distB="0" distL="0" distR="0" wp14:anchorId="62C20E45" wp14:editId="61DDC20C">
            <wp:extent cx="5670550" cy="3128698"/>
            <wp:effectExtent l="0" t="0" r="635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674706" cy="3130991"/>
                    </a:xfrm>
                    <a:prstGeom prst="rect">
                      <a:avLst/>
                    </a:prstGeom>
                  </pic:spPr>
                </pic:pic>
              </a:graphicData>
            </a:graphic>
          </wp:inline>
        </w:drawing>
      </w:r>
    </w:p>
    <w:p w14:paraId="71BD1789" w14:textId="77777777" w:rsidR="00333403" w:rsidRDefault="00333403" w:rsidP="00333403"/>
    <w:p w14:paraId="566121DB" w14:textId="77777777" w:rsidR="002C52FC" w:rsidRDefault="002C52FC" w:rsidP="00867B8A">
      <w:pPr>
        <w:widowControl w:val="0"/>
        <w:autoSpaceDE w:val="0"/>
        <w:autoSpaceDN w:val="0"/>
        <w:adjustRightInd w:val="0"/>
        <w:spacing w:line="360" w:lineRule="auto"/>
        <w:rPr>
          <w:rFonts w:cs="Arial"/>
          <w:b/>
          <w:i/>
          <w:sz w:val="20"/>
          <w:szCs w:val="20"/>
        </w:rPr>
      </w:pPr>
    </w:p>
    <w:p w14:paraId="72659FAB" w14:textId="3434AD96" w:rsidR="00867B8A" w:rsidRPr="00867B8A" w:rsidRDefault="00867B8A" w:rsidP="00867B8A">
      <w:pPr>
        <w:widowControl w:val="0"/>
        <w:autoSpaceDE w:val="0"/>
        <w:autoSpaceDN w:val="0"/>
        <w:adjustRightInd w:val="0"/>
        <w:spacing w:line="360" w:lineRule="auto"/>
        <w:rPr>
          <w:rFonts w:cs="Arial"/>
          <w:b/>
          <w:sz w:val="20"/>
          <w:szCs w:val="20"/>
        </w:rPr>
      </w:pPr>
      <w:r w:rsidRPr="00867B8A">
        <w:rPr>
          <w:rFonts w:cs="Arial"/>
          <w:b/>
          <w:i/>
          <w:sz w:val="20"/>
          <w:szCs w:val="20"/>
        </w:rPr>
        <w:t xml:space="preserve">Efficacia in particolari sotto-popolazioni </w:t>
      </w:r>
    </w:p>
    <w:p w14:paraId="4537142C" w14:textId="77777777" w:rsidR="00867B8A" w:rsidRDefault="00867B8A" w:rsidP="00867B8A">
      <w:pPr>
        <w:widowControl w:val="0"/>
        <w:autoSpaceDE w:val="0"/>
        <w:autoSpaceDN w:val="0"/>
        <w:adjustRightInd w:val="0"/>
        <w:spacing w:line="360" w:lineRule="auto"/>
        <w:rPr>
          <w:rFonts w:cs="Arial"/>
          <w:sz w:val="20"/>
          <w:szCs w:val="20"/>
        </w:rPr>
      </w:pPr>
      <w:r w:rsidRPr="00867B8A">
        <w:rPr>
          <w:rFonts w:cs="Arial"/>
          <w:sz w:val="20"/>
          <w:szCs w:val="20"/>
        </w:rPr>
        <w:t xml:space="preserve">L’efficacia di lesinurad è stata inoltre confermata </w:t>
      </w:r>
    </w:p>
    <w:p w14:paraId="48F15346" w14:textId="625DB2C3" w:rsidR="00EE6F19" w:rsidRPr="006675F1" w:rsidRDefault="00867B8A" w:rsidP="00825BD3">
      <w:pPr>
        <w:pStyle w:val="ListParagraph"/>
        <w:widowControl w:val="0"/>
        <w:numPr>
          <w:ilvl w:val="0"/>
          <w:numId w:val="45"/>
        </w:numPr>
        <w:autoSpaceDE w:val="0"/>
        <w:autoSpaceDN w:val="0"/>
        <w:adjustRightInd w:val="0"/>
        <w:spacing w:line="360" w:lineRule="auto"/>
        <w:rPr>
          <w:rFonts w:asciiTheme="minorHAnsi" w:hAnsiTheme="minorHAnsi" w:cstheme="minorHAnsi"/>
          <w:i/>
          <w:sz w:val="20"/>
          <w:szCs w:val="20"/>
        </w:rPr>
      </w:pPr>
      <w:r w:rsidRPr="00867B8A">
        <w:rPr>
          <w:rFonts w:asciiTheme="minorHAnsi" w:hAnsiTheme="minorHAnsi" w:cstheme="minorHAnsi"/>
          <w:b/>
          <w:sz w:val="20"/>
          <w:szCs w:val="20"/>
        </w:rPr>
        <w:t xml:space="preserve">in pazienti con </w:t>
      </w:r>
      <w:r w:rsidR="00F53107" w:rsidRPr="00213A82">
        <w:rPr>
          <w:rFonts w:asciiTheme="minorHAnsi" w:hAnsiTheme="minorHAnsi" w:cstheme="minorHAnsi"/>
          <w:b/>
          <w:sz w:val="20"/>
          <w:szCs w:val="20"/>
        </w:rPr>
        <w:t>insufficienza renale lieve o moderata</w:t>
      </w:r>
      <w:r w:rsidRPr="00213A82">
        <w:rPr>
          <w:rFonts w:asciiTheme="minorHAnsi" w:hAnsiTheme="minorHAnsi" w:cstheme="minorHAnsi"/>
          <w:b/>
          <w:sz w:val="20"/>
          <w:szCs w:val="20"/>
        </w:rPr>
        <w:t>:</w:t>
      </w:r>
      <w:r w:rsidRPr="00867B8A">
        <w:rPr>
          <w:rFonts w:asciiTheme="minorHAnsi" w:hAnsiTheme="minorHAnsi" w:cstheme="minorHAnsi"/>
          <w:sz w:val="20"/>
          <w:szCs w:val="20"/>
        </w:rPr>
        <w:t xml:space="preserve"> lesinurad è stato efficace nell’aumentare</w:t>
      </w:r>
      <w:r w:rsidR="006675F1">
        <w:rPr>
          <w:rFonts w:asciiTheme="minorHAnsi" w:hAnsiTheme="minorHAnsi" w:cstheme="minorHAnsi"/>
          <w:sz w:val="20"/>
          <w:szCs w:val="20"/>
        </w:rPr>
        <w:t xml:space="preserve"> la quota di pazienti a target </w:t>
      </w:r>
      <w:r w:rsidR="005848A1">
        <w:rPr>
          <w:rFonts w:asciiTheme="minorHAnsi" w:hAnsiTheme="minorHAnsi" w:cstheme="minorHAnsi"/>
          <w:sz w:val="20"/>
          <w:szCs w:val="20"/>
        </w:rPr>
        <w:t>sUA</w:t>
      </w:r>
      <w:r w:rsidRPr="00867B8A">
        <w:rPr>
          <w:rFonts w:asciiTheme="minorHAnsi" w:hAnsiTheme="minorHAnsi" w:cstheme="minorHAnsi"/>
          <w:sz w:val="20"/>
          <w:szCs w:val="20"/>
        </w:rPr>
        <w:t xml:space="preserve"> in questi pazienti come per la popolazione generale degli studi </w:t>
      </w:r>
      <w:r w:rsidR="005D5464" w:rsidRPr="00867B8A">
        <w:rPr>
          <w:rFonts w:asciiTheme="minorHAnsi" w:hAnsiTheme="minorHAnsi" w:cstheme="minorHAnsi"/>
          <w:sz w:val="20"/>
          <w:szCs w:val="20"/>
        </w:rPr>
        <w:t>(</w:t>
      </w:r>
      <w:hyperlink w:anchor="Figura23" w:history="1">
        <w:r w:rsidR="006675F1" w:rsidRPr="0046619A">
          <w:rPr>
            <w:rStyle w:val="Hyperlink"/>
            <w:rFonts w:asciiTheme="minorHAnsi" w:hAnsiTheme="minorHAnsi" w:cstheme="minorHAnsi"/>
            <w:sz w:val="20"/>
            <w:szCs w:val="20"/>
          </w:rPr>
          <w:t>Figura 23</w:t>
        </w:r>
      </w:hyperlink>
      <w:r w:rsidR="006675F1" w:rsidRPr="0046619A">
        <w:rPr>
          <w:rFonts w:asciiTheme="minorHAnsi" w:hAnsiTheme="minorHAnsi" w:cstheme="minorHAnsi"/>
          <w:sz w:val="20"/>
          <w:szCs w:val="20"/>
        </w:rPr>
        <w:t xml:space="preserve"> e </w:t>
      </w:r>
      <w:hyperlink w:anchor="Figura24" w:history="1">
        <w:r w:rsidR="006675F1" w:rsidRPr="0046619A">
          <w:rPr>
            <w:rStyle w:val="Hyperlink"/>
            <w:rFonts w:asciiTheme="minorHAnsi" w:hAnsiTheme="minorHAnsi" w:cstheme="minorHAnsi"/>
            <w:sz w:val="20"/>
            <w:szCs w:val="20"/>
          </w:rPr>
          <w:t>Figura 24</w:t>
        </w:r>
      </w:hyperlink>
      <w:r w:rsidR="005D5464" w:rsidRPr="00867B8A">
        <w:rPr>
          <w:rFonts w:asciiTheme="minorHAnsi" w:hAnsiTheme="minorHAnsi" w:cstheme="minorHAnsi"/>
          <w:sz w:val="20"/>
          <w:szCs w:val="20"/>
        </w:rPr>
        <w:t>)</w:t>
      </w:r>
      <w:r w:rsidR="00EE6F19" w:rsidRPr="00867B8A">
        <w:rPr>
          <w:rFonts w:asciiTheme="minorHAnsi" w:hAnsiTheme="minorHAnsi" w:cstheme="minorHAnsi"/>
          <w:sz w:val="20"/>
          <w:szCs w:val="20"/>
        </w:rPr>
        <w:t xml:space="preserve"> </w:t>
      </w:r>
      <w:r w:rsidR="001D59E9" w:rsidRPr="00867B8A">
        <w:rPr>
          <w:rFonts w:asciiTheme="minorHAnsi" w:hAnsiTheme="minorHAnsi" w:cstheme="minorHAnsi"/>
          <w:sz w:val="20"/>
          <w:szCs w:val="20"/>
        </w:rPr>
        <w:t>(</w:t>
      </w:r>
      <w:r w:rsidR="005469EB">
        <w:rPr>
          <w:rFonts w:asciiTheme="minorHAnsi" w:hAnsiTheme="minorHAnsi" w:cstheme="minorHAnsi"/>
          <w:color w:val="0000FF"/>
          <w:sz w:val="20"/>
          <w:szCs w:val="20"/>
        </w:rPr>
        <w:t>CSR 304, 2014 (111);</w:t>
      </w:r>
      <w:r w:rsidR="005469EB" w:rsidRPr="006675F1">
        <w:rPr>
          <w:rFonts w:asciiTheme="minorHAnsi" w:hAnsiTheme="minorHAnsi" w:cstheme="minorHAnsi"/>
          <w:color w:val="0000FF"/>
          <w:sz w:val="20"/>
          <w:szCs w:val="20"/>
        </w:rPr>
        <w:t xml:space="preserve"> </w:t>
      </w:r>
      <w:r w:rsidR="0020764E">
        <w:rPr>
          <w:rFonts w:asciiTheme="minorHAnsi" w:hAnsiTheme="minorHAnsi" w:cstheme="minorHAnsi"/>
          <w:color w:val="0000FF"/>
          <w:sz w:val="20"/>
          <w:szCs w:val="20"/>
        </w:rPr>
        <w:t>Clinical Overview, 2014 (131</w:t>
      </w:r>
      <w:r w:rsidR="009B51CD">
        <w:rPr>
          <w:rFonts w:asciiTheme="minorHAnsi" w:hAnsiTheme="minorHAnsi" w:cstheme="minorHAnsi"/>
          <w:color w:val="0000FF"/>
          <w:sz w:val="20"/>
          <w:szCs w:val="20"/>
        </w:rPr>
        <w:t>)</w:t>
      </w:r>
      <w:r w:rsidR="006675F1">
        <w:rPr>
          <w:rFonts w:asciiTheme="minorHAnsi" w:hAnsiTheme="minorHAnsi" w:cstheme="minorHAnsi"/>
          <w:color w:val="0000FF"/>
          <w:sz w:val="20"/>
          <w:szCs w:val="20"/>
        </w:rPr>
        <w:t xml:space="preserve">; </w:t>
      </w:r>
      <w:r w:rsidR="0020764E">
        <w:rPr>
          <w:rFonts w:asciiTheme="minorHAnsi" w:hAnsiTheme="minorHAnsi" w:cstheme="minorHAnsi"/>
          <w:color w:val="0000FF"/>
          <w:sz w:val="20"/>
          <w:szCs w:val="20"/>
        </w:rPr>
        <w:t>Dalbeth, 2015 (132</w:t>
      </w:r>
      <w:r w:rsidR="009B51CD">
        <w:rPr>
          <w:rFonts w:asciiTheme="minorHAnsi" w:hAnsiTheme="minorHAnsi" w:cstheme="minorHAnsi"/>
          <w:color w:val="0000FF"/>
          <w:sz w:val="20"/>
          <w:szCs w:val="20"/>
        </w:rPr>
        <w:t>)</w:t>
      </w:r>
      <w:r w:rsidR="006675F1">
        <w:rPr>
          <w:rFonts w:asciiTheme="minorHAnsi" w:hAnsiTheme="minorHAnsi" w:cstheme="minorHAnsi"/>
          <w:sz w:val="20"/>
          <w:szCs w:val="20"/>
        </w:rPr>
        <w:t>);</w:t>
      </w:r>
    </w:p>
    <w:p w14:paraId="5A877F85" w14:textId="77777777" w:rsidR="006675F1" w:rsidRPr="006675F1" w:rsidRDefault="006675F1" w:rsidP="006675F1">
      <w:pPr>
        <w:pStyle w:val="ListParagraph"/>
        <w:widowControl w:val="0"/>
        <w:autoSpaceDE w:val="0"/>
        <w:autoSpaceDN w:val="0"/>
        <w:adjustRightInd w:val="0"/>
        <w:spacing w:line="360" w:lineRule="auto"/>
        <w:rPr>
          <w:rFonts w:asciiTheme="minorHAnsi" w:hAnsiTheme="minorHAnsi" w:cstheme="minorHAnsi"/>
          <w:i/>
          <w:sz w:val="20"/>
          <w:szCs w:val="20"/>
        </w:rPr>
      </w:pPr>
    </w:p>
    <w:p w14:paraId="5A80C95F" w14:textId="3CD7A537" w:rsidR="00213A82" w:rsidRPr="00302C92" w:rsidRDefault="006675F1" w:rsidP="00213A82">
      <w:pPr>
        <w:pStyle w:val="Caption"/>
        <w:rPr>
          <w:rFonts w:asciiTheme="minorHAnsi" w:hAnsiTheme="minorHAnsi" w:cstheme="minorHAnsi"/>
          <w:lang w:val="it-IT"/>
        </w:rPr>
      </w:pPr>
      <w:bookmarkStart w:id="91" w:name="Figura23"/>
      <w:bookmarkStart w:id="92" w:name="_Toc473186918"/>
      <w:bookmarkEnd w:id="91"/>
      <w:r w:rsidRPr="005D5464">
        <w:rPr>
          <w:rFonts w:asciiTheme="minorHAnsi" w:hAnsiTheme="minorHAnsi" w:cstheme="minorHAnsi"/>
          <w:lang w:val="it-IT"/>
        </w:rPr>
        <w:t xml:space="preserve">Figura </w:t>
      </w:r>
      <w:r w:rsidRPr="005D5464">
        <w:rPr>
          <w:rFonts w:asciiTheme="minorHAnsi" w:hAnsiTheme="minorHAnsi" w:cstheme="minorHAnsi"/>
        </w:rPr>
        <w:fldChar w:fldCharType="begin"/>
      </w:r>
      <w:r w:rsidRPr="005D5464">
        <w:rPr>
          <w:rFonts w:asciiTheme="minorHAnsi" w:hAnsiTheme="minorHAnsi" w:cstheme="minorHAnsi"/>
          <w:lang w:val="it-IT"/>
        </w:rPr>
        <w:instrText xml:space="preserve"> SEQ Figura \* ARABIC </w:instrText>
      </w:r>
      <w:r w:rsidRPr="005D5464">
        <w:rPr>
          <w:rFonts w:asciiTheme="minorHAnsi" w:hAnsiTheme="minorHAnsi" w:cstheme="minorHAnsi"/>
        </w:rPr>
        <w:fldChar w:fldCharType="separate"/>
      </w:r>
      <w:r w:rsidR="00A1679C">
        <w:rPr>
          <w:rFonts w:asciiTheme="minorHAnsi" w:hAnsiTheme="minorHAnsi" w:cstheme="minorHAnsi"/>
          <w:noProof/>
          <w:lang w:val="it-IT"/>
        </w:rPr>
        <w:t>23</w:t>
      </w:r>
      <w:r w:rsidRPr="005D5464">
        <w:rPr>
          <w:rFonts w:asciiTheme="minorHAnsi" w:hAnsiTheme="minorHAnsi" w:cstheme="minorHAnsi"/>
        </w:rPr>
        <w:fldChar w:fldCharType="end"/>
      </w:r>
      <w:r w:rsidRPr="005D5464">
        <w:rPr>
          <w:rFonts w:asciiTheme="minorHAnsi" w:hAnsiTheme="minorHAnsi" w:cstheme="minorHAnsi"/>
          <w:lang w:val="it-IT"/>
        </w:rPr>
        <w:t xml:space="preserve"> - </w:t>
      </w:r>
      <w:r w:rsidR="00213A82" w:rsidRPr="00302C92">
        <w:rPr>
          <w:rFonts w:asciiTheme="minorHAnsi" w:hAnsiTheme="minorHAnsi" w:cstheme="minorHAnsi"/>
          <w:lang w:val="it-IT"/>
        </w:rPr>
        <w:t>Pazienti a target (</w:t>
      </w:r>
      <w:r w:rsidR="00213A82">
        <w:rPr>
          <w:rFonts w:asciiTheme="minorHAnsi" w:hAnsiTheme="minorHAnsi" w:cstheme="minorHAnsi"/>
          <w:lang w:val="it-IT"/>
        </w:rPr>
        <w:t>SUA</w:t>
      </w:r>
      <w:r w:rsidR="00213A82" w:rsidRPr="00302C92">
        <w:rPr>
          <w:rFonts w:asciiTheme="minorHAnsi" w:hAnsiTheme="minorHAnsi" w:cstheme="minorHAnsi"/>
          <w:lang w:val="it-IT"/>
        </w:rPr>
        <w:t>&lt;6mg/dl) al 6° mese – pazienti con compromissione renale</w:t>
      </w:r>
      <w:r w:rsidR="00213A82">
        <w:rPr>
          <w:rFonts w:asciiTheme="minorHAnsi" w:hAnsiTheme="minorHAnsi" w:cstheme="minorHAnsi"/>
          <w:lang w:val="it-IT"/>
        </w:rPr>
        <w:t xml:space="preserve"> lieve o moderata (Analisi NRI, popolazione ITT) (</w:t>
      </w:r>
      <w:r w:rsidR="009B51CD">
        <w:rPr>
          <w:rFonts w:asciiTheme="minorHAnsi" w:hAnsiTheme="minorHAnsi" w:cstheme="minorHAnsi"/>
          <w:color w:val="0000FF"/>
          <w:lang w:val="it-IT"/>
        </w:rPr>
        <w:t>Clinical Overview, 2014</w:t>
      </w:r>
      <w:r w:rsidR="00213A82">
        <w:rPr>
          <w:rFonts w:asciiTheme="minorHAnsi" w:hAnsiTheme="minorHAnsi" w:cstheme="minorHAnsi"/>
          <w:lang w:val="it-IT"/>
        </w:rPr>
        <w:t>)</w:t>
      </w:r>
      <w:bookmarkEnd w:id="92"/>
    </w:p>
    <w:p w14:paraId="450F9A8E" w14:textId="208647E4" w:rsidR="006675F1" w:rsidRDefault="006675F1" w:rsidP="00213A82">
      <w:pPr>
        <w:pStyle w:val="Caption"/>
      </w:pPr>
      <w:r>
        <w:rPr>
          <w:noProof/>
          <w:lang w:val="en-GB" w:eastAsia="en-GB"/>
        </w:rPr>
        <w:drawing>
          <wp:inline distT="0" distB="0" distL="0" distR="0" wp14:anchorId="02A90199" wp14:editId="1F92C523">
            <wp:extent cx="5645150" cy="3303633"/>
            <wp:effectExtent l="19050" t="19050" r="12700" b="1143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41508" cy="3301502"/>
                    </a:xfrm>
                    <a:prstGeom prst="rect">
                      <a:avLst/>
                    </a:prstGeom>
                    <a:noFill/>
                    <a:ln w="6350">
                      <a:solidFill>
                        <a:srgbClr val="000000"/>
                      </a:solidFill>
                      <a:miter lim="800000"/>
                      <a:headEnd/>
                      <a:tailEnd/>
                    </a:ln>
                  </pic:spPr>
                </pic:pic>
              </a:graphicData>
            </a:graphic>
          </wp:inline>
        </w:drawing>
      </w:r>
    </w:p>
    <w:p w14:paraId="048776EC" w14:textId="77777777" w:rsidR="006675F1" w:rsidRDefault="006675F1" w:rsidP="006675F1">
      <w:pPr>
        <w:widowControl w:val="0"/>
        <w:autoSpaceDE w:val="0"/>
        <w:autoSpaceDN w:val="0"/>
        <w:adjustRightInd w:val="0"/>
        <w:spacing w:line="360" w:lineRule="auto"/>
        <w:rPr>
          <w:rFonts w:cstheme="minorHAnsi"/>
          <w:sz w:val="20"/>
          <w:szCs w:val="20"/>
        </w:rPr>
      </w:pPr>
    </w:p>
    <w:p w14:paraId="1335C672" w14:textId="77777777" w:rsidR="006675F1" w:rsidRPr="001D1F77" w:rsidRDefault="006675F1" w:rsidP="006675F1">
      <w:pPr>
        <w:pStyle w:val="Paragrafoelenco3"/>
        <w:spacing w:line="360" w:lineRule="auto"/>
        <w:ind w:left="0"/>
        <w:jc w:val="both"/>
        <w:rPr>
          <w:rFonts w:asciiTheme="minorHAnsi" w:hAnsiTheme="minorHAnsi" w:cs="Arial"/>
          <w:sz w:val="20"/>
          <w:szCs w:val="20"/>
        </w:rPr>
      </w:pPr>
    </w:p>
    <w:p w14:paraId="38459B06" w14:textId="4D2F99C0" w:rsidR="00213A82" w:rsidRPr="004A0A1A" w:rsidRDefault="00B05B41" w:rsidP="00213A82">
      <w:pPr>
        <w:pStyle w:val="Caption"/>
        <w:rPr>
          <w:rFonts w:asciiTheme="minorHAnsi" w:hAnsiTheme="minorHAnsi" w:cstheme="minorHAnsi"/>
          <w:lang w:val="it-IT"/>
        </w:rPr>
      </w:pPr>
      <w:bookmarkStart w:id="93" w:name="Figura24"/>
      <w:bookmarkStart w:id="94" w:name="_Toc473186919"/>
      <w:bookmarkEnd w:id="93"/>
      <w:r w:rsidRPr="00B05B41">
        <w:rPr>
          <w:rFonts w:asciiTheme="minorHAnsi" w:hAnsiTheme="minorHAnsi" w:cstheme="minorHAnsi"/>
          <w:lang w:val="it-IT"/>
        </w:rPr>
        <w:t xml:space="preserve">Figura </w:t>
      </w:r>
      <w:r w:rsidRPr="00B05B41">
        <w:rPr>
          <w:rFonts w:asciiTheme="minorHAnsi" w:hAnsiTheme="minorHAnsi" w:cstheme="minorHAnsi"/>
        </w:rPr>
        <w:fldChar w:fldCharType="begin"/>
      </w:r>
      <w:r w:rsidRPr="00B05B41">
        <w:rPr>
          <w:rFonts w:asciiTheme="minorHAnsi" w:hAnsiTheme="minorHAnsi" w:cstheme="minorHAnsi"/>
          <w:lang w:val="it-IT"/>
        </w:rPr>
        <w:instrText xml:space="preserve"> SEQ Figura \* ARABIC </w:instrText>
      </w:r>
      <w:r w:rsidRPr="00B05B41">
        <w:rPr>
          <w:rFonts w:asciiTheme="minorHAnsi" w:hAnsiTheme="minorHAnsi" w:cstheme="minorHAnsi"/>
        </w:rPr>
        <w:fldChar w:fldCharType="separate"/>
      </w:r>
      <w:r w:rsidR="00A1679C">
        <w:rPr>
          <w:rFonts w:asciiTheme="minorHAnsi" w:hAnsiTheme="minorHAnsi" w:cstheme="minorHAnsi"/>
          <w:noProof/>
          <w:lang w:val="it-IT"/>
        </w:rPr>
        <w:t>24</w:t>
      </w:r>
      <w:r w:rsidRPr="00B05B41">
        <w:rPr>
          <w:rFonts w:asciiTheme="minorHAnsi" w:hAnsiTheme="minorHAnsi" w:cstheme="minorHAnsi"/>
        </w:rPr>
        <w:fldChar w:fldCharType="end"/>
      </w:r>
      <w:r w:rsidR="006675F1" w:rsidRPr="00B05B41">
        <w:rPr>
          <w:rFonts w:asciiTheme="minorHAnsi" w:hAnsiTheme="minorHAnsi" w:cstheme="minorHAnsi"/>
          <w:b w:val="0"/>
          <w:lang w:val="it-IT"/>
        </w:rPr>
        <w:t xml:space="preserve"> -</w:t>
      </w:r>
      <w:r w:rsidR="006675F1" w:rsidRPr="00162B9A">
        <w:rPr>
          <w:rFonts w:asciiTheme="minorHAnsi" w:hAnsiTheme="minorHAnsi" w:cstheme="minorHAnsi"/>
          <w:b w:val="0"/>
          <w:lang w:val="it-IT"/>
        </w:rPr>
        <w:t xml:space="preserve"> </w:t>
      </w:r>
      <w:r w:rsidR="00213A82" w:rsidRPr="004A0A1A">
        <w:rPr>
          <w:rFonts w:asciiTheme="minorHAnsi" w:hAnsiTheme="minorHAnsi" w:cstheme="minorHAnsi"/>
          <w:lang w:val="it-IT"/>
        </w:rPr>
        <w:t xml:space="preserve">Pazienti a target </w:t>
      </w:r>
      <w:r w:rsidR="00213A82">
        <w:rPr>
          <w:rFonts w:asciiTheme="minorHAnsi" w:hAnsiTheme="minorHAnsi" w:cstheme="minorHAnsi"/>
          <w:lang w:val="it-IT"/>
        </w:rPr>
        <w:t>sUA</w:t>
      </w:r>
      <w:r w:rsidR="00213A82" w:rsidRPr="004A0A1A">
        <w:rPr>
          <w:rFonts w:asciiTheme="minorHAnsi" w:hAnsiTheme="minorHAnsi" w:cstheme="minorHAnsi"/>
          <w:u w:val="single"/>
          <w:lang w:val="it-IT"/>
        </w:rPr>
        <w:t>&lt;</w:t>
      </w:r>
      <w:r w:rsidR="00213A82" w:rsidRPr="004A0A1A">
        <w:rPr>
          <w:rFonts w:asciiTheme="minorHAnsi" w:hAnsiTheme="minorHAnsi" w:cstheme="minorHAnsi"/>
          <w:lang w:val="it-IT"/>
        </w:rPr>
        <w:t>6.0 soggetti con compromissione renale - studio CRYSTAL</w:t>
      </w:r>
      <w:r w:rsidR="00213A82">
        <w:rPr>
          <w:rFonts w:asciiTheme="minorHAnsi" w:hAnsiTheme="minorHAnsi" w:cstheme="minorHAnsi"/>
          <w:lang w:val="it-IT"/>
        </w:rPr>
        <w:t xml:space="preserve"> </w:t>
      </w:r>
      <w:r w:rsidR="00E5367A">
        <w:rPr>
          <w:rFonts w:asciiTheme="minorHAnsi" w:hAnsiTheme="minorHAnsi" w:cstheme="minorHAnsi"/>
          <w:lang w:val="it-IT"/>
        </w:rPr>
        <w:t xml:space="preserve">(analisi LOCF, popolazione ITT) </w:t>
      </w:r>
      <w:r w:rsidR="00213A82">
        <w:rPr>
          <w:rFonts w:asciiTheme="minorHAnsi" w:hAnsiTheme="minorHAnsi" w:cstheme="minorHAnsi"/>
          <w:lang w:val="it-IT"/>
        </w:rPr>
        <w:t xml:space="preserve">(adattato da </w:t>
      </w:r>
      <w:r w:rsidR="00213A82" w:rsidRPr="00376079">
        <w:rPr>
          <w:rFonts w:asciiTheme="minorHAnsi" w:hAnsiTheme="minorHAnsi" w:cstheme="minorHAnsi"/>
          <w:color w:val="0000FF"/>
          <w:lang w:val="it-IT"/>
        </w:rPr>
        <w:t>CSR 304, 2014</w:t>
      </w:r>
      <w:r w:rsidR="00213A82">
        <w:rPr>
          <w:rFonts w:asciiTheme="minorHAnsi" w:hAnsiTheme="minorHAnsi" w:cstheme="minorHAnsi"/>
          <w:color w:val="0000FF"/>
          <w:lang w:val="it-IT"/>
        </w:rPr>
        <w:t xml:space="preserve"> </w:t>
      </w:r>
      <w:r w:rsidR="00213A82" w:rsidRPr="00376079">
        <w:rPr>
          <w:rFonts w:asciiTheme="minorHAnsi" w:hAnsiTheme="minorHAnsi" w:cstheme="minorHAnsi"/>
          <w:color w:val="0000FF"/>
          <w:lang w:val="it-IT"/>
        </w:rPr>
        <w:t>– Dalbeth, 201</w:t>
      </w:r>
      <w:r w:rsidR="00213A82">
        <w:rPr>
          <w:rFonts w:asciiTheme="minorHAnsi" w:hAnsiTheme="minorHAnsi" w:cstheme="minorHAnsi"/>
          <w:color w:val="0000FF"/>
          <w:lang w:val="it-IT"/>
        </w:rPr>
        <w:t>5</w:t>
      </w:r>
      <w:r w:rsidR="00213A82">
        <w:rPr>
          <w:rFonts w:asciiTheme="minorHAnsi" w:hAnsiTheme="minorHAnsi" w:cstheme="minorHAnsi"/>
          <w:lang w:val="it-IT"/>
        </w:rPr>
        <w:t>)</w:t>
      </w:r>
      <w:bookmarkEnd w:id="94"/>
    </w:p>
    <w:p w14:paraId="61F4C78F" w14:textId="4AC6660B" w:rsidR="006675F1" w:rsidRDefault="006675F1" w:rsidP="00213A82">
      <w:pPr>
        <w:pStyle w:val="Caption"/>
        <w:rPr>
          <w:b w:val="0"/>
        </w:rPr>
      </w:pPr>
      <w:r>
        <w:rPr>
          <w:b w:val="0"/>
          <w:noProof/>
          <w:lang w:val="en-GB" w:eastAsia="en-GB"/>
        </w:rPr>
        <w:drawing>
          <wp:inline distT="0" distB="0" distL="0" distR="0" wp14:anchorId="2B154993" wp14:editId="18EAB453">
            <wp:extent cx="5651500" cy="3476574"/>
            <wp:effectExtent l="19050" t="19050" r="25400" b="1016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47049" cy="3473836"/>
                    </a:xfrm>
                    <a:prstGeom prst="rect">
                      <a:avLst/>
                    </a:prstGeom>
                    <a:noFill/>
                    <a:ln w="9525">
                      <a:solidFill>
                        <a:srgbClr val="000000"/>
                      </a:solidFill>
                      <a:miter lim="800000"/>
                      <a:headEnd/>
                      <a:tailEnd/>
                    </a:ln>
                  </pic:spPr>
                </pic:pic>
              </a:graphicData>
            </a:graphic>
          </wp:inline>
        </w:drawing>
      </w:r>
    </w:p>
    <w:p w14:paraId="0698B2F0" w14:textId="77777777" w:rsidR="006675F1" w:rsidRPr="004A0A1A" w:rsidRDefault="006675F1" w:rsidP="006675F1">
      <w:pPr>
        <w:rPr>
          <w:sz w:val="20"/>
          <w:szCs w:val="20"/>
        </w:rPr>
      </w:pPr>
    </w:p>
    <w:p w14:paraId="1D79AC50" w14:textId="023381C0" w:rsidR="00867B8A" w:rsidRPr="00867B8A" w:rsidRDefault="00867B8A" w:rsidP="00825BD3">
      <w:pPr>
        <w:pStyle w:val="ListParagraph"/>
        <w:widowControl w:val="0"/>
        <w:numPr>
          <w:ilvl w:val="0"/>
          <w:numId w:val="45"/>
        </w:numPr>
        <w:autoSpaceDE w:val="0"/>
        <w:autoSpaceDN w:val="0"/>
        <w:adjustRightInd w:val="0"/>
        <w:spacing w:line="360" w:lineRule="auto"/>
        <w:rPr>
          <w:rFonts w:asciiTheme="minorHAnsi" w:hAnsiTheme="minorHAnsi" w:cstheme="minorHAnsi"/>
          <w:sz w:val="20"/>
          <w:szCs w:val="20"/>
        </w:rPr>
      </w:pPr>
      <w:r w:rsidRPr="00867B8A">
        <w:rPr>
          <w:rFonts w:asciiTheme="minorHAnsi" w:hAnsiTheme="minorHAnsi" w:cstheme="minorHAnsi"/>
          <w:b/>
          <w:sz w:val="20"/>
          <w:szCs w:val="20"/>
        </w:rPr>
        <w:t>pazienti trattati con aspirina al basale</w:t>
      </w:r>
      <w:r w:rsidRPr="00867B8A">
        <w:rPr>
          <w:rFonts w:asciiTheme="minorHAnsi" w:hAnsiTheme="minorHAnsi" w:cstheme="minorHAnsi"/>
          <w:sz w:val="20"/>
          <w:szCs w:val="20"/>
        </w:rPr>
        <w:t xml:space="preserve">: basse dosi di aspirina hanno mostrato di aumentare la presenza del transporter URAT1; l’aspirina a basse dosi (&lt; 325 mg) è comunemente impiegata per la prevenzione cardiovascolare nei pazienti con gotta. Negli studi CLEAR, coerentemente con la popolazione ITT, </w:t>
      </w:r>
      <w:r w:rsidRPr="00867B8A">
        <w:rPr>
          <w:rFonts w:asciiTheme="minorHAnsi" w:hAnsiTheme="minorHAnsi" w:cstheme="minorHAnsi"/>
          <w:sz w:val="20"/>
          <w:szCs w:val="20"/>
          <w:u w:val="single"/>
        </w:rPr>
        <w:t xml:space="preserve">più del doppio dei pazienti che assumevano aspirina al basale hanno raggiunto il target </w:t>
      </w:r>
      <w:r w:rsidR="005848A1">
        <w:rPr>
          <w:rFonts w:asciiTheme="minorHAnsi" w:hAnsiTheme="minorHAnsi" w:cstheme="minorHAnsi"/>
          <w:sz w:val="20"/>
          <w:szCs w:val="20"/>
          <w:u w:val="single"/>
        </w:rPr>
        <w:t>SUA</w:t>
      </w:r>
      <w:r w:rsidRPr="00867B8A">
        <w:rPr>
          <w:rFonts w:asciiTheme="minorHAnsi" w:hAnsiTheme="minorHAnsi" w:cstheme="minorHAnsi"/>
          <w:sz w:val="20"/>
          <w:szCs w:val="20"/>
          <w:u w:val="single"/>
        </w:rPr>
        <w:t xml:space="preserve"> al mese 6</w:t>
      </w:r>
      <w:r w:rsidRPr="00867B8A">
        <w:rPr>
          <w:rFonts w:asciiTheme="minorHAnsi" w:hAnsiTheme="minorHAnsi" w:cstheme="minorHAnsi"/>
          <w:sz w:val="20"/>
          <w:szCs w:val="20"/>
        </w:rPr>
        <w:t xml:space="preserve"> (LESU200+ALLO 60.3%, PBO+ALLO 24.4%; p&lt;0.0001); e questo dato è stato confermato nello studio CRYSTAL, sebbene su piccoli numeri di pazienti (LESU200+FBX 72.2% vs. vs PBO+FBX 56.3%; p&gt;0.05)</w:t>
      </w:r>
      <w:r w:rsidR="00213A82">
        <w:rPr>
          <w:rFonts w:asciiTheme="minorHAnsi" w:hAnsiTheme="minorHAnsi" w:cstheme="minorHAnsi"/>
          <w:sz w:val="20"/>
          <w:szCs w:val="20"/>
        </w:rPr>
        <w:t xml:space="preserve"> </w:t>
      </w:r>
      <w:r w:rsidR="00213A82" w:rsidRPr="00867B8A">
        <w:rPr>
          <w:rFonts w:asciiTheme="minorHAnsi" w:hAnsiTheme="minorHAnsi" w:cstheme="minorHAnsi"/>
          <w:sz w:val="20"/>
          <w:szCs w:val="20"/>
        </w:rPr>
        <w:t>(</w:t>
      </w:r>
      <w:r w:rsidR="0020764E">
        <w:rPr>
          <w:rFonts w:asciiTheme="minorHAnsi" w:hAnsiTheme="minorHAnsi" w:cstheme="minorHAnsi"/>
          <w:color w:val="0000FF"/>
          <w:sz w:val="20"/>
          <w:szCs w:val="20"/>
        </w:rPr>
        <w:t>Clinical Overview, 2014 (131</w:t>
      </w:r>
      <w:r w:rsidR="009B51CD">
        <w:rPr>
          <w:rFonts w:asciiTheme="minorHAnsi" w:hAnsiTheme="minorHAnsi" w:cstheme="minorHAnsi"/>
          <w:color w:val="0000FF"/>
          <w:sz w:val="20"/>
          <w:szCs w:val="20"/>
        </w:rPr>
        <w:t>)</w:t>
      </w:r>
      <w:r w:rsidR="00213A82">
        <w:rPr>
          <w:rFonts w:asciiTheme="minorHAnsi" w:hAnsiTheme="minorHAnsi" w:cstheme="minorHAnsi"/>
          <w:color w:val="0000FF"/>
          <w:sz w:val="20"/>
          <w:szCs w:val="20"/>
        </w:rPr>
        <w:t>)</w:t>
      </w:r>
      <w:r w:rsidRPr="00867B8A">
        <w:rPr>
          <w:rFonts w:asciiTheme="minorHAnsi" w:hAnsiTheme="minorHAnsi" w:cstheme="minorHAnsi"/>
          <w:sz w:val="20"/>
          <w:szCs w:val="20"/>
        </w:rPr>
        <w:t>.</w:t>
      </w:r>
    </w:p>
    <w:p w14:paraId="5FD442F1" w14:textId="2308A6E2" w:rsidR="00867B8A" w:rsidRPr="00867B8A" w:rsidRDefault="00867B8A" w:rsidP="00825BD3">
      <w:pPr>
        <w:pStyle w:val="ListParagraph"/>
        <w:widowControl w:val="0"/>
        <w:numPr>
          <w:ilvl w:val="0"/>
          <w:numId w:val="45"/>
        </w:numPr>
        <w:autoSpaceDE w:val="0"/>
        <w:autoSpaceDN w:val="0"/>
        <w:adjustRightInd w:val="0"/>
        <w:spacing w:line="360" w:lineRule="auto"/>
        <w:rPr>
          <w:rFonts w:asciiTheme="minorHAnsi" w:hAnsiTheme="minorHAnsi" w:cstheme="minorHAnsi"/>
          <w:sz w:val="20"/>
          <w:szCs w:val="20"/>
        </w:rPr>
      </w:pPr>
      <w:r w:rsidRPr="00867B8A">
        <w:rPr>
          <w:rFonts w:asciiTheme="minorHAnsi" w:hAnsiTheme="minorHAnsi" w:cstheme="minorHAnsi"/>
          <w:b/>
          <w:sz w:val="20"/>
          <w:szCs w:val="20"/>
        </w:rPr>
        <w:t xml:space="preserve">pazienti trattati con diuretici tiazidici al basale: </w:t>
      </w:r>
      <w:r w:rsidRPr="00867B8A">
        <w:rPr>
          <w:rFonts w:asciiTheme="minorHAnsi" w:hAnsiTheme="minorHAnsi" w:cstheme="minorHAnsi"/>
          <w:sz w:val="20"/>
          <w:szCs w:val="20"/>
        </w:rPr>
        <w:t xml:space="preserve">I diuretici tiazidici aumentano l’uricemia, probabilmente attraverso l'attivazione del transporter OAT4 nel tubulo prossimale del rene, ostacolando il raggiungimento del target </w:t>
      </w:r>
      <w:r w:rsidR="005848A1">
        <w:rPr>
          <w:rFonts w:asciiTheme="minorHAnsi" w:hAnsiTheme="minorHAnsi" w:cstheme="minorHAnsi"/>
          <w:sz w:val="20"/>
          <w:szCs w:val="20"/>
        </w:rPr>
        <w:t>SUA</w:t>
      </w:r>
      <w:r w:rsidRPr="00867B8A">
        <w:rPr>
          <w:rFonts w:asciiTheme="minorHAnsi" w:hAnsiTheme="minorHAnsi" w:cstheme="minorHAnsi"/>
          <w:sz w:val="20"/>
          <w:szCs w:val="20"/>
        </w:rPr>
        <w:t xml:space="preserve">. Anche per questa popolazione negli studi CLEAR </w:t>
      </w:r>
      <w:r w:rsidRPr="00867B8A">
        <w:rPr>
          <w:rFonts w:asciiTheme="minorHAnsi" w:hAnsiTheme="minorHAnsi" w:cstheme="minorHAnsi"/>
          <w:sz w:val="20"/>
          <w:szCs w:val="20"/>
          <w:u w:val="single"/>
        </w:rPr>
        <w:t>il doppio dei pazienti trattati con lesinurad hanno raggiunto il target al mese 6</w:t>
      </w:r>
      <w:r w:rsidRPr="00867B8A">
        <w:rPr>
          <w:rFonts w:asciiTheme="minorHAnsi" w:hAnsiTheme="minorHAnsi" w:cstheme="minorHAnsi"/>
          <w:sz w:val="20"/>
          <w:szCs w:val="20"/>
        </w:rPr>
        <w:t xml:space="preserve"> (LESU200+ALLO 60.8% vs. PBO+ALLO 29.7%; p=0.0002); e questo dato è stato confermato nello studio CRYSTAL, sebbene su piccoli numeri di pazienti (LESU200+FBX 69.2% vs. PBO+FBX 66.7%; p&gt;0.05)</w:t>
      </w:r>
      <w:r w:rsidR="00213A82">
        <w:rPr>
          <w:rFonts w:asciiTheme="minorHAnsi" w:hAnsiTheme="minorHAnsi" w:cstheme="minorHAnsi"/>
          <w:sz w:val="20"/>
          <w:szCs w:val="20"/>
        </w:rPr>
        <w:t xml:space="preserve"> </w:t>
      </w:r>
      <w:r w:rsidR="00213A82" w:rsidRPr="00867B8A">
        <w:rPr>
          <w:rFonts w:asciiTheme="minorHAnsi" w:hAnsiTheme="minorHAnsi" w:cstheme="minorHAnsi"/>
          <w:sz w:val="20"/>
          <w:szCs w:val="20"/>
        </w:rPr>
        <w:t>(</w:t>
      </w:r>
      <w:r w:rsidR="0020764E">
        <w:rPr>
          <w:rFonts w:asciiTheme="minorHAnsi" w:hAnsiTheme="minorHAnsi" w:cstheme="minorHAnsi"/>
          <w:color w:val="0000FF"/>
          <w:sz w:val="20"/>
          <w:szCs w:val="20"/>
        </w:rPr>
        <w:t>Clinical Overview, 2014 (131</w:t>
      </w:r>
      <w:r w:rsidR="009B51CD">
        <w:rPr>
          <w:rFonts w:asciiTheme="minorHAnsi" w:hAnsiTheme="minorHAnsi" w:cstheme="minorHAnsi"/>
          <w:color w:val="0000FF"/>
          <w:sz w:val="20"/>
          <w:szCs w:val="20"/>
        </w:rPr>
        <w:t>)</w:t>
      </w:r>
      <w:r w:rsidRPr="00867B8A">
        <w:rPr>
          <w:rFonts w:asciiTheme="minorHAnsi" w:hAnsiTheme="minorHAnsi" w:cstheme="minorHAnsi"/>
          <w:sz w:val="20"/>
          <w:szCs w:val="20"/>
        </w:rPr>
        <w:t>.</w:t>
      </w:r>
    </w:p>
    <w:p w14:paraId="62469F45" w14:textId="5E264173" w:rsidR="00867B8A" w:rsidRPr="00A93EE6" w:rsidRDefault="002A1A89" w:rsidP="00825BD3">
      <w:pPr>
        <w:pStyle w:val="ListParagraph"/>
        <w:widowControl w:val="0"/>
        <w:numPr>
          <w:ilvl w:val="0"/>
          <w:numId w:val="45"/>
        </w:numPr>
        <w:autoSpaceDE w:val="0"/>
        <w:autoSpaceDN w:val="0"/>
        <w:adjustRightInd w:val="0"/>
        <w:spacing w:line="360" w:lineRule="auto"/>
        <w:rPr>
          <w:rFonts w:asciiTheme="minorHAnsi" w:hAnsiTheme="minorHAnsi" w:cstheme="minorHAnsi"/>
          <w:sz w:val="20"/>
          <w:szCs w:val="20"/>
        </w:rPr>
      </w:pPr>
      <w:r w:rsidRPr="00A53FB9">
        <w:rPr>
          <w:rFonts w:asciiTheme="minorHAnsi" w:hAnsiTheme="minorHAnsi" w:cstheme="minorHAnsi"/>
          <w:b/>
          <w:sz w:val="20"/>
          <w:szCs w:val="20"/>
        </w:rPr>
        <w:t>pazienti con età ≥ 65 anni:</w:t>
      </w:r>
      <w:r w:rsidRPr="002A1A89">
        <w:rPr>
          <w:rFonts w:asciiTheme="minorHAnsi" w:hAnsiTheme="minorHAnsi" w:cstheme="minorHAnsi"/>
          <w:sz w:val="20"/>
          <w:szCs w:val="20"/>
        </w:rPr>
        <w:t xml:space="preserve"> lesinurad 200 mg si è dimostrato significativamente più efficace di allopurinolo in monoterapia rispetto all’endopoint primario di efficacia (57.5% vs 28.3% rispettivamente (p=0.0102), </w:t>
      </w:r>
      <w:r w:rsidR="005848A1">
        <w:rPr>
          <w:rFonts w:asciiTheme="minorHAnsi" w:hAnsiTheme="minorHAnsi" w:cstheme="minorHAnsi"/>
          <w:sz w:val="20"/>
          <w:szCs w:val="20"/>
        </w:rPr>
        <w:t>sUA</w:t>
      </w:r>
      <w:r w:rsidRPr="002A1A89">
        <w:rPr>
          <w:rFonts w:asciiTheme="minorHAnsi" w:hAnsiTheme="minorHAnsi" w:cstheme="minorHAnsi"/>
          <w:sz w:val="20"/>
          <w:szCs w:val="20"/>
        </w:rPr>
        <w:t xml:space="preserve"> &lt;6.0 mg/dl al Mese 6)</w:t>
      </w:r>
      <w:r w:rsidR="00D47C76">
        <w:rPr>
          <w:rFonts w:asciiTheme="minorHAnsi" w:hAnsiTheme="minorHAnsi" w:cstheme="minorHAnsi"/>
          <w:sz w:val="20"/>
          <w:szCs w:val="20"/>
        </w:rPr>
        <w:t xml:space="preserve"> (</w:t>
      </w:r>
      <w:hyperlink w:anchor="Paragrafo528" w:history="1">
        <w:r w:rsidR="00D47C76" w:rsidRPr="0046619A">
          <w:rPr>
            <w:rStyle w:val="Hyperlink"/>
            <w:rFonts w:asciiTheme="minorHAnsi" w:hAnsiTheme="minorHAnsi" w:cstheme="minorHAnsi"/>
            <w:sz w:val="20"/>
            <w:szCs w:val="20"/>
          </w:rPr>
          <w:t>Paragrafo 5.28</w:t>
        </w:r>
      </w:hyperlink>
      <w:r w:rsidR="00D47C76">
        <w:rPr>
          <w:rFonts w:asciiTheme="minorHAnsi" w:hAnsiTheme="minorHAnsi" w:cstheme="minorHAnsi"/>
          <w:sz w:val="20"/>
          <w:szCs w:val="20"/>
        </w:rPr>
        <w:t>)</w:t>
      </w:r>
    </w:p>
    <w:p w14:paraId="53B12482" w14:textId="77777777" w:rsidR="00867B8A" w:rsidRPr="005D5464" w:rsidRDefault="00867B8A" w:rsidP="001D59E9">
      <w:pPr>
        <w:widowControl w:val="0"/>
        <w:autoSpaceDE w:val="0"/>
        <w:autoSpaceDN w:val="0"/>
        <w:adjustRightInd w:val="0"/>
        <w:spacing w:line="360" w:lineRule="auto"/>
        <w:rPr>
          <w:rFonts w:cs="Arial"/>
          <w:sz w:val="20"/>
          <w:szCs w:val="20"/>
        </w:rPr>
      </w:pPr>
    </w:p>
    <w:p w14:paraId="1A2B6C1B" w14:textId="77777777" w:rsidR="00EE6F19" w:rsidRPr="00EE6F19" w:rsidRDefault="00EE6F19" w:rsidP="001D59E9">
      <w:pPr>
        <w:widowControl w:val="0"/>
        <w:autoSpaceDE w:val="0"/>
        <w:autoSpaceDN w:val="0"/>
        <w:adjustRightInd w:val="0"/>
        <w:spacing w:line="360" w:lineRule="auto"/>
        <w:rPr>
          <w:rFonts w:cs="Arial"/>
          <w:b/>
          <w:sz w:val="20"/>
          <w:szCs w:val="20"/>
          <w:u w:val="single"/>
        </w:rPr>
      </w:pPr>
      <w:r w:rsidRPr="00EE6F19">
        <w:rPr>
          <w:rFonts w:cs="Arial"/>
          <w:b/>
          <w:sz w:val="20"/>
          <w:szCs w:val="20"/>
          <w:u w:val="single"/>
        </w:rPr>
        <w:t>SAFETY</w:t>
      </w:r>
    </w:p>
    <w:p w14:paraId="509FB91F" w14:textId="77777777" w:rsidR="00D9194B" w:rsidRDefault="00D9194B" w:rsidP="00D9194B">
      <w:pPr>
        <w:widowControl w:val="0"/>
        <w:autoSpaceDE w:val="0"/>
        <w:autoSpaceDN w:val="0"/>
        <w:adjustRightInd w:val="0"/>
        <w:spacing w:line="360" w:lineRule="auto"/>
        <w:rPr>
          <w:rFonts w:cs="Arial"/>
          <w:sz w:val="20"/>
          <w:szCs w:val="20"/>
        </w:rPr>
      </w:pPr>
      <w:r w:rsidRPr="00EE6F19">
        <w:rPr>
          <w:rFonts w:cs="Arial"/>
          <w:b/>
          <w:sz w:val="20"/>
          <w:szCs w:val="20"/>
        </w:rPr>
        <w:t>Lesinurad in combinazione con XOI, ha dimostrato sicurezza e tollerabilità in un ampio spettro di pazienti gottosi, proponendosi come valida opzione di terapia in add-on a XOI</w:t>
      </w:r>
      <w:r w:rsidRPr="00EE6F19">
        <w:rPr>
          <w:rFonts w:cs="Arial"/>
          <w:sz w:val="20"/>
          <w:szCs w:val="20"/>
        </w:rPr>
        <w:t xml:space="preserve">. </w:t>
      </w:r>
    </w:p>
    <w:p w14:paraId="42A678EC" w14:textId="34BDCF14" w:rsidR="00D9194B" w:rsidRPr="00D9194B" w:rsidRDefault="00D9194B" w:rsidP="00D9194B">
      <w:pPr>
        <w:widowControl w:val="0"/>
        <w:autoSpaceDE w:val="0"/>
        <w:autoSpaceDN w:val="0"/>
        <w:adjustRightInd w:val="0"/>
        <w:spacing w:line="360" w:lineRule="auto"/>
        <w:rPr>
          <w:rFonts w:cs="Arial"/>
          <w:sz w:val="20"/>
          <w:szCs w:val="20"/>
        </w:rPr>
      </w:pPr>
      <w:r w:rsidRPr="00D9194B">
        <w:rPr>
          <w:rFonts w:cs="Arial"/>
          <w:sz w:val="20"/>
          <w:szCs w:val="20"/>
        </w:rPr>
        <w:t>Nei tri</w:t>
      </w:r>
      <w:r w:rsidR="00D04F14">
        <w:rPr>
          <w:rFonts w:cs="Arial"/>
          <w:sz w:val="20"/>
          <w:szCs w:val="20"/>
        </w:rPr>
        <w:t>a</w:t>
      </w:r>
      <w:r w:rsidRPr="00D9194B">
        <w:rPr>
          <w:rFonts w:cs="Arial"/>
          <w:sz w:val="20"/>
          <w:szCs w:val="20"/>
        </w:rPr>
        <w:t xml:space="preserve">l di fase III </w:t>
      </w:r>
      <w:r>
        <w:rPr>
          <w:rFonts w:cs="Arial"/>
          <w:sz w:val="20"/>
          <w:szCs w:val="20"/>
        </w:rPr>
        <w:t>l</w:t>
      </w:r>
      <w:r w:rsidRPr="00D9194B">
        <w:rPr>
          <w:rFonts w:cs="Arial"/>
          <w:sz w:val="20"/>
          <w:szCs w:val="20"/>
        </w:rPr>
        <w:t>esinurad aveva un profil</w:t>
      </w:r>
      <w:r w:rsidR="004A667D">
        <w:rPr>
          <w:rFonts w:cs="Arial"/>
          <w:sz w:val="20"/>
          <w:szCs w:val="20"/>
        </w:rPr>
        <w:t>o</w:t>
      </w:r>
      <w:r w:rsidRPr="00D9194B">
        <w:rPr>
          <w:rFonts w:cs="Arial"/>
          <w:sz w:val="20"/>
          <w:szCs w:val="20"/>
        </w:rPr>
        <w:t xml:space="preserve"> di sicurezza simile a quello di allopurinolo e febuxosta</w:t>
      </w:r>
      <w:r w:rsidR="0064606B">
        <w:rPr>
          <w:rFonts w:cs="Arial"/>
          <w:sz w:val="20"/>
          <w:szCs w:val="20"/>
        </w:rPr>
        <w:t>t</w:t>
      </w:r>
      <w:r w:rsidRPr="00D9194B">
        <w:rPr>
          <w:rFonts w:cs="Arial"/>
          <w:sz w:val="20"/>
          <w:szCs w:val="20"/>
        </w:rPr>
        <w:t xml:space="preserve"> in monoterapia.</w:t>
      </w:r>
    </w:p>
    <w:p w14:paraId="1C57C8DC" w14:textId="5F6B85EA" w:rsidR="00D9194B" w:rsidRPr="00056DF5" w:rsidRDefault="00D9194B" w:rsidP="00D9194B">
      <w:pPr>
        <w:widowControl w:val="0"/>
        <w:autoSpaceDE w:val="0"/>
        <w:autoSpaceDN w:val="0"/>
        <w:adjustRightInd w:val="0"/>
        <w:spacing w:line="360" w:lineRule="auto"/>
        <w:rPr>
          <w:rFonts w:cs="Arial"/>
          <w:sz w:val="20"/>
          <w:szCs w:val="20"/>
        </w:rPr>
      </w:pPr>
      <w:r w:rsidRPr="00056DF5">
        <w:rPr>
          <w:rFonts w:cs="Arial"/>
          <w:sz w:val="20"/>
          <w:szCs w:val="20"/>
        </w:rPr>
        <w:t>I più comuni eventi avve</w:t>
      </w:r>
      <w:r w:rsidR="004A667D">
        <w:rPr>
          <w:rFonts w:cs="Arial"/>
          <w:sz w:val="20"/>
          <w:szCs w:val="20"/>
        </w:rPr>
        <w:t>r</w:t>
      </w:r>
      <w:r w:rsidRPr="00056DF5">
        <w:rPr>
          <w:rFonts w:cs="Arial"/>
          <w:sz w:val="20"/>
          <w:szCs w:val="20"/>
        </w:rPr>
        <w:t>si sono stati infezioni delle vie respiratorie superiori</w:t>
      </w:r>
      <w:r>
        <w:rPr>
          <w:rFonts w:cs="Arial"/>
          <w:sz w:val="20"/>
          <w:szCs w:val="20"/>
        </w:rPr>
        <w:t xml:space="preserve">, artralgia, aumento aumento della creatinina </w:t>
      </w:r>
      <w:r w:rsidR="00056DF5">
        <w:rPr>
          <w:rFonts w:cs="Arial"/>
          <w:sz w:val="20"/>
          <w:szCs w:val="20"/>
        </w:rPr>
        <w:t>sierica</w:t>
      </w:r>
      <w:r>
        <w:rPr>
          <w:rFonts w:cs="Arial"/>
          <w:sz w:val="20"/>
          <w:szCs w:val="20"/>
        </w:rPr>
        <w:t xml:space="preserve">, aumento della fosfochinasi creatininica sierica, ipertensione e nasofaringite. </w:t>
      </w:r>
      <w:r w:rsidRPr="00056DF5">
        <w:rPr>
          <w:rFonts w:cs="Arial"/>
          <w:sz w:val="20"/>
          <w:szCs w:val="20"/>
        </w:rPr>
        <w:t xml:space="preserve">In tutti e tre gli studi, </w:t>
      </w:r>
      <w:r w:rsidR="00056DF5" w:rsidRPr="00056DF5">
        <w:rPr>
          <w:rFonts w:cs="Arial"/>
          <w:sz w:val="20"/>
          <w:szCs w:val="20"/>
        </w:rPr>
        <w:t>la maggior parte eventi avversi emer</w:t>
      </w:r>
      <w:r w:rsidR="00056DF5">
        <w:rPr>
          <w:rFonts w:cs="Arial"/>
          <w:sz w:val="20"/>
          <w:szCs w:val="20"/>
        </w:rPr>
        <w:t>si durante il trattamento (TEAE</w:t>
      </w:r>
      <w:r w:rsidR="00056DF5" w:rsidRPr="00056DF5">
        <w:rPr>
          <w:rFonts w:cs="Arial"/>
          <w:sz w:val="20"/>
          <w:szCs w:val="20"/>
        </w:rPr>
        <w:t>s) in pazienti trattati con lesinurad erano di grado lieve o moderato.</w:t>
      </w:r>
      <w:r w:rsidRPr="00056DF5">
        <w:rPr>
          <w:rFonts w:cs="Arial"/>
          <w:sz w:val="20"/>
          <w:szCs w:val="20"/>
        </w:rPr>
        <w:t xml:space="preserve"> </w:t>
      </w:r>
    </w:p>
    <w:p w14:paraId="0F063BCD" w14:textId="77777777" w:rsidR="00A53FB9" w:rsidRDefault="00056DF5" w:rsidP="00D9194B">
      <w:pPr>
        <w:widowControl w:val="0"/>
        <w:autoSpaceDE w:val="0"/>
        <w:autoSpaceDN w:val="0"/>
        <w:adjustRightInd w:val="0"/>
        <w:spacing w:line="360" w:lineRule="auto"/>
        <w:rPr>
          <w:rFonts w:cs="Arial"/>
          <w:sz w:val="20"/>
          <w:szCs w:val="20"/>
        </w:rPr>
      </w:pPr>
      <w:r>
        <w:rPr>
          <w:rFonts w:cs="Arial"/>
          <w:sz w:val="20"/>
          <w:szCs w:val="20"/>
        </w:rPr>
        <w:t>Negli studi clinici g</w:t>
      </w:r>
      <w:r w:rsidRPr="00056DF5">
        <w:rPr>
          <w:rFonts w:cs="Arial"/>
          <w:sz w:val="20"/>
          <w:szCs w:val="20"/>
        </w:rPr>
        <w:t xml:space="preserve">li eventi renali e cardiovascolari </w:t>
      </w:r>
      <w:r>
        <w:rPr>
          <w:rFonts w:cs="Arial"/>
          <w:sz w:val="20"/>
          <w:szCs w:val="20"/>
        </w:rPr>
        <w:t xml:space="preserve">sono stati di </w:t>
      </w:r>
      <w:r w:rsidRPr="00056DF5">
        <w:rPr>
          <w:rFonts w:cs="Arial"/>
          <w:sz w:val="20"/>
          <w:szCs w:val="20"/>
        </w:rPr>
        <w:t>particolare interesse</w:t>
      </w:r>
      <w:r>
        <w:rPr>
          <w:rFonts w:cs="Arial"/>
          <w:sz w:val="20"/>
          <w:szCs w:val="20"/>
        </w:rPr>
        <w:t xml:space="preserve">. Nei tre studi la proporzione di soggetti con TEAEs  renali era simile (CLEAR 1 e CLEAR 2) o leggeremente superiore (CRYSTAL) con lesinurad 200 mg rispetto ad allopurinolo o febuxostat in monoterapia. </w:t>
      </w:r>
    </w:p>
    <w:p w14:paraId="52B18659" w14:textId="77777777" w:rsidR="00D4310D" w:rsidRDefault="00056DF5" w:rsidP="00D9194B">
      <w:pPr>
        <w:widowControl w:val="0"/>
        <w:autoSpaceDE w:val="0"/>
        <w:autoSpaceDN w:val="0"/>
        <w:adjustRightInd w:val="0"/>
        <w:spacing w:line="360" w:lineRule="auto"/>
        <w:rPr>
          <w:rFonts w:cs="Arial"/>
          <w:sz w:val="20"/>
          <w:szCs w:val="20"/>
        </w:rPr>
      </w:pPr>
      <w:r w:rsidRPr="006E07B7">
        <w:rPr>
          <w:rFonts w:cs="Arial"/>
          <w:sz w:val="20"/>
          <w:szCs w:val="20"/>
        </w:rPr>
        <w:t xml:space="preserve">L’aumento della creatinina sierica è </w:t>
      </w:r>
      <w:r w:rsidRPr="00056DF5">
        <w:rPr>
          <w:rFonts w:cs="Arial"/>
          <w:sz w:val="20"/>
          <w:szCs w:val="20"/>
        </w:rPr>
        <w:t>stat</w:t>
      </w:r>
      <w:r w:rsidRPr="006E07B7">
        <w:rPr>
          <w:rFonts w:cs="Arial"/>
          <w:sz w:val="20"/>
          <w:szCs w:val="20"/>
        </w:rPr>
        <w:t>o</w:t>
      </w:r>
      <w:r>
        <w:rPr>
          <w:rFonts w:cs="Arial"/>
          <w:sz w:val="20"/>
          <w:szCs w:val="20"/>
        </w:rPr>
        <w:t xml:space="preserve"> </w:t>
      </w:r>
      <w:r w:rsidRPr="006E07B7">
        <w:rPr>
          <w:rFonts w:cs="Arial"/>
          <w:sz w:val="20"/>
          <w:szCs w:val="20"/>
        </w:rPr>
        <w:t xml:space="preserve">il più </w:t>
      </w:r>
      <w:r w:rsidRPr="00056DF5">
        <w:rPr>
          <w:rFonts w:cs="Arial"/>
          <w:sz w:val="20"/>
          <w:szCs w:val="20"/>
        </w:rPr>
        <w:t>com</w:t>
      </w:r>
      <w:r w:rsidRPr="006E07B7">
        <w:rPr>
          <w:rFonts w:cs="Arial"/>
          <w:sz w:val="20"/>
          <w:szCs w:val="20"/>
        </w:rPr>
        <w:t xml:space="preserve">une evento </w:t>
      </w:r>
      <w:r w:rsidRPr="00056DF5">
        <w:rPr>
          <w:rFonts w:cs="Arial"/>
          <w:sz w:val="20"/>
          <w:szCs w:val="20"/>
        </w:rPr>
        <w:t>correlat</w:t>
      </w:r>
      <w:r>
        <w:rPr>
          <w:rFonts w:cs="Arial"/>
          <w:sz w:val="20"/>
          <w:szCs w:val="20"/>
        </w:rPr>
        <w:t xml:space="preserve">o osservato nei pazienti in trattamento con lesinurad, tuttavia si sono tutti risolti nel corso degli studi e nella maggior parte dei casi senza necessità di interrompere il trattamento con lesinurad. </w:t>
      </w:r>
    </w:p>
    <w:p w14:paraId="441AB849" w14:textId="5B200399" w:rsidR="00056DF5" w:rsidRPr="006E07B7" w:rsidRDefault="00056DF5" w:rsidP="00D9194B">
      <w:pPr>
        <w:widowControl w:val="0"/>
        <w:autoSpaceDE w:val="0"/>
        <w:autoSpaceDN w:val="0"/>
        <w:adjustRightInd w:val="0"/>
        <w:spacing w:line="360" w:lineRule="auto"/>
        <w:rPr>
          <w:rFonts w:cs="Arial"/>
          <w:sz w:val="20"/>
          <w:szCs w:val="20"/>
        </w:rPr>
      </w:pPr>
      <w:r>
        <w:rPr>
          <w:rFonts w:cs="Arial"/>
          <w:sz w:val="20"/>
          <w:szCs w:val="20"/>
        </w:rPr>
        <w:t xml:space="preserve">L’incidenza di TEAEs classificati come eventi </w:t>
      </w:r>
      <w:r w:rsidR="00D4310D">
        <w:rPr>
          <w:rFonts w:cs="Arial"/>
          <w:sz w:val="20"/>
          <w:szCs w:val="20"/>
        </w:rPr>
        <w:t>cardiovascolari</w:t>
      </w:r>
      <w:r>
        <w:rPr>
          <w:rFonts w:cs="Arial"/>
          <w:sz w:val="20"/>
          <w:szCs w:val="20"/>
        </w:rPr>
        <w:t xml:space="preserve"> è stata simile tra lesinurad e allopurinoilo in monoterapia negli studi CLEAR 1 e CLEAR 2  e leggermente superiore con lesinurad rispetto a febuxostat in monoterpia nello studio CRYSTAL</w:t>
      </w:r>
      <w:r w:rsidR="00D4310D">
        <w:rPr>
          <w:rFonts w:cs="Arial"/>
          <w:sz w:val="20"/>
          <w:szCs w:val="20"/>
        </w:rPr>
        <w:t>.</w:t>
      </w:r>
      <w:r w:rsidRPr="006E07B7">
        <w:rPr>
          <w:rFonts w:cs="Arial"/>
          <w:sz w:val="20"/>
          <w:szCs w:val="20"/>
        </w:rPr>
        <w:t xml:space="preserve"> </w:t>
      </w:r>
    </w:p>
    <w:p w14:paraId="73B8EA2C" w14:textId="6BA91339" w:rsidR="00056DF5" w:rsidRDefault="006E07B7" w:rsidP="00D9194B">
      <w:pPr>
        <w:widowControl w:val="0"/>
        <w:autoSpaceDE w:val="0"/>
        <w:autoSpaceDN w:val="0"/>
        <w:adjustRightInd w:val="0"/>
        <w:spacing w:line="360" w:lineRule="auto"/>
        <w:rPr>
          <w:rFonts w:cs="Arial"/>
          <w:sz w:val="20"/>
          <w:szCs w:val="20"/>
        </w:rPr>
      </w:pPr>
      <w:r>
        <w:rPr>
          <w:rFonts w:cs="Arial"/>
          <w:sz w:val="20"/>
          <w:szCs w:val="20"/>
        </w:rPr>
        <w:t xml:space="preserve">In generale la proporzione dei pazienti che hanno riportato AEs negli studi di estensione era simile a quella negli studi core. Non si sono osservate modifiche degne di nota nel profilo di sicurezza di lesinurad negli studi di estensione rispetto ai precedenti studi in doppio cieco. </w:t>
      </w:r>
    </w:p>
    <w:p w14:paraId="1D3064E6" w14:textId="1F125372" w:rsidR="00E810D9" w:rsidRDefault="00E810D9" w:rsidP="00E810D9">
      <w:pPr>
        <w:spacing w:line="360" w:lineRule="auto"/>
        <w:rPr>
          <w:rFonts w:eastAsia="Times New Roman" w:cs="Arial"/>
          <w:color w:val="222222"/>
          <w:sz w:val="20"/>
          <w:szCs w:val="20"/>
        </w:rPr>
      </w:pPr>
      <w:r>
        <w:rPr>
          <w:rFonts w:cs="Arial"/>
          <w:sz w:val="20"/>
          <w:szCs w:val="20"/>
        </w:rPr>
        <w:t>Successive analisi (</w:t>
      </w:r>
      <w:r w:rsidR="0020764E">
        <w:rPr>
          <w:rFonts w:cs="Arial"/>
          <w:color w:val="0000FF"/>
          <w:sz w:val="20"/>
          <w:szCs w:val="20"/>
        </w:rPr>
        <w:t>PSUR 16 Agosto 2016 (133</w:t>
      </w:r>
      <w:r w:rsidR="009B51CD">
        <w:rPr>
          <w:rFonts w:cs="Arial"/>
          <w:color w:val="0000FF"/>
          <w:sz w:val="20"/>
          <w:szCs w:val="20"/>
        </w:rPr>
        <w:t>)</w:t>
      </w:r>
      <w:r>
        <w:rPr>
          <w:rFonts w:cs="Arial"/>
          <w:sz w:val="20"/>
          <w:szCs w:val="20"/>
        </w:rPr>
        <w:t>) confermano che (</w:t>
      </w:r>
      <w:hyperlink w:anchor="Paragrafo6" w:history="1">
        <w:r w:rsidRPr="0046619A">
          <w:rPr>
            <w:rStyle w:val="Hyperlink"/>
            <w:rFonts w:cs="Arial"/>
            <w:sz w:val="20"/>
            <w:szCs w:val="20"/>
          </w:rPr>
          <w:t>Paragrafo 6</w:t>
        </w:r>
      </w:hyperlink>
      <w:r>
        <w:rPr>
          <w:rFonts w:cs="Arial"/>
          <w:sz w:val="20"/>
          <w:szCs w:val="20"/>
        </w:rPr>
        <w:t>) i</w:t>
      </w:r>
      <w:r>
        <w:rPr>
          <w:rFonts w:eastAsia="Times New Roman" w:cs="Arial"/>
          <w:color w:val="222222"/>
          <w:sz w:val="20"/>
          <w:szCs w:val="20"/>
        </w:rPr>
        <w:t>l profilo di sicurezza renale di lesinurad 200 mg in associazione a XOI negli studi core controllati verso placebo+XOI è paragonabile a quello di uno XOI in monoterapia. Viene confermato che si sono solamente verificati degli aumenti transitori della creatinina sierica (sCr), la maggior parte dei quali si è risolta senza interruzione del trattamento con lesinurad.</w:t>
      </w:r>
    </w:p>
    <w:p w14:paraId="100177AB" w14:textId="0A1206B5" w:rsidR="00E810D9" w:rsidRPr="006E07B7" w:rsidRDefault="0046619A" w:rsidP="00E810D9">
      <w:pPr>
        <w:widowControl w:val="0"/>
        <w:autoSpaceDE w:val="0"/>
        <w:autoSpaceDN w:val="0"/>
        <w:adjustRightInd w:val="0"/>
        <w:spacing w:line="360" w:lineRule="auto"/>
        <w:rPr>
          <w:rFonts w:cs="Arial"/>
          <w:sz w:val="20"/>
          <w:szCs w:val="20"/>
        </w:rPr>
      </w:pPr>
      <w:r>
        <w:rPr>
          <w:rFonts w:eastAsia="Times New Roman" w:cs="Arial"/>
          <w:color w:val="222222"/>
          <w:sz w:val="20"/>
          <w:szCs w:val="20"/>
        </w:rPr>
        <w:t xml:space="preserve">Negli studi controllati di Fase 3, il numero degli eventi MACE era basso (&lt; 1%) </w:t>
      </w:r>
      <w:r w:rsidRPr="002E7397">
        <w:rPr>
          <w:rFonts w:eastAsia="Times New Roman" w:cs="Arial"/>
          <w:color w:val="222222"/>
          <w:sz w:val="20"/>
          <w:szCs w:val="20"/>
        </w:rPr>
        <w:t xml:space="preserve">con un lieve squilibrio legato al caso. </w:t>
      </w:r>
      <w:r w:rsidRPr="002E7397">
        <w:rPr>
          <w:rFonts w:eastAsia="Times New Roman" w:cs="Arial"/>
          <w:b/>
          <w:color w:val="222222"/>
          <w:sz w:val="20"/>
          <w:szCs w:val="20"/>
        </w:rPr>
        <w:t>Valutati nell’insieme, tutti i dati suggeriscono che lesinuard non aumenta il rischio di eventi MACE</w:t>
      </w:r>
      <w:r w:rsidR="00E810D9">
        <w:rPr>
          <w:rFonts w:eastAsia="Times New Roman" w:cs="Arial"/>
          <w:color w:val="222222"/>
          <w:sz w:val="20"/>
          <w:szCs w:val="20"/>
        </w:rPr>
        <w:t xml:space="preserve">. </w:t>
      </w:r>
      <w:r w:rsidR="00E810D9" w:rsidRPr="00964CF5">
        <w:rPr>
          <w:rFonts w:eastAsia="Times New Roman" w:cs="Arial"/>
          <w:b/>
          <w:color w:val="222222"/>
          <w:sz w:val="20"/>
          <w:szCs w:val="20"/>
        </w:rPr>
        <w:t>Non è stato stabilito alcun nesso di causalità tra l’utilizzo di lesinurad e l’incidenza di eventi cardiovascolari, compresi i MACE</w:t>
      </w:r>
      <w:r w:rsidR="00E810D9">
        <w:rPr>
          <w:rFonts w:eastAsia="Times New Roman" w:cs="Arial"/>
          <w:b/>
          <w:color w:val="222222"/>
          <w:sz w:val="20"/>
          <w:szCs w:val="20"/>
        </w:rPr>
        <w:t xml:space="preserve"> </w:t>
      </w:r>
      <w:r w:rsidR="00E810D9">
        <w:rPr>
          <w:rFonts w:cs="Arial"/>
          <w:sz w:val="20"/>
          <w:szCs w:val="20"/>
        </w:rPr>
        <w:t>(</w:t>
      </w:r>
      <w:hyperlink w:anchor="Paragrafo6" w:history="1">
        <w:r w:rsidR="00E810D9" w:rsidRPr="00E810D9">
          <w:rPr>
            <w:rStyle w:val="Hyperlink"/>
            <w:rFonts w:cs="Arial"/>
            <w:sz w:val="20"/>
            <w:szCs w:val="20"/>
          </w:rPr>
          <w:t>Paragrafo 6</w:t>
        </w:r>
      </w:hyperlink>
      <w:r w:rsidR="00E810D9">
        <w:rPr>
          <w:rFonts w:cs="Arial"/>
          <w:sz w:val="20"/>
          <w:szCs w:val="20"/>
        </w:rPr>
        <w:t>)</w:t>
      </w:r>
      <w:r w:rsidR="00E810D9" w:rsidRPr="00964CF5">
        <w:rPr>
          <w:rFonts w:eastAsia="Times New Roman" w:cs="Arial"/>
          <w:b/>
          <w:color w:val="222222"/>
          <w:sz w:val="20"/>
          <w:szCs w:val="20"/>
        </w:rPr>
        <w:t>.</w:t>
      </w:r>
    </w:p>
    <w:p w14:paraId="259380B5" w14:textId="77777777" w:rsidR="00266277" w:rsidRPr="001B37A2" w:rsidRDefault="00266277" w:rsidP="001D59E9">
      <w:pPr>
        <w:widowControl w:val="0"/>
        <w:autoSpaceDE w:val="0"/>
        <w:autoSpaceDN w:val="0"/>
        <w:adjustRightInd w:val="0"/>
        <w:spacing w:line="360" w:lineRule="auto"/>
        <w:rPr>
          <w:rFonts w:ascii="Calibri" w:eastAsia="MS Mincho" w:hAnsi="Calibri" w:cs="Arial"/>
          <w:b/>
          <w:sz w:val="20"/>
          <w:szCs w:val="20"/>
          <w:lang w:eastAsia="en-GB" w:bidi="en-GB"/>
        </w:rPr>
      </w:pPr>
    </w:p>
    <w:p w14:paraId="4D32A5A3" w14:textId="046BEE9E" w:rsidR="00A03A81" w:rsidRPr="00221759" w:rsidRDefault="00897906" w:rsidP="001D59E9">
      <w:pPr>
        <w:widowControl w:val="0"/>
        <w:autoSpaceDE w:val="0"/>
        <w:autoSpaceDN w:val="0"/>
        <w:adjustRightInd w:val="0"/>
        <w:spacing w:line="360" w:lineRule="auto"/>
        <w:rPr>
          <w:rFonts w:cs="Arial"/>
          <w:sz w:val="20"/>
          <w:szCs w:val="20"/>
        </w:rPr>
      </w:pPr>
      <w:r w:rsidRPr="001D59E9">
        <w:rPr>
          <w:rFonts w:cs="Arial"/>
          <w:sz w:val="20"/>
          <w:szCs w:val="20"/>
        </w:rPr>
        <w:t>Per maggiori d</w:t>
      </w:r>
      <w:r w:rsidR="00E810D9">
        <w:rPr>
          <w:rFonts w:cs="Arial"/>
          <w:sz w:val="20"/>
          <w:szCs w:val="20"/>
        </w:rPr>
        <w:t>ettagli circa i tre studi sopra</w:t>
      </w:r>
      <w:r w:rsidRPr="001D59E9">
        <w:rPr>
          <w:rFonts w:cs="Arial"/>
          <w:sz w:val="20"/>
          <w:szCs w:val="20"/>
        </w:rPr>
        <w:t>citati si rimanda al</w:t>
      </w:r>
      <w:r w:rsidR="007045AE" w:rsidRPr="001D59E9">
        <w:rPr>
          <w:rFonts w:cs="Arial"/>
          <w:sz w:val="20"/>
          <w:szCs w:val="20"/>
        </w:rPr>
        <w:t xml:space="preserve"> successivo</w:t>
      </w:r>
      <w:r w:rsidR="00F8440F" w:rsidRPr="001D59E9">
        <w:rPr>
          <w:rFonts w:cs="Arial"/>
          <w:sz w:val="20"/>
          <w:szCs w:val="20"/>
        </w:rPr>
        <w:t xml:space="preserve"> </w:t>
      </w:r>
      <w:hyperlink w:anchor="Par5" w:history="1">
        <w:r w:rsidR="006018AC">
          <w:rPr>
            <w:rStyle w:val="Hyperlink"/>
            <w:rFonts w:cs="Arial"/>
            <w:sz w:val="20"/>
            <w:szCs w:val="20"/>
          </w:rPr>
          <w:t>P</w:t>
        </w:r>
        <w:r w:rsidR="00F8440F" w:rsidRPr="001D59E9">
          <w:rPr>
            <w:rStyle w:val="Hyperlink"/>
            <w:rFonts w:cs="Arial"/>
            <w:sz w:val="20"/>
            <w:szCs w:val="20"/>
          </w:rPr>
          <w:t>aragrafo 5</w:t>
        </w:r>
      </w:hyperlink>
      <w:r w:rsidR="00AF5C2F" w:rsidRPr="00AF5C2F">
        <w:rPr>
          <w:rStyle w:val="Hyperlink"/>
          <w:rFonts w:cs="Arial"/>
          <w:color w:val="auto"/>
          <w:sz w:val="20"/>
          <w:szCs w:val="20"/>
        </w:rPr>
        <w:t xml:space="preserve"> e </w:t>
      </w:r>
      <w:hyperlink w:anchor="Paragrafo6" w:history="1">
        <w:r w:rsidR="00AF5C2F" w:rsidRPr="00AF5C2F">
          <w:rPr>
            <w:rStyle w:val="Hyperlink"/>
            <w:rFonts w:cs="Arial"/>
            <w:sz w:val="20"/>
            <w:szCs w:val="20"/>
          </w:rPr>
          <w:t>Paragrafo 6</w:t>
        </w:r>
      </w:hyperlink>
      <w:r w:rsidR="00AF5C2F">
        <w:rPr>
          <w:rStyle w:val="Hyperlink"/>
          <w:rFonts w:cs="Arial"/>
          <w:sz w:val="20"/>
          <w:szCs w:val="20"/>
        </w:rPr>
        <w:t>.</w:t>
      </w:r>
    </w:p>
    <w:p w14:paraId="1C8CF931" w14:textId="77777777" w:rsidR="000D736D" w:rsidRDefault="000D736D" w:rsidP="00F8440F">
      <w:pPr>
        <w:pStyle w:val="ListParagraph"/>
        <w:spacing w:line="360" w:lineRule="auto"/>
        <w:ind w:left="0"/>
        <w:jc w:val="both"/>
        <w:rPr>
          <w:rFonts w:asciiTheme="minorHAnsi" w:hAnsiTheme="minorHAnsi" w:cs="Arial"/>
          <w:b/>
          <w:sz w:val="20"/>
          <w:szCs w:val="20"/>
          <w:u w:val="single"/>
        </w:rPr>
      </w:pPr>
    </w:p>
    <w:p w14:paraId="7F1496D6" w14:textId="77777777" w:rsidR="00D6675B" w:rsidRDefault="00D6675B" w:rsidP="00F8440F">
      <w:pPr>
        <w:pStyle w:val="ListParagraph"/>
        <w:spacing w:line="360" w:lineRule="auto"/>
        <w:ind w:left="0"/>
        <w:jc w:val="both"/>
        <w:rPr>
          <w:rFonts w:asciiTheme="minorHAnsi" w:hAnsiTheme="minorHAnsi" w:cs="Arial"/>
          <w:b/>
          <w:sz w:val="20"/>
          <w:szCs w:val="20"/>
          <w:u w:val="single"/>
        </w:rPr>
      </w:pPr>
    </w:p>
    <w:p w14:paraId="53EB82E8" w14:textId="77777777" w:rsidR="00D6675B" w:rsidRDefault="00D6675B" w:rsidP="00F8440F">
      <w:pPr>
        <w:pStyle w:val="ListParagraph"/>
        <w:spacing w:line="360" w:lineRule="auto"/>
        <w:ind w:left="0"/>
        <w:jc w:val="both"/>
        <w:rPr>
          <w:rFonts w:asciiTheme="minorHAnsi" w:hAnsiTheme="minorHAnsi" w:cs="Arial"/>
          <w:b/>
          <w:sz w:val="20"/>
          <w:szCs w:val="20"/>
          <w:u w:val="single"/>
        </w:rPr>
      </w:pPr>
    </w:p>
    <w:p w14:paraId="0D09DF2B" w14:textId="77777777" w:rsidR="00D6675B" w:rsidRPr="00221759" w:rsidRDefault="00D6675B" w:rsidP="00F8440F">
      <w:pPr>
        <w:pStyle w:val="ListParagraph"/>
        <w:spacing w:line="360" w:lineRule="auto"/>
        <w:ind w:left="0"/>
        <w:jc w:val="both"/>
        <w:rPr>
          <w:rFonts w:asciiTheme="minorHAnsi" w:hAnsiTheme="minorHAnsi" w:cs="Arial"/>
          <w:b/>
          <w:sz w:val="20"/>
          <w:szCs w:val="20"/>
          <w:u w:val="single"/>
        </w:rPr>
      </w:pPr>
    </w:p>
    <w:p w14:paraId="674081C6" w14:textId="4317C7F8" w:rsidR="00AA3386" w:rsidRPr="00531EFC" w:rsidRDefault="00531EFC" w:rsidP="00531EFC">
      <w:pPr>
        <w:pStyle w:val="Heading2"/>
        <w:jc w:val="left"/>
        <w:rPr>
          <w:rFonts w:asciiTheme="minorHAnsi" w:hAnsiTheme="minorHAnsi" w:cstheme="minorHAnsi"/>
          <w:i w:val="0"/>
          <w:sz w:val="20"/>
          <w:u w:val="single"/>
        </w:rPr>
      </w:pPr>
      <w:bookmarkStart w:id="95" w:name="_Toc473184559"/>
      <w:r w:rsidRPr="00531EFC">
        <w:rPr>
          <w:rFonts w:asciiTheme="minorHAnsi" w:hAnsiTheme="minorHAnsi" w:cstheme="minorHAnsi"/>
          <w:i w:val="0"/>
          <w:sz w:val="20"/>
        </w:rPr>
        <w:t xml:space="preserve">4.5 </w:t>
      </w:r>
      <w:r w:rsidR="00AA3386" w:rsidRPr="00531EFC">
        <w:rPr>
          <w:rFonts w:asciiTheme="minorHAnsi" w:hAnsiTheme="minorHAnsi" w:cstheme="minorHAnsi"/>
          <w:i w:val="0"/>
          <w:sz w:val="20"/>
          <w:u w:val="single"/>
        </w:rPr>
        <w:t>Ruolo del farmaco nella condizione morbosa considerata</w:t>
      </w:r>
      <w:bookmarkEnd w:id="95"/>
    </w:p>
    <w:p w14:paraId="3F53ED3C" w14:textId="77777777" w:rsidR="00B37B17" w:rsidRPr="00AA51F1" w:rsidRDefault="00B37B17" w:rsidP="00B37B17">
      <w:pPr>
        <w:pStyle w:val="NoSpacing"/>
        <w:rPr>
          <w:color w:val="A6A6A6"/>
          <w:sz w:val="20"/>
          <w:szCs w:val="20"/>
        </w:rPr>
      </w:pPr>
      <w:r w:rsidRPr="00AA51F1">
        <w:rPr>
          <w:color w:val="A6A6A6"/>
          <w:sz w:val="20"/>
          <w:szCs w:val="20"/>
        </w:rPr>
        <w:t>4.5a</w:t>
      </w:r>
      <w:r w:rsidRPr="00AA51F1">
        <w:rPr>
          <w:color w:val="A6A6A6"/>
          <w:sz w:val="20"/>
          <w:szCs w:val="20"/>
        </w:rPr>
        <w:tab/>
        <w:t>farmaco per una condizione morbosa che non ha ancora una terapia adeguata</w:t>
      </w:r>
    </w:p>
    <w:p w14:paraId="11C0E254" w14:textId="77777777" w:rsidR="00B37B17" w:rsidRPr="00AA51F1" w:rsidRDefault="00B37B17" w:rsidP="00B37B17">
      <w:pPr>
        <w:pStyle w:val="NoSpacing"/>
        <w:rPr>
          <w:b/>
          <w:sz w:val="20"/>
          <w:szCs w:val="20"/>
        </w:rPr>
      </w:pPr>
      <w:r w:rsidRPr="00AA51F1">
        <w:rPr>
          <w:b/>
          <w:sz w:val="20"/>
          <w:szCs w:val="20"/>
        </w:rPr>
        <w:t>4.5b</w:t>
      </w:r>
      <w:r w:rsidRPr="00AA51F1">
        <w:rPr>
          <w:b/>
          <w:sz w:val="20"/>
          <w:szCs w:val="20"/>
        </w:rPr>
        <w:tab/>
        <w:t>farmaco per una condizione morbosa per la quale la terapia finora disponibile non è adeguata in particolari sottogruppi di pazienti (specificare)</w:t>
      </w:r>
    </w:p>
    <w:p w14:paraId="2FB76797" w14:textId="77777777" w:rsidR="00B37B17" w:rsidRPr="00AA51F1" w:rsidRDefault="00B37B17" w:rsidP="00B37B17">
      <w:pPr>
        <w:pStyle w:val="NoSpacing"/>
        <w:rPr>
          <w:color w:val="A6A6A6"/>
          <w:sz w:val="20"/>
          <w:szCs w:val="20"/>
        </w:rPr>
      </w:pPr>
      <w:r w:rsidRPr="00AA51F1">
        <w:rPr>
          <w:color w:val="A6A6A6"/>
          <w:sz w:val="20"/>
          <w:szCs w:val="20"/>
        </w:rPr>
        <w:t>4.5c</w:t>
      </w:r>
      <w:r w:rsidRPr="00AA51F1">
        <w:rPr>
          <w:color w:val="A6A6A6"/>
          <w:sz w:val="20"/>
          <w:szCs w:val="20"/>
        </w:rPr>
        <w:tab/>
        <w:t>farmaco più efficace e/o più sicuro per una condizione morbosa per la quale esiste già una terapia adeguata</w:t>
      </w:r>
    </w:p>
    <w:p w14:paraId="2A0DD2BD" w14:textId="77777777" w:rsidR="00B37B17" w:rsidRPr="00AA51F1" w:rsidRDefault="00B37B17" w:rsidP="00B37B17">
      <w:pPr>
        <w:pStyle w:val="NoSpacing"/>
        <w:rPr>
          <w:color w:val="A6A6A6"/>
          <w:sz w:val="20"/>
          <w:szCs w:val="20"/>
        </w:rPr>
      </w:pPr>
      <w:r w:rsidRPr="00AA51F1">
        <w:rPr>
          <w:color w:val="A6A6A6"/>
          <w:sz w:val="20"/>
          <w:szCs w:val="20"/>
        </w:rPr>
        <w:t>4.5d</w:t>
      </w:r>
      <w:r w:rsidRPr="00AA51F1">
        <w:rPr>
          <w:color w:val="A6A6A6"/>
          <w:sz w:val="20"/>
          <w:szCs w:val="20"/>
        </w:rPr>
        <w:tab/>
        <w:t xml:space="preserve">farmaco più maneggevole o che consente una migliore compliance per una condizione morbosa per la quale esiste già una terapia adeguata </w:t>
      </w:r>
    </w:p>
    <w:p w14:paraId="6F5A700E" w14:textId="77777777" w:rsidR="00B37B17" w:rsidRPr="00AA51F1" w:rsidRDefault="00B37B17" w:rsidP="00B37B17">
      <w:pPr>
        <w:pStyle w:val="NoSpacing"/>
        <w:rPr>
          <w:color w:val="A6A6A6"/>
          <w:sz w:val="20"/>
          <w:szCs w:val="20"/>
        </w:rPr>
      </w:pPr>
      <w:r w:rsidRPr="00AA51F1">
        <w:rPr>
          <w:color w:val="A6A6A6"/>
          <w:sz w:val="20"/>
          <w:szCs w:val="20"/>
        </w:rPr>
        <w:t>4.5e</w:t>
      </w:r>
      <w:r w:rsidRPr="00AA51F1">
        <w:rPr>
          <w:color w:val="A6A6A6"/>
          <w:sz w:val="20"/>
          <w:szCs w:val="20"/>
        </w:rPr>
        <w:tab/>
        <w:t>farmaco di uguale efficacia rispetto ad altri esistenti</w:t>
      </w:r>
    </w:p>
    <w:p w14:paraId="30BF72E1" w14:textId="77777777" w:rsidR="00AA3386" w:rsidRPr="00AA51F1" w:rsidRDefault="00AA3386" w:rsidP="00373C68">
      <w:pPr>
        <w:pStyle w:val="ListParagraph"/>
        <w:spacing w:line="360" w:lineRule="auto"/>
        <w:ind w:left="0"/>
        <w:jc w:val="both"/>
        <w:rPr>
          <w:rFonts w:asciiTheme="minorHAnsi" w:hAnsiTheme="minorHAnsi" w:cstheme="minorHAnsi"/>
          <w:sz w:val="20"/>
          <w:szCs w:val="20"/>
          <w:u w:val="single"/>
        </w:rPr>
      </w:pPr>
    </w:p>
    <w:p w14:paraId="5AFE0EDF" w14:textId="52279D04" w:rsidR="00EC4AD6" w:rsidRDefault="00B37B17" w:rsidP="001B4E39">
      <w:pPr>
        <w:widowControl w:val="0"/>
        <w:autoSpaceDE w:val="0"/>
        <w:autoSpaceDN w:val="0"/>
        <w:adjustRightInd w:val="0"/>
        <w:spacing w:line="360" w:lineRule="auto"/>
        <w:rPr>
          <w:rFonts w:cstheme="minorHAnsi"/>
          <w:sz w:val="20"/>
          <w:szCs w:val="20"/>
        </w:rPr>
      </w:pPr>
      <w:r w:rsidRPr="00EC4AD6">
        <w:rPr>
          <w:rFonts w:cstheme="minorHAnsi"/>
          <w:sz w:val="20"/>
          <w:szCs w:val="20"/>
        </w:rPr>
        <w:t xml:space="preserve">Il trattamento della gotta ha come obiettivo principale il controllo dei livelli di </w:t>
      </w:r>
      <w:r w:rsidR="00EC4AD6">
        <w:rPr>
          <w:rFonts w:cstheme="minorHAnsi"/>
          <w:sz w:val="20"/>
          <w:szCs w:val="20"/>
        </w:rPr>
        <w:t>acido urico</w:t>
      </w:r>
      <w:r w:rsidR="00213A82">
        <w:rPr>
          <w:rFonts w:cstheme="minorHAnsi"/>
          <w:sz w:val="20"/>
          <w:szCs w:val="20"/>
        </w:rPr>
        <w:t xml:space="preserve"> nel sangue</w:t>
      </w:r>
      <w:r w:rsidRPr="00EC4AD6">
        <w:rPr>
          <w:rFonts w:cstheme="minorHAnsi"/>
          <w:sz w:val="20"/>
          <w:szCs w:val="20"/>
        </w:rPr>
        <w:t>, al fine di ridurre il rischio di complicanze cliniche. Le attuali linee guida europee (European League Against Rheumatism - EULAR</w:t>
      </w:r>
      <w:r w:rsidR="00A27F12" w:rsidRPr="00EC4AD6">
        <w:rPr>
          <w:rFonts w:cstheme="minorHAnsi"/>
          <w:sz w:val="20"/>
          <w:szCs w:val="20"/>
        </w:rPr>
        <w:t xml:space="preserve"> 2016</w:t>
      </w:r>
      <w:r w:rsidRPr="00EC4AD6">
        <w:rPr>
          <w:rFonts w:cstheme="minorHAnsi"/>
          <w:sz w:val="20"/>
          <w:szCs w:val="20"/>
        </w:rPr>
        <w:t xml:space="preserve">), </w:t>
      </w:r>
      <w:r w:rsidR="00A27F12" w:rsidRPr="00EC4AD6">
        <w:rPr>
          <w:rFonts w:cstheme="minorHAnsi"/>
          <w:sz w:val="20"/>
          <w:szCs w:val="20"/>
        </w:rPr>
        <w:t xml:space="preserve">in fase di recepimento </w:t>
      </w:r>
      <w:r w:rsidRPr="00EC4AD6">
        <w:rPr>
          <w:rFonts w:cstheme="minorHAnsi"/>
          <w:sz w:val="20"/>
          <w:szCs w:val="20"/>
        </w:rPr>
        <w:t>anche dalla Società Italiana di Reumatologia (SIR) raccomandano, per la gestione della gotta, il mantenimento dei livelli sierici di acido urico &lt;6mg/dl, o &lt;5mg/dl in caso di pazienti con forme severe di malattia (</w:t>
      </w:r>
      <w:r w:rsidR="00E54BFE">
        <w:rPr>
          <w:rFonts w:cstheme="minorHAnsi"/>
          <w:color w:val="0000FF"/>
          <w:sz w:val="20"/>
          <w:szCs w:val="20"/>
        </w:rPr>
        <w:t>Richette, 2016 (6)</w:t>
      </w:r>
      <w:r w:rsidRPr="00EC4AD6">
        <w:rPr>
          <w:rFonts w:cstheme="minorHAnsi"/>
          <w:sz w:val="20"/>
          <w:szCs w:val="20"/>
        </w:rPr>
        <w:t xml:space="preserve">). </w:t>
      </w:r>
    </w:p>
    <w:p w14:paraId="3E65F77E" w14:textId="434B89A5" w:rsidR="00213A82" w:rsidRPr="000808B5" w:rsidRDefault="00B37B17" w:rsidP="00213A82">
      <w:pPr>
        <w:widowControl w:val="0"/>
        <w:autoSpaceDE w:val="0"/>
        <w:autoSpaceDN w:val="0"/>
        <w:adjustRightInd w:val="0"/>
        <w:spacing w:line="360" w:lineRule="auto"/>
        <w:jc w:val="both"/>
        <w:rPr>
          <w:rFonts w:cs="Arial"/>
          <w:sz w:val="20"/>
          <w:szCs w:val="20"/>
        </w:rPr>
      </w:pPr>
      <w:r w:rsidRPr="00EC4AD6">
        <w:rPr>
          <w:rFonts w:cstheme="minorHAnsi"/>
          <w:sz w:val="20"/>
          <w:szCs w:val="20"/>
        </w:rPr>
        <w:t>Le Linee guida Italiane riportano molto chiaramente che: “</w:t>
      </w:r>
      <w:r w:rsidRPr="00EC4AD6">
        <w:rPr>
          <w:rFonts w:cstheme="minorHAnsi"/>
          <w:i/>
          <w:sz w:val="20"/>
          <w:szCs w:val="20"/>
        </w:rPr>
        <w:t xml:space="preserve">lo scopo della terapia ipouricemizzante è quello di promuovere la dissoluzione e di prevenire la formazione dei cristalli di UMS tessutali. Al tal fine, i livelli sierici di uricemia devono essere mantenuti al di sotto di 6 mg/dl, valore che riflette una concentrazione tissutale inferiore al punto di saturazione </w:t>
      </w:r>
      <w:r w:rsidR="00213A82" w:rsidRPr="000808B5">
        <w:rPr>
          <w:rFonts w:cs="Arial"/>
          <w:i/>
          <w:sz w:val="20"/>
          <w:szCs w:val="20"/>
        </w:rPr>
        <w:t>del</w:t>
      </w:r>
      <w:r w:rsidR="00213A82">
        <w:rPr>
          <w:rFonts w:cs="Arial"/>
          <w:i/>
          <w:sz w:val="20"/>
          <w:szCs w:val="20"/>
        </w:rPr>
        <w:t>l’urato monosodico (MSU)</w:t>
      </w:r>
      <w:r w:rsidR="00213A82" w:rsidRPr="000808B5">
        <w:rPr>
          <w:rFonts w:cs="Arial"/>
          <w:i/>
          <w:sz w:val="20"/>
          <w:szCs w:val="20"/>
          <w:vertAlign w:val="superscript"/>
        </w:rPr>
        <w:footnoteReference w:id="6"/>
      </w:r>
      <w:r w:rsidR="00213A82">
        <w:rPr>
          <w:rFonts w:cs="Arial"/>
          <w:sz w:val="20"/>
          <w:szCs w:val="20"/>
        </w:rPr>
        <w:t xml:space="preserve"> (</w:t>
      </w:r>
      <w:r w:rsidR="00213A82" w:rsidRPr="00534AEB">
        <w:rPr>
          <w:rFonts w:cs="Arial"/>
          <w:color w:val="0000FF"/>
          <w:sz w:val="20"/>
          <w:szCs w:val="20"/>
        </w:rPr>
        <w:t>Manara, 2013</w:t>
      </w:r>
      <w:r w:rsidR="00213A82">
        <w:rPr>
          <w:rFonts w:cs="Arial"/>
          <w:color w:val="0000FF"/>
          <w:sz w:val="20"/>
          <w:szCs w:val="20"/>
        </w:rPr>
        <w:t xml:space="preserve"> (7)</w:t>
      </w:r>
      <w:r w:rsidR="00213A82">
        <w:rPr>
          <w:rFonts w:cs="Arial"/>
          <w:sz w:val="20"/>
          <w:szCs w:val="20"/>
        </w:rPr>
        <w:t xml:space="preserve">). </w:t>
      </w:r>
    </w:p>
    <w:p w14:paraId="6A513852" w14:textId="391F0540" w:rsidR="00B37B17" w:rsidRPr="00EC4AD6" w:rsidRDefault="00B37B17" w:rsidP="001B4E39">
      <w:pPr>
        <w:widowControl w:val="0"/>
        <w:autoSpaceDE w:val="0"/>
        <w:autoSpaceDN w:val="0"/>
        <w:adjustRightInd w:val="0"/>
        <w:spacing w:line="360" w:lineRule="auto"/>
        <w:rPr>
          <w:rFonts w:cstheme="minorHAnsi"/>
          <w:sz w:val="20"/>
          <w:szCs w:val="20"/>
        </w:rPr>
      </w:pPr>
      <w:r w:rsidRPr="00EC4AD6">
        <w:rPr>
          <w:rFonts w:cstheme="minorHAnsi"/>
          <w:sz w:val="20"/>
          <w:szCs w:val="20"/>
        </w:rPr>
        <w:t xml:space="preserve">È dimostrato che la progressione della malattia è correlata ai livelli di acido urico sierico: uricemie più basse portano ad un minor numero di riacutizzazioni e una più rapida risoluzione dei tofi. Inoltre, mantenere l’uricemia &lt;6 mg/dl determina un vantaggio clinico che si accumula nel tempo, misurabile in termini di prevenzione delle riacutizzazioni e inversione del deposito di cristalli di </w:t>
      </w:r>
      <w:r w:rsidR="00213A82">
        <w:rPr>
          <w:rFonts w:cstheme="minorHAnsi"/>
          <w:sz w:val="20"/>
          <w:szCs w:val="20"/>
        </w:rPr>
        <w:t>MSU</w:t>
      </w:r>
      <w:r w:rsidRPr="00EC4AD6">
        <w:rPr>
          <w:rFonts w:cstheme="minorHAnsi"/>
          <w:sz w:val="20"/>
          <w:szCs w:val="20"/>
        </w:rPr>
        <w:t xml:space="preserve"> nei tessuti (</w:t>
      </w:r>
      <w:r w:rsidR="00231A40">
        <w:rPr>
          <w:rFonts w:cstheme="minorHAnsi"/>
          <w:color w:val="0000FF"/>
          <w:sz w:val="20"/>
          <w:szCs w:val="20"/>
        </w:rPr>
        <w:t>Terkeltaub, 2013 (14)</w:t>
      </w:r>
      <w:r w:rsidR="00633F44">
        <w:rPr>
          <w:rFonts w:cstheme="minorHAnsi"/>
          <w:color w:val="0000FF"/>
          <w:sz w:val="20"/>
          <w:szCs w:val="20"/>
        </w:rPr>
        <w:t xml:space="preserve">; </w:t>
      </w:r>
      <w:r w:rsidR="005469EB">
        <w:rPr>
          <w:rFonts w:cstheme="minorHAnsi"/>
          <w:color w:val="0000FF"/>
          <w:sz w:val="20"/>
          <w:szCs w:val="20"/>
        </w:rPr>
        <w:t xml:space="preserve">Shoji, 2004 (17); </w:t>
      </w:r>
      <w:r w:rsidR="00D14337">
        <w:rPr>
          <w:rFonts w:cstheme="minorHAnsi"/>
          <w:color w:val="0000FF"/>
          <w:sz w:val="20"/>
          <w:szCs w:val="20"/>
        </w:rPr>
        <w:t xml:space="preserve">Becker, 2009 (37); </w:t>
      </w:r>
      <w:r w:rsidR="0087651E">
        <w:rPr>
          <w:rFonts w:cstheme="minorHAnsi"/>
          <w:color w:val="0000FF"/>
          <w:sz w:val="20"/>
          <w:szCs w:val="20"/>
        </w:rPr>
        <w:t>Li-Yu, 2001 (112</w:t>
      </w:r>
      <w:r w:rsidR="008E6BDD">
        <w:rPr>
          <w:rFonts w:cstheme="minorHAnsi"/>
          <w:color w:val="0000FF"/>
          <w:sz w:val="20"/>
          <w:szCs w:val="20"/>
        </w:rPr>
        <w:t>)</w:t>
      </w:r>
      <w:r w:rsidR="00D14337">
        <w:rPr>
          <w:rFonts w:cstheme="minorHAnsi"/>
          <w:color w:val="0000FF"/>
          <w:sz w:val="20"/>
          <w:szCs w:val="20"/>
        </w:rPr>
        <w:t xml:space="preserve">; </w:t>
      </w:r>
      <w:r w:rsidR="0087651E">
        <w:rPr>
          <w:rFonts w:cstheme="minorHAnsi"/>
          <w:color w:val="0000FF"/>
          <w:sz w:val="20"/>
          <w:szCs w:val="20"/>
        </w:rPr>
        <w:t>Pascual, 2007 (113</w:t>
      </w:r>
      <w:r w:rsidR="00F64F56">
        <w:rPr>
          <w:rFonts w:cstheme="minorHAnsi"/>
          <w:color w:val="0000FF"/>
          <w:sz w:val="20"/>
          <w:szCs w:val="20"/>
        </w:rPr>
        <w:t>)</w:t>
      </w:r>
      <w:r w:rsidR="00D14337">
        <w:rPr>
          <w:rFonts w:cstheme="minorHAnsi"/>
          <w:color w:val="0000FF"/>
          <w:sz w:val="20"/>
          <w:szCs w:val="20"/>
        </w:rPr>
        <w:t xml:space="preserve">; </w:t>
      </w:r>
      <w:r w:rsidR="009752F0">
        <w:rPr>
          <w:rFonts w:cstheme="minorHAnsi"/>
          <w:color w:val="0000FF"/>
          <w:sz w:val="20"/>
          <w:szCs w:val="20"/>
        </w:rPr>
        <w:t>Perez-Ruiz</w:t>
      </w:r>
      <w:r w:rsidR="0087651E">
        <w:rPr>
          <w:rFonts w:cstheme="minorHAnsi"/>
          <w:color w:val="0000FF"/>
          <w:sz w:val="20"/>
          <w:szCs w:val="20"/>
        </w:rPr>
        <w:t>, 2002 (114</w:t>
      </w:r>
      <w:r w:rsidR="00D14337">
        <w:rPr>
          <w:rFonts w:cstheme="minorHAnsi"/>
          <w:color w:val="0000FF"/>
          <w:sz w:val="20"/>
          <w:szCs w:val="20"/>
        </w:rPr>
        <w:t>)</w:t>
      </w:r>
      <w:r w:rsidRPr="00EC4AD6">
        <w:rPr>
          <w:rFonts w:cstheme="minorHAnsi"/>
          <w:sz w:val="20"/>
          <w:szCs w:val="20"/>
        </w:rPr>
        <w:t>).</w:t>
      </w:r>
    </w:p>
    <w:p w14:paraId="48EA9A33" w14:textId="13C66AA9" w:rsidR="00B37B17" w:rsidRDefault="00B37B17" w:rsidP="001B4E39">
      <w:pPr>
        <w:widowControl w:val="0"/>
        <w:autoSpaceDE w:val="0"/>
        <w:autoSpaceDN w:val="0"/>
        <w:adjustRightInd w:val="0"/>
        <w:spacing w:line="360" w:lineRule="auto"/>
        <w:rPr>
          <w:rFonts w:cstheme="minorHAnsi"/>
          <w:sz w:val="20"/>
          <w:szCs w:val="20"/>
        </w:rPr>
      </w:pPr>
      <w:r w:rsidRPr="00EC4AD6">
        <w:rPr>
          <w:rFonts w:cstheme="minorHAnsi"/>
          <w:sz w:val="20"/>
          <w:szCs w:val="20"/>
        </w:rPr>
        <w:t>La gotta riduce la qualità di vita dei pazienti: la letteratura internazionale ed Italiana ha dimostrato che le caratteristiche della malattia influenzano la QoL e che i pazienti con gotta non adeguatamente gestiti hanno un livello di QoL inferiore rispetto ai pazienti con gotta ben controllata farmacologicamente (</w:t>
      </w:r>
      <w:r w:rsidR="0083674F">
        <w:rPr>
          <w:rFonts w:cs="Arial"/>
          <w:color w:val="0000FF"/>
          <w:sz w:val="20"/>
          <w:szCs w:val="20"/>
        </w:rPr>
        <w:t>Scirè, 2013 (28)</w:t>
      </w:r>
      <w:r w:rsidR="00AD27DF" w:rsidRPr="00386D3F">
        <w:rPr>
          <w:rFonts w:cs="Arial"/>
          <w:color w:val="0000FF"/>
          <w:sz w:val="20"/>
          <w:szCs w:val="20"/>
        </w:rPr>
        <w:t xml:space="preserve">; </w:t>
      </w:r>
      <w:r w:rsidR="0083674F">
        <w:rPr>
          <w:rFonts w:cs="Arial"/>
          <w:color w:val="0000FF"/>
          <w:sz w:val="20"/>
          <w:szCs w:val="20"/>
        </w:rPr>
        <w:t>Khanna, 2012 (29)</w:t>
      </w:r>
      <w:r w:rsidR="00AD27DF" w:rsidRPr="00386D3F">
        <w:rPr>
          <w:rFonts w:cs="Arial"/>
          <w:color w:val="0000FF"/>
          <w:sz w:val="20"/>
          <w:szCs w:val="20"/>
        </w:rPr>
        <w:t xml:space="preserve">; </w:t>
      </w:r>
      <w:r w:rsidR="0083674F">
        <w:rPr>
          <w:rFonts w:cs="Arial"/>
          <w:color w:val="0000FF"/>
          <w:sz w:val="20"/>
          <w:szCs w:val="20"/>
        </w:rPr>
        <w:t>Lee, 2009 (30)</w:t>
      </w:r>
      <w:r w:rsidR="00AD27DF" w:rsidRPr="00386D3F">
        <w:rPr>
          <w:rFonts w:cs="Arial"/>
          <w:color w:val="0000FF"/>
          <w:sz w:val="20"/>
          <w:szCs w:val="20"/>
        </w:rPr>
        <w:t xml:space="preserve">; </w:t>
      </w:r>
      <w:r w:rsidR="0083674F">
        <w:rPr>
          <w:rFonts w:cs="Arial"/>
          <w:color w:val="0000FF"/>
          <w:sz w:val="20"/>
          <w:szCs w:val="20"/>
        </w:rPr>
        <w:t>Roddy, 2007 (31)</w:t>
      </w:r>
      <w:r w:rsidR="00AD27DF">
        <w:rPr>
          <w:rFonts w:cs="Arial"/>
          <w:color w:val="0000FF"/>
          <w:sz w:val="20"/>
          <w:szCs w:val="20"/>
        </w:rPr>
        <w:t xml:space="preserve">; </w:t>
      </w:r>
      <w:r w:rsidR="00EC3329">
        <w:rPr>
          <w:rFonts w:cs="Arial"/>
          <w:color w:val="0000FF"/>
          <w:sz w:val="20"/>
          <w:szCs w:val="20"/>
        </w:rPr>
        <w:t>Kleinman, 2007 (92</w:t>
      </w:r>
      <w:r w:rsidR="00156E01">
        <w:rPr>
          <w:rFonts w:cs="Arial"/>
          <w:color w:val="0000FF"/>
          <w:sz w:val="20"/>
          <w:szCs w:val="20"/>
        </w:rPr>
        <w:t>)</w:t>
      </w:r>
      <w:r w:rsidR="00AD27DF">
        <w:rPr>
          <w:rFonts w:cs="Arial"/>
          <w:color w:val="0000FF"/>
          <w:sz w:val="20"/>
          <w:szCs w:val="20"/>
        </w:rPr>
        <w:t xml:space="preserve">; </w:t>
      </w:r>
      <w:r w:rsidR="00EC3329">
        <w:rPr>
          <w:rFonts w:cs="Arial"/>
          <w:color w:val="0000FF"/>
          <w:sz w:val="20"/>
          <w:szCs w:val="20"/>
        </w:rPr>
        <w:t>Wood, 2016 (93</w:t>
      </w:r>
      <w:r w:rsidR="00156E01">
        <w:rPr>
          <w:rFonts w:cs="Arial"/>
          <w:color w:val="0000FF"/>
          <w:sz w:val="20"/>
          <w:szCs w:val="20"/>
        </w:rPr>
        <w:t>)</w:t>
      </w:r>
      <w:r w:rsidR="00AD27DF">
        <w:rPr>
          <w:rFonts w:cs="Arial"/>
          <w:color w:val="0000FF"/>
          <w:sz w:val="20"/>
          <w:szCs w:val="20"/>
        </w:rPr>
        <w:t>;</w:t>
      </w:r>
      <w:r w:rsidR="00AD27DF" w:rsidRPr="00AD27DF">
        <w:rPr>
          <w:rFonts w:cs="Arial"/>
          <w:color w:val="0000FF"/>
          <w:sz w:val="20"/>
          <w:szCs w:val="20"/>
        </w:rPr>
        <w:t xml:space="preserve"> </w:t>
      </w:r>
      <w:r w:rsidR="00EC3329">
        <w:rPr>
          <w:rFonts w:cs="Arial"/>
          <w:color w:val="0000FF"/>
          <w:sz w:val="20"/>
          <w:szCs w:val="20"/>
        </w:rPr>
        <w:t>Van Vlaenderen, 2008 (94</w:t>
      </w:r>
      <w:r w:rsidR="00156E01">
        <w:rPr>
          <w:rFonts w:cs="Arial"/>
          <w:color w:val="0000FF"/>
          <w:sz w:val="20"/>
          <w:szCs w:val="20"/>
        </w:rPr>
        <w:t>)</w:t>
      </w:r>
      <w:r w:rsidR="009B51CD">
        <w:rPr>
          <w:rFonts w:cs="Arial"/>
          <w:color w:val="0000FF"/>
          <w:sz w:val="20"/>
          <w:szCs w:val="20"/>
        </w:rPr>
        <w:t>)</w:t>
      </w:r>
      <w:r w:rsidRPr="00EC4AD6">
        <w:rPr>
          <w:rFonts w:cstheme="minorHAnsi"/>
          <w:sz w:val="20"/>
          <w:szCs w:val="20"/>
        </w:rPr>
        <w:t xml:space="preserve">. </w:t>
      </w:r>
    </w:p>
    <w:p w14:paraId="641AB4AE" w14:textId="77777777" w:rsidR="00A93EE6" w:rsidRDefault="00A93EE6" w:rsidP="001B4E39">
      <w:pPr>
        <w:widowControl w:val="0"/>
        <w:autoSpaceDE w:val="0"/>
        <w:autoSpaceDN w:val="0"/>
        <w:adjustRightInd w:val="0"/>
        <w:spacing w:line="360" w:lineRule="auto"/>
        <w:rPr>
          <w:rFonts w:cstheme="minorHAnsi"/>
          <w:b/>
          <w:bCs/>
          <w:sz w:val="20"/>
          <w:szCs w:val="20"/>
        </w:rPr>
      </w:pPr>
    </w:p>
    <w:p w14:paraId="401F9D45" w14:textId="16002221" w:rsidR="00AD27DF" w:rsidRDefault="00A93EE6" w:rsidP="001B4E39">
      <w:pPr>
        <w:widowControl w:val="0"/>
        <w:autoSpaceDE w:val="0"/>
        <w:autoSpaceDN w:val="0"/>
        <w:adjustRightInd w:val="0"/>
        <w:spacing w:line="360" w:lineRule="auto"/>
        <w:rPr>
          <w:rFonts w:cstheme="minorHAnsi"/>
          <w:sz w:val="20"/>
          <w:szCs w:val="20"/>
        </w:rPr>
      </w:pPr>
      <w:r>
        <w:rPr>
          <w:rFonts w:cstheme="minorHAnsi"/>
          <w:b/>
          <w:bCs/>
          <w:sz w:val="20"/>
          <w:szCs w:val="20"/>
        </w:rPr>
        <w:t xml:space="preserve">Come confermato dall’esperto prof </w:t>
      </w:r>
      <w:r w:rsidR="00753598">
        <w:rPr>
          <w:rFonts w:cstheme="minorHAnsi"/>
          <w:b/>
          <w:bCs/>
          <w:sz w:val="20"/>
          <w:szCs w:val="20"/>
        </w:rPr>
        <w:t>Punzi Direttore U.O.C. di Reumatologia, Università degli Studi di Padova</w:t>
      </w:r>
      <w:r>
        <w:rPr>
          <w:rFonts w:cstheme="minorHAnsi"/>
          <w:b/>
          <w:bCs/>
          <w:sz w:val="20"/>
          <w:szCs w:val="20"/>
        </w:rPr>
        <w:t xml:space="preserve"> (</w:t>
      </w:r>
      <w:hyperlink w:anchor="Allegato1" w:history="1">
        <w:r w:rsidRPr="00A93EE6">
          <w:rPr>
            <w:rStyle w:val="Hyperlink"/>
            <w:rFonts w:cstheme="minorHAnsi"/>
            <w:b/>
            <w:bCs/>
            <w:sz w:val="20"/>
            <w:szCs w:val="20"/>
          </w:rPr>
          <w:t>Allegato 1</w:t>
        </w:r>
      </w:hyperlink>
      <w:r>
        <w:rPr>
          <w:rFonts w:cstheme="minorHAnsi"/>
          <w:b/>
          <w:bCs/>
          <w:sz w:val="20"/>
          <w:szCs w:val="20"/>
        </w:rPr>
        <w:t xml:space="preserve">), </w:t>
      </w:r>
      <w:r w:rsidR="00FD4EB9">
        <w:rPr>
          <w:rFonts w:cstheme="minorHAnsi"/>
          <w:b/>
          <w:bCs/>
          <w:sz w:val="20"/>
          <w:szCs w:val="20"/>
        </w:rPr>
        <w:t>“</w:t>
      </w:r>
      <w:r>
        <w:rPr>
          <w:rFonts w:cstheme="minorHAnsi"/>
          <w:b/>
          <w:bCs/>
          <w:sz w:val="20"/>
          <w:szCs w:val="20"/>
        </w:rPr>
        <w:t>la g</w:t>
      </w:r>
      <w:r w:rsidRPr="00A93EE6">
        <w:rPr>
          <w:rFonts w:cstheme="minorHAnsi"/>
          <w:b/>
          <w:bCs/>
          <w:sz w:val="20"/>
          <w:szCs w:val="20"/>
        </w:rPr>
        <w:t>otta è sicuramente la malattia articolare meglio trattabile ma la peggio trattata. Ciò vuol dire che è sottostimata e sottovalutata, sia dai pazienti che dagli stessi medici, e conseguentemente non curata, nonostante la disponibilità di farmaci potenzialmente efficaci. Il paziente deve essere preso in carico globalmente, considerando tutti i vari aspetti, incluso lo stile di vita, ma deve essere informato sullo scopo e sui vantaggi della terapia</w:t>
      </w:r>
      <w:r w:rsidR="00FD4EB9">
        <w:rPr>
          <w:rFonts w:cstheme="minorHAnsi"/>
          <w:b/>
          <w:bCs/>
          <w:sz w:val="20"/>
          <w:szCs w:val="20"/>
        </w:rPr>
        <w:t>”.</w:t>
      </w:r>
    </w:p>
    <w:p w14:paraId="1A75ADF2" w14:textId="2CBCD420" w:rsidR="00DF7574" w:rsidRPr="00C579D3" w:rsidRDefault="00DF7574" w:rsidP="001B4E39">
      <w:pPr>
        <w:widowControl w:val="0"/>
        <w:autoSpaceDE w:val="0"/>
        <w:autoSpaceDN w:val="0"/>
        <w:adjustRightInd w:val="0"/>
        <w:spacing w:line="360" w:lineRule="auto"/>
        <w:rPr>
          <w:rFonts w:cstheme="minorHAnsi"/>
          <w:sz w:val="20"/>
          <w:szCs w:val="20"/>
        </w:rPr>
      </w:pPr>
      <w:r w:rsidRPr="00471BF0">
        <w:rPr>
          <w:rFonts w:cstheme="minorHAnsi"/>
          <w:sz w:val="20"/>
          <w:szCs w:val="20"/>
        </w:rPr>
        <w:t>La gestione ottimale della</w:t>
      </w:r>
      <w:r w:rsidR="00AA16C7">
        <w:rPr>
          <w:rFonts w:cstheme="minorHAnsi"/>
          <w:sz w:val="20"/>
          <w:szCs w:val="20"/>
        </w:rPr>
        <w:t xml:space="preserve"> patologia</w:t>
      </w:r>
      <w:r w:rsidRPr="00471BF0">
        <w:rPr>
          <w:rFonts w:cstheme="minorHAnsi"/>
          <w:sz w:val="20"/>
          <w:szCs w:val="20"/>
        </w:rPr>
        <w:t xml:space="preserve"> prevede l’utilizzo di misure non farmacologiche (esempio, dieta e modifiche allo stile di vita) e misure farmacologiche attuate in funzione dei fattori di rischio e della fase clinica della patologia (</w:t>
      </w:r>
      <w:r w:rsidR="00E54BFE">
        <w:rPr>
          <w:rFonts w:cstheme="minorHAnsi"/>
          <w:color w:val="0000FF"/>
          <w:sz w:val="20"/>
          <w:szCs w:val="20"/>
        </w:rPr>
        <w:t>Richette, 2016 (6)</w:t>
      </w:r>
      <w:r w:rsidRPr="002437AC">
        <w:rPr>
          <w:rFonts w:cstheme="minorHAnsi"/>
          <w:color w:val="0000FF"/>
          <w:sz w:val="20"/>
          <w:szCs w:val="20"/>
        </w:rPr>
        <w:t>; Manara, 2013 (7)</w:t>
      </w:r>
      <w:r w:rsidRPr="00471BF0">
        <w:rPr>
          <w:rFonts w:cstheme="minorHAnsi"/>
          <w:sz w:val="20"/>
          <w:szCs w:val="20"/>
        </w:rPr>
        <w:t xml:space="preserve">). </w:t>
      </w:r>
      <w:r w:rsidR="00471BF0" w:rsidRPr="00471BF0">
        <w:rPr>
          <w:rFonts w:cstheme="minorHAnsi"/>
          <w:sz w:val="20"/>
          <w:szCs w:val="20"/>
        </w:rPr>
        <w:t xml:space="preserve">Come già </w:t>
      </w:r>
      <w:r w:rsidR="00471BF0">
        <w:rPr>
          <w:rFonts w:cstheme="minorHAnsi"/>
          <w:sz w:val="20"/>
          <w:szCs w:val="20"/>
        </w:rPr>
        <w:t>riportato precedentemente</w:t>
      </w:r>
      <w:r w:rsidR="00471BF0" w:rsidRPr="00471BF0">
        <w:rPr>
          <w:rFonts w:cstheme="minorHAnsi"/>
          <w:sz w:val="20"/>
          <w:szCs w:val="20"/>
        </w:rPr>
        <w:t>, sebbene le riacutizzazioni siano espressione tipica dell’aumentata attività della malattia (</w:t>
      </w:r>
      <w:r w:rsidR="002437AC" w:rsidRPr="002437AC">
        <w:rPr>
          <w:rFonts w:cstheme="minorHAnsi"/>
          <w:color w:val="0000FF"/>
          <w:sz w:val="20"/>
          <w:szCs w:val="20"/>
        </w:rPr>
        <w:t>Jordan, 2007 (</w:t>
      </w:r>
      <w:r w:rsidR="00A123A8">
        <w:rPr>
          <w:rFonts w:cstheme="minorHAnsi"/>
          <w:color w:val="0000FF"/>
          <w:sz w:val="20"/>
          <w:szCs w:val="20"/>
        </w:rPr>
        <w:t>96</w:t>
      </w:r>
      <w:r w:rsidR="00471BF0" w:rsidRPr="002437AC">
        <w:rPr>
          <w:rFonts w:cstheme="minorHAnsi"/>
          <w:color w:val="0000FF"/>
          <w:sz w:val="20"/>
          <w:szCs w:val="20"/>
        </w:rPr>
        <w:t>)</w:t>
      </w:r>
      <w:r w:rsidR="002437AC">
        <w:rPr>
          <w:rFonts w:cstheme="minorHAnsi"/>
          <w:sz w:val="20"/>
          <w:szCs w:val="20"/>
        </w:rPr>
        <w:t>)</w:t>
      </w:r>
      <w:r w:rsidR="00471BF0" w:rsidRPr="00471BF0">
        <w:rPr>
          <w:rFonts w:cstheme="minorHAnsi"/>
          <w:sz w:val="20"/>
          <w:szCs w:val="20"/>
        </w:rPr>
        <w:t xml:space="preserve">, </w:t>
      </w:r>
      <w:r w:rsidR="00471BF0">
        <w:rPr>
          <w:rFonts w:cstheme="minorHAnsi"/>
          <w:sz w:val="20"/>
          <w:szCs w:val="20"/>
        </w:rPr>
        <w:t>i</w:t>
      </w:r>
      <w:r w:rsidR="00471BF0" w:rsidRPr="00471BF0">
        <w:rPr>
          <w:rFonts w:cstheme="minorHAnsi"/>
          <w:sz w:val="20"/>
          <w:szCs w:val="20"/>
        </w:rPr>
        <w:t xml:space="preserve"> benefici degli interventi farmacologici </w:t>
      </w:r>
      <w:r w:rsidR="00471BF0">
        <w:rPr>
          <w:rFonts w:cstheme="minorHAnsi"/>
          <w:sz w:val="20"/>
          <w:szCs w:val="20"/>
        </w:rPr>
        <w:t xml:space="preserve">includono la riduzione </w:t>
      </w:r>
      <w:r w:rsidR="00AA16C7">
        <w:rPr>
          <w:rFonts w:cstheme="minorHAnsi"/>
          <w:sz w:val="20"/>
          <w:szCs w:val="20"/>
        </w:rPr>
        <w:t xml:space="preserve">ai livelli target </w:t>
      </w:r>
      <w:r w:rsidR="00471BF0">
        <w:rPr>
          <w:rFonts w:cstheme="minorHAnsi"/>
          <w:sz w:val="20"/>
          <w:szCs w:val="20"/>
        </w:rPr>
        <w:t>dei</w:t>
      </w:r>
      <w:r w:rsidR="00471BF0" w:rsidRPr="00471BF0">
        <w:rPr>
          <w:rFonts w:cstheme="minorHAnsi"/>
          <w:sz w:val="20"/>
          <w:szCs w:val="20"/>
        </w:rPr>
        <w:t xml:space="preserve"> livelli di sUA accumulat</w:t>
      </w:r>
      <w:r w:rsidR="00471BF0">
        <w:rPr>
          <w:rFonts w:cstheme="minorHAnsi"/>
          <w:sz w:val="20"/>
          <w:szCs w:val="20"/>
        </w:rPr>
        <w:t>i</w:t>
      </w:r>
      <w:r w:rsidR="00471BF0" w:rsidRPr="00471BF0">
        <w:rPr>
          <w:rFonts w:cstheme="minorHAnsi"/>
          <w:sz w:val="20"/>
          <w:szCs w:val="20"/>
        </w:rPr>
        <w:t xml:space="preserve"> nel tempo</w:t>
      </w:r>
      <w:r w:rsidR="00471BF0">
        <w:rPr>
          <w:rFonts w:cstheme="minorHAnsi"/>
          <w:sz w:val="20"/>
          <w:szCs w:val="20"/>
        </w:rPr>
        <w:t xml:space="preserve">, </w:t>
      </w:r>
      <w:r w:rsidR="00471BF0" w:rsidRPr="00471BF0">
        <w:rPr>
          <w:rFonts w:cstheme="minorHAnsi"/>
          <w:sz w:val="20"/>
          <w:szCs w:val="20"/>
        </w:rPr>
        <w:t xml:space="preserve">la riduzione generale dell’impatto dovuto ai cristalli di </w:t>
      </w:r>
      <w:r w:rsidR="00471BF0">
        <w:rPr>
          <w:rFonts w:cstheme="minorHAnsi"/>
          <w:sz w:val="20"/>
          <w:szCs w:val="20"/>
        </w:rPr>
        <w:t>M</w:t>
      </w:r>
      <w:r w:rsidR="00471BF0" w:rsidRPr="00471BF0">
        <w:rPr>
          <w:rFonts w:cstheme="minorHAnsi"/>
          <w:sz w:val="20"/>
          <w:szCs w:val="20"/>
        </w:rPr>
        <w:t xml:space="preserve">SU, </w:t>
      </w:r>
      <w:r w:rsidR="002437AC">
        <w:rPr>
          <w:rFonts w:cstheme="minorHAnsi"/>
          <w:sz w:val="20"/>
          <w:szCs w:val="20"/>
        </w:rPr>
        <w:t xml:space="preserve">la </w:t>
      </w:r>
      <w:r w:rsidR="00471BF0" w:rsidRPr="00471BF0">
        <w:rPr>
          <w:rFonts w:cstheme="minorHAnsi"/>
          <w:sz w:val="20"/>
          <w:szCs w:val="20"/>
        </w:rPr>
        <w:t xml:space="preserve">prevenzione della formazione di tofi, </w:t>
      </w:r>
      <w:r w:rsidR="002437AC">
        <w:rPr>
          <w:rFonts w:cstheme="minorHAnsi"/>
          <w:sz w:val="20"/>
          <w:szCs w:val="20"/>
        </w:rPr>
        <w:t xml:space="preserve">la riduzione del </w:t>
      </w:r>
      <w:r w:rsidR="00471BF0" w:rsidRPr="00471BF0">
        <w:rPr>
          <w:rFonts w:cstheme="minorHAnsi"/>
          <w:sz w:val="20"/>
          <w:szCs w:val="20"/>
        </w:rPr>
        <w:t>rischio</w:t>
      </w:r>
      <w:r w:rsidR="00495D8A">
        <w:rPr>
          <w:rFonts w:cstheme="minorHAnsi"/>
          <w:sz w:val="20"/>
          <w:szCs w:val="20"/>
        </w:rPr>
        <w:t xml:space="preserve"> di riacu</w:t>
      </w:r>
      <w:r w:rsidR="00471BF0" w:rsidRPr="00471BF0">
        <w:rPr>
          <w:rFonts w:cstheme="minorHAnsi"/>
          <w:sz w:val="20"/>
          <w:szCs w:val="20"/>
        </w:rPr>
        <w:t xml:space="preserve">tizzazioni e </w:t>
      </w:r>
      <w:r w:rsidR="002437AC">
        <w:rPr>
          <w:rFonts w:cstheme="minorHAnsi"/>
          <w:sz w:val="20"/>
          <w:szCs w:val="20"/>
        </w:rPr>
        <w:t xml:space="preserve">del </w:t>
      </w:r>
      <w:r w:rsidR="00471BF0" w:rsidRPr="00471BF0">
        <w:rPr>
          <w:rFonts w:cstheme="minorHAnsi"/>
          <w:sz w:val="20"/>
          <w:szCs w:val="20"/>
        </w:rPr>
        <w:t xml:space="preserve">rischio di morbidità correlate all’iperuricemia (per esempio </w:t>
      </w:r>
      <w:r w:rsidR="00BA2AD9">
        <w:rPr>
          <w:rFonts w:cstheme="minorHAnsi"/>
          <w:sz w:val="20"/>
          <w:szCs w:val="20"/>
        </w:rPr>
        <w:t>nefropatia</w:t>
      </w:r>
      <w:r w:rsidR="00471BF0">
        <w:rPr>
          <w:rFonts w:cstheme="minorHAnsi"/>
          <w:sz w:val="20"/>
          <w:szCs w:val="20"/>
        </w:rPr>
        <w:t xml:space="preserve"> </w:t>
      </w:r>
      <w:r w:rsidR="00BA2AD9">
        <w:rPr>
          <w:rFonts w:cstheme="minorHAnsi"/>
          <w:sz w:val="20"/>
          <w:szCs w:val="20"/>
        </w:rPr>
        <w:t>cronica</w:t>
      </w:r>
      <w:r w:rsidR="00471BF0">
        <w:rPr>
          <w:rFonts w:cstheme="minorHAnsi"/>
          <w:sz w:val="20"/>
          <w:szCs w:val="20"/>
        </w:rPr>
        <w:t xml:space="preserve"> e </w:t>
      </w:r>
      <w:r w:rsidR="00BA2AD9">
        <w:rPr>
          <w:rFonts w:cstheme="minorHAnsi"/>
          <w:sz w:val="20"/>
          <w:szCs w:val="20"/>
        </w:rPr>
        <w:t>malattie cardiovascolari)</w:t>
      </w:r>
      <w:r w:rsidR="00471BF0">
        <w:rPr>
          <w:rFonts w:cstheme="minorHAnsi"/>
          <w:sz w:val="20"/>
          <w:szCs w:val="20"/>
        </w:rPr>
        <w:t xml:space="preserve"> e mortalità (</w:t>
      </w:r>
      <w:hyperlink w:anchor="Paragrafo42" w:history="1">
        <w:r w:rsidR="00471BF0" w:rsidRPr="00746064">
          <w:rPr>
            <w:rStyle w:val="Hyperlink"/>
            <w:rFonts w:cstheme="minorHAnsi"/>
            <w:sz w:val="20"/>
            <w:szCs w:val="20"/>
          </w:rPr>
          <w:t>Paragrafo 4.2</w:t>
        </w:r>
      </w:hyperlink>
      <w:r w:rsidR="00471BF0">
        <w:rPr>
          <w:rFonts w:cstheme="minorHAnsi"/>
          <w:sz w:val="20"/>
          <w:szCs w:val="20"/>
        </w:rPr>
        <w:t xml:space="preserve">). </w:t>
      </w:r>
    </w:p>
    <w:p w14:paraId="2F9EDA22" w14:textId="77777777" w:rsidR="00DF7574" w:rsidRPr="00C579D3" w:rsidRDefault="00DF7574" w:rsidP="001B4E39">
      <w:pPr>
        <w:widowControl w:val="0"/>
        <w:autoSpaceDE w:val="0"/>
        <w:autoSpaceDN w:val="0"/>
        <w:adjustRightInd w:val="0"/>
        <w:spacing w:line="360" w:lineRule="auto"/>
        <w:rPr>
          <w:rFonts w:cstheme="minorHAnsi"/>
          <w:sz w:val="20"/>
          <w:szCs w:val="20"/>
        </w:rPr>
      </w:pPr>
    </w:p>
    <w:p w14:paraId="43A9074B" w14:textId="2C90F347" w:rsidR="00840CF2" w:rsidRDefault="00840CF2" w:rsidP="00840CF2">
      <w:pPr>
        <w:widowControl w:val="0"/>
        <w:autoSpaceDE w:val="0"/>
        <w:autoSpaceDN w:val="0"/>
        <w:adjustRightInd w:val="0"/>
        <w:spacing w:line="360" w:lineRule="auto"/>
        <w:jc w:val="both"/>
        <w:rPr>
          <w:rFonts w:cs="Arial"/>
          <w:sz w:val="20"/>
          <w:szCs w:val="20"/>
        </w:rPr>
      </w:pPr>
      <w:r w:rsidRPr="000808B5">
        <w:rPr>
          <w:rFonts w:cs="Arial"/>
          <w:b/>
          <w:sz w:val="20"/>
          <w:szCs w:val="20"/>
        </w:rPr>
        <w:t>L’approccio terapeutico per i pazienti con iperuricemia e gotta</w:t>
      </w:r>
      <w:r w:rsidR="002437AC">
        <w:rPr>
          <w:rFonts w:cs="Arial"/>
          <w:b/>
          <w:sz w:val="20"/>
          <w:szCs w:val="20"/>
        </w:rPr>
        <w:t xml:space="preserve"> è</w:t>
      </w:r>
      <w:r w:rsidRPr="000808B5">
        <w:rPr>
          <w:rFonts w:cs="Arial"/>
          <w:b/>
          <w:sz w:val="20"/>
          <w:szCs w:val="20"/>
        </w:rPr>
        <w:t xml:space="preserve"> attualmente raccomandato dalle Linee Guida EULAR 2016</w:t>
      </w:r>
      <w:r w:rsidRPr="000808B5">
        <w:rPr>
          <w:rFonts w:cs="Arial"/>
          <w:sz w:val="20"/>
          <w:szCs w:val="20"/>
        </w:rPr>
        <w:t xml:space="preserve"> </w:t>
      </w:r>
      <w:r w:rsidRPr="002C0B9C">
        <w:rPr>
          <w:rFonts w:cs="Arial"/>
          <w:sz w:val="20"/>
          <w:szCs w:val="20"/>
        </w:rPr>
        <w:t>(</w:t>
      </w:r>
      <w:r w:rsidR="00E54BFE">
        <w:rPr>
          <w:color w:val="0000FF"/>
          <w:sz w:val="20"/>
          <w:szCs w:val="20"/>
        </w:rPr>
        <w:t>Richette, 2016 (6)</w:t>
      </w:r>
      <w:r w:rsidRPr="002C0B9C">
        <w:rPr>
          <w:rFonts w:cs="Arial"/>
          <w:sz w:val="20"/>
          <w:szCs w:val="20"/>
        </w:rPr>
        <w:t>)</w:t>
      </w:r>
      <w:r w:rsidRPr="000808B5">
        <w:rPr>
          <w:rFonts w:cs="Arial"/>
          <w:sz w:val="20"/>
          <w:szCs w:val="20"/>
        </w:rPr>
        <w:t xml:space="preserve">. </w:t>
      </w:r>
    </w:p>
    <w:p w14:paraId="4D7017B9" w14:textId="0BD8C033" w:rsidR="00AD27DF" w:rsidRDefault="00AD27DF" w:rsidP="00840CF2">
      <w:pPr>
        <w:widowControl w:val="0"/>
        <w:autoSpaceDE w:val="0"/>
        <w:autoSpaceDN w:val="0"/>
        <w:adjustRightInd w:val="0"/>
        <w:spacing w:line="360" w:lineRule="auto"/>
        <w:jc w:val="both"/>
        <w:rPr>
          <w:rFonts w:cs="Arial"/>
          <w:sz w:val="20"/>
          <w:szCs w:val="20"/>
        </w:rPr>
      </w:pPr>
      <w:r>
        <w:rPr>
          <w:rFonts w:cs="Arial"/>
          <w:sz w:val="20"/>
          <w:szCs w:val="20"/>
        </w:rPr>
        <w:t>E’ previsto un trattamento non farmacologico, che include una dieta e modifiche allo stile di vita. Il consumo di alcuni cibi e bevande come carne, frutti di mare e alcolici, aumenta il rischio di contrarre la gotta (</w:t>
      </w:r>
      <w:r w:rsidR="0020764E">
        <w:rPr>
          <w:rFonts w:cs="Arial"/>
          <w:color w:val="0000FF"/>
          <w:sz w:val="20"/>
          <w:szCs w:val="20"/>
        </w:rPr>
        <w:t>Saag, 2006 (134</w:t>
      </w:r>
      <w:r w:rsidR="009B51CD">
        <w:rPr>
          <w:rFonts w:cs="Arial"/>
          <w:color w:val="0000FF"/>
          <w:sz w:val="20"/>
          <w:szCs w:val="20"/>
        </w:rPr>
        <w:t>)</w:t>
      </w:r>
      <w:r w:rsidR="00AD1A06" w:rsidRPr="00F924C4">
        <w:rPr>
          <w:rFonts w:cs="Arial"/>
          <w:color w:val="0000FF"/>
          <w:sz w:val="20"/>
          <w:szCs w:val="20"/>
        </w:rPr>
        <w:t xml:space="preserve">; </w:t>
      </w:r>
      <w:r w:rsidR="0020764E">
        <w:rPr>
          <w:rFonts w:cs="Arial"/>
          <w:color w:val="0000FF"/>
          <w:sz w:val="20"/>
          <w:szCs w:val="20"/>
        </w:rPr>
        <w:t>Roddy, 2014 (135</w:t>
      </w:r>
      <w:r w:rsidR="00AD1A06" w:rsidRPr="00F924C4">
        <w:rPr>
          <w:rFonts w:cs="Arial"/>
          <w:color w:val="0000FF"/>
          <w:sz w:val="20"/>
          <w:szCs w:val="20"/>
        </w:rPr>
        <w:t xml:space="preserve">); </w:t>
      </w:r>
      <w:r w:rsidR="0020764E">
        <w:rPr>
          <w:rFonts w:cs="Arial"/>
          <w:color w:val="0000FF"/>
          <w:sz w:val="20"/>
          <w:szCs w:val="20"/>
        </w:rPr>
        <w:t>Choi, 2004 (136</w:t>
      </w:r>
      <w:r w:rsidR="00AD1A06" w:rsidRPr="00F924C4">
        <w:rPr>
          <w:rFonts w:cs="Arial"/>
          <w:color w:val="0000FF"/>
          <w:sz w:val="20"/>
          <w:szCs w:val="20"/>
        </w:rPr>
        <w:t>)</w:t>
      </w:r>
      <w:r>
        <w:rPr>
          <w:rFonts w:cs="Arial"/>
          <w:sz w:val="20"/>
          <w:szCs w:val="20"/>
        </w:rPr>
        <w:t xml:space="preserve">). </w:t>
      </w:r>
      <w:r w:rsidR="00AD1A06">
        <w:rPr>
          <w:rFonts w:cs="Arial"/>
          <w:sz w:val="20"/>
          <w:szCs w:val="20"/>
        </w:rPr>
        <w:t>Pertano viene raccomandato di modificare la dieta del paziente, riducendo il consumo di questi cibi e bevande ad alto rischio. Vengono anche suggerite misure pratiche per ridurre il rischio di attacchi acuti, come l’applicazione di ghiaccio nelle aree interessate da depositi di cristallo di urato e riposo (</w:t>
      </w:r>
      <w:r w:rsidR="00E54BFE">
        <w:rPr>
          <w:rFonts w:cs="Arial"/>
          <w:color w:val="0000FF"/>
          <w:sz w:val="20"/>
          <w:szCs w:val="20"/>
        </w:rPr>
        <w:t>Richette, 2016 (6)</w:t>
      </w:r>
      <w:r w:rsidR="00AD1A06">
        <w:rPr>
          <w:rFonts w:cs="Arial"/>
          <w:sz w:val="20"/>
          <w:szCs w:val="20"/>
        </w:rPr>
        <w:t>). Tuttavia le misure non farmacologiche, da sole, sono raramente sufficienti ad alleviare tutti i sintomi ed ad invertire l’eziologia della gotta (</w:t>
      </w:r>
      <w:r w:rsidR="0020764E">
        <w:rPr>
          <w:rFonts w:cs="Arial"/>
          <w:color w:val="0000FF"/>
          <w:sz w:val="20"/>
          <w:szCs w:val="20"/>
        </w:rPr>
        <w:t>Moi, 2013 (137</w:t>
      </w:r>
      <w:r w:rsidR="009B51CD">
        <w:rPr>
          <w:rFonts w:cs="Arial"/>
          <w:color w:val="0000FF"/>
          <w:sz w:val="20"/>
          <w:szCs w:val="20"/>
        </w:rPr>
        <w:t>)</w:t>
      </w:r>
      <w:r w:rsidR="00AD1A06">
        <w:rPr>
          <w:rFonts w:cs="Arial"/>
          <w:sz w:val="20"/>
          <w:szCs w:val="20"/>
        </w:rPr>
        <w:t>)</w:t>
      </w:r>
      <w:r w:rsidR="00F924C4">
        <w:rPr>
          <w:rFonts w:cs="Arial"/>
          <w:sz w:val="20"/>
          <w:szCs w:val="20"/>
        </w:rPr>
        <w:t xml:space="preserve">. </w:t>
      </w:r>
    </w:p>
    <w:p w14:paraId="49A8148B" w14:textId="53C467FD" w:rsidR="00AA16C7" w:rsidRDefault="00F924C4" w:rsidP="00840CF2">
      <w:pPr>
        <w:widowControl w:val="0"/>
        <w:autoSpaceDE w:val="0"/>
        <w:autoSpaceDN w:val="0"/>
        <w:adjustRightInd w:val="0"/>
        <w:spacing w:line="360" w:lineRule="auto"/>
        <w:jc w:val="both"/>
        <w:rPr>
          <w:rFonts w:cs="Arial"/>
          <w:sz w:val="20"/>
          <w:szCs w:val="20"/>
        </w:rPr>
      </w:pPr>
      <w:r>
        <w:rPr>
          <w:rFonts w:cs="Arial"/>
          <w:sz w:val="20"/>
          <w:szCs w:val="20"/>
        </w:rPr>
        <w:t>Pertanto, n</w:t>
      </w:r>
      <w:r w:rsidR="00840CF2">
        <w:rPr>
          <w:rFonts w:cs="Arial"/>
          <w:sz w:val="20"/>
          <w:szCs w:val="20"/>
        </w:rPr>
        <w:t>ei pazienti con iperuricemia e gotta</w:t>
      </w:r>
      <w:r w:rsidR="00B34E9C">
        <w:rPr>
          <w:rFonts w:cs="Arial"/>
          <w:sz w:val="20"/>
          <w:szCs w:val="20"/>
        </w:rPr>
        <w:t xml:space="preserve">, come confermato anche dall’esperto Prof. </w:t>
      </w:r>
      <w:r w:rsidR="00753598">
        <w:rPr>
          <w:rFonts w:cs="Arial"/>
          <w:sz w:val="20"/>
          <w:szCs w:val="20"/>
        </w:rPr>
        <w:t>Punzi Direttore U.O.C. di Reumatologia, Università degli Studi di Padova</w:t>
      </w:r>
      <w:r w:rsidR="00B34E9C">
        <w:rPr>
          <w:rFonts w:cs="Arial"/>
          <w:sz w:val="20"/>
          <w:szCs w:val="20"/>
        </w:rPr>
        <w:t xml:space="preserve"> (</w:t>
      </w:r>
      <w:hyperlink w:anchor="Allegato1" w:history="1">
        <w:r w:rsidR="00B34E9C" w:rsidRPr="00746064">
          <w:rPr>
            <w:rStyle w:val="Hyperlink"/>
            <w:rFonts w:cs="Arial"/>
            <w:sz w:val="20"/>
            <w:szCs w:val="20"/>
          </w:rPr>
          <w:t>Allegato 1</w:t>
        </w:r>
      </w:hyperlink>
      <w:r w:rsidR="00B34E9C">
        <w:rPr>
          <w:rFonts w:cs="Arial"/>
          <w:sz w:val="20"/>
          <w:szCs w:val="20"/>
        </w:rPr>
        <w:t xml:space="preserve">), </w:t>
      </w:r>
      <w:r w:rsidR="00840CF2" w:rsidRPr="000808B5">
        <w:rPr>
          <w:rFonts w:cs="Arial"/>
          <w:sz w:val="20"/>
          <w:szCs w:val="20"/>
        </w:rPr>
        <w:t xml:space="preserve"> </w:t>
      </w:r>
      <w:r w:rsidR="00B34E9C">
        <w:rPr>
          <w:rFonts w:cs="Arial"/>
          <w:sz w:val="20"/>
          <w:szCs w:val="20"/>
        </w:rPr>
        <w:t xml:space="preserve">da </w:t>
      </w:r>
      <w:r>
        <w:rPr>
          <w:rFonts w:cs="Arial"/>
          <w:sz w:val="20"/>
          <w:szCs w:val="20"/>
        </w:rPr>
        <w:t>studi pubblicati (</w:t>
      </w:r>
      <w:r w:rsidR="0020764E">
        <w:rPr>
          <w:rFonts w:cs="Arial"/>
          <w:color w:val="0000FF"/>
          <w:sz w:val="20"/>
          <w:szCs w:val="20"/>
        </w:rPr>
        <w:t>Moi, 2013 (137</w:t>
      </w:r>
      <w:r w:rsidR="009B51CD">
        <w:rPr>
          <w:rFonts w:cs="Arial"/>
          <w:color w:val="0000FF"/>
          <w:sz w:val="20"/>
          <w:szCs w:val="20"/>
        </w:rPr>
        <w:t>)</w:t>
      </w:r>
      <w:r>
        <w:rPr>
          <w:rFonts w:cs="Arial"/>
          <w:sz w:val="20"/>
          <w:szCs w:val="20"/>
        </w:rPr>
        <w:t>)</w:t>
      </w:r>
      <w:r w:rsidR="00495D8A">
        <w:rPr>
          <w:rFonts w:cs="Arial"/>
          <w:sz w:val="20"/>
          <w:szCs w:val="20"/>
        </w:rPr>
        <w:t xml:space="preserve"> e </w:t>
      </w:r>
      <w:r w:rsidR="00B34E9C">
        <w:rPr>
          <w:rFonts w:cs="Arial"/>
          <w:sz w:val="20"/>
          <w:szCs w:val="20"/>
        </w:rPr>
        <w:t>dal</w:t>
      </w:r>
      <w:r w:rsidR="00840CF2" w:rsidRPr="000808B5">
        <w:rPr>
          <w:rFonts w:cs="Arial"/>
          <w:sz w:val="20"/>
          <w:szCs w:val="20"/>
        </w:rPr>
        <w:t xml:space="preserve">le </w:t>
      </w:r>
      <w:r w:rsidR="005E1129">
        <w:rPr>
          <w:rFonts w:cs="Arial"/>
          <w:sz w:val="20"/>
          <w:szCs w:val="20"/>
        </w:rPr>
        <w:t>Linee Guida</w:t>
      </w:r>
      <w:r>
        <w:rPr>
          <w:rFonts w:cs="Arial"/>
          <w:sz w:val="20"/>
          <w:szCs w:val="20"/>
        </w:rPr>
        <w:t xml:space="preserve"> (</w:t>
      </w:r>
      <w:r w:rsidR="009B51CD">
        <w:rPr>
          <w:rFonts w:cs="Arial"/>
          <w:color w:val="0000FF"/>
          <w:sz w:val="20"/>
          <w:szCs w:val="20"/>
        </w:rPr>
        <w:t>Richette, 2016</w:t>
      </w:r>
      <w:r w:rsidRPr="00DF7574">
        <w:rPr>
          <w:rFonts w:cs="Arial"/>
          <w:color w:val="0000FF"/>
          <w:sz w:val="20"/>
          <w:szCs w:val="20"/>
        </w:rPr>
        <w:t xml:space="preserve"> (</w:t>
      </w:r>
      <w:r w:rsidR="009B51CD">
        <w:rPr>
          <w:rFonts w:cs="Arial"/>
          <w:color w:val="0000FF"/>
          <w:sz w:val="20"/>
          <w:szCs w:val="20"/>
        </w:rPr>
        <w:t>6</w:t>
      </w:r>
      <w:r w:rsidRPr="00DF7574">
        <w:rPr>
          <w:rFonts w:cs="Arial"/>
          <w:color w:val="0000FF"/>
          <w:sz w:val="20"/>
          <w:szCs w:val="20"/>
        </w:rPr>
        <w:t>); Manara, 2013 (7)</w:t>
      </w:r>
      <w:r>
        <w:rPr>
          <w:rFonts w:cs="Arial"/>
          <w:sz w:val="20"/>
          <w:szCs w:val="20"/>
        </w:rPr>
        <w:t>)</w:t>
      </w:r>
      <w:r w:rsidR="00840CF2" w:rsidRPr="000808B5">
        <w:rPr>
          <w:rFonts w:cs="Arial"/>
          <w:sz w:val="20"/>
          <w:szCs w:val="20"/>
        </w:rPr>
        <w:t xml:space="preserve"> </w:t>
      </w:r>
      <w:r w:rsidR="00B34E9C">
        <w:rPr>
          <w:rFonts w:cs="Arial"/>
          <w:sz w:val="20"/>
          <w:szCs w:val="20"/>
        </w:rPr>
        <w:t xml:space="preserve">si </w:t>
      </w:r>
      <w:r w:rsidR="00840CF2" w:rsidRPr="000808B5">
        <w:rPr>
          <w:rFonts w:cs="Arial"/>
          <w:sz w:val="20"/>
          <w:szCs w:val="20"/>
        </w:rPr>
        <w:t>raccomanda l’inizio di una terapia ULT</w:t>
      </w:r>
      <w:r w:rsidR="00840CF2">
        <w:rPr>
          <w:rFonts w:cs="Arial"/>
          <w:sz w:val="20"/>
          <w:szCs w:val="20"/>
        </w:rPr>
        <w:t xml:space="preserve"> fin dalle prime manifestazioni, ovvero fin dal primo attacco acuto, oltre che in presenza di  </w:t>
      </w:r>
      <w:r w:rsidR="00840CF2" w:rsidRPr="000808B5">
        <w:rPr>
          <w:rFonts w:cs="Arial"/>
          <w:sz w:val="20"/>
          <w:szCs w:val="20"/>
        </w:rPr>
        <w:t>attacchi acuti ricorrenti</w:t>
      </w:r>
      <w:r w:rsidR="00FD4EB9">
        <w:rPr>
          <w:rFonts w:cs="Arial"/>
          <w:sz w:val="20"/>
          <w:szCs w:val="20"/>
        </w:rPr>
        <w:t xml:space="preserve"> (comprese le fasi di gotta intercritica)</w:t>
      </w:r>
      <w:r w:rsidR="00840CF2" w:rsidRPr="000808B5">
        <w:rPr>
          <w:rFonts w:cs="Arial"/>
          <w:sz w:val="20"/>
          <w:szCs w:val="20"/>
        </w:rPr>
        <w:t>, tofi, artropatia gottosa e/o calcoli renali</w:t>
      </w:r>
      <w:r w:rsidR="00885863">
        <w:rPr>
          <w:rFonts w:cs="Arial"/>
          <w:sz w:val="20"/>
          <w:szCs w:val="20"/>
        </w:rPr>
        <w:t xml:space="preserve">, al fine di gestire la gotta cronica e ricorrente, riducendo i livelli di sUA al di sotto del punto di saturazione, </w:t>
      </w:r>
      <w:r w:rsidR="00AA16C7">
        <w:rPr>
          <w:rFonts w:cs="Arial"/>
          <w:sz w:val="20"/>
          <w:szCs w:val="20"/>
        </w:rPr>
        <w:t xml:space="preserve">causando </w:t>
      </w:r>
      <w:r w:rsidR="00885863">
        <w:rPr>
          <w:rFonts w:cs="Arial"/>
          <w:sz w:val="20"/>
          <w:szCs w:val="20"/>
        </w:rPr>
        <w:t>la dissoluzione di cristalli di MSU e preven</w:t>
      </w:r>
      <w:r w:rsidR="00AA16C7">
        <w:rPr>
          <w:rFonts w:cs="Arial"/>
          <w:sz w:val="20"/>
          <w:szCs w:val="20"/>
        </w:rPr>
        <w:t>endo</w:t>
      </w:r>
      <w:r w:rsidR="00885863">
        <w:rPr>
          <w:rFonts w:cs="Arial"/>
          <w:sz w:val="20"/>
          <w:szCs w:val="20"/>
        </w:rPr>
        <w:t xml:space="preserve"> la formazione di nuovi cristalli. Il trattamento con ULT pertanto è soprattutto un trattamento a lungo termine per ridurre i livelli di sUA, invece che </w:t>
      </w:r>
      <w:r w:rsidR="00AA16C7">
        <w:rPr>
          <w:rFonts w:cs="Arial"/>
          <w:sz w:val="20"/>
          <w:szCs w:val="20"/>
        </w:rPr>
        <w:t xml:space="preserve">della sola gestione degli </w:t>
      </w:r>
      <w:r w:rsidR="00885863">
        <w:rPr>
          <w:rFonts w:cs="Arial"/>
          <w:sz w:val="20"/>
          <w:szCs w:val="20"/>
        </w:rPr>
        <w:t xml:space="preserve">attacchi acuti nel momento in cui i pazienti ne hanno i sintomi. </w:t>
      </w:r>
    </w:p>
    <w:p w14:paraId="468994AC" w14:textId="577AF393" w:rsidR="00840CF2" w:rsidRPr="000808B5" w:rsidRDefault="00885863" w:rsidP="00840CF2">
      <w:pPr>
        <w:widowControl w:val="0"/>
        <w:autoSpaceDE w:val="0"/>
        <w:autoSpaceDN w:val="0"/>
        <w:adjustRightInd w:val="0"/>
        <w:spacing w:line="360" w:lineRule="auto"/>
        <w:jc w:val="both"/>
        <w:rPr>
          <w:rFonts w:cs="Arial"/>
          <w:sz w:val="20"/>
          <w:szCs w:val="20"/>
        </w:rPr>
      </w:pPr>
      <w:r>
        <w:rPr>
          <w:rFonts w:cs="Arial"/>
          <w:sz w:val="20"/>
          <w:szCs w:val="20"/>
        </w:rPr>
        <w:t xml:space="preserve">In Italia sono disponibili per il trattamento della gotta solo farmaci che agiscono inibendo la produzione di acido uricoo (XOI), ovvero allupurinolo e febuxostat. </w:t>
      </w:r>
      <w:r w:rsidR="00AA16C7">
        <w:rPr>
          <w:rFonts w:cs="Arial"/>
          <w:sz w:val="20"/>
          <w:szCs w:val="20"/>
        </w:rPr>
        <w:t xml:space="preserve">In particolare le </w:t>
      </w:r>
      <w:r w:rsidR="005E1129">
        <w:rPr>
          <w:rFonts w:cs="Arial"/>
          <w:sz w:val="20"/>
          <w:szCs w:val="20"/>
        </w:rPr>
        <w:t>Linee Guida</w:t>
      </w:r>
      <w:r w:rsidR="00AA16C7">
        <w:rPr>
          <w:rFonts w:cs="Arial"/>
          <w:sz w:val="20"/>
          <w:szCs w:val="20"/>
        </w:rPr>
        <w:t xml:space="preserve"> EULAR prevedono</w:t>
      </w:r>
      <w:r>
        <w:rPr>
          <w:rFonts w:cs="Arial"/>
          <w:sz w:val="20"/>
          <w:szCs w:val="20"/>
        </w:rPr>
        <w:t xml:space="preserve"> (</w:t>
      </w:r>
      <w:r w:rsidR="00E54BFE">
        <w:rPr>
          <w:rFonts w:cs="Arial"/>
          <w:color w:val="0000FF"/>
          <w:sz w:val="20"/>
          <w:szCs w:val="20"/>
        </w:rPr>
        <w:t>Richette, 2016 (6)</w:t>
      </w:r>
      <w:r>
        <w:rPr>
          <w:rFonts w:cs="Arial"/>
          <w:sz w:val="20"/>
          <w:szCs w:val="20"/>
        </w:rPr>
        <w:t>)</w:t>
      </w:r>
      <w:r w:rsidR="00840CF2" w:rsidRPr="000808B5">
        <w:rPr>
          <w:rFonts w:cs="Arial"/>
          <w:sz w:val="20"/>
          <w:szCs w:val="20"/>
        </w:rPr>
        <w:t>:</w:t>
      </w:r>
    </w:p>
    <w:p w14:paraId="27196ED1" w14:textId="60D89588" w:rsidR="00840CF2" w:rsidRDefault="00AA16C7" w:rsidP="00840CF2">
      <w:pPr>
        <w:widowControl w:val="0"/>
        <w:autoSpaceDE w:val="0"/>
        <w:autoSpaceDN w:val="0"/>
        <w:adjustRightInd w:val="0"/>
        <w:spacing w:line="360" w:lineRule="auto"/>
        <w:jc w:val="both"/>
        <w:rPr>
          <w:rFonts w:cs="Arial"/>
          <w:sz w:val="20"/>
          <w:szCs w:val="20"/>
        </w:rPr>
      </w:pPr>
      <w:r>
        <w:rPr>
          <w:rFonts w:cs="Arial"/>
          <w:sz w:val="20"/>
          <w:szCs w:val="20"/>
        </w:rPr>
        <w:t>l</w:t>
      </w:r>
      <w:r w:rsidR="00840CF2">
        <w:rPr>
          <w:rFonts w:cs="Arial"/>
          <w:sz w:val="20"/>
          <w:szCs w:val="20"/>
        </w:rPr>
        <w:t>’</w:t>
      </w:r>
      <w:r w:rsidR="00840CF2" w:rsidRPr="000808B5">
        <w:rPr>
          <w:rFonts w:cs="Arial"/>
          <w:b/>
          <w:sz w:val="20"/>
          <w:szCs w:val="20"/>
        </w:rPr>
        <w:t xml:space="preserve">allopurinolo, </w:t>
      </w:r>
      <w:r w:rsidR="00840CF2" w:rsidRPr="000808B5">
        <w:rPr>
          <w:rFonts w:cs="Arial"/>
          <w:sz w:val="20"/>
          <w:szCs w:val="20"/>
          <w:u w:val="single"/>
        </w:rPr>
        <w:t xml:space="preserve">inibitore della xantino-ossidasi </w:t>
      </w:r>
      <w:r w:rsidR="00840CF2">
        <w:rPr>
          <w:rFonts w:cs="Arial"/>
          <w:sz w:val="20"/>
          <w:szCs w:val="20"/>
          <w:u w:val="single"/>
        </w:rPr>
        <w:t>(</w:t>
      </w:r>
      <w:r w:rsidR="00840CF2" w:rsidRPr="000808B5">
        <w:rPr>
          <w:rFonts w:cs="Arial"/>
          <w:sz w:val="20"/>
          <w:szCs w:val="20"/>
          <w:u w:val="single"/>
        </w:rPr>
        <w:t>XOI</w:t>
      </w:r>
      <w:r w:rsidR="00840CF2">
        <w:rPr>
          <w:rFonts w:cs="Arial"/>
          <w:sz w:val="20"/>
          <w:szCs w:val="20"/>
          <w:u w:val="single"/>
        </w:rPr>
        <w:t>)</w:t>
      </w:r>
      <w:r w:rsidR="00840CF2" w:rsidRPr="000808B5">
        <w:rPr>
          <w:rFonts w:cs="Arial"/>
          <w:sz w:val="20"/>
          <w:szCs w:val="20"/>
        </w:rPr>
        <w:t xml:space="preserve"> </w:t>
      </w:r>
      <w:r w:rsidR="00840CF2">
        <w:rPr>
          <w:rFonts w:cs="Arial"/>
          <w:sz w:val="20"/>
          <w:szCs w:val="20"/>
        </w:rPr>
        <w:t xml:space="preserve">che </w:t>
      </w:r>
      <w:r w:rsidR="00840CF2" w:rsidRPr="00B12A0D">
        <w:rPr>
          <w:rFonts w:cs="Arial"/>
          <w:sz w:val="20"/>
          <w:szCs w:val="20"/>
        </w:rPr>
        <w:t>agisc</w:t>
      </w:r>
      <w:r w:rsidR="00840CF2">
        <w:rPr>
          <w:rFonts w:cs="Arial"/>
          <w:sz w:val="20"/>
          <w:szCs w:val="20"/>
        </w:rPr>
        <w:t>e</w:t>
      </w:r>
      <w:r w:rsidR="00840CF2" w:rsidRPr="00B12A0D">
        <w:rPr>
          <w:rFonts w:cs="Arial"/>
          <w:sz w:val="20"/>
          <w:szCs w:val="20"/>
        </w:rPr>
        <w:t xml:space="preserve"> sulla sovrapproduzione di acido urico,</w:t>
      </w:r>
      <w:r w:rsidR="00840CF2">
        <w:rPr>
          <w:rFonts w:cs="Arial"/>
          <w:sz w:val="20"/>
          <w:szCs w:val="20"/>
        </w:rPr>
        <w:t xml:space="preserve"> è raccomandato come </w:t>
      </w:r>
      <w:r w:rsidR="00840CF2" w:rsidRPr="00D6675B">
        <w:rPr>
          <w:rFonts w:cs="Arial"/>
          <w:b/>
          <w:sz w:val="20"/>
          <w:szCs w:val="20"/>
        </w:rPr>
        <w:t>trattamento di prima linea</w:t>
      </w:r>
      <w:r w:rsidR="00840CF2">
        <w:rPr>
          <w:rFonts w:cs="Arial"/>
          <w:sz w:val="20"/>
          <w:szCs w:val="20"/>
        </w:rPr>
        <w:t>; all’inizio del trattamento deve essere utilizzato un basso dosaggio (</w:t>
      </w:r>
      <w:r w:rsidR="00840CF2" w:rsidRPr="000808B5">
        <w:rPr>
          <w:rFonts w:cs="Arial"/>
          <w:sz w:val="20"/>
          <w:szCs w:val="20"/>
        </w:rPr>
        <w:t xml:space="preserve">100 </w:t>
      </w:r>
      <w:r w:rsidR="00840CF2">
        <w:rPr>
          <w:rFonts w:cs="Arial"/>
          <w:sz w:val="20"/>
          <w:szCs w:val="20"/>
        </w:rPr>
        <w:t xml:space="preserve">mg/die), </w:t>
      </w:r>
      <w:r w:rsidR="00840CF2" w:rsidRPr="000808B5">
        <w:rPr>
          <w:rFonts w:cs="Arial"/>
          <w:sz w:val="20"/>
          <w:szCs w:val="20"/>
        </w:rPr>
        <w:t xml:space="preserve">con titolazione </w:t>
      </w:r>
      <w:r w:rsidR="00840CF2">
        <w:rPr>
          <w:rFonts w:cs="Arial"/>
          <w:sz w:val="20"/>
          <w:szCs w:val="20"/>
        </w:rPr>
        <w:t xml:space="preserve">di ulteriori 100 mg </w:t>
      </w:r>
      <w:r w:rsidR="00840CF2" w:rsidRPr="000808B5">
        <w:rPr>
          <w:rFonts w:cs="Arial"/>
          <w:sz w:val="20"/>
          <w:szCs w:val="20"/>
        </w:rPr>
        <w:t>ogni 2-4 settimane</w:t>
      </w:r>
      <w:r w:rsidR="00531BFC">
        <w:rPr>
          <w:rFonts w:cs="Arial"/>
          <w:sz w:val="20"/>
          <w:szCs w:val="20"/>
        </w:rPr>
        <w:t xml:space="preserve"> </w:t>
      </w:r>
      <w:r w:rsidR="00531BFC" w:rsidRPr="00531BFC">
        <w:rPr>
          <w:rFonts w:cs="Arial"/>
          <w:sz w:val="20"/>
          <w:szCs w:val="20"/>
        </w:rPr>
        <w:t xml:space="preserve">(fino al dosaggio massimo consentito) </w:t>
      </w:r>
      <w:r w:rsidR="00840CF2">
        <w:rPr>
          <w:rFonts w:cs="Arial"/>
          <w:sz w:val="20"/>
          <w:szCs w:val="20"/>
        </w:rPr>
        <w:t xml:space="preserve"> fino al raggiungimento del target uricemico. </w:t>
      </w:r>
    </w:p>
    <w:p w14:paraId="15BD03B9" w14:textId="77777777" w:rsidR="00840CF2" w:rsidRPr="007C4D73" w:rsidRDefault="00840CF2" w:rsidP="00840CF2">
      <w:pPr>
        <w:widowControl w:val="0"/>
        <w:autoSpaceDE w:val="0"/>
        <w:autoSpaceDN w:val="0"/>
        <w:adjustRightInd w:val="0"/>
        <w:spacing w:line="360" w:lineRule="auto"/>
        <w:jc w:val="both"/>
        <w:rPr>
          <w:rFonts w:cstheme="minorHAnsi"/>
          <w:sz w:val="20"/>
          <w:szCs w:val="20"/>
        </w:rPr>
      </w:pPr>
      <w:r w:rsidRPr="007C4D73">
        <w:rPr>
          <w:rFonts w:cstheme="minorHAnsi"/>
          <w:sz w:val="20"/>
          <w:szCs w:val="20"/>
        </w:rPr>
        <w:t xml:space="preserve">Come </w:t>
      </w:r>
      <w:r w:rsidRPr="00D6675B">
        <w:rPr>
          <w:rFonts w:cstheme="minorHAnsi"/>
          <w:b/>
          <w:sz w:val="20"/>
          <w:szCs w:val="20"/>
        </w:rPr>
        <w:t>seconda linea di trattamento</w:t>
      </w:r>
      <w:r w:rsidRPr="007C4D73">
        <w:rPr>
          <w:rFonts w:cstheme="minorHAnsi"/>
          <w:sz w:val="20"/>
          <w:szCs w:val="20"/>
        </w:rPr>
        <w:t>:</w:t>
      </w:r>
    </w:p>
    <w:p w14:paraId="0F4481BD" w14:textId="00296822" w:rsidR="00840CF2" w:rsidRPr="007C4D73" w:rsidRDefault="00840CF2" w:rsidP="00825BD3">
      <w:pPr>
        <w:pStyle w:val="ListParagraph"/>
        <w:widowControl w:val="0"/>
        <w:numPr>
          <w:ilvl w:val="0"/>
          <w:numId w:val="44"/>
        </w:numPr>
        <w:autoSpaceDE w:val="0"/>
        <w:autoSpaceDN w:val="0"/>
        <w:adjustRightInd w:val="0"/>
        <w:spacing w:line="360" w:lineRule="auto"/>
        <w:jc w:val="both"/>
        <w:rPr>
          <w:rFonts w:asciiTheme="minorHAnsi" w:hAnsiTheme="minorHAnsi" w:cstheme="minorHAnsi"/>
          <w:sz w:val="20"/>
          <w:szCs w:val="20"/>
        </w:rPr>
      </w:pPr>
      <w:r w:rsidRPr="007C4D73">
        <w:rPr>
          <w:rFonts w:asciiTheme="minorHAnsi" w:hAnsiTheme="minorHAnsi" w:cstheme="minorHAnsi"/>
          <w:sz w:val="20"/>
          <w:szCs w:val="20"/>
        </w:rPr>
        <w:t xml:space="preserve">in caso di </w:t>
      </w:r>
      <w:r w:rsidRPr="00D6675B">
        <w:rPr>
          <w:rFonts w:asciiTheme="minorHAnsi" w:hAnsiTheme="minorHAnsi" w:cstheme="minorHAnsi"/>
          <w:i/>
          <w:sz w:val="20"/>
          <w:szCs w:val="20"/>
          <w:u w:val="single"/>
        </w:rPr>
        <w:t>inefficacia di allopurinolo in monoterapia</w:t>
      </w:r>
      <w:r w:rsidRPr="007C4D73">
        <w:rPr>
          <w:rFonts w:asciiTheme="minorHAnsi" w:hAnsiTheme="minorHAnsi" w:cstheme="minorHAnsi"/>
          <w:sz w:val="20"/>
          <w:szCs w:val="20"/>
        </w:rPr>
        <w:t xml:space="preserve"> (nel controllare i livelli </w:t>
      </w:r>
      <w:r w:rsidR="005848A1">
        <w:rPr>
          <w:rFonts w:asciiTheme="minorHAnsi" w:hAnsiTheme="minorHAnsi" w:cstheme="minorHAnsi"/>
          <w:sz w:val="20"/>
          <w:szCs w:val="20"/>
        </w:rPr>
        <w:t>sUA</w:t>
      </w:r>
      <w:r w:rsidRPr="007C4D73">
        <w:rPr>
          <w:rFonts w:asciiTheme="minorHAnsi" w:hAnsiTheme="minorHAnsi" w:cstheme="minorHAnsi"/>
          <w:sz w:val="20"/>
          <w:szCs w:val="20"/>
        </w:rPr>
        <w:t>) si raccomanda:</w:t>
      </w:r>
    </w:p>
    <w:p w14:paraId="4B59BF1B" w14:textId="77777777" w:rsidR="00825BD3" w:rsidRPr="007F281C" w:rsidRDefault="00825BD3" w:rsidP="00825BD3">
      <w:pPr>
        <w:pStyle w:val="ListParagraph"/>
        <w:widowControl w:val="0"/>
        <w:numPr>
          <w:ilvl w:val="2"/>
          <w:numId w:val="55"/>
        </w:numPr>
        <w:autoSpaceDE w:val="0"/>
        <w:autoSpaceDN w:val="0"/>
        <w:adjustRightInd w:val="0"/>
        <w:spacing w:line="360" w:lineRule="auto"/>
        <w:jc w:val="both"/>
        <w:rPr>
          <w:rFonts w:asciiTheme="minorHAnsi" w:hAnsiTheme="minorHAnsi" w:cstheme="minorHAnsi"/>
          <w:sz w:val="20"/>
          <w:szCs w:val="20"/>
        </w:rPr>
      </w:pPr>
      <w:r w:rsidRPr="00920372">
        <w:rPr>
          <w:rFonts w:asciiTheme="minorHAnsi" w:hAnsiTheme="minorHAnsi" w:cstheme="minorHAnsi"/>
          <w:sz w:val="20"/>
          <w:szCs w:val="20"/>
        </w:rPr>
        <w:t xml:space="preserve">l’aggiunta ad allopurinolo di un farmaco uricosurico (l’unico uricosurico disponibile in Italia </w:t>
      </w:r>
      <w:r w:rsidRPr="003F5468">
        <w:rPr>
          <w:rFonts w:asciiTheme="minorHAnsi" w:hAnsiTheme="minorHAnsi" w:cstheme="minorHAnsi"/>
          <w:sz w:val="20"/>
          <w:szCs w:val="20"/>
        </w:rPr>
        <w:t xml:space="preserve">è lesinurad), </w:t>
      </w:r>
      <w:r w:rsidRPr="007F281C">
        <w:rPr>
          <w:rFonts w:asciiTheme="minorHAnsi" w:hAnsiTheme="minorHAnsi" w:cstheme="minorHAnsi"/>
          <w:sz w:val="20"/>
          <w:szCs w:val="20"/>
        </w:rPr>
        <w:t xml:space="preserve">lo switch a febuxostat (XOI) in monoterapia (80-120 mg/die) oppure lo switch ad un uricosurico </w:t>
      </w:r>
      <w:r>
        <w:rPr>
          <w:rFonts w:asciiTheme="minorHAnsi" w:hAnsiTheme="minorHAnsi" w:cstheme="minorHAnsi"/>
          <w:sz w:val="20"/>
          <w:szCs w:val="20"/>
        </w:rPr>
        <w:t xml:space="preserve">in monoterapia </w:t>
      </w:r>
      <w:r w:rsidRPr="007F281C">
        <w:rPr>
          <w:rFonts w:asciiTheme="minorHAnsi" w:hAnsiTheme="minorHAnsi" w:cstheme="minorHAnsi"/>
          <w:sz w:val="20"/>
          <w:szCs w:val="20"/>
        </w:rPr>
        <w:t>(opzione da non considerare per l’Italia, dove l’unico uricosurico disponibile è lesinurad, che deve essere somministrato in associazione)</w:t>
      </w:r>
    </w:p>
    <w:p w14:paraId="314959FA" w14:textId="77777777" w:rsidR="00840CF2" w:rsidRPr="007C4D73" w:rsidRDefault="00840CF2" w:rsidP="00825BD3">
      <w:pPr>
        <w:pStyle w:val="ListParagraph"/>
        <w:widowControl w:val="0"/>
        <w:numPr>
          <w:ilvl w:val="0"/>
          <w:numId w:val="44"/>
        </w:numPr>
        <w:autoSpaceDE w:val="0"/>
        <w:autoSpaceDN w:val="0"/>
        <w:adjustRightInd w:val="0"/>
        <w:spacing w:line="360" w:lineRule="auto"/>
        <w:jc w:val="both"/>
        <w:rPr>
          <w:rFonts w:asciiTheme="minorHAnsi" w:hAnsiTheme="minorHAnsi" w:cstheme="minorHAnsi"/>
          <w:sz w:val="20"/>
          <w:szCs w:val="20"/>
        </w:rPr>
      </w:pPr>
      <w:r w:rsidRPr="007C4D73">
        <w:rPr>
          <w:rFonts w:asciiTheme="minorHAnsi" w:hAnsiTheme="minorHAnsi" w:cstheme="minorHAnsi"/>
          <w:sz w:val="20"/>
          <w:szCs w:val="20"/>
        </w:rPr>
        <w:t xml:space="preserve">in caso di </w:t>
      </w:r>
      <w:r w:rsidRPr="00D6675B">
        <w:rPr>
          <w:rFonts w:asciiTheme="minorHAnsi" w:hAnsiTheme="minorHAnsi" w:cstheme="minorHAnsi"/>
          <w:i/>
          <w:sz w:val="20"/>
          <w:szCs w:val="20"/>
          <w:u w:val="single"/>
        </w:rPr>
        <w:t>intolleranza</w:t>
      </w:r>
      <w:r w:rsidRPr="007C4D73">
        <w:rPr>
          <w:rFonts w:asciiTheme="minorHAnsi" w:hAnsiTheme="minorHAnsi" w:cstheme="minorHAnsi"/>
          <w:sz w:val="20"/>
          <w:szCs w:val="20"/>
        </w:rPr>
        <w:t xml:space="preserve"> ad allopurinolo si raccomanda:</w:t>
      </w:r>
    </w:p>
    <w:p w14:paraId="660D9672" w14:textId="77777777" w:rsidR="00840CF2" w:rsidRPr="007C4D73" w:rsidRDefault="00840CF2" w:rsidP="00825BD3">
      <w:pPr>
        <w:widowControl w:val="0"/>
        <w:numPr>
          <w:ilvl w:val="2"/>
          <w:numId w:val="57"/>
        </w:numPr>
        <w:autoSpaceDE w:val="0"/>
        <w:autoSpaceDN w:val="0"/>
        <w:adjustRightInd w:val="0"/>
        <w:spacing w:line="360" w:lineRule="auto"/>
        <w:jc w:val="both"/>
        <w:rPr>
          <w:rFonts w:cstheme="minorHAnsi"/>
          <w:sz w:val="20"/>
          <w:szCs w:val="20"/>
        </w:rPr>
      </w:pPr>
      <w:r w:rsidRPr="007C4D73">
        <w:rPr>
          <w:rFonts w:cstheme="minorHAnsi"/>
          <w:sz w:val="20"/>
          <w:szCs w:val="20"/>
        </w:rPr>
        <w:t xml:space="preserve"> lo switch a </w:t>
      </w:r>
      <w:r w:rsidRPr="00776182">
        <w:rPr>
          <w:rFonts w:cstheme="minorHAnsi"/>
          <w:sz w:val="20"/>
          <w:szCs w:val="20"/>
        </w:rPr>
        <w:t>febuxostat in monoterapia</w:t>
      </w:r>
      <w:r w:rsidRPr="007C4D73">
        <w:rPr>
          <w:rFonts w:cstheme="minorHAnsi"/>
          <w:b/>
          <w:sz w:val="20"/>
          <w:szCs w:val="20"/>
        </w:rPr>
        <w:t xml:space="preserve"> </w:t>
      </w:r>
      <w:r w:rsidRPr="007C4D73">
        <w:rPr>
          <w:rFonts w:cstheme="minorHAnsi"/>
          <w:sz w:val="20"/>
          <w:szCs w:val="20"/>
        </w:rPr>
        <w:t>(80-120 mg/die)</w:t>
      </w:r>
    </w:p>
    <w:p w14:paraId="32519052" w14:textId="2F1A01F0" w:rsidR="00840CF2" w:rsidRDefault="00840CF2" w:rsidP="00840CF2">
      <w:pPr>
        <w:widowControl w:val="0"/>
        <w:autoSpaceDE w:val="0"/>
        <w:autoSpaceDN w:val="0"/>
        <w:adjustRightInd w:val="0"/>
        <w:spacing w:line="360" w:lineRule="auto"/>
        <w:jc w:val="both"/>
        <w:rPr>
          <w:rFonts w:cs="Arial"/>
          <w:sz w:val="20"/>
          <w:szCs w:val="20"/>
        </w:rPr>
      </w:pPr>
      <w:r>
        <w:rPr>
          <w:rFonts w:cs="Arial"/>
          <w:sz w:val="20"/>
          <w:szCs w:val="20"/>
        </w:rPr>
        <w:t xml:space="preserve">In caso di </w:t>
      </w:r>
      <w:r w:rsidRPr="00D6675B">
        <w:rPr>
          <w:rFonts w:cs="Arial"/>
          <w:i/>
          <w:sz w:val="20"/>
          <w:szCs w:val="20"/>
          <w:u w:val="single"/>
        </w:rPr>
        <w:t>fallimento delle opzioni di trattamento di seconda linea</w:t>
      </w:r>
      <w:r>
        <w:rPr>
          <w:rFonts w:cs="Arial"/>
          <w:sz w:val="20"/>
          <w:szCs w:val="20"/>
        </w:rPr>
        <w:t xml:space="preserve"> (febuxostat in monoterapia</w:t>
      </w:r>
      <w:r w:rsidR="00D6675B">
        <w:rPr>
          <w:rFonts w:cs="Arial"/>
          <w:sz w:val="20"/>
          <w:szCs w:val="20"/>
        </w:rPr>
        <w:t xml:space="preserve"> o allopurinolo + lesinurad</w:t>
      </w:r>
      <w:r>
        <w:rPr>
          <w:rFonts w:cs="Arial"/>
          <w:sz w:val="20"/>
          <w:szCs w:val="20"/>
        </w:rPr>
        <w:t>) è prevista l’associazione di uno XOI (febuxostat) ad un uricosurico (ovvero lesinurad).</w:t>
      </w:r>
    </w:p>
    <w:p w14:paraId="76704052" w14:textId="77777777" w:rsidR="00840CF2" w:rsidRDefault="00840CF2" w:rsidP="00840CF2">
      <w:pPr>
        <w:widowControl w:val="0"/>
        <w:autoSpaceDE w:val="0"/>
        <w:autoSpaceDN w:val="0"/>
        <w:adjustRightInd w:val="0"/>
        <w:spacing w:line="360" w:lineRule="auto"/>
        <w:jc w:val="both"/>
        <w:rPr>
          <w:rFonts w:cs="Arial"/>
          <w:b/>
          <w:sz w:val="20"/>
          <w:szCs w:val="20"/>
        </w:rPr>
      </w:pPr>
    </w:p>
    <w:p w14:paraId="01689876" w14:textId="3622C2EA" w:rsidR="00C579D3" w:rsidRDefault="00B37B17" w:rsidP="001B4E39">
      <w:pPr>
        <w:widowControl w:val="0"/>
        <w:autoSpaceDE w:val="0"/>
        <w:autoSpaceDN w:val="0"/>
        <w:adjustRightInd w:val="0"/>
        <w:spacing w:line="360" w:lineRule="auto"/>
        <w:rPr>
          <w:rFonts w:cstheme="minorHAnsi"/>
          <w:sz w:val="20"/>
          <w:szCs w:val="20"/>
        </w:rPr>
      </w:pPr>
      <w:r w:rsidRPr="00EC4AD6">
        <w:rPr>
          <w:rFonts w:cstheme="minorHAnsi"/>
          <w:sz w:val="20"/>
          <w:szCs w:val="20"/>
        </w:rPr>
        <w:t>Le line guida prevedono, inoltre, l’utilizzo di terapie anti-infiammatorie per la gestione degli episodi acuti di gotta (</w:t>
      </w:r>
      <w:r w:rsidR="00E54BFE">
        <w:rPr>
          <w:rFonts w:cstheme="minorHAnsi"/>
          <w:color w:val="0000FF"/>
          <w:sz w:val="20"/>
          <w:szCs w:val="20"/>
        </w:rPr>
        <w:t>Richette, 2016 (6)</w:t>
      </w:r>
      <w:r w:rsidRPr="00EC4AD6">
        <w:rPr>
          <w:rFonts w:cstheme="minorHAnsi"/>
          <w:sz w:val="20"/>
          <w:szCs w:val="20"/>
        </w:rPr>
        <w:t>)</w:t>
      </w:r>
      <w:r w:rsidR="00C579D3">
        <w:rPr>
          <w:rFonts w:cstheme="minorHAnsi"/>
          <w:sz w:val="20"/>
          <w:szCs w:val="20"/>
        </w:rPr>
        <w:t xml:space="preserve">, che sono estremamenete dolorosi: </w:t>
      </w:r>
      <w:r w:rsidR="00C579D3" w:rsidRPr="00C579D3">
        <w:rPr>
          <w:rFonts w:cstheme="minorHAnsi"/>
          <w:sz w:val="20"/>
          <w:szCs w:val="20"/>
        </w:rPr>
        <w:t xml:space="preserve">il dolore, progressivamente crescente è intenso, costringe il paziente all’immobilità ed è causa di profonda angoscia. </w:t>
      </w:r>
      <w:r w:rsidR="00C579D3">
        <w:rPr>
          <w:rFonts w:cstheme="minorHAnsi"/>
          <w:sz w:val="20"/>
          <w:szCs w:val="20"/>
        </w:rPr>
        <w:t xml:space="preserve">Il </w:t>
      </w:r>
      <w:r w:rsidR="00C579D3" w:rsidRPr="00C579D3">
        <w:rPr>
          <w:rFonts w:cstheme="minorHAnsi"/>
          <w:sz w:val="20"/>
          <w:szCs w:val="20"/>
        </w:rPr>
        <w:t xml:space="preserve">dolore </w:t>
      </w:r>
      <w:r w:rsidR="00C579D3">
        <w:rPr>
          <w:rFonts w:cstheme="minorHAnsi"/>
          <w:sz w:val="20"/>
          <w:szCs w:val="20"/>
        </w:rPr>
        <w:t xml:space="preserve">viene riportato come dolore </w:t>
      </w:r>
      <w:r w:rsidR="00C579D3" w:rsidRPr="00C579D3">
        <w:rPr>
          <w:rFonts w:cstheme="minorHAnsi"/>
          <w:sz w:val="20"/>
          <w:szCs w:val="20"/>
        </w:rPr>
        <w:t>severo e disabilitante, più frequentemente descritto come una sensazione di accoltellamento, o intenso tanto quanto un parto o un’articolazione fratturata (</w:t>
      </w:r>
      <w:r w:rsidR="00231A40">
        <w:rPr>
          <w:rFonts w:cstheme="minorHAnsi"/>
          <w:color w:val="0000FF"/>
          <w:sz w:val="20"/>
          <w:szCs w:val="20"/>
        </w:rPr>
        <w:t>Tatlock, 2016 (12)</w:t>
      </w:r>
      <w:r w:rsidR="00C579D3" w:rsidRPr="00C579D3">
        <w:rPr>
          <w:rFonts w:cstheme="minorHAnsi"/>
          <w:sz w:val="20"/>
          <w:szCs w:val="20"/>
        </w:rPr>
        <w:t>).</w:t>
      </w:r>
    </w:p>
    <w:p w14:paraId="6B2A6C65" w14:textId="24AD8D88" w:rsidR="00B37B17" w:rsidRPr="00EC4AD6" w:rsidRDefault="00885863" w:rsidP="001B4E39">
      <w:pPr>
        <w:widowControl w:val="0"/>
        <w:autoSpaceDE w:val="0"/>
        <w:autoSpaceDN w:val="0"/>
        <w:adjustRightInd w:val="0"/>
        <w:spacing w:line="360" w:lineRule="auto"/>
        <w:rPr>
          <w:rFonts w:cstheme="minorHAnsi"/>
          <w:sz w:val="20"/>
          <w:szCs w:val="20"/>
        </w:rPr>
      </w:pPr>
      <w:r>
        <w:rPr>
          <w:rFonts w:cstheme="minorHAnsi"/>
          <w:sz w:val="20"/>
          <w:szCs w:val="20"/>
        </w:rPr>
        <w:t xml:space="preserve">Gli attacchi acuti sono tipica espressione dell’aumentata attività della malattia e sono indicatori di un accumulo sistemico di cristalli nel corpo. </w:t>
      </w:r>
      <w:r w:rsidR="00F924C4">
        <w:rPr>
          <w:rFonts w:cstheme="minorHAnsi"/>
          <w:sz w:val="20"/>
          <w:szCs w:val="20"/>
        </w:rPr>
        <w:t>La durata degli attacchi acuti è maggiore nella gotta severa ed in situazioni dove gli attacchi non sono gestiti in maniera adeguata. I farmaci utilizzati per il trattament</w:t>
      </w:r>
      <w:r>
        <w:rPr>
          <w:rFonts w:cstheme="minorHAnsi"/>
          <w:sz w:val="20"/>
          <w:szCs w:val="20"/>
        </w:rPr>
        <w:t>o degli attacchi acuti sono colc</w:t>
      </w:r>
      <w:r w:rsidR="00F924C4">
        <w:rPr>
          <w:rFonts w:cstheme="minorHAnsi"/>
          <w:sz w:val="20"/>
          <w:szCs w:val="20"/>
        </w:rPr>
        <w:t>hicina, FANS e basse dosi di corticosteroidi (</w:t>
      </w:r>
      <w:r w:rsidR="00F924C4" w:rsidRPr="00F924C4">
        <w:rPr>
          <w:rFonts w:cstheme="minorHAnsi"/>
          <w:color w:val="0000FF"/>
          <w:sz w:val="20"/>
          <w:szCs w:val="20"/>
        </w:rPr>
        <w:t>Manara, 2013 (7)</w:t>
      </w:r>
      <w:r w:rsidR="00F924C4">
        <w:rPr>
          <w:rFonts w:cstheme="minorHAnsi"/>
          <w:sz w:val="20"/>
          <w:szCs w:val="20"/>
        </w:rPr>
        <w:t>)</w:t>
      </w:r>
    </w:p>
    <w:p w14:paraId="558D3EAC" w14:textId="52A217A4" w:rsidR="00B37B17" w:rsidRPr="00EC4AD6" w:rsidRDefault="00B37B17" w:rsidP="001B4E39">
      <w:pPr>
        <w:widowControl w:val="0"/>
        <w:autoSpaceDE w:val="0"/>
        <w:autoSpaceDN w:val="0"/>
        <w:adjustRightInd w:val="0"/>
        <w:spacing w:line="360" w:lineRule="auto"/>
        <w:rPr>
          <w:rFonts w:cstheme="minorHAnsi"/>
          <w:sz w:val="20"/>
          <w:szCs w:val="20"/>
        </w:rPr>
      </w:pPr>
      <w:r w:rsidRPr="00EC4AD6">
        <w:rPr>
          <w:rFonts w:cstheme="minorHAnsi"/>
          <w:sz w:val="20"/>
          <w:szCs w:val="20"/>
        </w:rPr>
        <w:t xml:space="preserve">Di fatto molti pazienti con gotta non raggiungono una gestione adeguata della malattia, nonostante il trattamento con le terapie farmacologiche oggi disponibili. Questi pazienti vanno incontro, quindi, a progressione di malattia con effetti negativi a lungo termine come danni osteoarticolari, disabilità, insufficienza renale e sono associati a </w:t>
      </w:r>
      <w:r w:rsidR="0067643D" w:rsidRPr="0067643D">
        <w:rPr>
          <w:rFonts w:cstheme="minorHAnsi"/>
          <w:sz w:val="20"/>
          <w:szCs w:val="20"/>
        </w:rPr>
        <w:t>un rischio maggiore di comorbidità cardiovascolari e renali, associate pure ad un incrementata mortalità (</w:t>
      </w:r>
      <w:r w:rsidR="009752F0">
        <w:rPr>
          <w:rFonts w:cstheme="minorHAnsi"/>
          <w:color w:val="0000FF"/>
          <w:sz w:val="20"/>
          <w:szCs w:val="20"/>
        </w:rPr>
        <w:t>Perez-Ruiz</w:t>
      </w:r>
      <w:r w:rsidR="0067643D" w:rsidRPr="00317BAF">
        <w:rPr>
          <w:rFonts w:cstheme="minorHAnsi"/>
          <w:color w:val="0000FF"/>
          <w:sz w:val="20"/>
          <w:szCs w:val="20"/>
        </w:rPr>
        <w:t>, 2014 (</w:t>
      </w:r>
      <w:r w:rsidR="00DA7F29">
        <w:rPr>
          <w:rFonts w:cstheme="minorHAnsi"/>
          <w:color w:val="0000FF"/>
          <w:sz w:val="20"/>
          <w:szCs w:val="20"/>
        </w:rPr>
        <w:t>9</w:t>
      </w:r>
      <w:r w:rsidR="0067643D" w:rsidRPr="00317BAF">
        <w:rPr>
          <w:rFonts w:cstheme="minorHAnsi"/>
          <w:color w:val="0000FF"/>
          <w:sz w:val="20"/>
          <w:szCs w:val="20"/>
        </w:rPr>
        <w:t>)</w:t>
      </w:r>
      <w:r w:rsidR="0067643D" w:rsidRPr="0067643D">
        <w:rPr>
          <w:rFonts w:cstheme="minorHAnsi"/>
          <w:sz w:val="20"/>
          <w:szCs w:val="20"/>
        </w:rPr>
        <w:t>)</w:t>
      </w:r>
      <w:r w:rsidR="00317BAF">
        <w:rPr>
          <w:rFonts w:cstheme="minorHAnsi"/>
          <w:sz w:val="20"/>
          <w:szCs w:val="20"/>
        </w:rPr>
        <w:t>.</w:t>
      </w:r>
      <w:r w:rsidR="0067643D" w:rsidRPr="0067643D" w:rsidDel="0067643D">
        <w:rPr>
          <w:rFonts w:cstheme="minorHAnsi"/>
          <w:sz w:val="20"/>
          <w:szCs w:val="20"/>
        </w:rPr>
        <w:t xml:space="preserve"> </w:t>
      </w:r>
    </w:p>
    <w:p w14:paraId="6D6C5130" w14:textId="7B02D678" w:rsidR="0067643D" w:rsidRPr="0067643D" w:rsidRDefault="0067643D" w:rsidP="0067643D">
      <w:pPr>
        <w:widowControl w:val="0"/>
        <w:autoSpaceDE w:val="0"/>
        <w:autoSpaceDN w:val="0"/>
        <w:adjustRightInd w:val="0"/>
        <w:spacing w:line="360" w:lineRule="auto"/>
        <w:rPr>
          <w:rFonts w:cstheme="minorHAnsi"/>
          <w:sz w:val="20"/>
          <w:szCs w:val="20"/>
        </w:rPr>
      </w:pPr>
      <w:r w:rsidRPr="00317BAF">
        <w:rPr>
          <w:rFonts w:cstheme="minorHAnsi"/>
          <w:b/>
          <w:sz w:val="20"/>
          <w:szCs w:val="20"/>
        </w:rPr>
        <w:t>Con le dosi comunemente utilizzate di XOI, più del 50% dei pazienti gottosi non raggiunge il livello target di SUA</w:t>
      </w:r>
      <w:r w:rsidRPr="0067643D">
        <w:rPr>
          <w:rFonts w:cstheme="minorHAnsi"/>
          <w:sz w:val="20"/>
          <w:szCs w:val="20"/>
        </w:rPr>
        <w:t xml:space="preserve"> (&lt; 6.0 mg/dl) (</w:t>
      </w:r>
      <w:r w:rsidR="005469EB" w:rsidRPr="00DA7F29">
        <w:rPr>
          <w:rFonts w:cstheme="minorHAnsi"/>
          <w:color w:val="0000FF"/>
          <w:sz w:val="20"/>
          <w:szCs w:val="20"/>
        </w:rPr>
        <w:t xml:space="preserve">Becker, 2005 (36); </w:t>
      </w:r>
      <w:r w:rsidRPr="00DA7F29">
        <w:rPr>
          <w:rFonts w:cstheme="minorHAnsi"/>
          <w:color w:val="0000FF"/>
          <w:sz w:val="20"/>
          <w:szCs w:val="20"/>
        </w:rPr>
        <w:t xml:space="preserve">Becker, 2009 (37); </w:t>
      </w:r>
      <w:r w:rsidR="00563FA4" w:rsidRPr="00DA7F29">
        <w:rPr>
          <w:rFonts w:cstheme="minorHAnsi"/>
          <w:color w:val="0000FF"/>
          <w:sz w:val="20"/>
          <w:szCs w:val="20"/>
        </w:rPr>
        <w:t>Becker, 2010 (38)</w:t>
      </w:r>
      <w:r w:rsidRPr="00DA7F29">
        <w:rPr>
          <w:rFonts w:cstheme="minorHAnsi"/>
          <w:color w:val="0000FF"/>
          <w:sz w:val="20"/>
          <w:szCs w:val="20"/>
        </w:rPr>
        <w:t xml:space="preserve">; </w:t>
      </w:r>
      <w:r w:rsidR="00563FA4" w:rsidRPr="00DA7F29">
        <w:rPr>
          <w:rFonts w:cstheme="minorHAnsi"/>
          <w:color w:val="0000FF"/>
          <w:sz w:val="20"/>
          <w:szCs w:val="20"/>
        </w:rPr>
        <w:t>Schumacher, 2008 (39)</w:t>
      </w:r>
      <w:r w:rsidR="005469EB">
        <w:rPr>
          <w:rFonts w:cstheme="minorHAnsi"/>
          <w:color w:val="0000FF"/>
          <w:sz w:val="20"/>
          <w:szCs w:val="20"/>
        </w:rPr>
        <w:t xml:space="preserve">; </w:t>
      </w:r>
      <w:r w:rsidR="005469EB" w:rsidRPr="00DA7F29">
        <w:rPr>
          <w:rFonts w:cstheme="minorHAnsi"/>
          <w:color w:val="0000FF"/>
          <w:sz w:val="20"/>
          <w:szCs w:val="20"/>
        </w:rPr>
        <w:t>Becker, 2015 (40)</w:t>
      </w:r>
      <w:r w:rsidRPr="0067643D">
        <w:rPr>
          <w:rFonts w:cstheme="minorHAnsi"/>
          <w:sz w:val="20"/>
          <w:szCs w:val="20"/>
        </w:rPr>
        <w:t>).</w:t>
      </w:r>
    </w:p>
    <w:p w14:paraId="4980F8A2" w14:textId="420C38B4" w:rsidR="0067643D" w:rsidRDefault="0067643D" w:rsidP="0067643D">
      <w:pPr>
        <w:widowControl w:val="0"/>
        <w:autoSpaceDE w:val="0"/>
        <w:autoSpaceDN w:val="0"/>
        <w:adjustRightInd w:val="0"/>
        <w:spacing w:line="360" w:lineRule="auto"/>
        <w:rPr>
          <w:rFonts w:cstheme="minorHAnsi"/>
          <w:sz w:val="20"/>
          <w:szCs w:val="20"/>
        </w:rPr>
      </w:pPr>
      <w:r w:rsidRPr="0067643D">
        <w:rPr>
          <w:rFonts w:cstheme="minorHAnsi"/>
          <w:sz w:val="20"/>
          <w:szCs w:val="20"/>
        </w:rPr>
        <w:t>Pur utilizzando dosaggi superiori a quelli più comunemente utilizzati di allopurinolo (300 mg/die) rimane comunque alta la percentuale di pazienti che non rispondono al trattamento , con il 52% dei pazienti che non raggiungono il livello target di sUA (&lt;6.0 mg/dl) (</w:t>
      </w:r>
      <w:r w:rsidR="00563FA4" w:rsidRPr="00DA7F29">
        <w:rPr>
          <w:rFonts w:cstheme="minorHAnsi"/>
          <w:color w:val="0000FF"/>
          <w:sz w:val="20"/>
          <w:szCs w:val="20"/>
        </w:rPr>
        <w:t>Becker, 2015 (40)</w:t>
      </w:r>
      <w:r w:rsidRPr="0067643D">
        <w:rPr>
          <w:rFonts w:cstheme="minorHAnsi"/>
          <w:sz w:val="20"/>
          <w:szCs w:val="20"/>
        </w:rPr>
        <w:t>).</w:t>
      </w:r>
    </w:p>
    <w:p w14:paraId="05B257C6" w14:textId="5450AA57" w:rsidR="002D6FDC" w:rsidRPr="00EC4AD6" w:rsidRDefault="002D6FDC" w:rsidP="0067643D">
      <w:pPr>
        <w:widowControl w:val="0"/>
        <w:autoSpaceDE w:val="0"/>
        <w:autoSpaceDN w:val="0"/>
        <w:adjustRightInd w:val="0"/>
        <w:spacing w:line="360" w:lineRule="auto"/>
        <w:rPr>
          <w:rFonts w:cstheme="minorHAnsi"/>
          <w:sz w:val="20"/>
          <w:szCs w:val="20"/>
        </w:rPr>
      </w:pPr>
      <w:r w:rsidRPr="00317BAF">
        <w:rPr>
          <w:rFonts w:cstheme="minorHAnsi"/>
          <w:b/>
          <w:sz w:val="20"/>
          <w:szCs w:val="20"/>
        </w:rPr>
        <w:t>Per l’Italia</w:t>
      </w:r>
      <w:r w:rsidRPr="00EC4AD6">
        <w:rPr>
          <w:rFonts w:cstheme="minorHAnsi"/>
          <w:sz w:val="20"/>
          <w:szCs w:val="20"/>
        </w:rPr>
        <w:t xml:space="preserve"> questo valore appare </w:t>
      </w:r>
      <w:r w:rsidR="001237C4" w:rsidRPr="00EC4AD6">
        <w:rPr>
          <w:rFonts w:cstheme="minorHAnsi"/>
          <w:sz w:val="20"/>
          <w:szCs w:val="20"/>
        </w:rPr>
        <w:t>peggiorativo: u</w:t>
      </w:r>
      <w:r w:rsidRPr="00EC4AD6">
        <w:rPr>
          <w:rFonts w:cstheme="minorHAnsi"/>
          <w:sz w:val="20"/>
          <w:szCs w:val="20"/>
        </w:rPr>
        <w:t xml:space="preserve">na ricerca IMS commissionata da Grünenthal nel corso del 2016 ha evidenziato come il </w:t>
      </w:r>
      <w:r w:rsidR="008A4C95">
        <w:rPr>
          <w:rFonts w:cstheme="minorHAnsi"/>
          <w:b/>
          <w:sz w:val="20"/>
          <w:szCs w:val="20"/>
        </w:rPr>
        <w:t>67,7</w:t>
      </w:r>
      <w:r w:rsidRPr="00317BAF">
        <w:rPr>
          <w:rFonts w:cstheme="minorHAnsi"/>
          <w:b/>
          <w:sz w:val="20"/>
          <w:szCs w:val="20"/>
        </w:rPr>
        <w:t xml:space="preserve">% dei pazienti gottosi, sebbene trattati con ULT, presentano livelli di </w:t>
      </w:r>
      <w:r w:rsidR="005848A1" w:rsidRPr="00317BAF">
        <w:rPr>
          <w:rFonts w:cstheme="minorHAnsi"/>
          <w:b/>
          <w:sz w:val="20"/>
          <w:szCs w:val="20"/>
        </w:rPr>
        <w:t>SUA</w:t>
      </w:r>
      <w:r w:rsidRPr="00317BAF">
        <w:rPr>
          <w:rFonts w:cstheme="minorHAnsi"/>
          <w:b/>
          <w:sz w:val="20"/>
          <w:szCs w:val="20"/>
        </w:rPr>
        <w:t xml:space="preserve"> &gt; 6.0 mg/dl </w:t>
      </w:r>
      <w:r w:rsidRPr="00EC4AD6">
        <w:rPr>
          <w:rFonts w:cstheme="minorHAnsi"/>
          <w:sz w:val="20"/>
          <w:szCs w:val="20"/>
        </w:rPr>
        <w:t>(</w:t>
      </w:r>
      <w:r w:rsidR="00563FA4">
        <w:rPr>
          <w:rFonts w:cstheme="minorHAnsi"/>
          <w:color w:val="0000FF"/>
          <w:sz w:val="20"/>
          <w:szCs w:val="20"/>
        </w:rPr>
        <w:t>IMS-Health LPD longitudinal Patient Database, 2016 (41)</w:t>
      </w:r>
      <w:r w:rsidRPr="00EC4AD6">
        <w:rPr>
          <w:rFonts w:cstheme="minorHAnsi"/>
          <w:sz w:val="20"/>
          <w:szCs w:val="20"/>
        </w:rPr>
        <w:t>).</w:t>
      </w:r>
    </w:p>
    <w:p w14:paraId="26AA408D" w14:textId="0B661102" w:rsidR="00B37B17" w:rsidRPr="00EC4AD6" w:rsidRDefault="00B37B17" w:rsidP="001B4E39">
      <w:pPr>
        <w:widowControl w:val="0"/>
        <w:autoSpaceDE w:val="0"/>
        <w:autoSpaceDN w:val="0"/>
        <w:adjustRightInd w:val="0"/>
        <w:spacing w:line="360" w:lineRule="auto"/>
        <w:rPr>
          <w:rFonts w:cstheme="minorHAnsi"/>
          <w:sz w:val="20"/>
          <w:szCs w:val="20"/>
        </w:rPr>
      </w:pPr>
      <w:r w:rsidRPr="00EC4AD6">
        <w:rPr>
          <w:rFonts w:cstheme="minorHAnsi"/>
          <w:sz w:val="20"/>
          <w:szCs w:val="20"/>
        </w:rPr>
        <w:t xml:space="preserve">Inoltre, molti pazienti continuano ad andare incontro a riacutizzazioni frequenti e alla formazione di tofi, nonostante il raggiungimento del livello raccomandato di acido urico. </w:t>
      </w:r>
    </w:p>
    <w:p w14:paraId="4AE9B0C6" w14:textId="77777777" w:rsidR="00B37B17" w:rsidRPr="00EC4AD6" w:rsidRDefault="00B37B17" w:rsidP="001B4E39">
      <w:pPr>
        <w:widowControl w:val="0"/>
        <w:autoSpaceDE w:val="0"/>
        <w:autoSpaceDN w:val="0"/>
        <w:adjustRightInd w:val="0"/>
        <w:spacing w:line="360" w:lineRule="auto"/>
        <w:rPr>
          <w:rFonts w:cstheme="minorHAnsi"/>
          <w:sz w:val="20"/>
          <w:szCs w:val="20"/>
        </w:rPr>
      </w:pPr>
      <w:r w:rsidRPr="00EC4AD6">
        <w:rPr>
          <w:rFonts w:cstheme="minorHAnsi"/>
          <w:sz w:val="20"/>
          <w:szCs w:val="20"/>
        </w:rPr>
        <w:t xml:space="preserve">Esiste, quindi, ancora oggi una quota significativa di pazienti che non riescono a raggiungere i livelli target di uricemia nonostante il trattamento con i farmaci attualmente disponibili. Questi pazienti hanno bisogno di nuove opzioni terapeutiche efficaci e ben tollerate, al fine di limitare le conseguenze e complicanze legate alla cattiva gestione della gotta. </w:t>
      </w:r>
    </w:p>
    <w:p w14:paraId="022F7A45" w14:textId="5F7ADE63" w:rsidR="00B37B17" w:rsidRPr="00EC4AD6" w:rsidRDefault="00B37B17" w:rsidP="001B4E39">
      <w:pPr>
        <w:widowControl w:val="0"/>
        <w:autoSpaceDE w:val="0"/>
        <w:autoSpaceDN w:val="0"/>
        <w:adjustRightInd w:val="0"/>
        <w:spacing w:line="360" w:lineRule="auto"/>
        <w:rPr>
          <w:rFonts w:cstheme="minorHAnsi"/>
          <w:sz w:val="20"/>
          <w:szCs w:val="20"/>
        </w:rPr>
      </w:pPr>
      <w:r w:rsidRPr="00EC4AD6">
        <w:rPr>
          <w:rFonts w:cstheme="minorHAnsi"/>
          <w:sz w:val="20"/>
          <w:szCs w:val="20"/>
        </w:rPr>
        <w:t xml:space="preserve">L’unico farmaco uricosurico oggi disponibile </w:t>
      </w:r>
      <w:r w:rsidR="00320888" w:rsidRPr="00EC4AD6">
        <w:rPr>
          <w:rFonts w:cstheme="minorHAnsi"/>
          <w:sz w:val="20"/>
          <w:szCs w:val="20"/>
        </w:rPr>
        <w:t xml:space="preserve">in Italia </w:t>
      </w:r>
      <w:r w:rsidRPr="00EC4AD6">
        <w:rPr>
          <w:rFonts w:cstheme="minorHAnsi"/>
          <w:sz w:val="20"/>
          <w:szCs w:val="20"/>
        </w:rPr>
        <w:t xml:space="preserve">in </w:t>
      </w:r>
      <w:r w:rsidR="001237C4" w:rsidRPr="00EC4AD6">
        <w:rPr>
          <w:rFonts w:cstheme="minorHAnsi"/>
          <w:sz w:val="20"/>
          <w:szCs w:val="20"/>
        </w:rPr>
        <w:t>associazione</w:t>
      </w:r>
      <w:r w:rsidRPr="00EC4AD6">
        <w:rPr>
          <w:rFonts w:cstheme="minorHAnsi"/>
          <w:sz w:val="20"/>
          <w:szCs w:val="20"/>
        </w:rPr>
        <w:t xml:space="preserve"> a</w:t>
      </w:r>
      <w:r w:rsidR="00A27F12" w:rsidRPr="00EC4AD6">
        <w:rPr>
          <w:rFonts w:cstheme="minorHAnsi"/>
          <w:sz w:val="20"/>
          <w:szCs w:val="20"/>
        </w:rPr>
        <w:t>d</w:t>
      </w:r>
      <w:r w:rsidRPr="00EC4AD6">
        <w:rPr>
          <w:rFonts w:cstheme="minorHAnsi"/>
          <w:sz w:val="20"/>
          <w:szCs w:val="20"/>
        </w:rPr>
        <w:t xml:space="preserve"> allopurinolo o febuxostat è lesinurad (ZURAMPIC). </w:t>
      </w:r>
      <w:r w:rsidRPr="00317BAF">
        <w:rPr>
          <w:rFonts w:cstheme="minorHAnsi"/>
          <w:b/>
          <w:sz w:val="20"/>
          <w:szCs w:val="20"/>
        </w:rPr>
        <w:t>Il place-in-therapy di ZURAMPIC nel percorso terapeutico dei pazienti con iperuricemia e gotta, in linea con l’indicazione approvata e con l</w:t>
      </w:r>
      <w:r w:rsidR="00396F1B" w:rsidRPr="00317BAF">
        <w:rPr>
          <w:rFonts w:cstheme="minorHAnsi"/>
          <w:b/>
          <w:sz w:val="20"/>
          <w:szCs w:val="20"/>
        </w:rPr>
        <w:t>e Linee Guida è illustrata nello schema sottoriportato</w:t>
      </w:r>
      <w:r w:rsidRPr="00317BAF">
        <w:rPr>
          <w:rFonts w:cstheme="minorHAnsi"/>
          <w:b/>
          <w:sz w:val="20"/>
          <w:szCs w:val="20"/>
        </w:rPr>
        <w:t xml:space="preserve"> </w:t>
      </w:r>
      <w:hyperlink w:anchor="Schema1" w:history="1">
        <w:r w:rsidR="00303FBA" w:rsidRPr="00317BAF">
          <w:rPr>
            <w:rStyle w:val="Hyperlink"/>
            <w:rFonts w:cstheme="minorHAnsi"/>
            <w:b/>
            <w:sz w:val="20"/>
            <w:szCs w:val="20"/>
          </w:rPr>
          <w:t>Schema</w:t>
        </w:r>
        <w:r w:rsidRPr="00317BAF">
          <w:rPr>
            <w:rStyle w:val="Hyperlink"/>
            <w:rFonts w:cstheme="minorHAnsi"/>
            <w:b/>
            <w:sz w:val="20"/>
            <w:szCs w:val="20"/>
          </w:rPr>
          <w:t xml:space="preserve"> </w:t>
        </w:r>
        <w:r w:rsidR="00303FBA" w:rsidRPr="00317BAF">
          <w:rPr>
            <w:rStyle w:val="Hyperlink"/>
            <w:rFonts w:cstheme="minorHAnsi"/>
            <w:b/>
            <w:sz w:val="20"/>
            <w:szCs w:val="20"/>
          </w:rPr>
          <w:t>1</w:t>
        </w:r>
      </w:hyperlink>
      <w:r w:rsidR="006018AC" w:rsidRPr="00EC4AD6">
        <w:rPr>
          <w:rFonts w:cstheme="minorHAnsi"/>
          <w:sz w:val="20"/>
          <w:szCs w:val="20"/>
        </w:rPr>
        <w:t>.</w:t>
      </w:r>
    </w:p>
    <w:p w14:paraId="7272507A" w14:textId="380A999A" w:rsidR="00B37B17" w:rsidRPr="00746064" w:rsidRDefault="00746064" w:rsidP="00746064">
      <w:pPr>
        <w:pStyle w:val="Caption"/>
        <w:rPr>
          <w:rFonts w:asciiTheme="minorHAnsi" w:hAnsiTheme="minorHAnsi" w:cstheme="minorHAnsi"/>
          <w:b w:val="0"/>
          <w:lang w:val="it-IT"/>
        </w:rPr>
      </w:pPr>
      <w:bookmarkStart w:id="96" w:name="Figura26"/>
      <w:bookmarkStart w:id="97" w:name="Schema1"/>
      <w:bookmarkEnd w:id="96"/>
      <w:bookmarkEnd w:id="97"/>
      <w:r w:rsidRPr="00746064">
        <w:rPr>
          <w:rFonts w:asciiTheme="minorHAnsi" w:hAnsiTheme="minorHAnsi" w:cstheme="minorHAnsi"/>
          <w:lang w:val="it-IT"/>
        </w:rPr>
        <w:t xml:space="preserve">Schema </w:t>
      </w:r>
      <w:r w:rsidRPr="00746064">
        <w:rPr>
          <w:rFonts w:asciiTheme="minorHAnsi" w:hAnsiTheme="minorHAnsi" w:cstheme="minorHAnsi"/>
        </w:rPr>
        <w:fldChar w:fldCharType="begin"/>
      </w:r>
      <w:r w:rsidRPr="00746064">
        <w:rPr>
          <w:rFonts w:asciiTheme="minorHAnsi" w:hAnsiTheme="minorHAnsi" w:cstheme="minorHAnsi"/>
          <w:lang w:val="it-IT"/>
        </w:rPr>
        <w:instrText xml:space="preserve"> SEQ Schema \* ARABIC </w:instrText>
      </w:r>
      <w:r w:rsidRPr="00746064">
        <w:rPr>
          <w:rFonts w:asciiTheme="minorHAnsi" w:hAnsiTheme="minorHAnsi" w:cstheme="minorHAnsi"/>
        </w:rPr>
        <w:fldChar w:fldCharType="separate"/>
      </w:r>
      <w:r w:rsidR="00A1679C">
        <w:rPr>
          <w:rFonts w:asciiTheme="minorHAnsi" w:hAnsiTheme="minorHAnsi" w:cstheme="minorHAnsi"/>
          <w:noProof/>
          <w:lang w:val="it-IT"/>
        </w:rPr>
        <w:t>1</w:t>
      </w:r>
      <w:r w:rsidRPr="00746064">
        <w:rPr>
          <w:rFonts w:asciiTheme="minorHAnsi" w:hAnsiTheme="minorHAnsi" w:cstheme="minorHAnsi"/>
        </w:rPr>
        <w:fldChar w:fldCharType="end"/>
      </w:r>
      <w:r w:rsidR="006018AC" w:rsidRPr="00746064">
        <w:rPr>
          <w:rFonts w:asciiTheme="minorHAnsi" w:hAnsiTheme="minorHAnsi" w:cstheme="minorHAnsi"/>
          <w:b w:val="0"/>
          <w:lang w:val="it-IT"/>
        </w:rPr>
        <w:t xml:space="preserve"> - </w:t>
      </w:r>
      <w:r w:rsidR="00B37B17" w:rsidRPr="00746064">
        <w:rPr>
          <w:rFonts w:asciiTheme="minorHAnsi" w:hAnsiTheme="minorHAnsi" w:cstheme="minorHAnsi"/>
          <w:b w:val="0"/>
          <w:lang w:val="it-IT"/>
        </w:rPr>
        <w:t xml:space="preserve">Posizione di lesinurad (ZURAMPIC) nel flusso indicato dalle Linee Guida </w:t>
      </w:r>
    </w:p>
    <w:p w14:paraId="268646FE" w14:textId="5BE21BF9" w:rsidR="00B37B17" w:rsidRPr="00AA51F1" w:rsidRDefault="00B37B17" w:rsidP="00B37B17">
      <w:pPr>
        <w:widowControl w:val="0"/>
        <w:autoSpaceDE w:val="0"/>
        <w:autoSpaceDN w:val="0"/>
        <w:adjustRightInd w:val="0"/>
        <w:spacing w:line="360" w:lineRule="auto"/>
        <w:jc w:val="both"/>
        <w:rPr>
          <w:rFonts w:cstheme="minorHAnsi"/>
          <w:b/>
          <w:sz w:val="20"/>
          <w:szCs w:val="20"/>
        </w:rPr>
      </w:pPr>
      <w:r w:rsidRPr="00AA51F1">
        <w:rPr>
          <w:rFonts w:cstheme="minorHAnsi"/>
          <w:b/>
          <w:noProof/>
          <w:sz w:val="20"/>
          <w:szCs w:val="20"/>
          <w:lang w:val="en-GB" w:eastAsia="en-GB"/>
        </w:rPr>
        <w:drawing>
          <wp:inline distT="0" distB="0" distL="0" distR="0" wp14:anchorId="276ACE6F" wp14:editId="70B41E5D">
            <wp:extent cx="5715000" cy="3923663"/>
            <wp:effectExtent l="19050" t="19050" r="19050" b="20320"/>
            <wp:docPr id="579" name="Immagin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6516" cy="3924704"/>
                    </a:xfrm>
                    <a:prstGeom prst="rect">
                      <a:avLst/>
                    </a:prstGeom>
                    <a:noFill/>
                    <a:ln w="9525">
                      <a:solidFill>
                        <a:srgbClr val="000000"/>
                      </a:solidFill>
                      <a:miter lim="800000"/>
                      <a:headEnd/>
                      <a:tailEnd/>
                    </a:ln>
                  </pic:spPr>
                </pic:pic>
              </a:graphicData>
            </a:graphic>
          </wp:inline>
        </w:drawing>
      </w:r>
    </w:p>
    <w:p w14:paraId="0347D22F" w14:textId="77777777" w:rsidR="006018AC" w:rsidRPr="006018AC" w:rsidRDefault="006018AC" w:rsidP="001B4E39">
      <w:pPr>
        <w:widowControl w:val="0"/>
        <w:autoSpaceDE w:val="0"/>
        <w:autoSpaceDN w:val="0"/>
        <w:adjustRightInd w:val="0"/>
        <w:spacing w:line="360" w:lineRule="auto"/>
        <w:rPr>
          <w:rFonts w:cstheme="minorHAnsi"/>
          <w:sz w:val="20"/>
          <w:szCs w:val="20"/>
        </w:rPr>
      </w:pPr>
    </w:p>
    <w:p w14:paraId="085E539F" w14:textId="4DE35C25" w:rsidR="00B37B17" w:rsidRPr="00AA51F1" w:rsidRDefault="00B37B17" w:rsidP="001B4E39">
      <w:pPr>
        <w:widowControl w:val="0"/>
        <w:autoSpaceDE w:val="0"/>
        <w:autoSpaceDN w:val="0"/>
        <w:adjustRightInd w:val="0"/>
        <w:spacing w:line="360" w:lineRule="auto"/>
        <w:rPr>
          <w:rFonts w:cstheme="minorHAnsi"/>
          <w:b/>
          <w:sz w:val="20"/>
          <w:szCs w:val="20"/>
        </w:rPr>
      </w:pPr>
      <w:r w:rsidRPr="00BA0BFE">
        <w:rPr>
          <w:rFonts w:cstheme="minorHAnsi"/>
          <w:b/>
          <w:sz w:val="20"/>
          <w:szCs w:val="20"/>
        </w:rPr>
        <w:t>ZURAMPIC in associazione ad un farmaco XOI, ha dimostrato un beneficio clinico rilevante e statisticamente</w:t>
      </w:r>
      <w:r w:rsidRPr="00AA51F1">
        <w:rPr>
          <w:rFonts w:cstheme="minorHAnsi"/>
          <w:b/>
          <w:sz w:val="20"/>
          <w:szCs w:val="20"/>
        </w:rPr>
        <w:t xml:space="preserve"> significativo nel trattamento cronico di pazienti </w:t>
      </w:r>
      <w:r w:rsidR="00BA0BFE">
        <w:rPr>
          <w:rFonts w:cstheme="minorHAnsi"/>
          <w:b/>
          <w:sz w:val="20"/>
          <w:szCs w:val="20"/>
        </w:rPr>
        <w:t xml:space="preserve">iperuricemici </w:t>
      </w:r>
      <w:r w:rsidRPr="00AA51F1">
        <w:rPr>
          <w:rFonts w:cstheme="minorHAnsi"/>
          <w:b/>
          <w:sz w:val="20"/>
          <w:szCs w:val="20"/>
        </w:rPr>
        <w:t>affetti da gotta, che necessitano di un trattamento aggiuntivo pe</w:t>
      </w:r>
      <w:r w:rsidR="00BA0BFE">
        <w:rPr>
          <w:rFonts w:cstheme="minorHAnsi"/>
          <w:b/>
          <w:sz w:val="20"/>
          <w:szCs w:val="20"/>
        </w:rPr>
        <w:t xml:space="preserve">rché non raggiungono il target </w:t>
      </w:r>
      <w:r w:rsidR="005848A1">
        <w:rPr>
          <w:rFonts w:cstheme="minorHAnsi"/>
          <w:b/>
          <w:sz w:val="20"/>
          <w:szCs w:val="20"/>
        </w:rPr>
        <w:t>sUA</w:t>
      </w:r>
      <w:r w:rsidRPr="00AA51F1">
        <w:rPr>
          <w:rFonts w:cstheme="minorHAnsi"/>
          <w:b/>
          <w:sz w:val="20"/>
          <w:szCs w:val="20"/>
        </w:rPr>
        <w:t xml:space="preserve"> con una monoterapia con XOI.</w:t>
      </w:r>
    </w:p>
    <w:p w14:paraId="25BAA9F8" w14:textId="411C75B6" w:rsidR="00B37B17" w:rsidRPr="00AA51F1" w:rsidRDefault="00B37B17" w:rsidP="00825BD3">
      <w:pPr>
        <w:widowControl w:val="0"/>
        <w:numPr>
          <w:ilvl w:val="0"/>
          <w:numId w:val="20"/>
        </w:numPr>
        <w:autoSpaceDE w:val="0"/>
        <w:autoSpaceDN w:val="0"/>
        <w:adjustRightInd w:val="0"/>
        <w:spacing w:line="360" w:lineRule="auto"/>
        <w:rPr>
          <w:rFonts w:cstheme="minorHAnsi"/>
          <w:b/>
          <w:sz w:val="20"/>
          <w:szCs w:val="20"/>
        </w:rPr>
      </w:pPr>
      <w:r w:rsidRPr="00AA51F1">
        <w:rPr>
          <w:rFonts w:cstheme="minorHAnsi"/>
          <w:b/>
          <w:sz w:val="20"/>
          <w:szCs w:val="20"/>
        </w:rPr>
        <w:t>L’efficacia e tollerabilità di ZURAMPIC in mono-somministrazione giornaliera e in associazione con un farmaco XOI, è stata studiata in 3 ampi RCT di Fase III, svolti su oltre 1.500 pazienti adulti affetti da iperuricemia e gotta</w:t>
      </w:r>
      <w:r w:rsidR="00396F1B">
        <w:rPr>
          <w:rFonts w:cstheme="minorHAnsi"/>
          <w:b/>
          <w:sz w:val="20"/>
          <w:szCs w:val="20"/>
        </w:rPr>
        <w:t xml:space="preserve"> (</w:t>
      </w:r>
      <w:r w:rsidR="00210C18">
        <w:rPr>
          <w:rFonts w:cs="Arial"/>
          <w:color w:val="0000FF"/>
          <w:sz w:val="20"/>
          <w:szCs w:val="20"/>
        </w:rPr>
        <w:t xml:space="preserve">CSR 304,2014 (109); </w:t>
      </w:r>
      <w:r w:rsidR="00D3508A">
        <w:rPr>
          <w:rFonts w:cs="Arial"/>
          <w:color w:val="0000FF"/>
          <w:sz w:val="20"/>
          <w:szCs w:val="20"/>
        </w:rPr>
        <w:t>Saag, 2016 (138</w:t>
      </w:r>
      <w:r w:rsidR="00DA7F29" w:rsidRPr="00A06E25">
        <w:rPr>
          <w:rFonts w:cs="Arial"/>
          <w:color w:val="0000FF"/>
          <w:sz w:val="20"/>
          <w:szCs w:val="20"/>
        </w:rPr>
        <w:t>)</w:t>
      </w:r>
      <w:r w:rsidR="00396F1B" w:rsidRPr="00A06E25">
        <w:rPr>
          <w:rFonts w:cs="Arial"/>
          <w:color w:val="0000FF"/>
          <w:sz w:val="20"/>
          <w:szCs w:val="20"/>
        </w:rPr>
        <w:t xml:space="preserve">; </w:t>
      </w:r>
      <w:r w:rsidR="00A06E25" w:rsidRPr="00A06E25">
        <w:rPr>
          <w:rFonts w:cs="Arial"/>
          <w:color w:val="0000FF"/>
          <w:sz w:val="20"/>
          <w:szCs w:val="20"/>
        </w:rPr>
        <w:t>Bardin, 2016 (139)</w:t>
      </w:r>
      <w:r w:rsidR="00396F1B" w:rsidRPr="00A06E25">
        <w:rPr>
          <w:rFonts w:cs="Arial"/>
          <w:color w:val="0000FF"/>
          <w:sz w:val="20"/>
          <w:szCs w:val="20"/>
        </w:rPr>
        <w:t>,</w:t>
      </w:r>
      <w:r w:rsidR="00BA0BFE" w:rsidRPr="00BA0BFE">
        <w:rPr>
          <w:rFonts w:cs="Arial"/>
          <w:sz w:val="20"/>
          <w:szCs w:val="20"/>
        </w:rPr>
        <w:t>)</w:t>
      </w:r>
      <w:r w:rsidRPr="00AA51F1">
        <w:rPr>
          <w:rFonts w:cstheme="minorHAnsi"/>
          <w:b/>
          <w:sz w:val="20"/>
          <w:szCs w:val="20"/>
        </w:rPr>
        <w:t>.</w:t>
      </w:r>
    </w:p>
    <w:p w14:paraId="07DD1E45" w14:textId="77777777" w:rsidR="005C654C" w:rsidRPr="00F61A51" w:rsidRDefault="005C654C" w:rsidP="00825BD3">
      <w:pPr>
        <w:numPr>
          <w:ilvl w:val="0"/>
          <w:numId w:val="20"/>
        </w:numPr>
        <w:spacing w:line="360" w:lineRule="auto"/>
        <w:rPr>
          <w:rFonts w:cs="Arial"/>
          <w:sz w:val="20"/>
          <w:szCs w:val="20"/>
        </w:rPr>
      </w:pPr>
      <w:r w:rsidRPr="00F61A51">
        <w:rPr>
          <w:rFonts w:cs="Arial"/>
          <w:sz w:val="20"/>
          <w:szCs w:val="20"/>
        </w:rPr>
        <w:t xml:space="preserve">Somministrato in associazione a un farmaco XOI, </w:t>
      </w:r>
      <w:r w:rsidRPr="00F61A51">
        <w:rPr>
          <w:rFonts w:cs="Arial"/>
          <w:b/>
          <w:sz w:val="20"/>
          <w:szCs w:val="20"/>
        </w:rPr>
        <w:t>ZURAMPIC migliora l’escrezione dell’acido urico e riduce i livelli di urato sierico (</w:t>
      </w:r>
      <w:r>
        <w:rPr>
          <w:rFonts w:cs="Arial"/>
          <w:b/>
          <w:sz w:val="20"/>
          <w:szCs w:val="20"/>
        </w:rPr>
        <w:t>sUA</w:t>
      </w:r>
      <w:r w:rsidRPr="00F61A51">
        <w:rPr>
          <w:rFonts w:cs="Arial"/>
          <w:b/>
          <w:sz w:val="20"/>
          <w:szCs w:val="20"/>
        </w:rPr>
        <w:t>)</w:t>
      </w:r>
      <w:r w:rsidRPr="00F61A51">
        <w:rPr>
          <w:rFonts w:cs="Arial"/>
          <w:sz w:val="20"/>
          <w:szCs w:val="20"/>
        </w:rPr>
        <w:t xml:space="preserve"> </w:t>
      </w:r>
      <w:r w:rsidRPr="00F61A51">
        <w:rPr>
          <w:rFonts w:cs="Arial"/>
          <w:b/>
          <w:sz w:val="20"/>
          <w:szCs w:val="20"/>
        </w:rPr>
        <w:t>del 15-25%, raddoppiando il numero di pazienti che raggiungono il target</w:t>
      </w:r>
      <w:r w:rsidRPr="00F61A51">
        <w:rPr>
          <w:rFonts w:cs="Arial"/>
          <w:sz w:val="20"/>
          <w:szCs w:val="20"/>
        </w:rPr>
        <w:t xml:space="preserve"> terapeutico raccomandato dalle Linee Guida.</w:t>
      </w:r>
    </w:p>
    <w:p w14:paraId="48DEE96C" w14:textId="77777777" w:rsidR="005C654C" w:rsidRPr="00F61A51" w:rsidRDefault="005C654C" w:rsidP="00825BD3">
      <w:pPr>
        <w:numPr>
          <w:ilvl w:val="1"/>
          <w:numId w:val="20"/>
        </w:numPr>
        <w:spacing w:line="360" w:lineRule="auto"/>
        <w:rPr>
          <w:rFonts w:cs="Arial"/>
          <w:sz w:val="20"/>
          <w:szCs w:val="20"/>
        </w:rPr>
      </w:pPr>
      <w:r w:rsidRPr="00F61A51">
        <w:rPr>
          <w:rFonts w:cs="Arial"/>
          <w:sz w:val="20"/>
          <w:szCs w:val="20"/>
        </w:rPr>
        <w:t>in entrambi i confronti (vs. allopurinolo e vs. febuxostat ) ZURAMPIC in associazione</w:t>
      </w:r>
      <w:r>
        <w:rPr>
          <w:rFonts w:cs="Arial"/>
          <w:sz w:val="20"/>
          <w:szCs w:val="20"/>
        </w:rPr>
        <w:t xml:space="preserve"> a XOI</w:t>
      </w:r>
      <w:r w:rsidRPr="00F61A51">
        <w:rPr>
          <w:rFonts w:cs="Arial"/>
          <w:sz w:val="20"/>
          <w:szCs w:val="20"/>
        </w:rPr>
        <w:t xml:space="preserve"> ha dimostrato una riduzione rapida e sostenuta dell’uricemia, </w:t>
      </w:r>
      <w:r w:rsidRPr="00F61A51">
        <w:rPr>
          <w:rFonts w:cs="Arial"/>
          <w:b/>
          <w:sz w:val="20"/>
          <w:szCs w:val="20"/>
        </w:rPr>
        <w:t xml:space="preserve">per cui una quota maggiore di pazienti ha raggiunto i livelli target di </w:t>
      </w:r>
      <w:r>
        <w:rPr>
          <w:rFonts w:cs="Arial"/>
          <w:b/>
          <w:sz w:val="20"/>
          <w:szCs w:val="20"/>
        </w:rPr>
        <w:t>sUA</w:t>
      </w:r>
      <w:r w:rsidRPr="00F61A51">
        <w:rPr>
          <w:rFonts w:cs="Arial"/>
          <w:b/>
          <w:sz w:val="20"/>
          <w:szCs w:val="20"/>
        </w:rPr>
        <w:t xml:space="preserve"> (&lt;6.0mg/dl vs allopurinolo monoterapia e &lt;5.0mg/dl vs. febuxostat monoterapia)</w:t>
      </w:r>
      <w:r w:rsidRPr="00F61A51">
        <w:rPr>
          <w:rFonts w:cs="Arial"/>
          <w:sz w:val="20"/>
          <w:szCs w:val="20"/>
        </w:rPr>
        <w:t xml:space="preserve"> </w:t>
      </w:r>
      <w:r w:rsidRPr="00D76F42">
        <w:rPr>
          <w:rFonts w:cs="Arial"/>
          <w:b/>
          <w:sz w:val="20"/>
          <w:szCs w:val="20"/>
        </w:rPr>
        <w:t>fin dal mese 1, target mantenuto fino al 12° mese di studio e nei successivi 12 mesi di estensione</w:t>
      </w:r>
    </w:p>
    <w:p w14:paraId="2AADC275" w14:textId="02F0F9CE" w:rsidR="005C654C" w:rsidRPr="00F61A51" w:rsidRDefault="005C654C" w:rsidP="00825BD3">
      <w:pPr>
        <w:numPr>
          <w:ilvl w:val="1"/>
          <w:numId w:val="20"/>
        </w:numPr>
        <w:spacing w:line="360" w:lineRule="auto"/>
        <w:rPr>
          <w:rFonts w:cs="Arial"/>
          <w:sz w:val="20"/>
          <w:szCs w:val="20"/>
        </w:rPr>
      </w:pPr>
      <w:r w:rsidRPr="00F61A51">
        <w:rPr>
          <w:rFonts w:cs="Arial"/>
          <w:sz w:val="20"/>
          <w:szCs w:val="20"/>
        </w:rPr>
        <w:t xml:space="preserve">in entrambi i confronti (vs. allopurinolo e vs. febuxostat) la consistente superiorità di efficacia della combinazione con ZURAMPIC è stata </w:t>
      </w:r>
      <w:r w:rsidRPr="00D76F42">
        <w:rPr>
          <w:rFonts w:cs="Arial"/>
          <w:b/>
          <w:sz w:val="20"/>
          <w:szCs w:val="20"/>
        </w:rPr>
        <w:t>confermata in tutti i sottogruppi di pazienti analizzati</w:t>
      </w:r>
      <w:r w:rsidRPr="00F61A51">
        <w:rPr>
          <w:rFonts w:cs="Arial"/>
          <w:sz w:val="20"/>
          <w:szCs w:val="20"/>
        </w:rPr>
        <w:t xml:space="preserve"> e in particolare nei soggetti con insufficienza renale lieve-moderata, nei soggetti che assumevano diuretici tiazidici, nei pazienti in trattamento con aspirina e </w:t>
      </w:r>
      <w:r w:rsidR="0067643D" w:rsidRPr="0067643D">
        <w:rPr>
          <w:rFonts w:cs="Arial"/>
          <w:sz w:val="20"/>
          <w:szCs w:val="20"/>
        </w:rPr>
        <w:t>nei pazienti con età ≥65 anni</w:t>
      </w:r>
      <w:r w:rsidRPr="00F61A51">
        <w:rPr>
          <w:rFonts w:cs="Arial"/>
          <w:sz w:val="20"/>
          <w:szCs w:val="20"/>
        </w:rPr>
        <w:t>.</w:t>
      </w:r>
    </w:p>
    <w:p w14:paraId="6709BD65" w14:textId="4E3052A8" w:rsidR="005C654C" w:rsidRPr="00F61A51" w:rsidRDefault="005C654C" w:rsidP="00825BD3">
      <w:pPr>
        <w:numPr>
          <w:ilvl w:val="0"/>
          <w:numId w:val="20"/>
        </w:numPr>
        <w:spacing w:line="360" w:lineRule="auto"/>
        <w:rPr>
          <w:rFonts w:cs="Arial"/>
          <w:sz w:val="20"/>
          <w:szCs w:val="20"/>
        </w:rPr>
      </w:pPr>
      <w:r w:rsidRPr="00E62075">
        <w:rPr>
          <w:rFonts w:cs="Arial"/>
          <w:sz w:val="20"/>
          <w:szCs w:val="20"/>
        </w:rPr>
        <w:t xml:space="preserve">Un’analisi addizionale ha dimostrato che l’associazione lesinurad con XOI è efficace nei soggetti più resistenti, inclusi quelli con livelli al basale di </w:t>
      </w:r>
      <w:r>
        <w:rPr>
          <w:rFonts w:cs="Arial"/>
          <w:sz w:val="20"/>
          <w:szCs w:val="20"/>
        </w:rPr>
        <w:t>SUA</w:t>
      </w:r>
      <w:r w:rsidRPr="00E62075">
        <w:rPr>
          <w:rFonts w:cs="Arial"/>
          <w:sz w:val="20"/>
          <w:szCs w:val="20"/>
        </w:rPr>
        <w:t xml:space="preserve"> più elevati (es. </w:t>
      </w:r>
      <w:r>
        <w:rPr>
          <w:rFonts w:cs="Arial"/>
          <w:sz w:val="20"/>
          <w:szCs w:val="20"/>
        </w:rPr>
        <w:t>SUA</w:t>
      </w:r>
      <w:r w:rsidRPr="00E62075">
        <w:rPr>
          <w:rFonts w:cs="Arial"/>
          <w:sz w:val="20"/>
          <w:szCs w:val="20"/>
        </w:rPr>
        <w:t xml:space="preserve"> &gt; 7-8 mg/dl) (</w:t>
      </w:r>
      <w:r w:rsidR="00563FA4">
        <w:rPr>
          <w:rFonts w:cs="Arial"/>
          <w:color w:val="0000FF"/>
          <w:sz w:val="20"/>
          <w:szCs w:val="20"/>
        </w:rPr>
        <w:t>EPAR, 2015 (42)</w:t>
      </w:r>
      <w:r w:rsidRPr="00E62075">
        <w:rPr>
          <w:rFonts w:cs="Arial"/>
          <w:sz w:val="20"/>
          <w:szCs w:val="20"/>
        </w:rPr>
        <w:t>).</w:t>
      </w:r>
    </w:p>
    <w:p w14:paraId="56602324" w14:textId="2383FF9C" w:rsidR="0067643D" w:rsidRPr="00D76F42" w:rsidRDefault="0067643D" w:rsidP="00825BD3">
      <w:pPr>
        <w:pStyle w:val="ListParagraph"/>
        <w:numPr>
          <w:ilvl w:val="0"/>
          <w:numId w:val="20"/>
        </w:numPr>
        <w:spacing w:line="360" w:lineRule="auto"/>
        <w:rPr>
          <w:rFonts w:asciiTheme="minorHAnsi" w:eastAsiaTheme="minorEastAsia" w:hAnsiTheme="minorHAnsi" w:cs="Arial"/>
          <w:sz w:val="20"/>
          <w:szCs w:val="20"/>
          <w:lang w:eastAsia="ja-JP"/>
        </w:rPr>
      </w:pPr>
      <w:r w:rsidRPr="00D76F42">
        <w:rPr>
          <w:rFonts w:asciiTheme="minorHAnsi" w:eastAsiaTheme="minorEastAsia" w:hAnsiTheme="minorHAnsi" w:cs="Arial"/>
          <w:sz w:val="20"/>
          <w:szCs w:val="20"/>
          <w:lang w:eastAsia="ja-JP"/>
        </w:rPr>
        <w:t>ZURAMPIC in combinazione con allopurinolo ha consentito il raggiungimento dei livelli target di sUA in più del doppio dei pazienti con tofi al basale rispetto alla monoterapia (46.8% versus 21.3%, p = 0.0011)(</w:t>
      </w:r>
      <w:r w:rsidR="0020764E">
        <w:rPr>
          <w:rFonts w:asciiTheme="minorHAnsi" w:eastAsiaTheme="minorEastAsia" w:hAnsiTheme="minorHAnsi" w:cs="Arial"/>
          <w:color w:val="0000FF"/>
          <w:sz w:val="20"/>
          <w:szCs w:val="20"/>
          <w:lang w:eastAsia="ja-JP"/>
        </w:rPr>
        <w:t>Clinical Overview, 2014 (131</w:t>
      </w:r>
      <w:r w:rsidR="009B51CD">
        <w:rPr>
          <w:rFonts w:asciiTheme="minorHAnsi" w:eastAsiaTheme="minorEastAsia" w:hAnsiTheme="minorHAnsi" w:cs="Arial"/>
          <w:color w:val="0000FF"/>
          <w:sz w:val="20"/>
          <w:szCs w:val="20"/>
          <w:lang w:eastAsia="ja-JP"/>
        </w:rPr>
        <w:t>)</w:t>
      </w:r>
      <w:r w:rsidRPr="00D76F42">
        <w:rPr>
          <w:rFonts w:asciiTheme="minorHAnsi" w:eastAsiaTheme="minorEastAsia" w:hAnsiTheme="minorHAnsi" w:cs="Arial"/>
          <w:sz w:val="20"/>
          <w:szCs w:val="20"/>
          <w:lang w:eastAsia="ja-JP"/>
        </w:rPr>
        <w:t>)</w:t>
      </w:r>
    </w:p>
    <w:p w14:paraId="3A4EB120" w14:textId="6C21257F" w:rsidR="005C654C" w:rsidRDefault="005C654C" w:rsidP="00825BD3">
      <w:pPr>
        <w:numPr>
          <w:ilvl w:val="0"/>
          <w:numId w:val="20"/>
        </w:numPr>
        <w:spacing w:line="360" w:lineRule="auto"/>
        <w:rPr>
          <w:rFonts w:cs="Arial"/>
          <w:sz w:val="20"/>
          <w:szCs w:val="20"/>
        </w:rPr>
      </w:pPr>
      <w:r w:rsidRPr="00F61A51">
        <w:rPr>
          <w:rFonts w:cs="Arial"/>
          <w:b/>
          <w:sz w:val="20"/>
          <w:szCs w:val="20"/>
        </w:rPr>
        <w:t xml:space="preserve">ZURAMPIC </w:t>
      </w:r>
      <w:r w:rsidRPr="00D76F42">
        <w:rPr>
          <w:rFonts w:cs="Arial"/>
          <w:sz w:val="20"/>
          <w:szCs w:val="20"/>
        </w:rPr>
        <w:t>in combinazione con febuxostat, in</w:t>
      </w:r>
      <w:r w:rsidRPr="00F61A51">
        <w:rPr>
          <w:rFonts w:cs="Arial"/>
          <w:sz w:val="20"/>
          <w:szCs w:val="20"/>
        </w:rPr>
        <w:t xml:space="preserve"> una popolazione di pazienti con tofi visibili al basale, ha determinato </w:t>
      </w:r>
      <w:r w:rsidRPr="00405C98">
        <w:rPr>
          <w:rFonts w:cs="Arial"/>
          <w:b/>
          <w:sz w:val="20"/>
          <w:szCs w:val="20"/>
        </w:rPr>
        <w:t>una riduzione dell’area dei tofi superiore rispetto alla monoterapia</w:t>
      </w:r>
      <w:r w:rsidRPr="00F61A51">
        <w:rPr>
          <w:rFonts w:cs="Arial"/>
          <w:sz w:val="20"/>
          <w:szCs w:val="20"/>
        </w:rPr>
        <w:t xml:space="preserve"> riducendo quasi del doppio l’area totale dei tofi (50</w:t>
      </w:r>
      <w:r>
        <w:rPr>
          <w:rFonts w:cs="Arial"/>
          <w:sz w:val="20"/>
          <w:szCs w:val="20"/>
        </w:rPr>
        <w:t>.1</w:t>
      </w:r>
      <w:r w:rsidRPr="00F61A51">
        <w:rPr>
          <w:rFonts w:cs="Arial"/>
          <w:sz w:val="20"/>
          <w:szCs w:val="20"/>
        </w:rPr>
        <w:t>% vs. 28</w:t>
      </w:r>
      <w:r>
        <w:rPr>
          <w:rFonts w:cs="Arial"/>
          <w:sz w:val="20"/>
          <w:szCs w:val="20"/>
        </w:rPr>
        <w:t>.3</w:t>
      </w:r>
      <w:r w:rsidRPr="00F61A51">
        <w:rPr>
          <w:rFonts w:cs="Arial"/>
          <w:sz w:val="20"/>
          <w:szCs w:val="20"/>
        </w:rPr>
        <w:t>% della monoterapia)</w:t>
      </w:r>
      <w:r w:rsidR="0067643D" w:rsidRPr="0067643D">
        <w:rPr>
          <w:rFonts w:cs="Arial"/>
          <w:sz w:val="20"/>
          <w:szCs w:val="20"/>
        </w:rPr>
        <w:t xml:space="preserve"> </w:t>
      </w:r>
      <w:r w:rsidR="0067643D">
        <w:rPr>
          <w:rFonts w:cs="Arial"/>
          <w:sz w:val="20"/>
          <w:szCs w:val="20"/>
        </w:rPr>
        <w:t>(</w:t>
      </w:r>
      <w:r w:rsidR="0087651E">
        <w:rPr>
          <w:rFonts w:cs="Arial"/>
          <w:color w:val="0000FF"/>
          <w:sz w:val="20"/>
          <w:szCs w:val="20"/>
        </w:rPr>
        <w:t>CSR 304, 2014 (111</w:t>
      </w:r>
      <w:r w:rsidR="008E6BDD">
        <w:rPr>
          <w:rFonts w:cs="Arial"/>
          <w:color w:val="0000FF"/>
          <w:sz w:val="20"/>
          <w:szCs w:val="20"/>
        </w:rPr>
        <w:t>)</w:t>
      </w:r>
      <w:r w:rsidR="0067643D">
        <w:rPr>
          <w:rFonts w:cs="Arial"/>
          <w:sz w:val="20"/>
          <w:szCs w:val="20"/>
        </w:rPr>
        <w:t>)</w:t>
      </w:r>
      <w:r w:rsidR="0067643D" w:rsidRPr="00F61A51">
        <w:rPr>
          <w:rFonts w:cs="Arial"/>
          <w:sz w:val="20"/>
          <w:szCs w:val="20"/>
        </w:rPr>
        <w:t>.</w:t>
      </w:r>
      <w:r w:rsidRPr="00F61A51">
        <w:rPr>
          <w:rFonts w:cs="Arial"/>
          <w:sz w:val="20"/>
          <w:szCs w:val="20"/>
        </w:rPr>
        <w:t xml:space="preserve"> </w:t>
      </w:r>
    </w:p>
    <w:p w14:paraId="77EDE593" w14:textId="5E8A4815" w:rsidR="005C654C" w:rsidRDefault="005C654C" w:rsidP="00825BD3">
      <w:pPr>
        <w:numPr>
          <w:ilvl w:val="0"/>
          <w:numId w:val="20"/>
        </w:numPr>
        <w:spacing w:line="360" w:lineRule="auto"/>
        <w:rPr>
          <w:rFonts w:cs="Arial"/>
          <w:sz w:val="20"/>
          <w:szCs w:val="20"/>
        </w:rPr>
      </w:pPr>
      <w:r w:rsidRPr="0035001A">
        <w:rPr>
          <w:rFonts w:cs="Arial"/>
          <w:b/>
          <w:sz w:val="20"/>
          <w:szCs w:val="20"/>
        </w:rPr>
        <w:t xml:space="preserve">i dati di efficacia a lungo termine dopo 24 mesi di trattamento hanno fornito evidenze sufficienti a dimostrare l’effetto clinico con riduzione continua dei tofi e dei flares </w:t>
      </w:r>
      <w:r w:rsidRPr="00746064">
        <w:rPr>
          <w:rFonts w:cs="Arial"/>
          <w:sz w:val="20"/>
          <w:szCs w:val="20"/>
        </w:rPr>
        <w:t>(</w:t>
      </w:r>
      <w:r w:rsidR="00563FA4">
        <w:rPr>
          <w:rFonts w:cs="Arial"/>
          <w:color w:val="0000FF"/>
          <w:sz w:val="20"/>
          <w:szCs w:val="20"/>
        </w:rPr>
        <w:t>EPAR, 2015 (42)</w:t>
      </w:r>
      <w:r w:rsidRPr="00746064">
        <w:rPr>
          <w:rFonts w:cs="Arial"/>
          <w:sz w:val="20"/>
          <w:szCs w:val="20"/>
        </w:rPr>
        <w:t>).</w:t>
      </w:r>
    </w:p>
    <w:p w14:paraId="7C8D2725" w14:textId="77777777" w:rsidR="005C654C" w:rsidRDefault="005C654C" w:rsidP="00825BD3">
      <w:pPr>
        <w:numPr>
          <w:ilvl w:val="0"/>
          <w:numId w:val="20"/>
        </w:numPr>
        <w:spacing w:line="360" w:lineRule="auto"/>
        <w:rPr>
          <w:rFonts w:cs="Arial"/>
          <w:sz w:val="20"/>
          <w:szCs w:val="20"/>
        </w:rPr>
      </w:pPr>
      <w:r w:rsidRPr="00F61A51">
        <w:rPr>
          <w:rFonts w:cs="Arial"/>
          <w:sz w:val="20"/>
          <w:szCs w:val="20"/>
        </w:rPr>
        <w:t xml:space="preserve">ZURAMPIC in combinazione con un farmaco XOI ha un </w:t>
      </w:r>
      <w:r w:rsidRPr="00F61A51">
        <w:rPr>
          <w:rFonts w:cs="Arial"/>
          <w:b/>
          <w:sz w:val="20"/>
          <w:szCs w:val="20"/>
        </w:rPr>
        <w:t>profilo di eventi avversi del tutto gestibile, e comparabile</w:t>
      </w:r>
      <w:r w:rsidRPr="00F61A51">
        <w:rPr>
          <w:rFonts w:cs="Arial"/>
          <w:sz w:val="20"/>
          <w:szCs w:val="20"/>
        </w:rPr>
        <w:t xml:space="preserve"> a quello che si ottiene con allopurinolo o febuxostat in monoterapia.</w:t>
      </w:r>
    </w:p>
    <w:p w14:paraId="4E23A243" w14:textId="07B269BD" w:rsidR="005C654C" w:rsidRDefault="005C654C" w:rsidP="00825BD3">
      <w:pPr>
        <w:numPr>
          <w:ilvl w:val="0"/>
          <w:numId w:val="20"/>
        </w:numPr>
        <w:spacing w:line="360" w:lineRule="auto"/>
        <w:rPr>
          <w:rFonts w:cs="Arial"/>
          <w:sz w:val="20"/>
          <w:szCs w:val="20"/>
        </w:rPr>
      </w:pPr>
      <w:r>
        <w:rPr>
          <w:rFonts w:cs="Arial"/>
          <w:sz w:val="20"/>
          <w:szCs w:val="20"/>
        </w:rPr>
        <w:t>Quanto sopra è stato confermato anche dai dati di studi a lungo termine (dopo 24 mesi)</w:t>
      </w:r>
      <w:r w:rsidR="00746064">
        <w:rPr>
          <w:rFonts w:cs="Arial"/>
          <w:sz w:val="20"/>
          <w:szCs w:val="20"/>
        </w:rPr>
        <w:t>.</w:t>
      </w:r>
    </w:p>
    <w:p w14:paraId="4814CCDD" w14:textId="4DC01E1C" w:rsidR="005C654C" w:rsidRPr="00F61A51" w:rsidRDefault="005C654C" w:rsidP="00825BD3">
      <w:pPr>
        <w:numPr>
          <w:ilvl w:val="0"/>
          <w:numId w:val="20"/>
        </w:numPr>
        <w:spacing w:line="360" w:lineRule="auto"/>
        <w:rPr>
          <w:rFonts w:cs="Arial"/>
          <w:sz w:val="20"/>
          <w:szCs w:val="20"/>
        </w:rPr>
      </w:pPr>
      <w:r>
        <w:rPr>
          <w:rFonts w:cs="Arial"/>
          <w:sz w:val="20"/>
          <w:szCs w:val="20"/>
        </w:rPr>
        <w:t>ZURAMPIC</w:t>
      </w:r>
      <w:r w:rsidRPr="000B4D6A">
        <w:rPr>
          <w:rFonts w:cs="Arial"/>
          <w:sz w:val="20"/>
          <w:szCs w:val="20"/>
        </w:rPr>
        <w:t xml:space="preserve"> ha dimostrato di </w:t>
      </w:r>
      <w:r w:rsidRPr="00D76F42">
        <w:rPr>
          <w:rFonts w:cs="Arial"/>
          <w:b/>
          <w:sz w:val="20"/>
          <w:szCs w:val="20"/>
        </w:rPr>
        <w:t>non avere rilevanti interazioni con altri farmaci</w:t>
      </w:r>
      <w:r w:rsidRPr="000B4D6A">
        <w:rPr>
          <w:rFonts w:cs="Arial"/>
          <w:sz w:val="20"/>
          <w:szCs w:val="20"/>
        </w:rPr>
        <w:t xml:space="preserve"> quali atorvastatina, metformina e furosemide, non alterandone l’esposizione plasmatica (AUC). Questo aspetto è particolarmente importante in soggetti anziani, tipicamente poli-trattati per altre patologie croniche quali ipercolesterolemia, diabete e ipertensione (</w:t>
      </w:r>
      <w:r w:rsidR="00E54BFE">
        <w:rPr>
          <w:rFonts w:cs="Arial"/>
          <w:color w:val="0000FF"/>
          <w:sz w:val="20"/>
          <w:szCs w:val="20"/>
        </w:rPr>
        <w:t>Shen, 2016 (5)</w:t>
      </w:r>
      <w:r w:rsidRPr="000B4D6A">
        <w:rPr>
          <w:rFonts w:cs="Arial"/>
          <w:sz w:val="20"/>
          <w:szCs w:val="20"/>
        </w:rPr>
        <w:t>).</w:t>
      </w:r>
    </w:p>
    <w:p w14:paraId="30F83D4A" w14:textId="6DADDDB5" w:rsidR="00B37B17" w:rsidRPr="00AA51F1" w:rsidRDefault="00B34E9C" w:rsidP="00825BD3">
      <w:pPr>
        <w:widowControl w:val="0"/>
        <w:numPr>
          <w:ilvl w:val="0"/>
          <w:numId w:val="20"/>
        </w:numPr>
        <w:autoSpaceDE w:val="0"/>
        <w:autoSpaceDN w:val="0"/>
        <w:adjustRightInd w:val="0"/>
        <w:spacing w:line="360" w:lineRule="auto"/>
        <w:rPr>
          <w:rFonts w:cstheme="minorHAnsi"/>
          <w:b/>
          <w:sz w:val="20"/>
          <w:szCs w:val="20"/>
        </w:rPr>
      </w:pPr>
      <w:r>
        <w:rPr>
          <w:rFonts w:cs="Arial"/>
          <w:b/>
          <w:sz w:val="20"/>
          <w:szCs w:val="20"/>
        </w:rPr>
        <w:t xml:space="preserve">Pertanto, come sostenuto anche dall’esperto Prof. </w:t>
      </w:r>
      <w:r w:rsidR="00753598">
        <w:rPr>
          <w:rFonts w:cs="Arial"/>
          <w:b/>
          <w:sz w:val="20"/>
          <w:szCs w:val="20"/>
        </w:rPr>
        <w:t>Punzi Direttore U.O.C. di Reumatologia, Università degli Studi di Padova</w:t>
      </w:r>
      <w:r>
        <w:rPr>
          <w:rFonts w:cs="Arial"/>
          <w:b/>
          <w:sz w:val="20"/>
          <w:szCs w:val="20"/>
        </w:rPr>
        <w:t xml:space="preserve"> (</w:t>
      </w:r>
      <w:hyperlink w:anchor="Allegato1" w:history="1">
        <w:r w:rsidRPr="00746064">
          <w:rPr>
            <w:rStyle w:val="Hyperlink"/>
            <w:rFonts w:cs="Arial"/>
            <w:b/>
            <w:sz w:val="20"/>
            <w:szCs w:val="20"/>
          </w:rPr>
          <w:t>Allegato 1</w:t>
        </w:r>
      </w:hyperlink>
      <w:r>
        <w:rPr>
          <w:rFonts w:cs="Arial"/>
          <w:b/>
          <w:sz w:val="20"/>
          <w:szCs w:val="20"/>
        </w:rPr>
        <w:t xml:space="preserve">), </w:t>
      </w:r>
      <w:r w:rsidR="005C654C" w:rsidRPr="00F61A51">
        <w:rPr>
          <w:rFonts w:cs="Arial"/>
          <w:b/>
          <w:sz w:val="20"/>
          <w:szCs w:val="20"/>
        </w:rPr>
        <w:t>ZURAMPIC, somministrato in associazione ad un farmaco XOI, rappresenta una nuova possibilità terapeutica</w:t>
      </w:r>
      <w:r w:rsidR="005C654C">
        <w:rPr>
          <w:rFonts w:cs="Arial"/>
          <w:b/>
          <w:sz w:val="20"/>
          <w:szCs w:val="20"/>
        </w:rPr>
        <w:t xml:space="preserve"> </w:t>
      </w:r>
      <w:r w:rsidR="00D76F42">
        <w:rPr>
          <w:rFonts w:cs="Arial"/>
          <w:b/>
          <w:sz w:val="20"/>
          <w:szCs w:val="20"/>
        </w:rPr>
        <w:t xml:space="preserve">efficace e sicura </w:t>
      </w:r>
      <w:r w:rsidR="005C654C">
        <w:rPr>
          <w:rFonts w:cs="Arial"/>
          <w:b/>
          <w:sz w:val="20"/>
          <w:szCs w:val="20"/>
        </w:rPr>
        <w:t xml:space="preserve">nel </w:t>
      </w:r>
      <w:r w:rsidR="005C654C" w:rsidRPr="00405C98">
        <w:rPr>
          <w:rFonts w:cs="Arial"/>
          <w:b/>
          <w:sz w:val="20"/>
          <w:szCs w:val="20"/>
        </w:rPr>
        <w:t>trattamento dell’iperuricemia in pazienti con gotta</w:t>
      </w:r>
      <w:r w:rsidR="005C654C" w:rsidRPr="00F61A51">
        <w:rPr>
          <w:rFonts w:cs="Arial"/>
          <w:b/>
          <w:sz w:val="20"/>
          <w:szCs w:val="20"/>
        </w:rPr>
        <w:t xml:space="preserve"> non adeguatamente controllata con le terapie standard</w:t>
      </w:r>
      <w:r>
        <w:rPr>
          <w:rFonts w:cs="Arial"/>
          <w:b/>
          <w:sz w:val="20"/>
          <w:szCs w:val="20"/>
        </w:rPr>
        <w:t xml:space="preserve"> e risponde ad importanti necessità terapeutiche non soddisfatte dalle attuali opzioni farmacologiche, in quanto capace di correggere l’alterazione patogenetica di più frequente riscontro (cioè l’insufficiente escrezione renale di acido urico)</w:t>
      </w:r>
      <w:r w:rsidR="005C654C" w:rsidRPr="00F61A51">
        <w:rPr>
          <w:rFonts w:cs="Arial"/>
          <w:b/>
          <w:sz w:val="20"/>
          <w:szCs w:val="20"/>
        </w:rPr>
        <w:t>.</w:t>
      </w:r>
    </w:p>
    <w:p w14:paraId="7FDB4244" w14:textId="6B3084C6" w:rsidR="00784044" w:rsidRPr="00AA51F1" w:rsidRDefault="00784044" w:rsidP="001B4E39">
      <w:pPr>
        <w:widowControl w:val="0"/>
        <w:autoSpaceDE w:val="0"/>
        <w:autoSpaceDN w:val="0"/>
        <w:adjustRightInd w:val="0"/>
        <w:spacing w:line="360" w:lineRule="auto"/>
        <w:rPr>
          <w:rFonts w:cstheme="minorHAnsi"/>
          <w:b/>
          <w:sz w:val="20"/>
          <w:szCs w:val="20"/>
        </w:rPr>
      </w:pPr>
    </w:p>
    <w:p w14:paraId="198A1EB2" w14:textId="77777777" w:rsidR="005D6F78" w:rsidRPr="00221759" w:rsidRDefault="005D6F78">
      <w:pPr>
        <w:rPr>
          <w:rFonts w:eastAsia="Times New Roman" w:cs="Arial"/>
          <w:b/>
          <w:color w:val="000000"/>
          <w:sz w:val="22"/>
          <w:szCs w:val="22"/>
          <w:u w:val="single"/>
          <w:lang w:eastAsia="it-IT"/>
        </w:rPr>
      </w:pPr>
      <w:r w:rsidRPr="00221759">
        <w:rPr>
          <w:rFonts w:cs="Arial"/>
          <w:color w:val="000000"/>
          <w:sz w:val="22"/>
          <w:szCs w:val="22"/>
        </w:rPr>
        <w:br w:type="page"/>
      </w:r>
    </w:p>
    <w:p w14:paraId="62C84D08" w14:textId="79077B15" w:rsidR="003731F5" w:rsidRPr="00797A72" w:rsidRDefault="00AA3386" w:rsidP="00825BD3">
      <w:pPr>
        <w:pStyle w:val="Heading1"/>
        <w:numPr>
          <w:ilvl w:val="0"/>
          <w:numId w:val="40"/>
        </w:numPr>
        <w:ind w:left="567" w:hanging="567"/>
        <w:rPr>
          <w:rFonts w:asciiTheme="minorHAnsi" w:hAnsiTheme="minorHAnsi" w:cstheme="minorHAnsi"/>
          <w:sz w:val="20"/>
        </w:rPr>
      </w:pPr>
      <w:bookmarkStart w:id="98" w:name="Par5"/>
      <w:bookmarkStart w:id="99" w:name="_Toc439456125"/>
      <w:bookmarkStart w:id="100" w:name="_Toc473184560"/>
      <w:bookmarkEnd w:id="98"/>
      <w:r w:rsidRPr="00BE5C44">
        <w:rPr>
          <w:rFonts w:asciiTheme="minorHAnsi" w:hAnsiTheme="minorHAnsi" w:cstheme="minorHAnsi"/>
          <w:sz w:val="20"/>
        </w:rPr>
        <w:t>Studi clinici a sostegno di efficacia e rimborsabilità del prodotto</w:t>
      </w:r>
      <w:bookmarkEnd w:id="99"/>
      <w:bookmarkEnd w:id="100"/>
    </w:p>
    <w:p w14:paraId="394018DA" w14:textId="77777777" w:rsidR="00CE0690" w:rsidRPr="00221759" w:rsidRDefault="00CE0690" w:rsidP="00373C68">
      <w:pPr>
        <w:pStyle w:val="Paragrafoelenco3"/>
        <w:shd w:val="clear" w:color="auto" w:fill="FFFFFF"/>
        <w:spacing w:line="360" w:lineRule="auto"/>
        <w:ind w:left="0"/>
        <w:jc w:val="both"/>
        <w:rPr>
          <w:rFonts w:asciiTheme="minorHAnsi" w:hAnsiTheme="minorHAnsi" w:cs="Arial"/>
          <w:sz w:val="20"/>
          <w:szCs w:val="20"/>
        </w:rPr>
      </w:pPr>
    </w:p>
    <w:p w14:paraId="64FBB749" w14:textId="33F0E2D3" w:rsidR="00B23A04" w:rsidRDefault="00B23A04" w:rsidP="000210A2">
      <w:pPr>
        <w:widowControl w:val="0"/>
        <w:autoSpaceDE w:val="0"/>
        <w:autoSpaceDN w:val="0"/>
        <w:adjustRightInd w:val="0"/>
        <w:spacing w:line="360" w:lineRule="auto"/>
        <w:rPr>
          <w:rFonts w:cs="Arial"/>
          <w:sz w:val="20"/>
          <w:szCs w:val="20"/>
        </w:rPr>
      </w:pPr>
      <w:r w:rsidRPr="00B23A04">
        <w:rPr>
          <w:rFonts w:cs="Arial"/>
          <w:sz w:val="20"/>
          <w:szCs w:val="20"/>
        </w:rPr>
        <w:t xml:space="preserve">L’efficacia e tollerabilità di ZURAMPIC in mono-somministrazione giornaliera è stata studiata in 3 trial clinici multicentrici, randomizzati, in doppio cieco e controllati </w:t>
      </w:r>
      <w:r w:rsidR="001F7E6D" w:rsidRPr="00373BC0">
        <w:rPr>
          <w:rFonts w:cs="Arial"/>
          <w:sz w:val="20"/>
          <w:szCs w:val="20"/>
        </w:rPr>
        <w:t>verso un farmaco XOI in associazione a</w:t>
      </w:r>
      <w:r w:rsidR="001F7E6D">
        <w:rPr>
          <w:rFonts w:cs="Arial"/>
          <w:b/>
          <w:sz w:val="20"/>
          <w:szCs w:val="20"/>
        </w:rPr>
        <w:t xml:space="preserve"> </w:t>
      </w:r>
      <w:r w:rsidRPr="00B23A04">
        <w:rPr>
          <w:rFonts w:cs="Arial"/>
          <w:sz w:val="20"/>
          <w:szCs w:val="20"/>
        </w:rPr>
        <w:t>placebo</w:t>
      </w:r>
      <w:r w:rsidR="0051174B">
        <w:rPr>
          <w:rFonts w:cs="Arial"/>
          <w:sz w:val="20"/>
          <w:szCs w:val="20"/>
        </w:rPr>
        <w:t xml:space="preserve"> della durata di 12 mesi</w:t>
      </w:r>
      <w:r w:rsidR="008A4BFB">
        <w:rPr>
          <w:rFonts w:cs="Arial"/>
          <w:sz w:val="20"/>
          <w:szCs w:val="20"/>
        </w:rPr>
        <w:t>,</w:t>
      </w:r>
      <w:r w:rsidRPr="00B23A04">
        <w:rPr>
          <w:rFonts w:cs="Arial"/>
          <w:sz w:val="20"/>
          <w:szCs w:val="20"/>
        </w:rPr>
        <w:t xml:space="preserve"> svolti </w:t>
      </w:r>
      <w:r w:rsidR="00373BC0">
        <w:rPr>
          <w:rFonts w:cs="Arial"/>
          <w:sz w:val="20"/>
          <w:szCs w:val="20"/>
        </w:rPr>
        <w:t xml:space="preserve">in più di 1500 pazienti adulti </w:t>
      </w:r>
      <w:r w:rsidR="008A4BFB">
        <w:rPr>
          <w:rFonts w:cs="Arial"/>
          <w:sz w:val="20"/>
          <w:szCs w:val="20"/>
        </w:rPr>
        <w:t>con iperuricemia e gotta</w:t>
      </w:r>
      <w:r w:rsidR="0051174B">
        <w:rPr>
          <w:rFonts w:cs="Arial"/>
          <w:sz w:val="20"/>
          <w:szCs w:val="20"/>
        </w:rPr>
        <w:t>. Per valutare l’efficacia e la sicurezza del trattamento</w:t>
      </w:r>
      <w:r w:rsidR="008A4BFB">
        <w:rPr>
          <w:rFonts w:cs="Arial"/>
          <w:sz w:val="20"/>
          <w:szCs w:val="20"/>
        </w:rPr>
        <w:t xml:space="preserve"> </w:t>
      </w:r>
      <w:r w:rsidR="0051174B">
        <w:rPr>
          <w:rFonts w:cs="Arial"/>
          <w:sz w:val="20"/>
          <w:szCs w:val="20"/>
        </w:rPr>
        <w:t xml:space="preserve">a lungo termine con Zurampic sono inoltre stati effettuati studi di estensione in cui tutti i pazienti sono stati trattati con </w:t>
      </w:r>
      <w:r w:rsidR="008A4BFB">
        <w:rPr>
          <w:rFonts w:cs="Arial"/>
          <w:sz w:val="20"/>
          <w:szCs w:val="20"/>
        </w:rPr>
        <w:t>lesinurad</w:t>
      </w:r>
      <w:r w:rsidR="0051174B">
        <w:rPr>
          <w:rFonts w:cs="Arial"/>
          <w:sz w:val="20"/>
          <w:szCs w:val="20"/>
        </w:rPr>
        <w:t xml:space="preserve"> in associazione a XOI.</w:t>
      </w:r>
      <w:r w:rsidRPr="00B23A04">
        <w:rPr>
          <w:rFonts w:cs="Arial"/>
          <w:sz w:val="20"/>
          <w:szCs w:val="20"/>
        </w:rPr>
        <w:t xml:space="preserve"> </w:t>
      </w:r>
    </w:p>
    <w:p w14:paraId="0E8ADB38" w14:textId="579B953F" w:rsidR="00782F71" w:rsidRPr="00B23A04" w:rsidRDefault="00430F78" w:rsidP="00782F71">
      <w:pPr>
        <w:widowControl w:val="0"/>
        <w:autoSpaceDE w:val="0"/>
        <w:autoSpaceDN w:val="0"/>
        <w:adjustRightInd w:val="0"/>
        <w:spacing w:line="360" w:lineRule="auto"/>
        <w:rPr>
          <w:rFonts w:cs="Arial"/>
          <w:sz w:val="20"/>
          <w:szCs w:val="20"/>
        </w:rPr>
      </w:pPr>
      <w:r>
        <w:rPr>
          <w:rFonts w:cs="Arial"/>
          <w:sz w:val="20"/>
          <w:szCs w:val="20"/>
        </w:rPr>
        <w:t>In questo documento vengono fo</w:t>
      </w:r>
      <w:r w:rsidR="001F7E6D">
        <w:rPr>
          <w:rFonts w:cs="Arial"/>
          <w:sz w:val="20"/>
          <w:szCs w:val="20"/>
        </w:rPr>
        <w:t>r</w:t>
      </w:r>
      <w:r>
        <w:rPr>
          <w:rFonts w:cs="Arial"/>
          <w:sz w:val="20"/>
          <w:szCs w:val="20"/>
        </w:rPr>
        <w:t xml:space="preserve">niti </w:t>
      </w:r>
      <w:r w:rsidR="00373BC0">
        <w:rPr>
          <w:rFonts w:cs="Arial"/>
          <w:sz w:val="20"/>
          <w:szCs w:val="20"/>
        </w:rPr>
        <w:t xml:space="preserve">anche </w:t>
      </w:r>
      <w:r>
        <w:rPr>
          <w:rFonts w:cs="Arial"/>
          <w:sz w:val="20"/>
          <w:szCs w:val="20"/>
        </w:rPr>
        <w:t xml:space="preserve">i risultati </w:t>
      </w:r>
      <w:r w:rsidR="008A4BFB">
        <w:rPr>
          <w:rFonts w:cs="Arial"/>
          <w:sz w:val="20"/>
          <w:szCs w:val="20"/>
        </w:rPr>
        <w:t xml:space="preserve">della analisi pooled effettuata sugli studi </w:t>
      </w:r>
      <w:r w:rsidR="00782F71">
        <w:rPr>
          <w:rFonts w:cs="Arial"/>
          <w:sz w:val="20"/>
          <w:szCs w:val="20"/>
        </w:rPr>
        <w:t>core (CLEAR 1, CLEAR 2 e CRYSTAL</w:t>
      </w:r>
      <w:r w:rsidR="00782F71" w:rsidRPr="00782F71">
        <w:rPr>
          <w:rFonts w:cs="Arial"/>
          <w:sz w:val="20"/>
          <w:szCs w:val="20"/>
        </w:rPr>
        <w:t>)</w:t>
      </w:r>
      <w:r w:rsidR="008A4BFB" w:rsidRPr="00782F71">
        <w:rPr>
          <w:rFonts w:cs="Arial"/>
          <w:sz w:val="20"/>
          <w:szCs w:val="20"/>
        </w:rPr>
        <w:t xml:space="preserve">e </w:t>
      </w:r>
      <w:r w:rsidR="00782F71">
        <w:rPr>
          <w:rFonts w:cs="Arial"/>
          <w:sz w:val="20"/>
          <w:szCs w:val="20"/>
        </w:rPr>
        <w:t xml:space="preserve">e i risultati </w:t>
      </w:r>
      <w:r w:rsidR="00782F71" w:rsidRPr="00782F71">
        <w:rPr>
          <w:rFonts w:cs="Arial"/>
          <w:sz w:val="20"/>
          <w:szCs w:val="20"/>
        </w:rPr>
        <w:t>delle due interim analysis e sinossi finale</w:t>
      </w:r>
      <w:r w:rsidR="00782F71">
        <w:rPr>
          <w:rFonts w:cs="Arial"/>
          <w:sz w:val="20"/>
          <w:szCs w:val="20"/>
        </w:rPr>
        <w:t xml:space="preserve"> degli studi di estensione (306 e 307).</w:t>
      </w:r>
      <w:r w:rsidR="00782F71" w:rsidRPr="00782F71">
        <w:rPr>
          <w:rFonts w:cs="Arial"/>
          <w:sz w:val="20"/>
          <w:szCs w:val="20"/>
        </w:rPr>
        <w:t xml:space="preserve"> </w:t>
      </w:r>
    </w:p>
    <w:p w14:paraId="27B345F6" w14:textId="77777777" w:rsidR="00B23A04" w:rsidRPr="00B23A04" w:rsidRDefault="00B23A04" w:rsidP="000210A2">
      <w:pPr>
        <w:widowControl w:val="0"/>
        <w:autoSpaceDE w:val="0"/>
        <w:autoSpaceDN w:val="0"/>
        <w:adjustRightInd w:val="0"/>
        <w:spacing w:line="360" w:lineRule="auto"/>
        <w:rPr>
          <w:rFonts w:cs="Arial"/>
          <w:sz w:val="20"/>
          <w:szCs w:val="20"/>
        </w:rPr>
      </w:pPr>
      <w:r w:rsidRPr="00B23A04">
        <w:rPr>
          <w:rFonts w:cs="Arial"/>
          <w:sz w:val="20"/>
          <w:szCs w:val="20"/>
        </w:rPr>
        <w:t>Il piano di sviluppo clinico si incardina quindi sui seguenti studi pivotal:</w:t>
      </w:r>
    </w:p>
    <w:p w14:paraId="238FAB10" w14:textId="0FD00D15" w:rsidR="00B23A04" w:rsidRPr="00B23A04" w:rsidRDefault="00B23A04" w:rsidP="00825BD3">
      <w:pPr>
        <w:widowControl w:val="0"/>
        <w:numPr>
          <w:ilvl w:val="0"/>
          <w:numId w:val="21"/>
        </w:numPr>
        <w:autoSpaceDE w:val="0"/>
        <w:autoSpaceDN w:val="0"/>
        <w:adjustRightInd w:val="0"/>
        <w:spacing w:line="360" w:lineRule="auto"/>
        <w:rPr>
          <w:rFonts w:cs="Arial"/>
          <w:sz w:val="20"/>
          <w:szCs w:val="20"/>
        </w:rPr>
      </w:pPr>
      <w:r w:rsidRPr="00B23A04">
        <w:rPr>
          <w:rFonts w:cs="Arial"/>
          <w:sz w:val="20"/>
          <w:szCs w:val="20"/>
        </w:rPr>
        <w:t xml:space="preserve">Studio 301 (NCT01510158) </w:t>
      </w:r>
      <w:r w:rsidRPr="00B23A04">
        <w:rPr>
          <w:rFonts w:cs="Arial"/>
          <w:b/>
          <w:sz w:val="20"/>
          <w:szCs w:val="20"/>
        </w:rPr>
        <w:t>CLEAR-1</w:t>
      </w:r>
      <w:r w:rsidRPr="00B23A04">
        <w:rPr>
          <w:rFonts w:cs="Arial"/>
          <w:sz w:val="20"/>
          <w:szCs w:val="20"/>
        </w:rPr>
        <w:t xml:space="preserve"> lesinurad+allopurinolo vs. allopurinolo monoterapia</w:t>
      </w:r>
      <w:r>
        <w:rPr>
          <w:rFonts w:cs="Arial"/>
          <w:sz w:val="20"/>
          <w:szCs w:val="20"/>
        </w:rPr>
        <w:t xml:space="preserve"> (</w:t>
      </w:r>
      <w:r w:rsidR="00D3508A">
        <w:rPr>
          <w:rFonts w:cs="Arial"/>
          <w:color w:val="0000FF"/>
          <w:sz w:val="20"/>
          <w:szCs w:val="20"/>
        </w:rPr>
        <w:t>Saag, 2016 (138</w:t>
      </w:r>
      <w:r w:rsidR="00DA7F29">
        <w:rPr>
          <w:rFonts w:cs="Arial"/>
          <w:color w:val="0000FF"/>
          <w:sz w:val="20"/>
          <w:szCs w:val="20"/>
        </w:rPr>
        <w:t>)</w:t>
      </w:r>
      <w:r>
        <w:rPr>
          <w:rFonts w:cs="Arial"/>
          <w:sz w:val="20"/>
          <w:szCs w:val="20"/>
        </w:rPr>
        <w:t>)</w:t>
      </w:r>
      <w:r w:rsidR="00B82A45">
        <w:rPr>
          <w:rFonts w:cs="Arial"/>
          <w:sz w:val="20"/>
          <w:szCs w:val="20"/>
        </w:rPr>
        <w:t xml:space="preserve">: </w:t>
      </w:r>
      <w:r w:rsidR="00B82A45" w:rsidRPr="00B82A45">
        <w:rPr>
          <w:rFonts w:cs="Arial"/>
          <w:sz w:val="20"/>
          <w:szCs w:val="20"/>
        </w:rPr>
        <w:t xml:space="preserve">Saag et al. </w:t>
      </w:r>
      <w:r w:rsidR="00B82A45" w:rsidRPr="00B82A45">
        <w:rPr>
          <w:rFonts w:cs="Arial"/>
          <w:sz w:val="20"/>
          <w:szCs w:val="20"/>
          <w:lang w:val="en-US"/>
        </w:rPr>
        <w:t xml:space="preserve">Lesinurad Combined With Allopurinol: Randomized, Double-Blind, Placebo-Controlled Study in Gout Subjects With Inadequate Response to Standard of Care Allopurinol (A US-based Study). </w:t>
      </w:r>
      <w:r w:rsidR="00B82A45" w:rsidRPr="00B82A45">
        <w:rPr>
          <w:rFonts w:cs="Arial"/>
          <w:b/>
          <w:sz w:val="20"/>
          <w:szCs w:val="20"/>
          <w:lang w:val="en-US"/>
        </w:rPr>
        <w:t>Arthritis Rheumatol. 2016</w:t>
      </w:r>
    </w:p>
    <w:p w14:paraId="59A23D3B" w14:textId="40770008" w:rsidR="00B23A04" w:rsidRPr="00B23A04" w:rsidRDefault="00B23A04" w:rsidP="00825BD3">
      <w:pPr>
        <w:widowControl w:val="0"/>
        <w:numPr>
          <w:ilvl w:val="0"/>
          <w:numId w:val="21"/>
        </w:numPr>
        <w:autoSpaceDE w:val="0"/>
        <w:autoSpaceDN w:val="0"/>
        <w:adjustRightInd w:val="0"/>
        <w:spacing w:line="360" w:lineRule="auto"/>
        <w:rPr>
          <w:rFonts w:cs="Arial"/>
          <w:sz w:val="20"/>
          <w:szCs w:val="20"/>
        </w:rPr>
      </w:pPr>
      <w:r w:rsidRPr="00B23A04">
        <w:rPr>
          <w:rFonts w:cs="Arial"/>
          <w:sz w:val="20"/>
          <w:szCs w:val="20"/>
        </w:rPr>
        <w:t xml:space="preserve">Studio 302 (NCT01493531) </w:t>
      </w:r>
      <w:r w:rsidRPr="00B23A04">
        <w:rPr>
          <w:rFonts w:cs="Arial"/>
          <w:b/>
          <w:sz w:val="20"/>
          <w:szCs w:val="20"/>
        </w:rPr>
        <w:t>CLEAR-2</w:t>
      </w:r>
      <w:r w:rsidRPr="00B23A04">
        <w:rPr>
          <w:rFonts w:cs="Arial"/>
          <w:sz w:val="20"/>
          <w:szCs w:val="20"/>
        </w:rPr>
        <w:t xml:space="preserve"> lesinurad+allopurinolo vs. allopurinolo monoterapia</w:t>
      </w:r>
      <w:r>
        <w:rPr>
          <w:rFonts w:cs="Arial"/>
          <w:sz w:val="20"/>
          <w:szCs w:val="20"/>
        </w:rPr>
        <w:t xml:space="preserve"> (</w:t>
      </w:r>
      <w:r w:rsidR="00A06E25">
        <w:rPr>
          <w:rFonts w:cs="Arial"/>
          <w:color w:val="0000FF"/>
          <w:sz w:val="20"/>
          <w:szCs w:val="20"/>
        </w:rPr>
        <w:t>Bardin, 2016 (139)</w:t>
      </w:r>
      <w:r>
        <w:rPr>
          <w:rFonts w:cs="Arial"/>
          <w:sz w:val="20"/>
          <w:szCs w:val="20"/>
        </w:rPr>
        <w:t>)</w:t>
      </w:r>
      <w:r w:rsidR="00B82A45">
        <w:rPr>
          <w:rFonts w:cs="Arial"/>
          <w:sz w:val="20"/>
          <w:szCs w:val="20"/>
        </w:rPr>
        <w:t xml:space="preserve">: </w:t>
      </w:r>
      <w:r w:rsidR="00B82A45" w:rsidRPr="00B82A45">
        <w:rPr>
          <w:rFonts w:cs="Arial"/>
          <w:sz w:val="20"/>
          <w:szCs w:val="20"/>
        </w:rPr>
        <w:t xml:space="preserve">Bardin, et al. </w:t>
      </w:r>
      <w:r w:rsidR="00B82A45" w:rsidRPr="00B82A45">
        <w:rPr>
          <w:rFonts w:cs="Arial"/>
          <w:sz w:val="20"/>
          <w:szCs w:val="20"/>
          <w:lang w:val="en-GB"/>
        </w:rPr>
        <w:t xml:space="preserve">Lesinurad in combination with allopurinol: a randomised, double-blind, placebo-controlled study in patients with gout with inadequate response to standard of care (the multinational CLEAR 2 study). </w:t>
      </w:r>
      <w:r w:rsidR="00B82A45" w:rsidRPr="00B82A45">
        <w:rPr>
          <w:rFonts w:cs="Arial"/>
          <w:b/>
          <w:sz w:val="20"/>
          <w:szCs w:val="20"/>
          <w:lang w:val="en-GB"/>
        </w:rPr>
        <w:t>Ann Rheum Dis. 2016</w:t>
      </w:r>
    </w:p>
    <w:p w14:paraId="4013F805" w14:textId="78AA5B5E" w:rsidR="00B23A04" w:rsidRPr="008E1A6E" w:rsidRDefault="00B23A04" w:rsidP="00825BD3">
      <w:pPr>
        <w:widowControl w:val="0"/>
        <w:numPr>
          <w:ilvl w:val="0"/>
          <w:numId w:val="21"/>
        </w:numPr>
        <w:autoSpaceDE w:val="0"/>
        <w:autoSpaceDN w:val="0"/>
        <w:adjustRightInd w:val="0"/>
        <w:spacing w:line="360" w:lineRule="auto"/>
        <w:rPr>
          <w:rFonts w:cs="Arial"/>
          <w:sz w:val="20"/>
          <w:szCs w:val="20"/>
          <w:lang w:val="en-US"/>
        </w:rPr>
      </w:pPr>
      <w:r w:rsidRPr="008E1A6E">
        <w:rPr>
          <w:rFonts w:cs="Arial"/>
          <w:sz w:val="20"/>
          <w:szCs w:val="20"/>
          <w:lang w:val="en-US"/>
        </w:rPr>
        <w:t xml:space="preserve">Studio 304 (NCT01510769) </w:t>
      </w:r>
      <w:r w:rsidRPr="008E1A6E">
        <w:rPr>
          <w:rFonts w:cs="Arial"/>
          <w:b/>
          <w:sz w:val="20"/>
          <w:szCs w:val="20"/>
          <w:lang w:val="en-US"/>
        </w:rPr>
        <w:t>CRYSTAL</w:t>
      </w:r>
      <w:r w:rsidRPr="008E1A6E">
        <w:rPr>
          <w:rFonts w:cs="Arial"/>
          <w:sz w:val="20"/>
          <w:szCs w:val="20"/>
          <w:lang w:val="en-US"/>
        </w:rPr>
        <w:t xml:space="preserve"> lesinurad+febuxostat vs. febuxostat monoterapia (</w:t>
      </w:r>
      <w:r w:rsidR="008E1A6E" w:rsidRPr="008E1A6E">
        <w:rPr>
          <w:rFonts w:cs="Arial"/>
          <w:color w:val="0000FF"/>
          <w:sz w:val="20"/>
          <w:szCs w:val="20"/>
          <w:lang w:val="en-US"/>
        </w:rPr>
        <w:t>Dalbeth N)</w:t>
      </w:r>
      <w:r w:rsidR="00B2236D" w:rsidRPr="008E1A6E">
        <w:rPr>
          <w:rFonts w:cs="Arial"/>
          <w:color w:val="0000FF"/>
          <w:sz w:val="20"/>
          <w:szCs w:val="20"/>
          <w:lang w:val="en-US"/>
        </w:rPr>
        <w:t xml:space="preserve">: </w:t>
      </w:r>
      <w:r w:rsidR="00B2236D" w:rsidRPr="008E1A6E">
        <w:rPr>
          <w:rFonts w:cs="Arial"/>
          <w:sz w:val="20"/>
          <w:szCs w:val="20"/>
          <w:lang w:val="en-US"/>
        </w:rPr>
        <w:t xml:space="preserve">Lesinurad, a Selective Uric Acid Reabsorption Inhibitor, in Combination With Febuxostat in Patients With Tophaceous Gout: A Phase III Clinical Trial sottomesso per la pubblicazione a </w:t>
      </w:r>
      <w:r w:rsidR="00B2236D" w:rsidRPr="008E1A6E">
        <w:rPr>
          <w:rFonts w:cs="Arial"/>
          <w:b/>
          <w:sz w:val="20"/>
          <w:szCs w:val="20"/>
          <w:lang w:val="en-US"/>
        </w:rPr>
        <w:t>Arthritis Rheumatol</w:t>
      </w:r>
      <w:r w:rsidR="00B2236D" w:rsidRPr="008E1A6E">
        <w:rPr>
          <w:rFonts w:cs="Arial"/>
          <w:sz w:val="20"/>
          <w:szCs w:val="20"/>
          <w:lang w:val="en-US"/>
        </w:rPr>
        <w:t xml:space="preserve"> l’8 dicembre 2016</w:t>
      </w:r>
    </w:p>
    <w:p w14:paraId="591EADC2" w14:textId="1609E658" w:rsidR="00B23A04" w:rsidRPr="008A4BFB" w:rsidRDefault="00B23A04" w:rsidP="000210A2">
      <w:pPr>
        <w:widowControl w:val="0"/>
        <w:autoSpaceDE w:val="0"/>
        <w:autoSpaceDN w:val="0"/>
        <w:adjustRightInd w:val="0"/>
        <w:spacing w:line="360" w:lineRule="auto"/>
        <w:rPr>
          <w:rFonts w:cs="Arial"/>
          <w:sz w:val="20"/>
          <w:szCs w:val="20"/>
        </w:rPr>
      </w:pPr>
      <w:r w:rsidRPr="00782F71">
        <w:rPr>
          <w:rFonts w:cs="Arial"/>
          <w:sz w:val="20"/>
          <w:szCs w:val="20"/>
        </w:rPr>
        <w:t>Inoltre sono state completate le estensioni</w:t>
      </w:r>
      <w:r w:rsidR="00C774DF" w:rsidRPr="00782F71">
        <w:rPr>
          <w:rFonts w:cs="Arial"/>
          <w:sz w:val="20"/>
          <w:szCs w:val="20"/>
        </w:rPr>
        <w:t xml:space="preserve"> </w:t>
      </w:r>
      <w:r w:rsidR="00782F71">
        <w:rPr>
          <w:rFonts w:cs="Arial"/>
          <w:sz w:val="20"/>
          <w:szCs w:val="20"/>
        </w:rPr>
        <w:t>fino a 52 mesi</w:t>
      </w:r>
      <w:r w:rsidRPr="00782F71">
        <w:rPr>
          <w:rFonts w:cs="Arial"/>
          <w:sz w:val="20"/>
          <w:szCs w:val="20"/>
        </w:rPr>
        <w:t>degli stessi studi</w:t>
      </w:r>
    </w:p>
    <w:p w14:paraId="08FCD26F" w14:textId="7FB6B0BD" w:rsidR="00B23A04" w:rsidRPr="008A4BFB" w:rsidRDefault="00B23A04" w:rsidP="00825BD3">
      <w:pPr>
        <w:widowControl w:val="0"/>
        <w:numPr>
          <w:ilvl w:val="0"/>
          <w:numId w:val="21"/>
        </w:numPr>
        <w:autoSpaceDE w:val="0"/>
        <w:autoSpaceDN w:val="0"/>
        <w:adjustRightInd w:val="0"/>
        <w:spacing w:line="360" w:lineRule="auto"/>
        <w:rPr>
          <w:rFonts w:cs="Arial"/>
          <w:sz w:val="20"/>
          <w:szCs w:val="20"/>
          <w:lang w:val="en-US"/>
        </w:rPr>
      </w:pPr>
      <w:r w:rsidRPr="008E1A6E">
        <w:rPr>
          <w:rFonts w:cs="Arial"/>
          <w:sz w:val="20"/>
          <w:szCs w:val="20"/>
          <w:lang w:val="en-US"/>
        </w:rPr>
        <w:t>Studio 306 (NCT01808131) long-term open-labe</w:t>
      </w:r>
      <w:r w:rsidRPr="008A4BFB">
        <w:rPr>
          <w:rFonts w:cs="Arial"/>
          <w:sz w:val="20"/>
          <w:szCs w:val="20"/>
          <w:lang w:val="en-US"/>
        </w:rPr>
        <w:t xml:space="preserve">l degli studi 301-302 (vs. ALLO) </w:t>
      </w:r>
      <w:r w:rsidRPr="008A4BFB">
        <w:rPr>
          <w:rFonts w:cs="Arial"/>
          <w:b/>
          <w:sz w:val="20"/>
          <w:szCs w:val="20"/>
          <w:lang w:val="en-US"/>
        </w:rPr>
        <w:t>CLEAR-extension</w:t>
      </w:r>
      <w:r w:rsidR="008E1A6E">
        <w:rPr>
          <w:rFonts w:cs="Arial"/>
          <w:b/>
          <w:sz w:val="20"/>
          <w:szCs w:val="20"/>
          <w:lang w:val="en-US"/>
        </w:rPr>
        <w:t xml:space="preserve"> (</w:t>
      </w:r>
      <w:r w:rsidR="0020764E">
        <w:rPr>
          <w:rFonts w:cs="Arial"/>
          <w:color w:val="0000FF"/>
          <w:sz w:val="20"/>
          <w:szCs w:val="20"/>
          <w:lang w:val="en-US"/>
        </w:rPr>
        <w:t>CSR 306, 2015 (130</w:t>
      </w:r>
      <w:r w:rsidR="008E1A6E" w:rsidRPr="008E1A6E">
        <w:rPr>
          <w:rFonts w:cs="Arial"/>
          <w:color w:val="0000FF"/>
          <w:sz w:val="20"/>
          <w:szCs w:val="20"/>
          <w:lang w:val="en-US"/>
        </w:rPr>
        <w:t>)</w:t>
      </w:r>
      <w:r w:rsidR="008E1A6E">
        <w:rPr>
          <w:rFonts w:cs="Arial"/>
          <w:color w:val="0000FF"/>
          <w:sz w:val="20"/>
          <w:szCs w:val="20"/>
          <w:lang w:val="en-US"/>
        </w:rPr>
        <w:t>)</w:t>
      </w:r>
    </w:p>
    <w:p w14:paraId="66218F77" w14:textId="562C8900" w:rsidR="00B23A04" w:rsidRPr="008A4BFB" w:rsidRDefault="00B23A04" w:rsidP="00825BD3">
      <w:pPr>
        <w:widowControl w:val="0"/>
        <w:numPr>
          <w:ilvl w:val="0"/>
          <w:numId w:val="21"/>
        </w:numPr>
        <w:autoSpaceDE w:val="0"/>
        <w:autoSpaceDN w:val="0"/>
        <w:adjustRightInd w:val="0"/>
        <w:spacing w:line="360" w:lineRule="auto"/>
        <w:rPr>
          <w:rFonts w:cs="Arial"/>
          <w:sz w:val="20"/>
          <w:szCs w:val="20"/>
          <w:lang w:val="en-US"/>
        </w:rPr>
      </w:pPr>
      <w:r w:rsidRPr="008A4BFB">
        <w:rPr>
          <w:rFonts w:cs="Arial"/>
          <w:sz w:val="20"/>
          <w:szCs w:val="20"/>
          <w:lang w:val="en-US"/>
        </w:rPr>
        <w:t xml:space="preserve">Studio 307 </w:t>
      </w:r>
      <w:r w:rsidR="001F7E6D" w:rsidRPr="008A4BFB">
        <w:rPr>
          <w:rFonts w:cs="Arial"/>
          <w:sz w:val="20"/>
          <w:szCs w:val="20"/>
          <w:lang w:val="en-US"/>
        </w:rPr>
        <w:t xml:space="preserve">(NCT01808144) </w:t>
      </w:r>
      <w:r w:rsidRPr="008A4BFB">
        <w:rPr>
          <w:rFonts w:cs="Arial"/>
          <w:sz w:val="20"/>
          <w:szCs w:val="20"/>
          <w:lang w:val="en-US"/>
        </w:rPr>
        <w:t xml:space="preserve">long-term open-label dello studio 304 (vs. FBX) </w:t>
      </w:r>
      <w:r w:rsidRPr="008A4BFB">
        <w:rPr>
          <w:rFonts w:cs="Arial"/>
          <w:b/>
          <w:sz w:val="20"/>
          <w:szCs w:val="20"/>
          <w:lang w:val="en-US"/>
        </w:rPr>
        <w:t>CRYSTAL-extension</w:t>
      </w:r>
      <w:r w:rsidR="008E1A6E">
        <w:rPr>
          <w:rFonts w:cs="Arial"/>
          <w:b/>
          <w:sz w:val="20"/>
          <w:szCs w:val="20"/>
          <w:lang w:val="en-US"/>
        </w:rPr>
        <w:t xml:space="preserve"> (</w:t>
      </w:r>
      <w:r w:rsidR="0020764E">
        <w:rPr>
          <w:rFonts w:cs="Arial"/>
          <w:color w:val="0000FF"/>
          <w:sz w:val="20"/>
          <w:szCs w:val="20"/>
          <w:lang w:val="en-US"/>
        </w:rPr>
        <w:t>CSR 307, 2015 (129</w:t>
      </w:r>
      <w:r w:rsidR="008E1A6E" w:rsidRPr="008E1A6E">
        <w:rPr>
          <w:rFonts w:cs="Arial"/>
          <w:color w:val="0000FF"/>
          <w:sz w:val="20"/>
          <w:szCs w:val="20"/>
          <w:lang w:val="en-US"/>
        </w:rPr>
        <w:t>)</w:t>
      </w:r>
      <w:r w:rsidR="008E1A6E">
        <w:rPr>
          <w:rFonts w:cs="Arial"/>
          <w:color w:val="0000FF"/>
          <w:sz w:val="20"/>
          <w:szCs w:val="20"/>
          <w:lang w:val="en-US"/>
        </w:rPr>
        <w:t>)</w:t>
      </w:r>
    </w:p>
    <w:p w14:paraId="1CA83667" w14:textId="4BCC184A" w:rsidR="00B23A04" w:rsidRPr="00B23A04" w:rsidRDefault="00B82A45" w:rsidP="000210A2">
      <w:pPr>
        <w:widowControl w:val="0"/>
        <w:autoSpaceDE w:val="0"/>
        <w:autoSpaceDN w:val="0"/>
        <w:adjustRightInd w:val="0"/>
        <w:spacing w:line="360" w:lineRule="auto"/>
        <w:rPr>
          <w:rFonts w:cs="Arial"/>
          <w:b/>
          <w:sz w:val="20"/>
          <w:szCs w:val="20"/>
        </w:rPr>
      </w:pPr>
      <w:bookmarkStart w:id="101" w:name="Figura27"/>
      <w:bookmarkEnd w:id="101"/>
      <w:r>
        <w:rPr>
          <w:rFonts w:cs="Arial"/>
          <w:b/>
          <w:sz w:val="20"/>
          <w:szCs w:val="20"/>
        </w:rPr>
        <w:t>G</w:t>
      </w:r>
      <w:r w:rsidR="00B23A04" w:rsidRPr="00B23A04">
        <w:rPr>
          <w:rFonts w:cs="Arial"/>
          <w:b/>
          <w:sz w:val="20"/>
          <w:szCs w:val="20"/>
        </w:rPr>
        <w:t xml:space="preserve">li studi del programma CLEAR-CRYSTAL rappresentano i primi trial clinici ad aver studiato l’efficacia di una terapia orale in pazienti non adeguatamente controllati in terapia con inibitori di xantina ossidasi. Complessivamente </w:t>
      </w:r>
      <w:r w:rsidR="00A565C9">
        <w:rPr>
          <w:rFonts w:cs="Arial"/>
          <w:b/>
          <w:sz w:val="20"/>
          <w:szCs w:val="20"/>
        </w:rPr>
        <w:t xml:space="preserve">in tutto il programma di sviluppo clinico di Lesinurad </w:t>
      </w:r>
      <w:r w:rsidR="00B23A04" w:rsidRPr="00B23A04">
        <w:rPr>
          <w:rFonts w:cs="Arial"/>
          <w:b/>
          <w:sz w:val="20"/>
          <w:szCs w:val="20"/>
        </w:rPr>
        <w:t>sono stati inclusi più di 1500 pazienti per le valutazioni di efficacia e 2586 pazienti sono stati valutati per l’analisi della safety.</w:t>
      </w:r>
    </w:p>
    <w:p w14:paraId="3AAFEA67" w14:textId="77777777" w:rsidR="007871D0" w:rsidRDefault="007871D0" w:rsidP="000210A2">
      <w:pPr>
        <w:widowControl w:val="0"/>
        <w:autoSpaceDE w:val="0"/>
        <w:autoSpaceDN w:val="0"/>
        <w:adjustRightInd w:val="0"/>
        <w:spacing w:line="360" w:lineRule="auto"/>
        <w:rPr>
          <w:rFonts w:cs="Arial"/>
          <w:sz w:val="20"/>
          <w:szCs w:val="20"/>
        </w:rPr>
      </w:pPr>
    </w:p>
    <w:p w14:paraId="475F2560" w14:textId="1AC58EA1" w:rsidR="004A667D" w:rsidRPr="004A667D" w:rsidRDefault="004A667D" w:rsidP="000210A2">
      <w:pPr>
        <w:widowControl w:val="0"/>
        <w:autoSpaceDE w:val="0"/>
        <w:autoSpaceDN w:val="0"/>
        <w:adjustRightInd w:val="0"/>
        <w:spacing w:line="360" w:lineRule="auto"/>
        <w:rPr>
          <w:rFonts w:cs="Arial"/>
          <w:sz w:val="20"/>
          <w:szCs w:val="20"/>
        </w:rPr>
      </w:pPr>
      <w:r w:rsidRPr="004A667D">
        <w:rPr>
          <w:rFonts w:cs="Arial"/>
          <w:sz w:val="20"/>
          <w:szCs w:val="20"/>
        </w:rPr>
        <w:t xml:space="preserve">Come già riportato nel </w:t>
      </w:r>
      <w:hyperlink w:anchor="Paragrafo44" w:history="1">
        <w:r w:rsidRPr="004A667D">
          <w:rPr>
            <w:rStyle w:val="Hyperlink"/>
            <w:rFonts w:cs="Arial"/>
            <w:sz w:val="20"/>
            <w:szCs w:val="20"/>
          </w:rPr>
          <w:t>Paragrafo 4.4</w:t>
        </w:r>
      </w:hyperlink>
      <w:r w:rsidRPr="004A667D">
        <w:rPr>
          <w:rFonts w:cs="Arial"/>
          <w:sz w:val="20"/>
          <w:szCs w:val="20"/>
        </w:rPr>
        <w:t xml:space="preserve">, </w:t>
      </w:r>
      <w:r w:rsidR="007871D0">
        <w:rPr>
          <w:rFonts w:cs="Arial"/>
          <w:sz w:val="20"/>
          <w:szCs w:val="20"/>
        </w:rPr>
        <w:t>le principali Linee Guida internazionali (</w:t>
      </w:r>
      <w:r w:rsidR="00F114DC">
        <w:rPr>
          <w:rFonts w:cs="Arial"/>
          <w:color w:val="0000FF"/>
          <w:sz w:val="20"/>
          <w:szCs w:val="20"/>
        </w:rPr>
        <w:t>R</w:t>
      </w:r>
      <w:r w:rsidR="00C57973">
        <w:rPr>
          <w:rFonts w:cs="Arial"/>
          <w:color w:val="0000FF"/>
          <w:sz w:val="20"/>
          <w:szCs w:val="20"/>
        </w:rPr>
        <w:t>ichette</w:t>
      </w:r>
      <w:r w:rsidR="00F114DC">
        <w:rPr>
          <w:rFonts w:cs="Arial"/>
          <w:color w:val="0000FF"/>
          <w:sz w:val="20"/>
          <w:szCs w:val="20"/>
        </w:rPr>
        <w:t>, 2016 (6)</w:t>
      </w:r>
      <w:r w:rsidR="007871D0" w:rsidRPr="007871D0">
        <w:rPr>
          <w:rFonts w:cs="Arial"/>
          <w:color w:val="0000FF"/>
          <w:sz w:val="20"/>
          <w:szCs w:val="20"/>
        </w:rPr>
        <w:t xml:space="preserve">; </w:t>
      </w:r>
      <w:r w:rsidR="00F114DC">
        <w:rPr>
          <w:rFonts w:cs="Arial"/>
          <w:color w:val="0000FF"/>
          <w:sz w:val="20"/>
          <w:szCs w:val="20"/>
        </w:rPr>
        <w:t>K</w:t>
      </w:r>
      <w:r w:rsidR="00C57973">
        <w:rPr>
          <w:rFonts w:cs="Arial"/>
          <w:color w:val="0000FF"/>
          <w:sz w:val="20"/>
          <w:szCs w:val="20"/>
        </w:rPr>
        <w:t>hanna</w:t>
      </w:r>
      <w:r w:rsidR="00F114DC">
        <w:rPr>
          <w:rFonts w:cs="Arial"/>
          <w:color w:val="0000FF"/>
          <w:sz w:val="20"/>
          <w:szCs w:val="20"/>
        </w:rPr>
        <w:t>, 2012 (96)</w:t>
      </w:r>
      <w:r w:rsidR="007871D0" w:rsidRPr="007871D0">
        <w:rPr>
          <w:rFonts w:cs="Arial"/>
          <w:color w:val="0000FF"/>
          <w:sz w:val="20"/>
          <w:szCs w:val="20"/>
        </w:rPr>
        <w:t xml:space="preserve">, </w:t>
      </w:r>
      <w:r w:rsidR="00E63B51">
        <w:rPr>
          <w:rFonts w:cs="Arial"/>
          <w:color w:val="0000FF"/>
          <w:sz w:val="20"/>
          <w:szCs w:val="20"/>
        </w:rPr>
        <w:t>Jordan</w:t>
      </w:r>
      <w:r w:rsidR="00EC3329">
        <w:rPr>
          <w:rFonts w:cs="Arial"/>
          <w:color w:val="0000FF"/>
          <w:sz w:val="20"/>
          <w:szCs w:val="20"/>
        </w:rPr>
        <w:t>, 2007 (97</w:t>
      </w:r>
      <w:r w:rsidR="00156E01">
        <w:rPr>
          <w:rFonts w:cs="Arial"/>
          <w:color w:val="0000FF"/>
          <w:sz w:val="20"/>
          <w:szCs w:val="20"/>
        </w:rPr>
        <w:t>)</w:t>
      </w:r>
      <w:r w:rsidR="007871D0">
        <w:rPr>
          <w:rFonts w:cs="Arial"/>
          <w:sz w:val="20"/>
          <w:szCs w:val="20"/>
        </w:rPr>
        <w:t xml:space="preserve">) e </w:t>
      </w:r>
      <w:r>
        <w:rPr>
          <w:rFonts w:cs="Arial"/>
          <w:sz w:val="20"/>
          <w:szCs w:val="20"/>
        </w:rPr>
        <w:t>d</w:t>
      </w:r>
      <w:r w:rsidRPr="004A667D">
        <w:rPr>
          <w:rFonts w:cs="Arial"/>
          <w:sz w:val="20"/>
          <w:szCs w:val="20"/>
        </w:rPr>
        <w:t xml:space="preserve">iversi studi supportano </w:t>
      </w:r>
      <w:r w:rsidRPr="00D76F42">
        <w:rPr>
          <w:rFonts w:cs="Arial"/>
          <w:b/>
          <w:sz w:val="20"/>
          <w:szCs w:val="20"/>
        </w:rPr>
        <w:t xml:space="preserve">l’utilizzo dei livelli di </w:t>
      </w:r>
      <w:r w:rsidR="005848A1" w:rsidRPr="00D76F42">
        <w:rPr>
          <w:rFonts w:cs="Arial"/>
          <w:b/>
          <w:sz w:val="20"/>
          <w:szCs w:val="20"/>
        </w:rPr>
        <w:t>sUA</w:t>
      </w:r>
      <w:r w:rsidRPr="00D76F42">
        <w:rPr>
          <w:rFonts w:cs="Arial"/>
          <w:b/>
          <w:sz w:val="20"/>
          <w:szCs w:val="20"/>
        </w:rPr>
        <w:t xml:space="preserve"> come marker dei benefici clinici nel trattamento e nella gestione della gotta</w:t>
      </w:r>
      <w:r w:rsidRPr="004A667D">
        <w:rPr>
          <w:rFonts w:cs="Arial"/>
          <w:sz w:val="20"/>
          <w:szCs w:val="20"/>
        </w:rPr>
        <w:t xml:space="preserve"> (</w:t>
      </w:r>
      <w:r w:rsidR="00210C18">
        <w:rPr>
          <w:rFonts w:cs="Arial"/>
          <w:color w:val="0000FF"/>
          <w:sz w:val="20"/>
          <w:szCs w:val="20"/>
        </w:rPr>
        <w:t>Shoji, 2004 (17)</w:t>
      </w:r>
      <w:r w:rsidR="00210C18" w:rsidRPr="001526A2">
        <w:rPr>
          <w:rFonts w:cs="Arial"/>
          <w:color w:val="0000FF"/>
          <w:sz w:val="20"/>
          <w:szCs w:val="20"/>
        </w:rPr>
        <w:t xml:space="preserve">; </w:t>
      </w:r>
      <w:r w:rsidR="00465578" w:rsidRPr="001526A2">
        <w:rPr>
          <w:rFonts w:cs="Arial"/>
          <w:color w:val="0000FF"/>
          <w:sz w:val="20"/>
          <w:szCs w:val="20"/>
        </w:rPr>
        <w:t>Becker, 2009</w:t>
      </w:r>
      <w:r w:rsidR="00465578">
        <w:rPr>
          <w:rFonts w:cs="Arial"/>
          <w:color w:val="0000FF"/>
          <w:sz w:val="20"/>
          <w:szCs w:val="20"/>
        </w:rPr>
        <w:t xml:space="preserve"> (37)</w:t>
      </w:r>
      <w:r w:rsidR="00465578" w:rsidRPr="001526A2">
        <w:rPr>
          <w:rFonts w:cs="Arial"/>
          <w:color w:val="0000FF"/>
          <w:sz w:val="20"/>
          <w:szCs w:val="20"/>
        </w:rPr>
        <w:t xml:space="preserve">; </w:t>
      </w:r>
      <w:r w:rsidR="00210C18">
        <w:rPr>
          <w:rFonts w:cs="Arial"/>
          <w:color w:val="0000FF"/>
          <w:sz w:val="20"/>
          <w:szCs w:val="20"/>
        </w:rPr>
        <w:t xml:space="preserve">Kiltz, 2016 (104); </w:t>
      </w:r>
      <w:r w:rsidR="0087651E">
        <w:rPr>
          <w:rFonts w:cs="Arial"/>
          <w:color w:val="0000FF"/>
          <w:sz w:val="20"/>
          <w:szCs w:val="20"/>
        </w:rPr>
        <w:t>Li-Yu, 2001 (112</w:t>
      </w:r>
      <w:r w:rsidR="008E6BDD">
        <w:rPr>
          <w:rFonts w:cs="Arial"/>
          <w:color w:val="0000FF"/>
          <w:sz w:val="20"/>
          <w:szCs w:val="20"/>
        </w:rPr>
        <w:t>)</w:t>
      </w:r>
      <w:r w:rsidR="00465578" w:rsidRPr="001526A2">
        <w:rPr>
          <w:rFonts w:cs="Arial"/>
          <w:color w:val="0000FF"/>
          <w:sz w:val="20"/>
          <w:szCs w:val="20"/>
        </w:rPr>
        <w:t xml:space="preserve">; </w:t>
      </w:r>
      <w:r w:rsidR="0087651E">
        <w:rPr>
          <w:rFonts w:cs="Arial"/>
          <w:color w:val="0000FF"/>
          <w:sz w:val="20"/>
          <w:szCs w:val="20"/>
        </w:rPr>
        <w:t>Pascual, 2007 (113</w:t>
      </w:r>
      <w:r w:rsidR="00F64F56">
        <w:rPr>
          <w:rFonts w:cs="Arial"/>
          <w:color w:val="0000FF"/>
          <w:sz w:val="20"/>
          <w:szCs w:val="20"/>
        </w:rPr>
        <w:t>)</w:t>
      </w:r>
      <w:r w:rsidR="00465578" w:rsidRPr="001526A2">
        <w:rPr>
          <w:rFonts w:cs="Arial"/>
          <w:color w:val="0000FF"/>
          <w:sz w:val="20"/>
          <w:szCs w:val="20"/>
        </w:rPr>
        <w:t xml:space="preserve">; </w:t>
      </w:r>
      <w:r w:rsidR="009752F0">
        <w:rPr>
          <w:rFonts w:cs="Arial"/>
          <w:color w:val="0000FF"/>
          <w:sz w:val="20"/>
          <w:szCs w:val="20"/>
        </w:rPr>
        <w:t>Perez-Ruiz</w:t>
      </w:r>
      <w:r w:rsidR="0087651E">
        <w:rPr>
          <w:rFonts w:cs="Arial"/>
          <w:color w:val="0000FF"/>
          <w:sz w:val="20"/>
          <w:szCs w:val="20"/>
        </w:rPr>
        <w:t>, 2002 (114</w:t>
      </w:r>
      <w:r w:rsidR="00F64F56">
        <w:rPr>
          <w:rFonts w:cs="Arial"/>
          <w:color w:val="0000FF"/>
          <w:sz w:val="20"/>
          <w:szCs w:val="20"/>
        </w:rPr>
        <w:t>)</w:t>
      </w:r>
      <w:r w:rsidR="00465578" w:rsidRPr="001526A2">
        <w:rPr>
          <w:rFonts w:cs="Arial"/>
          <w:color w:val="0000FF"/>
          <w:sz w:val="20"/>
          <w:szCs w:val="20"/>
        </w:rPr>
        <w:t xml:space="preserve">; </w:t>
      </w:r>
      <w:r w:rsidR="00B200A7">
        <w:rPr>
          <w:rFonts w:cs="Arial"/>
          <w:color w:val="0000FF"/>
          <w:sz w:val="20"/>
          <w:szCs w:val="20"/>
        </w:rPr>
        <w:t>Campion, 1987 (115</w:t>
      </w:r>
      <w:r w:rsidR="00F64F56">
        <w:rPr>
          <w:rFonts w:cs="Arial"/>
          <w:color w:val="0000FF"/>
          <w:sz w:val="20"/>
          <w:szCs w:val="20"/>
        </w:rPr>
        <w:t>)</w:t>
      </w:r>
      <w:r w:rsidRPr="004A667D">
        <w:rPr>
          <w:rFonts w:cs="Arial"/>
          <w:sz w:val="20"/>
          <w:szCs w:val="20"/>
        </w:rPr>
        <w:t>). Ulteriore supporto</w:t>
      </w:r>
      <w:r w:rsidR="00652AEE">
        <w:rPr>
          <w:rFonts w:cs="Arial"/>
          <w:sz w:val="20"/>
          <w:szCs w:val="20"/>
        </w:rPr>
        <w:t xml:space="preserve"> all’applicabilità dei livelli </w:t>
      </w:r>
      <w:r w:rsidR="005848A1">
        <w:rPr>
          <w:rFonts w:cs="Arial"/>
          <w:sz w:val="20"/>
          <w:szCs w:val="20"/>
        </w:rPr>
        <w:t>sUA</w:t>
      </w:r>
      <w:r w:rsidRPr="004A667D">
        <w:rPr>
          <w:rFonts w:cs="Arial"/>
          <w:sz w:val="20"/>
          <w:szCs w:val="20"/>
        </w:rPr>
        <w:t xml:space="preserve"> come marker clinici deriva da uno studio prospettico osservazionale che ha dimostrato che il rischio cumulato a 5 anni di sviluppare la </w:t>
      </w:r>
      <w:r w:rsidR="00652AEE">
        <w:rPr>
          <w:rFonts w:cs="Arial"/>
          <w:sz w:val="20"/>
          <w:szCs w:val="20"/>
        </w:rPr>
        <w:t xml:space="preserve">gotta nei soggetti con livelli </w:t>
      </w:r>
      <w:r w:rsidR="005848A1">
        <w:rPr>
          <w:rFonts w:cs="Arial"/>
          <w:sz w:val="20"/>
          <w:szCs w:val="20"/>
        </w:rPr>
        <w:t>sUA</w:t>
      </w:r>
      <w:r w:rsidRPr="004A667D">
        <w:rPr>
          <w:rFonts w:cs="Arial"/>
          <w:sz w:val="20"/>
          <w:szCs w:val="20"/>
        </w:rPr>
        <w:t xml:space="preserve"> non controllati (≥10.0 mg/dl) è di 30,5%, rispetto a solo</w:t>
      </w:r>
      <w:r w:rsidR="00652AEE">
        <w:rPr>
          <w:rFonts w:cs="Arial"/>
          <w:sz w:val="20"/>
          <w:szCs w:val="20"/>
        </w:rPr>
        <w:t xml:space="preserve"> 0,5% nei pazienti con livelli </w:t>
      </w:r>
      <w:r w:rsidR="005848A1">
        <w:rPr>
          <w:rFonts w:cs="Arial"/>
          <w:sz w:val="20"/>
          <w:szCs w:val="20"/>
        </w:rPr>
        <w:t>sUA</w:t>
      </w:r>
      <w:r w:rsidRPr="004A667D">
        <w:rPr>
          <w:rFonts w:cs="Arial"/>
          <w:sz w:val="20"/>
          <w:szCs w:val="20"/>
        </w:rPr>
        <w:t xml:space="preserve"> sotto controllo (≤6.0 mg/dl) (</w:t>
      </w:r>
      <w:r w:rsidR="00B200A7">
        <w:rPr>
          <w:rFonts w:cs="Arial"/>
          <w:color w:val="0000FF"/>
          <w:sz w:val="20"/>
          <w:szCs w:val="20"/>
        </w:rPr>
        <w:t>Campion, 1987 (115</w:t>
      </w:r>
      <w:r w:rsidR="00F64F56">
        <w:rPr>
          <w:rFonts w:cs="Arial"/>
          <w:color w:val="0000FF"/>
          <w:sz w:val="20"/>
          <w:szCs w:val="20"/>
        </w:rPr>
        <w:t>)</w:t>
      </w:r>
      <w:r w:rsidRPr="004A667D">
        <w:rPr>
          <w:rFonts w:cs="Arial"/>
          <w:sz w:val="20"/>
          <w:szCs w:val="20"/>
        </w:rPr>
        <w:t>).</w:t>
      </w:r>
    </w:p>
    <w:p w14:paraId="4DC4C8DF" w14:textId="5A6A448D" w:rsidR="004A667D" w:rsidRDefault="004A667D" w:rsidP="000210A2">
      <w:pPr>
        <w:widowControl w:val="0"/>
        <w:autoSpaceDE w:val="0"/>
        <w:autoSpaceDN w:val="0"/>
        <w:adjustRightInd w:val="0"/>
        <w:spacing w:line="360" w:lineRule="auto"/>
        <w:rPr>
          <w:rFonts w:cs="Arial"/>
          <w:sz w:val="20"/>
          <w:szCs w:val="20"/>
        </w:rPr>
      </w:pPr>
      <w:r w:rsidRPr="004A667D">
        <w:rPr>
          <w:rFonts w:cs="Arial"/>
          <w:sz w:val="20"/>
          <w:szCs w:val="20"/>
        </w:rPr>
        <w:t>Inol</w:t>
      </w:r>
      <w:r w:rsidR="00652AEE">
        <w:rPr>
          <w:rFonts w:cs="Arial"/>
          <w:sz w:val="20"/>
          <w:szCs w:val="20"/>
        </w:rPr>
        <w:t xml:space="preserve">tre gli effetti dei livelli di </w:t>
      </w:r>
      <w:r w:rsidR="005848A1">
        <w:rPr>
          <w:rFonts w:cs="Arial"/>
          <w:sz w:val="20"/>
          <w:szCs w:val="20"/>
        </w:rPr>
        <w:t>sUA</w:t>
      </w:r>
      <w:r w:rsidRPr="004A667D">
        <w:rPr>
          <w:rFonts w:cs="Arial"/>
          <w:sz w:val="20"/>
          <w:szCs w:val="20"/>
        </w:rPr>
        <w:t xml:space="preserve"> sugli outcome clinici rilevanti per la patologia (episodi infiammatori acuti (flares) e tofi) sono stati confermati attraverso una ricerca sistematica di letteratura </w:t>
      </w:r>
      <w:r w:rsidR="00AB78D5">
        <w:rPr>
          <w:rFonts w:cs="Arial"/>
          <w:sz w:val="20"/>
          <w:szCs w:val="20"/>
        </w:rPr>
        <w:t xml:space="preserve">effettuata da </w:t>
      </w:r>
      <w:r w:rsidR="00AB78D5" w:rsidRPr="004A667D">
        <w:rPr>
          <w:rFonts w:cs="Arial"/>
          <w:sz w:val="20"/>
          <w:szCs w:val="20"/>
        </w:rPr>
        <w:t xml:space="preserve">Grünenthal </w:t>
      </w:r>
      <w:r w:rsidR="00AB78D5">
        <w:rPr>
          <w:rFonts w:cs="Arial"/>
          <w:sz w:val="20"/>
          <w:szCs w:val="20"/>
        </w:rPr>
        <w:t xml:space="preserve">nel Settembre 2016, </w:t>
      </w:r>
      <w:r w:rsidRPr="004A667D">
        <w:rPr>
          <w:rFonts w:cs="Arial"/>
          <w:sz w:val="20"/>
          <w:szCs w:val="20"/>
        </w:rPr>
        <w:t>i cui risu</w:t>
      </w:r>
      <w:r w:rsidR="00652AEE">
        <w:rPr>
          <w:rFonts w:cs="Arial"/>
          <w:sz w:val="20"/>
          <w:szCs w:val="20"/>
        </w:rPr>
        <w:t xml:space="preserve">ltati dimostrano che valori di </w:t>
      </w:r>
      <w:r w:rsidR="005848A1">
        <w:rPr>
          <w:rFonts w:cs="Arial"/>
          <w:sz w:val="20"/>
          <w:szCs w:val="20"/>
        </w:rPr>
        <w:t>sUA</w:t>
      </w:r>
      <w:r w:rsidRPr="004A667D">
        <w:rPr>
          <w:rFonts w:cs="Arial"/>
          <w:sz w:val="20"/>
          <w:szCs w:val="20"/>
        </w:rPr>
        <w:t xml:space="preserve"> ≥6 mg/dl sono stati associati ad un peggioramento degli outcome clinici di cui sopra (</w:t>
      </w:r>
      <w:r w:rsidR="00B200A7">
        <w:rPr>
          <w:rFonts w:cs="Arial"/>
          <w:color w:val="0000FF"/>
          <w:sz w:val="20"/>
          <w:szCs w:val="20"/>
        </w:rPr>
        <w:t>Grünenthal DOF, SLR, Settembre 2016 (116</w:t>
      </w:r>
      <w:r w:rsidR="00F64F56">
        <w:rPr>
          <w:rFonts w:cs="Arial"/>
          <w:color w:val="0000FF"/>
          <w:sz w:val="20"/>
          <w:szCs w:val="20"/>
        </w:rPr>
        <w:t>)</w:t>
      </w:r>
      <w:r w:rsidRPr="004A667D">
        <w:rPr>
          <w:rFonts w:cs="Arial"/>
          <w:sz w:val="20"/>
          <w:szCs w:val="20"/>
        </w:rPr>
        <w:t>).</w:t>
      </w:r>
    </w:p>
    <w:p w14:paraId="48FDD71C" w14:textId="77777777" w:rsidR="00D76F42" w:rsidRDefault="00D76F42" w:rsidP="000210A2">
      <w:pPr>
        <w:widowControl w:val="0"/>
        <w:autoSpaceDE w:val="0"/>
        <w:autoSpaceDN w:val="0"/>
        <w:adjustRightInd w:val="0"/>
        <w:spacing w:line="360" w:lineRule="auto"/>
        <w:rPr>
          <w:rFonts w:cs="Arial"/>
          <w:sz w:val="20"/>
          <w:szCs w:val="20"/>
        </w:rPr>
      </w:pPr>
    </w:p>
    <w:p w14:paraId="11D4F41E" w14:textId="20E811B2" w:rsidR="001D660E" w:rsidRDefault="001D660E" w:rsidP="000210A2">
      <w:pPr>
        <w:widowControl w:val="0"/>
        <w:autoSpaceDE w:val="0"/>
        <w:autoSpaceDN w:val="0"/>
        <w:adjustRightInd w:val="0"/>
        <w:spacing w:line="360" w:lineRule="auto"/>
        <w:rPr>
          <w:rFonts w:cs="Arial"/>
          <w:sz w:val="20"/>
          <w:szCs w:val="20"/>
        </w:rPr>
      </w:pPr>
      <w:r w:rsidRPr="00EF58B4">
        <w:rPr>
          <w:rFonts w:cs="Arial"/>
          <w:sz w:val="20"/>
          <w:szCs w:val="20"/>
        </w:rPr>
        <w:t xml:space="preserve">Le Linee Guida EULAR 2016 </w:t>
      </w:r>
      <w:r w:rsidR="00A565C9">
        <w:rPr>
          <w:rFonts w:cs="Arial"/>
          <w:sz w:val="20"/>
          <w:szCs w:val="20"/>
        </w:rPr>
        <w:t>applicate al contesto italiano</w:t>
      </w:r>
      <w:r w:rsidR="00A565C9" w:rsidRPr="00EF58B4">
        <w:rPr>
          <w:rFonts w:cs="Arial"/>
          <w:sz w:val="20"/>
          <w:szCs w:val="20"/>
        </w:rPr>
        <w:t xml:space="preserve"> </w:t>
      </w:r>
      <w:r w:rsidRPr="00EF58B4">
        <w:rPr>
          <w:rFonts w:cs="Arial"/>
          <w:sz w:val="20"/>
          <w:szCs w:val="20"/>
        </w:rPr>
        <w:t xml:space="preserve">prevedono che, in caso di soggetti che non siano adeguatamente controllati con allopurinolo o siano ad esso intolleranti, si deve passare a febuxostat o ad un uricosurico </w:t>
      </w:r>
      <w:r w:rsidR="00A565C9">
        <w:rPr>
          <w:rFonts w:cs="Arial"/>
          <w:sz w:val="20"/>
          <w:szCs w:val="20"/>
        </w:rPr>
        <w:t xml:space="preserve">in monoterapia </w:t>
      </w:r>
      <w:r w:rsidRPr="00EF58B4">
        <w:rPr>
          <w:rFonts w:cs="Arial"/>
          <w:sz w:val="20"/>
          <w:szCs w:val="20"/>
        </w:rPr>
        <w:t>(non disponibile in Italia) o associare ad allopurinolo un uricosurico, ovvero lesinurad</w:t>
      </w:r>
      <w:r w:rsidR="00A565C9">
        <w:rPr>
          <w:rFonts w:cs="Arial"/>
          <w:sz w:val="20"/>
          <w:szCs w:val="20"/>
        </w:rPr>
        <w:t>, come trattamento di</w:t>
      </w:r>
      <w:r w:rsidRPr="00EF58B4">
        <w:rPr>
          <w:rFonts w:cs="Arial"/>
          <w:sz w:val="20"/>
          <w:szCs w:val="20"/>
        </w:rPr>
        <w:t>seconda linea; nel caso in cui i pazienti non siano ancora adeguatamente controllati con il trattamento di seconda linea (ovvero febuxosta</w:t>
      </w:r>
      <w:r>
        <w:rPr>
          <w:rFonts w:cs="Arial"/>
          <w:sz w:val="20"/>
          <w:szCs w:val="20"/>
        </w:rPr>
        <w:t>t</w:t>
      </w:r>
      <w:r w:rsidRPr="00EF58B4">
        <w:rPr>
          <w:rFonts w:cs="Arial"/>
          <w:sz w:val="20"/>
          <w:szCs w:val="20"/>
        </w:rPr>
        <w:t xml:space="preserve"> in monoterapia o allopurinolo associato a lesin</w:t>
      </w:r>
      <w:r>
        <w:rPr>
          <w:rFonts w:cs="Arial"/>
          <w:sz w:val="20"/>
          <w:szCs w:val="20"/>
        </w:rPr>
        <w:t>u</w:t>
      </w:r>
      <w:r w:rsidRPr="00EF58B4">
        <w:rPr>
          <w:rFonts w:cs="Arial"/>
          <w:sz w:val="20"/>
          <w:szCs w:val="20"/>
        </w:rPr>
        <w:t>rad), le Linee Guida EULAR 2016 prevedono il trattamento di terza linea (XOI in associazione ad uricosurico, ovvero febuxostat + lesinurad) (</w:t>
      </w:r>
      <w:r w:rsidR="00E54BFE">
        <w:rPr>
          <w:rFonts w:cs="Arial"/>
          <w:color w:val="0000FF"/>
          <w:sz w:val="20"/>
          <w:szCs w:val="20"/>
        </w:rPr>
        <w:t>Richette, 2016 (6)</w:t>
      </w:r>
      <w:r w:rsidRPr="00EF58B4">
        <w:rPr>
          <w:rFonts w:cs="Arial"/>
          <w:sz w:val="20"/>
          <w:szCs w:val="20"/>
        </w:rPr>
        <w:t>).</w:t>
      </w:r>
    </w:p>
    <w:p w14:paraId="52E5D728" w14:textId="0D88C0AD" w:rsidR="004A667D" w:rsidRPr="00A71F39" w:rsidRDefault="004A667D" w:rsidP="000210A2">
      <w:pPr>
        <w:widowControl w:val="0"/>
        <w:autoSpaceDE w:val="0"/>
        <w:autoSpaceDN w:val="0"/>
        <w:adjustRightInd w:val="0"/>
        <w:spacing w:line="360" w:lineRule="auto"/>
        <w:rPr>
          <w:rFonts w:cs="Arial"/>
          <w:sz w:val="20"/>
          <w:szCs w:val="20"/>
        </w:rPr>
      </w:pPr>
    </w:p>
    <w:p w14:paraId="18F20CD2" w14:textId="77777777" w:rsidR="00A813E3" w:rsidRDefault="00A813E3" w:rsidP="000210A2">
      <w:pPr>
        <w:rPr>
          <w:rFonts w:eastAsia="Times New Roman" w:cstheme="minorHAnsi"/>
          <w:b/>
          <w:noProof/>
          <w:sz w:val="20"/>
          <w:szCs w:val="20"/>
          <w:u w:val="single"/>
          <w:lang w:eastAsia="it-IT"/>
        </w:rPr>
      </w:pPr>
      <w:r>
        <w:rPr>
          <w:rFonts w:cstheme="minorHAnsi"/>
          <w:i/>
          <w:sz w:val="20"/>
          <w:u w:val="single"/>
        </w:rPr>
        <w:br w:type="page"/>
      </w:r>
    </w:p>
    <w:p w14:paraId="77D44CCF" w14:textId="04A355A2" w:rsidR="00B23A04" w:rsidRPr="00E21542" w:rsidRDefault="00A4192B" w:rsidP="00E21542">
      <w:pPr>
        <w:pStyle w:val="Heading2"/>
        <w:jc w:val="left"/>
        <w:rPr>
          <w:rFonts w:asciiTheme="minorHAnsi" w:hAnsiTheme="minorHAnsi" w:cstheme="minorHAnsi"/>
          <w:i w:val="0"/>
          <w:sz w:val="20"/>
          <w:u w:val="single"/>
        </w:rPr>
      </w:pPr>
      <w:bookmarkStart w:id="102" w:name="_Toc473184561"/>
      <w:r w:rsidRPr="00E21542">
        <w:rPr>
          <w:rFonts w:asciiTheme="minorHAnsi" w:hAnsiTheme="minorHAnsi" w:cstheme="minorHAnsi"/>
          <w:i w:val="0"/>
          <w:sz w:val="20"/>
          <w:u w:val="single"/>
        </w:rPr>
        <w:t>Studi CLEAR 1 e 2 (</w:t>
      </w:r>
      <w:r w:rsidR="00BA2F8F" w:rsidRPr="00E21542">
        <w:rPr>
          <w:rFonts w:asciiTheme="minorHAnsi" w:hAnsiTheme="minorHAnsi" w:cstheme="minorHAnsi"/>
          <w:i w:val="0"/>
          <w:sz w:val="20"/>
          <w:u w:val="single"/>
        </w:rPr>
        <w:t>studi 301</w:t>
      </w:r>
      <w:r w:rsidR="00D31D9A" w:rsidRPr="00E21542">
        <w:rPr>
          <w:rFonts w:asciiTheme="minorHAnsi" w:hAnsiTheme="minorHAnsi" w:cstheme="minorHAnsi"/>
          <w:i w:val="0"/>
          <w:sz w:val="20"/>
          <w:u w:val="single"/>
        </w:rPr>
        <w:t xml:space="preserve"> (</w:t>
      </w:r>
      <w:r w:rsidR="00656ABA">
        <w:rPr>
          <w:rFonts w:asciiTheme="minorHAnsi" w:hAnsiTheme="minorHAnsi" w:cstheme="minorHAnsi"/>
          <w:i w:val="0"/>
          <w:color w:val="0000FF"/>
          <w:sz w:val="20"/>
          <w:u w:val="single"/>
        </w:rPr>
        <w:t>109</w:t>
      </w:r>
      <w:r w:rsidR="00D31D9A" w:rsidRPr="00E21542">
        <w:rPr>
          <w:rFonts w:asciiTheme="minorHAnsi" w:hAnsiTheme="minorHAnsi" w:cstheme="minorHAnsi"/>
          <w:i w:val="0"/>
          <w:sz w:val="20"/>
          <w:u w:val="single"/>
        </w:rPr>
        <w:t xml:space="preserve">) </w:t>
      </w:r>
      <w:r w:rsidR="00BA2F8F" w:rsidRPr="00E21542">
        <w:rPr>
          <w:rFonts w:asciiTheme="minorHAnsi" w:hAnsiTheme="minorHAnsi" w:cstheme="minorHAnsi"/>
          <w:i w:val="0"/>
          <w:sz w:val="20"/>
          <w:u w:val="single"/>
        </w:rPr>
        <w:t>-302</w:t>
      </w:r>
      <w:r w:rsidR="00D31D9A" w:rsidRPr="00E21542">
        <w:rPr>
          <w:rFonts w:asciiTheme="minorHAnsi" w:hAnsiTheme="minorHAnsi" w:cstheme="minorHAnsi"/>
          <w:i w:val="0"/>
          <w:sz w:val="20"/>
          <w:u w:val="single"/>
        </w:rPr>
        <w:t xml:space="preserve"> (</w:t>
      </w:r>
      <w:r w:rsidR="00656ABA">
        <w:rPr>
          <w:rFonts w:asciiTheme="minorHAnsi" w:hAnsiTheme="minorHAnsi" w:cstheme="minorHAnsi"/>
          <w:i w:val="0"/>
          <w:color w:val="0000FF"/>
          <w:sz w:val="20"/>
          <w:u w:val="single"/>
        </w:rPr>
        <w:t>110</w:t>
      </w:r>
      <w:r w:rsidR="00D31D9A" w:rsidRPr="00E21542">
        <w:rPr>
          <w:rFonts w:asciiTheme="minorHAnsi" w:hAnsiTheme="minorHAnsi" w:cstheme="minorHAnsi"/>
          <w:i w:val="0"/>
          <w:sz w:val="20"/>
          <w:u w:val="single"/>
        </w:rPr>
        <w:t>)</w:t>
      </w:r>
      <w:r w:rsidR="00BA2F8F" w:rsidRPr="00E21542">
        <w:rPr>
          <w:rFonts w:asciiTheme="minorHAnsi" w:hAnsiTheme="minorHAnsi" w:cstheme="minorHAnsi"/>
          <w:i w:val="0"/>
          <w:sz w:val="20"/>
          <w:u w:val="single"/>
        </w:rPr>
        <w:t>) vs. allopurinolo</w:t>
      </w:r>
      <w:bookmarkEnd w:id="102"/>
    </w:p>
    <w:p w14:paraId="0D72BDE6" w14:textId="51AF73D0" w:rsidR="0043790F" w:rsidRDefault="00BA2F8F" w:rsidP="000210A2">
      <w:pPr>
        <w:shd w:val="clear" w:color="auto" w:fill="FFFFFF"/>
        <w:spacing w:line="360" w:lineRule="auto"/>
        <w:rPr>
          <w:rFonts w:cs="Arial"/>
          <w:sz w:val="20"/>
          <w:szCs w:val="20"/>
        </w:rPr>
      </w:pPr>
      <w:r>
        <w:rPr>
          <w:rFonts w:cs="Arial"/>
          <w:sz w:val="20"/>
          <w:szCs w:val="20"/>
        </w:rPr>
        <w:t>Gli studi CLEAR 1 e CLEAR 2 hanno un disegno ed una metodologia simili e p</w:t>
      </w:r>
      <w:r w:rsidR="00D34C7F">
        <w:rPr>
          <w:rFonts w:cs="Arial"/>
          <w:sz w:val="20"/>
          <w:szCs w:val="20"/>
        </w:rPr>
        <w:t>ertanto per fo</w:t>
      </w:r>
      <w:r w:rsidR="001D71C3">
        <w:rPr>
          <w:rFonts w:cs="Arial"/>
          <w:sz w:val="20"/>
          <w:szCs w:val="20"/>
        </w:rPr>
        <w:t>r</w:t>
      </w:r>
      <w:r w:rsidR="00D34C7F">
        <w:rPr>
          <w:rFonts w:cs="Arial"/>
          <w:sz w:val="20"/>
          <w:szCs w:val="20"/>
        </w:rPr>
        <w:t>nire le evidenze in modo più efficace i par</w:t>
      </w:r>
      <w:r w:rsidR="00755502">
        <w:rPr>
          <w:rFonts w:cs="Arial"/>
          <w:sz w:val="20"/>
          <w:szCs w:val="20"/>
        </w:rPr>
        <w:t>a</w:t>
      </w:r>
      <w:r w:rsidR="00D34C7F">
        <w:rPr>
          <w:rFonts w:cs="Arial"/>
          <w:sz w:val="20"/>
          <w:szCs w:val="20"/>
        </w:rPr>
        <w:t xml:space="preserve">grafi relativi alla metodologia </w:t>
      </w:r>
      <w:r w:rsidR="001D71C3">
        <w:rPr>
          <w:rFonts w:cs="Arial"/>
          <w:sz w:val="20"/>
          <w:szCs w:val="20"/>
        </w:rPr>
        <w:t>(</w:t>
      </w:r>
      <w:hyperlink w:anchor="Paragrafo51" w:history="1">
        <w:r w:rsidR="001D71C3" w:rsidRPr="00E47C32">
          <w:rPr>
            <w:rStyle w:val="Hyperlink"/>
            <w:rFonts w:cs="Arial"/>
            <w:sz w:val="20"/>
            <w:szCs w:val="20"/>
          </w:rPr>
          <w:t>Paragrafi 5.1 – 5.7</w:t>
        </w:r>
      </w:hyperlink>
      <w:r w:rsidR="001D71C3">
        <w:rPr>
          <w:rFonts w:cs="Arial"/>
          <w:sz w:val="20"/>
          <w:szCs w:val="20"/>
        </w:rPr>
        <w:t xml:space="preserve">) </w:t>
      </w:r>
      <w:r w:rsidR="00D34C7F">
        <w:rPr>
          <w:rFonts w:cs="Arial"/>
          <w:sz w:val="20"/>
          <w:szCs w:val="20"/>
        </w:rPr>
        <w:t xml:space="preserve">sono comuni con evidenziate le differenze individuali dei singoli studi. I risultati </w:t>
      </w:r>
      <w:r w:rsidR="001D71C3">
        <w:rPr>
          <w:rFonts w:cs="Arial"/>
          <w:sz w:val="20"/>
          <w:szCs w:val="20"/>
        </w:rPr>
        <w:t>(</w:t>
      </w:r>
      <w:hyperlink w:anchor="Paragrafo58" w:history="1">
        <w:r w:rsidR="001D71C3" w:rsidRPr="00E47C32">
          <w:rPr>
            <w:rStyle w:val="Hyperlink"/>
            <w:rFonts w:cs="Arial"/>
            <w:sz w:val="20"/>
            <w:szCs w:val="20"/>
          </w:rPr>
          <w:t>Paragraf</w:t>
        </w:r>
        <w:r w:rsidR="00CC3E66" w:rsidRPr="00E47C32">
          <w:rPr>
            <w:rStyle w:val="Hyperlink"/>
            <w:rFonts w:cs="Arial"/>
            <w:sz w:val="20"/>
            <w:szCs w:val="20"/>
          </w:rPr>
          <w:t>i</w:t>
        </w:r>
        <w:r w:rsidR="001D71C3" w:rsidRPr="00E47C32">
          <w:rPr>
            <w:rStyle w:val="Hyperlink"/>
            <w:rFonts w:cs="Arial"/>
            <w:sz w:val="20"/>
            <w:szCs w:val="20"/>
          </w:rPr>
          <w:t xml:space="preserve"> 5.8</w:t>
        </w:r>
        <w:r w:rsidR="00CC3E66" w:rsidRPr="00E47C32">
          <w:rPr>
            <w:rStyle w:val="Hyperlink"/>
            <w:rFonts w:cs="Arial"/>
            <w:sz w:val="20"/>
            <w:szCs w:val="20"/>
          </w:rPr>
          <w:t xml:space="preserve"> – 5.9</w:t>
        </w:r>
      </w:hyperlink>
      <w:r w:rsidR="001D71C3">
        <w:rPr>
          <w:rFonts w:cs="Arial"/>
          <w:sz w:val="20"/>
          <w:szCs w:val="20"/>
        </w:rPr>
        <w:t xml:space="preserve">) </w:t>
      </w:r>
      <w:r w:rsidR="00D34C7F">
        <w:rPr>
          <w:rFonts w:cs="Arial"/>
          <w:sz w:val="20"/>
          <w:szCs w:val="20"/>
        </w:rPr>
        <w:t xml:space="preserve">tuttavia vengono presentati in sezioni </w:t>
      </w:r>
      <w:r w:rsidR="00A565C9">
        <w:rPr>
          <w:rFonts w:cs="Arial"/>
          <w:sz w:val="20"/>
          <w:szCs w:val="20"/>
        </w:rPr>
        <w:t>specifiche</w:t>
      </w:r>
      <w:r w:rsidR="00D34C7F">
        <w:rPr>
          <w:rFonts w:cs="Arial"/>
          <w:sz w:val="20"/>
          <w:szCs w:val="20"/>
        </w:rPr>
        <w:t>.</w:t>
      </w:r>
    </w:p>
    <w:p w14:paraId="0C621B76" w14:textId="77777777" w:rsidR="00D34C7F" w:rsidRPr="00BA2F8F" w:rsidRDefault="00D34C7F" w:rsidP="000210A2">
      <w:pPr>
        <w:shd w:val="clear" w:color="auto" w:fill="FFFFFF"/>
        <w:spacing w:line="360" w:lineRule="auto"/>
        <w:rPr>
          <w:rFonts w:cs="Arial"/>
          <w:sz w:val="20"/>
          <w:szCs w:val="20"/>
        </w:rPr>
      </w:pPr>
    </w:p>
    <w:p w14:paraId="09B929B7" w14:textId="77777777" w:rsidR="00BA2F8F" w:rsidRPr="00BA2F8F" w:rsidRDefault="00BA2F8F" w:rsidP="00825BD3">
      <w:pPr>
        <w:numPr>
          <w:ilvl w:val="1"/>
          <w:numId w:val="13"/>
        </w:numPr>
        <w:shd w:val="clear" w:color="auto" w:fill="FFFFFF"/>
        <w:spacing w:line="360" w:lineRule="auto"/>
        <w:rPr>
          <w:rFonts w:cs="Arial"/>
          <w:sz w:val="20"/>
          <w:szCs w:val="20"/>
          <w:u w:val="single"/>
        </w:rPr>
      </w:pPr>
      <w:bookmarkStart w:id="103" w:name="Paragrafo51"/>
      <w:bookmarkEnd w:id="103"/>
      <w:r w:rsidRPr="00BA2F8F">
        <w:rPr>
          <w:rFonts w:cs="Arial"/>
          <w:sz w:val="20"/>
          <w:szCs w:val="20"/>
          <w:u w:val="single"/>
        </w:rPr>
        <w:t>Presupposti fisiopatologici, razionale e obiettivi dello studio</w:t>
      </w:r>
    </w:p>
    <w:p w14:paraId="00D29560" w14:textId="19F2485D" w:rsidR="00A565C9" w:rsidRDefault="00CA463E" w:rsidP="000210A2">
      <w:pPr>
        <w:shd w:val="clear" w:color="auto" w:fill="FFFFFF"/>
        <w:spacing w:line="360" w:lineRule="auto"/>
        <w:rPr>
          <w:rFonts w:cs="Arial"/>
          <w:sz w:val="20"/>
          <w:szCs w:val="20"/>
        </w:rPr>
      </w:pPr>
      <w:r w:rsidRPr="00CA463E">
        <w:rPr>
          <w:rFonts w:cs="Arial"/>
          <w:sz w:val="20"/>
          <w:szCs w:val="20"/>
        </w:rPr>
        <w:t xml:space="preserve">Le </w:t>
      </w:r>
      <w:r w:rsidR="00A565C9">
        <w:rPr>
          <w:rFonts w:cs="Arial"/>
          <w:sz w:val="20"/>
          <w:szCs w:val="20"/>
        </w:rPr>
        <w:t>principali l</w:t>
      </w:r>
      <w:r w:rsidRPr="00CA463E">
        <w:rPr>
          <w:rFonts w:cs="Arial"/>
          <w:sz w:val="20"/>
          <w:szCs w:val="20"/>
        </w:rPr>
        <w:t>inee Guida</w:t>
      </w:r>
      <w:r w:rsidR="00A565C9">
        <w:rPr>
          <w:rFonts w:cs="Arial"/>
          <w:sz w:val="20"/>
          <w:szCs w:val="20"/>
        </w:rPr>
        <w:t xml:space="preserve"> italiane e internazionali per la gestione della gotta</w:t>
      </w:r>
      <w:r w:rsidRPr="00CA463E">
        <w:rPr>
          <w:rFonts w:cs="Arial"/>
          <w:sz w:val="20"/>
          <w:szCs w:val="20"/>
        </w:rPr>
        <w:t xml:space="preserve"> raccomandano la combinazione di un </w:t>
      </w:r>
      <w:r w:rsidR="00A565C9">
        <w:rPr>
          <w:rFonts w:cs="Arial"/>
          <w:sz w:val="20"/>
          <w:szCs w:val="20"/>
        </w:rPr>
        <w:t>adeguato</w:t>
      </w:r>
      <w:r w:rsidR="00A565C9" w:rsidRPr="00CA463E">
        <w:rPr>
          <w:rFonts w:cs="Arial"/>
          <w:sz w:val="20"/>
          <w:szCs w:val="20"/>
        </w:rPr>
        <w:t xml:space="preserve"> </w:t>
      </w:r>
      <w:r w:rsidRPr="00CA463E">
        <w:rPr>
          <w:rFonts w:cs="Arial"/>
          <w:sz w:val="20"/>
          <w:szCs w:val="20"/>
        </w:rPr>
        <w:t xml:space="preserve">stile di vita insieme ad un appropriato trattamento farmacologico </w:t>
      </w:r>
      <w:r w:rsidR="00A565C9">
        <w:rPr>
          <w:rFonts w:cs="Arial"/>
          <w:sz w:val="20"/>
          <w:szCs w:val="20"/>
        </w:rPr>
        <w:t>ipo-uricemizzante</w:t>
      </w:r>
      <w:r w:rsidRPr="00CA463E">
        <w:rPr>
          <w:rFonts w:cs="Arial"/>
          <w:sz w:val="20"/>
          <w:szCs w:val="20"/>
        </w:rPr>
        <w:t xml:space="preserve">; </w:t>
      </w:r>
    </w:p>
    <w:p w14:paraId="408A9502" w14:textId="77777777" w:rsidR="00A565C9" w:rsidRDefault="00A565C9" w:rsidP="000210A2">
      <w:pPr>
        <w:shd w:val="clear" w:color="auto" w:fill="FFFFFF"/>
        <w:spacing w:line="360" w:lineRule="auto"/>
        <w:rPr>
          <w:rFonts w:cs="Arial"/>
          <w:sz w:val="20"/>
          <w:szCs w:val="20"/>
        </w:rPr>
      </w:pPr>
      <w:r>
        <w:rPr>
          <w:rFonts w:cs="Arial"/>
          <w:sz w:val="20"/>
          <w:szCs w:val="20"/>
        </w:rPr>
        <w:t>In esse, l</w:t>
      </w:r>
      <w:r w:rsidRPr="0096302C">
        <w:rPr>
          <w:rFonts w:cs="Arial"/>
          <w:sz w:val="20"/>
          <w:szCs w:val="20"/>
        </w:rPr>
        <w:t xml:space="preserve">’ obiettivo </w:t>
      </w:r>
      <w:r>
        <w:rPr>
          <w:rFonts w:cs="Arial"/>
          <w:sz w:val="20"/>
          <w:szCs w:val="20"/>
        </w:rPr>
        <w:t xml:space="preserve">stabilito come </w:t>
      </w:r>
      <w:r w:rsidRPr="0096302C">
        <w:rPr>
          <w:rFonts w:cs="Arial"/>
          <w:sz w:val="20"/>
          <w:szCs w:val="20"/>
        </w:rPr>
        <w:t>primario nella gestione della GOTT</w:t>
      </w:r>
      <w:r>
        <w:rPr>
          <w:rFonts w:cs="Arial"/>
          <w:sz w:val="20"/>
          <w:szCs w:val="20"/>
        </w:rPr>
        <w:t xml:space="preserve">A è il </w:t>
      </w:r>
      <w:r w:rsidRPr="0096302C">
        <w:rPr>
          <w:rFonts w:cs="Arial"/>
          <w:sz w:val="20"/>
          <w:szCs w:val="20"/>
        </w:rPr>
        <w:t xml:space="preserve">garantire  la riduzione dei livelli sierici di urato sotto il punto di saturazione  (sUA &lt; 6 mg/dl e, in pazienti </w:t>
      </w:r>
      <w:r>
        <w:rPr>
          <w:rFonts w:cs="Arial"/>
          <w:sz w:val="20"/>
          <w:szCs w:val="20"/>
        </w:rPr>
        <w:t xml:space="preserve">con GOTTA severa sUA &lt; 5 mg/dl) </w:t>
      </w:r>
      <w:r w:rsidRPr="0096302C">
        <w:rPr>
          <w:rFonts w:cs="Arial"/>
          <w:sz w:val="20"/>
          <w:szCs w:val="20"/>
        </w:rPr>
        <w:t>(SIR 2013, Richette 2016).</w:t>
      </w:r>
    </w:p>
    <w:p w14:paraId="1088D570" w14:textId="538F988A" w:rsidR="00CA463E" w:rsidRPr="00CA463E" w:rsidRDefault="00A565C9" w:rsidP="000210A2">
      <w:pPr>
        <w:shd w:val="clear" w:color="auto" w:fill="FFFFFF"/>
        <w:spacing w:line="360" w:lineRule="auto"/>
        <w:rPr>
          <w:rFonts w:cs="Arial"/>
          <w:sz w:val="20"/>
          <w:szCs w:val="20"/>
        </w:rPr>
      </w:pPr>
      <w:r>
        <w:rPr>
          <w:rFonts w:cs="Arial"/>
          <w:sz w:val="20"/>
          <w:szCs w:val="20"/>
        </w:rPr>
        <w:t xml:space="preserve">In particolare, le linee guida EULAR, di più recente pubblicazione, raccomandano come trattamento di prima linea </w:t>
      </w:r>
      <w:r w:rsidRPr="0096302C">
        <w:rPr>
          <w:rFonts w:cs="Arial"/>
          <w:sz w:val="20"/>
          <w:szCs w:val="20"/>
        </w:rPr>
        <w:t xml:space="preserve">Allopurinolo, inibitore della xantino-ossidasi (XOI); all’inizio del trattamento deve essere utilizzato un basso dosaggio (100 mg/die), con titolazione di ulteriori 100 mg ogni 2-4 settimane </w:t>
      </w:r>
      <w:r w:rsidR="00531BFC" w:rsidRPr="00531BFC">
        <w:rPr>
          <w:rFonts w:cs="Arial"/>
          <w:sz w:val="20"/>
          <w:szCs w:val="20"/>
        </w:rPr>
        <w:t xml:space="preserve">(fino al dosaggio massimo consentito) </w:t>
      </w:r>
      <w:r w:rsidRPr="0096302C">
        <w:rPr>
          <w:rFonts w:cs="Arial"/>
          <w:sz w:val="20"/>
          <w:szCs w:val="20"/>
        </w:rPr>
        <w:t>fino al raggiungimento del target uricemico</w:t>
      </w:r>
      <w:r>
        <w:rPr>
          <w:rFonts w:cs="Arial"/>
          <w:sz w:val="20"/>
          <w:szCs w:val="20"/>
        </w:rPr>
        <w:t xml:space="preserve"> </w:t>
      </w:r>
      <w:r w:rsidR="00CA463E" w:rsidRPr="00CA463E">
        <w:rPr>
          <w:rFonts w:cs="Arial"/>
          <w:sz w:val="20"/>
          <w:szCs w:val="20"/>
        </w:rPr>
        <w:t>(</w:t>
      </w:r>
      <w:r w:rsidR="00E54BFE">
        <w:rPr>
          <w:rFonts w:cs="Arial"/>
          <w:color w:val="0000FF"/>
          <w:sz w:val="20"/>
          <w:szCs w:val="20"/>
        </w:rPr>
        <w:t>Richette, 2016 (6</w:t>
      </w:r>
      <w:r w:rsidR="00E54BFE" w:rsidRPr="00F114DC">
        <w:rPr>
          <w:rFonts w:cs="Arial"/>
          <w:color w:val="0000FF"/>
          <w:sz w:val="20"/>
          <w:szCs w:val="20"/>
        </w:rPr>
        <w:t>)</w:t>
      </w:r>
      <w:r w:rsidR="00CA463E" w:rsidRPr="00F114DC">
        <w:rPr>
          <w:rFonts w:cs="Arial"/>
          <w:color w:val="0000FF"/>
          <w:sz w:val="20"/>
          <w:szCs w:val="20"/>
        </w:rPr>
        <w:t xml:space="preserve">; </w:t>
      </w:r>
      <w:r w:rsidR="0083674F" w:rsidRPr="00F114DC">
        <w:rPr>
          <w:rFonts w:cs="Arial"/>
          <w:color w:val="0000FF"/>
          <w:sz w:val="20"/>
          <w:szCs w:val="20"/>
        </w:rPr>
        <w:t>Khanna, 2012 (</w:t>
      </w:r>
      <w:r w:rsidR="00656ABA" w:rsidRPr="00F114DC">
        <w:rPr>
          <w:rFonts w:cs="Arial"/>
          <w:color w:val="0000FF"/>
          <w:sz w:val="20"/>
          <w:szCs w:val="20"/>
        </w:rPr>
        <w:t>96</w:t>
      </w:r>
      <w:r w:rsidR="0083674F" w:rsidRPr="00F114DC">
        <w:rPr>
          <w:rFonts w:cs="Arial"/>
          <w:color w:val="0000FF"/>
          <w:sz w:val="20"/>
          <w:szCs w:val="20"/>
        </w:rPr>
        <w:t>)</w:t>
      </w:r>
      <w:r w:rsidR="00CA463E" w:rsidRPr="00F114DC">
        <w:rPr>
          <w:rFonts w:cs="Arial"/>
          <w:sz w:val="20"/>
          <w:szCs w:val="20"/>
        </w:rPr>
        <w:t>).</w:t>
      </w:r>
      <w:r w:rsidR="00CA463E" w:rsidRPr="00CA463E">
        <w:rPr>
          <w:rFonts w:cs="Arial"/>
          <w:sz w:val="20"/>
          <w:szCs w:val="20"/>
        </w:rPr>
        <w:t xml:space="preserve"> </w:t>
      </w:r>
    </w:p>
    <w:p w14:paraId="5059ACD2" w14:textId="491B4D47" w:rsidR="00474059" w:rsidRPr="00FA51BC" w:rsidRDefault="00474059" w:rsidP="000210A2">
      <w:pPr>
        <w:spacing w:line="360" w:lineRule="auto"/>
        <w:rPr>
          <w:rFonts w:cs="Arial"/>
          <w:sz w:val="20"/>
          <w:szCs w:val="20"/>
        </w:rPr>
      </w:pPr>
      <w:r w:rsidRPr="00FA51BC">
        <w:rPr>
          <w:rFonts w:cs="Arial"/>
          <w:sz w:val="20"/>
          <w:szCs w:val="20"/>
        </w:rPr>
        <w:t xml:space="preserve">Con le dosi comunemente utilizzate di XOI, più del 50% dei pazienti gottosi non raggiunge il livello target di </w:t>
      </w:r>
      <w:r>
        <w:rPr>
          <w:rFonts w:cs="Arial"/>
          <w:sz w:val="20"/>
          <w:szCs w:val="20"/>
        </w:rPr>
        <w:t>sUA</w:t>
      </w:r>
      <w:r w:rsidRPr="00FA51BC">
        <w:rPr>
          <w:rFonts w:cs="Arial"/>
          <w:sz w:val="20"/>
          <w:szCs w:val="20"/>
        </w:rPr>
        <w:t xml:space="preserve"> (&lt; 6.0 mg/dl) (</w:t>
      </w:r>
      <w:r w:rsidR="006B5BC6">
        <w:rPr>
          <w:color w:val="0000FF"/>
          <w:sz w:val="20"/>
          <w:szCs w:val="20"/>
        </w:rPr>
        <w:t xml:space="preserve">Becker, 2005 (36); </w:t>
      </w:r>
      <w:r w:rsidR="006B5BC6" w:rsidRPr="008B42E0">
        <w:rPr>
          <w:rFonts w:cstheme="minorHAnsi"/>
          <w:color w:val="0000FF"/>
          <w:sz w:val="20"/>
          <w:szCs w:val="20"/>
        </w:rPr>
        <w:t>Becker, 2009</w:t>
      </w:r>
      <w:r w:rsidR="006B5BC6">
        <w:rPr>
          <w:rFonts w:cstheme="minorHAnsi"/>
          <w:color w:val="0000FF"/>
          <w:sz w:val="20"/>
          <w:szCs w:val="20"/>
        </w:rPr>
        <w:t xml:space="preserve"> (37)</w:t>
      </w:r>
      <w:r w:rsidR="006B5BC6" w:rsidRPr="008B42E0">
        <w:rPr>
          <w:rFonts w:cstheme="minorHAnsi"/>
          <w:color w:val="0000FF"/>
          <w:sz w:val="20"/>
          <w:szCs w:val="20"/>
        </w:rPr>
        <w:t xml:space="preserve">; </w:t>
      </w:r>
      <w:r w:rsidR="006B5BC6">
        <w:rPr>
          <w:color w:val="0000FF"/>
          <w:sz w:val="20"/>
          <w:szCs w:val="20"/>
        </w:rPr>
        <w:t xml:space="preserve">Becker, 2010 (38); </w:t>
      </w:r>
      <w:r w:rsidR="006B5BC6">
        <w:rPr>
          <w:rFonts w:cs="Arial"/>
          <w:color w:val="0000FF"/>
          <w:sz w:val="20"/>
          <w:szCs w:val="20"/>
        </w:rPr>
        <w:t>Schumacher, 2008 (39);</w:t>
      </w:r>
      <w:r w:rsidR="006B5BC6" w:rsidRPr="0083674F">
        <w:rPr>
          <w:rFonts w:cs="Arial"/>
          <w:color w:val="0000FF"/>
          <w:sz w:val="20"/>
          <w:szCs w:val="20"/>
        </w:rPr>
        <w:t xml:space="preserve"> </w:t>
      </w:r>
      <w:r w:rsidR="006B5BC6">
        <w:rPr>
          <w:rFonts w:cs="Arial"/>
          <w:color w:val="0000FF"/>
          <w:sz w:val="20"/>
          <w:szCs w:val="20"/>
        </w:rPr>
        <w:t>Becker, 2015 (40</w:t>
      </w:r>
      <w:r w:rsidR="006B5BC6" w:rsidRPr="006B5BC6">
        <w:rPr>
          <w:rFonts w:cs="Arial"/>
          <w:color w:val="0000FF"/>
          <w:sz w:val="20"/>
          <w:szCs w:val="20"/>
        </w:rPr>
        <w:t>)</w:t>
      </w:r>
      <w:r w:rsidRPr="006B5BC6">
        <w:rPr>
          <w:rFonts w:cs="Arial"/>
          <w:sz w:val="20"/>
          <w:szCs w:val="20"/>
        </w:rPr>
        <w:t>).</w:t>
      </w:r>
    </w:p>
    <w:p w14:paraId="48730F2A" w14:textId="0CE3102F" w:rsidR="00474059" w:rsidRDefault="00474059" w:rsidP="000210A2">
      <w:pPr>
        <w:shd w:val="clear" w:color="auto" w:fill="FFFFFF"/>
        <w:spacing w:line="360" w:lineRule="auto"/>
        <w:rPr>
          <w:rFonts w:cs="Arial"/>
          <w:sz w:val="20"/>
          <w:szCs w:val="20"/>
        </w:rPr>
      </w:pPr>
      <w:r>
        <w:rPr>
          <w:rFonts w:cs="Arial"/>
          <w:sz w:val="20"/>
          <w:szCs w:val="20"/>
        </w:rPr>
        <w:t>In particolare, p</w:t>
      </w:r>
      <w:r w:rsidRPr="00FA51BC">
        <w:rPr>
          <w:rFonts w:cs="Arial"/>
          <w:sz w:val="20"/>
          <w:szCs w:val="20"/>
        </w:rPr>
        <w:t>ur utilizzando dosaggi superiori a quelli più comunemente utilizzati di allopurinolo (300 mg/die)</w:t>
      </w:r>
      <w:r>
        <w:rPr>
          <w:rFonts w:cs="Arial"/>
          <w:sz w:val="20"/>
          <w:szCs w:val="20"/>
        </w:rPr>
        <w:t xml:space="preserve"> </w:t>
      </w:r>
      <w:r w:rsidRPr="0096302C">
        <w:rPr>
          <w:rFonts w:cs="Arial"/>
          <w:sz w:val="20"/>
          <w:szCs w:val="20"/>
        </w:rPr>
        <w:t>e c</w:t>
      </w:r>
      <w:r>
        <w:rPr>
          <w:rFonts w:cs="Arial"/>
          <w:sz w:val="20"/>
          <w:szCs w:val="20"/>
        </w:rPr>
        <w:t xml:space="preserve">on un’aderenza alla terapia superiore al 96 </w:t>
      </w:r>
      <w:r w:rsidRPr="0096302C">
        <w:rPr>
          <w:rFonts w:cs="Arial"/>
          <w:sz w:val="20"/>
          <w:szCs w:val="20"/>
        </w:rPr>
        <w:t>%</w:t>
      </w:r>
      <w:r>
        <w:rPr>
          <w:rFonts w:cs="Arial"/>
          <w:sz w:val="20"/>
          <w:szCs w:val="20"/>
        </w:rPr>
        <w:t>,</w:t>
      </w:r>
      <w:r w:rsidRPr="00FA51BC">
        <w:rPr>
          <w:rFonts w:cs="Arial"/>
          <w:sz w:val="20"/>
          <w:szCs w:val="20"/>
        </w:rPr>
        <w:t xml:space="preserve"> rimane comunque alta la percentuale di pazienti che non rispondono al trattamento </w:t>
      </w:r>
      <w:r w:rsidR="00826DA8">
        <w:rPr>
          <w:rFonts w:cs="Arial"/>
          <w:b/>
          <w:sz w:val="20"/>
          <w:szCs w:val="20"/>
        </w:rPr>
        <w:t>,</w:t>
      </w:r>
      <w:r w:rsidR="00826DA8" w:rsidRPr="00FA51BC">
        <w:rPr>
          <w:rFonts w:cs="Arial"/>
          <w:sz w:val="20"/>
          <w:szCs w:val="20"/>
        </w:rPr>
        <w:t xml:space="preserve"> con il 52% dei pazienti che </w:t>
      </w:r>
      <w:r w:rsidR="00826DA8">
        <w:rPr>
          <w:rFonts w:cs="Arial"/>
          <w:sz w:val="20"/>
          <w:szCs w:val="20"/>
        </w:rPr>
        <w:t>non</w:t>
      </w:r>
      <w:r w:rsidRPr="00FA51BC">
        <w:rPr>
          <w:rFonts w:cs="Arial"/>
          <w:sz w:val="20"/>
          <w:szCs w:val="20"/>
        </w:rPr>
        <w:t xml:space="preserve"> raggiungono il livello target di </w:t>
      </w:r>
      <w:r>
        <w:rPr>
          <w:rFonts w:cs="Arial"/>
          <w:sz w:val="20"/>
          <w:szCs w:val="20"/>
        </w:rPr>
        <w:t>sUA</w:t>
      </w:r>
      <w:r w:rsidRPr="00FA51BC">
        <w:rPr>
          <w:rFonts w:cs="Arial"/>
          <w:sz w:val="20"/>
          <w:szCs w:val="20"/>
        </w:rPr>
        <w:t xml:space="preserve"> (&lt;6.0 mg/dl) (</w:t>
      </w:r>
      <w:r w:rsidR="00563FA4">
        <w:rPr>
          <w:rFonts w:cs="Arial"/>
          <w:color w:val="0000FF"/>
          <w:sz w:val="20"/>
          <w:szCs w:val="20"/>
        </w:rPr>
        <w:t>Becker, 2015 (40)</w:t>
      </w:r>
      <w:r w:rsidRPr="00FA51BC">
        <w:rPr>
          <w:rFonts w:cs="Arial"/>
          <w:sz w:val="20"/>
          <w:szCs w:val="20"/>
        </w:rPr>
        <w:t>).</w:t>
      </w:r>
    </w:p>
    <w:p w14:paraId="1A366A62" w14:textId="11FABED6" w:rsidR="00CA463E" w:rsidRPr="00CA463E" w:rsidRDefault="00CA463E" w:rsidP="000210A2">
      <w:pPr>
        <w:shd w:val="clear" w:color="auto" w:fill="FFFFFF"/>
        <w:spacing w:line="360" w:lineRule="auto"/>
        <w:rPr>
          <w:rFonts w:cs="Arial"/>
          <w:sz w:val="20"/>
          <w:szCs w:val="20"/>
        </w:rPr>
      </w:pPr>
      <w:r w:rsidRPr="00CA463E">
        <w:rPr>
          <w:rFonts w:cs="Arial"/>
          <w:sz w:val="20"/>
          <w:szCs w:val="20"/>
        </w:rPr>
        <w:t>Così, in pazienti che falliscono il trattamento con XOI, le L</w:t>
      </w:r>
      <w:r w:rsidR="00474059">
        <w:rPr>
          <w:rFonts w:cs="Arial"/>
          <w:sz w:val="20"/>
          <w:szCs w:val="20"/>
        </w:rPr>
        <w:t>inee</w:t>
      </w:r>
      <w:r w:rsidRPr="00CA463E">
        <w:rPr>
          <w:rFonts w:cs="Arial"/>
          <w:sz w:val="20"/>
          <w:szCs w:val="20"/>
        </w:rPr>
        <w:t>G</w:t>
      </w:r>
      <w:r w:rsidR="00474059">
        <w:rPr>
          <w:rFonts w:cs="Arial"/>
          <w:sz w:val="20"/>
          <w:szCs w:val="20"/>
        </w:rPr>
        <w:t>uida</w:t>
      </w:r>
      <w:r w:rsidRPr="00CA463E">
        <w:rPr>
          <w:rFonts w:cs="Arial"/>
          <w:sz w:val="20"/>
          <w:szCs w:val="20"/>
        </w:rPr>
        <w:t xml:space="preserve"> raccomandano una terapia di combinazione (allopurinolo più un uricosurico) oppure una terapia di sostituzione </w:t>
      </w:r>
      <w:r>
        <w:rPr>
          <w:rFonts w:cs="Arial"/>
          <w:sz w:val="20"/>
          <w:szCs w:val="20"/>
        </w:rPr>
        <w:t xml:space="preserve">(con febuxostat o uricosurico) </w:t>
      </w:r>
      <w:r w:rsidRPr="00CA463E">
        <w:rPr>
          <w:rFonts w:cs="Arial"/>
          <w:sz w:val="20"/>
          <w:szCs w:val="20"/>
        </w:rPr>
        <w:t>(</w:t>
      </w:r>
      <w:r w:rsidR="00E54BFE">
        <w:rPr>
          <w:rFonts w:cs="Arial"/>
          <w:color w:val="0000FF"/>
          <w:sz w:val="20"/>
          <w:szCs w:val="20"/>
        </w:rPr>
        <w:t>Richette, 2016 (6)</w:t>
      </w:r>
      <w:r w:rsidRPr="00CA463E">
        <w:rPr>
          <w:rFonts w:cs="Arial"/>
          <w:sz w:val="20"/>
          <w:szCs w:val="20"/>
        </w:rPr>
        <w:t xml:space="preserve">). </w:t>
      </w:r>
    </w:p>
    <w:p w14:paraId="2EAF9F40" w14:textId="77777777" w:rsidR="00A565C9" w:rsidRPr="00CA463E" w:rsidRDefault="00A565C9" w:rsidP="000210A2">
      <w:pPr>
        <w:shd w:val="clear" w:color="auto" w:fill="FFFFFF"/>
        <w:spacing w:line="360" w:lineRule="auto"/>
        <w:rPr>
          <w:rFonts w:cs="Arial"/>
          <w:sz w:val="20"/>
          <w:szCs w:val="20"/>
        </w:rPr>
      </w:pPr>
      <w:r>
        <w:rPr>
          <w:rFonts w:cs="Arial"/>
          <w:sz w:val="20"/>
          <w:szCs w:val="20"/>
        </w:rPr>
        <w:t xml:space="preserve">In questo contesto si inserisce </w:t>
      </w:r>
      <w:r w:rsidRPr="00CA463E">
        <w:rPr>
          <w:rFonts w:cs="Arial"/>
          <w:sz w:val="20"/>
          <w:szCs w:val="20"/>
        </w:rPr>
        <w:t>Lesinurad</w:t>
      </w:r>
      <w:r>
        <w:rPr>
          <w:rFonts w:cs="Arial"/>
          <w:sz w:val="20"/>
          <w:szCs w:val="20"/>
        </w:rPr>
        <w:t xml:space="preserve">, </w:t>
      </w:r>
      <w:r w:rsidRPr="00CA463E">
        <w:rPr>
          <w:rFonts w:cs="Arial"/>
          <w:sz w:val="20"/>
          <w:szCs w:val="20"/>
        </w:rPr>
        <w:t xml:space="preserve">indicato per il trattamento dell’iperuricemia in pazienti con gotta, laddove </w:t>
      </w:r>
      <w:r>
        <w:rPr>
          <w:rFonts w:cs="Arial"/>
          <w:sz w:val="20"/>
          <w:szCs w:val="20"/>
        </w:rPr>
        <w:t xml:space="preserve">un </w:t>
      </w:r>
      <w:r w:rsidRPr="00CA463E">
        <w:rPr>
          <w:rFonts w:cs="Arial"/>
          <w:sz w:val="20"/>
          <w:szCs w:val="20"/>
        </w:rPr>
        <w:t>farmaco XOI non risulti sufficiente per controllare adeguatamente i livelli di sUA.</w:t>
      </w:r>
    </w:p>
    <w:p w14:paraId="1FE82918" w14:textId="5FB14977" w:rsidR="00CA463E" w:rsidRDefault="00CA463E" w:rsidP="000210A2">
      <w:pPr>
        <w:shd w:val="clear" w:color="auto" w:fill="FFFFFF"/>
        <w:spacing w:line="360" w:lineRule="auto"/>
        <w:rPr>
          <w:rFonts w:cs="Arial"/>
          <w:sz w:val="20"/>
          <w:szCs w:val="20"/>
        </w:rPr>
      </w:pPr>
      <w:r w:rsidRPr="00CA463E">
        <w:rPr>
          <w:rFonts w:cs="Arial"/>
          <w:sz w:val="20"/>
          <w:szCs w:val="20"/>
        </w:rPr>
        <w:t xml:space="preserve">Lesinurad è un </w:t>
      </w:r>
      <w:r w:rsidR="00A565C9">
        <w:rPr>
          <w:rFonts w:cs="Arial"/>
          <w:sz w:val="20"/>
          <w:szCs w:val="20"/>
        </w:rPr>
        <w:t xml:space="preserve">farmaco con meccanismo uricosurico che agisce come </w:t>
      </w:r>
      <w:r w:rsidRPr="00CA463E">
        <w:rPr>
          <w:rFonts w:cs="Arial"/>
          <w:sz w:val="20"/>
          <w:szCs w:val="20"/>
        </w:rPr>
        <w:t xml:space="preserve">inibitore selettivo del riassorbimento dell’acido urico (SURI) </w:t>
      </w:r>
      <w:r w:rsidR="00A565C9">
        <w:rPr>
          <w:rFonts w:cs="Arial"/>
          <w:sz w:val="20"/>
          <w:szCs w:val="20"/>
        </w:rPr>
        <w:t>mediante</w:t>
      </w:r>
      <w:r w:rsidRPr="00CB1E9C">
        <w:rPr>
          <w:rFonts w:cs="Arial"/>
          <w:sz w:val="20"/>
          <w:szCs w:val="20"/>
        </w:rPr>
        <w:t xml:space="preserve"> un legame ad altà affinità</w:t>
      </w:r>
      <w:r w:rsidR="00A565C9" w:rsidRPr="00A565C9">
        <w:rPr>
          <w:rFonts w:cs="Arial"/>
          <w:sz w:val="20"/>
          <w:szCs w:val="20"/>
        </w:rPr>
        <w:t xml:space="preserve"> </w:t>
      </w:r>
      <w:r w:rsidR="00A565C9">
        <w:rPr>
          <w:rFonts w:cs="Arial"/>
          <w:sz w:val="20"/>
          <w:szCs w:val="20"/>
        </w:rPr>
        <w:t xml:space="preserve">con </w:t>
      </w:r>
      <w:r w:rsidR="00A565C9" w:rsidRPr="00CB1E9C">
        <w:rPr>
          <w:rFonts w:cs="Arial"/>
          <w:sz w:val="20"/>
          <w:szCs w:val="20"/>
        </w:rPr>
        <w:t>il trasportatore di acido urico URAT1</w:t>
      </w:r>
      <w:r w:rsidRPr="00CB1E9C">
        <w:rPr>
          <w:rFonts w:cs="Arial"/>
          <w:sz w:val="20"/>
          <w:szCs w:val="20"/>
        </w:rPr>
        <w:t>. URAT1 è responsabile della maggior parte del riassorbimento dal lume tubulare renale al plasma dell'acido urico filtrato. Inibendo URAT1, lesinurad aumenta l’escrezione di acido urico e diminuisce in tale modo i livelli sierici di acido urico (</w:t>
      </w:r>
      <w:r w:rsidR="005848A1">
        <w:rPr>
          <w:rFonts w:cs="Arial"/>
          <w:sz w:val="20"/>
          <w:szCs w:val="20"/>
        </w:rPr>
        <w:t>sUA</w:t>
      </w:r>
      <w:r w:rsidRPr="00CB1E9C">
        <w:rPr>
          <w:rFonts w:cs="Arial"/>
          <w:sz w:val="20"/>
          <w:szCs w:val="20"/>
        </w:rPr>
        <w:t>).</w:t>
      </w:r>
      <w:r w:rsidR="00A565C9">
        <w:rPr>
          <w:rFonts w:cs="Arial"/>
          <w:sz w:val="20"/>
          <w:szCs w:val="20"/>
        </w:rPr>
        <w:t xml:space="preserve"> </w:t>
      </w:r>
    </w:p>
    <w:p w14:paraId="0238B8E0" w14:textId="5C8BC378" w:rsidR="00CA463E" w:rsidRDefault="00CA463E" w:rsidP="000210A2">
      <w:pPr>
        <w:shd w:val="clear" w:color="auto" w:fill="FFFFFF"/>
        <w:spacing w:line="360" w:lineRule="auto"/>
        <w:rPr>
          <w:rFonts w:cs="Arial"/>
          <w:sz w:val="20"/>
          <w:szCs w:val="20"/>
        </w:rPr>
      </w:pPr>
      <w:r w:rsidRPr="00CA463E">
        <w:rPr>
          <w:rFonts w:cs="Arial"/>
          <w:sz w:val="20"/>
          <w:szCs w:val="20"/>
        </w:rPr>
        <w:t>Scopo di questo studio era determinare l’efficacia e sicurezza di lesinurad utilizzato in combinazione con allopurinolo rispetto allo standard terapeutico per il trattamento di prima linea della gotta, ovvero allopurinolo in monoterapia in pazienti che non rispondevano al trattamento in maniera adeguata.</w:t>
      </w:r>
    </w:p>
    <w:p w14:paraId="5B19132F" w14:textId="77777777" w:rsidR="001A7356" w:rsidRDefault="001A7356" w:rsidP="000210A2">
      <w:pPr>
        <w:shd w:val="clear" w:color="auto" w:fill="FFFFFF"/>
        <w:spacing w:line="360" w:lineRule="auto"/>
        <w:rPr>
          <w:rFonts w:cs="Arial"/>
          <w:sz w:val="20"/>
          <w:szCs w:val="20"/>
        </w:rPr>
      </w:pPr>
    </w:p>
    <w:p w14:paraId="4435E98E" w14:textId="77777777" w:rsidR="00F5731C" w:rsidRDefault="00F5731C" w:rsidP="000210A2">
      <w:pPr>
        <w:shd w:val="clear" w:color="auto" w:fill="FFFFFF"/>
        <w:spacing w:line="360" w:lineRule="auto"/>
        <w:rPr>
          <w:rFonts w:cs="Arial"/>
          <w:sz w:val="20"/>
          <w:szCs w:val="20"/>
        </w:rPr>
      </w:pPr>
    </w:p>
    <w:p w14:paraId="3BD66860" w14:textId="77777777" w:rsidR="00BA2F8F" w:rsidRPr="00BA2F8F" w:rsidRDefault="00BA2F8F" w:rsidP="00825BD3">
      <w:pPr>
        <w:numPr>
          <w:ilvl w:val="1"/>
          <w:numId w:val="13"/>
        </w:numPr>
        <w:shd w:val="clear" w:color="auto" w:fill="FFFFFF"/>
        <w:spacing w:line="360" w:lineRule="auto"/>
        <w:rPr>
          <w:rFonts w:cs="Arial"/>
          <w:sz w:val="20"/>
          <w:szCs w:val="20"/>
          <w:u w:val="single"/>
        </w:rPr>
      </w:pPr>
      <w:bookmarkStart w:id="104" w:name="Paragrafo52"/>
      <w:bookmarkEnd w:id="104"/>
      <w:r w:rsidRPr="00BA2F8F">
        <w:rPr>
          <w:rFonts w:cs="Arial"/>
          <w:sz w:val="20"/>
          <w:szCs w:val="20"/>
          <w:u w:val="single"/>
        </w:rPr>
        <w:t xml:space="preserve">Tipo di studio </w:t>
      </w:r>
    </w:p>
    <w:p w14:paraId="0F6435F3" w14:textId="2DC2045B" w:rsidR="00D34C7F" w:rsidRDefault="00D34C7F" w:rsidP="000210A2">
      <w:pPr>
        <w:shd w:val="clear" w:color="auto" w:fill="FFFFFF"/>
        <w:spacing w:line="360" w:lineRule="auto"/>
        <w:rPr>
          <w:rFonts w:cs="Arial"/>
          <w:sz w:val="20"/>
          <w:szCs w:val="20"/>
        </w:rPr>
      </w:pPr>
      <w:r w:rsidRPr="00D34C7F">
        <w:rPr>
          <w:rFonts w:cs="Arial"/>
          <w:sz w:val="20"/>
          <w:szCs w:val="20"/>
        </w:rPr>
        <w:t xml:space="preserve">CLEAR-1 </w:t>
      </w:r>
      <w:r w:rsidR="009A110B">
        <w:rPr>
          <w:rFonts w:cs="Arial"/>
          <w:sz w:val="20"/>
          <w:szCs w:val="20"/>
        </w:rPr>
        <w:t>e CLEAR 2 sono studi</w:t>
      </w:r>
      <w:r w:rsidRPr="00D34C7F">
        <w:rPr>
          <w:rFonts w:cs="Arial"/>
          <w:sz w:val="20"/>
          <w:szCs w:val="20"/>
        </w:rPr>
        <w:t xml:space="preserve"> di fase 3, randomizzat</w:t>
      </w:r>
      <w:r w:rsidR="009A110B">
        <w:rPr>
          <w:rFonts w:cs="Arial"/>
          <w:sz w:val="20"/>
          <w:szCs w:val="20"/>
        </w:rPr>
        <w:t>i</w:t>
      </w:r>
      <w:r w:rsidRPr="00D34C7F">
        <w:rPr>
          <w:rFonts w:cs="Arial"/>
          <w:sz w:val="20"/>
          <w:szCs w:val="20"/>
        </w:rPr>
        <w:t>, in doppio cieco, controllat</w:t>
      </w:r>
      <w:r w:rsidR="009A110B">
        <w:rPr>
          <w:rFonts w:cs="Arial"/>
          <w:sz w:val="20"/>
          <w:szCs w:val="20"/>
        </w:rPr>
        <w:t>i</w:t>
      </w:r>
      <w:r w:rsidRPr="00D34C7F">
        <w:rPr>
          <w:rFonts w:cs="Arial"/>
          <w:sz w:val="20"/>
          <w:szCs w:val="20"/>
        </w:rPr>
        <w:t xml:space="preserve"> </w:t>
      </w:r>
      <w:r w:rsidR="00755502" w:rsidRPr="00B0564E">
        <w:rPr>
          <w:rFonts w:cs="Arial"/>
          <w:sz w:val="20"/>
          <w:szCs w:val="20"/>
        </w:rPr>
        <w:t xml:space="preserve">verso un farmaco XOI in associazione a </w:t>
      </w:r>
      <w:r w:rsidRPr="00B0564E">
        <w:rPr>
          <w:rFonts w:cs="Arial"/>
          <w:sz w:val="20"/>
          <w:szCs w:val="20"/>
        </w:rPr>
        <w:t xml:space="preserve">placebo, </w:t>
      </w:r>
      <w:r w:rsidR="00CA463E">
        <w:rPr>
          <w:rFonts w:cs="Arial"/>
          <w:sz w:val="20"/>
          <w:szCs w:val="20"/>
        </w:rPr>
        <w:t xml:space="preserve">della durata di 12 mesi, </w:t>
      </w:r>
      <w:r w:rsidRPr="00B0564E">
        <w:rPr>
          <w:rFonts w:cs="Arial"/>
          <w:sz w:val="20"/>
          <w:szCs w:val="20"/>
        </w:rPr>
        <w:t>che ha</w:t>
      </w:r>
      <w:r w:rsidR="009A110B" w:rsidRPr="00B0564E">
        <w:rPr>
          <w:rFonts w:cs="Arial"/>
          <w:sz w:val="20"/>
          <w:szCs w:val="20"/>
        </w:rPr>
        <w:t>nno</w:t>
      </w:r>
      <w:r w:rsidRPr="00B0564E">
        <w:rPr>
          <w:rFonts w:cs="Arial"/>
          <w:sz w:val="20"/>
          <w:szCs w:val="20"/>
        </w:rPr>
        <w:t xml:space="preserve"> confrontato l'efficacia e la sicurezza di </w:t>
      </w:r>
      <w:r w:rsidRPr="00D34C7F">
        <w:rPr>
          <w:rFonts w:cs="Arial"/>
          <w:sz w:val="20"/>
          <w:szCs w:val="20"/>
        </w:rPr>
        <w:t xml:space="preserve">lesinurad in combinazione con allopurinolo rispetto ad allopurinolo </w:t>
      </w:r>
      <w:r w:rsidR="00CA463E">
        <w:rPr>
          <w:rFonts w:cs="Arial"/>
          <w:sz w:val="20"/>
          <w:szCs w:val="20"/>
        </w:rPr>
        <w:t>in monoterapia</w:t>
      </w:r>
      <w:r w:rsidR="00A87B56" w:rsidRPr="00A87B56">
        <w:rPr>
          <w:rFonts w:cs="Arial"/>
          <w:sz w:val="20"/>
          <w:szCs w:val="20"/>
        </w:rPr>
        <w:t xml:space="preserve"> </w:t>
      </w:r>
      <w:r w:rsidR="00474059">
        <w:rPr>
          <w:rFonts w:cs="Arial"/>
          <w:sz w:val="20"/>
          <w:szCs w:val="20"/>
        </w:rPr>
        <w:t xml:space="preserve">in </w:t>
      </w:r>
      <w:r w:rsidR="00A87B56" w:rsidRPr="00D34C7F">
        <w:rPr>
          <w:rFonts w:cs="Arial"/>
          <w:sz w:val="20"/>
          <w:szCs w:val="20"/>
        </w:rPr>
        <w:t>pazienti con gotta, che non raggiungevano i livelli target di acido urico nel sangue con allopurinolo</w:t>
      </w:r>
      <w:r w:rsidRPr="00D34C7F">
        <w:rPr>
          <w:rFonts w:cs="Arial"/>
          <w:sz w:val="20"/>
          <w:szCs w:val="20"/>
        </w:rPr>
        <w:t xml:space="preserve">. </w:t>
      </w:r>
      <w:r w:rsidR="00A87B56">
        <w:rPr>
          <w:rFonts w:cs="Arial"/>
          <w:sz w:val="20"/>
          <w:szCs w:val="20"/>
        </w:rPr>
        <w:t>Era inoltre</w:t>
      </w:r>
      <w:r w:rsidR="00A87B56" w:rsidRPr="00A87B56">
        <w:rPr>
          <w:rFonts w:cs="Arial"/>
          <w:sz w:val="20"/>
          <w:szCs w:val="20"/>
        </w:rPr>
        <w:t xml:space="preserve"> previsto un periodo di </w:t>
      </w:r>
      <w:r w:rsidR="00A87B56">
        <w:rPr>
          <w:rFonts w:cs="Arial"/>
          <w:sz w:val="20"/>
          <w:szCs w:val="20"/>
        </w:rPr>
        <w:t>screening di circa 28 giorni, incluso un periodo di run in di circa 14 giorni</w:t>
      </w:r>
      <w:r w:rsidR="00A87B56" w:rsidRPr="00A87B56">
        <w:rPr>
          <w:rFonts w:cs="Arial"/>
          <w:sz w:val="20"/>
          <w:szCs w:val="20"/>
        </w:rPr>
        <w:t xml:space="preserve">, </w:t>
      </w:r>
      <w:r w:rsidR="00A87B56">
        <w:rPr>
          <w:rFonts w:cs="Arial"/>
          <w:sz w:val="20"/>
          <w:szCs w:val="20"/>
        </w:rPr>
        <w:t xml:space="preserve"> </w:t>
      </w:r>
      <w:r w:rsidR="00514F7C">
        <w:rPr>
          <w:rFonts w:cs="Arial"/>
          <w:sz w:val="20"/>
          <w:szCs w:val="20"/>
        </w:rPr>
        <w:t>con</w:t>
      </w:r>
      <w:r w:rsidR="008900E6">
        <w:rPr>
          <w:rFonts w:cs="Arial"/>
          <w:sz w:val="20"/>
          <w:szCs w:val="20"/>
        </w:rPr>
        <w:t xml:space="preserve"> </w:t>
      </w:r>
      <w:r w:rsidR="00A87B56">
        <w:rPr>
          <w:rFonts w:cs="Arial"/>
          <w:sz w:val="20"/>
          <w:szCs w:val="20"/>
        </w:rPr>
        <w:t>profilassi per gli attacchi acuti</w:t>
      </w:r>
      <w:r w:rsidR="00A87B56" w:rsidRPr="00A87B56">
        <w:rPr>
          <w:rFonts w:cs="Arial"/>
          <w:sz w:val="20"/>
          <w:szCs w:val="20"/>
        </w:rPr>
        <w:t>.</w:t>
      </w:r>
      <w:r w:rsidRPr="00D34C7F">
        <w:rPr>
          <w:rFonts w:cs="Arial"/>
          <w:sz w:val="20"/>
          <w:szCs w:val="20"/>
        </w:rPr>
        <w:t xml:space="preserve"> Lo studio CLEAR-1 è stato condotto in 181 centri situati negli Stati Uniti (</w:t>
      </w:r>
      <w:hyperlink w:anchor="Figura28" w:history="1">
        <w:r w:rsidRPr="00E47C32">
          <w:rPr>
            <w:rStyle w:val="Hyperlink"/>
            <w:rFonts w:cs="Arial"/>
            <w:sz w:val="20"/>
            <w:szCs w:val="20"/>
          </w:rPr>
          <w:t xml:space="preserve">Figura </w:t>
        </w:r>
        <w:r w:rsidR="00E47C32" w:rsidRPr="00E47C32">
          <w:rPr>
            <w:rStyle w:val="Hyperlink"/>
            <w:rFonts w:cs="Arial"/>
            <w:sz w:val="20"/>
            <w:szCs w:val="20"/>
          </w:rPr>
          <w:t>2</w:t>
        </w:r>
        <w:r w:rsidR="00514C3B">
          <w:rPr>
            <w:rStyle w:val="Hyperlink"/>
            <w:rFonts w:cs="Arial"/>
            <w:sz w:val="20"/>
            <w:szCs w:val="20"/>
          </w:rPr>
          <w:t>5</w:t>
        </w:r>
        <w:r w:rsidRPr="00E47C32">
          <w:rPr>
            <w:rStyle w:val="Hyperlink"/>
            <w:rFonts w:cs="Arial"/>
            <w:sz w:val="20"/>
            <w:szCs w:val="20"/>
          </w:rPr>
          <w:t>)</w:t>
        </w:r>
      </w:hyperlink>
      <w:r w:rsidRPr="00D34C7F">
        <w:rPr>
          <w:rFonts w:cs="Arial"/>
          <w:sz w:val="20"/>
          <w:szCs w:val="20"/>
        </w:rPr>
        <w:t>.</w:t>
      </w:r>
    </w:p>
    <w:p w14:paraId="14D4D6FF" w14:textId="1E0C0D6C" w:rsidR="009A110B" w:rsidRDefault="009A110B" w:rsidP="000210A2">
      <w:pPr>
        <w:shd w:val="clear" w:color="auto" w:fill="FFFFFF"/>
        <w:spacing w:line="360" w:lineRule="auto"/>
        <w:rPr>
          <w:rFonts w:cs="Arial"/>
          <w:sz w:val="20"/>
          <w:szCs w:val="20"/>
        </w:rPr>
      </w:pPr>
      <w:r w:rsidRPr="00D34C7F">
        <w:rPr>
          <w:rFonts w:cs="Arial"/>
          <w:sz w:val="20"/>
          <w:szCs w:val="20"/>
        </w:rPr>
        <w:t>Lo studio CLEAR-</w:t>
      </w:r>
      <w:r>
        <w:rPr>
          <w:rFonts w:cs="Arial"/>
          <w:sz w:val="20"/>
          <w:szCs w:val="20"/>
        </w:rPr>
        <w:t>2</w:t>
      </w:r>
      <w:r w:rsidRPr="00D34C7F">
        <w:rPr>
          <w:rFonts w:cs="Arial"/>
          <w:sz w:val="20"/>
          <w:szCs w:val="20"/>
        </w:rPr>
        <w:t xml:space="preserve"> è stato condotto in 18</w:t>
      </w:r>
      <w:r>
        <w:rPr>
          <w:rFonts w:cs="Arial"/>
          <w:sz w:val="20"/>
          <w:szCs w:val="20"/>
        </w:rPr>
        <w:t>5</w:t>
      </w:r>
      <w:r w:rsidRPr="00D34C7F">
        <w:rPr>
          <w:rFonts w:cs="Arial"/>
          <w:sz w:val="20"/>
          <w:szCs w:val="20"/>
        </w:rPr>
        <w:t xml:space="preserve"> centri situati </w:t>
      </w:r>
      <w:r>
        <w:rPr>
          <w:rFonts w:cs="Arial"/>
          <w:sz w:val="20"/>
          <w:szCs w:val="20"/>
        </w:rPr>
        <w:t xml:space="preserve">oltre che </w:t>
      </w:r>
      <w:r w:rsidRPr="00D34C7F">
        <w:rPr>
          <w:rFonts w:cs="Arial"/>
          <w:sz w:val="20"/>
          <w:szCs w:val="20"/>
        </w:rPr>
        <w:t xml:space="preserve">negli Stati Uniti </w:t>
      </w:r>
      <w:r>
        <w:rPr>
          <w:rFonts w:cs="Arial"/>
          <w:sz w:val="20"/>
          <w:szCs w:val="20"/>
        </w:rPr>
        <w:t>anche in Europa, Sud Africa, Australia e Nuova Zelanda. Il disegno dello studio era identico al disegno dello studio CLEAR 1</w:t>
      </w:r>
      <w:r w:rsidRPr="00D34C7F">
        <w:rPr>
          <w:rFonts w:cs="Arial"/>
          <w:sz w:val="20"/>
          <w:szCs w:val="20"/>
        </w:rPr>
        <w:t>(</w:t>
      </w:r>
      <w:hyperlink w:anchor="Figura28" w:history="1">
        <w:r w:rsidRPr="00E47C32">
          <w:rPr>
            <w:rStyle w:val="Hyperlink"/>
            <w:rFonts w:cs="Arial"/>
            <w:sz w:val="20"/>
            <w:szCs w:val="20"/>
          </w:rPr>
          <w:t>Figura 2</w:t>
        </w:r>
      </w:hyperlink>
      <w:r w:rsidR="00514C3B">
        <w:rPr>
          <w:rStyle w:val="Hyperlink"/>
          <w:rFonts w:cs="Arial"/>
          <w:sz w:val="20"/>
          <w:szCs w:val="20"/>
        </w:rPr>
        <w:t>5</w:t>
      </w:r>
      <w:r w:rsidRPr="00D34C7F">
        <w:rPr>
          <w:rFonts w:cs="Arial"/>
          <w:sz w:val="20"/>
          <w:szCs w:val="20"/>
        </w:rPr>
        <w:t>).</w:t>
      </w:r>
    </w:p>
    <w:p w14:paraId="5A22C8FB" w14:textId="77777777" w:rsidR="00AC4573" w:rsidRPr="00D34C7F" w:rsidRDefault="00AC4573" w:rsidP="000210A2">
      <w:pPr>
        <w:shd w:val="clear" w:color="auto" w:fill="FFFFFF"/>
        <w:spacing w:line="360" w:lineRule="auto"/>
        <w:rPr>
          <w:rFonts w:cs="Arial"/>
          <w:sz w:val="20"/>
          <w:szCs w:val="20"/>
        </w:rPr>
      </w:pPr>
    </w:p>
    <w:p w14:paraId="1276595D" w14:textId="540EB486" w:rsidR="00D34C7F" w:rsidRPr="00B0564E" w:rsidRDefault="00E47C32" w:rsidP="00E47C32">
      <w:pPr>
        <w:pStyle w:val="Caption"/>
        <w:rPr>
          <w:rFonts w:asciiTheme="minorHAnsi" w:hAnsiTheme="minorHAnsi" w:cstheme="minorHAnsi"/>
          <w:b w:val="0"/>
          <w:lang w:val="it-IT"/>
        </w:rPr>
      </w:pPr>
      <w:bookmarkStart w:id="105" w:name="Figura25"/>
      <w:bookmarkStart w:id="106" w:name="_Toc473186920"/>
      <w:bookmarkEnd w:id="105"/>
      <w:r w:rsidRPr="00B0564E">
        <w:rPr>
          <w:rFonts w:asciiTheme="minorHAnsi" w:hAnsiTheme="minorHAnsi" w:cstheme="minorHAnsi"/>
          <w:b w:val="0"/>
          <w:lang w:val="it-IT"/>
        </w:rPr>
        <w:t xml:space="preserve">Figura </w:t>
      </w:r>
      <w:r w:rsidRPr="00B0564E">
        <w:rPr>
          <w:rFonts w:asciiTheme="minorHAnsi" w:hAnsiTheme="minorHAnsi" w:cstheme="minorHAnsi"/>
          <w:b w:val="0"/>
        </w:rPr>
        <w:fldChar w:fldCharType="begin"/>
      </w:r>
      <w:r w:rsidRPr="00B0564E">
        <w:rPr>
          <w:rFonts w:asciiTheme="minorHAnsi" w:hAnsiTheme="minorHAnsi" w:cstheme="minorHAnsi"/>
          <w:b w:val="0"/>
          <w:lang w:val="it-IT"/>
        </w:rPr>
        <w:instrText xml:space="preserve"> SEQ Figura \* ARABIC </w:instrText>
      </w:r>
      <w:r w:rsidRPr="00B0564E">
        <w:rPr>
          <w:rFonts w:asciiTheme="minorHAnsi" w:hAnsiTheme="minorHAnsi" w:cstheme="minorHAnsi"/>
          <w:b w:val="0"/>
        </w:rPr>
        <w:fldChar w:fldCharType="separate"/>
      </w:r>
      <w:r w:rsidR="00A1679C">
        <w:rPr>
          <w:rFonts w:asciiTheme="minorHAnsi" w:hAnsiTheme="minorHAnsi" w:cstheme="minorHAnsi"/>
          <w:b w:val="0"/>
          <w:noProof/>
          <w:lang w:val="it-IT"/>
        </w:rPr>
        <w:t>25</w:t>
      </w:r>
      <w:r w:rsidRPr="00B0564E">
        <w:rPr>
          <w:rFonts w:asciiTheme="minorHAnsi" w:hAnsiTheme="minorHAnsi" w:cstheme="minorHAnsi"/>
          <w:b w:val="0"/>
        </w:rPr>
        <w:fldChar w:fldCharType="end"/>
      </w:r>
      <w:r w:rsidRPr="00B0564E">
        <w:rPr>
          <w:rFonts w:asciiTheme="minorHAnsi" w:hAnsiTheme="minorHAnsi" w:cstheme="minorHAnsi"/>
          <w:b w:val="0"/>
          <w:lang w:val="it-IT"/>
        </w:rPr>
        <w:t xml:space="preserve"> - </w:t>
      </w:r>
      <w:r w:rsidR="00D34C7F" w:rsidRPr="00B0564E">
        <w:rPr>
          <w:rFonts w:asciiTheme="minorHAnsi" w:hAnsiTheme="minorHAnsi" w:cstheme="minorHAnsi"/>
          <w:b w:val="0"/>
          <w:lang w:val="it-IT"/>
        </w:rPr>
        <w:t>Disegno dello studio CLEAR-1</w:t>
      </w:r>
      <w:r w:rsidR="00755502" w:rsidRPr="00B0564E">
        <w:rPr>
          <w:rFonts w:asciiTheme="minorHAnsi" w:hAnsiTheme="minorHAnsi" w:cstheme="minorHAnsi"/>
          <w:b w:val="0"/>
          <w:lang w:val="it-IT"/>
        </w:rPr>
        <w:t xml:space="preserve"> e CLEAR2</w:t>
      </w:r>
      <w:r w:rsidR="008E6ACA">
        <w:rPr>
          <w:rFonts w:asciiTheme="minorHAnsi" w:hAnsiTheme="minorHAnsi" w:cstheme="minorHAnsi"/>
          <w:b w:val="0"/>
          <w:lang w:val="it-IT"/>
        </w:rPr>
        <w:t xml:space="preserve"> (</w:t>
      </w:r>
      <w:r w:rsidR="009E4DC0">
        <w:rPr>
          <w:rFonts w:asciiTheme="minorHAnsi" w:hAnsiTheme="minorHAnsi" w:cstheme="minorHAnsi"/>
          <w:b w:val="0"/>
          <w:color w:val="0000FF"/>
          <w:lang w:val="it-IT"/>
        </w:rPr>
        <w:t>elaborato da CSR 301 e 302, 2014</w:t>
      </w:r>
      <w:r w:rsidR="008E6ACA">
        <w:rPr>
          <w:rFonts w:asciiTheme="minorHAnsi" w:hAnsiTheme="minorHAnsi" w:cstheme="minorHAnsi"/>
          <w:b w:val="0"/>
          <w:lang w:val="it-IT"/>
        </w:rPr>
        <w:t>)</w:t>
      </w:r>
      <w:bookmarkEnd w:id="106"/>
    </w:p>
    <w:p w14:paraId="614EED18" w14:textId="7A617376" w:rsidR="00D34C7F" w:rsidRDefault="009E4DC0" w:rsidP="00D34C7F">
      <w:pPr>
        <w:autoSpaceDE w:val="0"/>
        <w:autoSpaceDN w:val="0"/>
        <w:adjustRightInd w:val="0"/>
        <w:rPr>
          <w:noProof/>
          <w:lang w:eastAsia="it-IT"/>
        </w:rPr>
      </w:pPr>
      <w:r>
        <w:rPr>
          <w:noProof/>
          <w:lang w:val="en-GB" w:eastAsia="en-GB"/>
        </w:rPr>
        <w:drawing>
          <wp:inline distT="0" distB="0" distL="0" distR="0" wp14:anchorId="15846E83" wp14:editId="18971DC5">
            <wp:extent cx="5627639" cy="3825240"/>
            <wp:effectExtent l="0" t="0" r="0" b="0"/>
            <wp:docPr id="296" name="Immagin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6151" cy="3824229"/>
                    </a:xfrm>
                    <a:prstGeom prst="rect">
                      <a:avLst/>
                    </a:prstGeom>
                    <a:noFill/>
                  </pic:spPr>
                </pic:pic>
              </a:graphicData>
            </a:graphic>
          </wp:inline>
        </w:drawing>
      </w:r>
    </w:p>
    <w:p w14:paraId="33A18156" w14:textId="77777777" w:rsidR="009E4DC0" w:rsidRDefault="009E4DC0" w:rsidP="00D34C7F">
      <w:pPr>
        <w:autoSpaceDE w:val="0"/>
        <w:autoSpaceDN w:val="0"/>
        <w:adjustRightInd w:val="0"/>
        <w:rPr>
          <w:noProof/>
          <w:lang w:eastAsia="it-IT"/>
        </w:rPr>
      </w:pPr>
    </w:p>
    <w:p w14:paraId="15B381BF" w14:textId="77777777" w:rsidR="00D34C7F" w:rsidRDefault="00D34C7F" w:rsidP="00BA2F8F">
      <w:pPr>
        <w:shd w:val="clear" w:color="auto" w:fill="FFFFFF"/>
        <w:spacing w:line="360" w:lineRule="auto"/>
        <w:jc w:val="both"/>
        <w:rPr>
          <w:rFonts w:cs="Arial"/>
          <w:sz w:val="20"/>
          <w:szCs w:val="20"/>
        </w:rPr>
      </w:pPr>
    </w:p>
    <w:p w14:paraId="54D64307" w14:textId="77777777" w:rsidR="00BA2F8F" w:rsidRPr="00BA2F8F" w:rsidRDefault="00BA2F8F" w:rsidP="00825BD3">
      <w:pPr>
        <w:numPr>
          <w:ilvl w:val="1"/>
          <w:numId w:val="13"/>
        </w:numPr>
        <w:shd w:val="clear" w:color="auto" w:fill="FFFFFF"/>
        <w:spacing w:line="360" w:lineRule="auto"/>
        <w:rPr>
          <w:rFonts w:cs="Arial"/>
          <w:sz w:val="20"/>
          <w:szCs w:val="20"/>
          <w:u w:val="single"/>
        </w:rPr>
      </w:pPr>
      <w:bookmarkStart w:id="107" w:name="Paragrafo53"/>
      <w:bookmarkEnd w:id="107"/>
      <w:r w:rsidRPr="00BA2F8F">
        <w:rPr>
          <w:rFonts w:cs="Arial"/>
          <w:sz w:val="20"/>
          <w:szCs w:val="20"/>
          <w:u w:val="single"/>
        </w:rPr>
        <w:t>Tipo di pazienti partecipanti allo studio</w:t>
      </w:r>
    </w:p>
    <w:p w14:paraId="3E1B3863" w14:textId="77777777" w:rsidR="00836A4E" w:rsidRDefault="00836A4E" w:rsidP="000210A2">
      <w:pPr>
        <w:shd w:val="clear" w:color="auto" w:fill="FFFFFF"/>
        <w:spacing w:line="360" w:lineRule="auto"/>
        <w:rPr>
          <w:rFonts w:cs="Arial"/>
          <w:sz w:val="20"/>
          <w:szCs w:val="20"/>
        </w:rPr>
      </w:pPr>
      <w:r w:rsidRPr="00836A4E">
        <w:rPr>
          <w:rFonts w:cs="Arial"/>
          <w:sz w:val="20"/>
          <w:szCs w:val="20"/>
        </w:rPr>
        <w:t>I criteri di eleggibilità per lo studio CLEAR 1 e CLEAR 2 sono sovrapponibili.</w:t>
      </w:r>
    </w:p>
    <w:p w14:paraId="6944EDB5" w14:textId="4C36DD38" w:rsidR="00836A4E" w:rsidRDefault="008A7FAC" w:rsidP="000210A2">
      <w:pPr>
        <w:shd w:val="clear" w:color="auto" w:fill="FFFFFF"/>
        <w:spacing w:line="360" w:lineRule="auto"/>
        <w:rPr>
          <w:rFonts w:cs="Arial"/>
          <w:sz w:val="20"/>
          <w:szCs w:val="20"/>
        </w:rPr>
      </w:pPr>
      <w:r>
        <w:rPr>
          <w:rFonts w:cs="Arial"/>
          <w:sz w:val="20"/>
          <w:szCs w:val="20"/>
        </w:rPr>
        <w:t>Lo studio include</w:t>
      </w:r>
      <w:r w:rsidR="00836A4E" w:rsidRPr="00836A4E">
        <w:rPr>
          <w:rFonts w:cs="Arial"/>
          <w:sz w:val="20"/>
          <w:szCs w:val="20"/>
        </w:rPr>
        <w:t xml:space="preserve"> pazienti d’età compresa fra 18 e 85 anni con diagnosi di gotta (definita secondo i criteri dell’American Rheumatism Association</w:t>
      </w:r>
      <w:r w:rsidR="00755502">
        <w:rPr>
          <w:rFonts w:cs="Arial"/>
          <w:sz w:val="20"/>
          <w:szCs w:val="20"/>
        </w:rPr>
        <w:t>, 1977</w:t>
      </w:r>
      <w:r w:rsidR="00836A4E" w:rsidRPr="00836A4E">
        <w:rPr>
          <w:rFonts w:cs="Arial"/>
          <w:sz w:val="20"/>
          <w:szCs w:val="20"/>
        </w:rPr>
        <w:t xml:space="preserve">). I pazienti dovevano essere in trattamento con una dose stabile di allopurinolo </w:t>
      </w:r>
      <w:r w:rsidR="008E6ACA" w:rsidRPr="008E6ACA">
        <w:rPr>
          <w:rFonts w:cs="Arial"/>
          <w:b/>
          <w:sz w:val="20"/>
          <w:szCs w:val="20"/>
        </w:rPr>
        <w:t>giudicata appropriata dal loro medico curante</w:t>
      </w:r>
      <w:r w:rsidR="008E6ACA" w:rsidRPr="008E6ACA">
        <w:rPr>
          <w:rFonts w:cs="Arial"/>
          <w:sz w:val="20"/>
          <w:szCs w:val="20"/>
        </w:rPr>
        <w:t xml:space="preserve"> </w:t>
      </w:r>
      <w:r w:rsidR="00836A4E" w:rsidRPr="00836A4E">
        <w:rPr>
          <w:rFonts w:cs="Arial"/>
          <w:sz w:val="20"/>
          <w:szCs w:val="20"/>
        </w:rPr>
        <w:t>(≥300 mg/die o ≥200 mg/die per i pazienti con insufficienza renale moderata) da almeno 8 settimane prima dello screening: allopurinolo era l’unica terapia ammessa per il trattamento della gotta. I pazienti dovevano avere un livello di acido urico ≥6,5 mg/dl alla visita di screening e ≥6,0 mg/dl 7 giorni prima della randomizzazione, e dovevano aver sofferto di almeno 2 attacchi di gotta nei precedenti 12 mesi. I pazienti sono stati stratificati in base alla funzionalità renale e in base alla presenza e ampiezza dei tofi.</w:t>
      </w:r>
    </w:p>
    <w:p w14:paraId="48E04AA5" w14:textId="77777777" w:rsidR="00BA2F8F" w:rsidRPr="00BA2F8F" w:rsidRDefault="00BA2F8F" w:rsidP="000210A2">
      <w:pPr>
        <w:shd w:val="clear" w:color="auto" w:fill="FFFFFF"/>
        <w:spacing w:line="360" w:lineRule="auto"/>
        <w:rPr>
          <w:rFonts w:cs="Arial"/>
          <w:sz w:val="20"/>
          <w:szCs w:val="20"/>
        </w:rPr>
      </w:pPr>
    </w:p>
    <w:p w14:paraId="5F9C678B" w14:textId="77777777" w:rsidR="00BA2F8F" w:rsidRPr="00BA2F8F" w:rsidRDefault="00BA2F8F" w:rsidP="00825BD3">
      <w:pPr>
        <w:numPr>
          <w:ilvl w:val="1"/>
          <w:numId w:val="13"/>
        </w:numPr>
        <w:shd w:val="clear" w:color="auto" w:fill="FFFFFF"/>
        <w:spacing w:line="360" w:lineRule="auto"/>
        <w:rPr>
          <w:rFonts w:cs="Arial"/>
          <w:sz w:val="20"/>
          <w:szCs w:val="20"/>
          <w:u w:val="single"/>
        </w:rPr>
      </w:pPr>
      <w:r w:rsidRPr="00BA2F8F">
        <w:rPr>
          <w:rFonts w:cs="Arial"/>
          <w:sz w:val="20"/>
          <w:szCs w:val="20"/>
          <w:u w:val="single"/>
        </w:rPr>
        <w:t>Sponsorizzazione</w:t>
      </w:r>
    </w:p>
    <w:p w14:paraId="0E3D23E7" w14:textId="031BA162" w:rsidR="00BA2F8F" w:rsidRPr="00BA2F8F" w:rsidRDefault="00836A4E" w:rsidP="000210A2">
      <w:pPr>
        <w:shd w:val="clear" w:color="auto" w:fill="FFFFFF"/>
        <w:spacing w:line="360" w:lineRule="auto"/>
        <w:rPr>
          <w:rFonts w:cs="Arial"/>
          <w:sz w:val="20"/>
          <w:szCs w:val="20"/>
        </w:rPr>
      </w:pPr>
      <w:r>
        <w:rPr>
          <w:rFonts w:cs="Arial"/>
          <w:sz w:val="20"/>
          <w:szCs w:val="20"/>
        </w:rPr>
        <w:t xml:space="preserve">Per entrambi gli studi: </w:t>
      </w:r>
      <w:r w:rsidR="00BA2F8F" w:rsidRPr="00BA2F8F">
        <w:rPr>
          <w:rFonts w:cs="Arial"/>
          <w:sz w:val="20"/>
          <w:szCs w:val="20"/>
        </w:rPr>
        <w:t>AstraZeneca</w:t>
      </w:r>
    </w:p>
    <w:p w14:paraId="03852B9D" w14:textId="77777777" w:rsidR="00AC4573" w:rsidRPr="00BA2F8F" w:rsidRDefault="00AC4573" w:rsidP="000210A2">
      <w:pPr>
        <w:shd w:val="clear" w:color="auto" w:fill="FFFFFF"/>
        <w:spacing w:line="360" w:lineRule="auto"/>
        <w:rPr>
          <w:rFonts w:cs="Arial"/>
          <w:sz w:val="20"/>
          <w:szCs w:val="20"/>
        </w:rPr>
      </w:pPr>
    </w:p>
    <w:p w14:paraId="717441FA" w14:textId="77777777" w:rsidR="00BA2F8F" w:rsidRPr="00BA2F8F" w:rsidRDefault="00BA2F8F" w:rsidP="00825BD3">
      <w:pPr>
        <w:numPr>
          <w:ilvl w:val="1"/>
          <w:numId w:val="13"/>
        </w:numPr>
        <w:shd w:val="clear" w:color="auto" w:fill="FFFFFF"/>
        <w:spacing w:line="360" w:lineRule="auto"/>
        <w:rPr>
          <w:rFonts w:cs="Arial"/>
          <w:sz w:val="20"/>
          <w:szCs w:val="20"/>
          <w:u w:val="single"/>
        </w:rPr>
      </w:pPr>
      <w:bookmarkStart w:id="108" w:name="Paragrafo55"/>
      <w:bookmarkEnd w:id="108"/>
      <w:r w:rsidRPr="00BA2F8F">
        <w:rPr>
          <w:rFonts w:cs="Arial"/>
          <w:sz w:val="20"/>
          <w:szCs w:val="20"/>
          <w:u w:val="single"/>
        </w:rPr>
        <w:t>Regime terapeutico in studio e regime terapeutico di confronto</w:t>
      </w:r>
    </w:p>
    <w:p w14:paraId="23AD5742" w14:textId="27DB034C" w:rsidR="00836A4E" w:rsidRDefault="00836A4E" w:rsidP="000210A2">
      <w:pPr>
        <w:shd w:val="clear" w:color="auto" w:fill="FFFFFF"/>
        <w:spacing w:line="360" w:lineRule="auto"/>
        <w:rPr>
          <w:rFonts w:cs="Arial"/>
          <w:sz w:val="20"/>
          <w:szCs w:val="20"/>
        </w:rPr>
      </w:pPr>
      <w:r w:rsidRPr="00836A4E">
        <w:rPr>
          <w:rFonts w:cs="Arial"/>
          <w:sz w:val="20"/>
          <w:szCs w:val="20"/>
        </w:rPr>
        <w:t>Regime terapeutico in studio e r</w:t>
      </w:r>
      <w:r>
        <w:rPr>
          <w:rFonts w:cs="Arial"/>
          <w:sz w:val="20"/>
          <w:szCs w:val="20"/>
        </w:rPr>
        <w:t>egime terapeutico di confront</w:t>
      </w:r>
      <w:r w:rsidRPr="00836A4E">
        <w:rPr>
          <w:rFonts w:cs="Arial"/>
          <w:sz w:val="20"/>
          <w:szCs w:val="20"/>
        </w:rPr>
        <w:t>o</w:t>
      </w:r>
      <w:r>
        <w:rPr>
          <w:rFonts w:cs="Arial"/>
          <w:sz w:val="20"/>
          <w:szCs w:val="20"/>
        </w:rPr>
        <w:t xml:space="preserve"> sono uguali </w:t>
      </w:r>
      <w:r w:rsidRPr="00836A4E">
        <w:rPr>
          <w:rFonts w:cs="Arial"/>
          <w:sz w:val="20"/>
          <w:szCs w:val="20"/>
        </w:rPr>
        <w:t>per lo studio CLEAR</w:t>
      </w:r>
      <w:r>
        <w:rPr>
          <w:rFonts w:cs="Arial"/>
          <w:sz w:val="20"/>
          <w:szCs w:val="20"/>
        </w:rPr>
        <w:t xml:space="preserve"> 1 e CLEAR 2</w:t>
      </w:r>
      <w:r w:rsidRPr="00836A4E">
        <w:rPr>
          <w:rFonts w:cs="Arial"/>
          <w:sz w:val="20"/>
          <w:szCs w:val="20"/>
        </w:rPr>
        <w:t>.</w:t>
      </w:r>
    </w:p>
    <w:p w14:paraId="49DEF9D3" w14:textId="77777777" w:rsidR="00836A4E" w:rsidRPr="00836A4E" w:rsidRDefault="00836A4E" w:rsidP="000210A2">
      <w:pPr>
        <w:shd w:val="clear" w:color="auto" w:fill="FFFFFF"/>
        <w:spacing w:line="360" w:lineRule="auto"/>
        <w:rPr>
          <w:rFonts w:cs="Arial"/>
          <w:sz w:val="20"/>
          <w:szCs w:val="20"/>
        </w:rPr>
      </w:pPr>
      <w:r w:rsidRPr="00836A4E">
        <w:rPr>
          <w:rFonts w:cs="Arial"/>
          <w:sz w:val="20"/>
          <w:szCs w:val="20"/>
        </w:rPr>
        <w:t>I pazienti eleggibili sono stati randomizzati in un rapporto 1:1:1 nei seguenti bracci di trattamento:</w:t>
      </w:r>
    </w:p>
    <w:p w14:paraId="0A22E64D" w14:textId="77777777" w:rsidR="00836A4E" w:rsidRPr="00836A4E" w:rsidRDefault="00836A4E" w:rsidP="00825BD3">
      <w:pPr>
        <w:numPr>
          <w:ilvl w:val="0"/>
          <w:numId w:val="35"/>
        </w:numPr>
        <w:shd w:val="clear" w:color="auto" w:fill="FFFFFF"/>
        <w:spacing w:line="360" w:lineRule="auto"/>
        <w:rPr>
          <w:rFonts w:cs="Arial"/>
          <w:sz w:val="20"/>
          <w:szCs w:val="20"/>
        </w:rPr>
      </w:pPr>
      <w:r w:rsidRPr="00836A4E">
        <w:rPr>
          <w:rFonts w:cs="Arial"/>
          <w:sz w:val="20"/>
          <w:szCs w:val="20"/>
        </w:rPr>
        <w:t>lesinurad 200 mg in associazione con allopurinolo</w:t>
      </w:r>
    </w:p>
    <w:p w14:paraId="77E9D8DC" w14:textId="77777777" w:rsidR="00836A4E" w:rsidRPr="00836A4E" w:rsidRDefault="00836A4E" w:rsidP="00825BD3">
      <w:pPr>
        <w:numPr>
          <w:ilvl w:val="0"/>
          <w:numId w:val="35"/>
        </w:numPr>
        <w:shd w:val="clear" w:color="auto" w:fill="FFFFFF"/>
        <w:spacing w:line="360" w:lineRule="auto"/>
        <w:rPr>
          <w:rFonts w:cs="Arial"/>
          <w:sz w:val="20"/>
          <w:szCs w:val="20"/>
        </w:rPr>
      </w:pPr>
      <w:r w:rsidRPr="00836A4E">
        <w:rPr>
          <w:rFonts w:cs="Arial"/>
          <w:sz w:val="20"/>
          <w:szCs w:val="20"/>
        </w:rPr>
        <w:t>lesinurad 400 mg in associazione con allopurinolo</w:t>
      </w:r>
    </w:p>
    <w:p w14:paraId="6131554C" w14:textId="77777777" w:rsidR="00836A4E" w:rsidRPr="00836A4E" w:rsidRDefault="00836A4E" w:rsidP="00825BD3">
      <w:pPr>
        <w:numPr>
          <w:ilvl w:val="0"/>
          <w:numId w:val="35"/>
        </w:numPr>
        <w:shd w:val="clear" w:color="auto" w:fill="FFFFFF"/>
        <w:spacing w:line="360" w:lineRule="auto"/>
        <w:rPr>
          <w:rFonts w:cs="Arial"/>
          <w:sz w:val="20"/>
          <w:szCs w:val="20"/>
        </w:rPr>
      </w:pPr>
      <w:r w:rsidRPr="00836A4E">
        <w:rPr>
          <w:rFonts w:cs="Arial"/>
          <w:sz w:val="20"/>
          <w:szCs w:val="20"/>
        </w:rPr>
        <w:t xml:space="preserve">placebo e allopurinolo. </w:t>
      </w:r>
    </w:p>
    <w:p w14:paraId="3CA23BAC" w14:textId="06131B2C" w:rsidR="00836A4E" w:rsidRDefault="00836A4E" w:rsidP="000210A2">
      <w:pPr>
        <w:shd w:val="clear" w:color="auto" w:fill="FFFFFF"/>
        <w:spacing w:line="360" w:lineRule="auto"/>
        <w:rPr>
          <w:rFonts w:cs="Arial"/>
          <w:sz w:val="20"/>
          <w:szCs w:val="20"/>
        </w:rPr>
      </w:pPr>
      <w:r w:rsidRPr="00836A4E">
        <w:rPr>
          <w:rFonts w:cs="Arial"/>
          <w:sz w:val="20"/>
          <w:szCs w:val="20"/>
        </w:rPr>
        <w:t xml:space="preserve">Allopurinolo veniva somministrato alla dose abituale di trattamento </w:t>
      </w:r>
      <w:r w:rsidR="00760051">
        <w:rPr>
          <w:rFonts w:cs="Arial"/>
          <w:sz w:val="20"/>
          <w:szCs w:val="20"/>
        </w:rPr>
        <w:t xml:space="preserve">determinata dal medico mediante titolazione </w:t>
      </w:r>
      <w:r w:rsidRPr="00836A4E">
        <w:rPr>
          <w:rFonts w:cs="Arial"/>
          <w:sz w:val="20"/>
          <w:szCs w:val="20"/>
        </w:rPr>
        <w:t xml:space="preserve">per lo specifico paziente. </w:t>
      </w:r>
    </w:p>
    <w:p w14:paraId="766C5603" w14:textId="77777777" w:rsidR="00760051" w:rsidRPr="008E6ACA" w:rsidRDefault="00760051" w:rsidP="000210A2">
      <w:pPr>
        <w:shd w:val="clear" w:color="auto" w:fill="FFFFFF"/>
        <w:spacing w:line="360" w:lineRule="auto"/>
        <w:rPr>
          <w:rFonts w:cs="Arial"/>
          <w:sz w:val="20"/>
          <w:szCs w:val="20"/>
        </w:rPr>
      </w:pPr>
    </w:p>
    <w:p w14:paraId="60E1F0B7" w14:textId="56C41FD0" w:rsidR="00836A4E" w:rsidRDefault="00836A4E" w:rsidP="000210A2">
      <w:pPr>
        <w:shd w:val="clear" w:color="auto" w:fill="FFFFFF"/>
        <w:spacing w:line="360" w:lineRule="auto"/>
        <w:rPr>
          <w:rFonts w:cs="Arial"/>
          <w:sz w:val="20"/>
          <w:szCs w:val="20"/>
        </w:rPr>
      </w:pPr>
      <w:r w:rsidRPr="00836A4E">
        <w:rPr>
          <w:rFonts w:cs="Arial"/>
          <w:sz w:val="20"/>
          <w:szCs w:val="20"/>
        </w:rPr>
        <w:t>Nello studio CLEAR-1</w:t>
      </w:r>
      <w:r>
        <w:rPr>
          <w:rFonts w:cs="Arial"/>
          <w:sz w:val="20"/>
          <w:szCs w:val="20"/>
        </w:rPr>
        <w:t xml:space="preserve"> e nello studio CLEAR 2</w:t>
      </w:r>
      <w:r w:rsidRPr="00836A4E">
        <w:rPr>
          <w:rFonts w:cs="Arial"/>
          <w:sz w:val="20"/>
          <w:szCs w:val="20"/>
        </w:rPr>
        <w:t>, l’efficacia e la sicurezza di lesinurad sono state valutate a due diversi dosaggi del farmaco (200 e 400 mg</w:t>
      </w:r>
      <w:r w:rsidR="008E6ACA">
        <w:rPr>
          <w:rFonts w:cs="Arial"/>
          <w:sz w:val="20"/>
          <w:szCs w:val="20"/>
        </w:rPr>
        <w:t>/die</w:t>
      </w:r>
      <w:r w:rsidRPr="00836A4E">
        <w:rPr>
          <w:rFonts w:cs="Arial"/>
          <w:sz w:val="20"/>
          <w:szCs w:val="20"/>
        </w:rPr>
        <w:t>): tuttavia i risultati di seguito riportati fanno riferimento esclusivamente alla coorte di pazienti che hanno ricevuto lesinurad alla dose di 200 mg/die, che è quella approvata da EMA.</w:t>
      </w:r>
    </w:p>
    <w:p w14:paraId="4A2C1721" w14:textId="77777777" w:rsidR="00BA2F8F" w:rsidRPr="00BA2F8F" w:rsidRDefault="00BA2F8F" w:rsidP="000210A2">
      <w:pPr>
        <w:shd w:val="clear" w:color="auto" w:fill="FFFFFF"/>
        <w:spacing w:line="360" w:lineRule="auto"/>
        <w:rPr>
          <w:rFonts w:cs="Arial"/>
          <w:sz w:val="20"/>
          <w:szCs w:val="20"/>
        </w:rPr>
      </w:pPr>
    </w:p>
    <w:p w14:paraId="18803571" w14:textId="77777777" w:rsidR="00BA2F8F" w:rsidRPr="00BA2F8F" w:rsidRDefault="00BA2F8F" w:rsidP="00825BD3">
      <w:pPr>
        <w:numPr>
          <w:ilvl w:val="1"/>
          <w:numId w:val="13"/>
        </w:numPr>
        <w:shd w:val="clear" w:color="auto" w:fill="FFFFFF"/>
        <w:spacing w:line="360" w:lineRule="auto"/>
        <w:rPr>
          <w:rFonts w:cs="Arial"/>
          <w:sz w:val="20"/>
          <w:szCs w:val="20"/>
          <w:u w:val="single"/>
        </w:rPr>
      </w:pPr>
      <w:r w:rsidRPr="00BA2F8F">
        <w:rPr>
          <w:rFonts w:cs="Arial"/>
          <w:sz w:val="20"/>
          <w:szCs w:val="20"/>
          <w:u w:val="single"/>
        </w:rPr>
        <w:t>Durata del trattamento e del follow-up</w:t>
      </w:r>
    </w:p>
    <w:p w14:paraId="098EEB79" w14:textId="409B375F" w:rsidR="00BA2F8F" w:rsidRPr="00BA2F8F" w:rsidRDefault="00836A4E" w:rsidP="000210A2">
      <w:pPr>
        <w:shd w:val="clear" w:color="auto" w:fill="FFFFFF"/>
        <w:spacing w:line="360" w:lineRule="auto"/>
        <w:rPr>
          <w:rFonts w:cs="Arial"/>
          <w:sz w:val="20"/>
          <w:szCs w:val="20"/>
        </w:rPr>
      </w:pPr>
      <w:r>
        <w:rPr>
          <w:rFonts w:cs="Arial"/>
          <w:sz w:val="20"/>
          <w:szCs w:val="20"/>
        </w:rPr>
        <w:t>Per entrambi gli studi l</w:t>
      </w:r>
      <w:r w:rsidR="00BA2F8F" w:rsidRPr="00BA2F8F">
        <w:rPr>
          <w:rFonts w:cs="Arial"/>
          <w:sz w:val="20"/>
          <w:szCs w:val="20"/>
        </w:rPr>
        <w:t>a durata del trattamento è stata di 12 mesi.</w:t>
      </w:r>
    </w:p>
    <w:p w14:paraId="4AEC3602" w14:textId="77777777" w:rsidR="00BA2F8F" w:rsidRPr="00BA2F8F" w:rsidRDefault="00BA2F8F" w:rsidP="000210A2">
      <w:pPr>
        <w:shd w:val="clear" w:color="auto" w:fill="FFFFFF"/>
        <w:spacing w:line="360" w:lineRule="auto"/>
        <w:rPr>
          <w:rFonts w:cs="Arial"/>
          <w:sz w:val="20"/>
          <w:szCs w:val="20"/>
        </w:rPr>
      </w:pPr>
    </w:p>
    <w:p w14:paraId="62E0B547" w14:textId="77777777" w:rsidR="00BA2F8F" w:rsidRPr="00BA2F8F" w:rsidRDefault="00BA2F8F" w:rsidP="00825BD3">
      <w:pPr>
        <w:numPr>
          <w:ilvl w:val="1"/>
          <w:numId w:val="13"/>
        </w:numPr>
        <w:shd w:val="clear" w:color="auto" w:fill="FFFFFF"/>
        <w:spacing w:line="360" w:lineRule="auto"/>
        <w:rPr>
          <w:rFonts w:cs="Arial"/>
          <w:sz w:val="20"/>
          <w:szCs w:val="20"/>
          <w:u w:val="single"/>
        </w:rPr>
      </w:pPr>
      <w:r w:rsidRPr="00BA2F8F">
        <w:rPr>
          <w:rFonts w:cs="Arial"/>
          <w:sz w:val="20"/>
          <w:szCs w:val="20"/>
          <w:u w:val="single"/>
        </w:rPr>
        <w:tab/>
      </w:r>
      <w:bookmarkStart w:id="109" w:name="Paragrafo57"/>
      <w:bookmarkEnd w:id="109"/>
      <w:r w:rsidRPr="00BA2F8F">
        <w:rPr>
          <w:rFonts w:cs="Arial"/>
          <w:sz w:val="20"/>
          <w:szCs w:val="20"/>
          <w:u w:val="single"/>
        </w:rPr>
        <w:t>Criteri di efficacia e sicurezza - eventi misurati</w:t>
      </w:r>
    </w:p>
    <w:p w14:paraId="574EF9B7" w14:textId="57CB4109" w:rsidR="001D71C3" w:rsidRDefault="001D71C3" w:rsidP="000210A2">
      <w:pPr>
        <w:shd w:val="clear" w:color="auto" w:fill="FFFFFF"/>
        <w:spacing w:line="360" w:lineRule="auto"/>
        <w:rPr>
          <w:rFonts w:cs="Arial"/>
          <w:sz w:val="20"/>
          <w:szCs w:val="20"/>
        </w:rPr>
      </w:pPr>
      <w:r>
        <w:rPr>
          <w:rFonts w:cs="Arial"/>
          <w:sz w:val="20"/>
          <w:szCs w:val="20"/>
        </w:rPr>
        <w:t xml:space="preserve">Gli endpoint primari e secondari </w:t>
      </w:r>
      <w:r w:rsidRPr="00836A4E">
        <w:rPr>
          <w:rFonts w:cs="Arial"/>
          <w:sz w:val="20"/>
          <w:szCs w:val="20"/>
        </w:rPr>
        <w:t>per lo studio CLEAR 1 e CLEAR 2 sono sovrapponibili.</w:t>
      </w:r>
    </w:p>
    <w:p w14:paraId="3BAA308E" w14:textId="71F304FF" w:rsidR="001D71C3" w:rsidRPr="001D71C3" w:rsidRDefault="001D71C3" w:rsidP="000210A2">
      <w:pPr>
        <w:shd w:val="clear" w:color="auto" w:fill="FFFFFF"/>
        <w:spacing w:line="360" w:lineRule="auto"/>
        <w:rPr>
          <w:rFonts w:cs="Arial"/>
          <w:sz w:val="20"/>
          <w:szCs w:val="20"/>
        </w:rPr>
      </w:pPr>
      <w:r w:rsidRPr="001D71C3">
        <w:rPr>
          <w:rFonts w:cs="Arial"/>
          <w:sz w:val="20"/>
          <w:szCs w:val="20"/>
        </w:rPr>
        <w:t xml:space="preserve">L’endpoint primario dello studio CLEAR-1 </w:t>
      </w:r>
      <w:r>
        <w:rPr>
          <w:rFonts w:cs="Arial"/>
          <w:sz w:val="20"/>
          <w:szCs w:val="20"/>
        </w:rPr>
        <w:t xml:space="preserve">e CLEAR 2 </w:t>
      </w:r>
      <w:r w:rsidRPr="001D71C3">
        <w:rPr>
          <w:rFonts w:cs="Arial"/>
          <w:sz w:val="20"/>
          <w:szCs w:val="20"/>
        </w:rPr>
        <w:t>era la percentuale di pazienti che al sesto mese di trattamento avevano un livello di acido urico &lt;6,0 mg/dl.</w:t>
      </w:r>
    </w:p>
    <w:p w14:paraId="0B1587D6" w14:textId="73741886" w:rsidR="001D71C3" w:rsidRPr="001D71C3" w:rsidRDefault="001D71C3" w:rsidP="000210A2">
      <w:pPr>
        <w:shd w:val="clear" w:color="auto" w:fill="FFFFFF"/>
        <w:spacing w:line="360" w:lineRule="auto"/>
        <w:rPr>
          <w:rFonts w:cs="Arial"/>
          <w:sz w:val="20"/>
          <w:szCs w:val="20"/>
        </w:rPr>
      </w:pPr>
      <w:r w:rsidRPr="001D71C3">
        <w:rPr>
          <w:rFonts w:cs="Arial"/>
          <w:sz w:val="20"/>
          <w:szCs w:val="20"/>
        </w:rPr>
        <w:t xml:space="preserve">I principali endpoint secondari dello studio </w:t>
      </w:r>
      <w:r>
        <w:rPr>
          <w:rFonts w:cs="Arial"/>
          <w:sz w:val="20"/>
          <w:szCs w:val="20"/>
        </w:rPr>
        <w:t xml:space="preserve">CLEAR 1 e CLEAR 2 </w:t>
      </w:r>
      <w:r w:rsidRPr="001D71C3">
        <w:rPr>
          <w:rFonts w:cs="Arial"/>
          <w:sz w:val="20"/>
          <w:szCs w:val="20"/>
        </w:rPr>
        <w:t xml:space="preserve">erano: </w:t>
      </w:r>
    </w:p>
    <w:p w14:paraId="5408E4D3" w14:textId="77777777" w:rsidR="001D71C3" w:rsidRPr="001D71C3" w:rsidRDefault="001D71C3" w:rsidP="00825BD3">
      <w:pPr>
        <w:numPr>
          <w:ilvl w:val="0"/>
          <w:numId w:val="32"/>
        </w:numPr>
        <w:shd w:val="clear" w:color="auto" w:fill="FFFFFF"/>
        <w:spacing w:line="360" w:lineRule="auto"/>
        <w:rPr>
          <w:rFonts w:cs="Arial"/>
          <w:sz w:val="20"/>
          <w:szCs w:val="20"/>
        </w:rPr>
      </w:pPr>
      <w:r w:rsidRPr="001D71C3">
        <w:rPr>
          <w:rFonts w:cs="Arial"/>
          <w:sz w:val="20"/>
          <w:szCs w:val="20"/>
        </w:rPr>
        <w:t>tasso medio di attacchi di gotta che richiedono un trattamento, tra la fine del sesto e la fine del dodicesimo mese di trattamento;</w:t>
      </w:r>
    </w:p>
    <w:p w14:paraId="743F4273" w14:textId="77777777" w:rsidR="001D71C3" w:rsidRPr="001D71C3" w:rsidRDefault="001D71C3" w:rsidP="00825BD3">
      <w:pPr>
        <w:numPr>
          <w:ilvl w:val="0"/>
          <w:numId w:val="32"/>
        </w:numPr>
        <w:shd w:val="clear" w:color="auto" w:fill="FFFFFF"/>
        <w:spacing w:line="360" w:lineRule="auto"/>
        <w:rPr>
          <w:rFonts w:cs="Arial"/>
          <w:sz w:val="20"/>
          <w:szCs w:val="20"/>
        </w:rPr>
      </w:pPr>
      <w:r w:rsidRPr="001D71C3">
        <w:rPr>
          <w:rFonts w:cs="Arial"/>
          <w:sz w:val="20"/>
          <w:szCs w:val="20"/>
        </w:rPr>
        <w:t xml:space="preserve">percentuale di soggetti con almeno un tofo allo screening che hanno sperimentato la completa risoluzione di almeno un tofo, al dodicesimo mese di trattamento </w:t>
      </w:r>
    </w:p>
    <w:p w14:paraId="4AA89973" w14:textId="3FF701F8" w:rsidR="008E6ACA" w:rsidRDefault="008E6ACA" w:rsidP="000210A2">
      <w:pPr>
        <w:shd w:val="clear" w:color="auto" w:fill="FFFFFF"/>
        <w:spacing w:line="360" w:lineRule="auto"/>
        <w:rPr>
          <w:rFonts w:cs="Arial"/>
          <w:sz w:val="20"/>
          <w:szCs w:val="20"/>
        </w:rPr>
      </w:pPr>
      <w:r w:rsidRPr="008E6ACA">
        <w:rPr>
          <w:rFonts w:cs="Arial"/>
          <w:sz w:val="20"/>
          <w:szCs w:val="20"/>
        </w:rPr>
        <w:t>Altri endpoint secondari comprend</w:t>
      </w:r>
      <w:r>
        <w:rPr>
          <w:rFonts w:cs="Arial"/>
          <w:sz w:val="20"/>
          <w:szCs w:val="20"/>
        </w:rPr>
        <w:t>ono</w:t>
      </w:r>
      <w:r w:rsidRPr="008E6ACA">
        <w:rPr>
          <w:rFonts w:cs="Arial"/>
          <w:sz w:val="20"/>
          <w:szCs w:val="20"/>
        </w:rPr>
        <w:t>:</w:t>
      </w:r>
    </w:p>
    <w:p w14:paraId="39E520C7" w14:textId="77777777" w:rsidR="001D71C3" w:rsidRPr="001D71C3" w:rsidRDefault="001D71C3" w:rsidP="00825BD3">
      <w:pPr>
        <w:numPr>
          <w:ilvl w:val="0"/>
          <w:numId w:val="32"/>
        </w:numPr>
        <w:shd w:val="clear" w:color="auto" w:fill="FFFFFF"/>
        <w:spacing w:line="360" w:lineRule="auto"/>
        <w:rPr>
          <w:rFonts w:cs="Arial"/>
          <w:sz w:val="20"/>
          <w:szCs w:val="20"/>
        </w:rPr>
      </w:pPr>
      <w:r w:rsidRPr="001D71C3">
        <w:rPr>
          <w:rFonts w:cs="Arial"/>
          <w:sz w:val="20"/>
          <w:szCs w:val="20"/>
        </w:rPr>
        <w:t>variazione media percentuale rispetto al basale della somma delle superfici di tutti i tofi (ad ogni visita)</w:t>
      </w:r>
    </w:p>
    <w:p w14:paraId="26273475" w14:textId="77777777" w:rsidR="001D71C3" w:rsidRPr="001D71C3" w:rsidRDefault="001D71C3" w:rsidP="00825BD3">
      <w:pPr>
        <w:numPr>
          <w:ilvl w:val="0"/>
          <w:numId w:val="32"/>
        </w:numPr>
        <w:shd w:val="clear" w:color="auto" w:fill="FFFFFF"/>
        <w:spacing w:line="360" w:lineRule="auto"/>
        <w:rPr>
          <w:rFonts w:cs="Arial"/>
          <w:sz w:val="20"/>
          <w:szCs w:val="20"/>
        </w:rPr>
      </w:pPr>
      <w:r w:rsidRPr="001D71C3">
        <w:rPr>
          <w:rFonts w:cs="Arial"/>
          <w:sz w:val="20"/>
          <w:szCs w:val="20"/>
        </w:rPr>
        <w:t>percentuale di soggetti con livelli di acido urico &lt;6,0 mg/dl, &lt;5,0 mg/dl, e &lt;4,0 mg/dl (ad ogni visita)</w:t>
      </w:r>
    </w:p>
    <w:p w14:paraId="49142EE4" w14:textId="4072F709" w:rsidR="001D71C3" w:rsidRPr="001D71C3" w:rsidRDefault="001D71C3" w:rsidP="00825BD3">
      <w:pPr>
        <w:numPr>
          <w:ilvl w:val="0"/>
          <w:numId w:val="32"/>
        </w:numPr>
        <w:shd w:val="clear" w:color="auto" w:fill="FFFFFF"/>
        <w:spacing w:line="360" w:lineRule="auto"/>
        <w:rPr>
          <w:rFonts w:cs="Arial"/>
          <w:sz w:val="20"/>
          <w:szCs w:val="20"/>
        </w:rPr>
      </w:pPr>
      <w:r w:rsidRPr="001D71C3">
        <w:rPr>
          <w:rFonts w:cs="Arial"/>
          <w:sz w:val="20"/>
          <w:szCs w:val="20"/>
        </w:rPr>
        <w:t xml:space="preserve">variazione assoluta e percentuale, rispetto al basale, dei livelli di acido urico nel </w:t>
      </w:r>
      <w:r w:rsidR="00812156">
        <w:rPr>
          <w:rFonts w:cs="Arial"/>
          <w:sz w:val="20"/>
          <w:szCs w:val="20"/>
        </w:rPr>
        <w:t>sangue</w:t>
      </w:r>
      <w:r w:rsidR="00812156" w:rsidRPr="001D71C3">
        <w:rPr>
          <w:rFonts w:cs="Arial"/>
          <w:sz w:val="20"/>
          <w:szCs w:val="20"/>
        </w:rPr>
        <w:t xml:space="preserve"> </w:t>
      </w:r>
      <w:r w:rsidRPr="001D71C3">
        <w:rPr>
          <w:rFonts w:cs="Arial"/>
          <w:sz w:val="20"/>
          <w:szCs w:val="20"/>
        </w:rPr>
        <w:t>(ad ogni visita)</w:t>
      </w:r>
    </w:p>
    <w:p w14:paraId="2657B81F" w14:textId="77777777" w:rsidR="001D71C3" w:rsidRPr="001D71C3" w:rsidRDefault="001D71C3" w:rsidP="00825BD3">
      <w:pPr>
        <w:numPr>
          <w:ilvl w:val="0"/>
          <w:numId w:val="32"/>
        </w:numPr>
        <w:shd w:val="clear" w:color="auto" w:fill="FFFFFF"/>
        <w:spacing w:line="360" w:lineRule="auto"/>
        <w:rPr>
          <w:rFonts w:cs="Arial"/>
          <w:sz w:val="20"/>
          <w:szCs w:val="20"/>
        </w:rPr>
      </w:pPr>
      <w:r w:rsidRPr="001D71C3">
        <w:rPr>
          <w:rFonts w:cs="Arial"/>
          <w:sz w:val="20"/>
          <w:szCs w:val="20"/>
        </w:rPr>
        <w:t xml:space="preserve">percentuale di soggetti che necessitano di trattamento per un attacco di gotta, tra il sesto e il dodicesimo mese di trattamento.  </w:t>
      </w:r>
    </w:p>
    <w:p w14:paraId="438F71C3" w14:textId="634DC96C" w:rsidR="001A7356" w:rsidRDefault="001D71C3" w:rsidP="000210A2">
      <w:pPr>
        <w:shd w:val="clear" w:color="auto" w:fill="FFFFFF"/>
        <w:spacing w:line="360" w:lineRule="auto"/>
        <w:rPr>
          <w:rFonts w:cs="Arial"/>
          <w:sz w:val="20"/>
          <w:szCs w:val="20"/>
        </w:rPr>
      </w:pPr>
      <w:r w:rsidRPr="001D71C3">
        <w:rPr>
          <w:rFonts w:cs="Arial"/>
          <w:bCs/>
          <w:sz w:val="20"/>
          <w:szCs w:val="20"/>
        </w:rPr>
        <w:t xml:space="preserve">La sicurezza e tollerabilità sono state misurate in termini di </w:t>
      </w:r>
      <w:r w:rsidRPr="001D71C3">
        <w:rPr>
          <w:rFonts w:cs="Arial"/>
          <w:sz w:val="20"/>
          <w:szCs w:val="20"/>
        </w:rPr>
        <w:t xml:space="preserve">insorgenza di eventi avversi </w:t>
      </w:r>
      <w:r w:rsidR="00020A39">
        <w:rPr>
          <w:rFonts w:cs="Arial"/>
          <w:sz w:val="20"/>
          <w:szCs w:val="20"/>
        </w:rPr>
        <w:t>emersi durante il</w:t>
      </w:r>
      <w:r w:rsidRPr="001D71C3">
        <w:rPr>
          <w:rFonts w:cs="Arial"/>
          <w:sz w:val="20"/>
          <w:szCs w:val="20"/>
        </w:rPr>
        <w:t xml:space="preserve"> trattamento farmacologico. Particolare attenzione è stata posta agli eventi avversi di tipo renale e al profilo di sicurezza cardiovascolare.</w:t>
      </w:r>
    </w:p>
    <w:p w14:paraId="244FEEC5" w14:textId="77777777" w:rsidR="00BA2F8F" w:rsidRPr="00BA2F8F" w:rsidRDefault="00BA2F8F" w:rsidP="00825BD3">
      <w:pPr>
        <w:numPr>
          <w:ilvl w:val="1"/>
          <w:numId w:val="13"/>
        </w:numPr>
        <w:shd w:val="clear" w:color="auto" w:fill="FFFFFF"/>
        <w:spacing w:line="360" w:lineRule="auto"/>
        <w:rPr>
          <w:rFonts w:cs="Arial"/>
          <w:sz w:val="20"/>
          <w:szCs w:val="20"/>
          <w:u w:val="single"/>
        </w:rPr>
      </w:pPr>
      <w:bookmarkStart w:id="110" w:name="Paragrafo58"/>
      <w:bookmarkEnd w:id="110"/>
      <w:r w:rsidRPr="00BA2F8F">
        <w:rPr>
          <w:rFonts w:cs="Arial"/>
          <w:sz w:val="20"/>
          <w:szCs w:val="20"/>
          <w:u w:val="single"/>
        </w:rPr>
        <w:t>Risultati</w:t>
      </w:r>
    </w:p>
    <w:p w14:paraId="5A7CF06A" w14:textId="77777777" w:rsidR="001D71C3" w:rsidRPr="001D71C3" w:rsidRDefault="001D71C3" w:rsidP="000210A2">
      <w:pPr>
        <w:shd w:val="clear" w:color="auto" w:fill="FFFFFF"/>
        <w:spacing w:line="360" w:lineRule="auto"/>
        <w:rPr>
          <w:rFonts w:cs="Arial"/>
          <w:sz w:val="20"/>
          <w:szCs w:val="20"/>
        </w:rPr>
      </w:pPr>
      <w:r w:rsidRPr="001D71C3">
        <w:rPr>
          <w:rFonts w:cs="Arial"/>
          <w:sz w:val="20"/>
          <w:szCs w:val="20"/>
        </w:rPr>
        <w:t>I risultati di seguito riportati fanno riferimento esclusivamente alla coorte di pazienti che hanno ricevuto lesinurad alla dose di 200 mg/die, che è quella approvata da EMA.</w:t>
      </w:r>
    </w:p>
    <w:p w14:paraId="7EA11F33" w14:textId="77777777" w:rsidR="00655C52" w:rsidRDefault="00655C52" w:rsidP="000210A2">
      <w:pPr>
        <w:shd w:val="clear" w:color="auto" w:fill="FFFFFF"/>
        <w:spacing w:line="360" w:lineRule="auto"/>
        <w:rPr>
          <w:rFonts w:cs="Arial"/>
          <w:sz w:val="20"/>
          <w:szCs w:val="20"/>
        </w:rPr>
      </w:pPr>
    </w:p>
    <w:p w14:paraId="0636E915" w14:textId="157BE2F2" w:rsidR="00655C52" w:rsidRPr="00655C52" w:rsidRDefault="00655C52" w:rsidP="000210A2">
      <w:pPr>
        <w:shd w:val="clear" w:color="auto" w:fill="FFFFFF"/>
        <w:spacing w:line="360" w:lineRule="auto"/>
        <w:rPr>
          <w:rFonts w:cs="Arial"/>
          <w:b/>
          <w:sz w:val="20"/>
          <w:szCs w:val="20"/>
        </w:rPr>
      </w:pPr>
      <w:r w:rsidRPr="00655C52">
        <w:rPr>
          <w:rFonts w:cs="Arial"/>
          <w:b/>
          <w:sz w:val="20"/>
          <w:szCs w:val="20"/>
        </w:rPr>
        <w:t>STUDIO CLEAR 1</w:t>
      </w:r>
      <w:r w:rsidR="006109B4">
        <w:rPr>
          <w:rFonts w:cs="Arial"/>
          <w:b/>
          <w:sz w:val="20"/>
          <w:szCs w:val="20"/>
        </w:rPr>
        <w:t xml:space="preserve"> </w:t>
      </w:r>
    </w:p>
    <w:p w14:paraId="061FFF3C" w14:textId="275CB865" w:rsidR="001D71C3" w:rsidRPr="001D71C3" w:rsidRDefault="001D71C3" w:rsidP="000210A2">
      <w:pPr>
        <w:shd w:val="clear" w:color="auto" w:fill="FFFFFF"/>
        <w:spacing w:line="360" w:lineRule="auto"/>
        <w:rPr>
          <w:rFonts w:cs="Arial"/>
          <w:sz w:val="20"/>
          <w:szCs w:val="20"/>
        </w:rPr>
      </w:pPr>
      <w:r w:rsidRPr="001D71C3">
        <w:rPr>
          <w:rFonts w:cs="Arial"/>
          <w:sz w:val="20"/>
          <w:szCs w:val="20"/>
        </w:rPr>
        <w:t xml:space="preserve">Lo studio CLEAR-1 ha arruolato complessivamente 607 soggetti </w:t>
      </w:r>
      <w:r w:rsidR="000E461F">
        <w:rPr>
          <w:rFonts w:cs="Arial"/>
          <w:sz w:val="20"/>
          <w:szCs w:val="20"/>
        </w:rPr>
        <w:t xml:space="preserve">(603 ITT) </w:t>
      </w:r>
      <w:r w:rsidRPr="001D71C3">
        <w:rPr>
          <w:rFonts w:cs="Arial"/>
          <w:sz w:val="20"/>
          <w:szCs w:val="20"/>
        </w:rPr>
        <w:t>che rispondevano ai criteri di eleggibilità, che sono stati successivamente randomizzati in un rapporto 1:1:1 nei 3 gruppi di trattamento (201 soggetti per gruppo di trattamento). Le caratteristiche demografiche e cliniche dei pazienti erano ben bilanciate nei tre gruppi di studio</w:t>
      </w:r>
      <w:r w:rsidR="006F743C">
        <w:rPr>
          <w:rFonts w:cs="Arial"/>
          <w:sz w:val="20"/>
          <w:szCs w:val="20"/>
        </w:rPr>
        <w:t xml:space="preserve"> (</w:t>
      </w:r>
      <w:hyperlink w:anchor="Paragrafo528" w:history="1">
        <w:r w:rsidR="006F743C" w:rsidRPr="00EC4166">
          <w:rPr>
            <w:rStyle w:val="Hyperlink"/>
            <w:rFonts w:cs="Arial"/>
            <w:sz w:val="20"/>
            <w:szCs w:val="20"/>
          </w:rPr>
          <w:t>Paragrafo 5.</w:t>
        </w:r>
        <w:r w:rsidR="00EC4166" w:rsidRPr="00EC4166">
          <w:rPr>
            <w:rStyle w:val="Hyperlink"/>
            <w:rFonts w:cs="Arial"/>
            <w:sz w:val="20"/>
            <w:szCs w:val="20"/>
          </w:rPr>
          <w:t>2</w:t>
        </w:r>
        <w:r w:rsidR="006F743C" w:rsidRPr="00EC4166">
          <w:rPr>
            <w:rStyle w:val="Hyperlink"/>
            <w:rFonts w:cs="Arial"/>
            <w:sz w:val="20"/>
            <w:szCs w:val="20"/>
          </w:rPr>
          <w:t>8</w:t>
        </w:r>
      </w:hyperlink>
      <w:r w:rsidR="006F743C">
        <w:rPr>
          <w:rFonts w:cs="Arial"/>
          <w:sz w:val="20"/>
          <w:szCs w:val="20"/>
        </w:rPr>
        <w:t>)</w:t>
      </w:r>
    </w:p>
    <w:p w14:paraId="0F67A765" w14:textId="71BCDF87" w:rsidR="00D13946" w:rsidRPr="00782085" w:rsidRDefault="001D71C3" w:rsidP="000210A2">
      <w:pPr>
        <w:shd w:val="clear" w:color="auto" w:fill="FFFFFF"/>
        <w:spacing w:line="360" w:lineRule="auto"/>
        <w:rPr>
          <w:rFonts w:cs="Arial"/>
          <w:sz w:val="20"/>
          <w:szCs w:val="20"/>
          <w:highlight w:val="yellow"/>
        </w:rPr>
      </w:pPr>
      <w:r w:rsidRPr="00D76F42">
        <w:rPr>
          <w:rFonts w:cs="Arial"/>
          <w:b/>
          <w:sz w:val="20"/>
          <w:szCs w:val="20"/>
        </w:rPr>
        <w:t>Il 54</w:t>
      </w:r>
      <w:r w:rsidR="008A7FAC" w:rsidRPr="00D76F42">
        <w:rPr>
          <w:rFonts w:cs="Arial"/>
          <w:b/>
          <w:sz w:val="20"/>
          <w:szCs w:val="20"/>
        </w:rPr>
        <w:t xml:space="preserve">,2 </w:t>
      </w:r>
      <w:r w:rsidRPr="00D76F42">
        <w:rPr>
          <w:rFonts w:cs="Arial"/>
          <w:b/>
          <w:sz w:val="20"/>
          <w:szCs w:val="20"/>
        </w:rPr>
        <w:t xml:space="preserve">% dei pazienti trattati con lesinurad 200 mg/die in associazione con allopurinolo ha raggiunto un livello di uricemia &lt;6 mg/dl dopo 6 mesi di trattamento, rispetto al </w:t>
      </w:r>
      <w:r w:rsidR="008A7FAC" w:rsidRPr="00D76F42">
        <w:rPr>
          <w:rFonts w:cs="Arial"/>
          <w:b/>
          <w:sz w:val="20"/>
          <w:szCs w:val="20"/>
        </w:rPr>
        <w:t xml:space="preserve">27,9 </w:t>
      </w:r>
      <w:r w:rsidRPr="00D76F42">
        <w:rPr>
          <w:rFonts w:cs="Arial"/>
          <w:b/>
          <w:sz w:val="20"/>
          <w:szCs w:val="20"/>
        </w:rPr>
        <w:t>% dei pazienti trattati con allopurinolo in monoterapia (P &lt;0.0001)</w:t>
      </w:r>
      <w:r w:rsidRPr="001D71C3">
        <w:rPr>
          <w:rFonts w:cs="Arial"/>
          <w:sz w:val="20"/>
          <w:szCs w:val="20"/>
        </w:rPr>
        <w:t xml:space="preserve"> (analisi </w:t>
      </w:r>
      <w:r w:rsidR="002A764A">
        <w:rPr>
          <w:rFonts w:cs="Arial"/>
          <w:sz w:val="20"/>
          <w:szCs w:val="20"/>
        </w:rPr>
        <w:t xml:space="preserve">NRI, popolazione ITT </w:t>
      </w:r>
      <w:r w:rsidRPr="001D71C3">
        <w:rPr>
          <w:rFonts w:cs="Arial"/>
          <w:sz w:val="20"/>
          <w:szCs w:val="20"/>
        </w:rPr>
        <w:t>- che ha incluso tutti i pazienti</w:t>
      </w:r>
      <w:r w:rsidR="00D13946">
        <w:rPr>
          <w:rFonts w:cs="Arial"/>
          <w:sz w:val="20"/>
          <w:szCs w:val="20"/>
        </w:rPr>
        <w:t xml:space="preserve"> </w:t>
      </w:r>
      <w:r w:rsidR="00D13946" w:rsidRPr="001D71C3">
        <w:rPr>
          <w:rFonts w:cs="Arial"/>
          <w:sz w:val="20"/>
          <w:szCs w:val="20"/>
        </w:rPr>
        <w:t>randomizzati e trattati)</w:t>
      </w:r>
      <w:r w:rsidR="00D13946">
        <w:rPr>
          <w:rFonts w:cs="Arial"/>
          <w:sz w:val="20"/>
          <w:szCs w:val="20"/>
        </w:rPr>
        <w:t xml:space="preserve"> (endpoint primario)</w:t>
      </w:r>
      <w:r w:rsidR="00401FE7">
        <w:rPr>
          <w:rFonts w:cs="Arial"/>
          <w:sz w:val="20"/>
          <w:szCs w:val="20"/>
        </w:rPr>
        <w:t xml:space="preserve"> (</w:t>
      </w:r>
      <w:r w:rsidR="0087651E">
        <w:rPr>
          <w:rFonts w:cs="Arial"/>
          <w:color w:val="0000FF"/>
          <w:sz w:val="20"/>
          <w:szCs w:val="20"/>
        </w:rPr>
        <w:t>CSR 301, 2014 (109</w:t>
      </w:r>
      <w:r w:rsidR="00401FE7" w:rsidRPr="00401FE7">
        <w:rPr>
          <w:rFonts w:cs="Arial"/>
          <w:color w:val="0000FF"/>
          <w:sz w:val="20"/>
          <w:szCs w:val="20"/>
        </w:rPr>
        <w:t>)</w:t>
      </w:r>
      <w:r w:rsidR="00401FE7">
        <w:rPr>
          <w:rFonts w:cs="Arial"/>
          <w:sz w:val="20"/>
          <w:szCs w:val="20"/>
        </w:rPr>
        <w:t>)</w:t>
      </w:r>
      <w:r w:rsidRPr="001D71C3">
        <w:rPr>
          <w:rFonts w:cs="Arial"/>
          <w:sz w:val="20"/>
          <w:szCs w:val="20"/>
        </w:rPr>
        <w:t xml:space="preserve"> </w:t>
      </w:r>
      <w:r w:rsidR="00D13946" w:rsidRPr="00BA782B">
        <w:rPr>
          <w:rFonts w:cs="Arial"/>
          <w:sz w:val="20"/>
          <w:szCs w:val="20"/>
        </w:rPr>
        <w:t>(</w:t>
      </w:r>
      <w:hyperlink w:anchor="Tabella9" w:history="1">
        <w:r w:rsidR="00D13946" w:rsidRPr="00BA782B">
          <w:rPr>
            <w:rStyle w:val="Hyperlink"/>
            <w:rFonts w:cs="Arial"/>
            <w:sz w:val="20"/>
            <w:szCs w:val="20"/>
          </w:rPr>
          <w:t xml:space="preserve">Tabella </w:t>
        </w:r>
        <w:r w:rsidR="00BA782B" w:rsidRPr="00BA782B">
          <w:rPr>
            <w:rStyle w:val="Hyperlink"/>
            <w:rFonts w:cs="Arial"/>
            <w:sz w:val="20"/>
            <w:szCs w:val="20"/>
          </w:rPr>
          <w:t>9</w:t>
        </w:r>
      </w:hyperlink>
      <w:r w:rsidR="00D13946" w:rsidRPr="00BA782B">
        <w:rPr>
          <w:rFonts w:cs="Arial"/>
          <w:sz w:val="20"/>
          <w:szCs w:val="20"/>
        </w:rPr>
        <w:t>).</w:t>
      </w:r>
    </w:p>
    <w:p w14:paraId="168D7ACD" w14:textId="77777777" w:rsidR="00D13946" w:rsidRPr="00BA782B" w:rsidRDefault="00D13946" w:rsidP="000210A2">
      <w:pPr>
        <w:shd w:val="clear" w:color="auto" w:fill="FFFFFF"/>
        <w:spacing w:line="360" w:lineRule="auto"/>
        <w:rPr>
          <w:rFonts w:cstheme="minorHAnsi"/>
          <w:sz w:val="20"/>
          <w:szCs w:val="20"/>
          <w:highlight w:val="yellow"/>
        </w:rPr>
      </w:pPr>
    </w:p>
    <w:p w14:paraId="4CACCB49" w14:textId="04D22A67" w:rsidR="00D13946" w:rsidRPr="00BA782B" w:rsidRDefault="00BA782B" w:rsidP="00BA782B">
      <w:pPr>
        <w:pStyle w:val="Caption"/>
        <w:rPr>
          <w:rFonts w:asciiTheme="minorHAnsi" w:hAnsiTheme="minorHAnsi" w:cstheme="minorHAnsi"/>
          <w:b w:val="0"/>
          <w:bCs w:val="0"/>
          <w:lang w:val="it-IT" w:eastAsia="en-GB"/>
        </w:rPr>
      </w:pPr>
      <w:bookmarkStart w:id="111" w:name="Tabella9"/>
      <w:bookmarkStart w:id="112" w:name="_Toc473150694"/>
      <w:bookmarkEnd w:id="111"/>
      <w:r w:rsidRPr="00BA782B">
        <w:rPr>
          <w:rFonts w:asciiTheme="minorHAnsi" w:hAnsiTheme="minorHAnsi" w:cstheme="minorHAnsi"/>
          <w:lang w:val="it-IT"/>
        </w:rPr>
        <w:t xml:space="preserve">Tabella </w:t>
      </w:r>
      <w:r w:rsidRPr="00BA782B">
        <w:rPr>
          <w:rFonts w:asciiTheme="minorHAnsi" w:hAnsiTheme="minorHAnsi" w:cstheme="minorHAnsi"/>
        </w:rPr>
        <w:fldChar w:fldCharType="begin"/>
      </w:r>
      <w:r w:rsidRPr="00BA782B">
        <w:rPr>
          <w:rFonts w:asciiTheme="minorHAnsi" w:hAnsiTheme="minorHAnsi" w:cstheme="minorHAnsi"/>
          <w:lang w:val="it-IT"/>
        </w:rPr>
        <w:instrText xml:space="preserve"> SEQ Tabella \* ARABIC </w:instrText>
      </w:r>
      <w:r w:rsidRPr="00BA782B">
        <w:rPr>
          <w:rFonts w:asciiTheme="minorHAnsi" w:hAnsiTheme="minorHAnsi" w:cstheme="minorHAnsi"/>
        </w:rPr>
        <w:fldChar w:fldCharType="separate"/>
      </w:r>
      <w:r w:rsidR="00A1679C">
        <w:rPr>
          <w:rFonts w:asciiTheme="minorHAnsi" w:hAnsiTheme="minorHAnsi" w:cstheme="minorHAnsi"/>
          <w:noProof/>
          <w:lang w:val="it-IT"/>
        </w:rPr>
        <w:t>9</w:t>
      </w:r>
      <w:r w:rsidRPr="00BA782B">
        <w:rPr>
          <w:rFonts w:asciiTheme="minorHAnsi" w:hAnsiTheme="minorHAnsi" w:cstheme="minorHAnsi"/>
        </w:rPr>
        <w:fldChar w:fldCharType="end"/>
      </w:r>
      <w:r w:rsidR="00D13946" w:rsidRPr="00BA782B">
        <w:rPr>
          <w:rFonts w:asciiTheme="minorHAnsi" w:hAnsiTheme="minorHAnsi" w:cstheme="minorHAnsi"/>
          <w:lang w:val="it-IT" w:eastAsia="en-GB"/>
        </w:rPr>
        <w:t xml:space="preserve">  sUA responders – non-responder imputation – ITT population (</w:t>
      </w:r>
      <w:r w:rsidR="00D13946" w:rsidRPr="00BA782B">
        <w:rPr>
          <w:rFonts w:asciiTheme="minorHAnsi" w:hAnsiTheme="minorHAnsi" w:cstheme="minorHAnsi"/>
          <w:b w:val="0"/>
          <w:bCs w:val="0"/>
          <w:color w:val="0000FF"/>
          <w:lang w:val="it-IT" w:eastAsia="en-GB"/>
        </w:rPr>
        <w:t>adattato da CSR 301, 2014</w:t>
      </w:r>
      <w:r w:rsidR="00D13946" w:rsidRPr="00BA782B">
        <w:rPr>
          <w:rFonts w:asciiTheme="minorHAnsi" w:hAnsiTheme="minorHAnsi" w:cstheme="minorHAnsi"/>
          <w:lang w:val="it-IT" w:eastAsia="en-GB"/>
        </w:rPr>
        <w:t>)</w:t>
      </w:r>
      <w:bookmarkEnd w:id="112"/>
    </w:p>
    <w:tbl>
      <w:tblPr>
        <w:tblW w:w="496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93"/>
        <w:gridCol w:w="2768"/>
        <w:gridCol w:w="2495"/>
      </w:tblGrid>
      <w:tr w:rsidR="00D13946" w:rsidRPr="00401FE7" w14:paraId="6AB3A078" w14:textId="77777777" w:rsidTr="0079658A">
        <w:trPr>
          <w:tblHeader/>
        </w:trPr>
        <w:tc>
          <w:tcPr>
            <w:tcW w:w="3794" w:type="dxa"/>
            <w:shd w:val="clear" w:color="auto" w:fill="D9D9D9"/>
          </w:tcPr>
          <w:p w14:paraId="1BFF8DEF" w14:textId="77777777" w:rsidR="00D13946" w:rsidRPr="00401FE7" w:rsidRDefault="00D13946" w:rsidP="0079658A">
            <w:pPr>
              <w:widowControl w:val="0"/>
              <w:spacing w:before="60" w:after="60"/>
              <w:rPr>
                <w:rFonts w:cs="Arial"/>
                <w:b/>
                <w:i/>
                <w:sz w:val="20"/>
                <w:szCs w:val="20"/>
              </w:rPr>
            </w:pPr>
          </w:p>
        </w:tc>
        <w:tc>
          <w:tcPr>
            <w:tcW w:w="2835" w:type="dxa"/>
            <w:shd w:val="clear" w:color="auto" w:fill="D9D9D9"/>
          </w:tcPr>
          <w:p w14:paraId="35F4B835" w14:textId="77777777" w:rsidR="00D13946" w:rsidRPr="00401FE7" w:rsidRDefault="00D13946" w:rsidP="0079658A">
            <w:pPr>
              <w:spacing w:before="60" w:after="60"/>
              <w:jc w:val="center"/>
              <w:rPr>
                <w:rFonts w:cs="Arial"/>
                <w:b/>
                <w:sz w:val="20"/>
                <w:szCs w:val="20"/>
              </w:rPr>
            </w:pPr>
            <w:r w:rsidRPr="00401FE7">
              <w:rPr>
                <w:rFonts w:cs="Arial"/>
                <w:b/>
                <w:sz w:val="20"/>
                <w:szCs w:val="20"/>
              </w:rPr>
              <w:t>Lesinurad 200 mg + allopurinol</w:t>
            </w:r>
          </w:p>
          <w:p w14:paraId="084B8D71" w14:textId="77777777" w:rsidR="00D13946" w:rsidRPr="00401FE7" w:rsidRDefault="00D13946" w:rsidP="0079658A">
            <w:pPr>
              <w:widowControl w:val="0"/>
              <w:spacing w:before="60" w:after="60"/>
              <w:jc w:val="center"/>
              <w:rPr>
                <w:rFonts w:cs="Arial"/>
                <w:b/>
                <w:sz w:val="20"/>
                <w:szCs w:val="20"/>
              </w:rPr>
            </w:pPr>
            <w:r w:rsidRPr="00401FE7">
              <w:rPr>
                <w:rFonts w:cs="Arial"/>
                <w:b/>
                <w:sz w:val="20"/>
                <w:szCs w:val="20"/>
              </w:rPr>
              <w:t>N=201</w:t>
            </w:r>
          </w:p>
        </w:tc>
        <w:tc>
          <w:tcPr>
            <w:tcW w:w="2551" w:type="dxa"/>
            <w:shd w:val="clear" w:color="auto" w:fill="D9D9D9"/>
          </w:tcPr>
          <w:p w14:paraId="557DE6C4" w14:textId="77777777" w:rsidR="00D13946" w:rsidRPr="00401FE7" w:rsidRDefault="00D13946" w:rsidP="0079658A">
            <w:pPr>
              <w:spacing w:before="60" w:after="60"/>
              <w:jc w:val="center"/>
              <w:rPr>
                <w:rFonts w:cs="Arial"/>
                <w:b/>
                <w:sz w:val="20"/>
                <w:szCs w:val="20"/>
              </w:rPr>
            </w:pPr>
            <w:r w:rsidRPr="00401FE7">
              <w:rPr>
                <w:rFonts w:cs="Arial"/>
                <w:b/>
                <w:sz w:val="20"/>
                <w:szCs w:val="20"/>
              </w:rPr>
              <w:t>Placebo + allopurinol</w:t>
            </w:r>
          </w:p>
          <w:p w14:paraId="5A0AC851" w14:textId="77777777" w:rsidR="00D13946" w:rsidRPr="00401FE7" w:rsidRDefault="00D13946" w:rsidP="0079658A">
            <w:pPr>
              <w:widowControl w:val="0"/>
              <w:spacing w:before="60" w:after="60"/>
              <w:jc w:val="center"/>
              <w:rPr>
                <w:rFonts w:cs="Arial"/>
                <w:b/>
                <w:sz w:val="20"/>
                <w:szCs w:val="20"/>
              </w:rPr>
            </w:pPr>
            <w:r w:rsidRPr="00401FE7">
              <w:rPr>
                <w:rFonts w:cs="Arial"/>
                <w:b/>
                <w:sz w:val="20"/>
                <w:szCs w:val="20"/>
              </w:rPr>
              <w:t>N=201</w:t>
            </w:r>
          </w:p>
        </w:tc>
      </w:tr>
      <w:tr w:rsidR="00D13946" w:rsidRPr="00401FE7" w14:paraId="06C6BF9A" w14:textId="77777777" w:rsidTr="0079658A">
        <w:tc>
          <w:tcPr>
            <w:tcW w:w="3794" w:type="dxa"/>
          </w:tcPr>
          <w:p w14:paraId="081FFBA8" w14:textId="77777777" w:rsidR="00D13946" w:rsidRPr="00401FE7" w:rsidRDefault="00D13946" w:rsidP="0079658A">
            <w:pPr>
              <w:widowControl w:val="0"/>
              <w:tabs>
                <w:tab w:val="left" w:pos="1875"/>
              </w:tabs>
              <w:spacing w:before="60" w:after="60"/>
              <w:rPr>
                <w:rFonts w:cs="Arial"/>
                <w:sz w:val="20"/>
                <w:szCs w:val="20"/>
                <w:lang w:val="en-US"/>
              </w:rPr>
            </w:pPr>
            <w:r w:rsidRPr="00401FE7">
              <w:rPr>
                <w:rFonts w:cs="Arial"/>
                <w:sz w:val="20"/>
                <w:szCs w:val="20"/>
                <w:lang w:val="en-US"/>
              </w:rPr>
              <w:t>Proportion of sUA responders</w:t>
            </w:r>
            <w:r w:rsidRPr="00401FE7">
              <w:rPr>
                <w:rFonts w:cs="Arial"/>
                <w:sz w:val="20"/>
                <w:szCs w:val="20"/>
                <w:vertAlign w:val="superscript"/>
                <w:lang w:val="en-US"/>
              </w:rPr>
              <w:t>†</w:t>
            </w:r>
            <w:r w:rsidRPr="00401FE7">
              <w:rPr>
                <w:rFonts w:cs="Arial"/>
                <w:sz w:val="20"/>
                <w:szCs w:val="20"/>
                <w:lang w:val="en-US"/>
              </w:rPr>
              <w:t>,</w:t>
            </w:r>
            <w:r w:rsidRPr="00401FE7">
              <w:rPr>
                <w:rFonts w:cs="Arial"/>
                <w:sz w:val="20"/>
                <w:szCs w:val="20"/>
                <w:vertAlign w:val="superscript"/>
                <w:lang w:val="en-US"/>
              </w:rPr>
              <w:t xml:space="preserve"> </w:t>
            </w:r>
            <w:r w:rsidRPr="00401FE7">
              <w:rPr>
                <w:rFonts w:cs="Arial"/>
                <w:sz w:val="20"/>
                <w:szCs w:val="20"/>
                <w:lang w:val="en-US"/>
              </w:rPr>
              <w:t>n (%)</w:t>
            </w:r>
          </w:p>
        </w:tc>
        <w:tc>
          <w:tcPr>
            <w:tcW w:w="2835" w:type="dxa"/>
          </w:tcPr>
          <w:p w14:paraId="4E060A43" w14:textId="77777777" w:rsidR="00D13946" w:rsidRPr="00401FE7" w:rsidRDefault="00D13946" w:rsidP="0079658A">
            <w:pPr>
              <w:widowControl w:val="0"/>
              <w:spacing w:before="60" w:after="60"/>
              <w:jc w:val="center"/>
              <w:rPr>
                <w:rFonts w:cs="Arial"/>
                <w:sz w:val="20"/>
                <w:szCs w:val="20"/>
              </w:rPr>
            </w:pPr>
            <w:r w:rsidRPr="00401FE7">
              <w:rPr>
                <w:rFonts w:cs="Arial"/>
                <w:sz w:val="20"/>
                <w:szCs w:val="20"/>
              </w:rPr>
              <w:t>109 (54.2)</w:t>
            </w:r>
          </w:p>
        </w:tc>
        <w:tc>
          <w:tcPr>
            <w:tcW w:w="2551" w:type="dxa"/>
          </w:tcPr>
          <w:p w14:paraId="58C488F3" w14:textId="77777777" w:rsidR="00D13946" w:rsidRPr="00401FE7" w:rsidRDefault="00D13946" w:rsidP="0079658A">
            <w:pPr>
              <w:widowControl w:val="0"/>
              <w:spacing w:before="60" w:after="60"/>
              <w:jc w:val="center"/>
              <w:rPr>
                <w:rFonts w:cs="Arial"/>
                <w:sz w:val="20"/>
                <w:szCs w:val="20"/>
              </w:rPr>
            </w:pPr>
            <w:r w:rsidRPr="00401FE7">
              <w:rPr>
                <w:rFonts w:cs="Arial"/>
                <w:sz w:val="20"/>
                <w:szCs w:val="20"/>
              </w:rPr>
              <w:t>56 (27.9)</w:t>
            </w:r>
          </w:p>
        </w:tc>
      </w:tr>
      <w:tr w:rsidR="00D13946" w:rsidRPr="00401FE7" w14:paraId="35E1A121" w14:textId="77777777" w:rsidTr="0079658A">
        <w:tc>
          <w:tcPr>
            <w:tcW w:w="3794" w:type="dxa"/>
          </w:tcPr>
          <w:p w14:paraId="11B12AF3" w14:textId="77777777" w:rsidR="00D13946" w:rsidRPr="00401FE7" w:rsidRDefault="00D13946" w:rsidP="0079658A">
            <w:pPr>
              <w:widowControl w:val="0"/>
              <w:spacing w:before="60" w:after="60"/>
              <w:rPr>
                <w:rFonts w:cs="Arial"/>
                <w:sz w:val="20"/>
                <w:szCs w:val="20"/>
                <w:lang w:val="en-US"/>
              </w:rPr>
            </w:pPr>
            <w:r w:rsidRPr="00401FE7">
              <w:rPr>
                <w:rFonts w:cs="Arial"/>
                <w:sz w:val="20"/>
                <w:szCs w:val="20"/>
                <w:lang w:val="en-US"/>
              </w:rPr>
              <w:t xml:space="preserve">Difference in proportions </w:t>
            </w:r>
            <w:r w:rsidRPr="00401FE7">
              <w:rPr>
                <w:rFonts w:cs="Arial"/>
                <w:sz w:val="20"/>
                <w:szCs w:val="20"/>
                <w:lang w:val="en-US"/>
              </w:rPr>
              <w:br/>
              <w:t>(95% CI), lesinurad versus placebo</w:t>
            </w:r>
          </w:p>
        </w:tc>
        <w:tc>
          <w:tcPr>
            <w:tcW w:w="2835" w:type="dxa"/>
          </w:tcPr>
          <w:p w14:paraId="54C96200" w14:textId="77777777" w:rsidR="00D13946" w:rsidRPr="00401FE7" w:rsidRDefault="00D13946" w:rsidP="0079658A">
            <w:pPr>
              <w:widowControl w:val="0"/>
              <w:spacing w:before="60" w:after="60"/>
              <w:jc w:val="center"/>
              <w:rPr>
                <w:rFonts w:cs="Arial"/>
                <w:sz w:val="20"/>
                <w:szCs w:val="20"/>
              </w:rPr>
            </w:pPr>
            <w:r w:rsidRPr="00401FE7">
              <w:rPr>
                <w:rFonts w:cs="Arial"/>
                <w:sz w:val="20"/>
                <w:szCs w:val="20"/>
              </w:rPr>
              <w:t>0.26 (0.17; 0.36)</w:t>
            </w:r>
          </w:p>
        </w:tc>
        <w:tc>
          <w:tcPr>
            <w:tcW w:w="2551" w:type="dxa"/>
          </w:tcPr>
          <w:p w14:paraId="4CC17CE8" w14:textId="77777777" w:rsidR="00D13946" w:rsidRPr="00401FE7" w:rsidRDefault="00D13946" w:rsidP="0079658A">
            <w:pPr>
              <w:widowControl w:val="0"/>
              <w:spacing w:before="60" w:after="60"/>
              <w:jc w:val="center"/>
              <w:rPr>
                <w:rFonts w:cs="Arial"/>
                <w:sz w:val="20"/>
                <w:szCs w:val="20"/>
              </w:rPr>
            </w:pPr>
          </w:p>
        </w:tc>
      </w:tr>
      <w:tr w:rsidR="00D13946" w:rsidRPr="00401FE7" w14:paraId="08FDB6BB" w14:textId="77777777" w:rsidTr="0079658A">
        <w:tc>
          <w:tcPr>
            <w:tcW w:w="3794" w:type="dxa"/>
            <w:tcBorders>
              <w:top w:val="single" w:sz="4" w:space="0" w:color="auto"/>
            </w:tcBorders>
          </w:tcPr>
          <w:p w14:paraId="2BEF4874" w14:textId="77777777" w:rsidR="00D13946" w:rsidRPr="00401FE7" w:rsidRDefault="00D13946" w:rsidP="0079658A">
            <w:pPr>
              <w:widowControl w:val="0"/>
              <w:spacing w:before="60" w:after="60"/>
              <w:rPr>
                <w:rFonts w:cs="Arial"/>
                <w:sz w:val="20"/>
                <w:szCs w:val="20"/>
              </w:rPr>
            </w:pPr>
            <w:r w:rsidRPr="00401FE7">
              <w:rPr>
                <w:rFonts w:cs="Arial"/>
                <w:sz w:val="20"/>
                <w:szCs w:val="20"/>
              </w:rPr>
              <w:t>p-value</w:t>
            </w:r>
          </w:p>
        </w:tc>
        <w:tc>
          <w:tcPr>
            <w:tcW w:w="2835" w:type="dxa"/>
            <w:tcBorders>
              <w:top w:val="single" w:sz="4" w:space="0" w:color="auto"/>
            </w:tcBorders>
          </w:tcPr>
          <w:p w14:paraId="15BB5F56" w14:textId="77777777" w:rsidR="00D13946" w:rsidRPr="00401FE7" w:rsidRDefault="00D13946" w:rsidP="0079658A">
            <w:pPr>
              <w:widowControl w:val="0"/>
              <w:spacing w:before="60" w:after="60"/>
              <w:jc w:val="center"/>
              <w:rPr>
                <w:rFonts w:cs="Arial"/>
                <w:sz w:val="20"/>
                <w:szCs w:val="20"/>
              </w:rPr>
            </w:pPr>
            <w:r w:rsidRPr="00401FE7">
              <w:rPr>
                <w:rFonts w:cs="Arial"/>
                <w:sz w:val="20"/>
                <w:szCs w:val="20"/>
              </w:rPr>
              <w:t>&lt;0.0001</w:t>
            </w:r>
          </w:p>
        </w:tc>
        <w:tc>
          <w:tcPr>
            <w:tcW w:w="2551" w:type="dxa"/>
            <w:tcBorders>
              <w:top w:val="single" w:sz="4" w:space="0" w:color="auto"/>
            </w:tcBorders>
          </w:tcPr>
          <w:p w14:paraId="50452DDF" w14:textId="77777777" w:rsidR="00D13946" w:rsidRPr="00401FE7" w:rsidRDefault="00D13946" w:rsidP="0079658A">
            <w:pPr>
              <w:widowControl w:val="0"/>
              <w:spacing w:before="60" w:after="60"/>
              <w:jc w:val="center"/>
              <w:rPr>
                <w:rFonts w:cs="Arial"/>
                <w:sz w:val="20"/>
                <w:szCs w:val="20"/>
              </w:rPr>
            </w:pPr>
          </w:p>
        </w:tc>
      </w:tr>
    </w:tbl>
    <w:p w14:paraId="0857DAEF" w14:textId="77777777" w:rsidR="00D13946" w:rsidRPr="00550745" w:rsidRDefault="00D13946" w:rsidP="00D13946">
      <w:pPr>
        <w:pStyle w:val="Tablefootnote"/>
        <w:jc w:val="left"/>
      </w:pPr>
      <w:r w:rsidRPr="00401FE7">
        <w:t>†Defined as subjects achieving sUA &lt;6.0 mg/dL by Month 6.</w:t>
      </w:r>
      <w:r w:rsidRPr="00401FE7">
        <w:br/>
        <w:t>Abbreviations: CI, confidence interval; ITT, intent-to-treat; sUA, serum uric acid.</w:t>
      </w:r>
    </w:p>
    <w:p w14:paraId="6A350758" w14:textId="77777777" w:rsidR="00D13946" w:rsidRPr="00296E7F" w:rsidRDefault="00D13946" w:rsidP="000210A2">
      <w:pPr>
        <w:shd w:val="clear" w:color="auto" w:fill="FFFFFF"/>
        <w:spacing w:line="360" w:lineRule="auto"/>
        <w:rPr>
          <w:rFonts w:cs="Arial"/>
          <w:sz w:val="20"/>
          <w:szCs w:val="20"/>
          <w:lang w:val="en-US"/>
        </w:rPr>
      </w:pPr>
    </w:p>
    <w:p w14:paraId="148F436B" w14:textId="4E32CC37" w:rsidR="001D71C3" w:rsidRPr="001D71C3" w:rsidRDefault="002A764A" w:rsidP="000210A2">
      <w:pPr>
        <w:shd w:val="clear" w:color="auto" w:fill="FFFFFF"/>
        <w:spacing w:line="360" w:lineRule="auto"/>
        <w:rPr>
          <w:rFonts w:cs="Arial"/>
          <w:sz w:val="20"/>
          <w:szCs w:val="20"/>
        </w:rPr>
      </w:pPr>
      <w:r w:rsidRPr="00AA147E">
        <w:rPr>
          <w:rFonts w:cs="Arial"/>
          <w:b/>
          <w:sz w:val="20"/>
          <w:szCs w:val="20"/>
        </w:rPr>
        <w:t xml:space="preserve">La superiorità di </w:t>
      </w:r>
      <w:r w:rsidR="00D76F42" w:rsidRPr="00AA147E">
        <w:rPr>
          <w:rFonts w:cs="Arial"/>
          <w:b/>
          <w:sz w:val="20"/>
          <w:szCs w:val="20"/>
        </w:rPr>
        <w:t>l</w:t>
      </w:r>
      <w:r w:rsidRPr="00AA147E">
        <w:rPr>
          <w:rFonts w:cs="Arial"/>
          <w:b/>
          <w:sz w:val="20"/>
          <w:szCs w:val="20"/>
        </w:rPr>
        <w:t>esinurad è stata confermata in tutto il periodo di studio di 12 mesi</w:t>
      </w:r>
      <w:r>
        <w:rPr>
          <w:rFonts w:cs="Arial"/>
          <w:sz w:val="20"/>
          <w:szCs w:val="20"/>
        </w:rPr>
        <w:t xml:space="preserve"> </w:t>
      </w:r>
      <w:r w:rsidRPr="001D71C3">
        <w:rPr>
          <w:rFonts w:cs="Arial"/>
          <w:sz w:val="20"/>
          <w:szCs w:val="20"/>
        </w:rPr>
        <w:t>(</w:t>
      </w:r>
      <w:hyperlink w:anchor="Figura29" w:history="1">
        <w:r w:rsidRPr="00030A87">
          <w:rPr>
            <w:rStyle w:val="Hyperlink"/>
            <w:rFonts w:cs="Arial"/>
            <w:sz w:val="20"/>
            <w:szCs w:val="20"/>
          </w:rPr>
          <w:t>Figura 2</w:t>
        </w:r>
        <w:r>
          <w:rPr>
            <w:rStyle w:val="Hyperlink"/>
            <w:rFonts w:cs="Arial"/>
            <w:sz w:val="20"/>
            <w:szCs w:val="20"/>
          </w:rPr>
          <w:t>6</w:t>
        </w:r>
      </w:hyperlink>
      <w:r w:rsidRPr="001D71C3">
        <w:rPr>
          <w:rFonts w:cs="Arial"/>
          <w:sz w:val="20"/>
          <w:szCs w:val="20"/>
        </w:rPr>
        <w:t>)</w:t>
      </w:r>
      <w:r>
        <w:rPr>
          <w:rFonts w:cs="Arial"/>
          <w:sz w:val="20"/>
          <w:szCs w:val="20"/>
        </w:rPr>
        <w:t xml:space="preserve"> (</w:t>
      </w:r>
      <w:r w:rsidR="00656ABA">
        <w:rPr>
          <w:rFonts w:cs="Arial"/>
          <w:color w:val="0000FF"/>
          <w:sz w:val="20"/>
          <w:szCs w:val="20"/>
        </w:rPr>
        <w:t xml:space="preserve">CSR 301, 2014 (109); </w:t>
      </w:r>
      <w:r w:rsidR="00D3508A">
        <w:rPr>
          <w:rFonts w:cs="Arial"/>
          <w:color w:val="0000FF"/>
          <w:sz w:val="20"/>
          <w:szCs w:val="20"/>
        </w:rPr>
        <w:t>Saag, 2016 (138</w:t>
      </w:r>
      <w:r w:rsidR="00DA7F29">
        <w:rPr>
          <w:rFonts w:cs="Arial"/>
          <w:color w:val="0000FF"/>
          <w:sz w:val="20"/>
          <w:szCs w:val="20"/>
        </w:rPr>
        <w:t>)</w:t>
      </w:r>
      <w:r>
        <w:rPr>
          <w:rFonts w:cs="Arial"/>
          <w:sz w:val="20"/>
          <w:szCs w:val="20"/>
        </w:rPr>
        <w:t>)</w:t>
      </w:r>
      <w:r w:rsidRPr="001D71C3">
        <w:rPr>
          <w:rFonts w:cs="Arial"/>
          <w:sz w:val="20"/>
          <w:szCs w:val="20"/>
        </w:rPr>
        <w:t>.</w:t>
      </w:r>
    </w:p>
    <w:p w14:paraId="35600993" w14:textId="77777777" w:rsidR="00030A87" w:rsidRPr="001D71C3" w:rsidRDefault="00030A87" w:rsidP="000210A2">
      <w:pPr>
        <w:shd w:val="clear" w:color="auto" w:fill="FFFFFF"/>
        <w:spacing w:line="360" w:lineRule="auto"/>
        <w:rPr>
          <w:rFonts w:cs="Arial"/>
          <w:sz w:val="20"/>
          <w:szCs w:val="20"/>
        </w:rPr>
      </w:pPr>
    </w:p>
    <w:p w14:paraId="1DEC5470" w14:textId="394813F0" w:rsidR="001D71C3" w:rsidRPr="00030A87" w:rsidRDefault="00030A87" w:rsidP="00030A87">
      <w:pPr>
        <w:pStyle w:val="Caption"/>
        <w:rPr>
          <w:rFonts w:asciiTheme="minorHAnsi" w:hAnsiTheme="minorHAnsi" w:cstheme="minorHAnsi"/>
          <w:lang w:val="it-IT"/>
        </w:rPr>
      </w:pPr>
      <w:bookmarkStart w:id="113" w:name="_Toc473186921"/>
      <w:r w:rsidRPr="00030A87">
        <w:rPr>
          <w:rFonts w:asciiTheme="minorHAnsi" w:hAnsiTheme="minorHAnsi" w:cstheme="minorHAnsi"/>
          <w:lang w:val="it-IT"/>
        </w:rPr>
        <w:t xml:space="preserve">Figura </w:t>
      </w:r>
      <w:r w:rsidRPr="00030A87">
        <w:rPr>
          <w:rFonts w:asciiTheme="minorHAnsi" w:hAnsiTheme="minorHAnsi" w:cstheme="minorHAnsi"/>
        </w:rPr>
        <w:fldChar w:fldCharType="begin"/>
      </w:r>
      <w:r w:rsidRPr="00030A87">
        <w:rPr>
          <w:rFonts w:asciiTheme="minorHAnsi" w:hAnsiTheme="minorHAnsi" w:cstheme="minorHAnsi"/>
          <w:lang w:val="it-IT"/>
        </w:rPr>
        <w:instrText xml:space="preserve"> SEQ Figura \* ARABIC </w:instrText>
      </w:r>
      <w:r w:rsidRPr="00030A87">
        <w:rPr>
          <w:rFonts w:asciiTheme="minorHAnsi" w:hAnsiTheme="minorHAnsi" w:cstheme="minorHAnsi"/>
        </w:rPr>
        <w:fldChar w:fldCharType="separate"/>
      </w:r>
      <w:r w:rsidR="00A1679C">
        <w:rPr>
          <w:rFonts w:asciiTheme="minorHAnsi" w:hAnsiTheme="minorHAnsi" w:cstheme="minorHAnsi"/>
          <w:noProof/>
          <w:lang w:val="it-IT"/>
        </w:rPr>
        <w:t>26</w:t>
      </w:r>
      <w:r w:rsidRPr="00030A87">
        <w:rPr>
          <w:rFonts w:asciiTheme="minorHAnsi" w:hAnsiTheme="minorHAnsi" w:cstheme="minorHAnsi"/>
        </w:rPr>
        <w:fldChar w:fldCharType="end"/>
      </w:r>
      <w:r w:rsidRPr="00030A87">
        <w:rPr>
          <w:rFonts w:asciiTheme="minorHAnsi" w:hAnsiTheme="minorHAnsi" w:cstheme="minorHAnsi"/>
          <w:lang w:val="it-IT"/>
        </w:rPr>
        <w:t xml:space="preserve"> </w:t>
      </w:r>
      <w:r w:rsidR="002A764A">
        <w:rPr>
          <w:rFonts w:asciiTheme="minorHAnsi" w:hAnsiTheme="minorHAnsi" w:cstheme="minorHAnsi"/>
          <w:lang w:val="it-IT"/>
        </w:rPr>
        <w:t>–</w:t>
      </w:r>
      <w:r w:rsidRPr="00030A87">
        <w:rPr>
          <w:rFonts w:asciiTheme="minorHAnsi" w:hAnsiTheme="minorHAnsi" w:cstheme="minorHAnsi"/>
          <w:lang w:val="it-IT"/>
        </w:rPr>
        <w:t xml:space="preserve"> </w:t>
      </w:r>
      <w:r w:rsidR="002A764A">
        <w:rPr>
          <w:rFonts w:asciiTheme="minorHAnsi" w:hAnsiTheme="minorHAnsi" w:cstheme="minorHAnsi"/>
          <w:lang w:val="it-IT"/>
        </w:rPr>
        <w:t>Porzione di soggetti con sUA &lt; 6mg/dl (analisi NRI, popolazione ITT)</w:t>
      </w:r>
      <w:r w:rsidR="001D71C3" w:rsidRPr="00030A87">
        <w:rPr>
          <w:rFonts w:asciiTheme="minorHAnsi" w:hAnsiTheme="minorHAnsi" w:cstheme="minorHAnsi"/>
          <w:lang w:val="it-IT"/>
        </w:rPr>
        <w:t xml:space="preserve"> – studio CLEAR-1</w:t>
      </w:r>
      <w:r w:rsidR="00555B6F">
        <w:rPr>
          <w:rFonts w:asciiTheme="minorHAnsi" w:hAnsiTheme="minorHAnsi" w:cstheme="minorHAnsi"/>
          <w:lang w:val="it-IT"/>
        </w:rPr>
        <w:t xml:space="preserve"> (</w:t>
      </w:r>
      <w:r w:rsidR="006109B4">
        <w:rPr>
          <w:rFonts w:asciiTheme="minorHAnsi" w:hAnsiTheme="minorHAnsi" w:cstheme="minorHAnsi"/>
          <w:color w:val="0000FF"/>
          <w:lang w:val="it-IT"/>
        </w:rPr>
        <w:t>adattato da CSR 301, 2014</w:t>
      </w:r>
      <w:r w:rsidR="00555B6F">
        <w:rPr>
          <w:rFonts w:asciiTheme="minorHAnsi" w:hAnsiTheme="minorHAnsi" w:cstheme="minorHAnsi"/>
          <w:lang w:val="it-IT"/>
        </w:rPr>
        <w:t>)</w:t>
      </w:r>
      <w:bookmarkEnd w:id="113"/>
    </w:p>
    <w:p w14:paraId="7FCBFC0D" w14:textId="2E598ABD" w:rsidR="002A764A" w:rsidRDefault="002A764A" w:rsidP="00655C52">
      <w:pPr>
        <w:shd w:val="clear" w:color="auto" w:fill="FFFFFF"/>
        <w:spacing w:line="360" w:lineRule="auto"/>
        <w:jc w:val="both"/>
        <w:rPr>
          <w:rFonts w:cs="Arial"/>
          <w:sz w:val="20"/>
          <w:szCs w:val="20"/>
        </w:rPr>
      </w:pPr>
      <w:r>
        <w:rPr>
          <w:rFonts w:cs="Arial"/>
          <w:noProof/>
          <w:sz w:val="20"/>
          <w:szCs w:val="20"/>
          <w:lang w:val="en-GB" w:eastAsia="en-GB"/>
        </w:rPr>
        <w:drawing>
          <wp:inline distT="0" distB="0" distL="0" distR="0" wp14:anchorId="3C2C3D7E" wp14:editId="6339BA7B">
            <wp:extent cx="5734050" cy="3073566"/>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8634" cy="3076023"/>
                    </a:xfrm>
                    <a:prstGeom prst="rect">
                      <a:avLst/>
                    </a:prstGeom>
                    <a:noFill/>
                  </pic:spPr>
                </pic:pic>
              </a:graphicData>
            </a:graphic>
          </wp:inline>
        </w:drawing>
      </w:r>
    </w:p>
    <w:p w14:paraId="1A3C63C0" w14:textId="77777777" w:rsidR="00401FE7" w:rsidRDefault="00401FE7" w:rsidP="001327C3">
      <w:pPr>
        <w:shd w:val="clear" w:color="auto" w:fill="FFFFFF"/>
        <w:spacing w:line="360" w:lineRule="auto"/>
        <w:jc w:val="both"/>
        <w:rPr>
          <w:rFonts w:cs="Arial"/>
          <w:sz w:val="20"/>
          <w:szCs w:val="20"/>
        </w:rPr>
      </w:pPr>
    </w:p>
    <w:p w14:paraId="0E693763" w14:textId="30CA84C7" w:rsidR="001327C3" w:rsidRDefault="006109B4" w:rsidP="000210A2">
      <w:pPr>
        <w:shd w:val="clear" w:color="auto" w:fill="FFFFFF"/>
        <w:spacing w:line="360" w:lineRule="auto"/>
        <w:rPr>
          <w:rFonts w:cs="Arial"/>
          <w:sz w:val="20"/>
          <w:szCs w:val="20"/>
        </w:rPr>
      </w:pPr>
      <w:r w:rsidRPr="00655C52">
        <w:rPr>
          <w:rFonts w:cs="Arial"/>
          <w:sz w:val="20"/>
          <w:szCs w:val="20"/>
        </w:rPr>
        <w:t xml:space="preserve">L'effetto di riduzione dell’uricemia è </w:t>
      </w:r>
      <w:r>
        <w:rPr>
          <w:rFonts w:cs="Arial"/>
          <w:sz w:val="20"/>
          <w:szCs w:val="20"/>
        </w:rPr>
        <w:t xml:space="preserve">stato </w:t>
      </w:r>
      <w:r w:rsidRPr="00655C52">
        <w:rPr>
          <w:rFonts w:cs="Arial"/>
          <w:sz w:val="20"/>
          <w:szCs w:val="20"/>
        </w:rPr>
        <w:t xml:space="preserve">massimo dopo il primo mese </w:t>
      </w:r>
      <w:r>
        <w:rPr>
          <w:rFonts w:cs="Arial"/>
          <w:sz w:val="20"/>
          <w:szCs w:val="20"/>
        </w:rPr>
        <w:t xml:space="preserve">( -18,4% vs – 2,0 %, p &lt; 0,0001) </w:t>
      </w:r>
      <w:r w:rsidRPr="00655C52">
        <w:rPr>
          <w:rFonts w:cs="Arial"/>
          <w:sz w:val="20"/>
          <w:szCs w:val="20"/>
        </w:rPr>
        <w:t xml:space="preserve">e </w:t>
      </w:r>
      <w:r>
        <w:rPr>
          <w:rFonts w:cs="Arial"/>
          <w:sz w:val="20"/>
          <w:szCs w:val="20"/>
        </w:rPr>
        <w:t xml:space="preserve"> si è mantenuto</w:t>
      </w:r>
      <w:r w:rsidRPr="00655C52">
        <w:rPr>
          <w:rFonts w:cs="Arial"/>
          <w:sz w:val="20"/>
          <w:szCs w:val="20"/>
        </w:rPr>
        <w:t xml:space="preserve"> durante tutto il periodo di studio di 12 mesi</w:t>
      </w:r>
      <w:r>
        <w:rPr>
          <w:rFonts w:cs="Arial"/>
          <w:sz w:val="20"/>
          <w:szCs w:val="20"/>
        </w:rPr>
        <w:t xml:space="preserve"> (</w:t>
      </w:r>
      <w:r w:rsidRPr="00AA147E">
        <w:rPr>
          <w:rFonts w:cs="Arial"/>
          <w:b/>
          <w:sz w:val="20"/>
          <w:szCs w:val="20"/>
        </w:rPr>
        <w:t>effetto rapido e sostenuto nel tempo</w:t>
      </w:r>
      <w:r>
        <w:rPr>
          <w:rFonts w:cs="Arial"/>
          <w:sz w:val="20"/>
          <w:szCs w:val="20"/>
        </w:rPr>
        <w:t xml:space="preserve">). </w:t>
      </w:r>
      <w:r w:rsidRPr="001D71C3">
        <w:rPr>
          <w:rFonts w:cs="Arial"/>
          <w:sz w:val="20"/>
          <w:szCs w:val="20"/>
        </w:rPr>
        <w:t xml:space="preserve">Le variazioni dei livelli </w:t>
      </w:r>
      <w:r>
        <w:rPr>
          <w:rFonts w:cs="Arial"/>
          <w:sz w:val="20"/>
          <w:szCs w:val="20"/>
        </w:rPr>
        <w:t xml:space="preserve">medi </w:t>
      </w:r>
      <w:r w:rsidRPr="001D71C3">
        <w:rPr>
          <w:rFonts w:cs="Arial"/>
          <w:sz w:val="20"/>
          <w:szCs w:val="20"/>
        </w:rPr>
        <w:t xml:space="preserve">di acido urico ottenute nel gruppo lesinurad 200 mg in associazione con allopurinolo </w:t>
      </w:r>
      <w:r>
        <w:rPr>
          <w:rFonts w:cs="Arial"/>
          <w:sz w:val="20"/>
          <w:szCs w:val="20"/>
        </w:rPr>
        <w:t xml:space="preserve">durante il trattamento (endpoint secondario) </w:t>
      </w:r>
      <w:r w:rsidRPr="001D71C3">
        <w:rPr>
          <w:rFonts w:cs="Arial"/>
          <w:sz w:val="20"/>
          <w:szCs w:val="20"/>
        </w:rPr>
        <w:t>erano significativamente superiori a quelle ottenute nel gruppo placebo e allopurinolo, in tutti i punti temporali dell’analisi (p &lt;0,0001 per tutti i confronti).</w:t>
      </w:r>
      <w:r>
        <w:rPr>
          <w:rFonts w:cs="Arial"/>
          <w:sz w:val="20"/>
          <w:szCs w:val="20"/>
        </w:rPr>
        <w:t xml:space="preserve"> </w:t>
      </w:r>
      <w:r w:rsidR="001327C3">
        <w:rPr>
          <w:rFonts w:cs="Arial"/>
          <w:sz w:val="20"/>
          <w:szCs w:val="20"/>
        </w:rPr>
        <w:t xml:space="preserve">Durante i 12 mesi di trattamento, lesinurad 200 mg + allopurinolo ha determinato una </w:t>
      </w:r>
      <w:r w:rsidR="000E461F">
        <w:rPr>
          <w:rFonts w:cs="Arial"/>
          <w:sz w:val="20"/>
          <w:szCs w:val="20"/>
        </w:rPr>
        <w:t xml:space="preserve">marcata </w:t>
      </w:r>
      <w:r w:rsidR="001327C3">
        <w:rPr>
          <w:rFonts w:cs="Arial"/>
          <w:sz w:val="20"/>
          <w:szCs w:val="20"/>
        </w:rPr>
        <w:t xml:space="preserve">riduzione dei livelli di acido urico rispetto al basale da un minimo di </w:t>
      </w:r>
      <w:r w:rsidR="001327C3" w:rsidRPr="00A0147B">
        <w:rPr>
          <w:rFonts w:cs="Arial"/>
          <w:b/>
          <w:sz w:val="20"/>
          <w:szCs w:val="20"/>
        </w:rPr>
        <w:t>-</w:t>
      </w:r>
      <w:r w:rsidR="00B61B01" w:rsidRPr="00A0147B">
        <w:rPr>
          <w:rFonts w:cs="Arial"/>
          <w:b/>
          <w:sz w:val="20"/>
          <w:szCs w:val="20"/>
        </w:rPr>
        <w:t>1</w:t>
      </w:r>
      <w:r w:rsidR="00B61B01">
        <w:rPr>
          <w:rFonts w:cs="Arial"/>
          <w:b/>
          <w:sz w:val="20"/>
          <w:szCs w:val="20"/>
        </w:rPr>
        <w:t>4,8</w:t>
      </w:r>
      <w:r w:rsidR="001327C3" w:rsidRPr="00A0147B">
        <w:rPr>
          <w:rFonts w:cs="Arial"/>
          <w:b/>
          <w:sz w:val="20"/>
          <w:szCs w:val="20"/>
        </w:rPr>
        <w:t>%</w:t>
      </w:r>
      <w:r w:rsidR="001327C3">
        <w:rPr>
          <w:rFonts w:cs="Arial"/>
          <w:sz w:val="20"/>
          <w:szCs w:val="20"/>
        </w:rPr>
        <w:t xml:space="preserve"> ad un massimo di </w:t>
      </w:r>
      <w:r w:rsidR="001327C3" w:rsidRPr="00A0147B">
        <w:rPr>
          <w:rFonts w:cs="Arial"/>
          <w:b/>
          <w:sz w:val="20"/>
          <w:szCs w:val="20"/>
        </w:rPr>
        <w:t>-</w:t>
      </w:r>
      <w:r w:rsidR="00B61B01">
        <w:rPr>
          <w:rFonts w:cs="Arial"/>
          <w:b/>
          <w:sz w:val="20"/>
          <w:szCs w:val="20"/>
        </w:rPr>
        <w:t>19,8</w:t>
      </w:r>
      <w:r w:rsidR="001327C3" w:rsidRPr="00A0147B">
        <w:rPr>
          <w:rFonts w:cs="Arial"/>
          <w:b/>
          <w:sz w:val="20"/>
          <w:szCs w:val="20"/>
        </w:rPr>
        <w:t>%</w:t>
      </w:r>
      <w:r w:rsidR="00B61B01">
        <w:rPr>
          <w:rFonts w:cs="Arial"/>
          <w:b/>
          <w:sz w:val="20"/>
          <w:szCs w:val="20"/>
        </w:rPr>
        <w:t xml:space="preserve">, </w:t>
      </w:r>
      <w:r w:rsidR="00B61B01" w:rsidRPr="00B61B01">
        <w:rPr>
          <w:rFonts w:cs="Arial"/>
          <w:sz w:val="20"/>
          <w:szCs w:val="20"/>
        </w:rPr>
        <w:t xml:space="preserve">rispetto </w:t>
      </w:r>
      <w:r w:rsidR="000E461F">
        <w:rPr>
          <w:rFonts w:cs="Arial"/>
          <w:sz w:val="20"/>
          <w:szCs w:val="20"/>
        </w:rPr>
        <w:t>a que</w:t>
      </w:r>
      <w:r w:rsidR="00B61B01" w:rsidRPr="00B61B01">
        <w:rPr>
          <w:rFonts w:cs="Arial"/>
          <w:sz w:val="20"/>
          <w:szCs w:val="20"/>
        </w:rPr>
        <w:t xml:space="preserve">lla osservata con </w:t>
      </w:r>
      <w:r w:rsidR="000E461F">
        <w:rPr>
          <w:rFonts w:cs="Arial"/>
          <w:sz w:val="20"/>
          <w:szCs w:val="20"/>
        </w:rPr>
        <w:t>a</w:t>
      </w:r>
      <w:r w:rsidR="00B61B01" w:rsidRPr="00B61B01">
        <w:rPr>
          <w:rFonts w:cs="Arial"/>
          <w:sz w:val="20"/>
          <w:szCs w:val="20"/>
        </w:rPr>
        <w:t>llopurinolo (da un minimo di -0.40 % a un massimo di -3,6 %)</w:t>
      </w:r>
      <w:r w:rsidR="00B61B01" w:rsidRPr="00B61B01">
        <w:rPr>
          <w:rFonts w:cs="Arial"/>
          <w:b/>
          <w:sz w:val="20"/>
          <w:szCs w:val="20"/>
        </w:rPr>
        <w:t xml:space="preserve"> </w:t>
      </w:r>
      <w:r w:rsidR="001327C3">
        <w:rPr>
          <w:rFonts w:cs="Arial"/>
          <w:sz w:val="20"/>
          <w:szCs w:val="20"/>
        </w:rPr>
        <w:t xml:space="preserve"> (</w:t>
      </w:r>
      <w:r w:rsidR="0087651E">
        <w:rPr>
          <w:rFonts w:cs="Arial"/>
          <w:color w:val="0000FF"/>
          <w:sz w:val="20"/>
          <w:szCs w:val="20"/>
        </w:rPr>
        <w:t>CSR 301, 2014 (109</w:t>
      </w:r>
      <w:r w:rsidR="001327C3">
        <w:rPr>
          <w:rFonts w:cs="Arial"/>
          <w:sz w:val="20"/>
          <w:szCs w:val="20"/>
        </w:rPr>
        <w:t>).</w:t>
      </w:r>
    </w:p>
    <w:p w14:paraId="3D41B6C6" w14:textId="3D6A55E4" w:rsidR="000E461F" w:rsidRDefault="00A71F39" w:rsidP="000210A2">
      <w:pPr>
        <w:shd w:val="clear" w:color="auto" w:fill="FFFFFF"/>
        <w:spacing w:line="360" w:lineRule="auto"/>
        <w:rPr>
          <w:rFonts w:cs="Arial"/>
          <w:sz w:val="20"/>
          <w:szCs w:val="20"/>
        </w:rPr>
      </w:pPr>
      <w:r w:rsidRPr="00A71F39">
        <w:rPr>
          <w:rFonts w:cs="Arial"/>
          <w:sz w:val="20"/>
          <w:szCs w:val="20"/>
        </w:rPr>
        <w:t>Relativamente all’</w:t>
      </w:r>
      <w:r w:rsidR="00B61B01">
        <w:rPr>
          <w:rFonts w:cs="Arial"/>
          <w:sz w:val="20"/>
          <w:szCs w:val="20"/>
        </w:rPr>
        <w:t xml:space="preserve">analisi dei sottogruppi con </w:t>
      </w:r>
      <w:r w:rsidRPr="00A71F39">
        <w:rPr>
          <w:rFonts w:cs="Arial"/>
          <w:sz w:val="20"/>
          <w:szCs w:val="20"/>
        </w:rPr>
        <w:t xml:space="preserve">abbassamento </w:t>
      </w:r>
      <w:r w:rsidR="00B61B01">
        <w:rPr>
          <w:rFonts w:cs="Arial"/>
          <w:sz w:val="20"/>
          <w:szCs w:val="20"/>
        </w:rPr>
        <w:t>dei</w:t>
      </w:r>
      <w:r w:rsidR="00B61B01" w:rsidRPr="00A71F39">
        <w:rPr>
          <w:rFonts w:cs="Arial"/>
          <w:sz w:val="20"/>
          <w:szCs w:val="20"/>
        </w:rPr>
        <w:t xml:space="preserve"> </w:t>
      </w:r>
      <w:r w:rsidRPr="00A71F39">
        <w:rPr>
          <w:rFonts w:cs="Arial"/>
          <w:sz w:val="20"/>
          <w:szCs w:val="20"/>
        </w:rPr>
        <w:t xml:space="preserve">livelli di </w:t>
      </w:r>
      <w:r w:rsidR="005848A1">
        <w:rPr>
          <w:rFonts w:cs="Arial"/>
          <w:sz w:val="20"/>
          <w:szCs w:val="20"/>
        </w:rPr>
        <w:t>sUA</w:t>
      </w:r>
      <w:r w:rsidRPr="00A71F39">
        <w:rPr>
          <w:rFonts w:cs="Arial"/>
          <w:sz w:val="20"/>
          <w:szCs w:val="20"/>
        </w:rPr>
        <w:t xml:space="preserve"> </w:t>
      </w:r>
      <w:r w:rsidR="00B61B01">
        <w:rPr>
          <w:rFonts w:cs="Arial"/>
          <w:sz w:val="20"/>
          <w:szCs w:val="20"/>
        </w:rPr>
        <w:t xml:space="preserve">a livelli </w:t>
      </w:r>
      <w:r w:rsidRPr="00A71F39">
        <w:rPr>
          <w:rFonts w:cs="Arial"/>
          <w:sz w:val="20"/>
          <w:szCs w:val="20"/>
        </w:rPr>
        <w:t xml:space="preserve">&lt;6.0, &lt;5.0 </w:t>
      </w:r>
      <w:r>
        <w:rPr>
          <w:rFonts w:cs="Arial"/>
          <w:sz w:val="20"/>
          <w:szCs w:val="20"/>
        </w:rPr>
        <w:t>e</w:t>
      </w:r>
      <w:r w:rsidRPr="00A71F39">
        <w:rPr>
          <w:rFonts w:cs="Arial"/>
          <w:sz w:val="20"/>
          <w:szCs w:val="20"/>
        </w:rPr>
        <w:t xml:space="preserve"> &lt;4.0 mg/d</w:t>
      </w:r>
      <w:r>
        <w:rPr>
          <w:rFonts w:cs="Arial"/>
          <w:sz w:val="20"/>
          <w:szCs w:val="20"/>
        </w:rPr>
        <w:t>l</w:t>
      </w:r>
      <w:r w:rsidRPr="00A71F39">
        <w:rPr>
          <w:rFonts w:cs="Arial"/>
          <w:sz w:val="20"/>
          <w:szCs w:val="20"/>
        </w:rPr>
        <w:t xml:space="preserve">, la percentuale di pazienti rispondenti al trattamento è stata </w:t>
      </w:r>
      <w:r>
        <w:rPr>
          <w:rFonts w:cs="Arial"/>
          <w:sz w:val="20"/>
          <w:szCs w:val="20"/>
        </w:rPr>
        <w:t xml:space="preserve">ad ogni visita </w:t>
      </w:r>
      <w:r w:rsidRPr="00A71F39">
        <w:rPr>
          <w:rFonts w:cs="Arial"/>
          <w:sz w:val="20"/>
          <w:szCs w:val="20"/>
        </w:rPr>
        <w:t>significativamente maggiore con lesinurad 200 mg</w:t>
      </w:r>
      <w:r w:rsidR="00555B6F">
        <w:rPr>
          <w:rFonts w:cs="Arial"/>
          <w:sz w:val="20"/>
          <w:szCs w:val="20"/>
        </w:rPr>
        <w:t xml:space="preserve"> + allopurinolo</w:t>
      </w:r>
      <w:r w:rsidRPr="00A71F39">
        <w:rPr>
          <w:rFonts w:cs="Arial"/>
          <w:sz w:val="20"/>
          <w:szCs w:val="20"/>
        </w:rPr>
        <w:t xml:space="preserve"> </w:t>
      </w:r>
      <w:r>
        <w:rPr>
          <w:rFonts w:cs="Arial"/>
          <w:sz w:val="20"/>
          <w:szCs w:val="20"/>
        </w:rPr>
        <w:t xml:space="preserve">rispetto a quella nei soggetti trattati con allopurinolo in monoterapia </w:t>
      </w:r>
      <w:r w:rsidRPr="00A71F39">
        <w:rPr>
          <w:rFonts w:cs="Arial"/>
          <w:sz w:val="20"/>
          <w:szCs w:val="20"/>
        </w:rPr>
        <w:t>(</w:t>
      </w:r>
      <w:r w:rsidR="005848A1">
        <w:rPr>
          <w:rFonts w:cs="Arial"/>
          <w:sz w:val="20"/>
          <w:szCs w:val="20"/>
        </w:rPr>
        <w:t>sUA</w:t>
      </w:r>
      <w:r>
        <w:rPr>
          <w:rFonts w:cs="Arial"/>
          <w:sz w:val="20"/>
          <w:szCs w:val="20"/>
        </w:rPr>
        <w:t xml:space="preserve"> &lt;6.0 e &lt;5.0 mg/dl</w:t>
      </w:r>
      <w:r w:rsidRPr="00A71F39">
        <w:rPr>
          <w:rFonts w:cs="Arial"/>
          <w:sz w:val="20"/>
          <w:szCs w:val="20"/>
        </w:rPr>
        <w:t xml:space="preserve">, p&lt;0.0001 </w:t>
      </w:r>
      <w:r w:rsidR="00FE5CA2">
        <w:rPr>
          <w:rFonts w:cs="Arial"/>
          <w:sz w:val="20"/>
          <w:szCs w:val="20"/>
        </w:rPr>
        <w:t>per tutti i confronti</w:t>
      </w:r>
      <w:r w:rsidRPr="00A71F39">
        <w:rPr>
          <w:rFonts w:cs="Arial"/>
          <w:sz w:val="20"/>
          <w:szCs w:val="20"/>
        </w:rPr>
        <w:t xml:space="preserve">; </w:t>
      </w:r>
      <w:r w:rsidR="005848A1">
        <w:rPr>
          <w:rFonts w:cs="Arial"/>
          <w:sz w:val="20"/>
          <w:szCs w:val="20"/>
        </w:rPr>
        <w:t>sUA</w:t>
      </w:r>
      <w:r w:rsidR="00FE5CA2">
        <w:rPr>
          <w:rFonts w:cs="Arial"/>
          <w:sz w:val="20"/>
          <w:szCs w:val="20"/>
        </w:rPr>
        <w:t> &lt;4.0 mg/dl</w:t>
      </w:r>
      <w:r w:rsidRPr="00A71F39">
        <w:rPr>
          <w:rFonts w:cs="Arial"/>
          <w:sz w:val="20"/>
          <w:szCs w:val="20"/>
        </w:rPr>
        <w:t xml:space="preserve">, p&lt;0.01 </w:t>
      </w:r>
      <w:r w:rsidR="00FE5CA2">
        <w:rPr>
          <w:rFonts w:cs="Arial"/>
          <w:sz w:val="20"/>
          <w:szCs w:val="20"/>
        </w:rPr>
        <w:t>per tutti i confronti</w:t>
      </w:r>
      <w:r w:rsidR="005C654C">
        <w:rPr>
          <w:rFonts w:cs="Arial"/>
          <w:sz w:val="20"/>
          <w:szCs w:val="20"/>
        </w:rPr>
        <w:t>)</w:t>
      </w:r>
      <w:r w:rsidR="00333F2F">
        <w:rPr>
          <w:rFonts w:cs="Arial"/>
          <w:sz w:val="20"/>
          <w:szCs w:val="20"/>
        </w:rPr>
        <w:t xml:space="preserve"> </w:t>
      </w:r>
      <w:r w:rsidR="000E461F">
        <w:rPr>
          <w:rFonts w:cs="Arial"/>
          <w:sz w:val="20"/>
          <w:szCs w:val="20"/>
        </w:rPr>
        <w:t>(</w:t>
      </w:r>
      <w:r w:rsidR="00D3508A">
        <w:rPr>
          <w:rFonts w:cs="Arial"/>
          <w:color w:val="0000FF"/>
          <w:sz w:val="20"/>
          <w:szCs w:val="20"/>
        </w:rPr>
        <w:t>Saag, 2016 (138</w:t>
      </w:r>
      <w:r w:rsidR="00DA7F29">
        <w:rPr>
          <w:rFonts w:cs="Arial"/>
          <w:color w:val="0000FF"/>
          <w:sz w:val="20"/>
          <w:szCs w:val="20"/>
        </w:rPr>
        <w:t>)</w:t>
      </w:r>
      <w:r w:rsidR="000E461F">
        <w:rPr>
          <w:rFonts w:cs="Arial"/>
          <w:sz w:val="20"/>
          <w:szCs w:val="20"/>
        </w:rPr>
        <w:t>)</w:t>
      </w:r>
      <w:r w:rsidR="000E461F" w:rsidRPr="001D71C3">
        <w:rPr>
          <w:rFonts w:cs="Arial"/>
          <w:sz w:val="20"/>
          <w:szCs w:val="20"/>
        </w:rPr>
        <w:t>.</w:t>
      </w:r>
    </w:p>
    <w:p w14:paraId="748F8B8E" w14:textId="168CEB46" w:rsidR="003370C5" w:rsidRDefault="003370C5" w:rsidP="000210A2">
      <w:pPr>
        <w:shd w:val="clear" w:color="auto" w:fill="FFFFFF"/>
        <w:spacing w:line="360" w:lineRule="auto"/>
        <w:rPr>
          <w:rFonts w:cs="Arial"/>
          <w:sz w:val="20"/>
          <w:szCs w:val="20"/>
        </w:rPr>
      </w:pPr>
      <w:r w:rsidRPr="00AA147E">
        <w:rPr>
          <w:rFonts w:cs="Arial"/>
          <w:b/>
          <w:sz w:val="20"/>
          <w:szCs w:val="20"/>
        </w:rPr>
        <w:t>L'effetto di riduzione dell’uricemia è risultato coerente nei diversi sottogruppi analizzati, tra cui i soggetti con insufficienza renale moderata (</w:t>
      </w:r>
      <w:hyperlink w:anchor="Figura23" w:history="1">
        <w:r w:rsidRPr="00AA147E">
          <w:rPr>
            <w:rStyle w:val="Hyperlink"/>
            <w:rFonts w:cs="Arial"/>
            <w:b/>
            <w:sz w:val="20"/>
            <w:szCs w:val="20"/>
          </w:rPr>
          <w:t xml:space="preserve">Figura </w:t>
        </w:r>
        <w:r w:rsidR="00D47C76" w:rsidRPr="00AA147E">
          <w:rPr>
            <w:rStyle w:val="Hyperlink"/>
            <w:rFonts w:cs="Arial"/>
            <w:b/>
            <w:sz w:val="20"/>
            <w:szCs w:val="20"/>
          </w:rPr>
          <w:t>23</w:t>
        </w:r>
      </w:hyperlink>
      <w:r w:rsidRPr="00AA147E">
        <w:rPr>
          <w:rFonts w:cs="Arial"/>
          <w:b/>
          <w:sz w:val="20"/>
          <w:szCs w:val="20"/>
        </w:rPr>
        <w:t>), pazienti trattati con aspirina</w:t>
      </w:r>
      <w:r w:rsidR="007B22E5" w:rsidRPr="00AA147E">
        <w:rPr>
          <w:rFonts w:cs="Arial"/>
          <w:b/>
          <w:sz w:val="20"/>
          <w:szCs w:val="20"/>
        </w:rPr>
        <w:t xml:space="preserve"> e nei</w:t>
      </w:r>
      <w:r w:rsidRPr="00AA147E">
        <w:rPr>
          <w:rFonts w:cs="Arial"/>
          <w:b/>
          <w:sz w:val="20"/>
          <w:szCs w:val="20"/>
        </w:rPr>
        <w:t xml:space="preserve"> pazienti trattati con diuretici tiazidici (</w:t>
      </w:r>
      <w:hyperlink w:anchor="Paragrafo44" w:history="1">
        <w:r w:rsidRPr="00AA147E">
          <w:rPr>
            <w:rStyle w:val="Hyperlink"/>
            <w:rFonts w:cs="Arial"/>
            <w:b/>
            <w:sz w:val="20"/>
            <w:szCs w:val="20"/>
          </w:rPr>
          <w:t>Paragrafo 4.4</w:t>
        </w:r>
      </w:hyperlink>
      <w:r w:rsidRPr="00AA147E">
        <w:rPr>
          <w:rFonts w:cs="Arial"/>
          <w:b/>
          <w:sz w:val="20"/>
          <w:szCs w:val="20"/>
        </w:rPr>
        <w:t>)</w:t>
      </w:r>
      <w:r w:rsidR="00CD1528">
        <w:rPr>
          <w:rFonts w:cs="Arial"/>
          <w:sz w:val="20"/>
          <w:szCs w:val="20"/>
        </w:rPr>
        <w:t xml:space="preserve"> </w:t>
      </w:r>
      <w:r w:rsidR="000E461F">
        <w:rPr>
          <w:rFonts w:cs="Arial"/>
          <w:sz w:val="20"/>
          <w:szCs w:val="20"/>
        </w:rPr>
        <w:t>(</w:t>
      </w:r>
      <w:r w:rsidR="00D3508A">
        <w:rPr>
          <w:rFonts w:cs="Arial"/>
          <w:color w:val="0000FF"/>
          <w:sz w:val="20"/>
          <w:szCs w:val="20"/>
        </w:rPr>
        <w:t>Saag, 2016 (138</w:t>
      </w:r>
      <w:r w:rsidR="00DA7F29">
        <w:rPr>
          <w:rFonts w:cs="Arial"/>
          <w:color w:val="0000FF"/>
          <w:sz w:val="20"/>
          <w:szCs w:val="20"/>
        </w:rPr>
        <w:t>)</w:t>
      </w:r>
      <w:r w:rsidR="000E461F">
        <w:rPr>
          <w:rFonts w:cs="Arial"/>
          <w:sz w:val="20"/>
          <w:szCs w:val="20"/>
        </w:rPr>
        <w:t>)</w:t>
      </w:r>
      <w:r w:rsidR="000E461F" w:rsidRPr="001D71C3">
        <w:rPr>
          <w:rFonts w:cs="Arial"/>
          <w:sz w:val="20"/>
          <w:szCs w:val="20"/>
        </w:rPr>
        <w:t>.</w:t>
      </w:r>
    </w:p>
    <w:p w14:paraId="2F1F2F43" w14:textId="6D1E6D6F" w:rsidR="00600C4E" w:rsidRDefault="00600C4E" w:rsidP="000210A2">
      <w:pPr>
        <w:shd w:val="clear" w:color="auto" w:fill="FFFFFF"/>
        <w:spacing w:line="360" w:lineRule="auto"/>
        <w:rPr>
          <w:rFonts w:cs="Arial"/>
          <w:sz w:val="20"/>
          <w:szCs w:val="20"/>
        </w:rPr>
      </w:pPr>
      <w:r w:rsidRPr="00AA147E">
        <w:rPr>
          <w:rFonts w:cs="Arial"/>
          <w:b/>
          <w:sz w:val="20"/>
          <w:szCs w:val="20"/>
        </w:rPr>
        <w:t xml:space="preserve">Questi significativi miglioramenti sono stati confermati dai risultati dell’analisi POOLED dei due studi </w:t>
      </w:r>
      <w:r w:rsidRPr="00782F71">
        <w:rPr>
          <w:rFonts w:cs="Arial"/>
          <w:b/>
          <w:sz w:val="20"/>
          <w:szCs w:val="20"/>
        </w:rPr>
        <w:t>(</w:t>
      </w:r>
      <w:hyperlink w:anchor="Paragrafo528" w:history="1">
        <w:r w:rsidRPr="00782F71">
          <w:rPr>
            <w:rStyle w:val="Hyperlink"/>
            <w:rFonts w:cs="Arial"/>
            <w:b/>
            <w:sz w:val="20"/>
            <w:szCs w:val="20"/>
          </w:rPr>
          <w:t>Paragrafo 5.</w:t>
        </w:r>
        <w:r w:rsidR="005C654C" w:rsidRPr="00782F71">
          <w:rPr>
            <w:rStyle w:val="Hyperlink"/>
            <w:rFonts w:cs="Arial"/>
            <w:b/>
            <w:sz w:val="20"/>
            <w:szCs w:val="20"/>
          </w:rPr>
          <w:t>2</w:t>
        </w:r>
        <w:r w:rsidR="00223CCA" w:rsidRPr="00782F71">
          <w:rPr>
            <w:rStyle w:val="Hyperlink"/>
            <w:rFonts w:cs="Arial"/>
            <w:b/>
            <w:sz w:val="20"/>
            <w:szCs w:val="20"/>
          </w:rPr>
          <w:t>8</w:t>
        </w:r>
      </w:hyperlink>
      <w:r w:rsidRPr="00782F71">
        <w:rPr>
          <w:rFonts w:cs="Arial"/>
          <w:b/>
          <w:sz w:val="20"/>
          <w:szCs w:val="20"/>
        </w:rPr>
        <w:t>) e dai risultati dello studio di estensione a lungo termine (dopo 24 mesi</w:t>
      </w:r>
      <w:r w:rsidR="00B61B01" w:rsidRPr="00782F71">
        <w:rPr>
          <w:rFonts w:cs="Arial"/>
          <w:b/>
          <w:sz w:val="20"/>
          <w:szCs w:val="20"/>
        </w:rPr>
        <w:t xml:space="preserve"> di trattamento</w:t>
      </w:r>
      <w:r w:rsidRPr="00782F71">
        <w:rPr>
          <w:rFonts w:cs="Arial"/>
          <w:b/>
          <w:sz w:val="20"/>
          <w:szCs w:val="20"/>
        </w:rPr>
        <w:t>)</w:t>
      </w:r>
      <w:r w:rsidRPr="00AA147E">
        <w:rPr>
          <w:rFonts w:cs="Arial"/>
          <w:b/>
          <w:sz w:val="20"/>
          <w:szCs w:val="20"/>
        </w:rPr>
        <w:t xml:space="preserve"> (studio 306)</w:t>
      </w:r>
      <w:r>
        <w:rPr>
          <w:rFonts w:cs="Arial"/>
          <w:sz w:val="20"/>
          <w:szCs w:val="20"/>
        </w:rPr>
        <w:t xml:space="preserve"> non solo nei pazienti precedentemente trattati con LESU+ALLO </w:t>
      </w:r>
      <w:r w:rsidR="00B61B01">
        <w:rPr>
          <w:rFonts w:cs="Arial"/>
          <w:sz w:val="20"/>
          <w:szCs w:val="20"/>
        </w:rPr>
        <w:t xml:space="preserve">(200CONT) </w:t>
      </w:r>
      <w:r>
        <w:rPr>
          <w:rFonts w:cs="Arial"/>
          <w:sz w:val="20"/>
          <w:szCs w:val="20"/>
        </w:rPr>
        <w:t xml:space="preserve">ma anche nei pazienti precedentemente trattati con il controllo PBO+ALLO </w:t>
      </w:r>
      <w:r w:rsidR="00B61B01">
        <w:rPr>
          <w:rFonts w:cs="Arial"/>
          <w:sz w:val="20"/>
          <w:szCs w:val="20"/>
        </w:rPr>
        <w:t>(</w:t>
      </w:r>
      <w:r>
        <w:rPr>
          <w:rFonts w:cs="Arial"/>
          <w:sz w:val="20"/>
          <w:szCs w:val="20"/>
        </w:rPr>
        <w:t>200CROSS ) (</w:t>
      </w:r>
      <w:hyperlink w:anchor="Paragrafo538" w:history="1">
        <w:r w:rsidRPr="00EC4166">
          <w:rPr>
            <w:rStyle w:val="Hyperlink"/>
            <w:rFonts w:cs="Arial"/>
            <w:sz w:val="20"/>
            <w:szCs w:val="20"/>
          </w:rPr>
          <w:t>Paragrafo 5.</w:t>
        </w:r>
        <w:r w:rsidR="00AD49DF" w:rsidRPr="00EC4166">
          <w:rPr>
            <w:rStyle w:val="Hyperlink"/>
            <w:rFonts w:cs="Arial"/>
            <w:sz w:val="20"/>
            <w:szCs w:val="20"/>
          </w:rPr>
          <w:t>3</w:t>
        </w:r>
        <w:r w:rsidRPr="00EC4166">
          <w:rPr>
            <w:rStyle w:val="Hyperlink"/>
            <w:rFonts w:cs="Arial"/>
            <w:sz w:val="20"/>
            <w:szCs w:val="20"/>
          </w:rPr>
          <w:t>8</w:t>
        </w:r>
      </w:hyperlink>
      <w:r>
        <w:rPr>
          <w:rFonts w:cs="Arial"/>
          <w:sz w:val="20"/>
          <w:szCs w:val="20"/>
        </w:rPr>
        <w:t xml:space="preserve">). </w:t>
      </w:r>
      <w:r w:rsidRPr="00AA147E">
        <w:rPr>
          <w:rFonts w:cs="Arial"/>
          <w:b/>
          <w:sz w:val="20"/>
          <w:szCs w:val="20"/>
        </w:rPr>
        <w:t>In particolare la quota di soggetti che hanno raggiunto l’obiettivo uricemico è raddoppiata nei soggetti che sono passati da PBO+ALLO a LESU+ALLO nello studio di estensione e tale aumento è rimasto costante per tutta la durata</w:t>
      </w:r>
      <w:r w:rsidR="00AD49DF" w:rsidRPr="00AA147E">
        <w:rPr>
          <w:rFonts w:cs="Arial"/>
          <w:b/>
          <w:sz w:val="20"/>
          <w:szCs w:val="20"/>
        </w:rPr>
        <w:t xml:space="preserve"> dell’estensione</w:t>
      </w:r>
      <w:r w:rsidR="00AD49DF">
        <w:rPr>
          <w:rFonts w:cs="Arial"/>
          <w:sz w:val="20"/>
          <w:szCs w:val="20"/>
        </w:rPr>
        <w:t xml:space="preserve"> (</w:t>
      </w:r>
      <w:hyperlink w:anchor="Paragrafo538" w:history="1">
        <w:r w:rsidR="00AD49DF" w:rsidRPr="00EC4166">
          <w:rPr>
            <w:rStyle w:val="Hyperlink"/>
            <w:rFonts w:cs="Arial"/>
            <w:sz w:val="20"/>
            <w:szCs w:val="20"/>
          </w:rPr>
          <w:t xml:space="preserve">Paragrafo </w:t>
        </w:r>
        <w:r w:rsidRPr="00EC4166">
          <w:rPr>
            <w:rStyle w:val="Hyperlink"/>
            <w:rFonts w:cs="Arial"/>
            <w:sz w:val="20"/>
            <w:szCs w:val="20"/>
          </w:rPr>
          <w:t>5.</w:t>
        </w:r>
        <w:r w:rsidR="005C654C" w:rsidRPr="00EC4166">
          <w:rPr>
            <w:rStyle w:val="Hyperlink"/>
            <w:rFonts w:cs="Arial"/>
            <w:sz w:val="20"/>
            <w:szCs w:val="20"/>
          </w:rPr>
          <w:t>38</w:t>
        </w:r>
      </w:hyperlink>
      <w:r>
        <w:rPr>
          <w:rFonts w:cs="Arial"/>
          <w:sz w:val="20"/>
          <w:szCs w:val="20"/>
        </w:rPr>
        <w:t>).</w:t>
      </w:r>
    </w:p>
    <w:p w14:paraId="2E423F3E" w14:textId="77777777" w:rsidR="00615569" w:rsidRDefault="00615569" w:rsidP="000210A2">
      <w:pPr>
        <w:shd w:val="clear" w:color="auto" w:fill="FFFFFF"/>
        <w:spacing w:line="360" w:lineRule="auto"/>
        <w:rPr>
          <w:rFonts w:cs="Arial"/>
          <w:sz w:val="20"/>
          <w:szCs w:val="20"/>
        </w:rPr>
      </w:pPr>
    </w:p>
    <w:p w14:paraId="53A3C33E" w14:textId="7A634079" w:rsidR="009B1324" w:rsidRDefault="001D71C3" w:rsidP="000210A2">
      <w:pPr>
        <w:shd w:val="clear" w:color="auto" w:fill="FFFFFF"/>
        <w:spacing w:line="360" w:lineRule="auto"/>
        <w:rPr>
          <w:rFonts w:cs="Arial"/>
          <w:sz w:val="20"/>
          <w:szCs w:val="20"/>
        </w:rPr>
      </w:pPr>
      <w:r w:rsidRPr="009B1324">
        <w:rPr>
          <w:rFonts w:cs="Arial"/>
          <w:sz w:val="20"/>
          <w:szCs w:val="20"/>
        </w:rPr>
        <w:t>I risultati sulla frequenza di attacchi di gotta e sulla risoluzione dei tofi non hanno portato a differenze statisticamente significative fra i diversi gruppi di trattamento</w:t>
      </w:r>
      <w:r w:rsidR="000E461F">
        <w:rPr>
          <w:rFonts w:cs="Arial"/>
          <w:sz w:val="20"/>
          <w:szCs w:val="20"/>
        </w:rPr>
        <w:t xml:space="preserve"> (</w:t>
      </w:r>
      <w:r w:rsidR="00D3508A">
        <w:rPr>
          <w:rFonts w:cs="Arial"/>
          <w:color w:val="0000FF"/>
          <w:sz w:val="20"/>
          <w:szCs w:val="20"/>
        </w:rPr>
        <w:t>Saag, 2016 (138</w:t>
      </w:r>
      <w:r w:rsidR="00DA7F29">
        <w:rPr>
          <w:rFonts w:cs="Arial"/>
          <w:color w:val="0000FF"/>
          <w:sz w:val="20"/>
          <w:szCs w:val="20"/>
        </w:rPr>
        <w:t>)</w:t>
      </w:r>
      <w:r w:rsidR="000E461F">
        <w:rPr>
          <w:rFonts w:cs="Arial"/>
          <w:sz w:val="20"/>
          <w:szCs w:val="20"/>
        </w:rPr>
        <w:t>).</w:t>
      </w:r>
      <w:r w:rsidRPr="009B1324">
        <w:rPr>
          <w:rFonts w:cs="Arial"/>
          <w:sz w:val="20"/>
          <w:szCs w:val="20"/>
        </w:rPr>
        <w:t xml:space="preserve"> </w:t>
      </w:r>
    </w:p>
    <w:p w14:paraId="0D2D8EFD" w14:textId="48AF88A1" w:rsidR="00F755C4" w:rsidRDefault="00F755C4" w:rsidP="000210A2">
      <w:pPr>
        <w:pStyle w:val="Paragrafoelenco3"/>
        <w:spacing w:line="360" w:lineRule="auto"/>
        <w:ind w:left="0"/>
        <w:rPr>
          <w:rFonts w:asciiTheme="minorHAnsi" w:hAnsiTheme="minorHAnsi" w:cs="Arial"/>
          <w:sz w:val="20"/>
          <w:szCs w:val="20"/>
        </w:rPr>
      </w:pPr>
      <w:r>
        <w:rPr>
          <w:rFonts w:asciiTheme="minorHAnsi" w:hAnsiTheme="minorHAnsi" w:cs="Arial"/>
          <w:sz w:val="20"/>
          <w:szCs w:val="20"/>
        </w:rPr>
        <w:t>Tali risultati erano attesi</w:t>
      </w:r>
      <w:r w:rsidRPr="009766A7">
        <w:rPr>
          <w:rFonts w:asciiTheme="minorHAnsi" w:hAnsiTheme="minorHAnsi" w:cs="Arial"/>
          <w:sz w:val="20"/>
          <w:szCs w:val="20"/>
        </w:rPr>
        <w:t xml:space="preserve"> per la durata dello studio</w:t>
      </w:r>
      <w:r w:rsidR="00B61B01">
        <w:rPr>
          <w:rFonts w:asciiTheme="minorHAnsi" w:hAnsiTheme="minorHAnsi" w:cs="Arial"/>
          <w:sz w:val="20"/>
          <w:szCs w:val="20"/>
        </w:rPr>
        <w:t>, che</w:t>
      </w:r>
      <w:r w:rsidRPr="009766A7">
        <w:rPr>
          <w:rFonts w:asciiTheme="minorHAnsi" w:hAnsiTheme="minorHAnsi" w:cs="Arial"/>
          <w:sz w:val="20"/>
          <w:szCs w:val="20"/>
        </w:rPr>
        <w:t xml:space="preserve"> non era tale da poter evidenziare un effetto significativo sugli end-point clinici</w:t>
      </w:r>
      <w:r w:rsidR="00B61B01">
        <w:rPr>
          <w:rFonts w:asciiTheme="minorHAnsi" w:hAnsiTheme="minorHAnsi" w:cs="Arial"/>
          <w:sz w:val="20"/>
          <w:szCs w:val="20"/>
        </w:rPr>
        <w:t>,</w:t>
      </w:r>
      <w:r w:rsidR="00B61B01" w:rsidRPr="00B61B01">
        <w:rPr>
          <w:rFonts w:asciiTheme="minorHAnsi" w:hAnsiTheme="minorHAnsi" w:cs="Arial"/>
          <w:sz w:val="20"/>
          <w:szCs w:val="20"/>
        </w:rPr>
        <w:t xml:space="preserve"> </w:t>
      </w:r>
      <w:r w:rsidR="00B61B01">
        <w:rPr>
          <w:rFonts w:asciiTheme="minorHAnsi" w:hAnsiTheme="minorHAnsi" w:cs="Arial"/>
          <w:sz w:val="20"/>
          <w:szCs w:val="20"/>
        </w:rPr>
        <w:t>per la bassa incidenza di attacchi acuti che richiedevano trattamento</w:t>
      </w:r>
      <w:r w:rsidRPr="009766A7">
        <w:rPr>
          <w:rFonts w:asciiTheme="minorHAnsi" w:hAnsiTheme="minorHAnsi" w:cs="Arial"/>
          <w:sz w:val="20"/>
          <w:szCs w:val="20"/>
        </w:rPr>
        <w:t xml:space="preserve"> </w:t>
      </w:r>
      <w:r>
        <w:rPr>
          <w:rFonts w:asciiTheme="minorHAnsi" w:hAnsiTheme="minorHAnsi" w:cs="Arial"/>
          <w:sz w:val="20"/>
          <w:szCs w:val="20"/>
        </w:rPr>
        <w:t xml:space="preserve">e </w:t>
      </w:r>
      <w:r w:rsidRPr="009766A7">
        <w:rPr>
          <w:rFonts w:asciiTheme="minorHAnsi" w:hAnsiTheme="minorHAnsi" w:cs="Arial"/>
          <w:sz w:val="20"/>
          <w:szCs w:val="20"/>
        </w:rPr>
        <w:t xml:space="preserve">per il piccolo numero di pazienti con tofi misurabili. </w:t>
      </w:r>
      <w:r w:rsidRPr="00286E34">
        <w:rPr>
          <w:rFonts w:asciiTheme="minorHAnsi" w:hAnsiTheme="minorHAnsi" w:cs="Arial"/>
          <w:sz w:val="20"/>
          <w:szCs w:val="20"/>
        </w:rPr>
        <w:t>Da sottolineare che tali benefici non sono stati dimostrati con trattamenti orali in nessun studio clinico della durata di 12 mesi.</w:t>
      </w:r>
      <w:r w:rsidRPr="009766A7">
        <w:rPr>
          <w:rFonts w:asciiTheme="minorHAnsi" w:hAnsiTheme="minorHAnsi" w:cs="Arial"/>
          <w:sz w:val="20"/>
          <w:szCs w:val="20"/>
        </w:rPr>
        <w:t xml:space="preserve"> </w:t>
      </w:r>
      <w:r w:rsidR="00B61B01">
        <w:rPr>
          <w:rFonts w:asciiTheme="minorHAnsi" w:hAnsiTheme="minorHAnsi" w:cs="Arial"/>
          <w:sz w:val="20"/>
          <w:szCs w:val="20"/>
        </w:rPr>
        <w:t>Ad esempio</w:t>
      </w:r>
      <w:r w:rsidRPr="009766A7">
        <w:rPr>
          <w:rFonts w:asciiTheme="minorHAnsi" w:hAnsiTheme="minorHAnsi" w:cs="Arial"/>
          <w:sz w:val="20"/>
          <w:szCs w:val="20"/>
        </w:rPr>
        <w:t>, nel</w:t>
      </w:r>
      <w:r w:rsidR="00B61B01">
        <w:rPr>
          <w:rFonts w:asciiTheme="minorHAnsi" w:hAnsiTheme="minorHAnsi" w:cs="Arial"/>
          <w:sz w:val="20"/>
          <w:szCs w:val="20"/>
        </w:rPr>
        <w:t>lo</w:t>
      </w:r>
      <w:r w:rsidRPr="009766A7">
        <w:rPr>
          <w:rFonts w:asciiTheme="minorHAnsi" w:hAnsiTheme="minorHAnsi" w:cs="Arial"/>
          <w:sz w:val="20"/>
          <w:szCs w:val="20"/>
        </w:rPr>
        <w:t xml:space="preserve"> studio FOCUS, che valuta</w:t>
      </w:r>
      <w:r w:rsidR="00B61B01">
        <w:rPr>
          <w:rFonts w:asciiTheme="minorHAnsi" w:hAnsiTheme="minorHAnsi" w:cs="Arial"/>
          <w:sz w:val="20"/>
          <w:szCs w:val="20"/>
        </w:rPr>
        <w:t>va</w:t>
      </w:r>
      <w:r w:rsidRPr="009766A7">
        <w:rPr>
          <w:rFonts w:asciiTheme="minorHAnsi" w:hAnsiTheme="minorHAnsi" w:cs="Arial"/>
          <w:sz w:val="20"/>
          <w:szCs w:val="20"/>
        </w:rPr>
        <w:t xml:space="preserve"> il trattamento dei pazienti affetti da gotta con febuxostat</w:t>
      </w:r>
      <w:r w:rsidR="008B3BB3">
        <w:rPr>
          <w:rFonts w:asciiTheme="minorHAnsi" w:hAnsiTheme="minorHAnsi" w:cs="Arial"/>
          <w:sz w:val="20"/>
          <w:szCs w:val="20"/>
        </w:rPr>
        <w:t xml:space="preserve"> a lungo termine</w:t>
      </w:r>
      <w:r w:rsidRPr="009766A7">
        <w:rPr>
          <w:rFonts w:asciiTheme="minorHAnsi" w:hAnsiTheme="minorHAnsi" w:cs="Arial"/>
          <w:sz w:val="20"/>
          <w:szCs w:val="20"/>
        </w:rPr>
        <w:t>, i risultati hanno dimostrato l'eliminazione di attacchi di gotta e riduzione del numero dei tofi solo con la persistenza di dosi stabili di febuxostat a 5 anni (</w:t>
      </w:r>
      <w:r w:rsidR="00563FA4">
        <w:rPr>
          <w:rFonts w:asciiTheme="minorHAnsi" w:hAnsiTheme="minorHAnsi" w:cs="Arial"/>
          <w:color w:val="0000FF"/>
          <w:sz w:val="20"/>
          <w:szCs w:val="20"/>
        </w:rPr>
        <w:t>Schumacher, 2008 (39)</w:t>
      </w:r>
      <w:r w:rsidRPr="009766A7">
        <w:rPr>
          <w:rFonts w:asciiTheme="minorHAnsi" w:hAnsiTheme="minorHAnsi" w:cs="Arial"/>
          <w:sz w:val="20"/>
          <w:szCs w:val="20"/>
        </w:rPr>
        <w:t>).</w:t>
      </w:r>
    </w:p>
    <w:p w14:paraId="15A55D8E" w14:textId="5CE43156" w:rsidR="00600C4E" w:rsidRPr="00655C52" w:rsidRDefault="00600C4E" w:rsidP="000210A2">
      <w:pPr>
        <w:shd w:val="clear" w:color="auto" w:fill="FFFFFF"/>
        <w:spacing w:line="360" w:lineRule="auto"/>
        <w:rPr>
          <w:rFonts w:cs="Arial"/>
          <w:sz w:val="20"/>
          <w:szCs w:val="20"/>
        </w:rPr>
      </w:pPr>
      <w:r w:rsidRPr="00782F71">
        <w:rPr>
          <w:rFonts w:cs="Arial"/>
          <w:sz w:val="20"/>
          <w:szCs w:val="20"/>
        </w:rPr>
        <w:t xml:space="preserve">Tuttavia </w:t>
      </w:r>
      <w:r w:rsidRPr="00782F71">
        <w:rPr>
          <w:rFonts w:cs="Arial"/>
          <w:b/>
          <w:sz w:val="20"/>
          <w:szCs w:val="20"/>
        </w:rPr>
        <w:t>dati di efficacia a lungo termine dopo 24 mesi di trattamento, hanno fornito evidenze sufficienti a</w:t>
      </w:r>
      <w:r w:rsidRPr="00AA147E">
        <w:rPr>
          <w:rFonts w:cs="Arial"/>
          <w:b/>
          <w:sz w:val="20"/>
          <w:szCs w:val="20"/>
        </w:rPr>
        <w:t xml:space="preserve"> dimostrare un effetto clinico con continua riduzione di tofi e flares (</w:t>
      </w:r>
      <w:hyperlink w:anchor="Paragrafo538" w:history="1">
        <w:r w:rsidR="00AD49DF" w:rsidRPr="00AA147E">
          <w:rPr>
            <w:rStyle w:val="Hyperlink"/>
            <w:rFonts w:cs="Arial"/>
            <w:b/>
            <w:sz w:val="20"/>
            <w:szCs w:val="20"/>
          </w:rPr>
          <w:t>Paragrafo 5.38</w:t>
        </w:r>
      </w:hyperlink>
      <w:r w:rsidRPr="00AA147E">
        <w:rPr>
          <w:rFonts w:cs="Arial"/>
          <w:b/>
          <w:sz w:val="20"/>
          <w:szCs w:val="20"/>
        </w:rPr>
        <w:t>) (</w:t>
      </w:r>
      <w:r w:rsidR="00563FA4">
        <w:rPr>
          <w:rFonts w:cs="Arial"/>
          <w:b/>
          <w:color w:val="0000FF"/>
          <w:sz w:val="20"/>
          <w:szCs w:val="20"/>
        </w:rPr>
        <w:t>EPAR, 2015 (42)</w:t>
      </w:r>
      <w:r w:rsidRPr="00AA147E">
        <w:rPr>
          <w:rFonts w:cs="Arial"/>
          <w:b/>
          <w:sz w:val="20"/>
          <w:szCs w:val="20"/>
        </w:rPr>
        <w:t>).</w:t>
      </w:r>
    </w:p>
    <w:p w14:paraId="757A7A6A" w14:textId="06D850BE" w:rsidR="001D71C3" w:rsidRDefault="001D71C3" w:rsidP="000210A2">
      <w:pPr>
        <w:shd w:val="clear" w:color="auto" w:fill="FFFFFF"/>
        <w:spacing w:line="360" w:lineRule="auto"/>
        <w:rPr>
          <w:rFonts w:cs="Arial"/>
          <w:sz w:val="20"/>
          <w:szCs w:val="20"/>
        </w:rPr>
      </w:pPr>
    </w:p>
    <w:p w14:paraId="54E9AFCB" w14:textId="198D75C2" w:rsidR="00CC3E66" w:rsidRPr="00655C52" w:rsidRDefault="00CC3E66" w:rsidP="000210A2">
      <w:pPr>
        <w:shd w:val="clear" w:color="auto" w:fill="FFFFFF"/>
        <w:spacing w:line="360" w:lineRule="auto"/>
        <w:rPr>
          <w:rFonts w:cs="Arial"/>
          <w:b/>
          <w:sz w:val="20"/>
          <w:szCs w:val="20"/>
        </w:rPr>
      </w:pPr>
      <w:r w:rsidRPr="00655C52">
        <w:rPr>
          <w:rFonts w:cs="Arial"/>
          <w:b/>
          <w:sz w:val="20"/>
          <w:szCs w:val="20"/>
        </w:rPr>
        <w:t xml:space="preserve">STUDIO CLEAR </w:t>
      </w:r>
      <w:r>
        <w:rPr>
          <w:rFonts w:cs="Arial"/>
          <w:b/>
          <w:sz w:val="20"/>
          <w:szCs w:val="20"/>
        </w:rPr>
        <w:t>2</w:t>
      </w:r>
      <w:r w:rsidR="006109B4">
        <w:rPr>
          <w:rFonts w:cs="Arial"/>
          <w:b/>
          <w:sz w:val="20"/>
          <w:szCs w:val="20"/>
        </w:rPr>
        <w:t xml:space="preserve"> </w:t>
      </w:r>
    </w:p>
    <w:p w14:paraId="2C613A50" w14:textId="4CF62368" w:rsidR="00E91CEC" w:rsidRPr="00E91CEC" w:rsidRDefault="00E91CEC" w:rsidP="000210A2">
      <w:pPr>
        <w:shd w:val="clear" w:color="auto" w:fill="FFFFFF"/>
        <w:spacing w:line="360" w:lineRule="auto"/>
        <w:rPr>
          <w:rFonts w:cs="Arial"/>
          <w:sz w:val="20"/>
          <w:szCs w:val="20"/>
        </w:rPr>
      </w:pPr>
      <w:r w:rsidRPr="00E91CEC">
        <w:rPr>
          <w:rFonts w:cs="Arial"/>
          <w:sz w:val="20"/>
          <w:szCs w:val="20"/>
        </w:rPr>
        <w:t>Lo studio CLEAR-2 ha arruolato complessivamente 611 soggetti</w:t>
      </w:r>
      <w:r w:rsidR="00286E34">
        <w:rPr>
          <w:rFonts w:cs="Arial"/>
          <w:sz w:val="20"/>
          <w:szCs w:val="20"/>
        </w:rPr>
        <w:t xml:space="preserve"> (610 ITT)</w:t>
      </w:r>
      <w:r w:rsidRPr="00E91CEC">
        <w:rPr>
          <w:rFonts w:cs="Arial"/>
          <w:sz w:val="20"/>
          <w:szCs w:val="20"/>
        </w:rPr>
        <w:t>, successivamente randomizzati in un rapporto 1:1:1 nei 3 gruppi di trattamento:</w:t>
      </w:r>
    </w:p>
    <w:p w14:paraId="2906E84E" w14:textId="77777777" w:rsidR="00E91CEC" w:rsidRPr="00E91CEC" w:rsidRDefault="00E91CEC" w:rsidP="00825BD3">
      <w:pPr>
        <w:numPr>
          <w:ilvl w:val="0"/>
          <w:numId w:val="36"/>
        </w:numPr>
        <w:shd w:val="clear" w:color="auto" w:fill="FFFFFF"/>
        <w:spacing w:line="360" w:lineRule="auto"/>
        <w:rPr>
          <w:rFonts w:cs="Arial"/>
          <w:sz w:val="20"/>
          <w:szCs w:val="20"/>
        </w:rPr>
      </w:pPr>
      <w:r w:rsidRPr="00E91CEC">
        <w:rPr>
          <w:rFonts w:cs="Arial"/>
          <w:sz w:val="20"/>
          <w:szCs w:val="20"/>
        </w:rPr>
        <w:t>204 soggetti nel braccio lesinurad 200 mg in associazione con allopurinolo,</w:t>
      </w:r>
    </w:p>
    <w:p w14:paraId="090AB8A1" w14:textId="19B91949" w:rsidR="00E91CEC" w:rsidRPr="00E91CEC" w:rsidRDefault="00F67454" w:rsidP="00825BD3">
      <w:pPr>
        <w:numPr>
          <w:ilvl w:val="0"/>
          <w:numId w:val="36"/>
        </w:numPr>
        <w:shd w:val="clear" w:color="auto" w:fill="FFFFFF"/>
        <w:spacing w:line="360" w:lineRule="auto"/>
        <w:rPr>
          <w:rFonts w:cs="Arial"/>
          <w:sz w:val="20"/>
          <w:szCs w:val="20"/>
        </w:rPr>
      </w:pPr>
      <w:r w:rsidRPr="00E91CEC">
        <w:rPr>
          <w:rFonts w:cs="Arial"/>
          <w:sz w:val="20"/>
          <w:szCs w:val="20"/>
        </w:rPr>
        <w:t>20</w:t>
      </w:r>
      <w:r>
        <w:rPr>
          <w:rFonts w:cs="Arial"/>
          <w:sz w:val="20"/>
          <w:szCs w:val="20"/>
        </w:rPr>
        <w:t>0</w:t>
      </w:r>
      <w:r w:rsidRPr="00E91CEC">
        <w:rPr>
          <w:rFonts w:cs="Arial"/>
          <w:sz w:val="20"/>
          <w:szCs w:val="20"/>
        </w:rPr>
        <w:t xml:space="preserve"> </w:t>
      </w:r>
      <w:r w:rsidR="00E91CEC" w:rsidRPr="00E91CEC">
        <w:rPr>
          <w:rFonts w:cs="Arial"/>
          <w:sz w:val="20"/>
          <w:szCs w:val="20"/>
        </w:rPr>
        <w:t>soggetti nel braccio lesinurad 400 mg in associazione con allopurinolo</w:t>
      </w:r>
    </w:p>
    <w:p w14:paraId="7B59A61E" w14:textId="77777777" w:rsidR="00E91CEC" w:rsidRPr="00E91CEC" w:rsidRDefault="00E91CEC" w:rsidP="00825BD3">
      <w:pPr>
        <w:numPr>
          <w:ilvl w:val="0"/>
          <w:numId w:val="36"/>
        </w:numPr>
        <w:shd w:val="clear" w:color="auto" w:fill="FFFFFF"/>
        <w:spacing w:line="360" w:lineRule="auto"/>
        <w:rPr>
          <w:rFonts w:cs="Arial"/>
          <w:sz w:val="20"/>
          <w:szCs w:val="20"/>
        </w:rPr>
      </w:pPr>
      <w:r w:rsidRPr="00E91CEC">
        <w:rPr>
          <w:rFonts w:cs="Arial"/>
          <w:sz w:val="20"/>
          <w:szCs w:val="20"/>
        </w:rPr>
        <w:t>206 soggetti nel braccio placebo e allopurinolo.</w:t>
      </w:r>
    </w:p>
    <w:p w14:paraId="3946BE7E" w14:textId="6A5B543C" w:rsidR="00E91CEC" w:rsidRPr="00E91CEC" w:rsidRDefault="00E91CEC" w:rsidP="000210A2">
      <w:pPr>
        <w:shd w:val="clear" w:color="auto" w:fill="FFFFFF"/>
        <w:spacing w:line="360" w:lineRule="auto"/>
        <w:rPr>
          <w:rFonts w:cs="Arial"/>
          <w:sz w:val="20"/>
          <w:szCs w:val="20"/>
        </w:rPr>
      </w:pPr>
      <w:r w:rsidRPr="00E91CEC">
        <w:rPr>
          <w:rFonts w:cs="Arial"/>
          <w:sz w:val="20"/>
          <w:szCs w:val="20"/>
        </w:rPr>
        <w:t>Le caratteristiche demografiche e cliniche dei pazienti erano ben bilanciate nei tre gruppi di studio</w:t>
      </w:r>
      <w:r w:rsidR="006F743C">
        <w:rPr>
          <w:rFonts w:cs="Arial"/>
          <w:sz w:val="20"/>
          <w:szCs w:val="20"/>
        </w:rPr>
        <w:t xml:space="preserve"> (</w:t>
      </w:r>
      <w:hyperlink w:anchor="Paragrafo528" w:history="1">
        <w:r w:rsidR="006F743C" w:rsidRPr="00EC4166">
          <w:rPr>
            <w:rStyle w:val="Hyperlink"/>
            <w:rFonts w:cs="Arial"/>
            <w:sz w:val="20"/>
            <w:szCs w:val="20"/>
          </w:rPr>
          <w:t>Paragrafo 5.</w:t>
        </w:r>
        <w:r w:rsidR="005C654C" w:rsidRPr="00EC4166">
          <w:rPr>
            <w:rStyle w:val="Hyperlink"/>
            <w:rFonts w:cs="Arial"/>
            <w:sz w:val="20"/>
            <w:szCs w:val="20"/>
          </w:rPr>
          <w:t>28</w:t>
        </w:r>
      </w:hyperlink>
      <w:r w:rsidR="006F743C">
        <w:rPr>
          <w:rFonts w:cs="Arial"/>
          <w:sz w:val="20"/>
          <w:szCs w:val="20"/>
        </w:rPr>
        <w:t>)</w:t>
      </w:r>
      <w:r w:rsidRPr="00E91CEC">
        <w:rPr>
          <w:rFonts w:cs="Arial"/>
          <w:sz w:val="20"/>
          <w:szCs w:val="20"/>
        </w:rPr>
        <w:t>.</w:t>
      </w:r>
    </w:p>
    <w:p w14:paraId="6A4FB554" w14:textId="5DA8493B" w:rsidR="00DE0D35" w:rsidRPr="00BA782B" w:rsidRDefault="00E91CEC" w:rsidP="000210A2">
      <w:pPr>
        <w:shd w:val="clear" w:color="auto" w:fill="FFFFFF"/>
        <w:spacing w:line="360" w:lineRule="auto"/>
        <w:rPr>
          <w:rFonts w:cs="Arial"/>
          <w:sz w:val="20"/>
          <w:szCs w:val="20"/>
        </w:rPr>
      </w:pPr>
      <w:r w:rsidRPr="00AA147E">
        <w:rPr>
          <w:rFonts w:cs="Arial"/>
          <w:b/>
          <w:sz w:val="20"/>
          <w:szCs w:val="20"/>
        </w:rPr>
        <w:t>Il 55,4% dei pazienti trattati con lesinurad 200 mg</w:t>
      </w:r>
      <w:r w:rsidR="006F743C" w:rsidRPr="00AA147E">
        <w:rPr>
          <w:rFonts w:cs="Arial"/>
          <w:b/>
          <w:sz w:val="20"/>
          <w:szCs w:val="20"/>
        </w:rPr>
        <w:t>/die</w:t>
      </w:r>
      <w:r w:rsidRPr="00AA147E">
        <w:rPr>
          <w:rFonts w:cs="Arial"/>
          <w:b/>
          <w:sz w:val="20"/>
          <w:szCs w:val="20"/>
        </w:rPr>
        <w:t xml:space="preserve"> in associazione con allopurinolo ha raggiunto un livello di uricemia &lt;6 mg/dl dopo 6 mesi di trattamento, rispetto al 23,3% dei pazienti trattati con allopurinolo in monot</w:t>
      </w:r>
      <w:r w:rsidR="007F36AF" w:rsidRPr="00AA147E">
        <w:rPr>
          <w:rFonts w:cs="Arial"/>
          <w:b/>
          <w:sz w:val="20"/>
          <w:szCs w:val="20"/>
        </w:rPr>
        <w:t>erapia (P &lt;0,0001)</w:t>
      </w:r>
      <w:r w:rsidR="007F36AF">
        <w:rPr>
          <w:rFonts w:cs="Arial"/>
          <w:sz w:val="20"/>
          <w:szCs w:val="20"/>
        </w:rPr>
        <w:t xml:space="preserve"> (endponit primario</w:t>
      </w:r>
      <w:r w:rsidR="002A764A">
        <w:rPr>
          <w:rFonts w:cs="Arial"/>
          <w:sz w:val="20"/>
          <w:szCs w:val="20"/>
        </w:rPr>
        <w:t>, analisi NRI</w:t>
      </w:r>
      <w:r w:rsidR="00401FE7">
        <w:rPr>
          <w:rFonts w:cs="Arial"/>
          <w:sz w:val="20"/>
          <w:szCs w:val="20"/>
        </w:rPr>
        <w:t>) (</w:t>
      </w:r>
      <w:r w:rsidR="0087651E">
        <w:rPr>
          <w:rFonts w:cs="Arial"/>
          <w:color w:val="0000FF"/>
          <w:sz w:val="20"/>
          <w:szCs w:val="20"/>
        </w:rPr>
        <w:t>CSR 302, 2014 (110</w:t>
      </w:r>
      <w:r w:rsidR="008E6BDD">
        <w:rPr>
          <w:rFonts w:cs="Arial"/>
          <w:color w:val="0000FF"/>
          <w:sz w:val="20"/>
          <w:szCs w:val="20"/>
        </w:rPr>
        <w:t>)</w:t>
      </w:r>
      <w:r w:rsidR="00401FE7">
        <w:rPr>
          <w:rFonts w:cs="Arial"/>
          <w:sz w:val="20"/>
          <w:szCs w:val="20"/>
        </w:rPr>
        <w:t>)</w:t>
      </w:r>
      <w:r w:rsidR="007F36AF">
        <w:rPr>
          <w:rFonts w:cs="Arial"/>
          <w:sz w:val="20"/>
          <w:szCs w:val="20"/>
        </w:rPr>
        <w:t xml:space="preserve"> </w:t>
      </w:r>
      <w:r w:rsidR="00DE0D35" w:rsidRPr="00BA782B">
        <w:rPr>
          <w:rFonts w:cs="Arial"/>
          <w:sz w:val="20"/>
          <w:szCs w:val="20"/>
        </w:rPr>
        <w:t>(</w:t>
      </w:r>
      <w:hyperlink w:anchor="Tabella10" w:history="1">
        <w:r w:rsidR="00DE0D35" w:rsidRPr="00BA782B">
          <w:rPr>
            <w:rStyle w:val="Hyperlink"/>
            <w:rFonts w:cs="Arial"/>
            <w:sz w:val="20"/>
            <w:szCs w:val="20"/>
          </w:rPr>
          <w:t xml:space="preserve">Tabella </w:t>
        </w:r>
        <w:r w:rsidR="00BA782B" w:rsidRPr="00BA782B">
          <w:rPr>
            <w:rStyle w:val="Hyperlink"/>
            <w:rFonts w:cs="Arial"/>
            <w:sz w:val="20"/>
            <w:szCs w:val="20"/>
          </w:rPr>
          <w:t>10</w:t>
        </w:r>
      </w:hyperlink>
      <w:r w:rsidR="00DE0D35" w:rsidRPr="00BA782B">
        <w:rPr>
          <w:rFonts w:cs="Arial"/>
          <w:sz w:val="20"/>
          <w:szCs w:val="20"/>
        </w:rPr>
        <w:t>)</w:t>
      </w:r>
    </w:p>
    <w:p w14:paraId="0EEC35C7" w14:textId="77777777" w:rsidR="00DE0D35" w:rsidRPr="00CB6789" w:rsidRDefault="00DE0D35" w:rsidP="00DE0D35">
      <w:pPr>
        <w:shd w:val="clear" w:color="auto" w:fill="FFFFFF"/>
        <w:spacing w:line="360" w:lineRule="auto"/>
        <w:jc w:val="both"/>
        <w:rPr>
          <w:rFonts w:cs="Arial"/>
          <w:sz w:val="20"/>
          <w:szCs w:val="20"/>
          <w:highlight w:val="yellow"/>
        </w:rPr>
      </w:pPr>
    </w:p>
    <w:p w14:paraId="16D7DA1A" w14:textId="7F8426B1" w:rsidR="00DE0D35" w:rsidRPr="00BA782B" w:rsidRDefault="00BA782B" w:rsidP="00BA782B">
      <w:pPr>
        <w:pStyle w:val="Caption"/>
        <w:rPr>
          <w:rFonts w:asciiTheme="minorHAnsi" w:hAnsiTheme="minorHAnsi" w:cstheme="minorHAnsi"/>
          <w:b w:val="0"/>
          <w:bCs w:val="0"/>
          <w:lang w:val="it-IT" w:eastAsia="en-GB"/>
        </w:rPr>
      </w:pPr>
      <w:bookmarkStart w:id="114" w:name="Tabella10"/>
      <w:bookmarkStart w:id="115" w:name="_Toc473150695"/>
      <w:bookmarkEnd w:id="114"/>
      <w:r w:rsidRPr="00BA782B">
        <w:rPr>
          <w:rFonts w:asciiTheme="minorHAnsi" w:hAnsiTheme="minorHAnsi" w:cstheme="minorHAnsi"/>
          <w:lang w:val="it-IT"/>
        </w:rPr>
        <w:t xml:space="preserve">Tabella </w:t>
      </w:r>
      <w:r w:rsidRPr="00BA782B">
        <w:rPr>
          <w:rFonts w:asciiTheme="minorHAnsi" w:hAnsiTheme="minorHAnsi" w:cstheme="minorHAnsi"/>
        </w:rPr>
        <w:fldChar w:fldCharType="begin"/>
      </w:r>
      <w:r w:rsidRPr="00BA782B">
        <w:rPr>
          <w:rFonts w:asciiTheme="minorHAnsi" w:hAnsiTheme="minorHAnsi" w:cstheme="minorHAnsi"/>
          <w:lang w:val="it-IT"/>
        </w:rPr>
        <w:instrText xml:space="preserve"> SEQ Tabella \* ARABIC </w:instrText>
      </w:r>
      <w:r w:rsidRPr="00BA782B">
        <w:rPr>
          <w:rFonts w:asciiTheme="minorHAnsi" w:hAnsiTheme="minorHAnsi" w:cstheme="minorHAnsi"/>
        </w:rPr>
        <w:fldChar w:fldCharType="separate"/>
      </w:r>
      <w:r w:rsidR="00A1679C">
        <w:rPr>
          <w:rFonts w:asciiTheme="minorHAnsi" w:hAnsiTheme="minorHAnsi" w:cstheme="minorHAnsi"/>
          <w:noProof/>
          <w:lang w:val="it-IT"/>
        </w:rPr>
        <w:t>10</w:t>
      </w:r>
      <w:r w:rsidRPr="00BA782B">
        <w:rPr>
          <w:rFonts w:asciiTheme="minorHAnsi" w:hAnsiTheme="minorHAnsi" w:cstheme="minorHAnsi"/>
        </w:rPr>
        <w:fldChar w:fldCharType="end"/>
      </w:r>
      <w:r w:rsidRPr="00BA782B">
        <w:rPr>
          <w:rFonts w:asciiTheme="minorHAnsi" w:hAnsiTheme="minorHAnsi" w:cstheme="minorHAnsi"/>
          <w:lang w:val="it-IT"/>
        </w:rPr>
        <w:t xml:space="preserve"> - </w:t>
      </w:r>
      <w:r w:rsidR="00DE0D35" w:rsidRPr="00BA782B">
        <w:rPr>
          <w:rFonts w:asciiTheme="minorHAnsi" w:hAnsiTheme="minorHAnsi" w:cstheme="minorHAnsi"/>
          <w:b w:val="0"/>
          <w:bCs w:val="0"/>
          <w:lang w:val="it-IT" w:eastAsia="en-GB"/>
        </w:rPr>
        <w:t xml:space="preserve"> sUA responders – non-responder imputation – ITT population</w:t>
      </w:r>
      <w:r w:rsidR="00401FE7" w:rsidRPr="00BA782B">
        <w:rPr>
          <w:rFonts w:asciiTheme="minorHAnsi" w:hAnsiTheme="minorHAnsi" w:cstheme="minorHAnsi"/>
          <w:b w:val="0"/>
          <w:bCs w:val="0"/>
          <w:lang w:val="it-IT" w:eastAsia="en-GB"/>
        </w:rPr>
        <w:t xml:space="preserve"> (</w:t>
      </w:r>
      <w:r w:rsidR="00401FE7" w:rsidRPr="00BA782B">
        <w:rPr>
          <w:rFonts w:asciiTheme="minorHAnsi" w:hAnsiTheme="minorHAnsi" w:cstheme="minorHAnsi"/>
          <w:b w:val="0"/>
          <w:bCs w:val="0"/>
          <w:color w:val="0000FF"/>
          <w:lang w:val="it-IT" w:eastAsia="en-GB"/>
        </w:rPr>
        <w:t>adattato CSR 302, 2014</w:t>
      </w:r>
      <w:r w:rsidR="00401FE7" w:rsidRPr="00BA782B">
        <w:rPr>
          <w:rFonts w:asciiTheme="minorHAnsi" w:hAnsiTheme="minorHAnsi" w:cstheme="minorHAnsi"/>
          <w:b w:val="0"/>
          <w:bCs w:val="0"/>
          <w:lang w:val="it-IT" w:eastAsia="en-GB"/>
        </w:rPr>
        <w:t>)</w:t>
      </w:r>
      <w:bookmarkEnd w:id="115"/>
    </w:p>
    <w:tbl>
      <w:tblPr>
        <w:tblW w:w="496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58"/>
        <w:gridCol w:w="3175"/>
        <w:gridCol w:w="2223"/>
      </w:tblGrid>
      <w:tr w:rsidR="00DE0D35" w:rsidRPr="00401FE7" w14:paraId="06F4799E" w14:textId="77777777" w:rsidTr="0079658A">
        <w:trPr>
          <w:tblHeader/>
        </w:trPr>
        <w:tc>
          <w:tcPr>
            <w:tcW w:w="3652" w:type="dxa"/>
            <w:shd w:val="clear" w:color="auto" w:fill="D9D9D9"/>
          </w:tcPr>
          <w:p w14:paraId="71D6E3DF" w14:textId="77777777" w:rsidR="00DE0D35" w:rsidRPr="00401FE7" w:rsidRDefault="00DE0D35" w:rsidP="00401FE7">
            <w:pPr>
              <w:keepNext/>
              <w:rPr>
                <w:rFonts w:eastAsia="Times New Roman"/>
                <w:b/>
                <w:bCs/>
                <w:sz w:val="20"/>
                <w:szCs w:val="20"/>
                <w:lang w:eastAsia="en-GB"/>
              </w:rPr>
            </w:pPr>
          </w:p>
        </w:tc>
        <w:tc>
          <w:tcPr>
            <w:tcW w:w="3260" w:type="dxa"/>
            <w:shd w:val="clear" w:color="auto" w:fill="D9D9D9"/>
          </w:tcPr>
          <w:p w14:paraId="5BF0C657" w14:textId="77777777" w:rsidR="00DE0D35" w:rsidRPr="00401FE7" w:rsidRDefault="00DE0D35" w:rsidP="00401FE7">
            <w:pPr>
              <w:keepNext/>
              <w:jc w:val="center"/>
              <w:rPr>
                <w:rFonts w:eastAsia="Times New Roman"/>
                <w:b/>
                <w:bCs/>
                <w:sz w:val="20"/>
                <w:szCs w:val="20"/>
                <w:lang w:eastAsia="en-GB"/>
              </w:rPr>
            </w:pPr>
            <w:r w:rsidRPr="00401FE7">
              <w:rPr>
                <w:rFonts w:eastAsia="Times New Roman"/>
                <w:b/>
                <w:bCs/>
                <w:sz w:val="20"/>
                <w:szCs w:val="20"/>
                <w:lang w:eastAsia="en-GB"/>
              </w:rPr>
              <w:t>Lesinurad 200 mg + allopurinol</w:t>
            </w:r>
          </w:p>
          <w:p w14:paraId="3EF5D9D6" w14:textId="77777777" w:rsidR="00DE0D35" w:rsidRPr="00401FE7" w:rsidRDefault="00DE0D35" w:rsidP="00401FE7">
            <w:pPr>
              <w:keepNext/>
              <w:jc w:val="center"/>
              <w:rPr>
                <w:rFonts w:eastAsia="Times New Roman"/>
                <w:b/>
                <w:bCs/>
                <w:sz w:val="20"/>
                <w:szCs w:val="20"/>
                <w:lang w:eastAsia="en-GB"/>
              </w:rPr>
            </w:pPr>
            <w:r w:rsidRPr="00401FE7">
              <w:rPr>
                <w:rFonts w:eastAsia="Times New Roman"/>
                <w:b/>
                <w:bCs/>
                <w:sz w:val="20"/>
                <w:szCs w:val="20"/>
                <w:lang w:eastAsia="en-GB"/>
              </w:rPr>
              <w:t>N=204</w:t>
            </w:r>
          </w:p>
        </w:tc>
        <w:tc>
          <w:tcPr>
            <w:tcW w:w="2268" w:type="dxa"/>
            <w:shd w:val="clear" w:color="auto" w:fill="D9D9D9"/>
          </w:tcPr>
          <w:p w14:paraId="78B2C599" w14:textId="77777777" w:rsidR="00DE0D35" w:rsidRPr="00401FE7" w:rsidRDefault="00DE0D35" w:rsidP="00401FE7">
            <w:pPr>
              <w:keepNext/>
              <w:jc w:val="center"/>
              <w:rPr>
                <w:rFonts w:eastAsia="Times New Roman"/>
                <w:b/>
                <w:bCs/>
                <w:sz w:val="20"/>
                <w:szCs w:val="20"/>
                <w:lang w:eastAsia="en-GB"/>
              </w:rPr>
            </w:pPr>
            <w:r w:rsidRPr="00401FE7">
              <w:rPr>
                <w:rFonts w:eastAsia="Times New Roman"/>
                <w:b/>
                <w:bCs/>
                <w:sz w:val="20"/>
                <w:szCs w:val="20"/>
                <w:lang w:eastAsia="en-GB"/>
              </w:rPr>
              <w:t>Placebo + allopurinol</w:t>
            </w:r>
          </w:p>
          <w:p w14:paraId="7D537D22" w14:textId="77777777" w:rsidR="00DE0D35" w:rsidRPr="00401FE7" w:rsidRDefault="00DE0D35" w:rsidP="00401FE7">
            <w:pPr>
              <w:keepNext/>
              <w:jc w:val="center"/>
              <w:rPr>
                <w:rFonts w:eastAsia="Times New Roman"/>
                <w:b/>
                <w:bCs/>
                <w:sz w:val="20"/>
                <w:szCs w:val="20"/>
                <w:lang w:eastAsia="en-GB"/>
              </w:rPr>
            </w:pPr>
            <w:r w:rsidRPr="00401FE7">
              <w:rPr>
                <w:rFonts w:eastAsia="Times New Roman"/>
                <w:b/>
                <w:bCs/>
                <w:sz w:val="20"/>
                <w:szCs w:val="20"/>
                <w:lang w:eastAsia="en-GB"/>
              </w:rPr>
              <w:t>N=206</w:t>
            </w:r>
          </w:p>
        </w:tc>
      </w:tr>
      <w:tr w:rsidR="00DE0D35" w:rsidRPr="00401FE7" w14:paraId="3B8558B8" w14:textId="77777777" w:rsidTr="0079658A">
        <w:tc>
          <w:tcPr>
            <w:tcW w:w="3652" w:type="dxa"/>
          </w:tcPr>
          <w:p w14:paraId="6BEA440A" w14:textId="77777777" w:rsidR="00DE0D35" w:rsidRPr="00296E7F" w:rsidRDefault="00DE0D35" w:rsidP="00401FE7">
            <w:pPr>
              <w:keepNext/>
              <w:rPr>
                <w:rFonts w:eastAsia="Times New Roman"/>
                <w:bCs/>
                <w:sz w:val="20"/>
                <w:szCs w:val="20"/>
                <w:lang w:val="en-US" w:eastAsia="en-GB"/>
              </w:rPr>
            </w:pPr>
            <w:r w:rsidRPr="00296E7F">
              <w:rPr>
                <w:rFonts w:eastAsia="Times New Roman"/>
                <w:bCs/>
                <w:sz w:val="20"/>
                <w:szCs w:val="20"/>
                <w:lang w:val="en-US" w:eastAsia="en-GB"/>
              </w:rPr>
              <w:t>Proportion of sUA responders†, n (%)</w:t>
            </w:r>
          </w:p>
        </w:tc>
        <w:tc>
          <w:tcPr>
            <w:tcW w:w="3260" w:type="dxa"/>
          </w:tcPr>
          <w:p w14:paraId="154122D4" w14:textId="77777777" w:rsidR="00DE0D35" w:rsidRPr="00401FE7" w:rsidRDefault="00DE0D35" w:rsidP="00401FE7">
            <w:pPr>
              <w:keepNext/>
              <w:jc w:val="center"/>
              <w:rPr>
                <w:rFonts w:eastAsia="Times New Roman"/>
                <w:bCs/>
                <w:sz w:val="20"/>
                <w:szCs w:val="20"/>
                <w:lang w:eastAsia="en-GB"/>
              </w:rPr>
            </w:pPr>
            <w:r w:rsidRPr="00401FE7">
              <w:rPr>
                <w:rFonts w:eastAsia="Times New Roman"/>
                <w:bCs/>
                <w:sz w:val="20"/>
                <w:szCs w:val="20"/>
                <w:lang w:eastAsia="en-GB"/>
              </w:rPr>
              <w:t>113 (55.4)</w:t>
            </w:r>
          </w:p>
        </w:tc>
        <w:tc>
          <w:tcPr>
            <w:tcW w:w="2268" w:type="dxa"/>
          </w:tcPr>
          <w:p w14:paraId="7EE1E7C4" w14:textId="77777777" w:rsidR="00DE0D35" w:rsidRPr="00401FE7" w:rsidRDefault="00DE0D35" w:rsidP="00401FE7">
            <w:pPr>
              <w:keepNext/>
              <w:jc w:val="center"/>
              <w:rPr>
                <w:rFonts w:eastAsia="Times New Roman"/>
                <w:bCs/>
                <w:sz w:val="20"/>
                <w:szCs w:val="20"/>
                <w:lang w:eastAsia="en-GB"/>
              </w:rPr>
            </w:pPr>
            <w:r w:rsidRPr="00401FE7">
              <w:rPr>
                <w:rFonts w:eastAsia="Times New Roman"/>
                <w:bCs/>
                <w:sz w:val="20"/>
                <w:szCs w:val="20"/>
                <w:lang w:eastAsia="en-GB"/>
              </w:rPr>
              <w:t>48 (23.3)</w:t>
            </w:r>
          </w:p>
        </w:tc>
      </w:tr>
      <w:tr w:rsidR="00DE0D35" w:rsidRPr="00401FE7" w14:paraId="0C169516" w14:textId="77777777" w:rsidTr="0079658A">
        <w:trPr>
          <w:trHeight w:val="64"/>
        </w:trPr>
        <w:tc>
          <w:tcPr>
            <w:tcW w:w="3652" w:type="dxa"/>
          </w:tcPr>
          <w:p w14:paraId="05A950C1" w14:textId="77777777" w:rsidR="00DE0D35" w:rsidRPr="00296E7F" w:rsidRDefault="00DE0D35" w:rsidP="00401FE7">
            <w:pPr>
              <w:keepNext/>
              <w:rPr>
                <w:rFonts w:eastAsia="Times New Roman"/>
                <w:bCs/>
                <w:sz w:val="20"/>
                <w:szCs w:val="20"/>
                <w:lang w:val="en-US" w:eastAsia="en-GB"/>
              </w:rPr>
            </w:pPr>
            <w:r w:rsidRPr="00296E7F">
              <w:rPr>
                <w:rFonts w:eastAsia="Times New Roman"/>
                <w:bCs/>
                <w:sz w:val="20"/>
                <w:szCs w:val="20"/>
                <w:lang w:val="en-US" w:eastAsia="en-GB"/>
              </w:rPr>
              <w:t xml:space="preserve">Difference in proportions </w:t>
            </w:r>
            <w:r w:rsidRPr="00296E7F">
              <w:rPr>
                <w:rFonts w:eastAsia="Times New Roman"/>
                <w:bCs/>
                <w:sz w:val="20"/>
                <w:szCs w:val="20"/>
                <w:lang w:val="en-US" w:eastAsia="en-GB"/>
              </w:rPr>
              <w:br/>
              <w:t>(95% CI), lesinurad versus placebo</w:t>
            </w:r>
          </w:p>
        </w:tc>
        <w:tc>
          <w:tcPr>
            <w:tcW w:w="3260" w:type="dxa"/>
          </w:tcPr>
          <w:p w14:paraId="4B8BC1A5" w14:textId="77777777" w:rsidR="00DE0D35" w:rsidRPr="00401FE7" w:rsidRDefault="00DE0D35" w:rsidP="00401FE7">
            <w:pPr>
              <w:keepNext/>
              <w:jc w:val="center"/>
              <w:rPr>
                <w:rFonts w:eastAsia="Times New Roman"/>
                <w:bCs/>
                <w:sz w:val="20"/>
                <w:szCs w:val="20"/>
                <w:lang w:eastAsia="en-GB"/>
              </w:rPr>
            </w:pPr>
            <w:r w:rsidRPr="00401FE7">
              <w:rPr>
                <w:rFonts w:eastAsia="Times New Roman"/>
                <w:bCs/>
                <w:sz w:val="20"/>
                <w:szCs w:val="20"/>
                <w:lang w:eastAsia="en-GB"/>
              </w:rPr>
              <w:t>0.32 (0.23; 0.41)</w:t>
            </w:r>
          </w:p>
        </w:tc>
        <w:tc>
          <w:tcPr>
            <w:tcW w:w="2268" w:type="dxa"/>
          </w:tcPr>
          <w:p w14:paraId="4B90C65C" w14:textId="77777777" w:rsidR="00DE0D35" w:rsidRPr="00401FE7" w:rsidRDefault="00DE0D35" w:rsidP="00401FE7">
            <w:pPr>
              <w:keepNext/>
              <w:jc w:val="center"/>
              <w:rPr>
                <w:rFonts w:eastAsia="Times New Roman"/>
                <w:bCs/>
                <w:sz w:val="20"/>
                <w:szCs w:val="20"/>
                <w:lang w:eastAsia="en-GB"/>
              </w:rPr>
            </w:pPr>
          </w:p>
        </w:tc>
      </w:tr>
      <w:tr w:rsidR="00DE0D35" w:rsidRPr="00401FE7" w14:paraId="771DC336" w14:textId="77777777" w:rsidTr="0079658A">
        <w:tc>
          <w:tcPr>
            <w:tcW w:w="3652" w:type="dxa"/>
            <w:tcBorders>
              <w:top w:val="single" w:sz="4" w:space="0" w:color="auto"/>
            </w:tcBorders>
          </w:tcPr>
          <w:p w14:paraId="5962226A" w14:textId="77777777" w:rsidR="00DE0D35" w:rsidRPr="00401FE7" w:rsidRDefault="00DE0D35" w:rsidP="00401FE7">
            <w:pPr>
              <w:keepNext/>
              <w:rPr>
                <w:rFonts w:eastAsia="Times New Roman"/>
                <w:bCs/>
                <w:sz w:val="20"/>
                <w:szCs w:val="20"/>
                <w:lang w:eastAsia="en-GB"/>
              </w:rPr>
            </w:pPr>
            <w:r w:rsidRPr="00401FE7">
              <w:rPr>
                <w:rFonts w:eastAsia="Times New Roman"/>
                <w:bCs/>
                <w:sz w:val="20"/>
                <w:szCs w:val="20"/>
                <w:lang w:eastAsia="en-GB"/>
              </w:rPr>
              <w:t>p-value</w:t>
            </w:r>
          </w:p>
        </w:tc>
        <w:tc>
          <w:tcPr>
            <w:tcW w:w="3260" w:type="dxa"/>
            <w:tcBorders>
              <w:top w:val="single" w:sz="4" w:space="0" w:color="auto"/>
            </w:tcBorders>
          </w:tcPr>
          <w:p w14:paraId="24CF29E8" w14:textId="77777777" w:rsidR="00DE0D35" w:rsidRPr="00401FE7" w:rsidRDefault="00DE0D35" w:rsidP="00401FE7">
            <w:pPr>
              <w:keepNext/>
              <w:jc w:val="center"/>
              <w:rPr>
                <w:rFonts w:eastAsia="Times New Roman"/>
                <w:bCs/>
                <w:sz w:val="20"/>
                <w:szCs w:val="20"/>
                <w:lang w:eastAsia="en-GB"/>
              </w:rPr>
            </w:pPr>
            <w:r w:rsidRPr="00401FE7">
              <w:rPr>
                <w:rFonts w:eastAsia="Times New Roman"/>
                <w:bCs/>
                <w:sz w:val="20"/>
                <w:szCs w:val="20"/>
                <w:lang w:eastAsia="en-GB"/>
              </w:rPr>
              <w:t>&lt;0.0001</w:t>
            </w:r>
          </w:p>
        </w:tc>
        <w:tc>
          <w:tcPr>
            <w:tcW w:w="2268" w:type="dxa"/>
            <w:tcBorders>
              <w:top w:val="single" w:sz="4" w:space="0" w:color="auto"/>
            </w:tcBorders>
          </w:tcPr>
          <w:p w14:paraId="3A876440" w14:textId="77777777" w:rsidR="00DE0D35" w:rsidRPr="00401FE7" w:rsidRDefault="00DE0D35" w:rsidP="00401FE7">
            <w:pPr>
              <w:keepNext/>
              <w:jc w:val="center"/>
              <w:rPr>
                <w:rFonts w:eastAsia="Times New Roman"/>
                <w:bCs/>
                <w:sz w:val="20"/>
                <w:szCs w:val="20"/>
                <w:lang w:eastAsia="en-GB"/>
              </w:rPr>
            </w:pPr>
          </w:p>
        </w:tc>
      </w:tr>
    </w:tbl>
    <w:p w14:paraId="73F62A81" w14:textId="4BD6F843" w:rsidR="00DE0D35" w:rsidRPr="00296E7F" w:rsidRDefault="00DE0D35" w:rsidP="00401FE7">
      <w:pPr>
        <w:keepNext/>
        <w:rPr>
          <w:rFonts w:eastAsia="Times New Roman" w:cstheme="minorHAnsi"/>
          <w:bCs/>
          <w:sz w:val="18"/>
          <w:szCs w:val="18"/>
          <w:lang w:val="en-US" w:eastAsia="en-GB"/>
        </w:rPr>
      </w:pPr>
      <w:r w:rsidRPr="00296E7F">
        <w:rPr>
          <w:rFonts w:eastAsia="Times New Roman" w:cstheme="minorHAnsi"/>
          <w:bCs/>
          <w:sz w:val="18"/>
          <w:szCs w:val="18"/>
          <w:lang w:val="en-US" w:eastAsia="en-GB"/>
        </w:rPr>
        <w:t>†Defined as subjects achieving sUA &lt;6.0 mg/dL by Month 6.</w:t>
      </w:r>
      <w:r w:rsidRPr="00296E7F">
        <w:rPr>
          <w:rFonts w:eastAsia="Times New Roman" w:cstheme="minorHAnsi"/>
          <w:bCs/>
          <w:sz w:val="18"/>
          <w:szCs w:val="18"/>
          <w:lang w:val="en-US" w:eastAsia="en-GB"/>
        </w:rPr>
        <w:br/>
        <w:t>Abbreviations: CI, confidence interval; ITT, intent-to-treat; sUA, serum uric acid</w:t>
      </w:r>
    </w:p>
    <w:p w14:paraId="62814FAA" w14:textId="77777777" w:rsidR="00DE0D35" w:rsidRPr="00296E7F" w:rsidRDefault="00DE0D35" w:rsidP="00401FE7">
      <w:pPr>
        <w:keepNext/>
        <w:rPr>
          <w:rFonts w:eastAsia="Times New Roman" w:cstheme="minorHAnsi"/>
          <w:bCs/>
          <w:sz w:val="18"/>
          <w:szCs w:val="18"/>
          <w:lang w:val="en-US" w:eastAsia="en-GB"/>
        </w:rPr>
      </w:pPr>
    </w:p>
    <w:p w14:paraId="15DA1476" w14:textId="77777777" w:rsidR="00DE0D35" w:rsidRPr="00DE0D35" w:rsidRDefault="00DE0D35" w:rsidP="00E91CEC">
      <w:pPr>
        <w:shd w:val="clear" w:color="auto" w:fill="FFFFFF"/>
        <w:spacing w:line="360" w:lineRule="auto"/>
        <w:jc w:val="both"/>
        <w:rPr>
          <w:rFonts w:cs="Arial"/>
          <w:sz w:val="20"/>
          <w:szCs w:val="20"/>
          <w:lang w:val="en-US"/>
        </w:rPr>
      </w:pPr>
    </w:p>
    <w:p w14:paraId="6A06A955" w14:textId="5B67CD1C" w:rsidR="00E91CEC" w:rsidRPr="00E91CEC" w:rsidRDefault="007F36AF" w:rsidP="000210A2">
      <w:pPr>
        <w:shd w:val="clear" w:color="auto" w:fill="FFFFFF"/>
        <w:spacing w:line="360" w:lineRule="auto"/>
        <w:rPr>
          <w:rFonts w:cs="Arial"/>
          <w:sz w:val="20"/>
          <w:szCs w:val="20"/>
        </w:rPr>
      </w:pPr>
      <w:r>
        <w:rPr>
          <w:rFonts w:cs="Arial"/>
          <w:sz w:val="20"/>
          <w:szCs w:val="20"/>
        </w:rPr>
        <w:t xml:space="preserve">La superiorità di Lesinurad </w:t>
      </w:r>
      <w:r w:rsidR="002F630E">
        <w:rPr>
          <w:rFonts w:cs="Arial"/>
          <w:sz w:val="20"/>
          <w:szCs w:val="20"/>
        </w:rPr>
        <w:t xml:space="preserve">è stata confermata in </w:t>
      </w:r>
      <w:r w:rsidR="002F630E" w:rsidRPr="00E91CEC">
        <w:rPr>
          <w:rFonts w:cs="Arial"/>
          <w:sz w:val="20"/>
          <w:szCs w:val="20"/>
        </w:rPr>
        <w:t>tutto il periodo di studio di 12 mesi</w:t>
      </w:r>
      <w:r w:rsidRPr="007F36AF">
        <w:rPr>
          <w:rFonts w:cs="Arial"/>
          <w:sz w:val="20"/>
          <w:szCs w:val="20"/>
        </w:rPr>
        <w:t xml:space="preserve"> </w:t>
      </w:r>
      <w:r w:rsidRPr="00E91CEC">
        <w:rPr>
          <w:rFonts w:cs="Arial"/>
          <w:sz w:val="20"/>
          <w:szCs w:val="20"/>
        </w:rPr>
        <w:t>(</w:t>
      </w:r>
      <w:hyperlink w:anchor="Figura30" w:history="1">
        <w:r w:rsidRPr="00AD49DF">
          <w:rPr>
            <w:rStyle w:val="Hyperlink"/>
            <w:rFonts w:cs="Arial"/>
            <w:sz w:val="20"/>
            <w:szCs w:val="20"/>
          </w:rPr>
          <w:t xml:space="preserve">Figura </w:t>
        </w:r>
        <w:r>
          <w:rPr>
            <w:rStyle w:val="Hyperlink"/>
            <w:rFonts w:cs="Arial"/>
            <w:sz w:val="20"/>
            <w:szCs w:val="20"/>
          </w:rPr>
          <w:t>27</w:t>
        </w:r>
      </w:hyperlink>
      <w:r w:rsidRPr="00E91CEC">
        <w:rPr>
          <w:rFonts w:cs="Arial"/>
          <w:sz w:val="20"/>
          <w:szCs w:val="20"/>
        </w:rPr>
        <w:t>)</w:t>
      </w:r>
      <w:r>
        <w:rPr>
          <w:rFonts w:cs="Arial"/>
          <w:sz w:val="20"/>
          <w:szCs w:val="20"/>
        </w:rPr>
        <w:t xml:space="preserve"> </w:t>
      </w:r>
      <w:r w:rsidR="00286E34">
        <w:rPr>
          <w:rFonts w:cs="Arial"/>
          <w:sz w:val="20"/>
          <w:szCs w:val="20"/>
        </w:rPr>
        <w:t>(</w:t>
      </w:r>
      <w:r w:rsidR="005E40F5">
        <w:rPr>
          <w:rFonts w:cs="Arial"/>
          <w:color w:val="0000FF"/>
          <w:sz w:val="20"/>
          <w:szCs w:val="20"/>
        </w:rPr>
        <w:t>CSR 302, 2014 (110)</w:t>
      </w:r>
      <w:r w:rsidR="00286E34">
        <w:rPr>
          <w:rFonts w:cs="Arial"/>
          <w:sz w:val="20"/>
          <w:szCs w:val="20"/>
        </w:rPr>
        <w:t>)</w:t>
      </w:r>
    </w:p>
    <w:p w14:paraId="474B5F05" w14:textId="77777777" w:rsidR="00AD49DF" w:rsidRPr="00E91CEC" w:rsidRDefault="00AD49DF" w:rsidP="000210A2">
      <w:pPr>
        <w:shd w:val="clear" w:color="auto" w:fill="FFFFFF"/>
        <w:spacing w:line="360" w:lineRule="auto"/>
        <w:rPr>
          <w:rFonts w:cs="Arial"/>
          <w:sz w:val="20"/>
          <w:szCs w:val="20"/>
        </w:rPr>
      </w:pPr>
    </w:p>
    <w:p w14:paraId="0DEAFFFC" w14:textId="299D7818" w:rsidR="006109B4" w:rsidRPr="006109B4" w:rsidRDefault="00AD49DF" w:rsidP="006109B4">
      <w:pPr>
        <w:pStyle w:val="Caption"/>
        <w:rPr>
          <w:rFonts w:asciiTheme="minorHAnsi" w:hAnsiTheme="minorHAnsi" w:cstheme="minorHAnsi"/>
          <w:lang w:val="it-IT"/>
        </w:rPr>
      </w:pPr>
      <w:bookmarkStart w:id="116" w:name="Figura30"/>
      <w:bookmarkStart w:id="117" w:name="_Toc473186922"/>
      <w:bookmarkEnd w:id="116"/>
      <w:r w:rsidRPr="00AD49DF">
        <w:rPr>
          <w:rFonts w:asciiTheme="minorHAnsi" w:hAnsiTheme="minorHAnsi" w:cstheme="minorHAnsi"/>
          <w:lang w:val="it-IT"/>
        </w:rPr>
        <w:t xml:space="preserve">Figura </w:t>
      </w:r>
      <w:r w:rsidRPr="00AD49DF">
        <w:rPr>
          <w:rFonts w:asciiTheme="minorHAnsi" w:hAnsiTheme="minorHAnsi" w:cstheme="minorHAnsi"/>
        </w:rPr>
        <w:fldChar w:fldCharType="begin"/>
      </w:r>
      <w:r w:rsidRPr="00AD49DF">
        <w:rPr>
          <w:rFonts w:asciiTheme="minorHAnsi" w:hAnsiTheme="minorHAnsi" w:cstheme="minorHAnsi"/>
          <w:lang w:val="it-IT"/>
        </w:rPr>
        <w:instrText xml:space="preserve"> SEQ Figura \* ARABIC </w:instrText>
      </w:r>
      <w:r w:rsidRPr="00AD49DF">
        <w:rPr>
          <w:rFonts w:asciiTheme="minorHAnsi" w:hAnsiTheme="minorHAnsi" w:cstheme="minorHAnsi"/>
        </w:rPr>
        <w:fldChar w:fldCharType="separate"/>
      </w:r>
      <w:r w:rsidR="00A1679C">
        <w:rPr>
          <w:rFonts w:asciiTheme="minorHAnsi" w:hAnsiTheme="minorHAnsi" w:cstheme="minorHAnsi"/>
          <w:noProof/>
          <w:lang w:val="it-IT"/>
        </w:rPr>
        <w:t>27</w:t>
      </w:r>
      <w:r w:rsidRPr="00AD49DF">
        <w:rPr>
          <w:rFonts w:asciiTheme="minorHAnsi" w:hAnsiTheme="minorHAnsi" w:cstheme="minorHAnsi"/>
        </w:rPr>
        <w:fldChar w:fldCharType="end"/>
      </w:r>
      <w:r w:rsidRPr="00AD49DF">
        <w:rPr>
          <w:rFonts w:asciiTheme="minorHAnsi" w:hAnsiTheme="minorHAnsi" w:cstheme="minorHAnsi"/>
          <w:lang w:val="it-IT"/>
        </w:rPr>
        <w:t xml:space="preserve"> - </w:t>
      </w:r>
      <w:r w:rsidR="006109B4" w:rsidRPr="006109B4">
        <w:rPr>
          <w:rFonts w:asciiTheme="minorHAnsi" w:hAnsiTheme="minorHAnsi" w:cstheme="minorHAnsi"/>
          <w:lang w:val="it-IT"/>
        </w:rPr>
        <w:t>Porzione di soggetti con sUA &lt; 6mg/dl (analisi NRI, popolazione ITT) – studio CLEAR-</w:t>
      </w:r>
      <w:r w:rsidR="006109B4">
        <w:rPr>
          <w:rFonts w:asciiTheme="minorHAnsi" w:hAnsiTheme="minorHAnsi" w:cstheme="minorHAnsi"/>
          <w:lang w:val="it-IT"/>
        </w:rPr>
        <w:t>2</w:t>
      </w:r>
      <w:r w:rsidR="006109B4" w:rsidRPr="006109B4">
        <w:rPr>
          <w:rFonts w:asciiTheme="minorHAnsi" w:hAnsiTheme="minorHAnsi" w:cstheme="minorHAnsi"/>
          <w:lang w:val="it-IT"/>
        </w:rPr>
        <w:t xml:space="preserve"> (adattato da CSR 30</w:t>
      </w:r>
      <w:r w:rsidR="006109B4">
        <w:rPr>
          <w:rFonts w:asciiTheme="minorHAnsi" w:hAnsiTheme="minorHAnsi" w:cstheme="minorHAnsi"/>
          <w:lang w:val="it-IT"/>
        </w:rPr>
        <w:t>2</w:t>
      </w:r>
      <w:r w:rsidR="006109B4" w:rsidRPr="006109B4">
        <w:rPr>
          <w:rFonts w:asciiTheme="minorHAnsi" w:hAnsiTheme="minorHAnsi" w:cstheme="minorHAnsi"/>
          <w:lang w:val="it-IT"/>
        </w:rPr>
        <w:t>, 2014)</w:t>
      </w:r>
      <w:bookmarkEnd w:id="117"/>
    </w:p>
    <w:p w14:paraId="736329F8" w14:textId="0F8A1F16" w:rsidR="00E91CEC" w:rsidRDefault="00E91CEC" w:rsidP="00E91CEC">
      <w:pPr>
        <w:shd w:val="clear" w:color="auto" w:fill="FFFFFF"/>
        <w:spacing w:line="360" w:lineRule="auto"/>
        <w:jc w:val="both"/>
        <w:rPr>
          <w:rFonts w:cs="Arial"/>
          <w:sz w:val="20"/>
          <w:szCs w:val="20"/>
        </w:rPr>
      </w:pPr>
    </w:p>
    <w:p w14:paraId="0068469F" w14:textId="5061066B" w:rsidR="002F630E" w:rsidRDefault="002A764A" w:rsidP="00E91CEC">
      <w:pPr>
        <w:shd w:val="clear" w:color="auto" w:fill="FFFFFF"/>
        <w:spacing w:line="360" w:lineRule="auto"/>
        <w:jc w:val="both"/>
        <w:rPr>
          <w:rFonts w:cs="Arial"/>
          <w:sz w:val="20"/>
          <w:szCs w:val="20"/>
        </w:rPr>
      </w:pPr>
      <w:r>
        <w:rPr>
          <w:rFonts w:cs="Arial"/>
          <w:noProof/>
          <w:sz w:val="20"/>
          <w:szCs w:val="20"/>
          <w:lang w:val="en-GB" w:eastAsia="en-GB"/>
        </w:rPr>
        <w:drawing>
          <wp:inline distT="0" distB="0" distL="0" distR="0" wp14:anchorId="0B4EE87A" wp14:editId="04ACBCA5">
            <wp:extent cx="5765800" cy="3001513"/>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1835" cy="3004655"/>
                    </a:xfrm>
                    <a:prstGeom prst="rect">
                      <a:avLst/>
                    </a:prstGeom>
                    <a:noFill/>
                  </pic:spPr>
                </pic:pic>
              </a:graphicData>
            </a:graphic>
          </wp:inline>
        </w:drawing>
      </w:r>
    </w:p>
    <w:p w14:paraId="71CDC3E8" w14:textId="77777777" w:rsidR="00AA147E" w:rsidRDefault="00AA147E" w:rsidP="000210A2">
      <w:pPr>
        <w:shd w:val="clear" w:color="auto" w:fill="FFFFFF"/>
        <w:spacing w:line="360" w:lineRule="auto"/>
        <w:rPr>
          <w:rFonts w:cs="Arial"/>
          <w:sz w:val="20"/>
          <w:szCs w:val="20"/>
        </w:rPr>
      </w:pPr>
    </w:p>
    <w:p w14:paraId="2F6D13B9" w14:textId="1E77B38E" w:rsidR="00A0147B" w:rsidRDefault="006109B4" w:rsidP="000210A2">
      <w:pPr>
        <w:shd w:val="clear" w:color="auto" w:fill="FFFFFF"/>
        <w:spacing w:line="360" w:lineRule="auto"/>
        <w:rPr>
          <w:rFonts w:cs="Arial"/>
          <w:sz w:val="20"/>
          <w:szCs w:val="20"/>
        </w:rPr>
      </w:pPr>
      <w:r w:rsidRPr="00E91CEC">
        <w:rPr>
          <w:rFonts w:cs="Arial"/>
          <w:sz w:val="20"/>
          <w:szCs w:val="20"/>
        </w:rPr>
        <w:t xml:space="preserve">L'effetto di riduzione dell’uricemia è stato massimo dopo il primo mese </w:t>
      </w:r>
      <w:r>
        <w:rPr>
          <w:rFonts w:cs="Arial"/>
          <w:sz w:val="20"/>
          <w:szCs w:val="20"/>
        </w:rPr>
        <w:t xml:space="preserve">(-17,5% vs -2,3%, p &lt; 0,0001) </w:t>
      </w:r>
      <w:r w:rsidRPr="00E91CEC">
        <w:rPr>
          <w:rFonts w:cs="Arial"/>
          <w:sz w:val="20"/>
          <w:szCs w:val="20"/>
        </w:rPr>
        <w:t xml:space="preserve">e si </w:t>
      </w:r>
      <w:r>
        <w:rPr>
          <w:rFonts w:cs="Arial"/>
          <w:sz w:val="20"/>
          <w:szCs w:val="20"/>
        </w:rPr>
        <w:t xml:space="preserve"> è mantenuto </w:t>
      </w:r>
      <w:r w:rsidRPr="00E91CEC">
        <w:rPr>
          <w:rFonts w:cs="Arial"/>
          <w:sz w:val="20"/>
          <w:szCs w:val="20"/>
        </w:rPr>
        <w:t xml:space="preserve"> durante tutto il periodo di studio di 12 mesi</w:t>
      </w:r>
      <w:r>
        <w:rPr>
          <w:rFonts w:cs="Arial"/>
          <w:sz w:val="20"/>
          <w:szCs w:val="20"/>
        </w:rPr>
        <w:t xml:space="preserve"> (</w:t>
      </w:r>
      <w:r w:rsidRPr="00AA147E">
        <w:rPr>
          <w:rFonts w:cs="Arial"/>
          <w:b/>
          <w:sz w:val="20"/>
          <w:szCs w:val="20"/>
        </w:rPr>
        <w:t>effetto rapido e sostenuto nel tempo</w:t>
      </w:r>
      <w:r>
        <w:rPr>
          <w:rFonts w:cs="Arial"/>
          <w:sz w:val="20"/>
          <w:szCs w:val="20"/>
        </w:rPr>
        <w:t>)</w:t>
      </w:r>
      <w:r w:rsidRPr="00333F2F">
        <w:rPr>
          <w:rFonts w:cs="Arial"/>
          <w:sz w:val="20"/>
          <w:szCs w:val="20"/>
        </w:rPr>
        <w:t xml:space="preserve"> </w:t>
      </w:r>
      <w:r>
        <w:rPr>
          <w:rFonts w:cs="Arial"/>
          <w:sz w:val="20"/>
          <w:szCs w:val="20"/>
        </w:rPr>
        <w:t>(</w:t>
      </w:r>
      <w:r w:rsidR="0087651E">
        <w:rPr>
          <w:rFonts w:cs="Arial"/>
          <w:color w:val="0000FF"/>
          <w:sz w:val="20"/>
          <w:szCs w:val="20"/>
        </w:rPr>
        <w:t>CSR 302, 2014 (110</w:t>
      </w:r>
      <w:r w:rsidR="008E6BDD">
        <w:rPr>
          <w:rFonts w:cs="Arial"/>
          <w:color w:val="0000FF"/>
          <w:sz w:val="20"/>
          <w:szCs w:val="20"/>
        </w:rPr>
        <w:t>)</w:t>
      </w:r>
      <w:r>
        <w:rPr>
          <w:rFonts w:cs="Arial"/>
          <w:sz w:val="20"/>
          <w:szCs w:val="20"/>
        </w:rPr>
        <w:t>)</w:t>
      </w:r>
      <w:r w:rsidRPr="00E91CEC">
        <w:rPr>
          <w:rFonts w:cs="Arial"/>
          <w:sz w:val="20"/>
          <w:szCs w:val="20"/>
        </w:rPr>
        <w:t>.</w:t>
      </w:r>
      <w:r>
        <w:rPr>
          <w:rFonts w:cs="Arial"/>
          <w:sz w:val="20"/>
          <w:szCs w:val="20"/>
        </w:rPr>
        <w:t xml:space="preserve"> </w:t>
      </w:r>
      <w:r w:rsidRPr="00E91CEC">
        <w:rPr>
          <w:rFonts w:cs="Arial"/>
          <w:sz w:val="20"/>
          <w:szCs w:val="20"/>
        </w:rPr>
        <w:t>Le variazioni dei livelli</w:t>
      </w:r>
      <w:r>
        <w:rPr>
          <w:rFonts w:cs="Arial"/>
          <w:sz w:val="20"/>
          <w:szCs w:val="20"/>
        </w:rPr>
        <w:t xml:space="preserve"> medi</w:t>
      </w:r>
      <w:r w:rsidRPr="00E91CEC">
        <w:rPr>
          <w:rFonts w:cs="Arial"/>
          <w:sz w:val="20"/>
          <w:szCs w:val="20"/>
        </w:rPr>
        <w:t xml:space="preserve"> di acido urico ottenute nel gruppo lesinurad 200 mg in associazione con allopurinolo erano significativamente superiori a quelle ottenute nel gruppo placebo e allopurinolo, in tutti i punti temporali dell’analisi (p &lt;0,0001 per tutti i confronti) </w:t>
      </w:r>
      <w:r>
        <w:rPr>
          <w:rFonts w:cs="Arial"/>
          <w:sz w:val="20"/>
          <w:szCs w:val="20"/>
        </w:rPr>
        <w:t>(</w:t>
      </w:r>
      <w:r w:rsidR="00C233C9">
        <w:rPr>
          <w:rFonts w:cs="Arial"/>
          <w:color w:val="0000FF"/>
          <w:sz w:val="20"/>
          <w:szCs w:val="20"/>
        </w:rPr>
        <w:t>Bardin, 2016 (139)</w:t>
      </w:r>
      <w:r>
        <w:rPr>
          <w:rFonts w:cs="Arial"/>
          <w:sz w:val="20"/>
          <w:szCs w:val="20"/>
        </w:rPr>
        <w:t xml:space="preserve">). </w:t>
      </w:r>
      <w:r w:rsidR="00A0147B">
        <w:rPr>
          <w:rFonts w:cs="Arial"/>
          <w:sz w:val="20"/>
          <w:szCs w:val="20"/>
        </w:rPr>
        <w:t xml:space="preserve">Durante i 12 mesi di trattamento, lesinurad 200 mg + allopurinolo ha determinato una riduzione dei livelli di acido urico rispetto al basale da un minimo di </w:t>
      </w:r>
      <w:r w:rsidR="00A0147B" w:rsidRPr="00A0147B">
        <w:rPr>
          <w:rFonts w:cs="Arial"/>
          <w:b/>
          <w:sz w:val="20"/>
          <w:szCs w:val="20"/>
        </w:rPr>
        <w:t>-15</w:t>
      </w:r>
      <w:r w:rsidR="00214406">
        <w:rPr>
          <w:rFonts w:cs="Arial"/>
          <w:b/>
          <w:sz w:val="20"/>
          <w:szCs w:val="20"/>
        </w:rPr>
        <w:t xml:space="preserve">,4 </w:t>
      </w:r>
      <w:r w:rsidR="00A0147B" w:rsidRPr="00A0147B">
        <w:rPr>
          <w:rFonts w:cs="Arial"/>
          <w:b/>
          <w:sz w:val="20"/>
          <w:szCs w:val="20"/>
        </w:rPr>
        <w:t>%</w:t>
      </w:r>
      <w:r w:rsidR="00A0147B">
        <w:rPr>
          <w:rFonts w:cs="Arial"/>
          <w:sz w:val="20"/>
          <w:szCs w:val="20"/>
        </w:rPr>
        <w:t xml:space="preserve"> ad un massimo di </w:t>
      </w:r>
      <w:r w:rsidR="00A0147B" w:rsidRPr="00A0147B">
        <w:rPr>
          <w:rFonts w:cs="Arial"/>
          <w:b/>
          <w:sz w:val="20"/>
          <w:szCs w:val="20"/>
        </w:rPr>
        <w:t>-1</w:t>
      </w:r>
      <w:r w:rsidR="00214406">
        <w:rPr>
          <w:rFonts w:cs="Arial"/>
          <w:b/>
          <w:sz w:val="20"/>
          <w:szCs w:val="20"/>
        </w:rPr>
        <w:t>8,</w:t>
      </w:r>
      <w:r w:rsidR="00A0147B" w:rsidRPr="00A0147B">
        <w:rPr>
          <w:rFonts w:cs="Arial"/>
          <w:b/>
          <w:sz w:val="20"/>
          <w:szCs w:val="20"/>
        </w:rPr>
        <w:t>9%</w:t>
      </w:r>
      <w:r w:rsidR="00214406">
        <w:rPr>
          <w:rFonts w:cs="Arial"/>
          <w:b/>
          <w:sz w:val="20"/>
          <w:szCs w:val="20"/>
        </w:rPr>
        <w:t xml:space="preserve">, </w:t>
      </w:r>
      <w:r w:rsidR="00214406" w:rsidRPr="00B61B01">
        <w:rPr>
          <w:rFonts w:cs="Arial"/>
          <w:sz w:val="20"/>
          <w:szCs w:val="20"/>
        </w:rPr>
        <w:t xml:space="preserve">rispetto alla riduzione minima osservata con </w:t>
      </w:r>
      <w:r w:rsidR="00286E34">
        <w:rPr>
          <w:rFonts w:cs="Arial"/>
          <w:sz w:val="20"/>
          <w:szCs w:val="20"/>
        </w:rPr>
        <w:t>a</w:t>
      </w:r>
      <w:r w:rsidR="00214406" w:rsidRPr="00B61B01">
        <w:rPr>
          <w:rFonts w:cs="Arial"/>
          <w:sz w:val="20"/>
          <w:szCs w:val="20"/>
        </w:rPr>
        <w:t>llopurinolo (da un minimo di -0.</w:t>
      </w:r>
      <w:r w:rsidR="00214406">
        <w:rPr>
          <w:rFonts w:cs="Arial"/>
          <w:sz w:val="20"/>
          <w:szCs w:val="20"/>
        </w:rPr>
        <w:t>1</w:t>
      </w:r>
      <w:r w:rsidR="00214406" w:rsidRPr="00B61B01">
        <w:rPr>
          <w:rFonts w:cs="Arial"/>
          <w:sz w:val="20"/>
          <w:szCs w:val="20"/>
        </w:rPr>
        <w:t xml:space="preserve"> % a un massimo di -</w:t>
      </w:r>
      <w:r w:rsidR="00214406">
        <w:rPr>
          <w:rFonts w:cs="Arial"/>
          <w:sz w:val="20"/>
          <w:szCs w:val="20"/>
        </w:rPr>
        <w:t>2,26</w:t>
      </w:r>
      <w:r w:rsidR="00214406" w:rsidRPr="00B61B01">
        <w:rPr>
          <w:rFonts w:cs="Arial"/>
          <w:sz w:val="20"/>
          <w:szCs w:val="20"/>
        </w:rPr>
        <w:t xml:space="preserve"> %)</w:t>
      </w:r>
      <w:r w:rsidR="00214406" w:rsidRPr="00B61B01">
        <w:rPr>
          <w:rFonts w:cs="Arial"/>
          <w:b/>
          <w:sz w:val="20"/>
          <w:szCs w:val="20"/>
        </w:rPr>
        <w:t xml:space="preserve"> </w:t>
      </w:r>
      <w:r w:rsidR="00214406">
        <w:rPr>
          <w:rFonts w:cs="Arial"/>
          <w:sz w:val="20"/>
          <w:szCs w:val="20"/>
        </w:rPr>
        <w:t xml:space="preserve"> </w:t>
      </w:r>
      <w:r w:rsidR="00A0147B">
        <w:rPr>
          <w:rFonts w:cs="Arial"/>
          <w:sz w:val="20"/>
          <w:szCs w:val="20"/>
        </w:rPr>
        <w:t xml:space="preserve"> (</w:t>
      </w:r>
      <w:r w:rsidR="0087651E">
        <w:rPr>
          <w:rFonts w:cs="Arial"/>
          <w:color w:val="0000FF"/>
          <w:sz w:val="20"/>
          <w:szCs w:val="20"/>
        </w:rPr>
        <w:t>CSR 302, 2014 (110</w:t>
      </w:r>
      <w:r w:rsidR="008E6BDD">
        <w:rPr>
          <w:rFonts w:cs="Arial"/>
          <w:color w:val="0000FF"/>
          <w:sz w:val="20"/>
          <w:szCs w:val="20"/>
        </w:rPr>
        <w:t>)</w:t>
      </w:r>
      <w:r w:rsidR="00A0147B">
        <w:rPr>
          <w:rFonts w:cs="Arial"/>
          <w:sz w:val="20"/>
          <w:szCs w:val="20"/>
        </w:rPr>
        <w:t>).</w:t>
      </w:r>
    </w:p>
    <w:p w14:paraId="12BB838B" w14:textId="5AD74575" w:rsidR="005342D3" w:rsidRPr="005342D3" w:rsidRDefault="005342D3" w:rsidP="000210A2">
      <w:pPr>
        <w:shd w:val="clear" w:color="auto" w:fill="FFFFFF"/>
        <w:spacing w:line="360" w:lineRule="auto"/>
        <w:rPr>
          <w:rFonts w:cs="Arial"/>
          <w:sz w:val="20"/>
          <w:szCs w:val="20"/>
        </w:rPr>
      </w:pPr>
      <w:r w:rsidRPr="005342D3">
        <w:rPr>
          <w:rFonts w:cs="Arial"/>
          <w:sz w:val="20"/>
          <w:szCs w:val="20"/>
        </w:rPr>
        <w:t>Relativamente</w:t>
      </w:r>
      <w:r w:rsidR="008E5B37">
        <w:rPr>
          <w:rFonts w:cs="Arial"/>
          <w:sz w:val="20"/>
          <w:szCs w:val="20"/>
        </w:rPr>
        <w:t xml:space="preserve"> all’</w:t>
      </w:r>
      <w:r w:rsidR="00214406">
        <w:rPr>
          <w:rFonts w:cs="Arial"/>
          <w:sz w:val="20"/>
          <w:szCs w:val="20"/>
        </w:rPr>
        <w:t xml:space="preserve">analisi dei sottogruppi con </w:t>
      </w:r>
      <w:r w:rsidR="008E5B37">
        <w:rPr>
          <w:rFonts w:cs="Arial"/>
          <w:sz w:val="20"/>
          <w:szCs w:val="20"/>
        </w:rPr>
        <w:t xml:space="preserve">abbassamento </w:t>
      </w:r>
      <w:r w:rsidR="00214406">
        <w:rPr>
          <w:rFonts w:cs="Arial"/>
          <w:sz w:val="20"/>
          <w:szCs w:val="20"/>
        </w:rPr>
        <w:t xml:space="preserve">dei </w:t>
      </w:r>
      <w:r w:rsidR="008E5B37">
        <w:rPr>
          <w:rFonts w:cs="Arial"/>
          <w:sz w:val="20"/>
          <w:szCs w:val="20"/>
        </w:rPr>
        <w:t xml:space="preserve">livelli di </w:t>
      </w:r>
      <w:r w:rsidR="005848A1">
        <w:rPr>
          <w:rFonts w:cs="Arial"/>
          <w:sz w:val="20"/>
          <w:szCs w:val="20"/>
        </w:rPr>
        <w:t>sUA</w:t>
      </w:r>
      <w:r w:rsidRPr="005342D3">
        <w:rPr>
          <w:rFonts w:cs="Arial"/>
          <w:sz w:val="20"/>
          <w:szCs w:val="20"/>
        </w:rPr>
        <w:t xml:space="preserve"> &lt;6.0, &lt;5.0 e &lt;4.0 mg/dl, </w:t>
      </w:r>
      <w:r w:rsidRPr="00A71F39">
        <w:rPr>
          <w:rFonts w:cs="Arial"/>
          <w:sz w:val="20"/>
          <w:szCs w:val="20"/>
        </w:rPr>
        <w:t xml:space="preserve">la percentuale di pazienti rispondenti al trattamento è stata </w:t>
      </w:r>
      <w:r>
        <w:rPr>
          <w:rFonts w:cs="Arial"/>
          <w:sz w:val="20"/>
          <w:szCs w:val="20"/>
        </w:rPr>
        <w:t xml:space="preserve">ad ogni visita </w:t>
      </w:r>
      <w:r w:rsidRPr="00A71F39">
        <w:rPr>
          <w:rFonts w:cs="Arial"/>
          <w:sz w:val="20"/>
          <w:szCs w:val="20"/>
        </w:rPr>
        <w:t>significativamente maggiore nei soggetti trattati con lesinurad 200 mg</w:t>
      </w:r>
      <w:r w:rsidR="006F625A">
        <w:rPr>
          <w:rFonts w:cs="Arial"/>
          <w:sz w:val="20"/>
          <w:szCs w:val="20"/>
        </w:rPr>
        <w:t xml:space="preserve"> + allopurinolo</w:t>
      </w:r>
      <w:r w:rsidRPr="00A71F39">
        <w:rPr>
          <w:rFonts w:cs="Arial"/>
          <w:sz w:val="20"/>
          <w:szCs w:val="20"/>
        </w:rPr>
        <w:t xml:space="preserve"> </w:t>
      </w:r>
      <w:r>
        <w:rPr>
          <w:rFonts w:cs="Arial"/>
          <w:sz w:val="20"/>
          <w:szCs w:val="20"/>
        </w:rPr>
        <w:t xml:space="preserve">rispetto a quella nei soggetti trattati con allopurinolo in monoterapia </w:t>
      </w:r>
      <w:r w:rsidRPr="005342D3">
        <w:rPr>
          <w:rFonts w:cs="Arial"/>
          <w:sz w:val="20"/>
          <w:szCs w:val="20"/>
        </w:rPr>
        <w:t xml:space="preserve">(p&lt;0.01 for lesinurad 200 mg </w:t>
      </w:r>
      <w:r>
        <w:rPr>
          <w:rFonts w:cs="Arial"/>
          <w:sz w:val="20"/>
          <w:szCs w:val="20"/>
        </w:rPr>
        <w:t xml:space="preserve">rispetto a allopurinolo in monoterapia  per livelli di </w:t>
      </w:r>
      <w:r w:rsidR="005848A1">
        <w:rPr>
          <w:rFonts w:cs="Arial"/>
          <w:sz w:val="20"/>
          <w:szCs w:val="20"/>
        </w:rPr>
        <w:t>SUA</w:t>
      </w:r>
      <w:r w:rsidRPr="005342D3">
        <w:rPr>
          <w:rFonts w:cs="Arial"/>
          <w:sz w:val="20"/>
          <w:szCs w:val="20"/>
        </w:rPr>
        <w:t xml:space="preserve"> &lt;4.0 m</w:t>
      </w:r>
      <w:r w:rsidR="008E5B37">
        <w:rPr>
          <w:rFonts w:cs="Arial"/>
          <w:sz w:val="20"/>
          <w:szCs w:val="20"/>
        </w:rPr>
        <w:t>g</w:t>
      </w:r>
      <w:r w:rsidRPr="005342D3">
        <w:rPr>
          <w:rFonts w:cs="Arial"/>
          <w:sz w:val="20"/>
          <w:szCs w:val="20"/>
        </w:rPr>
        <w:t>/d</w:t>
      </w:r>
      <w:r w:rsidR="008E5B37">
        <w:rPr>
          <w:rFonts w:cs="Arial"/>
          <w:sz w:val="20"/>
          <w:szCs w:val="20"/>
        </w:rPr>
        <w:t>l</w:t>
      </w:r>
      <w:r w:rsidR="00333F2F">
        <w:rPr>
          <w:rFonts w:cs="Arial"/>
          <w:sz w:val="20"/>
          <w:szCs w:val="20"/>
        </w:rPr>
        <w:t xml:space="preserve"> al mese 1</w:t>
      </w:r>
      <w:r w:rsidRPr="005342D3">
        <w:rPr>
          <w:rFonts w:cs="Arial"/>
          <w:sz w:val="20"/>
          <w:szCs w:val="20"/>
        </w:rPr>
        <w:t xml:space="preserve">; p&lt;0.0001 </w:t>
      </w:r>
      <w:r>
        <w:rPr>
          <w:rFonts w:cs="Arial"/>
          <w:sz w:val="20"/>
          <w:szCs w:val="20"/>
        </w:rPr>
        <w:t>per tutti gli altri confronti</w:t>
      </w:r>
      <w:r w:rsidRPr="005342D3">
        <w:rPr>
          <w:rFonts w:cs="Arial"/>
          <w:sz w:val="20"/>
          <w:szCs w:val="20"/>
        </w:rPr>
        <w:t>)</w:t>
      </w:r>
      <w:r w:rsidR="00286E34" w:rsidRPr="00286E34">
        <w:rPr>
          <w:rFonts w:cs="Arial"/>
          <w:sz w:val="20"/>
          <w:szCs w:val="20"/>
        </w:rPr>
        <w:t xml:space="preserve"> </w:t>
      </w:r>
      <w:r w:rsidR="00286E34">
        <w:rPr>
          <w:rFonts w:cs="Arial"/>
          <w:sz w:val="20"/>
          <w:szCs w:val="20"/>
        </w:rPr>
        <w:t>(</w:t>
      </w:r>
      <w:r w:rsidR="00C233C9">
        <w:rPr>
          <w:rFonts w:cs="Arial"/>
          <w:color w:val="0000FF"/>
          <w:sz w:val="20"/>
          <w:szCs w:val="20"/>
        </w:rPr>
        <w:t>Bardin, 2016 (139)</w:t>
      </w:r>
      <w:r w:rsidR="00286E34">
        <w:rPr>
          <w:rFonts w:cs="Arial"/>
          <w:sz w:val="20"/>
          <w:szCs w:val="20"/>
        </w:rPr>
        <w:t>).</w:t>
      </w:r>
    </w:p>
    <w:p w14:paraId="4F013EF2" w14:textId="33A5C8A4" w:rsidR="003370C5" w:rsidRPr="00E91CEC" w:rsidRDefault="003370C5" w:rsidP="000210A2">
      <w:pPr>
        <w:shd w:val="clear" w:color="auto" w:fill="FFFFFF"/>
        <w:spacing w:line="360" w:lineRule="auto"/>
        <w:rPr>
          <w:rFonts w:cs="Arial"/>
          <w:sz w:val="20"/>
          <w:szCs w:val="20"/>
        </w:rPr>
      </w:pPr>
      <w:r w:rsidRPr="00AA147E">
        <w:rPr>
          <w:rFonts w:cs="Arial"/>
          <w:b/>
          <w:sz w:val="20"/>
          <w:szCs w:val="20"/>
        </w:rPr>
        <w:t>L'effetto di riduzione dell’uricemia è risultato coerente nei diversi sottogruppi analizzati, tra cui i soggetti con insufficienza renale moderata (</w:t>
      </w:r>
      <w:hyperlink w:anchor="Figura23" w:history="1">
        <w:r w:rsidRPr="00AA147E">
          <w:rPr>
            <w:rStyle w:val="Hyperlink"/>
            <w:rFonts w:cs="Arial"/>
            <w:b/>
            <w:sz w:val="20"/>
            <w:szCs w:val="20"/>
          </w:rPr>
          <w:t xml:space="preserve">Figura </w:t>
        </w:r>
        <w:r w:rsidR="00D47C76" w:rsidRPr="00AA147E">
          <w:rPr>
            <w:rStyle w:val="Hyperlink"/>
            <w:rFonts w:cs="Arial"/>
            <w:b/>
            <w:sz w:val="20"/>
            <w:szCs w:val="20"/>
          </w:rPr>
          <w:t>23</w:t>
        </w:r>
      </w:hyperlink>
      <w:r w:rsidRPr="00AA147E">
        <w:rPr>
          <w:rFonts w:cs="Arial"/>
          <w:b/>
          <w:sz w:val="20"/>
          <w:szCs w:val="20"/>
        </w:rPr>
        <w:t>), pazienti trattati con aspirina</w:t>
      </w:r>
      <w:r w:rsidR="00D47C76" w:rsidRPr="00AA147E">
        <w:rPr>
          <w:rFonts w:cs="Arial"/>
          <w:b/>
          <w:sz w:val="20"/>
          <w:szCs w:val="20"/>
        </w:rPr>
        <w:t xml:space="preserve"> e</w:t>
      </w:r>
      <w:r w:rsidRPr="00AA147E">
        <w:rPr>
          <w:rFonts w:cs="Arial"/>
          <w:b/>
          <w:sz w:val="20"/>
          <w:szCs w:val="20"/>
        </w:rPr>
        <w:t xml:space="preserve"> pazienti trattati con diuretici tiazidici (</w:t>
      </w:r>
      <w:hyperlink w:anchor="Paragrafo44" w:history="1">
        <w:r w:rsidRPr="00AA147E">
          <w:rPr>
            <w:rStyle w:val="Hyperlink"/>
            <w:rFonts w:cs="Arial"/>
            <w:b/>
            <w:sz w:val="20"/>
            <w:szCs w:val="20"/>
          </w:rPr>
          <w:t>Paragrafo 4.4</w:t>
        </w:r>
      </w:hyperlink>
      <w:r w:rsidRPr="00AA147E">
        <w:rPr>
          <w:rFonts w:cs="Arial"/>
          <w:b/>
          <w:sz w:val="20"/>
          <w:szCs w:val="20"/>
        </w:rPr>
        <w:t>)</w:t>
      </w:r>
      <w:r w:rsidR="00CD1528" w:rsidRPr="00CD1528">
        <w:rPr>
          <w:rFonts w:cs="Arial"/>
          <w:sz w:val="20"/>
          <w:szCs w:val="20"/>
        </w:rPr>
        <w:t xml:space="preserve"> </w:t>
      </w:r>
      <w:r w:rsidR="00286E34">
        <w:rPr>
          <w:rFonts w:cs="Arial"/>
          <w:sz w:val="20"/>
          <w:szCs w:val="20"/>
        </w:rPr>
        <w:t>(</w:t>
      </w:r>
      <w:r w:rsidR="00C233C9">
        <w:rPr>
          <w:rFonts w:cs="Arial"/>
          <w:color w:val="0000FF"/>
          <w:sz w:val="20"/>
          <w:szCs w:val="20"/>
        </w:rPr>
        <w:t>Bardin, 2016 (139)</w:t>
      </w:r>
      <w:r w:rsidR="00286E34">
        <w:rPr>
          <w:rFonts w:cs="Arial"/>
          <w:sz w:val="20"/>
          <w:szCs w:val="20"/>
        </w:rPr>
        <w:t>).</w:t>
      </w:r>
    </w:p>
    <w:p w14:paraId="15254D92" w14:textId="7CC3F836" w:rsidR="00E91CEC" w:rsidRDefault="00E91CEC" w:rsidP="000210A2">
      <w:pPr>
        <w:shd w:val="clear" w:color="auto" w:fill="FFFFFF"/>
        <w:spacing w:line="360" w:lineRule="auto"/>
        <w:rPr>
          <w:rFonts w:cs="Arial"/>
          <w:sz w:val="20"/>
          <w:szCs w:val="20"/>
        </w:rPr>
      </w:pPr>
      <w:r>
        <w:rPr>
          <w:rFonts w:cs="Arial"/>
          <w:sz w:val="20"/>
          <w:szCs w:val="20"/>
        </w:rPr>
        <w:t xml:space="preserve">Come per lo studio CLEAR 1, </w:t>
      </w:r>
      <w:r w:rsidRPr="00AA147E">
        <w:rPr>
          <w:rFonts w:cs="Arial"/>
          <w:b/>
          <w:sz w:val="20"/>
          <w:szCs w:val="20"/>
        </w:rPr>
        <w:t xml:space="preserve">questi significativi miglioramenti sono stati confermati dai risultati dell’analisi POOLED dei due studi </w:t>
      </w:r>
      <w:r w:rsidR="00EC4166" w:rsidRPr="00AA147E">
        <w:rPr>
          <w:rFonts w:cs="Arial"/>
          <w:b/>
          <w:sz w:val="20"/>
          <w:szCs w:val="20"/>
        </w:rPr>
        <w:t>(</w:t>
      </w:r>
      <w:hyperlink w:anchor="Paragrafo528" w:history="1">
        <w:r w:rsidR="00EC4166" w:rsidRPr="00AA147E">
          <w:rPr>
            <w:rStyle w:val="Hyperlink"/>
            <w:rFonts w:cs="Arial"/>
            <w:b/>
            <w:sz w:val="20"/>
            <w:szCs w:val="20"/>
          </w:rPr>
          <w:t>P</w:t>
        </w:r>
        <w:r w:rsidR="00913F90" w:rsidRPr="00AA147E">
          <w:rPr>
            <w:rStyle w:val="Hyperlink"/>
            <w:rFonts w:cs="Arial"/>
            <w:b/>
            <w:sz w:val="20"/>
            <w:szCs w:val="20"/>
          </w:rPr>
          <w:t>aragrafo 5.</w:t>
        </w:r>
        <w:r w:rsidR="005C654C" w:rsidRPr="00AA147E">
          <w:rPr>
            <w:rStyle w:val="Hyperlink"/>
            <w:rFonts w:cs="Arial"/>
            <w:b/>
            <w:sz w:val="20"/>
            <w:szCs w:val="20"/>
          </w:rPr>
          <w:t>28</w:t>
        </w:r>
      </w:hyperlink>
      <w:r w:rsidRPr="00AA147E">
        <w:rPr>
          <w:rFonts w:cs="Arial"/>
          <w:b/>
          <w:sz w:val="20"/>
          <w:szCs w:val="20"/>
        </w:rPr>
        <w:t>) e dai risultati dello studio di estensione a lungo termine (dopo 24 mesi</w:t>
      </w:r>
      <w:r w:rsidR="00333F2F" w:rsidRPr="00AA147E">
        <w:rPr>
          <w:rFonts w:cs="Arial"/>
          <w:b/>
          <w:sz w:val="20"/>
          <w:szCs w:val="20"/>
        </w:rPr>
        <w:t xml:space="preserve"> di trattamento</w:t>
      </w:r>
      <w:r w:rsidRPr="00AA147E">
        <w:rPr>
          <w:rFonts w:cs="Arial"/>
          <w:b/>
          <w:sz w:val="20"/>
          <w:szCs w:val="20"/>
        </w:rPr>
        <w:t>) (studio 306)</w:t>
      </w:r>
      <w:r>
        <w:rPr>
          <w:rFonts w:cs="Arial"/>
          <w:sz w:val="20"/>
          <w:szCs w:val="20"/>
        </w:rPr>
        <w:t xml:space="preserve"> (</w:t>
      </w:r>
      <w:hyperlink w:anchor="Paragrafo538" w:history="1">
        <w:r w:rsidRPr="00EC4166">
          <w:rPr>
            <w:rStyle w:val="Hyperlink"/>
            <w:rFonts w:cs="Arial"/>
            <w:sz w:val="20"/>
            <w:szCs w:val="20"/>
          </w:rPr>
          <w:t>Paragrafo 5.</w:t>
        </w:r>
        <w:r w:rsidR="00AD2DE5" w:rsidRPr="00EC4166">
          <w:rPr>
            <w:rStyle w:val="Hyperlink"/>
            <w:rFonts w:cs="Arial"/>
            <w:sz w:val="20"/>
            <w:szCs w:val="20"/>
          </w:rPr>
          <w:t>38</w:t>
        </w:r>
      </w:hyperlink>
      <w:r>
        <w:rPr>
          <w:rFonts w:cs="Arial"/>
          <w:sz w:val="20"/>
          <w:szCs w:val="20"/>
        </w:rPr>
        <w:t>).</w:t>
      </w:r>
    </w:p>
    <w:p w14:paraId="7539320E" w14:textId="77777777" w:rsidR="00615569" w:rsidRDefault="00615569" w:rsidP="000210A2">
      <w:pPr>
        <w:shd w:val="clear" w:color="auto" w:fill="FFFFFF"/>
        <w:spacing w:line="360" w:lineRule="auto"/>
        <w:rPr>
          <w:rFonts w:cs="Arial"/>
          <w:sz w:val="20"/>
          <w:szCs w:val="20"/>
        </w:rPr>
      </w:pPr>
    </w:p>
    <w:p w14:paraId="4E960994" w14:textId="2FA43C52" w:rsidR="00AA147E" w:rsidRDefault="00E91CEC" w:rsidP="000210A2">
      <w:pPr>
        <w:shd w:val="clear" w:color="auto" w:fill="FFFFFF"/>
        <w:spacing w:line="360" w:lineRule="auto"/>
        <w:rPr>
          <w:rFonts w:cs="Arial"/>
          <w:sz w:val="20"/>
          <w:szCs w:val="20"/>
        </w:rPr>
      </w:pPr>
      <w:r>
        <w:rPr>
          <w:rFonts w:cs="Arial"/>
          <w:sz w:val="20"/>
          <w:szCs w:val="20"/>
        </w:rPr>
        <w:t>Anche in questo studio, c</w:t>
      </w:r>
      <w:r w:rsidRPr="00E91CEC">
        <w:rPr>
          <w:rFonts w:cs="Arial"/>
          <w:sz w:val="20"/>
          <w:szCs w:val="20"/>
        </w:rPr>
        <w:t>ome per lo studio CLEAR-1, i risultati sulla frequenza di attacchi di gotta e sulla risoluzione dei tofi non hanno portato a differenze statisticamente significative fra i diversi gruppi di trattamento</w:t>
      </w:r>
      <w:r w:rsidR="00C233C9">
        <w:rPr>
          <w:rFonts w:cs="Arial"/>
          <w:sz w:val="20"/>
          <w:szCs w:val="20"/>
        </w:rPr>
        <w:t xml:space="preserve"> </w:t>
      </w:r>
      <w:r w:rsidR="00286E34">
        <w:rPr>
          <w:rFonts w:cs="Arial"/>
          <w:sz w:val="20"/>
          <w:szCs w:val="20"/>
        </w:rPr>
        <w:t>(</w:t>
      </w:r>
      <w:r w:rsidR="00C233C9">
        <w:rPr>
          <w:rFonts w:cs="Arial"/>
          <w:color w:val="0000FF"/>
          <w:sz w:val="20"/>
          <w:szCs w:val="20"/>
        </w:rPr>
        <w:t>Bardin, 2016 (139)</w:t>
      </w:r>
      <w:r w:rsidR="00286E34">
        <w:rPr>
          <w:rFonts w:cs="Arial"/>
          <w:sz w:val="20"/>
          <w:szCs w:val="20"/>
        </w:rPr>
        <w:t>)</w:t>
      </w:r>
      <w:r w:rsidRPr="00E91CEC">
        <w:rPr>
          <w:rFonts w:cs="Arial"/>
          <w:sz w:val="20"/>
          <w:szCs w:val="20"/>
        </w:rPr>
        <w:t xml:space="preserve">. </w:t>
      </w:r>
    </w:p>
    <w:p w14:paraId="6867797A" w14:textId="188FE327" w:rsidR="00E91CEC" w:rsidRDefault="00286E34" w:rsidP="000210A2">
      <w:pPr>
        <w:shd w:val="clear" w:color="auto" w:fill="FFFFFF"/>
        <w:spacing w:line="360" w:lineRule="auto"/>
        <w:rPr>
          <w:rFonts w:cs="Arial"/>
          <w:sz w:val="20"/>
          <w:szCs w:val="20"/>
        </w:rPr>
      </w:pPr>
      <w:r>
        <w:rPr>
          <w:rFonts w:cs="Arial"/>
          <w:sz w:val="20"/>
          <w:szCs w:val="20"/>
        </w:rPr>
        <w:t>Tali risultati erano attesi</w:t>
      </w:r>
      <w:r w:rsidRPr="009766A7">
        <w:rPr>
          <w:rFonts w:cs="Arial"/>
          <w:sz w:val="20"/>
          <w:szCs w:val="20"/>
        </w:rPr>
        <w:t xml:space="preserve"> per la durata dello studio</w:t>
      </w:r>
      <w:r>
        <w:rPr>
          <w:rFonts w:cs="Arial"/>
          <w:sz w:val="20"/>
          <w:szCs w:val="20"/>
        </w:rPr>
        <w:t>, che</w:t>
      </w:r>
      <w:r w:rsidRPr="009766A7">
        <w:rPr>
          <w:rFonts w:cs="Arial"/>
          <w:sz w:val="20"/>
          <w:szCs w:val="20"/>
        </w:rPr>
        <w:t xml:space="preserve"> non era tale da poter evidenziare un effetto significativo sugli end-point clinici</w:t>
      </w:r>
      <w:r>
        <w:rPr>
          <w:rFonts w:cs="Arial"/>
          <w:sz w:val="20"/>
          <w:szCs w:val="20"/>
        </w:rPr>
        <w:t>,</w:t>
      </w:r>
      <w:r w:rsidRPr="00B61B01">
        <w:rPr>
          <w:rFonts w:cs="Arial"/>
          <w:sz w:val="20"/>
          <w:szCs w:val="20"/>
        </w:rPr>
        <w:t xml:space="preserve"> </w:t>
      </w:r>
      <w:r>
        <w:rPr>
          <w:rFonts w:cs="Arial"/>
          <w:sz w:val="20"/>
          <w:szCs w:val="20"/>
        </w:rPr>
        <w:t>per la bassa incidenza di attacchi acuti che richiedevano trattamento</w:t>
      </w:r>
      <w:r w:rsidRPr="009766A7">
        <w:rPr>
          <w:rFonts w:cs="Arial"/>
          <w:sz w:val="20"/>
          <w:szCs w:val="20"/>
        </w:rPr>
        <w:t xml:space="preserve"> </w:t>
      </w:r>
      <w:r>
        <w:rPr>
          <w:rFonts w:cs="Arial"/>
          <w:sz w:val="20"/>
          <w:szCs w:val="20"/>
        </w:rPr>
        <w:t xml:space="preserve">e </w:t>
      </w:r>
      <w:r w:rsidRPr="009766A7">
        <w:rPr>
          <w:rFonts w:cs="Arial"/>
          <w:sz w:val="20"/>
          <w:szCs w:val="20"/>
        </w:rPr>
        <w:t xml:space="preserve">per il piccolo numero di pazienti con tofi misurabili. </w:t>
      </w:r>
      <w:r w:rsidRPr="00286E34">
        <w:rPr>
          <w:rFonts w:cs="Arial"/>
          <w:sz w:val="20"/>
          <w:szCs w:val="20"/>
        </w:rPr>
        <w:t>Da sottolineare che tali benefici non sono stati dimostrati con trattamenti orali in nessun studio clinico della durata di 12 mesi.</w:t>
      </w:r>
      <w:r w:rsidRPr="009766A7">
        <w:rPr>
          <w:rFonts w:cs="Arial"/>
          <w:sz w:val="20"/>
          <w:szCs w:val="20"/>
        </w:rPr>
        <w:t xml:space="preserve"> </w:t>
      </w:r>
      <w:r>
        <w:rPr>
          <w:rFonts w:cs="Arial"/>
          <w:sz w:val="20"/>
          <w:szCs w:val="20"/>
        </w:rPr>
        <w:t>Ad esempio</w:t>
      </w:r>
      <w:r w:rsidRPr="009766A7">
        <w:rPr>
          <w:rFonts w:cs="Arial"/>
          <w:sz w:val="20"/>
          <w:szCs w:val="20"/>
        </w:rPr>
        <w:t>, nel</w:t>
      </w:r>
      <w:r>
        <w:rPr>
          <w:rFonts w:cs="Arial"/>
          <w:sz w:val="20"/>
          <w:szCs w:val="20"/>
        </w:rPr>
        <w:t>lo</w:t>
      </w:r>
      <w:r w:rsidRPr="009766A7">
        <w:rPr>
          <w:rFonts w:cs="Arial"/>
          <w:sz w:val="20"/>
          <w:szCs w:val="20"/>
        </w:rPr>
        <w:t xml:space="preserve"> studio FOCUS, che valuta</w:t>
      </w:r>
      <w:r>
        <w:rPr>
          <w:rFonts w:cs="Arial"/>
          <w:sz w:val="20"/>
          <w:szCs w:val="20"/>
        </w:rPr>
        <w:t>va</w:t>
      </w:r>
      <w:r w:rsidRPr="009766A7">
        <w:rPr>
          <w:rFonts w:cs="Arial"/>
          <w:sz w:val="20"/>
          <w:szCs w:val="20"/>
        </w:rPr>
        <w:t xml:space="preserve"> il trattamento dei pazienti affetti da gotta con febuxostat</w:t>
      </w:r>
      <w:r>
        <w:rPr>
          <w:rFonts w:cs="Arial"/>
          <w:sz w:val="20"/>
          <w:szCs w:val="20"/>
        </w:rPr>
        <w:t xml:space="preserve"> a lungo termine</w:t>
      </w:r>
      <w:r w:rsidRPr="009766A7">
        <w:rPr>
          <w:rFonts w:cs="Arial"/>
          <w:sz w:val="20"/>
          <w:szCs w:val="20"/>
        </w:rPr>
        <w:t>, i risultati hanno dimostrato l'eliminazione di attacchi di gotta e riduzione del numero dei tofi solo con la persistenza di dosi stabili di febuxostat a 5 anni (</w:t>
      </w:r>
      <w:r w:rsidR="00563FA4">
        <w:rPr>
          <w:rFonts w:cs="Arial"/>
          <w:color w:val="0000FF"/>
          <w:sz w:val="20"/>
          <w:szCs w:val="20"/>
        </w:rPr>
        <w:t>Schumacher, 2008 (39)</w:t>
      </w:r>
      <w:r w:rsidRPr="009766A7">
        <w:rPr>
          <w:rFonts w:cs="Arial"/>
          <w:sz w:val="20"/>
          <w:szCs w:val="20"/>
        </w:rPr>
        <w:t>).</w:t>
      </w:r>
    </w:p>
    <w:p w14:paraId="64AC3EF2" w14:textId="3F94EDD9" w:rsidR="00E91CEC" w:rsidRPr="00655C52" w:rsidRDefault="00E91CEC" w:rsidP="000210A2">
      <w:pPr>
        <w:shd w:val="clear" w:color="auto" w:fill="FFFFFF"/>
        <w:spacing w:line="360" w:lineRule="auto"/>
        <w:rPr>
          <w:rFonts w:cs="Arial"/>
          <w:sz w:val="20"/>
          <w:szCs w:val="20"/>
        </w:rPr>
      </w:pPr>
      <w:r w:rsidRPr="00782F71">
        <w:rPr>
          <w:rFonts w:cs="Arial"/>
          <w:sz w:val="20"/>
          <w:szCs w:val="20"/>
        </w:rPr>
        <w:t xml:space="preserve">Tuttavia </w:t>
      </w:r>
      <w:r w:rsidRPr="00782F71">
        <w:rPr>
          <w:rFonts w:cs="Arial"/>
          <w:b/>
          <w:sz w:val="20"/>
          <w:szCs w:val="20"/>
        </w:rPr>
        <w:t>dati di efficacia a lungo termine dopo 24 mesi di trattamento, hanno fornito evidenze sufficienti a</w:t>
      </w:r>
      <w:r w:rsidRPr="00AA147E">
        <w:rPr>
          <w:rFonts w:cs="Arial"/>
          <w:b/>
          <w:sz w:val="20"/>
          <w:szCs w:val="20"/>
        </w:rPr>
        <w:t xml:space="preserve"> dimostrare un effetto clinico con continua riduzione di tofi e flares (</w:t>
      </w:r>
      <w:hyperlink w:anchor="Paragrafo538" w:history="1">
        <w:r w:rsidRPr="00AA147E">
          <w:rPr>
            <w:rStyle w:val="Hyperlink"/>
            <w:rFonts w:cs="Arial"/>
            <w:b/>
            <w:sz w:val="20"/>
            <w:szCs w:val="20"/>
          </w:rPr>
          <w:t>Paragrafo 5.</w:t>
        </w:r>
        <w:r w:rsidR="00B17CBD" w:rsidRPr="00AA147E">
          <w:rPr>
            <w:rStyle w:val="Hyperlink"/>
            <w:rFonts w:cs="Arial"/>
            <w:b/>
            <w:sz w:val="20"/>
            <w:szCs w:val="20"/>
          </w:rPr>
          <w:t>3</w:t>
        </w:r>
        <w:r w:rsidRPr="00AA147E">
          <w:rPr>
            <w:rStyle w:val="Hyperlink"/>
            <w:rFonts w:cs="Arial"/>
            <w:b/>
            <w:sz w:val="20"/>
            <w:szCs w:val="20"/>
          </w:rPr>
          <w:t>8</w:t>
        </w:r>
      </w:hyperlink>
      <w:r w:rsidRPr="00AA147E">
        <w:rPr>
          <w:rFonts w:cs="Arial"/>
          <w:b/>
          <w:sz w:val="20"/>
          <w:szCs w:val="20"/>
        </w:rPr>
        <w:t>) (</w:t>
      </w:r>
      <w:r w:rsidR="00563FA4">
        <w:rPr>
          <w:rFonts w:cs="Arial"/>
          <w:b/>
          <w:color w:val="0000FF"/>
          <w:sz w:val="20"/>
          <w:szCs w:val="20"/>
        </w:rPr>
        <w:t>EPAR, 2015 (42)</w:t>
      </w:r>
      <w:r w:rsidRPr="00AA147E">
        <w:rPr>
          <w:rFonts w:cs="Arial"/>
          <w:b/>
          <w:sz w:val="20"/>
          <w:szCs w:val="20"/>
        </w:rPr>
        <w:t>)</w:t>
      </w:r>
      <w:r>
        <w:rPr>
          <w:rFonts w:cs="Arial"/>
          <w:sz w:val="20"/>
          <w:szCs w:val="20"/>
        </w:rPr>
        <w:t>.</w:t>
      </w:r>
    </w:p>
    <w:p w14:paraId="196BFBB3" w14:textId="77777777" w:rsidR="00BA2F8F" w:rsidRPr="00BA2F8F" w:rsidRDefault="00BA2F8F" w:rsidP="000210A2">
      <w:pPr>
        <w:shd w:val="clear" w:color="auto" w:fill="FFFFFF"/>
        <w:spacing w:line="360" w:lineRule="auto"/>
        <w:rPr>
          <w:rFonts w:cs="Arial"/>
          <w:sz w:val="20"/>
          <w:szCs w:val="20"/>
        </w:rPr>
      </w:pPr>
    </w:p>
    <w:p w14:paraId="5EA3B161" w14:textId="085060BF" w:rsidR="00BA2F8F" w:rsidRPr="00BA2F8F" w:rsidRDefault="00BA2F8F" w:rsidP="00825BD3">
      <w:pPr>
        <w:numPr>
          <w:ilvl w:val="1"/>
          <w:numId w:val="13"/>
        </w:numPr>
        <w:shd w:val="clear" w:color="auto" w:fill="FFFFFF"/>
        <w:spacing w:line="360" w:lineRule="auto"/>
        <w:rPr>
          <w:rFonts w:cs="Arial"/>
          <w:sz w:val="20"/>
          <w:szCs w:val="20"/>
          <w:u w:val="single"/>
        </w:rPr>
      </w:pPr>
      <w:r w:rsidRPr="00BA2F8F">
        <w:rPr>
          <w:rFonts w:cs="Arial"/>
          <w:sz w:val="20"/>
          <w:szCs w:val="20"/>
          <w:u w:val="single"/>
        </w:rPr>
        <w:t xml:space="preserve"> </w:t>
      </w:r>
      <w:r w:rsidR="003370C5">
        <w:rPr>
          <w:rFonts w:cs="Arial"/>
          <w:sz w:val="20"/>
          <w:szCs w:val="20"/>
          <w:u w:val="single"/>
        </w:rPr>
        <w:t xml:space="preserve">Reazioni </w:t>
      </w:r>
      <w:r w:rsidRPr="00BA2F8F">
        <w:rPr>
          <w:rFonts w:cs="Arial"/>
          <w:sz w:val="20"/>
          <w:szCs w:val="20"/>
          <w:u w:val="single"/>
        </w:rPr>
        <w:t>avvers</w:t>
      </w:r>
      <w:r w:rsidR="003370C5">
        <w:rPr>
          <w:rFonts w:cs="Arial"/>
          <w:sz w:val="20"/>
          <w:szCs w:val="20"/>
          <w:u w:val="single"/>
        </w:rPr>
        <w:t>e</w:t>
      </w:r>
      <w:r w:rsidRPr="00BA2F8F">
        <w:rPr>
          <w:rFonts w:cs="Arial"/>
          <w:sz w:val="20"/>
          <w:szCs w:val="20"/>
          <w:u w:val="single"/>
        </w:rPr>
        <w:t xml:space="preserve"> nello studio</w:t>
      </w:r>
    </w:p>
    <w:p w14:paraId="1CD24040" w14:textId="238F2C52" w:rsidR="00943F64" w:rsidRPr="00943F64" w:rsidRDefault="00943F64" w:rsidP="000210A2">
      <w:pPr>
        <w:shd w:val="clear" w:color="auto" w:fill="FFFFFF"/>
        <w:spacing w:line="360" w:lineRule="auto"/>
        <w:rPr>
          <w:rFonts w:cs="Arial"/>
          <w:b/>
          <w:sz w:val="20"/>
          <w:szCs w:val="20"/>
        </w:rPr>
      </w:pPr>
      <w:r w:rsidRPr="00943F64">
        <w:rPr>
          <w:rFonts w:cs="Arial"/>
          <w:b/>
          <w:sz w:val="20"/>
          <w:szCs w:val="20"/>
        </w:rPr>
        <w:t>STUDIO CLEAR 1</w:t>
      </w:r>
    </w:p>
    <w:p w14:paraId="2A200620" w14:textId="1CE95187" w:rsidR="00943F64" w:rsidRDefault="00943F64" w:rsidP="000210A2">
      <w:pPr>
        <w:shd w:val="clear" w:color="auto" w:fill="FFFFFF"/>
        <w:spacing w:line="360" w:lineRule="auto"/>
        <w:rPr>
          <w:rFonts w:cs="Arial"/>
          <w:sz w:val="20"/>
          <w:szCs w:val="20"/>
        </w:rPr>
      </w:pPr>
      <w:r w:rsidRPr="00943F64">
        <w:rPr>
          <w:rFonts w:cs="Arial"/>
          <w:sz w:val="20"/>
          <w:szCs w:val="20"/>
        </w:rPr>
        <w:t xml:space="preserve">Lo studio CLEAR-1 ha dimostrato il buon profilo di tollerabilità di lesinurad 200mg/die: i pazienti assegnati al trattamento con lesinurad 200 mg in combinazione con allopurinolo sono andati incontro ad </w:t>
      </w:r>
      <w:r w:rsidRPr="00AB3235">
        <w:rPr>
          <w:rFonts w:cs="Arial"/>
          <w:b/>
          <w:sz w:val="20"/>
          <w:szCs w:val="20"/>
        </w:rPr>
        <w:t>eventi avversi con una frequenza simile a quella osservata nei pazienti assegnati a</w:t>
      </w:r>
      <w:r w:rsidR="008E5B37" w:rsidRPr="00AB3235">
        <w:rPr>
          <w:rFonts w:cs="Arial"/>
          <w:b/>
          <w:sz w:val="20"/>
          <w:szCs w:val="20"/>
        </w:rPr>
        <w:t>d</w:t>
      </w:r>
      <w:r w:rsidRPr="00AB3235">
        <w:rPr>
          <w:rFonts w:cs="Arial"/>
          <w:b/>
          <w:sz w:val="20"/>
          <w:szCs w:val="20"/>
        </w:rPr>
        <w:t xml:space="preserve"> allopurinolo in monoterapia</w:t>
      </w:r>
      <w:r w:rsidRPr="00943F64">
        <w:rPr>
          <w:rFonts w:cs="Arial"/>
          <w:sz w:val="20"/>
          <w:szCs w:val="20"/>
        </w:rPr>
        <w:t xml:space="preserve"> </w:t>
      </w:r>
      <w:r w:rsidR="00AB78D5">
        <w:rPr>
          <w:rFonts w:cs="Arial"/>
          <w:sz w:val="20"/>
          <w:szCs w:val="20"/>
        </w:rPr>
        <w:t xml:space="preserve">(73,1% vs 68,7% rispettivamente); la </w:t>
      </w:r>
      <w:r w:rsidR="00FA0A2B">
        <w:rPr>
          <w:rFonts w:cs="Arial"/>
          <w:sz w:val="20"/>
          <w:szCs w:val="20"/>
        </w:rPr>
        <w:t xml:space="preserve">percentuale </w:t>
      </w:r>
      <w:r w:rsidR="00AB78D5">
        <w:rPr>
          <w:rFonts w:cs="Arial"/>
          <w:sz w:val="20"/>
          <w:szCs w:val="20"/>
        </w:rPr>
        <w:t xml:space="preserve">di soggetti con AE, SAE e AE che hanno portato ad interruzione dello studio è stata simile tra i gruppi di trattamento </w:t>
      </w:r>
      <w:r w:rsidRPr="00943F64">
        <w:rPr>
          <w:rFonts w:cs="Arial"/>
          <w:sz w:val="20"/>
          <w:szCs w:val="20"/>
        </w:rPr>
        <w:t>(</w:t>
      </w:r>
      <w:hyperlink w:anchor="Tabella11" w:history="1">
        <w:r w:rsidRPr="00BA782B">
          <w:rPr>
            <w:rStyle w:val="Hyperlink"/>
            <w:rFonts w:cs="Arial"/>
            <w:sz w:val="20"/>
            <w:szCs w:val="20"/>
          </w:rPr>
          <w:t xml:space="preserve">Tabella </w:t>
        </w:r>
        <w:r w:rsidR="00BA782B" w:rsidRPr="00BA782B">
          <w:rPr>
            <w:rStyle w:val="Hyperlink"/>
            <w:rFonts w:cs="Arial"/>
            <w:sz w:val="20"/>
            <w:szCs w:val="20"/>
          </w:rPr>
          <w:t>11</w:t>
        </w:r>
      </w:hyperlink>
      <w:r w:rsidRPr="00943F64">
        <w:rPr>
          <w:rFonts w:cs="Arial"/>
          <w:sz w:val="20"/>
          <w:szCs w:val="20"/>
        </w:rPr>
        <w:t>)</w:t>
      </w:r>
      <w:r w:rsidR="002C21C9" w:rsidRPr="002C21C9">
        <w:rPr>
          <w:rFonts w:cs="Arial"/>
          <w:sz w:val="20"/>
          <w:szCs w:val="20"/>
        </w:rPr>
        <w:t xml:space="preserve"> </w:t>
      </w:r>
      <w:r w:rsidR="002C21C9">
        <w:rPr>
          <w:rFonts w:cs="Arial"/>
          <w:sz w:val="20"/>
          <w:szCs w:val="20"/>
        </w:rPr>
        <w:t>(</w:t>
      </w:r>
      <w:r w:rsidR="0087651E">
        <w:rPr>
          <w:rFonts w:cs="Arial"/>
          <w:color w:val="0000FF"/>
          <w:sz w:val="20"/>
          <w:szCs w:val="20"/>
        </w:rPr>
        <w:t>CSR 301, 2014 (109</w:t>
      </w:r>
      <w:r w:rsidR="002C21C9">
        <w:rPr>
          <w:rFonts w:cs="Arial"/>
          <w:color w:val="0000FF"/>
          <w:sz w:val="20"/>
          <w:szCs w:val="20"/>
        </w:rPr>
        <w:t>)</w:t>
      </w:r>
      <w:r w:rsidR="002C21C9">
        <w:rPr>
          <w:rFonts w:cs="Arial"/>
          <w:sz w:val="20"/>
          <w:szCs w:val="20"/>
        </w:rPr>
        <w:t>)</w:t>
      </w:r>
      <w:r w:rsidRPr="00943F64">
        <w:rPr>
          <w:rFonts w:cs="Arial"/>
          <w:sz w:val="20"/>
          <w:szCs w:val="20"/>
        </w:rPr>
        <w:t>.</w:t>
      </w:r>
    </w:p>
    <w:p w14:paraId="4B52FDAD" w14:textId="52696C81" w:rsidR="00FA0A2B" w:rsidRDefault="00FA0A2B" w:rsidP="000210A2">
      <w:pPr>
        <w:rPr>
          <w:rFonts w:cs="Arial"/>
          <w:sz w:val="20"/>
          <w:szCs w:val="20"/>
        </w:rPr>
      </w:pPr>
      <w:r>
        <w:rPr>
          <w:rFonts w:cs="Arial"/>
          <w:sz w:val="20"/>
          <w:szCs w:val="20"/>
        </w:rPr>
        <w:br w:type="page"/>
      </w:r>
    </w:p>
    <w:p w14:paraId="3174800F" w14:textId="77777777" w:rsidR="00B17CBD" w:rsidRPr="00943F64" w:rsidRDefault="00B17CBD" w:rsidP="00943F64">
      <w:pPr>
        <w:shd w:val="clear" w:color="auto" w:fill="FFFFFF"/>
        <w:spacing w:line="360" w:lineRule="auto"/>
        <w:jc w:val="both"/>
        <w:rPr>
          <w:rFonts w:cs="Arial"/>
          <w:sz w:val="20"/>
          <w:szCs w:val="20"/>
        </w:rPr>
      </w:pPr>
    </w:p>
    <w:p w14:paraId="2997D364" w14:textId="35D1D6DD" w:rsidR="00943F64" w:rsidRPr="001D660E" w:rsidRDefault="00B17CBD" w:rsidP="00B17CBD">
      <w:pPr>
        <w:pStyle w:val="Caption"/>
        <w:rPr>
          <w:rFonts w:asciiTheme="minorHAnsi" w:hAnsiTheme="minorHAnsi" w:cstheme="minorHAnsi"/>
          <w:b w:val="0"/>
        </w:rPr>
      </w:pPr>
      <w:bookmarkStart w:id="118" w:name="Tabella11"/>
      <w:bookmarkStart w:id="119" w:name="_Toc473150696"/>
      <w:bookmarkEnd w:id="118"/>
      <w:r w:rsidRPr="001D660E">
        <w:rPr>
          <w:rFonts w:asciiTheme="minorHAnsi" w:hAnsiTheme="minorHAnsi" w:cstheme="minorHAnsi"/>
        </w:rPr>
        <w:t xml:space="preserve">Tabella </w:t>
      </w:r>
      <w:r w:rsidRPr="00B17CBD">
        <w:rPr>
          <w:rFonts w:asciiTheme="minorHAnsi" w:hAnsiTheme="minorHAnsi" w:cstheme="minorHAnsi"/>
        </w:rPr>
        <w:fldChar w:fldCharType="begin"/>
      </w:r>
      <w:r w:rsidRPr="001D660E">
        <w:rPr>
          <w:rFonts w:asciiTheme="minorHAnsi" w:hAnsiTheme="minorHAnsi" w:cstheme="minorHAnsi"/>
        </w:rPr>
        <w:instrText xml:space="preserve"> SEQ Tabella \* ARABIC </w:instrText>
      </w:r>
      <w:r w:rsidRPr="00B17CBD">
        <w:rPr>
          <w:rFonts w:asciiTheme="minorHAnsi" w:hAnsiTheme="minorHAnsi" w:cstheme="minorHAnsi"/>
        </w:rPr>
        <w:fldChar w:fldCharType="separate"/>
      </w:r>
      <w:r w:rsidR="00A1679C">
        <w:rPr>
          <w:rFonts w:asciiTheme="minorHAnsi" w:hAnsiTheme="minorHAnsi" w:cstheme="minorHAnsi"/>
          <w:noProof/>
        </w:rPr>
        <w:t>11</w:t>
      </w:r>
      <w:r w:rsidRPr="00B17CBD">
        <w:rPr>
          <w:rFonts w:asciiTheme="minorHAnsi" w:hAnsiTheme="minorHAnsi" w:cstheme="minorHAnsi"/>
        </w:rPr>
        <w:fldChar w:fldCharType="end"/>
      </w:r>
      <w:r w:rsidRPr="001D660E">
        <w:rPr>
          <w:rFonts w:asciiTheme="minorHAnsi" w:hAnsiTheme="minorHAnsi" w:cstheme="minorHAnsi"/>
        </w:rPr>
        <w:t xml:space="preserve"> </w:t>
      </w:r>
      <w:r w:rsidR="0038525E" w:rsidRPr="0038525E">
        <w:rPr>
          <w:rFonts w:asciiTheme="minorHAnsi" w:hAnsiTheme="minorHAnsi" w:cstheme="minorHAnsi"/>
          <w:b w:val="0"/>
          <w:lang w:val="en-GB"/>
        </w:rPr>
        <w:t xml:space="preserve">AEs </w:t>
      </w:r>
      <w:r w:rsidR="0038525E">
        <w:rPr>
          <w:rFonts w:asciiTheme="minorHAnsi" w:hAnsiTheme="minorHAnsi" w:cstheme="minorHAnsi"/>
          <w:b w:val="0"/>
          <w:lang w:val="en-GB"/>
        </w:rPr>
        <w:t>nel</w:t>
      </w:r>
      <w:r w:rsidR="0038525E" w:rsidRPr="0038525E">
        <w:rPr>
          <w:rFonts w:asciiTheme="minorHAnsi" w:hAnsiTheme="minorHAnsi" w:cstheme="minorHAnsi"/>
          <w:b w:val="0"/>
          <w:lang w:val="en-GB"/>
        </w:rPr>
        <w:t xml:space="preserve"> CLEAR 1 – safety population</w:t>
      </w:r>
      <w:r w:rsidR="00286E34">
        <w:rPr>
          <w:rFonts w:asciiTheme="minorHAnsi" w:hAnsiTheme="minorHAnsi" w:cstheme="minorHAnsi"/>
          <w:b w:val="0"/>
          <w:lang w:val="en-GB"/>
        </w:rPr>
        <w:t xml:space="preserve"> </w:t>
      </w:r>
      <w:r w:rsidR="002C21C9" w:rsidRPr="002C21C9">
        <w:rPr>
          <w:rFonts w:asciiTheme="minorHAnsi" w:hAnsiTheme="minorHAnsi" w:cstheme="minorHAnsi"/>
          <w:b w:val="0"/>
          <w:lang w:val="en-GB"/>
        </w:rPr>
        <w:t>(</w:t>
      </w:r>
      <w:r w:rsidR="002C21C9" w:rsidRPr="00286E34">
        <w:rPr>
          <w:rFonts w:asciiTheme="minorHAnsi" w:hAnsiTheme="minorHAnsi" w:cstheme="minorHAnsi"/>
          <w:b w:val="0"/>
          <w:color w:val="0000FF"/>
          <w:lang w:val="en-GB"/>
        </w:rPr>
        <w:t>CSR 301, 2014</w:t>
      </w:r>
      <w:r w:rsidR="002C21C9">
        <w:rPr>
          <w:rFonts w:asciiTheme="minorHAnsi" w:hAnsiTheme="minorHAnsi" w:cstheme="minorHAnsi"/>
          <w:b w:val="0"/>
          <w:lang w:val="en-GB"/>
        </w:rPr>
        <w:t>)</w:t>
      </w:r>
      <w:bookmarkEnd w:id="119"/>
    </w:p>
    <w:tbl>
      <w:tblPr>
        <w:tblW w:w="496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04"/>
        <w:gridCol w:w="2952"/>
        <w:gridCol w:w="2900"/>
      </w:tblGrid>
      <w:tr w:rsidR="0038525E" w:rsidRPr="00D47C76" w14:paraId="036777E8" w14:textId="77777777" w:rsidTr="001D660E">
        <w:trPr>
          <w:cantSplit/>
          <w:trHeight w:val="382"/>
          <w:tblHeader/>
        </w:trPr>
        <w:tc>
          <w:tcPr>
            <w:tcW w:w="3174" w:type="dxa"/>
            <w:vMerge w:val="restart"/>
            <w:shd w:val="clear" w:color="auto" w:fill="D9D9D9"/>
          </w:tcPr>
          <w:p w14:paraId="1B7D07F3" w14:textId="77777777" w:rsidR="0038525E" w:rsidRPr="00D47C76" w:rsidRDefault="0038525E" w:rsidP="0038525E">
            <w:pPr>
              <w:widowControl w:val="0"/>
              <w:spacing w:before="60" w:after="60"/>
              <w:rPr>
                <w:rFonts w:ascii="Arial" w:eastAsia="Calibri" w:hAnsi="Arial" w:cs="Arial"/>
                <w:b/>
                <w:sz w:val="18"/>
                <w:szCs w:val="18"/>
                <w:lang w:val="en-GB" w:eastAsia="en-US"/>
              </w:rPr>
            </w:pPr>
            <w:r w:rsidRPr="00D47C76">
              <w:rPr>
                <w:rFonts w:ascii="Arial" w:eastAsia="Calibri" w:hAnsi="Arial" w:cs="Arial"/>
                <w:b/>
                <w:sz w:val="18"/>
                <w:szCs w:val="18"/>
                <w:lang w:val="en-GB" w:eastAsia="en-US"/>
              </w:rPr>
              <w:t>AEs, n (%)</w:t>
            </w:r>
          </w:p>
        </w:tc>
        <w:tc>
          <w:tcPr>
            <w:tcW w:w="3030" w:type="dxa"/>
            <w:vMerge w:val="restart"/>
            <w:shd w:val="clear" w:color="auto" w:fill="D9D9D9"/>
          </w:tcPr>
          <w:p w14:paraId="26A6B8DD" w14:textId="77777777" w:rsidR="0038525E" w:rsidRPr="00D47C76" w:rsidRDefault="0038525E" w:rsidP="0038525E">
            <w:pPr>
              <w:widowControl w:val="0"/>
              <w:spacing w:before="60" w:after="60"/>
              <w:jc w:val="center"/>
              <w:rPr>
                <w:rFonts w:ascii="Arial" w:eastAsia="Calibri" w:hAnsi="Arial" w:cs="Arial"/>
                <w:b/>
                <w:sz w:val="18"/>
                <w:szCs w:val="18"/>
                <w:lang w:val="en-GB" w:eastAsia="en-US"/>
              </w:rPr>
            </w:pPr>
            <w:r w:rsidRPr="00D47C76">
              <w:rPr>
                <w:rFonts w:ascii="Arial" w:eastAsia="Calibri" w:hAnsi="Arial" w:cs="Arial"/>
                <w:b/>
                <w:sz w:val="18"/>
                <w:szCs w:val="18"/>
                <w:lang w:val="en-GB" w:eastAsia="en-US"/>
              </w:rPr>
              <w:t>Lesinurad 200 mg + allopurinol (N=201)</w:t>
            </w:r>
          </w:p>
        </w:tc>
        <w:tc>
          <w:tcPr>
            <w:tcW w:w="2976" w:type="dxa"/>
            <w:vMerge w:val="restart"/>
            <w:shd w:val="clear" w:color="auto" w:fill="D9D9D9"/>
          </w:tcPr>
          <w:p w14:paraId="650EC9FA" w14:textId="77777777" w:rsidR="0038525E" w:rsidRPr="00D47C76" w:rsidRDefault="0038525E" w:rsidP="0038525E">
            <w:pPr>
              <w:widowControl w:val="0"/>
              <w:spacing w:before="60" w:after="60"/>
              <w:jc w:val="center"/>
              <w:rPr>
                <w:rFonts w:ascii="Arial" w:eastAsia="Calibri" w:hAnsi="Arial" w:cs="Arial"/>
                <w:b/>
                <w:sz w:val="18"/>
                <w:szCs w:val="18"/>
                <w:lang w:val="en-GB" w:eastAsia="en-US"/>
              </w:rPr>
            </w:pPr>
            <w:r w:rsidRPr="00D47C76">
              <w:rPr>
                <w:rFonts w:ascii="Arial" w:eastAsia="Calibri" w:hAnsi="Arial" w:cs="Arial"/>
                <w:b/>
                <w:sz w:val="18"/>
                <w:szCs w:val="18"/>
                <w:lang w:val="en-GB" w:eastAsia="en-US"/>
              </w:rPr>
              <w:t>Placebo + allopurinol (N=201)</w:t>
            </w:r>
          </w:p>
        </w:tc>
      </w:tr>
      <w:tr w:rsidR="0038525E" w:rsidRPr="00D47C76" w14:paraId="31E8B44D" w14:textId="77777777" w:rsidTr="001D660E">
        <w:trPr>
          <w:cantSplit/>
          <w:trHeight w:val="442"/>
          <w:tblHeader/>
        </w:trPr>
        <w:tc>
          <w:tcPr>
            <w:tcW w:w="3174" w:type="dxa"/>
            <w:vMerge/>
            <w:shd w:val="clear" w:color="auto" w:fill="D9D9D9"/>
          </w:tcPr>
          <w:p w14:paraId="336FAAF7" w14:textId="77777777" w:rsidR="0038525E" w:rsidRPr="00D47C76" w:rsidRDefault="0038525E" w:rsidP="0038525E">
            <w:pPr>
              <w:widowControl w:val="0"/>
              <w:spacing w:before="60" w:after="60"/>
              <w:rPr>
                <w:rFonts w:ascii="Arial" w:eastAsia="Calibri" w:hAnsi="Arial" w:cs="Arial"/>
                <w:b/>
                <w:sz w:val="18"/>
                <w:szCs w:val="18"/>
                <w:lang w:val="en-GB" w:eastAsia="en-US"/>
              </w:rPr>
            </w:pPr>
          </w:p>
        </w:tc>
        <w:tc>
          <w:tcPr>
            <w:tcW w:w="3030" w:type="dxa"/>
            <w:vMerge/>
            <w:shd w:val="clear" w:color="auto" w:fill="D9D9D9"/>
          </w:tcPr>
          <w:p w14:paraId="5DFE9B99" w14:textId="77777777" w:rsidR="0038525E" w:rsidRPr="00D47C76" w:rsidRDefault="0038525E" w:rsidP="0038525E">
            <w:pPr>
              <w:widowControl w:val="0"/>
              <w:spacing w:before="60" w:after="60"/>
              <w:jc w:val="center"/>
              <w:rPr>
                <w:rFonts w:ascii="Arial" w:eastAsia="Calibri" w:hAnsi="Arial" w:cs="Arial"/>
                <w:b/>
                <w:sz w:val="18"/>
                <w:szCs w:val="18"/>
                <w:lang w:val="en-GB" w:eastAsia="en-US"/>
              </w:rPr>
            </w:pPr>
          </w:p>
        </w:tc>
        <w:tc>
          <w:tcPr>
            <w:tcW w:w="2976" w:type="dxa"/>
            <w:vMerge/>
            <w:shd w:val="clear" w:color="auto" w:fill="D9D9D9"/>
          </w:tcPr>
          <w:p w14:paraId="0BA41C92" w14:textId="77777777" w:rsidR="0038525E" w:rsidRPr="00D47C76" w:rsidRDefault="0038525E" w:rsidP="0038525E">
            <w:pPr>
              <w:widowControl w:val="0"/>
              <w:spacing w:before="60" w:after="60"/>
              <w:jc w:val="center"/>
              <w:rPr>
                <w:rFonts w:ascii="Arial" w:eastAsia="Calibri" w:hAnsi="Arial" w:cs="Arial"/>
                <w:b/>
                <w:sz w:val="18"/>
                <w:szCs w:val="18"/>
                <w:lang w:val="en-GB" w:eastAsia="en-US"/>
              </w:rPr>
            </w:pPr>
          </w:p>
        </w:tc>
      </w:tr>
      <w:tr w:rsidR="0038525E" w:rsidRPr="00D47C76" w14:paraId="7EE57550" w14:textId="77777777" w:rsidTr="001D660E">
        <w:trPr>
          <w:cantSplit/>
        </w:trPr>
        <w:tc>
          <w:tcPr>
            <w:tcW w:w="3174" w:type="dxa"/>
            <w:tcBorders>
              <w:bottom w:val="single" w:sz="4" w:space="0" w:color="000000"/>
            </w:tcBorders>
            <w:vAlign w:val="center"/>
          </w:tcPr>
          <w:p w14:paraId="4759CEB4" w14:textId="77777777" w:rsidR="0038525E" w:rsidRPr="00D47C76" w:rsidRDefault="0038525E" w:rsidP="0038525E">
            <w:pPr>
              <w:widowControl w:val="0"/>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w:t>
            </w:r>
          </w:p>
        </w:tc>
        <w:tc>
          <w:tcPr>
            <w:tcW w:w="3030" w:type="dxa"/>
            <w:tcBorders>
              <w:bottom w:val="single" w:sz="4" w:space="0" w:color="000000"/>
            </w:tcBorders>
            <w:vAlign w:val="center"/>
          </w:tcPr>
          <w:p w14:paraId="5B5BBC56"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147 (73.1)</w:t>
            </w:r>
          </w:p>
        </w:tc>
        <w:tc>
          <w:tcPr>
            <w:tcW w:w="2976" w:type="dxa"/>
            <w:tcBorders>
              <w:bottom w:val="single" w:sz="4" w:space="0" w:color="000000"/>
            </w:tcBorders>
            <w:vAlign w:val="center"/>
          </w:tcPr>
          <w:p w14:paraId="69550D20"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138 (68.7)</w:t>
            </w:r>
          </w:p>
        </w:tc>
      </w:tr>
      <w:tr w:rsidR="0038525E" w:rsidRPr="00D47C76" w14:paraId="08DF504A" w14:textId="77777777" w:rsidTr="001D660E">
        <w:trPr>
          <w:cantSplit/>
        </w:trPr>
        <w:tc>
          <w:tcPr>
            <w:tcW w:w="3174" w:type="dxa"/>
            <w:tcBorders>
              <w:bottom w:val="single" w:sz="4" w:space="0" w:color="000000"/>
            </w:tcBorders>
            <w:vAlign w:val="center"/>
          </w:tcPr>
          <w:p w14:paraId="43D28575" w14:textId="77777777" w:rsidR="0038525E" w:rsidRPr="00D47C76" w:rsidRDefault="0038525E" w:rsidP="0038525E">
            <w:pPr>
              <w:widowControl w:val="0"/>
              <w:spacing w:before="60" w:after="60"/>
              <w:ind w:left="313"/>
              <w:rPr>
                <w:rFonts w:ascii="Arial" w:eastAsia="Calibri" w:hAnsi="Arial" w:cs="Arial"/>
                <w:sz w:val="18"/>
                <w:szCs w:val="18"/>
                <w:lang w:val="en-GB" w:eastAsia="en-US"/>
              </w:rPr>
            </w:pPr>
            <w:r w:rsidRPr="00D47C76">
              <w:rPr>
                <w:rFonts w:ascii="Arial" w:eastAsia="Calibri" w:hAnsi="Arial" w:cs="Arial"/>
                <w:sz w:val="18"/>
                <w:szCs w:val="18"/>
                <w:lang w:val="en-GB" w:eastAsia="en-US"/>
              </w:rPr>
              <w:t>Any AE possibly related to randomised study medication</w:t>
            </w:r>
          </w:p>
        </w:tc>
        <w:tc>
          <w:tcPr>
            <w:tcW w:w="3030" w:type="dxa"/>
            <w:tcBorders>
              <w:bottom w:val="single" w:sz="4" w:space="0" w:color="000000"/>
            </w:tcBorders>
            <w:vAlign w:val="center"/>
          </w:tcPr>
          <w:p w14:paraId="7E56BC08"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33 (16.4)</w:t>
            </w:r>
          </w:p>
        </w:tc>
        <w:tc>
          <w:tcPr>
            <w:tcW w:w="2976" w:type="dxa"/>
            <w:tcBorders>
              <w:bottom w:val="single" w:sz="4" w:space="0" w:color="000000"/>
            </w:tcBorders>
            <w:vAlign w:val="center"/>
          </w:tcPr>
          <w:p w14:paraId="607879A3"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19 (9.5)</w:t>
            </w:r>
          </w:p>
        </w:tc>
      </w:tr>
      <w:tr w:rsidR="0038525E" w:rsidRPr="00D47C76" w14:paraId="0623FDB5" w14:textId="77777777" w:rsidTr="001D660E">
        <w:trPr>
          <w:cantSplit/>
        </w:trPr>
        <w:tc>
          <w:tcPr>
            <w:tcW w:w="3174" w:type="dxa"/>
            <w:tcBorders>
              <w:bottom w:val="single" w:sz="4" w:space="0" w:color="000000"/>
            </w:tcBorders>
            <w:vAlign w:val="center"/>
          </w:tcPr>
          <w:p w14:paraId="7A17D3D6" w14:textId="77777777" w:rsidR="0038525E" w:rsidRPr="00D47C76" w:rsidRDefault="0038525E" w:rsidP="0038525E">
            <w:pPr>
              <w:widowControl w:val="0"/>
              <w:spacing w:before="60" w:after="60"/>
              <w:ind w:left="313"/>
              <w:rPr>
                <w:rFonts w:ascii="Arial" w:eastAsia="Calibri" w:hAnsi="Arial" w:cs="Arial"/>
                <w:sz w:val="18"/>
                <w:szCs w:val="18"/>
                <w:lang w:val="en-GB" w:eastAsia="en-US"/>
              </w:rPr>
            </w:pPr>
            <w:r w:rsidRPr="00D47C76">
              <w:rPr>
                <w:rFonts w:ascii="Arial" w:eastAsia="Calibri" w:hAnsi="Arial" w:cs="Arial"/>
                <w:sz w:val="18"/>
                <w:szCs w:val="18"/>
                <w:lang w:val="en-GB" w:eastAsia="en-US"/>
              </w:rPr>
              <w:t>Any AE possibly related to allopurinol</w:t>
            </w:r>
          </w:p>
        </w:tc>
        <w:tc>
          <w:tcPr>
            <w:tcW w:w="3030" w:type="dxa"/>
            <w:tcBorders>
              <w:bottom w:val="single" w:sz="4" w:space="0" w:color="000000"/>
            </w:tcBorders>
            <w:vAlign w:val="center"/>
          </w:tcPr>
          <w:p w14:paraId="7F26B857"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16 (8.0)</w:t>
            </w:r>
          </w:p>
        </w:tc>
        <w:tc>
          <w:tcPr>
            <w:tcW w:w="2976" w:type="dxa"/>
            <w:tcBorders>
              <w:bottom w:val="single" w:sz="4" w:space="0" w:color="000000"/>
            </w:tcBorders>
            <w:vAlign w:val="center"/>
          </w:tcPr>
          <w:p w14:paraId="0B7AEEB3"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11 (5.5)</w:t>
            </w:r>
          </w:p>
        </w:tc>
      </w:tr>
      <w:tr w:rsidR="0038525E" w:rsidRPr="00D47C76" w14:paraId="70FAD0EA" w14:textId="77777777" w:rsidTr="001D660E">
        <w:trPr>
          <w:cantSplit/>
        </w:trPr>
        <w:tc>
          <w:tcPr>
            <w:tcW w:w="3174" w:type="dxa"/>
            <w:tcBorders>
              <w:bottom w:val="single" w:sz="4" w:space="0" w:color="000000"/>
            </w:tcBorders>
            <w:vAlign w:val="center"/>
          </w:tcPr>
          <w:p w14:paraId="2DC8B078" w14:textId="77777777" w:rsidR="0038525E" w:rsidRPr="00D47C76" w:rsidRDefault="0038525E" w:rsidP="0038525E">
            <w:pPr>
              <w:widowControl w:val="0"/>
              <w:spacing w:before="60" w:after="60"/>
              <w:ind w:left="313"/>
              <w:rPr>
                <w:rFonts w:ascii="Arial" w:eastAsia="Calibri" w:hAnsi="Arial" w:cs="Arial"/>
                <w:sz w:val="18"/>
                <w:szCs w:val="18"/>
                <w:lang w:val="en-GB" w:eastAsia="en-US"/>
              </w:rPr>
            </w:pPr>
            <w:r w:rsidRPr="00D47C76">
              <w:rPr>
                <w:rFonts w:ascii="Arial" w:eastAsia="Calibri" w:hAnsi="Arial" w:cs="Arial"/>
                <w:sz w:val="18"/>
                <w:szCs w:val="18"/>
                <w:lang w:val="en-GB" w:eastAsia="en-US"/>
              </w:rPr>
              <w:t>Any AE possibly related to prophylaxis</w:t>
            </w:r>
          </w:p>
        </w:tc>
        <w:tc>
          <w:tcPr>
            <w:tcW w:w="3030" w:type="dxa"/>
            <w:tcBorders>
              <w:bottom w:val="single" w:sz="4" w:space="0" w:color="000000"/>
            </w:tcBorders>
            <w:vAlign w:val="center"/>
          </w:tcPr>
          <w:p w14:paraId="0726A96A"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23 (11.4)</w:t>
            </w:r>
          </w:p>
        </w:tc>
        <w:tc>
          <w:tcPr>
            <w:tcW w:w="2976" w:type="dxa"/>
            <w:tcBorders>
              <w:bottom w:val="single" w:sz="4" w:space="0" w:color="000000"/>
            </w:tcBorders>
            <w:vAlign w:val="center"/>
          </w:tcPr>
          <w:p w14:paraId="713DF55C"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14 (7.0)</w:t>
            </w:r>
          </w:p>
        </w:tc>
      </w:tr>
      <w:tr w:rsidR="0038525E" w:rsidRPr="00D47C76" w14:paraId="06F3806A" w14:textId="77777777" w:rsidTr="001D660E">
        <w:trPr>
          <w:cantSplit/>
        </w:trPr>
        <w:tc>
          <w:tcPr>
            <w:tcW w:w="3174" w:type="dxa"/>
            <w:tcBorders>
              <w:bottom w:val="single" w:sz="4" w:space="0" w:color="000000"/>
            </w:tcBorders>
            <w:vAlign w:val="center"/>
          </w:tcPr>
          <w:p w14:paraId="612DA302" w14:textId="77777777" w:rsidR="0038525E" w:rsidRPr="00D47C76" w:rsidRDefault="0038525E" w:rsidP="0038525E">
            <w:pPr>
              <w:widowControl w:val="0"/>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with RCTC toxicity Grade 3 or 4</w:t>
            </w:r>
          </w:p>
        </w:tc>
        <w:tc>
          <w:tcPr>
            <w:tcW w:w="3030" w:type="dxa"/>
            <w:tcBorders>
              <w:bottom w:val="single" w:sz="4" w:space="0" w:color="000000"/>
            </w:tcBorders>
            <w:vAlign w:val="center"/>
          </w:tcPr>
          <w:p w14:paraId="2ED36343"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22 (10.9)</w:t>
            </w:r>
          </w:p>
        </w:tc>
        <w:tc>
          <w:tcPr>
            <w:tcW w:w="2976" w:type="dxa"/>
            <w:tcBorders>
              <w:bottom w:val="single" w:sz="4" w:space="0" w:color="000000"/>
            </w:tcBorders>
            <w:vAlign w:val="center"/>
          </w:tcPr>
          <w:p w14:paraId="7E93CB84"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12 (6.0)</w:t>
            </w:r>
          </w:p>
        </w:tc>
      </w:tr>
      <w:tr w:rsidR="0038525E" w:rsidRPr="00D47C76" w14:paraId="3047576C" w14:textId="77777777" w:rsidTr="001D660E">
        <w:trPr>
          <w:cantSplit/>
        </w:trPr>
        <w:tc>
          <w:tcPr>
            <w:tcW w:w="3174" w:type="dxa"/>
            <w:tcBorders>
              <w:bottom w:val="single" w:sz="4" w:space="0" w:color="000000"/>
            </w:tcBorders>
            <w:vAlign w:val="center"/>
          </w:tcPr>
          <w:p w14:paraId="469226EB" w14:textId="77777777" w:rsidR="0038525E" w:rsidRPr="00D47C76" w:rsidRDefault="0038525E" w:rsidP="0038525E">
            <w:pPr>
              <w:widowControl w:val="0"/>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SAE</w:t>
            </w:r>
          </w:p>
        </w:tc>
        <w:tc>
          <w:tcPr>
            <w:tcW w:w="3030" w:type="dxa"/>
            <w:tcBorders>
              <w:bottom w:val="single" w:sz="4" w:space="0" w:color="000000"/>
            </w:tcBorders>
            <w:vAlign w:val="center"/>
          </w:tcPr>
          <w:p w14:paraId="6FEBD8FD"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9 (4.5)</w:t>
            </w:r>
          </w:p>
        </w:tc>
        <w:tc>
          <w:tcPr>
            <w:tcW w:w="2976" w:type="dxa"/>
            <w:tcBorders>
              <w:bottom w:val="single" w:sz="4" w:space="0" w:color="000000"/>
            </w:tcBorders>
            <w:vAlign w:val="center"/>
          </w:tcPr>
          <w:p w14:paraId="45F05706"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11 (5.5)</w:t>
            </w:r>
          </w:p>
        </w:tc>
      </w:tr>
      <w:tr w:rsidR="0038525E" w:rsidRPr="00D47C76" w14:paraId="5D2C3F11" w14:textId="77777777" w:rsidTr="001D660E">
        <w:trPr>
          <w:cantSplit/>
        </w:trPr>
        <w:tc>
          <w:tcPr>
            <w:tcW w:w="3174" w:type="dxa"/>
            <w:tcBorders>
              <w:bottom w:val="single" w:sz="4" w:space="0" w:color="000000"/>
            </w:tcBorders>
            <w:vAlign w:val="center"/>
          </w:tcPr>
          <w:p w14:paraId="3BF1A6B2" w14:textId="77777777" w:rsidR="0038525E" w:rsidRPr="00D47C76" w:rsidRDefault="0038525E" w:rsidP="0038525E">
            <w:pPr>
              <w:widowControl w:val="0"/>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fatal AE</w:t>
            </w:r>
          </w:p>
        </w:tc>
        <w:tc>
          <w:tcPr>
            <w:tcW w:w="3030" w:type="dxa"/>
            <w:tcBorders>
              <w:bottom w:val="single" w:sz="4" w:space="0" w:color="000000"/>
            </w:tcBorders>
            <w:vAlign w:val="center"/>
          </w:tcPr>
          <w:p w14:paraId="4094DA0C"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 (0.5)</w:t>
            </w:r>
          </w:p>
        </w:tc>
        <w:tc>
          <w:tcPr>
            <w:tcW w:w="2976" w:type="dxa"/>
            <w:tcBorders>
              <w:bottom w:val="single" w:sz="4" w:space="0" w:color="000000"/>
            </w:tcBorders>
            <w:vAlign w:val="center"/>
          </w:tcPr>
          <w:p w14:paraId="297DE0F7"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0 (0.0)</w:t>
            </w:r>
          </w:p>
        </w:tc>
      </w:tr>
      <w:tr w:rsidR="0038525E" w:rsidRPr="00D47C76" w14:paraId="2E092446" w14:textId="77777777" w:rsidTr="001D660E">
        <w:trPr>
          <w:cantSplit/>
        </w:trPr>
        <w:tc>
          <w:tcPr>
            <w:tcW w:w="3174" w:type="dxa"/>
            <w:tcBorders>
              <w:top w:val="nil"/>
              <w:bottom w:val="single" w:sz="4" w:space="0" w:color="000000"/>
            </w:tcBorders>
            <w:vAlign w:val="center"/>
          </w:tcPr>
          <w:p w14:paraId="057C5921" w14:textId="77777777" w:rsidR="0038525E" w:rsidRPr="00D47C76" w:rsidRDefault="0038525E" w:rsidP="0038525E">
            <w:pPr>
              <w:widowControl w:val="0"/>
              <w:tabs>
                <w:tab w:val="left" w:pos="318"/>
              </w:tabs>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leading to randomised study medication discontinuation</w:t>
            </w:r>
          </w:p>
        </w:tc>
        <w:tc>
          <w:tcPr>
            <w:tcW w:w="3030" w:type="dxa"/>
            <w:tcBorders>
              <w:top w:val="nil"/>
              <w:bottom w:val="single" w:sz="4" w:space="0" w:color="000000"/>
            </w:tcBorders>
            <w:vAlign w:val="center"/>
          </w:tcPr>
          <w:p w14:paraId="0E73F453"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16 (8.0)</w:t>
            </w:r>
          </w:p>
        </w:tc>
        <w:tc>
          <w:tcPr>
            <w:tcW w:w="2976" w:type="dxa"/>
            <w:tcBorders>
              <w:top w:val="nil"/>
              <w:bottom w:val="single" w:sz="4" w:space="0" w:color="000000"/>
            </w:tcBorders>
            <w:vAlign w:val="center"/>
          </w:tcPr>
          <w:p w14:paraId="1170C383"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8 (4.0)</w:t>
            </w:r>
          </w:p>
        </w:tc>
      </w:tr>
      <w:tr w:rsidR="0038525E" w:rsidRPr="00D47C76" w14:paraId="57D4A133" w14:textId="77777777" w:rsidTr="001D660E">
        <w:trPr>
          <w:cantSplit/>
        </w:trPr>
        <w:tc>
          <w:tcPr>
            <w:tcW w:w="3174" w:type="dxa"/>
            <w:tcBorders>
              <w:top w:val="nil"/>
              <w:bottom w:val="single" w:sz="4" w:space="0" w:color="000000"/>
            </w:tcBorders>
            <w:vAlign w:val="center"/>
          </w:tcPr>
          <w:p w14:paraId="2FC1674C" w14:textId="77777777" w:rsidR="0038525E" w:rsidRPr="00D47C76" w:rsidRDefault="0038525E" w:rsidP="0038525E">
            <w:pPr>
              <w:widowControl w:val="0"/>
              <w:tabs>
                <w:tab w:val="left" w:pos="318"/>
              </w:tabs>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leading to allopurinol discontinuation</w:t>
            </w:r>
          </w:p>
        </w:tc>
        <w:tc>
          <w:tcPr>
            <w:tcW w:w="3030" w:type="dxa"/>
            <w:tcBorders>
              <w:top w:val="nil"/>
              <w:bottom w:val="single" w:sz="4" w:space="0" w:color="000000"/>
            </w:tcBorders>
            <w:vAlign w:val="center"/>
          </w:tcPr>
          <w:p w14:paraId="29A4AE98"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 (0.5)</w:t>
            </w:r>
          </w:p>
        </w:tc>
        <w:tc>
          <w:tcPr>
            <w:tcW w:w="2976" w:type="dxa"/>
            <w:tcBorders>
              <w:top w:val="nil"/>
              <w:bottom w:val="single" w:sz="4" w:space="0" w:color="000000"/>
            </w:tcBorders>
            <w:vAlign w:val="center"/>
          </w:tcPr>
          <w:p w14:paraId="2DCACAD9"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 (0.5)</w:t>
            </w:r>
          </w:p>
        </w:tc>
      </w:tr>
      <w:tr w:rsidR="0038525E" w:rsidRPr="00D47C76" w14:paraId="1A297825" w14:textId="77777777" w:rsidTr="001D660E">
        <w:trPr>
          <w:cantSplit/>
        </w:trPr>
        <w:tc>
          <w:tcPr>
            <w:tcW w:w="3174" w:type="dxa"/>
            <w:tcBorders>
              <w:top w:val="single" w:sz="4" w:space="0" w:color="000000"/>
              <w:bottom w:val="single" w:sz="4" w:space="0" w:color="000000"/>
            </w:tcBorders>
            <w:vAlign w:val="center"/>
          </w:tcPr>
          <w:p w14:paraId="13390E7A" w14:textId="77777777" w:rsidR="0038525E" w:rsidRPr="00D47C76" w:rsidRDefault="0038525E" w:rsidP="0038525E">
            <w:pPr>
              <w:widowControl w:val="0"/>
              <w:tabs>
                <w:tab w:val="left" w:pos="318"/>
              </w:tabs>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leading to prophylaxis discontinuation</w:t>
            </w:r>
          </w:p>
        </w:tc>
        <w:tc>
          <w:tcPr>
            <w:tcW w:w="3030" w:type="dxa"/>
            <w:tcBorders>
              <w:top w:val="single" w:sz="4" w:space="0" w:color="000000"/>
              <w:bottom w:val="single" w:sz="4" w:space="0" w:color="000000"/>
            </w:tcBorders>
            <w:vAlign w:val="center"/>
          </w:tcPr>
          <w:p w14:paraId="0EED15D8"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9 (4.5)</w:t>
            </w:r>
          </w:p>
        </w:tc>
        <w:tc>
          <w:tcPr>
            <w:tcW w:w="2976" w:type="dxa"/>
            <w:tcBorders>
              <w:top w:val="single" w:sz="4" w:space="0" w:color="000000"/>
              <w:bottom w:val="single" w:sz="4" w:space="0" w:color="000000"/>
            </w:tcBorders>
            <w:vAlign w:val="center"/>
          </w:tcPr>
          <w:p w14:paraId="386BC9CC"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5 (2.5)</w:t>
            </w:r>
          </w:p>
        </w:tc>
      </w:tr>
      <w:tr w:rsidR="0038525E" w:rsidRPr="00D47C76" w14:paraId="04CC0D83" w14:textId="77777777" w:rsidTr="001D660E">
        <w:trPr>
          <w:cantSplit/>
        </w:trPr>
        <w:tc>
          <w:tcPr>
            <w:tcW w:w="3174" w:type="dxa"/>
            <w:tcBorders>
              <w:top w:val="single" w:sz="4" w:space="0" w:color="000000"/>
              <w:bottom w:val="single" w:sz="4" w:space="0" w:color="000000"/>
            </w:tcBorders>
            <w:vAlign w:val="center"/>
          </w:tcPr>
          <w:p w14:paraId="43F2DF89" w14:textId="77777777" w:rsidR="0038525E" w:rsidRPr="00D47C76" w:rsidRDefault="0038525E" w:rsidP="0038525E">
            <w:pPr>
              <w:widowControl w:val="0"/>
              <w:tabs>
                <w:tab w:val="left" w:pos="318"/>
              </w:tabs>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leading to study withdrawal</w:t>
            </w:r>
          </w:p>
        </w:tc>
        <w:tc>
          <w:tcPr>
            <w:tcW w:w="3030" w:type="dxa"/>
            <w:tcBorders>
              <w:top w:val="single" w:sz="4" w:space="0" w:color="000000"/>
              <w:bottom w:val="single" w:sz="4" w:space="0" w:color="000000"/>
            </w:tcBorders>
            <w:vAlign w:val="center"/>
          </w:tcPr>
          <w:p w14:paraId="5776582B"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9 (4.5)</w:t>
            </w:r>
          </w:p>
        </w:tc>
        <w:tc>
          <w:tcPr>
            <w:tcW w:w="2976" w:type="dxa"/>
            <w:tcBorders>
              <w:top w:val="single" w:sz="4" w:space="0" w:color="000000"/>
              <w:bottom w:val="single" w:sz="4" w:space="0" w:color="000000"/>
            </w:tcBorders>
            <w:vAlign w:val="center"/>
          </w:tcPr>
          <w:p w14:paraId="72215BCF" w14:textId="77777777" w:rsidR="0038525E" w:rsidRPr="00D47C76" w:rsidRDefault="0038525E" w:rsidP="0038525E">
            <w:pPr>
              <w:widowControl w:val="0"/>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7 (3.5)</w:t>
            </w:r>
          </w:p>
        </w:tc>
      </w:tr>
    </w:tbl>
    <w:p w14:paraId="5FAE6EAC" w14:textId="77777777" w:rsidR="0038525E" w:rsidRPr="001D660E" w:rsidRDefault="0038525E" w:rsidP="0038525E">
      <w:pPr>
        <w:pStyle w:val="BodyText"/>
        <w:rPr>
          <w:rFonts w:asciiTheme="minorHAnsi" w:hAnsiTheme="minorHAnsi" w:cstheme="minorHAnsi"/>
          <w:sz w:val="18"/>
          <w:szCs w:val="18"/>
          <w:lang w:val="en-GB"/>
        </w:rPr>
      </w:pPr>
      <w:r w:rsidRPr="001D660E">
        <w:rPr>
          <w:rFonts w:asciiTheme="minorHAnsi" w:hAnsiTheme="minorHAnsi" w:cstheme="minorHAnsi"/>
          <w:sz w:val="18"/>
          <w:szCs w:val="18"/>
          <w:lang w:val="en-GB"/>
        </w:rPr>
        <w:t>Abbreviations: AE, adverse event; RCTC, rheumatology common toxicity criteria; SAE, serious adverse event.</w:t>
      </w:r>
    </w:p>
    <w:p w14:paraId="2CD803EE" w14:textId="0DB2E979" w:rsidR="00C9403E" w:rsidRPr="001D660E" w:rsidRDefault="00C9403E" w:rsidP="000210A2">
      <w:pPr>
        <w:shd w:val="clear" w:color="auto" w:fill="FFFFFF"/>
        <w:spacing w:line="360" w:lineRule="auto"/>
        <w:rPr>
          <w:rFonts w:cs="Arial"/>
          <w:sz w:val="20"/>
          <w:szCs w:val="20"/>
          <w:lang w:val="en-US"/>
        </w:rPr>
      </w:pPr>
    </w:p>
    <w:p w14:paraId="57A8FFAF" w14:textId="52DDDBBA" w:rsidR="00943F64" w:rsidRPr="00943F64" w:rsidRDefault="00943F64" w:rsidP="000210A2">
      <w:pPr>
        <w:shd w:val="clear" w:color="auto" w:fill="FFFFFF"/>
        <w:spacing w:line="360" w:lineRule="auto"/>
        <w:rPr>
          <w:rFonts w:cs="Arial"/>
          <w:sz w:val="20"/>
          <w:szCs w:val="20"/>
        </w:rPr>
      </w:pPr>
      <w:r w:rsidRPr="00943F64">
        <w:rPr>
          <w:rFonts w:cs="Arial"/>
          <w:sz w:val="20"/>
          <w:szCs w:val="20"/>
        </w:rPr>
        <w:t xml:space="preserve">L'incidenza complessiva di </w:t>
      </w:r>
      <w:r w:rsidRPr="00AB3235">
        <w:rPr>
          <w:rFonts w:cs="Arial"/>
          <w:b/>
          <w:sz w:val="20"/>
          <w:szCs w:val="20"/>
        </w:rPr>
        <w:t xml:space="preserve">eventi avversi a carico dei </w:t>
      </w:r>
      <w:r w:rsidRPr="00AB3235">
        <w:rPr>
          <w:rFonts w:cs="Arial"/>
          <w:sz w:val="20"/>
          <w:szCs w:val="20"/>
        </w:rPr>
        <w:t>reni è stata simile nei due gruppi di studio</w:t>
      </w:r>
      <w:r w:rsidRPr="00943F64">
        <w:rPr>
          <w:rFonts w:cs="Arial"/>
          <w:sz w:val="20"/>
          <w:szCs w:val="20"/>
        </w:rPr>
        <w:t xml:space="preserve">. Solamente l’aumento della creatinina sierica è stato più frequente tra i pazienti trattati con lesinurad 200 mg in combinazione con allopurinolo (3,5% </w:t>
      </w:r>
      <w:r w:rsidR="002C21C9">
        <w:rPr>
          <w:rFonts w:cs="Arial"/>
          <w:sz w:val="20"/>
          <w:szCs w:val="20"/>
        </w:rPr>
        <w:t>lesinurad 200 mg + allopurinolo</w:t>
      </w:r>
      <w:r w:rsidR="002C21C9" w:rsidRPr="00943F64">
        <w:rPr>
          <w:rFonts w:cs="Arial"/>
          <w:sz w:val="20"/>
          <w:szCs w:val="20"/>
        </w:rPr>
        <w:t xml:space="preserve"> </w:t>
      </w:r>
      <w:r w:rsidR="002C21C9">
        <w:rPr>
          <w:rFonts w:cs="Arial"/>
          <w:sz w:val="20"/>
          <w:szCs w:val="20"/>
        </w:rPr>
        <w:t>vs</w:t>
      </w:r>
      <w:r w:rsidR="002C21C9" w:rsidRPr="00943F64">
        <w:rPr>
          <w:rFonts w:cs="Arial"/>
          <w:sz w:val="20"/>
          <w:szCs w:val="20"/>
        </w:rPr>
        <w:t xml:space="preserve"> </w:t>
      </w:r>
      <w:r w:rsidRPr="00943F64">
        <w:rPr>
          <w:rFonts w:cs="Arial"/>
          <w:sz w:val="20"/>
          <w:szCs w:val="20"/>
        </w:rPr>
        <w:t>1%</w:t>
      </w:r>
      <w:r w:rsidR="002C21C9" w:rsidRPr="002C21C9">
        <w:rPr>
          <w:rFonts w:cs="Arial"/>
          <w:sz w:val="20"/>
          <w:szCs w:val="20"/>
        </w:rPr>
        <w:t xml:space="preserve"> </w:t>
      </w:r>
      <w:r w:rsidR="002C21C9">
        <w:rPr>
          <w:rFonts w:cs="Arial"/>
          <w:sz w:val="20"/>
          <w:szCs w:val="20"/>
        </w:rPr>
        <w:t>allopurinolo in monoterapia</w:t>
      </w:r>
      <w:r w:rsidRPr="00943F64">
        <w:rPr>
          <w:rFonts w:cs="Arial"/>
          <w:sz w:val="20"/>
          <w:szCs w:val="20"/>
        </w:rPr>
        <w:t>). La maggior parte di questi incrementi si è risolta senza necessità di interruzione del trattamento</w:t>
      </w:r>
      <w:r w:rsidR="00B60427">
        <w:rPr>
          <w:rFonts w:cs="Arial"/>
          <w:sz w:val="20"/>
          <w:szCs w:val="20"/>
        </w:rPr>
        <w:t xml:space="preserve">. Evidenze in letteratura associano i farmaci con meccanismo uricosurico allo sviluppo di calcoli renali; nel caso di </w:t>
      </w:r>
      <w:r w:rsidR="00286E34">
        <w:rPr>
          <w:rFonts w:cs="Arial"/>
          <w:sz w:val="20"/>
          <w:szCs w:val="20"/>
        </w:rPr>
        <w:t>l</w:t>
      </w:r>
      <w:r w:rsidR="00B60427">
        <w:rPr>
          <w:rFonts w:cs="Arial"/>
          <w:sz w:val="20"/>
          <w:szCs w:val="20"/>
        </w:rPr>
        <w:t>esinurad non è stato osservato un incremento nel numero di calcoli renali</w:t>
      </w:r>
      <w:r w:rsidR="00013B6B">
        <w:rPr>
          <w:rFonts w:cs="Arial"/>
          <w:sz w:val="20"/>
          <w:szCs w:val="20"/>
        </w:rPr>
        <w:t xml:space="preserve"> (1.0% lesinurad 200mg vs 2% allopurinolo in monoterapia)</w:t>
      </w:r>
      <w:r w:rsidR="00B60427">
        <w:rPr>
          <w:rFonts w:cs="Arial"/>
          <w:sz w:val="20"/>
          <w:szCs w:val="20"/>
        </w:rPr>
        <w:t>, probabilmente grazie all’associazione con allopurinolo, che riduce la produzione di acido urico</w:t>
      </w:r>
      <w:r w:rsidR="00FA0A2B">
        <w:rPr>
          <w:rFonts w:cs="Arial"/>
          <w:sz w:val="20"/>
          <w:szCs w:val="20"/>
        </w:rPr>
        <w:t xml:space="preserve"> (</w:t>
      </w:r>
      <w:r w:rsidR="00D3508A">
        <w:rPr>
          <w:rFonts w:cs="Arial"/>
          <w:color w:val="0000FF"/>
          <w:sz w:val="20"/>
          <w:szCs w:val="20"/>
        </w:rPr>
        <w:t>Saag, 2016 (138</w:t>
      </w:r>
      <w:r w:rsidR="00DA7F29">
        <w:rPr>
          <w:rFonts w:cs="Arial"/>
          <w:color w:val="0000FF"/>
          <w:sz w:val="20"/>
          <w:szCs w:val="20"/>
        </w:rPr>
        <w:t>)</w:t>
      </w:r>
      <w:r w:rsidR="00FA0A2B">
        <w:rPr>
          <w:rFonts w:cs="Arial"/>
          <w:sz w:val="20"/>
          <w:szCs w:val="20"/>
        </w:rPr>
        <w:t>)</w:t>
      </w:r>
      <w:r w:rsidRPr="00943F64">
        <w:rPr>
          <w:rFonts w:cs="Arial"/>
          <w:sz w:val="20"/>
          <w:szCs w:val="20"/>
        </w:rPr>
        <w:t xml:space="preserve">. </w:t>
      </w:r>
    </w:p>
    <w:p w14:paraId="712706FF" w14:textId="6E295C80" w:rsidR="00E04C98" w:rsidRPr="00B31A33" w:rsidRDefault="00B31A33" w:rsidP="000210A2">
      <w:pPr>
        <w:shd w:val="clear" w:color="auto" w:fill="FFFFFF"/>
        <w:spacing w:line="360" w:lineRule="auto"/>
        <w:rPr>
          <w:rFonts w:cs="Arial"/>
          <w:sz w:val="20"/>
          <w:szCs w:val="20"/>
        </w:rPr>
      </w:pPr>
      <w:r w:rsidRPr="00B31A33">
        <w:rPr>
          <w:rFonts w:cs="Arial"/>
          <w:sz w:val="20"/>
          <w:szCs w:val="20"/>
        </w:rPr>
        <w:t xml:space="preserve">L’incidenza degli </w:t>
      </w:r>
      <w:r w:rsidRPr="00AB3235">
        <w:rPr>
          <w:rFonts w:cs="Arial"/>
          <w:b/>
          <w:sz w:val="20"/>
          <w:szCs w:val="20"/>
        </w:rPr>
        <w:t>eventi avversi emersi durante il trattamento (TEAE) classificati come eventi cardiovascolari</w:t>
      </w:r>
      <w:r w:rsidRPr="00B31A33">
        <w:rPr>
          <w:rFonts w:cs="Arial"/>
          <w:sz w:val="20"/>
          <w:szCs w:val="20"/>
        </w:rPr>
        <w:t xml:space="preserve"> era simile tra lesinurad in associazione ad allopurinolo ed allopurinolo in monoterapia </w:t>
      </w:r>
      <w:r w:rsidR="00E04C98" w:rsidRPr="00B31A33">
        <w:rPr>
          <w:rFonts w:cs="Arial"/>
          <w:sz w:val="20"/>
          <w:szCs w:val="20"/>
        </w:rPr>
        <w:t>(</w:t>
      </w:r>
      <w:r w:rsidR="00CB4678">
        <w:rPr>
          <w:rFonts w:cs="Arial"/>
          <w:sz w:val="20"/>
          <w:szCs w:val="20"/>
        </w:rPr>
        <w:t>4</w:t>
      </w:r>
      <w:r w:rsidR="00E04C98" w:rsidRPr="00B31A33">
        <w:rPr>
          <w:rFonts w:cs="Arial"/>
          <w:sz w:val="20"/>
          <w:szCs w:val="20"/>
        </w:rPr>
        <w:t>.5</w:t>
      </w:r>
      <w:r w:rsidR="00FA0A2B">
        <w:rPr>
          <w:rFonts w:cs="Arial"/>
          <w:sz w:val="20"/>
          <w:szCs w:val="20"/>
        </w:rPr>
        <w:t xml:space="preserve">% versus </w:t>
      </w:r>
      <w:r w:rsidR="00CB4678">
        <w:rPr>
          <w:rFonts w:cs="Arial"/>
          <w:sz w:val="20"/>
          <w:szCs w:val="20"/>
        </w:rPr>
        <w:t>3</w:t>
      </w:r>
      <w:r w:rsidR="00E04C98" w:rsidRPr="00B31A33">
        <w:rPr>
          <w:rFonts w:cs="Arial"/>
          <w:sz w:val="20"/>
          <w:szCs w:val="20"/>
        </w:rPr>
        <w:t>.5%).</w:t>
      </w:r>
      <w:r>
        <w:rPr>
          <w:rFonts w:cs="Arial"/>
          <w:sz w:val="20"/>
          <w:szCs w:val="20"/>
        </w:rPr>
        <w:t xml:space="preserve"> </w:t>
      </w:r>
      <w:r w:rsidRPr="00B31A33">
        <w:rPr>
          <w:rFonts w:cs="Arial"/>
          <w:sz w:val="20"/>
          <w:szCs w:val="20"/>
        </w:rPr>
        <w:t>Gli eventi che corrispondevano ai criteri MACE (</w:t>
      </w:r>
      <w:r w:rsidR="00DF1F08" w:rsidRPr="00DF1F08">
        <w:rPr>
          <w:rFonts w:cs="Arial"/>
          <w:sz w:val="20"/>
          <w:szCs w:val="20"/>
        </w:rPr>
        <w:t>MACE: morte cardiovascolare, infarto del miocardio non fatale, ictus non fatale</w:t>
      </w:r>
      <w:r w:rsidRPr="00B31A33">
        <w:rPr>
          <w:rFonts w:cs="Arial"/>
          <w:sz w:val="20"/>
          <w:szCs w:val="20"/>
        </w:rPr>
        <w:t>)</w:t>
      </w:r>
      <w:r>
        <w:rPr>
          <w:rFonts w:cs="Arial"/>
          <w:sz w:val="20"/>
          <w:szCs w:val="20"/>
        </w:rPr>
        <w:t xml:space="preserve"> erano uniformemente distribuiti nei gruppi di trattamento (</w:t>
      </w:r>
      <w:r w:rsidR="002C21C9">
        <w:rPr>
          <w:rFonts w:cs="Arial"/>
          <w:sz w:val="20"/>
          <w:szCs w:val="20"/>
        </w:rPr>
        <w:t xml:space="preserve">3 </w:t>
      </w:r>
      <w:r w:rsidR="0038525E">
        <w:rPr>
          <w:rFonts w:cs="Arial"/>
          <w:sz w:val="20"/>
          <w:szCs w:val="20"/>
        </w:rPr>
        <w:t>e</w:t>
      </w:r>
      <w:r>
        <w:rPr>
          <w:rFonts w:cs="Arial"/>
          <w:sz w:val="20"/>
          <w:szCs w:val="20"/>
        </w:rPr>
        <w:t xml:space="preserve">venti in </w:t>
      </w:r>
      <w:r w:rsidR="002C21C9">
        <w:rPr>
          <w:rFonts w:cs="Arial"/>
          <w:sz w:val="20"/>
          <w:szCs w:val="20"/>
        </w:rPr>
        <w:t xml:space="preserve">2 </w:t>
      </w:r>
      <w:r>
        <w:rPr>
          <w:rFonts w:cs="Arial"/>
          <w:sz w:val="20"/>
          <w:szCs w:val="20"/>
        </w:rPr>
        <w:t>soggetti</w:t>
      </w:r>
      <w:r w:rsidR="002C21C9">
        <w:rPr>
          <w:rFonts w:cs="Arial"/>
          <w:sz w:val="20"/>
          <w:szCs w:val="20"/>
        </w:rPr>
        <w:t xml:space="preserve"> versus 2 eventi in 2 soggetti</w:t>
      </w:r>
      <w:r>
        <w:rPr>
          <w:rFonts w:cs="Arial"/>
          <w:sz w:val="20"/>
          <w:szCs w:val="20"/>
        </w:rPr>
        <w:t>)</w:t>
      </w:r>
      <w:r w:rsidR="002C21C9">
        <w:rPr>
          <w:rFonts w:cs="Arial"/>
          <w:sz w:val="20"/>
          <w:szCs w:val="20"/>
        </w:rPr>
        <w:t xml:space="preserve"> (</w:t>
      </w:r>
      <w:r w:rsidR="00D3508A">
        <w:rPr>
          <w:rFonts w:cs="Arial"/>
          <w:color w:val="0000FF"/>
          <w:sz w:val="20"/>
          <w:szCs w:val="20"/>
        </w:rPr>
        <w:t>Saag, 2016 (138</w:t>
      </w:r>
      <w:r w:rsidR="00DA7F29">
        <w:rPr>
          <w:rFonts w:cs="Arial"/>
          <w:color w:val="0000FF"/>
          <w:sz w:val="20"/>
          <w:szCs w:val="20"/>
        </w:rPr>
        <w:t>)</w:t>
      </w:r>
      <w:r w:rsidR="00286E34" w:rsidRPr="002A1B82">
        <w:rPr>
          <w:rFonts w:cs="Arial"/>
          <w:sz w:val="20"/>
          <w:szCs w:val="20"/>
        </w:rPr>
        <w:t>)</w:t>
      </w:r>
      <w:r w:rsidR="00286E34">
        <w:rPr>
          <w:rFonts w:cs="Arial"/>
          <w:color w:val="0000FF"/>
          <w:sz w:val="20"/>
          <w:szCs w:val="20"/>
        </w:rPr>
        <w:t>.</w:t>
      </w:r>
      <w:r w:rsidR="00A13872">
        <w:rPr>
          <w:rFonts w:cs="Arial"/>
          <w:sz w:val="20"/>
          <w:szCs w:val="20"/>
        </w:rPr>
        <w:t xml:space="preserve"> La percentuale di soggetti con eventi avversi seri appartenenti al SOC “Disordini cardi</w:t>
      </w:r>
      <w:r w:rsidR="00E16449">
        <w:rPr>
          <w:rFonts w:cs="Arial"/>
          <w:sz w:val="20"/>
          <w:szCs w:val="20"/>
        </w:rPr>
        <w:t>aci</w:t>
      </w:r>
      <w:r w:rsidR="00A13872">
        <w:rPr>
          <w:rFonts w:cs="Arial"/>
          <w:sz w:val="20"/>
          <w:szCs w:val="20"/>
        </w:rPr>
        <w:t>” era leggermente maggiore nel gruppo lesinurad 200 mg in associazione ad allopurinolo, rispetto ad allopurinolo in monoterapia (3</w:t>
      </w:r>
      <w:r w:rsidR="00A13872" w:rsidRPr="00A13872">
        <w:rPr>
          <w:rFonts w:cs="Arial"/>
          <w:sz w:val="20"/>
          <w:szCs w:val="20"/>
        </w:rPr>
        <w:t>.</w:t>
      </w:r>
      <w:r w:rsidR="00A13872">
        <w:rPr>
          <w:rFonts w:cs="Arial"/>
          <w:sz w:val="20"/>
          <w:szCs w:val="20"/>
        </w:rPr>
        <w:t>0</w:t>
      </w:r>
      <w:r w:rsidR="00A13872" w:rsidRPr="00A13872">
        <w:rPr>
          <w:rFonts w:cs="Arial"/>
          <w:sz w:val="20"/>
          <w:szCs w:val="20"/>
        </w:rPr>
        <w:t xml:space="preserve">% </w:t>
      </w:r>
      <w:r w:rsidR="00A13872">
        <w:rPr>
          <w:rFonts w:cs="Arial"/>
          <w:sz w:val="20"/>
          <w:szCs w:val="20"/>
        </w:rPr>
        <w:t>e</w:t>
      </w:r>
      <w:r w:rsidR="00A13872" w:rsidRPr="00A13872">
        <w:rPr>
          <w:rFonts w:cs="Arial"/>
          <w:sz w:val="20"/>
          <w:szCs w:val="20"/>
        </w:rPr>
        <w:t xml:space="preserve"> 0</w:t>
      </w:r>
      <w:r w:rsidR="00A13872">
        <w:rPr>
          <w:rFonts w:cs="Arial"/>
          <w:sz w:val="20"/>
          <w:szCs w:val="20"/>
        </w:rPr>
        <w:t>.5</w:t>
      </w:r>
      <w:r w:rsidR="00A13872" w:rsidRPr="00A13872">
        <w:rPr>
          <w:rFonts w:cs="Arial"/>
          <w:sz w:val="20"/>
          <w:szCs w:val="20"/>
        </w:rPr>
        <w:t>%, r</w:t>
      </w:r>
      <w:r w:rsidR="00A13872">
        <w:rPr>
          <w:rFonts w:cs="Arial"/>
          <w:sz w:val="20"/>
          <w:szCs w:val="20"/>
        </w:rPr>
        <w:t>ispettivamente</w:t>
      </w:r>
      <w:r w:rsidR="00A13872" w:rsidRPr="00A13872">
        <w:rPr>
          <w:rFonts w:cs="Arial"/>
          <w:sz w:val="20"/>
          <w:szCs w:val="20"/>
        </w:rPr>
        <w:t>).</w:t>
      </w:r>
    </w:p>
    <w:p w14:paraId="1536B230" w14:textId="14D6787E" w:rsidR="006B54A7" w:rsidRDefault="006B54A7" w:rsidP="000210A2">
      <w:pPr>
        <w:shd w:val="clear" w:color="auto" w:fill="FFFFFF"/>
        <w:spacing w:line="360" w:lineRule="auto"/>
        <w:rPr>
          <w:rFonts w:cs="Arial"/>
          <w:sz w:val="20"/>
          <w:szCs w:val="20"/>
        </w:rPr>
      </w:pPr>
      <w:r w:rsidRPr="006B54A7">
        <w:rPr>
          <w:rFonts w:cs="Arial"/>
          <w:sz w:val="20"/>
          <w:szCs w:val="20"/>
        </w:rPr>
        <w:t xml:space="preserve">La generale buona tollerabilità di lesinurad 200 mg è stata confermata </w:t>
      </w:r>
      <w:r>
        <w:rPr>
          <w:rFonts w:cs="Arial"/>
          <w:sz w:val="20"/>
          <w:szCs w:val="20"/>
        </w:rPr>
        <w:t xml:space="preserve">dai risultati dell’analisi POOLED dei due </w:t>
      </w:r>
      <w:r w:rsidRPr="00782F71">
        <w:rPr>
          <w:rFonts w:cs="Arial"/>
          <w:sz w:val="20"/>
          <w:szCs w:val="20"/>
        </w:rPr>
        <w:t>studi (</w:t>
      </w:r>
      <w:hyperlink w:anchor="Paragrafo529" w:history="1">
        <w:r w:rsidRPr="00782F71">
          <w:rPr>
            <w:rStyle w:val="Hyperlink"/>
            <w:rFonts w:cs="Arial"/>
            <w:sz w:val="20"/>
            <w:szCs w:val="20"/>
          </w:rPr>
          <w:t>Paragrafo 5.</w:t>
        </w:r>
        <w:r w:rsidR="005C654C" w:rsidRPr="00782F71">
          <w:rPr>
            <w:rStyle w:val="Hyperlink"/>
            <w:rFonts w:cs="Arial"/>
            <w:sz w:val="20"/>
            <w:szCs w:val="20"/>
          </w:rPr>
          <w:t>29</w:t>
        </w:r>
      </w:hyperlink>
      <w:r w:rsidRPr="00782F71">
        <w:rPr>
          <w:rFonts w:cs="Arial"/>
          <w:sz w:val="20"/>
          <w:szCs w:val="20"/>
        </w:rPr>
        <w:t>) e dai risultati dello studio di estensione a lungo termine (</w:t>
      </w:r>
      <w:r w:rsidR="00782F71">
        <w:rPr>
          <w:rFonts w:cs="Arial"/>
          <w:sz w:val="20"/>
          <w:szCs w:val="20"/>
        </w:rPr>
        <w:t>52</w:t>
      </w:r>
      <w:r w:rsidR="00AB6DDD" w:rsidRPr="00782F71">
        <w:rPr>
          <w:rFonts w:cs="Arial"/>
          <w:sz w:val="20"/>
          <w:szCs w:val="20"/>
        </w:rPr>
        <w:t xml:space="preserve"> mesi</w:t>
      </w:r>
      <w:r w:rsidRPr="00782F71">
        <w:rPr>
          <w:rFonts w:cs="Arial"/>
          <w:sz w:val="20"/>
          <w:szCs w:val="20"/>
        </w:rPr>
        <w:t>) (studio 306)</w:t>
      </w:r>
      <w:r w:rsidRPr="006B54A7">
        <w:rPr>
          <w:rFonts w:cs="Arial"/>
          <w:sz w:val="20"/>
          <w:szCs w:val="20"/>
        </w:rPr>
        <w:t xml:space="preserve"> (</w:t>
      </w:r>
      <w:hyperlink w:anchor="Paragrafo539" w:history="1">
        <w:r w:rsidRPr="00A813E3">
          <w:rPr>
            <w:rStyle w:val="Hyperlink"/>
            <w:rFonts w:cs="Arial"/>
            <w:sz w:val="20"/>
            <w:szCs w:val="20"/>
          </w:rPr>
          <w:t>Paragrafo 5.</w:t>
        </w:r>
        <w:r w:rsidR="00C9403E" w:rsidRPr="00A813E3">
          <w:rPr>
            <w:rStyle w:val="Hyperlink"/>
            <w:rFonts w:cs="Arial"/>
            <w:sz w:val="20"/>
            <w:szCs w:val="20"/>
          </w:rPr>
          <w:t>3</w:t>
        </w:r>
        <w:r w:rsidRPr="00A813E3">
          <w:rPr>
            <w:rStyle w:val="Hyperlink"/>
            <w:rFonts w:cs="Arial"/>
            <w:sz w:val="20"/>
            <w:szCs w:val="20"/>
          </w:rPr>
          <w:t>9</w:t>
        </w:r>
      </w:hyperlink>
      <w:r w:rsidRPr="006B54A7">
        <w:rPr>
          <w:rFonts w:cs="Arial"/>
          <w:sz w:val="20"/>
          <w:szCs w:val="20"/>
        </w:rPr>
        <w:t>).</w:t>
      </w:r>
    </w:p>
    <w:p w14:paraId="32A0EA67" w14:textId="77777777" w:rsidR="006B54A7" w:rsidRDefault="006B54A7" w:rsidP="000210A2">
      <w:pPr>
        <w:shd w:val="clear" w:color="auto" w:fill="FFFFFF"/>
        <w:spacing w:line="360" w:lineRule="auto"/>
        <w:rPr>
          <w:rFonts w:cs="Arial"/>
          <w:sz w:val="20"/>
          <w:szCs w:val="20"/>
        </w:rPr>
      </w:pPr>
    </w:p>
    <w:p w14:paraId="4B26FFC2" w14:textId="3D5FBD91" w:rsidR="006B54A7" w:rsidRPr="006B54A7" w:rsidRDefault="006B54A7" w:rsidP="000210A2">
      <w:pPr>
        <w:shd w:val="clear" w:color="auto" w:fill="FFFFFF"/>
        <w:spacing w:line="360" w:lineRule="auto"/>
        <w:rPr>
          <w:rFonts w:cs="Arial"/>
          <w:b/>
          <w:sz w:val="20"/>
          <w:szCs w:val="20"/>
        </w:rPr>
      </w:pPr>
      <w:r w:rsidRPr="006B54A7">
        <w:rPr>
          <w:rFonts w:cs="Arial"/>
          <w:b/>
          <w:sz w:val="20"/>
          <w:szCs w:val="20"/>
        </w:rPr>
        <w:t>STUDIO CLEAR 2</w:t>
      </w:r>
    </w:p>
    <w:p w14:paraId="242831E0" w14:textId="0107E3F3" w:rsidR="006B54A7" w:rsidRDefault="006B54A7" w:rsidP="000210A2">
      <w:pPr>
        <w:shd w:val="clear" w:color="auto" w:fill="FFFFFF"/>
        <w:spacing w:line="360" w:lineRule="auto"/>
        <w:rPr>
          <w:rFonts w:cs="Arial"/>
          <w:sz w:val="20"/>
          <w:szCs w:val="20"/>
        </w:rPr>
      </w:pPr>
      <w:r w:rsidRPr="006B54A7">
        <w:rPr>
          <w:rFonts w:cs="Arial"/>
          <w:sz w:val="20"/>
          <w:szCs w:val="20"/>
        </w:rPr>
        <w:t>Lo studio CLEAR-2 ha portato ulteriori evidenze a sostegno del buon profilo di tollerabilità di lesinurad 200 mg/die, già dimostrato nello studio CLEAR-1: i pazienti assegnati al trattamento con lesinurad</w:t>
      </w:r>
      <w:r w:rsidR="00343BEA">
        <w:rPr>
          <w:rFonts w:cs="Arial"/>
          <w:sz w:val="20"/>
          <w:szCs w:val="20"/>
        </w:rPr>
        <w:t xml:space="preserve"> </w:t>
      </w:r>
      <w:r w:rsidRPr="006B54A7">
        <w:rPr>
          <w:rFonts w:cs="Arial"/>
          <w:sz w:val="20"/>
          <w:szCs w:val="20"/>
        </w:rPr>
        <w:t>200 mg</w:t>
      </w:r>
      <w:r w:rsidR="00343BEA">
        <w:rPr>
          <w:rFonts w:cs="Arial"/>
          <w:sz w:val="20"/>
          <w:szCs w:val="20"/>
        </w:rPr>
        <w:t>/die</w:t>
      </w:r>
      <w:r w:rsidRPr="006B54A7">
        <w:rPr>
          <w:rFonts w:cs="Arial"/>
          <w:sz w:val="20"/>
          <w:szCs w:val="20"/>
        </w:rPr>
        <w:t xml:space="preserve"> in combinazione con allopurinolo hanno avuto </w:t>
      </w:r>
      <w:r w:rsidRPr="00AB3235">
        <w:rPr>
          <w:rFonts w:cs="Arial"/>
          <w:b/>
          <w:sz w:val="20"/>
          <w:szCs w:val="20"/>
        </w:rPr>
        <w:t>tassi di eventi avversi simili</w:t>
      </w:r>
      <w:r w:rsidRPr="006B54A7">
        <w:rPr>
          <w:rFonts w:cs="Arial"/>
          <w:sz w:val="20"/>
          <w:szCs w:val="20"/>
        </w:rPr>
        <w:t xml:space="preserve"> a quelli osservati tra i pazienti assegnati a</w:t>
      </w:r>
      <w:r w:rsidR="00343BEA">
        <w:rPr>
          <w:rFonts w:cs="Arial"/>
          <w:sz w:val="20"/>
          <w:szCs w:val="20"/>
        </w:rPr>
        <w:t>d</w:t>
      </w:r>
      <w:r w:rsidRPr="006B54A7">
        <w:rPr>
          <w:rFonts w:cs="Arial"/>
          <w:sz w:val="20"/>
          <w:szCs w:val="20"/>
        </w:rPr>
        <w:t xml:space="preserve"> allopurinolo in monoterapia </w:t>
      </w:r>
      <w:r w:rsidR="0038525E">
        <w:rPr>
          <w:rFonts w:cs="Arial"/>
          <w:sz w:val="20"/>
          <w:szCs w:val="20"/>
        </w:rPr>
        <w:t xml:space="preserve">(74,5% vs 70,9% rispettivamente); la precentuale di soggetti con con AE, SAE e AE che hanno portato ad interruzione dello studio è stata simile tra i gruppi di trattamento </w:t>
      </w:r>
      <w:r w:rsidRPr="006B54A7">
        <w:rPr>
          <w:rFonts w:cs="Arial"/>
          <w:sz w:val="20"/>
          <w:szCs w:val="20"/>
        </w:rPr>
        <w:t>(</w:t>
      </w:r>
      <w:hyperlink w:anchor="Tabella12" w:history="1">
        <w:r w:rsidRPr="002A1B82">
          <w:rPr>
            <w:rStyle w:val="Hyperlink"/>
            <w:rFonts w:cs="Arial"/>
            <w:sz w:val="20"/>
            <w:szCs w:val="20"/>
          </w:rPr>
          <w:t>Tabella</w:t>
        </w:r>
        <w:r w:rsidR="00AF5F11" w:rsidRPr="002A1B82">
          <w:rPr>
            <w:rStyle w:val="Hyperlink"/>
            <w:rFonts w:cs="Arial"/>
            <w:sz w:val="20"/>
            <w:szCs w:val="20"/>
          </w:rPr>
          <w:t xml:space="preserve"> </w:t>
        </w:r>
        <w:r w:rsidR="00A813E3" w:rsidRPr="002A1B82">
          <w:rPr>
            <w:rStyle w:val="Hyperlink"/>
            <w:rFonts w:cs="Arial"/>
            <w:sz w:val="20"/>
            <w:szCs w:val="20"/>
          </w:rPr>
          <w:t>1</w:t>
        </w:r>
        <w:r w:rsidR="002A1B82" w:rsidRPr="002A1B82">
          <w:rPr>
            <w:rStyle w:val="Hyperlink"/>
            <w:rFonts w:cs="Arial"/>
            <w:sz w:val="20"/>
            <w:szCs w:val="20"/>
          </w:rPr>
          <w:t>2</w:t>
        </w:r>
      </w:hyperlink>
      <w:r w:rsidRPr="006B54A7">
        <w:rPr>
          <w:rFonts w:cs="Arial"/>
          <w:sz w:val="20"/>
          <w:szCs w:val="20"/>
        </w:rPr>
        <w:t>)</w:t>
      </w:r>
      <w:r w:rsidR="002C21C9" w:rsidRPr="002C21C9">
        <w:rPr>
          <w:rFonts w:cs="Arial"/>
          <w:sz w:val="20"/>
          <w:szCs w:val="20"/>
        </w:rPr>
        <w:t xml:space="preserve"> </w:t>
      </w:r>
      <w:r w:rsidR="002C21C9">
        <w:rPr>
          <w:rFonts w:cs="Arial"/>
          <w:sz w:val="20"/>
          <w:szCs w:val="20"/>
        </w:rPr>
        <w:t>(</w:t>
      </w:r>
      <w:r w:rsidR="0087651E">
        <w:rPr>
          <w:rFonts w:cs="Arial"/>
          <w:color w:val="0000FF"/>
          <w:sz w:val="20"/>
          <w:szCs w:val="20"/>
        </w:rPr>
        <w:t>CSR 302, 2014 (110</w:t>
      </w:r>
      <w:r w:rsidR="008E6BDD">
        <w:rPr>
          <w:rFonts w:cs="Arial"/>
          <w:color w:val="0000FF"/>
          <w:sz w:val="20"/>
          <w:szCs w:val="20"/>
        </w:rPr>
        <w:t>)</w:t>
      </w:r>
      <w:r w:rsidR="002C21C9">
        <w:rPr>
          <w:rFonts w:cs="Arial"/>
          <w:sz w:val="20"/>
          <w:szCs w:val="20"/>
        </w:rPr>
        <w:t>)</w:t>
      </w:r>
      <w:r w:rsidRPr="006B54A7">
        <w:rPr>
          <w:rFonts w:cs="Arial"/>
          <w:sz w:val="20"/>
          <w:szCs w:val="20"/>
        </w:rPr>
        <w:t>.</w:t>
      </w:r>
    </w:p>
    <w:p w14:paraId="32761817" w14:textId="77777777" w:rsidR="00C9403E" w:rsidRPr="006B54A7" w:rsidRDefault="00C9403E" w:rsidP="006B54A7">
      <w:pPr>
        <w:shd w:val="clear" w:color="auto" w:fill="FFFFFF"/>
        <w:spacing w:line="360" w:lineRule="auto"/>
        <w:jc w:val="both"/>
        <w:rPr>
          <w:rFonts w:cs="Arial"/>
          <w:sz w:val="20"/>
          <w:szCs w:val="20"/>
        </w:rPr>
      </w:pPr>
    </w:p>
    <w:p w14:paraId="350E2C00" w14:textId="0E77C65A" w:rsidR="006B54A7" w:rsidRDefault="00C9403E" w:rsidP="00C9403E">
      <w:pPr>
        <w:pStyle w:val="Caption"/>
        <w:rPr>
          <w:rFonts w:asciiTheme="minorHAnsi" w:hAnsiTheme="minorHAnsi" w:cstheme="minorHAnsi"/>
          <w:b w:val="0"/>
        </w:rPr>
      </w:pPr>
      <w:bookmarkStart w:id="120" w:name="Tabella12"/>
      <w:bookmarkStart w:id="121" w:name="_Toc473150697"/>
      <w:bookmarkEnd w:id="120"/>
      <w:r w:rsidRPr="00E13C1A">
        <w:rPr>
          <w:rFonts w:asciiTheme="minorHAnsi" w:hAnsiTheme="minorHAnsi" w:cstheme="minorHAnsi"/>
        </w:rPr>
        <w:t xml:space="preserve">Tabella </w:t>
      </w:r>
      <w:r w:rsidRPr="00C9403E">
        <w:rPr>
          <w:rFonts w:asciiTheme="minorHAnsi" w:hAnsiTheme="minorHAnsi" w:cstheme="minorHAnsi"/>
        </w:rPr>
        <w:fldChar w:fldCharType="begin"/>
      </w:r>
      <w:r w:rsidRPr="00E13C1A">
        <w:rPr>
          <w:rFonts w:asciiTheme="minorHAnsi" w:hAnsiTheme="minorHAnsi" w:cstheme="minorHAnsi"/>
        </w:rPr>
        <w:instrText xml:space="preserve"> SEQ Tabella \* ARABIC </w:instrText>
      </w:r>
      <w:r w:rsidRPr="00C9403E">
        <w:rPr>
          <w:rFonts w:asciiTheme="minorHAnsi" w:hAnsiTheme="minorHAnsi" w:cstheme="minorHAnsi"/>
        </w:rPr>
        <w:fldChar w:fldCharType="separate"/>
      </w:r>
      <w:r w:rsidR="00A1679C">
        <w:rPr>
          <w:rFonts w:asciiTheme="minorHAnsi" w:hAnsiTheme="minorHAnsi" w:cstheme="minorHAnsi"/>
          <w:noProof/>
        </w:rPr>
        <w:t>12</w:t>
      </w:r>
      <w:r w:rsidRPr="00C9403E">
        <w:rPr>
          <w:rFonts w:asciiTheme="minorHAnsi" w:hAnsiTheme="minorHAnsi" w:cstheme="minorHAnsi"/>
        </w:rPr>
        <w:fldChar w:fldCharType="end"/>
      </w:r>
      <w:r w:rsidRPr="00E13C1A">
        <w:rPr>
          <w:rFonts w:asciiTheme="minorHAnsi" w:hAnsiTheme="minorHAnsi" w:cstheme="minorHAnsi"/>
        </w:rPr>
        <w:t xml:space="preserve"> - </w:t>
      </w:r>
      <w:r w:rsidR="0038525E" w:rsidRPr="0038525E">
        <w:rPr>
          <w:rFonts w:asciiTheme="minorHAnsi" w:hAnsiTheme="minorHAnsi" w:cstheme="minorHAnsi"/>
          <w:b w:val="0"/>
          <w:lang w:val="en-GB"/>
        </w:rPr>
        <w:t>AEs in CLEAR 2 – safety population</w:t>
      </w:r>
      <w:r w:rsidR="00E13C1A">
        <w:rPr>
          <w:rFonts w:asciiTheme="minorHAnsi" w:hAnsiTheme="minorHAnsi" w:cstheme="minorHAnsi"/>
          <w:b w:val="0"/>
          <w:lang w:val="en-GB"/>
        </w:rPr>
        <w:t xml:space="preserve"> (</w:t>
      </w:r>
      <w:r w:rsidR="002C21C9" w:rsidRPr="002C21C9">
        <w:rPr>
          <w:rFonts w:asciiTheme="minorHAnsi" w:hAnsiTheme="minorHAnsi" w:cstheme="minorHAnsi"/>
          <w:b w:val="0"/>
          <w:color w:val="0000FF"/>
          <w:lang w:val="en-GB"/>
        </w:rPr>
        <w:t>CSR 302, 2014</w:t>
      </w:r>
      <w:r w:rsidR="00E13C1A">
        <w:rPr>
          <w:rFonts w:asciiTheme="minorHAnsi" w:hAnsiTheme="minorHAnsi" w:cstheme="minorHAnsi"/>
          <w:b w:val="0"/>
          <w:lang w:val="en-GB"/>
        </w:rPr>
        <w:t>)</w:t>
      </w:r>
      <w:bookmarkEnd w:id="121"/>
    </w:p>
    <w:tbl>
      <w:tblPr>
        <w:tblW w:w="496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26"/>
        <w:gridCol w:w="2630"/>
        <w:gridCol w:w="2900"/>
      </w:tblGrid>
      <w:tr w:rsidR="0038525E" w:rsidRPr="00D47C76" w14:paraId="4AA79C66" w14:textId="77777777" w:rsidTr="00E13C1A">
        <w:trPr>
          <w:trHeight w:val="290"/>
          <w:tblHeader/>
        </w:trPr>
        <w:tc>
          <w:tcPr>
            <w:tcW w:w="3510" w:type="dxa"/>
            <w:vMerge w:val="restart"/>
            <w:shd w:val="clear" w:color="auto" w:fill="D9D9D9"/>
          </w:tcPr>
          <w:p w14:paraId="3501D56F" w14:textId="77777777" w:rsidR="0038525E" w:rsidRPr="00D47C76" w:rsidRDefault="0038525E" w:rsidP="0038525E">
            <w:pPr>
              <w:spacing w:before="60" w:after="60"/>
              <w:rPr>
                <w:rFonts w:ascii="Arial" w:eastAsia="Calibri" w:hAnsi="Arial" w:cs="Arial"/>
                <w:b/>
                <w:sz w:val="18"/>
                <w:szCs w:val="18"/>
                <w:lang w:val="en-GB" w:eastAsia="en-US"/>
              </w:rPr>
            </w:pPr>
            <w:r w:rsidRPr="00D47C76">
              <w:rPr>
                <w:rFonts w:ascii="Arial" w:eastAsia="Calibri" w:hAnsi="Arial" w:cs="Arial"/>
                <w:b/>
                <w:sz w:val="18"/>
                <w:szCs w:val="18"/>
                <w:lang w:val="en-GB" w:eastAsia="en-US"/>
              </w:rPr>
              <w:t>AEs, n (%)</w:t>
            </w:r>
          </w:p>
        </w:tc>
        <w:tc>
          <w:tcPr>
            <w:tcW w:w="2694" w:type="dxa"/>
            <w:vMerge w:val="restart"/>
            <w:shd w:val="clear" w:color="auto" w:fill="D9D9D9"/>
          </w:tcPr>
          <w:p w14:paraId="2265E196" w14:textId="77777777" w:rsidR="0038525E" w:rsidRPr="00D47C76" w:rsidRDefault="0038525E" w:rsidP="0038525E">
            <w:pPr>
              <w:spacing w:before="60" w:after="60"/>
              <w:jc w:val="center"/>
              <w:rPr>
                <w:rFonts w:ascii="Arial" w:eastAsia="Calibri" w:hAnsi="Arial" w:cs="Arial"/>
                <w:b/>
                <w:sz w:val="18"/>
                <w:szCs w:val="18"/>
                <w:lang w:val="en-GB" w:eastAsia="en-US"/>
              </w:rPr>
            </w:pPr>
            <w:r w:rsidRPr="00D47C76">
              <w:rPr>
                <w:rFonts w:ascii="Arial" w:eastAsia="Calibri" w:hAnsi="Arial" w:cs="Arial"/>
                <w:b/>
                <w:sz w:val="18"/>
                <w:szCs w:val="18"/>
                <w:lang w:val="en-GB" w:eastAsia="en-US"/>
              </w:rPr>
              <w:t>Lesinurad 200 mg + allopurinol (N=204)</w:t>
            </w:r>
          </w:p>
        </w:tc>
        <w:tc>
          <w:tcPr>
            <w:tcW w:w="2976" w:type="dxa"/>
            <w:vMerge w:val="restart"/>
            <w:shd w:val="clear" w:color="auto" w:fill="D9D9D9"/>
          </w:tcPr>
          <w:p w14:paraId="398BFE4D" w14:textId="77777777" w:rsidR="0038525E" w:rsidRPr="00D47C76" w:rsidRDefault="0038525E" w:rsidP="0038525E">
            <w:pPr>
              <w:spacing w:before="60" w:after="60"/>
              <w:jc w:val="center"/>
              <w:rPr>
                <w:rFonts w:ascii="Arial" w:eastAsia="Calibri" w:hAnsi="Arial" w:cs="Arial"/>
                <w:b/>
                <w:sz w:val="18"/>
                <w:szCs w:val="18"/>
                <w:lang w:val="en-GB" w:eastAsia="en-US"/>
              </w:rPr>
            </w:pPr>
            <w:r w:rsidRPr="00D47C76">
              <w:rPr>
                <w:rFonts w:ascii="Arial" w:eastAsia="Calibri" w:hAnsi="Arial" w:cs="Arial"/>
                <w:b/>
                <w:sz w:val="18"/>
                <w:szCs w:val="18"/>
                <w:lang w:val="en-GB" w:eastAsia="en-US"/>
              </w:rPr>
              <w:t>Placebo + allopurinol (N=206)</w:t>
            </w:r>
          </w:p>
        </w:tc>
      </w:tr>
      <w:tr w:rsidR="0038525E" w:rsidRPr="00D47C76" w14:paraId="08120A77" w14:textId="77777777" w:rsidTr="00E13C1A">
        <w:trPr>
          <w:trHeight w:val="350"/>
          <w:tblHeader/>
        </w:trPr>
        <w:tc>
          <w:tcPr>
            <w:tcW w:w="3510" w:type="dxa"/>
            <w:vMerge/>
            <w:shd w:val="clear" w:color="auto" w:fill="D9D9D9"/>
          </w:tcPr>
          <w:p w14:paraId="1B27D963" w14:textId="77777777" w:rsidR="0038525E" w:rsidRPr="00D47C76" w:rsidRDefault="0038525E" w:rsidP="0038525E">
            <w:pPr>
              <w:spacing w:before="60" w:after="60"/>
              <w:rPr>
                <w:rFonts w:ascii="Arial" w:eastAsia="Calibri" w:hAnsi="Arial" w:cs="Arial"/>
                <w:b/>
                <w:sz w:val="18"/>
                <w:szCs w:val="18"/>
                <w:lang w:val="en-GB" w:eastAsia="en-US"/>
              </w:rPr>
            </w:pPr>
          </w:p>
        </w:tc>
        <w:tc>
          <w:tcPr>
            <w:tcW w:w="2694" w:type="dxa"/>
            <w:vMerge/>
            <w:shd w:val="clear" w:color="auto" w:fill="D9D9D9"/>
          </w:tcPr>
          <w:p w14:paraId="62CB66C1" w14:textId="77777777" w:rsidR="0038525E" w:rsidRPr="00D47C76" w:rsidRDefault="0038525E" w:rsidP="0038525E">
            <w:pPr>
              <w:spacing w:before="60" w:after="60"/>
              <w:jc w:val="center"/>
              <w:rPr>
                <w:rFonts w:ascii="Arial" w:eastAsia="Calibri" w:hAnsi="Arial" w:cs="Arial"/>
                <w:b/>
                <w:sz w:val="18"/>
                <w:szCs w:val="18"/>
                <w:lang w:val="en-GB" w:eastAsia="en-US"/>
              </w:rPr>
            </w:pPr>
          </w:p>
        </w:tc>
        <w:tc>
          <w:tcPr>
            <w:tcW w:w="2976" w:type="dxa"/>
            <w:vMerge/>
            <w:shd w:val="clear" w:color="auto" w:fill="D9D9D9"/>
          </w:tcPr>
          <w:p w14:paraId="3031F85E" w14:textId="77777777" w:rsidR="0038525E" w:rsidRPr="00D47C76" w:rsidRDefault="0038525E" w:rsidP="0038525E">
            <w:pPr>
              <w:spacing w:before="60" w:after="60"/>
              <w:jc w:val="center"/>
              <w:rPr>
                <w:rFonts w:ascii="Arial" w:eastAsia="Calibri" w:hAnsi="Arial" w:cs="Arial"/>
                <w:b/>
                <w:sz w:val="18"/>
                <w:szCs w:val="18"/>
                <w:lang w:val="en-GB" w:eastAsia="en-US"/>
              </w:rPr>
            </w:pPr>
          </w:p>
        </w:tc>
      </w:tr>
      <w:tr w:rsidR="0038525E" w:rsidRPr="00D47C76" w14:paraId="091F626E" w14:textId="77777777" w:rsidTr="00E13C1A">
        <w:tc>
          <w:tcPr>
            <w:tcW w:w="3510" w:type="dxa"/>
            <w:tcBorders>
              <w:bottom w:val="single" w:sz="4" w:space="0" w:color="000000"/>
            </w:tcBorders>
            <w:vAlign w:val="center"/>
          </w:tcPr>
          <w:p w14:paraId="37282251" w14:textId="77777777" w:rsidR="0038525E" w:rsidRPr="00D47C76" w:rsidRDefault="0038525E" w:rsidP="0038525E">
            <w:pPr>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w:t>
            </w:r>
          </w:p>
        </w:tc>
        <w:tc>
          <w:tcPr>
            <w:tcW w:w="2694" w:type="dxa"/>
            <w:tcBorders>
              <w:bottom w:val="single" w:sz="4" w:space="0" w:color="000000"/>
            </w:tcBorders>
            <w:vAlign w:val="center"/>
          </w:tcPr>
          <w:p w14:paraId="19B941EA"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152 (74.5)</w:t>
            </w:r>
          </w:p>
        </w:tc>
        <w:tc>
          <w:tcPr>
            <w:tcW w:w="2976" w:type="dxa"/>
            <w:tcBorders>
              <w:bottom w:val="single" w:sz="4" w:space="0" w:color="000000"/>
            </w:tcBorders>
            <w:vAlign w:val="center"/>
          </w:tcPr>
          <w:p w14:paraId="7322623B"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146 (70.9)</w:t>
            </w:r>
          </w:p>
        </w:tc>
      </w:tr>
      <w:tr w:rsidR="0038525E" w:rsidRPr="00D47C76" w14:paraId="460DE1DE" w14:textId="77777777" w:rsidTr="00E13C1A">
        <w:tc>
          <w:tcPr>
            <w:tcW w:w="3510" w:type="dxa"/>
            <w:tcBorders>
              <w:bottom w:val="single" w:sz="4" w:space="0" w:color="000000"/>
            </w:tcBorders>
            <w:vAlign w:val="center"/>
          </w:tcPr>
          <w:p w14:paraId="140FC625" w14:textId="77777777" w:rsidR="0038525E" w:rsidRPr="00D47C76" w:rsidRDefault="0038525E" w:rsidP="0038525E">
            <w:pPr>
              <w:spacing w:before="60" w:after="60"/>
              <w:ind w:left="313"/>
              <w:rPr>
                <w:rFonts w:ascii="Arial" w:eastAsia="Calibri" w:hAnsi="Arial" w:cs="Arial"/>
                <w:sz w:val="18"/>
                <w:szCs w:val="18"/>
                <w:lang w:val="en-GB" w:eastAsia="en-US"/>
              </w:rPr>
            </w:pPr>
            <w:r w:rsidRPr="00D47C76">
              <w:rPr>
                <w:rFonts w:ascii="Arial" w:eastAsia="Calibri" w:hAnsi="Arial" w:cs="Arial"/>
                <w:sz w:val="18"/>
                <w:szCs w:val="18"/>
                <w:lang w:val="en-GB" w:eastAsia="en-US"/>
              </w:rPr>
              <w:t>Any AE possibly related to randomised study medication</w:t>
            </w:r>
          </w:p>
        </w:tc>
        <w:tc>
          <w:tcPr>
            <w:tcW w:w="2694" w:type="dxa"/>
            <w:tcBorders>
              <w:bottom w:val="single" w:sz="4" w:space="0" w:color="000000"/>
            </w:tcBorders>
            <w:vAlign w:val="center"/>
          </w:tcPr>
          <w:p w14:paraId="3C31250D"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40 (19.6)</w:t>
            </w:r>
          </w:p>
        </w:tc>
        <w:tc>
          <w:tcPr>
            <w:tcW w:w="2976" w:type="dxa"/>
            <w:tcBorders>
              <w:bottom w:val="single" w:sz="4" w:space="0" w:color="000000"/>
            </w:tcBorders>
            <w:vAlign w:val="center"/>
          </w:tcPr>
          <w:p w14:paraId="4467329F"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39 (18.9)</w:t>
            </w:r>
          </w:p>
        </w:tc>
      </w:tr>
      <w:tr w:rsidR="0038525E" w:rsidRPr="00D47C76" w14:paraId="1FB38B0E" w14:textId="77777777" w:rsidTr="00E13C1A">
        <w:tc>
          <w:tcPr>
            <w:tcW w:w="3510" w:type="dxa"/>
            <w:tcBorders>
              <w:bottom w:val="single" w:sz="4" w:space="0" w:color="000000"/>
            </w:tcBorders>
            <w:vAlign w:val="center"/>
          </w:tcPr>
          <w:p w14:paraId="1D9ECEE7" w14:textId="77777777" w:rsidR="0038525E" w:rsidRPr="00D47C76" w:rsidRDefault="0038525E" w:rsidP="0038525E">
            <w:pPr>
              <w:spacing w:before="60" w:after="60"/>
              <w:ind w:left="313"/>
              <w:rPr>
                <w:rFonts w:ascii="Arial" w:eastAsia="Calibri" w:hAnsi="Arial" w:cs="Arial"/>
                <w:sz w:val="18"/>
                <w:szCs w:val="18"/>
                <w:lang w:val="en-GB" w:eastAsia="en-US"/>
              </w:rPr>
            </w:pPr>
            <w:r w:rsidRPr="00D47C76">
              <w:rPr>
                <w:rFonts w:ascii="Arial" w:eastAsia="Calibri" w:hAnsi="Arial" w:cs="Arial"/>
                <w:sz w:val="18"/>
                <w:szCs w:val="18"/>
                <w:lang w:val="en-GB" w:eastAsia="en-US"/>
              </w:rPr>
              <w:t>Any AE possibly related to allopurinol</w:t>
            </w:r>
          </w:p>
        </w:tc>
        <w:tc>
          <w:tcPr>
            <w:tcW w:w="2694" w:type="dxa"/>
            <w:tcBorders>
              <w:bottom w:val="single" w:sz="4" w:space="0" w:color="000000"/>
            </w:tcBorders>
            <w:vAlign w:val="center"/>
          </w:tcPr>
          <w:p w14:paraId="707431CE"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14 (6.9)</w:t>
            </w:r>
          </w:p>
        </w:tc>
        <w:tc>
          <w:tcPr>
            <w:tcW w:w="2976" w:type="dxa"/>
            <w:tcBorders>
              <w:bottom w:val="single" w:sz="4" w:space="0" w:color="000000"/>
            </w:tcBorders>
            <w:vAlign w:val="center"/>
          </w:tcPr>
          <w:p w14:paraId="34A7AD63"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22 (10.7)</w:t>
            </w:r>
          </w:p>
        </w:tc>
      </w:tr>
      <w:tr w:rsidR="0038525E" w:rsidRPr="00D47C76" w14:paraId="558B1DF2" w14:textId="77777777" w:rsidTr="00E13C1A">
        <w:tc>
          <w:tcPr>
            <w:tcW w:w="3510" w:type="dxa"/>
            <w:tcBorders>
              <w:bottom w:val="single" w:sz="4" w:space="0" w:color="000000"/>
            </w:tcBorders>
            <w:vAlign w:val="center"/>
          </w:tcPr>
          <w:p w14:paraId="45EA54A1" w14:textId="77777777" w:rsidR="0038525E" w:rsidRPr="00D47C76" w:rsidRDefault="0038525E" w:rsidP="0038525E">
            <w:pPr>
              <w:spacing w:before="60" w:after="60"/>
              <w:ind w:left="313"/>
              <w:rPr>
                <w:rFonts w:ascii="Arial" w:eastAsia="Calibri" w:hAnsi="Arial" w:cs="Arial"/>
                <w:sz w:val="18"/>
                <w:szCs w:val="18"/>
                <w:lang w:val="en-GB" w:eastAsia="en-US"/>
              </w:rPr>
            </w:pPr>
            <w:r w:rsidRPr="00D47C76">
              <w:rPr>
                <w:rFonts w:ascii="Arial" w:eastAsia="Calibri" w:hAnsi="Arial" w:cs="Arial"/>
                <w:sz w:val="18"/>
                <w:szCs w:val="18"/>
                <w:lang w:val="en-GB" w:eastAsia="en-US"/>
              </w:rPr>
              <w:t>Any AE possibly related to prophylaxis</w:t>
            </w:r>
          </w:p>
        </w:tc>
        <w:tc>
          <w:tcPr>
            <w:tcW w:w="2694" w:type="dxa"/>
            <w:tcBorders>
              <w:bottom w:val="single" w:sz="4" w:space="0" w:color="000000"/>
            </w:tcBorders>
            <w:vAlign w:val="center"/>
          </w:tcPr>
          <w:p w14:paraId="49BD7556"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16 (7.8)</w:t>
            </w:r>
          </w:p>
        </w:tc>
        <w:tc>
          <w:tcPr>
            <w:tcW w:w="2976" w:type="dxa"/>
            <w:tcBorders>
              <w:bottom w:val="single" w:sz="4" w:space="0" w:color="000000"/>
            </w:tcBorders>
            <w:vAlign w:val="center"/>
          </w:tcPr>
          <w:p w14:paraId="044B3DB6"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23 (11.2)</w:t>
            </w:r>
          </w:p>
        </w:tc>
      </w:tr>
      <w:tr w:rsidR="0038525E" w:rsidRPr="00D47C76" w14:paraId="35E28BEA" w14:textId="77777777" w:rsidTr="00E13C1A">
        <w:tc>
          <w:tcPr>
            <w:tcW w:w="3510" w:type="dxa"/>
            <w:tcBorders>
              <w:bottom w:val="single" w:sz="4" w:space="0" w:color="000000"/>
            </w:tcBorders>
            <w:vAlign w:val="center"/>
          </w:tcPr>
          <w:p w14:paraId="5508BAE8" w14:textId="77777777" w:rsidR="0038525E" w:rsidRPr="00D47C76" w:rsidRDefault="0038525E" w:rsidP="0038525E">
            <w:pPr>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with RCTC toxicity Grade 3 or 4</w:t>
            </w:r>
          </w:p>
        </w:tc>
        <w:tc>
          <w:tcPr>
            <w:tcW w:w="2694" w:type="dxa"/>
            <w:tcBorders>
              <w:bottom w:val="single" w:sz="4" w:space="0" w:color="000000"/>
            </w:tcBorders>
            <w:vAlign w:val="center"/>
          </w:tcPr>
          <w:p w14:paraId="4AF748FF"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19 (9.3)</w:t>
            </w:r>
          </w:p>
        </w:tc>
        <w:tc>
          <w:tcPr>
            <w:tcW w:w="2976" w:type="dxa"/>
            <w:tcBorders>
              <w:bottom w:val="single" w:sz="4" w:space="0" w:color="000000"/>
            </w:tcBorders>
            <w:vAlign w:val="center"/>
          </w:tcPr>
          <w:p w14:paraId="0BB83C00"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23 (11.2)</w:t>
            </w:r>
          </w:p>
        </w:tc>
      </w:tr>
      <w:tr w:rsidR="0038525E" w:rsidRPr="00D47C76" w14:paraId="28141E8E" w14:textId="77777777" w:rsidTr="00E13C1A">
        <w:tc>
          <w:tcPr>
            <w:tcW w:w="3510" w:type="dxa"/>
            <w:tcBorders>
              <w:bottom w:val="single" w:sz="4" w:space="0" w:color="000000"/>
            </w:tcBorders>
            <w:vAlign w:val="center"/>
          </w:tcPr>
          <w:p w14:paraId="4F1E6786" w14:textId="77777777" w:rsidR="0038525E" w:rsidRPr="00D47C76" w:rsidRDefault="0038525E" w:rsidP="0038525E">
            <w:pPr>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SAE</w:t>
            </w:r>
          </w:p>
        </w:tc>
        <w:tc>
          <w:tcPr>
            <w:tcW w:w="2694" w:type="dxa"/>
            <w:tcBorders>
              <w:bottom w:val="single" w:sz="4" w:space="0" w:color="000000"/>
            </w:tcBorders>
            <w:vAlign w:val="center"/>
          </w:tcPr>
          <w:p w14:paraId="5C765F83"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9 (4.4)</w:t>
            </w:r>
          </w:p>
        </w:tc>
        <w:tc>
          <w:tcPr>
            <w:tcW w:w="2976" w:type="dxa"/>
            <w:tcBorders>
              <w:bottom w:val="single" w:sz="4" w:space="0" w:color="000000"/>
            </w:tcBorders>
            <w:vAlign w:val="center"/>
          </w:tcPr>
          <w:p w14:paraId="443B0AA4"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8 (3.9)</w:t>
            </w:r>
          </w:p>
        </w:tc>
      </w:tr>
      <w:tr w:rsidR="0038525E" w:rsidRPr="00D47C76" w14:paraId="50B2E297" w14:textId="77777777" w:rsidTr="00E13C1A">
        <w:tc>
          <w:tcPr>
            <w:tcW w:w="3510" w:type="dxa"/>
            <w:tcBorders>
              <w:bottom w:val="single" w:sz="4" w:space="0" w:color="000000"/>
            </w:tcBorders>
            <w:vAlign w:val="center"/>
          </w:tcPr>
          <w:p w14:paraId="26E4F36C" w14:textId="77777777" w:rsidR="0038525E" w:rsidRPr="00D47C76" w:rsidRDefault="0038525E" w:rsidP="0038525E">
            <w:pPr>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fatal AE</w:t>
            </w:r>
          </w:p>
        </w:tc>
        <w:tc>
          <w:tcPr>
            <w:tcW w:w="2694" w:type="dxa"/>
            <w:tcBorders>
              <w:bottom w:val="single" w:sz="4" w:space="0" w:color="000000"/>
            </w:tcBorders>
            <w:vAlign w:val="center"/>
          </w:tcPr>
          <w:p w14:paraId="385B34CD"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0 (0.0)</w:t>
            </w:r>
          </w:p>
        </w:tc>
        <w:tc>
          <w:tcPr>
            <w:tcW w:w="2976" w:type="dxa"/>
            <w:tcBorders>
              <w:bottom w:val="single" w:sz="4" w:space="0" w:color="000000"/>
            </w:tcBorders>
            <w:vAlign w:val="center"/>
          </w:tcPr>
          <w:p w14:paraId="1E0569A7"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0 (0.0)</w:t>
            </w:r>
          </w:p>
        </w:tc>
      </w:tr>
      <w:tr w:rsidR="0038525E" w:rsidRPr="00D47C76" w14:paraId="1A2DF1C1" w14:textId="77777777" w:rsidTr="00E13C1A">
        <w:tc>
          <w:tcPr>
            <w:tcW w:w="3510" w:type="dxa"/>
            <w:tcBorders>
              <w:top w:val="nil"/>
              <w:bottom w:val="single" w:sz="4" w:space="0" w:color="000000"/>
            </w:tcBorders>
            <w:vAlign w:val="center"/>
          </w:tcPr>
          <w:p w14:paraId="79AB9A29" w14:textId="77777777" w:rsidR="0038525E" w:rsidRPr="00D47C76" w:rsidRDefault="0038525E" w:rsidP="0038525E">
            <w:pPr>
              <w:tabs>
                <w:tab w:val="left" w:pos="318"/>
              </w:tabs>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leading to randomised study medication discontinuation</w:t>
            </w:r>
          </w:p>
        </w:tc>
        <w:tc>
          <w:tcPr>
            <w:tcW w:w="2694" w:type="dxa"/>
            <w:tcBorders>
              <w:top w:val="nil"/>
              <w:bottom w:val="single" w:sz="4" w:space="0" w:color="000000"/>
            </w:tcBorders>
            <w:vAlign w:val="center"/>
          </w:tcPr>
          <w:p w14:paraId="474618E5"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7 (3.4)</w:t>
            </w:r>
          </w:p>
        </w:tc>
        <w:tc>
          <w:tcPr>
            <w:tcW w:w="2976" w:type="dxa"/>
            <w:tcBorders>
              <w:top w:val="nil"/>
              <w:bottom w:val="single" w:sz="4" w:space="0" w:color="000000"/>
            </w:tcBorders>
            <w:vAlign w:val="center"/>
          </w:tcPr>
          <w:p w14:paraId="6735E8B9"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11 (5.3)</w:t>
            </w:r>
          </w:p>
        </w:tc>
      </w:tr>
      <w:tr w:rsidR="0038525E" w:rsidRPr="00D47C76" w14:paraId="52C4E060" w14:textId="77777777" w:rsidTr="00E13C1A">
        <w:tc>
          <w:tcPr>
            <w:tcW w:w="3510" w:type="dxa"/>
            <w:tcBorders>
              <w:top w:val="nil"/>
              <w:bottom w:val="single" w:sz="4" w:space="0" w:color="000000"/>
            </w:tcBorders>
            <w:vAlign w:val="center"/>
          </w:tcPr>
          <w:p w14:paraId="6FA025D8" w14:textId="77777777" w:rsidR="0038525E" w:rsidRPr="00D47C76" w:rsidRDefault="0038525E" w:rsidP="0038525E">
            <w:pPr>
              <w:tabs>
                <w:tab w:val="left" w:pos="318"/>
              </w:tabs>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leading to allopurinol discontinuation</w:t>
            </w:r>
          </w:p>
        </w:tc>
        <w:tc>
          <w:tcPr>
            <w:tcW w:w="2694" w:type="dxa"/>
            <w:tcBorders>
              <w:top w:val="nil"/>
              <w:bottom w:val="single" w:sz="4" w:space="0" w:color="000000"/>
            </w:tcBorders>
            <w:vAlign w:val="center"/>
          </w:tcPr>
          <w:p w14:paraId="6DD8BA2A"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2 (1.0)</w:t>
            </w:r>
          </w:p>
        </w:tc>
        <w:tc>
          <w:tcPr>
            <w:tcW w:w="2976" w:type="dxa"/>
            <w:tcBorders>
              <w:top w:val="nil"/>
              <w:bottom w:val="single" w:sz="4" w:space="0" w:color="000000"/>
            </w:tcBorders>
            <w:vAlign w:val="center"/>
          </w:tcPr>
          <w:p w14:paraId="2E6AD046"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2 (1.0)</w:t>
            </w:r>
          </w:p>
        </w:tc>
      </w:tr>
      <w:tr w:rsidR="0038525E" w:rsidRPr="00D47C76" w14:paraId="0D747B16" w14:textId="77777777" w:rsidTr="00E13C1A">
        <w:tc>
          <w:tcPr>
            <w:tcW w:w="3510" w:type="dxa"/>
            <w:tcBorders>
              <w:top w:val="single" w:sz="4" w:space="0" w:color="000000"/>
              <w:bottom w:val="single" w:sz="4" w:space="0" w:color="000000"/>
            </w:tcBorders>
            <w:vAlign w:val="center"/>
          </w:tcPr>
          <w:p w14:paraId="65E09FA2" w14:textId="77777777" w:rsidR="0038525E" w:rsidRPr="00D47C76" w:rsidRDefault="0038525E" w:rsidP="0038525E">
            <w:pPr>
              <w:tabs>
                <w:tab w:val="left" w:pos="318"/>
              </w:tabs>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leading to prophylaxis discontinuation</w:t>
            </w:r>
          </w:p>
        </w:tc>
        <w:tc>
          <w:tcPr>
            <w:tcW w:w="2694" w:type="dxa"/>
            <w:tcBorders>
              <w:top w:val="single" w:sz="4" w:space="0" w:color="000000"/>
              <w:bottom w:val="single" w:sz="4" w:space="0" w:color="000000"/>
            </w:tcBorders>
            <w:vAlign w:val="center"/>
          </w:tcPr>
          <w:p w14:paraId="7559051B"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8 (3.9)</w:t>
            </w:r>
          </w:p>
        </w:tc>
        <w:tc>
          <w:tcPr>
            <w:tcW w:w="2976" w:type="dxa"/>
            <w:tcBorders>
              <w:top w:val="single" w:sz="4" w:space="0" w:color="000000"/>
              <w:bottom w:val="single" w:sz="4" w:space="0" w:color="000000"/>
            </w:tcBorders>
            <w:vAlign w:val="center"/>
          </w:tcPr>
          <w:p w14:paraId="7325D54A"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3 (1.5)</w:t>
            </w:r>
          </w:p>
        </w:tc>
      </w:tr>
      <w:tr w:rsidR="0038525E" w:rsidRPr="00D47C76" w14:paraId="22E929A0" w14:textId="77777777" w:rsidTr="00E13C1A">
        <w:tc>
          <w:tcPr>
            <w:tcW w:w="3510" w:type="dxa"/>
            <w:tcBorders>
              <w:top w:val="single" w:sz="4" w:space="0" w:color="000000"/>
              <w:bottom w:val="single" w:sz="4" w:space="0" w:color="000000"/>
            </w:tcBorders>
            <w:vAlign w:val="center"/>
          </w:tcPr>
          <w:p w14:paraId="48A2B091" w14:textId="77777777" w:rsidR="0038525E" w:rsidRPr="00D47C76" w:rsidRDefault="0038525E" w:rsidP="0038525E">
            <w:pPr>
              <w:tabs>
                <w:tab w:val="left" w:pos="318"/>
              </w:tabs>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leading to study withdrawal</w:t>
            </w:r>
          </w:p>
        </w:tc>
        <w:tc>
          <w:tcPr>
            <w:tcW w:w="2694" w:type="dxa"/>
            <w:tcBorders>
              <w:top w:val="single" w:sz="4" w:space="0" w:color="000000"/>
              <w:bottom w:val="single" w:sz="4" w:space="0" w:color="000000"/>
            </w:tcBorders>
            <w:vAlign w:val="center"/>
          </w:tcPr>
          <w:p w14:paraId="245C7FA5"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4 (2.0)</w:t>
            </w:r>
          </w:p>
        </w:tc>
        <w:tc>
          <w:tcPr>
            <w:tcW w:w="2976" w:type="dxa"/>
            <w:tcBorders>
              <w:top w:val="single" w:sz="4" w:space="0" w:color="000000"/>
              <w:bottom w:val="single" w:sz="4" w:space="0" w:color="000000"/>
            </w:tcBorders>
            <w:vAlign w:val="center"/>
          </w:tcPr>
          <w:p w14:paraId="0B99B609" w14:textId="77777777" w:rsidR="0038525E" w:rsidRPr="00D47C76" w:rsidRDefault="0038525E" w:rsidP="0038525E">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7 (3.4)</w:t>
            </w:r>
          </w:p>
        </w:tc>
      </w:tr>
    </w:tbl>
    <w:p w14:paraId="2C655785" w14:textId="2C14964A" w:rsidR="0038525E" w:rsidRPr="00E13C1A" w:rsidRDefault="0038525E" w:rsidP="00E13C1A">
      <w:pPr>
        <w:pStyle w:val="BodyText"/>
        <w:rPr>
          <w:rFonts w:asciiTheme="minorHAnsi" w:hAnsiTheme="minorHAnsi" w:cstheme="minorHAnsi"/>
          <w:sz w:val="18"/>
          <w:szCs w:val="18"/>
        </w:rPr>
      </w:pPr>
      <w:r w:rsidRPr="00E13C1A">
        <w:rPr>
          <w:rFonts w:asciiTheme="minorHAnsi" w:hAnsiTheme="minorHAnsi" w:cstheme="minorHAnsi"/>
          <w:sz w:val="18"/>
          <w:szCs w:val="18"/>
          <w:lang w:val="en-GB"/>
        </w:rPr>
        <w:t>Abbreviations: AE, adverse event; RCTC, rheumatology common toxicity criteria; SAE, serious adverse event</w:t>
      </w:r>
    </w:p>
    <w:p w14:paraId="68B95C19" w14:textId="77777777" w:rsidR="001D660E" w:rsidRPr="001D660E" w:rsidRDefault="001D660E" w:rsidP="000210A2">
      <w:pPr>
        <w:shd w:val="clear" w:color="auto" w:fill="FFFFFF"/>
        <w:spacing w:line="360" w:lineRule="auto"/>
        <w:rPr>
          <w:rFonts w:cs="Arial"/>
          <w:sz w:val="20"/>
          <w:szCs w:val="20"/>
          <w:lang w:val="en-US"/>
        </w:rPr>
      </w:pPr>
    </w:p>
    <w:p w14:paraId="322E82E1" w14:textId="6956F433" w:rsidR="006B54A7" w:rsidRDefault="006B54A7" w:rsidP="000210A2">
      <w:pPr>
        <w:shd w:val="clear" w:color="auto" w:fill="FFFFFF"/>
        <w:spacing w:line="360" w:lineRule="auto"/>
        <w:rPr>
          <w:rFonts w:cs="Arial"/>
          <w:sz w:val="20"/>
          <w:szCs w:val="20"/>
        </w:rPr>
      </w:pPr>
      <w:r w:rsidRPr="006B54A7">
        <w:rPr>
          <w:rFonts w:cs="Arial"/>
          <w:sz w:val="20"/>
          <w:szCs w:val="20"/>
        </w:rPr>
        <w:t xml:space="preserve">L'incidenza complessiva di </w:t>
      </w:r>
      <w:r w:rsidRPr="00AB3235">
        <w:rPr>
          <w:rFonts w:cs="Arial"/>
          <w:b/>
          <w:sz w:val="20"/>
          <w:szCs w:val="20"/>
        </w:rPr>
        <w:t>eventi avversi renali</w:t>
      </w:r>
      <w:r w:rsidRPr="006B54A7">
        <w:rPr>
          <w:rFonts w:cs="Arial"/>
          <w:sz w:val="20"/>
          <w:szCs w:val="20"/>
        </w:rPr>
        <w:t xml:space="preserve"> è stata simile nei due gruppi di studio</w:t>
      </w:r>
      <w:r w:rsidR="008D5FEF">
        <w:rPr>
          <w:rFonts w:cs="Arial"/>
          <w:sz w:val="20"/>
          <w:szCs w:val="20"/>
        </w:rPr>
        <w:t>, con</w:t>
      </w:r>
      <w:r w:rsidR="00343BEA">
        <w:rPr>
          <w:rFonts w:cs="Arial"/>
          <w:sz w:val="20"/>
          <w:szCs w:val="20"/>
        </w:rPr>
        <w:t xml:space="preserve"> una frequenza di </w:t>
      </w:r>
      <w:r w:rsidR="008D5FEF" w:rsidRPr="008D5FEF">
        <w:rPr>
          <w:rFonts w:cs="Arial"/>
          <w:sz w:val="20"/>
          <w:szCs w:val="20"/>
        </w:rPr>
        <w:t xml:space="preserve">aumento della creatinina sierica </w:t>
      </w:r>
      <w:r w:rsidR="00343BEA">
        <w:rPr>
          <w:rFonts w:cs="Arial"/>
          <w:sz w:val="20"/>
          <w:szCs w:val="20"/>
        </w:rPr>
        <w:t>comparabile nei due gruppi di trattamento (3.9% lesinurad 200 mg + allopurinolo vs 3.4% allopurinolo in monoterapia)</w:t>
      </w:r>
      <w:r w:rsidR="008C2223">
        <w:rPr>
          <w:rFonts w:cs="Arial"/>
          <w:sz w:val="20"/>
          <w:szCs w:val="20"/>
        </w:rPr>
        <w:t xml:space="preserve">, </w:t>
      </w:r>
      <w:r w:rsidR="008C2223" w:rsidRPr="008C2223">
        <w:rPr>
          <w:rFonts w:cs="Arial"/>
          <w:sz w:val="20"/>
          <w:szCs w:val="20"/>
        </w:rPr>
        <w:t xml:space="preserve">risolta </w:t>
      </w:r>
      <w:r w:rsidR="008C2223">
        <w:rPr>
          <w:rFonts w:cs="Arial"/>
          <w:sz w:val="20"/>
          <w:szCs w:val="20"/>
        </w:rPr>
        <w:t xml:space="preserve">nella maggior parte dei casi </w:t>
      </w:r>
      <w:r w:rsidR="008C2223" w:rsidRPr="008C2223">
        <w:rPr>
          <w:rFonts w:cs="Arial"/>
          <w:sz w:val="20"/>
          <w:szCs w:val="20"/>
        </w:rPr>
        <w:t>senza necessità di interruzione del trattamento</w:t>
      </w:r>
      <w:r w:rsidR="00B60427">
        <w:rPr>
          <w:rFonts w:cs="Arial"/>
          <w:sz w:val="20"/>
          <w:szCs w:val="20"/>
        </w:rPr>
        <w:t xml:space="preserve">. Evidenze in letteratura associano i farmaci con meccanismo uricosurico allo sviluppo di calcoli renali; nel caso di </w:t>
      </w:r>
      <w:r w:rsidR="00286E34">
        <w:rPr>
          <w:rFonts w:cs="Arial"/>
          <w:sz w:val="20"/>
          <w:szCs w:val="20"/>
        </w:rPr>
        <w:t>l</w:t>
      </w:r>
      <w:r w:rsidR="00B60427">
        <w:rPr>
          <w:rFonts w:cs="Arial"/>
          <w:sz w:val="20"/>
          <w:szCs w:val="20"/>
        </w:rPr>
        <w:t xml:space="preserve">esinurad </w:t>
      </w:r>
      <w:r w:rsidR="00421334">
        <w:rPr>
          <w:rFonts w:cs="Arial"/>
          <w:sz w:val="20"/>
          <w:szCs w:val="20"/>
        </w:rPr>
        <w:t xml:space="preserve">200 mg </w:t>
      </w:r>
      <w:r w:rsidR="00B60427">
        <w:rPr>
          <w:rFonts w:cs="Arial"/>
          <w:sz w:val="20"/>
          <w:szCs w:val="20"/>
        </w:rPr>
        <w:t xml:space="preserve">non è stato osservato un incremento nel numero di calcoli renali, probabilmente grazie </w:t>
      </w:r>
      <w:r w:rsidR="00421334">
        <w:rPr>
          <w:rFonts w:cs="Arial"/>
          <w:sz w:val="20"/>
          <w:szCs w:val="20"/>
        </w:rPr>
        <w:t xml:space="preserve">anche </w:t>
      </w:r>
      <w:r w:rsidR="00B60427">
        <w:rPr>
          <w:rFonts w:cs="Arial"/>
          <w:sz w:val="20"/>
          <w:szCs w:val="20"/>
        </w:rPr>
        <w:t>all’associazione con allopurinolo, che riduce la produzione di acido urico</w:t>
      </w:r>
      <w:r w:rsidR="00013B6B">
        <w:rPr>
          <w:rFonts w:cs="Arial"/>
          <w:sz w:val="20"/>
          <w:szCs w:val="20"/>
        </w:rPr>
        <w:t xml:space="preserve"> (0 % lesinurad vs 0.5% allopurinolo in monoterapia)</w:t>
      </w:r>
      <w:r w:rsidR="00E13C1A">
        <w:rPr>
          <w:rFonts w:cs="Arial"/>
          <w:sz w:val="20"/>
          <w:szCs w:val="20"/>
        </w:rPr>
        <w:t xml:space="preserve"> (</w:t>
      </w:r>
      <w:r w:rsidR="00E13C1A" w:rsidRPr="00E13C1A">
        <w:rPr>
          <w:rFonts w:cs="Arial"/>
          <w:color w:val="0000FF"/>
          <w:sz w:val="20"/>
          <w:szCs w:val="20"/>
        </w:rPr>
        <w:t>Bardin</w:t>
      </w:r>
      <w:r w:rsidR="00A06E25">
        <w:rPr>
          <w:rFonts w:cs="Arial"/>
          <w:color w:val="0000FF"/>
          <w:sz w:val="20"/>
          <w:szCs w:val="20"/>
        </w:rPr>
        <w:t>,</w:t>
      </w:r>
      <w:r w:rsidR="00E13C1A" w:rsidRPr="00E13C1A">
        <w:rPr>
          <w:rFonts w:cs="Arial"/>
          <w:color w:val="0000FF"/>
          <w:sz w:val="20"/>
          <w:szCs w:val="20"/>
        </w:rPr>
        <w:t xml:space="preserve"> </w:t>
      </w:r>
      <w:r w:rsidR="002C21C9" w:rsidRPr="00E13C1A">
        <w:rPr>
          <w:rFonts w:cs="Arial"/>
          <w:color w:val="0000FF"/>
          <w:sz w:val="20"/>
          <w:szCs w:val="20"/>
        </w:rPr>
        <w:t>201</w:t>
      </w:r>
      <w:r w:rsidR="003809BA">
        <w:rPr>
          <w:rFonts w:cs="Arial"/>
          <w:color w:val="0000FF"/>
          <w:sz w:val="20"/>
          <w:szCs w:val="20"/>
        </w:rPr>
        <w:t>6</w:t>
      </w:r>
      <w:r w:rsidR="002C21C9">
        <w:rPr>
          <w:rFonts w:cs="Arial"/>
          <w:color w:val="0000FF"/>
          <w:sz w:val="20"/>
          <w:szCs w:val="20"/>
        </w:rPr>
        <w:t xml:space="preserve"> </w:t>
      </w:r>
      <w:r w:rsidR="00AB70DE">
        <w:rPr>
          <w:rFonts w:cs="Arial"/>
          <w:color w:val="0000FF"/>
          <w:sz w:val="20"/>
          <w:szCs w:val="20"/>
        </w:rPr>
        <w:t>(</w:t>
      </w:r>
      <w:r w:rsidR="003809BA">
        <w:rPr>
          <w:rFonts w:cs="Arial"/>
          <w:color w:val="0000FF"/>
          <w:sz w:val="20"/>
          <w:szCs w:val="20"/>
        </w:rPr>
        <w:t>13</w:t>
      </w:r>
      <w:r w:rsidR="00A06E25">
        <w:rPr>
          <w:rFonts w:cs="Arial"/>
          <w:color w:val="0000FF"/>
          <w:sz w:val="20"/>
          <w:szCs w:val="20"/>
        </w:rPr>
        <w:t>9</w:t>
      </w:r>
      <w:r w:rsidR="00AB70DE">
        <w:rPr>
          <w:rFonts w:cs="Arial"/>
          <w:color w:val="0000FF"/>
          <w:sz w:val="20"/>
          <w:szCs w:val="20"/>
        </w:rPr>
        <w:t>)</w:t>
      </w:r>
      <w:r w:rsidR="00E13C1A">
        <w:rPr>
          <w:rFonts w:cs="Arial"/>
          <w:sz w:val="20"/>
          <w:szCs w:val="20"/>
        </w:rPr>
        <w:t xml:space="preserve">). </w:t>
      </w:r>
    </w:p>
    <w:p w14:paraId="20E083C5" w14:textId="1585B2F4" w:rsidR="00A13872" w:rsidRPr="00A13872" w:rsidRDefault="00A13872" w:rsidP="000210A2">
      <w:pPr>
        <w:shd w:val="clear" w:color="auto" w:fill="FFFFFF"/>
        <w:spacing w:line="360" w:lineRule="auto"/>
        <w:rPr>
          <w:rFonts w:cs="Arial"/>
          <w:sz w:val="20"/>
          <w:szCs w:val="20"/>
        </w:rPr>
      </w:pPr>
      <w:r w:rsidRPr="00B31A33">
        <w:rPr>
          <w:rFonts w:cs="Arial"/>
          <w:sz w:val="20"/>
          <w:szCs w:val="20"/>
        </w:rPr>
        <w:t xml:space="preserve">L’incidenza degli </w:t>
      </w:r>
      <w:r w:rsidRPr="00AB3235">
        <w:rPr>
          <w:rFonts w:cs="Arial"/>
          <w:b/>
          <w:sz w:val="20"/>
          <w:szCs w:val="20"/>
        </w:rPr>
        <w:t>eventi avversi emersi durante il trattamento (TEAE) classificati come eventi cardiovascolari</w:t>
      </w:r>
      <w:r w:rsidRPr="00B31A33">
        <w:rPr>
          <w:rFonts w:cs="Arial"/>
          <w:sz w:val="20"/>
          <w:szCs w:val="20"/>
        </w:rPr>
        <w:t xml:space="preserve"> era simile tra lesinurad in associazione ad allopurinolo ed allopurinolo in monoterapia </w:t>
      </w:r>
      <w:r>
        <w:rPr>
          <w:rFonts w:cs="Arial"/>
          <w:sz w:val="20"/>
          <w:szCs w:val="20"/>
        </w:rPr>
        <w:t>(</w:t>
      </w:r>
      <w:r w:rsidR="00CD0A84">
        <w:rPr>
          <w:rFonts w:cs="Arial"/>
          <w:sz w:val="20"/>
          <w:szCs w:val="20"/>
        </w:rPr>
        <w:t>3.9% con lesinurad + allopurinolo vs 5.3% con allopurinolo in monoterapia)</w:t>
      </w:r>
      <w:r w:rsidRPr="00B31A33">
        <w:rPr>
          <w:rFonts w:cs="Arial"/>
          <w:sz w:val="20"/>
          <w:szCs w:val="20"/>
        </w:rPr>
        <w:t>.</w:t>
      </w:r>
      <w:r>
        <w:rPr>
          <w:rFonts w:cs="Arial"/>
          <w:sz w:val="20"/>
          <w:szCs w:val="20"/>
        </w:rPr>
        <w:t xml:space="preserve"> Non si sono verificati </w:t>
      </w:r>
      <w:r w:rsidRPr="00B31A33">
        <w:rPr>
          <w:rFonts w:cs="Arial"/>
          <w:sz w:val="20"/>
          <w:szCs w:val="20"/>
        </w:rPr>
        <w:t>eventi che corrispondevano ai criteri MACE (</w:t>
      </w:r>
      <w:r w:rsidR="00DF1F08" w:rsidRPr="00DF1F08">
        <w:rPr>
          <w:rFonts w:cs="Arial"/>
          <w:sz w:val="20"/>
          <w:szCs w:val="20"/>
        </w:rPr>
        <w:t>MACE: morte cardiovascolare, infarto del miocardio non fatale, ictus non fatale</w:t>
      </w:r>
      <w:r w:rsidRPr="00B31A33">
        <w:rPr>
          <w:rFonts w:cs="Arial"/>
          <w:sz w:val="20"/>
          <w:szCs w:val="20"/>
        </w:rPr>
        <w:t>)</w:t>
      </w:r>
      <w:r>
        <w:rPr>
          <w:rFonts w:cs="Arial"/>
          <w:sz w:val="20"/>
          <w:szCs w:val="20"/>
        </w:rPr>
        <w:t xml:space="preserve"> nel gruppo di trattamento lesinurad 200 mg. La percentuale di soggetti con eventi avversi seri appartenenti al SOC </w:t>
      </w:r>
      <w:r w:rsidR="00E16449">
        <w:rPr>
          <w:rFonts w:cs="Arial"/>
          <w:sz w:val="20"/>
          <w:szCs w:val="20"/>
        </w:rPr>
        <w:t>“Disordini cardiaci</w:t>
      </w:r>
      <w:r>
        <w:rPr>
          <w:rFonts w:cs="Arial"/>
          <w:sz w:val="20"/>
          <w:szCs w:val="20"/>
        </w:rPr>
        <w:t>” era leggermente maggiore nel gruppo lesinurad 200 mg in associazione ad allopurinolo, rispetto ad allopurinolo in monoterapia (</w:t>
      </w:r>
      <w:r w:rsidRPr="00A13872">
        <w:rPr>
          <w:rFonts w:cs="Arial"/>
          <w:sz w:val="20"/>
          <w:szCs w:val="20"/>
        </w:rPr>
        <w:t xml:space="preserve">0.5% </w:t>
      </w:r>
      <w:r>
        <w:rPr>
          <w:rFonts w:cs="Arial"/>
          <w:sz w:val="20"/>
          <w:szCs w:val="20"/>
        </w:rPr>
        <w:t>e</w:t>
      </w:r>
      <w:r w:rsidRPr="00A13872">
        <w:rPr>
          <w:rFonts w:cs="Arial"/>
          <w:sz w:val="20"/>
          <w:szCs w:val="20"/>
        </w:rPr>
        <w:t xml:space="preserve"> 0%, r</w:t>
      </w:r>
      <w:r>
        <w:rPr>
          <w:rFonts w:cs="Arial"/>
          <w:sz w:val="20"/>
          <w:szCs w:val="20"/>
        </w:rPr>
        <w:t>ispettivamente</w:t>
      </w:r>
      <w:r w:rsidRPr="00A13872">
        <w:rPr>
          <w:rFonts w:cs="Arial"/>
          <w:sz w:val="20"/>
          <w:szCs w:val="20"/>
        </w:rPr>
        <w:t>).</w:t>
      </w:r>
    </w:p>
    <w:p w14:paraId="2AF965F0" w14:textId="02D927EF" w:rsidR="006B54A7" w:rsidRPr="00AB3235" w:rsidRDefault="006B54A7" w:rsidP="000210A2">
      <w:pPr>
        <w:shd w:val="clear" w:color="auto" w:fill="FFFFFF"/>
        <w:spacing w:line="360" w:lineRule="auto"/>
        <w:rPr>
          <w:rFonts w:cs="Arial"/>
          <w:b/>
          <w:sz w:val="20"/>
          <w:szCs w:val="20"/>
        </w:rPr>
      </w:pPr>
      <w:r w:rsidRPr="00AB3235">
        <w:rPr>
          <w:rFonts w:cs="Arial"/>
          <w:b/>
          <w:sz w:val="20"/>
          <w:szCs w:val="20"/>
        </w:rPr>
        <w:t>Come per lo st</w:t>
      </w:r>
      <w:r w:rsidR="008D5FEF" w:rsidRPr="00AB3235">
        <w:rPr>
          <w:rFonts w:cs="Arial"/>
          <w:b/>
          <w:sz w:val="20"/>
          <w:szCs w:val="20"/>
        </w:rPr>
        <w:t>u</w:t>
      </w:r>
      <w:r w:rsidRPr="00AB3235">
        <w:rPr>
          <w:rFonts w:cs="Arial"/>
          <w:b/>
          <w:sz w:val="20"/>
          <w:szCs w:val="20"/>
        </w:rPr>
        <w:t>dio CLEAR 1, la generale buona tollerabilità di lesinurad 200 mg è stata confermata dai risultati dell’analisi POOLED dei due studi (</w:t>
      </w:r>
      <w:hyperlink w:anchor="Paragrafo529" w:history="1">
        <w:r w:rsidRPr="00AB3235">
          <w:rPr>
            <w:rStyle w:val="Hyperlink"/>
            <w:rFonts w:cs="Arial"/>
            <w:b/>
            <w:sz w:val="20"/>
            <w:szCs w:val="20"/>
          </w:rPr>
          <w:t>Paragrafo 5.</w:t>
        </w:r>
        <w:r w:rsidR="005C654C" w:rsidRPr="00AB3235">
          <w:rPr>
            <w:rStyle w:val="Hyperlink"/>
            <w:rFonts w:cs="Arial"/>
            <w:b/>
            <w:sz w:val="20"/>
            <w:szCs w:val="20"/>
          </w:rPr>
          <w:t>29</w:t>
        </w:r>
      </w:hyperlink>
      <w:r w:rsidRPr="00AB3235">
        <w:rPr>
          <w:rFonts w:cs="Arial"/>
          <w:b/>
          <w:sz w:val="20"/>
          <w:szCs w:val="20"/>
        </w:rPr>
        <w:t xml:space="preserve">) e dai risultati dello studio di estensione a lungo </w:t>
      </w:r>
      <w:r w:rsidRPr="001F006E">
        <w:rPr>
          <w:rFonts w:cs="Arial"/>
          <w:b/>
          <w:sz w:val="20"/>
          <w:szCs w:val="20"/>
        </w:rPr>
        <w:t>termine (</w:t>
      </w:r>
      <w:r w:rsidR="001F006E">
        <w:rPr>
          <w:rFonts w:cs="Arial"/>
          <w:b/>
          <w:sz w:val="20"/>
          <w:szCs w:val="20"/>
        </w:rPr>
        <w:t>fino a 52</w:t>
      </w:r>
      <w:r w:rsidR="00AE134E" w:rsidRPr="001F006E">
        <w:rPr>
          <w:rFonts w:cs="Arial"/>
          <w:b/>
          <w:sz w:val="20"/>
          <w:szCs w:val="20"/>
        </w:rPr>
        <w:t xml:space="preserve"> mesi</w:t>
      </w:r>
      <w:r w:rsidRPr="001F006E">
        <w:rPr>
          <w:rFonts w:cs="Arial"/>
          <w:b/>
          <w:sz w:val="20"/>
          <w:szCs w:val="20"/>
        </w:rPr>
        <w:t>) (studio 306) (</w:t>
      </w:r>
      <w:hyperlink w:anchor="Paragrafo539" w:history="1">
        <w:r w:rsidRPr="001F006E">
          <w:rPr>
            <w:rStyle w:val="Hyperlink"/>
            <w:rFonts w:cs="Arial"/>
            <w:b/>
            <w:sz w:val="20"/>
            <w:szCs w:val="20"/>
          </w:rPr>
          <w:t>Paragrafo 5.</w:t>
        </w:r>
        <w:r w:rsidR="00C9403E" w:rsidRPr="001F006E">
          <w:rPr>
            <w:rStyle w:val="Hyperlink"/>
            <w:rFonts w:cs="Arial"/>
            <w:b/>
            <w:sz w:val="20"/>
            <w:szCs w:val="20"/>
          </w:rPr>
          <w:t>3</w:t>
        </w:r>
        <w:r w:rsidRPr="001F006E">
          <w:rPr>
            <w:rStyle w:val="Hyperlink"/>
            <w:rFonts w:cs="Arial"/>
            <w:b/>
            <w:sz w:val="20"/>
            <w:szCs w:val="20"/>
          </w:rPr>
          <w:t>9</w:t>
        </w:r>
      </w:hyperlink>
      <w:r w:rsidRPr="001F006E">
        <w:rPr>
          <w:rFonts w:cs="Arial"/>
          <w:b/>
          <w:sz w:val="20"/>
          <w:szCs w:val="20"/>
        </w:rPr>
        <w:t>).</w:t>
      </w:r>
    </w:p>
    <w:p w14:paraId="0AF87AEE" w14:textId="77777777" w:rsidR="00BA2F8F" w:rsidRPr="00C71876" w:rsidRDefault="00BA2F8F" w:rsidP="000210A2">
      <w:pPr>
        <w:shd w:val="clear" w:color="auto" w:fill="FFFFFF"/>
        <w:spacing w:line="360" w:lineRule="auto"/>
        <w:rPr>
          <w:rFonts w:cs="Arial"/>
          <w:sz w:val="20"/>
          <w:szCs w:val="20"/>
        </w:rPr>
      </w:pPr>
    </w:p>
    <w:p w14:paraId="7990C656" w14:textId="77777777" w:rsidR="00BA2F8F" w:rsidRPr="00BA2F8F" w:rsidRDefault="00BA2F8F" w:rsidP="00825BD3">
      <w:pPr>
        <w:numPr>
          <w:ilvl w:val="1"/>
          <w:numId w:val="13"/>
        </w:numPr>
        <w:shd w:val="clear" w:color="auto" w:fill="FFFFFF"/>
        <w:spacing w:line="360" w:lineRule="auto"/>
        <w:rPr>
          <w:rFonts w:cs="Arial"/>
          <w:sz w:val="20"/>
          <w:szCs w:val="20"/>
          <w:u w:val="single"/>
        </w:rPr>
      </w:pPr>
      <w:r w:rsidRPr="00BA2F8F">
        <w:rPr>
          <w:rFonts w:cs="Arial"/>
          <w:sz w:val="20"/>
          <w:szCs w:val="20"/>
          <w:u w:val="single"/>
        </w:rPr>
        <w:t>Valutazione conclusiva dello studio</w:t>
      </w:r>
    </w:p>
    <w:p w14:paraId="1AE38DE1" w14:textId="77777777" w:rsidR="00C71876" w:rsidRDefault="00C71876" w:rsidP="000210A2">
      <w:pPr>
        <w:shd w:val="clear" w:color="auto" w:fill="FFFFFF"/>
        <w:spacing w:line="360" w:lineRule="auto"/>
        <w:rPr>
          <w:rFonts w:cs="Arial"/>
          <w:sz w:val="20"/>
          <w:szCs w:val="20"/>
        </w:rPr>
      </w:pPr>
      <w:r>
        <w:rPr>
          <w:rFonts w:cs="Arial"/>
          <w:sz w:val="20"/>
          <w:szCs w:val="20"/>
        </w:rPr>
        <w:t xml:space="preserve">I risultati dello studio CLEAR 1  e CLEAR 2 sono sovrapponibili: </w:t>
      </w:r>
    </w:p>
    <w:p w14:paraId="0873C9F0" w14:textId="0407466E" w:rsidR="00C71876" w:rsidRDefault="00C71876" w:rsidP="000210A2">
      <w:pPr>
        <w:shd w:val="clear" w:color="auto" w:fill="FFFFFF"/>
        <w:spacing w:line="360" w:lineRule="auto"/>
        <w:rPr>
          <w:rFonts w:cs="Arial"/>
          <w:b/>
          <w:sz w:val="20"/>
          <w:szCs w:val="20"/>
        </w:rPr>
      </w:pPr>
      <w:r>
        <w:rPr>
          <w:rFonts w:cs="Arial"/>
          <w:b/>
          <w:sz w:val="20"/>
          <w:szCs w:val="20"/>
        </w:rPr>
        <w:t>gli studi</w:t>
      </w:r>
      <w:r w:rsidRPr="00C71876">
        <w:rPr>
          <w:rFonts w:cs="Arial"/>
          <w:b/>
          <w:sz w:val="20"/>
          <w:szCs w:val="20"/>
        </w:rPr>
        <w:t xml:space="preserve"> CLEAR-1 </w:t>
      </w:r>
      <w:r>
        <w:rPr>
          <w:rFonts w:cs="Arial"/>
          <w:b/>
          <w:sz w:val="20"/>
          <w:szCs w:val="20"/>
        </w:rPr>
        <w:t xml:space="preserve">e CLEAR  </w:t>
      </w:r>
      <w:r w:rsidRPr="00C71876">
        <w:rPr>
          <w:rFonts w:cs="Arial"/>
          <w:b/>
          <w:sz w:val="20"/>
          <w:szCs w:val="20"/>
        </w:rPr>
        <w:t>ha</w:t>
      </w:r>
      <w:r>
        <w:rPr>
          <w:rFonts w:cs="Arial"/>
          <w:b/>
          <w:sz w:val="20"/>
          <w:szCs w:val="20"/>
        </w:rPr>
        <w:t>nno</w:t>
      </w:r>
      <w:r w:rsidRPr="00C71876">
        <w:rPr>
          <w:rFonts w:cs="Arial"/>
          <w:b/>
          <w:sz w:val="20"/>
          <w:szCs w:val="20"/>
        </w:rPr>
        <w:t xml:space="preserve"> dimostrato che il trattamento con lesinurad 200 mg in associazione con allopurinolo determina un abbassamento </w:t>
      </w:r>
      <w:r w:rsidR="00027B10">
        <w:rPr>
          <w:rFonts w:cs="Arial"/>
          <w:b/>
          <w:sz w:val="20"/>
          <w:szCs w:val="20"/>
        </w:rPr>
        <w:t xml:space="preserve">rapido e sostenuto nel tempo </w:t>
      </w:r>
      <w:r w:rsidRPr="00C71876">
        <w:rPr>
          <w:rFonts w:cs="Arial"/>
          <w:b/>
          <w:sz w:val="20"/>
          <w:szCs w:val="20"/>
        </w:rPr>
        <w:t xml:space="preserve">dell’uricemia </w:t>
      </w:r>
      <w:r w:rsidR="00E13C1A">
        <w:rPr>
          <w:rFonts w:cs="Arial"/>
          <w:b/>
          <w:sz w:val="20"/>
          <w:szCs w:val="20"/>
        </w:rPr>
        <w:t>(</w:t>
      </w:r>
      <w:r w:rsidR="0076075E">
        <w:rPr>
          <w:rFonts w:cs="Arial"/>
          <w:b/>
          <w:sz w:val="20"/>
          <w:szCs w:val="20"/>
        </w:rPr>
        <w:t xml:space="preserve">da un minimo di </w:t>
      </w:r>
      <w:r w:rsidR="00E13C1A">
        <w:rPr>
          <w:rFonts w:cs="Arial"/>
          <w:b/>
          <w:sz w:val="20"/>
          <w:szCs w:val="20"/>
        </w:rPr>
        <w:t>15</w:t>
      </w:r>
      <w:r w:rsidR="0076075E">
        <w:rPr>
          <w:rFonts w:cs="Arial"/>
          <w:b/>
          <w:sz w:val="20"/>
          <w:szCs w:val="20"/>
        </w:rPr>
        <w:t xml:space="preserve">% a un massimo del </w:t>
      </w:r>
      <w:r w:rsidR="00E13C1A">
        <w:rPr>
          <w:rFonts w:cs="Arial"/>
          <w:b/>
          <w:sz w:val="20"/>
          <w:szCs w:val="20"/>
        </w:rPr>
        <w:t xml:space="preserve">20% rispetto al basale) </w:t>
      </w:r>
      <w:r w:rsidRPr="00C71876">
        <w:rPr>
          <w:rFonts w:cs="Arial"/>
          <w:b/>
          <w:sz w:val="20"/>
          <w:szCs w:val="20"/>
        </w:rPr>
        <w:t xml:space="preserve">statisticamente significativo e clinicamente rilevante nei pazienti </w:t>
      </w:r>
      <w:r w:rsidR="008D7F6A">
        <w:rPr>
          <w:rFonts w:cs="Arial"/>
          <w:b/>
          <w:sz w:val="20"/>
          <w:szCs w:val="20"/>
        </w:rPr>
        <w:t>che non rispondevano in maniera adeguata al trattamento con</w:t>
      </w:r>
      <w:r w:rsidRPr="00C71876">
        <w:rPr>
          <w:rFonts w:cs="Arial"/>
          <w:b/>
          <w:sz w:val="20"/>
          <w:szCs w:val="20"/>
        </w:rPr>
        <w:t xml:space="preserve"> allopurinolo in monoterapia</w:t>
      </w:r>
      <w:r w:rsidR="00027B10">
        <w:rPr>
          <w:rFonts w:cs="Arial"/>
          <w:b/>
          <w:sz w:val="20"/>
          <w:szCs w:val="20"/>
        </w:rPr>
        <w:t xml:space="preserve"> (un numero doppio di pazienti raggiunge il target terapeutico)</w:t>
      </w:r>
      <w:r w:rsidRPr="00C71876">
        <w:rPr>
          <w:rFonts w:cs="Arial"/>
          <w:b/>
          <w:sz w:val="20"/>
          <w:szCs w:val="20"/>
        </w:rPr>
        <w:t xml:space="preserve">. La riduzione dell’uricemia, che rappresentava l'endpoint primario di efficacia, è considerato un endpoint surrogato accettabile per il trattamento della gotta, in quanto si correla positivamente alla riduzione degli attacchi di gotta e alla risoluzione dei tofi. </w:t>
      </w:r>
    </w:p>
    <w:p w14:paraId="2EACA613" w14:textId="26258A2F" w:rsidR="007C1D22" w:rsidRPr="007C1D22" w:rsidRDefault="007C1D22" w:rsidP="000210A2">
      <w:pPr>
        <w:shd w:val="clear" w:color="auto" w:fill="FFFFFF"/>
        <w:spacing w:line="360" w:lineRule="auto"/>
        <w:rPr>
          <w:rFonts w:cs="Arial"/>
          <w:b/>
          <w:sz w:val="20"/>
          <w:szCs w:val="20"/>
        </w:rPr>
      </w:pPr>
      <w:r w:rsidRPr="007C1D22">
        <w:rPr>
          <w:rFonts w:cs="Arial"/>
          <w:b/>
          <w:sz w:val="20"/>
          <w:szCs w:val="20"/>
        </w:rPr>
        <w:t xml:space="preserve">Lesinurad, in </w:t>
      </w:r>
      <w:r>
        <w:rPr>
          <w:rFonts w:cs="Arial"/>
          <w:b/>
          <w:sz w:val="20"/>
          <w:szCs w:val="20"/>
        </w:rPr>
        <w:t>a</w:t>
      </w:r>
      <w:r w:rsidRPr="007C1D22">
        <w:rPr>
          <w:rFonts w:cs="Arial"/>
          <w:b/>
          <w:sz w:val="20"/>
          <w:szCs w:val="20"/>
        </w:rPr>
        <w:t>ssociazione ad allopurinolo ha dimostrato un profil</w:t>
      </w:r>
      <w:r w:rsidR="00027B10">
        <w:rPr>
          <w:rFonts w:cs="Arial"/>
          <w:b/>
          <w:sz w:val="20"/>
          <w:szCs w:val="20"/>
        </w:rPr>
        <w:t>o</w:t>
      </w:r>
      <w:r w:rsidRPr="007C1D22">
        <w:rPr>
          <w:rFonts w:cs="Arial"/>
          <w:b/>
          <w:sz w:val="20"/>
          <w:szCs w:val="20"/>
        </w:rPr>
        <w:t xml:space="preserve"> di </w:t>
      </w:r>
      <w:r w:rsidR="0076075E" w:rsidRPr="007C1D22">
        <w:rPr>
          <w:rFonts w:cs="Arial"/>
          <w:b/>
          <w:sz w:val="20"/>
          <w:szCs w:val="20"/>
        </w:rPr>
        <w:t>sicu</w:t>
      </w:r>
      <w:r w:rsidR="0076075E">
        <w:rPr>
          <w:rFonts w:cs="Arial"/>
          <w:b/>
          <w:sz w:val="20"/>
          <w:szCs w:val="20"/>
        </w:rPr>
        <w:t>re</w:t>
      </w:r>
      <w:r w:rsidR="0076075E" w:rsidRPr="007C1D22">
        <w:rPr>
          <w:rFonts w:cs="Arial"/>
          <w:b/>
          <w:sz w:val="20"/>
          <w:szCs w:val="20"/>
        </w:rPr>
        <w:t xml:space="preserve">zza </w:t>
      </w:r>
      <w:r w:rsidRPr="007C1D22">
        <w:rPr>
          <w:rFonts w:cs="Arial"/>
          <w:b/>
          <w:sz w:val="20"/>
          <w:szCs w:val="20"/>
        </w:rPr>
        <w:t>maneggevole, par</w:t>
      </w:r>
      <w:r w:rsidR="008D5FEF">
        <w:rPr>
          <w:rFonts w:cs="Arial"/>
          <w:b/>
          <w:sz w:val="20"/>
          <w:szCs w:val="20"/>
        </w:rPr>
        <w:t>a</w:t>
      </w:r>
      <w:r w:rsidRPr="007C1D22">
        <w:rPr>
          <w:rFonts w:cs="Arial"/>
          <w:b/>
          <w:sz w:val="20"/>
          <w:szCs w:val="20"/>
        </w:rPr>
        <w:t>gonabile a quello di allopurinolo</w:t>
      </w:r>
      <w:r w:rsidR="00E13C1A">
        <w:rPr>
          <w:rFonts w:cs="Arial"/>
          <w:b/>
          <w:sz w:val="20"/>
          <w:szCs w:val="20"/>
        </w:rPr>
        <w:t xml:space="preserve"> in monoterapia</w:t>
      </w:r>
      <w:r>
        <w:rPr>
          <w:rFonts w:cs="Arial"/>
          <w:b/>
          <w:sz w:val="20"/>
          <w:szCs w:val="20"/>
        </w:rPr>
        <w:t>.</w:t>
      </w:r>
    </w:p>
    <w:p w14:paraId="3E81069D" w14:textId="77777777" w:rsidR="00615569" w:rsidRPr="007C1D22" w:rsidRDefault="00615569" w:rsidP="000210A2">
      <w:pPr>
        <w:shd w:val="clear" w:color="auto" w:fill="FFFFFF"/>
        <w:spacing w:line="360" w:lineRule="auto"/>
        <w:rPr>
          <w:rFonts w:cs="Arial"/>
          <w:sz w:val="20"/>
          <w:szCs w:val="20"/>
        </w:rPr>
      </w:pPr>
    </w:p>
    <w:p w14:paraId="7F92372F" w14:textId="77777777" w:rsidR="006745FF" w:rsidRDefault="006745FF" w:rsidP="000210A2">
      <w:pPr>
        <w:spacing w:line="360" w:lineRule="auto"/>
        <w:rPr>
          <w:rFonts w:cs="Arial"/>
          <w:sz w:val="20"/>
          <w:szCs w:val="20"/>
        </w:rPr>
      </w:pPr>
    </w:p>
    <w:p w14:paraId="5F3CDCDC" w14:textId="77777777" w:rsidR="00AF5F11" w:rsidRDefault="00AF5F11" w:rsidP="000210A2">
      <w:pPr>
        <w:spacing w:line="360" w:lineRule="auto"/>
        <w:rPr>
          <w:rFonts w:cs="Arial"/>
          <w:sz w:val="20"/>
          <w:szCs w:val="20"/>
        </w:rPr>
      </w:pPr>
    </w:p>
    <w:p w14:paraId="191A1C04" w14:textId="77777777" w:rsidR="00A813E3" w:rsidRDefault="00A813E3" w:rsidP="000210A2">
      <w:pPr>
        <w:rPr>
          <w:rFonts w:eastAsia="Times New Roman" w:cstheme="minorHAnsi"/>
          <w:b/>
          <w:noProof/>
          <w:sz w:val="20"/>
          <w:szCs w:val="20"/>
          <w:u w:val="single"/>
          <w:lang w:eastAsia="it-IT"/>
        </w:rPr>
      </w:pPr>
      <w:r>
        <w:rPr>
          <w:rFonts w:cstheme="minorHAnsi"/>
          <w:i/>
          <w:sz w:val="20"/>
          <w:u w:val="single"/>
        </w:rPr>
        <w:br w:type="page"/>
      </w:r>
    </w:p>
    <w:p w14:paraId="690ACC95" w14:textId="2C8F3B08" w:rsidR="00D30985" w:rsidRPr="00E21542" w:rsidRDefault="00F72967" w:rsidP="000210A2">
      <w:pPr>
        <w:pStyle w:val="Heading2"/>
        <w:jc w:val="left"/>
        <w:rPr>
          <w:rFonts w:asciiTheme="minorHAnsi" w:hAnsiTheme="minorHAnsi" w:cstheme="minorHAnsi"/>
          <w:i w:val="0"/>
          <w:sz w:val="20"/>
          <w:u w:val="single"/>
        </w:rPr>
      </w:pPr>
      <w:bookmarkStart w:id="122" w:name="_Toc473184562"/>
      <w:r w:rsidRPr="00E21542">
        <w:rPr>
          <w:rFonts w:asciiTheme="minorHAnsi" w:hAnsiTheme="minorHAnsi" w:cstheme="minorHAnsi"/>
          <w:i w:val="0"/>
          <w:sz w:val="20"/>
          <w:u w:val="single"/>
        </w:rPr>
        <w:t>Studio CRYSTAL (STUDIO 304) vs. febuxostat</w:t>
      </w:r>
      <w:r w:rsidR="00D31D9A" w:rsidRPr="00E21542">
        <w:rPr>
          <w:rFonts w:asciiTheme="minorHAnsi" w:hAnsiTheme="minorHAnsi" w:cstheme="minorHAnsi"/>
          <w:i w:val="0"/>
          <w:sz w:val="20"/>
          <w:u w:val="single"/>
        </w:rPr>
        <w:t xml:space="preserve"> (</w:t>
      </w:r>
      <w:r w:rsidR="0087651E">
        <w:rPr>
          <w:rFonts w:asciiTheme="minorHAnsi" w:hAnsiTheme="minorHAnsi" w:cstheme="minorHAnsi"/>
          <w:i w:val="0"/>
          <w:color w:val="0000FF"/>
          <w:sz w:val="20"/>
          <w:u w:val="single"/>
        </w:rPr>
        <w:t>CSR 304, 2014 (111</w:t>
      </w:r>
      <w:r w:rsidR="003809BA">
        <w:rPr>
          <w:rFonts w:asciiTheme="minorHAnsi" w:hAnsiTheme="minorHAnsi" w:cstheme="minorHAnsi"/>
          <w:i w:val="0"/>
          <w:color w:val="0000FF"/>
          <w:sz w:val="20"/>
          <w:u w:val="single"/>
        </w:rPr>
        <w:t>)</w:t>
      </w:r>
      <w:r w:rsidR="00D31D9A" w:rsidRPr="00E21542">
        <w:rPr>
          <w:rFonts w:asciiTheme="minorHAnsi" w:hAnsiTheme="minorHAnsi" w:cstheme="minorHAnsi"/>
          <w:i w:val="0"/>
          <w:sz w:val="20"/>
          <w:u w:val="single"/>
        </w:rPr>
        <w:t>)</w:t>
      </w:r>
      <w:bookmarkEnd w:id="122"/>
    </w:p>
    <w:p w14:paraId="5CCB6297" w14:textId="77777777" w:rsidR="00AC4573" w:rsidRDefault="00AC4573" w:rsidP="000210A2">
      <w:pPr>
        <w:autoSpaceDE w:val="0"/>
        <w:autoSpaceDN w:val="0"/>
        <w:adjustRightInd w:val="0"/>
        <w:spacing w:before="100" w:after="100" w:line="360" w:lineRule="auto"/>
        <w:rPr>
          <w:rFonts w:cs="Arial"/>
          <w:b/>
          <w:sz w:val="20"/>
          <w:szCs w:val="20"/>
        </w:rPr>
      </w:pPr>
    </w:p>
    <w:p w14:paraId="5E576624" w14:textId="77777777" w:rsidR="00CE0690" w:rsidRPr="00221759" w:rsidRDefault="00CE0690" w:rsidP="00825BD3">
      <w:pPr>
        <w:numPr>
          <w:ilvl w:val="1"/>
          <w:numId w:val="13"/>
        </w:numPr>
        <w:spacing w:line="360" w:lineRule="auto"/>
        <w:ind w:left="709"/>
        <w:rPr>
          <w:rFonts w:cs="Arial"/>
          <w:sz w:val="20"/>
          <w:szCs w:val="20"/>
          <w:u w:val="single"/>
        </w:rPr>
      </w:pPr>
      <w:r w:rsidRPr="00221759">
        <w:rPr>
          <w:rFonts w:cs="Arial"/>
          <w:sz w:val="20"/>
          <w:szCs w:val="20"/>
          <w:u w:val="single"/>
        </w:rPr>
        <w:t>Presupposti fisiopatologici, razionale e obiettivi dello studio</w:t>
      </w:r>
    </w:p>
    <w:p w14:paraId="37D667E5" w14:textId="3944B3E3" w:rsidR="001D660E" w:rsidRDefault="001D660E" w:rsidP="000210A2">
      <w:pPr>
        <w:pStyle w:val="Paragrafoelenco3"/>
        <w:spacing w:line="360" w:lineRule="auto"/>
        <w:ind w:left="0"/>
        <w:rPr>
          <w:rFonts w:asciiTheme="minorHAnsi" w:hAnsiTheme="minorHAnsi" w:cs="Arial"/>
          <w:sz w:val="20"/>
          <w:szCs w:val="20"/>
        </w:rPr>
      </w:pPr>
      <w:r>
        <w:rPr>
          <w:rFonts w:asciiTheme="minorHAnsi" w:hAnsiTheme="minorHAnsi" w:cs="Arial"/>
          <w:sz w:val="20"/>
          <w:szCs w:val="20"/>
        </w:rPr>
        <w:t xml:space="preserve">Le linee guida EULAR 2016 raccomandano in pazienti con gotta severa (in presenza cioè di tofi, atropatie croniche o attacchi acuti frequenti) un target di livello di </w:t>
      </w:r>
      <w:r w:rsidR="005848A1">
        <w:rPr>
          <w:rFonts w:asciiTheme="minorHAnsi" w:hAnsiTheme="minorHAnsi" w:cs="Arial"/>
          <w:sz w:val="20"/>
          <w:szCs w:val="20"/>
        </w:rPr>
        <w:t>sUA</w:t>
      </w:r>
      <w:r>
        <w:rPr>
          <w:rFonts w:asciiTheme="minorHAnsi" w:hAnsiTheme="minorHAnsi" w:cs="Arial"/>
          <w:sz w:val="20"/>
          <w:szCs w:val="20"/>
        </w:rPr>
        <w:t xml:space="preserve"> &lt;</w:t>
      </w:r>
      <w:r w:rsidR="00B24C85">
        <w:rPr>
          <w:rFonts w:asciiTheme="minorHAnsi" w:hAnsiTheme="minorHAnsi" w:cs="Arial"/>
          <w:sz w:val="20"/>
          <w:szCs w:val="20"/>
        </w:rPr>
        <w:t>5 mg/dl</w:t>
      </w:r>
      <w:r>
        <w:rPr>
          <w:rFonts w:asciiTheme="minorHAnsi" w:hAnsiTheme="minorHAnsi" w:cs="Arial"/>
          <w:sz w:val="20"/>
          <w:szCs w:val="20"/>
        </w:rPr>
        <w:t xml:space="preserve"> per garantire la dissoluzione dei cristalli di </w:t>
      </w:r>
      <w:r w:rsidR="00CF1A17">
        <w:rPr>
          <w:rFonts w:asciiTheme="minorHAnsi" w:hAnsiTheme="minorHAnsi" w:cs="Arial"/>
          <w:sz w:val="20"/>
          <w:szCs w:val="20"/>
        </w:rPr>
        <w:t>MSU</w:t>
      </w:r>
      <w:r>
        <w:rPr>
          <w:rFonts w:asciiTheme="minorHAnsi" w:hAnsiTheme="minorHAnsi" w:cs="Arial"/>
          <w:sz w:val="20"/>
          <w:szCs w:val="20"/>
        </w:rPr>
        <w:t xml:space="preserve"> e</w:t>
      </w:r>
      <w:r w:rsidR="003809BA">
        <w:rPr>
          <w:rFonts w:asciiTheme="minorHAnsi" w:hAnsiTheme="minorHAnsi" w:cs="Arial"/>
          <w:sz w:val="20"/>
          <w:szCs w:val="20"/>
        </w:rPr>
        <w:t xml:space="preserve"> la risoluzione della patologia.</w:t>
      </w:r>
    </w:p>
    <w:p w14:paraId="375C9150" w14:textId="6C17FE1C" w:rsidR="001D660E" w:rsidRDefault="001D660E" w:rsidP="000210A2">
      <w:pPr>
        <w:widowControl w:val="0"/>
        <w:autoSpaceDE w:val="0"/>
        <w:autoSpaceDN w:val="0"/>
        <w:adjustRightInd w:val="0"/>
        <w:spacing w:line="360" w:lineRule="auto"/>
        <w:rPr>
          <w:rFonts w:cs="Arial"/>
          <w:sz w:val="20"/>
          <w:szCs w:val="20"/>
        </w:rPr>
      </w:pPr>
      <w:r>
        <w:rPr>
          <w:rFonts w:cs="Arial"/>
          <w:sz w:val="20"/>
          <w:szCs w:val="20"/>
        </w:rPr>
        <w:t xml:space="preserve">La terapia indicata </w:t>
      </w:r>
      <w:r w:rsidRPr="00627111">
        <w:rPr>
          <w:rFonts w:cs="Arial"/>
          <w:sz w:val="20"/>
          <w:szCs w:val="20"/>
        </w:rPr>
        <w:t xml:space="preserve">come trattamento di prima </w:t>
      </w:r>
      <w:r>
        <w:rPr>
          <w:rFonts w:cs="Arial"/>
          <w:sz w:val="20"/>
          <w:szCs w:val="20"/>
        </w:rPr>
        <w:t xml:space="preserve">linea </w:t>
      </w:r>
      <w:r w:rsidRPr="00627111">
        <w:rPr>
          <w:rFonts w:cs="Arial"/>
          <w:sz w:val="20"/>
          <w:szCs w:val="20"/>
        </w:rPr>
        <w:t xml:space="preserve">consiste nell’utilizzo di </w:t>
      </w:r>
      <w:r>
        <w:rPr>
          <w:rFonts w:cs="Arial"/>
          <w:sz w:val="20"/>
          <w:szCs w:val="20"/>
        </w:rPr>
        <w:t xml:space="preserve">dosi titolate di allopurinolo e, in caso di inefficacia o di intolleranza al farmaco, raccomandano il passaggio a </w:t>
      </w:r>
      <w:r w:rsidRPr="000C2964">
        <w:rPr>
          <w:rFonts w:cs="Arial"/>
          <w:bCs/>
          <w:sz w:val="20"/>
          <w:szCs w:val="20"/>
        </w:rPr>
        <w:t>una terapia di combinazione (allopurinolo più un uricosurico)</w:t>
      </w:r>
      <w:r>
        <w:rPr>
          <w:rFonts w:cs="Arial"/>
          <w:bCs/>
          <w:sz w:val="20"/>
          <w:szCs w:val="20"/>
        </w:rPr>
        <w:t xml:space="preserve"> oppure</w:t>
      </w:r>
      <w:r w:rsidRPr="000C2964">
        <w:rPr>
          <w:rFonts w:cs="Arial"/>
          <w:bCs/>
          <w:sz w:val="20"/>
          <w:szCs w:val="20"/>
        </w:rPr>
        <w:t xml:space="preserve"> una terapia di sostituzione (con febuxostat o uricosurico)</w:t>
      </w:r>
      <w:r>
        <w:rPr>
          <w:rFonts w:cs="Arial"/>
          <w:sz w:val="20"/>
          <w:szCs w:val="20"/>
        </w:rPr>
        <w:t xml:space="preserve"> (</w:t>
      </w:r>
      <w:r w:rsidR="00E54BFE">
        <w:rPr>
          <w:rFonts w:cs="Arial"/>
          <w:color w:val="0000FF"/>
          <w:sz w:val="20"/>
          <w:szCs w:val="20"/>
        </w:rPr>
        <w:t>Richette, 2016 (6)</w:t>
      </w:r>
      <w:r w:rsidR="003809BA">
        <w:rPr>
          <w:rFonts w:cs="Arial"/>
          <w:sz w:val="20"/>
          <w:szCs w:val="20"/>
        </w:rPr>
        <w:t>).</w:t>
      </w:r>
      <w:r>
        <w:rPr>
          <w:rFonts w:cs="Arial"/>
          <w:sz w:val="20"/>
          <w:szCs w:val="20"/>
        </w:rPr>
        <w:t xml:space="preserve"> </w:t>
      </w:r>
    </w:p>
    <w:p w14:paraId="753F6AB9" w14:textId="1B0313DD" w:rsidR="001D660E" w:rsidRDefault="001D660E" w:rsidP="000210A2">
      <w:pPr>
        <w:widowControl w:val="0"/>
        <w:autoSpaceDE w:val="0"/>
        <w:autoSpaceDN w:val="0"/>
        <w:adjustRightInd w:val="0"/>
        <w:spacing w:line="360" w:lineRule="auto"/>
        <w:rPr>
          <w:rFonts w:cs="Arial"/>
          <w:sz w:val="20"/>
          <w:szCs w:val="20"/>
        </w:rPr>
      </w:pPr>
      <w:r w:rsidRPr="00D34C7F">
        <w:rPr>
          <w:rFonts w:cs="Arial"/>
          <w:sz w:val="20"/>
          <w:szCs w:val="20"/>
        </w:rPr>
        <w:t>Nondimeno,</w:t>
      </w:r>
      <w:r>
        <w:rPr>
          <w:rFonts w:cs="Arial"/>
          <w:sz w:val="20"/>
          <w:szCs w:val="20"/>
        </w:rPr>
        <w:t xml:space="preserve"> nel caso di una monoterapia con XOI,</w:t>
      </w:r>
      <w:r w:rsidRPr="00D34C7F">
        <w:rPr>
          <w:rFonts w:cs="Arial"/>
          <w:sz w:val="20"/>
          <w:szCs w:val="20"/>
        </w:rPr>
        <w:t xml:space="preserve"> </w:t>
      </w:r>
      <w:r>
        <w:rPr>
          <w:rFonts w:cs="Arial"/>
          <w:sz w:val="20"/>
          <w:szCs w:val="20"/>
        </w:rPr>
        <w:t xml:space="preserve">più del </w:t>
      </w:r>
      <w:r w:rsidRPr="00627111">
        <w:rPr>
          <w:rFonts w:cs="Arial"/>
          <w:sz w:val="20"/>
          <w:szCs w:val="20"/>
        </w:rPr>
        <w:t xml:space="preserve"> 50% dei pazienti non </w:t>
      </w:r>
      <w:r w:rsidR="00B24C85">
        <w:rPr>
          <w:rFonts w:cs="Arial"/>
          <w:sz w:val="20"/>
          <w:szCs w:val="20"/>
        </w:rPr>
        <w:t xml:space="preserve">raggiunge il livello target di </w:t>
      </w:r>
      <w:r w:rsidR="005848A1">
        <w:rPr>
          <w:rFonts w:cs="Arial"/>
          <w:sz w:val="20"/>
          <w:szCs w:val="20"/>
        </w:rPr>
        <w:t>sUA</w:t>
      </w:r>
      <w:r w:rsidRPr="00627111">
        <w:rPr>
          <w:rFonts w:cs="Arial"/>
          <w:sz w:val="20"/>
          <w:szCs w:val="20"/>
        </w:rPr>
        <w:t xml:space="preserve"> (&lt;6.0 mg/dl), nonostante il trattamento con le dosi più comunemente utilizzate di</w:t>
      </w:r>
      <w:r>
        <w:rPr>
          <w:rFonts w:cs="Arial"/>
          <w:sz w:val="20"/>
          <w:szCs w:val="20"/>
        </w:rPr>
        <w:t xml:space="preserve"> entrambi gli</w:t>
      </w:r>
      <w:r w:rsidRPr="00627111">
        <w:rPr>
          <w:rFonts w:cs="Arial"/>
          <w:sz w:val="20"/>
          <w:szCs w:val="20"/>
        </w:rPr>
        <w:t xml:space="preserve"> XOI (</w:t>
      </w:r>
      <w:r w:rsidR="00F114DC">
        <w:rPr>
          <w:color w:val="0000FF"/>
          <w:sz w:val="20"/>
          <w:szCs w:val="20"/>
        </w:rPr>
        <w:t xml:space="preserve">Becker, 2005 (36); </w:t>
      </w:r>
      <w:r w:rsidR="00F114DC" w:rsidRPr="008B42E0">
        <w:rPr>
          <w:rFonts w:cstheme="minorHAnsi"/>
          <w:color w:val="0000FF"/>
          <w:sz w:val="20"/>
          <w:szCs w:val="20"/>
        </w:rPr>
        <w:t>Becker, 2009</w:t>
      </w:r>
      <w:r w:rsidR="00F114DC">
        <w:rPr>
          <w:rFonts w:cstheme="minorHAnsi"/>
          <w:color w:val="0000FF"/>
          <w:sz w:val="20"/>
          <w:szCs w:val="20"/>
        </w:rPr>
        <w:t xml:space="preserve"> (37)</w:t>
      </w:r>
      <w:r w:rsidR="00F114DC" w:rsidRPr="008B42E0">
        <w:rPr>
          <w:rFonts w:cstheme="minorHAnsi"/>
          <w:color w:val="0000FF"/>
          <w:sz w:val="20"/>
          <w:szCs w:val="20"/>
        </w:rPr>
        <w:t xml:space="preserve">; </w:t>
      </w:r>
      <w:r w:rsidR="00F114DC">
        <w:rPr>
          <w:color w:val="0000FF"/>
          <w:sz w:val="20"/>
          <w:szCs w:val="20"/>
        </w:rPr>
        <w:t xml:space="preserve">Becker, 2010 (38); </w:t>
      </w:r>
      <w:r w:rsidR="00F114DC">
        <w:rPr>
          <w:rFonts w:cs="Arial"/>
          <w:color w:val="0000FF"/>
          <w:sz w:val="20"/>
          <w:szCs w:val="20"/>
        </w:rPr>
        <w:t>Schumacher, 2008 (39);</w:t>
      </w:r>
      <w:r w:rsidR="00F114DC" w:rsidRPr="0083674F">
        <w:rPr>
          <w:rFonts w:cs="Arial"/>
          <w:color w:val="0000FF"/>
          <w:sz w:val="20"/>
          <w:szCs w:val="20"/>
        </w:rPr>
        <w:t xml:space="preserve"> </w:t>
      </w:r>
      <w:r w:rsidR="00F114DC">
        <w:rPr>
          <w:rFonts w:cs="Arial"/>
          <w:color w:val="0000FF"/>
          <w:sz w:val="20"/>
          <w:szCs w:val="20"/>
        </w:rPr>
        <w:t>Becker, 2015 (40</w:t>
      </w:r>
      <w:r w:rsidR="00F114DC" w:rsidRPr="006B5BC6">
        <w:rPr>
          <w:rFonts w:cs="Arial"/>
          <w:color w:val="0000FF"/>
          <w:sz w:val="20"/>
          <w:szCs w:val="20"/>
        </w:rPr>
        <w:t>)</w:t>
      </w:r>
      <w:r w:rsidRPr="00627111">
        <w:rPr>
          <w:rFonts w:cs="Arial"/>
          <w:sz w:val="20"/>
          <w:szCs w:val="20"/>
        </w:rPr>
        <w:t>).</w:t>
      </w:r>
    </w:p>
    <w:p w14:paraId="48B556D3" w14:textId="42FF7DD7" w:rsidR="001D660E" w:rsidRDefault="001D660E" w:rsidP="000210A2">
      <w:pPr>
        <w:pStyle w:val="Paragrafoelenco3"/>
        <w:spacing w:line="360" w:lineRule="auto"/>
        <w:ind w:left="0"/>
        <w:rPr>
          <w:rFonts w:asciiTheme="minorHAnsi" w:hAnsiTheme="minorHAnsi" w:cs="Arial"/>
          <w:sz w:val="20"/>
          <w:szCs w:val="20"/>
        </w:rPr>
      </w:pPr>
      <w:r w:rsidRPr="00C94DA7">
        <w:rPr>
          <w:rFonts w:asciiTheme="minorHAnsi" w:hAnsiTheme="minorHAnsi" w:cs="Arial"/>
          <w:sz w:val="20"/>
          <w:szCs w:val="20"/>
        </w:rPr>
        <w:t>L'obiettivo dello studio CRYSTAL è stato quello di determinare l'efficacia e la sicurezza di lesinurad in combinazione con febuxostat, in confronto alla monoterapia con febuxostat</w:t>
      </w:r>
      <w:r>
        <w:rPr>
          <w:rFonts w:asciiTheme="minorHAnsi" w:hAnsiTheme="minorHAnsi" w:cs="Arial"/>
          <w:sz w:val="20"/>
          <w:szCs w:val="20"/>
        </w:rPr>
        <w:t xml:space="preserve"> in pazienti con gotta tofacea</w:t>
      </w:r>
      <w:r w:rsidRPr="00C94DA7">
        <w:rPr>
          <w:rFonts w:asciiTheme="minorHAnsi" w:hAnsiTheme="minorHAnsi" w:cs="Arial"/>
          <w:sz w:val="20"/>
          <w:szCs w:val="20"/>
        </w:rPr>
        <w:t>. Febuxostat è un</w:t>
      </w:r>
      <w:r>
        <w:rPr>
          <w:rFonts w:asciiTheme="minorHAnsi" w:hAnsiTheme="minorHAnsi" w:cs="Arial"/>
          <w:sz w:val="20"/>
          <w:szCs w:val="20"/>
        </w:rPr>
        <w:t xml:space="preserve"> potente</w:t>
      </w:r>
      <w:r w:rsidRPr="00C94DA7">
        <w:rPr>
          <w:rFonts w:asciiTheme="minorHAnsi" w:hAnsiTheme="minorHAnsi" w:cs="Arial"/>
          <w:sz w:val="20"/>
          <w:szCs w:val="20"/>
        </w:rPr>
        <w:t xml:space="preserve"> inibitore della xantina ossidasi, di più recente introduzione rispetto ad allopurinolo</w:t>
      </w:r>
      <w:r>
        <w:rPr>
          <w:rFonts w:asciiTheme="minorHAnsi" w:hAnsiTheme="minorHAnsi" w:cs="Arial"/>
          <w:sz w:val="20"/>
          <w:szCs w:val="20"/>
        </w:rPr>
        <w:t xml:space="preserve"> (</w:t>
      </w:r>
      <w:r w:rsidR="00E54BFE">
        <w:rPr>
          <w:rFonts w:asciiTheme="minorHAnsi" w:hAnsiTheme="minorHAnsi" w:cs="Arial"/>
          <w:color w:val="0000FF"/>
          <w:sz w:val="20"/>
          <w:szCs w:val="20"/>
        </w:rPr>
        <w:t>Richette, 2016 (6)</w:t>
      </w:r>
      <w:r>
        <w:rPr>
          <w:rFonts w:asciiTheme="minorHAnsi" w:hAnsiTheme="minorHAnsi" w:cs="Arial"/>
          <w:sz w:val="20"/>
          <w:szCs w:val="20"/>
        </w:rPr>
        <w:t>)</w:t>
      </w:r>
      <w:r w:rsidRPr="00C94DA7">
        <w:rPr>
          <w:rFonts w:asciiTheme="minorHAnsi" w:hAnsiTheme="minorHAnsi" w:cs="Arial"/>
          <w:sz w:val="20"/>
          <w:szCs w:val="20"/>
        </w:rPr>
        <w:t>.</w:t>
      </w:r>
    </w:p>
    <w:p w14:paraId="596D3F7B" w14:textId="77777777" w:rsidR="00CE0690" w:rsidRPr="00221759" w:rsidRDefault="00CE0690" w:rsidP="000210A2">
      <w:pPr>
        <w:spacing w:line="360" w:lineRule="auto"/>
        <w:rPr>
          <w:rFonts w:cs="Arial"/>
          <w:sz w:val="20"/>
          <w:szCs w:val="20"/>
          <w:u w:val="single"/>
        </w:rPr>
      </w:pPr>
    </w:p>
    <w:p w14:paraId="4F2939AF" w14:textId="77777777" w:rsidR="00CE0690" w:rsidRPr="00221759" w:rsidRDefault="00CE0690" w:rsidP="00825BD3">
      <w:pPr>
        <w:numPr>
          <w:ilvl w:val="1"/>
          <w:numId w:val="13"/>
        </w:numPr>
        <w:spacing w:line="360" w:lineRule="auto"/>
        <w:ind w:left="709"/>
        <w:rPr>
          <w:rFonts w:cs="Arial"/>
          <w:sz w:val="20"/>
          <w:szCs w:val="20"/>
          <w:u w:val="single"/>
        </w:rPr>
      </w:pPr>
      <w:r w:rsidRPr="00221759">
        <w:rPr>
          <w:rFonts w:cs="Arial"/>
          <w:sz w:val="20"/>
          <w:szCs w:val="20"/>
          <w:u w:val="single"/>
        </w:rPr>
        <w:t xml:space="preserve">Tipo di studio </w:t>
      </w:r>
    </w:p>
    <w:p w14:paraId="2E34A175" w14:textId="6BAC844E" w:rsidR="00C94DA7" w:rsidRPr="00C94DA7" w:rsidRDefault="00C94DA7" w:rsidP="000210A2">
      <w:pPr>
        <w:pStyle w:val="Paragrafoelenco3"/>
        <w:spacing w:line="360" w:lineRule="auto"/>
        <w:ind w:left="0"/>
        <w:rPr>
          <w:rFonts w:asciiTheme="minorHAnsi" w:hAnsiTheme="minorHAnsi" w:cs="Arial"/>
          <w:sz w:val="20"/>
          <w:szCs w:val="20"/>
        </w:rPr>
      </w:pPr>
      <w:r w:rsidRPr="00C94DA7">
        <w:rPr>
          <w:rFonts w:asciiTheme="minorHAnsi" w:hAnsiTheme="minorHAnsi" w:cs="Arial"/>
          <w:sz w:val="20"/>
          <w:szCs w:val="20"/>
        </w:rPr>
        <w:t xml:space="preserve">CRYSTAL è uno studio di fase 3, randomizzato, in doppio cieco, controllato </w:t>
      </w:r>
      <w:r w:rsidR="00323507" w:rsidRPr="00323507">
        <w:rPr>
          <w:rFonts w:asciiTheme="minorHAnsi" w:hAnsiTheme="minorHAnsi" w:cs="Arial"/>
          <w:sz w:val="20"/>
          <w:szCs w:val="20"/>
        </w:rPr>
        <w:t>verso un farmaco XOI in associazione a</w:t>
      </w:r>
      <w:r w:rsidRPr="00C94DA7">
        <w:rPr>
          <w:rFonts w:asciiTheme="minorHAnsi" w:hAnsiTheme="minorHAnsi" w:cs="Arial"/>
          <w:sz w:val="20"/>
          <w:szCs w:val="20"/>
        </w:rPr>
        <w:t xml:space="preserve"> placebo</w:t>
      </w:r>
      <w:r w:rsidR="00107DFB">
        <w:rPr>
          <w:rFonts w:asciiTheme="minorHAnsi" w:hAnsiTheme="minorHAnsi" w:cs="Arial"/>
          <w:sz w:val="20"/>
          <w:szCs w:val="20"/>
        </w:rPr>
        <w:t xml:space="preserve"> della durata di 12 mesi</w:t>
      </w:r>
      <w:r w:rsidRPr="00C94DA7">
        <w:rPr>
          <w:rFonts w:asciiTheme="minorHAnsi" w:hAnsiTheme="minorHAnsi" w:cs="Arial"/>
          <w:sz w:val="20"/>
          <w:szCs w:val="20"/>
        </w:rPr>
        <w:t>, che ha confrontato l'efficacia e la sicurezza di lesinurad in combinazione con febuxostat rispetto a febuxostat in monoterapia</w:t>
      </w:r>
      <w:r w:rsidR="00A87B56">
        <w:rPr>
          <w:rFonts w:asciiTheme="minorHAnsi" w:hAnsiTheme="minorHAnsi" w:cs="Arial"/>
          <w:sz w:val="20"/>
          <w:szCs w:val="20"/>
        </w:rPr>
        <w:t xml:space="preserve"> in pazienti con gotta tofacea</w:t>
      </w:r>
      <w:r w:rsidR="008900E6" w:rsidRPr="00C94DA7">
        <w:rPr>
          <w:rFonts w:asciiTheme="minorHAnsi" w:hAnsiTheme="minorHAnsi" w:cs="Arial"/>
          <w:sz w:val="20"/>
          <w:szCs w:val="20"/>
        </w:rPr>
        <w:t>.</w:t>
      </w:r>
      <w:r w:rsidR="008900E6">
        <w:rPr>
          <w:rFonts w:asciiTheme="minorHAnsi" w:hAnsiTheme="minorHAnsi" w:cs="Arial"/>
          <w:sz w:val="20"/>
          <w:szCs w:val="20"/>
        </w:rPr>
        <w:t xml:space="preserve">Era previsto un periodo di screening di circa 35 giorni, incluso un periodo di run in di circa 21 giorni </w:t>
      </w:r>
      <w:r w:rsidR="008900E6" w:rsidRPr="008900E6">
        <w:rPr>
          <w:rFonts w:asciiTheme="minorHAnsi" w:hAnsiTheme="minorHAnsi" w:cs="Arial"/>
          <w:sz w:val="20"/>
          <w:szCs w:val="20"/>
        </w:rPr>
        <w:t>con profilassi per gli attacchi acuti</w:t>
      </w:r>
      <w:r w:rsidR="008900E6" w:rsidRPr="00C94DA7" w:rsidDel="00A87B56">
        <w:rPr>
          <w:rFonts w:asciiTheme="minorHAnsi" w:hAnsiTheme="minorHAnsi" w:cs="Arial"/>
          <w:sz w:val="20"/>
          <w:szCs w:val="20"/>
        </w:rPr>
        <w:t xml:space="preserve"> </w:t>
      </w:r>
      <w:r w:rsidRPr="00C94DA7">
        <w:rPr>
          <w:rFonts w:asciiTheme="minorHAnsi" w:hAnsiTheme="minorHAnsi" w:cs="Arial"/>
          <w:sz w:val="20"/>
          <w:szCs w:val="20"/>
        </w:rPr>
        <w:t>(</w:t>
      </w:r>
      <w:hyperlink w:anchor="Figura28" w:history="1">
        <w:r w:rsidRPr="002A1B82">
          <w:rPr>
            <w:rStyle w:val="Hyperlink"/>
            <w:rFonts w:asciiTheme="minorHAnsi" w:hAnsiTheme="minorHAnsi" w:cs="Arial"/>
            <w:sz w:val="20"/>
            <w:szCs w:val="20"/>
          </w:rPr>
          <w:t xml:space="preserve">Figura </w:t>
        </w:r>
        <w:r w:rsidR="005C654C" w:rsidRPr="002A1B82">
          <w:rPr>
            <w:rStyle w:val="Hyperlink"/>
            <w:rFonts w:asciiTheme="minorHAnsi" w:hAnsiTheme="minorHAnsi" w:cs="Arial"/>
            <w:sz w:val="20"/>
            <w:szCs w:val="20"/>
          </w:rPr>
          <w:t>28</w:t>
        </w:r>
      </w:hyperlink>
      <w:r w:rsidRPr="00C94DA7">
        <w:rPr>
          <w:rFonts w:asciiTheme="minorHAnsi" w:hAnsiTheme="minorHAnsi" w:cs="Arial"/>
          <w:sz w:val="20"/>
          <w:szCs w:val="20"/>
        </w:rPr>
        <w:t>).</w:t>
      </w:r>
    </w:p>
    <w:p w14:paraId="633FD46B" w14:textId="58930474" w:rsidR="00CE0690" w:rsidRDefault="00C94DA7" w:rsidP="000210A2">
      <w:pPr>
        <w:pStyle w:val="Paragrafoelenco3"/>
        <w:spacing w:line="360" w:lineRule="auto"/>
        <w:ind w:left="0"/>
        <w:rPr>
          <w:rFonts w:asciiTheme="minorHAnsi" w:hAnsiTheme="minorHAnsi" w:cs="Arial"/>
          <w:sz w:val="20"/>
          <w:szCs w:val="20"/>
        </w:rPr>
      </w:pPr>
      <w:r w:rsidRPr="00C94DA7">
        <w:rPr>
          <w:rFonts w:asciiTheme="minorHAnsi" w:hAnsiTheme="minorHAnsi" w:cs="Arial"/>
          <w:sz w:val="20"/>
          <w:szCs w:val="20"/>
        </w:rPr>
        <w:t xml:space="preserve">Lo studio CRYSTAL è stato condotto negli </w:t>
      </w:r>
      <w:r>
        <w:rPr>
          <w:rFonts w:asciiTheme="minorHAnsi" w:hAnsiTheme="minorHAnsi" w:cs="Arial"/>
          <w:sz w:val="20"/>
          <w:szCs w:val="20"/>
        </w:rPr>
        <w:t>S</w:t>
      </w:r>
      <w:r w:rsidRPr="00C94DA7">
        <w:rPr>
          <w:rFonts w:asciiTheme="minorHAnsi" w:hAnsiTheme="minorHAnsi" w:cs="Arial"/>
          <w:sz w:val="20"/>
          <w:szCs w:val="20"/>
        </w:rPr>
        <w:t>tati Uniti, Europa, Sud Africa, Australia e Nuova Zelanda e ha coinvolto complessivamente 152 centri.</w:t>
      </w:r>
    </w:p>
    <w:p w14:paraId="00F7F3BE" w14:textId="77777777" w:rsidR="00E34233" w:rsidRPr="00C94DA7" w:rsidRDefault="00E34233" w:rsidP="000210A2">
      <w:pPr>
        <w:pStyle w:val="Paragrafoelenco3"/>
        <w:spacing w:line="360" w:lineRule="auto"/>
        <w:ind w:left="0"/>
        <w:rPr>
          <w:rFonts w:asciiTheme="minorHAnsi" w:hAnsiTheme="minorHAnsi" w:cs="Arial"/>
          <w:sz w:val="20"/>
          <w:szCs w:val="20"/>
        </w:rPr>
      </w:pPr>
    </w:p>
    <w:p w14:paraId="434E8329" w14:textId="42DF9947" w:rsidR="00E34233" w:rsidRPr="00656D57" w:rsidRDefault="00E34233" w:rsidP="00E34233">
      <w:pPr>
        <w:pStyle w:val="Caption"/>
        <w:rPr>
          <w:rFonts w:asciiTheme="minorHAnsi" w:hAnsiTheme="minorHAnsi" w:cstheme="minorHAnsi"/>
          <w:lang w:val="it-IT"/>
        </w:rPr>
      </w:pPr>
      <w:bookmarkStart w:id="123" w:name="Figura28"/>
      <w:bookmarkStart w:id="124" w:name="_Toc473186923"/>
      <w:bookmarkEnd w:id="123"/>
      <w:r w:rsidRPr="00C77701">
        <w:rPr>
          <w:rFonts w:asciiTheme="minorHAnsi" w:hAnsiTheme="minorHAnsi" w:cstheme="minorHAnsi"/>
          <w:lang w:val="it-IT"/>
        </w:rPr>
        <w:t xml:space="preserve">Figura </w:t>
      </w:r>
      <w:r w:rsidRPr="00C77701">
        <w:rPr>
          <w:rFonts w:asciiTheme="minorHAnsi" w:hAnsiTheme="minorHAnsi" w:cstheme="minorHAnsi"/>
        </w:rPr>
        <w:fldChar w:fldCharType="begin"/>
      </w:r>
      <w:r w:rsidRPr="00C77701">
        <w:rPr>
          <w:rFonts w:asciiTheme="minorHAnsi" w:hAnsiTheme="minorHAnsi" w:cstheme="minorHAnsi"/>
          <w:lang w:val="it-IT"/>
        </w:rPr>
        <w:instrText xml:space="preserve"> SEQ Figura \* ARABIC </w:instrText>
      </w:r>
      <w:r w:rsidRPr="00C77701">
        <w:rPr>
          <w:rFonts w:asciiTheme="minorHAnsi" w:hAnsiTheme="minorHAnsi" w:cstheme="minorHAnsi"/>
        </w:rPr>
        <w:fldChar w:fldCharType="separate"/>
      </w:r>
      <w:r w:rsidR="00A1679C">
        <w:rPr>
          <w:rFonts w:asciiTheme="minorHAnsi" w:hAnsiTheme="minorHAnsi" w:cstheme="minorHAnsi"/>
          <w:noProof/>
          <w:lang w:val="it-IT"/>
        </w:rPr>
        <w:t>28</w:t>
      </w:r>
      <w:r w:rsidRPr="00C77701">
        <w:rPr>
          <w:rFonts w:asciiTheme="minorHAnsi" w:hAnsiTheme="minorHAnsi" w:cstheme="minorHAnsi"/>
        </w:rPr>
        <w:fldChar w:fldCharType="end"/>
      </w:r>
      <w:r w:rsidRPr="00C77701">
        <w:rPr>
          <w:rFonts w:asciiTheme="minorHAnsi" w:hAnsiTheme="minorHAnsi" w:cstheme="minorHAnsi"/>
          <w:lang w:val="it-IT"/>
        </w:rPr>
        <w:t xml:space="preserve"> - Disegno dello studio CRYSTAL</w:t>
      </w:r>
      <w:r w:rsidRPr="00656D57">
        <w:rPr>
          <w:rFonts w:asciiTheme="minorHAnsi" w:hAnsiTheme="minorHAnsi" w:cstheme="minorHAnsi"/>
          <w:lang w:val="it-IT"/>
        </w:rPr>
        <w:t xml:space="preserve"> (</w:t>
      </w:r>
      <w:r w:rsidR="0087651E">
        <w:rPr>
          <w:rFonts w:asciiTheme="minorHAnsi" w:hAnsiTheme="minorHAnsi" w:cstheme="minorHAnsi"/>
          <w:color w:val="0000FF"/>
          <w:lang w:val="it-IT"/>
        </w:rPr>
        <w:t>CSR 304, 2014 (111</w:t>
      </w:r>
      <w:r w:rsidR="008E6BDD">
        <w:rPr>
          <w:rFonts w:asciiTheme="minorHAnsi" w:hAnsiTheme="minorHAnsi" w:cstheme="minorHAnsi"/>
          <w:color w:val="0000FF"/>
          <w:lang w:val="it-IT"/>
        </w:rPr>
        <w:t>)</w:t>
      </w:r>
      <w:r w:rsidRPr="00656D57">
        <w:rPr>
          <w:rFonts w:asciiTheme="minorHAnsi" w:hAnsiTheme="minorHAnsi" w:cstheme="minorHAnsi"/>
          <w:lang w:val="it-IT"/>
        </w:rPr>
        <w:t>)</w:t>
      </w:r>
      <w:bookmarkEnd w:id="124"/>
    </w:p>
    <w:p w14:paraId="360AA324" w14:textId="77777777" w:rsidR="00E34233" w:rsidRDefault="00E34233" w:rsidP="00E34233">
      <w:pPr>
        <w:spacing w:line="360" w:lineRule="auto"/>
        <w:jc w:val="both"/>
        <w:rPr>
          <w:rFonts w:cs="Arial"/>
          <w:sz w:val="20"/>
          <w:szCs w:val="20"/>
        </w:rPr>
      </w:pPr>
      <w:r>
        <w:rPr>
          <w:noProof/>
          <w:lang w:val="en-GB" w:eastAsia="en-GB"/>
        </w:rPr>
        <w:drawing>
          <wp:inline distT="0" distB="0" distL="0" distR="0" wp14:anchorId="51216E59" wp14:editId="0A93371C">
            <wp:extent cx="5607050" cy="2654904"/>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606467" cy="2654628"/>
                    </a:xfrm>
                    <a:prstGeom prst="rect">
                      <a:avLst/>
                    </a:prstGeom>
                  </pic:spPr>
                </pic:pic>
              </a:graphicData>
            </a:graphic>
          </wp:inline>
        </w:drawing>
      </w:r>
    </w:p>
    <w:p w14:paraId="22C4FBB1" w14:textId="77777777" w:rsidR="00CE0690" w:rsidRPr="00221759" w:rsidRDefault="00CE0690" w:rsidP="00AE2224">
      <w:pPr>
        <w:pStyle w:val="Paragrafoelenco3"/>
        <w:spacing w:line="360" w:lineRule="auto"/>
        <w:ind w:left="0"/>
        <w:jc w:val="both"/>
        <w:rPr>
          <w:rFonts w:asciiTheme="minorHAnsi" w:hAnsiTheme="minorHAnsi" w:cs="Arial"/>
          <w:sz w:val="20"/>
          <w:szCs w:val="20"/>
        </w:rPr>
      </w:pPr>
    </w:p>
    <w:p w14:paraId="79F88193" w14:textId="77777777" w:rsidR="00CE0690" w:rsidRPr="00221759" w:rsidRDefault="00CE0690" w:rsidP="00825BD3">
      <w:pPr>
        <w:numPr>
          <w:ilvl w:val="1"/>
          <w:numId w:val="13"/>
        </w:numPr>
        <w:spacing w:line="360" w:lineRule="auto"/>
        <w:ind w:left="709"/>
        <w:rPr>
          <w:rFonts w:cs="Arial"/>
          <w:sz w:val="20"/>
          <w:szCs w:val="20"/>
          <w:u w:val="single"/>
        </w:rPr>
      </w:pPr>
      <w:r w:rsidRPr="00221759">
        <w:rPr>
          <w:rFonts w:cs="Arial"/>
          <w:sz w:val="20"/>
          <w:szCs w:val="20"/>
          <w:u w:val="single"/>
        </w:rPr>
        <w:t>Tipo di pazienti partecipanti allo studio</w:t>
      </w:r>
    </w:p>
    <w:p w14:paraId="6586A639" w14:textId="3FBFA71B" w:rsidR="00C94DA7" w:rsidRDefault="00C94DA7" w:rsidP="000210A2">
      <w:pPr>
        <w:pStyle w:val="Paragrafoelenco3"/>
        <w:spacing w:line="360" w:lineRule="auto"/>
        <w:ind w:left="0"/>
        <w:rPr>
          <w:rFonts w:asciiTheme="minorHAnsi" w:hAnsiTheme="minorHAnsi" w:cs="Arial"/>
          <w:sz w:val="20"/>
          <w:szCs w:val="20"/>
        </w:rPr>
      </w:pPr>
      <w:r w:rsidRPr="00C94DA7">
        <w:rPr>
          <w:rFonts w:asciiTheme="minorHAnsi" w:hAnsiTheme="minorHAnsi" w:cs="Arial"/>
          <w:sz w:val="20"/>
          <w:szCs w:val="20"/>
        </w:rPr>
        <w:t xml:space="preserve">Lo studio ha incluso pazienti d’età compresa fra 18 e 85 anni con diagnosi di gotta (definita secondo i criteri </w:t>
      </w:r>
      <w:r w:rsidRPr="00290EAE">
        <w:rPr>
          <w:rFonts w:asciiTheme="minorHAnsi" w:hAnsiTheme="minorHAnsi" w:cs="Arial"/>
          <w:color w:val="0000FF"/>
          <w:sz w:val="20"/>
          <w:szCs w:val="20"/>
        </w:rPr>
        <w:t>dell’American Rheumatism Association</w:t>
      </w:r>
      <w:r w:rsidR="00323507" w:rsidRPr="00290EAE">
        <w:rPr>
          <w:rFonts w:asciiTheme="minorHAnsi" w:hAnsiTheme="minorHAnsi" w:cs="Arial"/>
          <w:color w:val="0000FF"/>
          <w:sz w:val="20"/>
          <w:szCs w:val="20"/>
        </w:rPr>
        <w:t>, 1977</w:t>
      </w:r>
      <w:r w:rsidR="003809BA">
        <w:rPr>
          <w:rFonts w:asciiTheme="minorHAnsi" w:hAnsiTheme="minorHAnsi" w:cs="Arial"/>
          <w:color w:val="0000FF"/>
          <w:sz w:val="20"/>
          <w:szCs w:val="20"/>
        </w:rPr>
        <w:t xml:space="preserve"> – Wallace, 1977 (</w:t>
      </w:r>
      <w:r w:rsidR="00A03658">
        <w:rPr>
          <w:rFonts w:asciiTheme="minorHAnsi" w:hAnsiTheme="minorHAnsi" w:cs="Arial"/>
          <w:color w:val="0000FF"/>
          <w:sz w:val="20"/>
          <w:szCs w:val="20"/>
        </w:rPr>
        <w:t>14</w:t>
      </w:r>
      <w:r w:rsidR="00483BE7">
        <w:rPr>
          <w:rFonts w:asciiTheme="minorHAnsi" w:hAnsiTheme="minorHAnsi" w:cs="Arial"/>
          <w:color w:val="0000FF"/>
          <w:sz w:val="20"/>
          <w:szCs w:val="20"/>
        </w:rPr>
        <w:t>0</w:t>
      </w:r>
      <w:r w:rsidR="003809BA">
        <w:rPr>
          <w:rFonts w:asciiTheme="minorHAnsi" w:hAnsiTheme="minorHAnsi" w:cs="Arial"/>
          <w:color w:val="0000FF"/>
          <w:sz w:val="20"/>
          <w:szCs w:val="20"/>
        </w:rPr>
        <w:t>)</w:t>
      </w:r>
      <w:r w:rsidRPr="00C94DA7">
        <w:rPr>
          <w:rFonts w:asciiTheme="minorHAnsi" w:hAnsiTheme="minorHAnsi" w:cs="Arial"/>
          <w:sz w:val="20"/>
          <w:szCs w:val="20"/>
        </w:rPr>
        <w:t>) e con almeno un tofo misurabile (diametro da 5 a 20 mm) su mani, polsi, piedi, e/o caviglie. I pazienti dovevano avere un livello di acido urico ≥8.0 mg/dl se non erano in trattamento farmacologico per la gotta o un livello di acido urico ≥6.0 mg/dl se in trattamento con febuxostat o allopurinolo al momento dello screening. Sono stati esclusi i pazienti che avevano ricevuto terapie per il trattamento della gotta diverse da allopurinolo o febuxostat, nelle 8 settimane precedenti la visita di screening. I pazienti sono stati stratificati in base alla funzionalità renale e in base al livello di uremia sierica allo screening.</w:t>
      </w:r>
    </w:p>
    <w:p w14:paraId="6E9C17F3" w14:textId="77777777" w:rsidR="00DC2670" w:rsidRPr="00C94DA7" w:rsidRDefault="00DC2670" w:rsidP="000210A2">
      <w:pPr>
        <w:autoSpaceDE w:val="0"/>
        <w:autoSpaceDN w:val="0"/>
        <w:adjustRightInd w:val="0"/>
        <w:spacing w:line="360" w:lineRule="auto"/>
        <w:rPr>
          <w:rFonts w:cs="Arial"/>
          <w:sz w:val="18"/>
          <w:szCs w:val="18"/>
        </w:rPr>
      </w:pPr>
    </w:p>
    <w:p w14:paraId="754FACAD" w14:textId="77777777" w:rsidR="00CE0690" w:rsidRPr="00221759" w:rsidRDefault="00CE0690" w:rsidP="00825BD3">
      <w:pPr>
        <w:numPr>
          <w:ilvl w:val="1"/>
          <w:numId w:val="13"/>
        </w:numPr>
        <w:spacing w:line="360" w:lineRule="auto"/>
        <w:ind w:left="1414" w:hanging="1414"/>
        <w:rPr>
          <w:rFonts w:cs="Arial"/>
          <w:sz w:val="20"/>
          <w:szCs w:val="20"/>
          <w:u w:val="single"/>
        </w:rPr>
      </w:pPr>
      <w:r w:rsidRPr="00221759">
        <w:rPr>
          <w:rFonts w:cs="Arial"/>
          <w:sz w:val="20"/>
          <w:szCs w:val="20"/>
          <w:u w:val="single"/>
        </w:rPr>
        <w:t>Sponsorizzazione</w:t>
      </w:r>
    </w:p>
    <w:p w14:paraId="0CA05C2A" w14:textId="432162F7" w:rsidR="00CE0690" w:rsidRPr="00221759" w:rsidRDefault="00247A10" w:rsidP="000210A2">
      <w:pPr>
        <w:spacing w:line="360" w:lineRule="auto"/>
        <w:rPr>
          <w:rFonts w:cs="Arial"/>
          <w:sz w:val="20"/>
          <w:szCs w:val="20"/>
        </w:rPr>
      </w:pPr>
      <w:r w:rsidRPr="00221759">
        <w:rPr>
          <w:rFonts w:cs="Arial"/>
          <w:sz w:val="20"/>
          <w:szCs w:val="20"/>
        </w:rPr>
        <w:t>A</w:t>
      </w:r>
      <w:r w:rsidR="00C94DA7">
        <w:rPr>
          <w:rFonts w:cs="Arial"/>
          <w:sz w:val="20"/>
          <w:szCs w:val="20"/>
        </w:rPr>
        <w:t>straZeneca</w:t>
      </w:r>
    </w:p>
    <w:p w14:paraId="7EFC7FB6" w14:textId="77777777" w:rsidR="00CE0690" w:rsidRPr="00221759" w:rsidRDefault="00CE0690" w:rsidP="000210A2">
      <w:pPr>
        <w:spacing w:line="360" w:lineRule="auto"/>
        <w:rPr>
          <w:rFonts w:cs="Arial"/>
          <w:sz w:val="20"/>
          <w:szCs w:val="20"/>
        </w:rPr>
      </w:pPr>
    </w:p>
    <w:p w14:paraId="37BC5BC2" w14:textId="77777777" w:rsidR="00CE0690" w:rsidRPr="00221759" w:rsidRDefault="00CE0690" w:rsidP="00825BD3">
      <w:pPr>
        <w:numPr>
          <w:ilvl w:val="1"/>
          <w:numId w:val="13"/>
        </w:numPr>
        <w:spacing w:line="360" w:lineRule="auto"/>
        <w:ind w:left="709" w:hanging="709"/>
        <w:rPr>
          <w:rFonts w:cs="Arial"/>
          <w:sz w:val="20"/>
          <w:szCs w:val="20"/>
          <w:u w:val="single"/>
        </w:rPr>
      </w:pPr>
      <w:r w:rsidRPr="00221759">
        <w:rPr>
          <w:rFonts w:cs="Arial"/>
          <w:sz w:val="20"/>
          <w:szCs w:val="20"/>
          <w:u w:val="single"/>
        </w:rPr>
        <w:t>Regime terapeutico in studio e regime terapeutico di confronto</w:t>
      </w:r>
    </w:p>
    <w:p w14:paraId="7CBAF68D" w14:textId="02E8587A" w:rsidR="00C94DA7" w:rsidRPr="00C94DA7" w:rsidRDefault="00C94DA7" w:rsidP="000210A2">
      <w:pPr>
        <w:pStyle w:val="Paragrafoelenco3"/>
        <w:spacing w:line="360" w:lineRule="auto"/>
        <w:ind w:left="0"/>
        <w:rPr>
          <w:rFonts w:asciiTheme="minorHAnsi" w:hAnsiTheme="minorHAnsi" w:cs="Arial"/>
          <w:sz w:val="20"/>
          <w:szCs w:val="20"/>
        </w:rPr>
      </w:pPr>
      <w:r w:rsidRPr="00C94DA7">
        <w:rPr>
          <w:rFonts w:asciiTheme="minorHAnsi" w:hAnsiTheme="minorHAnsi" w:cs="Arial"/>
          <w:sz w:val="20"/>
          <w:szCs w:val="20"/>
        </w:rPr>
        <w:t xml:space="preserve">Lo studio ha previsto un periodo di run-in (pari a 21 giorni), durante il quale i pazienti eleggibili hanno interrotto la terapia farmacologica per il trattamento della gotta a cui erano sottoposti, se diversa da febuxostat, e hanno assunto febuxostat 80 mg/die. </w:t>
      </w:r>
    </w:p>
    <w:p w14:paraId="1BD7889A" w14:textId="77777777" w:rsidR="00C94DA7" w:rsidRDefault="00C94DA7" w:rsidP="000210A2">
      <w:pPr>
        <w:pStyle w:val="Paragrafoelenco3"/>
        <w:spacing w:line="360" w:lineRule="auto"/>
        <w:ind w:left="0"/>
        <w:rPr>
          <w:rFonts w:asciiTheme="minorHAnsi" w:hAnsiTheme="minorHAnsi" w:cs="Arial"/>
          <w:sz w:val="20"/>
          <w:szCs w:val="20"/>
        </w:rPr>
      </w:pPr>
      <w:r w:rsidRPr="00C94DA7">
        <w:rPr>
          <w:rFonts w:asciiTheme="minorHAnsi" w:hAnsiTheme="minorHAnsi" w:cs="Arial"/>
          <w:sz w:val="20"/>
          <w:szCs w:val="20"/>
        </w:rPr>
        <w:t>Alla fine del periodo di run-in tutti i soggetti sono stati randomizzati in un rapporto 1:1:1 nei seguenti bracci di trattamento:</w:t>
      </w:r>
    </w:p>
    <w:p w14:paraId="6737857E" w14:textId="77777777" w:rsidR="00C94DA7" w:rsidRDefault="00C94DA7" w:rsidP="00825BD3">
      <w:pPr>
        <w:pStyle w:val="Paragrafoelenco3"/>
        <w:numPr>
          <w:ilvl w:val="0"/>
          <w:numId w:val="22"/>
        </w:numPr>
        <w:spacing w:line="360" w:lineRule="auto"/>
        <w:rPr>
          <w:rFonts w:asciiTheme="minorHAnsi" w:hAnsiTheme="minorHAnsi" w:cs="Arial"/>
          <w:sz w:val="20"/>
          <w:szCs w:val="20"/>
        </w:rPr>
      </w:pPr>
      <w:r w:rsidRPr="00C94DA7">
        <w:rPr>
          <w:rFonts w:asciiTheme="minorHAnsi" w:hAnsiTheme="minorHAnsi" w:cs="Arial"/>
          <w:sz w:val="20"/>
          <w:szCs w:val="20"/>
        </w:rPr>
        <w:t>Lesinurad 200 mg in combinazione con febuxostat 80 mg (LESU200+FBX)</w:t>
      </w:r>
    </w:p>
    <w:p w14:paraId="3B21B947" w14:textId="77777777" w:rsidR="00C94DA7" w:rsidRDefault="00C94DA7" w:rsidP="00825BD3">
      <w:pPr>
        <w:pStyle w:val="Paragrafoelenco3"/>
        <w:numPr>
          <w:ilvl w:val="0"/>
          <w:numId w:val="22"/>
        </w:numPr>
        <w:spacing w:line="360" w:lineRule="auto"/>
        <w:rPr>
          <w:rFonts w:asciiTheme="minorHAnsi" w:hAnsiTheme="minorHAnsi" w:cs="Arial"/>
          <w:sz w:val="20"/>
          <w:szCs w:val="20"/>
        </w:rPr>
      </w:pPr>
      <w:r w:rsidRPr="00C94DA7">
        <w:rPr>
          <w:rFonts w:asciiTheme="minorHAnsi" w:hAnsiTheme="minorHAnsi" w:cs="Arial"/>
          <w:sz w:val="20"/>
          <w:szCs w:val="20"/>
        </w:rPr>
        <w:t>Lesinurad 400 mg in combinazione con febuxostat 80 mg (LESU400+FBX)</w:t>
      </w:r>
    </w:p>
    <w:p w14:paraId="5388CE18" w14:textId="17CDA333" w:rsidR="00C94DA7" w:rsidRPr="00C94DA7" w:rsidRDefault="00C94DA7" w:rsidP="00825BD3">
      <w:pPr>
        <w:pStyle w:val="Paragrafoelenco3"/>
        <w:numPr>
          <w:ilvl w:val="0"/>
          <w:numId w:val="22"/>
        </w:numPr>
        <w:spacing w:line="360" w:lineRule="auto"/>
        <w:rPr>
          <w:rFonts w:asciiTheme="minorHAnsi" w:hAnsiTheme="minorHAnsi" w:cs="Arial"/>
          <w:sz w:val="20"/>
          <w:szCs w:val="20"/>
        </w:rPr>
      </w:pPr>
      <w:r w:rsidRPr="00C94DA7">
        <w:rPr>
          <w:rFonts w:asciiTheme="minorHAnsi" w:hAnsiTheme="minorHAnsi" w:cs="Arial"/>
          <w:sz w:val="20"/>
          <w:szCs w:val="20"/>
        </w:rPr>
        <w:t>Placebo in combinazione con febuxostat 80 mg (PBO+FBX)</w:t>
      </w:r>
    </w:p>
    <w:p w14:paraId="425741E4" w14:textId="413F43BE" w:rsidR="00C94DA7" w:rsidRPr="00C94DA7" w:rsidRDefault="00C94DA7" w:rsidP="000210A2">
      <w:pPr>
        <w:pStyle w:val="Paragrafoelenco3"/>
        <w:spacing w:line="360" w:lineRule="auto"/>
        <w:ind w:left="0"/>
        <w:rPr>
          <w:rFonts w:asciiTheme="minorHAnsi" w:hAnsiTheme="minorHAnsi" w:cs="Arial"/>
          <w:sz w:val="20"/>
          <w:szCs w:val="20"/>
        </w:rPr>
      </w:pPr>
      <w:r w:rsidRPr="00C94DA7">
        <w:rPr>
          <w:rFonts w:asciiTheme="minorHAnsi" w:hAnsiTheme="minorHAnsi" w:cs="Arial"/>
          <w:sz w:val="20"/>
          <w:szCs w:val="20"/>
        </w:rPr>
        <w:t>Da notare che sono stati randomizzati tutti i soggetti eleggibili, a prescindere dal livello di uricemia raggiunto</w:t>
      </w:r>
      <w:r w:rsidR="00107DFB">
        <w:rPr>
          <w:rFonts w:asciiTheme="minorHAnsi" w:hAnsiTheme="minorHAnsi" w:cs="Arial"/>
          <w:sz w:val="20"/>
          <w:szCs w:val="20"/>
        </w:rPr>
        <w:t xml:space="preserve"> </w:t>
      </w:r>
      <w:r w:rsidRPr="00C94DA7">
        <w:rPr>
          <w:rFonts w:asciiTheme="minorHAnsi" w:hAnsiTheme="minorHAnsi" w:cs="Arial"/>
          <w:sz w:val="20"/>
          <w:szCs w:val="20"/>
        </w:rPr>
        <w:t>dopo 3 settimane di trattamento con febuxostat 80 mg al giorno</w:t>
      </w:r>
      <w:r w:rsidR="00514F7C">
        <w:rPr>
          <w:rFonts w:asciiTheme="minorHAnsi" w:hAnsiTheme="minorHAnsi" w:cs="Arial"/>
          <w:sz w:val="20"/>
          <w:szCs w:val="20"/>
        </w:rPr>
        <w:t xml:space="preserve"> (</w:t>
      </w:r>
      <w:r w:rsidR="00514F7C" w:rsidRPr="006F255E">
        <w:rPr>
          <w:rFonts w:asciiTheme="minorHAnsi" w:hAnsiTheme="minorHAnsi" w:cs="Arial"/>
          <w:b/>
          <w:sz w:val="20"/>
          <w:szCs w:val="20"/>
        </w:rPr>
        <w:t>sUA medio alla randomizzazione 5.10 mg/dl LESU + FEBU vs 4.90 mg/dl PBO + FEBU</w:t>
      </w:r>
      <w:r w:rsidR="00514F7C">
        <w:rPr>
          <w:rFonts w:asciiTheme="minorHAnsi" w:hAnsiTheme="minorHAnsi" w:cs="Arial"/>
          <w:sz w:val="20"/>
          <w:szCs w:val="20"/>
        </w:rPr>
        <w:t>)</w:t>
      </w:r>
      <w:r w:rsidRPr="00C94DA7">
        <w:rPr>
          <w:rFonts w:asciiTheme="minorHAnsi" w:hAnsiTheme="minorHAnsi" w:cs="Arial"/>
          <w:sz w:val="20"/>
          <w:szCs w:val="20"/>
        </w:rPr>
        <w:t xml:space="preserve">. </w:t>
      </w:r>
    </w:p>
    <w:p w14:paraId="205E0028" w14:textId="28879322" w:rsidR="00C94DA7" w:rsidRDefault="00C94DA7" w:rsidP="000210A2">
      <w:pPr>
        <w:pStyle w:val="Paragrafoelenco3"/>
        <w:spacing w:line="360" w:lineRule="auto"/>
        <w:ind w:left="0"/>
        <w:rPr>
          <w:rFonts w:asciiTheme="minorHAnsi" w:hAnsiTheme="minorHAnsi" w:cs="Arial"/>
          <w:sz w:val="20"/>
          <w:szCs w:val="20"/>
        </w:rPr>
      </w:pPr>
      <w:r w:rsidRPr="00C94DA7">
        <w:rPr>
          <w:rFonts w:asciiTheme="minorHAnsi" w:hAnsiTheme="minorHAnsi" w:cs="Arial"/>
          <w:sz w:val="20"/>
          <w:szCs w:val="20"/>
        </w:rPr>
        <w:t xml:space="preserve">Nello studio CRYSTAL, l’efficacia e la sicurezza di lesinurad sono state valutate a due diversi dosaggi del farmaco (200 e 400 mg): </w:t>
      </w:r>
      <w:r w:rsidRPr="00C94DA7">
        <w:rPr>
          <w:rFonts w:asciiTheme="minorHAnsi" w:hAnsiTheme="minorHAnsi" w:cs="Arial"/>
          <w:b/>
          <w:sz w:val="20"/>
          <w:szCs w:val="20"/>
        </w:rPr>
        <w:t>tuttavia i risultati di seguito riportati fanno riferimento esclusivamente alla coorte di pazienti che ha ricevuto lesinurad alla dose di 200 mg/die, dose approvata da EMA.</w:t>
      </w:r>
    </w:p>
    <w:p w14:paraId="68EFA9C9" w14:textId="77777777" w:rsidR="00CE0690" w:rsidRPr="00221759" w:rsidRDefault="00CE0690" w:rsidP="000210A2">
      <w:pPr>
        <w:spacing w:line="360" w:lineRule="auto"/>
        <w:rPr>
          <w:rFonts w:cs="Arial"/>
          <w:sz w:val="20"/>
          <w:szCs w:val="20"/>
        </w:rPr>
      </w:pPr>
    </w:p>
    <w:p w14:paraId="4D517948" w14:textId="77777777" w:rsidR="00CE0690" w:rsidRPr="00221759" w:rsidRDefault="00CE0690" w:rsidP="00825BD3">
      <w:pPr>
        <w:numPr>
          <w:ilvl w:val="1"/>
          <w:numId w:val="13"/>
        </w:numPr>
        <w:spacing w:line="360" w:lineRule="auto"/>
        <w:ind w:left="709"/>
        <w:rPr>
          <w:rFonts w:cs="Arial"/>
          <w:sz w:val="20"/>
          <w:szCs w:val="20"/>
          <w:u w:val="single"/>
        </w:rPr>
      </w:pPr>
      <w:r w:rsidRPr="00221759">
        <w:rPr>
          <w:rFonts w:cs="Arial"/>
          <w:sz w:val="20"/>
          <w:szCs w:val="20"/>
          <w:u w:val="single"/>
        </w:rPr>
        <w:t>Durata del trattamento e del follow-up</w:t>
      </w:r>
    </w:p>
    <w:p w14:paraId="1177ACD2" w14:textId="77777777" w:rsidR="00C94DA7" w:rsidRPr="00C94DA7" w:rsidRDefault="00C94DA7" w:rsidP="000210A2">
      <w:pPr>
        <w:pStyle w:val="Paragrafoelenco3"/>
        <w:spacing w:line="360" w:lineRule="auto"/>
        <w:ind w:left="0"/>
        <w:rPr>
          <w:rFonts w:asciiTheme="minorHAnsi" w:hAnsiTheme="minorHAnsi" w:cs="Arial"/>
          <w:sz w:val="20"/>
          <w:szCs w:val="20"/>
        </w:rPr>
      </w:pPr>
      <w:r w:rsidRPr="00C94DA7">
        <w:rPr>
          <w:rFonts w:asciiTheme="minorHAnsi" w:hAnsiTheme="minorHAnsi" w:cs="Arial"/>
          <w:sz w:val="20"/>
          <w:szCs w:val="20"/>
        </w:rPr>
        <w:t>La durata del trattamento è stata di 12 mesi.</w:t>
      </w:r>
    </w:p>
    <w:p w14:paraId="60AD5113" w14:textId="77777777" w:rsidR="00AF5F11" w:rsidRPr="00221759" w:rsidRDefault="00AF5F11" w:rsidP="000210A2">
      <w:pPr>
        <w:pStyle w:val="Paragrafoelenco3"/>
        <w:spacing w:line="360" w:lineRule="auto"/>
        <w:ind w:left="0"/>
        <w:rPr>
          <w:rFonts w:asciiTheme="minorHAnsi" w:hAnsiTheme="minorHAnsi" w:cs="Arial"/>
          <w:sz w:val="20"/>
          <w:szCs w:val="20"/>
        </w:rPr>
      </w:pPr>
    </w:p>
    <w:p w14:paraId="3FF95C5C" w14:textId="77777777" w:rsidR="00CE0690" w:rsidRPr="00221759" w:rsidRDefault="00CE0690" w:rsidP="00825BD3">
      <w:pPr>
        <w:numPr>
          <w:ilvl w:val="1"/>
          <w:numId w:val="13"/>
        </w:numPr>
        <w:spacing w:line="360" w:lineRule="auto"/>
        <w:ind w:left="709"/>
        <w:rPr>
          <w:rFonts w:cs="Arial"/>
          <w:sz w:val="20"/>
          <w:szCs w:val="20"/>
          <w:u w:val="single"/>
        </w:rPr>
      </w:pPr>
      <w:r w:rsidRPr="00221759">
        <w:rPr>
          <w:rFonts w:cs="Arial"/>
          <w:sz w:val="20"/>
          <w:szCs w:val="20"/>
          <w:u w:val="single"/>
        </w:rPr>
        <w:tab/>
        <w:t>Criteri di efficacia e sicurezza - eventi misurati</w:t>
      </w:r>
    </w:p>
    <w:p w14:paraId="4191466D" w14:textId="77777777" w:rsidR="00C94DA7" w:rsidRPr="00C94DA7" w:rsidRDefault="00C94DA7" w:rsidP="000210A2">
      <w:pPr>
        <w:spacing w:line="360" w:lineRule="auto"/>
        <w:ind w:left="4"/>
        <w:rPr>
          <w:rFonts w:cs="Arial"/>
          <w:sz w:val="20"/>
          <w:szCs w:val="20"/>
        </w:rPr>
      </w:pPr>
      <w:r w:rsidRPr="00C94DA7">
        <w:rPr>
          <w:rFonts w:cs="Arial"/>
          <w:sz w:val="20"/>
          <w:szCs w:val="20"/>
        </w:rPr>
        <w:t>Endpoint primario dello studio:</w:t>
      </w:r>
    </w:p>
    <w:p w14:paraId="4D22B4BF" w14:textId="7D479AA9" w:rsidR="00C94DA7" w:rsidRPr="005A6556" w:rsidRDefault="00C94DA7" w:rsidP="00825BD3">
      <w:pPr>
        <w:pStyle w:val="ListParagraph"/>
        <w:numPr>
          <w:ilvl w:val="0"/>
          <w:numId w:val="23"/>
        </w:numPr>
        <w:spacing w:line="360" w:lineRule="auto"/>
        <w:rPr>
          <w:rFonts w:asciiTheme="minorHAnsi" w:hAnsiTheme="minorHAnsi" w:cstheme="minorHAnsi"/>
          <w:sz w:val="20"/>
          <w:szCs w:val="20"/>
        </w:rPr>
      </w:pPr>
      <w:r w:rsidRPr="005A6556">
        <w:rPr>
          <w:rFonts w:asciiTheme="minorHAnsi" w:hAnsiTheme="minorHAnsi" w:cstheme="minorHAnsi"/>
          <w:sz w:val="20"/>
          <w:szCs w:val="20"/>
        </w:rPr>
        <w:t>percentuale di pazienti che al sesto mese di trattamento avevano un livello di acido urico &lt;5,0 mg/dl.</w:t>
      </w:r>
    </w:p>
    <w:p w14:paraId="5E94CCA5" w14:textId="77777777" w:rsidR="00107DFB" w:rsidRPr="005A6556" w:rsidRDefault="00107DFB" w:rsidP="000210A2">
      <w:pPr>
        <w:spacing w:line="360" w:lineRule="auto"/>
        <w:rPr>
          <w:rFonts w:cstheme="minorHAnsi"/>
          <w:sz w:val="20"/>
          <w:szCs w:val="20"/>
        </w:rPr>
      </w:pPr>
      <w:r w:rsidRPr="001D71C3">
        <w:rPr>
          <w:rFonts w:cs="Arial"/>
          <w:sz w:val="20"/>
          <w:szCs w:val="20"/>
        </w:rPr>
        <w:t xml:space="preserve">I principali endpoint secondari dello studio </w:t>
      </w:r>
      <w:r>
        <w:rPr>
          <w:rFonts w:cs="Arial"/>
          <w:sz w:val="20"/>
          <w:szCs w:val="20"/>
        </w:rPr>
        <w:t xml:space="preserve">CRYSTAL </w:t>
      </w:r>
      <w:r w:rsidRPr="001D71C3">
        <w:rPr>
          <w:rFonts w:cs="Arial"/>
          <w:sz w:val="20"/>
          <w:szCs w:val="20"/>
        </w:rPr>
        <w:t>erano</w:t>
      </w:r>
      <w:r w:rsidRPr="005A6556">
        <w:rPr>
          <w:rFonts w:cstheme="minorHAnsi"/>
          <w:sz w:val="20"/>
          <w:szCs w:val="20"/>
        </w:rPr>
        <w:t xml:space="preserve">: </w:t>
      </w:r>
    </w:p>
    <w:p w14:paraId="0D7BC8CF" w14:textId="77777777" w:rsidR="00107DFB" w:rsidRPr="005A6556" w:rsidRDefault="00107DFB" w:rsidP="00825BD3">
      <w:pPr>
        <w:pStyle w:val="ListParagraph"/>
        <w:numPr>
          <w:ilvl w:val="0"/>
          <w:numId w:val="23"/>
        </w:numPr>
        <w:spacing w:line="360" w:lineRule="auto"/>
        <w:ind w:left="709"/>
        <w:rPr>
          <w:rFonts w:asciiTheme="minorHAnsi" w:hAnsiTheme="minorHAnsi" w:cstheme="minorHAnsi"/>
          <w:sz w:val="20"/>
          <w:szCs w:val="20"/>
        </w:rPr>
      </w:pPr>
      <w:r w:rsidRPr="005A6556">
        <w:rPr>
          <w:rFonts w:asciiTheme="minorHAnsi" w:hAnsiTheme="minorHAnsi" w:cstheme="minorHAnsi"/>
          <w:sz w:val="20"/>
          <w:szCs w:val="20"/>
        </w:rPr>
        <w:t>percentuale di soggetti che hanno avuto una completa risoluzione di almeno un tofo al 12° mese;</w:t>
      </w:r>
    </w:p>
    <w:p w14:paraId="60D37222" w14:textId="77777777" w:rsidR="00107DFB" w:rsidRPr="005A6556" w:rsidRDefault="00107DFB" w:rsidP="00825BD3">
      <w:pPr>
        <w:pStyle w:val="ListParagraph"/>
        <w:numPr>
          <w:ilvl w:val="0"/>
          <w:numId w:val="23"/>
        </w:numPr>
        <w:spacing w:line="360" w:lineRule="auto"/>
        <w:ind w:left="709"/>
        <w:rPr>
          <w:rFonts w:asciiTheme="minorHAnsi" w:hAnsiTheme="minorHAnsi" w:cstheme="minorHAnsi"/>
          <w:sz w:val="20"/>
          <w:szCs w:val="20"/>
        </w:rPr>
      </w:pPr>
      <w:r w:rsidRPr="005A6556">
        <w:rPr>
          <w:rFonts w:asciiTheme="minorHAnsi" w:hAnsiTheme="minorHAnsi" w:cstheme="minorHAnsi"/>
          <w:sz w:val="20"/>
          <w:szCs w:val="20"/>
        </w:rPr>
        <w:tab/>
        <w:t>percentuale di soggetti con risoluzione completa o parziale di almeno un tofo al 12° mese;</w:t>
      </w:r>
    </w:p>
    <w:p w14:paraId="2ACE6063" w14:textId="77777777" w:rsidR="00107DFB" w:rsidRDefault="00107DFB" w:rsidP="00825BD3">
      <w:pPr>
        <w:pStyle w:val="ListParagraph"/>
        <w:numPr>
          <w:ilvl w:val="0"/>
          <w:numId w:val="23"/>
        </w:numPr>
        <w:spacing w:line="360" w:lineRule="auto"/>
        <w:ind w:left="709"/>
        <w:rPr>
          <w:rFonts w:asciiTheme="minorHAnsi" w:hAnsiTheme="minorHAnsi" w:cstheme="minorHAnsi"/>
          <w:sz w:val="20"/>
          <w:szCs w:val="20"/>
        </w:rPr>
      </w:pPr>
      <w:r>
        <w:rPr>
          <w:rFonts w:asciiTheme="minorHAnsi" w:hAnsiTheme="minorHAnsi" w:cstheme="minorHAnsi"/>
          <w:sz w:val="20"/>
          <w:szCs w:val="20"/>
        </w:rPr>
        <w:t>Proporzione di pazienti con un miglioramento dalla baseline nel punteggio HAQ-DI di 0,25 al mese 12</w:t>
      </w:r>
    </w:p>
    <w:p w14:paraId="4A548E3B" w14:textId="77777777" w:rsidR="00107DFB" w:rsidRPr="004749F5" w:rsidRDefault="00107DFB" w:rsidP="000210A2">
      <w:pPr>
        <w:shd w:val="clear" w:color="auto" w:fill="FFFFFF"/>
        <w:spacing w:line="360" w:lineRule="auto"/>
        <w:ind w:left="-724" w:firstLine="724"/>
        <w:rPr>
          <w:rFonts w:cstheme="minorHAnsi"/>
          <w:sz w:val="20"/>
          <w:szCs w:val="20"/>
        </w:rPr>
      </w:pPr>
      <w:r w:rsidRPr="004749F5">
        <w:rPr>
          <w:rFonts w:cstheme="minorHAnsi"/>
          <w:sz w:val="20"/>
          <w:szCs w:val="20"/>
        </w:rPr>
        <w:t>Altri endpoint secondari comprendevano:</w:t>
      </w:r>
    </w:p>
    <w:p w14:paraId="3B888470" w14:textId="77777777" w:rsidR="00C94DA7" w:rsidRPr="005A6556" w:rsidRDefault="00C94DA7" w:rsidP="00825BD3">
      <w:pPr>
        <w:pStyle w:val="ListParagraph"/>
        <w:numPr>
          <w:ilvl w:val="0"/>
          <w:numId w:val="23"/>
        </w:numPr>
        <w:spacing w:line="360" w:lineRule="auto"/>
        <w:ind w:left="709"/>
        <w:rPr>
          <w:rFonts w:asciiTheme="minorHAnsi" w:hAnsiTheme="minorHAnsi" w:cstheme="minorHAnsi"/>
          <w:sz w:val="20"/>
          <w:szCs w:val="20"/>
        </w:rPr>
      </w:pPr>
      <w:r w:rsidRPr="005A6556">
        <w:rPr>
          <w:rFonts w:asciiTheme="minorHAnsi" w:hAnsiTheme="minorHAnsi" w:cstheme="minorHAnsi"/>
          <w:sz w:val="20"/>
          <w:szCs w:val="20"/>
        </w:rPr>
        <w:t>variazione media percentuale, rispetto al basale, nella somma delle superfici di tutti i tofi  (ad ogni visita);</w:t>
      </w:r>
    </w:p>
    <w:p w14:paraId="37E5E51A" w14:textId="77777777" w:rsidR="00C94DA7" w:rsidRPr="005A6556" w:rsidRDefault="00C94DA7" w:rsidP="00825BD3">
      <w:pPr>
        <w:pStyle w:val="ListParagraph"/>
        <w:numPr>
          <w:ilvl w:val="0"/>
          <w:numId w:val="23"/>
        </w:numPr>
        <w:spacing w:line="360" w:lineRule="auto"/>
        <w:ind w:left="709"/>
        <w:rPr>
          <w:rFonts w:asciiTheme="minorHAnsi" w:hAnsiTheme="minorHAnsi" w:cstheme="minorHAnsi"/>
          <w:sz w:val="20"/>
          <w:szCs w:val="20"/>
        </w:rPr>
      </w:pPr>
      <w:r w:rsidRPr="005A6556">
        <w:rPr>
          <w:rFonts w:asciiTheme="minorHAnsi" w:hAnsiTheme="minorHAnsi" w:cstheme="minorHAnsi"/>
          <w:sz w:val="20"/>
          <w:szCs w:val="20"/>
        </w:rPr>
        <w:t>tasso medio di attacchi di gotta che richiede un trattamento, tra la fine del 6° e la fine del 12° mese di trattamento;</w:t>
      </w:r>
    </w:p>
    <w:p w14:paraId="1B7A5D90" w14:textId="77777777" w:rsidR="00C94DA7" w:rsidRPr="005A6556" w:rsidRDefault="00C94DA7" w:rsidP="00825BD3">
      <w:pPr>
        <w:pStyle w:val="ListParagraph"/>
        <w:numPr>
          <w:ilvl w:val="0"/>
          <w:numId w:val="23"/>
        </w:numPr>
        <w:spacing w:line="360" w:lineRule="auto"/>
        <w:ind w:left="709"/>
        <w:rPr>
          <w:rFonts w:asciiTheme="minorHAnsi" w:hAnsiTheme="minorHAnsi" w:cstheme="minorHAnsi"/>
          <w:sz w:val="20"/>
          <w:szCs w:val="20"/>
        </w:rPr>
      </w:pPr>
      <w:r w:rsidRPr="005A6556">
        <w:rPr>
          <w:rFonts w:asciiTheme="minorHAnsi" w:hAnsiTheme="minorHAnsi" w:cstheme="minorHAnsi"/>
          <w:sz w:val="20"/>
          <w:szCs w:val="20"/>
        </w:rPr>
        <w:t>percentuale di soggetti con livelli di uricemia &lt;6,0 mg/dl, &lt;5,0 mg/dl, e &lt;4,0 mg/dl (ad ogni visita)</w:t>
      </w:r>
    </w:p>
    <w:p w14:paraId="04DA0F52" w14:textId="77777777" w:rsidR="00C94DA7" w:rsidRPr="005A6556" w:rsidRDefault="00C94DA7" w:rsidP="00825BD3">
      <w:pPr>
        <w:pStyle w:val="ListParagraph"/>
        <w:numPr>
          <w:ilvl w:val="0"/>
          <w:numId w:val="23"/>
        </w:numPr>
        <w:spacing w:line="360" w:lineRule="auto"/>
        <w:ind w:left="709"/>
        <w:rPr>
          <w:rFonts w:asciiTheme="minorHAnsi" w:hAnsiTheme="minorHAnsi" w:cstheme="minorHAnsi"/>
          <w:sz w:val="20"/>
          <w:szCs w:val="20"/>
        </w:rPr>
      </w:pPr>
      <w:r w:rsidRPr="005A6556">
        <w:rPr>
          <w:rFonts w:asciiTheme="minorHAnsi" w:hAnsiTheme="minorHAnsi" w:cstheme="minorHAnsi"/>
          <w:sz w:val="20"/>
          <w:szCs w:val="20"/>
        </w:rPr>
        <w:t>variazione assoluta e percentuale rispetto al basale dei livelli di acido urico sierico (ad ogni visita)</w:t>
      </w:r>
    </w:p>
    <w:p w14:paraId="6F2F21C6" w14:textId="3C8A81E0" w:rsidR="00C94DA7" w:rsidRPr="005A6556" w:rsidRDefault="00C94DA7" w:rsidP="00825BD3">
      <w:pPr>
        <w:pStyle w:val="ListParagraph"/>
        <w:numPr>
          <w:ilvl w:val="0"/>
          <w:numId w:val="23"/>
        </w:numPr>
        <w:spacing w:line="360" w:lineRule="auto"/>
        <w:ind w:left="709"/>
        <w:rPr>
          <w:rFonts w:asciiTheme="minorHAnsi" w:hAnsiTheme="minorHAnsi" w:cstheme="minorHAnsi"/>
          <w:sz w:val="20"/>
          <w:szCs w:val="20"/>
        </w:rPr>
      </w:pPr>
      <w:r w:rsidRPr="005A6556">
        <w:rPr>
          <w:rFonts w:asciiTheme="minorHAnsi" w:hAnsiTheme="minorHAnsi" w:cstheme="minorHAnsi"/>
          <w:sz w:val="20"/>
          <w:szCs w:val="20"/>
        </w:rPr>
        <w:t xml:space="preserve">percentuale di soggetti che hanno necessitato di trattamento per un attacco acuto di gotta (Patients Requiring Treatment for a Gout Flare - GFRT) tra il sesto e il dodicesimo mese (ad ogni mese).  </w:t>
      </w:r>
    </w:p>
    <w:p w14:paraId="5C59116F" w14:textId="7E2FA349" w:rsidR="00CE0690" w:rsidRPr="00C94DA7" w:rsidRDefault="00C94DA7" w:rsidP="000210A2">
      <w:pPr>
        <w:spacing w:line="360" w:lineRule="auto"/>
        <w:ind w:left="349"/>
        <w:rPr>
          <w:rFonts w:cs="Arial"/>
          <w:sz w:val="20"/>
          <w:szCs w:val="20"/>
        </w:rPr>
      </w:pPr>
      <w:r w:rsidRPr="00C94DA7">
        <w:rPr>
          <w:rFonts w:cs="Arial"/>
          <w:sz w:val="20"/>
          <w:szCs w:val="20"/>
        </w:rPr>
        <w:t>La sicurezza e tollerabilità di lesinurad sono state misurate in termini di insorgenza di eventi avversi correlati al trattamento farmacologico. Particolare attenzione è stata posta agli eventi avversi di tipo renale e al profilo di sicurezza cardiovascolare</w:t>
      </w:r>
    </w:p>
    <w:p w14:paraId="23C826DF" w14:textId="77777777" w:rsidR="005D57ED" w:rsidRPr="00221759" w:rsidRDefault="005D57ED" w:rsidP="000210A2">
      <w:pPr>
        <w:spacing w:line="360" w:lineRule="auto"/>
        <w:rPr>
          <w:rFonts w:cs="Arial"/>
          <w:sz w:val="20"/>
          <w:szCs w:val="20"/>
        </w:rPr>
      </w:pPr>
    </w:p>
    <w:p w14:paraId="36C6D932" w14:textId="77777777" w:rsidR="00CE0690" w:rsidRPr="00A46038" w:rsidRDefault="00CE0690" w:rsidP="00825BD3">
      <w:pPr>
        <w:numPr>
          <w:ilvl w:val="1"/>
          <w:numId w:val="13"/>
        </w:numPr>
        <w:spacing w:line="360" w:lineRule="auto"/>
        <w:ind w:left="709"/>
        <w:rPr>
          <w:rFonts w:cs="Arial"/>
          <w:sz w:val="20"/>
          <w:szCs w:val="20"/>
          <w:u w:val="single"/>
        </w:rPr>
      </w:pPr>
      <w:bookmarkStart w:id="125" w:name="Paragrafo518"/>
      <w:bookmarkEnd w:id="125"/>
      <w:r w:rsidRPr="00A46038">
        <w:rPr>
          <w:rFonts w:cs="Arial"/>
          <w:sz w:val="20"/>
          <w:szCs w:val="20"/>
          <w:u w:val="single"/>
        </w:rPr>
        <w:t>Risultati</w:t>
      </w:r>
    </w:p>
    <w:p w14:paraId="12EB4598" w14:textId="6D2A5E18" w:rsidR="001B0092" w:rsidRPr="001D1F77" w:rsidRDefault="001B0092" w:rsidP="000210A2">
      <w:pPr>
        <w:pStyle w:val="Paragrafoelenco3"/>
        <w:spacing w:line="360" w:lineRule="auto"/>
        <w:ind w:left="0"/>
        <w:rPr>
          <w:rFonts w:asciiTheme="minorHAnsi" w:hAnsiTheme="minorHAnsi" w:cs="Arial"/>
          <w:sz w:val="20"/>
          <w:szCs w:val="20"/>
        </w:rPr>
      </w:pPr>
      <w:r w:rsidRPr="001D1F77">
        <w:rPr>
          <w:rFonts w:asciiTheme="minorHAnsi" w:hAnsiTheme="minorHAnsi" w:cs="Arial"/>
          <w:sz w:val="20"/>
          <w:szCs w:val="20"/>
        </w:rPr>
        <w:t>Lo studio CRYSTAL ha arruolato complessivamente 330 soggetti</w:t>
      </w:r>
      <w:r w:rsidR="00AC4A47">
        <w:rPr>
          <w:rFonts w:asciiTheme="minorHAnsi" w:hAnsiTheme="minorHAnsi" w:cs="Arial"/>
          <w:sz w:val="20"/>
          <w:szCs w:val="20"/>
        </w:rPr>
        <w:t xml:space="preserve"> (324 ITT)</w:t>
      </w:r>
      <w:r w:rsidRPr="001D1F77">
        <w:rPr>
          <w:rFonts w:asciiTheme="minorHAnsi" w:hAnsiTheme="minorHAnsi" w:cs="Arial"/>
          <w:sz w:val="20"/>
          <w:szCs w:val="20"/>
        </w:rPr>
        <w:t xml:space="preserve">, successivamente randomizzati in un rapporto 1:1:1 nei 3 gruppi di trattamento: </w:t>
      </w:r>
      <w:r w:rsidR="006F255E" w:rsidRPr="001D1F77">
        <w:rPr>
          <w:rFonts w:asciiTheme="minorHAnsi" w:hAnsiTheme="minorHAnsi" w:cs="Arial"/>
          <w:sz w:val="20"/>
          <w:szCs w:val="20"/>
        </w:rPr>
        <w:t>10</w:t>
      </w:r>
      <w:r w:rsidR="006F255E">
        <w:rPr>
          <w:rFonts w:asciiTheme="minorHAnsi" w:hAnsiTheme="minorHAnsi" w:cs="Arial"/>
          <w:sz w:val="20"/>
          <w:szCs w:val="20"/>
        </w:rPr>
        <w:t>6</w:t>
      </w:r>
      <w:r w:rsidR="006F255E" w:rsidRPr="001D1F77">
        <w:rPr>
          <w:rFonts w:asciiTheme="minorHAnsi" w:hAnsiTheme="minorHAnsi" w:cs="Arial"/>
          <w:sz w:val="20"/>
          <w:szCs w:val="20"/>
        </w:rPr>
        <w:t xml:space="preserve"> </w:t>
      </w:r>
      <w:r w:rsidRPr="001D1F77">
        <w:rPr>
          <w:rFonts w:asciiTheme="minorHAnsi" w:hAnsiTheme="minorHAnsi" w:cs="Arial"/>
          <w:sz w:val="20"/>
          <w:szCs w:val="20"/>
        </w:rPr>
        <w:t xml:space="preserve">soggetti nel braccio (LESU200+FBX); </w:t>
      </w:r>
      <w:r w:rsidR="006F255E" w:rsidRPr="001D1F77">
        <w:rPr>
          <w:rFonts w:asciiTheme="minorHAnsi" w:hAnsiTheme="minorHAnsi" w:cs="Arial"/>
          <w:sz w:val="20"/>
          <w:szCs w:val="20"/>
        </w:rPr>
        <w:t>1</w:t>
      </w:r>
      <w:r w:rsidR="006F255E">
        <w:rPr>
          <w:rFonts w:asciiTheme="minorHAnsi" w:hAnsiTheme="minorHAnsi" w:cs="Arial"/>
          <w:sz w:val="20"/>
          <w:szCs w:val="20"/>
        </w:rPr>
        <w:t>09</w:t>
      </w:r>
      <w:r w:rsidR="006F255E" w:rsidRPr="001D1F77">
        <w:rPr>
          <w:rFonts w:asciiTheme="minorHAnsi" w:hAnsiTheme="minorHAnsi" w:cs="Arial"/>
          <w:sz w:val="20"/>
          <w:szCs w:val="20"/>
        </w:rPr>
        <w:t xml:space="preserve"> </w:t>
      </w:r>
      <w:r w:rsidRPr="001D1F77">
        <w:rPr>
          <w:rFonts w:asciiTheme="minorHAnsi" w:hAnsiTheme="minorHAnsi" w:cs="Arial"/>
          <w:sz w:val="20"/>
          <w:szCs w:val="20"/>
        </w:rPr>
        <w:t xml:space="preserve">soggetti nel braccio (LESU400+FBX); </w:t>
      </w:r>
      <w:r w:rsidR="006F255E" w:rsidRPr="001D1F77">
        <w:rPr>
          <w:rFonts w:asciiTheme="minorHAnsi" w:hAnsiTheme="minorHAnsi" w:cs="Arial"/>
          <w:sz w:val="20"/>
          <w:szCs w:val="20"/>
        </w:rPr>
        <w:t>1</w:t>
      </w:r>
      <w:r w:rsidR="006F255E">
        <w:rPr>
          <w:rFonts w:asciiTheme="minorHAnsi" w:hAnsiTheme="minorHAnsi" w:cs="Arial"/>
          <w:sz w:val="20"/>
          <w:szCs w:val="20"/>
        </w:rPr>
        <w:t>09</w:t>
      </w:r>
      <w:r w:rsidR="006F255E" w:rsidRPr="001D1F77">
        <w:rPr>
          <w:rFonts w:asciiTheme="minorHAnsi" w:hAnsiTheme="minorHAnsi" w:cs="Arial"/>
          <w:sz w:val="20"/>
          <w:szCs w:val="20"/>
        </w:rPr>
        <w:t xml:space="preserve"> </w:t>
      </w:r>
      <w:r w:rsidRPr="001D1F77">
        <w:rPr>
          <w:rFonts w:asciiTheme="minorHAnsi" w:hAnsiTheme="minorHAnsi" w:cs="Arial"/>
          <w:sz w:val="20"/>
          <w:szCs w:val="20"/>
        </w:rPr>
        <w:t xml:space="preserve">soggetti nel braccio (PBO+FBX). </w:t>
      </w:r>
    </w:p>
    <w:p w14:paraId="66D9992E" w14:textId="77777777" w:rsidR="001B0092" w:rsidRPr="002F68B0" w:rsidRDefault="001B0092" w:rsidP="000210A2">
      <w:pPr>
        <w:pStyle w:val="Paragrafoelenco3"/>
        <w:spacing w:line="360" w:lineRule="auto"/>
        <w:ind w:left="0"/>
        <w:rPr>
          <w:rFonts w:asciiTheme="minorHAnsi" w:hAnsiTheme="minorHAnsi" w:cs="Arial"/>
          <w:sz w:val="20"/>
          <w:szCs w:val="20"/>
        </w:rPr>
      </w:pPr>
      <w:r w:rsidRPr="002F68B0">
        <w:rPr>
          <w:rFonts w:asciiTheme="minorHAnsi" w:hAnsiTheme="minorHAnsi" w:cs="Arial"/>
          <w:sz w:val="20"/>
          <w:szCs w:val="20"/>
        </w:rPr>
        <w:t>I risultati di seguito riportati fanno riferimento esclusivamente alla coorte di pazienti che hanno ricevuto lesinurad alla dose di 200 mg/die, approvata da EMA.</w:t>
      </w:r>
    </w:p>
    <w:p w14:paraId="44D6660F" w14:textId="50CF00E2" w:rsidR="001B0092" w:rsidRDefault="001B0092" w:rsidP="000210A2">
      <w:pPr>
        <w:pStyle w:val="Paragrafoelenco3"/>
        <w:spacing w:line="360" w:lineRule="auto"/>
        <w:ind w:left="0"/>
        <w:rPr>
          <w:rFonts w:asciiTheme="minorHAnsi" w:hAnsiTheme="minorHAnsi" w:cs="Arial"/>
          <w:sz w:val="20"/>
          <w:szCs w:val="20"/>
        </w:rPr>
      </w:pPr>
      <w:r w:rsidRPr="001D1F77">
        <w:rPr>
          <w:rFonts w:asciiTheme="minorHAnsi" w:hAnsiTheme="minorHAnsi" w:cs="Arial"/>
          <w:sz w:val="20"/>
          <w:szCs w:val="20"/>
        </w:rPr>
        <w:t xml:space="preserve">Le caratteristiche demografiche e cliniche dei pazienti erano ben bilanciate nei gruppi di studio e rappresentative della popolazione di pazienti con gotta, come illustrato nella </w:t>
      </w:r>
      <w:hyperlink w:anchor="Tabella13" w:history="1">
        <w:r w:rsidRPr="006B197C">
          <w:rPr>
            <w:rStyle w:val="Hyperlink"/>
            <w:rFonts w:asciiTheme="minorHAnsi" w:hAnsiTheme="minorHAnsi" w:cs="Arial"/>
            <w:sz w:val="20"/>
            <w:szCs w:val="20"/>
          </w:rPr>
          <w:t xml:space="preserve">Tabella </w:t>
        </w:r>
        <w:r w:rsidR="00A813E3" w:rsidRPr="006B197C">
          <w:rPr>
            <w:rStyle w:val="Hyperlink"/>
            <w:rFonts w:asciiTheme="minorHAnsi" w:hAnsiTheme="minorHAnsi" w:cs="Arial"/>
            <w:sz w:val="20"/>
            <w:szCs w:val="20"/>
          </w:rPr>
          <w:t>1</w:t>
        </w:r>
        <w:r w:rsidR="006B197C" w:rsidRPr="006B197C">
          <w:rPr>
            <w:rStyle w:val="Hyperlink"/>
            <w:rFonts w:asciiTheme="minorHAnsi" w:hAnsiTheme="minorHAnsi" w:cs="Arial"/>
            <w:sz w:val="20"/>
            <w:szCs w:val="20"/>
          </w:rPr>
          <w:t>3</w:t>
        </w:r>
      </w:hyperlink>
      <w:r w:rsidRPr="001D1F77">
        <w:rPr>
          <w:rFonts w:asciiTheme="minorHAnsi" w:hAnsiTheme="minorHAnsi" w:cs="Arial"/>
          <w:sz w:val="20"/>
          <w:szCs w:val="20"/>
        </w:rPr>
        <w:t>.</w:t>
      </w:r>
    </w:p>
    <w:p w14:paraId="4525282C" w14:textId="77777777" w:rsidR="00F5731C" w:rsidRPr="001D1F77" w:rsidRDefault="00F5731C" w:rsidP="001D1F77">
      <w:pPr>
        <w:pStyle w:val="Paragrafoelenco3"/>
        <w:spacing w:line="360" w:lineRule="auto"/>
        <w:ind w:left="0"/>
        <w:jc w:val="both"/>
        <w:rPr>
          <w:rFonts w:asciiTheme="minorHAnsi" w:hAnsiTheme="minorHAnsi" w:cs="Arial"/>
          <w:sz w:val="20"/>
          <w:szCs w:val="20"/>
        </w:rPr>
      </w:pPr>
    </w:p>
    <w:p w14:paraId="701619F3" w14:textId="63A5DFD2" w:rsidR="001B0092" w:rsidRPr="00C77701" w:rsidRDefault="00C77701" w:rsidP="00C77701">
      <w:pPr>
        <w:pStyle w:val="Caption"/>
        <w:rPr>
          <w:rFonts w:asciiTheme="minorHAnsi" w:hAnsiTheme="minorHAnsi" w:cstheme="minorHAnsi"/>
          <w:lang w:val="it-IT"/>
        </w:rPr>
      </w:pPr>
      <w:bookmarkStart w:id="126" w:name="Tabella13"/>
      <w:bookmarkStart w:id="127" w:name="_Toc473150698"/>
      <w:bookmarkEnd w:id="126"/>
      <w:r w:rsidRPr="00C77701">
        <w:rPr>
          <w:rFonts w:asciiTheme="minorHAnsi" w:hAnsiTheme="minorHAnsi" w:cstheme="minorHAnsi"/>
          <w:lang w:val="it-IT"/>
        </w:rPr>
        <w:t xml:space="preserve">Tabella </w:t>
      </w:r>
      <w:r w:rsidRPr="00C77701">
        <w:rPr>
          <w:rFonts w:asciiTheme="minorHAnsi" w:hAnsiTheme="minorHAnsi" w:cstheme="minorHAnsi"/>
        </w:rPr>
        <w:fldChar w:fldCharType="begin"/>
      </w:r>
      <w:r w:rsidRPr="00C77701">
        <w:rPr>
          <w:rFonts w:asciiTheme="minorHAnsi" w:hAnsiTheme="minorHAnsi" w:cstheme="minorHAnsi"/>
          <w:lang w:val="it-IT"/>
        </w:rPr>
        <w:instrText xml:space="preserve"> SEQ Tabella \* ARABIC </w:instrText>
      </w:r>
      <w:r w:rsidRPr="00C77701">
        <w:rPr>
          <w:rFonts w:asciiTheme="minorHAnsi" w:hAnsiTheme="minorHAnsi" w:cstheme="minorHAnsi"/>
        </w:rPr>
        <w:fldChar w:fldCharType="separate"/>
      </w:r>
      <w:r w:rsidR="00A1679C">
        <w:rPr>
          <w:rFonts w:asciiTheme="minorHAnsi" w:hAnsiTheme="minorHAnsi" w:cstheme="minorHAnsi"/>
          <w:noProof/>
          <w:lang w:val="it-IT"/>
        </w:rPr>
        <w:t>13</w:t>
      </w:r>
      <w:r w:rsidRPr="00C77701">
        <w:rPr>
          <w:rFonts w:asciiTheme="minorHAnsi" w:hAnsiTheme="minorHAnsi" w:cstheme="minorHAnsi"/>
        </w:rPr>
        <w:fldChar w:fldCharType="end"/>
      </w:r>
      <w:r w:rsidRPr="00C77701">
        <w:rPr>
          <w:rFonts w:asciiTheme="minorHAnsi" w:hAnsiTheme="minorHAnsi" w:cstheme="minorHAnsi"/>
          <w:lang w:val="it-IT"/>
        </w:rPr>
        <w:t xml:space="preserve"> - </w:t>
      </w:r>
      <w:r w:rsidR="001B0092" w:rsidRPr="00C77701">
        <w:rPr>
          <w:rFonts w:asciiTheme="minorHAnsi" w:hAnsiTheme="minorHAnsi" w:cstheme="minorHAnsi"/>
          <w:lang w:val="it-IT"/>
        </w:rPr>
        <w:t>Dati demografici al basale - studio CRYSTAL</w:t>
      </w:r>
      <w:r w:rsidR="00E25B97">
        <w:rPr>
          <w:rFonts w:asciiTheme="minorHAnsi" w:hAnsiTheme="minorHAnsi" w:cstheme="minorHAnsi"/>
          <w:lang w:val="it-IT"/>
        </w:rPr>
        <w:t xml:space="preserve"> (</w:t>
      </w:r>
      <w:r w:rsidR="00AC4A47" w:rsidRPr="00AC4A47">
        <w:rPr>
          <w:rFonts w:asciiTheme="minorHAnsi" w:hAnsiTheme="minorHAnsi" w:cstheme="minorHAnsi"/>
          <w:color w:val="0000FF"/>
          <w:lang w:val="it-IT"/>
        </w:rPr>
        <w:t xml:space="preserve">adattato da </w:t>
      </w:r>
      <w:r w:rsidR="008E6BDD">
        <w:rPr>
          <w:rFonts w:asciiTheme="minorHAnsi" w:hAnsiTheme="minorHAnsi" w:cstheme="minorHAnsi"/>
          <w:color w:val="0000FF"/>
          <w:lang w:val="it-IT"/>
        </w:rPr>
        <w:t>CSR 304, 2014</w:t>
      </w:r>
      <w:r w:rsidR="00E25B97">
        <w:rPr>
          <w:rFonts w:asciiTheme="minorHAnsi" w:hAnsiTheme="minorHAnsi" w:cstheme="minorHAnsi"/>
          <w:lang w:val="it-IT"/>
        </w:rPr>
        <w:t>)</w:t>
      </w:r>
      <w:bookmarkEnd w:id="127"/>
    </w:p>
    <w:tbl>
      <w:tblPr>
        <w:tblW w:w="7472" w:type="dxa"/>
        <w:tblInd w:w="108" w:type="dxa"/>
        <w:tblBorders>
          <w:top w:val="single" w:sz="18" w:space="0" w:color="003870"/>
          <w:bottom w:val="single" w:sz="12" w:space="0" w:color="003870"/>
          <w:insideH w:val="single" w:sz="8" w:space="0" w:color="808080"/>
        </w:tblBorders>
        <w:tblLook w:val="0420" w:firstRow="1" w:lastRow="0" w:firstColumn="0" w:lastColumn="0" w:noHBand="0" w:noVBand="1"/>
      </w:tblPr>
      <w:tblGrid>
        <w:gridCol w:w="3828"/>
        <w:gridCol w:w="1518"/>
        <w:gridCol w:w="2126"/>
      </w:tblGrid>
      <w:tr w:rsidR="001B0092" w:rsidRPr="001D1F77" w14:paraId="6AED62FA" w14:textId="77777777" w:rsidTr="001E7F7F">
        <w:trPr>
          <w:trHeight w:val="909"/>
        </w:trPr>
        <w:tc>
          <w:tcPr>
            <w:tcW w:w="3828" w:type="dxa"/>
            <w:tcBorders>
              <w:top w:val="single" w:sz="24" w:space="0" w:color="003468"/>
              <w:left w:val="nil"/>
              <w:bottom w:val="nil"/>
              <w:right w:val="nil"/>
              <w:tl2br w:val="nil"/>
              <w:tr2bl w:val="nil"/>
            </w:tcBorders>
            <w:shd w:val="clear" w:color="auto" w:fill="D9D9D9"/>
            <w:vAlign w:val="center"/>
            <w:hideMark/>
          </w:tcPr>
          <w:p w14:paraId="1AEE6A94" w14:textId="77777777" w:rsidR="001B0092" w:rsidRPr="001D1F77" w:rsidRDefault="001B0092" w:rsidP="001E7F7F">
            <w:pPr>
              <w:rPr>
                <w:rFonts w:cstheme="minorHAnsi"/>
                <w:b/>
                <w:sz w:val="20"/>
                <w:szCs w:val="20"/>
              </w:rPr>
            </w:pPr>
            <w:r w:rsidRPr="001D1F77">
              <w:rPr>
                <w:rFonts w:cstheme="minorHAnsi"/>
                <w:b/>
                <w:bCs/>
                <w:sz w:val="20"/>
                <w:szCs w:val="20"/>
                <w:lang w:val="en-US"/>
              </w:rPr>
              <w:t>Variable</w:t>
            </w:r>
          </w:p>
        </w:tc>
        <w:tc>
          <w:tcPr>
            <w:tcW w:w="1518" w:type="dxa"/>
            <w:tcBorders>
              <w:top w:val="single" w:sz="24" w:space="0" w:color="003468"/>
              <w:left w:val="nil"/>
              <w:bottom w:val="nil"/>
              <w:right w:val="nil"/>
              <w:tl2br w:val="nil"/>
              <w:tr2bl w:val="nil"/>
            </w:tcBorders>
            <w:shd w:val="clear" w:color="auto" w:fill="D9D9D9"/>
            <w:vAlign w:val="center"/>
            <w:hideMark/>
          </w:tcPr>
          <w:p w14:paraId="477B6770" w14:textId="77777777" w:rsidR="001B0092" w:rsidRPr="001D1F77" w:rsidRDefault="001B0092" w:rsidP="001E7F7F">
            <w:pPr>
              <w:jc w:val="center"/>
              <w:rPr>
                <w:rFonts w:cstheme="minorHAnsi"/>
                <w:b/>
                <w:sz w:val="20"/>
                <w:szCs w:val="20"/>
              </w:rPr>
            </w:pPr>
            <w:r w:rsidRPr="001D1F77">
              <w:rPr>
                <w:rFonts w:cstheme="minorHAnsi"/>
                <w:b/>
                <w:bCs/>
                <w:sz w:val="20"/>
                <w:szCs w:val="20"/>
                <w:lang w:val="en-US"/>
              </w:rPr>
              <w:t>PBO</w:t>
            </w:r>
          </w:p>
          <w:p w14:paraId="643C0BF3" w14:textId="77777777" w:rsidR="001B0092" w:rsidRPr="001D1F77" w:rsidRDefault="001B0092" w:rsidP="001E7F7F">
            <w:pPr>
              <w:jc w:val="center"/>
              <w:rPr>
                <w:rFonts w:cstheme="minorHAnsi"/>
                <w:b/>
                <w:sz w:val="20"/>
                <w:szCs w:val="20"/>
              </w:rPr>
            </w:pPr>
            <w:r w:rsidRPr="001D1F77">
              <w:rPr>
                <w:rFonts w:cstheme="minorHAnsi"/>
                <w:b/>
                <w:bCs/>
                <w:sz w:val="20"/>
                <w:szCs w:val="20"/>
                <w:lang w:val="en-US"/>
              </w:rPr>
              <w:t>+ FBX</w:t>
            </w:r>
            <w:r w:rsidRPr="001D1F77">
              <w:rPr>
                <w:rFonts w:cstheme="minorHAnsi"/>
                <w:b/>
                <w:bCs/>
                <w:sz w:val="20"/>
                <w:szCs w:val="20"/>
                <w:lang w:val="en-US"/>
              </w:rPr>
              <w:br/>
              <w:t>N=109</w:t>
            </w:r>
          </w:p>
        </w:tc>
        <w:tc>
          <w:tcPr>
            <w:tcW w:w="2126" w:type="dxa"/>
            <w:tcBorders>
              <w:top w:val="single" w:sz="24" w:space="0" w:color="003468"/>
              <w:left w:val="nil"/>
              <w:bottom w:val="nil"/>
              <w:right w:val="nil"/>
              <w:tl2br w:val="nil"/>
              <w:tr2bl w:val="nil"/>
            </w:tcBorders>
            <w:shd w:val="clear" w:color="auto" w:fill="D9D9D9"/>
            <w:vAlign w:val="center"/>
            <w:hideMark/>
          </w:tcPr>
          <w:p w14:paraId="6EA3686E" w14:textId="77777777" w:rsidR="001B0092" w:rsidRPr="001D1F77" w:rsidRDefault="001B0092" w:rsidP="001E7F7F">
            <w:pPr>
              <w:jc w:val="center"/>
              <w:rPr>
                <w:rFonts w:cstheme="minorHAnsi"/>
                <w:b/>
                <w:sz w:val="20"/>
                <w:szCs w:val="20"/>
              </w:rPr>
            </w:pPr>
            <w:r w:rsidRPr="001D1F77">
              <w:rPr>
                <w:rFonts w:cstheme="minorHAnsi"/>
                <w:b/>
                <w:bCs/>
                <w:sz w:val="20"/>
                <w:szCs w:val="20"/>
                <w:lang w:val="en-US"/>
              </w:rPr>
              <w:t>ZURAMPIC 200 mg</w:t>
            </w:r>
          </w:p>
          <w:p w14:paraId="0DEA272B" w14:textId="77777777" w:rsidR="001B0092" w:rsidRPr="001D1F77" w:rsidRDefault="001B0092" w:rsidP="001E7F7F">
            <w:pPr>
              <w:jc w:val="center"/>
              <w:rPr>
                <w:rFonts w:cstheme="minorHAnsi"/>
                <w:b/>
                <w:sz w:val="20"/>
                <w:szCs w:val="20"/>
              </w:rPr>
            </w:pPr>
            <w:r w:rsidRPr="001D1F77">
              <w:rPr>
                <w:rFonts w:cstheme="minorHAnsi"/>
                <w:b/>
                <w:bCs/>
                <w:sz w:val="20"/>
                <w:szCs w:val="20"/>
                <w:lang w:val="en-US"/>
              </w:rPr>
              <w:t>+ FBX</w:t>
            </w:r>
            <w:r w:rsidRPr="001D1F77">
              <w:rPr>
                <w:rFonts w:cstheme="minorHAnsi"/>
                <w:b/>
                <w:bCs/>
                <w:sz w:val="20"/>
                <w:szCs w:val="20"/>
                <w:lang w:val="en-US"/>
              </w:rPr>
              <w:br/>
              <w:t>N=106</w:t>
            </w:r>
          </w:p>
        </w:tc>
      </w:tr>
      <w:tr w:rsidR="001B0092" w:rsidRPr="001D1F77" w14:paraId="5540C318" w14:textId="77777777" w:rsidTr="001E7F7F">
        <w:trPr>
          <w:trHeight w:val="293"/>
        </w:trPr>
        <w:tc>
          <w:tcPr>
            <w:tcW w:w="3828" w:type="dxa"/>
            <w:shd w:val="clear" w:color="auto" w:fill="auto"/>
            <w:vAlign w:val="center"/>
            <w:hideMark/>
          </w:tcPr>
          <w:p w14:paraId="2FFB002A" w14:textId="77777777" w:rsidR="001B0092" w:rsidRPr="001D1F77" w:rsidRDefault="001B0092" w:rsidP="001E7F7F">
            <w:pPr>
              <w:rPr>
                <w:rFonts w:cstheme="minorHAnsi"/>
                <w:sz w:val="20"/>
                <w:szCs w:val="20"/>
              </w:rPr>
            </w:pPr>
            <w:r w:rsidRPr="001D1F77">
              <w:rPr>
                <w:rFonts w:cstheme="minorHAnsi"/>
                <w:sz w:val="20"/>
                <w:szCs w:val="20"/>
                <w:lang w:val="en-US"/>
              </w:rPr>
              <w:t>Male, %</w:t>
            </w:r>
          </w:p>
        </w:tc>
        <w:tc>
          <w:tcPr>
            <w:tcW w:w="1518" w:type="dxa"/>
            <w:shd w:val="clear" w:color="auto" w:fill="auto"/>
            <w:vAlign w:val="center"/>
            <w:hideMark/>
          </w:tcPr>
          <w:p w14:paraId="4B4221F3" w14:textId="77777777" w:rsidR="001B0092" w:rsidRPr="001D1F77" w:rsidRDefault="001B0092" w:rsidP="001E7F7F">
            <w:pPr>
              <w:jc w:val="center"/>
              <w:rPr>
                <w:rFonts w:cstheme="minorHAnsi"/>
                <w:sz w:val="20"/>
                <w:szCs w:val="20"/>
              </w:rPr>
            </w:pPr>
            <w:r w:rsidRPr="001D1F77">
              <w:rPr>
                <w:rFonts w:cstheme="minorHAnsi"/>
                <w:sz w:val="20"/>
                <w:szCs w:val="20"/>
                <w:lang w:val="en-US"/>
              </w:rPr>
              <w:t>98.2</w:t>
            </w:r>
          </w:p>
        </w:tc>
        <w:tc>
          <w:tcPr>
            <w:tcW w:w="2126" w:type="dxa"/>
            <w:shd w:val="clear" w:color="auto" w:fill="auto"/>
            <w:vAlign w:val="center"/>
            <w:hideMark/>
          </w:tcPr>
          <w:p w14:paraId="431D4730" w14:textId="77777777" w:rsidR="001B0092" w:rsidRPr="001D1F77" w:rsidRDefault="001B0092" w:rsidP="001E7F7F">
            <w:pPr>
              <w:jc w:val="center"/>
              <w:rPr>
                <w:rFonts w:cstheme="minorHAnsi"/>
                <w:sz w:val="20"/>
                <w:szCs w:val="20"/>
              </w:rPr>
            </w:pPr>
            <w:r w:rsidRPr="001D1F77">
              <w:rPr>
                <w:rFonts w:cstheme="minorHAnsi"/>
                <w:sz w:val="20"/>
                <w:szCs w:val="20"/>
                <w:lang w:val="en-US"/>
              </w:rPr>
              <w:t>94.3</w:t>
            </w:r>
          </w:p>
        </w:tc>
      </w:tr>
      <w:tr w:rsidR="001B0092" w:rsidRPr="001D1F77" w14:paraId="74EDC732" w14:textId="77777777" w:rsidTr="001E7F7F">
        <w:trPr>
          <w:trHeight w:val="1180"/>
        </w:trPr>
        <w:tc>
          <w:tcPr>
            <w:tcW w:w="3828" w:type="dxa"/>
            <w:shd w:val="clear" w:color="auto" w:fill="auto"/>
            <w:vAlign w:val="center"/>
            <w:hideMark/>
          </w:tcPr>
          <w:p w14:paraId="30895493" w14:textId="77777777" w:rsidR="001B0092" w:rsidRPr="001D1F77" w:rsidRDefault="001B0092" w:rsidP="001E7F7F">
            <w:pPr>
              <w:rPr>
                <w:rFonts w:cstheme="minorHAnsi"/>
                <w:sz w:val="20"/>
                <w:szCs w:val="20"/>
                <w:lang w:val="en-US"/>
              </w:rPr>
            </w:pPr>
            <w:r w:rsidRPr="001D1F77">
              <w:rPr>
                <w:rFonts w:cstheme="minorHAnsi"/>
                <w:sz w:val="20"/>
                <w:szCs w:val="20"/>
                <w:lang w:val="en-US"/>
              </w:rPr>
              <w:t>Race, %</w:t>
            </w:r>
          </w:p>
          <w:p w14:paraId="1F7E519D" w14:textId="77777777" w:rsidR="001B0092" w:rsidRPr="001D1F77" w:rsidRDefault="001B0092" w:rsidP="001E7F7F">
            <w:pPr>
              <w:rPr>
                <w:rFonts w:cstheme="minorHAnsi"/>
                <w:sz w:val="20"/>
                <w:szCs w:val="20"/>
                <w:lang w:val="en-US"/>
              </w:rPr>
            </w:pPr>
            <w:r w:rsidRPr="001D1F77">
              <w:rPr>
                <w:rFonts w:cstheme="minorHAnsi"/>
                <w:sz w:val="20"/>
                <w:szCs w:val="20"/>
                <w:lang w:val="en-US"/>
              </w:rPr>
              <w:t>White</w:t>
            </w:r>
          </w:p>
          <w:p w14:paraId="4C0DAF14" w14:textId="77777777" w:rsidR="001B0092" w:rsidRPr="001D1F77" w:rsidRDefault="001B0092" w:rsidP="001E7F7F">
            <w:pPr>
              <w:rPr>
                <w:rFonts w:cstheme="minorHAnsi"/>
                <w:sz w:val="20"/>
                <w:szCs w:val="20"/>
                <w:lang w:val="en-US"/>
              </w:rPr>
            </w:pPr>
            <w:r w:rsidRPr="001D1F77">
              <w:rPr>
                <w:rFonts w:cstheme="minorHAnsi"/>
                <w:sz w:val="20"/>
                <w:szCs w:val="20"/>
                <w:lang w:val="en-US"/>
              </w:rPr>
              <w:t>Black</w:t>
            </w:r>
          </w:p>
          <w:p w14:paraId="44027133" w14:textId="77777777" w:rsidR="001B0092" w:rsidRPr="001D1F77" w:rsidRDefault="001B0092" w:rsidP="001E7F7F">
            <w:pPr>
              <w:rPr>
                <w:rFonts w:cstheme="minorHAnsi"/>
                <w:sz w:val="20"/>
                <w:szCs w:val="20"/>
                <w:lang w:val="en-US"/>
              </w:rPr>
            </w:pPr>
            <w:r w:rsidRPr="001D1F77">
              <w:rPr>
                <w:rFonts w:cstheme="minorHAnsi"/>
                <w:sz w:val="20"/>
                <w:szCs w:val="20"/>
                <w:lang w:val="en-US"/>
              </w:rPr>
              <w:t>Asian</w:t>
            </w:r>
          </w:p>
          <w:p w14:paraId="2CBD90B0" w14:textId="77777777" w:rsidR="001B0092" w:rsidRPr="001D1F77" w:rsidRDefault="001B0092" w:rsidP="001E7F7F">
            <w:pPr>
              <w:rPr>
                <w:rFonts w:cstheme="minorHAnsi"/>
                <w:sz w:val="20"/>
                <w:szCs w:val="20"/>
                <w:lang w:val="en-US"/>
              </w:rPr>
            </w:pPr>
            <w:r w:rsidRPr="001D1F77">
              <w:rPr>
                <w:rFonts w:cstheme="minorHAnsi"/>
                <w:sz w:val="20"/>
                <w:szCs w:val="20"/>
                <w:lang w:val="en-US"/>
              </w:rPr>
              <w:t>Other</w:t>
            </w:r>
          </w:p>
        </w:tc>
        <w:tc>
          <w:tcPr>
            <w:tcW w:w="1518" w:type="dxa"/>
            <w:shd w:val="clear" w:color="auto" w:fill="auto"/>
            <w:vAlign w:val="center"/>
            <w:hideMark/>
          </w:tcPr>
          <w:p w14:paraId="7F647DA2" w14:textId="77777777" w:rsidR="001B0092" w:rsidRPr="001D1F77" w:rsidRDefault="001B0092" w:rsidP="001E7F7F">
            <w:pPr>
              <w:jc w:val="center"/>
              <w:rPr>
                <w:rFonts w:cstheme="minorHAnsi"/>
                <w:sz w:val="20"/>
                <w:szCs w:val="20"/>
              </w:rPr>
            </w:pPr>
            <w:r w:rsidRPr="001D1F77">
              <w:rPr>
                <w:rFonts w:cstheme="minorHAnsi"/>
                <w:sz w:val="20"/>
                <w:szCs w:val="20"/>
                <w:lang w:val="en-US"/>
              </w:rPr>
              <w:t>86.2</w:t>
            </w:r>
          </w:p>
          <w:p w14:paraId="4D34BDEA" w14:textId="77777777" w:rsidR="001B0092" w:rsidRPr="001D1F77" w:rsidRDefault="001B0092" w:rsidP="001E7F7F">
            <w:pPr>
              <w:jc w:val="center"/>
              <w:rPr>
                <w:rFonts w:cstheme="minorHAnsi"/>
                <w:sz w:val="20"/>
                <w:szCs w:val="20"/>
              </w:rPr>
            </w:pPr>
            <w:r w:rsidRPr="001D1F77">
              <w:rPr>
                <w:rFonts w:cstheme="minorHAnsi"/>
                <w:sz w:val="20"/>
                <w:szCs w:val="20"/>
                <w:lang w:val="en-US"/>
              </w:rPr>
              <w:t>7.3</w:t>
            </w:r>
          </w:p>
          <w:p w14:paraId="7B66A2D4" w14:textId="77777777" w:rsidR="001B0092" w:rsidRPr="001D1F77" w:rsidRDefault="001B0092" w:rsidP="001E7F7F">
            <w:pPr>
              <w:jc w:val="center"/>
              <w:rPr>
                <w:rFonts w:cstheme="minorHAnsi"/>
                <w:sz w:val="20"/>
                <w:szCs w:val="20"/>
              </w:rPr>
            </w:pPr>
            <w:r w:rsidRPr="001D1F77">
              <w:rPr>
                <w:rFonts w:cstheme="minorHAnsi"/>
                <w:sz w:val="20"/>
                <w:szCs w:val="20"/>
                <w:lang w:val="en-US"/>
              </w:rPr>
              <w:t>5.5</w:t>
            </w:r>
          </w:p>
          <w:p w14:paraId="2B81A3A4" w14:textId="77777777" w:rsidR="001B0092" w:rsidRPr="001D1F77" w:rsidRDefault="001B0092" w:rsidP="001E7F7F">
            <w:pPr>
              <w:jc w:val="center"/>
              <w:rPr>
                <w:rFonts w:cstheme="minorHAnsi"/>
                <w:sz w:val="20"/>
                <w:szCs w:val="20"/>
              </w:rPr>
            </w:pPr>
            <w:r w:rsidRPr="001D1F77">
              <w:rPr>
                <w:rFonts w:cstheme="minorHAnsi"/>
                <w:sz w:val="20"/>
                <w:szCs w:val="20"/>
                <w:lang w:val="en-US"/>
              </w:rPr>
              <w:t>0.9</w:t>
            </w:r>
          </w:p>
        </w:tc>
        <w:tc>
          <w:tcPr>
            <w:tcW w:w="2126" w:type="dxa"/>
            <w:shd w:val="clear" w:color="auto" w:fill="auto"/>
            <w:vAlign w:val="center"/>
            <w:hideMark/>
          </w:tcPr>
          <w:p w14:paraId="276F9163" w14:textId="77777777" w:rsidR="001B0092" w:rsidRPr="001D1F77" w:rsidRDefault="001B0092" w:rsidP="001E7F7F">
            <w:pPr>
              <w:jc w:val="center"/>
              <w:rPr>
                <w:rFonts w:cstheme="minorHAnsi"/>
                <w:sz w:val="20"/>
                <w:szCs w:val="20"/>
              </w:rPr>
            </w:pPr>
            <w:r w:rsidRPr="001D1F77">
              <w:rPr>
                <w:rFonts w:cstheme="minorHAnsi"/>
                <w:sz w:val="20"/>
                <w:szCs w:val="20"/>
                <w:lang w:val="en-US"/>
              </w:rPr>
              <w:t>75.5</w:t>
            </w:r>
          </w:p>
          <w:p w14:paraId="7E294F63" w14:textId="77777777" w:rsidR="001B0092" w:rsidRPr="001D1F77" w:rsidRDefault="001B0092" w:rsidP="001E7F7F">
            <w:pPr>
              <w:jc w:val="center"/>
              <w:rPr>
                <w:rFonts w:cstheme="minorHAnsi"/>
                <w:sz w:val="20"/>
                <w:szCs w:val="20"/>
              </w:rPr>
            </w:pPr>
            <w:r w:rsidRPr="001D1F77">
              <w:rPr>
                <w:rFonts w:cstheme="minorHAnsi"/>
                <w:sz w:val="20"/>
                <w:szCs w:val="20"/>
                <w:lang w:val="en-US"/>
              </w:rPr>
              <w:t>13.2</w:t>
            </w:r>
          </w:p>
          <w:p w14:paraId="11D793A9" w14:textId="77777777" w:rsidR="001B0092" w:rsidRPr="001D1F77" w:rsidRDefault="001B0092" w:rsidP="001E7F7F">
            <w:pPr>
              <w:jc w:val="center"/>
              <w:rPr>
                <w:rFonts w:cstheme="minorHAnsi"/>
                <w:sz w:val="20"/>
                <w:szCs w:val="20"/>
              </w:rPr>
            </w:pPr>
            <w:r w:rsidRPr="001D1F77">
              <w:rPr>
                <w:rFonts w:cstheme="minorHAnsi"/>
                <w:sz w:val="20"/>
                <w:szCs w:val="20"/>
                <w:lang w:val="en-US"/>
              </w:rPr>
              <w:t>7.5</w:t>
            </w:r>
          </w:p>
          <w:p w14:paraId="16487644" w14:textId="77777777" w:rsidR="001B0092" w:rsidRPr="001D1F77" w:rsidRDefault="001B0092" w:rsidP="001E7F7F">
            <w:pPr>
              <w:jc w:val="center"/>
              <w:rPr>
                <w:rFonts w:cstheme="minorHAnsi"/>
                <w:sz w:val="20"/>
                <w:szCs w:val="20"/>
              </w:rPr>
            </w:pPr>
            <w:r w:rsidRPr="001D1F77">
              <w:rPr>
                <w:rFonts w:cstheme="minorHAnsi"/>
                <w:sz w:val="20"/>
                <w:szCs w:val="20"/>
                <w:lang w:val="en-US"/>
              </w:rPr>
              <w:t>3.8</w:t>
            </w:r>
          </w:p>
        </w:tc>
      </w:tr>
      <w:tr w:rsidR="001B0092" w:rsidRPr="001D1F77" w14:paraId="16AF1FDE" w14:textId="77777777" w:rsidTr="001E7F7F">
        <w:trPr>
          <w:trHeight w:val="343"/>
        </w:trPr>
        <w:tc>
          <w:tcPr>
            <w:tcW w:w="3828" w:type="dxa"/>
            <w:shd w:val="clear" w:color="auto" w:fill="auto"/>
            <w:vAlign w:val="center"/>
            <w:hideMark/>
          </w:tcPr>
          <w:p w14:paraId="60FFC7B7" w14:textId="77777777" w:rsidR="001B0092" w:rsidRPr="001D1F77" w:rsidRDefault="001B0092" w:rsidP="001E7F7F">
            <w:pPr>
              <w:rPr>
                <w:rFonts w:cstheme="minorHAnsi"/>
                <w:sz w:val="20"/>
                <w:szCs w:val="20"/>
              </w:rPr>
            </w:pPr>
            <w:r w:rsidRPr="001D1F77">
              <w:rPr>
                <w:rFonts w:cstheme="minorHAnsi"/>
                <w:sz w:val="20"/>
                <w:szCs w:val="20"/>
                <w:lang w:val="en-US"/>
              </w:rPr>
              <w:t>Mean age, years (SD)</w:t>
            </w:r>
          </w:p>
        </w:tc>
        <w:tc>
          <w:tcPr>
            <w:tcW w:w="1518" w:type="dxa"/>
            <w:shd w:val="clear" w:color="auto" w:fill="auto"/>
            <w:vAlign w:val="center"/>
            <w:hideMark/>
          </w:tcPr>
          <w:p w14:paraId="4F9DAFBD" w14:textId="77777777" w:rsidR="001B0092" w:rsidRPr="001D1F77" w:rsidRDefault="001B0092" w:rsidP="001E7F7F">
            <w:pPr>
              <w:jc w:val="center"/>
              <w:rPr>
                <w:rFonts w:cstheme="minorHAnsi"/>
                <w:sz w:val="20"/>
                <w:szCs w:val="20"/>
              </w:rPr>
            </w:pPr>
            <w:r w:rsidRPr="001D1F77">
              <w:rPr>
                <w:rFonts w:cstheme="minorHAnsi"/>
                <w:sz w:val="20"/>
                <w:szCs w:val="20"/>
                <w:lang w:val="en-US"/>
              </w:rPr>
              <w:t>54.6 (10.9)</w:t>
            </w:r>
          </w:p>
        </w:tc>
        <w:tc>
          <w:tcPr>
            <w:tcW w:w="2126" w:type="dxa"/>
            <w:shd w:val="clear" w:color="auto" w:fill="auto"/>
            <w:vAlign w:val="center"/>
            <w:hideMark/>
          </w:tcPr>
          <w:p w14:paraId="6F6BD3F4" w14:textId="77777777" w:rsidR="001B0092" w:rsidRPr="001D1F77" w:rsidRDefault="001B0092" w:rsidP="001E7F7F">
            <w:pPr>
              <w:jc w:val="center"/>
              <w:rPr>
                <w:rFonts w:cstheme="minorHAnsi"/>
                <w:sz w:val="20"/>
                <w:szCs w:val="20"/>
              </w:rPr>
            </w:pPr>
            <w:r w:rsidRPr="001D1F77">
              <w:rPr>
                <w:rFonts w:cstheme="minorHAnsi"/>
                <w:sz w:val="20"/>
                <w:szCs w:val="20"/>
                <w:lang w:val="en-US"/>
              </w:rPr>
              <w:t>54.2 (11.0)</w:t>
            </w:r>
          </w:p>
        </w:tc>
      </w:tr>
      <w:tr w:rsidR="001B0092" w:rsidRPr="001D1F77" w14:paraId="0617E82B" w14:textId="77777777" w:rsidTr="001E7F7F">
        <w:trPr>
          <w:trHeight w:val="406"/>
        </w:trPr>
        <w:tc>
          <w:tcPr>
            <w:tcW w:w="3828" w:type="dxa"/>
            <w:shd w:val="clear" w:color="auto" w:fill="auto"/>
            <w:vAlign w:val="center"/>
            <w:hideMark/>
          </w:tcPr>
          <w:p w14:paraId="57665499" w14:textId="77777777" w:rsidR="001B0092" w:rsidRPr="001D1F77" w:rsidRDefault="001B0092" w:rsidP="001E7F7F">
            <w:pPr>
              <w:rPr>
                <w:rFonts w:cstheme="minorHAnsi"/>
                <w:sz w:val="20"/>
                <w:szCs w:val="20"/>
                <w:lang w:val="en-US"/>
              </w:rPr>
            </w:pPr>
            <w:r w:rsidRPr="001D1F77">
              <w:rPr>
                <w:rFonts w:cstheme="minorHAnsi"/>
                <w:sz w:val="20"/>
                <w:szCs w:val="20"/>
                <w:lang w:val="en-US"/>
              </w:rPr>
              <w:t>Mean BMI, kg/m</w:t>
            </w:r>
            <w:r w:rsidRPr="001D1F77">
              <w:rPr>
                <w:rFonts w:cstheme="minorHAnsi"/>
                <w:sz w:val="20"/>
                <w:szCs w:val="20"/>
                <w:vertAlign w:val="superscript"/>
                <w:lang w:val="en-US"/>
              </w:rPr>
              <w:t xml:space="preserve">2 </w:t>
            </w:r>
            <w:r w:rsidRPr="001D1F77">
              <w:rPr>
                <w:rFonts w:cstheme="minorHAnsi"/>
                <w:sz w:val="20"/>
                <w:szCs w:val="20"/>
                <w:lang w:val="en-US"/>
              </w:rPr>
              <w:t>(SD)</w:t>
            </w:r>
          </w:p>
        </w:tc>
        <w:tc>
          <w:tcPr>
            <w:tcW w:w="1518" w:type="dxa"/>
            <w:shd w:val="clear" w:color="auto" w:fill="auto"/>
            <w:vAlign w:val="center"/>
            <w:hideMark/>
          </w:tcPr>
          <w:p w14:paraId="0BC86054" w14:textId="77777777" w:rsidR="001B0092" w:rsidRPr="001D1F77" w:rsidRDefault="001B0092" w:rsidP="001E7F7F">
            <w:pPr>
              <w:jc w:val="center"/>
              <w:rPr>
                <w:rFonts w:cstheme="minorHAnsi"/>
                <w:sz w:val="20"/>
                <w:szCs w:val="20"/>
              </w:rPr>
            </w:pPr>
            <w:r w:rsidRPr="001D1F77">
              <w:rPr>
                <w:rFonts w:cstheme="minorHAnsi"/>
                <w:sz w:val="20"/>
                <w:szCs w:val="20"/>
                <w:lang w:val="en-US"/>
              </w:rPr>
              <w:t>32.0 (5.6)</w:t>
            </w:r>
          </w:p>
        </w:tc>
        <w:tc>
          <w:tcPr>
            <w:tcW w:w="2126" w:type="dxa"/>
            <w:shd w:val="clear" w:color="auto" w:fill="auto"/>
            <w:vAlign w:val="center"/>
            <w:hideMark/>
          </w:tcPr>
          <w:p w14:paraId="21243BD4" w14:textId="77777777" w:rsidR="001B0092" w:rsidRPr="001D1F77" w:rsidRDefault="001B0092" w:rsidP="001E7F7F">
            <w:pPr>
              <w:jc w:val="center"/>
              <w:rPr>
                <w:rFonts w:cstheme="minorHAnsi"/>
                <w:sz w:val="20"/>
                <w:szCs w:val="20"/>
              </w:rPr>
            </w:pPr>
            <w:r w:rsidRPr="001D1F77">
              <w:rPr>
                <w:rFonts w:cstheme="minorHAnsi"/>
                <w:sz w:val="20"/>
                <w:szCs w:val="20"/>
                <w:lang w:val="en-US"/>
              </w:rPr>
              <w:t>32.4 (5.6)</w:t>
            </w:r>
          </w:p>
        </w:tc>
      </w:tr>
      <w:tr w:rsidR="001B0092" w:rsidRPr="001D1F77" w14:paraId="726390E2" w14:textId="77777777" w:rsidTr="001E7F7F">
        <w:trPr>
          <w:trHeight w:val="397"/>
        </w:trPr>
        <w:tc>
          <w:tcPr>
            <w:tcW w:w="3828" w:type="dxa"/>
            <w:shd w:val="clear" w:color="auto" w:fill="auto"/>
            <w:vAlign w:val="center"/>
            <w:hideMark/>
          </w:tcPr>
          <w:p w14:paraId="5E327D48" w14:textId="77777777" w:rsidR="001B0092" w:rsidRPr="001D1F77" w:rsidRDefault="001B0092" w:rsidP="001E7F7F">
            <w:pPr>
              <w:rPr>
                <w:rFonts w:cstheme="minorHAnsi"/>
                <w:sz w:val="20"/>
                <w:szCs w:val="20"/>
              </w:rPr>
            </w:pPr>
            <w:r w:rsidRPr="001D1F77">
              <w:rPr>
                <w:rFonts w:cstheme="minorHAnsi"/>
                <w:sz w:val="20"/>
                <w:szCs w:val="20"/>
                <w:lang w:val="en-US"/>
              </w:rPr>
              <w:t>Gout duration, mean years</w:t>
            </w:r>
          </w:p>
        </w:tc>
        <w:tc>
          <w:tcPr>
            <w:tcW w:w="1518" w:type="dxa"/>
            <w:shd w:val="clear" w:color="auto" w:fill="auto"/>
            <w:vAlign w:val="center"/>
            <w:hideMark/>
          </w:tcPr>
          <w:p w14:paraId="51FD0DD2" w14:textId="77777777" w:rsidR="001B0092" w:rsidRPr="001D1F77" w:rsidRDefault="001B0092" w:rsidP="001E7F7F">
            <w:pPr>
              <w:jc w:val="center"/>
              <w:rPr>
                <w:rFonts w:cstheme="minorHAnsi"/>
                <w:sz w:val="20"/>
                <w:szCs w:val="20"/>
              </w:rPr>
            </w:pPr>
            <w:r w:rsidRPr="001D1F77">
              <w:rPr>
                <w:rFonts w:cstheme="minorHAnsi"/>
                <w:sz w:val="20"/>
                <w:szCs w:val="20"/>
                <w:lang w:val="en-US"/>
              </w:rPr>
              <w:t>15.2</w:t>
            </w:r>
          </w:p>
        </w:tc>
        <w:tc>
          <w:tcPr>
            <w:tcW w:w="2126" w:type="dxa"/>
            <w:shd w:val="clear" w:color="auto" w:fill="auto"/>
            <w:vAlign w:val="center"/>
            <w:hideMark/>
          </w:tcPr>
          <w:p w14:paraId="740802E2" w14:textId="77777777" w:rsidR="001B0092" w:rsidRPr="001D1F77" w:rsidRDefault="001B0092" w:rsidP="001E7F7F">
            <w:pPr>
              <w:jc w:val="center"/>
              <w:rPr>
                <w:rFonts w:cstheme="minorHAnsi"/>
                <w:sz w:val="20"/>
                <w:szCs w:val="20"/>
              </w:rPr>
            </w:pPr>
            <w:r w:rsidRPr="001D1F77">
              <w:rPr>
                <w:rFonts w:cstheme="minorHAnsi"/>
                <w:sz w:val="20"/>
                <w:szCs w:val="20"/>
                <w:lang w:val="en-US"/>
              </w:rPr>
              <w:t>15.8</w:t>
            </w:r>
          </w:p>
        </w:tc>
      </w:tr>
      <w:tr w:rsidR="001B0092" w:rsidRPr="001D1F77" w14:paraId="74C1089B" w14:textId="77777777" w:rsidTr="001E7F7F">
        <w:trPr>
          <w:trHeight w:val="417"/>
        </w:trPr>
        <w:tc>
          <w:tcPr>
            <w:tcW w:w="3828" w:type="dxa"/>
            <w:tcBorders>
              <w:bottom w:val="single" w:sz="8" w:space="0" w:color="808080"/>
            </w:tcBorders>
            <w:shd w:val="clear" w:color="auto" w:fill="auto"/>
            <w:vAlign w:val="center"/>
            <w:hideMark/>
          </w:tcPr>
          <w:p w14:paraId="70BA26CF" w14:textId="77777777" w:rsidR="001B0092" w:rsidRPr="001D1F77" w:rsidRDefault="001B0092" w:rsidP="001E7F7F">
            <w:pPr>
              <w:rPr>
                <w:rFonts w:cstheme="minorHAnsi"/>
                <w:sz w:val="20"/>
                <w:szCs w:val="20"/>
                <w:lang w:val="en-US"/>
              </w:rPr>
            </w:pPr>
            <w:r w:rsidRPr="001D1F77">
              <w:rPr>
                <w:rFonts w:cstheme="minorHAnsi"/>
                <w:sz w:val="20"/>
                <w:szCs w:val="20"/>
                <w:lang w:val="en-US"/>
              </w:rPr>
              <w:t>Mean gout flares, past 12 months</w:t>
            </w:r>
          </w:p>
        </w:tc>
        <w:tc>
          <w:tcPr>
            <w:tcW w:w="1518" w:type="dxa"/>
            <w:tcBorders>
              <w:bottom w:val="single" w:sz="8" w:space="0" w:color="808080"/>
            </w:tcBorders>
            <w:shd w:val="clear" w:color="auto" w:fill="auto"/>
            <w:vAlign w:val="center"/>
            <w:hideMark/>
          </w:tcPr>
          <w:p w14:paraId="306FC504" w14:textId="77777777" w:rsidR="001B0092" w:rsidRPr="001D1F77" w:rsidRDefault="001B0092" w:rsidP="001E7F7F">
            <w:pPr>
              <w:jc w:val="center"/>
              <w:rPr>
                <w:rFonts w:cstheme="minorHAnsi"/>
                <w:sz w:val="20"/>
                <w:szCs w:val="20"/>
              </w:rPr>
            </w:pPr>
            <w:r w:rsidRPr="001D1F77">
              <w:rPr>
                <w:rFonts w:cstheme="minorHAnsi"/>
                <w:sz w:val="20"/>
                <w:szCs w:val="20"/>
                <w:lang w:val="en-US"/>
              </w:rPr>
              <w:t>6.1</w:t>
            </w:r>
          </w:p>
        </w:tc>
        <w:tc>
          <w:tcPr>
            <w:tcW w:w="2126" w:type="dxa"/>
            <w:tcBorders>
              <w:bottom w:val="single" w:sz="8" w:space="0" w:color="808080"/>
            </w:tcBorders>
            <w:shd w:val="clear" w:color="auto" w:fill="auto"/>
            <w:vAlign w:val="center"/>
            <w:hideMark/>
          </w:tcPr>
          <w:p w14:paraId="4AE600FF" w14:textId="77777777" w:rsidR="001B0092" w:rsidRPr="001D1F77" w:rsidRDefault="001B0092" w:rsidP="001E7F7F">
            <w:pPr>
              <w:jc w:val="center"/>
              <w:rPr>
                <w:rFonts w:cstheme="minorHAnsi"/>
                <w:sz w:val="20"/>
                <w:szCs w:val="20"/>
              </w:rPr>
            </w:pPr>
            <w:r w:rsidRPr="001D1F77">
              <w:rPr>
                <w:rFonts w:cstheme="minorHAnsi"/>
                <w:sz w:val="20"/>
                <w:szCs w:val="20"/>
                <w:lang w:val="en-US"/>
              </w:rPr>
              <w:t>6.9</w:t>
            </w:r>
          </w:p>
        </w:tc>
      </w:tr>
      <w:tr w:rsidR="001B0092" w:rsidRPr="001D1F77" w14:paraId="1221EC73" w14:textId="77777777" w:rsidTr="00E66348">
        <w:trPr>
          <w:trHeight w:val="410"/>
        </w:trPr>
        <w:tc>
          <w:tcPr>
            <w:tcW w:w="3828" w:type="dxa"/>
            <w:tcBorders>
              <w:top w:val="single" w:sz="8" w:space="0" w:color="808080"/>
              <w:bottom w:val="single" w:sz="8" w:space="0" w:color="808080"/>
            </w:tcBorders>
            <w:shd w:val="clear" w:color="auto" w:fill="auto"/>
            <w:vAlign w:val="center"/>
            <w:hideMark/>
          </w:tcPr>
          <w:p w14:paraId="2C741793" w14:textId="7F3DAF3E" w:rsidR="001B0092" w:rsidRPr="001D1F77" w:rsidRDefault="001B0092" w:rsidP="001E7F7F">
            <w:pPr>
              <w:rPr>
                <w:rFonts w:cstheme="minorHAnsi"/>
                <w:sz w:val="20"/>
                <w:szCs w:val="20"/>
                <w:lang w:val="en-US"/>
              </w:rPr>
            </w:pPr>
            <w:r w:rsidRPr="001D1F77">
              <w:rPr>
                <w:rFonts w:cstheme="minorHAnsi"/>
                <w:sz w:val="20"/>
                <w:szCs w:val="20"/>
                <w:lang w:val="en-US"/>
              </w:rPr>
              <w:t xml:space="preserve">Mean screening </w:t>
            </w:r>
            <w:r w:rsidR="005848A1">
              <w:rPr>
                <w:rFonts w:cstheme="minorHAnsi"/>
                <w:sz w:val="20"/>
                <w:szCs w:val="20"/>
                <w:lang w:val="en-US"/>
              </w:rPr>
              <w:t>sUA</w:t>
            </w:r>
            <w:r w:rsidRPr="001D1F77">
              <w:rPr>
                <w:rFonts w:cstheme="minorHAnsi"/>
                <w:sz w:val="20"/>
                <w:szCs w:val="20"/>
                <w:lang w:val="en-US"/>
              </w:rPr>
              <w:t>, mg/dL</w:t>
            </w:r>
          </w:p>
        </w:tc>
        <w:tc>
          <w:tcPr>
            <w:tcW w:w="1518" w:type="dxa"/>
            <w:tcBorders>
              <w:top w:val="single" w:sz="8" w:space="0" w:color="808080"/>
              <w:bottom w:val="single" w:sz="8" w:space="0" w:color="808080"/>
            </w:tcBorders>
            <w:shd w:val="clear" w:color="auto" w:fill="auto"/>
            <w:vAlign w:val="center"/>
            <w:hideMark/>
          </w:tcPr>
          <w:p w14:paraId="7CB92037" w14:textId="77777777" w:rsidR="001B0092" w:rsidRPr="001D1F77" w:rsidRDefault="001B0092" w:rsidP="001E7F7F">
            <w:pPr>
              <w:jc w:val="center"/>
              <w:rPr>
                <w:rFonts w:cstheme="minorHAnsi"/>
                <w:sz w:val="20"/>
                <w:szCs w:val="20"/>
              </w:rPr>
            </w:pPr>
            <w:r w:rsidRPr="001D1F77">
              <w:rPr>
                <w:rFonts w:cstheme="minorHAnsi"/>
                <w:sz w:val="20"/>
                <w:szCs w:val="20"/>
                <w:lang w:val="en-US"/>
              </w:rPr>
              <w:t>8.83</w:t>
            </w:r>
          </w:p>
        </w:tc>
        <w:tc>
          <w:tcPr>
            <w:tcW w:w="2126" w:type="dxa"/>
            <w:tcBorders>
              <w:top w:val="single" w:sz="8" w:space="0" w:color="808080"/>
              <w:bottom w:val="single" w:sz="8" w:space="0" w:color="808080"/>
            </w:tcBorders>
            <w:shd w:val="clear" w:color="auto" w:fill="auto"/>
            <w:vAlign w:val="center"/>
            <w:hideMark/>
          </w:tcPr>
          <w:p w14:paraId="6515D890" w14:textId="77777777" w:rsidR="001B0092" w:rsidRPr="001D1F77" w:rsidRDefault="001B0092" w:rsidP="001E7F7F">
            <w:pPr>
              <w:jc w:val="center"/>
              <w:rPr>
                <w:rFonts w:cstheme="minorHAnsi"/>
                <w:sz w:val="20"/>
                <w:szCs w:val="20"/>
              </w:rPr>
            </w:pPr>
            <w:r w:rsidRPr="001D1F77">
              <w:rPr>
                <w:rFonts w:cstheme="minorHAnsi"/>
                <w:sz w:val="20"/>
                <w:szCs w:val="20"/>
                <w:lang w:val="en-US"/>
              </w:rPr>
              <w:t>8.71</w:t>
            </w:r>
          </w:p>
        </w:tc>
      </w:tr>
      <w:tr w:rsidR="00E66348" w:rsidRPr="001D1F77" w14:paraId="3968A654" w14:textId="77777777" w:rsidTr="001E7F7F">
        <w:trPr>
          <w:trHeight w:val="410"/>
        </w:trPr>
        <w:tc>
          <w:tcPr>
            <w:tcW w:w="3828" w:type="dxa"/>
            <w:tcBorders>
              <w:top w:val="single" w:sz="8" w:space="0" w:color="808080"/>
              <w:bottom w:val="single" w:sz="18" w:space="0" w:color="44546A"/>
            </w:tcBorders>
            <w:shd w:val="clear" w:color="auto" w:fill="auto"/>
            <w:vAlign w:val="center"/>
          </w:tcPr>
          <w:p w14:paraId="0CD86E25" w14:textId="7EC1AED7" w:rsidR="00E66348" w:rsidRPr="00E66348" w:rsidRDefault="00E66348" w:rsidP="001E7F7F">
            <w:pPr>
              <w:rPr>
                <w:rFonts w:cstheme="minorHAnsi"/>
                <w:sz w:val="20"/>
                <w:szCs w:val="20"/>
              </w:rPr>
            </w:pPr>
            <w:r w:rsidRPr="00E66348">
              <w:rPr>
                <w:rFonts w:cstheme="minorHAnsi"/>
                <w:sz w:val="20"/>
                <w:szCs w:val="20"/>
              </w:rPr>
              <w:t>Mean baseline sUA, mg/dL</w:t>
            </w:r>
          </w:p>
        </w:tc>
        <w:tc>
          <w:tcPr>
            <w:tcW w:w="1518" w:type="dxa"/>
            <w:tcBorders>
              <w:top w:val="single" w:sz="8" w:space="0" w:color="808080"/>
              <w:bottom w:val="single" w:sz="18" w:space="0" w:color="44546A"/>
            </w:tcBorders>
            <w:shd w:val="clear" w:color="auto" w:fill="auto"/>
            <w:vAlign w:val="center"/>
          </w:tcPr>
          <w:p w14:paraId="66063BCF" w14:textId="675D7580" w:rsidR="00E66348" w:rsidRPr="00E66348" w:rsidRDefault="00E66348" w:rsidP="001E7F7F">
            <w:pPr>
              <w:jc w:val="center"/>
              <w:rPr>
                <w:rFonts w:cstheme="minorHAnsi"/>
                <w:sz w:val="20"/>
                <w:szCs w:val="20"/>
              </w:rPr>
            </w:pPr>
            <w:r>
              <w:rPr>
                <w:rFonts w:cstheme="minorHAnsi"/>
                <w:sz w:val="20"/>
                <w:szCs w:val="20"/>
              </w:rPr>
              <w:t xml:space="preserve">5.2 </w:t>
            </w:r>
          </w:p>
        </w:tc>
        <w:tc>
          <w:tcPr>
            <w:tcW w:w="2126" w:type="dxa"/>
            <w:tcBorders>
              <w:top w:val="single" w:sz="8" w:space="0" w:color="808080"/>
              <w:bottom w:val="single" w:sz="18" w:space="0" w:color="44546A"/>
            </w:tcBorders>
            <w:shd w:val="clear" w:color="auto" w:fill="auto"/>
            <w:vAlign w:val="center"/>
          </w:tcPr>
          <w:p w14:paraId="18316126" w14:textId="07719209" w:rsidR="00E66348" w:rsidRPr="00E66348" w:rsidRDefault="00E66348" w:rsidP="001E7F7F">
            <w:pPr>
              <w:jc w:val="center"/>
              <w:rPr>
                <w:rFonts w:cstheme="minorHAnsi"/>
                <w:sz w:val="20"/>
                <w:szCs w:val="20"/>
              </w:rPr>
            </w:pPr>
            <w:r>
              <w:rPr>
                <w:rFonts w:cstheme="minorHAnsi"/>
                <w:sz w:val="20"/>
                <w:szCs w:val="20"/>
              </w:rPr>
              <w:t>5.4</w:t>
            </w:r>
          </w:p>
        </w:tc>
      </w:tr>
    </w:tbl>
    <w:p w14:paraId="3A78ACFA" w14:textId="77777777" w:rsidR="001B0092" w:rsidRPr="001D1F77" w:rsidRDefault="001B0092" w:rsidP="001D1F77">
      <w:pPr>
        <w:pStyle w:val="Paragrafoelenco3"/>
        <w:spacing w:line="360" w:lineRule="auto"/>
        <w:ind w:left="0"/>
        <w:jc w:val="both"/>
        <w:rPr>
          <w:rFonts w:asciiTheme="minorHAnsi" w:hAnsiTheme="minorHAnsi" w:cs="Arial"/>
          <w:sz w:val="20"/>
          <w:szCs w:val="20"/>
        </w:rPr>
      </w:pPr>
    </w:p>
    <w:p w14:paraId="38067F94" w14:textId="77777777" w:rsidR="00401FE7" w:rsidRDefault="00401FE7" w:rsidP="000210A2">
      <w:pPr>
        <w:pStyle w:val="Paragrafoelenco3"/>
        <w:spacing w:line="360" w:lineRule="auto"/>
        <w:ind w:left="0"/>
        <w:rPr>
          <w:rFonts w:asciiTheme="minorHAnsi" w:hAnsiTheme="minorHAnsi" w:cs="Arial"/>
          <w:b/>
          <w:sz w:val="20"/>
          <w:szCs w:val="20"/>
        </w:rPr>
      </w:pPr>
    </w:p>
    <w:p w14:paraId="6E93BA86" w14:textId="4421C584" w:rsidR="008D7F6A" w:rsidRPr="002F68B0" w:rsidRDefault="00BA7CA3" w:rsidP="000210A2">
      <w:pPr>
        <w:pStyle w:val="Paragrafoelenco3"/>
        <w:spacing w:line="360" w:lineRule="auto"/>
        <w:ind w:left="0"/>
        <w:rPr>
          <w:rFonts w:asciiTheme="minorHAnsi" w:hAnsiTheme="minorHAnsi" w:cs="Arial"/>
          <w:b/>
          <w:sz w:val="20"/>
          <w:szCs w:val="20"/>
        </w:rPr>
      </w:pPr>
      <w:r w:rsidRPr="002F68B0">
        <w:rPr>
          <w:rFonts w:asciiTheme="minorHAnsi" w:hAnsiTheme="minorHAnsi" w:cs="Arial"/>
          <w:b/>
          <w:sz w:val="20"/>
          <w:szCs w:val="20"/>
        </w:rPr>
        <w:t xml:space="preserve">L’efficacia era già massima dopo il primo mese di trattamento, </w:t>
      </w:r>
      <w:r w:rsidR="001227E3" w:rsidRPr="002F68B0">
        <w:rPr>
          <w:rFonts w:asciiTheme="minorHAnsi" w:hAnsiTheme="minorHAnsi" w:cs="Arial"/>
          <w:b/>
          <w:sz w:val="20"/>
          <w:szCs w:val="20"/>
        </w:rPr>
        <w:t xml:space="preserve">con un </w:t>
      </w:r>
      <w:r w:rsidRPr="002F68B0">
        <w:rPr>
          <w:rFonts w:asciiTheme="minorHAnsi" w:hAnsiTheme="minorHAnsi" w:cs="Arial"/>
          <w:b/>
          <w:sz w:val="20"/>
          <w:szCs w:val="20"/>
        </w:rPr>
        <w:t xml:space="preserve">numero significativamente maggiore di pazienti trattati con lesinurad + febuxostat che raggiungeva livelli di sUA &lt;5.0 mg/dl rispetto alla monoterapia (68.9% vs 48,6%) e tale rapporto si è mantenuto costante durante tutto il periodo di studio di 12 mesi </w:t>
      </w:r>
      <w:r w:rsidR="000E3022" w:rsidRPr="002F68B0">
        <w:rPr>
          <w:rFonts w:asciiTheme="minorHAnsi" w:hAnsiTheme="minorHAnsi" w:cs="Arial"/>
          <w:b/>
          <w:sz w:val="20"/>
          <w:szCs w:val="20"/>
        </w:rPr>
        <w:t>(</w:t>
      </w:r>
      <w:r w:rsidR="006F255E" w:rsidRPr="002F68B0">
        <w:rPr>
          <w:rFonts w:asciiTheme="minorHAnsi" w:hAnsiTheme="minorHAnsi" w:cs="Arial"/>
          <w:b/>
          <w:sz w:val="20"/>
          <w:szCs w:val="20"/>
        </w:rPr>
        <w:t xml:space="preserve">0,0002 </w:t>
      </w:r>
      <w:r w:rsidR="00E66348" w:rsidRPr="002F68B0">
        <w:rPr>
          <w:rFonts w:ascii="Century Gothic" w:hAnsi="Century Gothic" w:cs="Arial"/>
          <w:b/>
          <w:sz w:val="20"/>
          <w:szCs w:val="20"/>
        </w:rPr>
        <w:t>≤</w:t>
      </w:r>
      <w:r w:rsidR="006F255E" w:rsidRPr="002F68B0">
        <w:rPr>
          <w:rFonts w:asciiTheme="minorHAnsi" w:hAnsiTheme="minorHAnsi" w:cs="Arial"/>
          <w:b/>
          <w:sz w:val="20"/>
          <w:szCs w:val="20"/>
        </w:rPr>
        <w:t xml:space="preserve"> p </w:t>
      </w:r>
      <w:r w:rsidR="00E66348" w:rsidRPr="002F68B0">
        <w:rPr>
          <w:rFonts w:ascii="Century Gothic" w:hAnsi="Century Gothic" w:cs="Arial"/>
          <w:b/>
          <w:sz w:val="20"/>
          <w:szCs w:val="20"/>
        </w:rPr>
        <w:t>≤</w:t>
      </w:r>
      <w:r w:rsidR="006F255E" w:rsidRPr="002F68B0">
        <w:rPr>
          <w:rFonts w:asciiTheme="minorHAnsi" w:hAnsiTheme="minorHAnsi" w:cs="Arial"/>
          <w:b/>
          <w:sz w:val="20"/>
          <w:szCs w:val="20"/>
        </w:rPr>
        <w:t xml:space="preserve"> 0,03)</w:t>
      </w:r>
      <w:r w:rsidR="00311795" w:rsidRPr="002F68B0">
        <w:rPr>
          <w:rFonts w:asciiTheme="minorHAnsi" w:hAnsiTheme="minorHAnsi" w:cs="Arial"/>
          <w:b/>
          <w:sz w:val="20"/>
          <w:szCs w:val="20"/>
        </w:rPr>
        <w:t>, con eccezione del Mese 6 (</w:t>
      </w:r>
      <w:r w:rsidR="001B0092" w:rsidRPr="002F68B0">
        <w:rPr>
          <w:rFonts w:asciiTheme="minorHAnsi" w:hAnsiTheme="minorHAnsi" w:cs="Arial"/>
          <w:b/>
          <w:sz w:val="20"/>
          <w:szCs w:val="20"/>
        </w:rPr>
        <w:t>LESU200+FBX e il gruppo in trattamento con PBO+FBX: 56,6% verso 4</w:t>
      </w:r>
      <w:r w:rsidR="00C77701" w:rsidRPr="002F68B0">
        <w:rPr>
          <w:rFonts w:asciiTheme="minorHAnsi" w:hAnsiTheme="minorHAnsi" w:cs="Arial"/>
          <w:b/>
          <w:sz w:val="20"/>
          <w:szCs w:val="20"/>
        </w:rPr>
        <w:t xml:space="preserve">6,8% </w:t>
      </w:r>
      <w:r w:rsidR="00311795" w:rsidRPr="002F68B0">
        <w:rPr>
          <w:rFonts w:asciiTheme="minorHAnsi" w:hAnsiTheme="minorHAnsi" w:cs="Arial"/>
          <w:b/>
          <w:sz w:val="20"/>
          <w:szCs w:val="20"/>
        </w:rPr>
        <w:t xml:space="preserve">rispettivamente </w:t>
      </w:r>
      <w:r w:rsidR="00C77701" w:rsidRPr="002F68B0">
        <w:rPr>
          <w:rFonts w:asciiTheme="minorHAnsi" w:hAnsiTheme="minorHAnsi" w:cs="Arial"/>
          <w:b/>
          <w:sz w:val="20"/>
          <w:szCs w:val="20"/>
        </w:rPr>
        <w:t xml:space="preserve">(analisi </w:t>
      </w:r>
      <w:r w:rsidR="00311795" w:rsidRPr="002F68B0">
        <w:rPr>
          <w:rFonts w:asciiTheme="minorHAnsi" w:hAnsiTheme="minorHAnsi" w:cs="Arial"/>
          <w:b/>
          <w:sz w:val="20"/>
          <w:szCs w:val="20"/>
        </w:rPr>
        <w:t xml:space="preserve">NRI popolazione </w:t>
      </w:r>
      <w:r w:rsidR="00C77701" w:rsidRPr="002F68B0">
        <w:rPr>
          <w:rFonts w:asciiTheme="minorHAnsi" w:hAnsiTheme="minorHAnsi" w:cs="Arial"/>
          <w:b/>
          <w:sz w:val="20"/>
          <w:szCs w:val="20"/>
        </w:rPr>
        <w:t>ITT;</w:t>
      </w:r>
      <w:r w:rsidR="006F255E" w:rsidRPr="002F68B0">
        <w:rPr>
          <w:rFonts w:asciiTheme="minorHAnsi" w:hAnsiTheme="minorHAnsi" w:cs="Arial"/>
          <w:b/>
          <w:sz w:val="20"/>
          <w:szCs w:val="20"/>
        </w:rPr>
        <w:t xml:space="preserve"> p = 0,13)</w:t>
      </w:r>
      <w:r w:rsidR="00C77701" w:rsidRPr="002F68B0">
        <w:rPr>
          <w:rFonts w:asciiTheme="minorHAnsi" w:hAnsiTheme="minorHAnsi" w:cs="Arial"/>
          <w:b/>
          <w:sz w:val="20"/>
          <w:szCs w:val="20"/>
        </w:rPr>
        <w:t xml:space="preserve"> </w:t>
      </w:r>
      <w:r w:rsidR="001227E3" w:rsidRPr="002F68B0">
        <w:rPr>
          <w:rFonts w:asciiTheme="minorHAnsi" w:hAnsiTheme="minorHAnsi" w:cs="Arial"/>
          <w:b/>
          <w:sz w:val="20"/>
          <w:szCs w:val="20"/>
        </w:rPr>
        <w:t>.</w:t>
      </w:r>
    </w:p>
    <w:p w14:paraId="2B0783C8" w14:textId="34B3EA60" w:rsidR="00376079" w:rsidRDefault="00311795" w:rsidP="000210A2">
      <w:pPr>
        <w:pStyle w:val="Paragrafoelenco3"/>
        <w:spacing w:line="360" w:lineRule="auto"/>
        <w:ind w:left="0"/>
        <w:rPr>
          <w:rFonts w:asciiTheme="minorHAnsi" w:hAnsiTheme="minorHAnsi" w:cs="Arial"/>
          <w:sz w:val="20"/>
          <w:szCs w:val="20"/>
        </w:rPr>
      </w:pPr>
      <w:r w:rsidRPr="002F68B0">
        <w:rPr>
          <w:rFonts w:asciiTheme="minorHAnsi" w:hAnsiTheme="minorHAnsi" w:cs="Arial"/>
          <w:b/>
          <w:sz w:val="20"/>
          <w:szCs w:val="20"/>
        </w:rPr>
        <w:t xml:space="preserve">Tuttavia, l’analisi LOCF (Pre-specified last observation carried forward) ha dimostrato che una proporzione significativamente maggiore di pazienti trattati con lesinurad 200 mg + febuxostat ha raggiunto livelli di </w:t>
      </w:r>
      <w:r w:rsidR="005848A1" w:rsidRPr="002F68B0">
        <w:rPr>
          <w:rFonts w:asciiTheme="minorHAnsi" w:hAnsiTheme="minorHAnsi" w:cs="Arial"/>
          <w:b/>
          <w:sz w:val="20"/>
          <w:szCs w:val="20"/>
        </w:rPr>
        <w:t>sUA</w:t>
      </w:r>
      <w:r w:rsidRPr="002F68B0">
        <w:rPr>
          <w:rFonts w:asciiTheme="minorHAnsi" w:hAnsiTheme="minorHAnsi" w:cs="Arial"/>
          <w:b/>
          <w:sz w:val="20"/>
          <w:szCs w:val="20"/>
        </w:rPr>
        <w:t xml:space="preserve"> &lt;5.0 mg/dl al Mese 6  rispetto al soggetti in monoterapia con febuxostat (64.1% vs 50.9%, rispettivamente; p=0.0377) </w:t>
      </w:r>
      <w:r w:rsidR="00376079" w:rsidRPr="002F68B0">
        <w:rPr>
          <w:rFonts w:asciiTheme="minorHAnsi" w:hAnsiTheme="minorHAnsi" w:cs="Arial"/>
          <w:b/>
          <w:sz w:val="20"/>
          <w:szCs w:val="20"/>
        </w:rPr>
        <w:t>(</w:t>
      </w:r>
      <w:hyperlink w:anchor="Tabella14" w:history="1">
        <w:r w:rsidR="00376079" w:rsidRPr="006B197C">
          <w:rPr>
            <w:rStyle w:val="Hyperlink"/>
            <w:rFonts w:asciiTheme="minorHAnsi" w:hAnsiTheme="minorHAnsi" w:cs="Arial"/>
            <w:b/>
            <w:sz w:val="20"/>
            <w:szCs w:val="20"/>
          </w:rPr>
          <w:t>Tabella</w:t>
        </w:r>
        <w:r w:rsidR="00A813E3" w:rsidRPr="006B197C">
          <w:rPr>
            <w:rStyle w:val="Hyperlink"/>
            <w:rFonts w:asciiTheme="minorHAnsi" w:hAnsiTheme="minorHAnsi" w:cs="Arial"/>
            <w:b/>
            <w:sz w:val="20"/>
            <w:szCs w:val="20"/>
          </w:rPr>
          <w:t xml:space="preserve"> 1</w:t>
        </w:r>
        <w:r w:rsidR="006B197C" w:rsidRPr="006B197C">
          <w:rPr>
            <w:rStyle w:val="Hyperlink"/>
            <w:rFonts w:asciiTheme="minorHAnsi" w:hAnsiTheme="minorHAnsi" w:cs="Arial"/>
            <w:b/>
            <w:sz w:val="20"/>
            <w:szCs w:val="20"/>
          </w:rPr>
          <w:t>4</w:t>
        </w:r>
      </w:hyperlink>
      <w:r w:rsidR="00A813E3" w:rsidRPr="002F68B0">
        <w:rPr>
          <w:rFonts w:asciiTheme="minorHAnsi" w:hAnsiTheme="minorHAnsi" w:cs="Arial"/>
          <w:b/>
          <w:sz w:val="20"/>
          <w:szCs w:val="20"/>
        </w:rPr>
        <w:t>)</w:t>
      </w:r>
      <w:r w:rsidR="00376079" w:rsidRPr="002F68B0">
        <w:rPr>
          <w:rFonts w:asciiTheme="minorHAnsi" w:hAnsiTheme="minorHAnsi" w:cs="Arial"/>
          <w:b/>
          <w:sz w:val="20"/>
          <w:szCs w:val="20"/>
        </w:rPr>
        <w:t>.</w:t>
      </w:r>
    </w:p>
    <w:p w14:paraId="5A0C1882" w14:textId="77777777" w:rsidR="00E34233" w:rsidRDefault="00E34233" w:rsidP="000210A2">
      <w:pPr>
        <w:pStyle w:val="Paragrafoelenco3"/>
        <w:spacing w:line="360" w:lineRule="auto"/>
        <w:ind w:left="0"/>
        <w:rPr>
          <w:rFonts w:asciiTheme="minorHAnsi" w:hAnsiTheme="minorHAnsi" w:cs="Arial"/>
          <w:sz w:val="20"/>
          <w:szCs w:val="20"/>
        </w:rPr>
      </w:pPr>
    </w:p>
    <w:p w14:paraId="6C591985" w14:textId="77777777" w:rsidR="00401FE7" w:rsidRDefault="00401FE7" w:rsidP="000210A2">
      <w:pPr>
        <w:pStyle w:val="Paragrafoelenco3"/>
        <w:spacing w:line="360" w:lineRule="auto"/>
        <w:ind w:left="0"/>
        <w:rPr>
          <w:rFonts w:asciiTheme="minorHAnsi" w:hAnsiTheme="minorHAnsi" w:cs="Arial"/>
          <w:sz w:val="20"/>
          <w:szCs w:val="20"/>
        </w:rPr>
      </w:pPr>
    </w:p>
    <w:p w14:paraId="3134EB78" w14:textId="77777777" w:rsidR="00401FE7" w:rsidRDefault="00401FE7" w:rsidP="000210A2">
      <w:pPr>
        <w:pStyle w:val="Paragrafoelenco3"/>
        <w:spacing w:line="360" w:lineRule="auto"/>
        <w:ind w:left="0"/>
        <w:rPr>
          <w:rFonts w:asciiTheme="minorHAnsi" w:hAnsiTheme="minorHAnsi" w:cs="Arial"/>
          <w:sz w:val="20"/>
          <w:szCs w:val="20"/>
        </w:rPr>
      </w:pPr>
    </w:p>
    <w:p w14:paraId="563A2080" w14:textId="77777777" w:rsidR="00401FE7" w:rsidRDefault="00401FE7" w:rsidP="000210A2">
      <w:pPr>
        <w:pStyle w:val="Paragrafoelenco3"/>
        <w:spacing w:line="360" w:lineRule="auto"/>
        <w:ind w:left="0"/>
        <w:rPr>
          <w:rFonts w:asciiTheme="minorHAnsi" w:hAnsiTheme="minorHAnsi" w:cs="Arial"/>
          <w:sz w:val="20"/>
          <w:szCs w:val="20"/>
        </w:rPr>
      </w:pPr>
    </w:p>
    <w:p w14:paraId="1D151815" w14:textId="21734CEC" w:rsidR="00E34233" w:rsidRDefault="00E34233" w:rsidP="00E34233">
      <w:pPr>
        <w:pStyle w:val="Caption"/>
        <w:rPr>
          <w:rFonts w:asciiTheme="minorHAnsi" w:hAnsiTheme="minorHAnsi" w:cstheme="minorHAnsi"/>
          <w:color w:val="0000FF"/>
          <w:lang w:val="it-IT"/>
        </w:rPr>
      </w:pPr>
      <w:bookmarkStart w:id="128" w:name="Tabella14"/>
      <w:bookmarkStart w:id="129" w:name="_Toc473150699"/>
      <w:bookmarkEnd w:id="128"/>
      <w:r w:rsidRPr="00A813E3">
        <w:rPr>
          <w:rFonts w:asciiTheme="minorHAnsi" w:hAnsiTheme="minorHAnsi" w:cstheme="minorHAnsi"/>
          <w:lang w:val="it-IT"/>
        </w:rPr>
        <w:t xml:space="preserve">Tabella </w:t>
      </w:r>
      <w:r w:rsidRPr="00A813E3">
        <w:rPr>
          <w:rFonts w:asciiTheme="minorHAnsi" w:hAnsiTheme="minorHAnsi" w:cstheme="minorHAnsi"/>
        </w:rPr>
        <w:fldChar w:fldCharType="begin"/>
      </w:r>
      <w:r w:rsidRPr="00A813E3">
        <w:rPr>
          <w:rFonts w:asciiTheme="minorHAnsi" w:hAnsiTheme="minorHAnsi" w:cstheme="minorHAnsi"/>
          <w:lang w:val="it-IT"/>
        </w:rPr>
        <w:instrText xml:space="preserve"> SEQ Tabella \* ARABIC </w:instrText>
      </w:r>
      <w:r w:rsidRPr="00A813E3">
        <w:rPr>
          <w:rFonts w:asciiTheme="minorHAnsi" w:hAnsiTheme="minorHAnsi" w:cstheme="minorHAnsi"/>
        </w:rPr>
        <w:fldChar w:fldCharType="separate"/>
      </w:r>
      <w:r w:rsidR="00A1679C">
        <w:rPr>
          <w:rFonts w:asciiTheme="minorHAnsi" w:hAnsiTheme="minorHAnsi" w:cstheme="minorHAnsi"/>
          <w:noProof/>
          <w:lang w:val="it-IT"/>
        </w:rPr>
        <w:t>14</w:t>
      </w:r>
      <w:r w:rsidRPr="00A813E3">
        <w:rPr>
          <w:rFonts w:asciiTheme="minorHAnsi" w:hAnsiTheme="minorHAnsi" w:cstheme="minorHAnsi"/>
        </w:rPr>
        <w:fldChar w:fldCharType="end"/>
      </w:r>
      <w:r w:rsidRPr="00A813E3">
        <w:rPr>
          <w:rFonts w:asciiTheme="minorHAnsi" w:hAnsiTheme="minorHAnsi" w:cstheme="minorHAnsi"/>
          <w:lang w:val="it-IT"/>
        </w:rPr>
        <w:t xml:space="preserve"> – Proporzione di soggetti con livelli sUA &lt; 5 mg/dl al Mese 6 (Analisi LOCF – popolazione ITT)</w:t>
      </w:r>
      <w:r>
        <w:rPr>
          <w:rFonts w:asciiTheme="minorHAnsi" w:hAnsiTheme="minorHAnsi" w:cstheme="minorHAnsi"/>
          <w:lang w:val="it-IT"/>
        </w:rPr>
        <w:t xml:space="preserve"> (</w:t>
      </w:r>
      <w:r w:rsidRPr="00465C98">
        <w:rPr>
          <w:rFonts w:asciiTheme="minorHAnsi" w:hAnsiTheme="minorHAnsi" w:cstheme="minorHAnsi"/>
          <w:color w:val="0000FF"/>
          <w:lang w:val="it-IT"/>
        </w:rPr>
        <w:t xml:space="preserve">adattato da </w:t>
      </w:r>
      <w:r w:rsidR="00A25D6E">
        <w:rPr>
          <w:rFonts w:asciiTheme="minorHAnsi" w:hAnsiTheme="minorHAnsi" w:cstheme="minorHAnsi"/>
          <w:color w:val="0000FF"/>
          <w:lang w:val="it-IT"/>
        </w:rPr>
        <w:t>CSR 304, 2014</w:t>
      </w:r>
      <w:r w:rsidRPr="00A94C35">
        <w:rPr>
          <w:rFonts w:asciiTheme="minorHAnsi" w:hAnsiTheme="minorHAnsi" w:cstheme="minorHAnsi"/>
          <w:color w:val="0000FF"/>
          <w:lang w:val="it-IT"/>
        </w:rPr>
        <w:t>)</w:t>
      </w:r>
      <w:bookmarkEnd w:id="129"/>
    </w:p>
    <w:tbl>
      <w:tblPr>
        <w:tblW w:w="496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85"/>
        <w:gridCol w:w="3176"/>
        <w:gridCol w:w="2495"/>
      </w:tblGrid>
      <w:tr w:rsidR="00E34233" w:rsidRPr="00401FE7" w14:paraId="203E759D" w14:textId="77777777" w:rsidTr="0079658A">
        <w:trPr>
          <w:tblHeader/>
        </w:trPr>
        <w:tc>
          <w:tcPr>
            <w:tcW w:w="3369" w:type="dxa"/>
            <w:shd w:val="clear" w:color="auto" w:fill="D9D9D9"/>
          </w:tcPr>
          <w:p w14:paraId="4D49A3D6" w14:textId="77777777" w:rsidR="00E34233" w:rsidRPr="00401FE7" w:rsidRDefault="00E34233" w:rsidP="0079658A">
            <w:pPr>
              <w:pStyle w:val="Tabletext"/>
              <w:widowControl w:val="0"/>
              <w:rPr>
                <w:rFonts w:asciiTheme="minorHAnsi" w:hAnsiTheme="minorHAnsi" w:cstheme="minorHAnsi"/>
                <w:b/>
                <w:i/>
                <w:lang w:val="it-IT"/>
              </w:rPr>
            </w:pPr>
          </w:p>
        </w:tc>
        <w:tc>
          <w:tcPr>
            <w:tcW w:w="3260" w:type="dxa"/>
            <w:shd w:val="clear" w:color="auto" w:fill="D9D9D9"/>
          </w:tcPr>
          <w:p w14:paraId="1D1F2A27" w14:textId="77777777" w:rsidR="00E34233" w:rsidRPr="00401FE7" w:rsidRDefault="00E34233" w:rsidP="0079658A">
            <w:pPr>
              <w:pStyle w:val="Tabletext"/>
              <w:jc w:val="center"/>
              <w:rPr>
                <w:rFonts w:asciiTheme="minorHAnsi" w:hAnsiTheme="minorHAnsi" w:cstheme="minorHAnsi"/>
                <w:b/>
              </w:rPr>
            </w:pPr>
            <w:r w:rsidRPr="00401FE7">
              <w:rPr>
                <w:rFonts w:asciiTheme="minorHAnsi" w:hAnsiTheme="minorHAnsi" w:cstheme="minorHAnsi"/>
                <w:b/>
              </w:rPr>
              <w:t>Lesinurad 200 mg + febuxostat</w:t>
            </w:r>
          </w:p>
          <w:p w14:paraId="4FA0D2BD" w14:textId="77777777" w:rsidR="00E34233" w:rsidRPr="00401FE7" w:rsidRDefault="00E34233" w:rsidP="0079658A">
            <w:pPr>
              <w:pStyle w:val="Tabletext"/>
              <w:widowControl w:val="0"/>
              <w:jc w:val="center"/>
              <w:rPr>
                <w:rFonts w:asciiTheme="minorHAnsi" w:hAnsiTheme="minorHAnsi" w:cstheme="minorHAnsi"/>
                <w:b/>
              </w:rPr>
            </w:pPr>
            <w:r w:rsidRPr="00401FE7">
              <w:rPr>
                <w:rFonts w:asciiTheme="minorHAnsi" w:hAnsiTheme="minorHAnsi" w:cstheme="minorHAnsi"/>
                <w:b/>
              </w:rPr>
              <w:t>N=106</w:t>
            </w:r>
          </w:p>
        </w:tc>
        <w:tc>
          <w:tcPr>
            <w:tcW w:w="2551" w:type="dxa"/>
            <w:shd w:val="clear" w:color="auto" w:fill="D9D9D9"/>
          </w:tcPr>
          <w:p w14:paraId="67C17BD1" w14:textId="77777777" w:rsidR="00E34233" w:rsidRPr="00401FE7" w:rsidRDefault="00E34233" w:rsidP="0079658A">
            <w:pPr>
              <w:pStyle w:val="Tabletext"/>
              <w:jc w:val="center"/>
              <w:rPr>
                <w:rFonts w:asciiTheme="minorHAnsi" w:hAnsiTheme="minorHAnsi" w:cstheme="minorHAnsi"/>
                <w:b/>
              </w:rPr>
            </w:pPr>
            <w:r w:rsidRPr="00401FE7">
              <w:rPr>
                <w:rFonts w:asciiTheme="minorHAnsi" w:hAnsiTheme="minorHAnsi" w:cstheme="minorHAnsi"/>
                <w:b/>
              </w:rPr>
              <w:t>Placebo + febuxostat</w:t>
            </w:r>
          </w:p>
          <w:p w14:paraId="04B7F4FE" w14:textId="77777777" w:rsidR="00E34233" w:rsidRPr="00401FE7" w:rsidRDefault="00E34233" w:rsidP="0079658A">
            <w:pPr>
              <w:pStyle w:val="Tabletext"/>
              <w:widowControl w:val="0"/>
              <w:jc w:val="center"/>
              <w:rPr>
                <w:rFonts w:asciiTheme="minorHAnsi" w:hAnsiTheme="minorHAnsi" w:cstheme="minorHAnsi"/>
                <w:b/>
              </w:rPr>
            </w:pPr>
            <w:r w:rsidRPr="00401FE7">
              <w:rPr>
                <w:rFonts w:asciiTheme="minorHAnsi" w:hAnsiTheme="minorHAnsi" w:cstheme="minorHAnsi"/>
                <w:b/>
              </w:rPr>
              <w:t>N=109</w:t>
            </w:r>
          </w:p>
        </w:tc>
      </w:tr>
      <w:tr w:rsidR="00E34233" w:rsidRPr="00401FE7" w14:paraId="3140E5B7" w14:textId="77777777" w:rsidTr="0079658A">
        <w:tc>
          <w:tcPr>
            <w:tcW w:w="3369" w:type="dxa"/>
          </w:tcPr>
          <w:p w14:paraId="1732CA80" w14:textId="77777777" w:rsidR="00E34233" w:rsidRPr="00401FE7" w:rsidRDefault="00E34233" w:rsidP="0079658A">
            <w:pPr>
              <w:pStyle w:val="Tabletext"/>
              <w:widowControl w:val="0"/>
              <w:tabs>
                <w:tab w:val="left" w:pos="1875"/>
              </w:tabs>
              <w:rPr>
                <w:rFonts w:asciiTheme="minorHAnsi" w:hAnsiTheme="minorHAnsi" w:cstheme="minorHAnsi"/>
              </w:rPr>
            </w:pPr>
            <w:r w:rsidRPr="00401FE7">
              <w:rPr>
                <w:rFonts w:asciiTheme="minorHAnsi" w:hAnsiTheme="minorHAnsi" w:cstheme="minorHAnsi"/>
              </w:rPr>
              <w:t>LOCF Imputation: Proportion of sUA responders</w:t>
            </w:r>
            <w:r w:rsidRPr="00401FE7">
              <w:rPr>
                <w:rFonts w:asciiTheme="minorHAnsi" w:hAnsiTheme="minorHAnsi" w:cstheme="minorHAnsi"/>
                <w:vertAlign w:val="superscript"/>
              </w:rPr>
              <w:t>†</w:t>
            </w:r>
            <w:r w:rsidRPr="00401FE7">
              <w:rPr>
                <w:rFonts w:asciiTheme="minorHAnsi" w:hAnsiTheme="minorHAnsi" w:cstheme="minorHAnsi"/>
              </w:rPr>
              <w:t>,</w:t>
            </w:r>
            <w:r w:rsidRPr="00401FE7">
              <w:rPr>
                <w:rFonts w:asciiTheme="minorHAnsi" w:hAnsiTheme="minorHAnsi" w:cstheme="minorHAnsi"/>
                <w:vertAlign w:val="superscript"/>
              </w:rPr>
              <w:t xml:space="preserve"> </w:t>
            </w:r>
            <w:r w:rsidRPr="00401FE7">
              <w:rPr>
                <w:rFonts w:asciiTheme="minorHAnsi" w:hAnsiTheme="minorHAnsi" w:cstheme="minorHAnsi"/>
              </w:rPr>
              <w:t>n/N (%)</w:t>
            </w:r>
          </w:p>
        </w:tc>
        <w:tc>
          <w:tcPr>
            <w:tcW w:w="3260" w:type="dxa"/>
          </w:tcPr>
          <w:p w14:paraId="128F4866" w14:textId="77777777" w:rsidR="00E34233" w:rsidRPr="00401FE7" w:rsidRDefault="00E34233" w:rsidP="0079658A">
            <w:pPr>
              <w:pStyle w:val="Tabletext"/>
              <w:widowControl w:val="0"/>
              <w:jc w:val="center"/>
              <w:rPr>
                <w:rFonts w:asciiTheme="minorHAnsi" w:hAnsiTheme="minorHAnsi" w:cstheme="minorHAnsi"/>
              </w:rPr>
            </w:pPr>
            <w:r w:rsidRPr="00401FE7">
              <w:rPr>
                <w:rFonts w:asciiTheme="minorHAnsi" w:hAnsiTheme="minorHAnsi" w:cstheme="minorHAnsi"/>
              </w:rPr>
              <w:t>66/103 (64.1)</w:t>
            </w:r>
          </w:p>
        </w:tc>
        <w:tc>
          <w:tcPr>
            <w:tcW w:w="2551" w:type="dxa"/>
          </w:tcPr>
          <w:p w14:paraId="1DD937DD" w14:textId="77777777" w:rsidR="00E34233" w:rsidRPr="00401FE7" w:rsidRDefault="00E34233" w:rsidP="0079658A">
            <w:pPr>
              <w:pStyle w:val="Tabletext"/>
              <w:widowControl w:val="0"/>
              <w:jc w:val="center"/>
              <w:rPr>
                <w:rFonts w:asciiTheme="minorHAnsi" w:hAnsiTheme="minorHAnsi" w:cstheme="minorHAnsi"/>
              </w:rPr>
            </w:pPr>
            <w:r w:rsidRPr="00401FE7">
              <w:rPr>
                <w:rFonts w:asciiTheme="minorHAnsi" w:hAnsiTheme="minorHAnsi" w:cstheme="minorHAnsi"/>
              </w:rPr>
              <w:t>54/106 (50.9)</w:t>
            </w:r>
          </w:p>
        </w:tc>
      </w:tr>
      <w:tr w:rsidR="00E34233" w:rsidRPr="00401FE7" w14:paraId="49B614C6" w14:textId="77777777" w:rsidTr="0079658A">
        <w:tc>
          <w:tcPr>
            <w:tcW w:w="3369" w:type="dxa"/>
          </w:tcPr>
          <w:p w14:paraId="21B95B73" w14:textId="77777777" w:rsidR="00E34233" w:rsidRPr="00401FE7" w:rsidRDefault="00E34233" w:rsidP="0079658A">
            <w:pPr>
              <w:pStyle w:val="Tabletext"/>
              <w:widowControl w:val="0"/>
              <w:rPr>
                <w:rFonts w:asciiTheme="minorHAnsi" w:hAnsiTheme="minorHAnsi" w:cstheme="minorHAnsi"/>
              </w:rPr>
            </w:pPr>
            <w:r w:rsidRPr="00401FE7">
              <w:rPr>
                <w:rFonts w:asciiTheme="minorHAnsi" w:hAnsiTheme="minorHAnsi" w:cstheme="minorHAnsi"/>
              </w:rPr>
              <w:t xml:space="preserve">Difference in proportions </w:t>
            </w:r>
            <w:r w:rsidRPr="00401FE7">
              <w:rPr>
                <w:rFonts w:asciiTheme="minorHAnsi" w:hAnsiTheme="minorHAnsi" w:cstheme="minorHAnsi"/>
              </w:rPr>
              <w:br/>
              <w:t>(95% CI), lesinurad versus placebo</w:t>
            </w:r>
          </w:p>
        </w:tc>
        <w:tc>
          <w:tcPr>
            <w:tcW w:w="3260" w:type="dxa"/>
          </w:tcPr>
          <w:p w14:paraId="5EF60692" w14:textId="77777777" w:rsidR="00E34233" w:rsidRPr="00401FE7" w:rsidRDefault="00E34233" w:rsidP="0079658A">
            <w:pPr>
              <w:pStyle w:val="Tabletext"/>
              <w:widowControl w:val="0"/>
              <w:jc w:val="center"/>
              <w:rPr>
                <w:rFonts w:asciiTheme="minorHAnsi" w:hAnsiTheme="minorHAnsi" w:cstheme="minorHAnsi"/>
              </w:rPr>
            </w:pPr>
            <w:r w:rsidRPr="00401FE7">
              <w:rPr>
                <w:rFonts w:asciiTheme="minorHAnsi" w:hAnsiTheme="minorHAnsi" w:cstheme="minorHAnsi"/>
              </w:rPr>
              <w:t>0.13 (–0.00; 0.26)</w:t>
            </w:r>
          </w:p>
        </w:tc>
        <w:tc>
          <w:tcPr>
            <w:tcW w:w="2551" w:type="dxa"/>
          </w:tcPr>
          <w:p w14:paraId="1F66E6EF" w14:textId="77777777" w:rsidR="00E34233" w:rsidRPr="00401FE7" w:rsidRDefault="00E34233" w:rsidP="0079658A">
            <w:pPr>
              <w:pStyle w:val="Tabletext"/>
              <w:widowControl w:val="0"/>
              <w:jc w:val="center"/>
              <w:rPr>
                <w:rFonts w:asciiTheme="minorHAnsi" w:hAnsiTheme="minorHAnsi" w:cstheme="minorHAnsi"/>
              </w:rPr>
            </w:pPr>
          </w:p>
        </w:tc>
      </w:tr>
      <w:tr w:rsidR="00E34233" w:rsidRPr="00401FE7" w14:paraId="1231FDBE" w14:textId="77777777" w:rsidTr="0079658A">
        <w:tc>
          <w:tcPr>
            <w:tcW w:w="3369" w:type="dxa"/>
            <w:tcBorders>
              <w:top w:val="single" w:sz="4" w:space="0" w:color="auto"/>
            </w:tcBorders>
          </w:tcPr>
          <w:p w14:paraId="6947C160" w14:textId="77777777" w:rsidR="00E34233" w:rsidRPr="00401FE7" w:rsidRDefault="00E34233" w:rsidP="0079658A">
            <w:pPr>
              <w:pStyle w:val="Tabletext"/>
              <w:widowControl w:val="0"/>
              <w:rPr>
                <w:rFonts w:asciiTheme="minorHAnsi" w:hAnsiTheme="minorHAnsi" w:cstheme="minorHAnsi"/>
              </w:rPr>
            </w:pPr>
            <w:r w:rsidRPr="00401FE7">
              <w:rPr>
                <w:rFonts w:asciiTheme="minorHAnsi" w:hAnsiTheme="minorHAnsi" w:cstheme="minorHAnsi"/>
              </w:rPr>
              <w:t>p-value</w:t>
            </w:r>
          </w:p>
        </w:tc>
        <w:tc>
          <w:tcPr>
            <w:tcW w:w="3260" w:type="dxa"/>
            <w:tcBorders>
              <w:top w:val="single" w:sz="4" w:space="0" w:color="auto"/>
            </w:tcBorders>
          </w:tcPr>
          <w:p w14:paraId="00D26ABA" w14:textId="77777777" w:rsidR="00E34233" w:rsidRPr="00401FE7" w:rsidRDefault="00E34233" w:rsidP="0079658A">
            <w:pPr>
              <w:pStyle w:val="Tabletext"/>
              <w:widowControl w:val="0"/>
              <w:jc w:val="center"/>
              <w:rPr>
                <w:rFonts w:asciiTheme="minorHAnsi" w:hAnsiTheme="minorHAnsi" w:cstheme="minorHAnsi"/>
              </w:rPr>
            </w:pPr>
            <w:r w:rsidRPr="00401FE7">
              <w:rPr>
                <w:rFonts w:asciiTheme="minorHAnsi" w:hAnsiTheme="minorHAnsi" w:cstheme="minorHAnsi"/>
              </w:rPr>
              <w:t>0.0377</w:t>
            </w:r>
          </w:p>
        </w:tc>
        <w:tc>
          <w:tcPr>
            <w:tcW w:w="2551" w:type="dxa"/>
            <w:tcBorders>
              <w:top w:val="single" w:sz="4" w:space="0" w:color="auto"/>
            </w:tcBorders>
          </w:tcPr>
          <w:p w14:paraId="235515CC" w14:textId="77777777" w:rsidR="00E34233" w:rsidRPr="00401FE7" w:rsidRDefault="00E34233" w:rsidP="0079658A">
            <w:pPr>
              <w:pStyle w:val="Tabletext"/>
              <w:widowControl w:val="0"/>
              <w:jc w:val="center"/>
              <w:rPr>
                <w:rFonts w:asciiTheme="minorHAnsi" w:hAnsiTheme="minorHAnsi" w:cstheme="minorHAnsi"/>
              </w:rPr>
            </w:pPr>
          </w:p>
        </w:tc>
      </w:tr>
    </w:tbl>
    <w:p w14:paraId="22E01DB5" w14:textId="77777777" w:rsidR="00E34233" w:rsidRPr="00465C98" w:rsidRDefault="00E34233" w:rsidP="00E34233">
      <w:pPr>
        <w:rPr>
          <w:lang w:val="en-US"/>
        </w:rPr>
      </w:pPr>
      <w:r>
        <w:rPr>
          <w:rStyle w:val="TablefootnoteChar"/>
          <w:rFonts w:eastAsiaTheme="minorEastAsia"/>
        </w:rPr>
        <w:t>†</w:t>
      </w:r>
      <w:r w:rsidRPr="00E9530C">
        <w:rPr>
          <w:rStyle w:val="TablefootnoteChar"/>
          <w:rFonts w:eastAsiaTheme="minorEastAsia"/>
        </w:rPr>
        <w:t>Defined as subjects achieving sUA &lt;5.0 mg/dL by Month 6.</w:t>
      </w:r>
      <w:r w:rsidRPr="00E9530C">
        <w:rPr>
          <w:rStyle w:val="TablefootnoteChar"/>
          <w:rFonts w:eastAsiaTheme="minorEastAsia"/>
        </w:rPr>
        <w:br/>
        <w:t xml:space="preserve">Abbreviations: CI, confidence interval; ITT, intent-to-treat; </w:t>
      </w:r>
      <w:r>
        <w:rPr>
          <w:rStyle w:val="TablefootnoteChar"/>
          <w:rFonts w:eastAsiaTheme="minorEastAsia"/>
        </w:rPr>
        <w:t xml:space="preserve">LOCF, last observation carried forward; </w:t>
      </w:r>
      <w:r w:rsidRPr="00E9530C">
        <w:rPr>
          <w:rStyle w:val="TablefootnoteChar"/>
          <w:rFonts w:eastAsiaTheme="minorEastAsia"/>
        </w:rPr>
        <w:t>sUA, serum uric acid.</w:t>
      </w:r>
    </w:p>
    <w:p w14:paraId="59ED26E9" w14:textId="77777777" w:rsidR="00376079" w:rsidRPr="00E34233" w:rsidRDefault="00376079" w:rsidP="00376079">
      <w:pPr>
        <w:pStyle w:val="Paragrafoelenco3"/>
        <w:spacing w:line="360" w:lineRule="auto"/>
        <w:ind w:left="0"/>
        <w:jc w:val="both"/>
        <w:rPr>
          <w:rFonts w:asciiTheme="minorHAnsi" w:hAnsiTheme="minorHAnsi" w:cs="Arial"/>
          <w:sz w:val="20"/>
          <w:szCs w:val="20"/>
          <w:lang w:val="en-US"/>
        </w:rPr>
      </w:pPr>
    </w:p>
    <w:p w14:paraId="27EA58A0" w14:textId="1421379B" w:rsidR="00B01777" w:rsidRDefault="00B01777" w:rsidP="000210A2">
      <w:pPr>
        <w:pStyle w:val="Caption"/>
        <w:jc w:val="left"/>
        <w:rPr>
          <w:rFonts w:asciiTheme="minorHAnsi" w:eastAsia="Calibri" w:hAnsiTheme="minorHAnsi" w:cs="Arial"/>
          <w:b w:val="0"/>
          <w:bCs w:val="0"/>
          <w:color w:val="auto"/>
          <w:lang w:val="it-IT" w:eastAsia="it-IT"/>
        </w:rPr>
      </w:pPr>
      <w:r w:rsidRPr="00401FE7">
        <w:rPr>
          <w:rFonts w:asciiTheme="minorHAnsi" w:eastAsia="Calibri" w:hAnsiTheme="minorHAnsi" w:cs="Arial"/>
          <w:b w:val="0"/>
          <w:bCs w:val="0"/>
          <w:color w:val="auto"/>
          <w:lang w:val="it-IT" w:eastAsia="it-IT"/>
        </w:rPr>
        <w:t>Un’analisi ulteriore ha dimostrato che una proporzione significativamente maggiore di pazienti trattati con lesinurad 200 mg + febuxostat ha raggiunto livelli di sUA &lt;5.0 mg/dl nei tre mesi consecutivi (Mesi 4, 5 e 6) rispetto al soggetti in monoterapia con febuxostat (51,9% vs 33.0%, rispettivamente; p=0.0034) (</w:t>
      </w:r>
      <w:hyperlink w:anchor="Tabella15" w:history="1">
        <w:r w:rsidRPr="006B197C">
          <w:rPr>
            <w:rStyle w:val="Hyperlink"/>
            <w:rFonts w:asciiTheme="minorHAnsi" w:eastAsia="Calibri" w:hAnsiTheme="minorHAnsi" w:cs="Arial"/>
            <w:b w:val="0"/>
            <w:bCs w:val="0"/>
            <w:lang w:val="it-IT" w:eastAsia="it-IT"/>
          </w:rPr>
          <w:t xml:space="preserve">Tabella </w:t>
        </w:r>
        <w:r w:rsidR="006B197C" w:rsidRPr="006B197C">
          <w:rPr>
            <w:rStyle w:val="Hyperlink"/>
            <w:rFonts w:asciiTheme="minorHAnsi" w:eastAsia="Calibri" w:hAnsiTheme="minorHAnsi" w:cs="Arial"/>
            <w:b w:val="0"/>
            <w:bCs w:val="0"/>
            <w:lang w:val="it-IT" w:eastAsia="it-IT"/>
          </w:rPr>
          <w:t>15</w:t>
        </w:r>
      </w:hyperlink>
      <w:r w:rsidRPr="00401FE7">
        <w:rPr>
          <w:rFonts w:asciiTheme="minorHAnsi" w:eastAsia="Calibri" w:hAnsiTheme="minorHAnsi" w:cs="Arial"/>
          <w:b w:val="0"/>
          <w:bCs w:val="0"/>
          <w:color w:val="auto"/>
          <w:lang w:val="it-IT" w:eastAsia="it-IT"/>
        </w:rPr>
        <w:t>)</w:t>
      </w:r>
      <w:r w:rsidR="004C31AC">
        <w:rPr>
          <w:rFonts w:asciiTheme="minorHAnsi" w:eastAsia="Calibri" w:hAnsiTheme="minorHAnsi" w:cs="Arial"/>
          <w:b w:val="0"/>
          <w:bCs w:val="0"/>
          <w:color w:val="auto"/>
          <w:lang w:val="it-IT" w:eastAsia="it-IT"/>
        </w:rPr>
        <w:t>.</w:t>
      </w:r>
    </w:p>
    <w:p w14:paraId="7E99885D" w14:textId="77777777" w:rsidR="004C31AC" w:rsidRPr="004C31AC" w:rsidRDefault="004C31AC" w:rsidP="000210A2">
      <w:pPr>
        <w:pStyle w:val="BodyText"/>
        <w:jc w:val="left"/>
        <w:rPr>
          <w:lang w:val="it-IT" w:eastAsia="it-IT"/>
        </w:rPr>
      </w:pPr>
    </w:p>
    <w:p w14:paraId="6456C6F1" w14:textId="3480049E" w:rsidR="00B01777" w:rsidRDefault="006B197C" w:rsidP="006B197C">
      <w:pPr>
        <w:pStyle w:val="Caption"/>
        <w:rPr>
          <w:rFonts w:asciiTheme="minorHAnsi" w:hAnsiTheme="minorHAnsi" w:cstheme="minorHAnsi"/>
          <w:color w:val="0000FF"/>
          <w:lang w:val="it-IT"/>
        </w:rPr>
      </w:pPr>
      <w:bookmarkStart w:id="130" w:name="Tabella15"/>
      <w:bookmarkStart w:id="131" w:name="_Toc473150700"/>
      <w:bookmarkEnd w:id="130"/>
      <w:r w:rsidRPr="006B197C">
        <w:rPr>
          <w:rFonts w:asciiTheme="minorHAnsi" w:hAnsiTheme="minorHAnsi" w:cstheme="minorHAnsi"/>
          <w:lang w:val="it-IT"/>
        </w:rPr>
        <w:t xml:space="preserve">Tabella </w:t>
      </w:r>
      <w:r w:rsidRPr="006B197C">
        <w:rPr>
          <w:rFonts w:asciiTheme="minorHAnsi" w:hAnsiTheme="minorHAnsi" w:cstheme="minorHAnsi"/>
        </w:rPr>
        <w:fldChar w:fldCharType="begin"/>
      </w:r>
      <w:r w:rsidRPr="006B197C">
        <w:rPr>
          <w:rFonts w:asciiTheme="minorHAnsi" w:hAnsiTheme="minorHAnsi" w:cstheme="minorHAnsi"/>
          <w:lang w:val="it-IT"/>
        </w:rPr>
        <w:instrText xml:space="preserve"> SEQ Tabella \* ARABIC </w:instrText>
      </w:r>
      <w:r w:rsidRPr="006B197C">
        <w:rPr>
          <w:rFonts w:asciiTheme="minorHAnsi" w:hAnsiTheme="minorHAnsi" w:cstheme="minorHAnsi"/>
        </w:rPr>
        <w:fldChar w:fldCharType="separate"/>
      </w:r>
      <w:r w:rsidR="00A1679C">
        <w:rPr>
          <w:rFonts w:asciiTheme="minorHAnsi" w:hAnsiTheme="minorHAnsi" w:cstheme="minorHAnsi"/>
          <w:noProof/>
          <w:lang w:val="it-IT"/>
        </w:rPr>
        <w:t>15</w:t>
      </w:r>
      <w:r w:rsidRPr="006B197C">
        <w:rPr>
          <w:rFonts w:asciiTheme="minorHAnsi" w:hAnsiTheme="minorHAnsi" w:cstheme="minorHAnsi"/>
        </w:rPr>
        <w:fldChar w:fldCharType="end"/>
      </w:r>
      <w:r w:rsidR="00B01777" w:rsidRPr="006B197C">
        <w:rPr>
          <w:rFonts w:asciiTheme="minorHAnsi" w:hAnsiTheme="minorHAnsi" w:cstheme="minorHAnsi"/>
          <w:lang w:val="it-IT"/>
        </w:rPr>
        <w:t xml:space="preserve"> - Proporzione di soggetti con livelli sUA &lt; 5 mg/dl ai Mesi 4, 5 e 6 (non-responder imputation –</w:t>
      </w:r>
      <w:r w:rsidR="00B01777" w:rsidRPr="00A813E3">
        <w:rPr>
          <w:rFonts w:asciiTheme="minorHAnsi" w:hAnsiTheme="minorHAnsi" w:cstheme="minorHAnsi"/>
          <w:lang w:val="it-IT"/>
        </w:rPr>
        <w:t xml:space="preserve"> popolazione ITT)</w:t>
      </w:r>
      <w:r w:rsidR="00B01777">
        <w:rPr>
          <w:rFonts w:asciiTheme="minorHAnsi" w:hAnsiTheme="minorHAnsi" w:cstheme="minorHAnsi"/>
          <w:lang w:val="it-IT"/>
        </w:rPr>
        <w:t xml:space="preserve"> (</w:t>
      </w:r>
      <w:r w:rsidR="00B01777" w:rsidRPr="00465C98">
        <w:rPr>
          <w:rFonts w:asciiTheme="minorHAnsi" w:hAnsiTheme="minorHAnsi" w:cstheme="minorHAnsi"/>
          <w:color w:val="0000FF"/>
          <w:lang w:val="it-IT"/>
        </w:rPr>
        <w:t xml:space="preserve">adattato da </w:t>
      </w:r>
      <w:r w:rsidR="008E6BDD">
        <w:rPr>
          <w:rFonts w:asciiTheme="minorHAnsi" w:hAnsiTheme="minorHAnsi" w:cstheme="minorHAnsi"/>
          <w:color w:val="0000FF"/>
          <w:lang w:val="it-IT"/>
        </w:rPr>
        <w:t>CSR 304, 2014</w:t>
      </w:r>
      <w:r w:rsidR="00B01777" w:rsidRPr="00A94C35">
        <w:rPr>
          <w:rFonts w:asciiTheme="minorHAnsi" w:hAnsiTheme="minorHAnsi" w:cstheme="minorHAnsi"/>
          <w:color w:val="0000FF"/>
          <w:lang w:val="it-IT"/>
        </w:rPr>
        <w:t>)</w:t>
      </w:r>
      <w:bookmarkEnd w:id="131"/>
    </w:p>
    <w:tbl>
      <w:tblPr>
        <w:tblW w:w="496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20"/>
        <w:gridCol w:w="3313"/>
        <w:gridCol w:w="2223"/>
      </w:tblGrid>
      <w:tr w:rsidR="00B01777" w:rsidRPr="00401FE7" w14:paraId="12EA5905" w14:textId="77777777" w:rsidTr="0079658A">
        <w:trPr>
          <w:tblHeader/>
        </w:trPr>
        <w:tc>
          <w:tcPr>
            <w:tcW w:w="3510" w:type="dxa"/>
            <w:shd w:val="clear" w:color="auto" w:fill="D9D9D9"/>
          </w:tcPr>
          <w:p w14:paraId="701AFD11" w14:textId="77777777" w:rsidR="00B01777" w:rsidRPr="00401FE7" w:rsidRDefault="00B01777" w:rsidP="0079658A">
            <w:pPr>
              <w:pStyle w:val="Tabletext"/>
              <w:widowControl w:val="0"/>
              <w:rPr>
                <w:rFonts w:asciiTheme="minorHAnsi" w:hAnsiTheme="minorHAnsi" w:cstheme="minorHAnsi"/>
                <w:b/>
                <w:i/>
                <w:lang w:val="it-IT"/>
              </w:rPr>
            </w:pPr>
          </w:p>
        </w:tc>
        <w:tc>
          <w:tcPr>
            <w:tcW w:w="3402" w:type="dxa"/>
            <w:shd w:val="clear" w:color="auto" w:fill="D9D9D9"/>
          </w:tcPr>
          <w:p w14:paraId="566B5622" w14:textId="77777777" w:rsidR="00B01777" w:rsidRPr="00401FE7" w:rsidRDefault="00B01777" w:rsidP="0079658A">
            <w:pPr>
              <w:pStyle w:val="Tabletext"/>
              <w:jc w:val="center"/>
              <w:rPr>
                <w:rFonts w:asciiTheme="minorHAnsi" w:hAnsiTheme="minorHAnsi" w:cstheme="minorHAnsi"/>
                <w:b/>
              </w:rPr>
            </w:pPr>
            <w:r w:rsidRPr="00401FE7">
              <w:rPr>
                <w:rFonts w:asciiTheme="minorHAnsi" w:hAnsiTheme="minorHAnsi" w:cstheme="minorHAnsi"/>
                <w:b/>
              </w:rPr>
              <w:t>Lesinurad 200 mg + febuxostat</w:t>
            </w:r>
          </w:p>
          <w:p w14:paraId="6ED431D6" w14:textId="77777777" w:rsidR="00B01777" w:rsidRPr="00401FE7" w:rsidRDefault="00B01777" w:rsidP="0079658A">
            <w:pPr>
              <w:pStyle w:val="Tabletext"/>
              <w:widowControl w:val="0"/>
              <w:jc w:val="center"/>
              <w:rPr>
                <w:rFonts w:asciiTheme="minorHAnsi" w:hAnsiTheme="minorHAnsi" w:cstheme="minorHAnsi"/>
                <w:b/>
              </w:rPr>
            </w:pPr>
            <w:r w:rsidRPr="00401FE7">
              <w:rPr>
                <w:rFonts w:asciiTheme="minorHAnsi" w:hAnsiTheme="minorHAnsi" w:cstheme="minorHAnsi"/>
                <w:b/>
              </w:rPr>
              <w:t>N=106</w:t>
            </w:r>
          </w:p>
        </w:tc>
        <w:tc>
          <w:tcPr>
            <w:tcW w:w="2268" w:type="dxa"/>
            <w:shd w:val="clear" w:color="auto" w:fill="D9D9D9"/>
          </w:tcPr>
          <w:p w14:paraId="5D88D6A0" w14:textId="77777777" w:rsidR="00B01777" w:rsidRPr="00401FE7" w:rsidRDefault="00B01777" w:rsidP="0079658A">
            <w:pPr>
              <w:pStyle w:val="Tabletext"/>
              <w:jc w:val="center"/>
              <w:rPr>
                <w:rFonts w:asciiTheme="minorHAnsi" w:hAnsiTheme="minorHAnsi" w:cstheme="minorHAnsi"/>
                <w:b/>
              </w:rPr>
            </w:pPr>
            <w:r w:rsidRPr="00401FE7">
              <w:rPr>
                <w:rFonts w:asciiTheme="minorHAnsi" w:hAnsiTheme="minorHAnsi" w:cstheme="minorHAnsi"/>
                <w:b/>
              </w:rPr>
              <w:t>Placebo + febuxostat</w:t>
            </w:r>
          </w:p>
          <w:p w14:paraId="659EA9F0" w14:textId="77777777" w:rsidR="00B01777" w:rsidRPr="00401FE7" w:rsidRDefault="00B01777" w:rsidP="0079658A">
            <w:pPr>
              <w:pStyle w:val="Tabletext"/>
              <w:widowControl w:val="0"/>
              <w:jc w:val="center"/>
              <w:rPr>
                <w:rFonts w:asciiTheme="minorHAnsi" w:hAnsiTheme="minorHAnsi" w:cstheme="minorHAnsi"/>
                <w:b/>
              </w:rPr>
            </w:pPr>
            <w:r w:rsidRPr="00401FE7">
              <w:rPr>
                <w:rFonts w:asciiTheme="minorHAnsi" w:hAnsiTheme="minorHAnsi" w:cstheme="minorHAnsi"/>
                <w:b/>
              </w:rPr>
              <w:t>N=109</w:t>
            </w:r>
          </w:p>
        </w:tc>
      </w:tr>
      <w:tr w:rsidR="00B01777" w:rsidRPr="00401FE7" w14:paraId="51101CBC" w14:textId="77777777" w:rsidTr="0079658A">
        <w:tc>
          <w:tcPr>
            <w:tcW w:w="3510" w:type="dxa"/>
          </w:tcPr>
          <w:p w14:paraId="4365DFD2" w14:textId="77777777" w:rsidR="00B01777" w:rsidRPr="00401FE7" w:rsidRDefault="00B01777" w:rsidP="0079658A">
            <w:pPr>
              <w:pStyle w:val="Tabletext"/>
              <w:widowControl w:val="0"/>
              <w:tabs>
                <w:tab w:val="left" w:pos="1875"/>
              </w:tabs>
              <w:rPr>
                <w:rFonts w:asciiTheme="minorHAnsi" w:hAnsiTheme="minorHAnsi" w:cstheme="minorHAnsi"/>
              </w:rPr>
            </w:pPr>
            <w:r w:rsidRPr="00401FE7">
              <w:rPr>
                <w:rFonts w:asciiTheme="minorHAnsi" w:hAnsiTheme="minorHAnsi" w:cstheme="minorHAnsi"/>
              </w:rPr>
              <w:t>Proportion of sUA responders</w:t>
            </w:r>
            <w:r w:rsidRPr="00401FE7">
              <w:rPr>
                <w:rFonts w:asciiTheme="minorHAnsi" w:hAnsiTheme="minorHAnsi" w:cstheme="minorHAnsi"/>
                <w:vertAlign w:val="superscript"/>
              </w:rPr>
              <w:t>†</w:t>
            </w:r>
            <w:r w:rsidRPr="00401FE7">
              <w:rPr>
                <w:rFonts w:asciiTheme="minorHAnsi" w:hAnsiTheme="minorHAnsi" w:cstheme="minorHAnsi"/>
              </w:rPr>
              <w:t xml:space="preserve"> at Months 4, 5, 6,</w:t>
            </w:r>
            <w:r w:rsidRPr="00401FE7">
              <w:rPr>
                <w:rFonts w:asciiTheme="minorHAnsi" w:hAnsiTheme="minorHAnsi" w:cstheme="minorHAnsi"/>
                <w:vertAlign w:val="superscript"/>
              </w:rPr>
              <w:t xml:space="preserve"> </w:t>
            </w:r>
            <w:r w:rsidRPr="00401FE7">
              <w:rPr>
                <w:rFonts w:asciiTheme="minorHAnsi" w:hAnsiTheme="minorHAnsi" w:cstheme="minorHAnsi"/>
              </w:rPr>
              <w:t>n (%)</w:t>
            </w:r>
          </w:p>
        </w:tc>
        <w:tc>
          <w:tcPr>
            <w:tcW w:w="3402" w:type="dxa"/>
          </w:tcPr>
          <w:p w14:paraId="36484E4F" w14:textId="77777777" w:rsidR="00B01777" w:rsidRPr="00401FE7" w:rsidRDefault="00B01777" w:rsidP="0079658A">
            <w:pPr>
              <w:pStyle w:val="Tabletext"/>
              <w:widowControl w:val="0"/>
              <w:jc w:val="center"/>
              <w:rPr>
                <w:rFonts w:asciiTheme="minorHAnsi" w:hAnsiTheme="minorHAnsi" w:cstheme="minorHAnsi"/>
              </w:rPr>
            </w:pPr>
            <w:r w:rsidRPr="00401FE7">
              <w:rPr>
                <w:rFonts w:asciiTheme="minorHAnsi" w:hAnsiTheme="minorHAnsi" w:cstheme="minorHAnsi"/>
              </w:rPr>
              <w:t>55 (51.9)</w:t>
            </w:r>
          </w:p>
        </w:tc>
        <w:tc>
          <w:tcPr>
            <w:tcW w:w="2268" w:type="dxa"/>
          </w:tcPr>
          <w:p w14:paraId="0EF1106F" w14:textId="77777777" w:rsidR="00B01777" w:rsidRPr="00401FE7" w:rsidRDefault="00B01777" w:rsidP="0079658A">
            <w:pPr>
              <w:pStyle w:val="Tabletext"/>
              <w:widowControl w:val="0"/>
              <w:jc w:val="center"/>
              <w:rPr>
                <w:rFonts w:asciiTheme="minorHAnsi" w:hAnsiTheme="minorHAnsi" w:cstheme="minorHAnsi"/>
              </w:rPr>
            </w:pPr>
            <w:r w:rsidRPr="00401FE7">
              <w:rPr>
                <w:rFonts w:asciiTheme="minorHAnsi" w:hAnsiTheme="minorHAnsi" w:cstheme="minorHAnsi"/>
              </w:rPr>
              <w:t>36 (33.0)</w:t>
            </w:r>
          </w:p>
        </w:tc>
      </w:tr>
      <w:tr w:rsidR="00B01777" w:rsidRPr="00401FE7" w14:paraId="03D2DA7E" w14:textId="77777777" w:rsidTr="0079658A">
        <w:tc>
          <w:tcPr>
            <w:tcW w:w="3510" w:type="dxa"/>
          </w:tcPr>
          <w:p w14:paraId="722B2ACA" w14:textId="77777777" w:rsidR="00B01777" w:rsidRPr="00401FE7" w:rsidRDefault="00B01777" w:rsidP="0079658A">
            <w:pPr>
              <w:pStyle w:val="Tabletext"/>
              <w:widowControl w:val="0"/>
              <w:rPr>
                <w:rFonts w:asciiTheme="minorHAnsi" w:hAnsiTheme="minorHAnsi" w:cstheme="minorHAnsi"/>
              </w:rPr>
            </w:pPr>
            <w:r w:rsidRPr="00401FE7">
              <w:rPr>
                <w:rFonts w:asciiTheme="minorHAnsi" w:hAnsiTheme="minorHAnsi" w:cstheme="minorHAnsi"/>
              </w:rPr>
              <w:t xml:space="preserve">Difference in proportions </w:t>
            </w:r>
            <w:r w:rsidRPr="00401FE7">
              <w:rPr>
                <w:rFonts w:asciiTheme="minorHAnsi" w:hAnsiTheme="minorHAnsi" w:cstheme="minorHAnsi"/>
              </w:rPr>
              <w:br/>
              <w:t>(95% CI), lesinurad versus placebo</w:t>
            </w:r>
          </w:p>
        </w:tc>
        <w:tc>
          <w:tcPr>
            <w:tcW w:w="3402" w:type="dxa"/>
          </w:tcPr>
          <w:p w14:paraId="7D15870F" w14:textId="77777777" w:rsidR="00B01777" w:rsidRPr="00401FE7" w:rsidRDefault="00B01777" w:rsidP="0079658A">
            <w:pPr>
              <w:pStyle w:val="Tabletext"/>
              <w:widowControl w:val="0"/>
              <w:jc w:val="center"/>
              <w:rPr>
                <w:rFonts w:asciiTheme="minorHAnsi" w:hAnsiTheme="minorHAnsi" w:cstheme="minorHAnsi"/>
              </w:rPr>
            </w:pPr>
            <w:r w:rsidRPr="00401FE7">
              <w:rPr>
                <w:rFonts w:asciiTheme="minorHAnsi" w:hAnsiTheme="minorHAnsi" w:cstheme="minorHAnsi"/>
              </w:rPr>
              <w:t>0.19 (0.06; 0.32)</w:t>
            </w:r>
          </w:p>
        </w:tc>
        <w:tc>
          <w:tcPr>
            <w:tcW w:w="2268" w:type="dxa"/>
          </w:tcPr>
          <w:p w14:paraId="3DEB3812" w14:textId="77777777" w:rsidR="00B01777" w:rsidRPr="00401FE7" w:rsidRDefault="00B01777" w:rsidP="0079658A">
            <w:pPr>
              <w:pStyle w:val="Tabletext"/>
              <w:widowControl w:val="0"/>
              <w:jc w:val="center"/>
              <w:rPr>
                <w:rFonts w:asciiTheme="minorHAnsi" w:hAnsiTheme="minorHAnsi" w:cstheme="minorHAnsi"/>
              </w:rPr>
            </w:pPr>
          </w:p>
        </w:tc>
      </w:tr>
      <w:tr w:rsidR="00B01777" w:rsidRPr="00401FE7" w14:paraId="0314BC30" w14:textId="77777777" w:rsidTr="0079658A">
        <w:tc>
          <w:tcPr>
            <w:tcW w:w="3510" w:type="dxa"/>
            <w:tcBorders>
              <w:top w:val="single" w:sz="4" w:space="0" w:color="auto"/>
            </w:tcBorders>
          </w:tcPr>
          <w:p w14:paraId="4B14BFFB" w14:textId="77777777" w:rsidR="00B01777" w:rsidRPr="00401FE7" w:rsidRDefault="00B01777" w:rsidP="0079658A">
            <w:pPr>
              <w:pStyle w:val="Tabletext"/>
              <w:widowControl w:val="0"/>
              <w:rPr>
                <w:rFonts w:asciiTheme="minorHAnsi" w:hAnsiTheme="minorHAnsi" w:cstheme="minorHAnsi"/>
              </w:rPr>
            </w:pPr>
            <w:r w:rsidRPr="00401FE7">
              <w:rPr>
                <w:rFonts w:asciiTheme="minorHAnsi" w:hAnsiTheme="minorHAnsi" w:cstheme="minorHAnsi"/>
              </w:rPr>
              <w:t>p-value</w:t>
            </w:r>
          </w:p>
        </w:tc>
        <w:tc>
          <w:tcPr>
            <w:tcW w:w="3402" w:type="dxa"/>
            <w:tcBorders>
              <w:top w:val="single" w:sz="4" w:space="0" w:color="auto"/>
            </w:tcBorders>
          </w:tcPr>
          <w:p w14:paraId="7615E077" w14:textId="77777777" w:rsidR="00B01777" w:rsidRPr="00401FE7" w:rsidRDefault="00B01777" w:rsidP="0079658A">
            <w:pPr>
              <w:pStyle w:val="Tabletext"/>
              <w:widowControl w:val="0"/>
              <w:jc w:val="center"/>
              <w:rPr>
                <w:rFonts w:asciiTheme="minorHAnsi" w:hAnsiTheme="minorHAnsi" w:cstheme="minorHAnsi"/>
              </w:rPr>
            </w:pPr>
            <w:r w:rsidRPr="00401FE7">
              <w:rPr>
                <w:rFonts w:asciiTheme="minorHAnsi" w:hAnsiTheme="minorHAnsi" w:cstheme="minorHAnsi"/>
              </w:rPr>
              <w:t>0.0034</w:t>
            </w:r>
          </w:p>
        </w:tc>
        <w:tc>
          <w:tcPr>
            <w:tcW w:w="2268" w:type="dxa"/>
            <w:tcBorders>
              <w:top w:val="single" w:sz="4" w:space="0" w:color="auto"/>
            </w:tcBorders>
          </w:tcPr>
          <w:p w14:paraId="40511EBB" w14:textId="77777777" w:rsidR="00B01777" w:rsidRPr="00401FE7" w:rsidRDefault="00B01777" w:rsidP="0079658A">
            <w:pPr>
              <w:pStyle w:val="Tabletext"/>
              <w:widowControl w:val="0"/>
              <w:jc w:val="center"/>
              <w:rPr>
                <w:rFonts w:asciiTheme="minorHAnsi" w:hAnsiTheme="minorHAnsi" w:cstheme="minorHAnsi"/>
              </w:rPr>
            </w:pPr>
          </w:p>
        </w:tc>
      </w:tr>
    </w:tbl>
    <w:p w14:paraId="4D841F28" w14:textId="77777777" w:rsidR="00B01777" w:rsidRPr="00E00CFE" w:rsidRDefault="00B01777" w:rsidP="00B01777">
      <w:pPr>
        <w:rPr>
          <w:lang w:val="en-US"/>
        </w:rPr>
      </w:pPr>
      <w:r w:rsidRPr="005615C3">
        <w:rPr>
          <w:rStyle w:val="TablefootnoteChar"/>
          <w:rFonts w:eastAsiaTheme="minorEastAsia"/>
        </w:rPr>
        <w:t>†Defined</w:t>
      </w:r>
      <w:r w:rsidRPr="00E9530C">
        <w:rPr>
          <w:rStyle w:val="TablefootnoteChar"/>
          <w:rFonts w:eastAsiaTheme="minorEastAsia"/>
        </w:rPr>
        <w:t xml:space="preserve"> as subjects achieving sUA &lt;5.0 mg/dL</w:t>
      </w:r>
      <w:r>
        <w:rPr>
          <w:rStyle w:val="TablefootnoteChar"/>
          <w:rFonts w:eastAsiaTheme="minorEastAsia"/>
        </w:rPr>
        <w:t>.</w:t>
      </w:r>
      <w:r>
        <w:rPr>
          <w:rStyle w:val="TablefootnoteChar"/>
          <w:rFonts w:eastAsiaTheme="minorEastAsia"/>
        </w:rPr>
        <w:br/>
        <w:t xml:space="preserve">Abbreviations: </w:t>
      </w:r>
      <w:r w:rsidRPr="00E9530C">
        <w:rPr>
          <w:rStyle w:val="TablefootnoteChar"/>
          <w:rFonts w:eastAsiaTheme="minorEastAsia"/>
        </w:rPr>
        <w:t>CI, confidence interval; ITT, intent-to-treat; sUA, serum uric acid.</w:t>
      </w:r>
    </w:p>
    <w:p w14:paraId="60AC1155" w14:textId="77777777" w:rsidR="00B01777" w:rsidRDefault="00B01777" w:rsidP="001227E3">
      <w:pPr>
        <w:pStyle w:val="Paragrafoelenco3"/>
        <w:spacing w:line="360" w:lineRule="auto"/>
        <w:ind w:left="0"/>
        <w:jc w:val="both"/>
        <w:rPr>
          <w:rFonts w:asciiTheme="minorHAnsi" w:hAnsiTheme="minorHAnsi" w:cs="Arial"/>
          <w:sz w:val="20"/>
          <w:szCs w:val="20"/>
          <w:lang w:val="en-US"/>
        </w:rPr>
      </w:pPr>
    </w:p>
    <w:p w14:paraId="0B977583" w14:textId="1B7DF327" w:rsidR="001227E3" w:rsidRDefault="000E3022" w:rsidP="000210A2">
      <w:pPr>
        <w:pStyle w:val="Paragrafoelenco3"/>
        <w:spacing w:line="360" w:lineRule="auto"/>
        <w:ind w:left="0"/>
        <w:rPr>
          <w:rStyle w:val="Hyperlink"/>
          <w:rFonts w:asciiTheme="minorHAnsi" w:hAnsiTheme="minorHAnsi" w:cs="Arial"/>
          <w:color w:val="auto"/>
          <w:sz w:val="20"/>
          <w:szCs w:val="20"/>
        </w:rPr>
      </w:pPr>
      <w:r w:rsidRPr="000E3022">
        <w:rPr>
          <w:rFonts w:asciiTheme="minorHAnsi" w:hAnsiTheme="minorHAnsi" w:cs="Arial"/>
          <w:sz w:val="20"/>
          <w:szCs w:val="20"/>
        </w:rPr>
        <w:t>L'effetto di riduzione dell’uricemia è stato massimo dopo il primo mese ( -</w:t>
      </w:r>
      <w:r>
        <w:rPr>
          <w:rFonts w:asciiTheme="minorHAnsi" w:hAnsiTheme="minorHAnsi" w:cs="Arial"/>
          <w:sz w:val="20"/>
          <w:szCs w:val="20"/>
        </w:rPr>
        <w:t>19.05</w:t>
      </w:r>
      <w:r w:rsidRPr="000E3022">
        <w:rPr>
          <w:rFonts w:asciiTheme="minorHAnsi" w:hAnsiTheme="minorHAnsi" w:cs="Arial"/>
          <w:sz w:val="20"/>
          <w:szCs w:val="20"/>
        </w:rPr>
        <w:t xml:space="preserve">% vs </w:t>
      </w:r>
      <w:r>
        <w:rPr>
          <w:rFonts w:asciiTheme="minorHAnsi" w:hAnsiTheme="minorHAnsi" w:cs="Arial"/>
          <w:sz w:val="20"/>
          <w:szCs w:val="20"/>
        </w:rPr>
        <w:t>+ 7.04</w:t>
      </w:r>
      <w:r w:rsidRPr="000E3022">
        <w:rPr>
          <w:rFonts w:asciiTheme="minorHAnsi" w:hAnsiTheme="minorHAnsi" w:cs="Arial"/>
          <w:sz w:val="20"/>
          <w:szCs w:val="20"/>
        </w:rPr>
        <w:t xml:space="preserve"> %, p &lt; 0,0001) e  si è mantenuto durante tutto il periodo di studio di 12 mesi </w:t>
      </w:r>
      <w:r>
        <w:rPr>
          <w:rFonts w:asciiTheme="minorHAnsi" w:hAnsiTheme="minorHAnsi" w:cs="Arial"/>
          <w:sz w:val="20"/>
          <w:szCs w:val="20"/>
        </w:rPr>
        <w:t xml:space="preserve">(p &lt; 0,0003) </w:t>
      </w:r>
      <w:r w:rsidRPr="000E3022">
        <w:rPr>
          <w:rFonts w:asciiTheme="minorHAnsi" w:hAnsiTheme="minorHAnsi" w:cs="Arial"/>
          <w:sz w:val="20"/>
          <w:szCs w:val="20"/>
        </w:rPr>
        <w:t>(</w:t>
      </w:r>
      <w:r w:rsidRPr="002F68B0">
        <w:rPr>
          <w:rFonts w:asciiTheme="minorHAnsi" w:hAnsiTheme="minorHAnsi" w:cs="Arial"/>
          <w:b/>
          <w:sz w:val="20"/>
          <w:szCs w:val="20"/>
        </w:rPr>
        <w:t>effetto rapido e sostenuto nel tempo</w:t>
      </w:r>
      <w:r w:rsidRPr="000E3022">
        <w:rPr>
          <w:rFonts w:asciiTheme="minorHAnsi" w:hAnsiTheme="minorHAnsi" w:cs="Arial"/>
          <w:sz w:val="20"/>
          <w:szCs w:val="20"/>
        </w:rPr>
        <w:t xml:space="preserve">). </w:t>
      </w:r>
      <w:r w:rsidR="00C520DD">
        <w:rPr>
          <w:rFonts w:asciiTheme="minorHAnsi" w:hAnsiTheme="minorHAnsi" w:cs="Arial"/>
          <w:sz w:val="20"/>
          <w:szCs w:val="20"/>
        </w:rPr>
        <w:t>L</w:t>
      </w:r>
      <w:r w:rsidR="001227E3" w:rsidRPr="001227E3">
        <w:rPr>
          <w:rFonts w:asciiTheme="minorHAnsi" w:hAnsiTheme="minorHAnsi" w:cs="Arial"/>
          <w:sz w:val="20"/>
          <w:szCs w:val="20"/>
        </w:rPr>
        <w:t xml:space="preserve">e variazioni dei livelli medi di acido urico </w:t>
      </w:r>
      <w:r w:rsidR="00C520DD">
        <w:rPr>
          <w:rFonts w:asciiTheme="minorHAnsi" w:hAnsiTheme="minorHAnsi" w:cs="Arial"/>
          <w:sz w:val="20"/>
          <w:szCs w:val="20"/>
        </w:rPr>
        <w:t xml:space="preserve">rispetto alla baseline </w:t>
      </w:r>
      <w:r w:rsidR="001227E3" w:rsidRPr="001227E3">
        <w:rPr>
          <w:rFonts w:asciiTheme="minorHAnsi" w:hAnsiTheme="minorHAnsi" w:cs="Arial"/>
          <w:sz w:val="20"/>
          <w:szCs w:val="20"/>
        </w:rPr>
        <w:t xml:space="preserve">ottenute nel gruppo lesinurad 200 mg in associazione con </w:t>
      </w:r>
      <w:r w:rsidR="001227E3">
        <w:rPr>
          <w:rFonts w:asciiTheme="minorHAnsi" w:hAnsiTheme="minorHAnsi" w:cs="Arial"/>
          <w:sz w:val="20"/>
          <w:szCs w:val="20"/>
        </w:rPr>
        <w:t>febuxostat</w:t>
      </w:r>
      <w:r w:rsidR="001227E3" w:rsidRPr="001227E3">
        <w:rPr>
          <w:rFonts w:asciiTheme="minorHAnsi" w:hAnsiTheme="minorHAnsi" w:cs="Arial"/>
          <w:sz w:val="20"/>
          <w:szCs w:val="20"/>
        </w:rPr>
        <w:t xml:space="preserve"> erano significativamente superiori a quelle ottenute nel gruppo </w:t>
      </w:r>
      <w:r w:rsidR="001227E3">
        <w:rPr>
          <w:rFonts w:asciiTheme="minorHAnsi" w:hAnsiTheme="minorHAnsi" w:cs="Arial"/>
          <w:sz w:val="20"/>
          <w:szCs w:val="20"/>
        </w:rPr>
        <w:t>febuxostat</w:t>
      </w:r>
      <w:r w:rsidR="001227E3" w:rsidRPr="001227E3">
        <w:rPr>
          <w:rFonts w:asciiTheme="minorHAnsi" w:hAnsiTheme="minorHAnsi" w:cs="Arial"/>
          <w:sz w:val="20"/>
          <w:szCs w:val="20"/>
        </w:rPr>
        <w:t>, in tutti i punti temporali dell’analisi</w:t>
      </w:r>
      <w:r w:rsidR="002B70CF">
        <w:rPr>
          <w:rFonts w:asciiTheme="minorHAnsi" w:hAnsiTheme="minorHAnsi" w:cs="Arial"/>
          <w:sz w:val="20"/>
          <w:szCs w:val="20"/>
        </w:rPr>
        <w:t>.</w:t>
      </w:r>
      <w:r w:rsidR="001227E3">
        <w:rPr>
          <w:rFonts w:asciiTheme="minorHAnsi" w:hAnsiTheme="minorHAnsi" w:cs="Arial"/>
          <w:sz w:val="20"/>
          <w:szCs w:val="20"/>
        </w:rPr>
        <w:t xml:space="preserve"> </w:t>
      </w:r>
      <w:r w:rsidR="008D7F6A" w:rsidRPr="008D7F6A">
        <w:rPr>
          <w:rFonts w:asciiTheme="minorHAnsi" w:hAnsiTheme="minorHAnsi" w:cs="Arial"/>
          <w:sz w:val="20"/>
          <w:szCs w:val="20"/>
        </w:rPr>
        <w:t xml:space="preserve">Durante i 12 mesi di trattamento, lesinurad 200 mg + </w:t>
      </w:r>
      <w:r w:rsidR="008D7F6A" w:rsidRPr="00BA7CA3">
        <w:rPr>
          <w:rFonts w:asciiTheme="minorHAnsi" w:hAnsiTheme="minorHAnsi" w:cs="Arial"/>
          <w:sz w:val="20"/>
          <w:szCs w:val="20"/>
        </w:rPr>
        <w:t>febuxosta</w:t>
      </w:r>
      <w:r w:rsidR="008D7F6A">
        <w:rPr>
          <w:rFonts w:asciiTheme="minorHAnsi" w:hAnsiTheme="minorHAnsi" w:cs="Arial"/>
          <w:sz w:val="20"/>
          <w:szCs w:val="20"/>
        </w:rPr>
        <w:t xml:space="preserve">t </w:t>
      </w:r>
      <w:r w:rsidR="008D7F6A" w:rsidRPr="008D7F6A">
        <w:rPr>
          <w:rFonts w:asciiTheme="minorHAnsi" w:hAnsiTheme="minorHAnsi" w:cs="Arial"/>
          <w:sz w:val="20"/>
          <w:szCs w:val="20"/>
        </w:rPr>
        <w:t xml:space="preserve"> ha determinato una riduzione dei livelli di acido urico rispetto al basale da un minimo di </w:t>
      </w:r>
      <w:r w:rsidR="008D7F6A" w:rsidRPr="00CE60E6">
        <w:rPr>
          <w:rFonts w:asciiTheme="minorHAnsi" w:hAnsiTheme="minorHAnsi" w:cs="Arial"/>
          <w:b/>
          <w:sz w:val="20"/>
          <w:szCs w:val="20"/>
        </w:rPr>
        <w:t>-12,8%</w:t>
      </w:r>
      <w:r w:rsidR="008D7F6A" w:rsidRPr="008D7F6A">
        <w:rPr>
          <w:rFonts w:asciiTheme="minorHAnsi" w:hAnsiTheme="minorHAnsi" w:cs="Arial"/>
          <w:sz w:val="20"/>
          <w:szCs w:val="20"/>
        </w:rPr>
        <w:t xml:space="preserve"> ad un massimo di </w:t>
      </w:r>
      <w:r w:rsidR="008D7F6A" w:rsidRPr="00CE60E6">
        <w:rPr>
          <w:rFonts w:asciiTheme="minorHAnsi" w:hAnsiTheme="minorHAnsi" w:cs="Arial"/>
          <w:b/>
          <w:sz w:val="20"/>
          <w:szCs w:val="20"/>
        </w:rPr>
        <w:t>-24,7%</w:t>
      </w:r>
      <w:r w:rsidR="008D7F6A" w:rsidRPr="008D7F6A">
        <w:rPr>
          <w:rFonts w:asciiTheme="minorHAnsi" w:hAnsiTheme="minorHAnsi" w:cs="Arial"/>
          <w:sz w:val="20"/>
          <w:szCs w:val="20"/>
        </w:rPr>
        <w:t xml:space="preserve">, rispetto alla riduzione minima osservata con </w:t>
      </w:r>
      <w:r w:rsidR="001D2C8C">
        <w:rPr>
          <w:rFonts w:asciiTheme="minorHAnsi" w:hAnsiTheme="minorHAnsi" w:cs="Arial"/>
          <w:sz w:val="20"/>
          <w:szCs w:val="20"/>
        </w:rPr>
        <w:t>febuxostat</w:t>
      </w:r>
      <w:r w:rsidR="008D7F6A" w:rsidRPr="008D7F6A">
        <w:rPr>
          <w:rFonts w:asciiTheme="minorHAnsi" w:hAnsiTheme="minorHAnsi" w:cs="Arial"/>
          <w:sz w:val="20"/>
          <w:szCs w:val="20"/>
        </w:rPr>
        <w:t xml:space="preserve"> (da un minimo di </w:t>
      </w:r>
      <w:r w:rsidR="008D7F6A" w:rsidRPr="00CE60E6">
        <w:rPr>
          <w:rFonts w:asciiTheme="minorHAnsi" w:hAnsiTheme="minorHAnsi" w:cs="Arial"/>
          <w:b/>
          <w:sz w:val="20"/>
          <w:szCs w:val="20"/>
        </w:rPr>
        <w:t>-4,24 %</w:t>
      </w:r>
      <w:r w:rsidR="008D7F6A" w:rsidRPr="008D7F6A">
        <w:rPr>
          <w:rFonts w:asciiTheme="minorHAnsi" w:hAnsiTheme="minorHAnsi" w:cs="Arial"/>
          <w:sz w:val="20"/>
          <w:szCs w:val="20"/>
        </w:rPr>
        <w:t xml:space="preserve"> a un massimo di </w:t>
      </w:r>
      <w:r w:rsidR="008D7F6A" w:rsidRPr="00CE60E6">
        <w:rPr>
          <w:rFonts w:asciiTheme="minorHAnsi" w:hAnsiTheme="minorHAnsi" w:cs="Arial"/>
          <w:b/>
          <w:sz w:val="20"/>
          <w:szCs w:val="20"/>
        </w:rPr>
        <w:t>-14,64 %</w:t>
      </w:r>
      <w:r w:rsidR="008D7F6A" w:rsidRPr="008D7F6A">
        <w:rPr>
          <w:rFonts w:asciiTheme="minorHAnsi" w:hAnsiTheme="minorHAnsi" w:cs="Arial"/>
          <w:sz w:val="20"/>
          <w:szCs w:val="20"/>
        </w:rPr>
        <w:t>)</w:t>
      </w:r>
      <w:r w:rsidR="00386BC0">
        <w:rPr>
          <w:rFonts w:asciiTheme="minorHAnsi" w:hAnsiTheme="minorHAnsi" w:cs="Arial"/>
          <w:sz w:val="20"/>
          <w:szCs w:val="20"/>
        </w:rPr>
        <w:t xml:space="preserve"> (</w:t>
      </w:r>
      <w:r w:rsidR="0087651E">
        <w:rPr>
          <w:rFonts w:asciiTheme="minorHAnsi" w:eastAsia="Times New Roman" w:hAnsiTheme="minorHAnsi" w:cstheme="minorHAnsi"/>
          <w:b/>
          <w:bCs/>
          <w:color w:val="0000FF"/>
          <w:sz w:val="20"/>
          <w:szCs w:val="20"/>
          <w:lang w:eastAsia="en-US"/>
        </w:rPr>
        <w:t>CSR 304, 2014 (111</w:t>
      </w:r>
      <w:r w:rsidR="00A25D6E">
        <w:rPr>
          <w:rFonts w:asciiTheme="minorHAnsi" w:eastAsia="Times New Roman" w:hAnsiTheme="minorHAnsi" w:cstheme="minorHAnsi"/>
          <w:b/>
          <w:bCs/>
          <w:color w:val="0000FF"/>
          <w:sz w:val="20"/>
          <w:szCs w:val="20"/>
          <w:lang w:eastAsia="en-US"/>
        </w:rPr>
        <w:t>)</w:t>
      </w:r>
      <w:r w:rsidR="00386BC0" w:rsidRPr="00DD4B57">
        <w:rPr>
          <w:rFonts w:asciiTheme="minorHAnsi" w:eastAsia="Times New Roman" w:hAnsiTheme="minorHAnsi" w:cstheme="minorHAnsi"/>
          <w:b/>
          <w:bCs/>
          <w:color w:val="0000FF"/>
          <w:sz w:val="20"/>
          <w:szCs w:val="20"/>
          <w:lang w:eastAsia="en-US"/>
        </w:rPr>
        <w:t xml:space="preserve"> – </w:t>
      </w:r>
      <w:r w:rsidR="00483BE7">
        <w:rPr>
          <w:rFonts w:asciiTheme="minorHAnsi" w:eastAsia="Times New Roman" w:hAnsiTheme="minorHAnsi" w:cstheme="minorHAnsi"/>
          <w:b/>
          <w:bCs/>
          <w:color w:val="0000FF"/>
          <w:sz w:val="20"/>
          <w:szCs w:val="20"/>
          <w:lang w:eastAsia="en-US"/>
        </w:rPr>
        <w:t>Dalbeth, 2015 (141)</w:t>
      </w:r>
      <w:r w:rsidR="00386BC0">
        <w:rPr>
          <w:rFonts w:asciiTheme="minorHAnsi" w:hAnsiTheme="minorHAnsi" w:cs="Arial"/>
          <w:sz w:val="20"/>
          <w:szCs w:val="20"/>
        </w:rPr>
        <w:t xml:space="preserve"> )</w:t>
      </w:r>
      <w:r w:rsidR="008F52FB">
        <w:rPr>
          <w:rFonts w:asciiTheme="minorHAnsi" w:hAnsiTheme="minorHAnsi" w:cs="Arial"/>
          <w:sz w:val="20"/>
          <w:szCs w:val="20"/>
        </w:rPr>
        <w:t xml:space="preserve"> </w:t>
      </w:r>
      <w:r w:rsidR="001227E3">
        <w:rPr>
          <w:rFonts w:asciiTheme="minorHAnsi" w:hAnsiTheme="minorHAnsi" w:cs="Arial"/>
          <w:sz w:val="20"/>
          <w:szCs w:val="20"/>
        </w:rPr>
        <w:t>(</w:t>
      </w:r>
      <w:hyperlink w:anchor="Figura29" w:history="1">
        <w:r w:rsidR="001227E3" w:rsidRPr="00AC4A47">
          <w:rPr>
            <w:rStyle w:val="Hyperlink"/>
            <w:rFonts w:asciiTheme="minorHAnsi" w:hAnsiTheme="minorHAnsi" w:cs="Arial"/>
            <w:sz w:val="20"/>
            <w:szCs w:val="20"/>
          </w:rPr>
          <w:t>Figura</w:t>
        </w:r>
        <w:r w:rsidR="00BA782B">
          <w:rPr>
            <w:rStyle w:val="Hyperlink"/>
            <w:rFonts w:asciiTheme="minorHAnsi" w:hAnsiTheme="minorHAnsi" w:cs="Arial"/>
            <w:sz w:val="20"/>
            <w:szCs w:val="20"/>
          </w:rPr>
          <w:t xml:space="preserve"> </w:t>
        </w:r>
        <w:r w:rsidR="001227E3" w:rsidRPr="00AC4A47">
          <w:rPr>
            <w:rStyle w:val="Hyperlink"/>
            <w:rFonts w:asciiTheme="minorHAnsi" w:hAnsiTheme="minorHAnsi" w:cs="Arial"/>
            <w:sz w:val="20"/>
            <w:szCs w:val="20"/>
          </w:rPr>
          <w:t>29</w:t>
        </w:r>
      </w:hyperlink>
      <w:r w:rsidR="001227E3" w:rsidRPr="00AF5F11">
        <w:rPr>
          <w:rStyle w:val="Hyperlink"/>
          <w:rFonts w:asciiTheme="minorHAnsi" w:hAnsiTheme="minorHAnsi" w:cs="Arial"/>
          <w:color w:val="auto"/>
          <w:sz w:val="20"/>
          <w:szCs w:val="20"/>
        </w:rPr>
        <w:t>)</w:t>
      </w:r>
      <w:r w:rsidR="00386BC0">
        <w:rPr>
          <w:rStyle w:val="Hyperlink"/>
          <w:rFonts w:asciiTheme="minorHAnsi" w:hAnsiTheme="minorHAnsi" w:cs="Arial"/>
          <w:color w:val="auto"/>
          <w:sz w:val="20"/>
          <w:szCs w:val="20"/>
        </w:rPr>
        <w:t>.</w:t>
      </w:r>
    </w:p>
    <w:p w14:paraId="7D788660" w14:textId="77777777" w:rsidR="001227E3" w:rsidRDefault="001227E3" w:rsidP="000210A2">
      <w:pPr>
        <w:pStyle w:val="Paragrafoelenco3"/>
        <w:spacing w:line="360" w:lineRule="auto"/>
        <w:ind w:left="0"/>
        <w:rPr>
          <w:rStyle w:val="Hyperlink"/>
          <w:rFonts w:asciiTheme="minorHAnsi" w:hAnsiTheme="minorHAnsi" w:cs="Arial"/>
          <w:color w:val="auto"/>
          <w:sz w:val="20"/>
          <w:szCs w:val="20"/>
        </w:rPr>
      </w:pPr>
    </w:p>
    <w:p w14:paraId="1140A751" w14:textId="77777777" w:rsidR="00401FE7" w:rsidRDefault="00401FE7" w:rsidP="000210A2">
      <w:pPr>
        <w:pStyle w:val="Paragrafoelenco3"/>
        <w:spacing w:line="360" w:lineRule="auto"/>
        <w:ind w:left="0"/>
        <w:rPr>
          <w:rStyle w:val="Hyperlink"/>
          <w:rFonts w:asciiTheme="minorHAnsi" w:hAnsiTheme="minorHAnsi" w:cs="Arial"/>
          <w:color w:val="auto"/>
          <w:sz w:val="20"/>
          <w:szCs w:val="20"/>
        </w:rPr>
      </w:pPr>
    </w:p>
    <w:p w14:paraId="785F7D2E" w14:textId="77777777" w:rsidR="00401FE7" w:rsidRDefault="00401FE7" w:rsidP="000210A2">
      <w:pPr>
        <w:pStyle w:val="Paragrafoelenco3"/>
        <w:spacing w:line="360" w:lineRule="auto"/>
        <w:ind w:left="0"/>
        <w:rPr>
          <w:rStyle w:val="Hyperlink"/>
          <w:rFonts w:asciiTheme="minorHAnsi" w:hAnsiTheme="minorHAnsi" w:cs="Arial"/>
          <w:color w:val="auto"/>
          <w:sz w:val="20"/>
          <w:szCs w:val="20"/>
        </w:rPr>
      </w:pPr>
    </w:p>
    <w:p w14:paraId="025234BE" w14:textId="77777777" w:rsidR="00401FE7" w:rsidRDefault="00401FE7" w:rsidP="000210A2">
      <w:pPr>
        <w:pStyle w:val="Paragrafoelenco3"/>
        <w:spacing w:line="360" w:lineRule="auto"/>
        <w:ind w:left="0"/>
        <w:rPr>
          <w:rStyle w:val="Hyperlink"/>
          <w:rFonts w:asciiTheme="minorHAnsi" w:hAnsiTheme="minorHAnsi" w:cs="Arial"/>
          <w:color w:val="auto"/>
          <w:sz w:val="20"/>
          <w:szCs w:val="20"/>
        </w:rPr>
      </w:pPr>
    </w:p>
    <w:p w14:paraId="26BE0736" w14:textId="77777777" w:rsidR="00401FE7" w:rsidRDefault="00401FE7" w:rsidP="000210A2">
      <w:pPr>
        <w:pStyle w:val="Paragrafoelenco3"/>
        <w:spacing w:line="360" w:lineRule="auto"/>
        <w:ind w:left="0"/>
        <w:rPr>
          <w:rStyle w:val="Hyperlink"/>
          <w:rFonts w:asciiTheme="minorHAnsi" w:hAnsiTheme="minorHAnsi" w:cs="Arial"/>
          <w:color w:val="auto"/>
          <w:sz w:val="20"/>
          <w:szCs w:val="20"/>
        </w:rPr>
      </w:pPr>
    </w:p>
    <w:p w14:paraId="63276035" w14:textId="77777777" w:rsidR="00401FE7" w:rsidRDefault="00401FE7" w:rsidP="001227E3">
      <w:pPr>
        <w:pStyle w:val="Paragrafoelenco3"/>
        <w:spacing w:line="360" w:lineRule="auto"/>
        <w:ind w:left="0"/>
        <w:jc w:val="both"/>
        <w:rPr>
          <w:rStyle w:val="Hyperlink"/>
          <w:rFonts w:asciiTheme="minorHAnsi" w:hAnsiTheme="minorHAnsi" w:cs="Arial"/>
          <w:color w:val="auto"/>
          <w:sz w:val="20"/>
          <w:szCs w:val="20"/>
        </w:rPr>
      </w:pPr>
    </w:p>
    <w:p w14:paraId="5EB8E876" w14:textId="524659A7" w:rsidR="001227E3" w:rsidRPr="001227E3" w:rsidRDefault="001227E3" w:rsidP="001227E3">
      <w:pPr>
        <w:pStyle w:val="Paragrafoelenco3"/>
        <w:spacing w:line="360" w:lineRule="auto"/>
        <w:ind w:left="0"/>
        <w:jc w:val="both"/>
        <w:rPr>
          <w:rFonts w:asciiTheme="minorHAnsi" w:eastAsia="Times New Roman" w:hAnsiTheme="minorHAnsi" w:cstheme="minorHAnsi"/>
          <w:b/>
          <w:bCs/>
          <w:color w:val="00355F"/>
          <w:sz w:val="20"/>
          <w:szCs w:val="20"/>
          <w:lang w:eastAsia="en-US"/>
        </w:rPr>
      </w:pPr>
      <w:bookmarkStart w:id="132" w:name="Figura29"/>
      <w:bookmarkStart w:id="133" w:name="_Toc470224095"/>
      <w:bookmarkStart w:id="134" w:name="_Toc473186924"/>
      <w:bookmarkEnd w:id="132"/>
      <w:r w:rsidRPr="001227E3">
        <w:rPr>
          <w:rFonts w:asciiTheme="minorHAnsi" w:eastAsia="Times New Roman" w:hAnsiTheme="minorHAnsi" w:cstheme="minorHAnsi"/>
          <w:b/>
          <w:bCs/>
          <w:color w:val="00355F"/>
          <w:sz w:val="20"/>
          <w:szCs w:val="20"/>
          <w:lang w:eastAsia="en-US"/>
        </w:rPr>
        <w:t xml:space="preserve">Figura </w:t>
      </w:r>
      <w:r w:rsidRPr="001227E3">
        <w:rPr>
          <w:rFonts w:asciiTheme="minorHAnsi" w:eastAsia="Times New Roman" w:hAnsiTheme="minorHAnsi" w:cstheme="minorHAnsi"/>
          <w:b/>
          <w:bCs/>
          <w:color w:val="00355F"/>
          <w:sz w:val="20"/>
          <w:szCs w:val="20"/>
          <w:lang w:eastAsia="en-US"/>
        </w:rPr>
        <w:fldChar w:fldCharType="begin"/>
      </w:r>
      <w:r w:rsidRPr="001227E3">
        <w:rPr>
          <w:rFonts w:asciiTheme="minorHAnsi" w:eastAsia="Times New Roman" w:hAnsiTheme="minorHAnsi" w:cstheme="minorHAnsi"/>
          <w:b/>
          <w:bCs/>
          <w:color w:val="00355F"/>
          <w:sz w:val="20"/>
          <w:szCs w:val="20"/>
          <w:lang w:eastAsia="en-US"/>
        </w:rPr>
        <w:instrText xml:space="preserve"> SEQ Figura \* ARABIC </w:instrText>
      </w:r>
      <w:r w:rsidRPr="001227E3">
        <w:rPr>
          <w:rFonts w:asciiTheme="minorHAnsi" w:eastAsia="Times New Roman" w:hAnsiTheme="minorHAnsi" w:cstheme="minorHAnsi"/>
          <w:b/>
          <w:bCs/>
          <w:color w:val="00355F"/>
          <w:sz w:val="20"/>
          <w:szCs w:val="20"/>
          <w:lang w:eastAsia="en-US"/>
        </w:rPr>
        <w:fldChar w:fldCharType="separate"/>
      </w:r>
      <w:r w:rsidR="00A1679C">
        <w:rPr>
          <w:rFonts w:asciiTheme="minorHAnsi" w:eastAsia="Times New Roman" w:hAnsiTheme="minorHAnsi" w:cstheme="minorHAnsi"/>
          <w:b/>
          <w:bCs/>
          <w:noProof/>
          <w:color w:val="00355F"/>
          <w:sz w:val="20"/>
          <w:szCs w:val="20"/>
          <w:lang w:eastAsia="en-US"/>
        </w:rPr>
        <w:t>29</w:t>
      </w:r>
      <w:r w:rsidRPr="001227E3">
        <w:rPr>
          <w:rFonts w:asciiTheme="minorHAnsi" w:eastAsia="Times New Roman" w:hAnsiTheme="minorHAnsi" w:cstheme="minorHAnsi"/>
          <w:b/>
          <w:bCs/>
          <w:color w:val="00355F"/>
          <w:sz w:val="20"/>
          <w:szCs w:val="20"/>
          <w:lang w:eastAsia="en-US"/>
        </w:rPr>
        <w:fldChar w:fldCharType="end"/>
      </w:r>
      <w:r w:rsidRPr="001227E3">
        <w:rPr>
          <w:rFonts w:asciiTheme="minorHAnsi" w:eastAsia="Times New Roman" w:hAnsiTheme="minorHAnsi" w:cstheme="minorHAnsi"/>
          <w:b/>
          <w:bCs/>
          <w:color w:val="00355F"/>
          <w:sz w:val="20"/>
          <w:szCs w:val="20"/>
          <w:lang w:eastAsia="en-US"/>
        </w:rPr>
        <w:t xml:space="preserve"> - Livelli medi di urato sierico ad ogni visita fino al mese 12 - studio CRYSTAL </w:t>
      </w:r>
      <w:r w:rsidR="002B70CF">
        <w:rPr>
          <w:rFonts w:asciiTheme="minorHAnsi" w:eastAsia="Times New Roman" w:hAnsiTheme="minorHAnsi" w:cstheme="minorHAnsi"/>
          <w:b/>
          <w:bCs/>
          <w:color w:val="00355F"/>
          <w:sz w:val="20"/>
          <w:szCs w:val="20"/>
          <w:lang w:eastAsia="en-US"/>
        </w:rPr>
        <w:t>(Observed cases, popolazione ITT)</w:t>
      </w:r>
      <w:r w:rsidR="00DD4B57" w:rsidRPr="00753598">
        <w:rPr>
          <w:rFonts w:asciiTheme="minorHAnsi" w:eastAsia="Times New Roman" w:hAnsiTheme="minorHAnsi" w:cstheme="minorHAnsi"/>
          <w:bCs/>
          <w:color w:val="00355F"/>
          <w:sz w:val="20"/>
          <w:szCs w:val="20"/>
          <w:lang w:eastAsia="en-US"/>
        </w:rPr>
        <w:t xml:space="preserve"> </w:t>
      </w:r>
      <w:r w:rsidRPr="00753598">
        <w:rPr>
          <w:rFonts w:asciiTheme="minorHAnsi" w:eastAsia="Times New Roman" w:hAnsiTheme="minorHAnsi" w:cstheme="minorHAnsi"/>
          <w:bCs/>
          <w:color w:val="00355F"/>
          <w:sz w:val="20"/>
          <w:szCs w:val="20"/>
          <w:lang w:eastAsia="en-US"/>
        </w:rPr>
        <w:t>(</w:t>
      </w:r>
      <w:r w:rsidRPr="00753598">
        <w:rPr>
          <w:rFonts w:asciiTheme="minorHAnsi" w:eastAsia="Times New Roman" w:hAnsiTheme="minorHAnsi" w:cstheme="minorHAnsi"/>
          <w:bCs/>
          <w:color w:val="0000FF"/>
          <w:sz w:val="20"/>
          <w:szCs w:val="20"/>
          <w:lang w:eastAsia="en-US"/>
        </w:rPr>
        <w:t>adattato da CSR 304, 2014 – Dalbeth, 2015</w:t>
      </w:r>
      <w:r w:rsidRPr="00753598">
        <w:rPr>
          <w:rFonts w:asciiTheme="minorHAnsi" w:eastAsia="Times New Roman" w:hAnsiTheme="minorHAnsi" w:cstheme="minorHAnsi"/>
          <w:bCs/>
          <w:color w:val="00355F"/>
          <w:sz w:val="20"/>
          <w:szCs w:val="20"/>
          <w:lang w:eastAsia="en-US"/>
        </w:rPr>
        <w:t>)</w:t>
      </w:r>
      <w:bookmarkEnd w:id="133"/>
      <w:bookmarkEnd w:id="134"/>
    </w:p>
    <w:p w14:paraId="67BC03EC" w14:textId="506E1677" w:rsidR="008D7F6A" w:rsidRDefault="001227E3" w:rsidP="008D7F6A">
      <w:pPr>
        <w:pStyle w:val="Paragrafoelenco3"/>
        <w:spacing w:line="360" w:lineRule="auto"/>
        <w:ind w:left="0"/>
        <w:jc w:val="both"/>
        <w:rPr>
          <w:rFonts w:asciiTheme="minorHAnsi" w:hAnsiTheme="minorHAnsi" w:cs="Arial"/>
          <w:sz w:val="20"/>
          <w:szCs w:val="20"/>
        </w:rPr>
      </w:pPr>
      <w:r>
        <w:rPr>
          <w:rFonts w:asciiTheme="minorHAnsi" w:hAnsiTheme="minorHAnsi" w:cs="Arial"/>
          <w:noProof/>
          <w:sz w:val="20"/>
          <w:szCs w:val="20"/>
          <w:lang w:val="en-GB" w:eastAsia="en-GB"/>
        </w:rPr>
        <w:drawing>
          <wp:inline distT="0" distB="0" distL="0" distR="0" wp14:anchorId="133FAEDA" wp14:editId="2DB33C10">
            <wp:extent cx="5683250" cy="3080211"/>
            <wp:effectExtent l="0" t="0" r="0" b="635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88089" cy="3082834"/>
                    </a:xfrm>
                    <a:prstGeom prst="rect">
                      <a:avLst/>
                    </a:prstGeom>
                    <a:noFill/>
                  </pic:spPr>
                </pic:pic>
              </a:graphicData>
            </a:graphic>
          </wp:inline>
        </w:drawing>
      </w:r>
    </w:p>
    <w:p w14:paraId="78A2CDEE" w14:textId="77777777" w:rsidR="00401FE7" w:rsidRDefault="00401FE7" w:rsidP="001D1F77">
      <w:pPr>
        <w:pStyle w:val="Paragrafoelenco3"/>
        <w:spacing w:line="360" w:lineRule="auto"/>
        <w:ind w:left="0"/>
        <w:jc w:val="both"/>
        <w:rPr>
          <w:rFonts w:asciiTheme="minorHAnsi" w:hAnsiTheme="minorHAnsi" w:cs="Arial"/>
          <w:sz w:val="20"/>
          <w:szCs w:val="20"/>
        </w:rPr>
      </w:pPr>
    </w:p>
    <w:p w14:paraId="2A97D1F9" w14:textId="7148D88A" w:rsidR="001B0092" w:rsidRDefault="00AA13D8" w:rsidP="000210A2">
      <w:pPr>
        <w:pStyle w:val="Paragrafoelenco3"/>
        <w:spacing w:line="360" w:lineRule="auto"/>
        <w:ind w:left="0"/>
        <w:rPr>
          <w:rFonts w:asciiTheme="minorHAnsi" w:hAnsiTheme="minorHAnsi" w:cs="Arial"/>
          <w:sz w:val="20"/>
          <w:szCs w:val="20"/>
        </w:rPr>
      </w:pPr>
      <w:r>
        <w:rPr>
          <w:rFonts w:asciiTheme="minorHAnsi" w:hAnsiTheme="minorHAnsi" w:cs="Arial"/>
          <w:sz w:val="20"/>
          <w:szCs w:val="20"/>
        </w:rPr>
        <w:t>E’</w:t>
      </w:r>
      <w:r w:rsidR="001B0092" w:rsidRPr="001D1F77">
        <w:rPr>
          <w:rFonts w:asciiTheme="minorHAnsi" w:hAnsiTheme="minorHAnsi" w:cs="Arial"/>
          <w:sz w:val="20"/>
          <w:szCs w:val="20"/>
        </w:rPr>
        <w:t xml:space="preserve"> stato, inoltre, identificato un vantaggio di lesinurad 200 mg nei soggetti con livelli </w:t>
      </w:r>
      <w:r w:rsidR="005848A1">
        <w:rPr>
          <w:rFonts w:asciiTheme="minorHAnsi" w:hAnsiTheme="minorHAnsi" w:cs="Arial"/>
          <w:sz w:val="20"/>
          <w:szCs w:val="20"/>
        </w:rPr>
        <w:t>SUA</w:t>
      </w:r>
      <w:r w:rsidR="001B0092" w:rsidRPr="001D1F77">
        <w:rPr>
          <w:rFonts w:asciiTheme="minorHAnsi" w:hAnsiTheme="minorHAnsi" w:cs="Arial"/>
          <w:sz w:val="20"/>
          <w:szCs w:val="20"/>
        </w:rPr>
        <w:t xml:space="preserve"> &gt;5,0 mg/dl al basale</w:t>
      </w:r>
      <w:r w:rsidR="00656D57">
        <w:rPr>
          <w:rFonts w:asciiTheme="minorHAnsi" w:hAnsiTheme="minorHAnsi" w:cs="Arial"/>
          <w:sz w:val="20"/>
          <w:szCs w:val="20"/>
        </w:rPr>
        <w:t xml:space="preserve"> </w:t>
      </w:r>
      <w:r w:rsidR="001B0092" w:rsidRPr="001D1F77">
        <w:rPr>
          <w:rFonts w:asciiTheme="minorHAnsi" w:hAnsiTheme="minorHAnsi" w:cs="Arial"/>
          <w:sz w:val="20"/>
          <w:szCs w:val="20"/>
        </w:rPr>
        <w:t xml:space="preserve">nonostante 3 settimane di monoterapia con febuxostat 80 mg/die (periodo di run in) ovvero, il sottogruppo di </w:t>
      </w:r>
      <w:r w:rsidR="001B0092" w:rsidRPr="001D1F77">
        <w:rPr>
          <w:rFonts w:asciiTheme="minorHAnsi" w:hAnsiTheme="minorHAnsi" w:cs="Arial"/>
          <w:b/>
          <w:sz w:val="20"/>
          <w:szCs w:val="20"/>
        </w:rPr>
        <w:t>pazienti non responder a febuxostat in monoterapia</w:t>
      </w:r>
      <w:r w:rsidR="009B0070">
        <w:rPr>
          <w:rFonts w:asciiTheme="minorHAnsi" w:hAnsiTheme="minorHAnsi" w:cs="Arial"/>
          <w:b/>
          <w:sz w:val="20"/>
          <w:szCs w:val="20"/>
        </w:rPr>
        <w:t xml:space="preserve"> (</w:t>
      </w:r>
      <w:r w:rsidR="00E66348">
        <w:rPr>
          <w:rFonts w:asciiTheme="minorHAnsi" w:hAnsiTheme="minorHAnsi" w:cs="Arial"/>
          <w:b/>
          <w:sz w:val="20"/>
          <w:szCs w:val="20"/>
        </w:rPr>
        <w:t xml:space="preserve">rispettivamente il </w:t>
      </w:r>
      <w:r w:rsidR="009B0070">
        <w:rPr>
          <w:rFonts w:asciiTheme="minorHAnsi" w:hAnsiTheme="minorHAnsi" w:cs="Arial"/>
          <w:b/>
          <w:sz w:val="20"/>
          <w:szCs w:val="20"/>
        </w:rPr>
        <w:t xml:space="preserve">55,7% nel braccio in trattamento con Lesinurad + febuxostat e </w:t>
      </w:r>
      <w:r w:rsidR="00E66348">
        <w:rPr>
          <w:rFonts w:asciiTheme="minorHAnsi" w:hAnsiTheme="minorHAnsi" w:cs="Arial"/>
          <w:b/>
          <w:sz w:val="20"/>
          <w:szCs w:val="20"/>
        </w:rPr>
        <w:t xml:space="preserve">il </w:t>
      </w:r>
      <w:r w:rsidR="009B0070">
        <w:rPr>
          <w:rFonts w:asciiTheme="minorHAnsi" w:hAnsiTheme="minorHAnsi" w:cs="Arial"/>
          <w:b/>
          <w:sz w:val="20"/>
          <w:szCs w:val="20"/>
        </w:rPr>
        <w:t>46,8% nel braccio in monoterapia con febuxostat)</w:t>
      </w:r>
      <w:r w:rsidR="001B0092" w:rsidRPr="001D1F77">
        <w:rPr>
          <w:rFonts w:asciiTheme="minorHAnsi" w:hAnsiTheme="minorHAnsi" w:cs="Arial"/>
          <w:b/>
          <w:sz w:val="20"/>
          <w:szCs w:val="20"/>
        </w:rPr>
        <w:t xml:space="preserve">. Per questo sottogruppo, le percentuali di pazienti con uricemia &lt;5,0 mg/dl al sesto mese </w:t>
      </w:r>
      <w:r w:rsidR="00E66348">
        <w:rPr>
          <w:rFonts w:asciiTheme="minorHAnsi" w:hAnsiTheme="minorHAnsi" w:cs="Arial"/>
          <w:b/>
          <w:sz w:val="20"/>
          <w:szCs w:val="20"/>
        </w:rPr>
        <w:t xml:space="preserve">di trattamento </w:t>
      </w:r>
      <w:r w:rsidR="001B0092" w:rsidRPr="001D1F77">
        <w:rPr>
          <w:rFonts w:asciiTheme="minorHAnsi" w:hAnsiTheme="minorHAnsi" w:cs="Arial"/>
          <w:b/>
          <w:sz w:val="20"/>
          <w:szCs w:val="20"/>
        </w:rPr>
        <w:t>erano 44,1% per il gruppo lesinurad 200 mg in associazione con febuxostat rispetto a 23,5% per il gruppo febuxostat in monoterapia (p &lt;0,0</w:t>
      </w:r>
      <w:r>
        <w:rPr>
          <w:rFonts w:asciiTheme="minorHAnsi" w:hAnsiTheme="minorHAnsi" w:cs="Arial"/>
          <w:b/>
          <w:sz w:val="20"/>
          <w:szCs w:val="20"/>
        </w:rPr>
        <w:t>2</w:t>
      </w:r>
      <w:r w:rsidR="001B0092" w:rsidRPr="001D1F77">
        <w:rPr>
          <w:rFonts w:asciiTheme="minorHAnsi" w:hAnsiTheme="minorHAnsi" w:cs="Arial"/>
          <w:b/>
          <w:sz w:val="20"/>
          <w:szCs w:val="20"/>
        </w:rPr>
        <w:t>5) (</w:t>
      </w:r>
      <w:hyperlink w:anchor="Figura39" w:history="1">
        <w:r w:rsidR="001B0092" w:rsidRPr="004A0A1A">
          <w:rPr>
            <w:rStyle w:val="Hyperlink"/>
            <w:rFonts w:asciiTheme="minorHAnsi" w:hAnsiTheme="minorHAnsi" w:cs="Arial"/>
            <w:b/>
            <w:sz w:val="20"/>
            <w:szCs w:val="20"/>
          </w:rPr>
          <w:t xml:space="preserve">Figura </w:t>
        </w:r>
        <w:r w:rsidR="005C654C">
          <w:rPr>
            <w:rStyle w:val="Hyperlink"/>
            <w:rFonts w:asciiTheme="minorHAnsi" w:hAnsiTheme="minorHAnsi" w:cs="Arial"/>
            <w:b/>
            <w:sz w:val="20"/>
            <w:szCs w:val="20"/>
          </w:rPr>
          <w:t>30</w:t>
        </w:r>
      </w:hyperlink>
      <w:r w:rsidR="001B0092" w:rsidRPr="001D1F77">
        <w:rPr>
          <w:rFonts w:asciiTheme="minorHAnsi" w:hAnsiTheme="minorHAnsi" w:cs="Arial"/>
          <w:b/>
          <w:sz w:val="20"/>
          <w:szCs w:val="20"/>
        </w:rPr>
        <w:t>). Il dato è particolarmente rilevante perché questo sottogruppo di pazienti è rappresentativo dell’indicazione approvata di lesinurad, ovvero il trattamento di pazienti con gotta che non abbiano raggiunto livelli sierici target di acido urico con una dose adeguata di un inibitore della xantina ossidasi in monoterapia.</w:t>
      </w:r>
      <w:r w:rsidR="001B0092" w:rsidRPr="001D1F77">
        <w:rPr>
          <w:rFonts w:asciiTheme="minorHAnsi" w:hAnsiTheme="minorHAnsi" w:cs="Arial"/>
          <w:sz w:val="20"/>
          <w:szCs w:val="20"/>
        </w:rPr>
        <w:t xml:space="preserve"> </w:t>
      </w:r>
    </w:p>
    <w:p w14:paraId="47D807AA" w14:textId="77777777" w:rsidR="004A0A1A" w:rsidRPr="001D1F77" w:rsidRDefault="004A0A1A" w:rsidP="000210A2">
      <w:pPr>
        <w:pStyle w:val="Paragrafoelenco3"/>
        <w:spacing w:line="360" w:lineRule="auto"/>
        <w:ind w:left="0"/>
        <w:rPr>
          <w:rFonts w:asciiTheme="minorHAnsi" w:hAnsiTheme="minorHAnsi" w:cs="Arial"/>
          <w:sz w:val="20"/>
          <w:szCs w:val="20"/>
        </w:rPr>
      </w:pPr>
    </w:p>
    <w:p w14:paraId="1D5EF5A8" w14:textId="7E6BB705" w:rsidR="001B0092" w:rsidRPr="004A0A1A" w:rsidRDefault="004A0A1A" w:rsidP="004A0A1A">
      <w:pPr>
        <w:pStyle w:val="Caption"/>
        <w:rPr>
          <w:rFonts w:asciiTheme="minorHAnsi" w:hAnsiTheme="minorHAnsi" w:cstheme="minorHAnsi"/>
          <w:lang w:val="it-IT"/>
        </w:rPr>
      </w:pPr>
      <w:bookmarkStart w:id="135" w:name="_Toc473186925"/>
      <w:r w:rsidRPr="004A0A1A">
        <w:rPr>
          <w:rFonts w:asciiTheme="minorHAnsi" w:hAnsiTheme="minorHAnsi" w:cstheme="minorHAnsi"/>
          <w:lang w:val="it-IT"/>
        </w:rPr>
        <w:t xml:space="preserve">Figura </w:t>
      </w:r>
      <w:r w:rsidRPr="004A0A1A">
        <w:rPr>
          <w:rFonts w:asciiTheme="minorHAnsi" w:hAnsiTheme="minorHAnsi" w:cstheme="minorHAnsi"/>
        </w:rPr>
        <w:fldChar w:fldCharType="begin"/>
      </w:r>
      <w:r w:rsidRPr="004A0A1A">
        <w:rPr>
          <w:rFonts w:asciiTheme="minorHAnsi" w:hAnsiTheme="minorHAnsi" w:cstheme="minorHAnsi"/>
          <w:lang w:val="it-IT"/>
        </w:rPr>
        <w:instrText xml:space="preserve"> SEQ Figura \* ARABIC </w:instrText>
      </w:r>
      <w:r w:rsidRPr="004A0A1A">
        <w:rPr>
          <w:rFonts w:asciiTheme="minorHAnsi" w:hAnsiTheme="minorHAnsi" w:cstheme="minorHAnsi"/>
        </w:rPr>
        <w:fldChar w:fldCharType="separate"/>
      </w:r>
      <w:r w:rsidR="00A1679C">
        <w:rPr>
          <w:rFonts w:asciiTheme="minorHAnsi" w:hAnsiTheme="minorHAnsi" w:cstheme="minorHAnsi"/>
          <w:noProof/>
          <w:lang w:val="it-IT"/>
        </w:rPr>
        <w:t>30</w:t>
      </w:r>
      <w:r w:rsidRPr="004A0A1A">
        <w:rPr>
          <w:rFonts w:asciiTheme="minorHAnsi" w:hAnsiTheme="minorHAnsi" w:cstheme="minorHAnsi"/>
        </w:rPr>
        <w:fldChar w:fldCharType="end"/>
      </w:r>
      <w:r w:rsidRPr="004A0A1A">
        <w:rPr>
          <w:rFonts w:asciiTheme="minorHAnsi" w:hAnsiTheme="minorHAnsi" w:cstheme="minorHAnsi"/>
          <w:lang w:val="it-IT"/>
        </w:rPr>
        <w:t xml:space="preserve"> - </w:t>
      </w:r>
      <w:r w:rsidR="001B0092" w:rsidRPr="004A0A1A">
        <w:rPr>
          <w:rFonts w:asciiTheme="minorHAnsi" w:hAnsiTheme="minorHAnsi" w:cstheme="minorHAnsi"/>
          <w:lang w:val="it-IT"/>
        </w:rPr>
        <w:t xml:space="preserve">End-point primario nei pazienti </w:t>
      </w:r>
      <w:r w:rsidR="005848A1">
        <w:rPr>
          <w:rFonts w:asciiTheme="minorHAnsi" w:hAnsiTheme="minorHAnsi" w:cstheme="minorHAnsi"/>
          <w:lang w:val="it-IT"/>
        </w:rPr>
        <w:t>SUA</w:t>
      </w:r>
      <w:r w:rsidR="001B0092" w:rsidRPr="004A0A1A">
        <w:rPr>
          <w:rFonts w:asciiTheme="minorHAnsi" w:hAnsiTheme="minorHAnsi" w:cstheme="minorHAnsi"/>
          <w:u w:val="single"/>
          <w:lang w:val="it-IT"/>
        </w:rPr>
        <w:t>&gt;</w:t>
      </w:r>
      <w:r w:rsidR="001B0092" w:rsidRPr="004A0A1A">
        <w:rPr>
          <w:rFonts w:asciiTheme="minorHAnsi" w:hAnsiTheme="minorHAnsi" w:cstheme="minorHAnsi"/>
          <w:lang w:val="it-IT"/>
        </w:rPr>
        <w:t>5 mg/dl al basale - studio CRYSTAL</w:t>
      </w:r>
      <w:r w:rsidR="00656D57">
        <w:rPr>
          <w:rFonts w:asciiTheme="minorHAnsi" w:hAnsiTheme="minorHAnsi" w:cstheme="minorHAnsi"/>
          <w:lang w:val="it-IT"/>
        </w:rPr>
        <w:t xml:space="preserve"> </w:t>
      </w:r>
      <w:r w:rsidR="00B62035">
        <w:rPr>
          <w:rFonts w:asciiTheme="minorHAnsi" w:hAnsiTheme="minorHAnsi" w:cstheme="minorHAnsi"/>
          <w:lang w:val="it-IT"/>
        </w:rPr>
        <w:t xml:space="preserve">(analisi NRI, popolazione ITT) </w:t>
      </w:r>
      <w:r w:rsidR="00AA13D8">
        <w:rPr>
          <w:rFonts w:asciiTheme="minorHAnsi" w:hAnsiTheme="minorHAnsi" w:cstheme="minorHAnsi"/>
          <w:lang w:val="it-IT"/>
        </w:rPr>
        <w:t>(</w:t>
      </w:r>
      <w:r w:rsidR="008C0BDA">
        <w:rPr>
          <w:rFonts w:asciiTheme="minorHAnsi" w:hAnsiTheme="minorHAnsi" w:cstheme="minorHAnsi"/>
          <w:lang w:val="it-IT"/>
        </w:rPr>
        <w:t xml:space="preserve">adattato da </w:t>
      </w:r>
      <w:r w:rsidR="008448C8">
        <w:rPr>
          <w:rFonts w:asciiTheme="minorHAnsi" w:hAnsiTheme="minorHAnsi" w:cstheme="minorHAnsi"/>
          <w:color w:val="0000FF"/>
          <w:lang w:val="it-IT"/>
        </w:rPr>
        <w:t>CSR 304, 2014</w:t>
      </w:r>
      <w:r w:rsidR="00AA13D8">
        <w:rPr>
          <w:rFonts w:asciiTheme="minorHAnsi" w:hAnsiTheme="minorHAnsi" w:cstheme="minorHAnsi"/>
          <w:lang w:val="it-IT"/>
        </w:rPr>
        <w:t>)</w:t>
      </w:r>
      <w:bookmarkEnd w:id="135"/>
    </w:p>
    <w:p w14:paraId="5F02EA59" w14:textId="7F997370" w:rsidR="001B0092" w:rsidRPr="00D329B2" w:rsidRDefault="008C0BDA" w:rsidP="001B0092">
      <w:r>
        <w:rPr>
          <w:noProof/>
          <w:lang w:val="en-GB" w:eastAsia="en-GB"/>
        </w:rPr>
        <w:drawing>
          <wp:inline distT="0" distB="0" distL="0" distR="0" wp14:anchorId="24DEC44D" wp14:editId="654DCE62">
            <wp:extent cx="5410200" cy="3139144"/>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21876" cy="3145919"/>
                    </a:xfrm>
                    <a:prstGeom prst="rect">
                      <a:avLst/>
                    </a:prstGeom>
                    <a:noFill/>
                  </pic:spPr>
                </pic:pic>
              </a:graphicData>
            </a:graphic>
          </wp:inline>
        </w:drawing>
      </w:r>
    </w:p>
    <w:p w14:paraId="0F7A67E8" w14:textId="77777777" w:rsidR="00C71010" w:rsidRDefault="00C71010" w:rsidP="00AA13D8">
      <w:pPr>
        <w:pStyle w:val="Paragrafoelenco3"/>
        <w:spacing w:line="360" w:lineRule="auto"/>
        <w:ind w:left="0"/>
        <w:jc w:val="both"/>
        <w:rPr>
          <w:rFonts w:asciiTheme="minorHAnsi" w:hAnsiTheme="minorHAnsi" w:cs="Arial"/>
          <w:sz w:val="20"/>
          <w:szCs w:val="20"/>
        </w:rPr>
      </w:pPr>
    </w:p>
    <w:p w14:paraId="393F1AAD" w14:textId="77777777" w:rsidR="00AB3235" w:rsidRDefault="00AB3235" w:rsidP="000210A2">
      <w:pPr>
        <w:pStyle w:val="Paragrafoelenco3"/>
        <w:spacing w:line="360" w:lineRule="auto"/>
        <w:ind w:left="0"/>
        <w:rPr>
          <w:rFonts w:asciiTheme="minorHAnsi" w:hAnsiTheme="minorHAnsi" w:cs="Arial"/>
          <w:sz w:val="20"/>
          <w:szCs w:val="20"/>
        </w:rPr>
      </w:pPr>
    </w:p>
    <w:p w14:paraId="08EE2937" w14:textId="21ECBEEF" w:rsidR="00AA13D8" w:rsidRDefault="00AA13D8" w:rsidP="000210A2">
      <w:pPr>
        <w:pStyle w:val="Paragrafoelenco3"/>
        <w:spacing w:line="360" w:lineRule="auto"/>
        <w:ind w:left="0"/>
        <w:rPr>
          <w:rFonts w:asciiTheme="minorHAnsi" w:hAnsiTheme="minorHAnsi" w:cs="Arial"/>
          <w:sz w:val="20"/>
          <w:szCs w:val="20"/>
        </w:rPr>
      </w:pPr>
      <w:r>
        <w:rPr>
          <w:rFonts w:asciiTheme="minorHAnsi" w:hAnsiTheme="minorHAnsi" w:cs="Arial"/>
          <w:sz w:val="20"/>
          <w:szCs w:val="20"/>
        </w:rPr>
        <w:t xml:space="preserve">Inoltre, dei pazienti non responder a febuxostat, </w:t>
      </w:r>
      <w:r w:rsidRPr="00D84285">
        <w:rPr>
          <w:rFonts w:asciiTheme="minorHAnsi" w:hAnsiTheme="minorHAnsi" w:cs="Arial"/>
          <w:sz w:val="20"/>
          <w:szCs w:val="20"/>
        </w:rPr>
        <w:t>le percentuali di pazienti con uricemia &lt;</w:t>
      </w:r>
      <w:r>
        <w:rPr>
          <w:rFonts w:asciiTheme="minorHAnsi" w:hAnsiTheme="minorHAnsi" w:cs="Arial"/>
          <w:sz w:val="20"/>
          <w:szCs w:val="20"/>
        </w:rPr>
        <w:t>4</w:t>
      </w:r>
      <w:r w:rsidRPr="00D84285">
        <w:rPr>
          <w:rFonts w:asciiTheme="minorHAnsi" w:hAnsiTheme="minorHAnsi" w:cs="Arial"/>
          <w:sz w:val="20"/>
          <w:szCs w:val="20"/>
        </w:rPr>
        <w:t xml:space="preserve">,0 mg/dl al sesto mese </w:t>
      </w:r>
      <w:r w:rsidR="008C0BDA">
        <w:rPr>
          <w:rFonts w:asciiTheme="minorHAnsi" w:hAnsiTheme="minorHAnsi" w:cs="Arial"/>
          <w:sz w:val="20"/>
          <w:szCs w:val="20"/>
        </w:rPr>
        <w:t xml:space="preserve">di trattamento </w:t>
      </w:r>
      <w:r w:rsidRPr="00D84285">
        <w:rPr>
          <w:rFonts w:asciiTheme="minorHAnsi" w:hAnsiTheme="minorHAnsi" w:cs="Arial"/>
          <w:sz w:val="20"/>
          <w:szCs w:val="20"/>
        </w:rPr>
        <w:t xml:space="preserve">erano </w:t>
      </w:r>
      <w:r>
        <w:rPr>
          <w:rFonts w:asciiTheme="minorHAnsi" w:hAnsiTheme="minorHAnsi" w:cs="Arial"/>
          <w:sz w:val="20"/>
          <w:szCs w:val="20"/>
        </w:rPr>
        <w:t>28,8</w:t>
      </w:r>
      <w:r w:rsidRPr="00D84285">
        <w:rPr>
          <w:rFonts w:asciiTheme="minorHAnsi" w:hAnsiTheme="minorHAnsi" w:cs="Arial"/>
          <w:sz w:val="20"/>
          <w:szCs w:val="20"/>
        </w:rPr>
        <w:t xml:space="preserve">% per il gruppo lesinurad </w:t>
      </w:r>
      <w:r w:rsidR="008C0BDA">
        <w:rPr>
          <w:rFonts w:asciiTheme="minorHAnsi" w:hAnsiTheme="minorHAnsi" w:cs="Arial"/>
          <w:sz w:val="20"/>
          <w:szCs w:val="20"/>
        </w:rPr>
        <w:t xml:space="preserve"> </w:t>
      </w:r>
      <w:r w:rsidRPr="00D84285">
        <w:rPr>
          <w:rFonts w:asciiTheme="minorHAnsi" w:hAnsiTheme="minorHAnsi" w:cs="Arial"/>
          <w:sz w:val="20"/>
          <w:szCs w:val="20"/>
        </w:rPr>
        <w:t xml:space="preserve">200 mg in associazione con febuxostat rispetto a </w:t>
      </w:r>
      <w:r>
        <w:rPr>
          <w:rFonts w:asciiTheme="minorHAnsi" w:hAnsiTheme="minorHAnsi" w:cs="Arial"/>
          <w:sz w:val="20"/>
          <w:szCs w:val="20"/>
        </w:rPr>
        <w:t xml:space="preserve">7,8 </w:t>
      </w:r>
      <w:r w:rsidRPr="00D84285">
        <w:rPr>
          <w:rFonts w:asciiTheme="minorHAnsi" w:hAnsiTheme="minorHAnsi" w:cs="Arial"/>
          <w:sz w:val="20"/>
          <w:szCs w:val="20"/>
        </w:rPr>
        <w:t>% per il gruppo febuxostat in monoterapia (p &lt;0,0</w:t>
      </w:r>
      <w:r>
        <w:rPr>
          <w:rFonts w:asciiTheme="minorHAnsi" w:hAnsiTheme="minorHAnsi" w:cs="Arial"/>
          <w:sz w:val="20"/>
          <w:szCs w:val="20"/>
        </w:rPr>
        <w:t>2</w:t>
      </w:r>
      <w:r w:rsidRPr="00D84285">
        <w:rPr>
          <w:rFonts w:asciiTheme="minorHAnsi" w:hAnsiTheme="minorHAnsi" w:cs="Arial"/>
          <w:sz w:val="20"/>
          <w:szCs w:val="20"/>
        </w:rPr>
        <w:t>5)</w:t>
      </w:r>
      <w:r>
        <w:rPr>
          <w:rFonts w:asciiTheme="minorHAnsi" w:hAnsiTheme="minorHAnsi" w:cs="Arial"/>
          <w:sz w:val="20"/>
          <w:szCs w:val="20"/>
        </w:rPr>
        <w:t>.</w:t>
      </w:r>
    </w:p>
    <w:p w14:paraId="24947DE6" w14:textId="77777777" w:rsidR="00AA13D8" w:rsidRDefault="00AA13D8" w:rsidP="000210A2">
      <w:pPr>
        <w:pStyle w:val="Paragrafoelenco3"/>
        <w:spacing w:line="360" w:lineRule="auto"/>
        <w:ind w:left="0"/>
        <w:rPr>
          <w:rFonts w:asciiTheme="minorHAnsi" w:hAnsiTheme="minorHAnsi" w:cs="Arial"/>
          <w:sz w:val="20"/>
          <w:szCs w:val="20"/>
        </w:rPr>
      </w:pPr>
    </w:p>
    <w:p w14:paraId="44EF232F" w14:textId="77777777" w:rsidR="00AB3235" w:rsidRDefault="00AB3235" w:rsidP="000210A2">
      <w:pPr>
        <w:pStyle w:val="Paragrafoelenco3"/>
        <w:spacing w:line="360" w:lineRule="auto"/>
        <w:ind w:left="0"/>
        <w:rPr>
          <w:rFonts w:asciiTheme="minorHAnsi" w:hAnsiTheme="minorHAnsi" w:cs="Arial"/>
          <w:sz w:val="20"/>
          <w:szCs w:val="20"/>
        </w:rPr>
      </w:pPr>
    </w:p>
    <w:p w14:paraId="0DE53AA4" w14:textId="5674447D" w:rsidR="001B0092" w:rsidRDefault="001B0092" w:rsidP="000210A2">
      <w:pPr>
        <w:pStyle w:val="Paragrafoelenco3"/>
        <w:spacing w:line="360" w:lineRule="auto"/>
        <w:ind w:left="0"/>
        <w:rPr>
          <w:rFonts w:asciiTheme="minorHAnsi" w:hAnsiTheme="minorHAnsi" w:cs="Arial"/>
          <w:sz w:val="20"/>
          <w:szCs w:val="20"/>
        </w:rPr>
      </w:pPr>
      <w:r w:rsidRPr="001D1F77">
        <w:rPr>
          <w:rFonts w:asciiTheme="minorHAnsi" w:hAnsiTheme="minorHAnsi" w:cs="Arial"/>
          <w:sz w:val="20"/>
          <w:szCs w:val="20"/>
        </w:rPr>
        <w:t xml:space="preserve">Inoltre, una percentuale maggiore di pazienti ha raggiunto livelli target di </w:t>
      </w:r>
      <w:r w:rsidR="005848A1">
        <w:rPr>
          <w:rFonts w:asciiTheme="minorHAnsi" w:hAnsiTheme="minorHAnsi" w:cs="Arial"/>
          <w:sz w:val="20"/>
          <w:szCs w:val="20"/>
        </w:rPr>
        <w:t>sUA</w:t>
      </w:r>
      <w:r w:rsidRPr="001D1F77">
        <w:rPr>
          <w:rFonts w:asciiTheme="minorHAnsi" w:hAnsiTheme="minorHAnsi" w:cs="Arial"/>
          <w:sz w:val="20"/>
          <w:szCs w:val="20"/>
        </w:rPr>
        <w:t xml:space="preserve"> &lt;4.0 e &lt;3.0 con lesinurad al mese 6 ed al mese 12, come illustrato nella </w:t>
      </w:r>
      <w:hyperlink w:anchor="Figura31" w:history="1">
        <w:r w:rsidRPr="006B197C">
          <w:rPr>
            <w:rStyle w:val="Hyperlink"/>
            <w:rFonts w:asciiTheme="minorHAnsi" w:hAnsiTheme="minorHAnsi" w:cs="Arial"/>
            <w:sz w:val="20"/>
            <w:szCs w:val="20"/>
          </w:rPr>
          <w:t xml:space="preserve">Figura </w:t>
        </w:r>
        <w:r w:rsidR="004B5842" w:rsidRPr="006B197C">
          <w:rPr>
            <w:rStyle w:val="Hyperlink"/>
            <w:rFonts w:asciiTheme="minorHAnsi" w:hAnsiTheme="minorHAnsi" w:cs="Arial"/>
            <w:sz w:val="20"/>
            <w:szCs w:val="20"/>
          </w:rPr>
          <w:t>31</w:t>
        </w:r>
      </w:hyperlink>
      <w:r w:rsidR="00386BC0">
        <w:rPr>
          <w:rStyle w:val="Hyperlink"/>
          <w:rFonts w:asciiTheme="minorHAnsi" w:hAnsiTheme="minorHAnsi" w:cs="Arial"/>
          <w:sz w:val="20"/>
          <w:szCs w:val="20"/>
        </w:rPr>
        <w:t xml:space="preserve"> (</w:t>
      </w:r>
      <w:r w:rsidR="00483BE7">
        <w:rPr>
          <w:rStyle w:val="Hyperlink"/>
          <w:rFonts w:asciiTheme="minorHAnsi" w:hAnsiTheme="minorHAnsi" w:cs="Arial"/>
          <w:sz w:val="20"/>
          <w:szCs w:val="20"/>
        </w:rPr>
        <w:t>Dalbeth, 2015 (141)</w:t>
      </w:r>
      <w:r w:rsidR="00386BC0" w:rsidRPr="00386BC0">
        <w:rPr>
          <w:rStyle w:val="Hyperlink"/>
          <w:rFonts w:asciiTheme="minorHAnsi" w:hAnsiTheme="minorHAnsi" w:cs="Arial"/>
          <w:color w:val="auto"/>
          <w:sz w:val="20"/>
          <w:szCs w:val="20"/>
        </w:rPr>
        <w:t>)</w:t>
      </w:r>
      <w:r w:rsidR="004A0A1A">
        <w:rPr>
          <w:rFonts w:asciiTheme="minorHAnsi" w:hAnsiTheme="minorHAnsi" w:cs="Arial"/>
          <w:sz w:val="20"/>
          <w:szCs w:val="20"/>
        </w:rPr>
        <w:t>.</w:t>
      </w:r>
    </w:p>
    <w:p w14:paraId="6253E4E4" w14:textId="77777777" w:rsidR="004A0A1A" w:rsidRDefault="004A0A1A" w:rsidP="000210A2">
      <w:pPr>
        <w:pStyle w:val="Paragrafoelenco3"/>
        <w:spacing w:line="360" w:lineRule="auto"/>
        <w:ind w:left="0"/>
        <w:rPr>
          <w:rFonts w:asciiTheme="minorHAnsi" w:hAnsiTheme="minorHAnsi" w:cs="Arial"/>
          <w:sz w:val="20"/>
          <w:szCs w:val="20"/>
        </w:rPr>
      </w:pPr>
    </w:p>
    <w:p w14:paraId="77B44A68" w14:textId="77777777" w:rsidR="004C31AC" w:rsidRDefault="004C31AC" w:rsidP="001D1F77">
      <w:pPr>
        <w:pStyle w:val="Paragrafoelenco3"/>
        <w:spacing w:line="360" w:lineRule="auto"/>
        <w:ind w:left="0"/>
        <w:jc w:val="both"/>
        <w:rPr>
          <w:rFonts w:asciiTheme="minorHAnsi" w:hAnsiTheme="minorHAnsi" w:cs="Arial"/>
          <w:sz w:val="20"/>
          <w:szCs w:val="20"/>
        </w:rPr>
      </w:pPr>
    </w:p>
    <w:p w14:paraId="5A9760AE" w14:textId="77777777" w:rsidR="004C31AC" w:rsidRDefault="004C31AC" w:rsidP="001D1F77">
      <w:pPr>
        <w:pStyle w:val="Paragrafoelenco3"/>
        <w:spacing w:line="360" w:lineRule="auto"/>
        <w:ind w:left="0"/>
        <w:jc w:val="both"/>
        <w:rPr>
          <w:rFonts w:asciiTheme="minorHAnsi" w:hAnsiTheme="minorHAnsi" w:cs="Arial"/>
          <w:sz w:val="20"/>
          <w:szCs w:val="20"/>
        </w:rPr>
      </w:pPr>
    </w:p>
    <w:p w14:paraId="7C64D870" w14:textId="77777777" w:rsidR="004C31AC" w:rsidRDefault="004C31AC" w:rsidP="001D1F77">
      <w:pPr>
        <w:pStyle w:val="Paragrafoelenco3"/>
        <w:spacing w:line="360" w:lineRule="auto"/>
        <w:ind w:left="0"/>
        <w:jc w:val="both"/>
        <w:rPr>
          <w:rFonts w:asciiTheme="minorHAnsi" w:hAnsiTheme="minorHAnsi" w:cs="Arial"/>
          <w:sz w:val="20"/>
          <w:szCs w:val="20"/>
        </w:rPr>
      </w:pPr>
    </w:p>
    <w:p w14:paraId="43D029BD" w14:textId="77777777" w:rsidR="004C31AC" w:rsidRDefault="004C31AC" w:rsidP="001D1F77">
      <w:pPr>
        <w:pStyle w:val="Paragrafoelenco3"/>
        <w:spacing w:line="360" w:lineRule="auto"/>
        <w:ind w:left="0"/>
        <w:jc w:val="both"/>
        <w:rPr>
          <w:rFonts w:asciiTheme="minorHAnsi" w:hAnsiTheme="minorHAnsi" w:cs="Arial"/>
          <w:sz w:val="20"/>
          <w:szCs w:val="20"/>
        </w:rPr>
      </w:pPr>
    </w:p>
    <w:p w14:paraId="23DE0477" w14:textId="77777777" w:rsidR="004C31AC" w:rsidRDefault="004C31AC" w:rsidP="001D1F77">
      <w:pPr>
        <w:pStyle w:val="Paragrafoelenco3"/>
        <w:spacing w:line="360" w:lineRule="auto"/>
        <w:ind w:left="0"/>
        <w:jc w:val="both"/>
        <w:rPr>
          <w:rFonts w:asciiTheme="minorHAnsi" w:hAnsiTheme="minorHAnsi" w:cs="Arial"/>
          <w:sz w:val="20"/>
          <w:szCs w:val="20"/>
        </w:rPr>
      </w:pPr>
    </w:p>
    <w:p w14:paraId="175E03AD" w14:textId="77777777" w:rsidR="004C31AC" w:rsidRDefault="004C31AC" w:rsidP="001D1F77">
      <w:pPr>
        <w:pStyle w:val="Paragrafoelenco3"/>
        <w:spacing w:line="360" w:lineRule="auto"/>
        <w:ind w:left="0"/>
        <w:jc w:val="both"/>
        <w:rPr>
          <w:rFonts w:asciiTheme="minorHAnsi" w:hAnsiTheme="minorHAnsi" w:cs="Arial"/>
          <w:sz w:val="20"/>
          <w:szCs w:val="20"/>
        </w:rPr>
      </w:pPr>
    </w:p>
    <w:p w14:paraId="0CBFD167" w14:textId="77777777" w:rsidR="004C31AC" w:rsidRDefault="004C31AC" w:rsidP="001D1F77">
      <w:pPr>
        <w:pStyle w:val="Paragrafoelenco3"/>
        <w:spacing w:line="360" w:lineRule="auto"/>
        <w:ind w:left="0"/>
        <w:jc w:val="both"/>
        <w:rPr>
          <w:rFonts w:asciiTheme="minorHAnsi" w:hAnsiTheme="minorHAnsi" w:cs="Arial"/>
          <w:sz w:val="20"/>
          <w:szCs w:val="20"/>
        </w:rPr>
      </w:pPr>
    </w:p>
    <w:p w14:paraId="35D10FD2" w14:textId="77777777" w:rsidR="004C31AC" w:rsidRDefault="004C31AC" w:rsidP="001D1F77">
      <w:pPr>
        <w:pStyle w:val="Paragrafoelenco3"/>
        <w:spacing w:line="360" w:lineRule="auto"/>
        <w:ind w:left="0"/>
        <w:jc w:val="both"/>
        <w:rPr>
          <w:rFonts w:asciiTheme="minorHAnsi" w:hAnsiTheme="minorHAnsi" w:cs="Arial"/>
          <w:sz w:val="20"/>
          <w:szCs w:val="20"/>
        </w:rPr>
      </w:pPr>
    </w:p>
    <w:p w14:paraId="3058B5FE" w14:textId="77777777" w:rsidR="004C31AC" w:rsidRDefault="004C31AC" w:rsidP="001D1F77">
      <w:pPr>
        <w:pStyle w:val="Paragrafoelenco3"/>
        <w:spacing w:line="360" w:lineRule="auto"/>
        <w:ind w:left="0"/>
        <w:jc w:val="both"/>
        <w:rPr>
          <w:rFonts w:asciiTheme="minorHAnsi" w:hAnsiTheme="minorHAnsi" w:cs="Arial"/>
          <w:sz w:val="20"/>
          <w:szCs w:val="20"/>
        </w:rPr>
      </w:pPr>
    </w:p>
    <w:p w14:paraId="564AAEC8" w14:textId="77777777" w:rsidR="004C31AC" w:rsidRPr="001D1F77" w:rsidRDefault="004C31AC" w:rsidP="001D1F77">
      <w:pPr>
        <w:pStyle w:val="Paragrafoelenco3"/>
        <w:spacing w:line="360" w:lineRule="auto"/>
        <w:ind w:left="0"/>
        <w:jc w:val="both"/>
        <w:rPr>
          <w:rFonts w:asciiTheme="minorHAnsi" w:hAnsiTheme="minorHAnsi" w:cs="Arial"/>
          <w:sz w:val="20"/>
          <w:szCs w:val="20"/>
        </w:rPr>
      </w:pPr>
    </w:p>
    <w:p w14:paraId="74F36F06" w14:textId="364FE144" w:rsidR="004C31AC" w:rsidRDefault="004A0A1A" w:rsidP="004C31AC">
      <w:pPr>
        <w:pStyle w:val="Caption"/>
        <w:rPr>
          <w:rFonts w:asciiTheme="minorHAnsi" w:hAnsiTheme="minorHAnsi" w:cstheme="minorHAnsi"/>
          <w:lang w:val="it-IT"/>
        </w:rPr>
      </w:pPr>
      <w:bookmarkStart w:id="136" w:name="Figura31"/>
      <w:bookmarkStart w:id="137" w:name="_Toc473186926"/>
      <w:bookmarkEnd w:id="136"/>
      <w:r w:rsidRPr="004A0A1A">
        <w:rPr>
          <w:rFonts w:asciiTheme="minorHAnsi" w:hAnsiTheme="minorHAnsi" w:cstheme="minorHAnsi"/>
          <w:lang w:val="it-IT"/>
        </w:rPr>
        <w:t xml:space="preserve">Figura </w:t>
      </w:r>
      <w:r w:rsidRPr="004A0A1A">
        <w:rPr>
          <w:rFonts w:asciiTheme="minorHAnsi" w:hAnsiTheme="minorHAnsi" w:cstheme="minorHAnsi"/>
        </w:rPr>
        <w:fldChar w:fldCharType="begin"/>
      </w:r>
      <w:r w:rsidRPr="004A0A1A">
        <w:rPr>
          <w:rFonts w:asciiTheme="minorHAnsi" w:hAnsiTheme="minorHAnsi" w:cstheme="minorHAnsi"/>
          <w:lang w:val="it-IT"/>
        </w:rPr>
        <w:instrText xml:space="preserve"> SEQ Figura \* ARABIC </w:instrText>
      </w:r>
      <w:r w:rsidRPr="004A0A1A">
        <w:rPr>
          <w:rFonts w:asciiTheme="minorHAnsi" w:hAnsiTheme="minorHAnsi" w:cstheme="minorHAnsi"/>
        </w:rPr>
        <w:fldChar w:fldCharType="separate"/>
      </w:r>
      <w:r w:rsidR="00A1679C">
        <w:rPr>
          <w:rFonts w:asciiTheme="minorHAnsi" w:hAnsiTheme="minorHAnsi" w:cstheme="minorHAnsi"/>
          <w:noProof/>
          <w:lang w:val="it-IT"/>
        </w:rPr>
        <w:t>31</w:t>
      </w:r>
      <w:r w:rsidRPr="004A0A1A">
        <w:rPr>
          <w:rFonts w:asciiTheme="minorHAnsi" w:hAnsiTheme="minorHAnsi" w:cstheme="minorHAnsi"/>
        </w:rPr>
        <w:fldChar w:fldCharType="end"/>
      </w:r>
      <w:r w:rsidRPr="004A0A1A">
        <w:rPr>
          <w:rFonts w:asciiTheme="minorHAnsi" w:hAnsiTheme="minorHAnsi" w:cstheme="minorHAnsi"/>
          <w:lang w:val="it-IT"/>
        </w:rPr>
        <w:t xml:space="preserve"> - </w:t>
      </w:r>
      <w:r w:rsidR="001B0092" w:rsidRPr="004A0A1A">
        <w:rPr>
          <w:rFonts w:asciiTheme="minorHAnsi" w:hAnsiTheme="minorHAnsi" w:cstheme="minorHAnsi"/>
          <w:lang w:val="it-IT"/>
        </w:rPr>
        <w:t xml:space="preserve">Percentuale di pazienti a target </w:t>
      </w:r>
      <w:r w:rsidR="005848A1">
        <w:rPr>
          <w:rFonts w:asciiTheme="minorHAnsi" w:hAnsiTheme="minorHAnsi" w:cstheme="minorHAnsi"/>
          <w:lang w:val="it-IT"/>
        </w:rPr>
        <w:t>SUA</w:t>
      </w:r>
      <w:r w:rsidR="001B0092" w:rsidRPr="004A0A1A">
        <w:rPr>
          <w:rFonts w:asciiTheme="minorHAnsi" w:hAnsiTheme="minorHAnsi" w:cstheme="minorHAnsi"/>
          <w:lang w:val="it-IT"/>
        </w:rPr>
        <w:t>&lt;4; &lt;3 mg/dl ai mesi 6° e 12° - studio CRYSTAL</w:t>
      </w:r>
      <w:r w:rsidR="00A626DE">
        <w:rPr>
          <w:rFonts w:asciiTheme="minorHAnsi" w:hAnsiTheme="minorHAnsi" w:cstheme="minorHAnsi"/>
          <w:lang w:val="it-IT"/>
        </w:rPr>
        <w:t xml:space="preserve"> (Analisi </w:t>
      </w:r>
      <w:r w:rsidR="008C0BDA">
        <w:rPr>
          <w:rFonts w:asciiTheme="minorHAnsi" w:hAnsiTheme="minorHAnsi" w:cstheme="minorHAnsi"/>
          <w:lang w:val="it-IT"/>
        </w:rPr>
        <w:t>NRI</w:t>
      </w:r>
      <w:r w:rsidR="00A626DE">
        <w:rPr>
          <w:rFonts w:asciiTheme="minorHAnsi" w:hAnsiTheme="minorHAnsi" w:cstheme="minorHAnsi"/>
          <w:lang w:val="it-IT"/>
        </w:rPr>
        <w:t xml:space="preserve"> – popolazione ITT)</w:t>
      </w:r>
      <w:r w:rsidR="00656D57">
        <w:rPr>
          <w:rFonts w:asciiTheme="minorHAnsi" w:hAnsiTheme="minorHAnsi" w:cstheme="minorHAnsi"/>
          <w:lang w:val="it-IT"/>
        </w:rPr>
        <w:t xml:space="preserve"> (</w:t>
      </w:r>
      <w:r w:rsidR="001E2441">
        <w:rPr>
          <w:rFonts w:asciiTheme="minorHAnsi" w:hAnsiTheme="minorHAnsi" w:cstheme="minorHAnsi"/>
          <w:lang w:val="it-IT"/>
        </w:rPr>
        <w:t xml:space="preserve"> adattato da </w:t>
      </w:r>
      <w:r w:rsidR="00A25D6E">
        <w:rPr>
          <w:rFonts w:asciiTheme="minorHAnsi" w:hAnsiTheme="minorHAnsi" w:cstheme="minorHAnsi"/>
          <w:color w:val="0000FF"/>
          <w:lang w:val="it-IT"/>
        </w:rPr>
        <w:t>CSR 304, 2014</w:t>
      </w:r>
      <w:r w:rsidR="00D31D9A">
        <w:rPr>
          <w:rFonts w:asciiTheme="minorHAnsi" w:hAnsiTheme="minorHAnsi" w:cstheme="minorHAnsi"/>
          <w:color w:val="0000FF"/>
          <w:lang w:val="it-IT"/>
        </w:rPr>
        <w:t xml:space="preserve"> </w:t>
      </w:r>
      <w:r w:rsidR="00A626DE" w:rsidRPr="00376079">
        <w:rPr>
          <w:rFonts w:asciiTheme="minorHAnsi" w:hAnsiTheme="minorHAnsi" w:cstheme="minorHAnsi"/>
          <w:color w:val="0000FF"/>
          <w:lang w:val="it-IT"/>
        </w:rPr>
        <w:t xml:space="preserve">– Dalbeth, </w:t>
      </w:r>
      <w:r w:rsidR="001E2441" w:rsidRPr="00376079">
        <w:rPr>
          <w:rFonts w:asciiTheme="minorHAnsi" w:hAnsiTheme="minorHAnsi" w:cstheme="minorHAnsi"/>
          <w:color w:val="0000FF"/>
          <w:lang w:val="it-IT"/>
        </w:rPr>
        <w:t>201</w:t>
      </w:r>
      <w:r w:rsidR="001E2441">
        <w:rPr>
          <w:rFonts w:asciiTheme="minorHAnsi" w:hAnsiTheme="minorHAnsi" w:cstheme="minorHAnsi"/>
          <w:color w:val="0000FF"/>
          <w:lang w:val="it-IT"/>
        </w:rPr>
        <w:t>5</w:t>
      </w:r>
      <w:r w:rsidR="00656D57">
        <w:rPr>
          <w:rFonts w:asciiTheme="minorHAnsi" w:hAnsiTheme="minorHAnsi" w:cstheme="minorHAnsi"/>
          <w:lang w:val="it-IT"/>
        </w:rPr>
        <w:t>)</w:t>
      </w:r>
      <w:bookmarkEnd w:id="137"/>
    </w:p>
    <w:p w14:paraId="3FA6A928" w14:textId="77777777" w:rsidR="004C31AC" w:rsidRPr="004C31AC" w:rsidRDefault="004C31AC" w:rsidP="004C31AC">
      <w:pPr>
        <w:pStyle w:val="BodyText"/>
        <w:rPr>
          <w:lang w:val="it-IT"/>
        </w:rPr>
      </w:pPr>
    </w:p>
    <w:p w14:paraId="6CBC2B10" w14:textId="574A02F3" w:rsidR="001B0092" w:rsidRDefault="008C0BDA" w:rsidP="001B0092">
      <w:pPr>
        <w:rPr>
          <w:b/>
        </w:rPr>
      </w:pPr>
      <w:r>
        <w:rPr>
          <w:b/>
          <w:noProof/>
          <w:lang w:val="en-GB" w:eastAsia="en-GB"/>
        </w:rPr>
        <w:drawing>
          <wp:inline distT="0" distB="0" distL="0" distR="0" wp14:anchorId="3FC10D43" wp14:editId="61D3951A">
            <wp:extent cx="5484723" cy="2971800"/>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4723" cy="2971800"/>
                    </a:xfrm>
                    <a:prstGeom prst="rect">
                      <a:avLst/>
                    </a:prstGeom>
                    <a:noFill/>
                  </pic:spPr>
                </pic:pic>
              </a:graphicData>
            </a:graphic>
          </wp:inline>
        </w:drawing>
      </w:r>
    </w:p>
    <w:p w14:paraId="457D8A79" w14:textId="77777777" w:rsidR="004A0A1A" w:rsidRDefault="004A0A1A" w:rsidP="001D1F77">
      <w:pPr>
        <w:pStyle w:val="Paragrafoelenco3"/>
        <w:spacing w:line="360" w:lineRule="auto"/>
        <w:ind w:left="0"/>
        <w:jc w:val="both"/>
        <w:rPr>
          <w:rFonts w:asciiTheme="minorHAnsi" w:hAnsiTheme="minorHAnsi" w:cs="Arial"/>
          <w:sz w:val="20"/>
          <w:szCs w:val="20"/>
        </w:rPr>
      </w:pPr>
    </w:p>
    <w:p w14:paraId="09CCFD60" w14:textId="3A866C9F" w:rsidR="001B0092" w:rsidRDefault="001B0092" w:rsidP="000210A2">
      <w:pPr>
        <w:pStyle w:val="Paragrafoelenco3"/>
        <w:spacing w:line="360" w:lineRule="auto"/>
        <w:ind w:left="0"/>
        <w:rPr>
          <w:rFonts w:asciiTheme="minorHAnsi" w:hAnsiTheme="minorHAnsi" w:cs="Arial"/>
          <w:sz w:val="20"/>
          <w:szCs w:val="20"/>
        </w:rPr>
      </w:pPr>
      <w:r w:rsidRPr="001D1F77">
        <w:rPr>
          <w:rFonts w:asciiTheme="minorHAnsi" w:hAnsiTheme="minorHAnsi" w:cs="Arial"/>
          <w:sz w:val="20"/>
          <w:szCs w:val="20"/>
        </w:rPr>
        <w:t xml:space="preserve">In una sotto-analisi dello studio CRYSTAL </w:t>
      </w:r>
      <w:r w:rsidR="001E2441">
        <w:rPr>
          <w:rFonts w:asciiTheme="minorHAnsi" w:hAnsiTheme="minorHAnsi" w:cs="Arial"/>
          <w:sz w:val="20"/>
          <w:szCs w:val="20"/>
        </w:rPr>
        <w:t xml:space="preserve"> </w:t>
      </w:r>
      <w:r w:rsidRPr="001D1F77">
        <w:rPr>
          <w:rFonts w:asciiTheme="minorHAnsi" w:hAnsiTheme="minorHAnsi" w:cs="Arial"/>
          <w:sz w:val="20"/>
          <w:szCs w:val="20"/>
        </w:rPr>
        <w:t xml:space="preserve">si è vista inoltre </w:t>
      </w:r>
      <w:r w:rsidRPr="00AB3235">
        <w:rPr>
          <w:rFonts w:asciiTheme="minorHAnsi" w:hAnsiTheme="minorHAnsi" w:cs="Arial"/>
          <w:b/>
          <w:sz w:val="20"/>
          <w:szCs w:val="20"/>
        </w:rPr>
        <w:t>una maggiore riduzione dell’uricemia nei pazienti con compromissione renale</w:t>
      </w:r>
      <w:r w:rsidRPr="001D1F77">
        <w:rPr>
          <w:rFonts w:asciiTheme="minorHAnsi" w:hAnsiTheme="minorHAnsi" w:cs="Arial"/>
          <w:sz w:val="20"/>
          <w:szCs w:val="20"/>
        </w:rPr>
        <w:t>, trattati con lesinurad vs. febuxostat monoterapia: in particola</w:t>
      </w:r>
      <w:r w:rsidR="00A626DE">
        <w:rPr>
          <w:rFonts w:asciiTheme="minorHAnsi" w:hAnsiTheme="minorHAnsi" w:cs="Arial"/>
          <w:sz w:val="20"/>
          <w:szCs w:val="20"/>
        </w:rPr>
        <w:t>re nei soggetti con eCrCl &lt;90 ml</w:t>
      </w:r>
      <w:r w:rsidRPr="001D1F77">
        <w:rPr>
          <w:rFonts w:asciiTheme="minorHAnsi" w:hAnsiTheme="minorHAnsi" w:cs="Arial"/>
          <w:sz w:val="20"/>
          <w:szCs w:val="20"/>
        </w:rPr>
        <w:t xml:space="preserve">/min (creatinina clearance) la variazione della percentuale di pazienti a target è risultata statisticamente significativa vs. PBO+FBX (65% vs. 49% al 12° mese; </w:t>
      </w:r>
      <w:r w:rsidR="009A53A4">
        <w:rPr>
          <w:rFonts w:asciiTheme="minorHAnsi" w:hAnsiTheme="minorHAnsi" w:cs="Arial"/>
          <w:sz w:val="20"/>
          <w:szCs w:val="20"/>
        </w:rPr>
        <w:t xml:space="preserve">Analisi LOCF, </w:t>
      </w:r>
      <w:r w:rsidRPr="001D1F77">
        <w:rPr>
          <w:rFonts w:asciiTheme="minorHAnsi" w:hAnsiTheme="minorHAnsi" w:cs="Arial"/>
          <w:sz w:val="20"/>
          <w:szCs w:val="20"/>
        </w:rPr>
        <w:t>p&lt;0.05)</w:t>
      </w:r>
      <w:r w:rsidR="001D1F77">
        <w:rPr>
          <w:rFonts w:asciiTheme="minorHAnsi" w:hAnsiTheme="minorHAnsi" w:cs="Arial"/>
          <w:sz w:val="20"/>
          <w:szCs w:val="20"/>
        </w:rPr>
        <w:t xml:space="preserve"> </w:t>
      </w:r>
      <w:r w:rsidR="00386BC0">
        <w:rPr>
          <w:rFonts w:asciiTheme="minorHAnsi" w:hAnsiTheme="minorHAnsi" w:cs="Arial"/>
          <w:sz w:val="20"/>
          <w:szCs w:val="20"/>
        </w:rPr>
        <w:t>(</w:t>
      </w:r>
      <w:r w:rsidR="0020764E">
        <w:rPr>
          <w:rFonts w:asciiTheme="minorHAnsi" w:hAnsiTheme="minorHAnsi" w:cs="Arial"/>
          <w:color w:val="0000FF"/>
          <w:sz w:val="20"/>
          <w:szCs w:val="20"/>
        </w:rPr>
        <w:t>Dalbeth, 2015 (132</w:t>
      </w:r>
      <w:r w:rsidR="009B51CD">
        <w:rPr>
          <w:rFonts w:asciiTheme="minorHAnsi" w:hAnsiTheme="minorHAnsi" w:cs="Arial"/>
          <w:color w:val="0000FF"/>
          <w:sz w:val="20"/>
          <w:szCs w:val="20"/>
        </w:rPr>
        <w:t>)</w:t>
      </w:r>
      <w:r w:rsidR="00386BC0">
        <w:rPr>
          <w:rFonts w:asciiTheme="minorHAnsi" w:hAnsiTheme="minorHAnsi" w:cs="Arial"/>
          <w:sz w:val="20"/>
          <w:szCs w:val="20"/>
        </w:rPr>
        <w:t xml:space="preserve">) </w:t>
      </w:r>
      <w:r w:rsidR="001D1F77">
        <w:rPr>
          <w:rFonts w:asciiTheme="minorHAnsi" w:hAnsiTheme="minorHAnsi" w:cs="Arial"/>
          <w:sz w:val="20"/>
          <w:szCs w:val="20"/>
        </w:rPr>
        <w:t>(</w:t>
      </w:r>
      <w:hyperlink w:anchor="Figura32" w:history="1">
        <w:r w:rsidR="001D1F77" w:rsidRPr="006B197C">
          <w:rPr>
            <w:rStyle w:val="Hyperlink"/>
            <w:rFonts w:asciiTheme="minorHAnsi" w:hAnsiTheme="minorHAnsi" w:cs="Arial"/>
            <w:sz w:val="20"/>
            <w:szCs w:val="20"/>
          </w:rPr>
          <w:t xml:space="preserve">Figura </w:t>
        </w:r>
        <w:r w:rsidR="004B5842" w:rsidRPr="006B197C">
          <w:rPr>
            <w:rStyle w:val="Hyperlink"/>
            <w:rFonts w:asciiTheme="minorHAnsi" w:hAnsiTheme="minorHAnsi" w:cs="Arial"/>
            <w:sz w:val="20"/>
            <w:szCs w:val="20"/>
          </w:rPr>
          <w:t>32</w:t>
        </w:r>
      </w:hyperlink>
      <w:r w:rsidR="001D1F77">
        <w:rPr>
          <w:rFonts w:asciiTheme="minorHAnsi" w:hAnsiTheme="minorHAnsi" w:cs="Arial"/>
          <w:sz w:val="20"/>
          <w:szCs w:val="20"/>
        </w:rPr>
        <w:t>)</w:t>
      </w:r>
      <w:r w:rsidRPr="001D1F77">
        <w:rPr>
          <w:rFonts w:asciiTheme="minorHAnsi" w:hAnsiTheme="minorHAnsi" w:cs="Arial"/>
          <w:sz w:val="20"/>
          <w:szCs w:val="20"/>
        </w:rPr>
        <w:t>.</w:t>
      </w:r>
    </w:p>
    <w:p w14:paraId="7B75BD2C" w14:textId="77777777" w:rsidR="004A0A1A" w:rsidRDefault="004A0A1A" w:rsidP="000210A2">
      <w:pPr>
        <w:pStyle w:val="Paragrafoelenco3"/>
        <w:spacing w:line="360" w:lineRule="auto"/>
        <w:ind w:left="0"/>
        <w:rPr>
          <w:rFonts w:asciiTheme="minorHAnsi" w:hAnsiTheme="minorHAnsi" w:cs="Arial"/>
          <w:sz w:val="20"/>
          <w:szCs w:val="20"/>
        </w:rPr>
      </w:pPr>
    </w:p>
    <w:p w14:paraId="1C6E7945" w14:textId="77777777" w:rsidR="004C31AC" w:rsidRDefault="004C31AC" w:rsidP="001D1F77">
      <w:pPr>
        <w:pStyle w:val="Paragrafoelenco3"/>
        <w:spacing w:line="360" w:lineRule="auto"/>
        <w:ind w:left="0"/>
        <w:jc w:val="both"/>
        <w:rPr>
          <w:rFonts w:asciiTheme="minorHAnsi" w:hAnsiTheme="minorHAnsi" w:cs="Arial"/>
          <w:sz w:val="20"/>
          <w:szCs w:val="20"/>
        </w:rPr>
      </w:pPr>
    </w:p>
    <w:p w14:paraId="552F15A5" w14:textId="77777777" w:rsidR="004C31AC" w:rsidRDefault="004C31AC" w:rsidP="001D1F77">
      <w:pPr>
        <w:pStyle w:val="Paragrafoelenco3"/>
        <w:spacing w:line="360" w:lineRule="auto"/>
        <w:ind w:left="0"/>
        <w:jc w:val="both"/>
        <w:rPr>
          <w:rFonts w:asciiTheme="minorHAnsi" w:hAnsiTheme="minorHAnsi" w:cs="Arial"/>
          <w:sz w:val="20"/>
          <w:szCs w:val="20"/>
        </w:rPr>
      </w:pPr>
    </w:p>
    <w:p w14:paraId="0A5E4305" w14:textId="77777777" w:rsidR="004C31AC" w:rsidRDefault="004C31AC" w:rsidP="001D1F77">
      <w:pPr>
        <w:pStyle w:val="Paragrafoelenco3"/>
        <w:spacing w:line="360" w:lineRule="auto"/>
        <w:ind w:left="0"/>
        <w:jc w:val="both"/>
        <w:rPr>
          <w:rFonts w:asciiTheme="minorHAnsi" w:hAnsiTheme="minorHAnsi" w:cs="Arial"/>
          <w:sz w:val="20"/>
          <w:szCs w:val="20"/>
        </w:rPr>
      </w:pPr>
    </w:p>
    <w:p w14:paraId="5D3DD5C1" w14:textId="77777777" w:rsidR="004C31AC" w:rsidRDefault="004C31AC" w:rsidP="001D1F77">
      <w:pPr>
        <w:pStyle w:val="Paragrafoelenco3"/>
        <w:spacing w:line="360" w:lineRule="auto"/>
        <w:ind w:left="0"/>
        <w:jc w:val="both"/>
        <w:rPr>
          <w:rFonts w:asciiTheme="minorHAnsi" w:hAnsiTheme="minorHAnsi" w:cs="Arial"/>
          <w:sz w:val="20"/>
          <w:szCs w:val="20"/>
        </w:rPr>
      </w:pPr>
    </w:p>
    <w:p w14:paraId="283E3D22" w14:textId="77777777" w:rsidR="004C31AC" w:rsidRDefault="004C31AC" w:rsidP="001D1F77">
      <w:pPr>
        <w:pStyle w:val="Paragrafoelenco3"/>
        <w:spacing w:line="360" w:lineRule="auto"/>
        <w:ind w:left="0"/>
        <w:jc w:val="both"/>
        <w:rPr>
          <w:rFonts w:asciiTheme="minorHAnsi" w:hAnsiTheme="minorHAnsi" w:cs="Arial"/>
          <w:sz w:val="20"/>
          <w:szCs w:val="20"/>
        </w:rPr>
      </w:pPr>
    </w:p>
    <w:p w14:paraId="76BC0A07" w14:textId="77777777" w:rsidR="004C31AC" w:rsidRDefault="004C31AC" w:rsidP="001D1F77">
      <w:pPr>
        <w:pStyle w:val="Paragrafoelenco3"/>
        <w:spacing w:line="360" w:lineRule="auto"/>
        <w:ind w:left="0"/>
        <w:jc w:val="both"/>
        <w:rPr>
          <w:rFonts w:asciiTheme="minorHAnsi" w:hAnsiTheme="minorHAnsi" w:cs="Arial"/>
          <w:sz w:val="20"/>
          <w:szCs w:val="20"/>
        </w:rPr>
      </w:pPr>
    </w:p>
    <w:p w14:paraId="26D9B617" w14:textId="77777777" w:rsidR="004C31AC" w:rsidRDefault="004C31AC" w:rsidP="001D1F77">
      <w:pPr>
        <w:pStyle w:val="Paragrafoelenco3"/>
        <w:spacing w:line="360" w:lineRule="auto"/>
        <w:ind w:left="0"/>
        <w:jc w:val="both"/>
        <w:rPr>
          <w:rFonts w:asciiTheme="minorHAnsi" w:hAnsiTheme="minorHAnsi" w:cs="Arial"/>
          <w:sz w:val="20"/>
          <w:szCs w:val="20"/>
        </w:rPr>
      </w:pPr>
    </w:p>
    <w:p w14:paraId="092B5A77" w14:textId="77777777" w:rsidR="004C31AC" w:rsidRDefault="004C31AC" w:rsidP="001D1F77">
      <w:pPr>
        <w:pStyle w:val="Paragrafoelenco3"/>
        <w:spacing w:line="360" w:lineRule="auto"/>
        <w:ind w:left="0"/>
        <w:jc w:val="both"/>
        <w:rPr>
          <w:rFonts w:asciiTheme="minorHAnsi" w:hAnsiTheme="minorHAnsi" w:cs="Arial"/>
          <w:sz w:val="20"/>
          <w:szCs w:val="20"/>
        </w:rPr>
      </w:pPr>
    </w:p>
    <w:p w14:paraId="5F3A2CFE" w14:textId="77777777" w:rsidR="004C31AC" w:rsidRDefault="004C31AC" w:rsidP="001D1F77">
      <w:pPr>
        <w:pStyle w:val="Paragrafoelenco3"/>
        <w:spacing w:line="360" w:lineRule="auto"/>
        <w:ind w:left="0"/>
        <w:jc w:val="both"/>
        <w:rPr>
          <w:rFonts w:asciiTheme="minorHAnsi" w:hAnsiTheme="minorHAnsi" w:cs="Arial"/>
          <w:sz w:val="20"/>
          <w:szCs w:val="20"/>
        </w:rPr>
      </w:pPr>
    </w:p>
    <w:p w14:paraId="55DCFB17" w14:textId="77777777" w:rsidR="004C31AC" w:rsidRDefault="004C31AC" w:rsidP="001D1F77">
      <w:pPr>
        <w:pStyle w:val="Paragrafoelenco3"/>
        <w:spacing w:line="360" w:lineRule="auto"/>
        <w:ind w:left="0"/>
        <w:jc w:val="both"/>
        <w:rPr>
          <w:rFonts w:asciiTheme="minorHAnsi" w:hAnsiTheme="minorHAnsi" w:cs="Arial"/>
          <w:sz w:val="20"/>
          <w:szCs w:val="20"/>
        </w:rPr>
      </w:pPr>
    </w:p>
    <w:p w14:paraId="19999400" w14:textId="77777777" w:rsidR="004C31AC" w:rsidRDefault="004C31AC" w:rsidP="001D1F77">
      <w:pPr>
        <w:pStyle w:val="Paragrafoelenco3"/>
        <w:spacing w:line="360" w:lineRule="auto"/>
        <w:ind w:left="0"/>
        <w:jc w:val="both"/>
        <w:rPr>
          <w:rFonts w:asciiTheme="minorHAnsi" w:hAnsiTheme="minorHAnsi" w:cs="Arial"/>
          <w:sz w:val="20"/>
          <w:szCs w:val="20"/>
        </w:rPr>
      </w:pPr>
    </w:p>
    <w:p w14:paraId="33CF7408" w14:textId="77777777" w:rsidR="004C31AC" w:rsidRPr="001D1F77" w:rsidRDefault="004C31AC" w:rsidP="001D1F77">
      <w:pPr>
        <w:pStyle w:val="Paragrafoelenco3"/>
        <w:spacing w:line="360" w:lineRule="auto"/>
        <w:ind w:left="0"/>
        <w:jc w:val="both"/>
        <w:rPr>
          <w:rFonts w:asciiTheme="minorHAnsi" w:hAnsiTheme="minorHAnsi" w:cs="Arial"/>
          <w:sz w:val="20"/>
          <w:szCs w:val="20"/>
        </w:rPr>
      </w:pPr>
    </w:p>
    <w:p w14:paraId="18210965" w14:textId="18F6B1D1" w:rsidR="001B0092" w:rsidRDefault="004A0A1A" w:rsidP="004A0A1A">
      <w:pPr>
        <w:pStyle w:val="Caption"/>
        <w:rPr>
          <w:rFonts w:asciiTheme="minorHAnsi" w:hAnsiTheme="minorHAnsi" w:cstheme="minorHAnsi"/>
          <w:lang w:val="it-IT"/>
        </w:rPr>
      </w:pPr>
      <w:bookmarkStart w:id="138" w:name="Figura32"/>
      <w:bookmarkStart w:id="139" w:name="_Toc473186927"/>
      <w:bookmarkEnd w:id="138"/>
      <w:r w:rsidRPr="004A0A1A">
        <w:rPr>
          <w:rFonts w:asciiTheme="minorHAnsi" w:hAnsiTheme="minorHAnsi" w:cstheme="minorHAnsi"/>
          <w:lang w:val="it-IT"/>
        </w:rPr>
        <w:t xml:space="preserve">Figura </w:t>
      </w:r>
      <w:r w:rsidRPr="004A0A1A">
        <w:rPr>
          <w:rFonts w:asciiTheme="minorHAnsi" w:hAnsiTheme="minorHAnsi" w:cstheme="minorHAnsi"/>
        </w:rPr>
        <w:fldChar w:fldCharType="begin"/>
      </w:r>
      <w:r w:rsidRPr="004A0A1A">
        <w:rPr>
          <w:rFonts w:asciiTheme="minorHAnsi" w:hAnsiTheme="minorHAnsi" w:cstheme="minorHAnsi"/>
          <w:lang w:val="it-IT"/>
        </w:rPr>
        <w:instrText xml:space="preserve"> SEQ Figura \* ARABIC </w:instrText>
      </w:r>
      <w:r w:rsidRPr="004A0A1A">
        <w:rPr>
          <w:rFonts w:asciiTheme="minorHAnsi" w:hAnsiTheme="minorHAnsi" w:cstheme="minorHAnsi"/>
        </w:rPr>
        <w:fldChar w:fldCharType="separate"/>
      </w:r>
      <w:r w:rsidR="00A1679C">
        <w:rPr>
          <w:rFonts w:asciiTheme="minorHAnsi" w:hAnsiTheme="minorHAnsi" w:cstheme="minorHAnsi"/>
          <w:noProof/>
          <w:lang w:val="it-IT"/>
        </w:rPr>
        <w:t>32</w:t>
      </w:r>
      <w:r w:rsidRPr="004A0A1A">
        <w:rPr>
          <w:rFonts w:asciiTheme="minorHAnsi" w:hAnsiTheme="minorHAnsi" w:cstheme="minorHAnsi"/>
        </w:rPr>
        <w:fldChar w:fldCharType="end"/>
      </w:r>
      <w:r w:rsidRPr="004A0A1A">
        <w:rPr>
          <w:rFonts w:asciiTheme="minorHAnsi" w:hAnsiTheme="minorHAnsi" w:cstheme="minorHAnsi"/>
          <w:lang w:val="it-IT"/>
        </w:rPr>
        <w:t xml:space="preserve"> - </w:t>
      </w:r>
      <w:r w:rsidR="001B0092" w:rsidRPr="004A0A1A">
        <w:rPr>
          <w:rFonts w:asciiTheme="minorHAnsi" w:hAnsiTheme="minorHAnsi" w:cstheme="minorHAnsi"/>
          <w:lang w:val="it-IT"/>
        </w:rPr>
        <w:t xml:space="preserve">Pazienti a target </w:t>
      </w:r>
      <w:r w:rsidR="005848A1">
        <w:rPr>
          <w:rFonts w:asciiTheme="minorHAnsi" w:hAnsiTheme="minorHAnsi" w:cstheme="minorHAnsi"/>
          <w:lang w:val="it-IT"/>
        </w:rPr>
        <w:t>sUA</w:t>
      </w:r>
      <w:r w:rsidR="001B0092" w:rsidRPr="004A0A1A">
        <w:rPr>
          <w:rFonts w:asciiTheme="minorHAnsi" w:hAnsiTheme="minorHAnsi" w:cstheme="minorHAnsi"/>
          <w:u w:val="single"/>
          <w:lang w:val="it-IT"/>
        </w:rPr>
        <w:t>&lt;</w:t>
      </w:r>
      <w:r w:rsidR="00B93CDA">
        <w:rPr>
          <w:rFonts w:asciiTheme="minorHAnsi" w:hAnsiTheme="minorHAnsi" w:cstheme="minorHAnsi"/>
          <w:lang w:val="it-IT"/>
        </w:rPr>
        <w:t>5</w:t>
      </w:r>
      <w:r w:rsidR="001B0092" w:rsidRPr="004A0A1A">
        <w:rPr>
          <w:rFonts w:asciiTheme="minorHAnsi" w:hAnsiTheme="minorHAnsi" w:cstheme="minorHAnsi"/>
          <w:lang w:val="it-IT"/>
        </w:rPr>
        <w:t>.0 soggetti con compromissione renale - studio CRYSTAL</w:t>
      </w:r>
      <w:r w:rsidR="00E5367A">
        <w:rPr>
          <w:rFonts w:asciiTheme="minorHAnsi" w:hAnsiTheme="minorHAnsi" w:cstheme="minorHAnsi"/>
          <w:lang w:val="it-IT"/>
        </w:rPr>
        <w:t xml:space="preserve"> (analisi LOCF, popolazione ITT) </w:t>
      </w:r>
      <w:r w:rsidR="00656D57">
        <w:rPr>
          <w:rFonts w:asciiTheme="minorHAnsi" w:hAnsiTheme="minorHAnsi" w:cstheme="minorHAnsi"/>
          <w:lang w:val="it-IT"/>
        </w:rPr>
        <w:t xml:space="preserve"> (</w:t>
      </w:r>
      <w:r w:rsidR="009A53A4">
        <w:rPr>
          <w:rFonts w:asciiTheme="minorHAnsi" w:hAnsiTheme="minorHAnsi" w:cstheme="minorHAnsi"/>
          <w:lang w:val="it-IT"/>
        </w:rPr>
        <w:t xml:space="preserve">adattato da </w:t>
      </w:r>
      <w:r w:rsidR="004A23D5" w:rsidRPr="00376079">
        <w:rPr>
          <w:rFonts w:asciiTheme="minorHAnsi" w:hAnsiTheme="minorHAnsi" w:cstheme="minorHAnsi"/>
          <w:color w:val="0000FF"/>
          <w:lang w:val="it-IT"/>
        </w:rPr>
        <w:t>CSR 304, 2014</w:t>
      </w:r>
      <w:r w:rsidR="00E5367A">
        <w:rPr>
          <w:rFonts w:asciiTheme="minorHAnsi" w:hAnsiTheme="minorHAnsi" w:cstheme="minorHAnsi"/>
          <w:color w:val="0000FF"/>
          <w:lang w:val="it-IT"/>
        </w:rPr>
        <w:t xml:space="preserve"> </w:t>
      </w:r>
      <w:r w:rsidR="004A23D5" w:rsidRPr="00376079">
        <w:rPr>
          <w:rFonts w:asciiTheme="minorHAnsi" w:hAnsiTheme="minorHAnsi" w:cstheme="minorHAnsi"/>
          <w:color w:val="0000FF"/>
          <w:lang w:val="it-IT"/>
        </w:rPr>
        <w:t xml:space="preserve">– Dalbeth, </w:t>
      </w:r>
      <w:r w:rsidR="009A53A4" w:rsidRPr="00376079">
        <w:rPr>
          <w:rFonts w:asciiTheme="minorHAnsi" w:hAnsiTheme="minorHAnsi" w:cstheme="minorHAnsi"/>
          <w:color w:val="0000FF"/>
          <w:lang w:val="it-IT"/>
        </w:rPr>
        <w:t>201</w:t>
      </w:r>
      <w:r w:rsidR="009A53A4">
        <w:rPr>
          <w:rFonts w:asciiTheme="minorHAnsi" w:hAnsiTheme="minorHAnsi" w:cstheme="minorHAnsi"/>
          <w:color w:val="0000FF"/>
          <w:lang w:val="it-IT"/>
        </w:rPr>
        <w:t>5</w:t>
      </w:r>
      <w:r w:rsidR="00656D57">
        <w:rPr>
          <w:rFonts w:asciiTheme="minorHAnsi" w:hAnsiTheme="minorHAnsi" w:cstheme="minorHAnsi"/>
          <w:lang w:val="it-IT"/>
        </w:rPr>
        <w:t>)</w:t>
      </w:r>
      <w:bookmarkEnd w:id="139"/>
    </w:p>
    <w:p w14:paraId="0D0BE575" w14:textId="77777777" w:rsidR="004C31AC" w:rsidRPr="004C31AC" w:rsidRDefault="004C31AC" w:rsidP="004C31AC">
      <w:pPr>
        <w:pStyle w:val="BodyText"/>
        <w:rPr>
          <w:lang w:val="it-IT"/>
        </w:rPr>
      </w:pPr>
    </w:p>
    <w:p w14:paraId="4672200A" w14:textId="3A10F5A2" w:rsidR="001B0092" w:rsidRDefault="001B0092" w:rsidP="001B0092">
      <w:pPr>
        <w:rPr>
          <w:b/>
        </w:rPr>
      </w:pPr>
      <w:r>
        <w:rPr>
          <w:b/>
          <w:noProof/>
          <w:lang w:val="en-GB" w:eastAsia="en-GB"/>
        </w:rPr>
        <w:drawing>
          <wp:inline distT="0" distB="0" distL="0" distR="0" wp14:anchorId="5EB6ED66" wp14:editId="086977A9">
            <wp:extent cx="5409003" cy="3327400"/>
            <wp:effectExtent l="19050" t="19050" r="20320" b="2540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10017" cy="3328024"/>
                    </a:xfrm>
                    <a:prstGeom prst="rect">
                      <a:avLst/>
                    </a:prstGeom>
                    <a:noFill/>
                    <a:ln w="9525">
                      <a:solidFill>
                        <a:srgbClr val="000000"/>
                      </a:solidFill>
                      <a:miter lim="800000"/>
                      <a:headEnd/>
                      <a:tailEnd/>
                    </a:ln>
                  </pic:spPr>
                </pic:pic>
              </a:graphicData>
            </a:graphic>
          </wp:inline>
        </w:drawing>
      </w:r>
    </w:p>
    <w:p w14:paraId="2343E9E4" w14:textId="07C3AADC" w:rsidR="001B0092" w:rsidRPr="004A0A1A" w:rsidRDefault="00410477" w:rsidP="001B0092">
      <w:pPr>
        <w:rPr>
          <w:sz w:val="20"/>
          <w:szCs w:val="20"/>
        </w:rPr>
      </w:pPr>
      <w:r>
        <w:rPr>
          <w:sz w:val="20"/>
          <w:szCs w:val="20"/>
        </w:rPr>
        <w:tab/>
      </w:r>
    </w:p>
    <w:p w14:paraId="1D424E3F" w14:textId="77777777" w:rsidR="00CF13DF" w:rsidRDefault="00CF13DF" w:rsidP="000210A2">
      <w:pPr>
        <w:spacing w:line="360" w:lineRule="auto"/>
        <w:rPr>
          <w:rFonts w:eastAsia="Times New Roman" w:cs="Arial"/>
          <w:color w:val="222222"/>
          <w:sz w:val="20"/>
          <w:szCs w:val="20"/>
        </w:rPr>
      </w:pPr>
      <w:r w:rsidRPr="007468AE">
        <w:rPr>
          <w:rFonts w:eastAsia="Times New Roman" w:cs="Arial"/>
          <w:color w:val="222222"/>
          <w:sz w:val="20"/>
          <w:szCs w:val="20"/>
        </w:rPr>
        <w:t>Il raggiungimento del target di sUA&lt;5.0 mg/dl è confermato dallo studio di estensione: nei pazienti precedentemente trattati con febuxostat in monoterapia, la percentuale di soggetti a target con sUA&lt;5 mg/dl aumenta da un intervallo del 53.1-65.6% al termine dello studio core fino a 70.4-88.9% al Mese 24 del cross-over. Per i pazienti del gruppo CONT, l’efficacia è stata mantenuta ai livelli elevati di 68.8-79.7% dello studio core al Mese 12, con una percentuale di pazienti che raggiungeva il target del 64.5-77.1% al Mese 24 di trattamento.</w:t>
      </w:r>
    </w:p>
    <w:p w14:paraId="53EF8708" w14:textId="77777777" w:rsidR="00860BDF" w:rsidRPr="00860BDF" w:rsidRDefault="00860BDF" w:rsidP="000210A2">
      <w:pPr>
        <w:pStyle w:val="Paragrafoelenco3"/>
        <w:spacing w:line="360" w:lineRule="auto"/>
        <w:ind w:left="0"/>
        <w:rPr>
          <w:rFonts w:asciiTheme="minorHAnsi" w:hAnsiTheme="minorHAnsi" w:cs="Arial"/>
          <w:sz w:val="20"/>
          <w:szCs w:val="20"/>
        </w:rPr>
      </w:pPr>
    </w:p>
    <w:p w14:paraId="7F708386" w14:textId="4532B484" w:rsidR="001B0092" w:rsidRDefault="001B0092" w:rsidP="000210A2">
      <w:pPr>
        <w:pStyle w:val="Paragrafoelenco3"/>
        <w:spacing w:line="360" w:lineRule="auto"/>
        <w:ind w:left="0"/>
        <w:rPr>
          <w:rFonts w:asciiTheme="minorHAnsi" w:hAnsiTheme="minorHAnsi" w:cs="Arial"/>
          <w:sz w:val="20"/>
          <w:szCs w:val="20"/>
        </w:rPr>
      </w:pPr>
      <w:r w:rsidRPr="00290205">
        <w:rPr>
          <w:rFonts w:asciiTheme="minorHAnsi" w:hAnsiTheme="minorHAnsi" w:cs="Arial"/>
          <w:b/>
          <w:sz w:val="20"/>
          <w:szCs w:val="20"/>
        </w:rPr>
        <w:t>Nello studio CRYSTAL lesinurad ha, inoltre, dimostrato un vantaggio importante rispetto a febuxostat rispetto alla riduzione dei tofi.</w:t>
      </w:r>
      <w:r w:rsidRPr="00290205">
        <w:rPr>
          <w:rFonts w:asciiTheme="minorHAnsi" w:hAnsiTheme="minorHAnsi" w:cs="Arial"/>
          <w:sz w:val="20"/>
          <w:szCs w:val="20"/>
        </w:rPr>
        <w:t xml:space="preserve"> I pazienti che hanno ricevuto lesinurad 200 mg in associazione con febuxostat hanno avuto, infatti, una maggiore riduzione dell'area complessiva dei tofi</w:t>
      </w:r>
      <w:r w:rsidR="006C1D70">
        <w:rPr>
          <w:rFonts w:asciiTheme="minorHAnsi" w:hAnsiTheme="minorHAnsi" w:cs="Arial"/>
          <w:sz w:val="20"/>
          <w:szCs w:val="20"/>
        </w:rPr>
        <w:t xml:space="preserve"> bersaglio</w:t>
      </w:r>
      <w:r w:rsidRPr="00290205">
        <w:rPr>
          <w:rFonts w:asciiTheme="minorHAnsi" w:hAnsiTheme="minorHAnsi" w:cs="Arial"/>
          <w:sz w:val="20"/>
          <w:szCs w:val="20"/>
        </w:rPr>
        <w:t>, in diversi momenti temporali, rispetto ai pazienti trattati con febuxostat da solo. Al dodicesimo mese, lesinurad 200 mg in combinazione con febuxostat ha portato ad una riduzione significativamente maggiore dell’area del tofo rispetto alla</w:t>
      </w:r>
      <w:r w:rsidR="00895C1C">
        <w:rPr>
          <w:rFonts w:asciiTheme="minorHAnsi" w:hAnsiTheme="minorHAnsi" w:cs="Arial"/>
          <w:sz w:val="20"/>
          <w:szCs w:val="20"/>
        </w:rPr>
        <w:t xml:space="preserve"> monoterapia con febuxostat (55.8</w:t>
      </w:r>
      <w:r w:rsidRPr="00290205">
        <w:rPr>
          <w:rFonts w:asciiTheme="minorHAnsi" w:hAnsiTheme="minorHAnsi" w:cs="Arial"/>
          <w:sz w:val="20"/>
          <w:szCs w:val="20"/>
        </w:rPr>
        <w:t xml:space="preserve">% </w:t>
      </w:r>
      <w:r w:rsidR="00895C1C">
        <w:rPr>
          <w:rFonts w:asciiTheme="minorHAnsi" w:hAnsiTheme="minorHAnsi" w:cs="Arial"/>
          <w:sz w:val="20"/>
          <w:szCs w:val="20"/>
        </w:rPr>
        <w:t xml:space="preserve">vs 31.3 </w:t>
      </w:r>
      <w:r w:rsidRPr="00290205">
        <w:rPr>
          <w:rFonts w:asciiTheme="minorHAnsi" w:hAnsiTheme="minorHAnsi" w:cs="Arial"/>
          <w:sz w:val="20"/>
          <w:szCs w:val="20"/>
        </w:rPr>
        <w:t>%; p &lt;0,05</w:t>
      </w:r>
      <w:r w:rsidR="00895C1C">
        <w:rPr>
          <w:rFonts w:asciiTheme="minorHAnsi" w:hAnsiTheme="minorHAnsi" w:cs="Arial"/>
          <w:sz w:val="20"/>
          <w:szCs w:val="20"/>
        </w:rPr>
        <w:t xml:space="preserve"> – Analisi OC</w:t>
      </w:r>
      <w:r w:rsidRPr="00290205">
        <w:rPr>
          <w:rFonts w:asciiTheme="minorHAnsi" w:hAnsiTheme="minorHAnsi" w:cs="Arial"/>
          <w:sz w:val="20"/>
          <w:szCs w:val="20"/>
        </w:rPr>
        <w:t>) (</w:t>
      </w:r>
      <w:hyperlink w:anchor="Figura42" w:history="1">
        <w:r w:rsidRPr="004A0A1A">
          <w:rPr>
            <w:rStyle w:val="Hyperlink"/>
            <w:rFonts w:asciiTheme="minorHAnsi" w:hAnsiTheme="minorHAnsi" w:cs="Arial"/>
            <w:sz w:val="20"/>
            <w:szCs w:val="20"/>
          </w:rPr>
          <w:t xml:space="preserve">Figura </w:t>
        </w:r>
        <w:r w:rsidR="00AF5F11">
          <w:rPr>
            <w:rStyle w:val="Hyperlink"/>
            <w:rFonts w:asciiTheme="minorHAnsi" w:hAnsiTheme="minorHAnsi" w:cs="Arial"/>
            <w:sz w:val="20"/>
            <w:szCs w:val="20"/>
          </w:rPr>
          <w:t>3</w:t>
        </w:r>
        <w:r w:rsidR="00552F02">
          <w:rPr>
            <w:rStyle w:val="Hyperlink"/>
            <w:rFonts w:asciiTheme="minorHAnsi" w:hAnsiTheme="minorHAnsi" w:cs="Arial"/>
            <w:sz w:val="20"/>
            <w:szCs w:val="20"/>
          </w:rPr>
          <w:t>3</w:t>
        </w:r>
      </w:hyperlink>
      <w:r w:rsidRPr="00290205">
        <w:rPr>
          <w:rFonts w:asciiTheme="minorHAnsi" w:hAnsiTheme="minorHAnsi" w:cs="Arial"/>
          <w:sz w:val="20"/>
          <w:szCs w:val="20"/>
        </w:rPr>
        <w:t>).</w:t>
      </w:r>
    </w:p>
    <w:p w14:paraId="1A4125B9" w14:textId="77777777" w:rsidR="004A0A1A" w:rsidRPr="00290205" w:rsidRDefault="004A0A1A" w:rsidP="000210A2">
      <w:pPr>
        <w:pStyle w:val="Paragrafoelenco3"/>
        <w:spacing w:line="360" w:lineRule="auto"/>
        <w:ind w:left="0"/>
        <w:rPr>
          <w:rFonts w:asciiTheme="minorHAnsi" w:hAnsiTheme="minorHAnsi" w:cs="Arial"/>
          <w:sz w:val="20"/>
          <w:szCs w:val="20"/>
        </w:rPr>
      </w:pPr>
    </w:p>
    <w:p w14:paraId="1A72B89F" w14:textId="3D9CF902" w:rsidR="001B0092" w:rsidRDefault="004A0A1A" w:rsidP="004A0A1A">
      <w:pPr>
        <w:pStyle w:val="Caption"/>
        <w:rPr>
          <w:rFonts w:asciiTheme="minorHAnsi" w:hAnsiTheme="minorHAnsi" w:cstheme="minorHAnsi"/>
          <w:lang w:val="it-IT"/>
        </w:rPr>
      </w:pPr>
      <w:bookmarkStart w:id="140" w:name="_Toc473186928"/>
      <w:r w:rsidRPr="004A0A1A">
        <w:rPr>
          <w:rFonts w:asciiTheme="minorHAnsi" w:hAnsiTheme="minorHAnsi" w:cstheme="minorHAnsi"/>
          <w:lang w:val="it-IT"/>
        </w:rPr>
        <w:t xml:space="preserve">Figura </w:t>
      </w:r>
      <w:r w:rsidRPr="004A0A1A">
        <w:rPr>
          <w:rFonts w:asciiTheme="minorHAnsi" w:hAnsiTheme="minorHAnsi" w:cstheme="minorHAnsi"/>
        </w:rPr>
        <w:fldChar w:fldCharType="begin"/>
      </w:r>
      <w:r w:rsidRPr="004A0A1A">
        <w:rPr>
          <w:rFonts w:asciiTheme="minorHAnsi" w:hAnsiTheme="minorHAnsi" w:cstheme="minorHAnsi"/>
          <w:lang w:val="it-IT"/>
        </w:rPr>
        <w:instrText xml:space="preserve"> SEQ Figura \* ARABIC </w:instrText>
      </w:r>
      <w:r w:rsidRPr="004A0A1A">
        <w:rPr>
          <w:rFonts w:asciiTheme="minorHAnsi" w:hAnsiTheme="minorHAnsi" w:cstheme="minorHAnsi"/>
        </w:rPr>
        <w:fldChar w:fldCharType="separate"/>
      </w:r>
      <w:r w:rsidR="00A1679C">
        <w:rPr>
          <w:rFonts w:asciiTheme="minorHAnsi" w:hAnsiTheme="minorHAnsi" w:cstheme="minorHAnsi"/>
          <w:noProof/>
          <w:lang w:val="it-IT"/>
        </w:rPr>
        <w:t>33</w:t>
      </w:r>
      <w:r w:rsidRPr="004A0A1A">
        <w:rPr>
          <w:rFonts w:asciiTheme="minorHAnsi" w:hAnsiTheme="minorHAnsi" w:cstheme="minorHAnsi"/>
        </w:rPr>
        <w:fldChar w:fldCharType="end"/>
      </w:r>
      <w:r w:rsidRPr="004A0A1A">
        <w:rPr>
          <w:rFonts w:asciiTheme="minorHAnsi" w:hAnsiTheme="minorHAnsi" w:cstheme="minorHAnsi"/>
          <w:lang w:val="it-IT"/>
        </w:rPr>
        <w:t xml:space="preserve"> - </w:t>
      </w:r>
      <w:r w:rsidR="001B0092" w:rsidRPr="004A0A1A">
        <w:rPr>
          <w:rFonts w:asciiTheme="minorHAnsi" w:hAnsiTheme="minorHAnsi" w:cstheme="minorHAnsi"/>
          <w:lang w:val="it-IT"/>
        </w:rPr>
        <w:t>Variazione % nella somma delle aree per tutti i tofi target (mm</w:t>
      </w:r>
      <w:r w:rsidR="001B0092" w:rsidRPr="004A0A1A">
        <w:rPr>
          <w:rFonts w:asciiTheme="minorHAnsi" w:hAnsiTheme="minorHAnsi" w:cstheme="minorHAnsi"/>
          <w:vertAlign w:val="superscript"/>
          <w:lang w:val="it-IT"/>
        </w:rPr>
        <w:t>2</w:t>
      </w:r>
      <w:r w:rsidR="001B0092" w:rsidRPr="004A0A1A">
        <w:rPr>
          <w:rFonts w:asciiTheme="minorHAnsi" w:hAnsiTheme="minorHAnsi" w:cstheme="minorHAnsi"/>
          <w:lang w:val="it-IT"/>
        </w:rPr>
        <w:t>) - studio CRYSTAL</w:t>
      </w:r>
      <w:r w:rsidR="00311C42">
        <w:rPr>
          <w:rFonts w:asciiTheme="minorHAnsi" w:hAnsiTheme="minorHAnsi" w:cstheme="minorHAnsi"/>
          <w:lang w:val="it-IT"/>
        </w:rPr>
        <w:t xml:space="preserve"> (</w:t>
      </w:r>
      <w:r w:rsidR="000E3022">
        <w:rPr>
          <w:rFonts w:asciiTheme="minorHAnsi" w:hAnsiTheme="minorHAnsi" w:cstheme="minorHAnsi"/>
          <w:lang w:val="it-IT"/>
        </w:rPr>
        <w:t xml:space="preserve">Analisi </w:t>
      </w:r>
      <w:r w:rsidR="00311C42">
        <w:rPr>
          <w:rFonts w:asciiTheme="minorHAnsi" w:hAnsiTheme="minorHAnsi" w:cstheme="minorHAnsi"/>
          <w:lang w:val="it-IT"/>
        </w:rPr>
        <w:t>Observed cases; popolazione ITT)</w:t>
      </w:r>
      <w:r w:rsidR="00656D57">
        <w:rPr>
          <w:rFonts w:asciiTheme="minorHAnsi" w:hAnsiTheme="minorHAnsi" w:cstheme="minorHAnsi"/>
          <w:lang w:val="it-IT"/>
        </w:rPr>
        <w:t xml:space="preserve"> (</w:t>
      </w:r>
      <w:r w:rsidR="00311C42">
        <w:rPr>
          <w:rFonts w:asciiTheme="minorHAnsi" w:hAnsiTheme="minorHAnsi" w:cstheme="minorHAnsi"/>
          <w:lang w:val="it-IT"/>
        </w:rPr>
        <w:t xml:space="preserve">adattato da </w:t>
      </w:r>
      <w:r w:rsidR="008E6BDD">
        <w:rPr>
          <w:rFonts w:asciiTheme="minorHAnsi" w:hAnsiTheme="minorHAnsi" w:cstheme="minorHAnsi"/>
          <w:color w:val="0000FF"/>
          <w:lang w:val="it-IT"/>
        </w:rPr>
        <w:t>CSR 304, 2014</w:t>
      </w:r>
      <w:r w:rsidR="00656D57">
        <w:rPr>
          <w:rFonts w:asciiTheme="minorHAnsi" w:hAnsiTheme="minorHAnsi" w:cstheme="minorHAnsi"/>
          <w:lang w:val="it-IT"/>
        </w:rPr>
        <w:t>)</w:t>
      </w:r>
      <w:bookmarkEnd w:id="140"/>
    </w:p>
    <w:p w14:paraId="112641AE" w14:textId="1B658D94" w:rsidR="00311C42" w:rsidRPr="00311C42" w:rsidRDefault="00311C42" w:rsidP="00311C42">
      <w:pPr>
        <w:pStyle w:val="BodyText"/>
        <w:rPr>
          <w:lang w:val="it-IT"/>
        </w:rPr>
      </w:pPr>
      <w:r>
        <w:rPr>
          <w:noProof/>
          <w:lang w:val="en-GB" w:eastAsia="en-GB"/>
        </w:rPr>
        <w:drawing>
          <wp:inline distT="0" distB="0" distL="0" distR="0" wp14:anchorId="0BBC95C9" wp14:editId="696FADCB">
            <wp:extent cx="5632450" cy="3227005"/>
            <wp:effectExtent l="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31458" cy="3226437"/>
                    </a:xfrm>
                    <a:prstGeom prst="rect">
                      <a:avLst/>
                    </a:prstGeom>
                    <a:noFill/>
                  </pic:spPr>
                </pic:pic>
              </a:graphicData>
            </a:graphic>
          </wp:inline>
        </w:drawing>
      </w:r>
    </w:p>
    <w:p w14:paraId="3E2178DD" w14:textId="199CAD1A" w:rsidR="001B0092" w:rsidRPr="003B4442" w:rsidRDefault="001B0092" w:rsidP="000210A2"/>
    <w:p w14:paraId="33E1A7DB" w14:textId="77777777" w:rsidR="005E3012" w:rsidRDefault="005E3012" w:rsidP="000210A2">
      <w:pPr>
        <w:pStyle w:val="Paragrafoelenco3"/>
        <w:spacing w:line="360" w:lineRule="auto"/>
        <w:ind w:left="0"/>
        <w:rPr>
          <w:rFonts w:asciiTheme="minorHAnsi" w:hAnsiTheme="minorHAnsi" w:cs="Arial"/>
          <w:sz w:val="20"/>
          <w:szCs w:val="20"/>
        </w:rPr>
      </w:pPr>
    </w:p>
    <w:p w14:paraId="31F61B16" w14:textId="77777777" w:rsidR="00107B99" w:rsidRPr="005E3012" w:rsidRDefault="00107B99" w:rsidP="000210A2">
      <w:pPr>
        <w:pStyle w:val="Paragrafoelenco3"/>
        <w:spacing w:line="360" w:lineRule="auto"/>
        <w:ind w:left="0"/>
        <w:rPr>
          <w:rFonts w:asciiTheme="minorHAnsi" w:hAnsiTheme="minorHAnsi" w:cs="Arial"/>
          <w:sz w:val="20"/>
          <w:szCs w:val="20"/>
        </w:rPr>
      </w:pPr>
      <w:r w:rsidRPr="005E3012">
        <w:rPr>
          <w:rFonts w:asciiTheme="minorHAnsi" w:hAnsiTheme="minorHAnsi" w:cs="Arial"/>
          <w:sz w:val="20"/>
          <w:szCs w:val="20"/>
        </w:rPr>
        <w:t xml:space="preserve">Il numero di soggetti con una riduzione dell’area totale dei tofi ad ogni mese </w:t>
      </w:r>
      <w:r w:rsidRPr="005E3012">
        <w:rPr>
          <w:rFonts w:asciiTheme="minorHAnsi" w:hAnsiTheme="minorHAnsi" w:cstheme="minorHAnsi"/>
          <w:sz w:val="20"/>
          <w:szCs w:val="20"/>
        </w:rPr>
        <w:t>≥</w:t>
      </w:r>
      <w:r w:rsidRPr="005E3012">
        <w:rPr>
          <w:rFonts w:asciiTheme="minorHAnsi" w:hAnsiTheme="minorHAnsi" w:cs="Arial"/>
          <w:sz w:val="20"/>
          <w:szCs w:val="20"/>
        </w:rPr>
        <w:t xml:space="preserve"> 75% era maggiore nel gruppo lesinurad rispetto al gruppo febuxostat in monoterapia.</w:t>
      </w:r>
    </w:p>
    <w:p w14:paraId="72F15618" w14:textId="77777777" w:rsidR="005E3012" w:rsidRDefault="005E3012" w:rsidP="000210A2">
      <w:pPr>
        <w:pStyle w:val="Paragrafoelenco3"/>
        <w:spacing w:line="360" w:lineRule="auto"/>
        <w:ind w:left="0"/>
        <w:rPr>
          <w:rFonts w:asciiTheme="minorHAnsi" w:hAnsiTheme="minorHAnsi" w:cs="Arial"/>
          <w:sz w:val="20"/>
          <w:szCs w:val="20"/>
        </w:rPr>
      </w:pPr>
    </w:p>
    <w:p w14:paraId="0EFC36B8" w14:textId="77777777" w:rsidR="00C72BFB" w:rsidRPr="00C72BFB" w:rsidRDefault="00C72BFB" w:rsidP="00C72BFB">
      <w:pPr>
        <w:pStyle w:val="Paragrafoelenco3"/>
        <w:rPr>
          <w:rFonts w:cs="Arial"/>
          <w:sz w:val="20"/>
          <w:szCs w:val="20"/>
        </w:rPr>
      </w:pPr>
    </w:p>
    <w:p w14:paraId="60D05E86" w14:textId="7CCBF0FB" w:rsidR="005E3012" w:rsidRDefault="00C72BFB" w:rsidP="00C72BFB">
      <w:pPr>
        <w:pStyle w:val="Paragrafoelenco3"/>
        <w:spacing w:line="360" w:lineRule="auto"/>
        <w:ind w:left="0"/>
        <w:rPr>
          <w:rFonts w:asciiTheme="minorHAnsi" w:hAnsiTheme="minorHAnsi" w:cs="Arial"/>
          <w:sz w:val="20"/>
          <w:szCs w:val="20"/>
        </w:rPr>
      </w:pPr>
      <w:r w:rsidRPr="00C72BFB">
        <w:rPr>
          <w:rFonts w:asciiTheme="minorHAnsi" w:hAnsiTheme="minorHAnsi" w:cs="Arial"/>
          <w:sz w:val="20"/>
          <w:szCs w:val="20"/>
        </w:rPr>
        <w:t>Risultati analoghi sono stati ottenuti relativamente al numero di soggetti con completa o parziale risoluzione di ≥ 1 tofo target al Mese 12. La percentuale di pazienti con risoluzione completa di almeno 1 tofo target al mese 12 è risultata superiore per lesinurad 200 mg rispetto a febuxostat in monoterapia (25.5 vs 21.1%, p&gt;0.05); La superiorità di lesinurad è stata confermata anche nella risoluzione completa o parziale di almeno un tofo target  (56.6% lesinurad 200 mg vs 50.5% febuxostat in monoterapia, p&gt;0.05) (</w:t>
      </w:r>
      <w:r w:rsidRPr="00AE134E">
        <w:rPr>
          <w:rFonts w:asciiTheme="minorHAnsi" w:hAnsiTheme="minorHAnsi" w:cs="Arial"/>
          <w:color w:val="0000FF"/>
          <w:sz w:val="20"/>
          <w:szCs w:val="20"/>
        </w:rPr>
        <w:t>CSR 304, 2014 (109)</w:t>
      </w:r>
      <w:r w:rsidRPr="00C72BFB">
        <w:rPr>
          <w:rFonts w:asciiTheme="minorHAnsi" w:hAnsiTheme="minorHAnsi" w:cs="Arial"/>
          <w:sz w:val="20"/>
          <w:szCs w:val="20"/>
        </w:rPr>
        <w:t>)</w:t>
      </w:r>
      <w:r w:rsidR="005E3012">
        <w:rPr>
          <w:rFonts w:asciiTheme="minorHAnsi" w:hAnsiTheme="minorHAnsi" w:cs="Arial"/>
          <w:sz w:val="20"/>
          <w:szCs w:val="20"/>
        </w:rPr>
        <w:t xml:space="preserve"> (</w:t>
      </w:r>
      <w:hyperlink w:anchor="Figura34" w:history="1">
        <w:r w:rsidR="005E3012" w:rsidRPr="006B197C">
          <w:rPr>
            <w:rStyle w:val="Hyperlink"/>
            <w:rFonts w:asciiTheme="minorHAnsi" w:hAnsiTheme="minorHAnsi" w:cs="Arial"/>
            <w:sz w:val="20"/>
            <w:szCs w:val="20"/>
          </w:rPr>
          <w:t xml:space="preserve">Figura </w:t>
        </w:r>
        <w:r w:rsidR="006B197C" w:rsidRPr="006B197C">
          <w:rPr>
            <w:rStyle w:val="Hyperlink"/>
            <w:rFonts w:asciiTheme="minorHAnsi" w:hAnsiTheme="minorHAnsi" w:cs="Arial"/>
            <w:sz w:val="20"/>
            <w:szCs w:val="20"/>
          </w:rPr>
          <w:t>34</w:t>
        </w:r>
      </w:hyperlink>
      <w:r w:rsidR="005E3012">
        <w:rPr>
          <w:rFonts w:asciiTheme="minorHAnsi" w:hAnsiTheme="minorHAnsi" w:cs="Arial"/>
          <w:sz w:val="20"/>
          <w:szCs w:val="20"/>
        </w:rPr>
        <w:t>)</w:t>
      </w:r>
    </w:p>
    <w:p w14:paraId="2FB0FDA3" w14:textId="77777777" w:rsidR="005E3012" w:rsidRDefault="005E3012" w:rsidP="00107B99">
      <w:pPr>
        <w:pStyle w:val="Paragrafoelenco3"/>
        <w:spacing w:line="360" w:lineRule="auto"/>
        <w:ind w:left="0"/>
        <w:jc w:val="both"/>
        <w:rPr>
          <w:rFonts w:asciiTheme="minorHAnsi" w:hAnsiTheme="minorHAnsi" w:cs="Arial"/>
          <w:sz w:val="20"/>
          <w:szCs w:val="20"/>
        </w:rPr>
      </w:pPr>
    </w:p>
    <w:p w14:paraId="7D1B0965" w14:textId="77777777" w:rsidR="005E3012" w:rsidRDefault="005E3012" w:rsidP="00107B99">
      <w:pPr>
        <w:pStyle w:val="Paragrafoelenco3"/>
        <w:spacing w:line="360" w:lineRule="auto"/>
        <w:ind w:left="0"/>
        <w:jc w:val="both"/>
        <w:rPr>
          <w:rFonts w:asciiTheme="minorHAnsi" w:hAnsiTheme="minorHAnsi" w:cs="Arial"/>
          <w:sz w:val="20"/>
          <w:szCs w:val="20"/>
        </w:rPr>
      </w:pPr>
    </w:p>
    <w:p w14:paraId="11445AC9" w14:textId="77777777" w:rsidR="005E3012" w:rsidRDefault="005E3012" w:rsidP="00107B99">
      <w:pPr>
        <w:pStyle w:val="Paragrafoelenco3"/>
        <w:spacing w:line="360" w:lineRule="auto"/>
        <w:ind w:left="0"/>
        <w:jc w:val="both"/>
        <w:rPr>
          <w:rFonts w:asciiTheme="minorHAnsi" w:hAnsiTheme="minorHAnsi" w:cs="Arial"/>
          <w:sz w:val="20"/>
          <w:szCs w:val="20"/>
        </w:rPr>
      </w:pPr>
    </w:p>
    <w:p w14:paraId="065B8480" w14:textId="77777777" w:rsidR="005E3012" w:rsidRDefault="005E3012" w:rsidP="00107B99">
      <w:pPr>
        <w:pStyle w:val="Paragrafoelenco3"/>
        <w:spacing w:line="360" w:lineRule="auto"/>
        <w:ind w:left="0"/>
        <w:jc w:val="both"/>
        <w:rPr>
          <w:rFonts w:asciiTheme="minorHAnsi" w:hAnsiTheme="minorHAnsi" w:cs="Arial"/>
          <w:sz w:val="20"/>
          <w:szCs w:val="20"/>
        </w:rPr>
      </w:pPr>
    </w:p>
    <w:p w14:paraId="7FF6CDCE" w14:textId="77777777" w:rsidR="005E3012" w:rsidRDefault="005E3012" w:rsidP="00107B99">
      <w:pPr>
        <w:pStyle w:val="Paragrafoelenco3"/>
        <w:spacing w:line="360" w:lineRule="auto"/>
        <w:ind w:left="0"/>
        <w:jc w:val="both"/>
        <w:rPr>
          <w:rFonts w:asciiTheme="minorHAnsi" w:hAnsiTheme="minorHAnsi" w:cs="Arial"/>
          <w:sz w:val="20"/>
          <w:szCs w:val="20"/>
        </w:rPr>
      </w:pPr>
    </w:p>
    <w:p w14:paraId="3A425797" w14:textId="77777777" w:rsidR="005E3012" w:rsidRDefault="005E3012" w:rsidP="00107B99">
      <w:pPr>
        <w:pStyle w:val="Paragrafoelenco3"/>
        <w:spacing w:line="360" w:lineRule="auto"/>
        <w:ind w:left="0"/>
        <w:jc w:val="both"/>
        <w:rPr>
          <w:rFonts w:asciiTheme="minorHAnsi" w:hAnsiTheme="minorHAnsi" w:cs="Arial"/>
          <w:sz w:val="20"/>
          <w:szCs w:val="20"/>
        </w:rPr>
      </w:pPr>
    </w:p>
    <w:p w14:paraId="1E270A28" w14:textId="77777777" w:rsidR="005E3012" w:rsidRDefault="005E3012" w:rsidP="00107B99">
      <w:pPr>
        <w:pStyle w:val="Paragrafoelenco3"/>
        <w:spacing w:line="360" w:lineRule="auto"/>
        <w:ind w:left="0"/>
        <w:jc w:val="both"/>
        <w:rPr>
          <w:rFonts w:asciiTheme="minorHAnsi" w:hAnsiTheme="minorHAnsi" w:cs="Arial"/>
          <w:sz w:val="20"/>
          <w:szCs w:val="20"/>
        </w:rPr>
      </w:pPr>
    </w:p>
    <w:p w14:paraId="5ABD7340" w14:textId="77777777" w:rsidR="005E3012" w:rsidRDefault="005E3012" w:rsidP="00107B99">
      <w:pPr>
        <w:pStyle w:val="Paragrafoelenco3"/>
        <w:spacing w:line="360" w:lineRule="auto"/>
        <w:ind w:left="0"/>
        <w:jc w:val="both"/>
        <w:rPr>
          <w:rFonts w:asciiTheme="minorHAnsi" w:hAnsiTheme="minorHAnsi" w:cs="Arial"/>
          <w:sz w:val="20"/>
          <w:szCs w:val="20"/>
        </w:rPr>
      </w:pPr>
    </w:p>
    <w:p w14:paraId="5B658E7D" w14:textId="35805CBD" w:rsidR="005E3012" w:rsidRDefault="005E3012" w:rsidP="005E3012">
      <w:pPr>
        <w:pStyle w:val="Caption"/>
        <w:rPr>
          <w:rFonts w:asciiTheme="minorHAnsi" w:hAnsiTheme="minorHAnsi" w:cstheme="minorHAnsi"/>
          <w:lang w:val="it-IT"/>
        </w:rPr>
      </w:pPr>
      <w:bookmarkStart w:id="141" w:name="Figura34"/>
      <w:bookmarkStart w:id="142" w:name="_Toc473186929"/>
      <w:bookmarkEnd w:id="141"/>
      <w:r w:rsidRPr="005D360E">
        <w:rPr>
          <w:rFonts w:asciiTheme="minorHAnsi" w:hAnsiTheme="minorHAnsi" w:cstheme="minorHAnsi"/>
          <w:lang w:val="it-IT"/>
        </w:rPr>
        <w:t xml:space="preserve">Figura </w:t>
      </w:r>
      <w:r w:rsidRPr="005D360E">
        <w:rPr>
          <w:rFonts w:asciiTheme="minorHAnsi" w:hAnsiTheme="minorHAnsi" w:cstheme="minorHAnsi"/>
        </w:rPr>
        <w:fldChar w:fldCharType="begin"/>
      </w:r>
      <w:r w:rsidRPr="005D360E">
        <w:rPr>
          <w:rFonts w:asciiTheme="minorHAnsi" w:hAnsiTheme="minorHAnsi" w:cstheme="minorHAnsi"/>
          <w:lang w:val="it-IT"/>
        </w:rPr>
        <w:instrText xml:space="preserve"> SEQ Figura \* ARABIC </w:instrText>
      </w:r>
      <w:r w:rsidRPr="005D360E">
        <w:rPr>
          <w:rFonts w:asciiTheme="minorHAnsi" w:hAnsiTheme="minorHAnsi" w:cstheme="minorHAnsi"/>
        </w:rPr>
        <w:fldChar w:fldCharType="separate"/>
      </w:r>
      <w:r w:rsidR="00A1679C">
        <w:rPr>
          <w:rFonts w:asciiTheme="minorHAnsi" w:hAnsiTheme="minorHAnsi" w:cstheme="minorHAnsi"/>
          <w:noProof/>
          <w:lang w:val="it-IT"/>
        </w:rPr>
        <w:t>34</w:t>
      </w:r>
      <w:r w:rsidRPr="005D360E">
        <w:rPr>
          <w:rFonts w:asciiTheme="minorHAnsi" w:hAnsiTheme="minorHAnsi" w:cstheme="minorHAnsi"/>
        </w:rPr>
        <w:fldChar w:fldCharType="end"/>
      </w:r>
      <w:r w:rsidRPr="005D360E">
        <w:rPr>
          <w:rFonts w:asciiTheme="minorHAnsi" w:hAnsiTheme="minorHAnsi" w:cstheme="minorHAnsi"/>
          <w:lang w:val="it-IT"/>
        </w:rPr>
        <w:t xml:space="preserve"> – Percentuale di soggetti con risoluzione completa o parziale di ≥ 1 tofo target al Mese 12</w:t>
      </w:r>
      <w:r>
        <w:rPr>
          <w:rFonts w:asciiTheme="minorHAnsi" w:hAnsiTheme="minorHAnsi" w:cstheme="minorHAnsi"/>
          <w:lang w:val="it-IT"/>
        </w:rPr>
        <w:t xml:space="preserve"> (adattato da </w:t>
      </w:r>
      <w:r w:rsidR="00013B6B">
        <w:rPr>
          <w:rFonts w:asciiTheme="minorHAnsi" w:hAnsiTheme="minorHAnsi" w:cstheme="minorHAnsi"/>
          <w:color w:val="0000FF"/>
          <w:lang w:val="it-IT"/>
        </w:rPr>
        <w:t>CSR 304, 2014</w:t>
      </w:r>
      <w:r>
        <w:rPr>
          <w:rFonts w:asciiTheme="minorHAnsi" w:hAnsiTheme="minorHAnsi" w:cstheme="minorHAnsi"/>
          <w:lang w:val="it-IT"/>
        </w:rPr>
        <w:t>)</w:t>
      </w:r>
      <w:bookmarkEnd w:id="142"/>
    </w:p>
    <w:p w14:paraId="22F1D327" w14:textId="77777777" w:rsidR="008073FD" w:rsidRPr="005E3012" w:rsidRDefault="008073FD" w:rsidP="005E3012">
      <w:pPr>
        <w:pStyle w:val="Paragrafoelenco3"/>
        <w:spacing w:line="360" w:lineRule="auto"/>
        <w:ind w:left="0"/>
        <w:jc w:val="both"/>
        <w:rPr>
          <w:rFonts w:cs="Arial"/>
          <w:sz w:val="20"/>
          <w:szCs w:val="20"/>
          <w:highlight w:val="yellow"/>
        </w:rPr>
      </w:pPr>
    </w:p>
    <w:p w14:paraId="323E315F" w14:textId="6B4685F5" w:rsidR="008073FD" w:rsidRPr="008073FD" w:rsidRDefault="00013B6B" w:rsidP="005E3012">
      <w:pPr>
        <w:pStyle w:val="Paragrafoelenco3"/>
        <w:spacing w:line="360" w:lineRule="auto"/>
        <w:ind w:left="0"/>
        <w:jc w:val="both"/>
        <w:rPr>
          <w:rFonts w:cs="Arial"/>
          <w:sz w:val="20"/>
          <w:szCs w:val="20"/>
          <w:highlight w:val="yellow"/>
          <w:lang w:val="en-US"/>
        </w:rPr>
      </w:pPr>
      <w:r>
        <w:rPr>
          <w:rFonts w:cs="Arial"/>
          <w:noProof/>
          <w:sz w:val="20"/>
          <w:szCs w:val="20"/>
          <w:lang w:val="en-GB" w:eastAsia="en-GB"/>
        </w:rPr>
        <w:drawing>
          <wp:inline distT="0" distB="0" distL="0" distR="0" wp14:anchorId="4E19A55A" wp14:editId="29E9B18B">
            <wp:extent cx="4864100" cy="2339907"/>
            <wp:effectExtent l="0" t="0" r="0" b="381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63440" cy="2339589"/>
                    </a:xfrm>
                    <a:prstGeom prst="rect">
                      <a:avLst/>
                    </a:prstGeom>
                    <a:noFill/>
                  </pic:spPr>
                </pic:pic>
              </a:graphicData>
            </a:graphic>
          </wp:inline>
        </w:drawing>
      </w:r>
    </w:p>
    <w:p w14:paraId="15F2835E" w14:textId="77777777" w:rsidR="008073FD" w:rsidRDefault="008073FD" w:rsidP="000210A2">
      <w:pPr>
        <w:pStyle w:val="Paragrafoelenco3"/>
        <w:spacing w:line="360" w:lineRule="auto"/>
        <w:ind w:left="0"/>
        <w:rPr>
          <w:rFonts w:asciiTheme="minorHAnsi" w:hAnsiTheme="minorHAnsi" w:cs="Arial"/>
          <w:sz w:val="20"/>
          <w:szCs w:val="20"/>
        </w:rPr>
      </w:pPr>
    </w:p>
    <w:p w14:paraId="1308990A" w14:textId="598C2A8A" w:rsidR="009766A7" w:rsidRPr="009766A7" w:rsidRDefault="009766A7" w:rsidP="000210A2">
      <w:pPr>
        <w:pStyle w:val="Paragrafoelenco3"/>
        <w:spacing w:line="360" w:lineRule="auto"/>
        <w:ind w:left="0"/>
        <w:rPr>
          <w:rFonts w:asciiTheme="minorHAnsi" w:hAnsiTheme="minorHAnsi" w:cs="Arial"/>
          <w:sz w:val="20"/>
          <w:szCs w:val="20"/>
        </w:rPr>
      </w:pPr>
      <w:r w:rsidRPr="005C13A6">
        <w:rPr>
          <w:rFonts w:asciiTheme="minorHAnsi" w:hAnsiTheme="minorHAnsi" w:cs="Arial"/>
          <w:sz w:val="20"/>
          <w:szCs w:val="20"/>
        </w:rPr>
        <w:t>I risultati di altri end-point secondari, come la frequenza di attacchi di gotta e il numero di tofi risolti,</w:t>
      </w:r>
      <w:r>
        <w:rPr>
          <w:rFonts w:asciiTheme="minorHAnsi" w:hAnsiTheme="minorHAnsi" w:cs="Arial"/>
          <w:sz w:val="20"/>
          <w:szCs w:val="20"/>
        </w:rPr>
        <w:t xml:space="preserve"> </w:t>
      </w:r>
      <w:r w:rsidRPr="009766A7">
        <w:rPr>
          <w:rFonts w:asciiTheme="minorHAnsi" w:hAnsiTheme="minorHAnsi" w:cs="Arial"/>
          <w:sz w:val="20"/>
          <w:szCs w:val="20"/>
        </w:rPr>
        <w:t xml:space="preserve">non hanno portato a differenze statisticamente significative fra i diversi gruppi di trattamento. </w:t>
      </w:r>
    </w:p>
    <w:p w14:paraId="18881F62" w14:textId="5F086651" w:rsidR="009766A7" w:rsidRDefault="00FF4BC6" w:rsidP="000210A2">
      <w:pPr>
        <w:pStyle w:val="Paragrafoelenco3"/>
        <w:spacing w:line="360" w:lineRule="auto"/>
        <w:ind w:left="0"/>
        <w:rPr>
          <w:rFonts w:asciiTheme="minorHAnsi" w:hAnsiTheme="minorHAnsi" w:cs="Arial"/>
          <w:sz w:val="20"/>
          <w:szCs w:val="20"/>
        </w:rPr>
      </w:pPr>
      <w:r>
        <w:rPr>
          <w:rFonts w:asciiTheme="minorHAnsi" w:hAnsiTheme="minorHAnsi" w:cs="Arial"/>
          <w:sz w:val="20"/>
          <w:szCs w:val="20"/>
        </w:rPr>
        <w:t>Tali risultati erano attesi</w:t>
      </w:r>
      <w:r w:rsidRPr="009766A7">
        <w:rPr>
          <w:rFonts w:asciiTheme="minorHAnsi" w:hAnsiTheme="minorHAnsi" w:cs="Arial"/>
          <w:sz w:val="20"/>
          <w:szCs w:val="20"/>
        </w:rPr>
        <w:t xml:space="preserve"> per la durata dello studio</w:t>
      </w:r>
      <w:r>
        <w:rPr>
          <w:rFonts w:asciiTheme="minorHAnsi" w:hAnsiTheme="minorHAnsi" w:cs="Arial"/>
          <w:sz w:val="20"/>
          <w:szCs w:val="20"/>
        </w:rPr>
        <w:t>, che</w:t>
      </w:r>
      <w:r w:rsidRPr="009766A7">
        <w:rPr>
          <w:rFonts w:asciiTheme="minorHAnsi" w:hAnsiTheme="minorHAnsi" w:cs="Arial"/>
          <w:sz w:val="20"/>
          <w:szCs w:val="20"/>
        </w:rPr>
        <w:t xml:space="preserve"> non era tale da poter evidenziare un effetto significativo sugli end-point clinici</w:t>
      </w:r>
      <w:r>
        <w:rPr>
          <w:rFonts w:asciiTheme="minorHAnsi" w:hAnsiTheme="minorHAnsi" w:cs="Arial"/>
          <w:sz w:val="20"/>
          <w:szCs w:val="20"/>
        </w:rPr>
        <w:t>,</w:t>
      </w:r>
      <w:r w:rsidRPr="00B61B01">
        <w:rPr>
          <w:rFonts w:asciiTheme="minorHAnsi" w:hAnsiTheme="minorHAnsi" w:cs="Arial"/>
          <w:sz w:val="20"/>
          <w:szCs w:val="20"/>
        </w:rPr>
        <w:t xml:space="preserve"> </w:t>
      </w:r>
      <w:r>
        <w:rPr>
          <w:rFonts w:asciiTheme="minorHAnsi" w:hAnsiTheme="minorHAnsi" w:cs="Arial"/>
          <w:sz w:val="20"/>
          <w:szCs w:val="20"/>
        </w:rPr>
        <w:t>per la bassa incidenza di attacchi acuti che richiedevano trattamento</w:t>
      </w:r>
      <w:r w:rsidRPr="009766A7">
        <w:rPr>
          <w:rFonts w:asciiTheme="minorHAnsi" w:hAnsiTheme="minorHAnsi" w:cs="Arial"/>
          <w:sz w:val="20"/>
          <w:szCs w:val="20"/>
        </w:rPr>
        <w:t xml:space="preserve"> </w:t>
      </w:r>
      <w:r>
        <w:rPr>
          <w:rFonts w:asciiTheme="minorHAnsi" w:hAnsiTheme="minorHAnsi" w:cs="Arial"/>
          <w:sz w:val="20"/>
          <w:szCs w:val="20"/>
        </w:rPr>
        <w:t xml:space="preserve">e </w:t>
      </w:r>
      <w:r w:rsidRPr="009766A7">
        <w:rPr>
          <w:rFonts w:asciiTheme="minorHAnsi" w:hAnsiTheme="minorHAnsi" w:cs="Arial"/>
          <w:sz w:val="20"/>
          <w:szCs w:val="20"/>
        </w:rPr>
        <w:t xml:space="preserve">per il piccolo numero di pazienti con tofi misurabili. </w:t>
      </w:r>
      <w:r w:rsidRPr="00286E34">
        <w:rPr>
          <w:rFonts w:asciiTheme="minorHAnsi" w:hAnsiTheme="minorHAnsi" w:cs="Arial"/>
          <w:sz w:val="20"/>
          <w:szCs w:val="20"/>
        </w:rPr>
        <w:t>Da sottolineare che tali benefici non sono stati dimostrati con trattamenti orali in nessun studio clinico della durata di 12 mesi.</w:t>
      </w:r>
      <w:r w:rsidRPr="009766A7">
        <w:rPr>
          <w:rFonts w:asciiTheme="minorHAnsi" w:hAnsiTheme="minorHAnsi" w:cs="Arial"/>
          <w:sz w:val="20"/>
          <w:szCs w:val="20"/>
        </w:rPr>
        <w:t xml:space="preserve"> </w:t>
      </w:r>
      <w:r>
        <w:rPr>
          <w:rFonts w:asciiTheme="minorHAnsi" w:hAnsiTheme="minorHAnsi" w:cs="Arial"/>
          <w:sz w:val="20"/>
          <w:szCs w:val="20"/>
        </w:rPr>
        <w:t>Ad esempio</w:t>
      </w:r>
      <w:r w:rsidRPr="009766A7">
        <w:rPr>
          <w:rFonts w:asciiTheme="minorHAnsi" w:hAnsiTheme="minorHAnsi" w:cs="Arial"/>
          <w:sz w:val="20"/>
          <w:szCs w:val="20"/>
        </w:rPr>
        <w:t>, nel</w:t>
      </w:r>
      <w:r>
        <w:rPr>
          <w:rFonts w:asciiTheme="minorHAnsi" w:hAnsiTheme="minorHAnsi" w:cs="Arial"/>
          <w:sz w:val="20"/>
          <w:szCs w:val="20"/>
        </w:rPr>
        <w:t>lo</w:t>
      </w:r>
      <w:r w:rsidRPr="009766A7">
        <w:rPr>
          <w:rFonts w:asciiTheme="minorHAnsi" w:hAnsiTheme="minorHAnsi" w:cs="Arial"/>
          <w:sz w:val="20"/>
          <w:szCs w:val="20"/>
        </w:rPr>
        <w:t xml:space="preserve"> studio FOCUS, che valuta</w:t>
      </w:r>
      <w:r>
        <w:rPr>
          <w:rFonts w:asciiTheme="minorHAnsi" w:hAnsiTheme="minorHAnsi" w:cs="Arial"/>
          <w:sz w:val="20"/>
          <w:szCs w:val="20"/>
        </w:rPr>
        <w:t>va</w:t>
      </w:r>
      <w:r w:rsidRPr="009766A7">
        <w:rPr>
          <w:rFonts w:asciiTheme="minorHAnsi" w:hAnsiTheme="minorHAnsi" w:cs="Arial"/>
          <w:sz w:val="20"/>
          <w:szCs w:val="20"/>
        </w:rPr>
        <w:t xml:space="preserve"> il trattamento dei pazienti affetti da gotta con febuxostat</w:t>
      </w:r>
      <w:r>
        <w:rPr>
          <w:rFonts w:asciiTheme="minorHAnsi" w:hAnsiTheme="minorHAnsi" w:cs="Arial"/>
          <w:sz w:val="20"/>
          <w:szCs w:val="20"/>
        </w:rPr>
        <w:t xml:space="preserve"> a lungo termine</w:t>
      </w:r>
      <w:r w:rsidRPr="009766A7">
        <w:rPr>
          <w:rFonts w:asciiTheme="minorHAnsi" w:hAnsiTheme="minorHAnsi" w:cs="Arial"/>
          <w:sz w:val="20"/>
          <w:szCs w:val="20"/>
        </w:rPr>
        <w:t>, i risultati hanno dimostrato l'eliminazione di attacchi di gotta e riduzione del numero dei tofi solo con la persistenza di dosi stabili di febuxostat a 5 anni (</w:t>
      </w:r>
      <w:r w:rsidR="00563FA4">
        <w:rPr>
          <w:rFonts w:asciiTheme="minorHAnsi" w:hAnsiTheme="minorHAnsi" w:cs="Arial"/>
          <w:color w:val="0000FF"/>
          <w:sz w:val="20"/>
          <w:szCs w:val="20"/>
        </w:rPr>
        <w:t>Schumacher, 2008 (39)</w:t>
      </w:r>
      <w:r w:rsidRPr="009766A7">
        <w:rPr>
          <w:rFonts w:asciiTheme="minorHAnsi" w:hAnsiTheme="minorHAnsi" w:cs="Arial"/>
          <w:sz w:val="20"/>
          <w:szCs w:val="20"/>
        </w:rPr>
        <w:t>).</w:t>
      </w:r>
    </w:p>
    <w:p w14:paraId="39289EBC" w14:textId="77777777" w:rsidR="009766A7" w:rsidRDefault="009766A7" w:rsidP="000210A2">
      <w:pPr>
        <w:pStyle w:val="Paragrafoelenco3"/>
        <w:spacing w:line="360" w:lineRule="auto"/>
        <w:ind w:left="0"/>
        <w:rPr>
          <w:rFonts w:asciiTheme="minorHAnsi" w:hAnsiTheme="minorHAnsi" w:cs="Arial"/>
          <w:sz w:val="20"/>
          <w:szCs w:val="20"/>
        </w:rPr>
      </w:pPr>
    </w:p>
    <w:p w14:paraId="08F85215" w14:textId="61DDC647" w:rsidR="009A6B5F" w:rsidRPr="00AB3235" w:rsidRDefault="001B0092" w:rsidP="000210A2">
      <w:pPr>
        <w:pStyle w:val="Paragrafoelenco3"/>
        <w:spacing w:line="360" w:lineRule="auto"/>
        <w:ind w:left="0"/>
        <w:rPr>
          <w:rFonts w:asciiTheme="minorHAnsi" w:hAnsiTheme="minorHAnsi" w:cs="Arial"/>
          <w:b/>
          <w:sz w:val="20"/>
          <w:szCs w:val="20"/>
        </w:rPr>
      </w:pPr>
      <w:r w:rsidRPr="00AB3235">
        <w:rPr>
          <w:rFonts w:asciiTheme="minorHAnsi" w:hAnsiTheme="minorHAnsi" w:cs="Arial"/>
          <w:b/>
          <w:sz w:val="20"/>
          <w:szCs w:val="20"/>
        </w:rPr>
        <w:t xml:space="preserve">Maggiori informazioni su tutti gli end-point e più a lungo termine, sono state ricavate dallo studio </w:t>
      </w:r>
      <w:r w:rsidR="00332EF2" w:rsidRPr="00AB3235">
        <w:rPr>
          <w:rFonts w:asciiTheme="minorHAnsi" w:hAnsiTheme="minorHAnsi" w:cs="Arial"/>
          <w:b/>
          <w:sz w:val="20"/>
          <w:szCs w:val="20"/>
        </w:rPr>
        <w:t xml:space="preserve">di estensione CRYSTAL extension: </w:t>
      </w:r>
      <w:r w:rsidR="009A6B5F" w:rsidRPr="00AB3235">
        <w:rPr>
          <w:rFonts w:asciiTheme="minorHAnsi" w:hAnsiTheme="minorHAnsi" w:cs="Arial"/>
          <w:b/>
          <w:sz w:val="20"/>
          <w:szCs w:val="20"/>
        </w:rPr>
        <w:t xml:space="preserve">i risultati mostrano un effetto clinico con continua riduzione </w:t>
      </w:r>
      <w:r w:rsidR="00A82893" w:rsidRPr="00AB3235">
        <w:rPr>
          <w:rFonts w:asciiTheme="minorHAnsi" w:hAnsiTheme="minorHAnsi" w:cs="Arial"/>
          <w:b/>
          <w:sz w:val="20"/>
          <w:szCs w:val="20"/>
        </w:rPr>
        <w:t xml:space="preserve">dei tofi e </w:t>
      </w:r>
      <w:r w:rsidR="00332EF2" w:rsidRPr="00AB3235">
        <w:rPr>
          <w:rFonts w:asciiTheme="minorHAnsi" w:hAnsiTheme="minorHAnsi" w:cs="Arial"/>
          <w:b/>
          <w:sz w:val="20"/>
          <w:szCs w:val="20"/>
        </w:rPr>
        <w:t xml:space="preserve">delle riacutizzazioni </w:t>
      </w:r>
      <w:r w:rsidR="009A6B5F" w:rsidRPr="00AB3235">
        <w:rPr>
          <w:rFonts w:asciiTheme="minorHAnsi" w:hAnsiTheme="minorHAnsi" w:cs="Arial"/>
          <w:b/>
          <w:sz w:val="20"/>
          <w:szCs w:val="20"/>
        </w:rPr>
        <w:t>(</w:t>
      </w:r>
      <w:hyperlink w:anchor="Paragrafo548" w:history="1">
        <w:r w:rsidR="009A6B5F" w:rsidRPr="00AB3235">
          <w:rPr>
            <w:rStyle w:val="Hyperlink"/>
            <w:rFonts w:asciiTheme="minorHAnsi" w:hAnsiTheme="minorHAnsi" w:cs="Arial"/>
            <w:b/>
            <w:sz w:val="20"/>
            <w:szCs w:val="20"/>
          </w:rPr>
          <w:t>Par</w:t>
        </w:r>
        <w:r w:rsidR="004A0A1A" w:rsidRPr="00AB3235">
          <w:rPr>
            <w:rStyle w:val="Hyperlink"/>
            <w:rFonts w:asciiTheme="minorHAnsi" w:hAnsiTheme="minorHAnsi" w:cs="Arial"/>
            <w:b/>
            <w:sz w:val="20"/>
            <w:szCs w:val="20"/>
          </w:rPr>
          <w:t>a</w:t>
        </w:r>
        <w:r w:rsidR="009A6B5F" w:rsidRPr="00AB3235">
          <w:rPr>
            <w:rStyle w:val="Hyperlink"/>
            <w:rFonts w:asciiTheme="minorHAnsi" w:hAnsiTheme="minorHAnsi" w:cs="Arial"/>
            <w:b/>
            <w:sz w:val="20"/>
            <w:szCs w:val="20"/>
          </w:rPr>
          <w:t xml:space="preserve">grafo </w:t>
        </w:r>
        <w:r w:rsidR="004A0A1A" w:rsidRPr="00AB3235">
          <w:rPr>
            <w:rStyle w:val="Hyperlink"/>
            <w:rFonts w:asciiTheme="minorHAnsi" w:hAnsiTheme="minorHAnsi" w:cs="Arial"/>
            <w:b/>
            <w:sz w:val="20"/>
            <w:szCs w:val="20"/>
          </w:rPr>
          <w:t>5.4</w:t>
        </w:r>
        <w:r w:rsidR="009A6B5F" w:rsidRPr="00AB3235">
          <w:rPr>
            <w:rStyle w:val="Hyperlink"/>
            <w:rFonts w:asciiTheme="minorHAnsi" w:hAnsiTheme="minorHAnsi" w:cs="Arial"/>
            <w:b/>
            <w:sz w:val="20"/>
            <w:szCs w:val="20"/>
          </w:rPr>
          <w:t>8</w:t>
        </w:r>
      </w:hyperlink>
      <w:r w:rsidR="004A0A1A" w:rsidRPr="00AB3235">
        <w:rPr>
          <w:rFonts w:asciiTheme="minorHAnsi" w:hAnsiTheme="minorHAnsi" w:cs="Arial"/>
          <w:b/>
          <w:sz w:val="20"/>
          <w:szCs w:val="20"/>
        </w:rPr>
        <w:t>)</w:t>
      </w:r>
      <w:r w:rsidR="009A6B5F" w:rsidRPr="00AB3235">
        <w:rPr>
          <w:rFonts w:asciiTheme="minorHAnsi" w:hAnsiTheme="minorHAnsi" w:cs="Arial"/>
          <w:b/>
          <w:sz w:val="20"/>
          <w:szCs w:val="20"/>
        </w:rPr>
        <w:t xml:space="preserve">: </w:t>
      </w:r>
    </w:p>
    <w:p w14:paraId="600BFFCA" w14:textId="5C1D47BE" w:rsidR="009A6B5F" w:rsidRDefault="009A6B5F" w:rsidP="00825BD3">
      <w:pPr>
        <w:pStyle w:val="Paragrafoelenco3"/>
        <w:numPr>
          <w:ilvl w:val="0"/>
          <w:numId w:val="34"/>
        </w:numPr>
        <w:spacing w:line="360" w:lineRule="auto"/>
        <w:rPr>
          <w:rFonts w:asciiTheme="minorHAnsi" w:hAnsiTheme="minorHAnsi" w:cs="Arial"/>
          <w:sz w:val="20"/>
          <w:szCs w:val="20"/>
        </w:rPr>
      </w:pPr>
      <w:r>
        <w:rPr>
          <w:rFonts w:asciiTheme="minorHAnsi" w:hAnsiTheme="minorHAnsi" w:cs="Arial"/>
          <w:sz w:val="20"/>
          <w:szCs w:val="20"/>
        </w:rPr>
        <w:t>l</w:t>
      </w:r>
      <w:r w:rsidRPr="005A1AC4">
        <w:rPr>
          <w:rFonts w:asciiTheme="minorHAnsi" w:hAnsiTheme="minorHAnsi" w:cs="Arial"/>
          <w:sz w:val="20"/>
          <w:szCs w:val="20"/>
        </w:rPr>
        <w:t>a proporzione di soggetti con completa risoluzione di almeno un tofo target è aumentata nel tempo per tutti i gruppi di trattamento; oltre il 50% dei soggetti ha avuto completa risoluzione di almeno 1 tofo target dopo un'esposizione di 2 anni a lesinurad 200 mg</w:t>
      </w:r>
      <w:r>
        <w:rPr>
          <w:rFonts w:asciiTheme="minorHAnsi" w:hAnsiTheme="minorHAnsi" w:cs="Arial"/>
          <w:sz w:val="20"/>
          <w:szCs w:val="20"/>
        </w:rPr>
        <w:t>;</w:t>
      </w:r>
    </w:p>
    <w:p w14:paraId="389252EC" w14:textId="471BDE25" w:rsidR="00A82893" w:rsidRDefault="00A82893" w:rsidP="00825BD3">
      <w:pPr>
        <w:pStyle w:val="Paragrafoelenco3"/>
        <w:numPr>
          <w:ilvl w:val="0"/>
          <w:numId w:val="34"/>
        </w:numPr>
        <w:spacing w:line="360" w:lineRule="auto"/>
        <w:rPr>
          <w:rFonts w:asciiTheme="minorHAnsi" w:hAnsiTheme="minorHAnsi" w:cs="Arial"/>
          <w:sz w:val="20"/>
          <w:szCs w:val="20"/>
        </w:rPr>
      </w:pPr>
      <w:r w:rsidRPr="005A1AC4">
        <w:rPr>
          <w:rFonts w:asciiTheme="minorHAnsi" w:hAnsiTheme="minorHAnsi" w:cs="Arial"/>
          <w:sz w:val="20"/>
          <w:szCs w:val="20"/>
        </w:rPr>
        <w:t xml:space="preserve">durante tutto il periodo di estensione, </w:t>
      </w:r>
      <w:r>
        <w:rPr>
          <w:rFonts w:asciiTheme="minorHAnsi" w:hAnsiTheme="minorHAnsi" w:cs="Arial"/>
          <w:sz w:val="20"/>
          <w:szCs w:val="20"/>
        </w:rPr>
        <w:t xml:space="preserve">la proporzione di pazienti che necessitavano di trattamento per attacco acuto è </w:t>
      </w:r>
      <w:r w:rsidR="00CF13DF">
        <w:rPr>
          <w:rFonts w:asciiTheme="minorHAnsi" w:hAnsiTheme="minorHAnsi" w:cs="Arial"/>
          <w:sz w:val="20"/>
          <w:szCs w:val="20"/>
        </w:rPr>
        <w:t>risultata modesta in entrambi i gruppi di studio</w:t>
      </w:r>
    </w:p>
    <w:p w14:paraId="44EE16E6" w14:textId="77777777" w:rsidR="00C03D45" w:rsidRDefault="00C03D45" w:rsidP="000210A2">
      <w:pPr>
        <w:spacing w:line="360" w:lineRule="auto"/>
        <w:rPr>
          <w:rFonts w:eastAsia="Times New Roman" w:cs="Arial"/>
          <w:sz w:val="20"/>
          <w:szCs w:val="20"/>
        </w:rPr>
      </w:pPr>
    </w:p>
    <w:p w14:paraId="31871082" w14:textId="2AE819E8" w:rsidR="005C13A6" w:rsidRPr="00485F07" w:rsidRDefault="005C13A6" w:rsidP="00825BD3">
      <w:pPr>
        <w:numPr>
          <w:ilvl w:val="1"/>
          <w:numId w:val="13"/>
        </w:numPr>
        <w:spacing w:line="360" w:lineRule="auto"/>
        <w:rPr>
          <w:rFonts w:cs="Arial"/>
          <w:sz w:val="20"/>
          <w:szCs w:val="20"/>
          <w:u w:val="single"/>
        </w:rPr>
      </w:pPr>
      <w:bookmarkStart w:id="143" w:name="Paragrafo519"/>
      <w:bookmarkEnd w:id="143"/>
      <w:r w:rsidRPr="00485F07">
        <w:rPr>
          <w:rFonts w:cs="Arial"/>
          <w:sz w:val="20"/>
          <w:szCs w:val="20"/>
          <w:u w:val="single"/>
        </w:rPr>
        <w:t>Reazioni avverse nello studio</w:t>
      </w:r>
    </w:p>
    <w:p w14:paraId="2255D455" w14:textId="0AFA12D1" w:rsidR="005C13A6" w:rsidRDefault="005C13A6" w:rsidP="000210A2">
      <w:pPr>
        <w:pStyle w:val="Paragrafoelenco3"/>
        <w:spacing w:line="360" w:lineRule="auto"/>
        <w:ind w:left="0"/>
        <w:rPr>
          <w:rFonts w:asciiTheme="minorHAnsi" w:hAnsiTheme="minorHAnsi" w:cs="Arial"/>
          <w:sz w:val="20"/>
          <w:szCs w:val="20"/>
        </w:rPr>
      </w:pPr>
      <w:r w:rsidRPr="005C13A6">
        <w:rPr>
          <w:rFonts w:asciiTheme="minorHAnsi" w:hAnsiTheme="minorHAnsi" w:cs="Arial"/>
          <w:sz w:val="20"/>
          <w:szCs w:val="20"/>
        </w:rPr>
        <w:t xml:space="preserve">Lo studio CRYSTAL ha portato ulteriori evidenze a sostegno del buon profilo di tollerabilità di lesinurad 200 mg, già evidenziato dagli altri studi clinici di fase III: i pazienti assegnati al trattamento con lesinurad in combinazione con febuxostat hanno riportato una </w:t>
      </w:r>
      <w:r w:rsidRPr="00AB3235">
        <w:rPr>
          <w:rFonts w:asciiTheme="minorHAnsi" w:hAnsiTheme="minorHAnsi" w:cs="Arial"/>
          <w:b/>
          <w:sz w:val="20"/>
          <w:szCs w:val="20"/>
        </w:rPr>
        <w:t xml:space="preserve">frequenza di eventi avversi </w:t>
      </w:r>
      <w:r w:rsidR="0065085B" w:rsidRPr="00AB3235">
        <w:rPr>
          <w:rFonts w:asciiTheme="minorHAnsi" w:hAnsiTheme="minorHAnsi" w:cs="Arial"/>
          <w:b/>
          <w:sz w:val="20"/>
          <w:szCs w:val="20"/>
        </w:rPr>
        <w:t>leggermente più alta</w:t>
      </w:r>
      <w:r w:rsidR="0065085B">
        <w:rPr>
          <w:rFonts w:asciiTheme="minorHAnsi" w:hAnsiTheme="minorHAnsi" w:cs="Arial"/>
          <w:sz w:val="20"/>
          <w:szCs w:val="20"/>
        </w:rPr>
        <w:t xml:space="preserve"> rispetto a</w:t>
      </w:r>
      <w:r w:rsidRPr="005C13A6">
        <w:rPr>
          <w:rFonts w:asciiTheme="minorHAnsi" w:hAnsiTheme="minorHAnsi" w:cs="Arial"/>
          <w:sz w:val="20"/>
          <w:szCs w:val="20"/>
        </w:rPr>
        <w:t xml:space="preserve"> quella osservata tra i pazienti assegnati a febuxostat in monoterapia</w:t>
      </w:r>
      <w:r w:rsidR="004369C2">
        <w:rPr>
          <w:rFonts w:asciiTheme="minorHAnsi" w:hAnsiTheme="minorHAnsi" w:cs="Arial"/>
          <w:sz w:val="20"/>
          <w:szCs w:val="20"/>
        </w:rPr>
        <w:t>; la percentuale d</w:t>
      </w:r>
      <w:r w:rsidR="00973C0B">
        <w:rPr>
          <w:rFonts w:asciiTheme="minorHAnsi" w:hAnsiTheme="minorHAnsi" w:cs="Arial"/>
          <w:sz w:val="20"/>
          <w:szCs w:val="20"/>
        </w:rPr>
        <w:t>i</w:t>
      </w:r>
      <w:r w:rsidR="004369C2">
        <w:rPr>
          <w:rFonts w:asciiTheme="minorHAnsi" w:hAnsiTheme="minorHAnsi" w:cs="Arial"/>
          <w:sz w:val="20"/>
          <w:szCs w:val="20"/>
        </w:rPr>
        <w:t xml:space="preserve"> soggetti in cui si sono verificati eventi avversi </w:t>
      </w:r>
      <w:r w:rsidR="00973C0B">
        <w:rPr>
          <w:rFonts w:asciiTheme="minorHAnsi" w:hAnsiTheme="minorHAnsi" w:cs="Arial"/>
          <w:sz w:val="20"/>
          <w:szCs w:val="20"/>
        </w:rPr>
        <w:t>che hanno portato all’interruzione del trattamento era simile tra lesinurad 200 mg + febuxostat (8.5%) e febuxostat in monoterapia (8.3%</w:t>
      </w:r>
      <w:r w:rsidR="00C513E7">
        <w:rPr>
          <w:rFonts w:asciiTheme="minorHAnsi" w:hAnsiTheme="minorHAnsi" w:cs="Arial"/>
          <w:sz w:val="20"/>
          <w:szCs w:val="20"/>
        </w:rPr>
        <w:t>)</w:t>
      </w:r>
      <w:r w:rsidR="00BE2716">
        <w:rPr>
          <w:rFonts w:asciiTheme="minorHAnsi" w:hAnsiTheme="minorHAnsi" w:cs="Arial"/>
          <w:sz w:val="20"/>
          <w:szCs w:val="20"/>
        </w:rPr>
        <w:t>; l’incidenza d</w:t>
      </w:r>
      <w:r w:rsidR="00973C0B">
        <w:rPr>
          <w:rFonts w:asciiTheme="minorHAnsi" w:hAnsiTheme="minorHAnsi" w:cs="Arial"/>
          <w:sz w:val="20"/>
          <w:szCs w:val="20"/>
        </w:rPr>
        <w:t xml:space="preserve">i eventi avversi seri di Grado 3 e 4 era </w:t>
      </w:r>
      <w:r w:rsidR="008C2223">
        <w:rPr>
          <w:rFonts w:asciiTheme="minorHAnsi" w:hAnsiTheme="minorHAnsi" w:cs="Arial"/>
          <w:sz w:val="20"/>
          <w:szCs w:val="20"/>
        </w:rPr>
        <w:t xml:space="preserve">simile </w:t>
      </w:r>
      <w:r w:rsidR="00973C0B">
        <w:rPr>
          <w:rFonts w:asciiTheme="minorHAnsi" w:hAnsiTheme="minorHAnsi" w:cs="Arial"/>
          <w:sz w:val="20"/>
          <w:szCs w:val="20"/>
        </w:rPr>
        <w:t>tra i vari gruppi)</w:t>
      </w:r>
      <w:r w:rsidRPr="005C13A6">
        <w:rPr>
          <w:rFonts w:asciiTheme="minorHAnsi" w:hAnsiTheme="minorHAnsi" w:cs="Arial"/>
          <w:sz w:val="20"/>
          <w:szCs w:val="20"/>
        </w:rPr>
        <w:t xml:space="preserve"> (</w:t>
      </w:r>
      <w:hyperlink w:anchor="Tabella16" w:history="1">
        <w:r w:rsidRPr="006B197C">
          <w:rPr>
            <w:rStyle w:val="Hyperlink"/>
            <w:rFonts w:asciiTheme="minorHAnsi" w:hAnsiTheme="minorHAnsi" w:cs="Arial"/>
            <w:sz w:val="20"/>
            <w:szCs w:val="20"/>
          </w:rPr>
          <w:t>Tabell</w:t>
        </w:r>
        <w:r w:rsidR="00C513E7" w:rsidRPr="006B197C">
          <w:rPr>
            <w:rStyle w:val="Hyperlink"/>
            <w:rFonts w:asciiTheme="minorHAnsi" w:hAnsiTheme="minorHAnsi" w:cs="Arial"/>
            <w:sz w:val="20"/>
            <w:szCs w:val="20"/>
          </w:rPr>
          <w:t>a</w:t>
        </w:r>
        <w:r w:rsidRPr="006B197C">
          <w:rPr>
            <w:rStyle w:val="Hyperlink"/>
            <w:rFonts w:asciiTheme="minorHAnsi" w:hAnsiTheme="minorHAnsi" w:cs="Arial"/>
            <w:sz w:val="20"/>
            <w:szCs w:val="20"/>
          </w:rPr>
          <w:t xml:space="preserve"> </w:t>
        </w:r>
        <w:r w:rsidR="004A0A1A" w:rsidRPr="006B197C">
          <w:rPr>
            <w:rStyle w:val="Hyperlink"/>
            <w:rFonts w:asciiTheme="minorHAnsi" w:hAnsiTheme="minorHAnsi" w:cs="Arial"/>
            <w:sz w:val="20"/>
            <w:szCs w:val="20"/>
          </w:rPr>
          <w:t>1</w:t>
        </w:r>
        <w:r w:rsidR="006B197C" w:rsidRPr="006B197C">
          <w:rPr>
            <w:rStyle w:val="Hyperlink"/>
            <w:rFonts w:asciiTheme="minorHAnsi" w:hAnsiTheme="minorHAnsi" w:cs="Arial"/>
            <w:sz w:val="20"/>
            <w:szCs w:val="20"/>
          </w:rPr>
          <w:t>6</w:t>
        </w:r>
      </w:hyperlink>
      <w:r w:rsidRPr="005C13A6">
        <w:rPr>
          <w:rFonts w:asciiTheme="minorHAnsi" w:hAnsiTheme="minorHAnsi" w:cs="Arial"/>
          <w:sz w:val="20"/>
          <w:szCs w:val="20"/>
        </w:rPr>
        <w:t>).</w:t>
      </w:r>
    </w:p>
    <w:p w14:paraId="1EC42E20" w14:textId="77777777" w:rsidR="00AF5F11" w:rsidRDefault="00AF5F11" w:rsidP="000210A2">
      <w:pPr>
        <w:pStyle w:val="Paragrafoelenco3"/>
        <w:spacing w:line="360" w:lineRule="auto"/>
        <w:ind w:left="0"/>
        <w:rPr>
          <w:rFonts w:asciiTheme="minorHAnsi" w:hAnsiTheme="minorHAnsi" w:cs="Arial"/>
          <w:sz w:val="20"/>
          <w:szCs w:val="20"/>
        </w:rPr>
      </w:pPr>
    </w:p>
    <w:p w14:paraId="06D0CD63" w14:textId="7489B1EF" w:rsidR="00973C0B" w:rsidRPr="002267C9" w:rsidRDefault="002267C9" w:rsidP="002267C9">
      <w:pPr>
        <w:pStyle w:val="Caption"/>
        <w:rPr>
          <w:rFonts w:asciiTheme="minorHAnsi" w:hAnsiTheme="minorHAnsi" w:cstheme="minorHAnsi"/>
          <w:b w:val="0"/>
          <w:bCs w:val="0"/>
          <w:lang w:val="en-GB"/>
        </w:rPr>
      </w:pPr>
      <w:bookmarkStart w:id="144" w:name="Tabella16"/>
      <w:bookmarkStart w:id="145" w:name="_Toc473150701"/>
      <w:bookmarkEnd w:id="144"/>
      <w:r w:rsidRPr="002267C9">
        <w:rPr>
          <w:rFonts w:asciiTheme="minorHAnsi" w:hAnsiTheme="minorHAnsi" w:cstheme="minorHAnsi"/>
        </w:rPr>
        <w:t xml:space="preserve">Tabella </w:t>
      </w:r>
      <w:r w:rsidRPr="002267C9">
        <w:rPr>
          <w:rFonts w:asciiTheme="minorHAnsi" w:hAnsiTheme="minorHAnsi" w:cstheme="minorHAnsi"/>
        </w:rPr>
        <w:fldChar w:fldCharType="begin"/>
      </w:r>
      <w:r w:rsidRPr="002267C9">
        <w:rPr>
          <w:rFonts w:asciiTheme="minorHAnsi" w:hAnsiTheme="minorHAnsi" w:cstheme="minorHAnsi"/>
        </w:rPr>
        <w:instrText xml:space="preserve"> SEQ Tabella \* ARABIC </w:instrText>
      </w:r>
      <w:r w:rsidRPr="002267C9">
        <w:rPr>
          <w:rFonts w:asciiTheme="minorHAnsi" w:hAnsiTheme="minorHAnsi" w:cstheme="minorHAnsi"/>
        </w:rPr>
        <w:fldChar w:fldCharType="separate"/>
      </w:r>
      <w:r w:rsidR="00A1679C">
        <w:rPr>
          <w:rFonts w:asciiTheme="minorHAnsi" w:hAnsiTheme="minorHAnsi" w:cstheme="minorHAnsi"/>
          <w:noProof/>
        </w:rPr>
        <w:t>16</w:t>
      </w:r>
      <w:r w:rsidRPr="002267C9">
        <w:rPr>
          <w:rFonts w:asciiTheme="minorHAnsi" w:hAnsiTheme="minorHAnsi" w:cstheme="minorHAnsi"/>
        </w:rPr>
        <w:fldChar w:fldCharType="end"/>
      </w:r>
      <w:r w:rsidR="00973C0B" w:rsidRPr="002267C9">
        <w:rPr>
          <w:rFonts w:asciiTheme="minorHAnsi" w:hAnsiTheme="minorHAnsi" w:cstheme="minorHAnsi"/>
          <w:b w:val="0"/>
          <w:bCs w:val="0"/>
          <w:lang w:val="en-GB"/>
        </w:rPr>
        <w:t xml:space="preserve"> - AEs </w:t>
      </w:r>
      <w:r w:rsidR="00BE2716" w:rsidRPr="002267C9">
        <w:rPr>
          <w:rFonts w:asciiTheme="minorHAnsi" w:hAnsiTheme="minorHAnsi" w:cstheme="minorHAnsi"/>
          <w:b w:val="0"/>
          <w:bCs w:val="0"/>
          <w:lang w:val="en-GB"/>
        </w:rPr>
        <w:t>nel</w:t>
      </w:r>
      <w:r w:rsidR="00973C0B" w:rsidRPr="002267C9">
        <w:rPr>
          <w:rFonts w:asciiTheme="minorHAnsi" w:hAnsiTheme="minorHAnsi" w:cstheme="minorHAnsi"/>
          <w:b w:val="0"/>
          <w:bCs w:val="0"/>
          <w:lang w:val="en-GB"/>
        </w:rPr>
        <w:t xml:space="preserve"> CRYSTAL – safety population</w:t>
      </w:r>
      <w:r w:rsidR="00C513E7" w:rsidRPr="002267C9">
        <w:rPr>
          <w:rFonts w:asciiTheme="minorHAnsi" w:hAnsiTheme="minorHAnsi" w:cstheme="minorHAnsi"/>
          <w:b w:val="0"/>
          <w:bCs w:val="0"/>
          <w:lang w:val="en-GB"/>
        </w:rPr>
        <w:t xml:space="preserve"> (</w:t>
      </w:r>
      <w:r w:rsidR="008E6BDD">
        <w:rPr>
          <w:rFonts w:asciiTheme="minorHAnsi" w:hAnsiTheme="minorHAnsi" w:cstheme="minorHAnsi"/>
          <w:b w:val="0"/>
          <w:bCs w:val="0"/>
          <w:color w:val="0000FF"/>
          <w:lang w:val="en-GB"/>
        </w:rPr>
        <w:t>CSR 304, 2014</w:t>
      </w:r>
      <w:r w:rsidR="00C513E7" w:rsidRPr="002267C9">
        <w:rPr>
          <w:rFonts w:asciiTheme="minorHAnsi" w:hAnsiTheme="minorHAnsi" w:cstheme="minorHAnsi"/>
          <w:b w:val="0"/>
          <w:bCs w:val="0"/>
          <w:lang w:val="en-GB"/>
        </w:rPr>
        <w:t>)</w:t>
      </w:r>
      <w:bookmarkEnd w:id="145"/>
    </w:p>
    <w:tbl>
      <w:tblPr>
        <w:tblW w:w="450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51"/>
        <w:gridCol w:w="2093"/>
        <w:gridCol w:w="2082"/>
      </w:tblGrid>
      <w:tr w:rsidR="00D95D84" w:rsidRPr="00D47C76" w14:paraId="06820D84" w14:textId="77777777" w:rsidTr="00D95D84">
        <w:trPr>
          <w:trHeight w:val="290"/>
          <w:tblHeader/>
        </w:trPr>
        <w:tc>
          <w:tcPr>
            <w:tcW w:w="4066" w:type="dxa"/>
            <w:vMerge w:val="restart"/>
            <w:shd w:val="clear" w:color="auto" w:fill="D9D9D9"/>
          </w:tcPr>
          <w:p w14:paraId="1770B217" w14:textId="77777777" w:rsidR="00D95D84" w:rsidRPr="00D47C76" w:rsidRDefault="00D95D84" w:rsidP="00D95D84">
            <w:pPr>
              <w:spacing w:before="60" w:after="60"/>
              <w:rPr>
                <w:rFonts w:ascii="Arial" w:eastAsia="Calibri" w:hAnsi="Arial" w:cs="Arial"/>
                <w:b/>
                <w:sz w:val="18"/>
                <w:szCs w:val="18"/>
                <w:lang w:val="en-GB" w:eastAsia="en-US"/>
              </w:rPr>
            </w:pPr>
            <w:r w:rsidRPr="00D47C76">
              <w:rPr>
                <w:rFonts w:ascii="Arial" w:eastAsia="Calibri" w:hAnsi="Arial" w:cs="Arial"/>
                <w:b/>
                <w:sz w:val="18"/>
                <w:szCs w:val="18"/>
                <w:lang w:val="en-GB" w:eastAsia="en-US"/>
              </w:rPr>
              <w:t>AEs, n (%)</w:t>
            </w:r>
          </w:p>
        </w:tc>
        <w:tc>
          <w:tcPr>
            <w:tcW w:w="2138" w:type="dxa"/>
            <w:vMerge w:val="restart"/>
            <w:shd w:val="clear" w:color="auto" w:fill="D9D9D9"/>
          </w:tcPr>
          <w:p w14:paraId="596CE0B0" w14:textId="77777777" w:rsidR="00D95D84" w:rsidRPr="00D47C76" w:rsidRDefault="00D95D84" w:rsidP="00D95D84">
            <w:pPr>
              <w:spacing w:before="60" w:after="60"/>
              <w:jc w:val="center"/>
              <w:rPr>
                <w:rFonts w:ascii="Arial" w:eastAsia="Calibri" w:hAnsi="Arial" w:cs="Arial"/>
                <w:b/>
                <w:sz w:val="18"/>
                <w:szCs w:val="18"/>
                <w:lang w:val="en-GB" w:eastAsia="en-US"/>
              </w:rPr>
            </w:pPr>
            <w:r w:rsidRPr="00D47C76">
              <w:rPr>
                <w:rFonts w:ascii="Arial" w:eastAsia="Calibri" w:hAnsi="Arial" w:cs="Arial"/>
                <w:b/>
                <w:sz w:val="18"/>
                <w:szCs w:val="18"/>
                <w:lang w:val="en-GB" w:eastAsia="en-US"/>
              </w:rPr>
              <w:t>Lesinurad 200 mg + febuxostat (N=106)</w:t>
            </w:r>
          </w:p>
        </w:tc>
        <w:tc>
          <w:tcPr>
            <w:tcW w:w="2126" w:type="dxa"/>
            <w:vMerge w:val="restart"/>
            <w:shd w:val="clear" w:color="auto" w:fill="D9D9D9"/>
          </w:tcPr>
          <w:p w14:paraId="40F4B2F4" w14:textId="77777777" w:rsidR="00D95D84" w:rsidRPr="00D47C76" w:rsidRDefault="00D95D84" w:rsidP="00D95D84">
            <w:pPr>
              <w:spacing w:before="60" w:after="60"/>
              <w:jc w:val="center"/>
              <w:rPr>
                <w:rFonts w:ascii="Arial" w:eastAsia="Calibri" w:hAnsi="Arial" w:cs="Arial"/>
                <w:b/>
                <w:sz w:val="18"/>
                <w:szCs w:val="18"/>
                <w:lang w:val="en-GB" w:eastAsia="en-US"/>
              </w:rPr>
            </w:pPr>
            <w:r w:rsidRPr="00D47C76">
              <w:rPr>
                <w:rFonts w:ascii="Arial" w:eastAsia="Calibri" w:hAnsi="Arial" w:cs="Arial"/>
                <w:b/>
                <w:sz w:val="18"/>
                <w:szCs w:val="18"/>
                <w:lang w:val="en-GB" w:eastAsia="en-US"/>
              </w:rPr>
              <w:t>Placebo + febuxostat (N=109)</w:t>
            </w:r>
          </w:p>
        </w:tc>
      </w:tr>
      <w:tr w:rsidR="00D95D84" w:rsidRPr="00D47C76" w14:paraId="333646CD" w14:textId="77777777" w:rsidTr="00D95D84">
        <w:trPr>
          <w:trHeight w:val="350"/>
          <w:tblHeader/>
        </w:trPr>
        <w:tc>
          <w:tcPr>
            <w:tcW w:w="4066" w:type="dxa"/>
            <w:vMerge/>
            <w:shd w:val="clear" w:color="auto" w:fill="D9D9D9"/>
          </w:tcPr>
          <w:p w14:paraId="464D3062" w14:textId="77777777" w:rsidR="00D95D84" w:rsidRPr="00D47C76" w:rsidRDefault="00D95D84" w:rsidP="00D95D84">
            <w:pPr>
              <w:spacing w:before="60" w:after="60"/>
              <w:rPr>
                <w:rFonts w:ascii="Arial" w:eastAsia="Calibri" w:hAnsi="Arial" w:cs="Arial"/>
                <w:b/>
                <w:sz w:val="18"/>
                <w:szCs w:val="18"/>
                <w:lang w:val="en-GB" w:eastAsia="en-US"/>
              </w:rPr>
            </w:pPr>
          </w:p>
        </w:tc>
        <w:tc>
          <w:tcPr>
            <w:tcW w:w="2138" w:type="dxa"/>
            <w:vMerge/>
            <w:shd w:val="clear" w:color="auto" w:fill="D9D9D9"/>
          </w:tcPr>
          <w:p w14:paraId="1A45F89E" w14:textId="77777777" w:rsidR="00D95D84" w:rsidRPr="00D47C76" w:rsidRDefault="00D95D84" w:rsidP="00D95D84">
            <w:pPr>
              <w:spacing w:before="60" w:after="60"/>
              <w:jc w:val="center"/>
              <w:rPr>
                <w:rFonts w:ascii="Arial" w:eastAsia="Calibri" w:hAnsi="Arial" w:cs="Arial"/>
                <w:b/>
                <w:sz w:val="18"/>
                <w:szCs w:val="18"/>
                <w:lang w:val="en-GB" w:eastAsia="en-US"/>
              </w:rPr>
            </w:pPr>
          </w:p>
        </w:tc>
        <w:tc>
          <w:tcPr>
            <w:tcW w:w="2126" w:type="dxa"/>
            <w:vMerge/>
            <w:shd w:val="clear" w:color="auto" w:fill="D9D9D9"/>
          </w:tcPr>
          <w:p w14:paraId="095F9726" w14:textId="77777777" w:rsidR="00D95D84" w:rsidRPr="00D47C76" w:rsidRDefault="00D95D84" w:rsidP="00D95D84">
            <w:pPr>
              <w:spacing w:before="60" w:after="60"/>
              <w:jc w:val="center"/>
              <w:rPr>
                <w:rFonts w:ascii="Arial" w:eastAsia="Calibri" w:hAnsi="Arial" w:cs="Arial"/>
                <w:b/>
                <w:sz w:val="18"/>
                <w:szCs w:val="18"/>
                <w:lang w:val="en-GB" w:eastAsia="en-US"/>
              </w:rPr>
            </w:pPr>
          </w:p>
        </w:tc>
      </w:tr>
      <w:tr w:rsidR="00D95D84" w:rsidRPr="00D47C76" w14:paraId="7124F2A7" w14:textId="77777777" w:rsidTr="00D95D84">
        <w:tc>
          <w:tcPr>
            <w:tcW w:w="4066" w:type="dxa"/>
            <w:tcBorders>
              <w:bottom w:val="single" w:sz="4" w:space="0" w:color="000000"/>
            </w:tcBorders>
            <w:vAlign w:val="center"/>
          </w:tcPr>
          <w:p w14:paraId="4446F094" w14:textId="77777777" w:rsidR="00D95D84" w:rsidRPr="00D47C76" w:rsidRDefault="00D95D84" w:rsidP="00D95D84">
            <w:pPr>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w:t>
            </w:r>
          </w:p>
        </w:tc>
        <w:tc>
          <w:tcPr>
            <w:tcW w:w="2138" w:type="dxa"/>
            <w:tcBorders>
              <w:bottom w:val="single" w:sz="4" w:space="0" w:color="000000"/>
            </w:tcBorders>
            <w:vAlign w:val="center"/>
          </w:tcPr>
          <w:p w14:paraId="708829E4"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87 (82.1)</w:t>
            </w:r>
          </w:p>
        </w:tc>
        <w:tc>
          <w:tcPr>
            <w:tcW w:w="2126" w:type="dxa"/>
            <w:tcBorders>
              <w:bottom w:val="single" w:sz="4" w:space="0" w:color="000000"/>
            </w:tcBorders>
            <w:vAlign w:val="center"/>
          </w:tcPr>
          <w:p w14:paraId="32BBFEA6"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79 (72.5)</w:t>
            </w:r>
          </w:p>
        </w:tc>
      </w:tr>
      <w:tr w:rsidR="00D95D84" w:rsidRPr="00D47C76" w14:paraId="48A0E17C" w14:textId="77777777" w:rsidTr="00D95D84">
        <w:tc>
          <w:tcPr>
            <w:tcW w:w="4066" w:type="dxa"/>
            <w:tcBorders>
              <w:bottom w:val="single" w:sz="4" w:space="0" w:color="000000"/>
            </w:tcBorders>
            <w:vAlign w:val="center"/>
          </w:tcPr>
          <w:p w14:paraId="317DF465" w14:textId="77777777" w:rsidR="00D95D84" w:rsidRPr="00D47C76" w:rsidRDefault="00D95D84" w:rsidP="00D95D84">
            <w:pPr>
              <w:spacing w:before="60" w:after="60"/>
              <w:ind w:left="313"/>
              <w:rPr>
                <w:rFonts w:ascii="Arial" w:eastAsia="Calibri" w:hAnsi="Arial" w:cs="Arial"/>
                <w:sz w:val="18"/>
                <w:szCs w:val="18"/>
                <w:lang w:val="en-GB" w:eastAsia="en-US"/>
              </w:rPr>
            </w:pPr>
            <w:r w:rsidRPr="00D47C76">
              <w:rPr>
                <w:rFonts w:ascii="Arial" w:eastAsia="Calibri" w:hAnsi="Arial" w:cs="Arial"/>
                <w:sz w:val="18"/>
                <w:szCs w:val="18"/>
                <w:lang w:val="en-GB" w:eastAsia="en-US"/>
              </w:rPr>
              <w:t>Any AE possibly related to randomised study medication</w:t>
            </w:r>
          </w:p>
        </w:tc>
        <w:tc>
          <w:tcPr>
            <w:tcW w:w="2138" w:type="dxa"/>
            <w:tcBorders>
              <w:bottom w:val="single" w:sz="4" w:space="0" w:color="000000"/>
            </w:tcBorders>
            <w:vAlign w:val="center"/>
          </w:tcPr>
          <w:p w14:paraId="4815869B"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25 (23.6)</w:t>
            </w:r>
          </w:p>
        </w:tc>
        <w:tc>
          <w:tcPr>
            <w:tcW w:w="2126" w:type="dxa"/>
            <w:tcBorders>
              <w:bottom w:val="single" w:sz="4" w:space="0" w:color="000000"/>
            </w:tcBorders>
            <w:vAlign w:val="center"/>
          </w:tcPr>
          <w:p w14:paraId="7CD9BFD2"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22 (20.2)</w:t>
            </w:r>
          </w:p>
        </w:tc>
      </w:tr>
      <w:tr w:rsidR="00D95D84" w:rsidRPr="00D47C76" w14:paraId="3846D04A" w14:textId="77777777" w:rsidTr="00D95D84">
        <w:tc>
          <w:tcPr>
            <w:tcW w:w="4066" w:type="dxa"/>
            <w:tcBorders>
              <w:bottom w:val="single" w:sz="4" w:space="0" w:color="000000"/>
            </w:tcBorders>
            <w:vAlign w:val="center"/>
          </w:tcPr>
          <w:p w14:paraId="5EF7382C" w14:textId="77777777" w:rsidR="00D95D84" w:rsidRPr="00D47C76" w:rsidRDefault="00D95D84" w:rsidP="00D95D84">
            <w:pPr>
              <w:spacing w:before="60" w:after="60"/>
              <w:ind w:left="313"/>
              <w:rPr>
                <w:rFonts w:ascii="Arial" w:eastAsia="Calibri" w:hAnsi="Arial" w:cs="Arial"/>
                <w:sz w:val="18"/>
                <w:szCs w:val="18"/>
                <w:lang w:val="en-GB" w:eastAsia="en-US"/>
              </w:rPr>
            </w:pPr>
            <w:r w:rsidRPr="00D47C76">
              <w:rPr>
                <w:rFonts w:ascii="Arial" w:eastAsia="Calibri" w:hAnsi="Arial" w:cs="Arial"/>
                <w:sz w:val="18"/>
                <w:szCs w:val="18"/>
                <w:lang w:val="en-GB" w:eastAsia="en-US"/>
              </w:rPr>
              <w:t xml:space="preserve">Any AE possibly related to febuxostat </w:t>
            </w:r>
          </w:p>
        </w:tc>
        <w:tc>
          <w:tcPr>
            <w:tcW w:w="2138" w:type="dxa"/>
            <w:tcBorders>
              <w:bottom w:val="single" w:sz="4" w:space="0" w:color="000000"/>
            </w:tcBorders>
            <w:vAlign w:val="center"/>
          </w:tcPr>
          <w:p w14:paraId="4D32DFED"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19 (17.9)</w:t>
            </w:r>
          </w:p>
        </w:tc>
        <w:tc>
          <w:tcPr>
            <w:tcW w:w="2126" w:type="dxa"/>
            <w:tcBorders>
              <w:bottom w:val="single" w:sz="4" w:space="0" w:color="000000"/>
            </w:tcBorders>
            <w:vAlign w:val="center"/>
          </w:tcPr>
          <w:p w14:paraId="33C56F2D"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19 (17.4)</w:t>
            </w:r>
          </w:p>
        </w:tc>
      </w:tr>
      <w:tr w:rsidR="00D95D84" w:rsidRPr="00D47C76" w14:paraId="4D4C9B6A" w14:textId="77777777" w:rsidTr="00D95D84">
        <w:tc>
          <w:tcPr>
            <w:tcW w:w="4066" w:type="dxa"/>
            <w:tcBorders>
              <w:bottom w:val="single" w:sz="4" w:space="0" w:color="000000"/>
            </w:tcBorders>
            <w:vAlign w:val="center"/>
          </w:tcPr>
          <w:p w14:paraId="0FB1708A" w14:textId="77777777" w:rsidR="00D95D84" w:rsidRPr="00D47C76" w:rsidRDefault="00D95D84" w:rsidP="00D95D84">
            <w:pPr>
              <w:spacing w:before="60" w:after="60"/>
              <w:ind w:left="313"/>
              <w:rPr>
                <w:rFonts w:ascii="Arial" w:eastAsia="Calibri" w:hAnsi="Arial" w:cs="Arial"/>
                <w:sz w:val="18"/>
                <w:szCs w:val="18"/>
                <w:lang w:val="en-GB" w:eastAsia="en-US"/>
              </w:rPr>
            </w:pPr>
            <w:r w:rsidRPr="00D47C76">
              <w:rPr>
                <w:rFonts w:ascii="Arial" w:eastAsia="Calibri" w:hAnsi="Arial" w:cs="Arial"/>
                <w:sz w:val="18"/>
                <w:szCs w:val="18"/>
                <w:lang w:val="en-GB" w:eastAsia="en-US"/>
              </w:rPr>
              <w:t>Any AE possibly related to prophylaxis</w:t>
            </w:r>
          </w:p>
        </w:tc>
        <w:tc>
          <w:tcPr>
            <w:tcW w:w="2138" w:type="dxa"/>
            <w:tcBorders>
              <w:bottom w:val="single" w:sz="4" w:space="0" w:color="000000"/>
            </w:tcBorders>
            <w:vAlign w:val="center"/>
          </w:tcPr>
          <w:p w14:paraId="253726D1"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17 (16.0)</w:t>
            </w:r>
          </w:p>
        </w:tc>
        <w:tc>
          <w:tcPr>
            <w:tcW w:w="2126" w:type="dxa"/>
            <w:tcBorders>
              <w:bottom w:val="single" w:sz="4" w:space="0" w:color="000000"/>
            </w:tcBorders>
            <w:vAlign w:val="center"/>
          </w:tcPr>
          <w:p w14:paraId="4FD8DABE"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15 (13.8)</w:t>
            </w:r>
          </w:p>
        </w:tc>
      </w:tr>
      <w:tr w:rsidR="00D95D84" w:rsidRPr="00D47C76" w14:paraId="127EEC32" w14:textId="77777777" w:rsidTr="00D95D84">
        <w:tc>
          <w:tcPr>
            <w:tcW w:w="4066" w:type="dxa"/>
            <w:tcBorders>
              <w:bottom w:val="single" w:sz="4" w:space="0" w:color="000000"/>
            </w:tcBorders>
            <w:vAlign w:val="center"/>
          </w:tcPr>
          <w:p w14:paraId="0EF31D09" w14:textId="77777777" w:rsidR="00D95D84" w:rsidRPr="00D47C76" w:rsidRDefault="00D95D84" w:rsidP="00D95D84">
            <w:pPr>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with RCTC toxicity Grade 3 or 4</w:t>
            </w:r>
          </w:p>
        </w:tc>
        <w:tc>
          <w:tcPr>
            <w:tcW w:w="2138" w:type="dxa"/>
            <w:tcBorders>
              <w:bottom w:val="single" w:sz="4" w:space="0" w:color="000000"/>
            </w:tcBorders>
            <w:vAlign w:val="center"/>
          </w:tcPr>
          <w:p w14:paraId="1FAD887C"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11 (10.4)</w:t>
            </w:r>
          </w:p>
        </w:tc>
        <w:tc>
          <w:tcPr>
            <w:tcW w:w="2126" w:type="dxa"/>
            <w:tcBorders>
              <w:bottom w:val="single" w:sz="4" w:space="0" w:color="000000"/>
            </w:tcBorders>
            <w:vAlign w:val="center"/>
          </w:tcPr>
          <w:p w14:paraId="5F59C8F3"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13 (11.9)</w:t>
            </w:r>
          </w:p>
        </w:tc>
      </w:tr>
      <w:tr w:rsidR="00D95D84" w:rsidRPr="00D47C76" w14:paraId="3453FC8F" w14:textId="77777777" w:rsidTr="00D95D84">
        <w:tc>
          <w:tcPr>
            <w:tcW w:w="4066" w:type="dxa"/>
            <w:tcBorders>
              <w:bottom w:val="single" w:sz="4" w:space="0" w:color="000000"/>
            </w:tcBorders>
            <w:vAlign w:val="center"/>
          </w:tcPr>
          <w:p w14:paraId="2A37EC71" w14:textId="77777777" w:rsidR="00D95D84" w:rsidRPr="00D47C76" w:rsidRDefault="00D95D84" w:rsidP="00D95D84">
            <w:pPr>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SAE</w:t>
            </w:r>
          </w:p>
        </w:tc>
        <w:tc>
          <w:tcPr>
            <w:tcW w:w="2138" w:type="dxa"/>
            <w:tcBorders>
              <w:bottom w:val="single" w:sz="4" w:space="0" w:color="000000"/>
            </w:tcBorders>
            <w:vAlign w:val="center"/>
          </w:tcPr>
          <w:p w14:paraId="3E768052"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6 (5.7)</w:t>
            </w:r>
          </w:p>
        </w:tc>
        <w:tc>
          <w:tcPr>
            <w:tcW w:w="2126" w:type="dxa"/>
            <w:tcBorders>
              <w:bottom w:val="single" w:sz="4" w:space="0" w:color="000000"/>
            </w:tcBorders>
            <w:vAlign w:val="center"/>
          </w:tcPr>
          <w:p w14:paraId="63259863"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10 (9.2)</w:t>
            </w:r>
          </w:p>
        </w:tc>
      </w:tr>
      <w:tr w:rsidR="00D95D84" w:rsidRPr="00D47C76" w14:paraId="77E17916" w14:textId="77777777" w:rsidTr="00D95D84">
        <w:tc>
          <w:tcPr>
            <w:tcW w:w="4066" w:type="dxa"/>
            <w:tcBorders>
              <w:bottom w:val="single" w:sz="4" w:space="0" w:color="000000"/>
            </w:tcBorders>
            <w:vAlign w:val="center"/>
          </w:tcPr>
          <w:p w14:paraId="150CD7B0" w14:textId="77777777" w:rsidR="00D95D84" w:rsidRPr="00D47C76" w:rsidRDefault="00D95D84" w:rsidP="00D95D84">
            <w:pPr>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fatal AE</w:t>
            </w:r>
          </w:p>
        </w:tc>
        <w:tc>
          <w:tcPr>
            <w:tcW w:w="2138" w:type="dxa"/>
            <w:tcBorders>
              <w:bottom w:val="single" w:sz="4" w:space="0" w:color="000000"/>
            </w:tcBorders>
            <w:vAlign w:val="center"/>
          </w:tcPr>
          <w:p w14:paraId="28BB3755"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1 (0.9)</w:t>
            </w:r>
          </w:p>
        </w:tc>
        <w:tc>
          <w:tcPr>
            <w:tcW w:w="2126" w:type="dxa"/>
            <w:tcBorders>
              <w:bottom w:val="single" w:sz="4" w:space="0" w:color="000000"/>
            </w:tcBorders>
            <w:vAlign w:val="center"/>
          </w:tcPr>
          <w:p w14:paraId="31467ACB"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0 (0.0)</w:t>
            </w:r>
          </w:p>
        </w:tc>
      </w:tr>
      <w:tr w:rsidR="00D95D84" w:rsidRPr="00D47C76" w14:paraId="75CE6CDD" w14:textId="77777777" w:rsidTr="00D95D84">
        <w:tc>
          <w:tcPr>
            <w:tcW w:w="4066" w:type="dxa"/>
            <w:tcBorders>
              <w:top w:val="nil"/>
              <w:bottom w:val="single" w:sz="4" w:space="0" w:color="000000"/>
            </w:tcBorders>
            <w:vAlign w:val="center"/>
          </w:tcPr>
          <w:p w14:paraId="1FEF3BCD" w14:textId="77777777" w:rsidR="00D95D84" w:rsidRPr="00D47C76" w:rsidRDefault="00D95D84" w:rsidP="00D95D84">
            <w:pPr>
              <w:tabs>
                <w:tab w:val="left" w:pos="318"/>
              </w:tabs>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leading to randomised study medication discontinuation</w:t>
            </w:r>
          </w:p>
        </w:tc>
        <w:tc>
          <w:tcPr>
            <w:tcW w:w="2138" w:type="dxa"/>
            <w:tcBorders>
              <w:top w:val="nil"/>
              <w:bottom w:val="single" w:sz="4" w:space="0" w:color="000000"/>
            </w:tcBorders>
            <w:vAlign w:val="center"/>
          </w:tcPr>
          <w:p w14:paraId="37D5F639"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9 (8.5)</w:t>
            </w:r>
          </w:p>
        </w:tc>
        <w:tc>
          <w:tcPr>
            <w:tcW w:w="2126" w:type="dxa"/>
            <w:tcBorders>
              <w:top w:val="nil"/>
              <w:bottom w:val="single" w:sz="4" w:space="0" w:color="000000"/>
            </w:tcBorders>
            <w:vAlign w:val="center"/>
          </w:tcPr>
          <w:p w14:paraId="2653BEE0"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9 (8.3)</w:t>
            </w:r>
          </w:p>
        </w:tc>
      </w:tr>
      <w:tr w:rsidR="00D95D84" w:rsidRPr="00D47C76" w14:paraId="475B1233" w14:textId="77777777" w:rsidTr="00D95D84">
        <w:tc>
          <w:tcPr>
            <w:tcW w:w="4066" w:type="dxa"/>
            <w:tcBorders>
              <w:top w:val="nil"/>
              <w:bottom w:val="single" w:sz="4" w:space="0" w:color="000000"/>
            </w:tcBorders>
            <w:vAlign w:val="center"/>
          </w:tcPr>
          <w:p w14:paraId="0B336428" w14:textId="77777777" w:rsidR="00D95D84" w:rsidRPr="00D47C76" w:rsidRDefault="00D95D84" w:rsidP="00D95D84">
            <w:pPr>
              <w:tabs>
                <w:tab w:val="left" w:pos="318"/>
              </w:tabs>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leading to febuxostat discontinuation</w:t>
            </w:r>
          </w:p>
        </w:tc>
        <w:tc>
          <w:tcPr>
            <w:tcW w:w="2138" w:type="dxa"/>
            <w:tcBorders>
              <w:top w:val="nil"/>
              <w:bottom w:val="single" w:sz="4" w:space="0" w:color="000000"/>
            </w:tcBorders>
            <w:vAlign w:val="center"/>
          </w:tcPr>
          <w:p w14:paraId="4D960E66"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7 (6.6)</w:t>
            </w:r>
          </w:p>
        </w:tc>
        <w:tc>
          <w:tcPr>
            <w:tcW w:w="2126" w:type="dxa"/>
            <w:tcBorders>
              <w:top w:val="nil"/>
              <w:bottom w:val="single" w:sz="4" w:space="0" w:color="000000"/>
            </w:tcBorders>
            <w:vAlign w:val="center"/>
          </w:tcPr>
          <w:p w14:paraId="10B33DEB"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5 (4.6)</w:t>
            </w:r>
          </w:p>
        </w:tc>
      </w:tr>
      <w:tr w:rsidR="00D95D84" w:rsidRPr="00D47C76" w14:paraId="34794FBE" w14:textId="77777777" w:rsidTr="00D95D84">
        <w:tc>
          <w:tcPr>
            <w:tcW w:w="4066" w:type="dxa"/>
            <w:tcBorders>
              <w:top w:val="single" w:sz="4" w:space="0" w:color="000000"/>
              <w:bottom w:val="single" w:sz="4" w:space="0" w:color="000000"/>
            </w:tcBorders>
            <w:vAlign w:val="center"/>
          </w:tcPr>
          <w:p w14:paraId="0BD6005A" w14:textId="77777777" w:rsidR="00D95D84" w:rsidRPr="00D47C76" w:rsidRDefault="00D95D84" w:rsidP="00D95D84">
            <w:pPr>
              <w:tabs>
                <w:tab w:val="left" w:pos="318"/>
              </w:tabs>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leading to prophylaxis discontinuation</w:t>
            </w:r>
          </w:p>
        </w:tc>
        <w:tc>
          <w:tcPr>
            <w:tcW w:w="2138" w:type="dxa"/>
            <w:tcBorders>
              <w:top w:val="single" w:sz="4" w:space="0" w:color="000000"/>
              <w:bottom w:val="single" w:sz="4" w:space="0" w:color="000000"/>
            </w:tcBorders>
            <w:vAlign w:val="center"/>
          </w:tcPr>
          <w:p w14:paraId="2BD83DA9"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4 (3.8)</w:t>
            </w:r>
          </w:p>
        </w:tc>
        <w:tc>
          <w:tcPr>
            <w:tcW w:w="2126" w:type="dxa"/>
            <w:tcBorders>
              <w:top w:val="single" w:sz="4" w:space="0" w:color="000000"/>
              <w:bottom w:val="single" w:sz="4" w:space="0" w:color="000000"/>
            </w:tcBorders>
            <w:vAlign w:val="center"/>
          </w:tcPr>
          <w:p w14:paraId="21C24261"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4 (3.7)</w:t>
            </w:r>
          </w:p>
        </w:tc>
      </w:tr>
      <w:tr w:rsidR="00D95D84" w:rsidRPr="00D47C76" w14:paraId="3C869858" w14:textId="77777777" w:rsidTr="00D95D84">
        <w:tc>
          <w:tcPr>
            <w:tcW w:w="4066" w:type="dxa"/>
            <w:tcBorders>
              <w:top w:val="single" w:sz="4" w:space="0" w:color="000000"/>
              <w:bottom w:val="single" w:sz="4" w:space="0" w:color="000000"/>
            </w:tcBorders>
            <w:vAlign w:val="center"/>
          </w:tcPr>
          <w:p w14:paraId="2CF4F0F5" w14:textId="77777777" w:rsidR="00D95D84" w:rsidRPr="00D47C76" w:rsidRDefault="00D95D84" w:rsidP="00D95D84">
            <w:pPr>
              <w:tabs>
                <w:tab w:val="left" w:pos="318"/>
              </w:tabs>
              <w:spacing w:before="60" w:after="60"/>
              <w:rPr>
                <w:rFonts w:ascii="Arial" w:eastAsia="Calibri" w:hAnsi="Arial" w:cs="Arial"/>
                <w:sz w:val="18"/>
                <w:szCs w:val="18"/>
                <w:lang w:val="en-GB" w:eastAsia="en-US"/>
              </w:rPr>
            </w:pPr>
            <w:r w:rsidRPr="00D47C76">
              <w:rPr>
                <w:rFonts w:ascii="Arial" w:eastAsia="Calibri" w:hAnsi="Arial" w:cs="Arial"/>
                <w:sz w:val="18"/>
                <w:szCs w:val="18"/>
                <w:lang w:val="en-GB" w:eastAsia="en-US"/>
              </w:rPr>
              <w:t>Any AE leading to study withdrawal</w:t>
            </w:r>
          </w:p>
        </w:tc>
        <w:tc>
          <w:tcPr>
            <w:tcW w:w="2138" w:type="dxa"/>
            <w:tcBorders>
              <w:top w:val="single" w:sz="4" w:space="0" w:color="000000"/>
              <w:bottom w:val="single" w:sz="4" w:space="0" w:color="000000"/>
            </w:tcBorders>
            <w:vAlign w:val="center"/>
          </w:tcPr>
          <w:p w14:paraId="4BCCC50A"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7 (6.6)</w:t>
            </w:r>
          </w:p>
        </w:tc>
        <w:tc>
          <w:tcPr>
            <w:tcW w:w="2126" w:type="dxa"/>
            <w:tcBorders>
              <w:top w:val="single" w:sz="4" w:space="0" w:color="000000"/>
              <w:bottom w:val="single" w:sz="4" w:space="0" w:color="000000"/>
            </w:tcBorders>
            <w:vAlign w:val="center"/>
          </w:tcPr>
          <w:p w14:paraId="09AFE8E7" w14:textId="77777777" w:rsidR="00D95D84" w:rsidRPr="00D47C76" w:rsidRDefault="00D95D84" w:rsidP="00D95D84">
            <w:pPr>
              <w:spacing w:before="60" w:after="60"/>
              <w:jc w:val="center"/>
              <w:rPr>
                <w:rFonts w:ascii="Arial" w:eastAsia="Calibri" w:hAnsi="Arial" w:cs="Arial"/>
                <w:sz w:val="18"/>
                <w:szCs w:val="18"/>
                <w:lang w:val="en-GB" w:eastAsia="en-US"/>
              </w:rPr>
            </w:pPr>
            <w:r w:rsidRPr="00D47C76">
              <w:rPr>
                <w:rFonts w:ascii="Arial" w:eastAsia="Calibri" w:hAnsi="Arial" w:cs="Arial"/>
                <w:sz w:val="18"/>
                <w:szCs w:val="18"/>
                <w:lang w:val="en-GB" w:eastAsia="en-US"/>
              </w:rPr>
              <w:t>4 (3.7)</w:t>
            </w:r>
          </w:p>
        </w:tc>
      </w:tr>
    </w:tbl>
    <w:p w14:paraId="2C07493A" w14:textId="4078A3CD" w:rsidR="004A0A1A" w:rsidRPr="00C513E7" w:rsidRDefault="00973C0B" w:rsidP="005C13A6">
      <w:pPr>
        <w:pStyle w:val="Paragrafoelenco3"/>
        <w:spacing w:line="360" w:lineRule="auto"/>
        <w:ind w:left="0"/>
        <w:jc w:val="both"/>
        <w:rPr>
          <w:rFonts w:asciiTheme="minorHAnsi" w:hAnsiTheme="minorHAnsi" w:cs="Arial"/>
          <w:sz w:val="18"/>
          <w:szCs w:val="18"/>
          <w:lang w:val="en-US"/>
        </w:rPr>
      </w:pPr>
      <w:r w:rsidRPr="00C513E7">
        <w:rPr>
          <w:rFonts w:asciiTheme="minorHAnsi" w:hAnsiTheme="minorHAnsi" w:cs="Arial"/>
          <w:sz w:val="18"/>
          <w:szCs w:val="18"/>
          <w:lang w:val="en-GB"/>
        </w:rPr>
        <w:t>Abbreviations: AE, adverse event; RCTC, rheumatology common toxicity criteria; SAE, serious adverse event.</w:t>
      </w:r>
    </w:p>
    <w:p w14:paraId="296C940C" w14:textId="77777777" w:rsidR="004A0A1A" w:rsidRPr="00F562F7" w:rsidRDefault="004A0A1A" w:rsidP="004A0A1A">
      <w:pPr>
        <w:pStyle w:val="Paragrafoelenco3"/>
        <w:spacing w:line="360" w:lineRule="auto"/>
        <w:ind w:left="0"/>
        <w:jc w:val="both"/>
        <w:rPr>
          <w:rFonts w:asciiTheme="minorHAnsi" w:hAnsiTheme="minorHAnsi" w:cs="Arial"/>
          <w:sz w:val="20"/>
          <w:szCs w:val="20"/>
          <w:lang w:val="en-US"/>
        </w:rPr>
      </w:pPr>
    </w:p>
    <w:p w14:paraId="67C7F8EC" w14:textId="21B68669" w:rsidR="005C13A6" w:rsidRDefault="005C13A6" w:rsidP="000210A2">
      <w:pPr>
        <w:pStyle w:val="Paragrafoelenco3"/>
        <w:spacing w:line="360" w:lineRule="auto"/>
        <w:ind w:left="0"/>
        <w:rPr>
          <w:rFonts w:asciiTheme="minorHAnsi" w:hAnsiTheme="minorHAnsi" w:cs="Arial"/>
          <w:sz w:val="20"/>
          <w:szCs w:val="20"/>
        </w:rPr>
      </w:pPr>
      <w:r w:rsidRPr="005C13A6">
        <w:rPr>
          <w:rFonts w:asciiTheme="minorHAnsi" w:hAnsiTheme="minorHAnsi" w:cs="Arial"/>
          <w:sz w:val="20"/>
          <w:szCs w:val="20"/>
        </w:rPr>
        <w:t xml:space="preserve">L'incidenza complessiva di </w:t>
      </w:r>
      <w:r w:rsidRPr="00AB3235">
        <w:rPr>
          <w:rFonts w:asciiTheme="minorHAnsi" w:hAnsiTheme="minorHAnsi" w:cs="Arial"/>
          <w:b/>
          <w:sz w:val="20"/>
          <w:szCs w:val="20"/>
        </w:rPr>
        <w:t>eventi avversi renali</w:t>
      </w:r>
      <w:r w:rsidRPr="005C13A6">
        <w:rPr>
          <w:rFonts w:asciiTheme="minorHAnsi" w:hAnsiTheme="minorHAnsi" w:cs="Arial"/>
          <w:sz w:val="20"/>
          <w:szCs w:val="20"/>
        </w:rPr>
        <w:t xml:space="preserve"> è stata </w:t>
      </w:r>
      <w:r w:rsidR="00E00583">
        <w:rPr>
          <w:rFonts w:asciiTheme="minorHAnsi" w:hAnsiTheme="minorHAnsi" w:cs="Arial"/>
          <w:sz w:val="20"/>
          <w:szCs w:val="20"/>
        </w:rPr>
        <w:t>leggermente superiore nel gruppo lesinurad 200 mg</w:t>
      </w:r>
      <w:r w:rsidRPr="005C13A6">
        <w:rPr>
          <w:rFonts w:asciiTheme="minorHAnsi" w:hAnsiTheme="minorHAnsi" w:cs="Arial"/>
          <w:sz w:val="20"/>
          <w:szCs w:val="20"/>
        </w:rPr>
        <w:t xml:space="preserve">. </w:t>
      </w:r>
      <w:r w:rsidR="00E00583">
        <w:rPr>
          <w:rFonts w:asciiTheme="minorHAnsi" w:hAnsiTheme="minorHAnsi" w:cs="Arial"/>
          <w:sz w:val="20"/>
          <w:szCs w:val="20"/>
        </w:rPr>
        <w:t>L</w:t>
      </w:r>
      <w:r w:rsidRPr="005C13A6">
        <w:rPr>
          <w:rFonts w:asciiTheme="minorHAnsi" w:hAnsiTheme="minorHAnsi" w:cs="Arial"/>
          <w:sz w:val="20"/>
          <w:szCs w:val="20"/>
        </w:rPr>
        <w:t xml:space="preserve">’aumento della creatinina sierica è stato più frequente tra i pazienti trattati con lesinurad 200 mg in combinazione con febuxostat (6,6% </w:t>
      </w:r>
      <w:r w:rsidR="008C2223">
        <w:rPr>
          <w:rFonts w:asciiTheme="minorHAnsi" w:hAnsiTheme="minorHAnsi" w:cs="Arial"/>
          <w:sz w:val="20"/>
          <w:szCs w:val="20"/>
        </w:rPr>
        <w:t>lesinurad 200 mg + febuxostat</w:t>
      </w:r>
      <w:r w:rsidR="008C2223" w:rsidRPr="008C2223">
        <w:rPr>
          <w:rFonts w:asciiTheme="minorHAnsi" w:hAnsiTheme="minorHAnsi" w:cs="Arial"/>
          <w:sz w:val="20"/>
          <w:szCs w:val="20"/>
        </w:rPr>
        <w:t xml:space="preserve"> </w:t>
      </w:r>
      <w:r w:rsidRPr="005C13A6">
        <w:rPr>
          <w:rFonts w:asciiTheme="minorHAnsi" w:hAnsiTheme="minorHAnsi" w:cs="Arial"/>
          <w:sz w:val="20"/>
          <w:szCs w:val="20"/>
        </w:rPr>
        <w:t>versus 2,8%</w:t>
      </w:r>
      <w:r w:rsidR="008C2223" w:rsidRPr="008C2223">
        <w:t xml:space="preserve"> </w:t>
      </w:r>
      <w:r w:rsidR="008C2223">
        <w:rPr>
          <w:rFonts w:asciiTheme="minorHAnsi" w:hAnsiTheme="minorHAnsi" w:cs="Arial"/>
          <w:sz w:val="20"/>
          <w:szCs w:val="20"/>
        </w:rPr>
        <w:t>febuxostat</w:t>
      </w:r>
      <w:r w:rsidR="008C2223" w:rsidRPr="008C2223">
        <w:rPr>
          <w:rFonts w:asciiTheme="minorHAnsi" w:hAnsiTheme="minorHAnsi" w:cs="Arial"/>
          <w:sz w:val="20"/>
          <w:szCs w:val="20"/>
        </w:rPr>
        <w:t xml:space="preserve"> in monoterapia</w:t>
      </w:r>
      <w:r w:rsidRPr="005C13A6">
        <w:rPr>
          <w:rFonts w:asciiTheme="minorHAnsi" w:hAnsiTheme="minorHAnsi" w:cs="Arial"/>
          <w:sz w:val="20"/>
          <w:szCs w:val="20"/>
        </w:rPr>
        <w:t>). La maggior parte di questi incrementi si è risolta senza necessità di int</w:t>
      </w:r>
      <w:r w:rsidR="00D64C92">
        <w:rPr>
          <w:rFonts w:asciiTheme="minorHAnsi" w:hAnsiTheme="minorHAnsi" w:cs="Arial"/>
          <w:sz w:val="20"/>
          <w:szCs w:val="20"/>
        </w:rPr>
        <w:t>erruzione del trattamento (</w:t>
      </w:r>
      <w:hyperlink w:anchor="Tabella17" w:history="1">
        <w:r w:rsidRPr="006B197C">
          <w:rPr>
            <w:rStyle w:val="Hyperlink"/>
            <w:rFonts w:asciiTheme="minorHAnsi" w:hAnsiTheme="minorHAnsi" w:cs="Arial"/>
            <w:sz w:val="20"/>
            <w:szCs w:val="20"/>
          </w:rPr>
          <w:t xml:space="preserve">Tabella </w:t>
        </w:r>
        <w:r w:rsidR="002267C9" w:rsidRPr="006B197C">
          <w:rPr>
            <w:rStyle w:val="Hyperlink"/>
            <w:rFonts w:asciiTheme="minorHAnsi" w:hAnsiTheme="minorHAnsi" w:cs="Arial"/>
            <w:sz w:val="20"/>
            <w:szCs w:val="20"/>
          </w:rPr>
          <w:t>1</w:t>
        </w:r>
        <w:r w:rsidR="006B197C" w:rsidRPr="006B197C">
          <w:rPr>
            <w:rStyle w:val="Hyperlink"/>
            <w:rFonts w:asciiTheme="minorHAnsi" w:hAnsiTheme="minorHAnsi" w:cs="Arial"/>
            <w:sz w:val="20"/>
            <w:szCs w:val="20"/>
          </w:rPr>
          <w:t>7</w:t>
        </w:r>
      </w:hyperlink>
      <w:r w:rsidRPr="005C13A6">
        <w:rPr>
          <w:rFonts w:asciiTheme="minorHAnsi" w:hAnsiTheme="minorHAnsi" w:cs="Arial"/>
          <w:sz w:val="20"/>
          <w:szCs w:val="20"/>
        </w:rPr>
        <w:t xml:space="preserve">). </w:t>
      </w:r>
      <w:r w:rsidR="008C2223">
        <w:rPr>
          <w:rFonts w:asciiTheme="minorHAnsi" w:hAnsiTheme="minorHAnsi" w:cs="Arial"/>
          <w:sz w:val="20"/>
          <w:szCs w:val="20"/>
        </w:rPr>
        <w:t>Come per gli studi CLEAR 1 e CLEAR 2 a</w:t>
      </w:r>
      <w:r w:rsidR="008C2223" w:rsidRPr="005C13A6">
        <w:rPr>
          <w:rFonts w:asciiTheme="minorHAnsi" w:hAnsiTheme="minorHAnsi" w:cs="Arial"/>
          <w:sz w:val="20"/>
          <w:szCs w:val="20"/>
        </w:rPr>
        <w:t xml:space="preserve">nche </w:t>
      </w:r>
      <w:r w:rsidRPr="005C13A6">
        <w:rPr>
          <w:rFonts w:asciiTheme="minorHAnsi" w:hAnsiTheme="minorHAnsi" w:cs="Arial"/>
          <w:sz w:val="20"/>
          <w:szCs w:val="20"/>
        </w:rPr>
        <w:t xml:space="preserve">la frequenza di calcoli renali è apparsa confrontabile tra i gruppi, anzi percentualmente inferiore per il gruppo lesinurad </w:t>
      </w:r>
      <w:r w:rsidR="008C2223">
        <w:rPr>
          <w:rFonts w:asciiTheme="minorHAnsi" w:hAnsiTheme="minorHAnsi" w:cs="Arial"/>
          <w:sz w:val="20"/>
          <w:szCs w:val="20"/>
        </w:rPr>
        <w:t>(</w:t>
      </w:r>
      <w:r w:rsidRPr="005C13A6">
        <w:rPr>
          <w:rFonts w:asciiTheme="minorHAnsi" w:hAnsiTheme="minorHAnsi" w:cs="Arial"/>
          <w:sz w:val="20"/>
          <w:szCs w:val="20"/>
        </w:rPr>
        <w:t xml:space="preserve">0.9% </w:t>
      </w:r>
      <w:r w:rsidR="008C2223">
        <w:rPr>
          <w:rFonts w:asciiTheme="minorHAnsi" w:hAnsiTheme="minorHAnsi" w:cs="Arial"/>
          <w:sz w:val="20"/>
          <w:szCs w:val="20"/>
        </w:rPr>
        <w:t>lesinurad 200 mg + febuxostat</w:t>
      </w:r>
      <w:r w:rsidR="008C2223" w:rsidRPr="008C2223">
        <w:rPr>
          <w:rFonts w:asciiTheme="minorHAnsi" w:hAnsiTheme="minorHAnsi" w:cs="Arial"/>
          <w:sz w:val="20"/>
          <w:szCs w:val="20"/>
        </w:rPr>
        <w:t xml:space="preserve"> </w:t>
      </w:r>
      <w:r w:rsidRPr="005C13A6">
        <w:rPr>
          <w:rFonts w:asciiTheme="minorHAnsi" w:hAnsiTheme="minorHAnsi" w:cs="Arial"/>
          <w:sz w:val="20"/>
          <w:szCs w:val="20"/>
        </w:rPr>
        <w:t xml:space="preserve">vs. 3.7% </w:t>
      </w:r>
      <w:r w:rsidR="008C2223">
        <w:rPr>
          <w:rFonts w:asciiTheme="minorHAnsi" w:hAnsiTheme="minorHAnsi" w:cs="Arial"/>
          <w:sz w:val="20"/>
          <w:szCs w:val="20"/>
        </w:rPr>
        <w:t>febuxostat</w:t>
      </w:r>
      <w:r w:rsidR="008C2223" w:rsidRPr="008C2223">
        <w:rPr>
          <w:rFonts w:asciiTheme="minorHAnsi" w:hAnsiTheme="minorHAnsi" w:cs="Arial"/>
          <w:sz w:val="20"/>
          <w:szCs w:val="20"/>
        </w:rPr>
        <w:t xml:space="preserve"> in monoterapia</w:t>
      </w:r>
      <w:r w:rsidR="008C2223">
        <w:rPr>
          <w:rFonts w:asciiTheme="minorHAnsi" w:hAnsiTheme="minorHAnsi" w:cs="Arial"/>
          <w:sz w:val="20"/>
          <w:szCs w:val="20"/>
        </w:rPr>
        <w:t xml:space="preserve">) </w:t>
      </w:r>
      <w:r w:rsidRPr="005C13A6">
        <w:rPr>
          <w:rFonts w:asciiTheme="minorHAnsi" w:hAnsiTheme="minorHAnsi" w:cs="Arial"/>
          <w:sz w:val="20"/>
          <w:szCs w:val="20"/>
        </w:rPr>
        <w:t>.</w:t>
      </w:r>
    </w:p>
    <w:p w14:paraId="14EA8620" w14:textId="77777777" w:rsidR="00AF5F11" w:rsidRPr="005C13A6" w:rsidRDefault="00AF5F11" w:rsidP="000210A2">
      <w:pPr>
        <w:pStyle w:val="Paragrafoelenco3"/>
        <w:spacing w:line="360" w:lineRule="auto"/>
        <w:ind w:left="0"/>
        <w:rPr>
          <w:rFonts w:asciiTheme="minorHAnsi" w:hAnsiTheme="minorHAnsi" w:cs="Arial"/>
          <w:sz w:val="20"/>
          <w:szCs w:val="20"/>
        </w:rPr>
      </w:pPr>
    </w:p>
    <w:p w14:paraId="5779877E" w14:textId="77777777" w:rsidR="002267C9" w:rsidRDefault="002267C9" w:rsidP="000210A2">
      <w:pPr>
        <w:rPr>
          <w:rFonts w:eastAsia="Times New Roman" w:cstheme="minorHAnsi"/>
          <w:b/>
          <w:bCs/>
          <w:color w:val="00355F"/>
          <w:sz w:val="20"/>
          <w:szCs w:val="20"/>
          <w:lang w:eastAsia="en-US"/>
        </w:rPr>
      </w:pPr>
      <w:r>
        <w:rPr>
          <w:rFonts w:cstheme="minorHAnsi"/>
        </w:rPr>
        <w:br w:type="page"/>
      </w:r>
    </w:p>
    <w:p w14:paraId="7DA56FA4" w14:textId="0C5EBD0C" w:rsidR="005C13A6" w:rsidRPr="00D64C92" w:rsidRDefault="00D64C92" w:rsidP="00D64C92">
      <w:pPr>
        <w:pStyle w:val="Caption"/>
        <w:rPr>
          <w:rFonts w:asciiTheme="minorHAnsi" w:hAnsiTheme="minorHAnsi" w:cstheme="minorHAnsi"/>
          <w:lang w:val="it-IT"/>
        </w:rPr>
      </w:pPr>
      <w:bookmarkStart w:id="146" w:name="Tabella17"/>
      <w:bookmarkStart w:id="147" w:name="_Toc473150702"/>
      <w:bookmarkEnd w:id="146"/>
      <w:r w:rsidRPr="00D64C92">
        <w:rPr>
          <w:rFonts w:asciiTheme="minorHAnsi" w:hAnsiTheme="minorHAnsi" w:cstheme="minorHAnsi"/>
          <w:lang w:val="it-IT"/>
        </w:rPr>
        <w:t xml:space="preserve">Tabella </w:t>
      </w:r>
      <w:r w:rsidRPr="00D64C92">
        <w:rPr>
          <w:rFonts w:asciiTheme="minorHAnsi" w:hAnsiTheme="minorHAnsi" w:cstheme="minorHAnsi"/>
        </w:rPr>
        <w:fldChar w:fldCharType="begin"/>
      </w:r>
      <w:r w:rsidRPr="00D64C92">
        <w:rPr>
          <w:rFonts w:asciiTheme="minorHAnsi" w:hAnsiTheme="minorHAnsi" w:cstheme="minorHAnsi"/>
          <w:lang w:val="it-IT"/>
        </w:rPr>
        <w:instrText xml:space="preserve"> SEQ Tabella \* ARABIC </w:instrText>
      </w:r>
      <w:r w:rsidRPr="00D64C92">
        <w:rPr>
          <w:rFonts w:asciiTheme="minorHAnsi" w:hAnsiTheme="minorHAnsi" w:cstheme="minorHAnsi"/>
        </w:rPr>
        <w:fldChar w:fldCharType="separate"/>
      </w:r>
      <w:r w:rsidR="00A1679C">
        <w:rPr>
          <w:rFonts w:asciiTheme="minorHAnsi" w:hAnsiTheme="minorHAnsi" w:cstheme="minorHAnsi"/>
          <w:noProof/>
          <w:lang w:val="it-IT"/>
        </w:rPr>
        <w:t>17</w:t>
      </w:r>
      <w:r w:rsidRPr="00D64C92">
        <w:rPr>
          <w:rFonts w:asciiTheme="minorHAnsi" w:hAnsiTheme="minorHAnsi" w:cstheme="minorHAnsi"/>
        </w:rPr>
        <w:fldChar w:fldCharType="end"/>
      </w:r>
      <w:r w:rsidRPr="00D64C92">
        <w:rPr>
          <w:rFonts w:asciiTheme="minorHAnsi" w:hAnsiTheme="minorHAnsi" w:cstheme="minorHAnsi"/>
          <w:lang w:val="it-IT"/>
        </w:rPr>
        <w:t xml:space="preserve"> - </w:t>
      </w:r>
      <w:r w:rsidR="005C13A6" w:rsidRPr="00D64C92">
        <w:rPr>
          <w:rFonts w:asciiTheme="minorHAnsi" w:hAnsiTheme="minorHAnsi" w:cstheme="minorHAnsi"/>
          <w:lang w:val="it-IT"/>
        </w:rPr>
        <w:t>TEAEs renali - studio CRYSTAL</w:t>
      </w:r>
      <w:r w:rsidR="00C80076">
        <w:rPr>
          <w:rFonts w:asciiTheme="minorHAnsi" w:hAnsiTheme="minorHAnsi" w:cstheme="minorHAnsi"/>
          <w:lang w:val="it-IT"/>
        </w:rPr>
        <w:t xml:space="preserve"> (</w:t>
      </w:r>
      <w:r w:rsidR="00A12ABD" w:rsidRPr="00A12ABD">
        <w:rPr>
          <w:rFonts w:asciiTheme="minorHAnsi" w:hAnsiTheme="minorHAnsi" w:cstheme="minorHAnsi"/>
          <w:color w:val="0000FF"/>
          <w:lang w:val="it-IT"/>
        </w:rPr>
        <w:t xml:space="preserve">adattata da </w:t>
      </w:r>
      <w:r w:rsidR="00A25D6E">
        <w:rPr>
          <w:rFonts w:asciiTheme="minorHAnsi" w:hAnsiTheme="minorHAnsi" w:cstheme="minorHAnsi"/>
          <w:b w:val="0"/>
          <w:bCs w:val="0"/>
          <w:color w:val="0000FF"/>
          <w:lang w:val="it-IT"/>
        </w:rPr>
        <w:t>CSR 304, 2014</w:t>
      </w:r>
      <w:r w:rsidR="00C80076">
        <w:rPr>
          <w:rFonts w:asciiTheme="minorHAnsi" w:hAnsiTheme="minorHAnsi" w:cstheme="minorHAnsi"/>
          <w:lang w:val="it-IT"/>
        </w:rPr>
        <w:t>)</w:t>
      </w:r>
      <w:bookmarkEnd w:id="147"/>
    </w:p>
    <w:tbl>
      <w:tblPr>
        <w:tblW w:w="7049" w:type="dxa"/>
        <w:tblInd w:w="108" w:type="dxa"/>
        <w:tblBorders>
          <w:top w:val="single" w:sz="18" w:space="0" w:color="003870"/>
          <w:bottom w:val="single" w:sz="12" w:space="0" w:color="003870"/>
          <w:insideH w:val="single" w:sz="8" w:space="0" w:color="808080"/>
        </w:tblBorders>
        <w:tblLook w:val="0420" w:firstRow="1" w:lastRow="0" w:firstColumn="0" w:lastColumn="0" w:noHBand="0" w:noVBand="1"/>
      </w:tblPr>
      <w:tblGrid>
        <w:gridCol w:w="3686"/>
        <w:gridCol w:w="1543"/>
        <w:gridCol w:w="1820"/>
      </w:tblGrid>
      <w:tr w:rsidR="005C13A6" w:rsidRPr="001E7F7F" w14:paraId="6E51B841" w14:textId="77777777" w:rsidTr="001E7F7F">
        <w:trPr>
          <w:trHeight w:val="406"/>
        </w:trPr>
        <w:tc>
          <w:tcPr>
            <w:tcW w:w="3686" w:type="dxa"/>
            <w:vMerge w:val="restart"/>
            <w:tcBorders>
              <w:top w:val="single" w:sz="24" w:space="0" w:color="003468"/>
              <w:left w:val="nil"/>
              <w:bottom w:val="nil"/>
              <w:right w:val="nil"/>
              <w:tl2br w:val="nil"/>
              <w:tr2bl w:val="nil"/>
            </w:tcBorders>
            <w:shd w:val="clear" w:color="auto" w:fill="D9D9D9"/>
            <w:vAlign w:val="center"/>
            <w:hideMark/>
          </w:tcPr>
          <w:p w14:paraId="4EB8D4B9" w14:textId="77777777" w:rsidR="005C13A6" w:rsidRPr="001E7F7F" w:rsidRDefault="005C13A6" w:rsidP="001E7F7F">
            <w:pPr>
              <w:rPr>
                <w:rFonts w:cstheme="minorHAnsi"/>
                <w:b/>
                <w:sz w:val="20"/>
                <w:szCs w:val="20"/>
              </w:rPr>
            </w:pPr>
            <w:r w:rsidRPr="001E7F7F">
              <w:rPr>
                <w:rFonts w:cstheme="minorHAnsi"/>
                <w:b/>
                <w:bCs/>
                <w:sz w:val="20"/>
                <w:szCs w:val="20"/>
              </w:rPr>
              <w:t>Preferred term, n (%)</w:t>
            </w:r>
          </w:p>
        </w:tc>
        <w:tc>
          <w:tcPr>
            <w:tcW w:w="3363" w:type="dxa"/>
            <w:gridSpan w:val="2"/>
            <w:tcBorders>
              <w:top w:val="single" w:sz="24" w:space="0" w:color="003468"/>
              <w:left w:val="nil"/>
              <w:bottom w:val="nil"/>
              <w:right w:val="nil"/>
              <w:tl2br w:val="nil"/>
              <w:tr2bl w:val="nil"/>
            </w:tcBorders>
            <w:shd w:val="clear" w:color="auto" w:fill="D9D9D9"/>
            <w:vAlign w:val="center"/>
            <w:hideMark/>
          </w:tcPr>
          <w:p w14:paraId="23C5977F" w14:textId="77777777" w:rsidR="005C13A6" w:rsidRPr="001E7F7F" w:rsidRDefault="005C13A6" w:rsidP="001E7F7F">
            <w:pPr>
              <w:jc w:val="center"/>
              <w:rPr>
                <w:rFonts w:cstheme="minorHAnsi"/>
                <w:b/>
                <w:sz w:val="20"/>
                <w:szCs w:val="20"/>
              </w:rPr>
            </w:pPr>
            <w:r w:rsidRPr="001E7F7F">
              <w:rPr>
                <w:rFonts w:cstheme="minorHAnsi"/>
                <w:b/>
                <w:bCs/>
                <w:sz w:val="20"/>
                <w:szCs w:val="20"/>
              </w:rPr>
              <w:t>CRYSTAL</w:t>
            </w:r>
          </w:p>
        </w:tc>
      </w:tr>
      <w:tr w:rsidR="005C13A6" w:rsidRPr="001E7F7F" w14:paraId="7DC12A4B" w14:textId="77777777" w:rsidTr="001E7F7F">
        <w:trPr>
          <w:trHeight w:val="525"/>
        </w:trPr>
        <w:tc>
          <w:tcPr>
            <w:tcW w:w="3686" w:type="dxa"/>
            <w:vMerge/>
            <w:shd w:val="clear" w:color="auto" w:fill="auto"/>
            <w:vAlign w:val="center"/>
            <w:hideMark/>
          </w:tcPr>
          <w:p w14:paraId="50167CA4" w14:textId="77777777" w:rsidR="005C13A6" w:rsidRPr="001E7F7F" w:rsidRDefault="005C13A6" w:rsidP="001E7F7F">
            <w:pPr>
              <w:rPr>
                <w:rFonts w:cstheme="minorHAnsi"/>
                <w:sz w:val="20"/>
                <w:szCs w:val="20"/>
              </w:rPr>
            </w:pPr>
          </w:p>
        </w:tc>
        <w:tc>
          <w:tcPr>
            <w:tcW w:w="1543" w:type="dxa"/>
            <w:shd w:val="clear" w:color="auto" w:fill="auto"/>
            <w:vAlign w:val="center"/>
            <w:hideMark/>
          </w:tcPr>
          <w:p w14:paraId="09B87021" w14:textId="5EC7B6AD" w:rsidR="005C13A6" w:rsidRPr="001E7F7F" w:rsidRDefault="005C13A6" w:rsidP="001E7F7F">
            <w:pPr>
              <w:jc w:val="center"/>
              <w:rPr>
                <w:rFonts w:cstheme="minorHAnsi"/>
                <w:sz w:val="20"/>
                <w:szCs w:val="20"/>
              </w:rPr>
            </w:pPr>
            <w:r w:rsidRPr="001E7F7F">
              <w:rPr>
                <w:rFonts w:cstheme="minorHAnsi"/>
                <w:bCs/>
                <w:sz w:val="20"/>
                <w:szCs w:val="20"/>
              </w:rPr>
              <w:t xml:space="preserve">PBO + </w:t>
            </w:r>
            <w:r w:rsidR="00A12ABD">
              <w:rPr>
                <w:rFonts w:cstheme="minorHAnsi"/>
                <w:bCs/>
                <w:sz w:val="20"/>
                <w:szCs w:val="20"/>
              </w:rPr>
              <w:t>FBX</w:t>
            </w:r>
          </w:p>
          <w:p w14:paraId="03B25F95" w14:textId="77777777" w:rsidR="005C13A6" w:rsidRPr="001E7F7F" w:rsidRDefault="005C13A6" w:rsidP="001E7F7F">
            <w:pPr>
              <w:jc w:val="center"/>
              <w:rPr>
                <w:rFonts w:cstheme="minorHAnsi"/>
                <w:sz w:val="20"/>
                <w:szCs w:val="20"/>
              </w:rPr>
            </w:pPr>
            <w:r w:rsidRPr="001E7F7F">
              <w:rPr>
                <w:rFonts w:cstheme="minorHAnsi"/>
                <w:bCs/>
                <w:sz w:val="20"/>
                <w:szCs w:val="20"/>
              </w:rPr>
              <w:t>(N=109)</w:t>
            </w:r>
          </w:p>
        </w:tc>
        <w:tc>
          <w:tcPr>
            <w:tcW w:w="1820" w:type="dxa"/>
            <w:shd w:val="clear" w:color="auto" w:fill="auto"/>
            <w:vAlign w:val="center"/>
            <w:hideMark/>
          </w:tcPr>
          <w:p w14:paraId="6D099671" w14:textId="0976F3C8" w:rsidR="005C13A6" w:rsidRPr="001E7F7F" w:rsidRDefault="005C13A6" w:rsidP="001E7F7F">
            <w:pPr>
              <w:jc w:val="center"/>
              <w:rPr>
                <w:rFonts w:cstheme="minorHAnsi"/>
                <w:sz w:val="20"/>
                <w:szCs w:val="20"/>
              </w:rPr>
            </w:pPr>
            <w:r w:rsidRPr="001E7F7F">
              <w:rPr>
                <w:rFonts w:cstheme="minorHAnsi"/>
                <w:bCs/>
                <w:sz w:val="20"/>
                <w:szCs w:val="20"/>
              </w:rPr>
              <w:t xml:space="preserve">LESU200 + </w:t>
            </w:r>
            <w:r w:rsidR="00A12ABD">
              <w:rPr>
                <w:rFonts w:cstheme="minorHAnsi"/>
                <w:bCs/>
                <w:sz w:val="20"/>
                <w:szCs w:val="20"/>
              </w:rPr>
              <w:t>FBX</w:t>
            </w:r>
          </w:p>
          <w:p w14:paraId="23DD598D" w14:textId="77777777" w:rsidR="005C13A6" w:rsidRPr="001E7F7F" w:rsidRDefault="005C13A6" w:rsidP="001E7F7F">
            <w:pPr>
              <w:jc w:val="center"/>
              <w:rPr>
                <w:rFonts w:cstheme="minorHAnsi"/>
                <w:sz w:val="20"/>
                <w:szCs w:val="20"/>
              </w:rPr>
            </w:pPr>
            <w:r w:rsidRPr="001E7F7F">
              <w:rPr>
                <w:rFonts w:cstheme="minorHAnsi"/>
                <w:bCs/>
                <w:sz w:val="20"/>
                <w:szCs w:val="20"/>
              </w:rPr>
              <w:t>(N=106)</w:t>
            </w:r>
          </w:p>
        </w:tc>
      </w:tr>
      <w:tr w:rsidR="005C13A6" w:rsidRPr="001E7F7F" w14:paraId="0FB7F9A9" w14:textId="77777777" w:rsidTr="001E7F7F">
        <w:trPr>
          <w:trHeight w:val="258"/>
        </w:trPr>
        <w:tc>
          <w:tcPr>
            <w:tcW w:w="3686" w:type="dxa"/>
            <w:shd w:val="clear" w:color="auto" w:fill="auto"/>
            <w:vAlign w:val="center"/>
            <w:hideMark/>
          </w:tcPr>
          <w:p w14:paraId="768088A9" w14:textId="77777777" w:rsidR="005C13A6" w:rsidRPr="001E7F7F" w:rsidRDefault="005C13A6" w:rsidP="001E7F7F">
            <w:pPr>
              <w:rPr>
                <w:rFonts w:cstheme="minorHAnsi"/>
                <w:sz w:val="20"/>
                <w:szCs w:val="20"/>
              </w:rPr>
            </w:pPr>
            <w:r w:rsidRPr="001E7F7F">
              <w:rPr>
                <w:rFonts w:cstheme="minorHAnsi"/>
                <w:bCs/>
                <w:color w:val="000000"/>
                <w:kern w:val="24"/>
                <w:sz w:val="20"/>
                <w:szCs w:val="20"/>
                <w:lang w:val="en-US"/>
              </w:rPr>
              <w:t>Any renal-related TEAE</w:t>
            </w:r>
          </w:p>
        </w:tc>
        <w:tc>
          <w:tcPr>
            <w:tcW w:w="1543" w:type="dxa"/>
            <w:shd w:val="clear" w:color="auto" w:fill="auto"/>
            <w:vAlign w:val="center"/>
            <w:hideMark/>
          </w:tcPr>
          <w:p w14:paraId="3C07C08B"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bCs/>
                <w:color w:val="000000"/>
                <w:kern w:val="24"/>
                <w:sz w:val="20"/>
                <w:szCs w:val="20"/>
              </w:rPr>
              <w:t>6 (5.5)</w:t>
            </w:r>
          </w:p>
        </w:tc>
        <w:tc>
          <w:tcPr>
            <w:tcW w:w="1820" w:type="dxa"/>
            <w:shd w:val="clear" w:color="auto" w:fill="auto"/>
            <w:vAlign w:val="center"/>
            <w:hideMark/>
          </w:tcPr>
          <w:p w14:paraId="107265CC"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bCs/>
                <w:color w:val="000000"/>
                <w:kern w:val="24"/>
                <w:sz w:val="20"/>
                <w:szCs w:val="20"/>
              </w:rPr>
              <w:t>9 (8.5)</w:t>
            </w:r>
          </w:p>
        </w:tc>
      </w:tr>
      <w:tr w:rsidR="005C13A6" w:rsidRPr="001E7F7F" w14:paraId="373D774A" w14:textId="77777777" w:rsidTr="001E7F7F">
        <w:trPr>
          <w:trHeight w:val="258"/>
        </w:trPr>
        <w:tc>
          <w:tcPr>
            <w:tcW w:w="3686" w:type="dxa"/>
            <w:shd w:val="clear" w:color="auto" w:fill="auto"/>
            <w:vAlign w:val="center"/>
            <w:hideMark/>
          </w:tcPr>
          <w:p w14:paraId="1FF184DD" w14:textId="77777777" w:rsidR="005C13A6" w:rsidRPr="001E7F7F" w:rsidRDefault="005C13A6" w:rsidP="001E7F7F">
            <w:pPr>
              <w:pStyle w:val="NormalWeb"/>
              <w:spacing w:before="0" w:beforeAutospacing="0" w:after="0" w:afterAutospacing="0" w:line="276" w:lineRule="auto"/>
              <w:rPr>
                <w:rFonts w:asciiTheme="minorHAnsi" w:hAnsiTheme="minorHAnsi" w:cstheme="minorHAnsi"/>
                <w:sz w:val="20"/>
                <w:szCs w:val="20"/>
              </w:rPr>
            </w:pPr>
            <w:r w:rsidRPr="001E7F7F">
              <w:rPr>
                <w:rFonts w:asciiTheme="minorHAnsi" w:hAnsiTheme="minorHAnsi" w:cstheme="minorHAnsi"/>
                <w:color w:val="000000"/>
                <w:kern w:val="24"/>
                <w:sz w:val="20"/>
                <w:szCs w:val="20"/>
              </w:rPr>
              <w:t>Blood creatinine increased</w:t>
            </w:r>
          </w:p>
        </w:tc>
        <w:tc>
          <w:tcPr>
            <w:tcW w:w="1543" w:type="dxa"/>
            <w:shd w:val="clear" w:color="auto" w:fill="auto"/>
            <w:vAlign w:val="center"/>
            <w:hideMark/>
          </w:tcPr>
          <w:p w14:paraId="0F82DC2B"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color w:val="000000"/>
                <w:kern w:val="24"/>
                <w:sz w:val="20"/>
                <w:szCs w:val="20"/>
              </w:rPr>
              <w:t>3 (2.8)</w:t>
            </w:r>
          </w:p>
        </w:tc>
        <w:tc>
          <w:tcPr>
            <w:tcW w:w="1820" w:type="dxa"/>
            <w:shd w:val="clear" w:color="auto" w:fill="auto"/>
            <w:vAlign w:val="center"/>
            <w:hideMark/>
          </w:tcPr>
          <w:p w14:paraId="2A4514D8"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color w:val="000000"/>
                <w:kern w:val="24"/>
                <w:sz w:val="20"/>
                <w:szCs w:val="20"/>
              </w:rPr>
              <w:t>7 (6.6)</w:t>
            </w:r>
          </w:p>
        </w:tc>
      </w:tr>
      <w:tr w:rsidR="005C13A6" w:rsidRPr="001E7F7F" w14:paraId="53D23678" w14:textId="77777777" w:rsidTr="001E7F7F">
        <w:trPr>
          <w:trHeight w:val="258"/>
        </w:trPr>
        <w:tc>
          <w:tcPr>
            <w:tcW w:w="3686" w:type="dxa"/>
            <w:shd w:val="clear" w:color="auto" w:fill="auto"/>
            <w:vAlign w:val="center"/>
            <w:hideMark/>
          </w:tcPr>
          <w:p w14:paraId="4C161D09" w14:textId="77777777" w:rsidR="005C13A6" w:rsidRPr="001E7F7F" w:rsidRDefault="005C13A6" w:rsidP="001E7F7F">
            <w:pPr>
              <w:pStyle w:val="NormalWeb"/>
              <w:spacing w:before="0" w:beforeAutospacing="0" w:after="0" w:afterAutospacing="0" w:line="276" w:lineRule="auto"/>
              <w:rPr>
                <w:rFonts w:asciiTheme="minorHAnsi" w:hAnsiTheme="minorHAnsi" w:cstheme="minorHAnsi"/>
                <w:sz w:val="20"/>
                <w:szCs w:val="20"/>
              </w:rPr>
            </w:pPr>
            <w:r w:rsidRPr="001E7F7F">
              <w:rPr>
                <w:rFonts w:asciiTheme="minorHAnsi" w:hAnsiTheme="minorHAnsi" w:cstheme="minorHAnsi"/>
                <w:color w:val="000000"/>
                <w:kern w:val="24"/>
                <w:sz w:val="20"/>
                <w:szCs w:val="20"/>
              </w:rPr>
              <w:t>Blood urea increased</w:t>
            </w:r>
          </w:p>
        </w:tc>
        <w:tc>
          <w:tcPr>
            <w:tcW w:w="1543" w:type="dxa"/>
            <w:shd w:val="clear" w:color="auto" w:fill="auto"/>
            <w:vAlign w:val="center"/>
            <w:hideMark/>
          </w:tcPr>
          <w:p w14:paraId="0764C33B"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color w:val="000000"/>
                <w:kern w:val="24"/>
                <w:sz w:val="20"/>
                <w:szCs w:val="20"/>
              </w:rPr>
              <w:t>1 (0.9)</w:t>
            </w:r>
          </w:p>
        </w:tc>
        <w:tc>
          <w:tcPr>
            <w:tcW w:w="1820" w:type="dxa"/>
            <w:shd w:val="clear" w:color="auto" w:fill="auto"/>
            <w:vAlign w:val="center"/>
            <w:hideMark/>
          </w:tcPr>
          <w:p w14:paraId="3FA2638F"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color w:val="000000"/>
                <w:kern w:val="24"/>
                <w:sz w:val="20"/>
                <w:szCs w:val="20"/>
              </w:rPr>
              <w:t>1 (0.9)</w:t>
            </w:r>
          </w:p>
        </w:tc>
      </w:tr>
      <w:tr w:rsidR="005C13A6" w:rsidRPr="001E7F7F" w14:paraId="74BF75A7" w14:textId="77777777" w:rsidTr="001E7F7F">
        <w:trPr>
          <w:trHeight w:val="258"/>
        </w:trPr>
        <w:tc>
          <w:tcPr>
            <w:tcW w:w="3686" w:type="dxa"/>
            <w:shd w:val="clear" w:color="auto" w:fill="auto"/>
            <w:vAlign w:val="center"/>
            <w:hideMark/>
          </w:tcPr>
          <w:p w14:paraId="42808B69" w14:textId="77777777" w:rsidR="005C13A6" w:rsidRPr="001E7F7F" w:rsidRDefault="005C13A6" w:rsidP="001E7F7F">
            <w:pPr>
              <w:rPr>
                <w:rFonts w:cstheme="minorHAnsi"/>
                <w:sz w:val="20"/>
                <w:szCs w:val="20"/>
              </w:rPr>
            </w:pPr>
            <w:r w:rsidRPr="001E7F7F">
              <w:rPr>
                <w:rFonts w:cstheme="minorHAnsi"/>
                <w:color w:val="000000"/>
                <w:kern w:val="24"/>
                <w:sz w:val="20"/>
                <w:szCs w:val="20"/>
                <w:lang w:val="en-US"/>
              </w:rPr>
              <w:t>Renal impairment</w:t>
            </w:r>
          </w:p>
        </w:tc>
        <w:tc>
          <w:tcPr>
            <w:tcW w:w="1543" w:type="dxa"/>
            <w:shd w:val="clear" w:color="auto" w:fill="auto"/>
            <w:vAlign w:val="center"/>
            <w:hideMark/>
          </w:tcPr>
          <w:p w14:paraId="5871119C"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color w:val="000000"/>
                <w:kern w:val="24"/>
                <w:sz w:val="20"/>
                <w:szCs w:val="20"/>
              </w:rPr>
              <w:t>0</w:t>
            </w:r>
          </w:p>
        </w:tc>
        <w:tc>
          <w:tcPr>
            <w:tcW w:w="1820" w:type="dxa"/>
            <w:shd w:val="clear" w:color="auto" w:fill="auto"/>
            <w:vAlign w:val="center"/>
            <w:hideMark/>
          </w:tcPr>
          <w:p w14:paraId="04BD7F0B"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color w:val="000000"/>
                <w:kern w:val="24"/>
                <w:sz w:val="20"/>
                <w:szCs w:val="20"/>
              </w:rPr>
              <w:t>1 (0.9)</w:t>
            </w:r>
          </w:p>
        </w:tc>
      </w:tr>
      <w:tr w:rsidR="005C13A6" w:rsidRPr="001E7F7F" w14:paraId="327A57AB" w14:textId="77777777" w:rsidTr="001E7F7F">
        <w:trPr>
          <w:trHeight w:val="258"/>
        </w:trPr>
        <w:tc>
          <w:tcPr>
            <w:tcW w:w="3686" w:type="dxa"/>
            <w:shd w:val="clear" w:color="auto" w:fill="auto"/>
            <w:vAlign w:val="center"/>
            <w:hideMark/>
          </w:tcPr>
          <w:p w14:paraId="70116B65" w14:textId="77777777" w:rsidR="005C13A6" w:rsidRPr="001E7F7F" w:rsidRDefault="005C13A6" w:rsidP="001E7F7F">
            <w:pPr>
              <w:pStyle w:val="NormalWeb"/>
              <w:spacing w:before="0" w:beforeAutospacing="0" w:after="0" w:afterAutospacing="0" w:line="276" w:lineRule="auto"/>
              <w:rPr>
                <w:rFonts w:asciiTheme="minorHAnsi" w:hAnsiTheme="minorHAnsi" w:cstheme="minorHAnsi"/>
                <w:sz w:val="20"/>
                <w:szCs w:val="20"/>
              </w:rPr>
            </w:pPr>
            <w:r w:rsidRPr="001E7F7F">
              <w:rPr>
                <w:rFonts w:asciiTheme="minorHAnsi" w:hAnsiTheme="minorHAnsi" w:cstheme="minorHAnsi"/>
                <w:color w:val="000000"/>
                <w:kern w:val="24"/>
                <w:sz w:val="20"/>
                <w:szCs w:val="20"/>
              </w:rPr>
              <w:t>Acute pre-renal failure</w:t>
            </w:r>
          </w:p>
        </w:tc>
        <w:tc>
          <w:tcPr>
            <w:tcW w:w="1543" w:type="dxa"/>
            <w:shd w:val="clear" w:color="auto" w:fill="auto"/>
            <w:vAlign w:val="center"/>
            <w:hideMark/>
          </w:tcPr>
          <w:p w14:paraId="6751F8E6"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color w:val="000000"/>
                <w:kern w:val="24"/>
                <w:sz w:val="20"/>
                <w:szCs w:val="20"/>
              </w:rPr>
              <w:t>0</w:t>
            </w:r>
          </w:p>
        </w:tc>
        <w:tc>
          <w:tcPr>
            <w:tcW w:w="1820" w:type="dxa"/>
            <w:shd w:val="clear" w:color="auto" w:fill="auto"/>
            <w:vAlign w:val="center"/>
            <w:hideMark/>
          </w:tcPr>
          <w:p w14:paraId="4EC68F75"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color w:val="000000"/>
                <w:kern w:val="24"/>
                <w:sz w:val="20"/>
                <w:szCs w:val="20"/>
              </w:rPr>
              <w:t>0</w:t>
            </w:r>
          </w:p>
        </w:tc>
      </w:tr>
      <w:tr w:rsidR="005C13A6" w:rsidRPr="001E7F7F" w14:paraId="730477FA" w14:textId="77777777" w:rsidTr="001E7F7F">
        <w:trPr>
          <w:trHeight w:val="285"/>
        </w:trPr>
        <w:tc>
          <w:tcPr>
            <w:tcW w:w="3686" w:type="dxa"/>
            <w:shd w:val="clear" w:color="auto" w:fill="auto"/>
            <w:vAlign w:val="center"/>
            <w:hideMark/>
          </w:tcPr>
          <w:p w14:paraId="1A81FEA2" w14:textId="77777777" w:rsidR="005C13A6" w:rsidRPr="001E7F7F" w:rsidRDefault="005C13A6" w:rsidP="001E7F7F">
            <w:pPr>
              <w:pStyle w:val="NormalWeb"/>
              <w:spacing w:before="0" w:beforeAutospacing="0" w:after="0" w:afterAutospacing="0" w:line="276" w:lineRule="auto"/>
              <w:rPr>
                <w:rFonts w:asciiTheme="minorHAnsi" w:hAnsiTheme="minorHAnsi" w:cstheme="minorHAnsi"/>
                <w:sz w:val="20"/>
                <w:szCs w:val="20"/>
              </w:rPr>
            </w:pPr>
            <w:r w:rsidRPr="001E7F7F">
              <w:rPr>
                <w:rFonts w:asciiTheme="minorHAnsi" w:hAnsiTheme="minorHAnsi" w:cstheme="minorHAnsi"/>
                <w:color w:val="000000"/>
                <w:kern w:val="24"/>
                <w:sz w:val="20"/>
                <w:szCs w:val="20"/>
              </w:rPr>
              <w:t>Renal failure</w:t>
            </w:r>
          </w:p>
        </w:tc>
        <w:tc>
          <w:tcPr>
            <w:tcW w:w="1543" w:type="dxa"/>
            <w:shd w:val="clear" w:color="auto" w:fill="auto"/>
            <w:vAlign w:val="center"/>
            <w:hideMark/>
          </w:tcPr>
          <w:p w14:paraId="08125995"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color w:val="000000"/>
                <w:kern w:val="24"/>
                <w:sz w:val="20"/>
                <w:szCs w:val="20"/>
              </w:rPr>
              <w:t>2 (1.8)</w:t>
            </w:r>
          </w:p>
        </w:tc>
        <w:tc>
          <w:tcPr>
            <w:tcW w:w="1820" w:type="dxa"/>
            <w:shd w:val="clear" w:color="auto" w:fill="auto"/>
            <w:vAlign w:val="center"/>
            <w:hideMark/>
          </w:tcPr>
          <w:p w14:paraId="43035C9B"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color w:val="000000"/>
                <w:kern w:val="24"/>
                <w:sz w:val="20"/>
                <w:szCs w:val="20"/>
              </w:rPr>
              <w:t>1 (0.9)</w:t>
            </w:r>
          </w:p>
        </w:tc>
      </w:tr>
      <w:tr w:rsidR="005C13A6" w:rsidRPr="001E7F7F" w14:paraId="1A1AEE65" w14:textId="77777777" w:rsidTr="001E7F7F">
        <w:trPr>
          <w:trHeight w:val="215"/>
        </w:trPr>
        <w:tc>
          <w:tcPr>
            <w:tcW w:w="3686" w:type="dxa"/>
            <w:shd w:val="clear" w:color="auto" w:fill="auto"/>
            <w:vAlign w:val="center"/>
            <w:hideMark/>
          </w:tcPr>
          <w:p w14:paraId="0D7BB194" w14:textId="77777777" w:rsidR="005C13A6" w:rsidRPr="001E7F7F" w:rsidRDefault="005C13A6" w:rsidP="001E7F7F">
            <w:pPr>
              <w:pStyle w:val="NormalWeb"/>
              <w:spacing w:before="0" w:beforeAutospacing="0" w:after="0" w:afterAutospacing="0" w:line="276" w:lineRule="auto"/>
              <w:rPr>
                <w:rFonts w:asciiTheme="minorHAnsi" w:hAnsiTheme="minorHAnsi" w:cstheme="minorHAnsi"/>
                <w:sz w:val="20"/>
                <w:szCs w:val="20"/>
              </w:rPr>
            </w:pPr>
            <w:r w:rsidRPr="001E7F7F">
              <w:rPr>
                <w:rFonts w:asciiTheme="minorHAnsi" w:hAnsiTheme="minorHAnsi" w:cstheme="minorHAnsi"/>
                <w:color w:val="000000"/>
                <w:kern w:val="24"/>
                <w:sz w:val="20"/>
                <w:szCs w:val="20"/>
              </w:rPr>
              <w:t>Acute renal failure</w:t>
            </w:r>
          </w:p>
        </w:tc>
        <w:tc>
          <w:tcPr>
            <w:tcW w:w="1543" w:type="dxa"/>
            <w:shd w:val="clear" w:color="auto" w:fill="auto"/>
            <w:vAlign w:val="center"/>
            <w:hideMark/>
          </w:tcPr>
          <w:p w14:paraId="5D5822B3"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color w:val="000000"/>
                <w:kern w:val="24"/>
                <w:sz w:val="20"/>
                <w:szCs w:val="20"/>
              </w:rPr>
              <w:t>1 (0.9)</w:t>
            </w:r>
          </w:p>
        </w:tc>
        <w:tc>
          <w:tcPr>
            <w:tcW w:w="1820" w:type="dxa"/>
            <w:shd w:val="clear" w:color="auto" w:fill="auto"/>
            <w:vAlign w:val="center"/>
            <w:hideMark/>
          </w:tcPr>
          <w:p w14:paraId="1938261D" w14:textId="77777777" w:rsidR="005C13A6" w:rsidRPr="001E7F7F" w:rsidRDefault="005C13A6" w:rsidP="001E7F7F">
            <w:pPr>
              <w:pStyle w:val="NormalWeb"/>
              <w:spacing w:before="0" w:beforeAutospacing="0" w:after="0" w:afterAutospacing="0" w:line="276" w:lineRule="auto"/>
              <w:jc w:val="center"/>
              <w:rPr>
                <w:rFonts w:asciiTheme="minorHAnsi" w:hAnsiTheme="minorHAnsi" w:cstheme="minorHAnsi"/>
                <w:sz w:val="20"/>
                <w:szCs w:val="20"/>
              </w:rPr>
            </w:pPr>
            <w:r w:rsidRPr="001E7F7F">
              <w:rPr>
                <w:rFonts w:asciiTheme="minorHAnsi" w:hAnsiTheme="minorHAnsi" w:cstheme="minorHAnsi"/>
                <w:color w:val="000000"/>
                <w:kern w:val="24"/>
                <w:sz w:val="20"/>
                <w:szCs w:val="20"/>
              </w:rPr>
              <w:t>0</w:t>
            </w:r>
          </w:p>
        </w:tc>
      </w:tr>
    </w:tbl>
    <w:p w14:paraId="16385397" w14:textId="77777777" w:rsidR="005C13A6" w:rsidRPr="00553F75" w:rsidRDefault="005C13A6" w:rsidP="005C13A6">
      <w:pPr>
        <w:pStyle w:val="FooterRight"/>
      </w:pPr>
      <w:r w:rsidRPr="00CD117D">
        <w:t>ALLO=allopurinol; LESU=lesinurad; PBO=placebo; TEAE=treatment-emergent adverse event.</w:t>
      </w:r>
    </w:p>
    <w:p w14:paraId="0AB17C85" w14:textId="3C7EB7F7" w:rsidR="00CE0690" w:rsidRDefault="00CE0690" w:rsidP="00CE0690">
      <w:pPr>
        <w:spacing w:line="360" w:lineRule="auto"/>
        <w:jc w:val="both"/>
        <w:rPr>
          <w:rFonts w:eastAsia="Times New Roman" w:cs="Arial"/>
          <w:color w:val="222222"/>
          <w:sz w:val="20"/>
          <w:szCs w:val="20"/>
          <w:lang w:val="en-US"/>
        </w:rPr>
      </w:pPr>
    </w:p>
    <w:p w14:paraId="4F340A45" w14:textId="71E287B1" w:rsidR="00F67B4D" w:rsidRPr="00A13872" w:rsidRDefault="00F67B4D" w:rsidP="000210A2">
      <w:pPr>
        <w:shd w:val="clear" w:color="auto" w:fill="FFFFFF"/>
        <w:spacing w:line="360" w:lineRule="auto"/>
        <w:rPr>
          <w:rFonts w:cs="Arial"/>
          <w:sz w:val="20"/>
          <w:szCs w:val="20"/>
        </w:rPr>
      </w:pPr>
      <w:r w:rsidRPr="00B31A33">
        <w:rPr>
          <w:rFonts w:cs="Arial"/>
          <w:sz w:val="20"/>
          <w:szCs w:val="20"/>
        </w:rPr>
        <w:t xml:space="preserve">L’incidenza degli </w:t>
      </w:r>
      <w:r w:rsidRPr="00AB3235">
        <w:rPr>
          <w:rFonts w:cs="Arial"/>
          <w:b/>
          <w:sz w:val="20"/>
          <w:szCs w:val="20"/>
        </w:rPr>
        <w:t>eventi avversi emersi durante il trattamento (TEAE) classificati come eventi cardiovascolari</w:t>
      </w:r>
      <w:r w:rsidRPr="00B31A33">
        <w:rPr>
          <w:rFonts w:cs="Arial"/>
          <w:sz w:val="20"/>
          <w:szCs w:val="20"/>
        </w:rPr>
        <w:t xml:space="preserve"> era </w:t>
      </w:r>
      <w:r>
        <w:rPr>
          <w:rFonts w:cs="Arial"/>
          <w:sz w:val="20"/>
          <w:szCs w:val="20"/>
        </w:rPr>
        <w:t>leggermente incrementata</w:t>
      </w:r>
      <w:r w:rsidRPr="00B31A33">
        <w:rPr>
          <w:rFonts w:cs="Arial"/>
          <w:sz w:val="20"/>
          <w:szCs w:val="20"/>
        </w:rPr>
        <w:t xml:space="preserve"> </w:t>
      </w:r>
      <w:r w:rsidR="008C2223">
        <w:rPr>
          <w:rFonts w:cs="Arial"/>
          <w:sz w:val="20"/>
          <w:szCs w:val="20"/>
        </w:rPr>
        <w:t xml:space="preserve">con </w:t>
      </w:r>
      <w:r w:rsidRPr="00B31A33">
        <w:rPr>
          <w:rFonts w:cs="Arial"/>
          <w:sz w:val="20"/>
          <w:szCs w:val="20"/>
        </w:rPr>
        <w:t xml:space="preserve">lesinurad in associazione a </w:t>
      </w:r>
      <w:r>
        <w:rPr>
          <w:rFonts w:cs="Arial"/>
          <w:sz w:val="20"/>
          <w:szCs w:val="20"/>
        </w:rPr>
        <w:t>febuxostat</w:t>
      </w:r>
      <w:r w:rsidRPr="00B31A33">
        <w:rPr>
          <w:rFonts w:cs="Arial"/>
          <w:sz w:val="20"/>
          <w:szCs w:val="20"/>
        </w:rPr>
        <w:t xml:space="preserve"> </w:t>
      </w:r>
      <w:r w:rsidR="008C2223">
        <w:rPr>
          <w:rFonts w:cs="Arial"/>
          <w:sz w:val="20"/>
          <w:szCs w:val="20"/>
        </w:rPr>
        <w:t>rispetto a</w:t>
      </w:r>
      <w:r w:rsidR="008C2223" w:rsidRPr="00B31A33">
        <w:rPr>
          <w:rFonts w:cs="Arial"/>
          <w:sz w:val="20"/>
          <w:szCs w:val="20"/>
        </w:rPr>
        <w:t xml:space="preserve"> </w:t>
      </w:r>
      <w:r>
        <w:rPr>
          <w:rFonts w:cs="Arial"/>
          <w:sz w:val="20"/>
          <w:szCs w:val="20"/>
        </w:rPr>
        <w:t>febuxostat</w:t>
      </w:r>
      <w:r w:rsidRPr="00B31A33">
        <w:rPr>
          <w:rFonts w:cs="Arial"/>
          <w:sz w:val="20"/>
          <w:szCs w:val="20"/>
        </w:rPr>
        <w:t xml:space="preserve"> in monoterapia.</w:t>
      </w:r>
      <w:r>
        <w:rPr>
          <w:rFonts w:cs="Arial"/>
          <w:sz w:val="20"/>
          <w:szCs w:val="20"/>
        </w:rPr>
        <w:t xml:space="preserve"> Si sono verificati solo due </w:t>
      </w:r>
      <w:r w:rsidRPr="00B31A33">
        <w:rPr>
          <w:rFonts w:cs="Arial"/>
          <w:sz w:val="20"/>
          <w:szCs w:val="20"/>
        </w:rPr>
        <w:t>eventi che corrispondevano ai criteri MACE (</w:t>
      </w:r>
      <w:r w:rsidR="00DF1F08" w:rsidRPr="00DF1F08">
        <w:rPr>
          <w:rFonts w:cs="Arial"/>
          <w:sz w:val="20"/>
          <w:szCs w:val="20"/>
        </w:rPr>
        <w:t>MACE: morte cardiovascolare, infarto del miocardio non fatale, ictus non fatale</w:t>
      </w:r>
      <w:r w:rsidRPr="00B31A33">
        <w:rPr>
          <w:rFonts w:cs="Arial"/>
          <w:sz w:val="20"/>
          <w:szCs w:val="20"/>
        </w:rPr>
        <w:t>)</w:t>
      </w:r>
      <w:r>
        <w:rPr>
          <w:rFonts w:cs="Arial"/>
          <w:sz w:val="20"/>
          <w:szCs w:val="20"/>
        </w:rPr>
        <w:t xml:space="preserve"> nel gruppo di trattamento lesinurad 200 mg, rispetto ad un evento MACE verificatosi nel gruppo febuxostat monoterapia. La percentuale di soggetti con eventi avversi seri appartenenti al SOC “Disordini cardiaci” era leggermente maggiore nel gruppo lesinurad 200 mg in associazione a febuxostat, rispetto a febuxostat (2</w:t>
      </w:r>
      <w:r w:rsidRPr="00A13872">
        <w:rPr>
          <w:rFonts w:cs="Arial"/>
          <w:sz w:val="20"/>
          <w:szCs w:val="20"/>
        </w:rPr>
        <w:t>.</w:t>
      </w:r>
      <w:r>
        <w:rPr>
          <w:rFonts w:cs="Arial"/>
          <w:sz w:val="20"/>
          <w:szCs w:val="20"/>
        </w:rPr>
        <w:t>8</w:t>
      </w:r>
      <w:r w:rsidRPr="00A13872">
        <w:rPr>
          <w:rFonts w:cs="Arial"/>
          <w:sz w:val="20"/>
          <w:szCs w:val="20"/>
        </w:rPr>
        <w:t xml:space="preserve">% </w:t>
      </w:r>
      <w:r>
        <w:rPr>
          <w:rFonts w:cs="Arial"/>
          <w:sz w:val="20"/>
          <w:szCs w:val="20"/>
        </w:rPr>
        <w:t>e</w:t>
      </w:r>
      <w:r w:rsidRPr="00A13872">
        <w:rPr>
          <w:rFonts w:cs="Arial"/>
          <w:sz w:val="20"/>
          <w:szCs w:val="20"/>
        </w:rPr>
        <w:t xml:space="preserve"> 0</w:t>
      </w:r>
      <w:r>
        <w:rPr>
          <w:rFonts w:cs="Arial"/>
          <w:sz w:val="20"/>
          <w:szCs w:val="20"/>
        </w:rPr>
        <w:t>.9</w:t>
      </w:r>
      <w:r w:rsidRPr="00A13872">
        <w:rPr>
          <w:rFonts w:cs="Arial"/>
          <w:sz w:val="20"/>
          <w:szCs w:val="20"/>
        </w:rPr>
        <w:t>%, r</w:t>
      </w:r>
      <w:r>
        <w:rPr>
          <w:rFonts w:cs="Arial"/>
          <w:sz w:val="20"/>
          <w:szCs w:val="20"/>
        </w:rPr>
        <w:t>ispettivamente</w:t>
      </w:r>
      <w:r w:rsidRPr="00A13872">
        <w:rPr>
          <w:rFonts w:cs="Arial"/>
          <w:sz w:val="20"/>
          <w:szCs w:val="20"/>
        </w:rPr>
        <w:t>).</w:t>
      </w:r>
    </w:p>
    <w:p w14:paraId="1A7AE7BD" w14:textId="5FDDAB1A" w:rsidR="00F67B4D" w:rsidRPr="00AB3235" w:rsidRDefault="00C6465F" w:rsidP="000210A2">
      <w:pPr>
        <w:shd w:val="clear" w:color="auto" w:fill="FFFFFF"/>
        <w:spacing w:line="360" w:lineRule="auto"/>
        <w:rPr>
          <w:rFonts w:cs="Arial"/>
          <w:b/>
          <w:sz w:val="20"/>
          <w:szCs w:val="20"/>
        </w:rPr>
      </w:pPr>
      <w:r w:rsidRPr="00AB3235">
        <w:rPr>
          <w:rFonts w:cs="Arial"/>
          <w:b/>
          <w:sz w:val="20"/>
          <w:szCs w:val="20"/>
        </w:rPr>
        <w:t>L</w:t>
      </w:r>
      <w:r w:rsidR="00F67B4D" w:rsidRPr="00AB3235">
        <w:rPr>
          <w:rFonts w:cs="Arial"/>
          <w:b/>
          <w:sz w:val="20"/>
          <w:szCs w:val="20"/>
        </w:rPr>
        <w:t xml:space="preserve">a generale buona tollerabilità di lesinurad 200 mg è stata confermata dai risultati dello studio di estensione </w:t>
      </w:r>
      <w:r w:rsidR="00F67B4D" w:rsidRPr="001F006E">
        <w:rPr>
          <w:rFonts w:cs="Arial"/>
          <w:b/>
          <w:sz w:val="20"/>
          <w:szCs w:val="20"/>
        </w:rPr>
        <w:t>a lungo termine (</w:t>
      </w:r>
      <w:r w:rsidR="001F006E">
        <w:rPr>
          <w:rFonts w:cs="Arial"/>
          <w:b/>
          <w:sz w:val="20"/>
          <w:szCs w:val="20"/>
        </w:rPr>
        <w:t>fino a 52</w:t>
      </w:r>
      <w:r w:rsidR="00AE134E" w:rsidRPr="001F006E">
        <w:rPr>
          <w:rFonts w:cs="Arial"/>
          <w:b/>
          <w:sz w:val="20"/>
          <w:szCs w:val="20"/>
        </w:rPr>
        <w:t xml:space="preserve"> mesi</w:t>
      </w:r>
      <w:r w:rsidR="00F67B4D" w:rsidRPr="001F006E">
        <w:rPr>
          <w:rFonts w:cs="Arial"/>
          <w:b/>
          <w:sz w:val="20"/>
          <w:szCs w:val="20"/>
        </w:rPr>
        <w:t>) (studio 30</w:t>
      </w:r>
      <w:r w:rsidRPr="001F006E">
        <w:rPr>
          <w:rFonts w:cs="Arial"/>
          <w:b/>
          <w:sz w:val="20"/>
          <w:szCs w:val="20"/>
        </w:rPr>
        <w:t>7</w:t>
      </w:r>
      <w:r w:rsidR="00F67B4D" w:rsidRPr="001F006E">
        <w:rPr>
          <w:rFonts w:cs="Arial"/>
          <w:b/>
          <w:sz w:val="20"/>
          <w:szCs w:val="20"/>
        </w:rPr>
        <w:t>) (</w:t>
      </w:r>
      <w:hyperlink w:anchor="Paragrafo549" w:history="1">
        <w:r w:rsidR="00F67B4D" w:rsidRPr="001F006E">
          <w:rPr>
            <w:rStyle w:val="Hyperlink"/>
            <w:rFonts w:cs="Arial"/>
            <w:b/>
            <w:sz w:val="20"/>
            <w:szCs w:val="20"/>
          </w:rPr>
          <w:t>Paragrafo 5.</w:t>
        </w:r>
        <w:r w:rsidR="00CF13DF" w:rsidRPr="001F006E">
          <w:rPr>
            <w:rStyle w:val="Hyperlink"/>
            <w:rFonts w:cs="Arial"/>
            <w:b/>
            <w:sz w:val="20"/>
            <w:szCs w:val="20"/>
          </w:rPr>
          <w:t>49</w:t>
        </w:r>
      </w:hyperlink>
      <w:r w:rsidR="00F67B4D" w:rsidRPr="001F006E">
        <w:rPr>
          <w:rFonts w:cs="Arial"/>
          <w:b/>
          <w:sz w:val="20"/>
          <w:szCs w:val="20"/>
        </w:rPr>
        <w:t>).</w:t>
      </w:r>
    </w:p>
    <w:p w14:paraId="4CFC1843" w14:textId="77777777" w:rsidR="00F67B4D" w:rsidRPr="00F67B4D" w:rsidRDefault="00F67B4D" w:rsidP="000210A2">
      <w:pPr>
        <w:spacing w:line="360" w:lineRule="auto"/>
        <w:rPr>
          <w:rFonts w:eastAsia="Times New Roman" w:cs="Arial"/>
          <w:color w:val="222222"/>
          <w:sz w:val="20"/>
          <w:szCs w:val="20"/>
        </w:rPr>
      </w:pPr>
    </w:p>
    <w:p w14:paraId="3FE355A4" w14:textId="77777777" w:rsidR="00CE0690" w:rsidRPr="00221759" w:rsidRDefault="00CE0690" w:rsidP="00825BD3">
      <w:pPr>
        <w:numPr>
          <w:ilvl w:val="1"/>
          <w:numId w:val="13"/>
        </w:numPr>
        <w:spacing w:line="360" w:lineRule="auto"/>
        <w:ind w:left="709"/>
        <w:rPr>
          <w:rFonts w:cs="Arial"/>
          <w:sz w:val="20"/>
          <w:szCs w:val="20"/>
          <w:u w:val="single"/>
        </w:rPr>
      </w:pPr>
      <w:r w:rsidRPr="00221759">
        <w:rPr>
          <w:rFonts w:cs="Arial"/>
          <w:sz w:val="20"/>
          <w:szCs w:val="20"/>
          <w:u w:val="single"/>
        </w:rPr>
        <w:t>Valutazione conclusiva dello studio</w:t>
      </w:r>
    </w:p>
    <w:p w14:paraId="4B6D207A" w14:textId="73BA0A42" w:rsidR="00A5659B" w:rsidRDefault="00C520DD" w:rsidP="000210A2">
      <w:pPr>
        <w:pStyle w:val="Paragrafoelenco3"/>
        <w:spacing w:line="360" w:lineRule="auto"/>
        <w:ind w:left="0"/>
        <w:rPr>
          <w:rFonts w:asciiTheme="minorHAnsi" w:hAnsiTheme="minorHAnsi" w:cs="Arial"/>
          <w:sz w:val="20"/>
          <w:szCs w:val="20"/>
        </w:rPr>
      </w:pPr>
      <w:r>
        <w:rPr>
          <w:rFonts w:asciiTheme="minorHAnsi" w:hAnsiTheme="minorHAnsi" w:cs="Arial"/>
          <w:sz w:val="20"/>
          <w:szCs w:val="20"/>
        </w:rPr>
        <w:t xml:space="preserve">Lo studio CRYSTAL ha dimostrato che il trattamento con lesinurad 200 mg in associazione con febuxostat in pazienti con gotta </w:t>
      </w:r>
      <w:r w:rsidRPr="00C520DD">
        <w:rPr>
          <w:rFonts w:asciiTheme="minorHAnsi" w:hAnsiTheme="minorHAnsi" w:cs="Arial"/>
          <w:sz w:val="20"/>
          <w:szCs w:val="20"/>
        </w:rPr>
        <w:t>e presenza di tofi determina un abbassamento rapido e sostenuto nel tempo dell’uricemia</w:t>
      </w:r>
      <w:r>
        <w:rPr>
          <w:rFonts w:asciiTheme="minorHAnsi" w:hAnsiTheme="minorHAnsi" w:cs="Arial"/>
          <w:sz w:val="20"/>
          <w:szCs w:val="20"/>
        </w:rPr>
        <w:t>, statisticamente significativo e clinicamente rilevante  (</w:t>
      </w:r>
      <w:r w:rsidRPr="00C520DD">
        <w:rPr>
          <w:rFonts w:asciiTheme="minorHAnsi" w:hAnsiTheme="minorHAnsi" w:cs="Arial"/>
          <w:sz w:val="20"/>
          <w:szCs w:val="20"/>
        </w:rPr>
        <w:t>da un minimo di</w:t>
      </w:r>
      <w:r>
        <w:rPr>
          <w:rFonts w:asciiTheme="minorHAnsi" w:hAnsiTheme="minorHAnsi" w:cs="Arial"/>
          <w:sz w:val="20"/>
          <w:szCs w:val="20"/>
        </w:rPr>
        <w:t xml:space="preserve"> -12,8% ad un massimo di -24,7% rispetto al basale)</w:t>
      </w:r>
      <w:r w:rsidRPr="00C520DD">
        <w:rPr>
          <w:rFonts w:asciiTheme="minorHAnsi" w:hAnsiTheme="minorHAnsi" w:cs="Arial"/>
          <w:sz w:val="20"/>
          <w:szCs w:val="20"/>
        </w:rPr>
        <w:t xml:space="preserve">  </w:t>
      </w:r>
      <w:r>
        <w:rPr>
          <w:rFonts w:asciiTheme="minorHAnsi" w:hAnsiTheme="minorHAnsi" w:cs="Arial"/>
          <w:sz w:val="20"/>
          <w:szCs w:val="20"/>
        </w:rPr>
        <w:t xml:space="preserve">con </w:t>
      </w:r>
      <w:r w:rsidRPr="00C520DD">
        <w:rPr>
          <w:rFonts w:asciiTheme="minorHAnsi" w:hAnsiTheme="minorHAnsi" w:cs="Arial"/>
          <w:sz w:val="20"/>
          <w:szCs w:val="20"/>
        </w:rPr>
        <w:t xml:space="preserve">un numero </w:t>
      </w:r>
      <w:r>
        <w:rPr>
          <w:rFonts w:asciiTheme="minorHAnsi" w:hAnsiTheme="minorHAnsi" w:cs="Arial"/>
          <w:sz w:val="20"/>
          <w:szCs w:val="20"/>
        </w:rPr>
        <w:t xml:space="preserve">superiore </w:t>
      </w:r>
      <w:r w:rsidRPr="00C520DD">
        <w:rPr>
          <w:rFonts w:asciiTheme="minorHAnsi" w:hAnsiTheme="minorHAnsi" w:cs="Arial"/>
          <w:sz w:val="20"/>
          <w:szCs w:val="20"/>
        </w:rPr>
        <w:t xml:space="preserve">di pazienti </w:t>
      </w:r>
      <w:r>
        <w:rPr>
          <w:rFonts w:asciiTheme="minorHAnsi" w:hAnsiTheme="minorHAnsi" w:cs="Arial"/>
          <w:sz w:val="20"/>
          <w:szCs w:val="20"/>
        </w:rPr>
        <w:t xml:space="preserve">che </w:t>
      </w:r>
      <w:r w:rsidRPr="00C520DD">
        <w:rPr>
          <w:rFonts w:asciiTheme="minorHAnsi" w:hAnsiTheme="minorHAnsi" w:cs="Arial"/>
          <w:sz w:val="20"/>
          <w:szCs w:val="20"/>
        </w:rPr>
        <w:t>raggiunge il target terapeutico</w:t>
      </w:r>
      <w:r>
        <w:rPr>
          <w:rFonts w:asciiTheme="minorHAnsi" w:hAnsiTheme="minorHAnsi" w:cs="Arial"/>
          <w:sz w:val="20"/>
          <w:szCs w:val="20"/>
        </w:rPr>
        <w:t xml:space="preserve"> </w:t>
      </w:r>
      <w:r w:rsidR="001E7F7F" w:rsidRPr="001E7F7F">
        <w:rPr>
          <w:rFonts w:asciiTheme="minorHAnsi" w:hAnsiTheme="minorHAnsi" w:cs="Arial"/>
          <w:sz w:val="20"/>
          <w:szCs w:val="20"/>
        </w:rPr>
        <w:t xml:space="preserve">a tutti i time-points dello studio (tranne il 6° mese). </w:t>
      </w:r>
      <w:r w:rsidR="00A5659B">
        <w:rPr>
          <w:rFonts w:asciiTheme="minorHAnsi" w:hAnsiTheme="minorHAnsi" w:cs="Arial"/>
          <w:sz w:val="20"/>
          <w:szCs w:val="20"/>
        </w:rPr>
        <w:t>L</w:t>
      </w:r>
      <w:r w:rsidR="00A5659B" w:rsidRPr="00311795">
        <w:rPr>
          <w:rFonts w:asciiTheme="minorHAnsi" w:hAnsiTheme="minorHAnsi" w:cs="Arial"/>
          <w:sz w:val="20"/>
          <w:szCs w:val="20"/>
        </w:rPr>
        <w:t xml:space="preserve">’analisi LOCF (Pre-specified last observation carried forward) ha dimostrato che una proporzione significativamente maggiore di pazienti trattati con lesinurad 200 mg + febuxostat ha raggiunto livelli di </w:t>
      </w:r>
      <w:r w:rsidR="005848A1">
        <w:rPr>
          <w:rFonts w:asciiTheme="minorHAnsi" w:hAnsiTheme="minorHAnsi" w:cs="Arial"/>
          <w:sz w:val="20"/>
          <w:szCs w:val="20"/>
        </w:rPr>
        <w:t>sUA</w:t>
      </w:r>
      <w:r w:rsidR="00A5659B" w:rsidRPr="00311795">
        <w:rPr>
          <w:rFonts w:asciiTheme="minorHAnsi" w:hAnsiTheme="minorHAnsi" w:cs="Arial"/>
          <w:sz w:val="20"/>
          <w:szCs w:val="20"/>
        </w:rPr>
        <w:t xml:space="preserve"> &lt;5.0 mg/dl al Mese 6 rispetto al soggetti in monoterapia con febuxostat (64.1% vs 50.9%, rispettivamente; p=0.0377)</w:t>
      </w:r>
      <w:r w:rsidR="00A5659B">
        <w:rPr>
          <w:rFonts w:asciiTheme="minorHAnsi" w:hAnsiTheme="minorHAnsi" w:cs="Arial"/>
          <w:sz w:val="20"/>
          <w:szCs w:val="20"/>
        </w:rPr>
        <w:t>.</w:t>
      </w:r>
    </w:p>
    <w:p w14:paraId="5D8E1F47" w14:textId="6B5B62C0" w:rsidR="00A5659B" w:rsidRDefault="001E7F7F" w:rsidP="000210A2">
      <w:pPr>
        <w:pStyle w:val="Paragrafoelenco3"/>
        <w:spacing w:line="360" w:lineRule="auto"/>
        <w:ind w:left="0"/>
        <w:rPr>
          <w:rFonts w:asciiTheme="minorHAnsi" w:hAnsiTheme="minorHAnsi" w:cs="Arial"/>
          <w:sz w:val="20"/>
          <w:szCs w:val="20"/>
        </w:rPr>
      </w:pPr>
      <w:r w:rsidRPr="001E7F7F">
        <w:rPr>
          <w:rFonts w:asciiTheme="minorHAnsi" w:hAnsiTheme="minorHAnsi" w:cs="Arial"/>
          <w:sz w:val="20"/>
          <w:szCs w:val="20"/>
        </w:rPr>
        <w:t xml:space="preserve">Una percentuale maggiore di pazienti ha raggiunto livelli target di </w:t>
      </w:r>
      <w:r w:rsidR="005848A1">
        <w:rPr>
          <w:rFonts w:asciiTheme="minorHAnsi" w:hAnsiTheme="minorHAnsi" w:cs="Arial"/>
          <w:sz w:val="20"/>
          <w:szCs w:val="20"/>
        </w:rPr>
        <w:t>sUA</w:t>
      </w:r>
      <w:r w:rsidRPr="001E7F7F">
        <w:rPr>
          <w:rFonts w:asciiTheme="minorHAnsi" w:hAnsiTheme="minorHAnsi" w:cs="Arial"/>
          <w:sz w:val="20"/>
          <w:szCs w:val="20"/>
        </w:rPr>
        <w:t xml:space="preserve"> &lt;4.0 e &lt;3.0 con lesinurad 200 mg al mese 6 ed al mese 12. </w:t>
      </w:r>
    </w:p>
    <w:p w14:paraId="7CDB7E7F" w14:textId="77777777" w:rsidR="00553DA9" w:rsidRDefault="00310C64" w:rsidP="000210A2">
      <w:pPr>
        <w:pStyle w:val="Paragrafoelenco3"/>
        <w:spacing w:line="360" w:lineRule="auto"/>
        <w:ind w:left="0"/>
        <w:rPr>
          <w:rFonts w:asciiTheme="minorHAnsi" w:hAnsiTheme="minorHAnsi" w:cs="Arial"/>
          <w:b/>
          <w:sz w:val="20"/>
          <w:szCs w:val="20"/>
        </w:rPr>
      </w:pPr>
      <w:r w:rsidRPr="001E7F7F">
        <w:rPr>
          <w:rFonts w:asciiTheme="minorHAnsi" w:hAnsiTheme="minorHAnsi" w:cs="Arial"/>
          <w:b/>
          <w:sz w:val="20"/>
          <w:szCs w:val="20"/>
        </w:rPr>
        <w:t xml:space="preserve">Lo studio CRYSTAL ha dimostrato che l'aggiunta di lesinurad 200 mg ad una terapia a base di febuxostat 80 mg determina, nel sottogruppo di pazienti che non rispondono adeguatamente a febuxostat in monoterapia, un abbassamento dell’uricemia clinicamente rilevante. </w:t>
      </w:r>
      <w:r w:rsidR="00553DA9" w:rsidRPr="001D1F77">
        <w:rPr>
          <w:rFonts w:asciiTheme="minorHAnsi" w:hAnsiTheme="minorHAnsi" w:cs="Arial"/>
          <w:b/>
          <w:sz w:val="20"/>
          <w:szCs w:val="20"/>
        </w:rPr>
        <w:t>Per questo sottogruppo, le percentuali di pazienti con uricemia &lt;5,0 mg/dl al sesto mese erano 44,1% per il gruppo lesinurad 200 mg in associazione con febuxostat rispetto a 23,5% per il gruppo febuxostat in monoterapia (p &lt;0,0</w:t>
      </w:r>
      <w:r w:rsidR="00553DA9">
        <w:rPr>
          <w:rFonts w:asciiTheme="minorHAnsi" w:hAnsiTheme="minorHAnsi" w:cs="Arial"/>
          <w:b/>
          <w:sz w:val="20"/>
          <w:szCs w:val="20"/>
        </w:rPr>
        <w:t>2</w:t>
      </w:r>
      <w:r w:rsidR="00553DA9" w:rsidRPr="001D1F77">
        <w:rPr>
          <w:rFonts w:asciiTheme="minorHAnsi" w:hAnsiTheme="minorHAnsi" w:cs="Arial"/>
          <w:b/>
          <w:sz w:val="20"/>
          <w:szCs w:val="20"/>
        </w:rPr>
        <w:t xml:space="preserve">5) </w:t>
      </w:r>
    </w:p>
    <w:p w14:paraId="7EF3984C" w14:textId="0AB07CAB" w:rsidR="00310C64" w:rsidRDefault="00310C64" w:rsidP="000210A2">
      <w:pPr>
        <w:pStyle w:val="Paragrafoelenco3"/>
        <w:spacing w:line="360" w:lineRule="auto"/>
        <w:ind w:left="0"/>
        <w:rPr>
          <w:rFonts w:asciiTheme="minorHAnsi" w:hAnsiTheme="minorHAnsi" w:cs="Arial"/>
          <w:b/>
          <w:sz w:val="20"/>
          <w:szCs w:val="20"/>
        </w:rPr>
      </w:pPr>
      <w:r w:rsidRPr="001E7F7F">
        <w:rPr>
          <w:rFonts w:asciiTheme="minorHAnsi" w:hAnsiTheme="minorHAnsi" w:cs="Arial"/>
          <w:b/>
          <w:sz w:val="20"/>
          <w:szCs w:val="20"/>
        </w:rPr>
        <w:t xml:space="preserve">L’efficacia di lesinurad in questa sottopopolazione di soggetti riflette la </w:t>
      </w:r>
      <w:r w:rsidR="005848A1">
        <w:rPr>
          <w:rFonts w:asciiTheme="minorHAnsi" w:hAnsiTheme="minorHAnsi" w:cs="Arial"/>
          <w:b/>
          <w:sz w:val="20"/>
          <w:szCs w:val="20"/>
        </w:rPr>
        <w:t>sUA</w:t>
      </w:r>
      <w:r w:rsidRPr="001E7F7F">
        <w:rPr>
          <w:rFonts w:asciiTheme="minorHAnsi" w:hAnsiTheme="minorHAnsi" w:cs="Arial"/>
          <w:b/>
          <w:sz w:val="20"/>
          <w:szCs w:val="20"/>
        </w:rPr>
        <w:t xml:space="preserve"> indicazione di utilizzo, come terapia aggiuntiva in pazienti che non raggiungono il livello target di acido urico con una dose adeguata di un inibitore della xantina ossidasi. I risultati dello studio hanno, inoltre, messo in evidenza un effetto positivo di lesinurad 200 mg sulla riduzione </w:t>
      </w:r>
      <w:r>
        <w:rPr>
          <w:rFonts w:asciiTheme="minorHAnsi" w:hAnsiTheme="minorHAnsi" w:cs="Arial"/>
          <w:b/>
          <w:sz w:val="20"/>
          <w:szCs w:val="20"/>
        </w:rPr>
        <w:t xml:space="preserve">dell’area </w:t>
      </w:r>
      <w:r w:rsidRPr="001E7F7F">
        <w:rPr>
          <w:rFonts w:asciiTheme="minorHAnsi" w:hAnsiTheme="minorHAnsi" w:cs="Arial"/>
          <w:b/>
          <w:sz w:val="20"/>
          <w:szCs w:val="20"/>
        </w:rPr>
        <w:t>dei tofi dovuti alla gotta.</w:t>
      </w:r>
    </w:p>
    <w:p w14:paraId="653B6F71" w14:textId="35534C16" w:rsidR="001E7F7F" w:rsidRPr="001E7F7F" w:rsidRDefault="00553DA9" w:rsidP="000210A2">
      <w:pPr>
        <w:pStyle w:val="Paragrafoelenco3"/>
        <w:spacing w:line="360" w:lineRule="auto"/>
        <w:ind w:left="0"/>
        <w:rPr>
          <w:rFonts w:asciiTheme="minorHAnsi" w:hAnsiTheme="minorHAnsi" w:cs="Arial"/>
          <w:sz w:val="20"/>
          <w:szCs w:val="20"/>
        </w:rPr>
      </w:pPr>
      <w:r>
        <w:rPr>
          <w:rFonts w:asciiTheme="minorHAnsi" w:hAnsiTheme="minorHAnsi" w:cs="Arial"/>
          <w:sz w:val="20"/>
          <w:szCs w:val="20"/>
        </w:rPr>
        <w:t>I</w:t>
      </w:r>
      <w:r w:rsidR="001E7F7F" w:rsidRPr="001E7F7F">
        <w:rPr>
          <w:rFonts w:asciiTheme="minorHAnsi" w:hAnsiTheme="minorHAnsi" w:cs="Arial"/>
          <w:sz w:val="20"/>
          <w:szCs w:val="20"/>
        </w:rPr>
        <w:t xml:space="preserve"> pazienti che hanno ricevuto lesinurad 200 mg in associazione con febuxostat hanno avuto, rispetto ai pazienti trattati con febuxostat da solo, una maggiore riduzione dell'area complessiva dei tofi, in diversi momenti temporali. Al dodicesimo mese, lesinurad 200 mg in combinazione con febuxostat ha portato ad una riduzione significativamente maggiore dell’area complessiva del tofo vs. febuxostat (50.1% verso 28.3%; p &lt;0,05)</w:t>
      </w:r>
      <w:r w:rsidR="001E7F7F">
        <w:rPr>
          <w:rFonts w:asciiTheme="minorHAnsi" w:hAnsiTheme="minorHAnsi" w:cs="Arial"/>
          <w:sz w:val="20"/>
          <w:szCs w:val="20"/>
        </w:rPr>
        <w:t>.</w:t>
      </w:r>
    </w:p>
    <w:p w14:paraId="342F40E8" w14:textId="4232633D" w:rsidR="001E7F7F" w:rsidRPr="00396E4B" w:rsidRDefault="00396E4B" w:rsidP="000210A2">
      <w:pPr>
        <w:pStyle w:val="Paragrafoelenco3"/>
        <w:spacing w:line="360" w:lineRule="auto"/>
        <w:ind w:left="0"/>
        <w:rPr>
          <w:rFonts w:asciiTheme="minorHAnsi" w:hAnsiTheme="minorHAnsi" w:cs="Arial"/>
          <w:sz w:val="20"/>
          <w:szCs w:val="20"/>
        </w:rPr>
      </w:pPr>
      <w:r w:rsidRPr="00DC229F">
        <w:rPr>
          <w:rFonts w:asciiTheme="minorHAnsi" w:hAnsiTheme="minorHAnsi" w:cs="Arial"/>
          <w:sz w:val="20"/>
          <w:szCs w:val="20"/>
        </w:rPr>
        <w:t xml:space="preserve">Lesinurad in associazione a </w:t>
      </w:r>
      <w:r w:rsidR="00DC229F" w:rsidRPr="00DC229F">
        <w:rPr>
          <w:rFonts w:asciiTheme="minorHAnsi" w:hAnsiTheme="minorHAnsi" w:cs="Arial"/>
          <w:sz w:val="20"/>
          <w:szCs w:val="20"/>
        </w:rPr>
        <w:t>febuxostat è stato gener</w:t>
      </w:r>
      <w:r w:rsidRPr="00DC229F">
        <w:rPr>
          <w:rFonts w:asciiTheme="minorHAnsi" w:hAnsiTheme="minorHAnsi" w:cs="Arial"/>
          <w:sz w:val="20"/>
          <w:szCs w:val="20"/>
        </w:rPr>
        <w:t>a</w:t>
      </w:r>
      <w:r w:rsidR="00DC229F">
        <w:rPr>
          <w:rFonts w:asciiTheme="minorHAnsi" w:hAnsiTheme="minorHAnsi" w:cs="Arial"/>
          <w:sz w:val="20"/>
          <w:szCs w:val="20"/>
        </w:rPr>
        <w:t>l</w:t>
      </w:r>
      <w:r w:rsidRPr="00DC229F">
        <w:rPr>
          <w:rFonts w:asciiTheme="minorHAnsi" w:hAnsiTheme="minorHAnsi" w:cs="Arial"/>
          <w:sz w:val="20"/>
          <w:szCs w:val="20"/>
        </w:rPr>
        <w:t xml:space="preserve">mente ben tollerato; </w:t>
      </w:r>
      <w:r w:rsidR="0065085B">
        <w:rPr>
          <w:rFonts w:asciiTheme="minorHAnsi" w:hAnsiTheme="minorHAnsi" w:cs="Arial"/>
          <w:sz w:val="20"/>
          <w:szCs w:val="20"/>
        </w:rPr>
        <w:t xml:space="preserve">con una frequenza di </w:t>
      </w:r>
      <w:r w:rsidR="0065085B" w:rsidRPr="005C13A6">
        <w:rPr>
          <w:rFonts w:asciiTheme="minorHAnsi" w:hAnsiTheme="minorHAnsi" w:cs="Arial"/>
          <w:sz w:val="20"/>
          <w:szCs w:val="20"/>
        </w:rPr>
        <w:t xml:space="preserve">eventi avversi </w:t>
      </w:r>
      <w:r w:rsidR="0065085B">
        <w:rPr>
          <w:rFonts w:asciiTheme="minorHAnsi" w:hAnsiTheme="minorHAnsi" w:cs="Arial"/>
          <w:sz w:val="20"/>
          <w:szCs w:val="20"/>
        </w:rPr>
        <w:t>leggermente più alta tra i</w:t>
      </w:r>
      <w:r w:rsidR="0065085B" w:rsidRPr="00DC229F">
        <w:rPr>
          <w:rFonts w:asciiTheme="minorHAnsi" w:hAnsiTheme="minorHAnsi" w:cs="Arial"/>
          <w:sz w:val="20"/>
          <w:szCs w:val="20"/>
        </w:rPr>
        <w:t xml:space="preserve"> pazienti trattati con lesinuard 200 mg</w:t>
      </w:r>
      <w:r w:rsidR="0065085B">
        <w:rPr>
          <w:rFonts w:asciiTheme="minorHAnsi" w:hAnsiTheme="minorHAnsi" w:cs="Arial"/>
          <w:sz w:val="20"/>
          <w:szCs w:val="20"/>
        </w:rPr>
        <w:t xml:space="preserve"> rispetto a</w:t>
      </w:r>
      <w:r w:rsidR="0065085B" w:rsidRPr="005C13A6">
        <w:rPr>
          <w:rFonts w:asciiTheme="minorHAnsi" w:hAnsiTheme="minorHAnsi" w:cs="Arial"/>
          <w:sz w:val="20"/>
          <w:szCs w:val="20"/>
        </w:rPr>
        <w:t xml:space="preserve"> quella </w:t>
      </w:r>
      <w:r w:rsidR="0065085B">
        <w:rPr>
          <w:rFonts w:asciiTheme="minorHAnsi" w:hAnsiTheme="minorHAnsi" w:cs="Arial"/>
          <w:sz w:val="20"/>
          <w:szCs w:val="20"/>
        </w:rPr>
        <w:t>osservata tra i</w:t>
      </w:r>
      <w:r w:rsidR="0065085B" w:rsidRPr="00DC229F">
        <w:rPr>
          <w:rFonts w:asciiTheme="minorHAnsi" w:hAnsiTheme="minorHAnsi" w:cs="Arial"/>
          <w:sz w:val="20"/>
          <w:szCs w:val="20"/>
        </w:rPr>
        <w:t xml:space="preserve"> pazienti trattati </w:t>
      </w:r>
      <w:r w:rsidR="0065085B">
        <w:rPr>
          <w:rFonts w:asciiTheme="minorHAnsi" w:hAnsiTheme="minorHAnsi" w:cs="Arial"/>
          <w:sz w:val="20"/>
          <w:szCs w:val="20"/>
        </w:rPr>
        <w:t>con</w:t>
      </w:r>
      <w:r w:rsidR="00DC229F">
        <w:rPr>
          <w:rFonts w:asciiTheme="minorHAnsi" w:hAnsiTheme="minorHAnsi" w:cs="Arial"/>
          <w:sz w:val="20"/>
          <w:szCs w:val="20"/>
        </w:rPr>
        <w:t xml:space="preserve"> </w:t>
      </w:r>
      <w:r w:rsidRPr="00DC229F">
        <w:rPr>
          <w:rFonts w:asciiTheme="minorHAnsi" w:hAnsiTheme="minorHAnsi" w:cs="Arial"/>
          <w:sz w:val="20"/>
          <w:szCs w:val="20"/>
        </w:rPr>
        <w:t>febuxostat in monoterapia</w:t>
      </w:r>
      <w:r w:rsidR="00DC229F">
        <w:rPr>
          <w:rFonts w:asciiTheme="minorHAnsi" w:hAnsiTheme="minorHAnsi" w:cs="Arial"/>
          <w:sz w:val="20"/>
          <w:szCs w:val="20"/>
        </w:rPr>
        <w:t>.</w:t>
      </w:r>
      <w:r w:rsidRPr="00DC229F">
        <w:rPr>
          <w:rFonts w:asciiTheme="minorHAnsi" w:hAnsiTheme="minorHAnsi" w:cs="Arial"/>
          <w:sz w:val="20"/>
          <w:szCs w:val="20"/>
        </w:rPr>
        <w:t xml:space="preserve"> </w:t>
      </w:r>
      <w:r w:rsidR="0065085B">
        <w:rPr>
          <w:rFonts w:asciiTheme="minorHAnsi" w:hAnsiTheme="minorHAnsi" w:cs="Arial"/>
          <w:sz w:val="20"/>
          <w:szCs w:val="20"/>
        </w:rPr>
        <w:t>L</w:t>
      </w:r>
      <w:r>
        <w:rPr>
          <w:rFonts w:asciiTheme="minorHAnsi" w:hAnsiTheme="minorHAnsi" w:cs="Arial"/>
          <w:sz w:val="20"/>
          <w:szCs w:val="20"/>
        </w:rPr>
        <w:t xml:space="preserve">a percentuale di interruzione a causa di TEAEs nel gruppo lesinurad 200 mg </w:t>
      </w:r>
      <w:r w:rsidR="0065085B">
        <w:rPr>
          <w:rFonts w:asciiTheme="minorHAnsi" w:hAnsiTheme="minorHAnsi" w:cs="Arial"/>
          <w:sz w:val="20"/>
          <w:szCs w:val="20"/>
        </w:rPr>
        <w:t>è comunque risultata</w:t>
      </w:r>
      <w:r>
        <w:rPr>
          <w:rFonts w:asciiTheme="minorHAnsi" w:hAnsiTheme="minorHAnsi" w:cs="Arial"/>
          <w:sz w:val="20"/>
          <w:szCs w:val="20"/>
        </w:rPr>
        <w:t xml:space="preserve"> simile a quella nel gruppo febuxostat in monoterapia. Inoltre è da evidenz</w:t>
      </w:r>
      <w:r w:rsidR="00AE134E">
        <w:rPr>
          <w:rFonts w:asciiTheme="minorHAnsi" w:hAnsiTheme="minorHAnsi" w:cs="Arial"/>
          <w:sz w:val="20"/>
          <w:szCs w:val="20"/>
        </w:rPr>
        <w:t xml:space="preserve">iare che i dati a </w:t>
      </w:r>
      <w:r w:rsidR="00AE134E" w:rsidRPr="001F006E">
        <w:rPr>
          <w:rFonts w:asciiTheme="minorHAnsi" w:hAnsiTheme="minorHAnsi" w:cs="Arial"/>
          <w:sz w:val="20"/>
          <w:szCs w:val="20"/>
        </w:rPr>
        <w:t xml:space="preserve">lungo termine </w:t>
      </w:r>
      <w:r w:rsidRPr="001F006E">
        <w:rPr>
          <w:rFonts w:asciiTheme="minorHAnsi" w:hAnsiTheme="minorHAnsi" w:cs="Arial"/>
          <w:sz w:val="20"/>
          <w:szCs w:val="20"/>
        </w:rPr>
        <w:t>dello studio di estensione (307) (</w:t>
      </w:r>
      <w:hyperlink w:anchor="Paragrafo549" w:history="1">
        <w:r w:rsidRPr="001F006E">
          <w:rPr>
            <w:rStyle w:val="Hyperlink"/>
            <w:rFonts w:asciiTheme="minorHAnsi" w:hAnsiTheme="minorHAnsi" w:cs="Arial"/>
            <w:sz w:val="20"/>
            <w:szCs w:val="20"/>
          </w:rPr>
          <w:t>Paragr</w:t>
        </w:r>
        <w:r w:rsidR="007D32A6" w:rsidRPr="001F006E">
          <w:rPr>
            <w:rStyle w:val="Hyperlink"/>
            <w:rFonts w:asciiTheme="minorHAnsi" w:hAnsiTheme="minorHAnsi" w:cs="Arial"/>
            <w:sz w:val="20"/>
            <w:szCs w:val="20"/>
          </w:rPr>
          <w:t>a</w:t>
        </w:r>
        <w:r w:rsidRPr="001F006E">
          <w:rPr>
            <w:rStyle w:val="Hyperlink"/>
            <w:rFonts w:asciiTheme="minorHAnsi" w:hAnsiTheme="minorHAnsi" w:cs="Arial"/>
            <w:sz w:val="20"/>
            <w:szCs w:val="20"/>
          </w:rPr>
          <w:t xml:space="preserve">fo </w:t>
        </w:r>
        <w:r w:rsidR="00DC229F" w:rsidRPr="001F006E">
          <w:rPr>
            <w:rStyle w:val="Hyperlink"/>
            <w:rFonts w:asciiTheme="minorHAnsi" w:hAnsiTheme="minorHAnsi" w:cs="Arial"/>
            <w:sz w:val="20"/>
            <w:szCs w:val="20"/>
          </w:rPr>
          <w:t>5.</w:t>
        </w:r>
        <w:r w:rsidR="00CF13DF" w:rsidRPr="001F006E">
          <w:rPr>
            <w:rStyle w:val="Hyperlink"/>
            <w:rFonts w:asciiTheme="minorHAnsi" w:hAnsiTheme="minorHAnsi" w:cs="Arial"/>
            <w:sz w:val="20"/>
            <w:szCs w:val="20"/>
          </w:rPr>
          <w:t>49</w:t>
        </w:r>
      </w:hyperlink>
      <w:r w:rsidRPr="001F006E">
        <w:rPr>
          <w:rFonts w:asciiTheme="minorHAnsi" w:hAnsiTheme="minorHAnsi" w:cs="Arial"/>
          <w:sz w:val="20"/>
          <w:szCs w:val="20"/>
        </w:rPr>
        <w:t xml:space="preserve">) </w:t>
      </w:r>
      <w:r w:rsidR="001F006E" w:rsidRPr="001F006E">
        <w:rPr>
          <w:rFonts w:asciiTheme="minorHAnsi" w:hAnsiTheme="minorHAnsi" w:cs="Arial"/>
          <w:sz w:val="20"/>
          <w:szCs w:val="20"/>
        </w:rPr>
        <w:t xml:space="preserve">hanno confermato la buona tollerabilità di lesinuard </w:t>
      </w:r>
      <w:r w:rsidR="001F006E">
        <w:rPr>
          <w:rFonts w:asciiTheme="minorHAnsi" w:hAnsiTheme="minorHAnsi" w:cs="Arial"/>
          <w:sz w:val="20"/>
          <w:szCs w:val="20"/>
        </w:rPr>
        <w:t>f</w:t>
      </w:r>
      <w:r w:rsidR="001F006E" w:rsidRPr="001F006E">
        <w:rPr>
          <w:rFonts w:asciiTheme="minorHAnsi" w:hAnsiTheme="minorHAnsi" w:cs="Arial"/>
          <w:sz w:val="20"/>
          <w:szCs w:val="20"/>
        </w:rPr>
        <w:t>ino</w:t>
      </w:r>
      <w:r w:rsidR="001F006E">
        <w:rPr>
          <w:rFonts w:asciiTheme="minorHAnsi" w:hAnsiTheme="minorHAnsi" w:cs="Arial"/>
          <w:sz w:val="20"/>
          <w:szCs w:val="20"/>
        </w:rPr>
        <w:t xml:space="preserve"> </w:t>
      </w:r>
      <w:r w:rsidR="001F006E" w:rsidRPr="001F006E">
        <w:rPr>
          <w:rFonts w:asciiTheme="minorHAnsi" w:hAnsiTheme="minorHAnsi" w:cs="Arial"/>
          <w:sz w:val="20"/>
          <w:szCs w:val="20"/>
        </w:rPr>
        <w:t>a 52 mesi di</w:t>
      </w:r>
      <w:r w:rsidR="001F006E">
        <w:rPr>
          <w:rFonts w:asciiTheme="minorHAnsi" w:hAnsiTheme="minorHAnsi" w:cs="Arial"/>
          <w:sz w:val="20"/>
          <w:szCs w:val="20"/>
        </w:rPr>
        <w:t xml:space="preserve"> </w:t>
      </w:r>
      <w:r w:rsidR="001F006E" w:rsidRPr="001F006E">
        <w:rPr>
          <w:rFonts w:asciiTheme="minorHAnsi" w:hAnsiTheme="minorHAnsi" w:cs="Arial"/>
          <w:sz w:val="20"/>
          <w:szCs w:val="20"/>
        </w:rPr>
        <w:t>trattamento</w:t>
      </w:r>
      <w:r w:rsidRPr="001F006E">
        <w:rPr>
          <w:rFonts w:asciiTheme="minorHAnsi" w:hAnsiTheme="minorHAnsi" w:cs="Arial"/>
          <w:sz w:val="20"/>
          <w:szCs w:val="20"/>
        </w:rPr>
        <w:t>.</w:t>
      </w:r>
    </w:p>
    <w:p w14:paraId="62F3A1B6" w14:textId="04283379" w:rsidR="00AF5F11" w:rsidRDefault="00AF5F11" w:rsidP="000210A2">
      <w:pPr>
        <w:rPr>
          <w:rFonts w:eastAsia="Times New Roman" w:cs="Arial"/>
          <w:color w:val="222222"/>
          <w:sz w:val="20"/>
          <w:szCs w:val="20"/>
        </w:rPr>
      </w:pPr>
      <w:r>
        <w:rPr>
          <w:rFonts w:eastAsia="Times New Roman" w:cs="Arial"/>
          <w:color w:val="222222"/>
          <w:sz w:val="20"/>
          <w:szCs w:val="20"/>
        </w:rPr>
        <w:br w:type="page"/>
      </w:r>
    </w:p>
    <w:p w14:paraId="36F0A82A" w14:textId="77777777" w:rsidR="000B4D6A" w:rsidRPr="00E21542" w:rsidRDefault="000B4D6A" w:rsidP="000210A2">
      <w:pPr>
        <w:pStyle w:val="Heading2"/>
        <w:jc w:val="left"/>
        <w:rPr>
          <w:rFonts w:asciiTheme="minorHAnsi" w:hAnsiTheme="minorHAnsi" w:cstheme="minorHAnsi"/>
          <w:i w:val="0"/>
          <w:sz w:val="20"/>
          <w:u w:val="single"/>
        </w:rPr>
      </w:pPr>
      <w:bookmarkStart w:id="148" w:name="_Toc473184563"/>
      <w:r w:rsidRPr="00E21542">
        <w:rPr>
          <w:rFonts w:asciiTheme="minorHAnsi" w:hAnsiTheme="minorHAnsi" w:cstheme="minorHAnsi"/>
          <w:i w:val="0"/>
          <w:sz w:val="20"/>
          <w:u w:val="single"/>
        </w:rPr>
        <w:t>Studi CLEAR 1 e 2 (studi 301-302) vs. allopurinolo – DATI POOLED</w:t>
      </w:r>
      <w:bookmarkEnd w:id="148"/>
    </w:p>
    <w:p w14:paraId="49702FA5" w14:textId="77777777" w:rsidR="000B4D6A" w:rsidRPr="00BA2F8F" w:rsidRDefault="000B4D6A" w:rsidP="000210A2">
      <w:pPr>
        <w:shd w:val="clear" w:color="auto" w:fill="FFFFFF"/>
        <w:spacing w:line="360" w:lineRule="auto"/>
        <w:rPr>
          <w:rFonts w:cs="Arial"/>
          <w:sz w:val="20"/>
          <w:szCs w:val="20"/>
        </w:rPr>
      </w:pPr>
    </w:p>
    <w:p w14:paraId="6FE0A55B" w14:textId="77777777" w:rsidR="000B4D6A" w:rsidRPr="00221759" w:rsidRDefault="000B4D6A" w:rsidP="00825BD3">
      <w:pPr>
        <w:numPr>
          <w:ilvl w:val="1"/>
          <w:numId w:val="13"/>
        </w:numPr>
        <w:shd w:val="clear" w:color="auto" w:fill="FFFFFF"/>
        <w:spacing w:line="360" w:lineRule="auto"/>
        <w:rPr>
          <w:rFonts w:cs="Arial"/>
          <w:sz w:val="20"/>
          <w:szCs w:val="20"/>
          <w:u w:val="single"/>
        </w:rPr>
      </w:pPr>
      <w:r w:rsidRPr="00221759">
        <w:rPr>
          <w:rFonts w:cs="Arial"/>
          <w:sz w:val="20"/>
          <w:szCs w:val="20"/>
          <w:u w:val="single"/>
        </w:rPr>
        <w:t>Presupposti fisiopatologici, razionale e obiettivi dello studio</w:t>
      </w:r>
    </w:p>
    <w:p w14:paraId="18347ACA" w14:textId="4A7FF898" w:rsidR="000B4D6A" w:rsidRDefault="000B4D6A" w:rsidP="000210A2">
      <w:pPr>
        <w:spacing w:line="360" w:lineRule="auto"/>
        <w:rPr>
          <w:rFonts w:cs="Arial"/>
          <w:bCs/>
          <w:sz w:val="20"/>
          <w:szCs w:val="20"/>
        </w:rPr>
      </w:pPr>
      <w:r>
        <w:rPr>
          <w:rFonts w:cs="Arial"/>
          <w:bCs/>
          <w:sz w:val="20"/>
          <w:szCs w:val="20"/>
        </w:rPr>
        <w:t>I dati di efficacia relativamente all’endpoint primario sono presentati in forma di analisi “pooled” dei risultati degli studi CLEAR 1 e CLEAR 2 (studi di disegno identico), insieme ad un’analisi d</w:t>
      </w:r>
      <w:r w:rsidR="009A1F03">
        <w:rPr>
          <w:rFonts w:cs="Arial"/>
          <w:bCs/>
          <w:sz w:val="20"/>
          <w:szCs w:val="20"/>
        </w:rPr>
        <w:t xml:space="preserve">ella sottopopolazione </w:t>
      </w:r>
      <w:r w:rsidR="009A1F03">
        <w:rPr>
          <w:rFonts w:cstheme="minorHAnsi"/>
          <w:bCs/>
          <w:sz w:val="20"/>
          <w:szCs w:val="20"/>
        </w:rPr>
        <w:t>≥</w:t>
      </w:r>
      <w:r w:rsidR="009A1F03">
        <w:rPr>
          <w:rFonts w:cs="Arial"/>
          <w:bCs/>
          <w:sz w:val="20"/>
          <w:szCs w:val="20"/>
        </w:rPr>
        <w:t>65 anni</w:t>
      </w:r>
      <w:r>
        <w:rPr>
          <w:rFonts w:cs="Arial"/>
          <w:bCs/>
          <w:sz w:val="20"/>
          <w:szCs w:val="20"/>
        </w:rPr>
        <w:t xml:space="preserve">. </w:t>
      </w:r>
    </w:p>
    <w:p w14:paraId="30574C0F" w14:textId="77777777" w:rsidR="000B4D6A" w:rsidRDefault="000B4D6A" w:rsidP="000210A2">
      <w:pPr>
        <w:spacing w:line="360" w:lineRule="auto"/>
        <w:rPr>
          <w:rFonts w:cs="Arial"/>
          <w:bCs/>
          <w:sz w:val="20"/>
          <w:szCs w:val="20"/>
        </w:rPr>
      </w:pPr>
      <w:r>
        <w:rPr>
          <w:rFonts w:cs="Arial"/>
          <w:bCs/>
          <w:sz w:val="20"/>
          <w:szCs w:val="20"/>
        </w:rPr>
        <w:t xml:space="preserve">I dati di sicurezza sono presentati in forma di analisi “pooled” dei risultati degli studi CLEAR 1, CLEAR 2 e CRYSTAL.  </w:t>
      </w:r>
    </w:p>
    <w:p w14:paraId="200DA987" w14:textId="77777777" w:rsidR="000B4D6A" w:rsidRPr="00221759" w:rsidRDefault="000B4D6A" w:rsidP="000210A2">
      <w:pPr>
        <w:rPr>
          <w:rFonts w:cs="Arial"/>
          <w:sz w:val="20"/>
          <w:szCs w:val="20"/>
        </w:rPr>
      </w:pPr>
    </w:p>
    <w:p w14:paraId="472D5DDC" w14:textId="77777777" w:rsidR="000B4D6A" w:rsidRPr="00221759" w:rsidRDefault="000B4D6A" w:rsidP="00825BD3">
      <w:pPr>
        <w:numPr>
          <w:ilvl w:val="1"/>
          <w:numId w:val="13"/>
        </w:numPr>
        <w:spacing w:line="360" w:lineRule="auto"/>
        <w:ind w:left="709"/>
        <w:rPr>
          <w:rFonts w:cs="Arial"/>
          <w:bCs/>
          <w:sz w:val="20"/>
          <w:szCs w:val="20"/>
        </w:rPr>
      </w:pPr>
      <w:r w:rsidRPr="00221759">
        <w:rPr>
          <w:rFonts w:cs="Arial"/>
          <w:sz w:val="20"/>
          <w:szCs w:val="20"/>
          <w:u w:val="single"/>
        </w:rPr>
        <w:t xml:space="preserve">Tipo di studio </w:t>
      </w:r>
    </w:p>
    <w:p w14:paraId="32769524" w14:textId="755716ED" w:rsidR="000B4D6A" w:rsidRPr="00E7060C" w:rsidRDefault="000B4D6A" w:rsidP="000210A2">
      <w:pPr>
        <w:spacing w:line="360" w:lineRule="auto"/>
        <w:rPr>
          <w:rFonts w:cs="Arial"/>
          <w:bCs/>
          <w:sz w:val="20"/>
          <w:szCs w:val="20"/>
        </w:rPr>
      </w:pPr>
      <w:r w:rsidRPr="00E7060C">
        <w:rPr>
          <w:rFonts w:cs="Arial"/>
          <w:bCs/>
          <w:sz w:val="20"/>
          <w:szCs w:val="20"/>
        </w:rPr>
        <w:t xml:space="preserve">Fare riferimento al </w:t>
      </w:r>
      <w:hyperlink w:anchor="Paragrafo52" w:history="1">
        <w:r w:rsidRPr="00E7060C">
          <w:rPr>
            <w:rStyle w:val="Hyperlink"/>
            <w:rFonts w:cs="Arial"/>
            <w:bCs/>
            <w:sz w:val="20"/>
            <w:szCs w:val="20"/>
          </w:rPr>
          <w:t>Paragrafo 5.2</w:t>
        </w:r>
      </w:hyperlink>
      <w:r w:rsidRPr="00E7060C">
        <w:rPr>
          <w:rFonts w:cs="Arial"/>
          <w:bCs/>
          <w:sz w:val="20"/>
          <w:szCs w:val="20"/>
        </w:rPr>
        <w:t>.</w:t>
      </w:r>
    </w:p>
    <w:p w14:paraId="0A446637" w14:textId="77777777" w:rsidR="000B4D6A" w:rsidRPr="00E7060C" w:rsidRDefault="000B4D6A" w:rsidP="000210A2">
      <w:pPr>
        <w:pStyle w:val="ListParagraph"/>
        <w:spacing w:line="360" w:lineRule="auto"/>
        <w:ind w:left="0"/>
        <w:rPr>
          <w:rFonts w:asciiTheme="minorHAnsi" w:hAnsiTheme="minorHAnsi" w:cs="TimesNewRomanPSMT"/>
          <w:sz w:val="20"/>
          <w:szCs w:val="20"/>
        </w:rPr>
      </w:pPr>
    </w:p>
    <w:p w14:paraId="7D12012D" w14:textId="77777777" w:rsidR="000B4D6A" w:rsidRPr="00E7060C" w:rsidRDefault="000B4D6A" w:rsidP="00825BD3">
      <w:pPr>
        <w:numPr>
          <w:ilvl w:val="1"/>
          <w:numId w:val="13"/>
        </w:numPr>
        <w:spacing w:line="360" w:lineRule="auto"/>
        <w:ind w:left="709"/>
        <w:rPr>
          <w:rFonts w:cs="Arial"/>
          <w:sz w:val="20"/>
          <w:szCs w:val="20"/>
          <w:u w:val="single"/>
        </w:rPr>
      </w:pPr>
      <w:r w:rsidRPr="00E7060C">
        <w:rPr>
          <w:rFonts w:cs="Arial"/>
          <w:sz w:val="20"/>
          <w:szCs w:val="20"/>
          <w:u w:val="single"/>
        </w:rPr>
        <w:t>Tipo di pazienti partecipanti allo studio</w:t>
      </w:r>
    </w:p>
    <w:p w14:paraId="36C41A34" w14:textId="59C5DE17" w:rsidR="000B4D6A" w:rsidRDefault="000B4D6A" w:rsidP="000210A2">
      <w:pPr>
        <w:spacing w:line="360" w:lineRule="auto"/>
        <w:rPr>
          <w:rFonts w:cs="Arial"/>
          <w:bCs/>
          <w:sz w:val="20"/>
          <w:szCs w:val="20"/>
        </w:rPr>
      </w:pPr>
      <w:r w:rsidRPr="00E7060C">
        <w:rPr>
          <w:rFonts w:cs="Arial"/>
          <w:bCs/>
          <w:sz w:val="20"/>
          <w:szCs w:val="20"/>
        </w:rPr>
        <w:t xml:space="preserve">Fare riferimento al </w:t>
      </w:r>
      <w:hyperlink w:anchor="Paragrafo53" w:history="1">
        <w:r w:rsidRPr="00E7060C">
          <w:rPr>
            <w:rStyle w:val="Hyperlink"/>
            <w:rFonts w:cs="Arial"/>
            <w:bCs/>
            <w:sz w:val="20"/>
            <w:szCs w:val="20"/>
          </w:rPr>
          <w:t>Paragrafo 5.3</w:t>
        </w:r>
      </w:hyperlink>
      <w:r w:rsidRPr="00E7060C">
        <w:rPr>
          <w:rFonts w:cs="Arial"/>
          <w:bCs/>
          <w:sz w:val="20"/>
          <w:szCs w:val="20"/>
        </w:rPr>
        <w:t>.</w:t>
      </w:r>
    </w:p>
    <w:p w14:paraId="1C2E044D" w14:textId="77777777" w:rsidR="000B4D6A" w:rsidRDefault="000B4D6A" w:rsidP="000210A2">
      <w:pPr>
        <w:spacing w:line="360" w:lineRule="auto"/>
        <w:rPr>
          <w:rFonts w:cs="Arial"/>
          <w:bCs/>
          <w:sz w:val="20"/>
          <w:szCs w:val="20"/>
        </w:rPr>
      </w:pPr>
    </w:p>
    <w:p w14:paraId="2C67B56C" w14:textId="77777777" w:rsidR="000B4D6A" w:rsidRPr="00221759" w:rsidRDefault="000B4D6A" w:rsidP="00825BD3">
      <w:pPr>
        <w:numPr>
          <w:ilvl w:val="1"/>
          <w:numId w:val="13"/>
        </w:numPr>
        <w:spacing w:line="360" w:lineRule="auto"/>
        <w:ind w:left="1414" w:hanging="1414"/>
        <w:rPr>
          <w:rFonts w:cs="Arial"/>
          <w:sz w:val="20"/>
          <w:szCs w:val="20"/>
          <w:u w:val="single"/>
        </w:rPr>
      </w:pPr>
      <w:r w:rsidRPr="00221759">
        <w:rPr>
          <w:rFonts w:cs="Arial"/>
          <w:sz w:val="20"/>
          <w:szCs w:val="20"/>
          <w:u w:val="single"/>
        </w:rPr>
        <w:t>Sponsorizzazione</w:t>
      </w:r>
    </w:p>
    <w:p w14:paraId="21A7B399" w14:textId="77777777" w:rsidR="000B4D6A" w:rsidRPr="00BB0142" w:rsidRDefault="000B4D6A" w:rsidP="000210A2">
      <w:pPr>
        <w:autoSpaceDE w:val="0"/>
        <w:autoSpaceDN w:val="0"/>
        <w:adjustRightInd w:val="0"/>
        <w:spacing w:line="360" w:lineRule="auto"/>
        <w:rPr>
          <w:rFonts w:cs="Arial"/>
          <w:bCs/>
          <w:sz w:val="20"/>
          <w:szCs w:val="20"/>
        </w:rPr>
      </w:pPr>
      <w:r w:rsidRPr="000C2964">
        <w:rPr>
          <w:rFonts w:cs="Arial"/>
          <w:bCs/>
          <w:sz w:val="20"/>
          <w:szCs w:val="20"/>
        </w:rPr>
        <w:t>AstraZeneca</w:t>
      </w:r>
    </w:p>
    <w:p w14:paraId="39A1B35F" w14:textId="77777777" w:rsidR="000B4D6A" w:rsidRPr="00AE2224" w:rsidRDefault="000B4D6A" w:rsidP="000210A2">
      <w:pPr>
        <w:spacing w:line="360" w:lineRule="auto"/>
        <w:rPr>
          <w:rFonts w:cs="Arial"/>
          <w:bCs/>
          <w:sz w:val="20"/>
          <w:szCs w:val="20"/>
        </w:rPr>
      </w:pPr>
    </w:p>
    <w:p w14:paraId="0B6B2599" w14:textId="77777777" w:rsidR="000B4D6A" w:rsidRPr="000E64E1" w:rsidRDefault="000B4D6A" w:rsidP="00825BD3">
      <w:pPr>
        <w:numPr>
          <w:ilvl w:val="1"/>
          <w:numId w:val="13"/>
        </w:numPr>
        <w:spacing w:line="360" w:lineRule="auto"/>
        <w:ind w:left="709" w:hanging="709"/>
        <w:rPr>
          <w:rFonts w:cs="Arial"/>
          <w:sz w:val="20"/>
          <w:szCs w:val="20"/>
          <w:u w:val="single"/>
        </w:rPr>
      </w:pPr>
      <w:r w:rsidRPr="00221759">
        <w:rPr>
          <w:rFonts w:cs="Arial"/>
          <w:sz w:val="20"/>
          <w:szCs w:val="20"/>
          <w:u w:val="single"/>
        </w:rPr>
        <w:t>Regime terapeutico in studio e regime terapeutico di confronto</w:t>
      </w:r>
    </w:p>
    <w:p w14:paraId="288E0925" w14:textId="384F3B40" w:rsidR="000B4D6A" w:rsidRPr="00907454" w:rsidRDefault="000B4D6A" w:rsidP="000210A2">
      <w:pPr>
        <w:spacing w:line="360" w:lineRule="auto"/>
        <w:rPr>
          <w:rFonts w:cs="Arial"/>
          <w:bCs/>
          <w:sz w:val="20"/>
          <w:szCs w:val="20"/>
        </w:rPr>
      </w:pPr>
      <w:r w:rsidRPr="00907454">
        <w:rPr>
          <w:rFonts w:cs="Arial"/>
          <w:bCs/>
          <w:sz w:val="20"/>
          <w:szCs w:val="20"/>
        </w:rPr>
        <w:t xml:space="preserve">Fare riferimento al </w:t>
      </w:r>
      <w:hyperlink w:anchor="Paragrafo55" w:history="1">
        <w:r w:rsidRPr="00907454">
          <w:rPr>
            <w:rStyle w:val="Hyperlink"/>
            <w:rFonts w:cs="Arial"/>
            <w:bCs/>
            <w:sz w:val="20"/>
            <w:szCs w:val="20"/>
          </w:rPr>
          <w:t>Paragrafo 5.5</w:t>
        </w:r>
      </w:hyperlink>
      <w:r w:rsidRPr="00907454">
        <w:rPr>
          <w:rFonts w:cs="Arial"/>
          <w:bCs/>
          <w:sz w:val="20"/>
          <w:szCs w:val="20"/>
        </w:rPr>
        <w:t>.</w:t>
      </w:r>
    </w:p>
    <w:p w14:paraId="6C018A82" w14:textId="77777777" w:rsidR="000B4D6A" w:rsidRPr="00907454" w:rsidRDefault="000B4D6A" w:rsidP="000210A2">
      <w:pPr>
        <w:spacing w:line="360" w:lineRule="auto"/>
        <w:rPr>
          <w:rFonts w:cs="TimesNewRomanPSMT"/>
          <w:sz w:val="20"/>
          <w:szCs w:val="20"/>
        </w:rPr>
      </w:pPr>
    </w:p>
    <w:p w14:paraId="122B94AA" w14:textId="77777777" w:rsidR="000B4D6A" w:rsidRPr="00907454" w:rsidRDefault="000B4D6A" w:rsidP="00825BD3">
      <w:pPr>
        <w:numPr>
          <w:ilvl w:val="1"/>
          <w:numId w:val="13"/>
        </w:numPr>
        <w:spacing w:line="360" w:lineRule="auto"/>
        <w:ind w:left="709"/>
        <w:rPr>
          <w:rFonts w:cs="Arial"/>
          <w:sz w:val="20"/>
          <w:szCs w:val="20"/>
          <w:u w:val="single"/>
        </w:rPr>
      </w:pPr>
      <w:r w:rsidRPr="00907454">
        <w:rPr>
          <w:rFonts w:cs="Arial"/>
          <w:sz w:val="20"/>
          <w:szCs w:val="20"/>
          <w:u w:val="single"/>
        </w:rPr>
        <w:t>Durata del trattamento e del follow-up</w:t>
      </w:r>
    </w:p>
    <w:p w14:paraId="2CF305EA" w14:textId="77777777" w:rsidR="000B4D6A" w:rsidRPr="00907454" w:rsidRDefault="000B4D6A" w:rsidP="000210A2">
      <w:pPr>
        <w:pStyle w:val="ListParagraph"/>
        <w:spacing w:line="360" w:lineRule="auto"/>
        <w:ind w:left="0"/>
        <w:rPr>
          <w:rFonts w:asciiTheme="minorHAnsi" w:hAnsiTheme="minorHAnsi" w:cs="TimesNewRomanPSMT"/>
          <w:sz w:val="20"/>
          <w:szCs w:val="20"/>
        </w:rPr>
      </w:pPr>
      <w:r w:rsidRPr="00907454">
        <w:rPr>
          <w:rFonts w:asciiTheme="minorHAnsi" w:hAnsiTheme="minorHAnsi" w:cs="TimesNewRomanPSMT"/>
          <w:sz w:val="20"/>
          <w:szCs w:val="20"/>
        </w:rPr>
        <w:t>La durata del trattamento è stata di 12 mesi.</w:t>
      </w:r>
    </w:p>
    <w:p w14:paraId="0236B8C7" w14:textId="77777777" w:rsidR="000B4D6A" w:rsidRPr="00907454" w:rsidRDefault="000B4D6A" w:rsidP="000210A2">
      <w:pPr>
        <w:pStyle w:val="ListParagraph"/>
        <w:spacing w:line="360" w:lineRule="auto"/>
        <w:ind w:left="0"/>
        <w:rPr>
          <w:rFonts w:asciiTheme="minorHAnsi" w:hAnsiTheme="minorHAnsi" w:cs="TimesNewRomanPSMT"/>
          <w:sz w:val="20"/>
          <w:szCs w:val="20"/>
        </w:rPr>
      </w:pPr>
    </w:p>
    <w:p w14:paraId="085B6ACF" w14:textId="77777777" w:rsidR="000B4D6A" w:rsidRPr="00907454" w:rsidRDefault="000B4D6A" w:rsidP="00825BD3">
      <w:pPr>
        <w:numPr>
          <w:ilvl w:val="1"/>
          <w:numId w:val="13"/>
        </w:numPr>
        <w:spacing w:line="360" w:lineRule="auto"/>
        <w:ind w:left="709"/>
        <w:rPr>
          <w:rFonts w:cs="Arial"/>
          <w:sz w:val="20"/>
          <w:szCs w:val="20"/>
          <w:u w:val="single"/>
        </w:rPr>
      </w:pPr>
      <w:r w:rsidRPr="00907454">
        <w:rPr>
          <w:rFonts w:cs="Arial"/>
          <w:sz w:val="20"/>
          <w:szCs w:val="20"/>
          <w:u w:val="single"/>
        </w:rPr>
        <w:tab/>
        <w:t>Criteri di efficacia e sicurezza - eventi misurati</w:t>
      </w:r>
    </w:p>
    <w:p w14:paraId="361D49BD" w14:textId="64B08AA6" w:rsidR="000B4D6A" w:rsidRDefault="000B4D6A" w:rsidP="000210A2">
      <w:pPr>
        <w:spacing w:line="360" w:lineRule="auto"/>
        <w:rPr>
          <w:rFonts w:cs="Arial"/>
          <w:bCs/>
          <w:sz w:val="20"/>
          <w:szCs w:val="20"/>
        </w:rPr>
      </w:pPr>
      <w:r w:rsidRPr="00907454">
        <w:rPr>
          <w:rFonts w:cs="Arial"/>
          <w:bCs/>
          <w:sz w:val="20"/>
          <w:szCs w:val="20"/>
        </w:rPr>
        <w:t xml:space="preserve">Fare riferimento al </w:t>
      </w:r>
      <w:hyperlink w:anchor="Paragrafo57" w:history="1">
        <w:r w:rsidRPr="00907454">
          <w:rPr>
            <w:rStyle w:val="Hyperlink"/>
            <w:rFonts w:cs="Arial"/>
            <w:bCs/>
            <w:sz w:val="20"/>
            <w:szCs w:val="20"/>
          </w:rPr>
          <w:t>Paragrafo 5.7</w:t>
        </w:r>
      </w:hyperlink>
      <w:r w:rsidRPr="00907454">
        <w:rPr>
          <w:rFonts w:cs="Arial"/>
          <w:bCs/>
          <w:sz w:val="20"/>
          <w:szCs w:val="20"/>
        </w:rPr>
        <w:t>.</w:t>
      </w:r>
    </w:p>
    <w:p w14:paraId="1CA2AD85" w14:textId="77777777" w:rsidR="000B4D6A" w:rsidRPr="00221759" w:rsidRDefault="000B4D6A" w:rsidP="000210A2">
      <w:pPr>
        <w:spacing w:line="360" w:lineRule="auto"/>
        <w:rPr>
          <w:rFonts w:cs="Arial"/>
          <w:sz w:val="20"/>
          <w:szCs w:val="20"/>
        </w:rPr>
      </w:pPr>
    </w:p>
    <w:p w14:paraId="27E79804" w14:textId="77777777" w:rsidR="000B4D6A" w:rsidRPr="00221759" w:rsidRDefault="000B4D6A" w:rsidP="00825BD3">
      <w:pPr>
        <w:numPr>
          <w:ilvl w:val="1"/>
          <w:numId w:val="13"/>
        </w:numPr>
        <w:spacing w:line="360" w:lineRule="auto"/>
        <w:ind w:left="709"/>
        <w:rPr>
          <w:rFonts w:cs="Arial"/>
          <w:sz w:val="20"/>
          <w:szCs w:val="20"/>
          <w:u w:val="single"/>
        </w:rPr>
      </w:pPr>
      <w:bookmarkStart w:id="149" w:name="Paragrafo528"/>
      <w:bookmarkEnd w:id="149"/>
      <w:r w:rsidRPr="00221759">
        <w:rPr>
          <w:rFonts w:cs="Arial"/>
          <w:sz w:val="20"/>
          <w:szCs w:val="20"/>
          <w:u w:val="single"/>
        </w:rPr>
        <w:t>Risultati</w:t>
      </w:r>
    </w:p>
    <w:p w14:paraId="7ABF9CFA" w14:textId="77777777" w:rsidR="000B4D6A" w:rsidRPr="00100055" w:rsidRDefault="000B4D6A" w:rsidP="000210A2">
      <w:pPr>
        <w:spacing w:line="360" w:lineRule="auto"/>
        <w:rPr>
          <w:rFonts w:cs="Arial"/>
          <w:sz w:val="20"/>
          <w:szCs w:val="20"/>
        </w:rPr>
      </w:pPr>
      <w:r w:rsidRPr="00100055">
        <w:rPr>
          <w:rFonts w:cs="Arial"/>
          <w:sz w:val="20"/>
          <w:szCs w:val="20"/>
        </w:rPr>
        <w:t xml:space="preserve">Lo studio CLEAR-1 ha arruolato complessivamente 607 soggetti (ITT 603), successivamente randomizzati in un rapporto 1:1:1 nei 3 gruppi di trattamento (201 soggetti per ciascun gruppo di trattamento). </w:t>
      </w:r>
    </w:p>
    <w:p w14:paraId="23F6269F" w14:textId="77777777" w:rsidR="000B4D6A" w:rsidRPr="00100055" w:rsidRDefault="000B4D6A" w:rsidP="000210A2">
      <w:pPr>
        <w:spacing w:line="360" w:lineRule="auto"/>
        <w:rPr>
          <w:rFonts w:cs="Arial"/>
          <w:sz w:val="20"/>
          <w:szCs w:val="20"/>
        </w:rPr>
      </w:pPr>
      <w:r w:rsidRPr="00100055">
        <w:rPr>
          <w:rFonts w:cs="Arial"/>
          <w:sz w:val="20"/>
          <w:szCs w:val="20"/>
        </w:rPr>
        <w:t>Lo studio CLEAR-2 ha arruolato complessivamente 611 soggetti (ITT 610), successivamente randomizzati in un rapporto 1:1:1 nei 3 gruppi di trattamento: 204 soggetti nel braccio LESU200+ALLO, 200 soggetti nel braccio LESU400+ALLO; 206 soggetti nel braccio PBO+ALLO.</w:t>
      </w:r>
    </w:p>
    <w:p w14:paraId="353468B8" w14:textId="77777777" w:rsidR="000B4D6A" w:rsidRPr="00100055" w:rsidRDefault="000B4D6A" w:rsidP="000210A2">
      <w:pPr>
        <w:spacing w:line="360" w:lineRule="auto"/>
        <w:rPr>
          <w:rFonts w:cs="Arial"/>
          <w:sz w:val="20"/>
          <w:szCs w:val="20"/>
        </w:rPr>
      </w:pPr>
    </w:p>
    <w:p w14:paraId="36A23535" w14:textId="2D4BADB1" w:rsidR="000B4D6A" w:rsidRDefault="000B4D6A" w:rsidP="000210A2">
      <w:pPr>
        <w:spacing w:line="360" w:lineRule="auto"/>
        <w:rPr>
          <w:rFonts w:cs="Arial"/>
          <w:sz w:val="20"/>
          <w:szCs w:val="20"/>
        </w:rPr>
      </w:pPr>
      <w:r w:rsidRPr="00F62E7C">
        <w:rPr>
          <w:rFonts w:cs="Arial"/>
          <w:sz w:val="20"/>
          <w:szCs w:val="20"/>
        </w:rPr>
        <w:t xml:space="preserve">Per entrambi gli studi le caratteristiche demografiche e cliniche dei pazienti erano ben bilanciate nei gruppi, come illustrato nella </w:t>
      </w:r>
      <w:hyperlink w:anchor="Tabella18" w:history="1">
        <w:r w:rsidRPr="006B197C">
          <w:rPr>
            <w:rStyle w:val="Hyperlink"/>
            <w:rFonts w:cs="Arial"/>
            <w:sz w:val="20"/>
            <w:szCs w:val="20"/>
          </w:rPr>
          <w:t xml:space="preserve">Tabella </w:t>
        </w:r>
        <w:r w:rsidR="00907454" w:rsidRPr="006B197C">
          <w:rPr>
            <w:rStyle w:val="Hyperlink"/>
            <w:rFonts w:cs="Arial"/>
            <w:sz w:val="20"/>
            <w:szCs w:val="20"/>
          </w:rPr>
          <w:t>1</w:t>
        </w:r>
        <w:r w:rsidR="006B197C" w:rsidRPr="006B197C">
          <w:rPr>
            <w:rStyle w:val="Hyperlink"/>
            <w:rFonts w:cs="Arial"/>
            <w:sz w:val="20"/>
            <w:szCs w:val="20"/>
          </w:rPr>
          <w:t>8</w:t>
        </w:r>
      </w:hyperlink>
      <w:r>
        <w:rPr>
          <w:rFonts w:cs="Arial"/>
          <w:sz w:val="20"/>
          <w:szCs w:val="20"/>
        </w:rPr>
        <w:t>,</w:t>
      </w:r>
    </w:p>
    <w:p w14:paraId="07E00E58" w14:textId="77777777" w:rsidR="000B4D6A" w:rsidRPr="00F62E7C" w:rsidRDefault="000B4D6A" w:rsidP="000B4D6A">
      <w:pPr>
        <w:spacing w:line="360" w:lineRule="auto"/>
        <w:jc w:val="both"/>
        <w:rPr>
          <w:rFonts w:cs="Arial"/>
          <w:sz w:val="20"/>
          <w:szCs w:val="20"/>
        </w:rPr>
      </w:pPr>
    </w:p>
    <w:p w14:paraId="39930283" w14:textId="4581E880" w:rsidR="000B4D6A" w:rsidRPr="00302C92" w:rsidRDefault="000B4D6A" w:rsidP="000B4D6A">
      <w:pPr>
        <w:pStyle w:val="Caption"/>
        <w:rPr>
          <w:rFonts w:asciiTheme="minorHAnsi" w:hAnsiTheme="minorHAnsi" w:cstheme="minorHAnsi"/>
          <w:lang w:val="it-IT"/>
        </w:rPr>
      </w:pPr>
      <w:bookmarkStart w:id="150" w:name="Tabella18"/>
      <w:bookmarkStart w:id="151" w:name="_Toc473150703"/>
      <w:bookmarkEnd w:id="150"/>
      <w:r w:rsidRPr="00302C92">
        <w:rPr>
          <w:rFonts w:asciiTheme="minorHAnsi" w:hAnsiTheme="minorHAnsi" w:cstheme="minorHAnsi"/>
          <w:lang w:val="it-IT"/>
        </w:rPr>
        <w:t xml:space="preserve">Tabella </w:t>
      </w:r>
      <w:r w:rsidRPr="00302C92">
        <w:rPr>
          <w:rFonts w:cstheme="minorHAnsi"/>
          <w:b w:val="0"/>
          <w:bCs w:val="0"/>
        </w:rPr>
        <w:fldChar w:fldCharType="begin"/>
      </w:r>
      <w:r w:rsidRPr="00302C92">
        <w:rPr>
          <w:rFonts w:asciiTheme="minorHAnsi" w:hAnsiTheme="minorHAnsi" w:cstheme="minorHAnsi"/>
          <w:lang w:val="it-IT"/>
        </w:rPr>
        <w:instrText xml:space="preserve"> SEQ Tabella \* ARABIC </w:instrText>
      </w:r>
      <w:r w:rsidRPr="00302C92">
        <w:rPr>
          <w:rFonts w:cstheme="minorHAnsi"/>
          <w:b w:val="0"/>
          <w:bCs w:val="0"/>
        </w:rPr>
        <w:fldChar w:fldCharType="separate"/>
      </w:r>
      <w:r w:rsidR="00A1679C">
        <w:rPr>
          <w:rFonts w:asciiTheme="minorHAnsi" w:hAnsiTheme="minorHAnsi" w:cstheme="minorHAnsi"/>
          <w:noProof/>
          <w:lang w:val="it-IT"/>
        </w:rPr>
        <w:t>18</w:t>
      </w:r>
      <w:r w:rsidRPr="00302C92">
        <w:rPr>
          <w:rFonts w:cstheme="minorHAnsi"/>
          <w:b w:val="0"/>
          <w:bCs w:val="0"/>
        </w:rPr>
        <w:fldChar w:fldCharType="end"/>
      </w:r>
      <w:r w:rsidRPr="00302C92">
        <w:rPr>
          <w:rFonts w:asciiTheme="minorHAnsi" w:hAnsiTheme="minorHAnsi" w:cstheme="minorHAnsi"/>
          <w:lang w:val="it-IT"/>
        </w:rPr>
        <w:t xml:space="preserve"> - Studi CLEAR caratteristiche demografiche al basale </w:t>
      </w:r>
      <w:r>
        <w:rPr>
          <w:rFonts w:asciiTheme="minorHAnsi" w:hAnsiTheme="minorHAnsi" w:cstheme="minorHAnsi"/>
          <w:lang w:val="it-IT"/>
        </w:rPr>
        <w:t>(</w:t>
      </w:r>
      <w:r w:rsidRPr="0051786B">
        <w:rPr>
          <w:rFonts w:asciiTheme="minorHAnsi" w:hAnsiTheme="minorHAnsi" w:cstheme="minorHAnsi"/>
          <w:color w:val="0000FF"/>
          <w:lang w:val="it-IT"/>
        </w:rPr>
        <w:t xml:space="preserve">adattata da </w:t>
      </w:r>
      <w:r w:rsidR="0087651E">
        <w:rPr>
          <w:rFonts w:asciiTheme="minorHAnsi" w:hAnsiTheme="minorHAnsi" w:cstheme="minorHAnsi"/>
          <w:color w:val="0000FF"/>
          <w:lang w:val="it-IT"/>
        </w:rPr>
        <w:t>CSR 301, 2014 (109</w:t>
      </w:r>
      <w:r w:rsidR="008E6BDD">
        <w:rPr>
          <w:rFonts w:asciiTheme="minorHAnsi" w:hAnsiTheme="minorHAnsi" w:cstheme="minorHAnsi"/>
          <w:color w:val="0000FF"/>
          <w:lang w:val="it-IT"/>
        </w:rPr>
        <w:t xml:space="preserve">) </w:t>
      </w:r>
      <w:r w:rsidRPr="0051786B">
        <w:rPr>
          <w:rFonts w:asciiTheme="minorHAnsi" w:hAnsiTheme="minorHAnsi" w:cstheme="minorHAnsi"/>
          <w:color w:val="0000FF"/>
          <w:lang w:val="it-IT"/>
        </w:rPr>
        <w:t xml:space="preserve">e </w:t>
      </w:r>
      <w:r w:rsidR="0087651E">
        <w:rPr>
          <w:rFonts w:asciiTheme="minorHAnsi" w:hAnsiTheme="minorHAnsi" w:cstheme="minorHAnsi"/>
          <w:color w:val="0000FF"/>
          <w:lang w:val="it-IT"/>
        </w:rPr>
        <w:t>CSR 302, 2014 (110</w:t>
      </w:r>
      <w:r w:rsidR="008E6BDD">
        <w:rPr>
          <w:rFonts w:asciiTheme="minorHAnsi" w:hAnsiTheme="minorHAnsi" w:cstheme="minorHAnsi"/>
          <w:color w:val="0000FF"/>
          <w:lang w:val="it-IT"/>
        </w:rPr>
        <w:t>)</w:t>
      </w:r>
      <w:r>
        <w:rPr>
          <w:rFonts w:asciiTheme="minorHAnsi" w:hAnsiTheme="minorHAnsi" w:cstheme="minorHAnsi"/>
          <w:lang w:val="it-IT"/>
        </w:rPr>
        <w:t>)</w:t>
      </w:r>
      <w:bookmarkEnd w:id="151"/>
    </w:p>
    <w:tbl>
      <w:tblPr>
        <w:tblW w:w="8364" w:type="dxa"/>
        <w:tblInd w:w="108" w:type="dxa"/>
        <w:tblBorders>
          <w:top w:val="single" w:sz="18" w:space="0" w:color="003870"/>
          <w:bottom w:val="single" w:sz="12" w:space="0" w:color="003870"/>
          <w:insideH w:val="single" w:sz="8" w:space="0" w:color="808080"/>
        </w:tblBorders>
        <w:tblLook w:val="0420" w:firstRow="1" w:lastRow="0" w:firstColumn="0" w:lastColumn="0" w:noHBand="0" w:noVBand="1"/>
      </w:tblPr>
      <w:tblGrid>
        <w:gridCol w:w="3260"/>
        <w:gridCol w:w="1416"/>
        <w:gridCol w:w="1205"/>
        <w:gridCol w:w="1207"/>
        <w:gridCol w:w="1276"/>
      </w:tblGrid>
      <w:tr w:rsidR="000B4D6A" w:rsidRPr="00173536" w14:paraId="7CF49E6A" w14:textId="77777777" w:rsidTr="00AF7722">
        <w:trPr>
          <w:trHeight w:val="257"/>
        </w:trPr>
        <w:tc>
          <w:tcPr>
            <w:tcW w:w="3260" w:type="dxa"/>
            <w:vMerge w:val="restart"/>
            <w:tcBorders>
              <w:top w:val="single" w:sz="24" w:space="0" w:color="003468"/>
              <w:left w:val="nil"/>
              <w:bottom w:val="nil"/>
              <w:right w:val="nil"/>
              <w:tl2br w:val="nil"/>
              <w:tr2bl w:val="nil"/>
            </w:tcBorders>
            <w:shd w:val="clear" w:color="auto" w:fill="D9D9D9"/>
            <w:vAlign w:val="center"/>
            <w:hideMark/>
          </w:tcPr>
          <w:p w14:paraId="57D42C70" w14:textId="77777777" w:rsidR="000B4D6A" w:rsidRPr="00173536" w:rsidRDefault="000B4D6A" w:rsidP="00AF7722">
            <w:pPr>
              <w:rPr>
                <w:rFonts w:cstheme="minorHAnsi"/>
                <w:b/>
                <w:sz w:val="20"/>
                <w:szCs w:val="20"/>
              </w:rPr>
            </w:pPr>
            <w:r w:rsidRPr="00F95097">
              <w:rPr>
                <w:rFonts w:cstheme="minorHAnsi"/>
                <w:b/>
                <w:bCs/>
                <w:sz w:val="20"/>
                <w:szCs w:val="20"/>
                <w:lang w:val="en-US"/>
              </w:rPr>
              <w:t>Variable</w:t>
            </w:r>
          </w:p>
        </w:tc>
        <w:tc>
          <w:tcPr>
            <w:tcW w:w="2621" w:type="dxa"/>
            <w:gridSpan w:val="2"/>
            <w:tcBorders>
              <w:top w:val="single" w:sz="24" w:space="0" w:color="003468"/>
              <w:left w:val="nil"/>
              <w:bottom w:val="nil"/>
              <w:right w:val="nil"/>
              <w:tl2br w:val="nil"/>
              <w:tr2bl w:val="nil"/>
            </w:tcBorders>
            <w:shd w:val="clear" w:color="auto" w:fill="D9D9D9"/>
            <w:hideMark/>
          </w:tcPr>
          <w:p w14:paraId="01B99E28" w14:textId="77777777" w:rsidR="000B4D6A" w:rsidRPr="00173536" w:rsidRDefault="000B4D6A" w:rsidP="00AF7722">
            <w:pPr>
              <w:jc w:val="center"/>
              <w:rPr>
                <w:rFonts w:cstheme="minorHAnsi"/>
                <w:b/>
                <w:sz w:val="20"/>
                <w:szCs w:val="20"/>
              </w:rPr>
            </w:pPr>
            <w:r w:rsidRPr="00173536">
              <w:rPr>
                <w:rFonts w:cstheme="minorHAnsi"/>
                <w:b/>
                <w:sz w:val="20"/>
                <w:szCs w:val="20"/>
              </w:rPr>
              <w:t>CLEAR 1</w:t>
            </w:r>
          </w:p>
        </w:tc>
        <w:tc>
          <w:tcPr>
            <w:tcW w:w="2483" w:type="dxa"/>
            <w:gridSpan w:val="2"/>
            <w:tcBorders>
              <w:top w:val="single" w:sz="24" w:space="0" w:color="003468"/>
              <w:left w:val="nil"/>
              <w:bottom w:val="nil"/>
              <w:right w:val="nil"/>
              <w:tl2br w:val="nil"/>
              <w:tr2bl w:val="nil"/>
            </w:tcBorders>
            <w:shd w:val="clear" w:color="auto" w:fill="D9D9D9"/>
            <w:hideMark/>
          </w:tcPr>
          <w:p w14:paraId="48F5135C" w14:textId="77777777" w:rsidR="000B4D6A" w:rsidRPr="00173536" w:rsidRDefault="000B4D6A" w:rsidP="00AF7722">
            <w:pPr>
              <w:jc w:val="center"/>
              <w:rPr>
                <w:rFonts w:cstheme="minorHAnsi"/>
                <w:b/>
                <w:sz w:val="20"/>
                <w:szCs w:val="20"/>
              </w:rPr>
            </w:pPr>
            <w:r w:rsidRPr="00173536">
              <w:rPr>
                <w:rFonts w:cstheme="minorHAnsi"/>
                <w:b/>
                <w:sz w:val="20"/>
                <w:szCs w:val="20"/>
              </w:rPr>
              <w:t>CLEAR 2</w:t>
            </w:r>
          </w:p>
        </w:tc>
      </w:tr>
      <w:tr w:rsidR="000B4D6A" w:rsidRPr="00173536" w14:paraId="0CA24D76" w14:textId="77777777" w:rsidTr="00AF7722">
        <w:trPr>
          <w:trHeight w:val="671"/>
        </w:trPr>
        <w:tc>
          <w:tcPr>
            <w:tcW w:w="3260" w:type="dxa"/>
            <w:vMerge/>
            <w:shd w:val="clear" w:color="auto" w:fill="D9D9D9"/>
            <w:vAlign w:val="center"/>
            <w:hideMark/>
          </w:tcPr>
          <w:p w14:paraId="4F6E523A" w14:textId="77777777" w:rsidR="000B4D6A" w:rsidRPr="00173536" w:rsidRDefault="000B4D6A" w:rsidP="00AF7722">
            <w:pPr>
              <w:rPr>
                <w:rFonts w:cstheme="minorHAnsi"/>
                <w:sz w:val="20"/>
                <w:szCs w:val="20"/>
              </w:rPr>
            </w:pPr>
          </w:p>
        </w:tc>
        <w:tc>
          <w:tcPr>
            <w:tcW w:w="1416" w:type="dxa"/>
            <w:shd w:val="clear" w:color="auto" w:fill="FFFFFF"/>
            <w:vAlign w:val="center"/>
            <w:hideMark/>
          </w:tcPr>
          <w:p w14:paraId="56554F83" w14:textId="77777777" w:rsidR="000B4D6A" w:rsidRPr="00173536" w:rsidRDefault="000B4D6A" w:rsidP="00AF7722">
            <w:pPr>
              <w:jc w:val="center"/>
              <w:rPr>
                <w:rFonts w:cstheme="minorHAnsi"/>
                <w:sz w:val="20"/>
                <w:szCs w:val="20"/>
              </w:rPr>
            </w:pPr>
            <w:r w:rsidRPr="00F95097">
              <w:rPr>
                <w:rFonts w:cstheme="minorHAnsi"/>
                <w:b/>
                <w:bCs/>
                <w:sz w:val="20"/>
                <w:szCs w:val="20"/>
                <w:lang w:val="en-US"/>
              </w:rPr>
              <w:t>PBO</w:t>
            </w:r>
          </w:p>
          <w:p w14:paraId="21D849A1" w14:textId="77777777" w:rsidR="000B4D6A" w:rsidRPr="00173536" w:rsidRDefault="000B4D6A" w:rsidP="00AF7722">
            <w:pPr>
              <w:jc w:val="center"/>
              <w:rPr>
                <w:rFonts w:cstheme="minorHAnsi"/>
                <w:sz w:val="20"/>
                <w:szCs w:val="20"/>
              </w:rPr>
            </w:pPr>
            <w:r w:rsidRPr="00F95097">
              <w:rPr>
                <w:rFonts w:cstheme="minorHAnsi"/>
                <w:b/>
                <w:bCs/>
                <w:sz w:val="20"/>
                <w:szCs w:val="20"/>
                <w:lang w:val="en-US"/>
              </w:rPr>
              <w:t>+ ALLO</w:t>
            </w:r>
            <w:r w:rsidRPr="00F95097">
              <w:rPr>
                <w:rFonts w:cstheme="minorHAnsi"/>
                <w:b/>
                <w:bCs/>
                <w:sz w:val="20"/>
                <w:szCs w:val="20"/>
                <w:lang w:val="en-US"/>
              </w:rPr>
              <w:br/>
              <w:t>N=201</w:t>
            </w:r>
          </w:p>
        </w:tc>
        <w:tc>
          <w:tcPr>
            <w:tcW w:w="1205" w:type="dxa"/>
            <w:shd w:val="clear" w:color="auto" w:fill="FFFFFF"/>
            <w:vAlign w:val="center"/>
            <w:hideMark/>
          </w:tcPr>
          <w:p w14:paraId="018D74B1" w14:textId="77777777" w:rsidR="000B4D6A" w:rsidRPr="00F95097" w:rsidRDefault="000B4D6A" w:rsidP="00AF7722">
            <w:pPr>
              <w:jc w:val="center"/>
              <w:rPr>
                <w:rFonts w:cstheme="minorHAnsi"/>
                <w:b/>
                <w:bCs/>
                <w:sz w:val="20"/>
                <w:szCs w:val="20"/>
                <w:lang w:val="en-US"/>
              </w:rPr>
            </w:pPr>
            <w:r w:rsidRPr="00F95097">
              <w:rPr>
                <w:rFonts w:cstheme="minorHAnsi"/>
                <w:b/>
                <w:bCs/>
                <w:sz w:val="20"/>
                <w:szCs w:val="20"/>
                <w:lang w:val="en-US"/>
              </w:rPr>
              <w:t xml:space="preserve">LESU200 </w:t>
            </w:r>
          </w:p>
          <w:p w14:paraId="2AC25D8E" w14:textId="77777777" w:rsidR="000B4D6A" w:rsidRPr="00173536" w:rsidRDefault="000B4D6A" w:rsidP="00AF7722">
            <w:pPr>
              <w:jc w:val="center"/>
              <w:rPr>
                <w:rFonts w:cstheme="minorHAnsi"/>
                <w:sz w:val="20"/>
                <w:szCs w:val="20"/>
              </w:rPr>
            </w:pPr>
            <w:r w:rsidRPr="00F95097">
              <w:rPr>
                <w:rFonts w:cstheme="minorHAnsi"/>
                <w:b/>
                <w:bCs/>
                <w:sz w:val="20"/>
                <w:szCs w:val="20"/>
                <w:lang w:val="en-US"/>
              </w:rPr>
              <w:t>+ ALLO</w:t>
            </w:r>
            <w:r w:rsidRPr="00F95097">
              <w:rPr>
                <w:rFonts w:cstheme="minorHAnsi"/>
                <w:b/>
                <w:bCs/>
                <w:sz w:val="20"/>
                <w:szCs w:val="20"/>
                <w:lang w:val="en-US"/>
              </w:rPr>
              <w:br/>
              <w:t>N=201</w:t>
            </w:r>
          </w:p>
        </w:tc>
        <w:tc>
          <w:tcPr>
            <w:tcW w:w="1207" w:type="dxa"/>
            <w:shd w:val="clear" w:color="auto" w:fill="FFFFFF"/>
            <w:vAlign w:val="center"/>
            <w:hideMark/>
          </w:tcPr>
          <w:p w14:paraId="7D8BCD5A" w14:textId="77777777" w:rsidR="000B4D6A" w:rsidRPr="00173536" w:rsidRDefault="000B4D6A" w:rsidP="00AF7722">
            <w:pPr>
              <w:jc w:val="center"/>
              <w:rPr>
                <w:rFonts w:cstheme="minorHAnsi"/>
                <w:sz w:val="20"/>
                <w:szCs w:val="20"/>
              </w:rPr>
            </w:pPr>
            <w:r w:rsidRPr="00F95097">
              <w:rPr>
                <w:rFonts w:cstheme="minorHAnsi"/>
                <w:b/>
                <w:bCs/>
                <w:sz w:val="20"/>
                <w:szCs w:val="20"/>
                <w:lang w:val="en-US"/>
              </w:rPr>
              <w:t>PBO</w:t>
            </w:r>
          </w:p>
          <w:p w14:paraId="7751E6F2" w14:textId="77777777" w:rsidR="000B4D6A" w:rsidRPr="00173536" w:rsidRDefault="000B4D6A" w:rsidP="00AF7722">
            <w:pPr>
              <w:jc w:val="center"/>
              <w:rPr>
                <w:rFonts w:cstheme="minorHAnsi"/>
                <w:sz w:val="20"/>
                <w:szCs w:val="20"/>
              </w:rPr>
            </w:pPr>
            <w:r w:rsidRPr="00F95097">
              <w:rPr>
                <w:rFonts w:cstheme="minorHAnsi"/>
                <w:b/>
                <w:bCs/>
                <w:sz w:val="20"/>
                <w:szCs w:val="20"/>
                <w:lang w:val="en-US"/>
              </w:rPr>
              <w:t>+ ALLO</w:t>
            </w:r>
            <w:r w:rsidRPr="00F95097">
              <w:rPr>
                <w:rFonts w:cstheme="minorHAnsi"/>
                <w:b/>
                <w:bCs/>
                <w:sz w:val="20"/>
                <w:szCs w:val="20"/>
                <w:lang w:val="en-US"/>
              </w:rPr>
              <w:br/>
              <w:t>N=206</w:t>
            </w:r>
          </w:p>
        </w:tc>
        <w:tc>
          <w:tcPr>
            <w:tcW w:w="1276" w:type="dxa"/>
            <w:shd w:val="clear" w:color="auto" w:fill="FFFFFF"/>
            <w:vAlign w:val="center"/>
            <w:hideMark/>
          </w:tcPr>
          <w:p w14:paraId="1C15D411" w14:textId="77777777" w:rsidR="000B4D6A" w:rsidRPr="00173536" w:rsidRDefault="000B4D6A" w:rsidP="00AF7722">
            <w:pPr>
              <w:jc w:val="center"/>
              <w:rPr>
                <w:rFonts w:cstheme="minorHAnsi"/>
                <w:sz w:val="20"/>
                <w:szCs w:val="20"/>
              </w:rPr>
            </w:pPr>
            <w:r w:rsidRPr="00F95097">
              <w:rPr>
                <w:rFonts w:cstheme="minorHAnsi"/>
                <w:b/>
                <w:bCs/>
                <w:sz w:val="20"/>
                <w:szCs w:val="20"/>
                <w:lang w:val="en-US"/>
              </w:rPr>
              <w:t>LESU200</w:t>
            </w:r>
          </w:p>
          <w:p w14:paraId="0C755749" w14:textId="77777777" w:rsidR="000B4D6A" w:rsidRPr="00173536" w:rsidRDefault="000B4D6A" w:rsidP="00AF7722">
            <w:pPr>
              <w:jc w:val="center"/>
              <w:rPr>
                <w:rFonts w:cstheme="minorHAnsi"/>
                <w:sz w:val="20"/>
                <w:szCs w:val="20"/>
              </w:rPr>
            </w:pPr>
            <w:r w:rsidRPr="00F95097">
              <w:rPr>
                <w:rFonts w:cstheme="minorHAnsi"/>
                <w:b/>
                <w:bCs/>
                <w:sz w:val="20"/>
                <w:szCs w:val="20"/>
                <w:lang w:val="en-US"/>
              </w:rPr>
              <w:t>+ ALLO</w:t>
            </w:r>
            <w:r w:rsidRPr="00F95097">
              <w:rPr>
                <w:rFonts w:cstheme="minorHAnsi"/>
                <w:b/>
                <w:bCs/>
                <w:sz w:val="20"/>
                <w:szCs w:val="20"/>
                <w:lang w:val="en-US"/>
              </w:rPr>
              <w:br/>
              <w:t>N=204</w:t>
            </w:r>
          </w:p>
        </w:tc>
      </w:tr>
      <w:tr w:rsidR="000B4D6A" w:rsidRPr="00173536" w14:paraId="73FA3D08" w14:textId="77777777" w:rsidTr="00AF7722">
        <w:trPr>
          <w:trHeight w:val="226"/>
        </w:trPr>
        <w:tc>
          <w:tcPr>
            <w:tcW w:w="3260" w:type="dxa"/>
            <w:shd w:val="clear" w:color="auto" w:fill="auto"/>
            <w:vAlign w:val="center"/>
            <w:hideMark/>
          </w:tcPr>
          <w:p w14:paraId="49825559" w14:textId="77777777" w:rsidR="000B4D6A" w:rsidRPr="00173536" w:rsidRDefault="000B4D6A" w:rsidP="00AF7722">
            <w:pPr>
              <w:rPr>
                <w:rFonts w:cstheme="minorHAnsi"/>
                <w:sz w:val="20"/>
                <w:szCs w:val="20"/>
              </w:rPr>
            </w:pPr>
            <w:r w:rsidRPr="00F95097">
              <w:rPr>
                <w:rFonts w:cstheme="minorHAnsi"/>
                <w:sz w:val="20"/>
                <w:szCs w:val="20"/>
                <w:lang w:val="en-US"/>
              </w:rPr>
              <w:t>Male, %</w:t>
            </w:r>
          </w:p>
        </w:tc>
        <w:tc>
          <w:tcPr>
            <w:tcW w:w="1416" w:type="dxa"/>
            <w:shd w:val="clear" w:color="auto" w:fill="auto"/>
            <w:vAlign w:val="center"/>
            <w:hideMark/>
          </w:tcPr>
          <w:p w14:paraId="28111AFD" w14:textId="77777777" w:rsidR="000B4D6A" w:rsidRPr="00173536" w:rsidRDefault="000B4D6A" w:rsidP="00AF7722">
            <w:pPr>
              <w:jc w:val="center"/>
              <w:rPr>
                <w:rFonts w:cstheme="minorHAnsi"/>
                <w:sz w:val="20"/>
                <w:szCs w:val="20"/>
              </w:rPr>
            </w:pPr>
            <w:r w:rsidRPr="00F95097">
              <w:rPr>
                <w:rFonts w:cstheme="minorHAnsi"/>
                <w:sz w:val="20"/>
                <w:szCs w:val="20"/>
                <w:lang w:val="en-US"/>
              </w:rPr>
              <w:t>94.0</w:t>
            </w:r>
          </w:p>
        </w:tc>
        <w:tc>
          <w:tcPr>
            <w:tcW w:w="1205" w:type="dxa"/>
            <w:shd w:val="clear" w:color="auto" w:fill="auto"/>
            <w:vAlign w:val="center"/>
            <w:hideMark/>
          </w:tcPr>
          <w:p w14:paraId="334525B7" w14:textId="77777777" w:rsidR="000B4D6A" w:rsidRPr="00173536" w:rsidRDefault="000B4D6A" w:rsidP="00AF7722">
            <w:pPr>
              <w:jc w:val="center"/>
              <w:rPr>
                <w:rFonts w:cstheme="minorHAnsi"/>
                <w:sz w:val="20"/>
                <w:szCs w:val="20"/>
              </w:rPr>
            </w:pPr>
            <w:r w:rsidRPr="00F95097">
              <w:rPr>
                <w:rFonts w:cstheme="minorHAnsi"/>
                <w:sz w:val="20"/>
                <w:szCs w:val="20"/>
                <w:lang w:val="en-US"/>
              </w:rPr>
              <w:t>95.5</w:t>
            </w:r>
          </w:p>
        </w:tc>
        <w:tc>
          <w:tcPr>
            <w:tcW w:w="1207" w:type="dxa"/>
            <w:shd w:val="clear" w:color="auto" w:fill="auto"/>
            <w:vAlign w:val="center"/>
            <w:hideMark/>
          </w:tcPr>
          <w:p w14:paraId="7EC4B418" w14:textId="77777777" w:rsidR="000B4D6A" w:rsidRPr="00173536" w:rsidRDefault="000B4D6A" w:rsidP="00AF7722">
            <w:pPr>
              <w:jc w:val="center"/>
              <w:rPr>
                <w:rFonts w:cstheme="minorHAnsi"/>
                <w:sz w:val="20"/>
                <w:szCs w:val="20"/>
              </w:rPr>
            </w:pPr>
            <w:r w:rsidRPr="00F95097">
              <w:rPr>
                <w:rFonts w:cstheme="minorHAnsi"/>
                <w:sz w:val="20"/>
                <w:szCs w:val="20"/>
                <w:lang w:val="en-US"/>
              </w:rPr>
              <w:t>95.1</w:t>
            </w:r>
          </w:p>
        </w:tc>
        <w:tc>
          <w:tcPr>
            <w:tcW w:w="1276" w:type="dxa"/>
            <w:shd w:val="clear" w:color="auto" w:fill="auto"/>
            <w:vAlign w:val="center"/>
            <w:hideMark/>
          </w:tcPr>
          <w:p w14:paraId="5B3DFC05" w14:textId="77777777" w:rsidR="000B4D6A" w:rsidRPr="00173536" w:rsidRDefault="000B4D6A" w:rsidP="00AF7722">
            <w:pPr>
              <w:jc w:val="center"/>
              <w:rPr>
                <w:rFonts w:cstheme="minorHAnsi"/>
                <w:sz w:val="20"/>
                <w:szCs w:val="20"/>
              </w:rPr>
            </w:pPr>
            <w:r w:rsidRPr="00F95097">
              <w:rPr>
                <w:rFonts w:cstheme="minorHAnsi"/>
                <w:sz w:val="20"/>
                <w:szCs w:val="20"/>
                <w:lang w:val="en-US"/>
              </w:rPr>
              <w:t>96.6</w:t>
            </w:r>
          </w:p>
        </w:tc>
      </w:tr>
      <w:tr w:rsidR="000B4D6A" w:rsidRPr="00173536" w14:paraId="0FCE03A0" w14:textId="77777777" w:rsidTr="00AF7722">
        <w:trPr>
          <w:trHeight w:val="1165"/>
        </w:trPr>
        <w:tc>
          <w:tcPr>
            <w:tcW w:w="3260" w:type="dxa"/>
            <w:shd w:val="clear" w:color="auto" w:fill="auto"/>
            <w:vAlign w:val="center"/>
            <w:hideMark/>
          </w:tcPr>
          <w:p w14:paraId="6204475A" w14:textId="77777777" w:rsidR="000B4D6A" w:rsidRPr="00F95097" w:rsidRDefault="000B4D6A" w:rsidP="00AF7722">
            <w:pPr>
              <w:rPr>
                <w:rFonts w:cstheme="minorHAnsi"/>
                <w:sz w:val="20"/>
                <w:szCs w:val="20"/>
                <w:lang w:val="en-US"/>
              </w:rPr>
            </w:pPr>
            <w:r w:rsidRPr="00F95097">
              <w:rPr>
                <w:rFonts w:cstheme="minorHAnsi"/>
                <w:sz w:val="20"/>
                <w:szCs w:val="20"/>
                <w:lang w:val="en-US"/>
              </w:rPr>
              <w:t>Race, %</w:t>
            </w:r>
          </w:p>
          <w:p w14:paraId="593233D1" w14:textId="77777777" w:rsidR="000B4D6A" w:rsidRPr="00F95097" w:rsidRDefault="000B4D6A" w:rsidP="00AF7722">
            <w:pPr>
              <w:rPr>
                <w:rFonts w:cstheme="minorHAnsi"/>
                <w:sz w:val="20"/>
                <w:szCs w:val="20"/>
                <w:lang w:val="en-US"/>
              </w:rPr>
            </w:pPr>
            <w:r w:rsidRPr="00F95097">
              <w:rPr>
                <w:rFonts w:cstheme="minorHAnsi"/>
                <w:sz w:val="20"/>
                <w:szCs w:val="20"/>
                <w:lang w:val="en-US"/>
              </w:rPr>
              <w:t>White</w:t>
            </w:r>
          </w:p>
          <w:p w14:paraId="75FAB6E2" w14:textId="77777777" w:rsidR="000B4D6A" w:rsidRPr="00F95097" w:rsidRDefault="000B4D6A" w:rsidP="00AF7722">
            <w:pPr>
              <w:rPr>
                <w:rFonts w:cstheme="minorHAnsi"/>
                <w:sz w:val="20"/>
                <w:szCs w:val="20"/>
                <w:lang w:val="en-US"/>
              </w:rPr>
            </w:pPr>
            <w:r w:rsidRPr="00F95097">
              <w:rPr>
                <w:rFonts w:cstheme="minorHAnsi"/>
                <w:sz w:val="20"/>
                <w:szCs w:val="20"/>
                <w:lang w:val="en-US"/>
              </w:rPr>
              <w:t>Black</w:t>
            </w:r>
          </w:p>
          <w:p w14:paraId="2E46F3C3" w14:textId="77777777" w:rsidR="000B4D6A" w:rsidRPr="00F95097" w:rsidRDefault="000B4D6A" w:rsidP="00AF7722">
            <w:pPr>
              <w:rPr>
                <w:rFonts w:cstheme="minorHAnsi"/>
                <w:sz w:val="20"/>
                <w:szCs w:val="20"/>
                <w:lang w:val="en-US"/>
              </w:rPr>
            </w:pPr>
            <w:r w:rsidRPr="00F95097">
              <w:rPr>
                <w:rFonts w:cstheme="minorHAnsi"/>
                <w:sz w:val="20"/>
                <w:szCs w:val="20"/>
                <w:lang w:val="en-US"/>
              </w:rPr>
              <w:t>Asian</w:t>
            </w:r>
          </w:p>
          <w:p w14:paraId="73025CD3" w14:textId="77777777" w:rsidR="000B4D6A" w:rsidRPr="00F95097" w:rsidRDefault="000B4D6A" w:rsidP="00AF7722">
            <w:pPr>
              <w:rPr>
                <w:rFonts w:cstheme="minorHAnsi"/>
                <w:sz w:val="20"/>
                <w:szCs w:val="20"/>
                <w:lang w:val="en-US"/>
              </w:rPr>
            </w:pPr>
            <w:r w:rsidRPr="00F95097">
              <w:rPr>
                <w:rFonts w:cstheme="minorHAnsi"/>
                <w:sz w:val="20"/>
                <w:szCs w:val="20"/>
                <w:lang w:val="en-US"/>
              </w:rPr>
              <w:t>Other</w:t>
            </w:r>
          </w:p>
        </w:tc>
        <w:tc>
          <w:tcPr>
            <w:tcW w:w="1416" w:type="dxa"/>
            <w:shd w:val="clear" w:color="auto" w:fill="auto"/>
            <w:vAlign w:val="bottom"/>
            <w:hideMark/>
          </w:tcPr>
          <w:p w14:paraId="3CAFF474" w14:textId="77777777" w:rsidR="000B4D6A" w:rsidRPr="00173536" w:rsidRDefault="000B4D6A" w:rsidP="00AF7722">
            <w:pPr>
              <w:jc w:val="center"/>
              <w:rPr>
                <w:rFonts w:cstheme="minorHAnsi"/>
                <w:sz w:val="20"/>
                <w:szCs w:val="20"/>
              </w:rPr>
            </w:pPr>
            <w:r w:rsidRPr="00F95097">
              <w:rPr>
                <w:rFonts w:cstheme="minorHAnsi"/>
                <w:sz w:val="20"/>
                <w:szCs w:val="20"/>
                <w:lang w:val="en-US"/>
              </w:rPr>
              <w:t>76.1</w:t>
            </w:r>
          </w:p>
          <w:p w14:paraId="4541CBE6" w14:textId="77777777" w:rsidR="000B4D6A" w:rsidRPr="00173536" w:rsidRDefault="000B4D6A" w:rsidP="00AF7722">
            <w:pPr>
              <w:jc w:val="center"/>
              <w:rPr>
                <w:rFonts w:cstheme="minorHAnsi"/>
                <w:sz w:val="20"/>
                <w:szCs w:val="20"/>
              </w:rPr>
            </w:pPr>
            <w:r w:rsidRPr="00F95097">
              <w:rPr>
                <w:rFonts w:cstheme="minorHAnsi"/>
                <w:sz w:val="20"/>
                <w:szCs w:val="20"/>
                <w:lang w:val="en-US"/>
              </w:rPr>
              <w:t>14.4</w:t>
            </w:r>
          </w:p>
          <w:p w14:paraId="08381485" w14:textId="77777777" w:rsidR="000B4D6A" w:rsidRPr="00173536" w:rsidRDefault="000B4D6A" w:rsidP="00AF7722">
            <w:pPr>
              <w:jc w:val="center"/>
              <w:rPr>
                <w:rFonts w:cstheme="minorHAnsi"/>
                <w:sz w:val="20"/>
                <w:szCs w:val="20"/>
              </w:rPr>
            </w:pPr>
            <w:r w:rsidRPr="00F95097">
              <w:rPr>
                <w:rFonts w:cstheme="minorHAnsi"/>
                <w:sz w:val="20"/>
                <w:szCs w:val="20"/>
                <w:lang w:val="en-US"/>
              </w:rPr>
              <w:t>5.0</w:t>
            </w:r>
          </w:p>
          <w:p w14:paraId="6A77DD40" w14:textId="77777777" w:rsidR="000B4D6A" w:rsidRPr="00173536" w:rsidRDefault="000B4D6A" w:rsidP="00AF7722">
            <w:pPr>
              <w:jc w:val="center"/>
              <w:rPr>
                <w:rFonts w:cstheme="minorHAnsi"/>
                <w:sz w:val="20"/>
                <w:szCs w:val="20"/>
              </w:rPr>
            </w:pPr>
            <w:r w:rsidRPr="00F95097">
              <w:rPr>
                <w:rFonts w:cstheme="minorHAnsi"/>
                <w:sz w:val="20"/>
                <w:szCs w:val="20"/>
                <w:lang w:val="en-US"/>
              </w:rPr>
              <w:t>4.5</w:t>
            </w:r>
          </w:p>
        </w:tc>
        <w:tc>
          <w:tcPr>
            <w:tcW w:w="1205" w:type="dxa"/>
            <w:shd w:val="clear" w:color="auto" w:fill="auto"/>
            <w:vAlign w:val="bottom"/>
            <w:hideMark/>
          </w:tcPr>
          <w:p w14:paraId="136FBD2A" w14:textId="77777777" w:rsidR="000B4D6A" w:rsidRPr="00173536" w:rsidRDefault="000B4D6A" w:rsidP="00AF7722">
            <w:pPr>
              <w:jc w:val="center"/>
              <w:rPr>
                <w:rFonts w:cstheme="minorHAnsi"/>
                <w:sz w:val="20"/>
                <w:szCs w:val="20"/>
              </w:rPr>
            </w:pPr>
            <w:r w:rsidRPr="00F95097">
              <w:rPr>
                <w:rFonts w:cstheme="minorHAnsi"/>
                <w:sz w:val="20"/>
                <w:szCs w:val="20"/>
                <w:lang w:val="en-US"/>
              </w:rPr>
              <w:t>75.1</w:t>
            </w:r>
          </w:p>
          <w:p w14:paraId="40B8B0BA" w14:textId="77777777" w:rsidR="000B4D6A" w:rsidRPr="00173536" w:rsidRDefault="000B4D6A" w:rsidP="00AF7722">
            <w:pPr>
              <w:jc w:val="center"/>
              <w:rPr>
                <w:rFonts w:cstheme="minorHAnsi"/>
                <w:sz w:val="20"/>
                <w:szCs w:val="20"/>
              </w:rPr>
            </w:pPr>
            <w:r w:rsidRPr="00F95097">
              <w:rPr>
                <w:rFonts w:cstheme="minorHAnsi"/>
                <w:sz w:val="20"/>
                <w:szCs w:val="20"/>
                <w:lang w:val="en-US"/>
              </w:rPr>
              <w:t>15.4</w:t>
            </w:r>
          </w:p>
          <w:p w14:paraId="08609974" w14:textId="77777777" w:rsidR="000B4D6A" w:rsidRPr="00173536" w:rsidRDefault="000B4D6A" w:rsidP="00AF7722">
            <w:pPr>
              <w:jc w:val="center"/>
              <w:rPr>
                <w:rFonts w:cstheme="minorHAnsi"/>
                <w:sz w:val="20"/>
                <w:szCs w:val="20"/>
              </w:rPr>
            </w:pPr>
            <w:r w:rsidRPr="00F95097">
              <w:rPr>
                <w:rFonts w:cstheme="minorHAnsi"/>
                <w:sz w:val="20"/>
                <w:szCs w:val="20"/>
                <w:lang w:val="en-US"/>
              </w:rPr>
              <w:t>4.5</w:t>
            </w:r>
          </w:p>
          <w:p w14:paraId="7CEBAE5C" w14:textId="77777777" w:rsidR="000B4D6A" w:rsidRPr="00173536" w:rsidRDefault="000B4D6A" w:rsidP="00AF7722">
            <w:pPr>
              <w:jc w:val="center"/>
              <w:rPr>
                <w:rFonts w:cstheme="minorHAnsi"/>
                <w:sz w:val="20"/>
                <w:szCs w:val="20"/>
              </w:rPr>
            </w:pPr>
            <w:r w:rsidRPr="00F95097">
              <w:rPr>
                <w:rFonts w:cstheme="minorHAnsi"/>
                <w:sz w:val="20"/>
                <w:szCs w:val="20"/>
                <w:lang w:val="en-US"/>
              </w:rPr>
              <w:t>5.0</w:t>
            </w:r>
          </w:p>
        </w:tc>
        <w:tc>
          <w:tcPr>
            <w:tcW w:w="1207" w:type="dxa"/>
            <w:shd w:val="clear" w:color="auto" w:fill="auto"/>
            <w:vAlign w:val="bottom"/>
            <w:hideMark/>
          </w:tcPr>
          <w:p w14:paraId="788CFA9A" w14:textId="77777777" w:rsidR="000B4D6A" w:rsidRPr="00173536" w:rsidRDefault="000B4D6A" w:rsidP="00AF7722">
            <w:pPr>
              <w:jc w:val="center"/>
              <w:rPr>
                <w:rFonts w:cstheme="minorHAnsi"/>
                <w:sz w:val="20"/>
                <w:szCs w:val="20"/>
              </w:rPr>
            </w:pPr>
            <w:r w:rsidRPr="00F95097">
              <w:rPr>
                <w:rFonts w:cstheme="minorHAnsi"/>
                <w:sz w:val="20"/>
                <w:szCs w:val="20"/>
                <w:lang w:val="en-US"/>
              </w:rPr>
              <w:t>75.2</w:t>
            </w:r>
          </w:p>
          <w:p w14:paraId="5376D776" w14:textId="77777777" w:rsidR="000B4D6A" w:rsidRPr="00173536" w:rsidRDefault="000B4D6A" w:rsidP="00AF7722">
            <w:pPr>
              <w:jc w:val="center"/>
              <w:rPr>
                <w:rFonts w:cstheme="minorHAnsi"/>
                <w:sz w:val="20"/>
                <w:szCs w:val="20"/>
              </w:rPr>
            </w:pPr>
            <w:r w:rsidRPr="00F95097">
              <w:rPr>
                <w:rFonts w:cstheme="minorHAnsi"/>
                <w:sz w:val="20"/>
                <w:szCs w:val="20"/>
                <w:lang w:val="en-US"/>
              </w:rPr>
              <w:t>10.7</w:t>
            </w:r>
          </w:p>
          <w:p w14:paraId="1134AAE7" w14:textId="77777777" w:rsidR="000B4D6A" w:rsidRPr="00173536" w:rsidRDefault="000B4D6A" w:rsidP="00AF7722">
            <w:pPr>
              <w:jc w:val="center"/>
              <w:rPr>
                <w:rFonts w:cstheme="minorHAnsi"/>
                <w:sz w:val="20"/>
                <w:szCs w:val="20"/>
              </w:rPr>
            </w:pPr>
            <w:r w:rsidRPr="00F95097">
              <w:rPr>
                <w:rFonts w:cstheme="minorHAnsi"/>
                <w:sz w:val="20"/>
                <w:szCs w:val="20"/>
                <w:lang w:val="en-US"/>
              </w:rPr>
              <w:t>6.8</w:t>
            </w:r>
          </w:p>
          <w:p w14:paraId="2C8D1C03" w14:textId="77777777" w:rsidR="000B4D6A" w:rsidRPr="00173536" w:rsidRDefault="000B4D6A" w:rsidP="00AF7722">
            <w:pPr>
              <w:jc w:val="center"/>
              <w:rPr>
                <w:rFonts w:cstheme="minorHAnsi"/>
                <w:sz w:val="20"/>
                <w:szCs w:val="20"/>
              </w:rPr>
            </w:pPr>
            <w:r w:rsidRPr="00F95097">
              <w:rPr>
                <w:rFonts w:cstheme="minorHAnsi"/>
                <w:sz w:val="20"/>
                <w:szCs w:val="20"/>
                <w:lang w:val="en-US"/>
              </w:rPr>
              <w:t>7.3</w:t>
            </w:r>
          </w:p>
        </w:tc>
        <w:tc>
          <w:tcPr>
            <w:tcW w:w="1276" w:type="dxa"/>
            <w:shd w:val="clear" w:color="auto" w:fill="auto"/>
            <w:vAlign w:val="bottom"/>
            <w:hideMark/>
          </w:tcPr>
          <w:p w14:paraId="3C786C7E" w14:textId="77777777" w:rsidR="000B4D6A" w:rsidRPr="00173536" w:rsidRDefault="000B4D6A" w:rsidP="00AF7722">
            <w:pPr>
              <w:jc w:val="center"/>
              <w:rPr>
                <w:rFonts w:cstheme="minorHAnsi"/>
                <w:sz w:val="20"/>
                <w:szCs w:val="20"/>
              </w:rPr>
            </w:pPr>
            <w:r w:rsidRPr="00F95097">
              <w:rPr>
                <w:rFonts w:cstheme="minorHAnsi"/>
                <w:sz w:val="20"/>
                <w:szCs w:val="20"/>
                <w:lang w:val="en-US"/>
              </w:rPr>
              <w:t>81.9</w:t>
            </w:r>
          </w:p>
          <w:p w14:paraId="72E6E999" w14:textId="77777777" w:rsidR="000B4D6A" w:rsidRPr="00173536" w:rsidRDefault="000B4D6A" w:rsidP="00AF7722">
            <w:pPr>
              <w:jc w:val="center"/>
              <w:rPr>
                <w:rFonts w:cstheme="minorHAnsi"/>
                <w:sz w:val="20"/>
                <w:szCs w:val="20"/>
              </w:rPr>
            </w:pPr>
            <w:r w:rsidRPr="00F95097">
              <w:rPr>
                <w:rFonts w:cstheme="minorHAnsi"/>
                <w:sz w:val="20"/>
                <w:szCs w:val="20"/>
                <w:lang w:val="en-US"/>
              </w:rPr>
              <w:t>7.4</w:t>
            </w:r>
          </w:p>
          <w:p w14:paraId="1F9C8BE5" w14:textId="77777777" w:rsidR="000B4D6A" w:rsidRPr="00173536" w:rsidRDefault="000B4D6A" w:rsidP="00AF7722">
            <w:pPr>
              <w:jc w:val="center"/>
              <w:rPr>
                <w:rFonts w:cstheme="minorHAnsi"/>
                <w:sz w:val="20"/>
                <w:szCs w:val="20"/>
              </w:rPr>
            </w:pPr>
            <w:r w:rsidRPr="00F95097">
              <w:rPr>
                <w:rFonts w:cstheme="minorHAnsi"/>
                <w:sz w:val="20"/>
                <w:szCs w:val="20"/>
                <w:lang w:val="en-US"/>
              </w:rPr>
              <w:t>4.9</w:t>
            </w:r>
          </w:p>
          <w:p w14:paraId="53AF86AA" w14:textId="77777777" w:rsidR="000B4D6A" w:rsidRPr="00173536" w:rsidRDefault="000B4D6A" w:rsidP="00AF7722">
            <w:pPr>
              <w:jc w:val="center"/>
              <w:rPr>
                <w:rFonts w:cstheme="minorHAnsi"/>
                <w:sz w:val="20"/>
                <w:szCs w:val="20"/>
              </w:rPr>
            </w:pPr>
            <w:r w:rsidRPr="00F95097">
              <w:rPr>
                <w:rFonts w:cstheme="minorHAnsi"/>
                <w:sz w:val="20"/>
                <w:szCs w:val="20"/>
                <w:lang w:val="en-US"/>
              </w:rPr>
              <w:t>5.9</w:t>
            </w:r>
          </w:p>
        </w:tc>
      </w:tr>
      <w:tr w:rsidR="000B4D6A" w:rsidRPr="00173536" w14:paraId="53F0842C" w14:textId="77777777" w:rsidTr="00AF7722">
        <w:trPr>
          <w:trHeight w:val="226"/>
        </w:trPr>
        <w:tc>
          <w:tcPr>
            <w:tcW w:w="3260" w:type="dxa"/>
            <w:shd w:val="clear" w:color="auto" w:fill="auto"/>
            <w:vAlign w:val="center"/>
            <w:hideMark/>
          </w:tcPr>
          <w:p w14:paraId="6D6DB8C2" w14:textId="77777777" w:rsidR="000B4D6A" w:rsidRPr="00173536" w:rsidRDefault="000B4D6A" w:rsidP="00AF7722">
            <w:pPr>
              <w:rPr>
                <w:rFonts w:cstheme="minorHAnsi"/>
                <w:sz w:val="20"/>
                <w:szCs w:val="20"/>
              </w:rPr>
            </w:pPr>
            <w:r w:rsidRPr="00F95097">
              <w:rPr>
                <w:rFonts w:cstheme="minorHAnsi"/>
                <w:sz w:val="20"/>
                <w:szCs w:val="20"/>
                <w:lang w:val="en-US"/>
              </w:rPr>
              <w:t>Mean age, years (SD)</w:t>
            </w:r>
          </w:p>
        </w:tc>
        <w:tc>
          <w:tcPr>
            <w:tcW w:w="1416" w:type="dxa"/>
            <w:shd w:val="clear" w:color="auto" w:fill="auto"/>
            <w:vAlign w:val="center"/>
            <w:hideMark/>
          </w:tcPr>
          <w:p w14:paraId="2555EE0D" w14:textId="77777777" w:rsidR="000B4D6A" w:rsidRPr="00173536" w:rsidRDefault="000B4D6A" w:rsidP="00AF7722">
            <w:pPr>
              <w:jc w:val="center"/>
              <w:rPr>
                <w:rFonts w:cstheme="minorHAnsi"/>
                <w:sz w:val="20"/>
                <w:szCs w:val="20"/>
              </w:rPr>
            </w:pPr>
            <w:r w:rsidRPr="00F95097">
              <w:rPr>
                <w:rFonts w:cstheme="minorHAnsi"/>
                <w:sz w:val="20"/>
                <w:szCs w:val="20"/>
                <w:lang w:val="en-US"/>
              </w:rPr>
              <w:t>51.7 (11.7)</w:t>
            </w:r>
          </w:p>
        </w:tc>
        <w:tc>
          <w:tcPr>
            <w:tcW w:w="1205" w:type="dxa"/>
            <w:shd w:val="clear" w:color="auto" w:fill="auto"/>
            <w:vAlign w:val="center"/>
            <w:hideMark/>
          </w:tcPr>
          <w:p w14:paraId="6C9A4110" w14:textId="77777777" w:rsidR="000B4D6A" w:rsidRPr="00173536" w:rsidRDefault="000B4D6A" w:rsidP="00AF7722">
            <w:pPr>
              <w:jc w:val="center"/>
              <w:rPr>
                <w:rFonts w:cstheme="minorHAnsi"/>
                <w:sz w:val="20"/>
                <w:szCs w:val="20"/>
              </w:rPr>
            </w:pPr>
            <w:r w:rsidRPr="00F95097">
              <w:rPr>
                <w:rFonts w:cstheme="minorHAnsi"/>
                <w:sz w:val="20"/>
                <w:szCs w:val="20"/>
                <w:lang w:val="en-US"/>
              </w:rPr>
              <w:t>51.6 (10.7)</w:t>
            </w:r>
          </w:p>
        </w:tc>
        <w:tc>
          <w:tcPr>
            <w:tcW w:w="1207" w:type="dxa"/>
            <w:shd w:val="clear" w:color="auto" w:fill="auto"/>
            <w:vAlign w:val="center"/>
            <w:hideMark/>
          </w:tcPr>
          <w:p w14:paraId="74BEE291" w14:textId="77777777" w:rsidR="000B4D6A" w:rsidRPr="00173536" w:rsidRDefault="000B4D6A" w:rsidP="00AF7722">
            <w:pPr>
              <w:jc w:val="center"/>
              <w:rPr>
                <w:rFonts w:cstheme="minorHAnsi"/>
                <w:sz w:val="20"/>
                <w:szCs w:val="20"/>
              </w:rPr>
            </w:pPr>
            <w:r w:rsidRPr="00F95097">
              <w:rPr>
                <w:rFonts w:cstheme="minorHAnsi"/>
                <w:sz w:val="20"/>
                <w:szCs w:val="20"/>
                <w:lang w:val="en-US"/>
              </w:rPr>
              <w:t>51.4 (10.6)</w:t>
            </w:r>
          </w:p>
        </w:tc>
        <w:tc>
          <w:tcPr>
            <w:tcW w:w="1276" w:type="dxa"/>
            <w:shd w:val="clear" w:color="auto" w:fill="auto"/>
            <w:vAlign w:val="center"/>
            <w:hideMark/>
          </w:tcPr>
          <w:p w14:paraId="5A06DA46" w14:textId="77777777" w:rsidR="000B4D6A" w:rsidRPr="00173536" w:rsidRDefault="000B4D6A" w:rsidP="00AF7722">
            <w:pPr>
              <w:jc w:val="center"/>
              <w:rPr>
                <w:rFonts w:cstheme="minorHAnsi"/>
                <w:sz w:val="20"/>
                <w:szCs w:val="20"/>
              </w:rPr>
            </w:pPr>
            <w:r w:rsidRPr="00F95097">
              <w:rPr>
                <w:rFonts w:cstheme="minorHAnsi"/>
                <w:sz w:val="20"/>
                <w:szCs w:val="20"/>
                <w:lang w:val="en-US"/>
              </w:rPr>
              <w:t>51.0 (11.1)</w:t>
            </w:r>
          </w:p>
        </w:tc>
      </w:tr>
      <w:tr w:rsidR="000B4D6A" w:rsidRPr="00173536" w14:paraId="692E75A1" w14:textId="77777777" w:rsidTr="00AF7722">
        <w:trPr>
          <w:trHeight w:val="226"/>
        </w:trPr>
        <w:tc>
          <w:tcPr>
            <w:tcW w:w="3260" w:type="dxa"/>
            <w:shd w:val="clear" w:color="auto" w:fill="auto"/>
            <w:vAlign w:val="center"/>
            <w:hideMark/>
          </w:tcPr>
          <w:p w14:paraId="4D0B7688" w14:textId="77777777" w:rsidR="000B4D6A" w:rsidRPr="00F95097" w:rsidRDefault="000B4D6A" w:rsidP="00AF7722">
            <w:pPr>
              <w:rPr>
                <w:rFonts w:cstheme="minorHAnsi"/>
                <w:sz w:val="20"/>
                <w:szCs w:val="20"/>
                <w:lang w:val="en-US"/>
              </w:rPr>
            </w:pPr>
            <w:r w:rsidRPr="00F95097">
              <w:rPr>
                <w:rFonts w:cstheme="minorHAnsi"/>
                <w:sz w:val="20"/>
                <w:szCs w:val="20"/>
                <w:lang w:val="en-US"/>
              </w:rPr>
              <w:t>Mean BMI, kg/m</w:t>
            </w:r>
            <w:r w:rsidRPr="00F95097">
              <w:rPr>
                <w:rFonts w:cstheme="minorHAnsi"/>
                <w:sz w:val="20"/>
                <w:szCs w:val="20"/>
                <w:vertAlign w:val="superscript"/>
                <w:lang w:val="en-US"/>
              </w:rPr>
              <w:t>2</w:t>
            </w:r>
            <w:r w:rsidRPr="00F95097">
              <w:rPr>
                <w:rFonts w:cstheme="minorHAnsi"/>
                <w:sz w:val="20"/>
                <w:szCs w:val="20"/>
                <w:lang w:val="en-US"/>
              </w:rPr>
              <w:t xml:space="preserve"> (SD)</w:t>
            </w:r>
          </w:p>
        </w:tc>
        <w:tc>
          <w:tcPr>
            <w:tcW w:w="1416" w:type="dxa"/>
            <w:shd w:val="clear" w:color="auto" w:fill="auto"/>
            <w:vAlign w:val="center"/>
            <w:hideMark/>
          </w:tcPr>
          <w:p w14:paraId="4BCF247C" w14:textId="77777777" w:rsidR="000B4D6A" w:rsidRPr="00173536" w:rsidRDefault="000B4D6A" w:rsidP="00AF7722">
            <w:pPr>
              <w:jc w:val="center"/>
              <w:rPr>
                <w:rFonts w:cstheme="minorHAnsi"/>
                <w:sz w:val="20"/>
                <w:szCs w:val="20"/>
              </w:rPr>
            </w:pPr>
            <w:r w:rsidRPr="00F95097">
              <w:rPr>
                <w:rFonts w:cstheme="minorHAnsi"/>
                <w:sz w:val="20"/>
                <w:szCs w:val="20"/>
                <w:lang w:val="en-US"/>
              </w:rPr>
              <w:t>34.3 (6.4)</w:t>
            </w:r>
          </w:p>
        </w:tc>
        <w:tc>
          <w:tcPr>
            <w:tcW w:w="1205" w:type="dxa"/>
            <w:shd w:val="clear" w:color="auto" w:fill="auto"/>
            <w:vAlign w:val="center"/>
            <w:hideMark/>
          </w:tcPr>
          <w:p w14:paraId="64B78428" w14:textId="77777777" w:rsidR="000B4D6A" w:rsidRPr="00173536" w:rsidRDefault="000B4D6A" w:rsidP="00AF7722">
            <w:pPr>
              <w:jc w:val="center"/>
              <w:rPr>
                <w:rFonts w:cstheme="minorHAnsi"/>
                <w:sz w:val="20"/>
                <w:szCs w:val="20"/>
              </w:rPr>
            </w:pPr>
            <w:r w:rsidRPr="00F95097">
              <w:rPr>
                <w:rFonts w:cstheme="minorHAnsi"/>
                <w:sz w:val="20"/>
                <w:szCs w:val="20"/>
                <w:lang w:val="en-US"/>
              </w:rPr>
              <w:t>35.0 (6.2)</w:t>
            </w:r>
          </w:p>
        </w:tc>
        <w:tc>
          <w:tcPr>
            <w:tcW w:w="1207" w:type="dxa"/>
            <w:shd w:val="clear" w:color="auto" w:fill="auto"/>
            <w:vAlign w:val="center"/>
            <w:hideMark/>
          </w:tcPr>
          <w:p w14:paraId="6F55EDF0" w14:textId="77777777" w:rsidR="000B4D6A" w:rsidRPr="00173536" w:rsidRDefault="000B4D6A" w:rsidP="00AF7722">
            <w:pPr>
              <w:jc w:val="center"/>
              <w:rPr>
                <w:rFonts w:cstheme="minorHAnsi"/>
                <w:sz w:val="20"/>
                <w:szCs w:val="20"/>
              </w:rPr>
            </w:pPr>
            <w:r w:rsidRPr="00F95097">
              <w:rPr>
                <w:rFonts w:cstheme="minorHAnsi"/>
                <w:sz w:val="20"/>
                <w:szCs w:val="20"/>
                <w:lang w:val="en-US"/>
              </w:rPr>
              <w:t>33.9 (6.2)</w:t>
            </w:r>
          </w:p>
        </w:tc>
        <w:tc>
          <w:tcPr>
            <w:tcW w:w="1276" w:type="dxa"/>
            <w:shd w:val="clear" w:color="auto" w:fill="auto"/>
            <w:vAlign w:val="center"/>
            <w:hideMark/>
          </w:tcPr>
          <w:p w14:paraId="4E95F03F" w14:textId="77777777" w:rsidR="000B4D6A" w:rsidRPr="00173536" w:rsidRDefault="000B4D6A" w:rsidP="00AF7722">
            <w:pPr>
              <w:jc w:val="center"/>
              <w:rPr>
                <w:rFonts w:cstheme="minorHAnsi"/>
                <w:sz w:val="20"/>
                <w:szCs w:val="20"/>
              </w:rPr>
            </w:pPr>
            <w:r w:rsidRPr="00F95097">
              <w:rPr>
                <w:rFonts w:cstheme="minorHAnsi"/>
                <w:sz w:val="20"/>
                <w:szCs w:val="20"/>
                <w:lang w:val="en-US"/>
              </w:rPr>
              <w:t>34.7 (6.4)</w:t>
            </w:r>
          </w:p>
        </w:tc>
      </w:tr>
      <w:tr w:rsidR="000B4D6A" w:rsidRPr="00173536" w14:paraId="7E3319E7" w14:textId="77777777" w:rsidTr="00AF7722">
        <w:trPr>
          <w:trHeight w:val="226"/>
        </w:trPr>
        <w:tc>
          <w:tcPr>
            <w:tcW w:w="3260" w:type="dxa"/>
            <w:shd w:val="clear" w:color="auto" w:fill="auto"/>
            <w:vAlign w:val="center"/>
            <w:hideMark/>
          </w:tcPr>
          <w:p w14:paraId="36638C0A" w14:textId="77777777" w:rsidR="000B4D6A" w:rsidRPr="00173536" w:rsidRDefault="000B4D6A" w:rsidP="00AF7722">
            <w:pPr>
              <w:rPr>
                <w:rFonts w:cstheme="minorHAnsi"/>
                <w:sz w:val="20"/>
                <w:szCs w:val="20"/>
              </w:rPr>
            </w:pPr>
            <w:r w:rsidRPr="00F95097">
              <w:rPr>
                <w:rFonts w:cstheme="minorHAnsi"/>
                <w:sz w:val="20"/>
                <w:szCs w:val="20"/>
                <w:lang w:val="en-US"/>
              </w:rPr>
              <w:t>Gout duration, mean years</w:t>
            </w:r>
          </w:p>
        </w:tc>
        <w:tc>
          <w:tcPr>
            <w:tcW w:w="1416" w:type="dxa"/>
            <w:shd w:val="clear" w:color="auto" w:fill="auto"/>
            <w:vAlign w:val="center"/>
            <w:hideMark/>
          </w:tcPr>
          <w:p w14:paraId="24001A5A" w14:textId="77777777" w:rsidR="000B4D6A" w:rsidRPr="00173536" w:rsidRDefault="000B4D6A" w:rsidP="00AF7722">
            <w:pPr>
              <w:jc w:val="center"/>
              <w:rPr>
                <w:rFonts w:cstheme="minorHAnsi"/>
                <w:sz w:val="20"/>
                <w:szCs w:val="20"/>
              </w:rPr>
            </w:pPr>
            <w:r w:rsidRPr="00F95097">
              <w:rPr>
                <w:rFonts w:cstheme="minorHAnsi"/>
                <w:sz w:val="20"/>
                <w:szCs w:val="20"/>
                <w:lang w:val="en-US"/>
              </w:rPr>
              <w:t>11.6</w:t>
            </w:r>
          </w:p>
        </w:tc>
        <w:tc>
          <w:tcPr>
            <w:tcW w:w="1205" w:type="dxa"/>
            <w:shd w:val="clear" w:color="auto" w:fill="auto"/>
            <w:vAlign w:val="center"/>
            <w:hideMark/>
          </w:tcPr>
          <w:p w14:paraId="32FFA372" w14:textId="77777777" w:rsidR="000B4D6A" w:rsidRPr="00173536" w:rsidRDefault="000B4D6A" w:rsidP="00AF7722">
            <w:pPr>
              <w:jc w:val="center"/>
              <w:rPr>
                <w:rFonts w:cstheme="minorHAnsi"/>
                <w:sz w:val="20"/>
                <w:szCs w:val="20"/>
              </w:rPr>
            </w:pPr>
            <w:r w:rsidRPr="00F95097">
              <w:rPr>
                <w:rFonts w:cstheme="minorHAnsi"/>
                <w:sz w:val="20"/>
                <w:szCs w:val="20"/>
                <w:lang w:val="en-US"/>
              </w:rPr>
              <w:t>12.8</w:t>
            </w:r>
          </w:p>
        </w:tc>
        <w:tc>
          <w:tcPr>
            <w:tcW w:w="1207" w:type="dxa"/>
            <w:shd w:val="clear" w:color="auto" w:fill="auto"/>
            <w:vAlign w:val="center"/>
            <w:hideMark/>
          </w:tcPr>
          <w:p w14:paraId="142E2176" w14:textId="77777777" w:rsidR="000B4D6A" w:rsidRPr="00173536" w:rsidRDefault="000B4D6A" w:rsidP="00AF7722">
            <w:pPr>
              <w:jc w:val="center"/>
              <w:rPr>
                <w:rFonts w:cstheme="minorHAnsi"/>
                <w:sz w:val="20"/>
                <w:szCs w:val="20"/>
              </w:rPr>
            </w:pPr>
            <w:r w:rsidRPr="00F95097">
              <w:rPr>
                <w:rFonts w:cstheme="minorHAnsi"/>
                <w:sz w:val="20"/>
                <w:szCs w:val="20"/>
                <w:lang w:val="en-US"/>
              </w:rPr>
              <w:t>11.3</w:t>
            </w:r>
          </w:p>
        </w:tc>
        <w:tc>
          <w:tcPr>
            <w:tcW w:w="1276" w:type="dxa"/>
            <w:shd w:val="clear" w:color="auto" w:fill="auto"/>
            <w:vAlign w:val="center"/>
            <w:hideMark/>
          </w:tcPr>
          <w:p w14:paraId="48C66590" w14:textId="77777777" w:rsidR="000B4D6A" w:rsidRPr="00173536" w:rsidRDefault="000B4D6A" w:rsidP="00AF7722">
            <w:pPr>
              <w:jc w:val="center"/>
              <w:rPr>
                <w:rFonts w:cstheme="minorHAnsi"/>
                <w:sz w:val="20"/>
                <w:szCs w:val="20"/>
              </w:rPr>
            </w:pPr>
            <w:r w:rsidRPr="00F95097">
              <w:rPr>
                <w:rFonts w:cstheme="minorHAnsi"/>
                <w:sz w:val="20"/>
                <w:szCs w:val="20"/>
                <w:lang w:val="en-US"/>
              </w:rPr>
              <w:t>12.3</w:t>
            </w:r>
          </w:p>
        </w:tc>
      </w:tr>
      <w:tr w:rsidR="000B4D6A" w:rsidRPr="00173536" w14:paraId="23B7383F" w14:textId="77777777" w:rsidTr="00AF7722">
        <w:trPr>
          <w:trHeight w:val="226"/>
        </w:trPr>
        <w:tc>
          <w:tcPr>
            <w:tcW w:w="3260" w:type="dxa"/>
            <w:shd w:val="clear" w:color="auto" w:fill="auto"/>
            <w:vAlign w:val="center"/>
            <w:hideMark/>
          </w:tcPr>
          <w:p w14:paraId="0975B5E5" w14:textId="77777777" w:rsidR="000B4D6A" w:rsidRPr="00F95097" w:rsidRDefault="000B4D6A" w:rsidP="00AF7722">
            <w:pPr>
              <w:rPr>
                <w:rFonts w:cstheme="minorHAnsi"/>
                <w:sz w:val="20"/>
                <w:szCs w:val="20"/>
                <w:lang w:val="en-US"/>
              </w:rPr>
            </w:pPr>
            <w:r w:rsidRPr="00F95097">
              <w:rPr>
                <w:rFonts w:cstheme="minorHAnsi"/>
                <w:sz w:val="20"/>
                <w:szCs w:val="20"/>
                <w:lang w:val="en-US"/>
              </w:rPr>
              <w:t>Mean gout flares, past 12 months</w:t>
            </w:r>
          </w:p>
        </w:tc>
        <w:tc>
          <w:tcPr>
            <w:tcW w:w="1416" w:type="dxa"/>
            <w:shd w:val="clear" w:color="auto" w:fill="auto"/>
            <w:vAlign w:val="center"/>
            <w:hideMark/>
          </w:tcPr>
          <w:p w14:paraId="03CFD927" w14:textId="77777777" w:rsidR="000B4D6A" w:rsidRPr="00173536" w:rsidRDefault="000B4D6A" w:rsidP="00AF7722">
            <w:pPr>
              <w:jc w:val="center"/>
              <w:rPr>
                <w:rFonts w:cstheme="minorHAnsi"/>
                <w:sz w:val="20"/>
                <w:szCs w:val="20"/>
              </w:rPr>
            </w:pPr>
            <w:r w:rsidRPr="00F95097">
              <w:rPr>
                <w:rFonts w:cstheme="minorHAnsi"/>
                <w:sz w:val="20"/>
                <w:szCs w:val="20"/>
                <w:lang w:val="en-US"/>
              </w:rPr>
              <w:t>4.8</w:t>
            </w:r>
          </w:p>
        </w:tc>
        <w:tc>
          <w:tcPr>
            <w:tcW w:w="1205" w:type="dxa"/>
            <w:shd w:val="clear" w:color="auto" w:fill="auto"/>
            <w:vAlign w:val="center"/>
            <w:hideMark/>
          </w:tcPr>
          <w:p w14:paraId="57CA612B" w14:textId="77777777" w:rsidR="000B4D6A" w:rsidRPr="00173536" w:rsidRDefault="000B4D6A" w:rsidP="00AF7722">
            <w:pPr>
              <w:jc w:val="center"/>
              <w:rPr>
                <w:rFonts w:cstheme="minorHAnsi"/>
                <w:sz w:val="20"/>
                <w:szCs w:val="20"/>
              </w:rPr>
            </w:pPr>
            <w:r w:rsidRPr="00F95097">
              <w:rPr>
                <w:rFonts w:cstheme="minorHAnsi"/>
                <w:sz w:val="20"/>
                <w:szCs w:val="20"/>
                <w:lang w:val="en-US"/>
              </w:rPr>
              <w:t>4.8</w:t>
            </w:r>
          </w:p>
        </w:tc>
        <w:tc>
          <w:tcPr>
            <w:tcW w:w="1207" w:type="dxa"/>
            <w:shd w:val="clear" w:color="auto" w:fill="auto"/>
            <w:vAlign w:val="center"/>
            <w:hideMark/>
          </w:tcPr>
          <w:p w14:paraId="09FE8AB6" w14:textId="77777777" w:rsidR="000B4D6A" w:rsidRPr="00173536" w:rsidRDefault="000B4D6A" w:rsidP="00AF7722">
            <w:pPr>
              <w:jc w:val="center"/>
              <w:rPr>
                <w:rFonts w:cstheme="minorHAnsi"/>
                <w:sz w:val="20"/>
                <w:szCs w:val="20"/>
              </w:rPr>
            </w:pPr>
            <w:r w:rsidRPr="00F95097">
              <w:rPr>
                <w:rFonts w:cstheme="minorHAnsi"/>
                <w:sz w:val="20"/>
                <w:szCs w:val="20"/>
                <w:lang w:val="en-US"/>
              </w:rPr>
              <w:t>5.8</w:t>
            </w:r>
          </w:p>
        </w:tc>
        <w:tc>
          <w:tcPr>
            <w:tcW w:w="1276" w:type="dxa"/>
            <w:shd w:val="clear" w:color="auto" w:fill="auto"/>
            <w:vAlign w:val="center"/>
            <w:hideMark/>
          </w:tcPr>
          <w:p w14:paraId="051C24AA" w14:textId="77777777" w:rsidR="000B4D6A" w:rsidRPr="00173536" w:rsidRDefault="000B4D6A" w:rsidP="00AF7722">
            <w:pPr>
              <w:jc w:val="center"/>
              <w:rPr>
                <w:rFonts w:cstheme="minorHAnsi"/>
                <w:sz w:val="20"/>
                <w:szCs w:val="20"/>
              </w:rPr>
            </w:pPr>
            <w:r w:rsidRPr="00F95097">
              <w:rPr>
                <w:rFonts w:cstheme="minorHAnsi"/>
                <w:sz w:val="20"/>
                <w:szCs w:val="20"/>
                <w:lang w:val="en-US"/>
              </w:rPr>
              <w:t>6.7</w:t>
            </w:r>
          </w:p>
        </w:tc>
      </w:tr>
      <w:tr w:rsidR="000B4D6A" w:rsidRPr="00173536" w14:paraId="102B1493" w14:textId="77777777" w:rsidTr="00AF7722">
        <w:trPr>
          <w:trHeight w:val="226"/>
        </w:trPr>
        <w:tc>
          <w:tcPr>
            <w:tcW w:w="3260" w:type="dxa"/>
            <w:shd w:val="clear" w:color="auto" w:fill="auto"/>
            <w:vAlign w:val="center"/>
            <w:hideMark/>
          </w:tcPr>
          <w:p w14:paraId="46F57BFD" w14:textId="77777777" w:rsidR="000B4D6A" w:rsidRPr="00173536" w:rsidRDefault="000B4D6A" w:rsidP="00AF7722">
            <w:pPr>
              <w:rPr>
                <w:rFonts w:cstheme="minorHAnsi"/>
                <w:sz w:val="20"/>
                <w:szCs w:val="20"/>
              </w:rPr>
            </w:pPr>
            <w:r w:rsidRPr="00F95097">
              <w:rPr>
                <w:rFonts w:cstheme="minorHAnsi"/>
                <w:sz w:val="20"/>
                <w:szCs w:val="20"/>
                <w:lang w:val="en-US"/>
              </w:rPr>
              <w:t>≥ 1 target tophus, n (%)</w:t>
            </w:r>
          </w:p>
        </w:tc>
        <w:tc>
          <w:tcPr>
            <w:tcW w:w="1416" w:type="dxa"/>
            <w:shd w:val="clear" w:color="auto" w:fill="auto"/>
            <w:vAlign w:val="center"/>
            <w:hideMark/>
          </w:tcPr>
          <w:p w14:paraId="52A26E1A" w14:textId="77777777" w:rsidR="000B4D6A" w:rsidRPr="00173536" w:rsidRDefault="000B4D6A" w:rsidP="00AF7722">
            <w:pPr>
              <w:jc w:val="center"/>
              <w:rPr>
                <w:rFonts w:cstheme="minorHAnsi"/>
                <w:sz w:val="20"/>
                <w:szCs w:val="20"/>
              </w:rPr>
            </w:pPr>
            <w:r w:rsidRPr="00F95097">
              <w:rPr>
                <w:rFonts w:cstheme="minorHAnsi"/>
                <w:sz w:val="20"/>
                <w:szCs w:val="20"/>
                <w:lang w:val="en-US"/>
              </w:rPr>
              <w:t>17 (9)</w:t>
            </w:r>
          </w:p>
        </w:tc>
        <w:tc>
          <w:tcPr>
            <w:tcW w:w="1205" w:type="dxa"/>
            <w:shd w:val="clear" w:color="auto" w:fill="auto"/>
            <w:vAlign w:val="center"/>
            <w:hideMark/>
          </w:tcPr>
          <w:p w14:paraId="3C66C971" w14:textId="77777777" w:rsidR="000B4D6A" w:rsidRPr="00173536" w:rsidRDefault="000B4D6A" w:rsidP="00AF7722">
            <w:pPr>
              <w:jc w:val="center"/>
              <w:rPr>
                <w:rFonts w:cstheme="minorHAnsi"/>
                <w:sz w:val="20"/>
                <w:szCs w:val="20"/>
              </w:rPr>
            </w:pPr>
            <w:r w:rsidRPr="00F95097">
              <w:rPr>
                <w:rFonts w:cstheme="minorHAnsi"/>
                <w:sz w:val="20"/>
                <w:szCs w:val="20"/>
                <w:lang w:val="en-US"/>
              </w:rPr>
              <w:t>18 (9)</w:t>
            </w:r>
          </w:p>
        </w:tc>
        <w:tc>
          <w:tcPr>
            <w:tcW w:w="1207" w:type="dxa"/>
            <w:shd w:val="clear" w:color="auto" w:fill="auto"/>
            <w:vAlign w:val="center"/>
            <w:hideMark/>
          </w:tcPr>
          <w:p w14:paraId="4E4AC067" w14:textId="77777777" w:rsidR="000B4D6A" w:rsidRPr="00173536" w:rsidRDefault="000B4D6A" w:rsidP="00AF7722">
            <w:pPr>
              <w:jc w:val="center"/>
              <w:rPr>
                <w:rFonts w:cstheme="minorHAnsi"/>
                <w:sz w:val="20"/>
                <w:szCs w:val="20"/>
              </w:rPr>
            </w:pPr>
            <w:r w:rsidRPr="00F95097">
              <w:rPr>
                <w:rFonts w:cstheme="minorHAnsi"/>
                <w:sz w:val="20"/>
                <w:szCs w:val="20"/>
                <w:lang w:val="en-US"/>
              </w:rPr>
              <w:t>33 (16)</w:t>
            </w:r>
          </w:p>
        </w:tc>
        <w:tc>
          <w:tcPr>
            <w:tcW w:w="1276" w:type="dxa"/>
            <w:shd w:val="clear" w:color="auto" w:fill="auto"/>
            <w:vAlign w:val="center"/>
            <w:hideMark/>
          </w:tcPr>
          <w:p w14:paraId="24C40CC8" w14:textId="77777777" w:rsidR="000B4D6A" w:rsidRPr="00173536" w:rsidRDefault="000B4D6A" w:rsidP="00AF7722">
            <w:pPr>
              <w:jc w:val="center"/>
              <w:rPr>
                <w:rFonts w:cstheme="minorHAnsi"/>
                <w:sz w:val="20"/>
                <w:szCs w:val="20"/>
              </w:rPr>
            </w:pPr>
            <w:r w:rsidRPr="00F95097">
              <w:rPr>
                <w:rFonts w:cstheme="minorHAnsi"/>
                <w:sz w:val="20"/>
                <w:szCs w:val="20"/>
                <w:lang w:val="en-US"/>
              </w:rPr>
              <w:t>35 (17)</w:t>
            </w:r>
          </w:p>
        </w:tc>
      </w:tr>
      <w:tr w:rsidR="000B4D6A" w:rsidRPr="00173536" w14:paraId="57C10D34" w14:textId="77777777" w:rsidTr="00AF7722">
        <w:trPr>
          <w:trHeight w:val="226"/>
        </w:trPr>
        <w:tc>
          <w:tcPr>
            <w:tcW w:w="3260" w:type="dxa"/>
            <w:shd w:val="clear" w:color="auto" w:fill="auto"/>
            <w:vAlign w:val="center"/>
            <w:hideMark/>
          </w:tcPr>
          <w:p w14:paraId="5FC0FC8E" w14:textId="5F67C0C2" w:rsidR="000B4D6A" w:rsidRPr="00F95097" w:rsidRDefault="000B4D6A" w:rsidP="00AF7722">
            <w:pPr>
              <w:rPr>
                <w:rFonts w:cstheme="minorHAnsi"/>
                <w:sz w:val="20"/>
                <w:szCs w:val="20"/>
                <w:lang w:val="en-US"/>
              </w:rPr>
            </w:pPr>
            <w:r w:rsidRPr="00F95097">
              <w:rPr>
                <w:rFonts w:cstheme="minorHAnsi"/>
                <w:sz w:val="20"/>
                <w:szCs w:val="20"/>
                <w:lang w:val="en-US"/>
              </w:rPr>
              <w:t xml:space="preserve">Mean screening </w:t>
            </w:r>
            <w:r w:rsidR="005848A1">
              <w:rPr>
                <w:rFonts w:cstheme="minorHAnsi"/>
                <w:sz w:val="20"/>
                <w:szCs w:val="20"/>
                <w:lang w:val="en-US"/>
              </w:rPr>
              <w:t>sUA</w:t>
            </w:r>
            <w:r w:rsidRPr="00F95097">
              <w:rPr>
                <w:rFonts w:cstheme="minorHAnsi"/>
                <w:sz w:val="20"/>
                <w:szCs w:val="20"/>
                <w:lang w:val="en-US"/>
              </w:rPr>
              <w:t>, mg/dL</w:t>
            </w:r>
          </w:p>
        </w:tc>
        <w:tc>
          <w:tcPr>
            <w:tcW w:w="1416" w:type="dxa"/>
            <w:shd w:val="clear" w:color="auto" w:fill="auto"/>
            <w:vAlign w:val="center"/>
            <w:hideMark/>
          </w:tcPr>
          <w:p w14:paraId="09A5B36C" w14:textId="77777777" w:rsidR="000B4D6A" w:rsidRPr="00173536" w:rsidRDefault="000B4D6A" w:rsidP="00AF7722">
            <w:pPr>
              <w:jc w:val="center"/>
              <w:rPr>
                <w:rFonts w:cstheme="minorHAnsi"/>
                <w:sz w:val="20"/>
                <w:szCs w:val="20"/>
              </w:rPr>
            </w:pPr>
            <w:r w:rsidRPr="00F95097">
              <w:rPr>
                <w:rFonts w:cstheme="minorHAnsi"/>
                <w:sz w:val="20"/>
                <w:szCs w:val="20"/>
                <w:lang w:val="en-US"/>
              </w:rPr>
              <w:t>8.11</w:t>
            </w:r>
          </w:p>
        </w:tc>
        <w:tc>
          <w:tcPr>
            <w:tcW w:w="1205" w:type="dxa"/>
            <w:shd w:val="clear" w:color="auto" w:fill="auto"/>
            <w:vAlign w:val="center"/>
            <w:hideMark/>
          </w:tcPr>
          <w:p w14:paraId="34E0F5ED" w14:textId="77777777" w:rsidR="000B4D6A" w:rsidRPr="00173536" w:rsidRDefault="000B4D6A" w:rsidP="00AF7722">
            <w:pPr>
              <w:jc w:val="center"/>
              <w:rPr>
                <w:rFonts w:cstheme="minorHAnsi"/>
                <w:sz w:val="20"/>
                <w:szCs w:val="20"/>
              </w:rPr>
            </w:pPr>
            <w:r w:rsidRPr="00F95097">
              <w:rPr>
                <w:rFonts w:cstheme="minorHAnsi"/>
                <w:sz w:val="20"/>
                <w:szCs w:val="20"/>
                <w:lang w:val="en-US"/>
              </w:rPr>
              <w:t>7.97</w:t>
            </w:r>
          </w:p>
        </w:tc>
        <w:tc>
          <w:tcPr>
            <w:tcW w:w="1207" w:type="dxa"/>
            <w:shd w:val="clear" w:color="auto" w:fill="auto"/>
            <w:vAlign w:val="center"/>
            <w:hideMark/>
          </w:tcPr>
          <w:p w14:paraId="354747B6" w14:textId="77777777" w:rsidR="000B4D6A" w:rsidRPr="00173536" w:rsidRDefault="000B4D6A" w:rsidP="00AF7722">
            <w:pPr>
              <w:jc w:val="center"/>
              <w:rPr>
                <w:rFonts w:cstheme="minorHAnsi"/>
                <w:sz w:val="20"/>
                <w:szCs w:val="20"/>
              </w:rPr>
            </w:pPr>
            <w:r w:rsidRPr="00F95097">
              <w:rPr>
                <w:rFonts w:cstheme="minorHAnsi"/>
                <w:sz w:val="20"/>
                <w:szCs w:val="20"/>
                <w:lang w:val="en-US"/>
              </w:rPr>
              <w:t>8.00</w:t>
            </w:r>
          </w:p>
        </w:tc>
        <w:tc>
          <w:tcPr>
            <w:tcW w:w="1276" w:type="dxa"/>
            <w:shd w:val="clear" w:color="auto" w:fill="auto"/>
            <w:vAlign w:val="center"/>
            <w:hideMark/>
          </w:tcPr>
          <w:p w14:paraId="0A96D6F4" w14:textId="77777777" w:rsidR="000B4D6A" w:rsidRPr="00173536" w:rsidRDefault="000B4D6A" w:rsidP="00AF7722">
            <w:pPr>
              <w:jc w:val="center"/>
              <w:rPr>
                <w:rFonts w:cstheme="minorHAnsi"/>
                <w:sz w:val="20"/>
                <w:szCs w:val="20"/>
              </w:rPr>
            </w:pPr>
            <w:r w:rsidRPr="00F95097">
              <w:rPr>
                <w:rFonts w:cstheme="minorHAnsi"/>
                <w:sz w:val="20"/>
                <w:szCs w:val="20"/>
                <w:lang w:val="en-US"/>
              </w:rPr>
              <w:t>8.02</w:t>
            </w:r>
          </w:p>
        </w:tc>
      </w:tr>
      <w:tr w:rsidR="000B4D6A" w:rsidRPr="00173536" w14:paraId="68B38DC3" w14:textId="77777777" w:rsidTr="00AF7722">
        <w:trPr>
          <w:trHeight w:val="928"/>
        </w:trPr>
        <w:tc>
          <w:tcPr>
            <w:tcW w:w="3260" w:type="dxa"/>
            <w:tcBorders>
              <w:bottom w:val="single" w:sz="8" w:space="0" w:color="808080"/>
            </w:tcBorders>
            <w:shd w:val="clear" w:color="auto" w:fill="auto"/>
            <w:vAlign w:val="center"/>
            <w:hideMark/>
          </w:tcPr>
          <w:p w14:paraId="2424776F" w14:textId="77777777" w:rsidR="000B4D6A" w:rsidRPr="00173536" w:rsidRDefault="000B4D6A" w:rsidP="00AF7722">
            <w:pPr>
              <w:rPr>
                <w:rFonts w:cstheme="minorHAnsi"/>
                <w:sz w:val="20"/>
                <w:szCs w:val="20"/>
              </w:rPr>
            </w:pPr>
            <w:r w:rsidRPr="00F95097">
              <w:rPr>
                <w:rFonts w:cstheme="minorHAnsi"/>
                <w:sz w:val="20"/>
                <w:szCs w:val="20"/>
                <w:lang w:val="en-US"/>
              </w:rPr>
              <w:t>Allopurinol dose, %</w:t>
            </w:r>
          </w:p>
          <w:p w14:paraId="26069440" w14:textId="77777777" w:rsidR="000B4D6A" w:rsidRPr="00173536" w:rsidRDefault="000B4D6A" w:rsidP="00AF7722">
            <w:pPr>
              <w:rPr>
                <w:rFonts w:cstheme="minorHAnsi"/>
                <w:sz w:val="20"/>
                <w:szCs w:val="20"/>
              </w:rPr>
            </w:pPr>
            <w:r w:rsidRPr="00F95097">
              <w:rPr>
                <w:rFonts w:cstheme="minorHAnsi"/>
                <w:sz w:val="20"/>
                <w:szCs w:val="20"/>
                <w:lang w:val="en-US"/>
              </w:rPr>
              <w:t>&lt;300</w:t>
            </w:r>
          </w:p>
          <w:p w14:paraId="65721432" w14:textId="77777777" w:rsidR="000B4D6A" w:rsidRPr="00173536" w:rsidRDefault="000B4D6A" w:rsidP="00AF7722">
            <w:pPr>
              <w:rPr>
                <w:rFonts w:cstheme="minorHAnsi"/>
                <w:sz w:val="20"/>
                <w:szCs w:val="20"/>
              </w:rPr>
            </w:pPr>
            <w:r w:rsidRPr="00F95097">
              <w:rPr>
                <w:rFonts w:cstheme="minorHAnsi"/>
                <w:sz w:val="20"/>
                <w:szCs w:val="20"/>
                <w:lang w:val="en-US"/>
              </w:rPr>
              <w:t>=300</w:t>
            </w:r>
          </w:p>
          <w:p w14:paraId="647D9DCD" w14:textId="77777777" w:rsidR="000B4D6A" w:rsidRPr="00173536" w:rsidRDefault="000B4D6A" w:rsidP="00AF7722">
            <w:pPr>
              <w:rPr>
                <w:rFonts w:cstheme="minorHAnsi"/>
                <w:sz w:val="20"/>
                <w:szCs w:val="20"/>
              </w:rPr>
            </w:pPr>
            <w:r w:rsidRPr="00F95097">
              <w:rPr>
                <w:rFonts w:cstheme="minorHAnsi"/>
                <w:sz w:val="20"/>
                <w:szCs w:val="20"/>
                <w:lang w:val="en-US"/>
              </w:rPr>
              <w:t>&gt;300</w:t>
            </w:r>
          </w:p>
        </w:tc>
        <w:tc>
          <w:tcPr>
            <w:tcW w:w="1416" w:type="dxa"/>
            <w:tcBorders>
              <w:bottom w:val="single" w:sz="8" w:space="0" w:color="808080"/>
            </w:tcBorders>
            <w:shd w:val="clear" w:color="auto" w:fill="auto"/>
            <w:vAlign w:val="bottom"/>
            <w:hideMark/>
          </w:tcPr>
          <w:p w14:paraId="421BA0EE" w14:textId="77777777" w:rsidR="000B4D6A" w:rsidRPr="00173536" w:rsidRDefault="000B4D6A" w:rsidP="00AF7722">
            <w:pPr>
              <w:jc w:val="center"/>
              <w:rPr>
                <w:rFonts w:cstheme="minorHAnsi"/>
                <w:sz w:val="20"/>
                <w:szCs w:val="20"/>
              </w:rPr>
            </w:pPr>
            <w:r w:rsidRPr="00F95097">
              <w:rPr>
                <w:rFonts w:cstheme="minorHAnsi"/>
                <w:sz w:val="20"/>
                <w:szCs w:val="20"/>
                <w:lang w:val="en-US"/>
              </w:rPr>
              <w:t>6</w:t>
            </w:r>
          </w:p>
          <w:p w14:paraId="38F9B409" w14:textId="77777777" w:rsidR="000B4D6A" w:rsidRPr="00173536" w:rsidRDefault="000B4D6A" w:rsidP="00AF7722">
            <w:pPr>
              <w:jc w:val="center"/>
              <w:rPr>
                <w:rFonts w:cstheme="minorHAnsi"/>
                <w:sz w:val="20"/>
                <w:szCs w:val="20"/>
              </w:rPr>
            </w:pPr>
            <w:r w:rsidRPr="00F95097">
              <w:rPr>
                <w:rFonts w:cstheme="minorHAnsi"/>
                <w:sz w:val="20"/>
                <w:szCs w:val="20"/>
                <w:lang w:val="en-US"/>
              </w:rPr>
              <w:t>88</w:t>
            </w:r>
          </w:p>
          <w:p w14:paraId="5E7C947C" w14:textId="77777777" w:rsidR="000B4D6A" w:rsidRPr="00173536" w:rsidRDefault="000B4D6A" w:rsidP="00AF7722">
            <w:pPr>
              <w:jc w:val="center"/>
              <w:rPr>
                <w:rFonts w:cstheme="minorHAnsi"/>
                <w:sz w:val="20"/>
                <w:szCs w:val="20"/>
              </w:rPr>
            </w:pPr>
            <w:r w:rsidRPr="00F95097">
              <w:rPr>
                <w:rFonts w:cstheme="minorHAnsi"/>
                <w:sz w:val="20"/>
                <w:szCs w:val="20"/>
                <w:lang w:val="en-US"/>
              </w:rPr>
              <w:t>7</w:t>
            </w:r>
          </w:p>
        </w:tc>
        <w:tc>
          <w:tcPr>
            <w:tcW w:w="1205" w:type="dxa"/>
            <w:tcBorders>
              <w:bottom w:val="single" w:sz="8" w:space="0" w:color="808080"/>
            </w:tcBorders>
            <w:shd w:val="clear" w:color="auto" w:fill="auto"/>
            <w:vAlign w:val="bottom"/>
            <w:hideMark/>
          </w:tcPr>
          <w:p w14:paraId="6C59435E" w14:textId="77777777" w:rsidR="000B4D6A" w:rsidRPr="00173536" w:rsidRDefault="000B4D6A" w:rsidP="00AF7722">
            <w:pPr>
              <w:jc w:val="center"/>
              <w:rPr>
                <w:rFonts w:cstheme="minorHAnsi"/>
                <w:sz w:val="20"/>
                <w:szCs w:val="20"/>
              </w:rPr>
            </w:pPr>
            <w:r w:rsidRPr="00F95097">
              <w:rPr>
                <w:rFonts w:cstheme="minorHAnsi"/>
                <w:sz w:val="20"/>
                <w:szCs w:val="20"/>
                <w:lang w:val="en-US"/>
              </w:rPr>
              <w:t>3</w:t>
            </w:r>
          </w:p>
          <w:p w14:paraId="377A63B0" w14:textId="77777777" w:rsidR="000B4D6A" w:rsidRPr="00173536" w:rsidRDefault="000B4D6A" w:rsidP="00AF7722">
            <w:pPr>
              <w:jc w:val="center"/>
              <w:rPr>
                <w:rFonts w:cstheme="minorHAnsi"/>
                <w:sz w:val="20"/>
                <w:szCs w:val="20"/>
              </w:rPr>
            </w:pPr>
            <w:r w:rsidRPr="00F95097">
              <w:rPr>
                <w:rFonts w:cstheme="minorHAnsi"/>
                <w:sz w:val="20"/>
                <w:szCs w:val="20"/>
                <w:lang w:val="en-US"/>
              </w:rPr>
              <w:t>93</w:t>
            </w:r>
          </w:p>
          <w:p w14:paraId="6D4F1833" w14:textId="77777777" w:rsidR="000B4D6A" w:rsidRPr="00173536" w:rsidRDefault="000B4D6A" w:rsidP="00AF7722">
            <w:pPr>
              <w:jc w:val="center"/>
              <w:rPr>
                <w:rFonts w:cstheme="minorHAnsi"/>
                <w:sz w:val="20"/>
                <w:szCs w:val="20"/>
              </w:rPr>
            </w:pPr>
            <w:r w:rsidRPr="00F95097">
              <w:rPr>
                <w:rFonts w:cstheme="minorHAnsi"/>
                <w:sz w:val="20"/>
                <w:szCs w:val="20"/>
                <w:lang w:val="en-US"/>
              </w:rPr>
              <w:t>5</w:t>
            </w:r>
          </w:p>
        </w:tc>
        <w:tc>
          <w:tcPr>
            <w:tcW w:w="1207" w:type="dxa"/>
            <w:tcBorders>
              <w:bottom w:val="single" w:sz="8" w:space="0" w:color="808080"/>
            </w:tcBorders>
            <w:shd w:val="clear" w:color="auto" w:fill="auto"/>
            <w:vAlign w:val="bottom"/>
            <w:hideMark/>
          </w:tcPr>
          <w:p w14:paraId="0E603E63" w14:textId="77777777" w:rsidR="000B4D6A" w:rsidRPr="00173536" w:rsidRDefault="000B4D6A" w:rsidP="00AF7722">
            <w:pPr>
              <w:jc w:val="center"/>
              <w:rPr>
                <w:rFonts w:cstheme="minorHAnsi"/>
                <w:sz w:val="20"/>
                <w:szCs w:val="20"/>
              </w:rPr>
            </w:pPr>
            <w:r w:rsidRPr="00F95097">
              <w:rPr>
                <w:rFonts w:cstheme="minorHAnsi"/>
                <w:sz w:val="20"/>
                <w:szCs w:val="20"/>
                <w:lang w:val="en-US"/>
              </w:rPr>
              <w:t>7</w:t>
            </w:r>
          </w:p>
          <w:p w14:paraId="1D461822" w14:textId="77777777" w:rsidR="000B4D6A" w:rsidRPr="00173536" w:rsidRDefault="000B4D6A" w:rsidP="00AF7722">
            <w:pPr>
              <w:jc w:val="center"/>
              <w:rPr>
                <w:rFonts w:cstheme="minorHAnsi"/>
                <w:sz w:val="20"/>
                <w:szCs w:val="20"/>
              </w:rPr>
            </w:pPr>
            <w:r w:rsidRPr="00F95097">
              <w:rPr>
                <w:rFonts w:cstheme="minorHAnsi"/>
                <w:sz w:val="20"/>
                <w:szCs w:val="20"/>
                <w:lang w:val="en-US"/>
              </w:rPr>
              <w:t>85</w:t>
            </w:r>
          </w:p>
          <w:p w14:paraId="2518A4B9" w14:textId="77777777" w:rsidR="000B4D6A" w:rsidRPr="00173536" w:rsidRDefault="000B4D6A" w:rsidP="00AF7722">
            <w:pPr>
              <w:jc w:val="center"/>
              <w:rPr>
                <w:rFonts w:cstheme="minorHAnsi"/>
                <w:sz w:val="20"/>
                <w:szCs w:val="20"/>
              </w:rPr>
            </w:pPr>
            <w:r w:rsidRPr="00F95097">
              <w:rPr>
                <w:rFonts w:cstheme="minorHAnsi"/>
                <w:sz w:val="20"/>
                <w:szCs w:val="20"/>
                <w:lang w:val="en-US"/>
              </w:rPr>
              <w:t>7</w:t>
            </w:r>
          </w:p>
        </w:tc>
        <w:tc>
          <w:tcPr>
            <w:tcW w:w="1276" w:type="dxa"/>
            <w:tcBorders>
              <w:bottom w:val="single" w:sz="8" w:space="0" w:color="808080"/>
            </w:tcBorders>
            <w:shd w:val="clear" w:color="auto" w:fill="auto"/>
            <w:vAlign w:val="bottom"/>
            <w:hideMark/>
          </w:tcPr>
          <w:p w14:paraId="3D7414EA" w14:textId="77777777" w:rsidR="000B4D6A" w:rsidRPr="00173536" w:rsidRDefault="000B4D6A" w:rsidP="00AF7722">
            <w:pPr>
              <w:jc w:val="center"/>
              <w:rPr>
                <w:rFonts w:cstheme="minorHAnsi"/>
                <w:sz w:val="20"/>
                <w:szCs w:val="20"/>
              </w:rPr>
            </w:pPr>
            <w:r w:rsidRPr="00F95097">
              <w:rPr>
                <w:rFonts w:cstheme="minorHAnsi"/>
                <w:sz w:val="20"/>
                <w:szCs w:val="20"/>
                <w:lang w:val="en-US"/>
              </w:rPr>
              <w:t>7</w:t>
            </w:r>
          </w:p>
          <w:p w14:paraId="29532854" w14:textId="77777777" w:rsidR="000B4D6A" w:rsidRPr="00173536" w:rsidRDefault="000B4D6A" w:rsidP="00AF7722">
            <w:pPr>
              <w:jc w:val="center"/>
              <w:rPr>
                <w:rFonts w:cstheme="minorHAnsi"/>
                <w:sz w:val="20"/>
                <w:szCs w:val="20"/>
              </w:rPr>
            </w:pPr>
            <w:r w:rsidRPr="00F95097">
              <w:rPr>
                <w:rFonts w:cstheme="minorHAnsi"/>
                <w:sz w:val="20"/>
                <w:szCs w:val="20"/>
                <w:lang w:val="en-US"/>
              </w:rPr>
              <w:t>82</w:t>
            </w:r>
          </w:p>
          <w:p w14:paraId="763EF7C1" w14:textId="77777777" w:rsidR="000B4D6A" w:rsidRPr="00173536" w:rsidRDefault="000B4D6A" w:rsidP="00AF7722">
            <w:pPr>
              <w:jc w:val="center"/>
              <w:rPr>
                <w:rFonts w:cstheme="minorHAnsi"/>
                <w:sz w:val="20"/>
                <w:szCs w:val="20"/>
              </w:rPr>
            </w:pPr>
            <w:r w:rsidRPr="00F95097">
              <w:rPr>
                <w:rFonts w:cstheme="minorHAnsi"/>
                <w:sz w:val="20"/>
                <w:szCs w:val="20"/>
                <w:lang w:val="en-US"/>
              </w:rPr>
              <w:t>11</w:t>
            </w:r>
          </w:p>
        </w:tc>
      </w:tr>
      <w:tr w:rsidR="000B4D6A" w:rsidRPr="00173536" w14:paraId="4B588B18" w14:textId="77777777" w:rsidTr="00AF7722">
        <w:trPr>
          <w:trHeight w:val="928"/>
        </w:trPr>
        <w:tc>
          <w:tcPr>
            <w:tcW w:w="3260" w:type="dxa"/>
            <w:tcBorders>
              <w:top w:val="single" w:sz="8" w:space="0" w:color="808080"/>
              <w:bottom w:val="single" w:sz="18" w:space="0" w:color="44546A"/>
            </w:tcBorders>
            <w:shd w:val="clear" w:color="auto" w:fill="auto"/>
            <w:vAlign w:val="center"/>
            <w:hideMark/>
          </w:tcPr>
          <w:p w14:paraId="4B526C59" w14:textId="77777777" w:rsidR="000B4D6A" w:rsidRPr="00173536" w:rsidRDefault="000B4D6A" w:rsidP="00AF7722">
            <w:pPr>
              <w:rPr>
                <w:rFonts w:cstheme="minorHAnsi"/>
                <w:sz w:val="20"/>
                <w:szCs w:val="20"/>
              </w:rPr>
            </w:pPr>
            <w:r w:rsidRPr="00F95097">
              <w:rPr>
                <w:rFonts w:cstheme="minorHAnsi"/>
                <w:sz w:val="20"/>
                <w:szCs w:val="20"/>
                <w:lang w:val="en-US"/>
              </w:rPr>
              <w:t>Comorbidity, %</w:t>
            </w:r>
          </w:p>
          <w:p w14:paraId="34136B7F" w14:textId="77777777" w:rsidR="000B4D6A" w:rsidRPr="00173536" w:rsidRDefault="000B4D6A" w:rsidP="00AF7722">
            <w:pPr>
              <w:rPr>
                <w:rFonts w:cstheme="minorHAnsi"/>
                <w:sz w:val="20"/>
                <w:szCs w:val="20"/>
              </w:rPr>
            </w:pPr>
            <w:r w:rsidRPr="00F95097">
              <w:rPr>
                <w:rFonts w:cstheme="minorHAnsi"/>
                <w:sz w:val="20"/>
                <w:szCs w:val="20"/>
                <w:lang w:val="en-US"/>
              </w:rPr>
              <w:t>≥1 comorbidity</w:t>
            </w:r>
          </w:p>
          <w:p w14:paraId="680FC6D1" w14:textId="77777777" w:rsidR="000B4D6A" w:rsidRPr="00173536" w:rsidRDefault="000B4D6A" w:rsidP="00AF7722">
            <w:pPr>
              <w:rPr>
                <w:rFonts w:cstheme="minorHAnsi"/>
                <w:sz w:val="20"/>
                <w:szCs w:val="20"/>
              </w:rPr>
            </w:pPr>
            <w:r w:rsidRPr="00F95097">
              <w:rPr>
                <w:rFonts w:cstheme="minorHAnsi"/>
                <w:sz w:val="20"/>
                <w:szCs w:val="20"/>
                <w:lang w:val="en-US"/>
              </w:rPr>
              <w:t>≥2 comorbidity</w:t>
            </w:r>
          </w:p>
          <w:p w14:paraId="404B3E68" w14:textId="77777777" w:rsidR="000B4D6A" w:rsidRPr="00173536" w:rsidRDefault="000B4D6A" w:rsidP="00AF7722">
            <w:pPr>
              <w:rPr>
                <w:rFonts w:cstheme="minorHAnsi"/>
                <w:sz w:val="20"/>
                <w:szCs w:val="20"/>
              </w:rPr>
            </w:pPr>
            <w:r w:rsidRPr="00F95097">
              <w:rPr>
                <w:rFonts w:cstheme="minorHAnsi"/>
                <w:sz w:val="20"/>
                <w:szCs w:val="20"/>
                <w:lang w:val="en-US"/>
              </w:rPr>
              <w:t>≥3 comorbidity</w:t>
            </w:r>
          </w:p>
        </w:tc>
        <w:tc>
          <w:tcPr>
            <w:tcW w:w="1416" w:type="dxa"/>
            <w:tcBorders>
              <w:top w:val="single" w:sz="8" w:space="0" w:color="808080"/>
              <w:bottom w:val="single" w:sz="18" w:space="0" w:color="44546A"/>
            </w:tcBorders>
            <w:shd w:val="clear" w:color="auto" w:fill="auto"/>
            <w:vAlign w:val="bottom"/>
            <w:hideMark/>
          </w:tcPr>
          <w:p w14:paraId="21A5E6A3" w14:textId="77777777" w:rsidR="000B4D6A" w:rsidRPr="00173536" w:rsidRDefault="000B4D6A" w:rsidP="00AF7722">
            <w:pPr>
              <w:jc w:val="center"/>
              <w:rPr>
                <w:rFonts w:cstheme="minorHAnsi"/>
                <w:sz w:val="20"/>
                <w:szCs w:val="20"/>
              </w:rPr>
            </w:pPr>
            <w:r w:rsidRPr="00F95097">
              <w:rPr>
                <w:rFonts w:cstheme="minorHAnsi"/>
                <w:sz w:val="20"/>
                <w:szCs w:val="20"/>
                <w:lang w:val="en-US"/>
              </w:rPr>
              <w:t>83</w:t>
            </w:r>
          </w:p>
          <w:p w14:paraId="748DC04C" w14:textId="77777777" w:rsidR="000B4D6A" w:rsidRPr="00173536" w:rsidRDefault="000B4D6A" w:rsidP="00AF7722">
            <w:pPr>
              <w:jc w:val="center"/>
              <w:rPr>
                <w:rFonts w:cstheme="minorHAnsi"/>
                <w:sz w:val="20"/>
                <w:szCs w:val="20"/>
              </w:rPr>
            </w:pPr>
            <w:r w:rsidRPr="00F95097">
              <w:rPr>
                <w:rFonts w:cstheme="minorHAnsi"/>
                <w:sz w:val="20"/>
                <w:szCs w:val="20"/>
                <w:lang w:val="en-US"/>
              </w:rPr>
              <w:t>50</w:t>
            </w:r>
          </w:p>
          <w:p w14:paraId="7D170F94" w14:textId="77777777" w:rsidR="000B4D6A" w:rsidRPr="00173536" w:rsidRDefault="000B4D6A" w:rsidP="00AF7722">
            <w:pPr>
              <w:jc w:val="center"/>
              <w:rPr>
                <w:rFonts w:cstheme="minorHAnsi"/>
                <w:sz w:val="20"/>
                <w:szCs w:val="20"/>
              </w:rPr>
            </w:pPr>
            <w:r w:rsidRPr="00F95097">
              <w:rPr>
                <w:rFonts w:cstheme="minorHAnsi"/>
                <w:sz w:val="20"/>
                <w:szCs w:val="20"/>
                <w:lang w:val="en-US"/>
              </w:rPr>
              <w:t>30</w:t>
            </w:r>
          </w:p>
        </w:tc>
        <w:tc>
          <w:tcPr>
            <w:tcW w:w="1205" w:type="dxa"/>
            <w:tcBorders>
              <w:top w:val="single" w:sz="8" w:space="0" w:color="808080"/>
              <w:bottom w:val="single" w:sz="18" w:space="0" w:color="44546A"/>
            </w:tcBorders>
            <w:shd w:val="clear" w:color="auto" w:fill="auto"/>
            <w:vAlign w:val="bottom"/>
            <w:hideMark/>
          </w:tcPr>
          <w:p w14:paraId="78BD9739" w14:textId="77777777" w:rsidR="000B4D6A" w:rsidRPr="00173536" w:rsidRDefault="000B4D6A" w:rsidP="00AF7722">
            <w:pPr>
              <w:jc w:val="center"/>
              <w:rPr>
                <w:rFonts w:cstheme="minorHAnsi"/>
                <w:sz w:val="20"/>
                <w:szCs w:val="20"/>
              </w:rPr>
            </w:pPr>
            <w:r w:rsidRPr="00F95097">
              <w:rPr>
                <w:rFonts w:cstheme="minorHAnsi"/>
                <w:sz w:val="20"/>
                <w:szCs w:val="20"/>
                <w:lang w:val="en-US"/>
              </w:rPr>
              <w:t>80</w:t>
            </w:r>
          </w:p>
          <w:p w14:paraId="1C5F6CA8" w14:textId="77777777" w:rsidR="000B4D6A" w:rsidRPr="00173536" w:rsidRDefault="000B4D6A" w:rsidP="00AF7722">
            <w:pPr>
              <w:jc w:val="center"/>
              <w:rPr>
                <w:rFonts w:cstheme="minorHAnsi"/>
                <w:sz w:val="20"/>
                <w:szCs w:val="20"/>
              </w:rPr>
            </w:pPr>
            <w:r w:rsidRPr="00F95097">
              <w:rPr>
                <w:rFonts w:cstheme="minorHAnsi"/>
                <w:sz w:val="20"/>
                <w:szCs w:val="20"/>
                <w:lang w:val="en-US"/>
              </w:rPr>
              <w:t>53</w:t>
            </w:r>
          </w:p>
          <w:p w14:paraId="13D821C1" w14:textId="77777777" w:rsidR="000B4D6A" w:rsidRPr="00173536" w:rsidRDefault="000B4D6A" w:rsidP="00AF7722">
            <w:pPr>
              <w:jc w:val="center"/>
              <w:rPr>
                <w:rFonts w:cstheme="minorHAnsi"/>
                <w:sz w:val="20"/>
                <w:szCs w:val="20"/>
              </w:rPr>
            </w:pPr>
            <w:r w:rsidRPr="00F95097">
              <w:rPr>
                <w:rFonts w:cstheme="minorHAnsi"/>
                <w:sz w:val="20"/>
                <w:szCs w:val="20"/>
                <w:lang w:val="en-US"/>
              </w:rPr>
              <w:t>31</w:t>
            </w:r>
          </w:p>
        </w:tc>
        <w:tc>
          <w:tcPr>
            <w:tcW w:w="1207" w:type="dxa"/>
            <w:tcBorders>
              <w:top w:val="single" w:sz="8" w:space="0" w:color="808080"/>
              <w:bottom w:val="single" w:sz="18" w:space="0" w:color="44546A"/>
            </w:tcBorders>
            <w:shd w:val="clear" w:color="auto" w:fill="auto"/>
            <w:vAlign w:val="bottom"/>
            <w:hideMark/>
          </w:tcPr>
          <w:p w14:paraId="6593AFD8" w14:textId="77777777" w:rsidR="000B4D6A" w:rsidRPr="00173536" w:rsidRDefault="000B4D6A" w:rsidP="00AF7722">
            <w:pPr>
              <w:jc w:val="center"/>
              <w:rPr>
                <w:rFonts w:cstheme="minorHAnsi"/>
                <w:sz w:val="20"/>
                <w:szCs w:val="20"/>
              </w:rPr>
            </w:pPr>
            <w:r w:rsidRPr="00F95097">
              <w:rPr>
                <w:rFonts w:cstheme="minorHAnsi"/>
                <w:sz w:val="20"/>
                <w:szCs w:val="20"/>
                <w:lang w:val="en-US"/>
              </w:rPr>
              <w:t>80</w:t>
            </w:r>
          </w:p>
          <w:p w14:paraId="6DCDDD4A" w14:textId="77777777" w:rsidR="000B4D6A" w:rsidRPr="00173536" w:rsidRDefault="000B4D6A" w:rsidP="00AF7722">
            <w:pPr>
              <w:jc w:val="center"/>
              <w:rPr>
                <w:rFonts w:cstheme="minorHAnsi"/>
                <w:sz w:val="20"/>
                <w:szCs w:val="20"/>
              </w:rPr>
            </w:pPr>
            <w:r w:rsidRPr="00F95097">
              <w:rPr>
                <w:rFonts w:cstheme="minorHAnsi"/>
                <w:sz w:val="20"/>
                <w:szCs w:val="20"/>
                <w:lang w:val="en-US"/>
              </w:rPr>
              <w:t>46</w:t>
            </w:r>
          </w:p>
          <w:p w14:paraId="0DAF4856" w14:textId="77777777" w:rsidR="000B4D6A" w:rsidRPr="00173536" w:rsidRDefault="000B4D6A" w:rsidP="00AF7722">
            <w:pPr>
              <w:jc w:val="center"/>
              <w:rPr>
                <w:rFonts w:cstheme="minorHAnsi"/>
                <w:sz w:val="20"/>
                <w:szCs w:val="20"/>
              </w:rPr>
            </w:pPr>
            <w:r w:rsidRPr="00F95097">
              <w:rPr>
                <w:rFonts w:cstheme="minorHAnsi"/>
                <w:sz w:val="20"/>
                <w:szCs w:val="20"/>
                <w:lang w:val="en-US"/>
              </w:rPr>
              <w:t>17</w:t>
            </w:r>
          </w:p>
        </w:tc>
        <w:tc>
          <w:tcPr>
            <w:tcW w:w="1276" w:type="dxa"/>
            <w:tcBorders>
              <w:top w:val="single" w:sz="8" w:space="0" w:color="808080"/>
              <w:bottom w:val="single" w:sz="18" w:space="0" w:color="44546A"/>
            </w:tcBorders>
            <w:shd w:val="clear" w:color="auto" w:fill="auto"/>
            <w:vAlign w:val="bottom"/>
            <w:hideMark/>
          </w:tcPr>
          <w:p w14:paraId="1876C6D0" w14:textId="77777777" w:rsidR="000B4D6A" w:rsidRPr="00173536" w:rsidRDefault="000B4D6A" w:rsidP="00AF7722">
            <w:pPr>
              <w:jc w:val="center"/>
              <w:rPr>
                <w:rFonts w:cstheme="minorHAnsi"/>
                <w:sz w:val="20"/>
                <w:szCs w:val="20"/>
              </w:rPr>
            </w:pPr>
            <w:r w:rsidRPr="00F95097">
              <w:rPr>
                <w:rFonts w:cstheme="minorHAnsi"/>
                <w:sz w:val="20"/>
                <w:szCs w:val="20"/>
                <w:lang w:val="en-US"/>
              </w:rPr>
              <w:t>78</w:t>
            </w:r>
          </w:p>
          <w:p w14:paraId="1FB5DC8D" w14:textId="77777777" w:rsidR="000B4D6A" w:rsidRPr="00173536" w:rsidRDefault="000B4D6A" w:rsidP="00AF7722">
            <w:pPr>
              <w:jc w:val="center"/>
              <w:rPr>
                <w:rFonts w:cstheme="minorHAnsi"/>
                <w:sz w:val="20"/>
                <w:szCs w:val="20"/>
              </w:rPr>
            </w:pPr>
            <w:r w:rsidRPr="00F95097">
              <w:rPr>
                <w:rFonts w:cstheme="minorHAnsi"/>
                <w:sz w:val="20"/>
                <w:szCs w:val="20"/>
                <w:lang w:val="en-US"/>
              </w:rPr>
              <w:t>45</w:t>
            </w:r>
          </w:p>
          <w:p w14:paraId="1EDACF89" w14:textId="77777777" w:rsidR="000B4D6A" w:rsidRPr="00173536" w:rsidRDefault="000B4D6A" w:rsidP="00AF7722">
            <w:pPr>
              <w:jc w:val="center"/>
              <w:rPr>
                <w:rFonts w:cstheme="minorHAnsi"/>
                <w:sz w:val="20"/>
                <w:szCs w:val="20"/>
              </w:rPr>
            </w:pPr>
            <w:r w:rsidRPr="00F95097">
              <w:rPr>
                <w:rFonts w:cstheme="minorHAnsi"/>
                <w:sz w:val="20"/>
                <w:szCs w:val="20"/>
                <w:lang w:val="en-US"/>
              </w:rPr>
              <w:t>24</w:t>
            </w:r>
          </w:p>
        </w:tc>
      </w:tr>
    </w:tbl>
    <w:p w14:paraId="1EDCE6C5" w14:textId="77777777" w:rsidR="000B4D6A" w:rsidRPr="00173536" w:rsidRDefault="000B4D6A" w:rsidP="000B4D6A">
      <w:pPr>
        <w:rPr>
          <w:rFonts w:cstheme="minorHAnsi"/>
          <w:sz w:val="20"/>
          <w:szCs w:val="20"/>
        </w:rPr>
      </w:pPr>
    </w:p>
    <w:p w14:paraId="1B8DDF3F" w14:textId="68644184" w:rsidR="000B4D6A" w:rsidRPr="00F62E7C" w:rsidRDefault="000B4D6A" w:rsidP="000210A2">
      <w:pPr>
        <w:spacing w:line="360" w:lineRule="auto"/>
        <w:rPr>
          <w:rFonts w:cs="Arial"/>
          <w:sz w:val="20"/>
          <w:szCs w:val="20"/>
        </w:rPr>
      </w:pPr>
      <w:r w:rsidRPr="00F62E7C">
        <w:rPr>
          <w:rFonts w:cs="Arial"/>
          <w:sz w:val="20"/>
          <w:szCs w:val="20"/>
        </w:rPr>
        <w:t>Negli studi CLEAR l</w:t>
      </w:r>
      <w:r w:rsidRPr="00AB3235">
        <w:rPr>
          <w:rFonts w:cs="Arial"/>
          <w:b/>
          <w:sz w:val="20"/>
          <w:szCs w:val="20"/>
        </w:rPr>
        <w:t>esinurad in associazione ad allopurino ha dimostrato la propria superiore efficacia rispetto ad allopurinolo in monoterapia, raddoppiando il numero di pazienti a target al 6° mese</w:t>
      </w:r>
      <w:r w:rsidRPr="00F62E7C">
        <w:rPr>
          <w:rFonts w:cs="Arial"/>
          <w:sz w:val="20"/>
          <w:szCs w:val="20"/>
        </w:rPr>
        <w:t xml:space="preserve"> (pazienti che hanno raggiunto livelli </w:t>
      </w:r>
      <w:r w:rsidR="005848A1">
        <w:rPr>
          <w:rFonts w:cs="Arial"/>
          <w:sz w:val="20"/>
          <w:szCs w:val="20"/>
        </w:rPr>
        <w:t>sUA</w:t>
      </w:r>
      <w:r>
        <w:rPr>
          <w:rFonts w:cs="Arial"/>
          <w:sz w:val="20"/>
          <w:szCs w:val="20"/>
        </w:rPr>
        <w:t>&lt;6 mg/dl)</w:t>
      </w:r>
      <w:r w:rsidRPr="00F62E7C">
        <w:rPr>
          <w:rFonts w:cs="Arial"/>
          <w:sz w:val="20"/>
          <w:szCs w:val="20"/>
        </w:rPr>
        <w:t xml:space="preserve">. In particolare nel confronto tra LESU200+ALLO e PBO+ALLO il target è stato raggiunto </w:t>
      </w:r>
      <w:r>
        <w:rPr>
          <w:rFonts w:cs="Arial"/>
          <w:sz w:val="20"/>
          <w:szCs w:val="20"/>
        </w:rPr>
        <w:t xml:space="preserve">nei pazienti LESU200+ALLO nel </w:t>
      </w:r>
      <w:r w:rsidR="009E2811">
        <w:rPr>
          <w:rFonts w:cs="Arial"/>
          <w:sz w:val="20"/>
          <w:szCs w:val="20"/>
        </w:rPr>
        <w:t xml:space="preserve">54,8 </w:t>
      </w:r>
      <w:r>
        <w:rPr>
          <w:rFonts w:cs="Arial"/>
          <w:sz w:val="20"/>
          <w:szCs w:val="20"/>
        </w:rPr>
        <w:t>% versus</w:t>
      </w:r>
      <w:r w:rsidRPr="00F62E7C">
        <w:rPr>
          <w:rFonts w:cs="Arial"/>
          <w:sz w:val="20"/>
          <w:szCs w:val="20"/>
        </w:rPr>
        <w:t xml:space="preserve"> </w:t>
      </w:r>
      <w:r w:rsidR="009E2811">
        <w:rPr>
          <w:rFonts w:cs="Arial"/>
          <w:sz w:val="20"/>
          <w:szCs w:val="20"/>
        </w:rPr>
        <w:t xml:space="preserve">25,6 </w:t>
      </w:r>
      <w:r w:rsidRPr="00F62E7C">
        <w:rPr>
          <w:rFonts w:cs="Arial"/>
          <w:sz w:val="20"/>
          <w:szCs w:val="20"/>
        </w:rPr>
        <w:t xml:space="preserve">% </w:t>
      </w:r>
      <w:r>
        <w:rPr>
          <w:rFonts w:cs="Arial"/>
          <w:sz w:val="20"/>
          <w:szCs w:val="20"/>
        </w:rPr>
        <w:t>n</w:t>
      </w:r>
      <w:r w:rsidRPr="00F62E7C">
        <w:rPr>
          <w:rFonts w:cs="Arial"/>
          <w:sz w:val="20"/>
          <w:szCs w:val="20"/>
        </w:rPr>
        <w:t>ei pazienti PBO+ALLO (</w:t>
      </w:r>
      <w:r w:rsidR="009E2811">
        <w:rPr>
          <w:rFonts w:cs="Arial"/>
          <w:sz w:val="20"/>
          <w:szCs w:val="20"/>
        </w:rPr>
        <w:t>Analisi NRI, popolazione ITT; p</w:t>
      </w:r>
      <w:r w:rsidRPr="00F62E7C">
        <w:rPr>
          <w:rFonts w:cs="Arial"/>
          <w:sz w:val="20"/>
          <w:szCs w:val="20"/>
        </w:rPr>
        <w:t xml:space="preserve"> &lt;0.0001).</w:t>
      </w:r>
    </w:p>
    <w:p w14:paraId="2CBA38E6" w14:textId="24001AEA" w:rsidR="000B4D6A" w:rsidRDefault="000B4D6A" w:rsidP="000210A2">
      <w:pPr>
        <w:spacing w:line="360" w:lineRule="auto"/>
        <w:rPr>
          <w:rFonts w:cs="Arial"/>
          <w:sz w:val="20"/>
          <w:szCs w:val="20"/>
        </w:rPr>
      </w:pPr>
      <w:r w:rsidRPr="00F62E7C">
        <w:rPr>
          <w:rFonts w:cs="Arial"/>
          <w:sz w:val="20"/>
          <w:szCs w:val="20"/>
        </w:rPr>
        <w:t xml:space="preserve">La </w:t>
      </w:r>
      <w:hyperlink w:anchor="Figura35" w:history="1">
        <w:r w:rsidR="0079658A" w:rsidRPr="0079658A">
          <w:rPr>
            <w:rStyle w:val="Hyperlink"/>
            <w:rFonts w:cs="Arial"/>
            <w:sz w:val="20"/>
            <w:szCs w:val="20"/>
          </w:rPr>
          <w:t>Figura 35</w:t>
        </w:r>
      </w:hyperlink>
      <w:r w:rsidRPr="00F62E7C">
        <w:rPr>
          <w:rFonts w:cs="Arial"/>
          <w:sz w:val="20"/>
          <w:szCs w:val="20"/>
        </w:rPr>
        <w:t xml:space="preserve"> illustra il valore medio di </w:t>
      </w:r>
      <w:r w:rsidR="005848A1">
        <w:rPr>
          <w:rFonts w:cs="Arial"/>
          <w:sz w:val="20"/>
          <w:szCs w:val="20"/>
        </w:rPr>
        <w:t>sUA</w:t>
      </w:r>
      <w:r w:rsidRPr="00F62E7C">
        <w:rPr>
          <w:rFonts w:cs="Arial"/>
          <w:sz w:val="20"/>
          <w:szCs w:val="20"/>
        </w:rPr>
        <w:t xml:space="preserve"> rispetto al target, raggiunto ad ogni visita dai dati pooled dei 2 studi CLEAR nel confronto tra i gruppi LESU200+ALLO e PBO+ALLO.</w:t>
      </w:r>
    </w:p>
    <w:p w14:paraId="7F258E31" w14:textId="785162A0" w:rsidR="000B4D6A" w:rsidRDefault="000B4D6A" w:rsidP="000210A2">
      <w:pPr>
        <w:spacing w:line="360" w:lineRule="auto"/>
        <w:rPr>
          <w:rFonts w:cs="Arial"/>
          <w:sz w:val="20"/>
          <w:szCs w:val="20"/>
        </w:rPr>
      </w:pPr>
      <w:r w:rsidRPr="00C1448B">
        <w:rPr>
          <w:rFonts w:cs="Arial"/>
          <w:sz w:val="20"/>
          <w:szCs w:val="20"/>
        </w:rPr>
        <w:t xml:space="preserve">Si rileva che l’effetto di lesinurad è stato </w:t>
      </w:r>
      <w:r w:rsidRPr="00AB3235">
        <w:rPr>
          <w:rFonts w:cs="Arial"/>
          <w:b/>
          <w:sz w:val="20"/>
          <w:szCs w:val="20"/>
        </w:rPr>
        <w:t>molto rapido</w:t>
      </w:r>
      <w:r w:rsidRPr="00C1448B">
        <w:rPr>
          <w:rFonts w:cs="Arial"/>
          <w:sz w:val="20"/>
          <w:szCs w:val="20"/>
        </w:rPr>
        <w:t xml:space="preserve">, con una forte e statisticamente significativa riduzione del livello </w:t>
      </w:r>
      <w:r w:rsidR="005848A1">
        <w:rPr>
          <w:rFonts w:cs="Arial"/>
          <w:sz w:val="20"/>
          <w:szCs w:val="20"/>
        </w:rPr>
        <w:t>sUA</w:t>
      </w:r>
      <w:r w:rsidRPr="00C1448B">
        <w:rPr>
          <w:rFonts w:cs="Arial"/>
          <w:sz w:val="20"/>
          <w:szCs w:val="20"/>
        </w:rPr>
        <w:t xml:space="preserve"> già dal primo mese di assunzione.</w:t>
      </w:r>
      <w:r w:rsidRPr="00F62E7C">
        <w:rPr>
          <w:rFonts w:cs="Arial"/>
          <w:sz w:val="20"/>
          <w:szCs w:val="20"/>
        </w:rPr>
        <w:t xml:space="preserve"> Inoltre, le variazioni percentuali medie dei livelli </w:t>
      </w:r>
      <w:r w:rsidR="005848A1">
        <w:rPr>
          <w:rFonts w:cs="Arial"/>
          <w:sz w:val="20"/>
          <w:szCs w:val="20"/>
        </w:rPr>
        <w:t>sUA</w:t>
      </w:r>
      <w:r>
        <w:rPr>
          <w:rFonts w:cs="Arial"/>
          <w:sz w:val="20"/>
          <w:szCs w:val="20"/>
        </w:rPr>
        <w:t xml:space="preserve"> rispetto alla baseline</w:t>
      </w:r>
      <w:r w:rsidRPr="00F62E7C">
        <w:rPr>
          <w:rFonts w:cs="Arial"/>
          <w:sz w:val="20"/>
          <w:szCs w:val="20"/>
        </w:rPr>
        <w:t xml:space="preserve"> ottenute nel gruppo LESU200+ALLO </w:t>
      </w:r>
      <w:r>
        <w:rPr>
          <w:rFonts w:cs="Arial"/>
          <w:sz w:val="20"/>
          <w:szCs w:val="20"/>
        </w:rPr>
        <w:t>si sono mantenute</w:t>
      </w:r>
      <w:r w:rsidRPr="00F62E7C">
        <w:rPr>
          <w:rFonts w:cs="Arial"/>
          <w:sz w:val="20"/>
          <w:szCs w:val="20"/>
        </w:rPr>
        <w:t xml:space="preserve"> sempre significativamente superiori a quelle ottenute nel gruppo PBO+ALLO, in tutti i punti temporali dell’analisi (p &lt;0.0001 per tutti i confronti) (</w:t>
      </w:r>
      <w:hyperlink w:anchor="Figura35" w:history="1">
        <w:r w:rsidRPr="0079658A">
          <w:rPr>
            <w:rStyle w:val="Hyperlink"/>
            <w:rFonts w:cs="Arial"/>
            <w:sz w:val="20"/>
            <w:szCs w:val="20"/>
          </w:rPr>
          <w:t xml:space="preserve">Figura </w:t>
        </w:r>
        <w:r w:rsidR="00CF13DF" w:rsidRPr="0079658A">
          <w:rPr>
            <w:rStyle w:val="Hyperlink"/>
            <w:rFonts w:cs="Arial"/>
            <w:sz w:val="20"/>
            <w:szCs w:val="20"/>
          </w:rPr>
          <w:t>3</w:t>
        </w:r>
        <w:r w:rsidR="0079658A" w:rsidRPr="0079658A">
          <w:rPr>
            <w:rStyle w:val="Hyperlink"/>
            <w:rFonts w:cs="Arial"/>
            <w:sz w:val="20"/>
            <w:szCs w:val="20"/>
          </w:rPr>
          <w:t>5</w:t>
        </w:r>
      </w:hyperlink>
      <w:r w:rsidRPr="00F62E7C">
        <w:rPr>
          <w:rFonts w:cs="Arial"/>
          <w:sz w:val="20"/>
          <w:szCs w:val="20"/>
        </w:rPr>
        <w:t>).</w:t>
      </w:r>
    </w:p>
    <w:p w14:paraId="5ECCE84F" w14:textId="77777777" w:rsidR="000B4D6A" w:rsidRDefault="000B4D6A" w:rsidP="000210A2">
      <w:pPr>
        <w:spacing w:line="360" w:lineRule="auto"/>
        <w:rPr>
          <w:rFonts w:cs="Arial"/>
          <w:b/>
          <w:sz w:val="20"/>
          <w:szCs w:val="20"/>
        </w:rPr>
      </w:pPr>
      <w:r w:rsidRPr="00C1448B">
        <w:rPr>
          <w:rFonts w:cs="Arial"/>
          <w:b/>
          <w:sz w:val="20"/>
          <w:szCs w:val="20"/>
        </w:rPr>
        <w:t>L'effetto di riduzione dell’uricemia è massimo dopo il primo mese e rimane costante durante tutto il periodo di studio di 12 mesi</w:t>
      </w:r>
      <w:r>
        <w:rPr>
          <w:rFonts w:cs="Arial"/>
          <w:b/>
          <w:sz w:val="20"/>
          <w:szCs w:val="20"/>
        </w:rPr>
        <w:t>.</w:t>
      </w:r>
    </w:p>
    <w:p w14:paraId="75F8F7F0" w14:textId="77777777" w:rsidR="000B4D6A" w:rsidRPr="00F62E7C" w:rsidRDefault="000B4D6A" w:rsidP="000210A2">
      <w:pPr>
        <w:spacing w:line="360" w:lineRule="auto"/>
        <w:rPr>
          <w:rFonts w:cs="Arial"/>
          <w:sz w:val="20"/>
          <w:szCs w:val="20"/>
        </w:rPr>
      </w:pPr>
    </w:p>
    <w:p w14:paraId="6B4C98D6" w14:textId="3C2AF7FB" w:rsidR="000B4D6A" w:rsidRPr="00302C92" w:rsidRDefault="000B4D6A" w:rsidP="000B4D6A">
      <w:pPr>
        <w:pStyle w:val="Caption"/>
        <w:rPr>
          <w:rFonts w:asciiTheme="minorHAnsi" w:hAnsiTheme="minorHAnsi" w:cstheme="minorHAnsi"/>
          <w:lang w:val="it-IT"/>
        </w:rPr>
      </w:pPr>
      <w:bookmarkStart w:id="152" w:name="Figura35"/>
      <w:bookmarkStart w:id="153" w:name="_Toc473186930"/>
      <w:bookmarkEnd w:id="152"/>
      <w:r w:rsidRPr="00302C92">
        <w:rPr>
          <w:rFonts w:asciiTheme="minorHAnsi" w:hAnsiTheme="minorHAnsi" w:cstheme="minorHAnsi"/>
          <w:lang w:val="it-IT"/>
        </w:rPr>
        <w:t>Fig</w:t>
      </w:r>
      <w:bookmarkStart w:id="154" w:name="Figura33"/>
      <w:bookmarkEnd w:id="154"/>
      <w:r w:rsidRPr="00302C92">
        <w:rPr>
          <w:rFonts w:asciiTheme="minorHAnsi" w:hAnsiTheme="minorHAnsi" w:cstheme="minorHAnsi"/>
          <w:lang w:val="it-IT"/>
        </w:rPr>
        <w:t xml:space="preserve">ura </w:t>
      </w:r>
      <w:r w:rsidRPr="00302C92">
        <w:rPr>
          <w:rFonts w:asciiTheme="minorHAnsi" w:hAnsiTheme="minorHAnsi" w:cstheme="minorHAnsi"/>
        </w:rPr>
        <w:fldChar w:fldCharType="begin"/>
      </w:r>
      <w:r w:rsidRPr="00302C92">
        <w:rPr>
          <w:rFonts w:asciiTheme="minorHAnsi" w:hAnsiTheme="minorHAnsi" w:cstheme="minorHAnsi"/>
          <w:lang w:val="it-IT"/>
        </w:rPr>
        <w:instrText xml:space="preserve"> SEQ Figura \* ARABIC </w:instrText>
      </w:r>
      <w:r w:rsidRPr="00302C92">
        <w:rPr>
          <w:rFonts w:asciiTheme="minorHAnsi" w:hAnsiTheme="minorHAnsi" w:cstheme="minorHAnsi"/>
        </w:rPr>
        <w:fldChar w:fldCharType="separate"/>
      </w:r>
      <w:r w:rsidR="00A1679C">
        <w:rPr>
          <w:rFonts w:asciiTheme="minorHAnsi" w:hAnsiTheme="minorHAnsi" w:cstheme="minorHAnsi"/>
          <w:noProof/>
          <w:lang w:val="it-IT"/>
        </w:rPr>
        <w:t>35</w:t>
      </w:r>
      <w:r w:rsidRPr="00302C92">
        <w:rPr>
          <w:rFonts w:asciiTheme="minorHAnsi" w:hAnsiTheme="minorHAnsi" w:cstheme="minorHAnsi"/>
        </w:rPr>
        <w:fldChar w:fldCharType="end"/>
      </w:r>
      <w:r w:rsidRPr="00302C92">
        <w:rPr>
          <w:rFonts w:asciiTheme="minorHAnsi" w:hAnsiTheme="minorHAnsi" w:cstheme="minorHAnsi"/>
          <w:lang w:val="it-IT"/>
        </w:rPr>
        <w:t xml:space="preserve"> - Livelli medi di urato sierico ad ogni visita – dati pooled studi CLEAR</w:t>
      </w:r>
      <w:r w:rsidR="000E3022">
        <w:rPr>
          <w:rFonts w:asciiTheme="minorHAnsi" w:hAnsiTheme="minorHAnsi" w:cstheme="minorHAnsi"/>
          <w:lang w:val="it-IT"/>
        </w:rPr>
        <w:t xml:space="preserve"> (analisi observed cases, popolazione ITT)</w:t>
      </w:r>
      <w:r w:rsidR="002B4699" w:rsidRPr="002B4699">
        <w:rPr>
          <w:rFonts w:asciiTheme="minorHAnsi" w:hAnsiTheme="minorHAnsi" w:cstheme="minorHAnsi"/>
          <w:color w:val="0000FF"/>
          <w:lang w:val="it-IT"/>
        </w:rPr>
        <w:t>(SmPC Z</w:t>
      </w:r>
      <w:r w:rsidR="002B4699">
        <w:rPr>
          <w:rFonts w:asciiTheme="minorHAnsi" w:hAnsiTheme="minorHAnsi" w:cstheme="minorHAnsi"/>
          <w:color w:val="0000FF"/>
          <w:lang w:val="it-IT"/>
        </w:rPr>
        <w:t>urampic, EPAR, 2015</w:t>
      </w:r>
      <w:r>
        <w:rPr>
          <w:rFonts w:asciiTheme="minorHAnsi" w:hAnsiTheme="minorHAnsi" w:cstheme="minorHAnsi"/>
          <w:lang w:val="it-IT"/>
        </w:rPr>
        <w:t>)</w:t>
      </w:r>
      <w:bookmarkEnd w:id="153"/>
    </w:p>
    <w:p w14:paraId="7490443F" w14:textId="77777777" w:rsidR="000B4D6A" w:rsidRPr="003B4442" w:rsidRDefault="000B4D6A" w:rsidP="000B4D6A">
      <w:pPr>
        <w:pStyle w:val="TabFigTitle"/>
      </w:pPr>
      <w:r>
        <w:rPr>
          <w:noProof/>
          <w:lang w:val="en-GB" w:eastAsia="en-GB"/>
        </w:rPr>
        <w:drawing>
          <wp:inline distT="0" distB="0" distL="0" distR="0" wp14:anchorId="778DF578" wp14:editId="555C4B35">
            <wp:extent cx="5695950" cy="3916825"/>
            <wp:effectExtent l="19050" t="19050" r="19050" b="2667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97284" cy="3917742"/>
                    </a:xfrm>
                    <a:prstGeom prst="rect">
                      <a:avLst/>
                    </a:prstGeom>
                    <a:noFill/>
                    <a:ln w="6350">
                      <a:solidFill>
                        <a:srgbClr val="000000"/>
                      </a:solidFill>
                      <a:miter lim="800000"/>
                      <a:headEnd/>
                      <a:tailEnd/>
                    </a:ln>
                  </pic:spPr>
                </pic:pic>
              </a:graphicData>
            </a:graphic>
          </wp:inline>
        </w:drawing>
      </w:r>
    </w:p>
    <w:p w14:paraId="5D97247D" w14:textId="77777777" w:rsidR="000B4D6A" w:rsidRDefault="000B4D6A" w:rsidP="000210A2">
      <w:pPr>
        <w:pStyle w:val="Subtitle"/>
        <w:jc w:val="left"/>
        <w:rPr>
          <w:b/>
          <w:lang w:val="it-IT"/>
        </w:rPr>
      </w:pPr>
    </w:p>
    <w:p w14:paraId="0A5FB624" w14:textId="7D57F022" w:rsidR="000B4D6A" w:rsidRPr="00AB3235" w:rsidRDefault="000B4D6A" w:rsidP="000210A2">
      <w:pPr>
        <w:spacing w:line="360" w:lineRule="auto"/>
        <w:rPr>
          <w:rFonts w:cs="Arial"/>
          <w:b/>
          <w:sz w:val="20"/>
          <w:szCs w:val="20"/>
        </w:rPr>
      </w:pPr>
      <w:r w:rsidRPr="00AB3235">
        <w:rPr>
          <w:rFonts w:cs="Arial"/>
          <w:b/>
          <w:sz w:val="20"/>
          <w:szCs w:val="20"/>
        </w:rPr>
        <w:t>L'effetto di riduzione dell’uricemia è risultato coerente nei diversi sottogruppi analizzati, tra cui i soggetti con insufficienza renale moderata (</w:t>
      </w:r>
      <w:hyperlink w:anchor="Figura36" w:history="1">
        <w:r w:rsidRPr="004C0945">
          <w:rPr>
            <w:rStyle w:val="Hyperlink"/>
            <w:rFonts w:cs="Arial"/>
            <w:b/>
            <w:sz w:val="20"/>
            <w:szCs w:val="20"/>
          </w:rPr>
          <w:t xml:space="preserve">Figura </w:t>
        </w:r>
        <w:r w:rsidR="00CF13DF" w:rsidRPr="004C0945">
          <w:rPr>
            <w:rStyle w:val="Hyperlink"/>
            <w:rFonts w:cs="Arial"/>
            <w:b/>
            <w:sz w:val="20"/>
            <w:szCs w:val="20"/>
          </w:rPr>
          <w:t>3</w:t>
        </w:r>
        <w:r w:rsidR="0079658A" w:rsidRPr="004C0945">
          <w:rPr>
            <w:rStyle w:val="Hyperlink"/>
            <w:rFonts w:cs="Arial"/>
            <w:b/>
            <w:sz w:val="20"/>
            <w:szCs w:val="20"/>
          </w:rPr>
          <w:t>6</w:t>
        </w:r>
      </w:hyperlink>
      <w:r w:rsidRPr="00AB3235">
        <w:rPr>
          <w:rFonts w:cs="Arial"/>
          <w:b/>
          <w:sz w:val="20"/>
          <w:szCs w:val="20"/>
        </w:rPr>
        <w:t>), pazienti trattati con aspirina, pazienti trattati con diuretici tiazidici e nei soggetti che hanno ricevuto più di 300 mg di allopurinolo al giorno (</w:t>
      </w:r>
      <w:hyperlink w:anchor="Paragrafo44" w:history="1">
        <w:r w:rsidRPr="00AB3235">
          <w:rPr>
            <w:rStyle w:val="Hyperlink"/>
            <w:rFonts w:cs="Arial"/>
            <w:b/>
            <w:sz w:val="20"/>
            <w:szCs w:val="20"/>
          </w:rPr>
          <w:t>Paragrafo 4.4</w:t>
        </w:r>
      </w:hyperlink>
      <w:r w:rsidRPr="00AB3235">
        <w:rPr>
          <w:rFonts w:cs="Arial"/>
          <w:b/>
          <w:sz w:val="20"/>
          <w:szCs w:val="20"/>
        </w:rPr>
        <w:t>).</w:t>
      </w:r>
    </w:p>
    <w:p w14:paraId="602E0D82" w14:textId="77777777" w:rsidR="001236FF" w:rsidRDefault="001236FF" w:rsidP="000210A2">
      <w:pPr>
        <w:spacing w:line="360" w:lineRule="auto"/>
        <w:rPr>
          <w:rFonts w:cs="Arial"/>
          <w:b/>
          <w:sz w:val="20"/>
          <w:szCs w:val="20"/>
        </w:rPr>
      </w:pPr>
    </w:p>
    <w:p w14:paraId="14DB37AE" w14:textId="66B65B38" w:rsidR="000B4D6A" w:rsidRPr="00763287" w:rsidRDefault="003575CC" w:rsidP="000210A2">
      <w:pPr>
        <w:spacing w:line="360" w:lineRule="auto"/>
        <w:rPr>
          <w:rFonts w:cs="Arial"/>
          <w:sz w:val="20"/>
          <w:szCs w:val="20"/>
        </w:rPr>
      </w:pPr>
      <w:r w:rsidRPr="001236FF">
        <w:rPr>
          <w:rFonts w:cs="Arial"/>
          <w:sz w:val="20"/>
          <w:szCs w:val="20"/>
        </w:rPr>
        <w:t xml:space="preserve">In particolare, </w:t>
      </w:r>
      <w:r w:rsidR="001236FF">
        <w:rPr>
          <w:rFonts w:cs="Arial"/>
          <w:sz w:val="20"/>
          <w:szCs w:val="20"/>
        </w:rPr>
        <w:t>nel caso di</w:t>
      </w:r>
      <w:r w:rsidRPr="001236FF">
        <w:rPr>
          <w:rFonts w:cs="Arial"/>
          <w:sz w:val="20"/>
          <w:szCs w:val="20"/>
        </w:rPr>
        <w:t xml:space="preserve"> soggetti con </w:t>
      </w:r>
      <w:r w:rsidRPr="00AB3235">
        <w:rPr>
          <w:rFonts w:cs="Arial"/>
          <w:b/>
          <w:sz w:val="20"/>
          <w:szCs w:val="20"/>
        </w:rPr>
        <w:t>insufficienza renale lieve o moderata</w:t>
      </w:r>
      <w:r w:rsidRPr="001236FF">
        <w:rPr>
          <w:rFonts w:cs="Arial"/>
          <w:sz w:val="20"/>
          <w:szCs w:val="20"/>
        </w:rPr>
        <w:t xml:space="preserve"> </w:t>
      </w:r>
      <w:r>
        <w:rPr>
          <w:rFonts w:cs="Arial"/>
          <w:sz w:val="20"/>
          <w:szCs w:val="20"/>
        </w:rPr>
        <w:t xml:space="preserve">una percentuale maggiore di pazienti  ha raggiunto il livello target di sUA &lt; 6 mg/dl con lesinurad 200 + </w:t>
      </w:r>
      <w:r w:rsidR="00F53107">
        <w:rPr>
          <w:rFonts w:cs="Arial"/>
          <w:sz w:val="20"/>
          <w:szCs w:val="20"/>
        </w:rPr>
        <w:t>a</w:t>
      </w:r>
      <w:r>
        <w:rPr>
          <w:rFonts w:cs="Arial"/>
          <w:sz w:val="20"/>
          <w:szCs w:val="20"/>
        </w:rPr>
        <w:t xml:space="preserve">llopurinolo rispetto ad </w:t>
      </w:r>
      <w:r w:rsidR="00F53107">
        <w:rPr>
          <w:rFonts w:cs="Arial"/>
          <w:sz w:val="20"/>
          <w:szCs w:val="20"/>
        </w:rPr>
        <w:t>a</w:t>
      </w:r>
      <w:r>
        <w:rPr>
          <w:rFonts w:cs="Arial"/>
          <w:sz w:val="20"/>
          <w:szCs w:val="20"/>
        </w:rPr>
        <w:t xml:space="preserve">llopurinolo in monoterapia ( 55.6% vs </w:t>
      </w:r>
      <w:r w:rsidRPr="003575CC">
        <w:rPr>
          <w:rFonts w:cs="Arial"/>
          <w:sz w:val="20"/>
          <w:szCs w:val="20"/>
        </w:rPr>
        <w:t>28.9% p &lt; 0.0001</w:t>
      </w:r>
      <w:r>
        <w:rPr>
          <w:rFonts w:cs="Arial"/>
          <w:sz w:val="20"/>
          <w:szCs w:val="20"/>
        </w:rPr>
        <w:t>) (Analisi NRI, popolazione ITT)</w:t>
      </w:r>
      <w:r w:rsidR="001236FF">
        <w:rPr>
          <w:rFonts w:cs="Arial"/>
          <w:sz w:val="20"/>
          <w:szCs w:val="20"/>
        </w:rPr>
        <w:t xml:space="preserve"> (</w:t>
      </w:r>
      <w:hyperlink w:anchor="Figura36" w:history="1">
        <w:r w:rsidR="004C0945" w:rsidRPr="004C0945">
          <w:rPr>
            <w:rStyle w:val="Hyperlink"/>
            <w:rFonts w:cs="Arial"/>
            <w:sz w:val="20"/>
            <w:szCs w:val="20"/>
          </w:rPr>
          <w:t>Figura 36</w:t>
        </w:r>
      </w:hyperlink>
      <w:r w:rsidR="001236FF">
        <w:rPr>
          <w:rFonts w:cs="Arial"/>
          <w:sz w:val="20"/>
          <w:szCs w:val="20"/>
        </w:rPr>
        <w:t xml:space="preserve">). Al mese 12, il risultato ottenuto era simile (49% vs 26.6%, </w:t>
      </w:r>
      <w:r w:rsidRPr="001236FF">
        <w:rPr>
          <w:rFonts w:cs="Arial"/>
          <w:sz w:val="20"/>
          <w:szCs w:val="20"/>
        </w:rPr>
        <w:t>p &lt; 0.0001</w:t>
      </w:r>
      <w:r w:rsidRPr="003575CC">
        <w:rPr>
          <w:rFonts w:cs="Arial"/>
          <w:sz w:val="20"/>
          <w:szCs w:val="20"/>
        </w:rPr>
        <w:t>).</w:t>
      </w:r>
    </w:p>
    <w:p w14:paraId="38F3D552" w14:textId="32597643" w:rsidR="000B4D6A" w:rsidRPr="00302C92" w:rsidRDefault="000B4D6A" w:rsidP="000B4D6A">
      <w:pPr>
        <w:pStyle w:val="Caption"/>
        <w:rPr>
          <w:rFonts w:asciiTheme="minorHAnsi" w:hAnsiTheme="minorHAnsi" w:cstheme="minorHAnsi"/>
          <w:lang w:val="it-IT"/>
        </w:rPr>
      </w:pPr>
      <w:bookmarkStart w:id="155" w:name="Figura36"/>
      <w:bookmarkStart w:id="156" w:name="_Toc473186931"/>
      <w:bookmarkEnd w:id="155"/>
      <w:r w:rsidRPr="00302C92">
        <w:rPr>
          <w:rFonts w:asciiTheme="minorHAnsi" w:hAnsiTheme="minorHAnsi" w:cstheme="minorHAnsi"/>
          <w:lang w:val="it-IT"/>
        </w:rPr>
        <w:t xml:space="preserve">Figura </w:t>
      </w:r>
      <w:r w:rsidRPr="00302C92">
        <w:rPr>
          <w:rFonts w:asciiTheme="minorHAnsi" w:hAnsiTheme="minorHAnsi" w:cstheme="minorHAnsi"/>
        </w:rPr>
        <w:fldChar w:fldCharType="begin"/>
      </w:r>
      <w:r w:rsidRPr="00302C92">
        <w:rPr>
          <w:rFonts w:asciiTheme="minorHAnsi" w:hAnsiTheme="minorHAnsi" w:cstheme="minorHAnsi"/>
          <w:lang w:val="it-IT"/>
        </w:rPr>
        <w:instrText xml:space="preserve"> SEQ Figura \* ARABIC </w:instrText>
      </w:r>
      <w:r w:rsidRPr="00302C92">
        <w:rPr>
          <w:rFonts w:asciiTheme="minorHAnsi" w:hAnsiTheme="minorHAnsi" w:cstheme="minorHAnsi"/>
        </w:rPr>
        <w:fldChar w:fldCharType="separate"/>
      </w:r>
      <w:r w:rsidR="00A1679C">
        <w:rPr>
          <w:rFonts w:asciiTheme="minorHAnsi" w:hAnsiTheme="minorHAnsi" w:cstheme="minorHAnsi"/>
          <w:noProof/>
          <w:lang w:val="it-IT"/>
        </w:rPr>
        <w:t>36</w:t>
      </w:r>
      <w:r w:rsidRPr="00302C92">
        <w:rPr>
          <w:rFonts w:asciiTheme="minorHAnsi" w:hAnsiTheme="minorHAnsi" w:cstheme="minorHAnsi"/>
        </w:rPr>
        <w:fldChar w:fldCharType="end"/>
      </w:r>
      <w:r w:rsidRPr="00302C92">
        <w:rPr>
          <w:rFonts w:asciiTheme="minorHAnsi" w:hAnsiTheme="minorHAnsi" w:cstheme="minorHAnsi"/>
          <w:lang w:val="it-IT"/>
        </w:rPr>
        <w:t xml:space="preserve"> - Pazienti a target (</w:t>
      </w:r>
      <w:r w:rsidR="005848A1">
        <w:rPr>
          <w:rFonts w:asciiTheme="minorHAnsi" w:hAnsiTheme="minorHAnsi" w:cstheme="minorHAnsi"/>
          <w:lang w:val="it-IT"/>
        </w:rPr>
        <w:t>SUA</w:t>
      </w:r>
      <w:r w:rsidRPr="00302C92">
        <w:rPr>
          <w:rFonts w:asciiTheme="minorHAnsi" w:hAnsiTheme="minorHAnsi" w:cstheme="minorHAnsi"/>
          <w:lang w:val="it-IT"/>
        </w:rPr>
        <w:t>&lt;6mg/dl) al 6° mese – pazienti con compromissione renale</w:t>
      </w:r>
      <w:r>
        <w:rPr>
          <w:rFonts w:asciiTheme="minorHAnsi" w:hAnsiTheme="minorHAnsi" w:cstheme="minorHAnsi"/>
          <w:lang w:val="it-IT"/>
        </w:rPr>
        <w:t xml:space="preserve"> </w:t>
      </w:r>
      <w:r w:rsidR="001236FF">
        <w:rPr>
          <w:rFonts w:asciiTheme="minorHAnsi" w:hAnsiTheme="minorHAnsi" w:cstheme="minorHAnsi"/>
          <w:lang w:val="it-IT"/>
        </w:rPr>
        <w:t xml:space="preserve">lieve o moderata (Analisi NRI, popolazione ITT) </w:t>
      </w:r>
      <w:r>
        <w:rPr>
          <w:rFonts w:asciiTheme="minorHAnsi" w:hAnsiTheme="minorHAnsi" w:cstheme="minorHAnsi"/>
          <w:lang w:val="it-IT"/>
        </w:rPr>
        <w:t>(</w:t>
      </w:r>
      <w:r w:rsidR="00A25D6E">
        <w:rPr>
          <w:rFonts w:asciiTheme="minorHAnsi" w:hAnsiTheme="minorHAnsi" w:cstheme="minorHAnsi"/>
          <w:color w:val="0000FF"/>
          <w:lang w:val="it-IT"/>
        </w:rPr>
        <w:t>Clinical Overview, 2014</w:t>
      </w:r>
      <w:r>
        <w:rPr>
          <w:rFonts w:asciiTheme="minorHAnsi" w:hAnsiTheme="minorHAnsi" w:cstheme="minorHAnsi"/>
          <w:lang w:val="it-IT"/>
        </w:rPr>
        <w:t>)</w:t>
      </w:r>
      <w:bookmarkEnd w:id="156"/>
    </w:p>
    <w:p w14:paraId="7D4B6CB9" w14:textId="369548BA" w:rsidR="000B4D6A" w:rsidRDefault="001236FF" w:rsidP="000B4D6A">
      <w:r>
        <w:rPr>
          <w:noProof/>
          <w:lang w:val="en-GB" w:eastAsia="en-GB"/>
        </w:rPr>
        <w:drawing>
          <wp:inline distT="0" distB="0" distL="0" distR="0" wp14:anchorId="7CC49FED" wp14:editId="29C63C27">
            <wp:extent cx="5664200" cy="3420966"/>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6345" cy="3422262"/>
                    </a:xfrm>
                    <a:prstGeom prst="rect">
                      <a:avLst/>
                    </a:prstGeom>
                    <a:noFill/>
                  </pic:spPr>
                </pic:pic>
              </a:graphicData>
            </a:graphic>
          </wp:inline>
        </w:drawing>
      </w:r>
    </w:p>
    <w:p w14:paraId="5196EF6A" w14:textId="77777777" w:rsidR="000B4D6A" w:rsidRPr="00302C92" w:rsidRDefault="000B4D6A" w:rsidP="000B4D6A">
      <w:pPr>
        <w:rPr>
          <w:sz w:val="20"/>
          <w:szCs w:val="20"/>
        </w:rPr>
      </w:pPr>
    </w:p>
    <w:p w14:paraId="266B993D" w14:textId="74264517" w:rsidR="000B4D6A" w:rsidRPr="00214168" w:rsidRDefault="000B4D6A" w:rsidP="000210A2">
      <w:pPr>
        <w:spacing w:line="360" w:lineRule="auto"/>
        <w:rPr>
          <w:rFonts w:cs="Arial"/>
          <w:sz w:val="20"/>
          <w:szCs w:val="20"/>
        </w:rPr>
      </w:pPr>
      <w:r w:rsidRPr="00214168">
        <w:rPr>
          <w:rFonts w:cs="Arial"/>
          <w:sz w:val="20"/>
          <w:szCs w:val="20"/>
        </w:rPr>
        <w:t xml:space="preserve">E’ stata eseguita un’analisi post-hoc sugli studi pooled CLEAR 1 e CLEAR 2 per investigare l’efficacia di lesinurad nel sottogruppo di </w:t>
      </w:r>
      <w:r w:rsidRPr="00AB3235">
        <w:rPr>
          <w:rFonts w:cs="Arial"/>
          <w:b/>
          <w:sz w:val="20"/>
          <w:szCs w:val="20"/>
        </w:rPr>
        <w:t>pazienti con età ≥65 anni</w:t>
      </w:r>
      <w:r w:rsidR="00CF13DF">
        <w:rPr>
          <w:rFonts w:cs="Arial"/>
          <w:sz w:val="20"/>
          <w:szCs w:val="20"/>
        </w:rPr>
        <w:t>.</w:t>
      </w:r>
    </w:p>
    <w:p w14:paraId="08E289F0" w14:textId="1ED4DB53" w:rsidR="000B4D6A" w:rsidRDefault="000B4D6A" w:rsidP="000210A2">
      <w:pPr>
        <w:spacing w:line="360" w:lineRule="auto"/>
        <w:rPr>
          <w:rFonts w:cs="Arial"/>
          <w:sz w:val="20"/>
          <w:szCs w:val="20"/>
        </w:rPr>
      </w:pPr>
      <w:r w:rsidRPr="00214168">
        <w:rPr>
          <w:rFonts w:cs="Arial"/>
          <w:sz w:val="20"/>
          <w:szCs w:val="20"/>
        </w:rPr>
        <w:t xml:space="preserve">Nella </w:t>
      </w:r>
      <w:hyperlink w:anchor="Tabella19" w:history="1">
        <w:r w:rsidRPr="004C0945">
          <w:rPr>
            <w:rStyle w:val="Hyperlink"/>
            <w:rFonts w:cs="Arial"/>
            <w:sz w:val="20"/>
            <w:szCs w:val="20"/>
          </w:rPr>
          <w:t xml:space="preserve">Tabella </w:t>
        </w:r>
        <w:r w:rsidR="00907454" w:rsidRPr="004C0945">
          <w:rPr>
            <w:rStyle w:val="Hyperlink"/>
            <w:rFonts w:cs="Arial"/>
            <w:sz w:val="20"/>
            <w:szCs w:val="20"/>
          </w:rPr>
          <w:t>1</w:t>
        </w:r>
        <w:r w:rsidR="004C0945" w:rsidRPr="004C0945">
          <w:rPr>
            <w:rStyle w:val="Hyperlink"/>
            <w:rFonts w:cs="Arial"/>
            <w:sz w:val="20"/>
            <w:szCs w:val="20"/>
          </w:rPr>
          <w:t>9</w:t>
        </w:r>
      </w:hyperlink>
      <w:r w:rsidRPr="00214168">
        <w:rPr>
          <w:rFonts w:cs="Arial"/>
          <w:sz w:val="20"/>
          <w:szCs w:val="20"/>
        </w:rPr>
        <w:t xml:space="preserve"> vengono riportati il numero di soggetti inclusi in ogni sottogruppo degli studi CLEAR 1 e CLEAR 2 (pooled)</w:t>
      </w:r>
    </w:p>
    <w:p w14:paraId="75D26851" w14:textId="77777777" w:rsidR="000B4D6A" w:rsidRPr="00214168" w:rsidRDefault="000B4D6A" w:rsidP="000210A2">
      <w:pPr>
        <w:spacing w:line="360" w:lineRule="auto"/>
        <w:rPr>
          <w:rFonts w:cs="Arial"/>
          <w:sz w:val="20"/>
          <w:szCs w:val="20"/>
        </w:rPr>
      </w:pPr>
    </w:p>
    <w:p w14:paraId="23F8EB1B" w14:textId="26B35F7B" w:rsidR="000B4D6A" w:rsidRDefault="00907454" w:rsidP="00907454">
      <w:pPr>
        <w:pStyle w:val="Caption"/>
        <w:rPr>
          <w:rFonts w:asciiTheme="minorHAnsi" w:hAnsiTheme="minorHAnsi" w:cstheme="minorHAnsi"/>
          <w:lang w:val="it-IT"/>
        </w:rPr>
      </w:pPr>
      <w:bookmarkStart w:id="157" w:name="Tabella19"/>
      <w:bookmarkStart w:id="158" w:name="_Toc473150704"/>
      <w:bookmarkEnd w:id="157"/>
      <w:r w:rsidRPr="00907454">
        <w:rPr>
          <w:rFonts w:asciiTheme="minorHAnsi" w:hAnsiTheme="minorHAnsi" w:cstheme="minorHAnsi"/>
          <w:lang w:val="it-IT"/>
        </w:rPr>
        <w:t xml:space="preserve">Tabella </w:t>
      </w:r>
      <w:r w:rsidRPr="00907454">
        <w:rPr>
          <w:rFonts w:asciiTheme="minorHAnsi" w:hAnsiTheme="minorHAnsi" w:cstheme="minorHAnsi"/>
        </w:rPr>
        <w:fldChar w:fldCharType="begin"/>
      </w:r>
      <w:r w:rsidRPr="00907454">
        <w:rPr>
          <w:rFonts w:asciiTheme="minorHAnsi" w:hAnsiTheme="minorHAnsi" w:cstheme="minorHAnsi"/>
          <w:lang w:val="it-IT"/>
        </w:rPr>
        <w:instrText xml:space="preserve"> SEQ Tabella \* ARABIC </w:instrText>
      </w:r>
      <w:r w:rsidRPr="00907454">
        <w:rPr>
          <w:rFonts w:asciiTheme="minorHAnsi" w:hAnsiTheme="minorHAnsi" w:cstheme="minorHAnsi"/>
        </w:rPr>
        <w:fldChar w:fldCharType="separate"/>
      </w:r>
      <w:r w:rsidR="00A1679C">
        <w:rPr>
          <w:rFonts w:asciiTheme="minorHAnsi" w:hAnsiTheme="minorHAnsi" w:cstheme="minorHAnsi"/>
          <w:noProof/>
          <w:lang w:val="it-IT"/>
        </w:rPr>
        <w:t>19</w:t>
      </w:r>
      <w:r w:rsidRPr="00907454">
        <w:rPr>
          <w:rFonts w:asciiTheme="minorHAnsi" w:hAnsiTheme="minorHAnsi" w:cstheme="minorHAnsi"/>
        </w:rPr>
        <w:fldChar w:fldCharType="end"/>
      </w:r>
      <w:r w:rsidRPr="00907454">
        <w:rPr>
          <w:rFonts w:asciiTheme="minorHAnsi" w:hAnsiTheme="minorHAnsi" w:cstheme="minorHAnsi"/>
          <w:lang w:val="it-IT"/>
        </w:rPr>
        <w:t xml:space="preserve"> - </w:t>
      </w:r>
      <w:r w:rsidR="000B4D6A" w:rsidRPr="00907454">
        <w:rPr>
          <w:rFonts w:asciiTheme="minorHAnsi" w:hAnsiTheme="minorHAnsi" w:cstheme="minorHAnsi"/>
          <w:lang w:val="it-IT"/>
        </w:rPr>
        <w:t xml:space="preserve"> Sottogruppi in CLEAR 1 e CLEAR 2 (pooled</w:t>
      </w:r>
      <w:r w:rsidR="000E3022">
        <w:rPr>
          <w:rFonts w:asciiTheme="minorHAnsi" w:hAnsiTheme="minorHAnsi" w:cstheme="minorHAnsi"/>
          <w:lang w:val="it-IT"/>
        </w:rPr>
        <w:t xml:space="preserve">) (analisi NRI, popolazione ITT) </w:t>
      </w:r>
      <w:r w:rsidR="000B4D6A" w:rsidRPr="00907454">
        <w:rPr>
          <w:rFonts w:asciiTheme="minorHAnsi" w:hAnsiTheme="minorHAnsi" w:cstheme="minorHAnsi"/>
          <w:lang w:val="it-IT"/>
        </w:rPr>
        <w:t>(</w:t>
      </w:r>
      <w:r w:rsidR="000B4D6A" w:rsidRPr="00907454">
        <w:rPr>
          <w:rFonts w:asciiTheme="minorHAnsi" w:hAnsiTheme="minorHAnsi" w:cstheme="minorHAnsi"/>
          <w:color w:val="0000FF"/>
          <w:lang w:val="it-IT"/>
        </w:rPr>
        <w:t xml:space="preserve">adattata da </w:t>
      </w:r>
      <w:r w:rsidR="008E6BDD">
        <w:rPr>
          <w:rFonts w:asciiTheme="minorHAnsi" w:hAnsiTheme="minorHAnsi" w:cstheme="minorHAnsi"/>
          <w:color w:val="0000FF"/>
          <w:lang w:val="it-IT"/>
        </w:rPr>
        <w:t xml:space="preserve">CSR 301,2014 </w:t>
      </w:r>
      <w:r w:rsidR="000B4D6A" w:rsidRPr="00907454">
        <w:rPr>
          <w:rFonts w:asciiTheme="minorHAnsi" w:hAnsiTheme="minorHAnsi" w:cstheme="minorHAnsi"/>
          <w:color w:val="0000FF"/>
          <w:lang w:val="it-IT"/>
        </w:rPr>
        <w:t>e</w:t>
      </w:r>
      <w:r w:rsidR="000B4D6A" w:rsidRPr="005365E9">
        <w:rPr>
          <w:rFonts w:asciiTheme="minorHAnsi" w:hAnsiTheme="minorHAnsi" w:cstheme="minorHAnsi"/>
          <w:color w:val="0000FF"/>
          <w:lang w:val="it-IT"/>
        </w:rPr>
        <w:t xml:space="preserve"> 302, 2014</w:t>
      </w:r>
      <w:r w:rsidR="000B4D6A">
        <w:rPr>
          <w:rFonts w:asciiTheme="minorHAnsi" w:hAnsiTheme="minorHAnsi" w:cstheme="minorHAnsi"/>
          <w:lang w:val="it-IT"/>
        </w:rPr>
        <w:t>)</w:t>
      </w:r>
      <w:bookmarkEnd w:id="158"/>
    </w:p>
    <w:tbl>
      <w:tblPr>
        <w:tblStyle w:val="TableGrid21"/>
        <w:tblW w:w="0" w:type="auto"/>
        <w:tblLook w:val="04A0" w:firstRow="1" w:lastRow="0" w:firstColumn="1" w:lastColumn="0" w:noHBand="0" w:noVBand="1"/>
      </w:tblPr>
      <w:tblGrid>
        <w:gridCol w:w="2454"/>
        <w:gridCol w:w="3088"/>
        <w:gridCol w:w="3475"/>
      </w:tblGrid>
      <w:tr w:rsidR="000B4D6A" w:rsidRPr="00907454" w14:paraId="5394908E" w14:textId="77777777" w:rsidTr="00AF7722">
        <w:tc>
          <w:tcPr>
            <w:tcW w:w="2492" w:type="dxa"/>
            <w:shd w:val="clear" w:color="auto" w:fill="D9D9D9" w:themeFill="background1" w:themeFillShade="D9"/>
          </w:tcPr>
          <w:p w14:paraId="1F603211" w14:textId="77777777" w:rsidR="000B4D6A" w:rsidRPr="00907454" w:rsidRDefault="000B4D6A" w:rsidP="00AF7722">
            <w:pPr>
              <w:keepNext/>
              <w:spacing w:before="60" w:after="60"/>
              <w:rPr>
                <w:rFonts w:ascii="Arial" w:eastAsia="Calibri" w:hAnsi="Arial" w:cs="Calibri"/>
                <w:b/>
                <w:sz w:val="18"/>
                <w:szCs w:val="18"/>
                <w:lang w:eastAsia="en-US"/>
              </w:rPr>
            </w:pPr>
            <w:r w:rsidRPr="00907454">
              <w:rPr>
                <w:rFonts w:ascii="Arial" w:eastAsia="Calibri" w:hAnsi="Arial" w:cs="Calibri"/>
                <w:b/>
                <w:sz w:val="18"/>
                <w:szCs w:val="18"/>
                <w:lang w:eastAsia="en-US"/>
              </w:rPr>
              <w:t>Subgroup, n (%)</w:t>
            </w:r>
          </w:p>
        </w:tc>
        <w:tc>
          <w:tcPr>
            <w:tcW w:w="3145" w:type="dxa"/>
            <w:shd w:val="clear" w:color="auto" w:fill="D9D9D9" w:themeFill="background1" w:themeFillShade="D9"/>
          </w:tcPr>
          <w:p w14:paraId="486D860D" w14:textId="77777777" w:rsidR="000B4D6A" w:rsidRPr="00907454" w:rsidRDefault="000B4D6A" w:rsidP="00AF7722">
            <w:pPr>
              <w:keepNext/>
              <w:spacing w:before="60" w:after="60"/>
              <w:jc w:val="center"/>
              <w:rPr>
                <w:rFonts w:ascii="Arial" w:eastAsia="Calibri" w:hAnsi="Arial" w:cs="Calibri"/>
                <w:b/>
                <w:sz w:val="18"/>
                <w:szCs w:val="18"/>
                <w:lang w:eastAsia="en-US"/>
              </w:rPr>
            </w:pPr>
            <w:r w:rsidRPr="00907454">
              <w:rPr>
                <w:rFonts w:ascii="Arial" w:eastAsia="Calibri" w:hAnsi="Arial" w:cs="Calibri"/>
                <w:b/>
                <w:sz w:val="18"/>
                <w:szCs w:val="18"/>
                <w:lang w:eastAsia="en-US"/>
              </w:rPr>
              <w:t>Lesinurad 200 mg + allopurinol (N=405)</w:t>
            </w:r>
          </w:p>
        </w:tc>
        <w:tc>
          <w:tcPr>
            <w:tcW w:w="3543" w:type="dxa"/>
            <w:shd w:val="clear" w:color="auto" w:fill="D9D9D9" w:themeFill="background1" w:themeFillShade="D9"/>
          </w:tcPr>
          <w:p w14:paraId="2CBC6C54" w14:textId="77777777" w:rsidR="000B4D6A" w:rsidRPr="00907454" w:rsidRDefault="000B4D6A" w:rsidP="00AF7722">
            <w:pPr>
              <w:keepNext/>
              <w:spacing w:before="60" w:after="60"/>
              <w:jc w:val="center"/>
              <w:rPr>
                <w:rFonts w:ascii="Arial" w:eastAsia="Calibri" w:hAnsi="Arial" w:cs="Calibri"/>
                <w:b/>
                <w:sz w:val="18"/>
                <w:szCs w:val="18"/>
                <w:lang w:eastAsia="en-US"/>
              </w:rPr>
            </w:pPr>
            <w:r w:rsidRPr="00907454">
              <w:rPr>
                <w:rFonts w:ascii="Arial" w:eastAsia="Calibri" w:hAnsi="Arial" w:cs="Calibri"/>
                <w:b/>
                <w:sz w:val="18"/>
                <w:szCs w:val="18"/>
                <w:lang w:eastAsia="en-US"/>
              </w:rPr>
              <w:t>Placebo + allopurinol (N=407)</w:t>
            </w:r>
          </w:p>
        </w:tc>
      </w:tr>
      <w:tr w:rsidR="000B4D6A" w:rsidRPr="00907454" w14:paraId="53D58418" w14:textId="77777777" w:rsidTr="00AF7722">
        <w:tc>
          <w:tcPr>
            <w:tcW w:w="2492" w:type="dxa"/>
            <w:tcBorders>
              <w:bottom w:val="nil"/>
            </w:tcBorders>
          </w:tcPr>
          <w:p w14:paraId="057A80B7" w14:textId="77777777" w:rsidR="000B4D6A" w:rsidRPr="00907454" w:rsidRDefault="000B4D6A" w:rsidP="00AF7722">
            <w:pPr>
              <w:keepNext/>
              <w:spacing w:before="60" w:after="60"/>
              <w:rPr>
                <w:rFonts w:ascii="Arial" w:eastAsia="Calibri" w:hAnsi="Arial" w:cs="Calibri"/>
                <w:sz w:val="18"/>
                <w:szCs w:val="18"/>
                <w:lang w:eastAsia="en-US"/>
              </w:rPr>
            </w:pPr>
            <w:r w:rsidRPr="00907454">
              <w:rPr>
                <w:rFonts w:ascii="Arial" w:eastAsia="Calibri" w:hAnsi="Arial" w:cs="Calibri"/>
                <w:sz w:val="18"/>
                <w:szCs w:val="18"/>
                <w:lang w:eastAsia="en-US"/>
              </w:rPr>
              <w:t>Age</w:t>
            </w:r>
          </w:p>
        </w:tc>
        <w:tc>
          <w:tcPr>
            <w:tcW w:w="3145" w:type="dxa"/>
            <w:tcBorders>
              <w:bottom w:val="nil"/>
            </w:tcBorders>
          </w:tcPr>
          <w:p w14:paraId="47A899E3" w14:textId="77777777" w:rsidR="000B4D6A" w:rsidRPr="00907454" w:rsidRDefault="000B4D6A" w:rsidP="00AF7722">
            <w:pPr>
              <w:keepNext/>
              <w:spacing w:before="60" w:after="60"/>
              <w:jc w:val="center"/>
              <w:rPr>
                <w:rFonts w:ascii="Arial" w:eastAsia="Calibri" w:hAnsi="Arial" w:cs="Calibri"/>
                <w:sz w:val="18"/>
                <w:szCs w:val="18"/>
                <w:lang w:eastAsia="en-US"/>
              </w:rPr>
            </w:pPr>
          </w:p>
        </w:tc>
        <w:tc>
          <w:tcPr>
            <w:tcW w:w="3543" w:type="dxa"/>
            <w:tcBorders>
              <w:bottom w:val="nil"/>
            </w:tcBorders>
          </w:tcPr>
          <w:p w14:paraId="2A247627" w14:textId="77777777" w:rsidR="000B4D6A" w:rsidRPr="00907454" w:rsidRDefault="000B4D6A" w:rsidP="00AF7722">
            <w:pPr>
              <w:keepNext/>
              <w:spacing w:before="60" w:after="60"/>
              <w:jc w:val="center"/>
              <w:rPr>
                <w:rFonts w:ascii="Arial" w:eastAsia="Calibri" w:hAnsi="Arial" w:cs="Calibri"/>
                <w:sz w:val="18"/>
                <w:szCs w:val="18"/>
                <w:lang w:eastAsia="en-US"/>
              </w:rPr>
            </w:pPr>
          </w:p>
        </w:tc>
      </w:tr>
      <w:tr w:rsidR="000B4D6A" w:rsidRPr="00907454" w14:paraId="11F9EAAA" w14:textId="77777777" w:rsidTr="00AF7722">
        <w:tc>
          <w:tcPr>
            <w:tcW w:w="2492" w:type="dxa"/>
            <w:tcBorders>
              <w:top w:val="nil"/>
              <w:bottom w:val="nil"/>
            </w:tcBorders>
          </w:tcPr>
          <w:p w14:paraId="413962F6" w14:textId="77777777" w:rsidR="000B4D6A" w:rsidRPr="00907454" w:rsidRDefault="000B4D6A" w:rsidP="00AF7722">
            <w:pPr>
              <w:keepNext/>
              <w:spacing w:before="60" w:after="60"/>
              <w:rPr>
                <w:rFonts w:ascii="Arial" w:eastAsia="Calibri" w:hAnsi="Arial" w:cs="Calibri"/>
                <w:sz w:val="18"/>
                <w:szCs w:val="18"/>
                <w:lang w:eastAsia="en-US"/>
              </w:rPr>
            </w:pPr>
            <w:r w:rsidRPr="00907454">
              <w:rPr>
                <w:rFonts w:ascii="Arial" w:eastAsia="Calibri" w:hAnsi="Arial" w:cs="Calibri"/>
                <w:sz w:val="18"/>
                <w:szCs w:val="18"/>
                <w:lang w:eastAsia="en-US"/>
              </w:rPr>
              <w:t xml:space="preserve">    &lt;65 years</w:t>
            </w:r>
          </w:p>
        </w:tc>
        <w:tc>
          <w:tcPr>
            <w:tcW w:w="3145" w:type="dxa"/>
            <w:tcBorders>
              <w:top w:val="nil"/>
              <w:bottom w:val="nil"/>
            </w:tcBorders>
          </w:tcPr>
          <w:p w14:paraId="519653D4" w14:textId="77777777" w:rsidR="000B4D6A" w:rsidRPr="00907454" w:rsidRDefault="000B4D6A" w:rsidP="00AF7722">
            <w:pPr>
              <w:keepNext/>
              <w:spacing w:before="60" w:after="60"/>
              <w:jc w:val="center"/>
              <w:rPr>
                <w:rFonts w:ascii="Arial" w:eastAsia="Calibri" w:hAnsi="Arial" w:cs="Calibri"/>
                <w:sz w:val="18"/>
                <w:szCs w:val="18"/>
                <w:lang w:eastAsia="en-US"/>
              </w:rPr>
            </w:pPr>
            <w:r w:rsidRPr="00907454">
              <w:rPr>
                <w:rFonts w:ascii="Arial" w:eastAsia="Calibri" w:hAnsi="Arial" w:cs="Calibri"/>
                <w:sz w:val="18"/>
                <w:szCs w:val="18"/>
                <w:lang w:eastAsia="en-US"/>
              </w:rPr>
              <w:t>365 (90.1)</w:t>
            </w:r>
          </w:p>
        </w:tc>
        <w:tc>
          <w:tcPr>
            <w:tcW w:w="3543" w:type="dxa"/>
            <w:tcBorders>
              <w:top w:val="nil"/>
              <w:bottom w:val="nil"/>
            </w:tcBorders>
          </w:tcPr>
          <w:p w14:paraId="0F1ACB67" w14:textId="77777777" w:rsidR="000B4D6A" w:rsidRPr="00907454" w:rsidRDefault="000B4D6A" w:rsidP="00AF7722">
            <w:pPr>
              <w:keepNext/>
              <w:spacing w:before="60" w:after="60"/>
              <w:jc w:val="center"/>
              <w:rPr>
                <w:rFonts w:ascii="Arial" w:eastAsia="Calibri" w:hAnsi="Arial" w:cs="Calibri"/>
                <w:sz w:val="18"/>
                <w:szCs w:val="18"/>
                <w:lang w:eastAsia="en-US"/>
              </w:rPr>
            </w:pPr>
            <w:r w:rsidRPr="00907454">
              <w:rPr>
                <w:rFonts w:ascii="Arial" w:eastAsia="Calibri" w:hAnsi="Arial" w:cs="Calibri"/>
                <w:sz w:val="18"/>
                <w:szCs w:val="18"/>
                <w:lang w:eastAsia="en-US"/>
              </w:rPr>
              <w:t>354 (87.0)</w:t>
            </w:r>
          </w:p>
        </w:tc>
      </w:tr>
      <w:tr w:rsidR="000B4D6A" w:rsidRPr="00907454" w14:paraId="05DB4BD5" w14:textId="77777777" w:rsidTr="00AF7722">
        <w:tc>
          <w:tcPr>
            <w:tcW w:w="2492" w:type="dxa"/>
            <w:tcBorders>
              <w:top w:val="nil"/>
            </w:tcBorders>
          </w:tcPr>
          <w:p w14:paraId="3BAC30BC" w14:textId="77777777" w:rsidR="000B4D6A" w:rsidRPr="00907454" w:rsidRDefault="000B4D6A" w:rsidP="00AF7722">
            <w:pPr>
              <w:keepNext/>
              <w:spacing w:before="60" w:after="60"/>
              <w:rPr>
                <w:rFonts w:ascii="Arial" w:eastAsia="Calibri" w:hAnsi="Arial" w:cs="Calibri"/>
                <w:sz w:val="18"/>
                <w:szCs w:val="18"/>
                <w:lang w:eastAsia="en-US"/>
              </w:rPr>
            </w:pPr>
            <w:r w:rsidRPr="00907454">
              <w:rPr>
                <w:rFonts w:ascii="Arial" w:eastAsia="Calibri" w:hAnsi="Arial" w:cs="Calibri"/>
                <w:sz w:val="18"/>
                <w:szCs w:val="18"/>
                <w:lang w:eastAsia="en-US"/>
              </w:rPr>
              <w:t xml:space="preserve">    ≥65 years</w:t>
            </w:r>
          </w:p>
        </w:tc>
        <w:tc>
          <w:tcPr>
            <w:tcW w:w="3145" w:type="dxa"/>
            <w:tcBorders>
              <w:top w:val="nil"/>
            </w:tcBorders>
          </w:tcPr>
          <w:p w14:paraId="57D65FE2" w14:textId="77777777" w:rsidR="000B4D6A" w:rsidRPr="00907454" w:rsidRDefault="000B4D6A" w:rsidP="00AF7722">
            <w:pPr>
              <w:keepNext/>
              <w:spacing w:before="60" w:after="60"/>
              <w:jc w:val="center"/>
              <w:rPr>
                <w:rFonts w:ascii="Arial" w:eastAsia="Calibri" w:hAnsi="Arial" w:cs="Calibri"/>
                <w:sz w:val="18"/>
                <w:szCs w:val="18"/>
                <w:lang w:eastAsia="en-US"/>
              </w:rPr>
            </w:pPr>
            <w:r w:rsidRPr="00907454">
              <w:rPr>
                <w:rFonts w:ascii="Arial" w:eastAsia="Calibri" w:hAnsi="Arial" w:cs="Calibri"/>
                <w:sz w:val="18"/>
                <w:szCs w:val="18"/>
                <w:lang w:eastAsia="en-US"/>
              </w:rPr>
              <w:t xml:space="preserve">  40 (9.9)</w:t>
            </w:r>
          </w:p>
        </w:tc>
        <w:tc>
          <w:tcPr>
            <w:tcW w:w="3543" w:type="dxa"/>
            <w:tcBorders>
              <w:top w:val="nil"/>
            </w:tcBorders>
          </w:tcPr>
          <w:p w14:paraId="562934CC" w14:textId="77777777" w:rsidR="000B4D6A" w:rsidRPr="00907454" w:rsidRDefault="000B4D6A" w:rsidP="00AF7722">
            <w:pPr>
              <w:keepNext/>
              <w:spacing w:before="60" w:after="60"/>
              <w:jc w:val="center"/>
              <w:rPr>
                <w:rFonts w:ascii="Arial" w:eastAsia="Calibri" w:hAnsi="Arial" w:cs="Calibri"/>
                <w:sz w:val="18"/>
                <w:szCs w:val="18"/>
                <w:lang w:eastAsia="en-US"/>
              </w:rPr>
            </w:pPr>
            <w:r w:rsidRPr="00907454">
              <w:rPr>
                <w:rFonts w:ascii="Arial" w:eastAsia="Calibri" w:hAnsi="Arial" w:cs="Calibri"/>
                <w:sz w:val="18"/>
                <w:szCs w:val="18"/>
                <w:lang w:eastAsia="en-US"/>
              </w:rPr>
              <w:t xml:space="preserve">  53 (13.0)</w:t>
            </w:r>
          </w:p>
        </w:tc>
      </w:tr>
    </w:tbl>
    <w:p w14:paraId="48F8D610" w14:textId="77777777" w:rsidR="000B4D6A" w:rsidRPr="005365E9" w:rsidRDefault="000B4D6A" w:rsidP="000B4D6A">
      <w:pPr>
        <w:pStyle w:val="BodyText"/>
        <w:rPr>
          <w:rFonts w:asciiTheme="minorHAnsi" w:hAnsiTheme="minorHAnsi" w:cstheme="minorHAnsi"/>
          <w:sz w:val="18"/>
          <w:szCs w:val="18"/>
          <w:lang w:val="en-GB"/>
        </w:rPr>
      </w:pPr>
      <w:r w:rsidRPr="005365E9">
        <w:rPr>
          <w:rFonts w:asciiTheme="minorHAnsi" w:hAnsiTheme="minorHAnsi" w:cstheme="minorHAnsi"/>
          <w:sz w:val="18"/>
          <w:szCs w:val="18"/>
          <w:lang w:val="en-GB"/>
        </w:rPr>
        <w:t>Abbreviations: ITT, intent-to-treat.</w:t>
      </w:r>
    </w:p>
    <w:p w14:paraId="0C6A5A4C" w14:textId="77777777" w:rsidR="00907454" w:rsidRPr="000279BA" w:rsidRDefault="00907454" w:rsidP="000210A2">
      <w:pPr>
        <w:spacing w:line="360" w:lineRule="auto"/>
        <w:rPr>
          <w:rFonts w:cs="Arial"/>
          <w:sz w:val="20"/>
          <w:szCs w:val="20"/>
          <w:lang w:val="en-US"/>
        </w:rPr>
      </w:pPr>
    </w:p>
    <w:p w14:paraId="3DD45340" w14:textId="0538A66D" w:rsidR="00D47C76" w:rsidRDefault="000B4D6A" w:rsidP="000210A2">
      <w:pPr>
        <w:spacing w:line="360" w:lineRule="auto"/>
        <w:rPr>
          <w:rFonts w:cs="Arial"/>
          <w:sz w:val="20"/>
          <w:szCs w:val="20"/>
        </w:rPr>
      </w:pPr>
      <w:r w:rsidRPr="00485F07">
        <w:rPr>
          <w:rFonts w:cs="Arial"/>
          <w:b/>
          <w:sz w:val="20"/>
          <w:szCs w:val="20"/>
        </w:rPr>
        <w:t xml:space="preserve">Nel sottogruppo di pazienti con età ≥65 anni, lesinurad 200 mg si è dimostrato significativamente più efficace di allopurinolo in monoterapia rispetto all’endopoint primario di efficacia (57.5% vs 28.3% rispettivamente (p=0.0102), </w:t>
      </w:r>
      <w:r w:rsidR="005848A1" w:rsidRPr="00485F07">
        <w:rPr>
          <w:rFonts w:cs="Arial"/>
          <w:b/>
          <w:sz w:val="20"/>
          <w:szCs w:val="20"/>
        </w:rPr>
        <w:t>sUA</w:t>
      </w:r>
      <w:r w:rsidRPr="00485F07">
        <w:rPr>
          <w:rFonts w:cs="Arial"/>
          <w:b/>
          <w:sz w:val="20"/>
          <w:szCs w:val="20"/>
        </w:rPr>
        <w:t xml:space="preserve"> &lt;6.0 mg/dl al Mese 6)</w:t>
      </w:r>
      <w:r w:rsidRPr="00214168">
        <w:rPr>
          <w:rFonts w:cs="Arial"/>
          <w:sz w:val="20"/>
          <w:szCs w:val="20"/>
        </w:rPr>
        <w:t xml:space="preserve"> (</w:t>
      </w:r>
      <w:hyperlink w:anchor="Tabella20" w:history="1">
        <w:r w:rsidRPr="004C0945">
          <w:rPr>
            <w:rStyle w:val="Hyperlink"/>
            <w:rFonts w:cs="Arial"/>
            <w:sz w:val="20"/>
            <w:szCs w:val="20"/>
          </w:rPr>
          <w:t>Tabella</w:t>
        </w:r>
        <w:r w:rsidR="00907454" w:rsidRPr="004C0945">
          <w:rPr>
            <w:rStyle w:val="Hyperlink"/>
            <w:rFonts w:cs="Arial"/>
            <w:sz w:val="20"/>
            <w:szCs w:val="20"/>
          </w:rPr>
          <w:t xml:space="preserve"> </w:t>
        </w:r>
        <w:r w:rsidR="004C0945" w:rsidRPr="004C0945">
          <w:rPr>
            <w:rStyle w:val="Hyperlink"/>
            <w:rFonts w:cs="Arial"/>
            <w:sz w:val="20"/>
            <w:szCs w:val="20"/>
          </w:rPr>
          <w:t>20</w:t>
        </w:r>
      </w:hyperlink>
      <w:r w:rsidRPr="00214168">
        <w:rPr>
          <w:rFonts w:cs="Arial"/>
          <w:sz w:val="20"/>
          <w:szCs w:val="20"/>
        </w:rPr>
        <w:t>).</w:t>
      </w:r>
    </w:p>
    <w:p w14:paraId="7EC96EE2" w14:textId="77777777" w:rsidR="00F5731C" w:rsidRDefault="00F5731C" w:rsidP="000210A2">
      <w:pPr>
        <w:spacing w:line="360" w:lineRule="auto"/>
        <w:rPr>
          <w:rFonts w:cs="Arial"/>
          <w:sz w:val="20"/>
          <w:szCs w:val="20"/>
        </w:rPr>
      </w:pPr>
    </w:p>
    <w:p w14:paraId="14573E42" w14:textId="77777777" w:rsidR="00AF5F11" w:rsidRPr="00214168" w:rsidRDefault="00AF5F11" w:rsidP="000210A2">
      <w:pPr>
        <w:spacing w:line="360" w:lineRule="auto"/>
        <w:rPr>
          <w:rFonts w:cs="Arial"/>
          <w:sz w:val="20"/>
          <w:szCs w:val="20"/>
        </w:rPr>
      </w:pPr>
    </w:p>
    <w:p w14:paraId="5DCF6831" w14:textId="66178A79" w:rsidR="000B4D6A" w:rsidRPr="00D732A2" w:rsidRDefault="00907454" w:rsidP="00907454">
      <w:pPr>
        <w:pStyle w:val="Caption"/>
        <w:rPr>
          <w:rFonts w:asciiTheme="minorHAnsi" w:hAnsiTheme="minorHAnsi" w:cstheme="minorHAnsi"/>
          <w:lang w:val="it-IT"/>
        </w:rPr>
      </w:pPr>
      <w:bookmarkStart w:id="159" w:name="Tabella20"/>
      <w:bookmarkStart w:id="160" w:name="_Toc473150705"/>
      <w:bookmarkEnd w:id="159"/>
      <w:r w:rsidRPr="00907454">
        <w:rPr>
          <w:rFonts w:asciiTheme="minorHAnsi" w:hAnsiTheme="minorHAnsi" w:cstheme="minorHAnsi"/>
          <w:lang w:val="it-IT"/>
        </w:rPr>
        <w:t xml:space="preserve">Tabella </w:t>
      </w:r>
      <w:r w:rsidRPr="00907454">
        <w:rPr>
          <w:rFonts w:asciiTheme="minorHAnsi" w:hAnsiTheme="minorHAnsi" w:cstheme="minorHAnsi"/>
        </w:rPr>
        <w:fldChar w:fldCharType="begin"/>
      </w:r>
      <w:r w:rsidRPr="00907454">
        <w:rPr>
          <w:rFonts w:asciiTheme="minorHAnsi" w:hAnsiTheme="minorHAnsi" w:cstheme="minorHAnsi"/>
          <w:lang w:val="it-IT"/>
        </w:rPr>
        <w:instrText xml:space="preserve"> SEQ Tabella \* ARABIC </w:instrText>
      </w:r>
      <w:r w:rsidRPr="00907454">
        <w:rPr>
          <w:rFonts w:asciiTheme="minorHAnsi" w:hAnsiTheme="minorHAnsi" w:cstheme="minorHAnsi"/>
        </w:rPr>
        <w:fldChar w:fldCharType="separate"/>
      </w:r>
      <w:r w:rsidR="00A1679C">
        <w:rPr>
          <w:rFonts w:asciiTheme="minorHAnsi" w:hAnsiTheme="minorHAnsi" w:cstheme="minorHAnsi"/>
          <w:noProof/>
          <w:lang w:val="it-IT"/>
        </w:rPr>
        <w:t>20</w:t>
      </w:r>
      <w:r w:rsidRPr="00907454">
        <w:rPr>
          <w:rFonts w:asciiTheme="minorHAnsi" w:hAnsiTheme="minorHAnsi" w:cstheme="minorHAnsi"/>
        </w:rPr>
        <w:fldChar w:fldCharType="end"/>
      </w:r>
      <w:r w:rsidR="000B4D6A" w:rsidRPr="00907454">
        <w:rPr>
          <w:rFonts w:asciiTheme="minorHAnsi" w:hAnsiTheme="minorHAnsi" w:cstheme="minorHAnsi"/>
          <w:lang w:val="it-IT"/>
        </w:rPr>
        <w:t xml:space="preserve"> – </w:t>
      </w:r>
      <w:r w:rsidR="005848A1" w:rsidRPr="00907454">
        <w:rPr>
          <w:rFonts w:asciiTheme="minorHAnsi" w:hAnsiTheme="minorHAnsi" w:cstheme="minorHAnsi"/>
          <w:lang w:val="it-IT"/>
        </w:rPr>
        <w:t>SUA</w:t>
      </w:r>
      <w:r w:rsidR="000B4D6A" w:rsidRPr="00907454">
        <w:rPr>
          <w:rFonts w:asciiTheme="minorHAnsi" w:hAnsiTheme="minorHAnsi" w:cstheme="minorHAnsi"/>
          <w:lang w:val="it-IT"/>
        </w:rPr>
        <w:t xml:space="preserve"> responders al Mese 6 nel CLEAR 1 e CLEAR 2 (pooled) –</w:t>
      </w:r>
      <w:r w:rsidR="000B4D6A" w:rsidRPr="005365E9">
        <w:rPr>
          <w:rFonts w:asciiTheme="minorHAnsi" w:hAnsiTheme="minorHAnsi" w:cstheme="minorHAnsi"/>
          <w:lang w:val="it-IT"/>
        </w:rPr>
        <w:t xml:space="preserve"> età ≥65 anni</w:t>
      </w:r>
      <w:r w:rsidR="000B4D6A">
        <w:rPr>
          <w:rFonts w:asciiTheme="minorHAnsi" w:hAnsiTheme="minorHAnsi" w:cstheme="minorHAnsi"/>
          <w:lang w:val="it-IT"/>
        </w:rPr>
        <w:t xml:space="preserve"> </w:t>
      </w:r>
      <w:r w:rsidR="000E3022">
        <w:rPr>
          <w:rFonts w:asciiTheme="minorHAnsi" w:hAnsiTheme="minorHAnsi" w:cstheme="minorHAnsi"/>
          <w:lang w:val="it-IT"/>
        </w:rPr>
        <w:t xml:space="preserve">(analisi NRI, popolazione ITT) </w:t>
      </w:r>
      <w:r w:rsidR="000B4D6A">
        <w:rPr>
          <w:rFonts w:asciiTheme="minorHAnsi" w:hAnsiTheme="minorHAnsi" w:cstheme="minorHAnsi"/>
          <w:lang w:val="it-IT"/>
        </w:rPr>
        <w:t>(</w:t>
      </w:r>
      <w:r w:rsidR="000B4D6A" w:rsidRPr="005365E9">
        <w:rPr>
          <w:rFonts w:asciiTheme="minorHAnsi" w:hAnsiTheme="minorHAnsi" w:cstheme="minorHAnsi"/>
          <w:color w:val="0000FF"/>
          <w:lang w:val="it-IT"/>
        </w:rPr>
        <w:t>adatta</w:t>
      </w:r>
      <w:r w:rsidR="000B4D6A">
        <w:rPr>
          <w:rFonts w:asciiTheme="minorHAnsi" w:hAnsiTheme="minorHAnsi" w:cstheme="minorHAnsi"/>
          <w:color w:val="0000FF"/>
          <w:lang w:val="it-IT"/>
        </w:rPr>
        <w:t>t</w:t>
      </w:r>
      <w:r w:rsidR="000B4D6A" w:rsidRPr="005365E9">
        <w:rPr>
          <w:rFonts w:asciiTheme="minorHAnsi" w:hAnsiTheme="minorHAnsi" w:cstheme="minorHAnsi"/>
          <w:color w:val="0000FF"/>
          <w:lang w:val="it-IT"/>
        </w:rPr>
        <w:t xml:space="preserve">a da </w:t>
      </w:r>
      <w:r w:rsidR="008E6BDD">
        <w:rPr>
          <w:rFonts w:asciiTheme="minorHAnsi" w:hAnsiTheme="minorHAnsi" w:cstheme="minorHAnsi"/>
          <w:color w:val="0000FF"/>
          <w:lang w:val="it-IT"/>
        </w:rPr>
        <w:t>CSR 301,2014</w:t>
      </w:r>
      <w:r w:rsidR="000B4D6A" w:rsidRPr="005365E9">
        <w:rPr>
          <w:rFonts w:asciiTheme="minorHAnsi" w:hAnsiTheme="minorHAnsi" w:cstheme="minorHAnsi"/>
          <w:color w:val="0000FF"/>
          <w:lang w:val="it-IT"/>
        </w:rPr>
        <w:t xml:space="preserve"> e 302, 2014</w:t>
      </w:r>
      <w:r w:rsidR="000B4D6A">
        <w:rPr>
          <w:rFonts w:asciiTheme="minorHAnsi" w:hAnsiTheme="minorHAnsi" w:cstheme="minorHAnsi"/>
          <w:lang w:val="it-IT"/>
        </w:rPr>
        <w:t>)</w:t>
      </w:r>
      <w:bookmarkEnd w:id="160"/>
    </w:p>
    <w:tbl>
      <w:tblPr>
        <w:tblStyle w:val="TableGrid41"/>
        <w:tblW w:w="0" w:type="auto"/>
        <w:tblLook w:val="04A0" w:firstRow="1" w:lastRow="0" w:firstColumn="1" w:lastColumn="0" w:noHBand="0" w:noVBand="1"/>
      </w:tblPr>
      <w:tblGrid>
        <w:gridCol w:w="3297"/>
        <w:gridCol w:w="2935"/>
        <w:gridCol w:w="2785"/>
      </w:tblGrid>
      <w:tr w:rsidR="000B4D6A" w:rsidRPr="00D47C76" w14:paraId="46BE7270" w14:textId="77777777" w:rsidTr="00AF7722">
        <w:trPr>
          <w:tblHeader/>
        </w:trPr>
        <w:tc>
          <w:tcPr>
            <w:tcW w:w="3356" w:type="dxa"/>
            <w:shd w:val="clear" w:color="auto" w:fill="D9D9D9"/>
          </w:tcPr>
          <w:p w14:paraId="78DD13C9" w14:textId="77777777" w:rsidR="000B4D6A" w:rsidRPr="00D47C76" w:rsidRDefault="000B4D6A" w:rsidP="00AF7722">
            <w:pPr>
              <w:spacing w:before="60" w:after="60"/>
              <w:rPr>
                <w:rFonts w:ascii="Arial" w:eastAsia="Calibri" w:hAnsi="Arial" w:cs="Calibri"/>
                <w:sz w:val="18"/>
                <w:szCs w:val="18"/>
                <w:lang w:val="it-IT" w:eastAsia="en-US"/>
              </w:rPr>
            </w:pPr>
          </w:p>
        </w:tc>
        <w:tc>
          <w:tcPr>
            <w:tcW w:w="2989" w:type="dxa"/>
            <w:shd w:val="clear" w:color="auto" w:fill="D9D9D9"/>
            <w:vAlign w:val="center"/>
          </w:tcPr>
          <w:p w14:paraId="544D0D1D" w14:textId="77777777" w:rsidR="000B4D6A" w:rsidRPr="00D47C76" w:rsidRDefault="000B4D6A" w:rsidP="00AF7722">
            <w:pPr>
              <w:spacing w:before="60" w:after="60"/>
              <w:rPr>
                <w:rFonts w:ascii="Arial" w:eastAsia="Calibri" w:hAnsi="Arial" w:cs="Calibri"/>
                <w:color w:val="000000"/>
                <w:sz w:val="18"/>
                <w:szCs w:val="18"/>
                <w:lang w:eastAsia="en-US"/>
              </w:rPr>
            </w:pPr>
            <w:r w:rsidRPr="00D47C76">
              <w:rPr>
                <w:rFonts w:ascii="Arial" w:eastAsia="Calibri" w:hAnsi="Arial" w:cs="Calibri"/>
                <w:color w:val="000000"/>
                <w:sz w:val="18"/>
                <w:szCs w:val="18"/>
                <w:lang w:eastAsia="en-US"/>
              </w:rPr>
              <w:t>Lesinurad 200 mg + allopurinol (N=40)</w:t>
            </w:r>
          </w:p>
        </w:tc>
        <w:tc>
          <w:tcPr>
            <w:tcW w:w="2835" w:type="dxa"/>
            <w:shd w:val="clear" w:color="auto" w:fill="D9D9D9"/>
            <w:vAlign w:val="center"/>
          </w:tcPr>
          <w:p w14:paraId="2AFCFE8F" w14:textId="77777777" w:rsidR="000B4D6A" w:rsidRPr="00D47C76" w:rsidRDefault="000B4D6A" w:rsidP="00AF7722">
            <w:pPr>
              <w:spacing w:before="60" w:after="60"/>
              <w:rPr>
                <w:rFonts w:ascii="Arial" w:eastAsia="Calibri" w:hAnsi="Arial" w:cs="Calibri"/>
                <w:color w:val="000000"/>
                <w:sz w:val="18"/>
                <w:szCs w:val="18"/>
                <w:lang w:eastAsia="en-US"/>
              </w:rPr>
            </w:pPr>
            <w:r w:rsidRPr="00D47C76">
              <w:rPr>
                <w:rFonts w:ascii="Arial" w:eastAsia="Calibri" w:hAnsi="Arial" w:cs="Calibri"/>
                <w:color w:val="000000"/>
                <w:sz w:val="18"/>
                <w:szCs w:val="18"/>
                <w:lang w:eastAsia="en-US"/>
              </w:rPr>
              <w:t>Placebo + allopurinol (N=53)</w:t>
            </w:r>
          </w:p>
        </w:tc>
      </w:tr>
      <w:tr w:rsidR="000B4D6A" w:rsidRPr="00D47C76" w14:paraId="27DF44EE" w14:textId="77777777" w:rsidTr="00AF7722">
        <w:tc>
          <w:tcPr>
            <w:tcW w:w="3356" w:type="dxa"/>
            <w:vAlign w:val="bottom"/>
          </w:tcPr>
          <w:p w14:paraId="13391F43" w14:textId="2B8A98ED" w:rsidR="000B4D6A" w:rsidRPr="00D47C76" w:rsidRDefault="000B4D6A" w:rsidP="00AF7722">
            <w:pPr>
              <w:spacing w:before="60" w:after="60"/>
              <w:rPr>
                <w:rFonts w:ascii="Arial" w:eastAsia="Calibri" w:hAnsi="Arial" w:cs="Times New Roman"/>
                <w:sz w:val="18"/>
                <w:szCs w:val="18"/>
                <w:lang w:eastAsia="en-US"/>
              </w:rPr>
            </w:pPr>
            <w:r w:rsidRPr="00D47C76">
              <w:rPr>
                <w:rFonts w:ascii="Arial" w:eastAsia="Calibri" w:hAnsi="Arial" w:cs="Times New Roman"/>
                <w:sz w:val="18"/>
                <w:szCs w:val="18"/>
                <w:lang w:eastAsia="en-US"/>
              </w:rPr>
              <w:t xml:space="preserve">Proportion of </w:t>
            </w:r>
            <w:r w:rsidR="005848A1" w:rsidRPr="00D47C76">
              <w:rPr>
                <w:rFonts w:ascii="Arial" w:eastAsia="Calibri" w:hAnsi="Arial" w:cs="Times New Roman"/>
                <w:sz w:val="18"/>
                <w:szCs w:val="18"/>
                <w:lang w:eastAsia="en-US"/>
              </w:rPr>
              <w:t>sUA</w:t>
            </w:r>
            <w:r w:rsidRPr="00D47C76">
              <w:rPr>
                <w:rFonts w:ascii="Arial" w:eastAsia="Calibri" w:hAnsi="Arial" w:cs="Times New Roman"/>
                <w:sz w:val="18"/>
                <w:szCs w:val="18"/>
                <w:lang w:eastAsia="en-US"/>
              </w:rPr>
              <w:t xml:space="preserve"> responders</w:t>
            </w:r>
            <w:r w:rsidRPr="00D47C76">
              <w:rPr>
                <w:rFonts w:ascii="Arial" w:eastAsia="Calibri" w:hAnsi="Arial" w:cs="Times New Roman"/>
                <w:sz w:val="18"/>
                <w:szCs w:val="18"/>
                <w:vertAlign w:val="superscript"/>
                <w:lang w:eastAsia="en-US"/>
              </w:rPr>
              <w:t>†</w:t>
            </w:r>
            <w:r w:rsidRPr="00D47C76">
              <w:rPr>
                <w:rFonts w:ascii="Arial" w:eastAsia="Calibri" w:hAnsi="Arial" w:cs="Times New Roman"/>
                <w:sz w:val="18"/>
                <w:szCs w:val="18"/>
                <w:lang w:eastAsia="en-US"/>
              </w:rPr>
              <w:t>, n (%)</w:t>
            </w:r>
          </w:p>
        </w:tc>
        <w:tc>
          <w:tcPr>
            <w:tcW w:w="2989" w:type="dxa"/>
            <w:vAlign w:val="center"/>
          </w:tcPr>
          <w:p w14:paraId="11710863" w14:textId="77777777" w:rsidR="000B4D6A" w:rsidRPr="00D47C76" w:rsidRDefault="000B4D6A" w:rsidP="00AF7722">
            <w:pPr>
              <w:spacing w:before="60" w:after="60"/>
              <w:rPr>
                <w:rFonts w:ascii="Arial" w:eastAsia="Calibri" w:hAnsi="Arial" w:cs="Calibri"/>
                <w:color w:val="000000"/>
                <w:sz w:val="18"/>
                <w:szCs w:val="18"/>
                <w:lang w:eastAsia="en-US"/>
              </w:rPr>
            </w:pPr>
            <w:r w:rsidRPr="00D47C76">
              <w:rPr>
                <w:rFonts w:ascii="Arial" w:eastAsia="Calibri" w:hAnsi="Arial" w:cs="Calibri"/>
                <w:color w:val="000000"/>
                <w:sz w:val="18"/>
                <w:szCs w:val="18"/>
                <w:lang w:eastAsia="en-US"/>
              </w:rPr>
              <w:t>23 (57.5)</w:t>
            </w:r>
          </w:p>
        </w:tc>
        <w:tc>
          <w:tcPr>
            <w:tcW w:w="2835" w:type="dxa"/>
            <w:vAlign w:val="center"/>
          </w:tcPr>
          <w:p w14:paraId="385B7689" w14:textId="77777777" w:rsidR="000B4D6A" w:rsidRPr="00D47C76" w:rsidRDefault="000B4D6A" w:rsidP="00AF7722">
            <w:pPr>
              <w:spacing w:before="60" w:after="60"/>
              <w:rPr>
                <w:rFonts w:ascii="Arial" w:eastAsia="Calibri" w:hAnsi="Arial" w:cs="Calibri"/>
                <w:color w:val="000000"/>
                <w:sz w:val="18"/>
                <w:szCs w:val="18"/>
                <w:lang w:eastAsia="en-US"/>
              </w:rPr>
            </w:pPr>
            <w:r w:rsidRPr="00D47C76">
              <w:rPr>
                <w:rFonts w:ascii="Arial" w:eastAsia="Calibri" w:hAnsi="Arial" w:cs="Calibri"/>
                <w:color w:val="000000"/>
                <w:sz w:val="18"/>
                <w:szCs w:val="18"/>
                <w:lang w:eastAsia="en-US"/>
              </w:rPr>
              <w:t>15 (28.3)</w:t>
            </w:r>
          </w:p>
        </w:tc>
      </w:tr>
      <w:tr w:rsidR="000B4D6A" w:rsidRPr="00D47C76" w14:paraId="384ABC42" w14:textId="77777777" w:rsidTr="00AF7722">
        <w:tc>
          <w:tcPr>
            <w:tcW w:w="3356" w:type="dxa"/>
            <w:tcBorders>
              <w:bottom w:val="nil"/>
            </w:tcBorders>
            <w:vAlign w:val="bottom"/>
          </w:tcPr>
          <w:p w14:paraId="3B642C2A" w14:textId="77777777" w:rsidR="000B4D6A" w:rsidRPr="00D47C76" w:rsidRDefault="000B4D6A" w:rsidP="00AF7722">
            <w:pPr>
              <w:keepNext/>
              <w:spacing w:before="60" w:after="60"/>
              <w:rPr>
                <w:rFonts w:ascii="Arial" w:eastAsia="Calibri" w:hAnsi="Arial" w:cs="Calibri"/>
                <w:color w:val="000000"/>
                <w:sz w:val="18"/>
                <w:szCs w:val="18"/>
                <w:lang w:eastAsia="en-US"/>
              </w:rPr>
            </w:pPr>
            <w:r w:rsidRPr="00D47C76">
              <w:rPr>
                <w:rFonts w:ascii="Arial" w:eastAsia="Calibri" w:hAnsi="Arial" w:cs="Calibri"/>
                <w:color w:val="000000"/>
                <w:sz w:val="18"/>
                <w:szCs w:val="18"/>
                <w:lang w:eastAsia="en-US"/>
              </w:rPr>
              <w:t>Difference in proportions (95% CI), lesinurad vs. placebo</w:t>
            </w:r>
          </w:p>
        </w:tc>
        <w:tc>
          <w:tcPr>
            <w:tcW w:w="2989" w:type="dxa"/>
            <w:tcBorders>
              <w:bottom w:val="nil"/>
            </w:tcBorders>
            <w:vAlign w:val="bottom"/>
          </w:tcPr>
          <w:p w14:paraId="0CFF0899" w14:textId="77777777" w:rsidR="000B4D6A" w:rsidRPr="00D47C76" w:rsidRDefault="000B4D6A" w:rsidP="00AF7722">
            <w:pPr>
              <w:keepNext/>
              <w:spacing w:before="60" w:after="60"/>
              <w:rPr>
                <w:rFonts w:ascii="Arial" w:eastAsia="Calibri" w:hAnsi="Arial" w:cs="Calibri"/>
                <w:color w:val="000000"/>
                <w:sz w:val="18"/>
                <w:szCs w:val="18"/>
                <w:lang w:eastAsia="en-US"/>
              </w:rPr>
            </w:pPr>
            <w:r w:rsidRPr="00D47C76">
              <w:rPr>
                <w:rFonts w:ascii="Arial" w:eastAsia="Calibri" w:hAnsi="Arial" w:cs="Calibri"/>
                <w:color w:val="000000"/>
                <w:sz w:val="18"/>
                <w:szCs w:val="18"/>
                <w:lang w:eastAsia="en-US"/>
              </w:rPr>
              <w:t>0.29 (0.10, 0.49)</w:t>
            </w:r>
          </w:p>
        </w:tc>
        <w:tc>
          <w:tcPr>
            <w:tcW w:w="2835" w:type="dxa"/>
            <w:tcBorders>
              <w:bottom w:val="nil"/>
            </w:tcBorders>
            <w:vAlign w:val="center"/>
          </w:tcPr>
          <w:p w14:paraId="2EF9980B" w14:textId="77777777" w:rsidR="000B4D6A" w:rsidRPr="00D47C76" w:rsidRDefault="000B4D6A" w:rsidP="00AF7722">
            <w:pPr>
              <w:keepNext/>
              <w:spacing w:before="60" w:after="60"/>
              <w:rPr>
                <w:rFonts w:ascii="Arial" w:eastAsia="Calibri" w:hAnsi="Arial" w:cs="Calibri"/>
                <w:color w:val="000000"/>
                <w:sz w:val="18"/>
                <w:szCs w:val="18"/>
                <w:lang w:eastAsia="en-US"/>
              </w:rPr>
            </w:pPr>
          </w:p>
        </w:tc>
      </w:tr>
      <w:tr w:rsidR="000B4D6A" w:rsidRPr="00D47C76" w14:paraId="221D2142" w14:textId="77777777" w:rsidTr="00AF7722">
        <w:tc>
          <w:tcPr>
            <w:tcW w:w="3356" w:type="dxa"/>
            <w:tcBorders>
              <w:top w:val="nil"/>
            </w:tcBorders>
            <w:vAlign w:val="bottom"/>
          </w:tcPr>
          <w:p w14:paraId="2624F6C9" w14:textId="77777777" w:rsidR="000B4D6A" w:rsidRPr="00D47C76" w:rsidRDefault="000B4D6A" w:rsidP="00AF7722">
            <w:pPr>
              <w:keepNext/>
              <w:spacing w:before="60" w:after="60"/>
              <w:ind w:left="180"/>
              <w:rPr>
                <w:rFonts w:ascii="Arial" w:eastAsia="Calibri" w:hAnsi="Arial" w:cs="Calibri"/>
                <w:color w:val="000000"/>
                <w:sz w:val="18"/>
                <w:szCs w:val="18"/>
                <w:lang w:eastAsia="en-US"/>
              </w:rPr>
            </w:pPr>
            <w:r w:rsidRPr="00D47C76">
              <w:rPr>
                <w:rFonts w:ascii="Arial" w:eastAsia="Calibri" w:hAnsi="Arial" w:cs="Calibri"/>
                <w:color w:val="000000"/>
                <w:sz w:val="18"/>
                <w:szCs w:val="18"/>
                <w:lang w:eastAsia="en-US"/>
              </w:rPr>
              <w:t>p−value</w:t>
            </w:r>
            <w:r w:rsidRPr="00D47C76">
              <w:rPr>
                <w:rFonts w:ascii="Arial" w:eastAsia="Calibri" w:hAnsi="Arial" w:cs="Calibri"/>
                <w:color w:val="000000"/>
                <w:sz w:val="18"/>
                <w:szCs w:val="18"/>
                <w:vertAlign w:val="superscript"/>
                <w:lang w:eastAsia="en-US"/>
              </w:rPr>
              <w:t>†</w:t>
            </w:r>
          </w:p>
        </w:tc>
        <w:tc>
          <w:tcPr>
            <w:tcW w:w="2989" w:type="dxa"/>
            <w:tcBorders>
              <w:top w:val="nil"/>
            </w:tcBorders>
            <w:vAlign w:val="center"/>
          </w:tcPr>
          <w:p w14:paraId="731C4972" w14:textId="77777777" w:rsidR="000B4D6A" w:rsidRPr="00D47C76" w:rsidRDefault="000B4D6A" w:rsidP="00AF7722">
            <w:pPr>
              <w:keepNext/>
              <w:spacing w:before="60" w:after="60"/>
              <w:rPr>
                <w:rFonts w:ascii="Arial" w:eastAsia="Calibri" w:hAnsi="Arial" w:cs="Calibri"/>
                <w:color w:val="000000"/>
                <w:sz w:val="18"/>
                <w:szCs w:val="18"/>
                <w:lang w:eastAsia="en-US"/>
              </w:rPr>
            </w:pPr>
            <w:r w:rsidRPr="00D47C76">
              <w:rPr>
                <w:rFonts w:ascii="Arial" w:eastAsia="Calibri" w:hAnsi="Arial" w:cs="Calibri"/>
                <w:color w:val="000000"/>
                <w:sz w:val="18"/>
                <w:szCs w:val="18"/>
                <w:lang w:eastAsia="en-US"/>
              </w:rPr>
              <w:t>0.0102</w:t>
            </w:r>
          </w:p>
        </w:tc>
        <w:tc>
          <w:tcPr>
            <w:tcW w:w="2835" w:type="dxa"/>
            <w:tcBorders>
              <w:top w:val="nil"/>
            </w:tcBorders>
            <w:vAlign w:val="center"/>
          </w:tcPr>
          <w:p w14:paraId="1F3A7EBF" w14:textId="77777777" w:rsidR="000B4D6A" w:rsidRPr="00D47C76" w:rsidRDefault="000B4D6A" w:rsidP="00AF7722">
            <w:pPr>
              <w:keepNext/>
              <w:spacing w:before="60" w:after="60"/>
              <w:rPr>
                <w:rFonts w:ascii="Arial" w:eastAsia="Calibri" w:hAnsi="Arial" w:cs="Calibri"/>
                <w:color w:val="000000"/>
                <w:sz w:val="18"/>
                <w:szCs w:val="18"/>
                <w:lang w:eastAsia="en-US"/>
              </w:rPr>
            </w:pPr>
          </w:p>
        </w:tc>
      </w:tr>
    </w:tbl>
    <w:p w14:paraId="52919979" w14:textId="2DD467D4" w:rsidR="000B4D6A" w:rsidRPr="005365E9" w:rsidRDefault="000B4D6A" w:rsidP="000B4D6A">
      <w:pPr>
        <w:pStyle w:val="Caption"/>
        <w:rPr>
          <w:rFonts w:asciiTheme="minorHAnsi" w:hAnsiTheme="minorHAnsi" w:cstheme="minorHAnsi"/>
          <w:b w:val="0"/>
          <w:color w:val="auto"/>
          <w:sz w:val="18"/>
          <w:szCs w:val="18"/>
        </w:rPr>
      </w:pPr>
      <w:r w:rsidRPr="005365E9">
        <w:rPr>
          <w:rFonts w:asciiTheme="minorHAnsi" w:hAnsiTheme="minorHAnsi" w:cstheme="minorHAnsi"/>
          <w:b w:val="0"/>
          <w:color w:val="auto"/>
          <w:sz w:val="18"/>
          <w:szCs w:val="18"/>
          <w:lang w:val="en-GB"/>
        </w:rPr>
        <w:t xml:space="preserve">†Defined as subjects achieving </w:t>
      </w:r>
      <w:r w:rsidR="005848A1">
        <w:rPr>
          <w:rFonts w:asciiTheme="minorHAnsi" w:hAnsiTheme="minorHAnsi" w:cstheme="minorHAnsi"/>
          <w:b w:val="0"/>
          <w:color w:val="auto"/>
          <w:sz w:val="18"/>
          <w:szCs w:val="18"/>
          <w:lang w:val="en-GB"/>
        </w:rPr>
        <w:t>sUA</w:t>
      </w:r>
      <w:r w:rsidRPr="005365E9">
        <w:rPr>
          <w:rFonts w:asciiTheme="minorHAnsi" w:hAnsiTheme="minorHAnsi" w:cstheme="minorHAnsi"/>
          <w:b w:val="0"/>
          <w:color w:val="auto"/>
          <w:sz w:val="18"/>
          <w:szCs w:val="18"/>
          <w:lang w:val="en-GB"/>
        </w:rPr>
        <w:t xml:space="preserve"> &lt;6.0 mg/dL by Month 6. Subjects missing the Month 6 </w:t>
      </w:r>
      <w:r w:rsidR="005848A1">
        <w:rPr>
          <w:rFonts w:asciiTheme="minorHAnsi" w:hAnsiTheme="minorHAnsi" w:cstheme="minorHAnsi"/>
          <w:b w:val="0"/>
          <w:color w:val="auto"/>
          <w:sz w:val="18"/>
          <w:szCs w:val="18"/>
          <w:lang w:val="en-GB"/>
        </w:rPr>
        <w:t>sUA</w:t>
      </w:r>
      <w:r w:rsidRPr="005365E9">
        <w:rPr>
          <w:rFonts w:asciiTheme="minorHAnsi" w:hAnsiTheme="minorHAnsi" w:cstheme="minorHAnsi"/>
          <w:b w:val="0"/>
          <w:color w:val="auto"/>
          <w:sz w:val="18"/>
          <w:szCs w:val="18"/>
          <w:lang w:val="en-GB"/>
        </w:rPr>
        <w:t xml:space="preserve"> result are treated as non</w:t>
      </w:r>
      <w:r w:rsidRPr="005365E9">
        <w:rPr>
          <w:rFonts w:asciiTheme="minorHAnsi" w:hAnsiTheme="minorHAnsi" w:cstheme="minorHAnsi"/>
          <w:b w:val="0"/>
          <w:color w:val="auto"/>
          <w:sz w:val="18"/>
          <w:szCs w:val="18"/>
          <w:lang w:val="en-GB"/>
        </w:rPr>
        <w:noBreakHyphen/>
        <w:t>responders.</w:t>
      </w:r>
      <w:r w:rsidRPr="005365E9">
        <w:rPr>
          <w:rFonts w:asciiTheme="minorHAnsi" w:hAnsiTheme="minorHAnsi" w:cstheme="minorHAnsi"/>
          <w:b w:val="0"/>
          <w:color w:val="auto"/>
          <w:sz w:val="18"/>
          <w:szCs w:val="18"/>
          <w:lang w:val="en-GB"/>
        </w:rPr>
        <w:tab/>
      </w:r>
      <w:r w:rsidRPr="005365E9">
        <w:rPr>
          <w:rFonts w:asciiTheme="minorHAnsi" w:hAnsiTheme="minorHAnsi" w:cstheme="minorHAnsi"/>
          <w:b w:val="0"/>
          <w:color w:val="auto"/>
          <w:sz w:val="18"/>
          <w:szCs w:val="18"/>
          <w:lang w:val="en-GB"/>
        </w:rPr>
        <w:tab/>
      </w:r>
      <w:r w:rsidRPr="005365E9">
        <w:rPr>
          <w:rFonts w:asciiTheme="minorHAnsi" w:hAnsiTheme="minorHAnsi" w:cstheme="minorHAnsi"/>
          <w:b w:val="0"/>
          <w:color w:val="auto"/>
          <w:sz w:val="18"/>
          <w:szCs w:val="18"/>
          <w:lang w:val="en-GB"/>
        </w:rPr>
        <w:tab/>
      </w:r>
      <w:r w:rsidRPr="005365E9">
        <w:rPr>
          <w:rFonts w:asciiTheme="minorHAnsi" w:hAnsiTheme="minorHAnsi" w:cstheme="minorHAnsi"/>
          <w:b w:val="0"/>
          <w:color w:val="auto"/>
          <w:sz w:val="18"/>
          <w:szCs w:val="18"/>
          <w:lang w:val="en-GB"/>
        </w:rPr>
        <w:tab/>
      </w:r>
      <w:r w:rsidRPr="005365E9">
        <w:rPr>
          <w:rFonts w:asciiTheme="minorHAnsi" w:hAnsiTheme="minorHAnsi" w:cstheme="minorHAnsi"/>
          <w:b w:val="0"/>
          <w:color w:val="auto"/>
          <w:sz w:val="18"/>
          <w:szCs w:val="18"/>
          <w:lang w:val="en-GB"/>
        </w:rPr>
        <w:tab/>
      </w:r>
      <w:r w:rsidRPr="005365E9">
        <w:rPr>
          <w:rFonts w:asciiTheme="minorHAnsi" w:hAnsiTheme="minorHAnsi" w:cstheme="minorHAnsi"/>
          <w:b w:val="0"/>
          <w:color w:val="auto"/>
          <w:sz w:val="18"/>
          <w:szCs w:val="18"/>
          <w:lang w:val="en-GB"/>
        </w:rPr>
        <w:tab/>
      </w:r>
      <w:r w:rsidRPr="005365E9">
        <w:rPr>
          <w:rFonts w:asciiTheme="minorHAnsi" w:hAnsiTheme="minorHAnsi" w:cstheme="minorHAnsi"/>
          <w:b w:val="0"/>
          <w:color w:val="auto"/>
          <w:sz w:val="18"/>
          <w:szCs w:val="18"/>
          <w:lang w:val="en-GB"/>
        </w:rPr>
        <w:tab/>
      </w:r>
      <w:r w:rsidRPr="005365E9">
        <w:rPr>
          <w:rFonts w:asciiTheme="minorHAnsi" w:hAnsiTheme="minorHAnsi" w:cstheme="minorHAnsi"/>
          <w:b w:val="0"/>
          <w:color w:val="auto"/>
          <w:sz w:val="18"/>
          <w:szCs w:val="18"/>
          <w:lang w:val="en-GB"/>
        </w:rPr>
        <w:tab/>
      </w:r>
      <w:r w:rsidRPr="005365E9">
        <w:rPr>
          <w:rFonts w:asciiTheme="minorHAnsi" w:hAnsiTheme="minorHAnsi" w:cstheme="minorHAnsi"/>
          <w:b w:val="0"/>
          <w:color w:val="auto"/>
          <w:sz w:val="18"/>
          <w:szCs w:val="18"/>
          <w:lang w:val="en-GB"/>
        </w:rPr>
        <w:br/>
        <w:t>‡Cochran</w:t>
      </w:r>
      <w:r w:rsidRPr="005365E9">
        <w:rPr>
          <w:rFonts w:asciiTheme="minorHAnsi" w:hAnsiTheme="minorHAnsi" w:cstheme="minorHAnsi"/>
          <w:b w:val="0"/>
          <w:color w:val="auto"/>
          <w:sz w:val="18"/>
          <w:szCs w:val="18"/>
          <w:lang w:val="en-GB"/>
        </w:rPr>
        <w:noBreakHyphen/>
        <w:t>Mantel Haenszel test stratified by Day −7 renal function (eCrCl ≥ 60 mL/min versus &lt; 60 mL/min) and tophus status during Screening (presence versus absence), randomized stratification values.</w:t>
      </w:r>
      <w:r w:rsidRPr="005365E9">
        <w:rPr>
          <w:rFonts w:asciiTheme="minorHAnsi" w:hAnsiTheme="minorHAnsi" w:cstheme="minorHAnsi"/>
          <w:b w:val="0"/>
          <w:color w:val="auto"/>
          <w:sz w:val="18"/>
          <w:szCs w:val="18"/>
          <w:lang w:val="en-GB"/>
        </w:rPr>
        <w:tab/>
      </w:r>
      <w:r w:rsidRPr="005365E9">
        <w:rPr>
          <w:rFonts w:asciiTheme="minorHAnsi" w:hAnsiTheme="minorHAnsi" w:cstheme="minorHAnsi"/>
          <w:b w:val="0"/>
          <w:color w:val="auto"/>
          <w:sz w:val="18"/>
          <w:szCs w:val="18"/>
          <w:lang w:val="en-GB"/>
        </w:rPr>
        <w:br/>
        <w:t>Abbreviations: CI, confidence interval; ITT, intent</w:t>
      </w:r>
      <w:r w:rsidRPr="005365E9">
        <w:rPr>
          <w:rFonts w:asciiTheme="minorHAnsi" w:hAnsiTheme="minorHAnsi" w:cstheme="minorHAnsi"/>
          <w:b w:val="0"/>
          <w:color w:val="auto"/>
          <w:sz w:val="18"/>
          <w:szCs w:val="18"/>
          <w:lang w:val="en-GB"/>
        </w:rPr>
        <w:noBreakHyphen/>
        <w:t>to</w:t>
      </w:r>
      <w:r w:rsidRPr="005365E9">
        <w:rPr>
          <w:rFonts w:asciiTheme="minorHAnsi" w:hAnsiTheme="minorHAnsi" w:cstheme="minorHAnsi"/>
          <w:b w:val="0"/>
          <w:color w:val="auto"/>
          <w:sz w:val="18"/>
          <w:szCs w:val="18"/>
          <w:lang w:val="en-GB"/>
        </w:rPr>
        <w:noBreakHyphen/>
        <w:t xml:space="preserve">treat; SD, standard deviation; </w:t>
      </w:r>
      <w:r w:rsidR="005848A1">
        <w:rPr>
          <w:rFonts w:asciiTheme="minorHAnsi" w:hAnsiTheme="minorHAnsi" w:cstheme="minorHAnsi"/>
          <w:b w:val="0"/>
          <w:color w:val="auto"/>
          <w:sz w:val="18"/>
          <w:szCs w:val="18"/>
          <w:lang w:val="en-GB"/>
        </w:rPr>
        <w:t>sUA</w:t>
      </w:r>
      <w:r w:rsidRPr="005365E9">
        <w:rPr>
          <w:rFonts w:asciiTheme="minorHAnsi" w:hAnsiTheme="minorHAnsi" w:cstheme="minorHAnsi"/>
          <w:b w:val="0"/>
          <w:color w:val="auto"/>
          <w:sz w:val="18"/>
          <w:szCs w:val="18"/>
          <w:lang w:val="en-GB"/>
        </w:rPr>
        <w:t>, serum uric acid.</w:t>
      </w:r>
    </w:p>
    <w:p w14:paraId="4ACA5C6D" w14:textId="77777777" w:rsidR="00907454" w:rsidRPr="000279BA" w:rsidRDefault="00907454" w:rsidP="000210A2">
      <w:pPr>
        <w:spacing w:line="360" w:lineRule="auto"/>
        <w:rPr>
          <w:rFonts w:cs="Arial"/>
          <w:sz w:val="20"/>
          <w:szCs w:val="20"/>
          <w:lang w:val="en-US"/>
        </w:rPr>
      </w:pPr>
    </w:p>
    <w:p w14:paraId="36B98F26" w14:textId="012E202B" w:rsidR="000B4D6A" w:rsidRPr="00214168" w:rsidRDefault="000B4D6A" w:rsidP="000210A2">
      <w:pPr>
        <w:spacing w:line="360" w:lineRule="auto"/>
        <w:rPr>
          <w:rFonts w:cs="Arial"/>
          <w:sz w:val="20"/>
          <w:szCs w:val="20"/>
        </w:rPr>
      </w:pPr>
      <w:r w:rsidRPr="00214168">
        <w:rPr>
          <w:rFonts w:cs="Arial"/>
          <w:sz w:val="20"/>
          <w:szCs w:val="20"/>
        </w:rPr>
        <w:t xml:space="preserve">Nel sottogruppo di pazienti con età </w:t>
      </w:r>
      <w:r>
        <w:rPr>
          <w:rFonts w:cs="Arial"/>
          <w:sz w:val="20"/>
          <w:szCs w:val="20"/>
        </w:rPr>
        <w:t>&lt;</w:t>
      </w:r>
      <w:r w:rsidRPr="00214168">
        <w:rPr>
          <w:rFonts w:cs="Arial"/>
          <w:sz w:val="20"/>
          <w:szCs w:val="20"/>
        </w:rPr>
        <w:t xml:space="preserve">65 anni, </w:t>
      </w:r>
      <w:r>
        <w:rPr>
          <w:rFonts w:cs="Arial"/>
          <w:sz w:val="20"/>
          <w:szCs w:val="20"/>
        </w:rPr>
        <w:t xml:space="preserve">il risultato di superiorità di </w:t>
      </w:r>
      <w:r w:rsidRPr="00214168">
        <w:rPr>
          <w:rFonts w:cs="Arial"/>
          <w:sz w:val="20"/>
          <w:szCs w:val="20"/>
        </w:rPr>
        <w:t xml:space="preserve">lesinurad 200 mg si è </w:t>
      </w:r>
      <w:r>
        <w:rPr>
          <w:rFonts w:cs="Arial"/>
          <w:sz w:val="20"/>
          <w:szCs w:val="20"/>
        </w:rPr>
        <w:t>confermato con il 54.5% di pazienti che ha raggiunto il target rispetto al 25.1% di pazienti trattati con allopurinolo in monoterapia (p&lt;</w:t>
      </w:r>
      <w:r w:rsidRPr="00214168">
        <w:rPr>
          <w:rFonts w:cs="Arial"/>
          <w:sz w:val="20"/>
          <w:szCs w:val="20"/>
        </w:rPr>
        <w:t>0.0</w:t>
      </w:r>
      <w:r>
        <w:rPr>
          <w:rFonts w:cs="Arial"/>
          <w:sz w:val="20"/>
          <w:szCs w:val="20"/>
        </w:rPr>
        <w:t>00</w:t>
      </w:r>
      <w:r w:rsidRPr="00214168">
        <w:rPr>
          <w:rFonts w:cs="Arial"/>
          <w:sz w:val="20"/>
          <w:szCs w:val="20"/>
        </w:rPr>
        <w:t>1) (</w:t>
      </w:r>
      <w:hyperlink w:anchor="Tabella21" w:history="1">
        <w:r w:rsidRPr="00907454">
          <w:rPr>
            <w:rStyle w:val="Hyperlink"/>
            <w:rFonts w:cs="Arial"/>
            <w:sz w:val="20"/>
            <w:szCs w:val="20"/>
          </w:rPr>
          <w:t>Tabella</w:t>
        </w:r>
        <w:r w:rsidR="00907454" w:rsidRPr="00907454">
          <w:rPr>
            <w:rStyle w:val="Hyperlink"/>
            <w:rFonts w:cs="Arial"/>
            <w:sz w:val="20"/>
            <w:szCs w:val="20"/>
          </w:rPr>
          <w:t xml:space="preserve"> </w:t>
        </w:r>
        <w:r w:rsidR="004C0945">
          <w:rPr>
            <w:rStyle w:val="Hyperlink"/>
            <w:rFonts w:cs="Arial"/>
            <w:sz w:val="20"/>
            <w:szCs w:val="20"/>
          </w:rPr>
          <w:t>21</w:t>
        </w:r>
      </w:hyperlink>
      <w:r w:rsidRPr="00214168">
        <w:rPr>
          <w:rFonts w:cs="Arial"/>
          <w:sz w:val="20"/>
          <w:szCs w:val="20"/>
        </w:rPr>
        <w:t>).</w:t>
      </w:r>
    </w:p>
    <w:p w14:paraId="6E783652" w14:textId="10AFE2EB" w:rsidR="00907454" w:rsidRDefault="00907454" w:rsidP="000210A2">
      <w:pPr>
        <w:rPr>
          <w:rFonts w:eastAsia="Times New Roman" w:cstheme="minorHAnsi"/>
          <w:b/>
          <w:bCs/>
          <w:color w:val="00355F"/>
          <w:sz w:val="20"/>
          <w:szCs w:val="20"/>
          <w:lang w:eastAsia="en-US"/>
        </w:rPr>
      </w:pPr>
    </w:p>
    <w:p w14:paraId="5794BF73" w14:textId="40F7475E" w:rsidR="000B4D6A" w:rsidRPr="001D660E" w:rsidRDefault="00907454" w:rsidP="00907454">
      <w:pPr>
        <w:pStyle w:val="Caption"/>
        <w:rPr>
          <w:rFonts w:cstheme="minorHAnsi"/>
          <w:lang w:val="it-IT"/>
        </w:rPr>
      </w:pPr>
      <w:bookmarkStart w:id="161" w:name="Tabella21"/>
      <w:bookmarkStart w:id="162" w:name="_Toc473150706"/>
      <w:bookmarkEnd w:id="161"/>
      <w:r w:rsidRPr="00907454">
        <w:rPr>
          <w:rFonts w:asciiTheme="minorHAnsi" w:hAnsiTheme="minorHAnsi" w:cstheme="minorHAnsi"/>
          <w:lang w:val="it-IT"/>
        </w:rPr>
        <w:t xml:space="preserve">Tabella </w:t>
      </w:r>
      <w:r w:rsidRPr="00907454">
        <w:rPr>
          <w:rFonts w:asciiTheme="minorHAnsi" w:hAnsiTheme="minorHAnsi" w:cstheme="minorHAnsi"/>
        </w:rPr>
        <w:fldChar w:fldCharType="begin"/>
      </w:r>
      <w:r w:rsidRPr="00907454">
        <w:rPr>
          <w:rFonts w:asciiTheme="minorHAnsi" w:hAnsiTheme="minorHAnsi" w:cstheme="minorHAnsi"/>
          <w:lang w:val="it-IT"/>
        </w:rPr>
        <w:instrText xml:space="preserve"> SEQ Tabella \* ARABIC </w:instrText>
      </w:r>
      <w:r w:rsidRPr="00907454">
        <w:rPr>
          <w:rFonts w:asciiTheme="minorHAnsi" w:hAnsiTheme="minorHAnsi" w:cstheme="minorHAnsi"/>
        </w:rPr>
        <w:fldChar w:fldCharType="separate"/>
      </w:r>
      <w:r w:rsidR="00A1679C">
        <w:rPr>
          <w:rFonts w:asciiTheme="minorHAnsi" w:hAnsiTheme="minorHAnsi" w:cstheme="minorHAnsi"/>
          <w:noProof/>
          <w:lang w:val="it-IT"/>
        </w:rPr>
        <w:t>21</w:t>
      </w:r>
      <w:r w:rsidRPr="00907454">
        <w:rPr>
          <w:rFonts w:asciiTheme="minorHAnsi" w:hAnsiTheme="minorHAnsi" w:cstheme="minorHAnsi"/>
        </w:rPr>
        <w:fldChar w:fldCharType="end"/>
      </w:r>
      <w:r w:rsidR="000B4D6A" w:rsidRPr="00907454">
        <w:rPr>
          <w:rFonts w:asciiTheme="minorHAnsi" w:hAnsiTheme="minorHAnsi" w:cstheme="minorHAnsi"/>
          <w:lang w:val="it-IT"/>
        </w:rPr>
        <w:t xml:space="preserve"> - </w:t>
      </w:r>
      <w:r w:rsidR="005848A1" w:rsidRPr="00907454">
        <w:rPr>
          <w:rFonts w:asciiTheme="minorHAnsi" w:hAnsiTheme="minorHAnsi" w:cstheme="minorHAnsi"/>
          <w:lang w:val="it-IT"/>
        </w:rPr>
        <w:t>SUA</w:t>
      </w:r>
      <w:r w:rsidR="000B4D6A" w:rsidRPr="00907454">
        <w:rPr>
          <w:rFonts w:asciiTheme="minorHAnsi" w:hAnsiTheme="minorHAnsi" w:cstheme="minorHAnsi"/>
          <w:lang w:val="it-IT"/>
        </w:rPr>
        <w:t xml:space="preserve"> responders ale Mese 6 nel CLEAR 1 e CLEAR 2 (pooled) –</w:t>
      </w:r>
      <w:r w:rsidR="000E3022">
        <w:rPr>
          <w:rFonts w:asciiTheme="minorHAnsi" w:hAnsiTheme="minorHAnsi" w:cstheme="minorHAnsi"/>
          <w:lang w:val="it-IT"/>
        </w:rPr>
        <w:t xml:space="preserve"> </w:t>
      </w:r>
      <w:r w:rsidR="000B4D6A" w:rsidRPr="005365E9">
        <w:rPr>
          <w:rFonts w:asciiTheme="minorHAnsi" w:hAnsiTheme="minorHAnsi" w:cstheme="minorHAnsi"/>
          <w:lang w:val="it-IT"/>
        </w:rPr>
        <w:t xml:space="preserve">età </w:t>
      </w:r>
      <w:r w:rsidR="000B4D6A">
        <w:rPr>
          <w:rFonts w:asciiTheme="minorHAnsi" w:hAnsiTheme="minorHAnsi" w:cstheme="minorHAnsi"/>
          <w:lang w:val="it-IT"/>
        </w:rPr>
        <w:t>&lt;</w:t>
      </w:r>
      <w:r w:rsidR="000B4D6A" w:rsidRPr="005365E9">
        <w:rPr>
          <w:rFonts w:asciiTheme="minorHAnsi" w:hAnsiTheme="minorHAnsi" w:cstheme="minorHAnsi"/>
          <w:lang w:val="it-IT"/>
        </w:rPr>
        <w:t>65 anni</w:t>
      </w:r>
      <w:r w:rsidR="000E3022">
        <w:rPr>
          <w:rFonts w:asciiTheme="minorHAnsi" w:hAnsiTheme="minorHAnsi" w:cstheme="minorHAnsi"/>
          <w:lang w:val="it-IT"/>
        </w:rPr>
        <w:t xml:space="preserve"> (analisi NRI, popolazione ITT) </w:t>
      </w:r>
      <w:r w:rsidR="000B4D6A">
        <w:rPr>
          <w:rFonts w:asciiTheme="minorHAnsi" w:hAnsiTheme="minorHAnsi" w:cstheme="minorHAnsi"/>
          <w:lang w:val="it-IT"/>
        </w:rPr>
        <w:t xml:space="preserve"> (</w:t>
      </w:r>
      <w:r w:rsidR="000B4D6A">
        <w:rPr>
          <w:rFonts w:asciiTheme="minorHAnsi" w:hAnsiTheme="minorHAnsi" w:cstheme="minorHAnsi"/>
          <w:color w:val="0000FF"/>
          <w:lang w:val="it-IT"/>
        </w:rPr>
        <w:t>adattat</w:t>
      </w:r>
      <w:r w:rsidR="000B4D6A" w:rsidRPr="005365E9">
        <w:rPr>
          <w:rFonts w:asciiTheme="minorHAnsi" w:hAnsiTheme="minorHAnsi" w:cstheme="minorHAnsi"/>
          <w:color w:val="0000FF"/>
          <w:lang w:val="it-IT"/>
        </w:rPr>
        <w:t xml:space="preserve">a da </w:t>
      </w:r>
      <w:r w:rsidR="008E6BDD">
        <w:rPr>
          <w:rFonts w:asciiTheme="minorHAnsi" w:hAnsiTheme="minorHAnsi" w:cstheme="minorHAnsi"/>
          <w:color w:val="0000FF"/>
          <w:lang w:val="it-IT"/>
        </w:rPr>
        <w:t>CSR 301,2014</w:t>
      </w:r>
      <w:r w:rsidR="00D31D9A">
        <w:rPr>
          <w:rFonts w:asciiTheme="minorHAnsi" w:hAnsiTheme="minorHAnsi" w:cstheme="minorHAnsi"/>
          <w:color w:val="0000FF"/>
          <w:lang w:val="it-IT"/>
        </w:rPr>
        <w:t xml:space="preserve"> </w:t>
      </w:r>
      <w:r w:rsidR="000B4D6A" w:rsidRPr="005365E9">
        <w:rPr>
          <w:rFonts w:asciiTheme="minorHAnsi" w:hAnsiTheme="minorHAnsi" w:cstheme="minorHAnsi"/>
          <w:color w:val="0000FF"/>
          <w:lang w:val="it-IT"/>
        </w:rPr>
        <w:t>e 302, 2014</w:t>
      </w:r>
      <w:r w:rsidR="000B4D6A">
        <w:rPr>
          <w:rFonts w:asciiTheme="minorHAnsi" w:hAnsiTheme="minorHAnsi" w:cstheme="minorHAnsi"/>
          <w:lang w:val="it-IT"/>
        </w:rPr>
        <w:t>)</w:t>
      </w:r>
      <w:bookmarkEnd w:id="162"/>
    </w:p>
    <w:tbl>
      <w:tblPr>
        <w:tblStyle w:val="TableGrid3"/>
        <w:tblW w:w="0" w:type="auto"/>
        <w:tblLook w:val="04A0" w:firstRow="1" w:lastRow="0" w:firstColumn="1" w:lastColumn="0" w:noHBand="0" w:noVBand="1"/>
      </w:tblPr>
      <w:tblGrid>
        <w:gridCol w:w="3238"/>
        <w:gridCol w:w="3107"/>
        <w:gridCol w:w="2552"/>
      </w:tblGrid>
      <w:tr w:rsidR="000B4D6A" w:rsidRPr="00041CD9" w14:paraId="7FCB7443" w14:textId="77777777" w:rsidTr="00AF7722">
        <w:trPr>
          <w:tblHeader/>
        </w:trPr>
        <w:tc>
          <w:tcPr>
            <w:tcW w:w="3238" w:type="dxa"/>
            <w:shd w:val="clear" w:color="auto" w:fill="D9D9D9"/>
          </w:tcPr>
          <w:p w14:paraId="00818B21" w14:textId="77777777" w:rsidR="000B4D6A" w:rsidRPr="00041CD9" w:rsidRDefault="000B4D6A" w:rsidP="00AF7722">
            <w:pPr>
              <w:spacing w:before="60" w:after="60"/>
              <w:rPr>
                <w:rFonts w:ascii="Arial" w:eastAsia="Calibri" w:hAnsi="Arial" w:cs="Calibri"/>
                <w:sz w:val="18"/>
                <w:szCs w:val="18"/>
                <w:lang w:val="it-IT" w:eastAsia="en-US"/>
              </w:rPr>
            </w:pPr>
          </w:p>
        </w:tc>
        <w:tc>
          <w:tcPr>
            <w:tcW w:w="3107" w:type="dxa"/>
            <w:shd w:val="clear" w:color="auto" w:fill="D9D9D9"/>
            <w:vAlign w:val="center"/>
          </w:tcPr>
          <w:p w14:paraId="04C31721" w14:textId="77777777" w:rsidR="000B4D6A" w:rsidRPr="00041CD9" w:rsidRDefault="000B4D6A" w:rsidP="00AF7722">
            <w:pPr>
              <w:spacing w:before="60" w:after="60"/>
              <w:jc w:val="center"/>
              <w:rPr>
                <w:rFonts w:ascii="Arial" w:eastAsia="Calibri" w:hAnsi="Arial" w:cs="Calibri"/>
                <w:b/>
                <w:color w:val="000000"/>
                <w:sz w:val="18"/>
                <w:szCs w:val="18"/>
                <w:lang w:eastAsia="en-US"/>
              </w:rPr>
            </w:pPr>
            <w:r w:rsidRPr="00041CD9">
              <w:rPr>
                <w:rFonts w:ascii="Arial" w:eastAsia="Calibri" w:hAnsi="Arial" w:cs="Calibri"/>
                <w:b/>
                <w:color w:val="000000"/>
                <w:sz w:val="18"/>
                <w:szCs w:val="18"/>
                <w:lang w:eastAsia="en-US"/>
              </w:rPr>
              <w:t>Lesinurad 200 mg + allopurinol (N=365)</w:t>
            </w:r>
          </w:p>
        </w:tc>
        <w:tc>
          <w:tcPr>
            <w:tcW w:w="2552" w:type="dxa"/>
            <w:shd w:val="clear" w:color="auto" w:fill="D9D9D9"/>
            <w:vAlign w:val="center"/>
          </w:tcPr>
          <w:p w14:paraId="4B5B11EC" w14:textId="77777777" w:rsidR="000B4D6A" w:rsidRPr="00041CD9" w:rsidRDefault="000B4D6A" w:rsidP="00AF7722">
            <w:pPr>
              <w:spacing w:before="60" w:after="60"/>
              <w:jc w:val="center"/>
              <w:rPr>
                <w:rFonts w:ascii="Arial" w:eastAsia="Calibri" w:hAnsi="Arial" w:cs="Calibri"/>
                <w:b/>
                <w:color w:val="000000"/>
                <w:sz w:val="18"/>
                <w:szCs w:val="18"/>
                <w:lang w:eastAsia="en-US"/>
              </w:rPr>
            </w:pPr>
            <w:r w:rsidRPr="00041CD9">
              <w:rPr>
                <w:rFonts w:ascii="Arial" w:eastAsia="Calibri" w:hAnsi="Arial" w:cs="Calibri"/>
                <w:b/>
                <w:color w:val="000000"/>
                <w:sz w:val="18"/>
                <w:szCs w:val="18"/>
                <w:lang w:eastAsia="en-US"/>
              </w:rPr>
              <w:t>Placebo + allopurinol (N=354)</w:t>
            </w:r>
          </w:p>
        </w:tc>
      </w:tr>
      <w:tr w:rsidR="000B4D6A" w:rsidRPr="00041CD9" w14:paraId="33F69B45" w14:textId="77777777" w:rsidTr="00AF7722">
        <w:tc>
          <w:tcPr>
            <w:tcW w:w="3238" w:type="dxa"/>
            <w:vAlign w:val="bottom"/>
          </w:tcPr>
          <w:p w14:paraId="3B383403" w14:textId="62B23099" w:rsidR="000B4D6A" w:rsidRPr="00041CD9" w:rsidRDefault="000B4D6A" w:rsidP="00AF7722">
            <w:pPr>
              <w:spacing w:before="60" w:after="60"/>
              <w:rPr>
                <w:rFonts w:ascii="Arial" w:eastAsia="Calibri" w:hAnsi="Arial" w:cs="Times New Roman"/>
                <w:sz w:val="18"/>
                <w:szCs w:val="18"/>
                <w:lang w:eastAsia="en-US"/>
              </w:rPr>
            </w:pPr>
            <w:r w:rsidRPr="00041CD9">
              <w:rPr>
                <w:rFonts w:ascii="Arial" w:eastAsia="Calibri" w:hAnsi="Arial" w:cs="Times New Roman"/>
                <w:sz w:val="18"/>
                <w:szCs w:val="18"/>
                <w:lang w:eastAsia="en-US"/>
              </w:rPr>
              <w:t xml:space="preserve">Proportion of </w:t>
            </w:r>
            <w:r w:rsidR="005848A1" w:rsidRPr="00041CD9">
              <w:rPr>
                <w:rFonts w:ascii="Arial" w:eastAsia="Calibri" w:hAnsi="Arial" w:cs="Times New Roman"/>
                <w:sz w:val="18"/>
                <w:szCs w:val="18"/>
                <w:lang w:eastAsia="en-US"/>
              </w:rPr>
              <w:t>sUA</w:t>
            </w:r>
            <w:r w:rsidRPr="00041CD9">
              <w:rPr>
                <w:rFonts w:ascii="Arial" w:eastAsia="Calibri" w:hAnsi="Arial" w:cs="Times New Roman"/>
                <w:sz w:val="18"/>
                <w:szCs w:val="18"/>
                <w:lang w:eastAsia="en-US"/>
              </w:rPr>
              <w:t xml:space="preserve"> responders</w:t>
            </w:r>
            <w:r w:rsidRPr="00041CD9">
              <w:rPr>
                <w:rFonts w:ascii="Arial" w:eastAsia="Calibri" w:hAnsi="Arial" w:cs="Times New Roman"/>
                <w:sz w:val="18"/>
                <w:szCs w:val="18"/>
                <w:vertAlign w:val="superscript"/>
                <w:lang w:eastAsia="en-US"/>
              </w:rPr>
              <w:t>†</w:t>
            </w:r>
            <w:r w:rsidRPr="00041CD9">
              <w:rPr>
                <w:rFonts w:ascii="Arial" w:eastAsia="Calibri" w:hAnsi="Arial" w:cs="Times New Roman"/>
                <w:sz w:val="18"/>
                <w:szCs w:val="18"/>
                <w:lang w:eastAsia="en-US"/>
              </w:rPr>
              <w:t xml:space="preserve">, </w:t>
            </w:r>
            <w:r w:rsidRPr="00041CD9">
              <w:rPr>
                <w:rFonts w:ascii="Arial" w:eastAsia="Calibri" w:hAnsi="Arial" w:cs="Times New Roman"/>
                <w:sz w:val="18"/>
                <w:szCs w:val="18"/>
                <w:lang w:eastAsia="en-US"/>
              </w:rPr>
              <w:br/>
              <w:t>n (%)</w:t>
            </w:r>
          </w:p>
        </w:tc>
        <w:tc>
          <w:tcPr>
            <w:tcW w:w="3107" w:type="dxa"/>
            <w:vAlign w:val="center"/>
          </w:tcPr>
          <w:p w14:paraId="763032B9" w14:textId="77777777" w:rsidR="000B4D6A" w:rsidRPr="00041CD9" w:rsidRDefault="000B4D6A" w:rsidP="00AF7722">
            <w:pPr>
              <w:spacing w:before="60" w:after="60"/>
              <w:jc w:val="center"/>
              <w:rPr>
                <w:rFonts w:ascii="Arial" w:eastAsia="Calibri" w:hAnsi="Arial" w:cs="Calibri"/>
                <w:color w:val="000000"/>
                <w:sz w:val="18"/>
                <w:szCs w:val="18"/>
                <w:lang w:eastAsia="en-US"/>
              </w:rPr>
            </w:pPr>
            <w:r w:rsidRPr="00041CD9">
              <w:rPr>
                <w:rFonts w:ascii="Arial" w:eastAsia="Calibri" w:hAnsi="Arial" w:cs="Calibri"/>
                <w:color w:val="000000"/>
                <w:sz w:val="18"/>
                <w:szCs w:val="18"/>
                <w:lang w:eastAsia="en-US"/>
              </w:rPr>
              <w:t>199 (54.5)</w:t>
            </w:r>
          </w:p>
        </w:tc>
        <w:tc>
          <w:tcPr>
            <w:tcW w:w="2552" w:type="dxa"/>
            <w:vAlign w:val="center"/>
          </w:tcPr>
          <w:p w14:paraId="3216E908" w14:textId="77777777" w:rsidR="000B4D6A" w:rsidRPr="00041CD9" w:rsidRDefault="000B4D6A" w:rsidP="00AF7722">
            <w:pPr>
              <w:spacing w:before="60" w:after="60"/>
              <w:jc w:val="center"/>
              <w:rPr>
                <w:rFonts w:ascii="Arial" w:eastAsia="Calibri" w:hAnsi="Arial" w:cs="Calibri"/>
                <w:color w:val="000000"/>
                <w:sz w:val="18"/>
                <w:szCs w:val="18"/>
                <w:lang w:eastAsia="en-US"/>
              </w:rPr>
            </w:pPr>
            <w:r w:rsidRPr="00041CD9">
              <w:rPr>
                <w:rFonts w:ascii="Arial" w:eastAsia="Calibri" w:hAnsi="Arial" w:cs="Calibri"/>
                <w:color w:val="000000"/>
                <w:sz w:val="18"/>
                <w:szCs w:val="18"/>
                <w:lang w:eastAsia="en-US"/>
              </w:rPr>
              <w:t>89 (25.1)</w:t>
            </w:r>
          </w:p>
        </w:tc>
      </w:tr>
      <w:tr w:rsidR="000B4D6A" w:rsidRPr="00041CD9" w14:paraId="0922E1F0" w14:textId="77777777" w:rsidTr="00AF7722">
        <w:tc>
          <w:tcPr>
            <w:tcW w:w="3238" w:type="dxa"/>
            <w:tcBorders>
              <w:bottom w:val="nil"/>
            </w:tcBorders>
            <w:vAlign w:val="bottom"/>
          </w:tcPr>
          <w:p w14:paraId="16AF64DC" w14:textId="77777777" w:rsidR="000B4D6A" w:rsidRPr="00041CD9" w:rsidRDefault="000B4D6A" w:rsidP="00AF7722">
            <w:pPr>
              <w:spacing w:before="60" w:after="60"/>
              <w:rPr>
                <w:rFonts w:ascii="Arial" w:eastAsia="Calibri" w:hAnsi="Arial" w:cs="Calibri"/>
                <w:color w:val="000000"/>
                <w:sz w:val="18"/>
                <w:szCs w:val="18"/>
                <w:lang w:eastAsia="en-US"/>
              </w:rPr>
            </w:pPr>
            <w:r w:rsidRPr="00041CD9">
              <w:rPr>
                <w:rFonts w:ascii="Arial" w:eastAsia="Calibri" w:hAnsi="Arial" w:cs="Calibri"/>
                <w:color w:val="000000"/>
                <w:sz w:val="18"/>
                <w:szCs w:val="18"/>
                <w:lang w:eastAsia="en-US"/>
              </w:rPr>
              <w:t>Difference in proportions (95% CI), lesinurad vs. placebo</w:t>
            </w:r>
          </w:p>
        </w:tc>
        <w:tc>
          <w:tcPr>
            <w:tcW w:w="3107" w:type="dxa"/>
            <w:tcBorders>
              <w:bottom w:val="nil"/>
            </w:tcBorders>
            <w:vAlign w:val="bottom"/>
          </w:tcPr>
          <w:p w14:paraId="61BD07A3" w14:textId="77777777" w:rsidR="000B4D6A" w:rsidRPr="00041CD9" w:rsidRDefault="000B4D6A" w:rsidP="00AF7722">
            <w:pPr>
              <w:spacing w:before="60" w:after="60"/>
              <w:jc w:val="center"/>
              <w:rPr>
                <w:rFonts w:ascii="Arial" w:eastAsia="Calibri" w:hAnsi="Arial" w:cs="Calibri"/>
                <w:color w:val="000000"/>
                <w:sz w:val="18"/>
                <w:szCs w:val="18"/>
                <w:lang w:eastAsia="en-US"/>
              </w:rPr>
            </w:pPr>
            <w:r w:rsidRPr="00041CD9">
              <w:rPr>
                <w:rFonts w:ascii="Arial" w:eastAsia="Calibri" w:hAnsi="Arial" w:cs="Calibri"/>
                <w:color w:val="000000"/>
                <w:sz w:val="18"/>
                <w:szCs w:val="18"/>
                <w:lang w:eastAsia="en-US"/>
              </w:rPr>
              <w:t>0.29 (0.23, 0.36)</w:t>
            </w:r>
          </w:p>
        </w:tc>
        <w:tc>
          <w:tcPr>
            <w:tcW w:w="2552" w:type="dxa"/>
            <w:tcBorders>
              <w:bottom w:val="nil"/>
            </w:tcBorders>
            <w:vAlign w:val="center"/>
          </w:tcPr>
          <w:p w14:paraId="2BDAEF81" w14:textId="77777777" w:rsidR="000B4D6A" w:rsidRPr="00041CD9" w:rsidRDefault="000B4D6A" w:rsidP="00AF7722">
            <w:pPr>
              <w:spacing w:before="60" w:after="60"/>
              <w:jc w:val="center"/>
              <w:rPr>
                <w:rFonts w:ascii="Arial" w:eastAsia="Calibri" w:hAnsi="Arial" w:cs="Calibri"/>
                <w:color w:val="000000"/>
                <w:sz w:val="18"/>
                <w:szCs w:val="18"/>
                <w:lang w:eastAsia="en-US"/>
              </w:rPr>
            </w:pPr>
          </w:p>
        </w:tc>
      </w:tr>
      <w:tr w:rsidR="000B4D6A" w:rsidRPr="00041CD9" w14:paraId="21B36A33" w14:textId="77777777" w:rsidTr="00AF7722">
        <w:tc>
          <w:tcPr>
            <w:tcW w:w="3238" w:type="dxa"/>
            <w:tcBorders>
              <w:top w:val="nil"/>
            </w:tcBorders>
            <w:vAlign w:val="bottom"/>
          </w:tcPr>
          <w:p w14:paraId="1A425EE6" w14:textId="77777777" w:rsidR="000B4D6A" w:rsidRPr="00041CD9" w:rsidRDefault="000B4D6A" w:rsidP="00AF7722">
            <w:pPr>
              <w:spacing w:before="60" w:after="60"/>
              <w:ind w:left="180"/>
              <w:rPr>
                <w:rFonts w:ascii="Arial" w:eastAsia="Calibri" w:hAnsi="Arial" w:cs="Calibri"/>
                <w:color w:val="000000"/>
                <w:sz w:val="18"/>
                <w:szCs w:val="18"/>
                <w:lang w:eastAsia="en-US"/>
              </w:rPr>
            </w:pPr>
            <w:r w:rsidRPr="00041CD9">
              <w:rPr>
                <w:rFonts w:ascii="Arial" w:eastAsia="Calibri" w:hAnsi="Arial" w:cs="Calibri"/>
                <w:color w:val="000000"/>
                <w:sz w:val="18"/>
                <w:szCs w:val="18"/>
                <w:lang w:eastAsia="en-US"/>
              </w:rPr>
              <w:t>p−value</w:t>
            </w:r>
            <w:r w:rsidRPr="00041CD9">
              <w:rPr>
                <w:rFonts w:ascii="Arial" w:eastAsia="Calibri" w:hAnsi="Arial" w:cs="Calibri"/>
                <w:color w:val="000000"/>
                <w:sz w:val="18"/>
                <w:szCs w:val="18"/>
                <w:vertAlign w:val="superscript"/>
                <w:lang w:eastAsia="en-US"/>
              </w:rPr>
              <w:t>‡</w:t>
            </w:r>
          </w:p>
        </w:tc>
        <w:tc>
          <w:tcPr>
            <w:tcW w:w="3107" w:type="dxa"/>
            <w:tcBorders>
              <w:top w:val="nil"/>
            </w:tcBorders>
            <w:vAlign w:val="center"/>
          </w:tcPr>
          <w:p w14:paraId="7F3F658F" w14:textId="77777777" w:rsidR="000B4D6A" w:rsidRPr="00041CD9" w:rsidRDefault="000B4D6A" w:rsidP="00AF7722">
            <w:pPr>
              <w:spacing w:before="60" w:after="60"/>
              <w:jc w:val="center"/>
              <w:rPr>
                <w:rFonts w:ascii="Arial" w:eastAsia="Calibri" w:hAnsi="Arial" w:cs="Calibri"/>
                <w:color w:val="000000"/>
                <w:sz w:val="18"/>
                <w:szCs w:val="18"/>
                <w:lang w:eastAsia="en-US"/>
              </w:rPr>
            </w:pPr>
            <w:r w:rsidRPr="00041CD9">
              <w:rPr>
                <w:rFonts w:ascii="Arial" w:eastAsia="Calibri" w:hAnsi="Arial" w:cs="Calibri"/>
                <w:color w:val="000000"/>
                <w:sz w:val="18"/>
                <w:szCs w:val="18"/>
                <w:lang w:eastAsia="en-US"/>
              </w:rPr>
              <w:t>&lt;0.0001</w:t>
            </w:r>
          </w:p>
        </w:tc>
        <w:tc>
          <w:tcPr>
            <w:tcW w:w="2552" w:type="dxa"/>
            <w:tcBorders>
              <w:top w:val="nil"/>
            </w:tcBorders>
            <w:vAlign w:val="center"/>
          </w:tcPr>
          <w:p w14:paraId="3E280E25" w14:textId="77777777" w:rsidR="000B4D6A" w:rsidRPr="00041CD9" w:rsidRDefault="000B4D6A" w:rsidP="00AF7722">
            <w:pPr>
              <w:spacing w:before="60" w:after="60"/>
              <w:rPr>
                <w:rFonts w:ascii="Arial" w:eastAsia="Calibri" w:hAnsi="Arial" w:cs="Calibri"/>
                <w:color w:val="000000"/>
                <w:sz w:val="18"/>
                <w:szCs w:val="18"/>
                <w:lang w:eastAsia="en-US"/>
              </w:rPr>
            </w:pPr>
          </w:p>
        </w:tc>
      </w:tr>
    </w:tbl>
    <w:p w14:paraId="7AFDE850" w14:textId="3BEA4D12" w:rsidR="000B4D6A" w:rsidRPr="005365E9" w:rsidRDefault="000B4D6A" w:rsidP="000B4D6A">
      <w:pPr>
        <w:pStyle w:val="BodyText"/>
        <w:jc w:val="left"/>
        <w:rPr>
          <w:rFonts w:asciiTheme="minorHAnsi" w:hAnsiTheme="minorHAnsi" w:cstheme="minorHAnsi"/>
          <w:sz w:val="18"/>
          <w:szCs w:val="18"/>
          <w:lang w:val="en-GB"/>
        </w:rPr>
      </w:pPr>
      <w:r w:rsidRPr="005365E9">
        <w:rPr>
          <w:rFonts w:asciiTheme="minorHAnsi" w:hAnsiTheme="minorHAnsi" w:cstheme="minorHAnsi"/>
          <w:sz w:val="18"/>
          <w:szCs w:val="18"/>
          <w:lang w:val="en-GB"/>
        </w:rPr>
        <w:t xml:space="preserve">†Defined as subjects achieving </w:t>
      </w:r>
      <w:r w:rsidR="005848A1">
        <w:rPr>
          <w:rFonts w:asciiTheme="minorHAnsi" w:hAnsiTheme="minorHAnsi" w:cstheme="minorHAnsi"/>
          <w:sz w:val="18"/>
          <w:szCs w:val="18"/>
          <w:lang w:val="en-GB"/>
        </w:rPr>
        <w:t>sUA</w:t>
      </w:r>
      <w:r w:rsidRPr="005365E9">
        <w:rPr>
          <w:rFonts w:asciiTheme="minorHAnsi" w:hAnsiTheme="minorHAnsi" w:cstheme="minorHAnsi"/>
          <w:sz w:val="18"/>
          <w:szCs w:val="18"/>
          <w:lang w:val="en-GB"/>
        </w:rPr>
        <w:t xml:space="preserve"> &lt;6.0 mg/dL by Month 6. Subjects missing the Month 6 </w:t>
      </w:r>
      <w:r w:rsidR="005848A1">
        <w:rPr>
          <w:rFonts w:asciiTheme="minorHAnsi" w:hAnsiTheme="minorHAnsi" w:cstheme="minorHAnsi"/>
          <w:sz w:val="18"/>
          <w:szCs w:val="18"/>
          <w:lang w:val="en-GB"/>
        </w:rPr>
        <w:t>sUA</w:t>
      </w:r>
      <w:r w:rsidRPr="005365E9">
        <w:rPr>
          <w:rFonts w:asciiTheme="minorHAnsi" w:hAnsiTheme="minorHAnsi" w:cstheme="minorHAnsi"/>
          <w:sz w:val="18"/>
          <w:szCs w:val="18"/>
          <w:lang w:val="en-GB"/>
        </w:rPr>
        <w:t xml:space="preserve"> result are treated as non</w:t>
      </w:r>
      <w:r w:rsidRPr="005365E9">
        <w:rPr>
          <w:rFonts w:asciiTheme="minorHAnsi" w:hAnsiTheme="minorHAnsi" w:cstheme="minorHAnsi"/>
          <w:sz w:val="18"/>
          <w:szCs w:val="18"/>
          <w:lang w:val="en-GB"/>
        </w:rPr>
        <w:noBreakHyphen/>
        <w:t>responders.</w:t>
      </w:r>
      <w:r w:rsidRPr="005365E9">
        <w:rPr>
          <w:rFonts w:asciiTheme="minorHAnsi" w:hAnsiTheme="minorHAnsi" w:cstheme="minorHAnsi"/>
          <w:sz w:val="18"/>
          <w:szCs w:val="18"/>
          <w:lang w:val="en-GB"/>
        </w:rPr>
        <w:tab/>
      </w:r>
      <w:r w:rsidRPr="005365E9">
        <w:rPr>
          <w:rFonts w:asciiTheme="minorHAnsi" w:hAnsiTheme="minorHAnsi" w:cstheme="minorHAnsi"/>
          <w:sz w:val="18"/>
          <w:szCs w:val="18"/>
          <w:lang w:val="en-GB"/>
        </w:rPr>
        <w:tab/>
      </w:r>
      <w:r w:rsidRPr="005365E9">
        <w:rPr>
          <w:rFonts w:asciiTheme="minorHAnsi" w:hAnsiTheme="minorHAnsi" w:cstheme="minorHAnsi"/>
          <w:sz w:val="18"/>
          <w:szCs w:val="18"/>
          <w:lang w:val="en-GB"/>
        </w:rPr>
        <w:tab/>
      </w:r>
      <w:r w:rsidRPr="005365E9">
        <w:rPr>
          <w:rFonts w:asciiTheme="minorHAnsi" w:hAnsiTheme="minorHAnsi" w:cstheme="minorHAnsi"/>
          <w:sz w:val="18"/>
          <w:szCs w:val="18"/>
          <w:lang w:val="en-GB"/>
        </w:rPr>
        <w:tab/>
      </w:r>
      <w:r w:rsidRPr="005365E9">
        <w:rPr>
          <w:rFonts w:asciiTheme="minorHAnsi" w:hAnsiTheme="minorHAnsi" w:cstheme="minorHAnsi"/>
          <w:sz w:val="18"/>
          <w:szCs w:val="18"/>
          <w:lang w:val="en-GB"/>
        </w:rPr>
        <w:tab/>
      </w:r>
      <w:r w:rsidRPr="005365E9">
        <w:rPr>
          <w:rFonts w:asciiTheme="minorHAnsi" w:hAnsiTheme="minorHAnsi" w:cstheme="minorHAnsi"/>
          <w:sz w:val="18"/>
          <w:szCs w:val="18"/>
          <w:lang w:val="en-GB"/>
        </w:rPr>
        <w:tab/>
      </w:r>
      <w:r w:rsidRPr="005365E9">
        <w:rPr>
          <w:rFonts w:asciiTheme="minorHAnsi" w:hAnsiTheme="minorHAnsi" w:cstheme="minorHAnsi"/>
          <w:sz w:val="18"/>
          <w:szCs w:val="18"/>
          <w:lang w:val="en-GB"/>
        </w:rPr>
        <w:tab/>
      </w:r>
      <w:r w:rsidRPr="005365E9">
        <w:rPr>
          <w:rFonts w:asciiTheme="minorHAnsi" w:hAnsiTheme="minorHAnsi" w:cstheme="minorHAnsi"/>
          <w:sz w:val="18"/>
          <w:szCs w:val="18"/>
          <w:lang w:val="en-GB"/>
        </w:rPr>
        <w:tab/>
      </w:r>
      <w:r w:rsidRPr="005365E9">
        <w:rPr>
          <w:rFonts w:asciiTheme="minorHAnsi" w:hAnsiTheme="minorHAnsi" w:cstheme="minorHAnsi"/>
          <w:sz w:val="18"/>
          <w:szCs w:val="18"/>
          <w:lang w:val="en-GB"/>
        </w:rPr>
        <w:br/>
        <w:t>‡Cochran</w:t>
      </w:r>
      <w:r w:rsidRPr="005365E9">
        <w:rPr>
          <w:rFonts w:asciiTheme="minorHAnsi" w:hAnsiTheme="minorHAnsi" w:cstheme="minorHAnsi"/>
          <w:sz w:val="18"/>
          <w:szCs w:val="18"/>
          <w:lang w:val="en-GB"/>
        </w:rPr>
        <w:noBreakHyphen/>
        <w:t>Mantel Haenszel test stratified by Day −7 renal function (eCrCl ≥ 60 mL/min versus &lt; 60 mL/min) and tophus status during Screening (presence versus absence), randomized stratification values.</w:t>
      </w:r>
      <w:r w:rsidRPr="005365E9">
        <w:rPr>
          <w:rFonts w:asciiTheme="minorHAnsi" w:hAnsiTheme="minorHAnsi" w:cstheme="minorHAnsi"/>
          <w:sz w:val="18"/>
          <w:szCs w:val="18"/>
          <w:lang w:val="en-GB"/>
        </w:rPr>
        <w:tab/>
      </w:r>
      <w:r w:rsidRPr="005365E9">
        <w:rPr>
          <w:rFonts w:asciiTheme="minorHAnsi" w:hAnsiTheme="minorHAnsi" w:cstheme="minorHAnsi"/>
          <w:sz w:val="18"/>
          <w:szCs w:val="18"/>
          <w:lang w:val="en-GB"/>
        </w:rPr>
        <w:br/>
        <w:t>Abbreviations: CI, confidence interval; ITT, intent</w:t>
      </w:r>
      <w:r w:rsidRPr="005365E9">
        <w:rPr>
          <w:rFonts w:asciiTheme="minorHAnsi" w:hAnsiTheme="minorHAnsi" w:cstheme="minorHAnsi"/>
          <w:sz w:val="18"/>
          <w:szCs w:val="18"/>
          <w:lang w:val="en-GB"/>
        </w:rPr>
        <w:noBreakHyphen/>
        <w:t>to</w:t>
      </w:r>
      <w:r w:rsidRPr="005365E9">
        <w:rPr>
          <w:rFonts w:asciiTheme="minorHAnsi" w:hAnsiTheme="minorHAnsi" w:cstheme="minorHAnsi"/>
          <w:sz w:val="18"/>
          <w:szCs w:val="18"/>
          <w:lang w:val="en-GB"/>
        </w:rPr>
        <w:noBreakHyphen/>
        <w:t xml:space="preserve">treat; SD, standard deviation; </w:t>
      </w:r>
      <w:r w:rsidR="005848A1">
        <w:rPr>
          <w:rFonts w:asciiTheme="minorHAnsi" w:hAnsiTheme="minorHAnsi" w:cstheme="minorHAnsi"/>
          <w:sz w:val="18"/>
          <w:szCs w:val="18"/>
          <w:lang w:val="en-GB"/>
        </w:rPr>
        <w:t>sUA</w:t>
      </w:r>
      <w:r w:rsidRPr="005365E9">
        <w:rPr>
          <w:rFonts w:asciiTheme="minorHAnsi" w:hAnsiTheme="minorHAnsi" w:cstheme="minorHAnsi"/>
          <w:sz w:val="18"/>
          <w:szCs w:val="18"/>
          <w:lang w:val="en-GB"/>
        </w:rPr>
        <w:t>, serum uric acid.</w:t>
      </w:r>
    </w:p>
    <w:p w14:paraId="66A34F77" w14:textId="77777777" w:rsidR="00AF5F11" w:rsidRPr="00814F3C" w:rsidRDefault="00AF5F11" w:rsidP="000210A2">
      <w:pPr>
        <w:spacing w:line="360" w:lineRule="auto"/>
        <w:rPr>
          <w:rFonts w:cs="Arial"/>
          <w:sz w:val="20"/>
          <w:szCs w:val="20"/>
          <w:lang w:val="en-US"/>
        </w:rPr>
      </w:pPr>
    </w:p>
    <w:p w14:paraId="79C63155" w14:textId="24925F85" w:rsidR="000B4D6A" w:rsidRPr="00214168" w:rsidRDefault="000B4D6A" w:rsidP="000210A2">
      <w:pPr>
        <w:spacing w:line="360" w:lineRule="auto"/>
        <w:rPr>
          <w:rFonts w:cs="Arial"/>
          <w:sz w:val="20"/>
          <w:szCs w:val="20"/>
        </w:rPr>
      </w:pPr>
      <w:r w:rsidRPr="00214168">
        <w:rPr>
          <w:rFonts w:cs="Arial"/>
          <w:sz w:val="20"/>
          <w:szCs w:val="20"/>
        </w:rPr>
        <w:t>Nello stesso sottogruppo di pazienti con età ≥65 a</w:t>
      </w:r>
      <w:r>
        <w:rPr>
          <w:rFonts w:cs="Arial"/>
          <w:sz w:val="20"/>
          <w:szCs w:val="20"/>
        </w:rPr>
        <w:t xml:space="preserve">nni, l’analisi </w:t>
      </w:r>
      <w:r w:rsidR="003575CC">
        <w:rPr>
          <w:rFonts w:cs="Arial"/>
          <w:sz w:val="20"/>
          <w:szCs w:val="20"/>
        </w:rPr>
        <w:t xml:space="preserve">OC </w:t>
      </w:r>
      <w:r>
        <w:rPr>
          <w:rFonts w:cs="Arial"/>
          <w:sz w:val="20"/>
          <w:szCs w:val="20"/>
        </w:rPr>
        <w:t xml:space="preserve">dimostra </w:t>
      </w:r>
      <w:r w:rsidRPr="00214168">
        <w:rPr>
          <w:rFonts w:cs="Arial"/>
          <w:sz w:val="20"/>
          <w:szCs w:val="20"/>
        </w:rPr>
        <w:t xml:space="preserve">un numero significativamente maggiore di pazienti </w:t>
      </w:r>
      <w:r>
        <w:rPr>
          <w:rFonts w:cs="Arial"/>
          <w:sz w:val="20"/>
          <w:szCs w:val="20"/>
        </w:rPr>
        <w:t xml:space="preserve">che </w:t>
      </w:r>
      <w:r w:rsidRPr="00214168">
        <w:rPr>
          <w:rFonts w:cs="Arial"/>
          <w:sz w:val="20"/>
          <w:szCs w:val="20"/>
        </w:rPr>
        <w:t>ha</w:t>
      </w:r>
      <w:r>
        <w:rPr>
          <w:rFonts w:cs="Arial"/>
          <w:sz w:val="20"/>
          <w:szCs w:val="20"/>
        </w:rPr>
        <w:t>nno</w:t>
      </w:r>
      <w:r w:rsidRPr="00214168">
        <w:rPr>
          <w:rFonts w:cs="Arial"/>
          <w:sz w:val="20"/>
          <w:szCs w:val="20"/>
        </w:rPr>
        <w:t xml:space="preserve"> raggiunto livelli di </w:t>
      </w:r>
      <w:r w:rsidR="005848A1">
        <w:rPr>
          <w:rFonts w:cs="Arial"/>
          <w:sz w:val="20"/>
          <w:szCs w:val="20"/>
        </w:rPr>
        <w:t>sUA</w:t>
      </w:r>
      <w:r w:rsidRPr="00214168">
        <w:rPr>
          <w:rFonts w:cs="Arial"/>
          <w:sz w:val="20"/>
          <w:szCs w:val="20"/>
        </w:rPr>
        <w:t xml:space="preserve"> &lt;6.0 mg/dl al Mese 6 col gruppo lesinurad 200 mg rispetto ad allopurinolo in monoterapia (71.9% vs 33.3% rispettivamente; p=0.0007). All’interno del sottogruppo di pazienti con età &lt;65 anni, un numero significativamente maggiore di pazienti ha raggi</w:t>
      </w:r>
      <w:r>
        <w:rPr>
          <w:rFonts w:cs="Arial"/>
          <w:sz w:val="20"/>
          <w:szCs w:val="20"/>
        </w:rPr>
        <w:t>u</w:t>
      </w:r>
      <w:r w:rsidRPr="00214168">
        <w:rPr>
          <w:rFonts w:cs="Arial"/>
          <w:sz w:val="20"/>
          <w:szCs w:val="20"/>
        </w:rPr>
        <w:t xml:space="preserve">nto livelli di </w:t>
      </w:r>
      <w:r w:rsidR="005848A1">
        <w:rPr>
          <w:rFonts w:cs="Arial"/>
          <w:sz w:val="20"/>
          <w:szCs w:val="20"/>
        </w:rPr>
        <w:t>SUA</w:t>
      </w:r>
      <w:r w:rsidRPr="00214168">
        <w:rPr>
          <w:rFonts w:cs="Arial"/>
          <w:sz w:val="20"/>
          <w:szCs w:val="20"/>
        </w:rPr>
        <w:t xml:space="preserve"> &lt;6.0 mg/dL</w:t>
      </w:r>
      <w:r>
        <w:rPr>
          <w:rFonts w:cs="Arial"/>
          <w:sz w:val="20"/>
          <w:szCs w:val="20"/>
        </w:rPr>
        <w:t>l</w:t>
      </w:r>
      <w:r w:rsidRPr="00214168">
        <w:rPr>
          <w:rFonts w:cs="Arial"/>
          <w:sz w:val="20"/>
          <w:szCs w:val="20"/>
        </w:rPr>
        <w:t xml:space="preserve"> al Mese 6 nel gruppo lesinurad 200 mg (65.2%) rispetto al gruppo allopurinolo in monoterapia (30.2%); p&lt;0.0001.</w:t>
      </w:r>
    </w:p>
    <w:p w14:paraId="435F75DA" w14:textId="77777777" w:rsidR="000B4D6A" w:rsidRDefault="000B4D6A" w:rsidP="000210A2">
      <w:pPr>
        <w:spacing w:line="360" w:lineRule="auto"/>
        <w:rPr>
          <w:rFonts w:cs="Arial"/>
          <w:b/>
          <w:sz w:val="20"/>
          <w:szCs w:val="20"/>
        </w:rPr>
      </w:pPr>
      <w:r w:rsidRPr="00485F07">
        <w:rPr>
          <w:rFonts w:cs="Arial"/>
          <w:b/>
          <w:sz w:val="20"/>
          <w:szCs w:val="20"/>
        </w:rPr>
        <w:t>Pertanto l’analisi nel sottogruppo di pazienti con età ≥65 anni indica che l’efficacia relativa di lesinurad rispetto ad allopurinolo in monoterapia era simile all’efficacia relativa al totale della popolazione ITT.</w:t>
      </w:r>
    </w:p>
    <w:p w14:paraId="6D23E163" w14:textId="77777777" w:rsidR="00D70C14" w:rsidRDefault="00D70C14" w:rsidP="000210A2">
      <w:pPr>
        <w:spacing w:line="360" w:lineRule="auto"/>
        <w:rPr>
          <w:rFonts w:cs="Arial"/>
          <w:b/>
          <w:sz w:val="20"/>
          <w:szCs w:val="20"/>
        </w:rPr>
      </w:pPr>
    </w:p>
    <w:p w14:paraId="1E7A34A6" w14:textId="6501005E" w:rsidR="00D70C14" w:rsidRPr="00D70C14" w:rsidRDefault="00D70C14" w:rsidP="000210A2">
      <w:pPr>
        <w:spacing w:line="360" w:lineRule="auto"/>
        <w:rPr>
          <w:rFonts w:cs="Arial"/>
          <w:sz w:val="20"/>
          <w:szCs w:val="20"/>
        </w:rPr>
      </w:pPr>
      <w:r w:rsidRPr="00D70C14">
        <w:rPr>
          <w:rFonts w:cs="Arial"/>
          <w:sz w:val="20"/>
          <w:szCs w:val="20"/>
        </w:rPr>
        <w:t>I risultati sulla frequenza di attacchi di gotta e sulla risoluzione dei tofi non hanno portato a differenze statisticamente significative fra i diversi gruppi di trattamento (</w:t>
      </w:r>
      <w:r w:rsidR="00D3508A">
        <w:rPr>
          <w:rFonts w:cs="Arial"/>
          <w:color w:val="0000FF"/>
          <w:sz w:val="20"/>
          <w:szCs w:val="20"/>
        </w:rPr>
        <w:t>Saag, 2016 (138</w:t>
      </w:r>
      <w:r w:rsidR="00DA7F29">
        <w:rPr>
          <w:rFonts w:cs="Arial"/>
          <w:color w:val="0000FF"/>
          <w:sz w:val="20"/>
          <w:szCs w:val="20"/>
        </w:rPr>
        <w:t>)</w:t>
      </w:r>
      <w:r w:rsidRPr="00D70C14">
        <w:rPr>
          <w:rFonts w:cs="Arial"/>
          <w:sz w:val="20"/>
          <w:szCs w:val="20"/>
        </w:rPr>
        <w:t xml:space="preserve">). </w:t>
      </w:r>
    </w:p>
    <w:p w14:paraId="5142959A" w14:textId="130F47D8" w:rsidR="00D70C14" w:rsidRPr="00D70C14" w:rsidRDefault="00D70C14" w:rsidP="000210A2">
      <w:pPr>
        <w:spacing w:line="360" w:lineRule="auto"/>
        <w:rPr>
          <w:rFonts w:cs="Arial"/>
          <w:sz w:val="20"/>
          <w:szCs w:val="20"/>
        </w:rPr>
      </w:pPr>
      <w:r w:rsidRPr="00D70C14">
        <w:rPr>
          <w:rFonts w:cs="Arial"/>
          <w:sz w:val="20"/>
          <w:szCs w:val="20"/>
        </w:rPr>
        <w:t>Tali risultati erano attesi per la durata dello studio, che non era tale da poter evidenziare un effetto significativo sugli end-point clinici, per la bassa incidenza di attacchi acuti che richiedevano trattamento e per il piccolo numero di pazienti con tofi misurabili. Da sottolineare che tali benefici non sono stati dimostrati con trattamenti orali in nessun studio clinico della durata di 12 mesi. Ad esempio, nello studio FOCUS, che valutava il trattamento dei pazienti affetti da gotta con febuxostat a lungo termine, i risultati hanno dimostrato l'eliminazione di attacchi di gotta e riduzione del numero dei tofi solo con la persistenza di dosi stabili di febuxostat a 5 anni (</w:t>
      </w:r>
      <w:r w:rsidR="00563FA4">
        <w:rPr>
          <w:rFonts w:cs="Arial"/>
          <w:color w:val="0000FF"/>
          <w:sz w:val="20"/>
          <w:szCs w:val="20"/>
        </w:rPr>
        <w:t>Schumacher, 2008 (39)</w:t>
      </w:r>
      <w:r w:rsidRPr="00D70C14">
        <w:rPr>
          <w:rFonts w:cs="Arial"/>
          <w:sz w:val="20"/>
          <w:szCs w:val="20"/>
        </w:rPr>
        <w:t>).</w:t>
      </w:r>
    </w:p>
    <w:p w14:paraId="4AAC95FF" w14:textId="67E19A23" w:rsidR="00D70C14" w:rsidRPr="00D70C14" w:rsidRDefault="00D70C14" w:rsidP="000210A2">
      <w:pPr>
        <w:spacing w:line="360" w:lineRule="auto"/>
        <w:rPr>
          <w:rFonts w:cs="Arial"/>
          <w:sz w:val="20"/>
          <w:szCs w:val="20"/>
        </w:rPr>
      </w:pPr>
      <w:r w:rsidRPr="00D70C14">
        <w:rPr>
          <w:rFonts w:cs="Arial"/>
          <w:sz w:val="20"/>
          <w:szCs w:val="20"/>
        </w:rPr>
        <w:t>Tuttavia dati di efficacia a lungo termine dopo 24 mesi di trattamento, hanno fornito evidenze sufficienti a dimostrare un effetto clinico con continua riduzione di tofi e flares (</w:t>
      </w:r>
      <w:hyperlink w:anchor="Paragrafo538" w:history="1">
        <w:r w:rsidRPr="00D70C14">
          <w:rPr>
            <w:rStyle w:val="Hyperlink"/>
            <w:rFonts w:cs="Arial"/>
            <w:sz w:val="20"/>
            <w:szCs w:val="20"/>
          </w:rPr>
          <w:t>Paragrafo 5.38</w:t>
        </w:r>
      </w:hyperlink>
      <w:r w:rsidRPr="00D70C14">
        <w:rPr>
          <w:rFonts w:cs="Arial"/>
          <w:sz w:val="20"/>
          <w:szCs w:val="20"/>
        </w:rPr>
        <w:t>) (</w:t>
      </w:r>
      <w:r w:rsidR="00563FA4">
        <w:rPr>
          <w:rFonts w:cs="Arial"/>
          <w:color w:val="0000FF"/>
          <w:sz w:val="20"/>
          <w:szCs w:val="20"/>
        </w:rPr>
        <w:t>EPAR, 2015 (42)</w:t>
      </w:r>
      <w:r w:rsidRPr="00D70C14">
        <w:rPr>
          <w:rFonts w:cs="Arial"/>
          <w:sz w:val="20"/>
          <w:szCs w:val="20"/>
        </w:rPr>
        <w:t>).</w:t>
      </w:r>
    </w:p>
    <w:p w14:paraId="4038FC4B" w14:textId="77777777" w:rsidR="000B4D6A" w:rsidRPr="00221759" w:rsidRDefault="000B4D6A" w:rsidP="000210A2">
      <w:pPr>
        <w:spacing w:line="360" w:lineRule="auto"/>
        <w:rPr>
          <w:rFonts w:cs="Arial"/>
          <w:sz w:val="20"/>
          <w:szCs w:val="20"/>
        </w:rPr>
      </w:pPr>
    </w:p>
    <w:p w14:paraId="6533A9C0" w14:textId="77777777" w:rsidR="000B4D6A" w:rsidRPr="00485F07" w:rsidRDefault="000B4D6A" w:rsidP="00825BD3">
      <w:pPr>
        <w:numPr>
          <w:ilvl w:val="1"/>
          <w:numId w:val="13"/>
        </w:numPr>
        <w:spacing w:line="360" w:lineRule="auto"/>
        <w:ind w:left="709"/>
        <w:rPr>
          <w:rFonts w:cs="Arial"/>
          <w:sz w:val="20"/>
          <w:szCs w:val="20"/>
          <w:u w:val="single"/>
        </w:rPr>
      </w:pPr>
      <w:bookmarkStart w:id="163" w:name="Paragrafo529"/>
      <w:bookmarkEnd w:id="163"/>
      <w:r w:rsidRPr="00485F07">
        <w:rPr>
          <w:rFonts w:cs="Arial"/>
          <w:sz w:val="20"/>
          <w:szCs w:val="20"/>
          <w:u w:val="single"/>
        </w:rPr>
        <w:t>Reazioni avverse nello studio</w:t>
      </w:r>
    </w:p>
    <w:p w14:paraId="0A042928" w14:textId="77777777" w:rsidR="000B4D6A" w:rsidRDefault="000B4D6A" w:rsidP="000210A2">
      <w:pPr>
        <w:spacing w:line="360" w:lineRule="auto"/>
        <w:rPr>
          <w:rFonts w:cs="Arial"/>
          <w:sz w:val="20"/>
          <w:szCs w:val="20"/>
        </w:rPr>
      </w:pPr>
      <w:r w:rsidRPr="00C1448B">
        <w:rPr>
          <w:rFonts w:cs="Arial"/>
          <w:sz w:val="20"/>
          <w:szCs w:val="20"/>
        </w:rPr>
        <w:t xml:space="preserve">Gli studi CLEAR </w:t>
      </w:r>
      <w:r>
        <w:rPr>
          <w:rFonts w:cs="Arial"/>
          <w:sz w:val="20"/>
          <w:szCs w:val="20"/>
        </w:rPr>
        <w:t xml:space="preserve">1, CLEAR 2 e CRYSTAL </w:t>
      </w:r>
      <w:r w:rsidRPr="00C1448B">
        <w:rPr>
          <w:rFonts w:cs="Arial"/>
          <w:sz w:val="20"/>
          <w:szCs w:val="20"/>
        </w:rPr>
        <w:t xml:space="preserve">hanno dimostrato il buon profilo di tollerabilità di lesinurad 200mg/die: i pazienti assegnati al trattamento con lesinurad 200 mg in combinazione con </w:t>
      </w:r>
      <w:r>
        <w:rPr>
          <w:rFonts w:cs="Arial"/>
          <w:sz w:val="20"/>
          <w:szCs w:val="20"/>
        </w:rPr>
        <w:t>XOI (</w:t>
      </w:r>
      <w:r w:rsidRPr="00C1448B">
        <w:rPr>
          <w:rFonts w:cs="Arial"/>
          <w:sz w:val="20"/>
          <w:szCs w:val="20"/>
        </w:rPr>
        <w:t>allopurinolo</w:t>
      </w:r>
      <w:r>
        <w:rPr>
          <w:rFonts w:cs="Arial"/>
          <w:sz w:val="20"/>
          <w:szCs w:val="20"/>
        </w:rPr>
        <w:t xml:space="preserve"> o febuxostat)</w:t>
      </w:r>
      <w:r w:rsidRPr="00C1448B">
        <w:rPr>
          <w:rFonts w:cs="Arial"/>
          <w:sz w:val="20"/>
          <w:szCs w:val="20"/>
        </w:rPr>
        <w:t xml:space="preserve"> hanno riscontrato </w:t>
      </w:r>
      <w:r w:rsidRPr="00485F07">
        <w:rPr>
          <w:rFonts w:cs="Arial"/>
          <w:b/>
          <w:sz w:val="20"/>
          <w:szCs w:val="20"/>
        </w:rPr>
        <w:t>insorgenza di eventi avversi emersi durante il trattamento</w:t>
      </w:r>
      <w:r w:rsidRPr="00C1448B">
        <w:rPr>
          <w:rFonts w:cs="Arial"/>
          <w:sz w:val="20"/>
          <w:szCs w:val="20"/>
        </w:rPr>
        <w:t xml:space="preserve"> (TEAEs - treatment-emergent adverse events) </w:t>
      </w:r>
      <w:r w:rsidRPr="00485F07">
        <w:rPr>
          <w:rFonts w:cs="Arial"/>
          <w:b/>
          <w:sz w:val="20"/>
          <w:szCs w:val="20"/>
        </w:rPr>
        <w:t>con una frequenza simile</w:t>
      </w:r>
      <w:r w:rsidRPr="00C1448B">
        <w:rPr>
          <w:rFonts w:cs="Arial"/>
          <w:sz w:val="20"/>
          <w:szCs w:val="20"/>
        </w:rPr>
        <w:t xml:space="preserve"> a quella osservata nei pazienti assegnati a </w:t>
      </w:r>
      <w:r>
        <w:rPr>
          <w:rFonts w:cs="Arial"/>
          <w:sz w:val="20"/>
          <w:szCs w:val="20"/>
        </w:rPr>
        <w:t xml:space="preserve">XOI </w:t>
      </w:r>
      <w:r w:rsidRPr="00C1448B">
        <w:rPr>
          <w:rFonts w:cs="Arial"/>
          <w:sz w:val="20"/>
          <w:szCs w:val="20"/>
        </w:rPr>
        <w:t>in monoterapia</w:t>
      </w:r>
      <w:r>
        <w:rPr>
          <w:rFonts w:cs="Arial"/>
          <w:sz w:val="20"/>
          <w:szCs w:val="20"/>
        </w:rPr>
        <w:t>.</w:t>
      </w:r>
    </w:p>
    <w:p w14:paraId="5CABA76A" w14:textId="77777777" w:rsidR="000B4D6A" w:rsidRDefault="000B4D6A" w:rsidP="000210A2">
      <w:pPr>
        <w:spacing w:line="360" w:lineRule="auto"/>
        <w:rPr>
          <w:rFonts w:cs="Arial"/>
          <w:sz w:val="20"/>
          <w:szCs w:val="20"/>
        </w:rPr>
      </w:pPr>
      <w:r>
        <w:rPr>
          <w:rFonts w:cs="Arial"/>
          <w:sz w:val="20"/>
          <w:szCs w:val="20"/>
        </w:rPr>
        <w:t xml:space="preserve">L’incidenza generale di SAE è stata bassa e </w:t>
      </w:r>
      <w:r w:rsidRPr="0005414A">
        <w:rPr>
          <w:rFonts w:cs="Arial"/>
          <w:sz w:val="20"/>
          <w:szCs w:val="20"/>
        </w:rPr>
        <w:t>comparabile a quella degli XOI in monoterapia (4.7% vs 5.6%, rispettivamente</w:t>
      </w:r>
      <w:r>
        <w:rPr>
          <w:rFonts w:cs="Arial"/>
          <w:sz w:val="20"/>
          <w:szCs w:val="20"/>
        </w:rPr>
        <w:t>). Allo stesso modo l’interruzione del trattamento a causa di un evento avverso è stata bassa e si è verificata con simili proporzioni nel gruppo lesinurad 200 mg vs XOI in monoterapia (6.3% vs 5.4%, rispettivamente).</w:t>
      </w:r>
    </w:p>
    <w:p w14:paraId="40427D14" w14:textId="502825CD" w:rsidR="000B4D6A" w:rsidRPr="00485F07" w:rsidRDefault="000B4D6A" w:rsidP="000210A2">
      <w:pPr>
        <w:spacing w:line="360" w:lineRule="auto"/>
        <w:rPr>
          <w:rFonts w:cs="Arial"/>
          <w:b/>
          <w:sz w:val="20"/>
          <w:szCs w:val="20"/>
        </w:rPr>
      </w:pPr>
      <w:r w:rsidRPr="00485F07">
        <w:rPr>
          <w:rFonts w:cs="Arial"/>
          <w:b/>
          <w:sz w:val="20"/>
          <w:szCs w:val="20"/>
        </w:rPr>
        <w:t>L’incidenza di TEAEs di Grado 3 e 4 in base alla definizione RCTC come anche dei TEAEs considerati correlati al trattamento è risultata simile tra i gruppi di trattamento</w:t>
      </w:r>
      <w:r w:rsidR="00907454" w:rsidRPr="00485F07">
        <w:rPr>
          <w:rFonts w:cs="Arial"/>
          <w:b/>
          <w:sz w:val="20"/>
          <w:szCs w:val="20"/>
        </w:rPr>
        <w:t xml:space="preserve"> </w:t>
      </w:r>
      <w:r w:rsidRPr="00485F07">
        <w:rPr>
          <w:rFonts w:cs="Arial"/>
          <w:b/>
          <w:sz w:val="20"/>
          <w:szCs w:val="20"/>
        </w:rPr>
        <w:t>(</w:t>
      </w:r>
      <w:hyperlink w:anchor="Tabella22" w:history="1">
        <w:r w:rsidRPr="00485F07">
          <w:rPr>
            <w:rStyle w:val="Hyperlink"/>
            <w:rFonts w:cs="Arial"/>
            <w:b/>
            <w:sz w:val="20"/>
            <w:szCs w:val="20"/>
          </w:rPr>
          <w:t xml:space="preserve">Tabella </w:t>
        </w:r>
        <w:r w:rsidR="004C0945">
          <w:rPr>
            <w:rStyle w:val="Hyperlink"/>
            <w:rFonts w:cs="Arial"/>
            <w:b/>
            <w:sz w:val="20"/>
            <w:szCs w:val="20"/>
          </w:rPr>
          <w:t>22</w:t>
        </w:r>
      </w:hyperlink>
      <w:r w:rsidRPr="00485F07">
        <w:rPr>
          <w:rFonts w:cs="Arial"/>
          <w:b/>
          <w:sz w:val="20"/>
          <w:szCs w:val="20"/>
        </w:rPr>
        <w:t>).</w:t>
      </w:r>
    </w:p>
    <w:p w14:paraId="208966DD" w14:textId="77777777" w:rsidR="00AF5F11" w:rsidRDefault="00AF5F11" w:rsidP="000210A2">
      <w:pPr>
        <w:spacing w:line="360" w:lineRule="auto"/>
        <w:rPr>
          <w:rFonts w:cs="Arial"/>
          <w:sz w:val="20"/>
          <w:szCs w:val="20"/>
        </w:rPr>
      </w:pPr>
    </w:p>
    <w:p w14:paraId="51C52D80" w14:textId="286D754C" w:rsidR="000B4D6A" w:rsidRPr="00907454" w:rsidRDefault="00907454" w:rsidP="00907454">
      <w:pPr>
        <w:pStyle w:val="Caption"/>
        <w:rPr>
          <w:rFonts w:asciiTheme="minorHAnsi" w:hAnsiTheme="minorHAnsi" w:cstheme="minorHAnsi"/>
          <w:lang w:val="it-IT"/>
        </w:rPr>
      </w:pPr>
      <w:bookmarkStart w:id="164" w:name="Tabella22"/>
      <w:bookmarkStart w:id="165" w:name="_Toc473150707"/>
      <w:bookmarkEnd w:id="164"/>
      <w:r w:rsidRPr="00907454">
        <w:rPr>
          <w:rFonts w:asciiTheme="minorHAnsi" w:hAnsiTheme="minorHAnsi" w:cstheme="minorHAnsi"/>
          <w:lang w:val="it-IT"/>
        </w:rPr>
        <w:t xml:space="preserve">Tabella </w:t>
      </w:r>
      <w:r w:rsidRPr="00907454">
        <w:rPr>
          <w:rFonts w:asciiTheme="minorHAnsi" w:hAnsiTheme="minorHAnsi" w:cstheme="minorHAnsi"/>
        </w:rPr>
        <w:fldChar w:fldCharType="begin"/>
      </w:r>
      <w:r w:rsidRPr="00907454">
        <w:rPr>
          <w:rFonts w:asciiTheme="minorHAnsi" w:hAnsiTheme="minorHAnsi" w:cstheme="minorHAnsi"/>
          <w:lang w:val="it-IT"/>
        </w:rPr>
        <w:instrText xml:space="preserve"> SEQ Tabella \* ARABIC </w:instrText>
      </w:r>
      <w:r w:rsidRPr="00907454">
        <w:rPr>
          <w:rFonts w:asciiTheme="minorHAnsi" w:hAnsiTheme="minorHAnsi" w:cstheme="minorHAnsi"/>
        </w:rPr>
        <w:fldChar w:fldCharType="separate"/>
      </w:r>
      <w:r w:rsidR="00A1679C">
        <w:rPr>
          <w:rFonts w:asciiTheme="minorHAnsi" w:hAnsiTheme="minorHAnsi" w:cstheme="minorHAnsi"/>
          <w:noProof/>
          <w:lang w:val="it-IT"/>
        </w:rPr>
        <w:t>22</w:t>
      </w:r>
      <w:r w:rsidRPr="00907454">
        <w:rPr>
          <w:rFonts w:asciiTheme="minorHAnsi" w:hAnsiTheme="minorHAnsi" w:cstheme="minorHAnsi"/>
        </w:rPr>
        <w:fldChar w:fldCharType="end"/>
      </w:r>
      <w:r w:rsidR="000B4D6A" w:rsidRPr="00907454">
        <w:rPr>
          <w:rFonts w:asciiTheme="minorHAnsi" w:hAnsiTheme="minorHAnsi" w:cstheme="minorHAnsi"/>
          <w:bCs w:val="0"/>
          <w:lang w:val="it-IT"/>
        </w:rPr>
        <w:t xml:space="preserve"> - Numero (%) di soggetti con ≥1 evento avverso† per categoria nel CLEAR 1, CLEAR 2 e CRYSTAL – safety population (</w:t>
      </w:r>
      <w:r w:rsidR="000B4D6A" w:rsidRPr="00907454">
        <w:rPr>
          <w:rFonts w:asciiTheme="minorHAnsi" w:hAnsiTheme="minorHAnsi" w:cstheme="minorHAnsi"/>
          <w:bCs w:val="0"/>
          <w:color w:val="0000FF"/>
          <w:lang w:val="it-IT"/>
        </w:rPr>
        <w:t xml:space="preserve">adattata da </w:t>
      </w:r>
      <w:r w:rsidR="008E6BDD">
        <w:rPr>
          <w:rFonts w:asciiTheme="minorHAnsi" w:hAnsiTheme="minorHAnsi" w:cstheme="minorHAnsi"/>
          <w:bCs w:val="0"/>
          <w:color w:val="0000FF"/>
          <w:lang w:val="it-IT"/>
        </w:rPr>
        <w:t>CSR 301</w:t>
      </w:r>
      <w:r w:rsidR="000B4D6A" w:rsidRPr="00907454">
        <w:rPr>
          <w:rFonts w:asciiTheme="minorHAnsi" w:hAnsiTheme="minorHAnsi" w:cstheme="minorHAnsi"/>
          <w:bCs w:val="0"/>
          <w:color w:val="0000FF"/>
          <w:lang w:val="it-IT"/>
        </w:rPr>
        <w:t>, 302</w:t>
      </w:r>
      <w:r w:rsidR="00A25D6E">
        <w:rPr>
          <w:rFonts w:asciiTheme="minorHAnsi" w:hAnsiTheme="minorHAnsi" w:cstheme="minorHAnsi"/>
          <w:bCs w:val="0"/>
          <w:color w:val="0000FF"/>
          <w:lang w:val="it-IT"/>
        </w:rPr>
        <w:t xml:space="preserve"> </w:t>
      </w:r>
      <w:r w:rsidR="000B4D6A" w:rsidRPr="00907454">
        <w:rPr>
          <w:rFonts w:asciiTheme="minorHAnsi" w:hAnsiTheme="minorHAnsi" w:cstheme="minorHAnsi"/>
          <w:bCs w:val="0"/>
          <w:color w:val="0000FF"/>
          <w:lang w:val="it-IT"/>
        </w:rPr>
        <w:t>e 304, 2014</w:t>
      </w:r>
      <w:r w:rsidR="00A25D6E">
        <w:rPr>
          <w:rFonts w:asciiTheme="minorHAnsi" w:hAnsiTheme="minorHAnsi" w:cstheme="minorHAnsi"/>
          <w:bCs w:val="0"/>
          <w:color w:val="0000FF"/>
          <w:lang w:val="it-IT"/>
        </w:rPr>
        <w:t>)</w:t>
      </w:r>
      <w:bookmarkEnd w:id="165"/>
    </w:p>
    <w:tbl>
      <w:tblPr>
        <w:tblStyle w:val="Grigliatabella3"/>
        <w:tblW w:w="4966" w:type="pct"/>
        <w:tblLook w:val="04A0" w:firstRow="1" w:lastRow="0" w:firstColumn="1" w:lastColumn="0" w:noHBand="0" w:noVBand="1"/>
      </w:tblPr>
      <w:tblGrid>
        <w:gridCol w:w="3838"/>
        <w:gridCol w:w="2767"/>
        <w:gridCol w:w="2351"/>
      </w:tblGrid>
      <w:tr w:rsidR="000B4D6A" w:rsidRPr="00041CD9" w14:paraId="7A10C944" w14:textId="77777777" w:rsidTr="00AF7722">
        <w:trPr>
          <w:trHeight w:val="435"/>
          <w:tblHeader/>
        </w:trPr>
        <w:tc>
          <w:tcPr>
            <w:tcW w:w="3936" w:type="dxa"/>
            <w:shd w:val="clear" w:color="auto" w:fill="D9D9D9" w:themeFill="background1" w:themeFillShade="D9"/>
            <w:vAlign w:val="center"/>
          </w:tcPr>
          <w:p w14:paraId="146F5B0C" w14:textId="77777777" w:rsidR="000B4D6A" w:rsidRPr="00041CD9" w:rsidRDefault="000B4D6A" w:rsidP="00AF7722">
            <w:pPr>
              <w:spacing w:before="60" w:after="60"/>
              <w:rPr>
                <w:rFonts w:ascii="Arial" w:eastAsia="Calibri" w:hAnsi="Arial" w:cs="Arial"/>
                <w:b/>
                <w:sz w:val="18"/>
                <w:szCs w:val="18"/>
                <w:lang w:eastAsia="en-US"/>
              </w:rPr>
            </w:pPr>
            <w:r w:rsidRPr="00041CD9">
              <w:rPr>
                <w:rFonts w:ascii="Arial" w:eastAsia="Calibri" w:hAnsi="Arial" w:cs="Arial"/>
                <w:b/>
                <w:sz w:val="18"/>
                <w:szCs w:val="18"/>
                <w:lang w:eastAsia="en-US"/>
              </w:rPr>
              <w:t>Adverse Event Category, n (%)</w:t>
            </w:r>
          </w:p>
        </w:tc>
        <w:tc>
          <w:tcPr>
            <w:tcW w:w="2835" w:type="dxa"/>
            <w:shd w:val="clear" w:color="auto" w:fill="D9D9D9" w:themeFill="background1" w:themeFillShade="D9"/>
            <w:vAlign w:val="center"/>
          </w:tcPr>
          <w:p w14:paraId="0F04A325" w14:textId="77777777" w:rsidR="000B4D6A" w:rsidRPr="00041CD9" w:rsidRDefault="000B4D6A" w:rsidP="00AF7722">
            <w:pPr>
              <w:spacing w:before="60" w:after="60"/>
              <w:jc w:val="center"/>
              <w:rPr>
                <w:rFonts w:ascii="Arial" w:eastAsia="Calibri" w:hAnsi="Arial" w:cs="Arial"/>
                <w:b/>
                <w:sz w:val="18"/>
                <w:szCs w:val="18"/>
                <w:lang w:eastAsia="en-US"/>
              </w:rPr>
            </w:pPr>
            <w:r w:rsidRPr="00041CD9">
              <w:rPr>
                <w:rFonts w:ascii="Arial" w:eastAsia="Calibri" w:hAnsi="Arial" w:cs="Arial"/>
                <w:b/>
                <w:sz w:val="18"/>
                <w:szCs w:val="18"/>
                <w:lang w:eastAsia="en-US"/>
              </w:rPr>
              <w:t>Lesinurad 200 mg + XOI</w:t>
            </w:r>
            <w:r w:rsidRPr="00041CD9">
              <w:rPr>
                <w:rFonts w:ascii="Arial" w:eastAsia="Calibri" w:hAnsi="Arial" w:cs="Arial"/>
                <w:b/>
                <w:sz w:val="18"/>
                <w:szCs w:val="18"/>
                <w:lang w:eastAsia="en-US"/>
              </w:rPr>
              <w:br/>
              <w:t>(N=511)</w:t>
            </w:r>
          </w:p>
        </w:tc>
        <w:tc>
          <w:tcPr>
            <w:tcW w:w="2409" w:type="dxa"/>
            <w:shd w:val="clear" w:color="auto" w:fill="D9D9D9" w:themeFill="background1" w:themeFillShade="D9"/>
            <w:vAlign w:val="center"/>
          </w:tcPr>
          <w:p w14:paraId="3FF3765E" w14:textId="77777777" w:rsidR="000B4D6A" w:rsidRPr="00041CD9" w:rsidRDefault="000B4D6A" w:rsidP="00AF7722">
            <w:pPr>
              <w:spacing w:before="60" w:after="60"/>
              <w:jc w:val="center"/>
              <w:rPr>
                <w:rFonts w:ascii="Arial" w:eastAsia="Calibri" w:hAnsi="Arial" w:cs="Arial"/>
                <w:b/>
                <w:sz w:val="18"/>
                <w:szCs w:val="18"/>
                <w:lang w:eastAsia="en-US"/>
              </w:rPr>
            </w:pPr>
            <w:r w:rsidRPr="00041CD9">
              <w:rPr>
                <w:rFonts w:ascii="Arial" w:eastAsia="Calibri" w:hAnsi="Arial" w:cs="Arial"/>
                <w:b/>
                <w:sz w:val="18"/>
                <w:szCs w:val="18"/>
                <w:lang w:eastAsia="en-US"/>
              </w:rPr>
              <w:t>Placebo + XOI (N=516)</w:t>
            </w:r>
          </w:p>
        </w:tc>
      </w:tr>
      <w:tr w:rsidR="000B4D6A" w:rsidRPr="00041CD9" w14:paraId="4DC18EC3" w14:textId="77777777" w:rsidTr="00AF7722">
        <w:tc>
          <w:tcPr>
            <w:tcW w:w="3936" w:type="dxa"/>
            <w:shd w:val="clear" w:color="auto" w:fill="auto"/>
            <w:vAlign w:val="center"/>
          </w:tcPr>
          <w:p w14:paraId="71061CBA" w14:textId="77777777" w:rsidR="000B4D6A" w:rsidRPr="00041CD9" w:rsidRDefault="000B4D6A" w:rsidP="00AF7722">
            <w:pPr>
              <w:spacing w:before="60" w:after="60"/>
              <w:rPr>
                <w:rFonts w:ascii="Arial" w:eastAsia="Calibri" w:hAnsi="Arial" w:cs="Arial"/>
                <w:sz w:val="18"/>
                <w:szCs w:val="18"/>
                <w:lang w:eastAsia="en-US"/>
              </w:rPr>
            </w:pPr>
            <w:r w:rsidRPr="00041CD9">
              <w:rPr>
                <w:rFonts w:ascii="Arial" w:eastAsia="Calibri" w:hAnsi="Arial" w:cs="Arial"/>
                <w:sz w:val="18"/>
                <w:szCs w:val="18"/>
                <w:lang w:eastAsia="en-US"/>
              </w:rPr>
              <w:t>Any TEAE</w:t>
            </w:r>
          </w:p>
        </w:tc>
        <w:tc>
          <w:tcPr>
            <w:tcW w:w="2835" w:type="dxa"/>
            <w:vAlign w:val="center"/>
          </w:tcPr>
          <w:p w14:paraId="1289027C"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386 (75.5)</w:t>
            </w:r>
          </w:p>
        </w:tc>
        <w:tc>
          <w:tcPr>
            <w:tcW w:w="2409" w:type="dxa"/>
            <w:vAlign w:val="center"/>
          </w:tcPr>
          <w:p w14:paraId="2D310CB7"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363 (70.3)</w:t>
            </w:r>
          </w:p>
        </w:tc>
      </w:tr>
      <w:tr w:rsidR="000B4D6A" w:rsidRPr="00041CD9" w14:paraId="64FD3E55" w14:textId="77777777" w:rsidTr="00AF7722">
        <w:tc>
          <w:tcPr>
            <w:tcW w:w="3936" w:type="dxa"/>
            <w:shd w:val="clear" w:color="auto" w:fill="auto"/>
            <w:vAlign w:val="bottom"/>
          </w:tcPr>
          <w:p w14:paraId="158EB738" w14:textId="77777777" w:rsidR="000B4D6A" w:rsidRPr="00041CD9" w:rsidRDefault="000B4D6A" w:rsidP="00AF7722">
            <w:pPr>
              <w:spacing w:before="60" w:after="60"/>
              <w:rPr>
                <w:rFonts w:ascii="Arial" w:eastAsia="Calibri" w:hAnsi="Arial" w:cs="Arial"/>
                <w:sz w:val="18"/>
                <w:szCs w:val="18"/>
                <w:lang w:eastAsia="en-US"/>
              </w:rPr>
            </w:pPr>
            <w:r w:rsidRPr="00041CD9">
              <w:rPr>
                <w:rFonts w:ascii="Arial" w:eastAsia="Times New Roman" w:hAnsi="Arial" w:cs="Arial"/>
                <w:color w:val="000000"/>
                <w:sz w:val="18"/>
                <w:szCs w:val="18"/>
                <w:lang w:eastAsia="en-US"/>
              </w:rPr>
              <w:t>Any TEAE with RCTC toxicity Grade 3 or 4</w:t>
            </w:r>
          </w:p>
        </w:tc>
        <w:tc>
          <w:tcPr>
            <w:tcW w:w="2835" w:type="dxa"/>
            <w:vAlign w:val="center"/>
          </w:tcPr>
          <w:p w14:paraId="1F1793CC"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52 (10.2)</w:t>
            </w:r>
          </w:p>
        </w:tc>
        <w:tc>
          <w:tcPr>
            <w:tcW w:w="2409" w:type="dxa"/>
            <w:vAlign w:val="center"/>
          </w:tcPr>
          <w:p w14:paraId="668DB247"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48 (9.3)</w:t>
            </w:r>
          </w:p>
        </w:tc>
      </w:tr>
      <w:tr w:rsidR="000B4D6A" w:rsidRPr="00041CD9" w14:paraId="3B92C0C3" w14:textId="77777777" w:rsidTr="00AF7722">
        <w:tc>
          <w:tcPr>
            <w:tcW w:w="3936" w:type="dxa"/>
            <w:shd w:val="clear" w:color="auto" w:fill="auto"/>
            <w:vAlign w:val="bottom"/>
          </w:tcPr>
          <w:p w14:paraId="624D3C56" w14:textId="77777777" w:rsidR="000B4D6A" w:rsidRPr="00041CD9" w:rsidRDefault="000B4D6A" w:rsidP="00AF7722">
            <w:pPr>
              <w:spacing w:before="60" w:after="60"/>
              <w:rPr>
                <w:rFonts w:ascii="Arial" w:eastAsia="Times New Roman" w:hAnsi="Arial" w:cs="Arial"/>
                <w:color w:val="000000"/>
                <w:sz w:val="18"/>
                <w:szCs w:val="18"/>
                <w:lang w:eastAsia="en-US"/>
              </w:rPr>
            </w:pPr>
            <w:r w:rsidRPr="00041CD9">
              <w:rPr>
                <w:rFonts w:ascii="Arial" w:eastAsia="Times New Roman" w:hAnsi="Arial" w:cs="Arial"/>
                <w:color w:val="000000"/>
                <w:sz w:val="18"/>
                <w:szCs w:val="18"/>
                <w:lang w:eastAsia="en-US"/>
              </w:rPr>
              <w:t>Any TEAE possibly related to randomized study medication</w:t>
            </w:r>
          </w:p>
        </w:tc>
        <w:tc>
          <w:tcPr>
            <w:tcW w:w="2835" w:type="dxa"/>
            <w:vAlign w:val="center"/>
          </w:tcPr>
          <w:p w14:paraId="481099F1"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98 (19.2)</w:t>
            </w:r>
          </w:p>
        </w:tc>
        <w:tc>
          <w:tcPr>
            <w:tcW w:w="2409" w:type="dxa"/>
            <w:vAlign w:val="center"/>
          </w:tcPr>
          <w:p w14:paraId="3FEE7F34"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80 (15.5)</w:t>
            </w:r>
          </w:p>
        </w:tc>
      </w:tr>
      <w:tr w:rsidR="000B4D6A" w:rsidRPr="00041CD9" w14:paraId="45F75E0D" w14:textId="77777777" w:rsidTr="00AF7722">
        <w:tc>
          <w:tcPr>
            <w:tcW w:w="3936" w:type="dxa"/>
            <w:shd w:val="clear" w:color="auto" w:fill="auto"/>
            <w:vAlign w:val="bottom"/>
          </w:tcPr>
          <w:p w14:paraId="07F9CEA3" w14:textId="77777777" w:rsidR="000B4D6A" w:rsidRPr="00041CD9" w:rsidRDefault="000B4D6A" w:rsidP="00AF7722">
            <w:pPr>
              <w:spacing w:before="60" w:after="60"/>
              <w:rPr>
                <w:rFonts w:ascii="Arial" w:eastAsia="Times New Roman" w:hAnsi="Arial" w:cs="Arial"/>
                <w:color w:val="000000"/>
                <w:sz w:val="18"/>
                <w:szCs w:val="18"/>
                <w:lang w:eastAsia="en-US"/>
              </w:rPr>
            </w:pPr>
            <w:r w:rsidRPr="00041CD9">
              <w:rPr>
                <w:rFonts w:ascii="Arial" w:eastAsia="Times New Roman" w:hAnsi="Arial" w:cs="Arial"/>
                <w:color w:val="000000"/>
                <w:sz w:val="18"/>
                <w:szCs w:val="18"/>
                <w:lang w:eastAsia="en-US"/>
              </w:rPr>
              <w:t>Any TEAE possibly related to XOI</w:t>
            </w:r>
          </w:p>
        </w:tc>
        <w:tc>
          <w:tcPr>
            <w:tcW w:w="2835" w:type="dxa"/>
            <w:vAlign w:val="center"/>
          </w:tcPr>
          <w:p w14:paraId="1578F5DF"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49 (9.6)</w:t>
            </w:r>
          </w:p>
        </w:tc>
        <w:tc>
          <w:tcPr>
            <w:tcW w:w="2409" w:type="dxa"/>
            <w:vAlign w:val="center"/>
          </w:tcPr>
          <w:p w14:paraId="5C7D1765"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52 (10.1)</w:t>
            </w:r>
          </w:p>
        </w:tc>
      </w:tr>
      <w:tr w:rsidR="000B4D6A" w:rsidRPr="00041CD9" w14:paraId="7923ADD4" w14:textId="77777777" w:rsidTr="00AF7722">
        <w:tc>
          <w:tcPr>
            <w:tcW w:w="3936" w:type="dxa"/>
            <w:shd w:val="clear" w:color="auto" w:fill="auto"/>
            <w:vAlign w:val="bottom"/>
          </w:tcPr>
          <w:p w14:paraId="3DDFE2D4" w14:textId="77777777" w:rsidR="000B4D6A" w:rsidRPr="00041CD9" w:rsidRDefault="000B4D6A" w:rsidP="00AF7722">
            <w:pPr>
              <w:spacing w:before="60" w:after="60"/>
              <w:rPr>
                <w:rFonts w:ascii="Arial" w:eastAsia="Times New Roman" w:hAnsi="Arial" w:cs="Arial"/>
                <w:color w:val="000000"/>
                <w:sz w:val="18"/>
                <w:szCs w:val="18"/>
                <w:lang w:eastAsia="en-US"/>
              </w:rPr>
            </w:pPr>
            <w:r w:rsidRPr="00041CD9">
              <w:rPr>
                <w:rFonts w:ascii="Arial" w:eastAsia="Times New Roman" w:hAnsi="Arial" w:cs="Arial"/>
                <w:color w:val="000000"/>
                <w:sz w:val="18"/>
                <w:szCs w:val="18"/>
                <w:lang w:eastAsia="en-US"/>
              </w:rPr>
              <w:t>Any TEAE possibly related to prophylaxis</w:t>
            </w:r>
          </w:p>
        </w:tc>
        <w:tc>
          <w:tcPr>
            <w:tcW w:w="2835" w:type="dxa"/>
            <w:vAlign w:val="center"/>
          </w:tcPr>
          <w:p w14:paraId="510DAB24"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56 (11.0)</w:t>
            </w:r>
          </w:p>
        </w:tc>
        <w:tc>
          <w:tcPr>
            <w:tcW w:w="2409" w:type="dxa"/>
            <w:vAlign w:val="center"/>
          </w:tcPr>
          <w:p w14:paraId="146B72E6"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52 (10.1)</w:t>
            </w:r>
          </w:p>
        </w:tc>
      </w:tr>
      <w:tr w:rsidR="000B4D6A" w:rsidRPr="00041CD9" w14:paraId="3C941342" w14:textId="77777777" w:rsidTr="00AF7722">
        <w:tc>
          <w:tcPr>
            <w:tcW w:w="3936" w:type="dxa"/>
            <w:shd w:val="clear" w:color="auto" w:fill="auto"/>
            <w:vAlign w:val="bottom"/>
          </w:tcPr>
          <w:p w14:paraId="68D09AC5" w14:textId="77777777" w:rsidR="000B4D6A" w:rsidRPr="00041CD9" w:rsidRDefault="000B4D6A" w:rsidP="00AF7722">
            <w:pPr>
              <w:spacing w:before="60" w:after="60"/>
              <w:rPr>
                <w:rFonts w:ascii="Arial" w:eastAsia="Times New Roman" w:hAnsi="Arial" w:cs="Arial"/>
                <w:color w:val="000000"/>
                <w:sz w:val="18"/>
                <w:szCs w:val="18"/>
                <w:lang w:eastAsia="en-US"/>
              </w:rPr>
            </w:pPr>
            <w:r w:rsidRPr="00041CD9">
              <w:rPr>
                <w:rFonts w:ascii="Arial" w:eastAsia="Times New Roman" w:hAnsi="Arial" w:cs="Arial"/>
                <w:color w:val="000000"/>
                <w:sz w:val="18"/>
                <w:szCs w:val="18"/>
                <w:lang w:eastAsia="en-US"/>
              </w:rPr>
              <w:t>Any serious TEAE</w:t>
            </w:r>
          </w:p>
        </w:tc>
        <w:tc>
          <w:tcPr>
            <w:tcW w:w="2835" w:type="dxa"/>
            <w:vAlign w:val="center"/>
          </w:tcPr>
          <w:p w14:paraId="25CE620B"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24 (4.7)</w:t>
            </w:r>
          </w:p>
        </w:tc>
        <w:tc>
          <w:tcPr>
            <w:tcW w:w="2409" w:type="dxa"/>
            <w:vAlign w:val="center"/>
          </w:tcPr>
          <w:p w14:paraId="7993F7BD"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29 (5.6)</w:t>
            </w:r>
          </w:p>
        </w:tc>
      </w:tr>
      <w:tr w:rsidR="000B4D6A" w:rsidRPr="00041CD9" w14:paraId="69706DE4" w14:textId="77777777" w:rsidTr="00AF7722">
        <w:tc>
          <w:tcPr>
            <w:tcW w:w="3936" w:type="dxa"/>
            <w:shd w:val="clear" w:color="auto" w:fill="auto"/>
            <w:vAlign w:val="bottom"/>
          </w:tcPr>
          <w:p w14:paraId="17B39FB9" w14:textId="77777777" w:rsidR="000B4D6A" w:rsidRPr="00041CD9" w:rsidRDefault="000B4D6A" w:rsidP="00AF7722">
            <w:pPr>
              <w:spacing w:before="60" w:after="60"/>
              <w:rPr>
                <w:rFonts w:ascii="Arial" w:eastAsia="Times New Roman" w:hAnsi="Arial" w:cs="Arial"/>
                <w:color w:val="000000"/>
                <w:sz w:val="18"/>
                <w:szCs w:val="18"/>
                <w:lang w:eastAsia="en-US"/>
              </w:rPr>
            </w:pPr>
            <w:r w:rsidRPr="00041CD9">
              <w:rPr>
                <w:rFonts w:ascii="Arial" w:eastAsia="Times New Roman" w:hAnsi="Arial" w:cs="Arial"/>
                <w:color w:val="000000"/>
                <w:sz w:val="18"/>
                <w:szCs w:val="18"/>
                <w:lang w:eastAsia="en-US"/>
              </w:rPr>
              <w:t>Any fatal TEAE</w:t>
            </w:r>
          </w:p>
        </w:tc>
        <w:tc>
          <w:tcPr>
            <w:tcW w:w="2835" w:type="dxa"/>
            <w:vAlign w:val="center"/>
          </w:tcPr>
          <w:p w14:paraId="61034064"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2 (0.4)</w:t>
            </w:r>
          </w:p>
        </w:tc>
        <w:tc>
          <w:tcPr>
            <w:tcW w:w="2409" w:type="dxa"/>
            <w:vAlign w:val="center"/>
          </w:tcPr>
          <w:p w14:paraId="54CA2168"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0</w:t>
            </w:r>
          </w:p>
        </w:tc>
      </w:tr>
      <w:tr w:rsidR="000B4D6A" w:rsidRPr="00041CD9" w14:paraId="2CDF42C8" w14:textId="77777777" w:rsidTr="00AF7722">
        <w:tc>
          <w:tcPr>
            <w:tcW w:w="3936" w:type="dxa"/>
            <w:shd w:val="clear" w:color="auto" w:fill="auto"/>
            <w:vAlign w:val="bottom"/>
          </w:tcPr>
          <w:p w14:paraId="1934BF3D" w14:textId="77777777" w:rsidR="000B4D6A" w:rsidRPr="00041CD9" w:rsidRDefault="000B4D6A" w:rsidP="00AF7722">
            <w:pPr>
              <w:spacing w:before="60" w:after="60"/>
              <w:rPr>
                <w:rFonts w:ascii="Arial" w:eastAsia="Times New Roman" w:hAnsi="Arial" w:cs="Arial"/>
                <w:color w:val="000000"/>
                <w:sz w:val="18"/>
                <w:szCs w:val="18"/>
                <w:lang w:eastAsia="en-US"/>
              </w:rPr>
            </w:pPr>
            <w:r w:rsidRPr="00041CD9">
              <w:rPr>
                <w:rFonts w:ascii="Arial" w:eastAsia="Times New Roman" w:hAnsi="Arial" w:cs="Arial"/>
                <w:color w:val="000000"/>
                <w:sz w:val="18"/>
                <w:szCs w:val="18"/>
                <w:lang w:eastAsia="en-US"/>
              </w:rPr>
              <w:t>Any TEAE leading to randomized study medication discontinuation</w:t>
            </w:r>
          </w:p>
        </w:tc>
        <w:tc>
          <w:tcPr>
            <w:tcW w:w="2835" w:type="dxa"/>
            <w:vAlign w:val="center"/>
          </w:tcPr>
          <w:p w14:paraId="179940DC"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32 (6.3)</w:t>
            </w:r>
          </w:p>
        </w:tc>
        <w:tc>
          <w:tcPr>
            <w:tcW w:w="2409" w:type="dxa"/>
            <w:vAlign w:val="center"/>
          </w:tcPr>
          <w:p w14:paraId="6D59E626"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28 (5.4)</w:t>
            </w:r>
          </w:p>
        </w:tc>
      </w:tr>
      <w:tr w:rsidR="000B4D6A" w:rsidRPr="00041CD9" w14:paraId="3BD77EFC" w14:textId="77777777" w:rsidTr="00AF7722">
        <w:tc>
          <w:tcPr>
            <w:tcW w:w="3936" w:type="dxa"/>
            <w:shd w:val="clear" w:color="auto" w:fill="auto"/>
            <w:vAlign w:val="bottom"/>
          </w:tcPr>
          <w:p w14:paraId="0C11B99E" w14:textId="77777777" w:rsidR="000B4D6A" w:rsidRPr="00041CD9" w:rsidRDefault="000B4D6A" w:rsidP="00AF7722">
            <w:pPr>
              <w:spacing w:before="60" w:after="60"/>
              <w:rPr>
                <w:rFonts w:ascii="Arial" w:eastAsia="Times New Roman" w:hAnsi="Arial" w:cs="Arial"/>
                <w:color w:val="000000"/>
                <w:sz w:val="18"/>
                <w:szCs w:val="18"/>
                <w:lang w:eastAsia="en-US"/>
              </w:rPr>
            </w:pPr>
            <w:r w:rsidRPr="00041CD9">
              <w:rPr>
                <w:rFonts w:ascii="Arial" w:eastAsia="Times New Roman" w:hAnsi="Arial" w:cs="Arial"/>
                <w:color w:val="000000"/>
                <w:sz w:val="18"/>
                <w:szCs w:val="18"/>
                <w:lang w:eastAsia="en-US"/>
              </w:rPr>
              <w:t>Any TEAE leading to XOI discontinuation</w:t>
            </w:r>
          </w:p>
        </w:tc>
        <w:tc>
          <w:tcPr>
            <w:tcW w:w="2835" w:type="dxa"/>
            <w:vAlign w:val="center"/>
          </w:tcPr>
          <w:p w14:paraId="1F0A9667"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10 (2.0)</w:t>
            </w:r>
          </w:p>
        </w:tc>
        <w:tc>
          <w:tcPr>
            <w:tcW w:w="2409" w:type="dxa"/>
            <w:vAlign w:val="center"/>
          </w:tcPr>
          <w:p w14:paraId="7438A324"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8 (1.6)</w:t>
            </w:r>
          </w:p>
        </w:tc>
      </w:tr>
      <w:tr w:rsidR="000B4D6A" w:rsidRPr="00041CD9" w14:paraId="0892EC35" w14:textId="77777777" w:rsidTr="00AF7722">
        <w:tc>
          <w:tcPr>
            <w:tcW w:w="3936" w:type="dxa"/>
            <w:shd w:val="clear" w:color="auto" w:fill="auto"/>
            <w:vAlign w:val="bottom"/>
          </w:tcPr>
          <w:p w14:paraId="552F5A65" w14:textId="77777777" w:rsidR="000B4D6A" w:rsidRPr="00041CD9" w:rsidRDefault="000B4D6A" w:rsidP="00AF7722">
            <w:pPr>
              <w:spacing w:before="60" w:after="60"/>
              <w:rPr>
                <w:rFonts w:ascii="Arial" w:eastAsia="Times New Roman" w:hAnsi="Arial" w:cs="Arial"/>
                <w:color w:val="000000"/>
                <w:sz w:val="18"/>
                <w:szCs w:val="18"/>
                <w:lang w:eastAsia="en-US"/>
              </w:rPr>
            </w:pPr>
            <w:r w:rsidRPr="00041CD9">
              <w:rPr>
                <w:rFonts w:ascii="Arial" w:eastAsia="Times New Roman" w:hAnsi="Arial" w:cs="Arial"/>
                <w:color w:val="000000"/>
                <w:sz w:val="18"/>
                <w:szCs w:val="18"/>
                <w:lang w:eastAsia="en-US"/>
              </w:rPr>
              <w:t>Any TEAE leading to prophylaxis discontinuation</w:t>
            </w:r>
          </w:p>
        </w:tc>
        <w:tc>
          <w:tcPr>
            <w:tcW w:w="2835" w:type="dxa"/>
            <w:vAlign w:val="center"/>
          </w:tcPr>
          <w:p w14:paraId="14ABAE29"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21 (4.1)</w:t>
            </w:r>
          </w:p>
        </w:tc>
        <w:tc>
          <w:tcPr>
            <w:tcW w:w="2409" w:type="dxa"/>
            <w:vAlign w:val="center"/>
          </w:tcPr>
          <w:p w14:paraId="194509BA"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12 (2.3)</w:t>
            </w:r>
          </w:p>
        </w:tc>
      </w:tr>
      <w:tr w:rsidR="000B4D6A" w:rsidRPr="00041CD9" w14:paraId="53A5D2C1" w14:textId="77777777" w:rsidTr="00AF7722">
        <w:tc>
          <w:tcPr>
            <w:tcW w:w="3936" w:type="dxa"/>
            <w:shd w:val="clear" w:color="auto" w:fill="auto"/>
            <w:vAlign w:val="bottom"/>
          </w:tcPr>
          <w:p w14:paraId="077C533F" w14:textId="77777777" w:rsidR="000B4D6A" w:rsidRPr="00041CD9" w:rsidRDefault="000B4D6A" w:rsidP="00AF7722">
            <w:pPr>
              <w:spacing w:before="60" w:after="60"/>
              <w:rPr>
                <w:rFonts w:ascii="Arial" w:eastAsia="Times New Roman" w:hAnsi="Arial" w:cs="Arial"/>
                <w:color w:val="000000"/>
                <w:sz w:val="18"/>
                <w:szCs w:val="18"/>
                <w:lang w:eastAsia="en-US"/>
              </w:rPr>
            </w:pPr>
            <w:r w:rsidRPr="00041CD9">
              <w:rPr>
                <w:rFonts w:ascii="Arial" w:eastAsia="Times New Roman" w:hAnsi="Arial" w:cs="Arial"/>
                <w:color w:val="000000"/>
                <w:sz w:val="18"/>
                <w:szCs w:val="18"/>
                <w:lang w:eastAsia="en-US"/>
              </w:rPr>
              <w:t>Any TEAE leading to study withdrawal</w:t>
            </w:r>
          </w:p>
        </w:tc>
        <w:tc>
          <w:tcPr>
            <w:tcW w:w="2835" w:type="dxa"/>
            <w:vAlign w:val="center"/>
          </w:tcPr>
          <w:p w14:paraId="47924EE2"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20 (3.9)</w:t>
            </w:r>
          </w:p>
        </w:tc>
        <w:tc>
          <w:tcPr>
            <w:tcW w:w="2409" w:type="dxa"/>
            <w:vAlign w:val="center"/>
          </w:tcPr>
          <w:p w14:paraId="52E91A61"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Times New Roman" w:hAnsi="Arial" w:cs="Arial"/>
                <w:color w:val="000000"/>
                <w:sz w:val="18"/>
                <w:szCs w:val="18"/>
                <w:lang w:eastAsia="en-US"/>
              </w:rPr>
              <w:t>18 (3.5)</w:t>
            </w:r>
          </w:p>
        </w:tc>
      </w:tr>
    </w:tbl>
    <w:p w14:paraId="1B9315F3" w14:textId="77777777" w:rsidR="000B4D6A" w:rsidRPr="0011012D" w:rsidRDefault="000B4D6A" w:rsidP="000B4D6A">
      <w:pPr>
        <w:spacing w:line="360" w:lineRule="auto"/>
        <w:rPr>
          <w:rFonts w:cs="Arial"/>
          <w:sz w:val="18"/>
          <w:szCs w:val="18"/>
        </w:rPr>
      </w:pPr>
      <w:r w:rsidRPr="0011012D">
        <w:rPr>
          <w:rFonts w:cs="Arial"/>
          <w:sz w:val="18"/>
          <w:szCs w:val="18"/>
          <w:lang w:val="en-GB"/>
        </w:rPr>
        <w:t>† Events are treatment-emergent events. For each category, subjects are included only once, even if they experienced multiple events in that category.</w:t>
      </w:r>
      <w:r w:rsidRPr="0011012D">
        <w:rPr>
          <w:rFonts w:cs="Arial"/>
          <w:sz w:val="18"/>
          <w:szCs w:val="18"/>
          <w:lang w:val="en-GB"/>
        </w:rPr>
        <w:br/>
        <w:t>Abbreviations: IAS, integrated analysis of safety; RCTC, Rheumatology Common Toxicity Criteria; TEAE, treatment-emergent adverse event; XOI, xanthine oxidase inhibitor (allopurinol/febuxostat).</w:t>
      </w:r>
      <w:r w:rsidRPr="0011012D">
        <w:rPr>
          <w:rFonts w:cs="Arial"/>
          <w:sz w:val="18"/>
          <w:szCs w:val="18"/>
          <w:lang w:val="en-GB"/>
        </w:rPr>
        <w:br/>
      </w:r>
      <w:r w:rsidRPr="0011012D">
        <w:rPr>
          <w:rFonts w:cs="Arial"/>
          <w:sz w:val="18"/>
          <w:szCs w:val="18"/>
        </w:rPr>
        <w:t>Source: IAS Table 4.1.1.1.</w:t>
      </w:r>
    </w:p>
    <w:p w14:paraId="74BDCAF7" w14:textId="77777777" w:rsidR="000B4D6A" w:rsidRPr="00C1448B" w:rsidRDefault="000B4D6A" w:rsidP="000210A2">
      <w:pPr>
        <w:spacing w:line="360" w:lineRule="auto"/>
        <w:rPr>
          <w:rFonts w:cs="Arial"/>
          <w:sz w:val="20"/>
          <w:szCs w:val="20"/>
        </w:rPr>
      </w:pPr>
    </w:p>
    <w:p w14:paraId="30204EB5" w14:textId="4EF5E2F1" w:rsidR="000B4D6A" w:rsidRDefault="000B4D6A" w:rsidP="000210A2">
      <w:pPr>
        <w:spacing w:line="360" w:lineRule="auto"/>
        <w:rPr>
          <w:rFonts w:cs="Arial"/>
          <w:sz w:val="20"/>
          <w:szCs w:val="20"/>
        </w:rPr>
      </w:pPr>
      <w:r w:rsidRPr="0011012D">
        <w:rPr>
          <w:rFonts w:cs="Arial"/>
          <w:sz w:val="20"/>
          <w:szCs w:val="20"/>
        </w:rPr>
        <w:t xml:space="preserve">La maggior parte dei TEAEs </w:t>
      </w:r>
      <w:r w:rsidR="007343F3" w:rsidRPr="0011012D">
        <w:rPr>
          <w:rFonts w:cs="Arial"/>
          <w:sz w:val="20"/>
          <w:szCs w:val="20"/>
        </w:rPr>
        <w:t>r</w:t>
      </w:r>
      <w:r w:rsidR="007343F3">
        <w:rPr>
          <w:rFonts w:cs="Arial"/>
          <w:sz w:val="20"/>
          <w:szCs w:val="20"/>
        </w:rPr>
        <w:t>i</w:t>
      </w:r>
      <w:r w:rsidR="007343F3" w:rsidRPr="0011012D">
        <w:rPr>
          <w:rFonts w:cs="Arial"/>
          <w:sz w:val="20"/>
          <w:szCs w:val="20"/>
        </w:rPr>
        <w:t xml:space="preserve">portati </w:t>
      </w:r>
      <w:r w:rsidRPr="0011012D">
        <w:rPr>
          <w:rFonts w:cs="Arial"/>
          <w:sz w:val="20"/>
          <w:szCs w:val="20"/>
        </w:rPr>
        <w:t>nel CLEAR 1, CLEAR 2 e CRYSTAL erano di intensità lieve o moderata (Grad</w:t>
      </w:r>
      <w:r>
        <w:rPr>
          <w:rFonts w:cs="Arial"/>
          <w:sz w:val="20"/>
          <w:szCs w:val="20"/>
        </w:rPr>
        <w:t>o</w:t>
      </w:r>
      <w:r w:rsidRPr="0011012D">
        <w:rPr>
          <w:rFonts w:cs="Arial"/>
          <w:sz w:val="20"/>
          <w:szCs w:val="20"/>
        </w:rPr>
        <w:t xml:space="preserve"> 1 </w:t>
      </w:r>
      <w:r>
        <w:rPr>
          <w:rFonts w:cs="Arial"/>
          <w:sz w:val="20"/>
          <w:szCs w:val="20"/>
        </w:rPr>
        <w:t>e</w:t>
      </w:r>
      <w:r w:rsidRPr="0011012D">
        <w:rPr>
          <w:rFonts w:cs="Arial"/>
          <w:sz w:val="20"/>
          <w:szCs w:val="20"/>
        </w:rPr>
        <w:t xml:space="preserve"> 2, r</w:t>
      </w:r>
      <w:r>
        <w:rPr>
          <w:rFonts w:cs="Arial"/>
          <w:sz w:val="20"/>
          <w:szCs w:val="20"/>
        </w:rPr>
        <w:t>ispettivamente</w:t>
      </w:r>
      <w:r w:rsidRPr="0011012D">
        <w:rPr>
          <w:rFonts w:cs="Arial"/>
          <w:sz w:val="20"/>
          <w:szCs w:val="20"/>
        </w:rPr>
        <w:t xml:space="preserve">). </w:t>
      </w:r>
      <w:r w:rsidRPr="009D4241">
        <w:rPr>
          <w:rFonts w:cs="Arial"/>
          <w:sz w:val="20"/>
          <w:szCs w:val="20"/>
        </w:rPr>
        <w:t>I TEAEs di Grado 3</w:t>
      </w:r>
      <w:r w:rsidRPr="0011012D">
        <w:rPr>
          <w:rFonts w:cs="Arial"/>
          <w:sz w:val="20"/>
          <w:szCs w:val="20"/>
        </w:rPr>
        <w:t xml:space="preserve"> sono stati riportati nel 9.2% di pazienti nel gruppo lesinurad 200 mg </w:t>
      </w:r>
      <w:r>
        <w:rPr>
          <w:rFonts w:cs="Arial"/>
          <w:sz w:val="20"/>
          <w:szCs w:val="20"/>
        </w:rPr>
        <w:t>rispetto a</w:t>
      </w:r>
      <w:r w:rsidRPr="0011012D">
        <w:rPr>
          <w:rFonts w:cs="Arial"/>
          <w:sz w:val="20"/>
          <w:szCs w:val="20"/>
        </w:rPr>
        <w:t xml:space="preserve"> 7.9% </w:t>
      </w:r>
      <w:r>
        <w:rPr>
          <w:rFonts w:cs="Arial"/>
          <w:sz w:val="20"/>
          <w:szCs w:val="20"/>
        </w:rPr>
        <w:t>nei pazienti in trattamento con XOI in monoterapia</w:t>
      </w:r>
      <w:r w:rsidRPr="0011012D">
        <w:rPr>
          <w:rFonts w:cs="Arial"/>
          <w:sz w:val="20"/>
          <w:szCs w:val="20"/>
        </w:rPr>
        <w:t xml:space="preserve">. </w:t>
      </w:r>
      <w:r>
        <w:rPr>
          <w:rFonts w:cs="Arial"/>
          <w:sz w:val="20"/>
          <w:szCs w:val="20"/>
        </w:rPr>
        <w:t>La percentuale di incidenza dei TEAEs di Grado 4</w:t>
      </w:r>
      <w:r w:rsidRPr="0011012D">
        <w:rPr>
          <w:rFonts w:cs="Arial"/>
          <w:sz w:val="20"/>
          <w:szCs w:val="20"/>
        </w:rPr>
        <w:t xml:space="preserve"> era bassa e paragonabile nei gruppi di trattamento con meno del 2% di pazienti che hanno riportato TEAE classificati di Grado 4 (pericolo di vita)</w:t>
      </w:r>
      <w:r>
        <w:rPr>
          <w:rFonts w:cs="Arial"/>
          <w:sz w:val="20"/>
          <w:szCs w:val="20"/>
        </w:rPr>
        <w:t xml:space="preserve"> (</w:t>
      </w:r>
      <w:hyperlink w:anchor="Tabella23" w:history="1">
        <w:r w:rsidRPr="00907454">
          <w:rPr>
            <w:rStyle w:val="Hyperlink"/>
            <w:rFonts w:cs="Arial"/>
            <w:sz w:val="20"/>
            <w:szCs w:val="20"/>
          </w:rPr>
          <w:t xml:space="preserve">Tabella </w:t>
        </w:r>
        <w:r w:rsidR="004C0945">
          <w:rPr>
            <w:rStyle w:val="Hyperlink"/>
            <w:rFonts w:cs="Arial"/>
            <w:sz w:val="20"/>
            <w:szCs w:val="20"/>
          </w:rPr>
          <w:t>23</w:t>
        </w:r>
      </w:hyperlink>
      <w:r>
        <w:rPr>
          <w:rFonts w:cs="Arial"/>
          <w:sz w:val="20"/>
          <w:szCs w:val="20"/>
        </w:rPr>
        <w:t>).</w:t>
      </w:r>
    </w:p>
    <w:p w14:paraId="430CE1F9" w14:textId="77777777" w:rsidR="00AF5F11" w:rsidRDefault="00AF5F11" w:rsidP="000210A2">
      <w:pPr>
        <w:spacing w:line="360" w:lineRule="auto"/>
        <w:rPr>
          <w:rFonts w:cs="Arial"/>
          <w:sz w:val="20"/>
          <w:szCs w:val="20"/>
        </w:rPr>
      </w:pPr>
    </w:p>
    <w:p w14:paraId="3995AE4B" w14:textId="361B764E" w:rsidR="000B4D6A" w:rsidRPr="00907454" w:rsidRDefault="00907454" w:rsidP="00907454">
      <w:pPr>
        <w:pStyle w:val="Caption"/>
        <w:rPr>
          <w:rFonts w:asciiTheme="minorHAnsi" w:hAnsiTheme="minorHAnsi" w:cstheme="minorHAnsi"/>
          <w:lang w:val="it-IT"/>
        </w:rPr>
      </w:pPr>
      <w:bookmarkStart w:id="166" w:name="Tabella23"/>
      <w:bookmarkStart w:id="167" w:name="_Toc473150708"/>
      <w:bookmarkEnd w:id="166"/>
      <w:r w:rsidRPr="00907454">
        <w:rPr>
          <w:rFonts w:asciiTheme="minorHAnsi" w:hAnsiTheme="minorHAnsi" w:cstheme="minorHAnsi"/>
          <w:lang w:val="it-IT"/>
        </w:rPr>
        <w:t xml:space="preserve">Tabella </w:t>
      </w:r>
      <w:r w:rsidRPr="00907454">
        <w:rPr>
          <w:rFonts w:asciiTheme="minorHAnsi" w:hAnsiTheme="minorHAnsi" w:cstheme="minorHAnsi"/>
        </w:rPr>
        <w:fldChar w:fldCharType="begin"/>
      </w:r>
      <w:r w:rsidRPr="00907454">
        <w:rPr>
          <w:rFonts w:asciiTheme="minorHAnsi" w:hAnsiTheme="minorHAnsi" w:cstheme="minorHAnsi"/>
          <w:lang w:val="it-IT"/>
        </w:rPr>
        <w:instrText xml:space="preserve"> SEQ Tabella \* ARABIC </w:instrText>
      </w:r>
      <w:r w:rsidRPr="00907454">
        <w:rPr>
          <w:rFonts w:asciiTheme="minorHAnsi" w:hAnsiTheme="minorHAnsi" w:cstheme="minorHAnsi"/>
        </w:rPr>
        <w:fldChar w:fldCharType="separate"/>
      </w:r>
      <w:r w:rsidR="00A1679C">
        <w:rPr>
          <w:rFonts w:asciiTheme="minorHAnsi" w:hAnsiTheme="minorHAnsi" w:cstheme="minorHAnsi"/>
          <w:noProof/>
          <w:lang w:val="it-IT"/>
        </w:rPr>
        <w:t>23</w:t>
      </w:r>
      <w:r w:rsidRPr="00907454">
        <w:rPr>
          <w:rFonts w:asciiTheme="minorHAnsi" w:hAnsiTheme="minorHAnsi" w:cstheme="minorHAnsi"/>
        </w:rPr>
        <w:fldChar w:fldCharType="end"/>
      </w:r>
      <w:r w:rsidR="000B4D6A" w:rsidRPr="00907454">
        <w:rPr>
          <w:rFonts w:asciiTheme="minorHAnsi" w:hAnsiTheme="minorHAnsi" w:cstheme="minorHAnsi"/>
          <w:bCs w:val="0"/>
          <w:lang w:val="it-IT"/>
        </w:rPr>
        <w:t xml:space="preserve"> - Incidenza e percentuale degli AE classificati in base alla tossicità definita secondo RCTS nel CLEAR 1, CLEAR 2 e CRYSTAL - safety population (</w:t>
      </w:r>
      <w:r w:rsidR="000B4D6A" w:rsidRPr="00907454">
        <w:rPr>
          <w:rFonts w:asciiTheme="minorHAnsi" w:hAnsiTheme="minorHAnsi" w:cstheme="minorHAnsi"/>
          <w:bCs w:val="0"/>
          <w:color w:val="0000FF"/>
          <w:lang w:val="it-IT"/>
        </w:rPr>
        <w:t>adattata da CSR 301, 302 e 304, 2014</w:t>
      </w:r>
      <w:r w:rsidR="000B4D6A" w:rsidRPr="00907454">
        <w:rPr>
          <w:rFonts w:asciiTheme="minorHAnsi" w:hAnsiTheme="minorHAnsi" w:cstheme="minorHAnsi"/>
          <w:lang w:val="it-IT"/>
        </w:rPr>
        <w:t>)</w:t>
      </w:r>
      <w:bookmarkEnd w:id="167"/>
    </w:p>
    <w:tbl>
      <w:tblPr>
        <w:tblStyle w:val="Grigliatabella2"/>
        <w:tblW w:w="4966" w:type="pct"/>
        <w:tblLook w:val="04A0" w:firstRow="1" w:lastRow="0" w:firstColumn="1" w:lastColumn="0" w:noHBand="0" w:noVBand="1"/>
      </w:tblPr>
      <w:tblGrid>
        <w:gridCol w:w="3445"/>
        <w:gridCol w:w="2742"/>
        <w:gridCol w:w="2769"/>
      </w:tblGrid>
      <w:tr w:rsidR="000B4D6A" w:rsidRPr="00041CD9" w14:paraId="583FBF9C" w14:textId="77777777" w:rsidTr="00AF7722">
        <w:trPr>
          <w:trHeight w:val="435"/>
          <w:tblHeader/>
        </w:trPr>
        <w:tc>
          <w:tcPr>
            <w:tcW w:w="3538" w:type="dxa"/>
            <w:shd w:val="clear" w:color="auto" w:fill="D9D9D9" w:themeFill="background1" w:themeFillShade="D9"/>
            <w:vAlign w:val="center"/>
          </w:tcPr>
          <w:p w14:paraId="3E4C3C4D" w14:textId="77777777" w:rsidR="000B4D6A" w:rsidRPr="00041CD9" w:rsidRDefault="000B4D6A" w:rsidP="00AF7722">
            <w:pPr>
              <w:spacing w:before="60" w:after="60"/>
              <w:rPr>
                <w:rFonts w:ascii="Arial" w:eastAsia="Calibri" w:hAnsi="Arial" w:cs="Arial"/>
                <w:b/>
                <w:sz w:val="18"/>
                <w:szCs w:val="18"/>
                <w:lang w:eastAsia="en-US"/>
              </w:rPr>
            </w:pPr>
            <w:r w:rsidRPr="00041CD9">
              <w:rPr>
                <w:rFonts w:ascii="Arial" w:eastAsia="Calibri" w:hAnsi="Arial" w:cs="Arial"/>
                <w:b/>
                <w:sz w:val="18"/>
                <w:szCs w:val="18"/>
                <w:lang w:eastAsia="en-US"/>
              </w:rPr>
              <w:t>RCTC Toxicity Grade</w:t>
            </w:r>
            <w:r w:rsidRPr="00041CD9">
              <w:rPr>
                <w:rFonts w:ascii="Arial" w:eastAsia="Calibri" w:hAnsi="Arial" w:cs="Arial"/>
                <w:b/>
                <w:sz w:val="18"/>
                <w:szCs w:val="18"/>
                <w:lang w:eastAsia="en-US"/>
              </w:rPr>
              <w:br/>
              <w:t>n (%), rate</w:t>
            </w:r>
            <w:r w:rsidRPr="00041CD9">
              <w:rPr>
                <w:rFonts w:ascii="Arial" w:eastAsia="Calibri" w:hAnsi="Arial" w:cs="Arial"/>
                <w:b/>
                <w:sz w:val="18"/>
                <w:szCs w:val="18"/>
                <w:vertAlign w:val="superscript"/>
                <w:lang w:eastAsia="en-US"/>
              </w:rPr>
              <w:t>†</w:t>
            </w:r>
            <w:r w:rsidRPr="00041CD9">
              <w:rPr>
                <w:rFonts w:ascii="Arial" w:eastAsia="Calibri" w:hAnsi="Arial" w:cs="Arial"/>
                <w:b/>
                <w:sz w:val="18"/>
                <w:szCs w:val="18"/>
                <w:lang w:eastAsia="en-US"/>
              </w:rPr>
              <w:t xml:space="preserve"> </w:t>
            </w:r>
          </w:p>
        </w:tc>
        <w:tc>
          <w:tcPr>
            <w:tcW w:w="2807" w:type="dxa"/>
            <w:shd w:val="clear" w:color="auto" w:fill="D9D9D9" w:themeFill="background1" w:themeFillShade="D9"/>
            <w:vAlign w:val="center"/>
          </w:tcPr>
          <w:p w14:paraId="0DB233A3" w14:textId="77777777" w:rsidR="000B4D6A" w:rsidRPr="00041CD9" w:rsidRDefault="000B4D6A" w:rsidP="00AF7722">
            <w:pPr>
              <w:spacing w:before="60" w:after="60"/>
              <w:jc w:val="center"/>
              <w:rPr>
                <w:rFonts w:ascii="Arial" w:eastAsia="Calibri" w:hAnsi="Arial" w:cs="Arial"/>
                <w:b/>
                <w:sz w:val="18"/>
                <w:szCs w:val="18"/>
                <w:lang w:eastAsia="en-US"/>
              </w:rPr>
            </w:pPr>
            <w:r w:rsidRPr="00041CD9">
              <w:rPr>
                <w:rFonts w:ascii="Arial" w:eastAsia="Calibri" w:hAnsi="Arial" w:cs="Arial"/>
                <w:b/>
                <w:sz w:val="18"/>
                <w:szCs w:val="18"/>
                <w:lang w:eastAsia="en-US"/>
              </w:rPr>
              <w:t xml:space="preserve">Lesinurad </w:t>
            </w:r>
            <w:r w:rsidRPr="00041CD9">
              <w:rPr>
                <w:rFonts w:ascii="Arial" w:eastAsia="Calibri" w:hAnsi="Arial" w:cs="Arial"/>
                <w:b/>
                <w:sz w:val="18"/>
                <w:szCs w:val="18"/>
                <w:lang w:eastAsia="en-US"/>
              </w:rPr>
              <w:br/>
              <w:t>200 mg + XOI</w:t>
            </w:r>
            <w:r w:rsidRPr="00041CD9">
              <w:rPr>
                <w:rFonts w:ascii="Arial" w:eastAsia="Calibri" w:hAnsi="Arial" w:cs="Arial"/>
                <w:b/>
                <w:sz w:val="18"/>
                <w:szCs w:val="18"/>
                <w:lang w:eastAsia="en-US"/>
              </w:rPr>
              <w:br/>
              <w:t>(N=511)</w:t>
            </w:r>
            <w:r w:rsidRPr="00041CD9">
              <w:rPr>
                <w:rFonts w:ascii="Arial" w:eastAsia="Calibri" w:hAnsi="Arial" w:cs="Arial"/>
                <w:b/>
                <w:sz w:val="18"/>
                <w:szCs w:val="18"/>
                <w:lang w:eastAsia="en-US"/>
              </w:rPr>
              <w:br/>
              <w:t>(PY=398.2)</w:t>
            </w:r>
          </w:p>
        </w:tc>
        <w:tc>
          <w:tcPr>
            <w:tcW w:w="2835" w:type="dxa"/>
            <w:shd w:val="clear" w:color="auto" w:fill="D9D9D9" w:themeFill="background1" w:themeFillShade="D9"/>
            <w:vAlign w:val="center"/>
          </w:tcPr>
          <w:p w14:paraId="0873A9A4" w14:textId="77777777" w:rsidR="000B4D6A" w:rsidRPr="00041CD9" w:rsidRDefault="000B4D6A" w:rsidP="00AF7722">
            <w:pPr>
              <w:spacing w:before="60" w:after="60"/>
              <w:jc w:val="center"/>
              <w:rPr>
                <w:rFonts w:ascii="Arial" w:eastAsia="Calibri" w:hAnsi="Arial" w:cs="Arial"/>
                <w:b/>
                <w:sz w:val="18"/>
                <w:szCs w:val="18"/>
                <w:lang w:eastAsia="en-US"/>
              </w:rPr>
            </w:pPr>
            <w:r w:rsidRPr="00041CD9">
              <w:rPr>
                <w:rFonts w:ascii="Arial" w:eastAsia="Calibri" w:hAnsi="Arial" w:cs="Arial"/>
                <w:b/>
                <w:sz w:val="18"/>
                <w:szCs w:val="18"/>
                <w:lang w:eastAsia="en-US"/>
              </w:rPr>
              <w:t>Placebo + XOI</w:t>
            </w:r>
            <w:r w:rsidRPr="00041CD9">
              <w:rPr>
                <w:rFonts w:ascii="Arial" w:eastAsia="Calibri" w:hAnsi="Arial" w:cs="Arial"/>
                <w:b/>
                <w:sz w:val="18"/>
                <w:szCs w:val="18"/>
                <w:lang w:eastAsia="en-US"/>
              </w:rPr>
              <w:br/>
              <w:t>(N=516)</w:t>
            </w:r>
            <w:r w:rsidRPr="00041CD9">
              <w:rPr>
                <w:rFonts w:ascii="Arial" w:eastAsia="Calibri" w:hAnsi="Arial" w:cs="Arial"/>
                <w:b/>
                <w:sz w:val="18"/>
                <w:szCs w:val="18"/>
                <w:lang w:eastAsia="en-US"/>
              </w:rPr>
              <w:br/>
              <w:t>(PY=410.0)</w:t>
            </w:r>
          </w:p>
        </w:tc>
      </w:tr>
      <w:tr w:rsidR="000B4D6A" w:rsidRPr="00041CD9" w14:paraId="6544FB6F" w14:textId="77777777" w:rsidTr="00AF7722">
        <w:tc>
          <w:tcPr>
            <w:tcW w:w="3538" w:type="dxa"/>
            <w:shd w:val="clear" w:color="auto" w:fill="auto"/>
            <w:vAlign w:val="center"/>
          </w:tcPr>
          <w:p w14:paraId="20A6A502" w14:textId="77777777" w:rsidR="000B4D6A" w:rsidRPr="00041CD9" w:rsidRDefault="000B4D6A" w:rsidP="00AF7722">
            <w:pPr>
              <w:spacing w:before="60" w:after="60"/>
              <w:rPr>
                <w:rFonts w:ascii="Arial" w:eastAsia="Calibri" w:hAnsi="Arial" w:cs="Arial"/>
                <w:sz w:val="18"/>
                <w:szCs w:val="18"/>
                <w:lang w:eastAsia="en-US"/>
              </w:rPr>
            </w:pPr>
            <w:r w:rsidRPr="00041CD9">
              <w:rPr>
                <w:rFonts w:ascii="Arial" w:eastAsia="Calibri" w:hAnsi="Arial" w:cs="Arial"/>
                <w:sz w:val="18"/>
                <w:szCs w:val="18"/>
                <w:lang w:eastAsia="en-US"/>
              </w:rPr>
              <w:t>Mild (Grade 1)</w:t>
            </w:r>
          </w:p>
        </w:tc>
        <w:tc>
          <w:tcPr>
            <w:tcW w:w="2807" w:type="dxa"/>
            <w:vAlign w:val="center"/>
          </w:tcPr>
          <w:p w14:paraId="3414EF55"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Calibri" w:hAnsi="Arial" w:cs="Arial"/>
                <w:sz w:val="18"/>
                <w:szCs w:val="18"/>
                <w:lang w:eastAsia="en-US"/>
              </w:rPr>
              <w:t>139 (27.2)</w:t>
            </w:r>
            <w:r w:rsidRPr="00041CD9">
              <w:rPr>
                <w:rFonts w:ascii="Arial" w:eastAsia="Calibri" w:hAnsi="Arial" w:cs="Arial"/>
                <w:sz w:val="18"/>
                <w:szCs w:val="18"/>
                <w:lang w:eastAsia="en-US"/>
              </w:rPr>
              <w:br/>
              <w:t>34.9</w:t>
            </w:r>
          </w:p>
        </w:tc>
        <w:tc>
          <w:tcPr>
            <w:tcW w:w="2835" w:type="dxa"/>
            <w:vAlign w:val="center"/>
          </w:tcPr>
          <w:p w14:paraId="222E4CCC"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Calibri" w:hAnsi="Arial" w:cs="Arial"/>
                <w:sz w:val="18"/>
                <w:szCs w:val="18"/>
                <w:lang w:eastAsia="en-US"/>
              </w:rPr>
              <w:t>133 (25.8)</w:t>
            </w:r>
            <w:r w:rsidRPr="00041CD9">
              <w:rPr>
                <w:rFonts w:ascii="Arial" w:eastAsia="Calibri" w:hAnsi="Arial" w:cs="Arial"/>
                <w:sz w:val="18"/>
                <w:szCs w:val="18"/>
                <w:lang w:eastAsia="en-US"/>
              </w:rPr>
              <w:br/>
              <w:t>32.4</w:t>
            </w:r>
          </w:p>
        </w:tc>
      </w:tr>
      <w:tr w:rsidR="000B4D6A" w:rsidRPr="00041CD9" w14:paraId="00D61277" w14:textId="77777777" w:rsidTr="00AF7722">
        <w:tc>
          <w:tcPr>
            <w:tcW w:w="3538" w:type="dxa"/>
            <w:shd w:val="clear" w:color="auto" w:fill="auto"/>
            <w:vAlign w:val="center"/>
          </w:tcPr>
          <w:p w14:paraId="226EBC8C" w14:textId="77777777" w:rsidR="000B4D6A" w:rsidRPr="00041CD9" w:rsidRDefault="000B4D6A" w:rsidP="00AF7722">
            <w:pPr>
              <w:spacing w:before="60" w:after="60"/>
              <w:rPr>
                <w:rFonts w:ascii="Arial" w:eastAsia="Calibri" w:hAnsi="Arial" w:cs="Arial"/>
                <w:sz w:val="18"/>
                <w:szCs w:val="18"/>
                <w:lang w:eastAsia="en-US"/>
              </w:rPr>
            </w:pPr>
            <w:r w:rsidRPr="00041CD9">
              <w:rPr>
                <w:rFonts w:ascii="Arial" w:eastAsia="Calibri" w:hAnsi="Arial" w:cs="Arial"/>
                <w:sz w:val="18"/>
                <w:szCs w:val="18"/>
                <w:lang w:eastAsia="en-US"/>
              </w:rPr>
              <w:t>Moderate (Grade 2)</w:t>
            </w:r>
          </w:p>
        </w:tc>
        <w:tc>
          <w:tcPr>
            <w:tcW w:w="2807" w:type="dxa"/>
            <w:vAlign w:val="center"/>
          </w:tcPr>
          <w:p w14:paraId="0D441DEE"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Calibri" w:hAnsi="Arial" w:cs="Arial"/>
                <w:sz w:val="18"/>
                <w:szCs w:val="18"/>
                <w:lang w:eastAsia="en-US"/>
              </w:rPr>
              <w:t>195 (38.2)</w:t>
            </w:r>
            <w:r w:rsidRPr="00041CD9">
              <w:rPr>
                <w:rFonts w:ascii="Arial" w:eastAsia="Calibri" w:hAnsi="Arial" w:cs="Arial"/>
                <w:sz w:val="18"/>
                <w:szCs w:val="18"/>
                <w:lang w:eastAsia="en-US"/>
              </w:rPr>
              <w:br/>
              <w:t>49.0</w:t>
            </w:r>
          </w:p>
        </w:tc>
        <w:tc>
          <w:tcPr>
            <w:tcW w:w="2835" w:type="dxa"/>
            <w:vAlign w:val="center"/>
          </w:tcPr>
          <w:p w14:paraId="093CE97D" w14:textId="77777777" w:rsidR="000B4D6A" w:rsidRPr="00041CD9" w:rsidRDefault="000B4D6A" w:rsidP="00AF7722">
            <w:pPr>
              <w:spacing w:before="60" w:after="60"/>
              <w:jc w:val="center"/>
              <w:rPr>
                <w:rFonts w:ascii="Arial" w:eastAsia="Calibri" w:hAnsi="Arial" w:cs="Arial"/>
                <w:sz w:val="18"/>
                <w:szCs w:val="18"/>
                <w:lang w:eastAsia="en-US"/>
              </w:rPr>
            </w:pPr>
            <w:r w:rsidRPr="00041CD9">
              <w:rPr>
                <w:rFonts w:ascii="Arial" w:eastAsia="Calibri" w:hAnsi="Arial" w:cs="Arial"/>
                <w:sz w:val="18"/>
                <w:szCs w:val="18"/>
                <w:lang w:eastAsia="en-US"/>
              </w:rPr>
              <w:t>182 (35.3)</w:t>
            </w:r>
            <w:r w:rsidRPr="00041CD9">
              <w:rPr>
                <w:rFonts w:ascii="Arial" w:eastAsia="Calibri" w:hAnsi="Arial" w:cs="Arial"/>
                <w:sz w:val="18"/>
                <w:szCs w:val="18"/>
                <w:lang w:eastAsia="en-US"/>
              </w:rPr>
              <w:br/>
              <w:t>44.4</w:t>
            </w:r>
          </w:p>
        </w:tc>
      </w:tr>
      <w:tr w:rsidR="000B4D6A" w:rsidRPr="00041CD9" w14:paraId="2AC42029" w14:textId="77777777" w:rsidTr="00AF7722">
        <w:tc>
          <w:tcPr>
            <w:tcW w:w="3538" w:type="dxa"/>
            <w:shd w:val="clear" w:color="auto" w:fill="auto"/>
            <w:vAlign w:val="center"/>
          </w:tcPr>
          <w:p w14:paraId="2F8F1F98" w14:textId="77777777" w:rsidR="000B4D6A" w:rsidRPr="00041CD9" w:rsidRDefault="000B4D6A" w:rsidP="00AF7722">
            <w:pPr>
              <w:keepNext/>
              <w:spacing w:before="60" w:after="60"/>
              <w:rPr>
                <w:rFonts w:ascii="Arial" w:eastAsia="Calibri" w:hAnsi="Arial" w:cs="Arial"/>
                <w:sz w:val="18"/>
                <w:szCs w:val="18"/>
                <w:lang w:eastAsia="en-US"/>
              </w:rPr>
            </w:pPr>
            <w:r w:rsidRPr="00041CD9">
              <w:rPr>
                <w:rFonts w:ascii="Arial" w:eastAsia="Calibri" w:hAnsi="Arial" w:cs="Arial"/>
                <w:sz w:val="18"/>
                <w:szCs w:val="18"/>
                <w:lang w:eastAsia="en-US"/>
              </w:rPr>
              <w:t>Severe (Grade 3)</w:t>
            </w:r>
          </w:p>
        </w:tc>
        <w:tc>
          <w:tcPr>
            <w:tcW w:w="2807" w:type="dxa"/>
            <w:vAlign w:val="center"/>
          </w:tcPr>
          <w:p w14:paraId="20BBE52F" w14:textId="77777777" w:rsidR="000B4D6A" w:rsidRPr="00041CD9" w:rsidRDefault="000B4D6A" w:rsidP="00AF7722">
            <w:pPr>
              <w:keepNext/>
              <w:spacing w:before="60" w:after="60"/>
              <w:jc w:val="center"/>
              <w:rPr>
                <w:rFonts w:ascii="Arial" w:eastAsia="Calibri" w:hAnsi="Arial" w:cs="Arial"/>
                <w:sz w:val="18"/>
                <w:szCs w:val="18"/>
                <w:lang w:eastAsia="en-US"/>
              </w:rPr>
            </w:pPr>
            <w:r w:rsidRPr="00041CD9">
              <w:rPr>
                <w:rFonts w:ascii="Arial" w:eastAsia="Calibri" w:hAnsi="Arial" w:cs="Arial"/>
                <w:sz w:val="18"/>
                <w:szCs w:val="18"/>
                <w:lang w:eastAsia="en-US"/>
              </w:rPr>
              <w:t>47 (9.2)</w:t>
            </w:r>
            <w:r w:rsidRPr="00041CD9">
              <w:rPr>
                <w:rFonts w:ascii="Arial" w:eastAsia="Calibri" w:hAnsi="Arial" w:cs="Arial"/>
                <w:sz w:val="18"/>
                <w:szCs w:val="18"/>
                <w:lang w:eastAsia="en-US"/>
              </w:rPr>
              <w:br/>
              <w:t>11.8</w:t>
            </w:r>
          </w:p>
        </w:tc>
        <w:tc>
          <w:tcPr>
            <w:tcW w:w="2835" w:type="dxa"/>
            <w:vAlign w:val="center"/>
          </w:tcPr>
          <w:p w14:paraId="63540EAE" w14:textId="77777777" w:rsidR="000B4D6A" w:rsidRPr="00041CD9" w:rsidRDefault="000B4D6A" w:rsidP="00AF7722">
            <w:pPr>
              <w:keepNext/>
              <w:spacing w:before="60" w:after="60"/>
              <w:jc w:val="center"/>
              <w:rPr>
                <w:rFonts w:ascii="Arial" w:eastAsia="Calibri" w:hAnsi="Arial" w:cs="Arial"/>
                <w:sz w:val="18"/>
                <w:szCs w:val="18"/>
                <w:lang w:eastAsia="en-US"/>
              </w:rPr>
            </w:pPr>
            <w:r w:rsidRPr="00041CD9">
              <w:rPr>
                <w:rFonts w:ascii="Arial" w:eastAsia="Calibri" w:hAnsi="Arial" w:cs="Arial"/>
                <w:sz w:val="18"/>
                <w:szCs w:val="18"/>
                <w:lang w:eastAsia="en-US"/>
              </w:rPr>
              <w:t>41 (7.9)</w:t>
            </w:r>
            <w:r w:rsidRPr="00041CD9">
              <w:rPr>
                <w:rFonts w:ascii="Arial" w:eastAsia="Calibri" w:hAnsi="Arial" w:cs="Arial"/>
                <w:sz w:val="18"/>
                <w:szCs w:val="18"/>
                <w:lang w:eastAsia="en-US"/>
              </w:rPr>
              <w:br/>
              <w:t>10.0</w:t>
            </w:r>
          </w:p>
        </w:tc>
      </w:tr>
      <w:tr w:rsidR="000B4D6A" w:rsidRPr="00041CD9" w14:paraId="5525B611" w14:textId="77777777" w:rsidTr="00AF7722">
        <w:tc>
          <w:tcPr>
            <w:tcW w:w="3538" w:type="dxa"/>
            <w:shd w:val="clear" w:color="auto" w:fill="auto"/>
            <w:vAlign w:val="center"/>
          </w:tcPr>
          <w:p w14:paraId="4112991D" w14:textId="77777777" w:rsidR="000B4D6A" w:rsidRPr="00041CD9" w:rsidRDefault="000B4D6A" w:rsidP="00AF7722">
            <w:pPr>
              <w:keepNext/>
              <w:spacing w:before="60" w:after="60"/>
              <w:rPr>
                <w:rFonts w:ascii="Arial" w:eastAsia="Calibri" w:hAnsi="Arial" w:cs="Arial"/>
                <w:sz w:val="18"/>
                <w:szCs w:val="18"/>
                <w:lang w:eastAsia="en-US"/>
              </w:rPr>
            </w:pPr>
            <w:r w:rsidRPr="00041CD9">
              <w:rPr>
                <w:rFonts w:ascii="Arial" w:eastAsia="Calibri" w:hAnsi="Arial" w:cs="Arial"/>
                <w:sz w:val="18"/>
                <w:szCs w:val="18"/>
                <w:lang w:eastAsia="en-US"/>
              </w:rPr>
              <w:t>Life-threatening (Grade 4)</w:t>
            </w:r>
          </w:p>
        </w:tc>
        <w:tc>
          <w:tcPr>
            <w:tcW w:w="2807" w:type="dxa"/>
            <w:vAlign w:val="center"/>
          </w:tcPr>
          <w:p w14:paraId="0188CDAC" w14:textId="77777777" w:rsidR="000B4D6A" w:rsidRPr="00041CD9" w:rsidRDefault="000B4D6A" w:rsidP="00AF7722">
            <w:pPr>
              <w:keepNext/>
              <w:spacing w:before="60" w:after="60"/>
              <w:jc w:val="center"/>
              <w:rPr>
                <w:rFonts w:ascii="Arial" w:eastAsia="Calibri" w:hAnsi="Arial" w:cs="Arial"/>
                <w:sz w:val="18"/>
                <w:szCs w:val="18"/>
                <w:lang w:eastAsia="en-US"/>
              </w:rPr>
            </w:pPr>
            <w:r w:rsidRPr="00041CD9">
              <w:rPr>
                <w:rFonts w:ascii="Arial" w:eastAsia="Calibri" w:hAnsi="Arial" w:cs="Arial"/>
                <w:sz w:val="18"/>
                <w:szCs w:val="18"/>
                <w:lang w:eastAsia="en-US"/>
              </w:rPr>
              <w:t>5 (1.0)</w:t>
            </w:r>
            <w:r w:rsidRPr="00041CD9">
              <w:rPr>
                <w:rFonts w:ascii="Arial" w:eastAsia="Calibri" w:hAnsi="Arial" w:cs="Arial"/>
                <w:sz w:val="18"/>
                <w:szCs w:val="18"/>
                <w:lang w:eastAsia="en-US"/>
              </w:rPr>
              <w:br/>
              <w:t>1.3</w:t>
            </w:r>
          </w:p>
        </w:tc>
        <w:tc>
          <w:tcPr>
            <w:tcW w:w="2835" w:type="dxa"/>
          </w:tcPr>
          <w:p w14:paraId="7846F4AE" w14:textId="77777777" w:rsidR="000B4D6A" w:rsidRPr="00041CD9" w:rsidRDefault="000B4D6A" w:rsidP="00AF7722">
            <w:pPr>
              <w:keepNext/>
              <w:spacing w:before="60" w:after="60"/>
              <w:jc w:val="center"/>
              <w:rPr>
                <w:rFonts w:ascii="Arial" w:eastAsia="Calibri" w:hAnsi="Arial" w:cs="Arial"/>
                <w:sz w:val="18"/>
                <w:szCs w:val="18"/>
                <w:lang w:eastAsia="en-US"/>
              </w:rPr>
            </w:pPr>
            <w:r w:rsidRPr="00041CD9">
              <w:rPr>
                <w:rFonts w:ascii="Arial" w:eastAsia="Calibri" w:hAnsi="Arial" w:cs="Arial"/>
                <w:sz w:val="18"/>
                <w:szCs w:val="18"/>
                <w:lang w:eastAsia="en-US"/>
              </w:rPr>
              <w:t>7 (1.4)</w:t>
            </w:r>
            <w:r w:rsidRPr="00041CD9">
              <w:rPr>
                <w:rFonts w:ascii="Arial" w:eastAsia="Calibri" w:hAnsi="Arial" w:cs="Arial"/>
                <w:sz w:val="18"/>
                <w:szCs w:val="18"/>
                <w:lang w:eastAsia="en-US"/>
              </w:rPr>
              <w:br/>
              <w:t>1.7</w:t>
            </w:r>
          </w:p>
        </w:tc>
      </w:tr>
      <w:tr w:rsidR="000B4D6A" w:rsidRPr="00041CD9" w14:paraId="6B101D05" w14:textId="77777777" w:rsidTr="00AF7722">
        <w:tc>
          <w:tcPr>
            <w:tcW w:w="3538" w:type="dxa"/>
            <w:shd w:val="clear" w:color="auto" w:fill="auto"/>
            <w:vAlign w:val="center"/>
          </w:tcPr>
          <w:p w14:paraId="22C67D20" w14:textId="77777777" w:rsidR="000B4D6A" w:rsidRPr="00041CD9" w:rsidRDefault="000B4D6A" w:rsidP="00AF7722">
            <w:pPr>
              <w:keepNext/>
              <w:spacing w:before="60" w:after="60"/>
              <w:rPr>
                <w:rFonts w:ascii="Arial" w:eastAsia="Calibri" w:hAnsi="Arial" w:cs="Arial"/>
                <w:sz w:val="18"/>
                <w:szCs w:val="18"/>
                <w:lang w:eastAsia="en-US"/>
              </w:rPr>
            </w:pPr>
            <w:r w:rsidRPr="00041CD9">
              <w:rPr>
                <w:rFonts w:ascii="Arial" w:eastAsia="Calibri" w:hAnsi="Arial" w:cs="Arial"/>
                <w:sz w:val="18"/>
                <w:szCs w:val="18"/>
                <w:lang w:eastAsia="en-US"/>
              </w:rPr>
              <w:t>Total</w:t>
            </w:r>
          </w:p>
        </w:tc>
        <w:tc>
          <w:tcPr>
            <w:tcW w:w="2807" w:type="dxa"/>
            <w:vAlign w:val="center"/>
          </w:tcPr>
          <w:p w14:paraId="33BAEB06" w14:textId="77777777" w:rsidR="000B4D6A" w:rsidRPr="00041CD9" w:rsidRDefault="000B4D6A" w:rsidP="00AF7722">
            <w:pPr>
              <w:keepNext/>
              <w:spacing w:before="60" w:after="60"/>
              <w:jc w:val="center"/>
              <w:rPr>
                <w:rFonts w:ascii="Arial" w:eastAsia="Calibri" w:hAnsi="Arial" w:cs="Arial"/>
                <w:sz w:val="18"/>
                <w:szCs w:val="18"/>
                <w:lang w:eastAsia="en-US"/>
              </w:rPr>
            </w:pPr>
            <w:r w:rsidRPr="00041CD9">
              <w:rPr>
                <w:rFonts w:ascii="Arial" w:eastAsia="Calibri" w:hAnsi="Arial" w:cs="Arial"/>
                <w:sz w:val="18"/>
                <w:szCs w:val="18"/>
                <w:lang w:eastAsia="en-US"/>
              </w:rPr>
              <w:t>386 (75.5)</w:t>
            </w:r>
            <w:r w:rsidRPr="00041CD9">
              <w:rPr>
                <w:rFonts w:ascii="Arial" w:eastAsia="Calibri" w:hAnsi="Arial" w:cs="Arial"/>
                <w:sz w:val="18"/>
                <w:szCs w:val="18"/>
                <w:lang w:eastAsia="en-US"/>
              </w:rPr>
              <w:br/>
              <w:t>96.9</w:t>
            </w:r>
          </w:p>
        </w:tc>
        <w:tc>
          <w:tcPr>
            <w:tcW w:w="2835" w:type="dxa"/>
            <w:vAlign w:val="center"/>
          </w:tcPr>
          <w:p w14:paraId="24D71A13" w14:textId="77777777" w:rsidR="000B4D6A" w:rsidRPr="00041CD9" w:rsidRDefault="000B4D6A" w:rsidP="00AF7722">
            <w:pPr>
              <w:keepNext/>
              <w:spacing w:before="60" w:after="60"/>
              <w:jc w:val="center"/>
              <w:rPr>
                <w:rFonts w:ascii="Arial" w:eastAsia="Calibri" w:hAnsi="Arial" w:cs="Arial"/>
                <w:sz w:val="18"/>
                <w:szCs w:val="18"/>
                <w:lang w:eastAsia="en-US"/>
              </w:rPr>
            </w:pPr>
            <w:r w:rsidRPr="00041CD9">
              <w:rPr>
                <w:rFonts w:ascii="Arial" w:eastAsia="Calibri" w:hAnsi="Arial" w:cs="Arial"/>
                <w:sz w:val="18"/>
                <w:szCs w:val="18"/>
                <w:lang w:eastAsia="en-US"/>
              </w:rPr>
              <w:t>363 (70.3)</w:t>
            </w:r>
            <w:r w:rsidRPr="00041CD9">
              <w:rPr>
                <w:rFonts w:ascii="Arial" w:eastAsia="Calibri" w:hAnsi="Arial" w:cs="Arial"/>
                <w:sz w:val="18"/>
                <w:szCs w:val="18"/>
                <w:lang w:eastAsia="en-US"/>
              </w:rPr>
              <w:br/>
              <w:t>88.5</w:t>
            </w:r>
          </w:p>
        </w:tc>
      </w:tr>
    </w:tbl>
    <w:p w14:paraId="64364C04" w14:textId="77777777" w:rsidR="000B4D6A" w:rsidRPr="0011012D" w:rsidRDefault="000B4D6A" w:rsidP="000B4D6A">
      <w:pPr>
        <w:spacing w:line="360" w:lineRule="auto"/>
        <w:rPr>
          <w:rFonts w:cs="Arial"/>
          <w:sz w:val="18"/>
          <w:szCs w:val="18"/>
        </w:rPr>
      </w:pPr>
      <w:r w:rsidRPr="0011012D">
        <w:rPr>
          <w:rFonts w:cs="Arial"/>
          <w:sz w:val="18"/>
          <w:szCs w:val="18"/>
          <w:lang w:val="en-GB"/>
        </w:rPr>
        <w:t>†Adverse events are treatment-emergent events. Gout flares reported as serious adverse events are excluded</w:t>
      </w:r>
      <w:r w:rsidRPr="0011012D">
        <w:rPr>
          <w:rFonts w:cs="Arial"/>
          <w:sz w:val="18"/>
          <w:szCs w:val="18"/>
          <w:lang w:val="en-GB"/>
        </w:rPr>
        <w:br/>
        <w:t>‡Events per 100 person-years of exposure.</w:t>
      </w:r>
      <w:r w:rsidRPr="0011012D">
        <w:rPr>
          <w:rFonts w:cs="Arial"/>
          <w:sz w:val="18"/>
          <w:szCs w:val="18"/>
          <w:lang w:val="en-GB"/>
        </w:rPr>
        <w:br/>
        <w:t>Abbreviations: IAS, integrated analysis of safety; PY, person-years (of exposure); RCTC, Rheumatology Common Toxicity Criteria; XOI, xanthine oxidase inhibitor (allopurinol/febuxostat).</w:t>
      </w:r>
      <w:r w:rsidRPr="0011012D">
        <w:rPr>
          <w:rFonts w:cs="Arial"/>
          <w:sz w:val="18"/>
          <w:szCs w:val="18"/>
          <w:lang w:val="en-GB"/>
        </w:rPr>
        <w:br/>
      </w:r>
      <w:r w:rsidRPr="00E05B8A">
        <w:rPr>
          <w:rFonts w:cs="Arial"/>
          <w:sz w:val="18"/>
          <w:szCs w:val="18"/>
        </w:rPr>
        <w:t>Source: IAS Table 4.4.1.1 and Table 4.4.2.1.</w:t>
      </w:r>
    </w:p>
    <w:p w14:paraId="671AFE4B" w14:textId="77777777" w:rsidR="000B4D6A" w:rsidRPr="0011012D" w:rsidRDefault="000B4D6A" w:rsidP="000210A2">
      <w:pPr>
        <w:spacing w:line="360" w:lineRule="auto"/>
        <w:rPr>
          <w:rFonts w:cs="Arial"/>
          <w:sz w:val="20"/>
          <w:szCs w:val="20"/>
        </w:rPr>
      </w:pPr>
      <w:r w:rsidRPr="00F128AA">
        <w:rPr>
          <w:rFonts w:cs="Arial"/>
          <w:sz w:val="20"/>
          <w:szCs w:val="20"/>
        </w:rPr>
        <w:t xml:space="preserve">Nei tre studi si è osservato che lesinurad </w:t>
      </w:r>
      <w:r>
        <w:rPr>
          <w:rFonts w:cs="Arial"/>
          <w:sz w:val="20"/>
          <w:szCs w:val="20"/>
        </w:rPr>
        <w:t xml:space="preserve">+ XOI </w:t>
      </w:r>
      <w:r w:rsidRPr="00F128AA">
        <w:rPr>
          <w:rFonts w:cs="Arial"/>
          <w:sz w:val="20"/>
          <w:szCs w:val="20"/>
        </w:rPr>
        <w:t xml:space="preserve">è </w:t>
      </w:r>
      <w:r>
        <w:rPr>
          <w:rFonts w:cs="Arial"/>
          <w:sz w:val="20"/>
          <w:szCs w:val="20"/>
        </w:rPr>
        <w:t>associato</w:t>
      </w:r>
      <w:r w:rsidRPr="00F128AA">
        <w:rPr>
          <w:rFonts w:cs="Arial"/>
          <w:sz w:val="20"/>
          <w:szCs w:val="20"/>
        </w:rPr>
        <w:t xml:space="preserve"> ad un aumento transitorio della creatinin</w:t>
      </w:r>
      <w:r>
        <w:rPr>
          <w:rFonts w:cs="Arial"/>
          <w:sz w:val="20"/>
          <w:szCs w:val="20"/>
        </w:rPr>
        <w:t>a</w:t>
      </w:r>
      <w:r w:rsidRPr="00F128AA">
        <w:rPr>
          <w:rFonts w:cs="Arial"/>
          <w:sz w:val="20"/>
          <w:szCs w:val="20"/>
        </w:rPr>
        <w:t xml:space="preserve"> sierica (sCr)</w:t>
      </w:r>
      <w:r>
        <w:rPr>
          <w:rFonts w:cs="Arial"/>
          <w:sz w:val="20"/>
          <w:szCs w:val="20"/>
        </w:rPr>
        <w:t xml:space="preserve">. </w:t>
      </w:r>
    </w:p>
    <w:p w14:paraId="119A82B4" w14:textId="4E4FBAA5" w:rsidR="000B4D6A" w:rsidRDefault="000B4D6A" w:rsidP="000210A2">
      <w:pPr>
        <w:tabs>
          <w:tab w:val="num" w:pos="851"/>
        </w:tabs>
        <w:spacing w:line="360" w:lineRule="auto"/>
        <w:rPr>
          <w:rFonts w:cs="Arial"/>
          <w:sz w:val="20"/>
          <w:szCs w:val="20"/>
        </w:rPr>
      </w:pPr>
      <w:r>
        <w:rPr>
          <w:rFonts w:cs="Arial"/>
          <w:sz w:val="20"/>
          <w:szCs w:val="20"/>
        </w:rPr>
        <w:t xml:space="preserve">La percentuale di pazienti che è andata incontro ad un aumento di sCr </w:t>
      </w:r>
      <w:r>
        <w:rPr>
          <w:rFonts w:cstheme="minorHAnsi"/>
          <w:sz w:val="20"/>
          <w:szCs w:val="20"/>
        </w:rPr>
        <w:t>≥</w:t>
      </w:r>
      <w:r>
        <w:rPr>
          <w:rFonts w:cs="Arial"/>
          <w:sz w:val="20"/>
          <w:szCs w:val="20"/>
        </w:rPr>
        <w:t>2 rispetto al basale è risultata bassa (1,8% lesinurad 200 mg + XOI rispetto a XOI in monoterapia 0.0%).  La maggior parte di questi incrementi si è risolta senza necessità di interruzione del trattamento</w:t>
      </w:r>
      <w:r w:rsidR="00F53107">
        <w:rPr>
          <w:rFonts w:cs="Arial"/>
          <w:sz w:val="20"/>
          <w:szCs w:val="20"/>
        </w:rPr>
        <w:t>.</w:t>
      </w:r>
    </w:p>
    <w:p w14:paraId="6F94E5BD" w14:textId="6A8D6BB3" w:rsidR="000B4D6A" w:rsidRPr="00F128AA" w:rsidRDefault="000B4D6A" w:rsidP="000210A2">
      <w:pPr>
        <w:tabs>
          <w:tab w:val="num" w:pos="851"/>
        </w:tabs>
        <w:spacing w:line="360" w:lineRule="auto"/>
        <w:rPr>
          <w:rFonts w:cs="Arial"/>
          <w:sz w:val="20"/>
          <w:szCs w:val="20"/>
        </w:rPr>
      </w:pPr>
      <w:r>
        <w:rPr>
          <w:rFonts w:cs="Arial"/>
          <w:sz w:val="20"/>
          <w:szCs w:val="20"/>
        </w:rPr>
        <w:t xml:space="preserve">La percentuale di pazienti che è andata incontro ad un aumento di sCr </w:t>
      </w:r>
      <w:r>
        <w:rPr>
          <w:rFonts w:cstheme="minorHAnsi"/>
          <w:sz w:val="20"/>
          <w:szCs w:val="20"/>
        </w:rPr>
        <w:t>≥1.5 e &lt;2</w:t>
      </w:r>
      <w:r>
        <w:rPr>
          <w:rFonts w:cs="Arial"/>
          <w:sz w:val="20"/>
          <w:szCs w:val="20"/>
        </w:rPr>
        <w:t xml:space="preserve"> rispetto al basale è risultata bassa (3.9% lesinurad 200 mg + XOI rispetto 2.3% XOI in monoterapia).  La maggior parte di questi incrementi si è risolta senza necessità di interruzione del trattamento</w:t>
      </w:r>
      <w:r w:rsidR="00F53107">
        <w:rPr>
          <w:rFonts w:cs="Arial"/>
          <w:sz w:val="20"/>
          <w:szCs w:val="20"/>
        </w:rPr>
        <w:t>.</w:t>
      </w:r>
    </w:p>
    <w:p w14:paraId="3E3E8643" w14:textId="77777777" w:rsidR="000B4D6A" w:rsidRPr="006008B9" w:rsidRDefault="000B4D6A" w:rsidP="000210A2">
      <w:pPr>
        <w:tabs>
          <w:tab w:val="num" w:pos="851"/>
        </w:tabs>
        <w:spacing w:line="360" w:lineRule="auto"/>
        <w:rPr>
          <w:rFonts w:cs="Arial"/>
          <w:sz w:val="20"/>
          <w:szCs w:val="20"/>
        </w:rPr>
      </w:pPr>
      <w:r w:rsidRPr="006008B9">
        <w:rPr>
          <w:rFonts w:cs="Arial"/>
          <w:sz w:val="20"/>
          <w:szCs w:val="20"/>
        </w:rPr>
        <w:t>L’incidenza de</w:t>
      </w:r>
      <w:r>
        <w:rPr>
          <w:rFonts w:cs="Arial"/>
          <w:sz w:val="20"/>
          <w:szCs w:val="20"/>
        </w:rPr>
        <w:t xml:space="preserve">i TEAEs </w:t>
      </w:r>
      <w:r w:rsidRPr="006008B9">
        <w:rPr>
          <w:rFonts w:cs="Arial"/>
          <w:sz w:val="20"/>
          <w:szCs w:val="20"/>
        </w:rPr>
        <w:t xml:space="preserve">renali era comparabile nei gruppi di trattamento: </w:t>
      </w:r>
      <w:r>
        <w:rPr>
          <w:rFonts w:cs="Arial"/>
          <w:sz w:val="20"/>
          <w:szCs w:val="20"/>
        </w:rPr>
        <w:t xml:space="preserve">4.5% e 5.7% rispettivamente per XOI in monoterapia e lesinurad 200 mg. </w:t>
      </w:r>
    </w:p>
    <w:p w14:paraId="7FB182E4" w14:textId="77777777" w:rsidR="000B4D6A" w:rsidRPr="006008B9" w:rsidRDefault="000B4D6A" w:rsidP="000210A2">
      <w:pPr>
        <w:tabs>
          <w:tab w:val="num" w:pos="851"/>
        </w:tabs>
        <w:spacing w:line="360" w:lineRule="auto"/>
        <w:rPr>
          <w:rFonts w:cs="Arial"/>
          <w:sz w:val="20"/>
          <w:szCs w:val="20"/>
        </w:rPr>
      </w:pPr>
      <w:r>
        <w:rPr>
          <w:rFonts w:cs="Arial"/>
          <w:sz w:val="20"/>
          <w:szCs w:val="20"/>
        </w:rPr>
        <w:t xml:space="preserve">I TEAEs </w:t>
      </w:r>
      <w:r w:rsidRPr="006008B9">
        <w:rPr>
          <w:rFonts w:cs="Arial"/>
          <w:sz w:val="20"/>
          <w:szCs w:val="20"/>
        </w:rPr>
        <w:t xml:space="preserve">renali </w:t>
      </w:r>
      <w:r>
        <w:rPr>
          <w:rFonts w:cs="Arial"/>
          <w:sz w:val="20"/>
          <w:szCs w:val="20"/>
        </w:rPr>
        <w:t xml:space="preserve">hanno prodotto un tasso di interruzione del trattamento simile nei gruppi di trattamento: 1,2% per lesinurad 200 mg vs 1.0% XOI in monoterapia. </w:t>
      </w:r>
    </w:p>
    <w:p w14:paraId="57F75AC4" w14:textId="77777777" w:rsidR="000B4D6A" w:rsidRPr="006008B9" w:rsidRDefault="000B4D6A" w:rsidP="000210A2">
      <w:pPr>
        <w:tabs>
          <w:tab w:val="num" w:pos="851"/>
        </w:tabs>
        <w:spacing w:line="360" w:lineRule="auto"/>
        <w:rPr>
          <w:rFonts w:cs="Arial"/>
          <w:sz w:val="20"/>
          <w:szCs w:val="20"/>
        </w:rPr>
      </w:pPr>
      <w:r w:rsidRPr="006008B9">
        <w:rPr>
          <w:rFonts w:cs="Arial"/>
          <w:sz w:val="20"/>
          <w:szCs w:val="20"/>
        </w:rPr>
        <w:t>L’incidenza degli eventi av</w:t>
      </w:r>
      <w:r>
        <w:rPr>
          <w:rFonts w:cs="Arial"/>
          <w:sz w:val="20"/>
          <w:szCs w:val="20"/>
        </w:rPr>
        <w:t>v</w:t>
      </w:r>
      <w:r w:rsidRPr="006008B9">
        <w:rPr>
          <w:rFonts w:cs="Arial"/>
          <w:sz w:val="20"/>
          <w:szCs w:val="20"/>
        </w:rPr>
        <w:t>ersi seri renali era bassa e comparabile nei gruppi di trattamento: 0.4%</w:t>
      </w:r>
      <w:r>
        <w:rPr>
          <w:rFonts w:cs="Arial"/>
          <w:sz w:val="20"/>
          <w:szCs w:val="20"/>
        </w:rPr>
        <w:t xml:space="preserve"> e</w:t>
      </w:r>
      <w:r w:rsidRPr="006008B9">
        <w:rPr>
          <w:rFonts w:cs="Arial"/>
          <w:sz w:val="20"/>
          <w:szCs w:val="20"/>
        </w:rPr>
        <w:t xml:space="preserve"> 0%</w:t>
      </w:r>
      <w:r>
        <w:rPr>
          <w:rFonts w:cs="Arial"/>
          <w:sz w:val="20"/>
          <w:szCs w:val="20"/>
        </w:rPr>
        <w:t xml:space="preserve"> rispettivamente per XOI in monoterapia e lesinurad 200 mg. </w:t>
      </w:r>
    </w:p>
    <w:p w14:paraId="4761E772" w14:textId="77777777" w:rsidR="000B4D6A" w:rsidRDefault="000B4D6A" w:rsidP="000210A2">
      <w:pPr>
        <w:spacing w:line="360" w:lineRule="auto"/>
        <w:rPr>
          <w:rFonts w:cs="Arial"/>
          <w:sz w:val="20"/>
          <w:szCs w:val="20"/>
        </w:rPr>
      </w:pPr>
      <w:r>
        <w:rPr>
          <w:rFonts w:cs="Arial"/>
          <w:sz w:val="20"/>
          <w:szCs w:val="20"/>
        </w:rPr>
        <w:t xml:space="preserve">I </w:t>
      </w:r>
      <w:r w:rsidRPr="006008B9">
        <w:rPr>
          <w:rFonts w:cs="Arial"/>
          <w:sz w:val="20"/>
          <w:szCs w:val="20"/>
        </w:rPr>
        <w:t xml:space="preserve">TEAEs </w:t>
      </w:r>
      <w:r>
        <w:rPr>
          <w:rFonts w:cs="Arial"/>
          <w:sz w:val="20"/>
          <w:szCs w:val="20"/>
        </w:rPr>
        <w:t>calcoli renali sono stati osservati in una piccola percentuale di soggetti: 1,7% con XOI in monoterapia e 0,6% con lesinurad 200 mg + XOI</w:t>
      </w:r>
      <w:r w:rsidRPr="006008B9">
        <w:rPr>
          <w:rFonts w:cs="Arial"/>
          <w:sz w:val="20"/>
          <w:szCs w:val="20"/>
        </w:rPr>
        <w:t>.</w:t>
      </w:r>
    </w:p>
    <w:p w14:paraId="11F8DCE1" w14:textId="77777777" w:rsidR="000B4D6A" w:rsidRPr="0011012D" w:rsidRDefault="000B4D6A" w:rsidP="000210A2">
      <w:pPr>
        <w:spacing w:line="360" w:lineRule="auto"/>
        <w:rPr>
          <w:rFonts w:cs="Arial"/>
          <w:sz w:val="20"/>
          <w:szCs w:val="20"/>
        </w:rPr>
      </w:pPr>
    </w:p>
    <w:p w14:paraId="133E5CC3" w14:textId="77777777" w:rsidR="000B4D6A" w:rsidRDefault="000B4D6A" w:rsidP="000210A2">
      <w:pPr>
        <w:spacing w:line="360" w:lineRule="auto"/>
        <w:rPr>
          <w:rFonts w:cs="Arial"/>
          <w:sz w:val="20"/>
          <w:szCs w:val="20"/>
        </w:rPr>
      </w:pPr>
      <w:r w:rsidRPr="00C517EF">
        <w:rPr>
          <w:rFonts w:cs="Arial"/>
          <w:sz w:val="20"/>
          <w:szCs w:val="20"/>
        </w:rPr>
        <w:t>Tutti gli eventi fatali e potenzialmente cardiovascolare-relati sono stati aggiudicati da un comitato indipendente (</w:t>
      </w:r>
      <w:r>
        <w:rPr>
          <w:rFonts w:cs="Arial"/>
          <w:sz w:val="20"/>
          <w:szCs w:val="20"/>
        </w:rPr>
        <w:t xml:space="preserve">CEAC - </w:t>
      </w:r>
      <w:r w:rsidRPr="00C517EF">
        <w:rPr>
          <w:rFonts w:cs="Arial"/>
          <w:sz w:val="20"/>
          <w:szCs w:val="20"/>
        </w:rPr>
        <w:t>Cardiovascular Endpoints Adjudication Committee</w:t>
      </w:r>
      <w:r>
        <w:rPr>
          <w:rFonts w:cs="Arial"/>
          <w:sz w:val="20"/>
          <w:szCs w:val="20"/>
        </w:rPr>
        <w:t>)</w:t>
      </w:r>
      <w:r w:rsidRPr="00C517EF">
        <w:rPr>
          <w:rFonts w:cs="Arial"/>
          <w:sz w:val="20"/>
          <w:szCs w:val="20"/>
        </w:rPr>
        <w:t xml:space="preserve"> </w:t>
      </w:r>
      <w:r>
        <w:rPr>
          <w:rFonts w:cs="Arial"/>
          <w:sz w:val="20"/>
          <w:szCs w:val="20"/>
        </w:rPr>
        <w:t>e, se considerati cardiovascolari-relati sono stati classificati come eventi avversi cardiovascolari maggiori (</w:t>
      </w:r>
      <w:r w:rsidRPr="00DF1F08">
        <w:rPr>
          <w:rFonts w:cs="Arial"/>
          <w:sz w:val="20"/>
          <w:szCs w:val="20"/>
        </w:rPr>
        <w:t>MACE: morte cardiovascolare, infarto del miocardio non fatale, ictus non fatale</w:t>
      </w:r>
      <w:r w:rsidRPr="00C517EF">
        <w:rPr>
          <w:rFonts w:cs="Arial"/>
          <w:sz w:val="20"/>
          <w:szCs w:val="20"/>
        </w:rPr>
        <w:t xml:space="preserve">) o non-MACE. </w:t>
      </w:r>
    </w:p>
    <w:p w14:paraId="5A796115" w14:textId="77777777" w:rsidR="000B4D6A" w:rsidRDefault="000B4D6A" w:rsidP="000210A2">
      <w:pPr>
        <w:spacing w:line="360" w:lineRule="auto"/>
        <w:rPr>
          <w:rFonts w:cs="Arial"/>
          <w:sz w:val="20"/>
          <w:szCs w:val="20"/>
        </w:rPr>
      </w:pPr>
      <w:r w:rsidRPr="0024294B">
        <w:rPr>
          <w:rFonts w:cs="Arial"/>
          <w:sz w:val="20"/>
          <w:szCs w:val="20"/>
        </w:rPr>
        <w:t xml:space="preserve">Il CEAC ha confermato eventi CV-relati </w:t>
      </w:r>
      <w:r>
        <w:rPr>
          <w:rFonts w:cs="Arial"/>
          <w:sz w:val="20"/>
          <w:szCs w:val="20"/>
        </w:rPr>
        <w:t xml:space="preserve">nel </w:t>
      </w:r>
      <w:r w:rsidRPr="0024294B">
        <w:rPr>
          <w:rFonts w:cs="Arial"/>
          <w:sz w:val="20"/>
          <w:szCs w:val="20"/>
        </w:rPr>
        <w:t xml:space="preserve">2.9% </w:t>
      </w:r>
      <w:r>
        <w:rPr>
          <w:rFonts w:cs="Arial"/>
          <w:sz w:val="20"/>
          <w:szCs w:val="20"/>
        </w:rPr>
        <w:t xml:space="preserve">dei </w:t>
      </w:r>
      <w:r w:rsidRPr="0024294B">
        <w:rPr>
          <w:rFonts w:cs="Arial"/>
          <w:sz w:val="20"/>
          <w:szCs w:val="20"/>
        </w:rPr>
        <w:t xml:space="preserve">pazienti </w:t>
      </w:r>
      <w:r>
        <w:rPr>
          <w:rFonts w:cs="Arial"/>
          <w:sz w:val="20"/>
          <w:szCs w:val="20"/>
        </w:rPr>
        <w:t xml:space="preserve">nel gruppo XOI monoterapia e nel </w:t>
      </w:r>
      <w:r w:rsidRPr="0024294B">
        <w:rPr>
          <w:rFonts w:cs="Arial"/>
          <w:sz w:val="20"/>
          <w:szCs w:val="20"/>
        </w:rPr>
        <w:t xml:space="preserve">3.5% </w:t>
      </w:r>
      <w:r>
        <w:rPr>
          <w:rFonts w:cs="Arial"/>
          <w:sz w:val="20"/>
          <w:szCs w:val="20"/>
        </w:rPr>
        <w:t xml:space="preserve">dei pazienti nel gruppo </w:t>
      </w:r>
      <w:r w:rsidRPr="0024294B">
        <w:rPr>
          <w:rFonts w:cs="Arial"/>
          <w:sz w:val="20"/>
          <w:szCs w:val="20"/>
        </w:rPr>
        <w:t>lesinurad 200 mg</w:t>
      </w:r>
      <w:r>
        <w:rPr>
          <w:rFonts w:cs="Arial"/>
          <w:sz w:val="20"/>
          <w:szCs w:val="20"/>
        </w:rPr>
        <w:t>. Sono stati identificati 3 (0.6%) pazienti con quattro eventi MACE nel gruppo XOI monoterapia e 4 (0.8%) pazienti con quattro eventi MACE  nel gruppo lesinurad 200 mg + XOI.</w:t>
      </w:r>
    </w:p>
    <w:p w14:paraId="7D8E3DF7" w14:textId="152183D3" w:rsidR="000B4D6A" w:rsidRDefault="000B4D6A" w:rsidP="000210A2">
      <w:pPr>
        <w:spacing w:line="360" w:lineRule="auto"/>
        <w:rPr>
          <w:rFonts w:cs="Arial"/>
          <w:sz w:val="20"/>
          <w:szCs w:val="20"/>
        </w:rPr>
      </w:pPr>
      <w:r>
        <w:rPr>
          <w:rFonts w:cs="Arial"/>
          <w:sz w:val="20"/>
          <w:szCs w:val="20"/>
        </w:rPr>
        <w:t>Tutti e quattro i pazienti del gruppo lesinurad 200 mg che avevano riportato gli eventi MACE avevano una precedente storia di infarto del miocardio, insufficienza cardiaca o ictus. Uno dei tre pazienti nel gruppo XOI monoterapia che aveva riportato un evento MACE, aveva avuto una storia di malattia vascolare periferica. Come c’era da attendersi, in tutti i gruppi di trattamento si è osservata una proporzione maggiore di soggetti con funzione renale compromessa al basale che ha riportato eventi MACE (</w:t>
      </w:r>
      <w:r w:rsidR="00A03658">
        <w:rPr>
          <w:rFonts w:cs="Arial"/>
          <w:color w:val="0000FF"/>
          <w:sz w:val="20"/>
          <w:szCs w:val="20"/>
        </w:rPr>
        <w:t>Sarnak, 2003 (14</w:t>
      </w:r>
      <w:r w:rsidR="00483BE7">
        <w:rPr>
          <w:rFonts w:cs="Arial"/>
          <w:color w:val="0000FF"/>
          <w:sz w:val="20"/>
          <w:szCs w:val="20"/>
        </w:rPr>
        <w:t>2</w:t>
      </w:r>
      <w:r w:rsidR="00E40AF1" w:rsidRPr="00A404E9">
        <w:rPr>
          <w:rFonts w:cs="Arial"/>
          <w:color w:val="0000FF"/>
          <w:sz w:val="20"/>
          <w:szCs w:val="20"/>
        </w:rPr>
        <w:t>)</w:t>
      </w:r>
      <w:r>
        <w:rPr>
          <w:rFonts w:cs="Arial"/>
          <w:sz w:val="20"/>
          <w:szCs w:val="20"/>
        </w:rPr>
        <w:t xml:space="preserve">). </w:t>
      </w:r>
    </w:p>
    <w:p w14:paraId="54EC16AE" w14:textId="77777777" w:rsidR="000B4D6A" w:rsidRPr="0011012D" w:rsidRDefault="000B4D6A" w:rsidP="000210A2">
      <w:pPr>
        <w:spacing w:line="360" w:lineRule="auto"/>
        <w:rPr>
          <w:rFonts w:cs="Arial"/>
          <w:sz w:val="20"/>
          <w:szCs w:val="20"/>
        </w:rPr>
      </w:pPr>
      <w:r>
        <w:rPr>
          <w:rFonts w:cs="Arial"/>
          <w:sz w:val="20"/>
          <w:szCs w:val="20"/>
        </w:rPr>
        <w:t xml:space="preserve">Nell’analisi pooled dei tre studi clinici, le percentuali di incidenza di eventi MACE </w:t>
      </w:r>
      <w:r w:rsidRPr="00725A88">
        <w:rPr>
          <w:rFonts w:cs="Arial"/>
          <w:sz w:val="20"/>
          <w:szCs w:val="20"/>
        </w:rPr>
        <w:t xml:space="preserve">era bassa </w:t>
      </w:r>
      <w:r>
        <w:rPr>
          <w:rFonts w:cs="Arial"/>
          <w:sz w:val="20"/>
          <w:szCs w:val="20"/>
        </w:rPr>
        <w:t xml:space="preserve">e simile nel gruppo </w:t>
      </w:r>
      <w:r w:rsidRPr="0011012D">
        <w:rPr>
          <w:rFonts w:cs="Arial"/>
          <w:sz w:val="20"/>
          <w:szCs w:val="20"/>
        </w:rPr>
        <w:t>lesinurad 200 mg e XOI in monoterapia (0.</w:t>
      </w:r>
      <w:r>
        <w:rPr>
          <w:rFonts w:cs="Arial"/>
          <w:sz w:val="20"/>
          <w:szCs w:val="20"/>
        </w:rPr>
        <w:t>96</w:t>
      </w:r>
      <w:r w:rsidRPr="0011012D">
        <w:rPr>
          <w:rFonts w:cs="Arial"/>
          <w:sz w:val="20"/>
          <w:szCs w:val="20"/>
        </w:rPr>
        <w:t xml:space="preserve"> </w:t>
      </w:r>
      <w:r>
        <w:rPr>
          <w:rFonts w:cs="Arial"/>
          <w:sz w:val="20"/>
          <w:szCs w:val="20"/>
        </w:rPr>
        <w:t>vs</w:t>
      </w:r>
      <w:r w:rsidRPr="0011012D">
        <w:rPr>
          <w:rFonts w:cs="Arial"/>
          <w:sz w:val="20"/>
          <w:szCs w:val="20"/>
        </w:rPr>
        <w:t xml:space="preserve"> 0.</w:t>
      </w:r>
      <w:r>
        <w:rPr>
          <w:rFonts w:cs="Arial"/>
          <w:sz w:val="20"/>
          <w:szCs w:val="20"/>
        </w:rPr>
        <w:t>71</w:t>
      </w:r>
      <w:r w:rsidRPr="0011012D">
        <w:rPr>
          <w:rFonts w:cs="Arial"/>
          <w:sz w:val="20"/>
          <w:szCs w:val="20"/>
        </w:rPr>
        <w:t xml:space="preserve"> per 100 persone-</w:t>
      </w:r>
      <w:r>
        <w:rPr>
          <w:rFonts w:cs="Arial"/>
          <w:sz w:val="20"/>
          <w:szCs w:val="20"/>
        </w:rPr>
        <w:t>anni</w:t>
      </w:r>
      <w:r w:rsidRPr="0011012D">
        <w:rPr>
          <w:rFonts w:cs="Arial"/>
          <w:sz w:val="20"/>
          <w:szCs w:val="20"/>
        </w:rPr>
        <w:t xml:space="preserve"> </w:t>
      </w:r>
      <w:r>
        <w:rPr>
          <w:rFonts w:cs="Arial"/>
          <w:sz w:val="20"/>
          <w:szCs w:val="20"/>
        </w:rPr>
        <w:t>di esposizione rispettivamente).</w:t>
      </w:r>
      <w:r w:rsidRPr="0011012D">
        <w:rPr>
          <w:rFonts w:cs="Arial"/>
          <w:sz w:val="20"/>
          <w:szCs w:val="20"/>
        </w:rPr>
        <w:t xml:space="preserve"> </w:t>
      </w:r>
    </w:p>
    <w:p w14:paraId="002EE50F" w14:textId="77777777" w:rsidR="000B4D6A" w:rsidRPr="00973C0B" w:rsidRDefault="000B4D6A" w:rsidP="000210A2">
      <w:pPr>
        <w:spacing w:line="360" w:lineRule="auto"/>
        <w:rPr>
          <w:rFonts w:cs="Arial"/>
          <w:sz w:val="20"/>
          <w:szCs w:val="20"/>
        </w:rPr>
      </w:pPr>
    </w:p>
    <w:p w14:paraId="22162DBE" w14:textId="49ADBD0C" w:rsidR="000B4D6A" w:rsidRPr="00485F07" w:rsidRDefault="000B4D6A" w:rsidP="000210A2">
      <w:pPr>
        <w:spacing w:line="360" w:lineRule="auto"/>
        <w:rPr>
          <w:rFonts w:cs="Arial"/>
          <w:b/>
          <w:sz w:val="20"/>
          <w:szCs w:val="20"/>
        </w:rPr>
      </w:pPr>
      <w:r w:rsidRPr="00485F07">
        <w:rPr>
          <w:rFonts w:cs="Arial"/>
          <w:b/>
          <w:sz w:val="20"/>
          <w:szCs w:val="20"/>
        </w:rPr>
        <w:t xml:space="preserve">La generale buona tollerabilità di lesinurad 200 mg è stata confermata dai risultati </w:t>
      </w:r>
      <w:r w:rsidR="00CF13DF" w:rsidRPr="00485F07">
        <w:rPr>
          <w:rFonts w:cs="Arial"/>
          <w:b/>
          <w:sz w:val="20"/>
          <w:szCs w:val="20"/>
        </w:rPr>
        <w:t>dagli studi</w:t>
      </w:r>
      <w:r w:rsidRPr="00485F07">
        <w:rPr>
          <w:rFonts w:cs="Arial"/>
          <w:b/>
          <w:sz w:val="20"/>
          <w:szCs w:val="20"/>
        </w:rPr>
        <w:t xml:space="preserve"> di estensione a lungo termine (</w:t>
      </w:r>
      <w:r w:rsidR="001F006E">
        <w:rPr>
          <w:rFonts w:cs="Arial"/>
          <w:b/>
          <w:sz w:val="20"/>
          <w:szCs w:val="20"/>
        </w:rPr>
        <w:t>fino a 52</w:t>
      </w:r>
      <w:r w:rsidRPr="00485F07">
        <w:rPr>
          <w:rFonts w:cs="Arial"/>
          <w:b/>
          <w:sz w:val="20"/>
          <w:szCs w:val="20"/>
        </w:rPr>
        <w:t xml:space="preserve"> mesi) (</w:t>
      </w:r>
      <w:hyperlink w:anchor="Paragrafo539" w:history="1">
        <w:r w:rsidRPr="00485F07">
          <w:rPr>
            <w:rStyle w:val="Hyperlink"/>
            <w:rFonts w:cs="Arial"/>
            <w:b/>
            <w:sz w:val="20"/>
            <w:szCs w:val="20"/>
          </w:rPr>
          <w:t>Paragrafo 5.39</w:t>
        </w:r>
      </w:hyperlink>
      <w:r w:rsidR="00CF13DF" w:rsidRPr="00485F07">
        <w:rPr>
          <w:rStyle w:val="Hyperlink"/>
          <w:rFonts w:cs="Arial"/>
          <w:b/>
          <w:color w:val="auto"/>
          <w:sz w:val="20"/>
          <w:szCs w:val="20"/>
        </w:rPr>
        <w:t xml:space="preserve"> e </w:t>
      </w:r>
      <w:hyperlink w:anchor="Paragrafo549" w:history="1">
        <w:r w:rsidR="00CF13DF" w:rsidRPr="00485F07">
          <w:rPr>
            <w:rStyle w:val="Hyperlink"/>
            <w:rFonts w:cs="Arial"/>
            <w:b/>
            <w:sz w:val="20"/>
            <w:szCs w:val="20"/>
          </w:rPr>
          <w:t>Paragrafo 5.49</w:t>
        </w:r>
      </w:hyperlink>
      <w:r w:rsidRPr="00485F07">
        <w:rPr>
          <w:rFonts w:cs="Arial"/>
          <w:b/>
          <w:sz w:val="20"/>
          <w:szCs w:val="20"/>
        </w:rPr>
        <w:t>).</w:t>
      </w:r>
    </w:p>
    <w:p w14:paraId="47E59BD4" w14:textId="77777777" w:rsidR="000B4D6A" w:rsidRDefault="000B4D6A" w:rsidP="000210A2">
      <w:pPr>
        <w:spacing w:line="360" w:lineRule="auto"/>
        <w:rPr>
          <w:rFonts w:cs="Arial"/>
          <w:sz w:val="20"/>
          <w:szCs w:val="20"/>
        </w:rPr>
      </w:pPr>
    </w:p>
    <w:p w14:paraId="0F3A2708" w14:textId="77777777" w:rsidR="004C0945" w:rsidRDefault="004C0945" w:rsidP="000210A2">
      <w:pPr>
        <w:spacing w:line="360" w:lineRule="auto"/>
        <w:rPr>
          <w:rFonts w:cs="Arial"/>
          <w:sz w:val="20"/>
          <w:szCs w:val="20"/>
        </w:rPr>
      </w:pPr>
    </w:p>
    <w:p w14:paraId="44F81BB9" w14:textId="77777777" w:rsidR="004C0945" w:rsidRPr="005A6556" w:rsidRDefault="004C0945" w:rsidP="000210A2">
      <w:pPr>
        <w:spacing w:line="360" w:lineRule="auto"/>
        <w:rPr>
          <w:rFonts w:cs="Arial"/>
          <w:sz w:val="20"/>
          <w:szCs w:val="20"/>
        </w:rPr>
      </w:pPr>
    </w:p>
    <w:p w14:paraId="4E97F905" w14:textId="77777777" w:rsidR="000B4D6A" w:rsidRPr="00485F07" w:rsidRDefault="000B4D6A" w:rsidP="00825BD3">
      <w:pPr>
        <w:numPr>
          <w:ilvl w:val="1"/>
          <w:numId w:val="13"/>
        </w:numPr>
        <w:spacing w:line="360" w:lineRule="auto"/>
        <w:ind w:left="709"/>
        <w:rPr>
          <w:rFonts w:cs="Arial"/>
          <w:sz w:val="20"/>
          <w:szCs w:val="20"/>
          <w:u w:val="single"/>
        </w:rPr>
      </w:pPr>
      <w:r w:rsidRPr="00485F07">
        <w:rPr>
          <w:rFonts w:cs="Arial"/>
          <w:sz w:val="20"/>
          <w:szCs w:val="20"/>
          <w:u w:val="single"/>
        </w:rPr>
        <w:t>Valutazione conclusiva dello studio</w:t>
      </w:r>
    </w:p>
    <w:p w14:paraId="373908F6" w14:textId="168EC734" w:rsidR="000B4D6A" w:rsidRPr="006745FF" w:rsidRDefault="000B4D6A" w:rsidP="000210A2">
      <w:pPr>
        <w:spacing w:line="360" w:lineRule="auto"/>
        <w:rPr>
          <w:rFonts w:cs="Arial"/>
          <w:sz w:val="20"/>
          <w:szCs w:val="20"/>
        </w:rPr>
      </w:pPr>
      <w:r w:rsidRPr="006745FF">
        <w:rPr>
          <w:rFonts w:cs="Arial"/>
          <w:sz w:val="20"/>
          <w:szCs w:val="20"/>
        </w:rPr>
        <w:t xml:space="preserve">I due studi CLEAR-1 e CLEAR-2 hanno dimostrato che il trattamento con lesinurad 200 mg in associazione con allopurinolo determina un abbassamento dell’uricemia statisticamente significativo e clinicamente rilevante nei pazienti non responder ad allopurinolo in monoterapia. Circa il doppio dei pazienti trattati con lesinurad in combinazione </w:t>
      </w:r>
      <w:r>
        <w:rPr>
          <w:rFonts w:cs="Arial"/>
          <w:sz w:val="20"/>
          <w:szCs w:val="20"/>
        </w:rPr>
        <w:t xml:space="preserve">con allopurinolo </w:t>
      </w:r>
      <w:r w:rsidRPr="006745FF">
        <w:rPr>
          <w:rFonts w:cs="Arial"/>
          <w:sz w:val="20"/>
          <w:szCs w:val="20"/>
        </w:rPr>
        <w:t>ha raggiunto l'obiettivo di riduzione dei livelli sierici di acido urico (</w:t>
      </w:r>
      <w:r w:rsidR="005848A1">
        <w:rPr>
          <w:rFonts w:cs="Arial"/>
          <w:sz w:val="20"/>
          <w:szCs w:val="20"/>
        </w:rPr>
        <w:t>sUA</w:t>
      </w:r>
      <w:r w:rsidRPr="006745FF">
        <w:rPr>
          <w:rFonts w:cs="Arial"/>
          <w:sz w:val="20"/>
          <w:szCs w:val="20"/>
        </w:rPr>
        <w:t xml:space="preserve">&lt;6 mg/dl) a 6 mesi rispetto ad allopurinolo monoterapia. L’effetto di lesinurad è stato molto rapido, con una forte e statisticamente significativa riduzione del livello </w:t>
      </w:r>
      <w:r w:rsidR="005848A1">
        <w:rPr>
          <w:rFonts w:cs="Arial"/>
          <w:sz w:val="20"/>
          <w:szCs w:val="20"/>
        </w:rPr>
        <w:t>sUA</w:t>
      </w:r>
      <w:r w:rsidRPr="006745FF">
        <w:rPr>
          <w:rFonts w:cs="Arial"/>
          <w:sz w:val="20"/>
          <w:szCs w:val="20"/>
        </w:rPr>
        <w:t xml:space="preserve"> già dal primo mese di assunzione, rimanendo poi costante durante tutto il periodo di studio di 12 mesi. </w:t>
      </w:r>
    </w:p>
    <w:p w14:paraId="22199E89" w14:textId="06844E8C" w:rsidR="000B4D6A" w:rsidRDefault="000B4D6A" w:rsidP="000210A2">
      <w:pPr>
        <w:spacing w:line="360" w:lineRule="auto"/>
        <w:rPr>
          <w:rFonts w:cs="Arial"/>
          <w:sz w:val="20"/>
          <w:szCs w:val="20"/>
        </w:rPr>
      </w:pPr>
      <w:r w:rsidRPr="006745FF">
        <w:rPr>
          <w:rFonts w:cs="Arial"/>
          <w:sz w:val="20"/>
          <w:szCs w:val="20"/>
        </w:rPr>
        <w:t xml:space="preserve">La riduzione dell’uricemia è stata confermata nei diversi sottogruppi analizzati, tra cui i </w:t>
      </w:r>
      <w:r>
        <w:rPr>
          <w:rFonts w:cs="Arial"/>
          <w:sz w:val="20"/>
          <w:szCs w:val="20"/>
        </w:rPr>
        <w:t xml:space="preserve">pazienti di età </w:t>
      </w:r>
      <w:r>
        <w:rPr>
          <w:rFonts w:cstheme="minorHAnsi"/>
          <w:sz w:val="20"/>
          <w:szCs w:val="20"/>
        </w:rPr>
        <w:t>≥</w:t>
      </w:r>
      <w:r>
        <w:rPr>
          <w:rFonts w:cs="Arial"/>
          <w:sz w:val="20"/>
          <w:szCs w:val="20"/>
        </w:rPr>
        <w:t>65 anni</w:t>
      </w:r>
      <w:r w:rsidRPr="006745FF">
        <w:rPr>
          <w:rFonts w:cs="Arial"/>
          <w:sz w:val="20"/>
          <w:szCs w:val="20"/>
        </w:rPr>
        <w:t xml:space="preserve">. </w:t>
      </w:r>
    </w:p>
    <w:p w14:paraId="4BE3A717" w14:textId="77777777" w:rsidR="000B4D6A" w:rsidRDefault="000B4D6A" w:rsidP="000210A2">
      <w:pPr>
        <w:spacing w:line="360" w:lineRule="auto"/>
        <w:rPr>
          <w:rFonts w:cs="Arial"/>
          <w:sz w:val="20"/>
          <w:szCs w:val="20"/>
        </w:rPr>
      </w:pPr>
      <w:r w:rsidRPr="006745FF">
        <w:rPr>
          <w:rFonts w:cs="Arial"/>
          <w:sz w:val="20"/>
          <w:szCs w:val="20"/>
        </w:rPr>
        <w:t>Lesinurad 200 mg in associazione a</w:t>
      </w:r>
      <w:r>
        <w:rPr>
          <w:rFonts w:cs="Arial"/>
          <w:sz w:val="20"/>
          <w:szCs w:val="20"/>
        </w:rPr>
        <w:t xml:space="preserve"> XOI</w:t>
      </w:r>
      <w:r w:rsidRPr="006745FF">
        <w:rPr>
          <w:rFonts w:cs="Arial"/>
          <w:sz w:val="20"/>
          <w:szCs w:val="20"/>
        </w:rPr>
        <w:t xml:space="preserve"> è stato generalmente ben tollerato con un profilo di eventi avversi, anche a livello renale e cardiovascolare, paragonabile a</w:t>
      </w:r>
      <w:r>
        <w:rPr>
          <w:rFonts w:cs="Arial"/>
          <w:sz w:val="20"/>
          <w:szCs w:val="20"/>
        </w:rPr>
        <w:t>gli XOI in monoterapia</w:t>
      </w:r>
      <w:r w:rsidRPr="006745FF">
        <w:rPr>
          <w:rFonts w:cs="Arial"/>
          <w:sz w:val="20"/>
          <w:szCs w:val="20"/>
        </w:rPr>
        <w:t>.</w:t>
      </w:r>
    </w:p>
    <w:p w14:paraId="329DFD9C" w14:textId="77777777" w:rsidR="00DF1F08" w:rsidRDefault="00DF1F08" w:rsidP="000210A2">
      <w:pPr>
        <w:spacing w:line="360" w:lineRule="auto"/>
        <w:rPr>
          <w:rFonts w:eastAsia="Times New Roman" w:cs="Arial"/>
          <w:color w:val="222222"/>
          <w:sz w:val="20"/>
          <w:szCs w:val="20"/>
        </w:rPr>
      </w:pPr>
    </w:p>
    <w:p w14:paraId="3326A985" w14:textId="77777777" w:rsidR="004F41F9" w:rsidRPr="0087637F" w:rsidRDefault="004F41F9">
      <w:pPr>
        <w:rPr>
          <w:rFonts w:eastAsia="Times New Roman" w:cstheme="minorHAnsi"/>
          <w:b/>
          <w:noProof/>
          <w:sz w:val="20"/>
          <w:szCs w:val="20"/>
          <w:u w:val="single"/>
          <w:lang w:eastAsia="it-IT"/>
        </w:rPr>
      </w:pPr>
      <w:r w:rsidRPr="0087637F">
        <w:rPr>
          <w:rFonts w:cstheme="minorHAnsi"/>
          <w:i/>
          <w:sz w:val="20"/>
          <w:u w:val="single"/>
        </w:rPr>
        <w:br w:type="page"/>
      </w:r>
    </w:p>
    <w:p w14:paraId="255E5B05" w14:textId="31CA2628" w:rsidR="00122D69" w:rsidRDefault="001E7F7F" w:rsidP="000210A2">
      <w:pPr>
        <w:pStyle w:val="Heading2"/>
        <w:jc w:val="left"/>
        <w:rPr>
          <w:rFonts w:asciiTheme="minorHAnsi" w:hAnsiTheme="minorHAnsi" w:cstheme="minorHAnsi"/>
          <w:i w:val="0"/>
          <w:sz w:val="20"/>
          <w:u w:val="single"/>
          <w:lang w:val="en-GB"/>
        </w:rPr>
      </w:pPr>
      <w:bookmarkStart w:id="168" w:name="_Toc473184564"/>
      <w:r w:rsidRPr="005B1CD1">
        <w:rPr>
          <w:rFonts w:asciiTheme="minorHAnsi" w:hAnsiTheme="minorHAnsi" w:cstheme="minorHAnsi"/>
          <w:i w:val="0"/>
          <w:sz w:val="20"/>
          <w:u w:val="single"/>
          <w:lang w:val="en-GB"/>
        </w:rPr>
        <w:t>Studio CLEAR extension (studio 306)</w:t>
      </w:r>
      <w:r w:rsidR="00D31D9A" w:rsidRPr="005B1CD1">
        <w:rPr>
          <w:rFonts w:asciiTheme="minorHAnsi" w:hAnsiTheme="minorHAnsi" w:cstheme="minorHAnsi"/>
          <w:i w:val="0"/>
          <w:sz w:val="20"/>
          <w:u w:val="single"/>
          <w:lang w:val="en-GB"/>
        </w:rPr>
        <w:t xml:space="preserve"> (</w:t>
      </w:r>
      <w:r w:rsidR="00A25D6E" w:rsidRPr="00A25D6E">
        <w:rPr>
          <w:rFonts w:asciiTheme="minorHAnsi" w:hAnsiTheme="minorHAnsi" w:cstheme="minorHAnsi"/>
          <w:i w:val="0"/>
          <w:color w:val="0000FF"/>
          <w:sz w:val="20"/>
          <w:u w:val="single"/>
          <w:lang w:val="en-GB"/>
        </w:rPr>
        <w:t>128</w:t>
      </w:r>
      <w:r w:rsidR="00D31D9A" w:rsidRPr="005B1CD1">
        <w:rPr>
          <w:rFonts w:asciiTheme="minorHAnsi" w:hAnsiTheme="minorHAnsi" w:cstheme="minorHAnsi"/>
          <w:i w:val="0"/>
          <w:sz w:val="20"/>
          <w:u w:val="single"/>
          <w:lang w:val="en-GB"/>
        </w:rPr>
        <w:t>)</w:t>
      </w:r>
      <w:bookmarkEnd w:id="168"/>
    </w:p>
    <w:p w14:paraId="12E27758" w14:textId="77777777" w:rsidR="004F44E2" w:rsidRPr="004F44E2" w:rsidRDefault="004F44E2" w:rsidP="000210A2">
      <w:pPr>
        <w:rPr>
          <w:lang w:val="en-GB" w:eastAsia="it-IT"/>
        </w:rPr>
      </w:pPr>
    </w:p>
    <w:p w14:paraId="2FD69D0B" w14:textId="77777777" w:rsidR="00122D69" w:rsidRPr="00FE43E3" w:rsidRDefault="00122D69" w:rsidP="00825BD3">
      <w:pPr>
        <w:numPr>
          <w:ilvl w:val="1"/>
          <w:numId w:val="13"/>
        </w:numPr>
        <w:spacing w:line="360" w:lineRule="auto"/>
        <w:ind w:left="709"/>
        <w:rPr>
          <w:rFonts w:cs="Arial"/>
          <w:sz w:val="20"/>
          <w:szCs w:val="20"/>
          <w:u w:val="single"/>
        </w:rPr>
      </w:pPr>
      <w:r w:rsidRPr="00FE43E3">
        <w:rPr>
          <w:rFonts w:cs="Arial"/>
          <w:sz w:val="20"/>
          <w:szCs w:val="20"/>
          <w:u w:val="single"/>
        </w:rPr>
        <w:t>Presupposti fisiopatologici e obiettivi dello studio</w:t>
      </w:r>
    </w:p>
    <w:p w14:paraId="7A50EB15" w14:textId="6EEB4A13" w:rsidR="001E7F7F" w:rsidRPr="001E7F7F" w:rsidRDefault="001E7F7F" w:rsidP="000210A2">
      <w:pPr>
        <w:pStyle w:val="Paragrafoelenco3"/>
        <w:spacing w:line="360" w:lineRule="auto"/>
        <w:ind w:left="0"/>
        <w:rPr>
          <w:rFonts w:asciiTheme="minorHAnsi" w:hAnsiTheme="minorHAnsi" w:cs="Arial"/>
          <w:sz w:val="20"/>
          <w:szCs w:val="20"/>
        </w:rPr>
      </w:pPr>
      <w:r w:rsidRPr="001E7F7F">
        <w:rPr>
          <w:rFonts w:asciiTheme="minorHAnsi" w:hAnsiTheme="minorHAnsi" w:cs="Arial"/>
          <w:sz w:val="20"/>
          <w:szCs w:val="20"/>
        </w:rPr>
        <w:t xml:space="preserve">Gli studi CLEAR hanno </w:t>
      </w:r>
      <w:r w:rsidR="0097645A">
        <w:rPr>
          <w:rFonts w:asciiTheme="minorHAnsi" w:hAnsiTheme="minorHAnsi" w:cs="Arial"/>
          <w:sz w:val="20"/>
          <w:szCs w:val="20"/>
        </w:rPr>
        <w:t>dimostr</w:t>
      </w:r>
      <w:r w:rsidR="0097645A" w:rsidRPr="001E7F7F">
        <w:rPr>
          <w:rFonts w:asciiTheme="minorHAnsi" w:hAnsiTheme="minorHAnsi" w:cs="Arial"/>
          <w:sz w:val="20"/>
          <w:szCs w:val="20"/>
        </w:rPr>
        <w:t xml:space="preserve">ato </w:t>
      </w:r>
      <w:r w:rsidRPr="001E7F7F">
        <w:rPr>
          <w:rFonts w:asciiTheme="minorHAnsi" w:hAnsiTheme="minorHAnsi" w:cs="Arial"/>
          <w:sz w:val="20"/>
          <w:szCs w:val="20"/>
        </w:rPr>
        <w:t xml:space="preserve">l’efficacia e sicurezza di lesinurad (200 mg per os in mono-somministrazione giornaliera) in combinazione con allopurinolo (alle dosi definite appropriate dagli sperimentatori), vs. allopurinolo monoterapia, in pazienti con </w:t>
      </w:r>
      <w:r w:rsidR="00991290">
        <w:rPr>
          <w:rFonts w:asciiTheme="minorHAnsi" w:hAnsiTheme="minorHAnsi" w:cs="Arial"/>
          <w:sz w:val="20"/>
          <w:szCs w:val="20"/>
        </w:rPr>
        <w:t xml:space="preserve">iperuricemia e </w:t>
      </w:r>
      <w:r w:rsidRPr="001E7F7F">
        <w:rPr>
          <w:rFonts w:asciiTheme="minorHAnsi" w:hAnsiTheme="minorHAnsi" w:cs="Arial"/>
          <w:sz w:val="20"/>
          <w:szCs w:val="20"/>
        </w:rPr>
        <w:t>gotta</w:t>
      </w:r>
      <w:r w:rsidR="00991290">
        <w:rPr>
          <w:rFonts w:asciiTheme="minorHAnsi" w:hAnsiTheme="minorHAnsi" w:cs="Arial"/>
          <w:sz w:val="20"/>
          <w:szCs w:val="20"/>
        </w:rPr>
        <w:t xml:space="preserve"> che non rispondevano in maniera adeguata al trattamento con allopurinolo</w:t>
      </w:r>
      <w:r w:rsidRPr="001E7F7F">
        <w:rPr>
          <w:rFonts w:asciiTheme="minorHAnsi" w:hAnsiTheme="minorHAnsi" w:cs="Arial"/>
          <w:sz w:val="20"/>
          <w:szCs w:val="20"/>
        </w:rPr>
        <w:t xml:space="preserve">. Infatti gli studi CLEAR hanno dimostrato che una maggiore quota di pazienti trattati con lesinurad 200 mg + allopurinolo (LESU200 + ALLO) vs placebo + allopurinolo (PBO + ALLO) ha raggiunto il target di </w:t>
      </w:r>
      <w:r w:rsidR="005848A1">
        <w:rPr>
          <w:rFonts w:asciiTheme="minorHAnsi" w:hAnsiTheme="minorHAnsi" w:cs="Arial"/>
          <w:sz w:val="20"/>
          <w:szCs w:val="20"/>
        </w:rPr>
        <w:t>sUA</w:t>
      </w:r>
      <w:r w:rsidRPr="001E7F7F">
        <w:rPr>
          <w:rFonts w:asciiTheme="minorHAnsi" w:hAnsiTheme="minorHAnsi" w:cs="Arial"/>
          <w:sz w:val="20"/>
          <w:szCs w:val="20"/>
        </w:rPr>
        <w:t>&lt; 6.0 mg/dl a 6 e 12 mesi (p&lt;0.0001).</w:t>
      </w:r>
    </w:p>
    <w:p w14:paraId="2BE7C842" w14:textId="0A875E4B" w:rsidR="001E7F7F" w:rsidRPr="001E7F7F" w:rsidRDefault="001E7F7F" w:rsidP="000210A2">
      <w:pPr>
        <w:pStyle w:val="Paragrafoelenco3"/>
        <w:spacing w:line="360" w:lineRule="auto"/>
        <w:ind w:left="0"/>
        <w:rPr>
          <w:rFonts w:asciiTheme="minorHAnsi" w:hAnsiTheme="minorHAnsi" w:cs="Arial"/>
          <w:sz w:val="20"/>
          <w:szCs w:val="20"/>
        </w:rPr>
      </w:pPr>
      <w:r w:rsidRPr="001E7F7F">
        <w:rPr>
          <w:rFonts w:asciiTheme="minorHAnsi" w:hAnsiTheme="minorHAnsi" w:cs="Arial"/>
          <w:sz w:val="20"/>
          <w:szCs w:val="20"/>
        </w:rPr>
        <w:t xml:space="preserve">Lo studio CLEAR extension aveva l’obiettivo di estendere l’osservazione del trattamento con LESU + ALLO </w:t>
      </w:r>
      <w:r w:rsidR="00991290">
        <w:rPr>
          <w:rFonts w:asciiTheme="minorHAnsi" w:hAnsiTheme="minorHAnsi" w:cs="Arial"/>
          <w:sz w:val="20"/>
          <w:szCs w:val="20"/>
        </w:rPr>
        <w:t xml:space="preserve">con ulteriori </w:t>
      </w:r>
      <w:r w:rsidR="00F740C5">
        <w:rPr>
          <w:rFonts w:asciiTheme="minorHAnsi" w:hAnsiTheme="minorHAnsi" w:cs="Arial"/>
          <w:sz w:val="20"/>
          <w:szCs w:val="20"/>
        </w:rPr>
        <w:t>12 mesi</w:t>
      </w:r>
      <w:r w:rsidR="00991290">
        <w:rPr>
          <w:rFonts w:asciiTheme="minorHAnsi" w:hAnsiTheme="minorHAnsi" w:cs="Arial"/>
          <w:sz w:val="20"/>
          <w:szCs w:val="20"/>
        </w:rPr>
        <w:t xml:space="preserve"> </w:t>
      </w:r>
      <w:r w:rsidR="001F11D8" w:rsidRPr="001E7F7F">
        <w:rPr>
          <w:rFonts w:asciiTheme="minorHAnsi" w:hAnsiTheme="minorHAnsi" w:cs="Arial"/>
          <w:sz w:val="20"/>
          <w:szCs w:val="20"/>
        </w:rPr>
        <w:t xml:space="preserve">per l’efficacia </w:t>
      </w:r>
      <w:r w:rsidRPr="001E7F7F">
        <w:rPr>
          <w:rFonts w:asciiTheme="minorHAnsi" w:hAnsiTheme="minorHAnsi" w:cs="Arial"/>
          <w:sz w:val="20"/>
          <w:szCs w:val="20"/>
        </w:rPr>
        <w:t>e</w:t>
      </w:r>
      <w:r w:rsidR="00F740C5">
        <w:rPr>
          <w:rFonts w:asciiTheme="minorHAnsi" w:hAnsiTheme="minorHAnsi" w:cs="Arial"/>
          <w:sz w:val="20"/>
          <w:szCs w:val="20"/>
        </w:rPr>
        <w:t xml:space="preserve"> fino a 52 mesi</w:t>
      </w:r>
      <w:r w:rsidR="001F11D8">
        <w:rPr>
          <w:rFonts w:asciiTheme="minorHAnsi" w:hAnsiTheme="minorHAnsi" w:cs="Arial"/>
          <w:sz w:val="20"/>
          <w:szCs w:val="20"/>
        </w:rPr>
        <w:t xml:space="preserve"> </w:t>
      </w:r>
      <w:r w:rsidR="001F11D8" w:rsidRPr="001E7F7F">
        <w:rPr>
          <w:rFonts w:asciiTheme="minorHAnsi" w:hAnsiTheme="minorHAnsi" w:cs="Arial"/>
          <w:sz w:val="20"/>
          <w:szCs w:val="20"/>
        </w:rPr>
        <w:t>per la safety</w:t>
      </w:r>
      <w:r w:rsidRPr="001E7F7F">
        <w:rPr>
          <w:rFonts w:asciiTheme="minorHAnsi" w:hAnsiTheme="minorHAnsi" w:cs="Arial"/>
          <w:sz w:val="20"/>
          <w:szCs w:val="20"/>
        </w:rPr>
        <w:t>.</w:t>
      </w:r>
      <w:r w:rsidR="00C6423A">
        <w:rPr>
          <w:rFonts w:asciiTheme="minorHAnsi" w:hAnsiTheme="minorHAnsi" w:cs="Arial"/>
          <w:sz w:val="20"/>
          <w:szCs w:val="20"/>
        </w:rPr>
        <w:t xml:space="preserve"> Sono disponibili due interim analysis e</w:t>
      </w:r>
      <w:r w:rsidR="0022534A">
        <w:rPr>
          <w:rFonts w:asciiTheme="minorHAnsi" w:hAnsiTheme="minorHAnsi" w:cs="Arial"/>
          <w:sz w:val="20"/>
          <w:szCs w:val="20"/>
        </w:rPr>
        <w:t>d</w:t>
      </w:r>
      <w:r w:rsidR="00C6423A">
        <w:rPr>
          <w:rFonts w:asciiTheme="minorHAnsi" w:hAnsiTheme="minorHAnsi" w:cs="Arial"/>
          <w:sz w:val="20"/>
          <w:szCs w:val="20"/>
        </w:rPr>
        <w:t xml:space="preserve"> una sino</w:t>
      </w:r>
      <w:r w:rsidR="00116356">
        <w:rPr>
          <w:rFonts w:asciiTheme="minorHAnsi" w:hAnsiTheme="minorHAnsi" w:cs="Arial"/>
          <w:sz w:val="20"/>
          <w:szCs w:val="20"/>
        </w:rPr>
        <w:t>s</w:t>
      </w:r>
      <w:r w:rsidR="00C6423A">
        <w:rPr>
          <w:rFonts w:asciiTheme="minorHAnsi" w:hAnsiTheme="minorHAnsi" w:cs="Arial"/>
          <w:sz w:val="20"/>
          <w:szCs w:val="20"/>
        </w:rPr>
        <w:t>si</w:t>
      </w:r>
      <w:r w:rsidR="00C6423A">
        <w:rPr>
          <w:rStyle w:val="FootnoteReference"/>
          <w:rFonts w:asciiTheme="minorHAnsi" w:hAnsiTheme="minorHAnsi"/>
          <w:sz w:val="20"/>
          <w:szCs w:val="20"/>
        </w:rPr>
        <w:footnoteReference w:id="7"/>
      </w:r>
      <w:r w:rsidR="00C6423A">
        <w:rPr>
          <w:rFonts w:asciiTheme="minorHAnsi" w:hAnsiTheme="minorHAnsi" w:cs="Arial"/>
          <w:sz w:val="20"/>
          <w:szCs w:val="20"/>
        </w:rPr>
        <w:t xml:space="preserve"> finale: una prima interim analysis (cut-off 17 Giugno 2014) che focalizza solo sui dati di sicurezza (</w:t>
      </w:r>
      <w:r w:rsidR="00022BDF">
        <w:rPr>
          <w:rFonts w:asciiTheme="minorHAnsi" w:hAnsiTheme="minorHAnsi" w:cs="Arial"/>
          <w:sz w:val="20"/>
          <w:szCs w:val="20"/>
        </w:rPr>
        <w:t>CSR 306, 2014 (</w:t>
      </w:r>
      <w:r w:rsidR="00C6423A" w:rsidRPr="00F740C5">
        <w:rPr>
          <w:rFonts w:asciiTheme="minorHAnsi" w:hAnsiTheme="minorHAnsi" w:cs="Arial"/>
          <w:color w:val="0000FF"/>
          <w:sz w:val="20"/>
          <w:szCs w:val="20"/>
        </w:rPr>
        <w:t>1</w:t>
      </w:r>
      <w:r w:rsidR="00022BDF">
        <w:rPr>
          <w:rFonts w:asciiTheme="minorHAnsi" w:hAnsiTheme="minorHAnsi" w:cs="Arial"/>
          <w:color w:val="0000FF"/>
          <w:sz w:val="20"/>
          <w:szCs w:val="20"/>
        </w:rPr>
        <w:t>47</w:t>
      </w:r>
      <w:r w:rsidR="00C6423A">
        <w:rPr>
          <w:rFonts w:asciiTheme="minorHAnsi" w:hAnsiTheme="minorHAnsi" w:cs="Arial"/>
          <w:sz w:val="20"/>
          <w:szCs w:val="20"/>
        </w:rPr>
        <w:t>); una seconda interim analysis (cut-off 15 Maggio 2015) che comprenda la prima analisi di efficacia (tutti i dati da ogni soggetto in trattamento per alm</w:t>
      </w:r>
      <w:r w:rsidR="0022534A">
        <w:rPr>
          <w:rFonts w:asciiTheme="minorHAnsi" w:hAnsiTheme="minorHAnsi" w:cs="Arial"/>
          <w:sz w:val="20"/>
          <w:szCs w:val="20"/>
        </w:rPr>
        <w:t>eno 12 mesi) e una seco</w:t>
      </w:r>
      <w:r w:rsidR="00C6423A">
        <w:rPr>
          <w:rFonts w:asciiTheme="minorHAnsi" w:hAnsiTheme="minorHAnsi" w:cs="Arial"/>
          <w:sz w:val="20"/>
          <w:szCs w:val="20"/>
        </w:rPr>
        <w:t>nda analisi di sicurezza (che include tutti i dati di sicurezza disponibili alla data del secondo cut-off) (</w:t>
      </w:r>
      <w:r w:rsidR="00022BDF">
        <w:rPr>
          <w:rFonts w:asciiTheme="minorHAnsi" w:hAnsiTheme="minorHAnsi" w:cs="Arial"/>
          <w:sz w:val="20"/>
          <w:szCs w:val="20"/>
        </w:rPr>
        <w:t>CSR 306, 2015 (</w:t>
      </w:r>
      <w:r w:rsidR="00022BDF">
        <w:rPr>
          <w:rFonts w:asciiTheme="minorHAnsi" w:hAnsiTheme="minorHAnsi" w:cs="Arial"/>
          <w:color w:val="0000FF"/>
          <w:sz w:val="20"/>
          <w:szCs w:val="20"/>
        </w:rPr>
        <w:t>130)</w:t>
      </w:r>
      <w:r w:rsidR="00C6423A">
        <w:rPr>
          <w:rFonts w:asciiTheme="minorHAnsi" w:hAnsiTheme="minorHAnsi" w:cs="Arial"/>
          <w:sz w:val="20"/>
          <w:szCs w:val="20"/>
        </w:rPr>
        <w:t>); la sino</w:t>
      </w:r>
      <w:r w:rsidR="00116356">
        <w:rPr>
          <w:rFonts w:asciiTheme="minorHAnsi" w:hAnsiTheme="minorHAnsi" w:cs="Arial"/>
          <w:sz w:val="20"/>
          <w:szCs w:val="20"/>
        </w:rPr>
        <w:t>s</w:t>
      </w:r>
      <w:r w:rsidR="00C6423A">
        <w:rPr>
          <w:rFonts w:asciiTheme="minorHAnsi" w:hAnsiTheme="minorHAnsi" w:cs="Arial"/>
          <w:sz w:val="20"/>
          <w:szCs w:val="20"/>
        </w:rPr>
        <w:t xml:space="preserve">si finale include le analisi finali di sicurezza dallo studio di estensione (fino a 52 </w:t>
      </w:r>
      <w:r w:rsidR="00F740C5">
        <w:rPr>
          <w:rFonts w:asciiTheme="minorHAnsi" w:hAnsiTheme="minorHAnsi" w:cs="Arial"/>
          <w:sz w:val="20"/>
          <w:szCs w:val="20"/>
        </w:rPr>
        <w:t>mesi</w:t>
      </w:r>
      <w:r w:rsidR="00C6423A">
        <w:rPr>
          <w:rFonts w:asciiTheme="minorHAnsi" w:hAnsiTheme="minorHAnsi" w:cs="Arial"/>
          <w:sz w:val="20"/>
          <w:szCs w:val="20"/>
        </w:rPr>
        <w:t>) (</w:t>
      </w:r>
      <w:r w:rsidR="00022BDF">
        <w:rPr>
          <w:rFonts w:asciiTheme="minorHAnsi" w:hAnsiTheme="minorHAnsi" w:cs="Arial"/>
          <w:sz w:val="20"/>
          <w:szCs w:val="20"/>
        </w:rPr>
        <w:t>CSR 306, 2016 (</w:t>
      </w:r>
      <w:r w:rsidR="00C6423A" w:rsidRPr="00F740C5">
        <w:rPr>
          <w:rFonts w:asciiTheme="minorHAnsi" w:hAnsiTheme="minorHAnsi" w:cs="Arial"/>
          <w:color w:val="0000FF"/>
          <w:sz w:val="20"/>
          <w:szCs w:val="20"/>
        </w:rPr>
        <w:t>1</w:t>
      </w:r>
      <w:r w:rsidR="00022BDF">
        <w:rPr>
          <w:rFonts w:asciiTheme="minorHAnsi" w:hAnsiTheme="minorHAnsi" w:cs="Arial"/>
          <w:color w:val="0000FF"/>
          <w:sz w:val="20"/>
          <w:szCs w:val="20"/>
        </w:rPr>
        <w:t>45)</w:t>
      </w:r>
      <w:r w:rsidR="00C6423A">
        <w:rPr>
          <w:rFonts w:asciiTheme="minorHAnsi" w:hAnsiTheme="minorHAnsi" w:cs="Arial"/>
          <w:sz w:val="20"/>
          <w:szCs w:val="20"/>
        </w:rPr>
        <w:t>)</w:t>
      </w:r>
    </w:p>
    <w:p w14:paraId="3A89A8B6" w14:textId="77777777" w:rsidR="00122D69" w:rsidRPr="001E7F7F" w:rsidRDefault="00122D69" w:rsidP="000210A2">
      <w:pPr>
        <w:tabs>
          <w:tab w:val="num" w:pos="284"/>
        </w:tabs>
        <w:spacing w:line="300" w:lineRule="atLeast"/>
        <w:rPr>
          <w:rFonts w:ascii="Calibri" w:hAnsi="Calibri"/>
          <w:sz w:val="20"/>
          <w:szCs w:val="20"/>
        </w:rPr>
      </w:pPr>
    </w:p>
    <w:p w14:paraId="4E1A281B" w14:textId="77777777" w:rsidR="00D30985" w:rsidRPr="00221759" w:rsidRDefault="00122D69" w:rsidP="00825BD3">
      <w:pPr>
        <w:numPr>
          <w:ilvl w:val="1"/>
          <w:numId w:val="13"/>
        </w:numPr>
        <w:spacing w:line="360" w:lineRule="auto"/>
        <w:ind w:left="709"/>
        <w:rPr>
          <w:rFonts w:cs="Arial"/>
          <w:sz w:val="20"/>
          <w:szCs w:val="20"/>
          <w:u w:val="single"/>
        </w:rPr>
      </w:pPr>
      <w:r w:rsidRPr="00221759">
        <w:rPr>
          <w:rFonts w:cs="Arial"/>
          <w:sz w:val="20"/>
          <w:szCs w:val="20"/>
          <w:u w:val="single"/>
        </w:rPr>
        <w:t>Tipo dello studio</w:t>
      </w:r>
    </w:p>
    <w:p w14:paraId="3D6F0BCB" w14:textId="20404089" w:rsidR="00D30985" w:rsidRDefault="001E7F7F" w:rsidP="000210A2">
      <w:pPr>
        <w:spacing w:line="360" w:lineRule="auto"/>
        <w:rPr>
          <w:rFonts w:eastAsia="Times New Roman" w:cs="Arial"/>
          <w:color w:val="222222"/>
          <w:sz w:val="20"/>
          <w:szCs w:val="20"/>
        </w:rPr>
      </w:pPr>
      <w:r w:rsidRPr="001E7F7F">
        <w:rPr>
          <w:rFonts w:eastAsia="Times New Roman" w:cs="Arial"/>
          <w:color w:val="222222"/>
          <w:sz w:val="20"/>
          <w:szCs w:val="20"/>
        </w:rPr>
        <w:t xml:space="preserve">Studio randomizzato, </w:t>
      </w:r>
      <w:r w:rsidR="001F11D8">
        <w:rPr>
          <w:rFonts w:eastAsia="Times New Roman" w:cs="Arial"/>
          <w:color w:val="222222"/>
          <w:sz w:val="20"/>
          <w:szCs w:val="20"/>
        </w:rPr>
        <w:t xml:space="preserve">in doppio cieco fino alla conclusione degli studi CLEAR1 e 2 e successivamente </w:t>
      </w:r>
      <w:r w:rsidRPr="001E7F7F">
        <w:rPr>
          <w:rFonts w:eastAsia="Times New Roman" w:cs="Arial"/>
          <w:color w:val="222222"/>
          <w:sz w:val="20"/>
          <w:szCs w:val="20"/>
        </w:rPr>
        <w:t xml:space="preserve">in </w:t>
      </w:r>
      <w:r w:rsidR="008C3185">
        <w:rPr>
          <w:rFonts w:eastAsia="Times New Roman" w:cs="Arial"/>
          <w:color w:val="222222"/>
          <w:sz w:val="20"/>
          <w:szCs w:val="20"/>
        </w:rPr>
        <w:t>aperto</w:t>
      </w:r>
      <w:r w:rsidRPr="001E7F7F">
        <w:rPr>
          <w:rFonts w:eastAsia="Times New Roman" w:cs="Arial"/>
          <w:color w:val="222222"/>
          <w:sz w:val="20"/>
          <w:szCs w:val="20"/>
        </w:rPr>
        <w:t>.</w:t>
      </w:r>
    </w:p>
    <w:p w14:paraId="16E76FFF" w14:textId="77777777" w:rsidR="001E7F7F" w:rsidRPr="00221759" w:rsidRDefault="001E7F7F" w:rsidP="000210A2">
      <w:pPr>
        <w:spacing w:line="360" w:lineRule="auto"/>
        <w:rPr>
          <w:rFonts w:eastAsia="Times New Roman" w:cs="Arial"/>
          <w:color w:val="222222"/>
          <w:sz w:val="20"/>
          <w:szCs w:val="20"/>
        </w:rPr>
      </w:pPr>
    </w:p>
    <w:p w14:paraId="68242F9A" w14:textId="77777777" w:rsidR="00122D69" w:rsidRPr="00221759" w:rsidRDefault="00122D69" w:rsidP="00825BD3">
      <w:pPr>
        <w:numPr>
          <w:ilvl w:val="1"/>
          <w:numId w:val="13"/>
        </w:numPr>
        <w:spacing w:line="360" w:lineRule="auto"/>
        <w:ind w:left="709"/>
        <w:rPr>
          <w:rFonts w:cs="Arial"/>
          <w:sz w:val="20"/>
          <w:szCs w:val="20"/>
          <w:u w:val="single"/>
        </w:rPr>
      </w:pPr>
      <w:r w:rsidRPr="00221759">
        <w:rPr>
          <w:rFonts w:cs="Arial"/>
          <w:sz w:val="20"/>
          <w:szCs w:val="20"/>
          <w:u w:val="single"/>
        </w:rPr>
        <w:t>Tipo e numero di pazienti partecipanti allo studio</w:t>
      </w:r>
    </w:p>
    <w:p w14:paraId="64B04A13" w14:textId="76E55D6E" w:rsidR="003629F1" w:rsidRDefault="003629F1" w:rsidP="000210A2">
      <w:pPr>
        <w:pStyle w:val="Paragrafoelenco3"/>
        <w:spacing w:line="360" w:lineRule="auto"/>
        <w:ind w:left="0"/>
        <w:rPr>
          <w:rFonts w:asciiTheme="minorHAnsi" w:hAnsiTheme="minorHAnsi" w:cs="Arial"/>
          <w:sz w:val="20"/>
          <w:szCs w:val="20"/>
        </w:rPr>
      </w:pPr>
      <w:r w:rsidRPr="003629F1">
        <w:rPr>
          <w:rFonts w:asciiTheme="minorHAnsi" w:hAnsiTheme="minorHAnsi" w:cs="Arial"/>
          <w:sz w:val="20"/>
          <w:szCs w:val="20"/>
        </w:rPr>
        <w:t xml:space="preserve">La </w:t>
      </w:r>
      <w:hyperlink w:anchor="Figura37" w:history="1">
        <w:r w:rsidRPr="00D64C92">
          <w:rPr>
            <w:rStyle w:val="Hyperlink"/>
            <w:rFonts w:asciiTheme="minorHAnsi" w:hAnsiTheme="minorHAnsi" w:cs="Arial"/>
            <w:sz w:val="20"/>
            <w:szCs w:val="20"/>
          </w:rPr>
          <w:t xml:space="preserve">Figura </w:t>
        </w:r>
        <w:r w:rsidR="00DF1F08">
          <w:rPr>
            <w:rStyle w:val="Hyperlink"/>
            <w:rFonts w:asciiTheme="minorHAnsi" w:hAnsiTheme="minorHAnsi" w:cs="Arial"/>
            <w:sz w:val="20"/>
            <w:szCs w:val="20"/>
          </w:rPr>
          <w:t>3</w:t>
        </w:r>
        <w:r w:rsidR="004C0945">
          <w:rPr>
            <w:rStyle w:val="Hyperlink"/>
            <w:rFonts w:asciiTheme="minorHAnsi" w:hAnsiTheme="minorHAnsi" w:cs="Arial"/>
            <w:sz w:val="20"/>
            <w:szCs w:val="20"/>
          </w:rPr>
          <w:t>7</w:t>
        </w:r>
      </w:hyperlink>
      <w:r w:rsidRPr="003629F1">
        <w:rPr>
          <w:rFonts w:asciiTheme="minorHAnsi" w:hAnsiTheme="minorHAnsi" w:cs="Arial"/>
          <w:sz w:val="20"/>
          <w:szCs w:val="20"/>
        </w:rPr>
        <w:t xml:space="preserve"> illustra il disegno dello studio C</w:t>
      </w:r>
      <w:r>
        <w:rPr>
          <w:rFonts w:asciiTheme="minorHAnsi" w:hAnsiTheme="minorHAnsi" w:cs="Arial"/>
          <w:sz w:val="20"/>
          <w:szCs w:val="20"/>
        </w:rPr>
        <w:t>LEAR</w:t>
      </w:r>
      <w:r w:rsidRPr="003629F1">
        <w:rPr>
          <w:rFonts w:asciiTheme="minorHAnsi" w:hAnsiTheme="minorHAnsi" w:cs="Arial"/>
          <w:sz w:val="20"/>
          <w:szCs w:val="20"/>
        </w:rPr>
        <w:t xml:space="preserve"> extension.</w:t>
      </w:r>
    </w:p>
    <w:p w14:paraId="1257BE33" w14:textId="77777777" w:rsidR="00D64C92" w:rsidRDefault="00D64C92" w:rsidP="00916CEA">
      <w:pPr>
        <w:pStyle w:val="Paragrafoelenco3"/>
        <w:spacing w:line="360" w:lineRule="auto"/>
        <w:ind w:left="0"/>
        <w:jc w:val="both"/>
        <w:rPr>
          <w:rFonts w:asciiTheme="minorHAnsi" w:hAnsiTheme="minorHAnsi" w:cs="Arial"/>
          <w:sz w:val="20"/>
          <w:szCs w:val="20"/>
        </w:rPr>
      </w:pPr>
    </w:p>
    <w:p w14:paraId="3FA816A4" w14:textId="4D93E3E2" w:rsidR="003629F1" w:rsidRPr="00D64C92" w:rsidRDefault="00D64C92" w:rsidP="00D64C92">
      <w:pPr>
        <w:pStyle w:val="Caption"/>
        <w:rPr>
          <w:rFonts w:asciiTheme="minorHAnsi" w:hAnsiTheme="minorHAnsi" w:cstheme="minorHAnsi"/>
          <w:lang w:val="it-IT"/>
        </w:rPr>
      </w:pPr>
      <w:bookmarkStart w:id="169" w:name="Figura37"/>
      <w:bookmarkStart w:id="170" w:name="_Toc473186932"/>
      <w:bookmarkEnd w:id="169"/>
      <w:r w:rsidRPr="00D64C92">
        <w:rPr>
          <w:rFonts w:asciiTheme="minorHAnsi" w:hAnsiTheme="minorHAnsi" w:cstheme="minorHAnsi"/>
          <w:lang w:val="it-IT"/>
        </w:rPr>
        <w:t xml:space="preserve">Figura </w:t>
      </w:r>
      <w:r w:rsidRPr="00D64C92">
        <w:rPr>
          <w:rFonts w:asciiTheme="minorHAnsi" w:hAnsiTheme="minorHAnsi" w:cstheme="minorHAnsi"/>
        </w:rPr>
        <w:fldChar w:fldCharType="begin"/>
      </w:r>
      <w:r w:rsidRPr="00D64C92">
        <w:rPr>
          <w:rFonts w:asciiTheme="minorHAnsi" w:hAnsiTheme="minorHAnsi" w:cstheme="minorHAnsi"/>
          <w:lang w:val="it-IT"/>
        </w:rPr>
        <w:instrText xml:space="preserve"> SEQ Figura \* ARABIC </w:instrText>
      </w:r>
      <w:r w:rsidRPr="00D64C92">
        <w:rPr>
          <w:rFonts w:asciiTheme="minorHAnsi" w:hAnsiTheme="minorHAnsi" w:cstheme="minorHAnsi"/>
        </w:rPr>
        <w:fldChar w:fldCharType="separate"/>
      </w:r>
      <w:r w:rsidR="00A1679C">
        <w:rPr>
          <w:rFonts w:asciiTheme="minorHAnsi" w:hAnsiTheme="minorHAnsi" w:cstheme="minorHAnsi"/>
          <w:noProof/>
          <w:lang w:val="it-IT"/>
        </w:rPr>
        <w:t>37</w:t>
      </w:r>
      <w:r w:rsidRPr="00D64C92">
        <w:rPr>
          <w:rFonts w:asciiTheme="minorHAnsi" w:hAnsiTheme="minorHAnsi" w:cstheme="minorHAnsi"/>
        </w:rPr>
        <w:fldChar w:fldCharType="end"/>
      </w:r>
      <w:r w:rsidRPr="00D64C92">
        <w:rPr>
          <w:rFonts w:asciiTheme="minorHAnsi" w:hAnsiTheme="minorHAnsi" w:cstheme="minorHAnsi"/>
          <w:lang w:val="it-IT"/>
        </w:rPr>
        <w:t xml:space="preserve"> - </w:t>
      </w:r>
      <w:r w:rsidR="003629F1" w:rsidRPr="00D64C92">
        <w:rPr>
          <w:rFonts w:asciiTheme="minorHAnsi" w:hAnsiTheme="minorHAnsi" w:cstheme="minorHAnsi"/>
          <w:lang w:val="it-IT"/>
        </w:rPr>
        <w:t>Disegno dello studio CLEAR extension</w:t>
      </w:r>
      <w:r w:rsidR="008C3185">
        <w:rPr>
          <w:rFonts w:asciiTheme="minorHAnsi" w:hAnsiTheme="minorHAnsi" w:cstheme="minorHAnsi"/>
          <w:lang w:val="it-IT"/>
        </w:rPr>
        <w:t xml:space="preserve"> (</w:t>
      </w:r>
      <w:r w:rsidR="00244086">
        <w:rPr>
          <w:rFonts w:asciiTheme="minorHAnsi" w:hAnsiTheme="minorHAnsi" w:cstheme="minorHAnsi"/>
          <w:color w:val="0000FF"/>
          <w:lang w:val="it-IT"/>
        </w:rPr>
        <w:t>Saag, 2016 (143)</w:t>
      </w:r>
      <w:r w:rsidR="008C3185">
        <w:rPr>
          <w:rFonts w:asciiTheme="minorHAnsi" w:hAnsiTheme="minorHAnsi" w:cstheme="minorHAnsi"/>
          <w:lang w:val="it-IT"/>
        </w:rPr>
        <w:t>)</w:t>
      </w:r>
      <w:bookmarkEnd w:id="170"/>
    </w:p>
    <w:p w14:paraId="5EF85C3E" w14:textId="78F7A51D" w:rsidR="003629F1" w:rsidRDefault="003629F1" w:rsidP="00916CEA">
      <w:pPr>
        <w:pStyle w:val="Paragrafoelenco3"/>
        <w:spacing w:line="360" w:lineRule="auto"/>
        <w:ind w:left="0"/>
        <w:jc w:val="both"/>
        <w:rPr>
          <w:rFonts w:asciiTheme="minorHAnsi" w:hAnsiTheme="minorHAnsi" w:cs="Arial"/>
          <w:sz w:val="20"/>
          <w:szCs w:val="20"/>
        </w:rPr>
      </w:pPr>
      <w:r>
        <w:rPr>
          <w:noProof/>
          <w:lang w:val="en-GB" w:eastAsia="en-GB"/>
        </w:rPr>
        <w:drawing>
          <wp:inline distT="0" distB="0" distL="0" distR="0" wp14:anchorId="4F864DA2" wp14:editId="7DC8C1F1">
            <wp:extent cx="4527550" cy="3426467"/>
            <wp:effectExtent l="19050" t="19050" r="25400" b="2159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30159" cy="3428441"/>
                    </a:xfrm>
                    <a:prstGeom prst="rect">
                      <a:avLst/>
                    </a:prstGeom>
                    <a:noFill/>
                    <a:ln w="12700" cmpd="sng">
                      <a:solidFill>
                        <a:srgbClr val="000000"/>
                      </a:solidFill>
                      <a:miter lim="800000"/>
                      <a:headEnd/>
                      <a:tailEnd/>
                    </a:ln>
                    <a:effectLst/>
                  </pic:spPr>
                </pic:pic>
              </a:graphicData>
            </a:graphic>
          </wp:inline>
        </w:drawing>
      </w:r>
    </w:p>
    <w:p w14:paraId="0191F816" w14:textId="77777777" w:rsidR="001E7F7F" w:rsidRDefault="001E7F7F" w:rsidP="00825BD3">
      <w:pPr>
        <w:pStyle w:val="Paragrafoelenco3"/>
        <w:numPr>
          <w:ilvl w:val="0"/>
          <w:numId w:val="30"/>
        </w:numPr>
        <w:spacing w:line="360" w:lineRule="auto"/>
        <w:rPr>
          <w:rFonts w:asciiTheme="minorHAnsi" w:hAnsiTheme="minorHAnsi" w:cs="Arial"/>
          <w:sz w:val="20"/>
          <w:szCs w:val="20"/>
        </w:rPr>
      </w:pPr>
      <w:r w:rsidRPr="001E7F7F">
        <w:rPr>
          <w:rFonts w:asciiTheme="minorHAnsi" w:hAnsiTheme="minorHAnsi" w:cs="Arial"/>
          <w:sz w:val="20"/>
          <w:szCs w:val="20"/>
        </w:rPr>
        <w:t>I pazienti che avevano completato lo studio CLEAR-1 o CLEAR-2 nel braccio PBO+ALLO sono stati arruolati nello studio CLEAR extension e randomizzati in rapporto 1:1 a ricevere LESU200 + ALLO (200CROSS) o LESU400 + ALLO (400CROSS).</w:t>
      </w:r>
    </w:p>
    <w:p w14:paraId="6A569E8C" w14:textId="51FBEFE7" w:rsidR="001E7F7F" w:rsidRPr="001E7F7F" w:rsidRDefault="001E7F7F" w:rsidP="00825BD3">
      <w:pPr>
        <w:pStyle w:val="Paragrafoelenco3"/>
        <w:numPr>
          <w:ilvl w:val="0"/>
          <w:numId w:val="30"/>
        </w:numPr>
        <w:spacing w:line="360" w:lineRule="auto"/>
        <w:rPr>
          <w:rFonts w:asciiTheme="minorHAnsi" w:hAnsiTheme="minorHAnsi" w:cs="Arial"/>
          <w:sz w:val="20"/>
          <w:szCs w:val="20"/>
        </w:rPr>
      </w:pPr>
      <w:r w:rsidRPr="001E7F7F">
        <w:rPr>
          <w:rFonts w:asciiTheme="minorHAnsi" w:hAnsiTheme="minorHAnsi" w:cs="Arial"/>
          <w:sz w:val="20"/>
          <w:szCs w:val="20"/>
        </w:rPr>
        <w:t>I pazienti che avevano completato lo studio CLEAR-1 o CLEAR-2 nel braccio LESU200+ALLO oppure LESU400+ALLO hanno continuato la loro terapia nello studio CLEAR extension e mantenuti nello stesso gruppo di randomizzazione LESU200 + ALLO (200CONT) o LESU400 + ALLO (400CONT).</w:t>
      </w:r>
    </w:p>
    <w:p w14:paraId="12AFF932" w14:textId="77777777" w:rsidR="00916CEA" w:rsidRDefault="00916CEA" w:rsidP="000210A2">
      <w:pPr>
        <w:pStyle w:val="Paragrafoelenco3"/>
        <w:spacing w:line="360" w:lineRule="auto"/>
        <w:ind w:left="0"/>
        <w:rPr>
          <w:rFonts w:asciiTheme="minorHAnsi" w:hAnsiTheme="minorHAnsi" w:cs="Arial"/>
          <w:sz w:val="20"/>
          <w:szCs w:val="20"/>
        </w:rPr>
      </w:pPr>
    </w:p>
    <w:p w14:paraId="4124973A" w14:textId="77777777" w:rsidR="002459CA" w:rsidRDefault="001E7F7F" w:rsidP="000210A2">
      <w:pPr>
        <w:pStyle w:val="Paragrafoelenco3"/>
        <w:spacing w:line="360" w:lineRule="auto"/>
        <w:ind w:left="0"/>
        <w:rPr>
          <w:rFonts w:asciiTheme="minorHAnsi" w:hAnsiTheme="minorHAnsi" w:cs="Arial"/>
          <w:sz w:val="20"/>
          <w:szCs w:val="20"/>
        </w:rPr>
      </w:pPr>
      <w:r w:rsidRPr="001E7F7F">
        <w:rPr>
          <w:rFonts w:asciiTheme="minorHAnsi" w:hAnsiTheme="minorHAnsi" w:cs="Arial"/>
          <w:sz w:val="20"/>
          <w:szCs w:val="20"/>
        </w:rPr>
        <w:t>Tutti i pazienti hanno ricevuto una profilassi per l’attacco acuto di gotta (con colchicina o FANS) per i primi 2 mesi e</w:t>
      </w:r>
      <w:r w:rsidR="001F11D8">
        <w:rPr>
          <w:rFonts w:asciiTheme="minorHAnsi" w:hAnsiTheme="minorHAnsi" w:cs="Arial"/>
          <w:sz w:val="20"/>
          <w:szCs w:val="20"/>
        </w:rPr>
        <w:t>, a discrezione</w:t>
      </w:r>
      <w:r w:rsidR="006B03C5">
        <w:rPr>
          <w:rFonts w:asciiTheme="minorHAnsi" w:hAnsiTheme="minorHAnsi" w:cs="Arial"/>
          <w:sz w:val="20"/>
          <w:szCs w:val="20"/>
        </w:rPr>
        <w:t xml:space="preserve"> dello sperimentatore</w:t>
      </w:r>
      <w:r w:rsidR="001F11D8">
        <w:rPr>
          <w:rFonts w:asciiTheme="minorHAnsi" w:hAnsiTheme="minorHAnsi" w:cs="Arial"/>
          <w:sz w:val="20"/>
          <w:szCs w:val="20"/>
        </w:rPr>
        <w:t>,</w:t>
      </w:r>
      <w:r w:rsidRPr="001E7F7F">
        <w:rPr>
          <w:rFonts w:asciiTheme="minorHAnsi" w:hAnsiTheme="minorHAnsi" w:cs="Arial"/>
          <w:sz w:val="20"/>
          <w:szCs w:val="20"/>
        </w:rPr>
        <w:t xml:space="preserve"> </w:t>
      </w:r>
      <w:r w:rsidR="001F11D8">
        <w:rPr>
          <w:rFonts w:asciiTheme="minorHAnsi" w:hAnsiTheme="minorHAnsi" w:cs="Arial"/>
          <w:sz w:val="20"/>
          <w:szCs w:val="20"/>
        </w:rPr>
        <w:t>fino a un massimo</w:t>
      </w:r>
      <w:r w:rsidRPr="001E7F7F">
        <w:rPr>
          <w:rFonts w:asciiTheme="minorHAnsi" w:hAnsiTheme="minorHAnsi" w:cs="Arial"/>
          <w:sz w:val="20"/>
          <w:szCs w:val="20"/>
        </w:rPr>
        <w:t xml:space="preserve"> di 6 mesi. </w:t>
      </w:r>
      <w:r w:rsidR="002459CA">
        <w:rPr>
          <w:rFonts w:asciiTheme="minorHAnsi" w:hAnsiTheme="minorHAnsi" w:cs="Arial"/>
          <w:sz w:val="20"/>
          <w:szCs w:val="20"/>
        </w:rPr>
        <w:t xml:space="preserve">La prima valutazione dei dati di efficacia </w:t>
      </w:r>
      <w:r w:rsidR="002459CA" w:rsidRPr="001E7F7F">
        <w:rPr>
          <w:rFonts w:asciiTheme="minorHAnsi" w:hAnsiTheme="minorHAnsi" w:cs="Arial"/>
          <w:sz w:val="20"/>
          <w:szCs w:val="20"/>
        </w:rPr>
        <w:t>è stat</w:t>
      </w:r>
      <w:r w:rsidR="002459CA">
        <w:rPr>
          <w:rFonts w:asciiTheme="minorHAnsi" w:hAnsiTheme="minorHAnsi" w:cs="Arial"/>
          <w:sz w:val="20"/>
          <w:szCs w:val="20"/>
        </w:rPr>
        <w:t>a</w:t>
      </w:r>
      <w:r w:rsidR="002459CA" w:rsidRPr="001E7F7F">
        <w:rPr>
          <w:rFonts w:asciiTheme="minorHAnsi" w:hAnsiTheme="minorHAnsi" w:cs="Arial"/>
          <w:sz w:val="20"/>
          <w:szCs w:val="20"/>
        </w:rPr>
        <w:t xml:space="preserve"> </w:t>
      </w:r>
      <w:r w:rsidR="002459CA">
        <w:rPr>
          <w:rFonts w:asciiTheme="minorHAnsi" w:hAnsiTheme="minorHAnsi" w:cs="Arial"/>
          <w:sz w:val="20"/>
          <w:szCs w:val="20"/>
        </w:rPr>
        <w:t xml:space="preserve">effettuata al </w:t>
      </w:r>
      <w:r w:rsidR="002459CA" w:rsidRPr="001E7F7F">
        <w:rPr>
          <w:rFonts w:asciiTheme="minorHAnsi" w:hAnsiTheme="minorHAnsi" w:cs="Arial"/>
          <w:sz w:val="20"/>
          <w:szCs w:val="20"/>
        </w:rPr>
        <w:t>completamento di 1 anno di trattamento per ogni paziente.</w:t>
      </w:r>
    </w:p>
    <w:p w14:paraId="47C0461B" w14:textId="1516F426" w:rsidR="001E7F7F" w:rsidRPr="001E7F7F" w:rsidRDefault="002459CA" w:rsidP="000210A2">
      <w:pPr>
        <w:pStyle w:val="Paragrafoelenco3"/>
        <w:spacing w:line="360" w:lineRule="auto"/>
        <w:ind w:left="0"/>
        <w:rPr>
          <w:rFonts w:asciiTheme="minorHAnsi" w:hAnsiTheme="minorHAnsi" w:cs="Arial"/>
          <w:sz w:val="20"/>
          <w:szCs w:val="20"/>
        </w:rPr>
      </w:pPr>
      <w:r>
        <w:rPr>
          <w:rFonts w:asciiTheme="minorHAnsi" w:hAnsiTheme="minorHAnsi" w:cs="Arial"/>
          <w:sz w:val="20"/>
          <w:szCs w:val="20"/>
        </w:rPr>
        <w:t xml:space="preserve">La valutazione dei dati di </w:t>
      </w:r>
      <w:r w:rsidR="003626FF">
        <w:rPr>
          <w:rFonts w:asciiTheme="minorHAnsi" w:hAnsiTheme="minorHAnsi" w:cs="Arial"/>
          <w:sz w:val="20"/>
          <w:szCs w:val="20"/>
        </w:rPr>
        <w:t>sicurezz</w:t>
      </w:r>
      <w:r>
        <w:rPr>
          <w:rFonts w:asciiTheme="minorHAnsi" w:hAnsiTheme="minorHAnsi" w:cs="Arial"/>
          <w:sz w:val="20"/>
          <w:szCs w:val="20"/>
        </w:rPr>
        <w:t xml:space="preserve">a è stata effettuata a circa un anno dall’inizio dello studio 306 e ripetuta al completamento di </w:t>
      </w:r>
      <w:r w:rsidRPr="001E7F7F">
        <w:rPr>
          <w:rFonts w:asciiTheme="minorHAnsi" w:hAnsiTheme="minorHAnsi" w:cs="Arial"/>
          <w:sz w:val="20"/>
          <w:szCs w:val="20"/>
        </w:rPr>
        <w:t>1 anno di trattamento per ogni paziente</w:t>
      </w:r>
      <w:r w:rsidR="001E7F7F" w:rsidRPr="001E7F7F">
        <w:rPr>
          <w:rFonts w:asciiTheme="minorHAnsi" w:hAnsiTheme="minorHAnsi" w:cs="Arial"/>
          <w:sz w:val="20"/>
          <w:szCs w:val="20"/>
        </w:rPr>
        <w:t xml:space="preserve">. </w:t>
      </w:r>
    </w:p>
    <w:p w14:paraId="08E00CC7" w14:textId="77777777" w:rsidR="00FE43E3" w:rsidRPr="00221759" w:rsidRDefault="00FE43E3" w:rsidP="000210A2">
      <w:pPr>
        <w:spacing w:line="360" w:lineRule="auto"/>
        <w:rPr>
          <w:rFonts w:eastAsia="Times New Roman" w:cs="Arial"/>
          <w:color w:val="222222"/>
          <w:sz w:val="20"/>
          <w:szCs w:val="20"/>
        </w:rPr>
      </w:pPr>
    </w:p>
    <w:p w14:paraId="6D686E11" w14:textId="77777777" w:rsidR="00D30985" w:rsidRPr="00221759" w:rsidRDefault="00122D69" w:rsidP="00825BD3">
      <w:pPr>
        <w:numPr>
          <w:ilvl w:val="1"/>
          <w:numId w:val="13"/>
        </w:numPr>
        <w:spacing w:line="360" w:lineRule="auto"/>
        <w:ind w:left="709"/>
        <w:rPr>
          <w:rFonts w:cs="Arial"/>
          <w:sz w:val="20"/>
          <w:szCs w:val="20"/>
          <w:u w:val="single"/>
        </w:rPr>
      </w:pPr>
      <w:r w:rsidRPr="00221759">
        <w:rPr>
          <w:rFonts w:cs="Arial"/>
          <w:sz w:val="20"/>
          <w:szCs w:val="20"/>
          <w:u w:val="single"/>
        </w:rPr>
        <w:t>Sponsorizzazione</w:t>
      </w:r>
    </w:p>
    <w:p w14:paraId="4DF4B50F" w14:textId="1AB4EE5B" w:rsidR="00122D69" w:rsidRPr="00221759" w:rsidRDefault="00122D69" w:rsidP="000210A2">
      <w:pPr>
        <w:tabs>
          <w:tab w:val="left" w:pos="1800"/>
          <w:tab w:val="left" w:pos="1920"/>
          <w:tab w:val="left" w:pos="2040"/>
          <w:tab w:val="left" w:pos="2160"/>
          <w:tab w:val="left" w:pos="2280"/>
          <w:tab w:val="left" w:pos="2400"/>
          <w:tab w:val="left" w:pos="2520"/>
          <w:tab w:val="left" w:pos="2640"/>
          <w:tab w:val="left" w:pos="2760"/>
          <w:tab w:val="left" w:pos="3240"/>
          <w:tab w:val="left" w:pos="3360"/>
          <w:tab w:val="left" w:pos="3480"/>
          <w:tab w:val="left" w:pos="3600"/>
          <w:tab w:val="left" w:pos="4560"/>
          <w:tab w:val="left" w:pos="5520"/>
          <w:tab w:val="left" w:pos="6480"/>
          <w:tab w:val="left" w:pos="7440"/>
          <w:tab w:val="left" w:pos="8400"/>
          <w:tab w:val="left" w:pos="9360"/>
          <w:tab w:val="left" w:pos="10320"/>
          <w:tab w:val="left" w:pos="11280"/>
          <w:tab w:val="left" w:pos="12240"/>
          <w:tab w:val="left" w:pos="13200"/>
          <w:tab w:val="left" w:pos="14160"/>
          <w:tab w:val="left" w:pos="15120"/>
          <w:tab w:val="left" w:pos="16080"/>
          <w:tab w:val="left" w:pos="17040"/>
          <w:tab w:val="left" w:pos="18000"/>
          <w:tab w:val="left" w:pos="18960"/>
          <w:tab w:val="left" w:pos="19246"/>
          <w:tab w:val="left" w:pos="19920"/>
          <w:tab w:val="left" w:pos="20507"/>
          <w:tab w:val="left" w:pos="20856"/>
          <w:tab w:val="left" w:pos="21840"/>
          <w:tab w:val="left" w:pos="22800"/>
          <w:tab w:val="left" w:pos="23760"/>
          <w:tab w:val="left" w:pos="24720"/>
        </w:tabs>
        <w:spacing w:line="300" w:lineRule="atLeast"/>
        <w:rPr>
          <w:rFonts w:eastAsia="Times New Roman" w:cs="Arial"/>
          <w:color w:val="222222"/>
          <w:sz w:val="20"/>
          <w:szCs w:val="20"/>
        </w:rPr>
      </w:pPr>
      <w:r w:rsidRPr="00221759">
        <w:rPr>
          <w:rFonts w:eastAsia="Times New Roman" w:cs="Arial"/>
          <w:color w:val="222222"/>
          <w:sz w:val="20"/>
          <w:szCs w:val="20"/>
        </w:rPr>
        <w:t>A</w:t>
      </w:r>
      <w:r w:rsidR="00916CEA">
        <w:rPr>
          <w:rFonts w:eastAsia="Times New Roman" w:cs="Arial"/>
          <w:color w:val="222222"/>
          <w:sz w:val="20"/>
          <w:szCs w:val="20"/>
        </w:rPr>
        <w:t>straZeneca</w:t>
      </w:r>
    </w:p>
    <w:p w14:paraId="3FD2D305" w14:textId="77777777" w:rsidR="00D30985" w:rsidRPr="00FE43E3" w:rsidRDefault="00D30985" w:rsidP="000210A2">
      <w:pPr>
        <w:spacing w:line="360" w:lineRule="auto"/>
        <w:rPr>
          <w:rFonts w:eastAsia="Times New Roman" w:cs="Arial"/>
          <w:color w:val="222222"/>
          <w:sz w:val="20"/>
          <w:szCs w:val="20"/>
        </w:rPr>
      </w:pPr>
    </w:p>
    <w:p w14:paraId="15F6471A" w14:textId="77777777" w:rsidR="00122D69" w:rsidRPr="00221759" w:rsidRDefault="00122D69" w:rsidP="00825BD3">
      <w:pPr>
        <w:numPr>
          <w:ilvl w:val="1"/>
          <w:numId w:val="13"/>
        </w:numPr>
        <w:spacing w:line="360" w:lineRule="auto"/>
        <w:ind w:left="709"/>
        <w:rPr>
          <w:rFonts w:cs="Arial"/>
          <w:sz w:val="20"/>
          <w:szCs w:val="20"/>
          <w:u w:val="single"/>
        </w:rPr>
      </w:pPr>
      <w:r w:rsidRPr="00221759">
        <w:rPr>
          <w:rFonts w:cs="Arial"/>
          <w:sz w:val="20"/>
          <w:szCs w:val="20"/>
          <w:u w:val="single"/>
        </w:rPr>
        <w:t>Regime terapeutico in studio e regime terapeutico di confronto</w:t>
      </w:r>
    </w:p>
    <w:p w14:paraId="4338C9CB" w14:textId="77777777" w:rsidR="00916CEA" w:rsidRPr="00916CEA" w:rsidRDefault="00916CEA" w:rsidP="000210A2">
      <w:pPr>
        <w:pStyle w:val="Paragrafoelenco3"/>
        <w:spacing w:line="360" w:lineRule="auto"/>
        <w:ind w:left="0"/>
        <w:rPr>
          <w:rFonts w:asciiTheme="minorHAnsi" w:hAnsiTheme="minorHAnsi" w:cs="Arial"/>
          <w:sz w:val="20"/>
          <w:szCs w:val="20"/>
        </w:rPr>
      </w:pPr>
      <w:r w:rsidRPr="00916CEA">
        <w:rPr>
          <w:rFonts w:asciiTheme="minorHAnsi" w:hAnsiTheme="minorHAnsi" w:cs="Arial"/>
          <w:sz w:val="20"/>
          <w:szCs w:val="20"/>
        </w:rPr>
        <w:t>Nello studio CLEAR extension i pazienti eleggibili sono randomizzati nei seguenti bracci di trattamento:</w:t>
      </w:r>
    </w:p>
    <w:p w14:paraId="74A25931" w14:textId="77777777" w:rsidR="00916CEA" w:rsidRPr="00916CEA" w:rsidRDefault="00916CEA" w:rsidP="00825BD3">
      <w:pPr>
        <w:pStyle w:val="Paragrafoelenco3"/>
        <w:numPr>
          <w:ilvl w:val="0"/>
          <w:numId w:val="25"/>
        </w:numPr>
        <w:spacing w:line="360" w:lineRule="auto"/>
        <w:rPr>
          <w:rFonts w:asciiTheme="minorHAnsi" w:hAnsiTheme="minorHAnsi" w:cs="Arial"/>
          <w:sz w:val="20"/>
          <w:szCs w:val="20"/>
        </w:rPr>
      </w:pPr>
      <w:r w:rsidRPr="00916CEA">
        <w:rPr>
          <w:rFonts w:asciiTheme="minorHAnsi" w:hAnsiTheme="minorHAnsi" w:cs="Arial"/>
          <w:b/>
          <w:sz w:val="20"/>
          <w:szCs w:val="20"/>
        </w:rPr>
        <w:t>LESU200CROSS:</w:t>
      </w:r>
      <w:r w:rsidRPr="00916CEA">
        <w:rPr>
          <w:rFonts w:asciiTheme="minorHAnsi" w:hAnsiTheme="minorHAnsi" w:cs="Arial"/>
          <w:sz w:val="20"/>
          <w:szCs w:val="20"/>
        </w:rPr>
        <w:t xml:space="preserve"> pazienti provenienti dal braccio PBO+ALLO dello studio CLEAR (1 o2) e passati a LESU200+ALLO</w:t>
      </w:r>
    </w:p>
    <w:p w14:paraId="1344B4F3" w14:textId="77777777" w:rsidR="00916CEA" w:rsidRPr="00916CEA" w:rsidRDefault="00916CEA" w:rsidP="00825BD3">
      <w:pPr>
        <w:pStyle w:val="Paragrafoelenco3"/>
        <w:numPr>
          <w:ilvl w:val="0"/>
          <w:numId w:val="25"/>
        </w:numPr>
        <w:spacing w:line="360" w:lineRule="auto"/>
        <w:rPr>
          <w:rFonts w:asciiTheme="minorHAnsi" w:hAnsiTheme="minorHAnsi" w:cs="Arial"/>
          <w:sz w:val="20"/>
          <w:szCs w:val="20"/>
        </w:rPr>
      </w:pPr>
      <w:r w:rsidRPr="00916CEA">
        <w:rPr>
          <w:rFonts w:asciiTheme="minorHAnsi" w:hAnsiTheme="minorHAnsi" w:cs="Arial"/>
          <w:b/>
          <w:sz w:val="20"/>
          <w:szCs w:val="20"/>
        </w:rPr>
        <w:t>LESU400CROSS:</w:t>
      </w:r>
      <w:r w:rsidRPr="00916CEA">
        <w:rPr>
          <w:rFonts w:asciiTheme="minorHAnsi" w:hAnsiTheme="minorHAnsi" w:cs="Arial"/>
          <w:sz w:val="20"/>
          <w:szCs w:val="20"/>
        </w:rPr>
        <w:t xml:space="preserve"> pazienti provenienti dal braccio PBO+ALLO dello studio CLEAR (1 o2) e passati a LESU400+ALLO</w:t>
      </w:r>
    </w:p>
    <w:p w14:paraId="4DDE8367" w14:textId="77777777" w:rsidR="00916CEA" w:rsidRPr="00916CEA" w:rsidRDefault="00916CEA" w:rsidP="00825BD3">
      <w:pPr>
        <w:pStyle w:val="Paragrafoelenco3"/>
        <w:numPr>
          <w:ilvl w:val="0"/>
          <w:numId w:val="25"/>
        </w:numPr>
        <w:spacing w:line="360" w:lineRule="auto"/>
        <w:rPr>
          <w:rFonts w:asciiTheme="minorHAnsi" w:hAnsiTheme="minorHAnsi" w:cs="Arial"/>
          <w:sz w:val="20"/>
          <w:szCs w:val="20"/>
        </w:rPr>
      </w:pPr>
      <w:r w:rsidRPr="00916CEA">
        <w:rPr>
          <w:rFonts w:asciiTheme="minorHAnsi" w:hAnsiTheme="minorHAnsi" w:cs="Arial"/>
          <w:b/>
          <w:sz w:val="20"/>
          <w:szCs w:val="20"/>
        </w:rPr>
        <w:t>LESU200CONT:</w:t>
      </w:r>
      <w:r w:rsidRPr="00916CEA">
        <w:rPr>
          <w:rFonts w:asciiTheme="minorHAnsi" w:hAnsiTheme="minorHAnsi" w:cs="Arial"/>
          <w:sz w:val="20"/>
          <w:szCs w:val="20"/>
        </w:rPr>
        <w:t xml:space="preserve"> pazienti provenienti dal braccio LESU200+ALLO dello studio CLEAR (1 o2) e rimasti in LESU200+ALLO</w:t>
      </w:r>
    </w:p>
    <w:p w14:paraId="6C63D7F0" w14:textId="77777777" w:rsidR="00916CEA" w:rsidRPr="00916CEA" w:rsidRDefault="00916CEA" w:rsidP="00825BD3">
      <w:pPr>
        <w:pStyle w:val="Paragrafoelenco3"/>
        <w:numPr>
          <w:ilvl w:val="0"/>
          <w:numId w:val="25"/>
        </w:numPr>
        <w:spacing w:line="360" w:lineRule="auto"/>
        <w:rPr>
          <w:rFonts w:asciiTheme="minorHAnsi" w:hAnsiTheme="minorHAnsi" w:cs="Arial"/>
          <w:sz w:val="20"/>
          <w:szCs w:val="20"/>
        </w:rPr>
      </w:pPr>
      <w:r w:rsidRPr="00916CEA">
        <w:rPr>
          <w:rFonts w:asciiTheme="minorHAnsi" w:hAnsiTheme="minorHAnsi" w:cs="Arial"/>
          <w:b/>
          <w:sz w:val="20"/>
          <w:szCs w:val="20"/>
        </w:rPr>
        <w:t>LESU400CONT:</w:t>
      </w:r>
      <w:r w:rsidRPr="00916CEA">
        <w:rPr>
          <w:rFonts w:asciiTheme="minorHAnsi" w:hAnsiTheme="minorHAnsi" w:cs="Arial"/>
          <w:sz w:val="20"/>
          <w:szCs w:val="20"/>
        </w:rPr>
        <w:t xml:space="preserve"> pazienti provenienti dal braccio LESU400+ALLO dello studio CLEAR (1 o2) e rimasti in LESU400+ALLO</w:t>
      </w:r>
    </w:p>
    <w:p w14:paraId="4D600401" w14:textId="77777777" w:rsidR="00916CEA" w:rsidRPr="00916CEA" w:rsidRDefault="00916CEA" w:rsidP="000210A2">
      <w:pPr>
        <w:pStyle w:val="Paragrafoelenco3"/>
        <w:spacing w:line="360" w:lineRule="auto"/>
        <w:ind w:left="0"/>
        <w:rPr>
          <w:rFonts w:asciiTheme="minorHAnsi" w:hAnsiTheme="minorHAnsi" w:cs="Arial"/>
          <w:sz w:val="20"/>
          <w:szCs w:val="20"/>
        </w:rPr>
      </w:pPr>
      <w:r w:rsidRPr="00916CEA">
        <w:rPr>
          <w:rFonts w:asciiTheme="minorHAnsi" w:hAnsiTheme="minorHAnsi" w:cs="Arial"/>
          <w:sz w:val="20"/>
          <w:szCs w:val="20"/>
        </w:rPr>
        <w:t xml:space="preserve">Negli studi CLEAR l’efficacia e la sicurezza di lesinurad sono state valutate a due diversi dosaggi di lesinurad, 200 mg e 400 mg: </w:t>
      </w:r>
      <w:r w:rsidRPr="00916CEA">
        <w:rPr>
          <w:rFonts w:asciiTheme="minorHAnsi" w:hAnsiTheme="minorHAnsi" w:cs="Arial"/>
          <w:b/>
          <w:sz w:val="20"/>
          <w:szCs w:val="20"/>
        </w:rPr>
        <w:t>i risultati di seguito riportati fanno riferimento esclusivamente alla coorte di pazienti che hanno ricevuto lesinurad alla dose di 200 mg/die, approvata da EMA.</w:t>
      </w:r>
    </w:p>
    <w:p w14:paraId="6C9AB051" w14:textId="77777777" w:rsidR="00D30985" w:rsidRPr="00FE43E3" w:rsidRDefault="00D30985" w:rsidP="000210A2">
      <w:pPr>
        <w:spacing w:line="360" w:lineRule="auto"/>
        <w:rPr>
          <w:rFonts w:eastAsia="Times New Roman" w:cs="Arial"/>
          <w:color w:val="222222"/>
          <w:sz w:val="20"/>
          <w:szCs w:val="20"/>
        </w:rPr>
      </w:pPr>
    </w:p>
    <w:p w14:paraId="056B09BE" w14:textId="77777777" w:rsidR="00122D69" w:rsidRPr="000E64E1" w:rsidRDefault="00122D69" w:rsidP="00825BD3">
      <w:pPr>
        <w:numPr>
          <w:ilvl w:val="1"/>
          <w:numId w:val="13"/>
        </w:numPr>
        <w:spacing w:line="360" w:lineRule="auto"/>
        <w:ind w:left="709"/>
        <w:rPr>
          <w:rFonts w:cs="Arial"/>
          <w:sz w:val="20"/>
          <w:szCs w:val="20"/>
          <w:u w:val="single"/>
        </w:rPr>
      </w:pPr>
      <w:r w:rsidRPr="00221759">
        <w:rPr>
          <w:rFonts w:cs="Arial"/>
          <w:sz w:val="20"/>
          <w:szCs w:val="20"/>
          <w:u w:val="single"/>
        </w:rPr>
        <w:t>Durata del trattamento e del follow-up</w:t>
      </w:r>
    </w:p>
    <w:p w14:paraId="64DF219A" w14:textId="4F70BCE5" w:rsidR="00916CEA" w:rsidRPr="00916CEA" w:rsidRDefault="00452039" w:rsidP="000210A2">
      <w:pPr>
        <w:spacing w:line="360" w:lineRule="auto"/>
        <w:rPr>
          <w:rFonts w:eastAsia="Times New Roman" w:cs="Arial"/>
          <w:color w:val="222222"/>
          <w:sz w:val="20"/>
          <w:szCs w:val="20"/>
        </w:rPr>
      </w:pPr>
      <w:r w:rsidRPr="00452039">
        <w:rPr>
          <w:rFonts w:eastAsia="Times New Roman" w:cs="Arial"/>
          <w:color w:val="222222"/>
          <w:sz w:val="20"/>
          <w:szCs w:val="20"/>
        </w:rPr>
        <w:t>Fino a 52 mesi</w:t>
      </w:r>
      <w:r>
        <w:rPr>
          <w:rFonts w:eastAsia="Times New Roman" w:cs="Arial"/>
          <w:color w:val="222222"/>
          <w:sz w:val="20"/>
          <w:szCs w:val="20"/>
        </w:rPr>
        <w:t xml:space="preserve"> di trattamento</w:t>
      </w:r>
      <w:r w:rsidRPr="00452039">
        <w:rPr>
          <w:rFonts w:eastAsia="Times New Roman" w:cs="Arial"/>
          <w:color w:val="222222"/>
          <w:sz w:val="20"/>
          <w:szCs w:val="20"/>
        </w:rPr>
        <w:t>, com</w:t>
      </w:r>
      <w:r>
        <w:rPr>
          <w:rFonts w:eastAsia="Times New Roman" w:cs="Arial"/>
          <w:color w:val="222222"/>
          <w:sz w:val="20"/>
          <w:szCs w:val="20"/>
        </w:rPr>
        <w:t>p</w:t>
      </w:r>
      <w:r w:rsidRPr="00452039">
        <w:rPr>
          <w:rFonts w:eastAsia="Times New Roman" w:cs="Arial"/>
          <w:color w:val="222222"/>
          <w:sz w:val="20"/>
          <w:szCs w:val="20"/>
        </w:rPr>
        <w:t>renden</w:t>
      </w:r>
      <w:r>
        <w:rPr>
          <w:rFonts w:eastAsia="Times New Roman" w:cs="Arial"/>
          <w:color w:val="222222"/>
          <w:sz w:val="20"/>
          <w:szCs w:val="20"/>
        </w:rPr>
        <w:t>d</w:t>
      </w:r>
      <w:r w:rsidRPr="00452039">
        <w:rPr>
          <w:rFonts w:eastAsia="Times New Roman" w:cs="Arial"/>
          <w:color w:val="222222"/>
          <w:sz w:val="20"/>
          <w:szCs w:val="20"/>
        </w:rPr>
        <w:t>o i 12 mesi degli studi core 301 e 302</w:t>
      </w:r>
      <w:r w:rsidR="006834F4" w:rsidRPr="00452039">
        <w:rPr>
          <w:rFonts w:eastAsia="Times New Roman" w:cs="Arial"/>
          <w:color w:val="222222"/>
          <w:sz w:val="20"/>
          <w:szCs w:val="20"/>
        </w:rPr>
        <w:t>.</w:t>
      </w:r>
      <w:r w:rsidR="006834F4">
        <w:rPr>
          <w:rFonts w:eastAsia="Times New Roman" w:cs="Arial"/>
          <w:color w:val="222222"/>
          <w:sz w:val="20"/>
          <w:szCs w:val="20"/>
        </w:rPr>
        <w:t xml:space="preserve"> </w:t>
      </w:r>
    </w:p>
    <w:p w14:paraId="0D3A7506" w14:textId="77777777" w:rsidR="00122D69" w:rsidRPr="00FE43E3" w:rsidRDefault="00122D69" w:rsidP="000210A2">
      <w:pPr>
        <w:spacing w:line="360" w:lineRule="auto"/>
        <w:rPr>
          <w:rFonts w:eastAsia="Times New Roman" w:cs="Arial"/>
          <w:color w:val="222222"/>
          <w:sz w:val="20"/>
          <w:szCs w:val="20"/>
        </w:rPr>
      </w:pPr>
    </w:p>
    <w:p w14:paraId="3AF5F735" w14:textId="564BFBF5" w:rsidR="008A4135" w:rsidRDefault="00122D69" w:rsidP="00825BD3">
      <w:pPr>
        <w:numPr>
          <w:ilvl w:val="1"/>
          <w:numId w:val="13"/>
        </w:numPr>
        <w:spacing w:line="360" w:lineRule="auto"/>
        <w:ind w:left="709"/>
        <w:rPr>
          <w:rFonts w:cs="Arial"/>
          <w:sz w:val="20"/>
          <w:szCs w:val="20"/>
          <w:u w:val="single"/>
        </w:rPr>
      </w:pPr>
      <w:r w:rsidRPr="00221759">
        <w:rPr>
          <w:rFonts w:cs="Arial"/>
          <w:sz w:val="20"/>
          <w:szCs w:val="20"/>
          <w:u w:val="single"/>
        </w:rPr>
        <w:t>Criteri di efficacia e di sicurezza –eventi misurati</w:t>
      </w:r>
    </w:p>
    <w:p w14:paraId="2EB92B22" w14:textId="284974CD" w:rsidR="0091141E" w:rsidRPr="001D1C53" w:rsidRDefault="0091141E" w:rsidP="000210A2">
      <w:pPr>
        <w:spacing w:line="360" w:lineRule="auto"/>
        <w:rPr>
          <w:rFonts w:cstheme="minorHAnsi"/>
          <w:b/>
          <w:color w:val="222222"/>
          <w:sz w:val="20"/>
          <w:szCs w:val="20"/>
          <w:lang w:val="en-US"/>
        </w:rPr>
      </w:pPr>
      <w:r w:rsidRPr="001D1C53">
        <w:rPr>
          <w:rFonts w:cstheme="minorHAnsi"/>
          <w:b/>
          <w:color w:val="222222"/>
          <w:sz w:val="20"/>
          <w:szCs w:val="20"/>
          <w:lang w:val="en-US"/>
        </w:rPr>
        <w:t>Endpoint Interim Analysis:</w:t>
      </w:r>
    </w:p>
    <w:p w14:paraId="25129D36" w14:textId="5625F80F" w:rsidR="0091141E" w:rsidRPr="001D1C53" w:rsidRDefault="0091141E" w:rsidP="000210A2">
      <w:pPr>
        <w:spacing w:line="360" w:lineRule="auto"/>
        <w:rPr>
          <w:rFonts w:cstheme="minorHAnsi"/>
          <w:color w:val="222222"/>
          <w:sz w:val="20"/>
          <w:szCs w:val="20"/>
          <w:lang w:val="en-US"/>
        </w:rPr>
      </w:pPr>
      <w:r w:rsidRPr="001D1C53">
        <w:rPr>
          <w:rFonts w:cstheme="minorHAnsi"/>
          <w:color w:val="222222"/>
          <w:sz w:val="20"/>
          <w:szCs w:val="20"/>
          <w:lang w:val="en-US"/>
        </w:rPr>
        <w:t>Endpoint primario:</w:t>
      </w:r>
    </w:p>
    <w:p w14:paraId="623EDD0C" w14:textId="72D78D76" w:rsidR="00916CEA" w:rsidRDefault="00916CEA" w:rsidP="00825BD3">
      <w:pPr>
        <w:pStyle w:val="ListParagraph"/>
        <w:numPr>
          <w:ilvl w:val="0"/>
          <w:numId w:val="26"/>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Percentuale di soggetti che hanno necessitato di trattamento per un attacco acuto di gotta (Patients Requiring Tr</w:t>
      </w:r>
      <w:r w:rsidR="0091141E">
        <w:rPr>
          <w:rFonts w:asciiTheme="minorHAnsi" w:hAnsiTheme="minorHAnsi" w:cstheme="minorHAnsi"/>
          <w:color w:val="222222"/>
          <w:sz w:val="20"/>
          <w:szCs w:val="20"/>
        </w:rPr>
        <w:t>eatment for a Gout Flare – GFRT</w:t>
      </w:r>
      <w:r w:rsidR="00F87075">
        <w:rPr>
          <w:rFonts w:asciiTheme="minorHAnsi" w:hAnsiTheme="minorHAnsi" w:cstheme="minorHAnsi"/>
          <w:color w:val="222222"/>
          <w:sz w:val="20"/>
          <w:szCs w:val="20"/>
        </w:rPr>
        <w:t xml:space="preserve">) </w:t>
      </w:r>
      <w:r w:rsidR="0091141E">
        <w:rPr>
          <w:rFonts w:asciiTheme="minorHAnsi" w:hAnsiTheme="minorHAnsi" w:cstheme="minorHAnsi"/>
          <w:color w:val="222222"/>
          <w:sz w:val="20"/>
          <w:szCs w:val="20"/>
        </w:rPr>
        <w:t xml:space="preserve"> nel pe</w:t>
      </w:r>
      <w:r w:rsidR="00F87075">
        <w:rPr>
          <w:rFonts w:asciiTheme="minorHAnsi" w:hAnsiTheme="minorHAnsi" w:cstheme="minorHAnsi"/>
          <w:color w:val="222222"/>
          <w:sz w:val="20"/>
          <w:szCs w:val="20"/>
        </w:rPr>
        <w:t>riodo post profilassi (mese 2-mese 12)</w:t>
      </w:r>
    </w:p>
    <w:p w14:paraId="09AA3051" w14:textId="2836C604" w:rsidR="0091141E" w:rsidRPr="0091141E" w:rsidRDefault="006834F4" w:rsidP="000210A2">
      <w:pPr>
        <w:spacing w:line="360" w:lineRule="auto"/>
        <w:rPr>
          <w:rFonts w:cstheme="minorHAnsi"/>
          <w:color w:val="222222"/>
          <w:sz w:val="20"/>
          <w:szCs w:val="20"/>
        </w:rPr>
      </w:pPr>
      <w:r>
        <w:rPr>
          <w:rFonts w:cstheme="minorHAnsi"/>
          <w:color w:val="222222"/>
          <w:sz w:val="20"/>
          <w:szCs w:val="20"/>
        </w:rPr>
        <w:t>Principale e</w:t>
      </w:r>
      <w:r w:rsidR="0091141E">
        <w:rPr>
          <w:rFonts w:cstheme="minorHAnsi"/>
          <w:color w:val="222222"/>
          <w:sz w:val="20"/>
          <w:szCs w:val="20"/>
        </w:rPr>
        <w:t>ndpoint secondario:</w:t>
      </w:r>
    </w:p>
    <w:p w14:paraId="4F3B7178" w14:textId="6312CC0D" w:rsidR="006834F4" w:rsidRPr="006834F4" w:rsidRDefault="006834F4" w:rsidP="00825BD3">
      <w:pPr>
        <w:pStyle w:val="ListParagraph"/>
        <w:numPr>
          <w:ilvl w:val="0"/>
          <w:numId w:val="26"/>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Percentuale di pazienti con almeno 1 tofo target al basale, che sperimentano la risoluzione completa di almeno 1 tofo target a qualsiasi time-point dello studio di estensione, fino a 12 mesi.</w:t>
      </w:r>
    </w:p>
    <w:p w14:paraId="25A3BBF7" w14:textId="70C61BE1" w:rsidR="006834F4" w:rsidRPr="006834F4" w:rsidRDefault="006834F4" w:rsidP="000210A2">
      <w:pPr>
        <w:spacing w:line="360" w:lineRule="auto"/>
        <w:rPr>
          <w:rFonts w:cstheme="minorHAnsi"/>
          <w:color w:val="222222"/>
          <w:sz w:val="20"/>
          <w:szCs w:val="20"/>
        </w:rPr>
      </w:pPr>
      <w:r>
        <w:rPr>
          <w:rFonts w:cstheme="minorHAnsi"/>
          <w:color w:val="222222"/>
          <w:sz w:val="20"/>
          <w:szCs w:val="20"/>
        </w:rPr>
        <w:t xml:space="preserve">Altri </w:t>
      </w:r>
      <w:r w:rsidRPr="006834F4">
        <w:rPr>
          <w:rFonts w:cstheme="minorHAnsi"/>
          <w:color w:val="222222"/>
          <w:sz w:val="20"/>
          <w:szCs w:val="20"/>
        </w:rPr>
        <w:t xml:space="preserve"> endpoint secondari:</w:t>
      </w:r>
    </w:p>
    <w:p w14:paraId="408E4632" w14:textId="77777777" w:rsidR="0091141E" w:rsidRPr="00916CEA" w:rsidRDefault="0091141E" w:rsidP="00825BD3">
      <w:pPr>
        <w:pStyle w:val="ListParagraph"/>
        <w:numPr>
          <w:ilvl w:val="0"/>
          <w:numId w:val="26"/>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Percentuale di soggetti con livelli di acido urico &lt;6.0, &lt;5.0, &lt;4.0 e &lt;3.0 mg/dl (a ogni visita)</w:t>
      </w:r>
    </w:p>
    <w:p w14:paraId="6CF782BB" w14:textId="19C5422C" w:rsidR="0091141E" w:rsidRDefault="0091141E" w:rsidP="00825BD3">
      <w:pPr>
        <w:pStyle w:val="ListParagraph"/>
        <w:numPr>
          <w:ilvl w:val="0"/>
          <w:numId w:val="26"/>
        </w:numPr>
        <w:spacing w:line="360" w:lineRule="auto"/>
        <w:rPr>
          <w:rFonts w:asciiTheme="minorHAnsi" w:hAnsiTheme="minorHAnsi" w:cstheme="minorHAnsi"/>
          <w:color w:val="222222"/>
          <w:sz w:val="20"/>
          <w:szCs w:val="20"/>
        </w:rPr>
      </w:pPr>
      <w:r w:rsidRPr="0091141E">
        <w:rPr>
          <w:rFonts w:asciiTheme="minorHAnsi" w:hAnsiTheme="minorHAnsi" w:cstheme="minorHAnsi"/>
          <w:color w:val="222222"/>
          <w:sz w:val="20"/>
          <w:szCs w:val="20"/>
        </w:rPr>
        <w:t>Variazione assoluta e percentuale, rispetto al basale</w:t>
      </w:r>
      <w:r w:rsidR="006834F4">
        <w:rPr>
          <w:rFonts w:asciiTheme="minorHAnsi" w:hAnsiTheme="minorHAnsi" w:cstheme="minorHAnsi"/>
          <w:color w:val="222222"/>
          <w:sz w:val="20"/>
          <w:szCs w:val="20"/>
        </w:rPr>
        <w:t xml:space="preserve"> dello studio “core”</w:t>
      </w:r>
      <w:r w:rsidRPr="0091141E">
        <w:rPr>
          <w:rFonts w:asciiTheme="minorHAnsi" w:hAnsiTheme="minorHAnsi" w:cstheme="minorHAnsi"/>
          <w:color w:val="222222"/>
          <w:sz w:val="20"/>
          <w:szCs w:val="20"/>
        </w:rPr>
        <w:t xml:space="preserve">, dei livelli di acido urico nel </w:t>
      </w:r>
      <w:r w:rsidR="00812156">
        <w:rPr>
          <w:rFonts w:asciiTheme="minorHAnsi" w:hAnsiTheme="minorHAnsi" w:cstheme="minorHAnsi"/>
          <w:color w:val="222222"/>
          <w:sz w:val="20"/>
          <w:szCs w:val="20"/>
        </w:rPr>
        <w:t>sangue</w:t>
      </w:r>
      <w:r w:rsidR="00812156" w:rsidRPr="0091141E">
        <w:rPr>
          <w:rFonts w:asciiTheme="minorHAnsi" w:hAnsiTheme="minorHAnsi" w:cstheme="minorHAnsi"/>
          <w:color w:val="222222"/>
          <w:sz w:val="20"/>
          <w:szCs w:val="20"/>
        </w:rPr>
        <w:t xml:space="preserve"> </w:t>
      </w:r>
      <w:r w:rsidRPr="0091141E">
        <w:rPr>
          <w:rFonts w:asciiTheme="minorHAnsi" w:hAnsiTheme="minorHAnsi" w:cstheme="minorHAnsi"/>
          <w:color w:val="222222"/>
          <w:sz w:val="20"/>
          <w:szCs w:val="20"/>
        </w:rPr>
        <w:t>(a ogni visita)</w:t>
      </w:r>
    </w:p>
    <w:p w14:paraId="3BBF9A46" w14:textId="6E5F387E" w:rsidR="0091141E" w:rsidRPr="0091141E" w:rsidRDefault="0091141E" w:rsidP="00825BD3">
      <w:pPr>
        <w:pStyle w:val="ListParagraph"/>
        <w:numPr>
          <w:ilvl w:val="0"/>
          <w:numId w:val="26"/>
        </w:numPr>
        <w:spacing w:line="360" w:lineRule="auto"/>
        <w:rPr>
          <w:rFonts w:asciiTheme="minorHAnsi" w:hAnsiTheme="minorHAnsi" w:cstheme="minorHAnsi"/>
          <w:color w:val="222222"/>
          <w:sz w:val="20"/>
          <w:szCs w:val="20"/>
        </w:rPr>
      </w:pPr>
      <w:r w:rsidRPr="0091141E">
        <w:rPr>
          <w:rFonts w:asciiTheme="minorHAnsi" w:hAnsiTheme="minorHAnsi" w:cstheme="minorHAnsi"/>
          <w:color w:val="222222"/>
          <w:sz w:val="20"/>
          <w:szCs w:val="20"/>
        </w:rPr>
        <w:t>Percentuale di soggetti che hanno necessitato di trattamento per un attacco acuto di gotta (Patients Requiring Treatment for a Gout Flare – GFRT</w:t>
      </w:r>
      <w:r w:rsidRPr="0091141E">
        <w:rPr>
          <w:rFonts w:cstheme="minorHAnsi"/>
          <w:color w:val="222222"/>
          <w:sz w:val="20"/>
          <w:szCs w:val="20"/>
        </w:rPr>
        <w:t>)</w:t>
      </w:r>
    </w:p>
    <w:p w14:paraId="0C41812F" w14:textId="27F211D0" w:rsidR="00916CEA" w:rsidRDefault="00916CEA" w:rsidP="00825BD3">
      <w:pPr>
        <w:pStyle w:val="ListParagraph"/>
        <w:numPr>
          <w:ilvl w:val="0"/>
          <w:numId w:val="26"/>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 xml:space="preserve">Percentuale di soggetti con risoluzione completa di almeno un tofo target, a ciascuna visita </w:t>
      </w:r>
    </w:p>
    <w:p w14:paraId="7A2034B9" w14:textId="76E2DB27" w:rsidR="0091111C" w:rsidRPr="00916CEA" w:rsidRDefault="0091111C" w:rsidP="00825BD3">
      <w:pPr>
        <w:pStyle w:val="ListParagraph"/>
        <w:numPr>
          <w:ilvl w:val="0"/>
          <w:numId w:val="26"/>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 xml:space="preserve">Percentuale di soggetti con risoluzione completa </w:t>
      </w:r>
      <w:r>
        <w:rPr>
          <w:rFonts w:asciiTheme="minorHAnsi" w:hAnsiTheme="minorHAnsi" w:cstheme="minorHAnsi"/>
          <w:color w:val="222222"/>
          <w:sz w:val="20"/>
          <w:szCs w:val="20"/>
        </w:rPr>
        <w:t xml:space="preserve">o parziale </w:t>
      </w:r>
      <w:r w:rsidRPr="00916CEA">
        <w:rPr>
          <w:rFonts w:asciiTheme="minorHAnsi" w:hAnsiTheme="minorHAnsi" w:cstheme="minorHAnsi"/>
          <w:color w:val="222222"/>
          <w:sz w:val="20"/>
          <w:szCs w:val="20"/>
        </w:rPr>
        <w:t>di almeno un tofo target, a ciascuna visita e globalmente</w:t>
      </w:r>
    </w:p>
    <w:p w14:paraId="4805A823" w14:textId="0CA21DCD" w:rsidR="00916CEA" w:rsidRPr="00916CEA" w:rsidRDefault="00916CEA" w:rsidP="00825BD3">
      <w:pPr>
        <w:pStyle w:val="ListParagraph"/>
        <w:numPr>
          <w:ilvl w:val="0"/>
          <w:numId w:val="26"/>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Variazione media</w:t>
      </w:r>
      <w:r w:rsidR="0091111C">
        <w:rPr>
          <w:rFonts w:asciiTheme="minorHAnsi" w:hAnsiTheme="minorHAnsi" w:cstheme="minorHAnsi"/>
          <w:color w:val="222222"/>
          <w:sz w:val="20"/>
          <w:szCs w:val="20"/>
        </w:rPr>
        <w:t xml:space="preserve"> e </w:t>
      </w:r>
      <w:r w:rsidRPr="00916CEA">
        <w:rPr>
          <w:rFonts w:asciiTheme="minorHAnsi" w:hAnsiTheme="minorHAnsi" w:cstheme="minorHAnsi"/>
          <w:color w:val="222222"/>
          <w:sz w:val="20"/>
          <w:szCs w:val="20"/>
        </w:rPr>
        <w:t xml:space="preserve">percentuale rispetto al basale </w:t>
      </w:r>
      <w:r w:rsidR="0091111C">
        <w:rPr>
          <w:rFonts w:asciiTheme="minorHAnsi" w:hAnsiTheme="minorHAnsi" w:cstheme="minorHAnsi"/>
          <w:color w:val="222222"/>
          <w:sz w:val="20"/>
          <w:szCs w:val="20"/>
        </w:rPr>
        <w:t>dello studio “core”</w:t>
      </w:r>
      <w:r w:rsidR="0091111C" w:rsidRPr="0091141E">
        <w:rPr>
          <w:rFonts w:asciiTheme="minorHAnsi" w:hAnsiTheme="minorHAnsi" w:cstheme="minorHAnsi"/>
          <w:color w:val="222222"/>
          <w:sz w:val="20"/>
          <w:szCs w:val="20"/>
        </w:rPr>
        <w:t xml:space="preserve">, </w:t>
      </w:r>
      <w:r w:rsidRPr="00916CEA">
        <w:rPr>
          <w:rFonts w:asciiTheme="minorHAnsi" w:hAnsiTheme="minorHAnsi" w:cstheme="minorHAnsi"/>
          <w:color w:val="222222"/>
          <w:sz w:val="20"/>
          <w:szCs w:val="20"/>
        </w:rPr>
        <w:t>della somma delle superfici di tutti i tofi (a ogni visita)</w:t>
      </w:r>
    </w:p>
    <w:p w14:paraId="1B1B0F6C" w14:textId="45A2D407" w:rsidR="00916CEA" w:rsidRPr="00563D46" w:rsidRDefault="00916CEA" w:rsidP="00825BD3">
      <w:pPr>
        <w:pStyle w:val="ListParagraph"/>
        <w:numPr>
          <w:ilvl w:val="0"/>
          <w:numId w:val="26"/>
        </w:numPr>
        <w:spacing w:line="360" w:lineRule="auto"/>
        <w:rPr>
          <w:rFonts w:asciiTheme="minorHAnsi" w:hAnsiTheme="minorHAnsi" w:cstheme="minorHAnsi"/>
          <w:color w:val="222222"/>
          <w:sz w:val="20"/>
          <w:szCs w:val="20"/>
        </w:rPr>
      </w:pPr>
      <w:r w:rsidRPr="00563D46">
        <w:rPr>
          <w:rFonts w:asciiTheme="minorHAnsi" w:hAnsiTheme="minorHAnsi" w:cstheme="minorHAnsi"/>
          <w:color w:val="222222"/>
          <w:sz w:val="20"/>
          <w:szCs w:val="20"/>
        </w:rPr>
        <w:t xml:space="preserve">Variazione percentuale </w:t>
      </w:r>
      <w:r w:rsidR="0091111C" w:rsidRPr="00563D46">
        <w:rPr>
          <w:rFonts w:asciiTheme="minorHAnsi" w:hAnsiTheme="minorHAnsi" w:cstheme="minorHAnsi"/>
          <w:color w:val="222222"/>
          <w:sz w:val="20"/>
          <w:szCs w:val="20"/>
        </w:rPr>
        <w:t xml:space="preserve">rispetto al basale dei </w:t>
      </w:r>
      <w:r w:rsidRPr="00563D46">
        <w:rPr>
          <w:rFonts w:asciiTheme="minorHAnsi" w:hAnsiTheme="minorHAnsi" w:cstheme="minorHAnsi"/>
          <w:color w:val="222222"/>
          <w:sz w:val="20"/>
          <w:szCs w:val="20"/>
        </w:rPr>
        <w:t xml:space="preserve"> parametri</w:t>
      </w:r>
      <w:r w:rsidR="0091111C" w:rsidRPr="00563D46">
        <w:rPr>
          <w:rFonts w:asciiTheme="minorHAnsi" w:hAnsiTheme="minorHAnsi" w:cstheme="minorHAnsi"/>
          <w:color w:val="222222"/>
          <w:sz w:val="20"/>
          <w:szCs w:val="20"/>
        </w:rPr>
        <w:t xml:space="preserve"> valutati con i </w:t>
      </w:r>
      <w:r w:rsidRPr="00563D46">
        <w:rPr>
          <w:rFonts w:asciiTheme="minorHAnsi" w:hAnsiTheme="minorHAnsi" w:cstheme="minorHAnsi"/>
          <w:color w:val="222222"/>
          <w:sz w:val="20"/>
          <w:szCs w:val="20"/>
        </w:rPr>
        <w:t xml:space="preserve"> </w:t>
      </w:r>
      <w:r w:rsidR="0091111C" w:rsidRPr="00563D46">
        <w:rPr>
          <w:rFonts w:asciiTheme="minorHAnsi" w:hAnsiTheme="minorHAnsi" w:cstheme="minorHAnsi"/>
          <w:color w:val="222222"/>
          <w:sz w:val="20"/>
          <w:szCs w:val="20"/>
        </w:rPr>
        <w:t xml:space="preserve">Patient Reported Outcomes </w:t>
      </w:r>
      <w:r w:rsidRPr="00563D46">
        <w:rPr>
          <w:rFonts w:asciiTheme="minorHAnsi" w:hAnsiTheme="minorHAnsi" w:cstheme="minorHAnsi"/>
          <w:color w:val="222222"/>
          <w:sz w:val="20"/>
          <w:szCs w:val="20"/>
        </w:rPr>
        <w:t>(</w:t>
      </w:r>
      <w:r w:rsidR="00563D46" w:rsidRPr="00563D46">
        <w:rPr>
          <w:rFonts w:asciiTheme="minorHAnsi" w:hAnsiTheme="minorHAnsi" w:cstheme="minorHAnsi"/>
          <w:color w:val="222222"/>
          <w:sz w:val="20"/>
          <w:szCs w:val="20"/>
        </w:rPr>
        <w:t>PGA, SF-36, Sheehan Disability Scale, HAQ-DI</w:t>
      </w:r>
      <w:r w:rsidRPr="00563D46">
        <w:rPr>
          <w:rFonts w:asciiTheme="minorHAnsi" w:hAnsiTheme="minorHAnsi" w:cstheme="minorHAnsi"/>
          <w:color w:val="222222"/>
          <w:sz w:val="20"/>
          <w:szCs w:val="20"/>
        </w:rPr>
        <w:t>), ad ogni visita.</w:t>
      </w:r>
    </w:p>
    <w:p w14:paraId="782B5DCD" w14:textId="77777777" w:rsidR="00916CEA" w:rsidRPr="00916CEA" w:rsidRDefault="00916CEA" w:rsidP="000210A2">
      <w:pPr>
        <w:spacing w:line="360" w:lineRule="auto"/>
        <w:rPr>
          <w:rFonts w:eastAsia="Times New Roman" w:cs="Arial"/>
          <w:color w:val="222222"/>
          <w:sz w:val="20"/>
          <w:szCs w:val="20"/>
        </w:rPr>
      </w:pPr>
      <w:r w:rsidRPr="00916CEA">
        <w:rPr>
          <w:rFonts w:eastAsia="Times New Roman" w:cs="Arial"/>
          <w:color w:val="222222"/>
          <w:sz w:val="20"/>
          <w:szCs w:val="20"/>
        </w:rPr>
        <w:t>Safety:</w:t>
      </w:r>
    </w:p>
    <w:p w14:paraId="32BA6AD3" w14:textId="77777777" w:rsidR="00916CEA" w:rsidRPr="00916CEA" w:rsidRDefault="00916CEA" w:rsidP="00825BD3">
      <w:pPr>
        <w:pStyle w:val="ListParagraph"/>
        <w:numPr>
          <w:ilvl w:val="0"/>
          <w:numId w:val="27"/>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 xml:space="preserve">Eventi avversi correlati al trattamento (Treatment-emergent adverse events - TEAEs) </w:t>
      </w:r>
    </w:p>
    <w:p w14:paraId="66823EEA" w14:textId="77777777" w:rsidR="008F084F" w:rsidRPr="000410B7" w:rsidRDefault="008F084F" w:rsidP="000210A2">
      <w:pPr>
        <w:spacing w:line="360" w:lineRule="auto"/>
        <w:rPr>
          <w:rFonts w:eastAsia="Times New Roman" w:cs="Arial"/>
          <w:color w:val="222222"/>
          <w:sz w:val="20"/>
          <w:szCs w:val="20"/>
        </w:rPr>
      </w:pPr>
    </w:p>
    <w:p w14:paraId="2DB48827" w14:textId="74738A19" w:rsidR="008F084F" w:rsidRPr="008F084F" w:rsidRDefault="008F084F" w:rsidP="00825BD3">
      <w:pPr>
        <w:numPr>
          <w:ilvl w:val="1"/>
          <w:numId w:val="13"/>
        </w:numPr>
        <w:spacing w:line="360" w:lineRule="auto"/>
        <w:ind w:left="709"/>
        <w:rPr>
          <w:rFonts w:cs="Arial"/>
          <w:sz w:val="20"/>
          <w:szCs w:val="20"/>
          <w:u w:val="single"/>
        </w:rPr>
      </w:pPr>
      <w:bookmarkStart w:id="171" w:name="Paragrafo538"/>
      <w:bookmarkEnd w:id="171"/>
      <w:r w:rsidRPr="008F084F">
        <w:rPr>
          <w:rFonts w:cs="Arial"/>
          <w:sz w:val="20"/>
          <w:szCs w:val="20"/>
          <w:u w:val="single"/>
        </w:rPr>
        <w:t>Risultati</w:t>
      </w:r>
    </w:p>
    <w:p w14:paraId="640F21AB" w14:textId="17A1A738" w:rsidR="002E5347" w:rsidRPr="002E5347" w:rsidRDefault="002E5347" w:rsidP="000210A2">
      <w:pPr>
        <w:pStyle w:val="Paragrafoelenco3"/>
        <w:spacing w:line="360" w:lineRule="auto"/>
        <w:ind w:left="0"/>
        <w:rPr>
          <w:rFonts w:asciiTheme="minorHAnsi" w:hAnsiTheme="minorHAnsi" w:cs="Arial"/>
          <w:sz w:val="20"/>
          <w:szCs w:val="20"/>
        </w:rPr>
      </w:pPr>
      <w:r w:rsidRPr="002E5347">
        <w:rPr>
          <w:rFonts w:asciiTheme="minorHAnsi" w:hAnsiTheme="minorHAnsi" w:cs="Arial"/>
          <w:sz w:val="20"/>
          <w:szCs w:val="20"/>
        </w:rPr>
        <w:t>Degli 891 pazienti che avevano completato gli studi CLEAR (</w:t>
      </w:r>
      <w:r w:rsidR="00365BCE">
        <w:rPr>
          <w:rFonts w:asciiTheme="minorHAnsi" w:hAnsiTheme="minorHAnsi" w:cs="Arial"/>
          <w:sz w:val="20"/>
          <w:szCs w:val="20"/>
        </w:rPr>
        <w:t>(</w:t>
      </w:r>
      <w:r w:rsidRPr="002E5347">
        <w:rPr>
          <w:rFonts w:asciiTheme="minorHAnsi" w:hAnsiTheme="minorHAnsi" w:cs="Arial"/>
          <w:sz w:val="20"/>
          <w:szCs w:val="20"/>
        </w:rPr>
        <w:t>per brevità, CLEAR core), 71</w:t>
      </w:r>
      <w:r w:rsidR="0091111C">
        <w:rPr>
          <w:rFonts w:asciiTheme="minorHAnsi" w:hAnsiTheme="minorHAnsi" w:cs="Arial"/>
          <w:sz w:val="20"/>
          <w:szCs w:val="20"/>
        </w:rPr>
        <w:t xml:space="preserve">8 (716 ITT) </w:t>
      </w:r>
      <w:r w:rsidRPr="002E5347">
        <w:rPr>
          <w:rFonts w:asciiTheme="minorHAnsi" w:hAnsiTheme="minorHAnsi" w:cs="Arial"/>
          <w:sz w:val="20"/>
          <w:szCs w:val="20"/>
        </w:rPr>
        <w:t>soggetti sono stati arruolati nello studio di estensione: 200CONT (n=240), 400CONT (n=232), 200CROSS (n=122), e 400CROSS (n=122).</w:t>
      </w:r>
    </w:p>
    <w:p w14:paraId="338B7AB5" w14:textId="493B6037" w:rsidR="002E5347" w:rsidRPr="00485F07" w:rsidRDefault="000563A6" w:rsidP="000210A2">
      <w:pPr>
        <w:pStyle w:val="Paragrafoelenco3"/>
        <w:spacing w:line="360" w:lineRule="auto"/>
        <w:ind w:left="0"/>
        <w:rPr>
          <w:rFonts w:asciiTheme="minorHAnsi" w:hAnsiTheme="minorHAnsi" w:cs="Arial"/>
          <w:sz w:val="20"/>
          <w:szCs w:val="20"/>
        </w:rPr>
      </w:pPr>
      <w:r w:rsidRPr="00485F07">
        <w:rPr>
          <w:rFonts w:asciiTheme="minorHAnsi" w:hAnsiTheme="minorHAnsi" w:cs="Arial"/>
          <w:sz w:val="20"/>
          <w:szCs w:val="20"/>
        </w:rPr>
        <w:t>N</w:t>
      </w:r>
      <w:r w:rsidR="002E5347" w:rsidRPr="00485F07">
        <w:rPr>
          <w:rFonts w:asciiTheme="minorHAnsi" w:hAnsiTheme="minorHAnsi" w:cs="Arial"/>
          <w:sz w:val="20"/>
          <w:szCs w:val="20"/>
        </w:rPr>
        <w:t xml:space="preserve">el prosieguo vengono riportati e presentati i dati con specifico riferimento al confronto PBO+ALLO vs. LESU200+ALLO in quanto il dosaggio di 200 mg/die è quello approvato da EMA. </w:t>
      </w:r>
    </w:p>
    <w:p w14:paraId="08EF4694" w14:textId="3E110772" w:rsidR="002E5347" w:rsidRDefault="002E5347" w:rsidP="000210A2">
      <w:pPr>
        <w:pStyle w:val="Paragrafoelenco3"/>
        <w:spacing w:line="360" w:lineRule="auto"/>
        <w:ind w:left="0"/>
        <w:rPr>
          <w:rFonts w:asciiTheme="minorHAnsi" w:hAnsiTheme="minorHAnsi" w:cs="Arial"/>
          <w:sz w:val="20"/>
          <w:szCs w:val="20"/>
        </w:rPr>
      </w:pPr>
      <w:r w:rsidRPr="002E5347">
        <w:rPr>
          <w:rFonts w:asciiTheme="minorHAnsi" w:hAnsiTheme="minorHAnsi" w:cs="Arial"/>
          <w:sz w:val="20"/>
          <w:szCs w:val="20"/>
        </w:rPr>
        <w:t xml:space="preserve">I dati demografici e le caratteristiche al basale erano confrontabili nei gruppi di studio, come illustrato nella </w:t>
      </w:r>
      <w:hyperlink w:anchor="Tabella24" w:history="1">
        <w:r w:rsidRPr="00593F33">
          <w:rPr>
            <w:rStyle w:val="Hyperlink"/>
            <w:rFonts w:asciiTheme="minorHAnsi" w:hAnsiTheme="minorHAnsi" w:cs="Arial"/>
            <w:sz w:val="20"/>
            <w:szCs w:val="20"/>
          </w:rPr>
          <w:t xml:space="preserve">Tabella </w:t>
        </w:r>
        <w:r w:rsidR="00593F33" w:rsidRPr="00593F33">
          <w:rPr>
            <w:rStyle w:val="Hyperlink"/>
            <w:rFonts w:asciiTheme="minorHAnsi" w:hAnsiTheme="minorHAnsi" w:cs="Arial"/>
            <w:sz w:val="20"/>
            <w:szCs w:val="20"/>
          </w:rPr>
          <w:t>2</w:t>
        </w:r>
        <w:r w:rsidR="004C0945">
          <w:rPr>
            <w:rStyle w:val="Hyperlink"/>
            <w:rFonts w:asciiTheme="minorHAnsi" w:hAnsiTheme="minorHAnsi" w:cs="Arial"/>
            <w:sz w:val="20"/>
            <w:szCs w:val="20"/>
          </w:rPr>
          <w:t>4</w:t>
        </w:r>
      </w:hyperlink>
      <w:r w:rsidR="00ED015E">
        <w:rPr>
          <w:rFonts w:asciiTheme="minorHAnsi" w:hAnsiTheme="minorHAnsi" w:cs="Arial"/>
          <w:sz w:val="20"/>
          <w:szCs w:val="20"/>
        </w:rPr>
        <w:t>.</w:t>
      </w:r>
    </w:p>
    <w:p w14:paraId="529F2474" w14:textId="77777777" w:rsidR="00593F33" w:rsidRDefault="00593F33" w:rsidP="002E5347">
      <w:pPr>
        <w:pStyle w:val="Paragrafoelenco3"/>
        <w:spacing w:line="360" w:lineRule="auto"/>
        <w:ind w:left="0"/>
        <w:jc w:val="both"/>
        <w:rPr>
          <w:rFonts w:asciiTheme="minorHAnsi" w:hAnsiTheme="minorHAnsi" w:cs="Arial"/>
          <w:sz w:val="20"/>
          <w:szCs w:val="20"/>
        </w:rPr>
      </w:pPr>
    </w:p>
    <w:p w14:paraId="5E73408E" w14:textId="5E0210FD" w:rsidR="002E5347" w:rsidRPr="00F562F7" w:rsidRDefault="00F562F7" w:rsidP="00F562F7">
      <w:pPr>
        <w:pStyle w:val="Caption"/>
        <w:rPr>
          <w:rFonts w:asciiTheme="minorHAnsi" w:eastAsiaTheme="minorEastAsia" w:hAnsiTheme="minorHAnsi" w:cstheme="minorHAnsi"/>
          <w:b w:val="0"/>
          <w:noProof/>
          <w:lang w:val="it-IT"/>
        </w:rPr>
      </w:pPr>
      <w:bookmarkStart w:id="172" w:name="Tabella24"/>
      <w:bookmarkStart w:id="173" w:name="_Toc473150709"/>
      <w:bookmarkEnd w:id="172"/>
      <w:r w:rsidRPr="00F562F7">
        <w:rPr>
          <w:rFonts w:asciiTheme="minorHAnsi" w:hAnsiTheme="minorHAnsi" w:cstheme="minorHAnsi"/>
          <w:lang w:val="it-IT"/>
        </w:rPr>
        <w:t xml:space="preserve">Tabella </w:t>
      </w:r>
      <w:r w:rsidRPr="00F562F7">
        <w:rPr>
          <w:rFonts w:asciiTheme="minorHAnsi" w:hAnsiTheme="minorHAnsi" w:cstheme="minorHAnsi"/>
        </w:rPr>
        <w:fldChar w:fldCharType="begin"/>
      </w:r>
      <w:r w:rsidRPr="00F562F7">
        <w:rPr>
          <w:rFonts w:asciiTheme="minorHAnsi" w:hAnsiTheme="minorHAnsi" w:cstheme="minorHAnsi"/>
          <w:lang w:val="it-IT"/>
        </w:rPr>
        <w:instrText xml:space="preserve"> SEQ Tabella \* ARABIC </w:instrText>
      </w:r>
      <w:r w:rsidRPr="00F562F7">
        <w:rPr>
          <w:rFonts w:asciiTheme="minorHAnsi" w:hAnsiTheme="minorHAnsi" w:cstheme="minorHAnsi"/>
        </w:rPr>
        <w:fldChar w:fldCharType="separate"/>
      </w:r>
      <w:r w:rsidR="00A1679C">
        <w:rPr>
          <w:rFonts w:asciiTheme="minorHAnsi" w:hAnsiTheme="minorHAnsi" w:cstheme="minorHAnsi"/>
          <w:noProof/>
          <w:lang w:val="it-IT"/>
        </w:rPr>
        <w:t>24</w:t>
      </w:r>
      <w:r w:rsidRPr="00F562F7">
        <w:rPr>
          <w:rFonts w:asciiTheme="minorHAnsi" w:hAnsiTheme="minorHAnsi" w:cstheme="minorHAnsi"/>
        </w:rPr>
        <w:fldChar w:fldCharType="end"/>
      </w:r>
      <w:r w:rsidRPr="00F562F7">
        <w:rPr>
          <w:rFonts w:asciiTheme="minorHAnsi" w:hAnsiTheme="minorHAnsi" w:cstheme="minorHAnsi"/>
          <w:lang w:val="it-IT"/>
        </w:rPr>
        <w:t xml:space="preserve"> - </w:t>
      </w:r>
      <w:r w:rsidR="002E5347" w:rsidRPr="00F562F7">
        <w:rPr>
          <w:rFonts w:asciiTheme="minorHAnsi" w:hAnsiTheme="minorHAnsi" w:cstheme="minorHAnsi"/>
          <w:lang w:val="it-IT"/>
        </w:rPr>
        <w:t>Studio CLEAR extension caratteristiche demografiche al basale</w:t>
      </w:r>
      <w:r w:rsidR="002E5347" w:rsidRPr="00F562F7">
        <w:rPr>
          <w:rFonts w:asciiTheme="minorHAnsi" w:eastAsiaTheme="minorEastAsia" w:hAnsiTheme="minorHAnsi" w:cstheme="minorHAnsi"/>
          <w:b w:val="0"/>
          <w:noProof/>
          <w:lang w:val="it-IT"/>
        </w:rPr>
        <w:t xml:space="preserve"> </w:t>
      </w:r>
      <w:r w:rsidR="00BF042A">
        <w:rPr>
          <w:rFonts w:asciiTheme="minorHAnsi" w:hAnsiTheme="minorHAnsi" w:cstheme="minorHAnsi"/>
          <w:lang w:val="it-IT"/>
        </w:rPr>
        <w:t>(</w:t>
      </w:r>
      <w:r w:rsidR="00244086">
        <w:rPr>
          <w:rFonts w:asciiTheme="minorHAnsi" w:hAnsiTheme="minorHAnsi" w:cstheme="minorHAnsi"/>
          <w:color w:val="0000FF"/>
          <w:lang w:val="it-IT"/>
        </w:rPr>
        <w:t>Saag, 2016 (143)</w:t>
      </w:r>
      <w:r w:rsidR="00BF042A">
        <w:rPr>
          <w:rFonts w:asciiTheme="minorHAnsi" w:hAnsiTheme="minorHAnsi" w:cstheme="minorHAnsi"/>
          <w:lang w:val="it-IT"/>
        </w:rPr>
        <w:t>)</w:t>
      </w:r>
      <w:bookmarkEnd w:id="173"/>
    </w:p>
    <w:p w14:paraId="0680688C" w14:textId="223BBC4A" w:rsidR="002E5347" w:rsidRDefault="002E5347" w:rsidP="002E5347">
      <w:pPr>
        <w:rPr>
          <w:noProof/>
        </w:rPr>
      </w:pPr>
      <w:r>
        <w:rPr>
          <w:noProof/>
          <w:lang w:val="en-GB" w:eastAsia="en-GB"/>
        </w:rPr>
        <w:drawing>
          <wp:inline distT="0" distB="0" distL="0" distR="0" wp14:anchorId="491B5532" wp14:editId="2C842D72">
            <wp:extent cx="3124200" cy="3772620"/>
            <wp:effectExtent l="0" t="0" r="0"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27568" cy="3776687"/>
                    </a:xfrm>
                    <a:prstGeom prst="rect">
                      <a:avLst/>
                    </a:prstGeom>
                    <a:noFill/>
                  </pic:spPr>
                </pic:pic>
              </a:graphicData>
            </a:graphic>
          </wp:inline>
        </w:drawing>
      </w:r>
    </w:p>
    <w:p w14:paraId="224EAACF" w14:textId="77777777" w:rsidR="002E5347" w:rsidRDefault="002E5347" w:rsidP="002E5347">
      <w:pPr>
        <w:pStyle w:val="Paragrafoelenco3"/>
        <w:spacing w:line="360" w:lineRule="auto"/>
        <w:ind w:left="0"/>
        <w:jc w:val="both"/>
        <w:rPr>
          <w:rFonts w:asciiTheme="minorHAnsi" w:hAnsiTheme="minorHAnsi" w:cs="Arial"/>
          <w:sz w:val="20"/>
          <w:szCs w:val="20"/>
        </w:rPr>
      </w:pPr>
    </w:p>
    <w:p w14:paraId="073777FD" w14:textId="416CAA54" w:rsidR="002E5347" w:rsidRPr="002E5347" w:rsidRDefault="002E5347" w:rsidP="000210A2">
      <w:pPr>
        <w:pStyle w:val="Paragrafoelenco3"/>
        <w:spacing w:line="360" w:lineRule="auto"/>
        <w:ind w:left="0"/>
        <w:rPr>
          <w:rFonts w:asciiTheme="minorHAnsi" w:hAnsiTheme="minorHAnsi" w:cs="Arial"/>
          <w:b/>
          <w:sz w:val="20"/>
          <w:szCs w:val="20"/>
        </w:rPr>
      </w:pPr>
      <w:r w:rsidRPr="002E5347">
        <w:rPr>
          <w:rFonts w:asciiTheme="minorHAnsi" w:hAnsiTheme="minorHAnsi" w:cs="Arial"/>
          <w:sz w:val="20"/>
          <w:szCs w:val="20"/>
        </w:rPr>
        <w:t xml:space="preserve">Come ben illustrato nella </w:t>
      </w:r>
      <w:hyperlink w:anchor="Figura38" w:history="1">
        <w:r w:rsidR="00DF1F08">
          <w:rPr>
            <w:rStyle w:val="Hyperlink"/>
            <w:rFonts w:asciiTheme="minorHAnsi" w:hAnsiTheme="minorHAnsi" w:cs="Arial"/>
            <w:b/>
            <w:sz w:val="20"/>
            <w:szCs w:val="20"/>
          </w:rPr>
          <w:t>Figura 3</w:t>
        </w:r>
        <w:r w:rsidR="00CC2CE9">
          <w:rPr>
            <w:rStyle w:val="Hyperlink"/>
            <w:rFonts w:asciiTheme="minorHAnsi" w:hAnsiTheme="minorHAnsi" w:cs="Arial"/>
            <w:b/>
            <w:sz w:val="20"/>
            <w:szCs w:val="20"/>
          </w:rPr>
          <w:t>8</w:t>
        </w:r>
      </w:hyperlink>
      <w:r w:rsidRPr="002E5347">
        <w:rPr>
          <w:rFonts w:asciiTheme="minorHAnsi" w:hAnsiTheme="minorHAnsi" w:cs="Arial"/>
          <w:sz w:val="20"/>
          <w:szCs w:val="20"/>
        </w:rPr>
        <w:t xml:space="preserve"> non solo l’efficacia misurata nello studio CLEAR core è stata mantenuta nello studio di estensione per i pazienti trattati fin dall’inizio con LESU200+ALLO (200CONT nella Figura</w:t>
      </w:r>
      <w:r>
        <w:rPr>
          <w:rFonts w:asciiTheme="minorHAnsi" w:hAnsiTheme="minorHAnsi" w:cs="Arial"/>
          <w:sz w:val="20"/>
          <w:szCs w:val="20"/>
        </w:rPr>
        <w:t xml:space="preserve"> </w:t>
      </w:r>
      <w:r w:rsidR="00CF13DF">
        <w:rPr>
          <w:rFonts w:asciiTheme="minorHAnsi" w:hAnsiTheme="minorHAnsi" w:cs="Arial"/>
          <w:sz w:val="20"/>
          <w:szCs w:val="20"/>
        </w:rPr>
        <w:t>3</w:t>
      </w:r>
      <w:r w:rsidR="00CC2CE9">
        <w:rPr>
          <w:rFonts w:asciiTheme="minorHAnsi" w:hAnsiTheme="minorHAnsi" w:cs="Arial"/>
          <w:sz w:val="20"/>
          <w:szCs w:val="20"/>
        </w:rPr>
        <w:t>8</w:t>
      </w:r>
      <w:r w:rsidRPr="002E5347">
        <w:rPr>
          <w:rFonts w:asciiTheme="minorHAnsi" w:hAnsiTheme="minorHAnsi" w:cs="Arial"/>
          <w:sz w:val="20"/>
          <w:szCs w:val="20"/>
        </w:rPr>
        <w:t xml:space="preserve">), </w:t>
      </w:r>
      <w:r w:rsidRPr="002E5347">
        <w:rPr>
          <w:rFonts w:asciiTheme="minorHAnsi" w:hAnsiTheme="minorHAnsi" w:cs="Arial"/>
          <w:b/>
          <w:sz w:val="20"/>
          <w:szCs w:val="20"/>
        </w:rPr>
        <w:t xml:space="preserve">ma anche i pazienti precedentemente trattati con il </w:t>
      </w:r>
      <w:r w:rsidR="00AE39FA">
        <w:rPr>
          <w:rFonts w:asciiTheme="minorHAnsi" w:hAnsiTheme="minorHAnsi" w:cs="Arial"/>
          <w:b/>
          <w:sz w:val="20"/>
          <w:szCs w:val="20"/>
        </w:rPr>
        <w:t>gruppo allopurinolo</w:t>
      </w:r>
      <w:r w:rsidR="00BD34D3">
        <w:rPr>
          <w:rFonts w:asciiTheme="minorHAnsi" w:hAnsiTheme="minorHAnsi" w:cs="Arial"/>
          <w:b/>
          <w:sz w:val="20"/>
          <w:szCs w:val="20"/>
        </w:rPr>
        <w:t xml:space="preserve">, </w:t>
      </w:r>
      <w:r w:rsidR="00BD34D3" w:rsidRPr="00BD34D3">
        <w:rPr>
          <w:rFonts w:asciiTheme="minorHAnsi" w:hAnsiTheme="minorHAnsi" w:cs="Arial"/>
          <w:b/>
          <w:sz w:val="20"/>
          <w:szCs w:val="20"/>
        </w:rPr>
        <w:t>con il passaggio all’associazione (200CROSS),</w:t>
      </w:r>
      <w:r w:rsidR="00BD34D3">
        <w:rPr>
          <w:rFonts w:asciiTheme="minorHAnsi" w:hAnsiTheme="minorHAnsi" w:cs="Arial"/>
          <w:b/>
          <w:sz w:val="20"/>
          <w:szCs w:val="20"/>
        </w:rPr>
        <w:t xml:space="preserve"> ha</w:t>
      </w:r>
      <w:r w:rsidRPr="002E5347">
        <w:rPr>
          <w:rFonts w:asciiTheme="minorHAnsi" w:hAnsiTheme="minorHAnsi" w:cs="Arial"/>
          <w:b/>
          <w:sz w:val="20"/>
          <w:szCs w:val="20"/>
        </w:rPr>
        <w:t xml:space="preserve"> ottenuto nello studio di estensione un significativo miglioramento.</w:t>
      </w:r>
    </w:p>
    <w:p w14:paraId="7602D011" w14:textId="4F5EEBDB" w:rsidR="002E5347" w:rsidRDefault="002E5347" w:rsidP="000210A2">
      <w:pPr>
        <w:pStyle w:val="Paragrafoelenco3"/>
        <w:spacing w:line="360" w:lineRule="auto"/>
        <w:ind w:left="0"/>
        <w:rPr>
          <w:rFonts w:asciiTheme="minorHAnsi" w:hAnsiTheme="minorHAnsi" w:cs="Arial"/>
          <w:sz w:val="20"/>
          <w:szCs w:val="20"/>
        </w:rPr>
      </w:pPr>
      <w:r w:rsidRPr="002E5347">
        <w:rPr>
          <w:rFonts w:asciiTheme="minorHAnsi" w:hAnsiTheme="minorHAnsi" w:cs="Arial"/>
          <w:b/>
          <w:sz w:val="20"/>
          <w:szCs w:val="20"/>
        </w:rPr>
        <w:t xml:space="preserve">Infatti nel gruppo 200CROSS, la percentuale di pazienti a target è passata </w:t>
      </w:r>
      <w:r w:rsidR="00CD4B88">
        <w:rPr>
          <w:rFonts w:asciiTheme="minorHAnsi" w:hAnsiTheme="minorHAnsi" w:cs="Arial"/>
          <w:b/>
          <w:sz w:val="20"/>
          <w:szCs w:val="20"/>
        </w:rPr>
        <w:t xml:space="preserve">da circa il 30% </w:t>
      </w:r>
      <w:r w:rsidR="00507051">
        <w:rPr>
          <w:rFonts w:asciiTheme="minorHAnsi" w:hAnsiTheme="minorHAnsi" w:cs="Arial"/>
          <w:b/>
          <w:sz w:val="20"/>
          <w:szCs w:val="20"/>
        </w:rPr>
        <w:t>dopo i 12 mesi di trattamento con allopurinolo in monoterapia</w:t>
      </w:r>
      <w:r w:rsidR="00CD4B88">
        <w:rPr>
          <w:rFonts w:asciiTheme="minorHAnsi" w:hAnsiTheme="minorHAnsi" w:cs="Arial"/>
          <w:b/>
          <w:sz w:val="20"/>
          <w:szCs w:val="20"/>
        </w:rPr>
        <w:t xml:space="preserve"> a circa il 70% dopo </w:t>
      </w:r>
      <w:r w:rsidRPr="002E5347">
        <w:rPr>
          <w:rFonts w:asciiTheme="minorHAnsi" w:hAnsiTheme="minorHAnsi" w:cs="Arial"/>
          <w:b/>
          <w:sz w:val="20"/>
          <w:szCs w:val="20"/>
        </w:rPr>
        <w:t xml:space="preserve">un mese </w:t>
      </w:r>
      <w:r w:rsidR="00CD4B88">
        <w:rPr>
          <w:rFonts w:asciiTheme="minorHAnsi" w:hAnsiTheme="minorHAnsi" w:cs="Arial"/>
          <w:b/>
          <w:sz w:val="20"/>
          <w:szCs w:val="20"/>
        </w:rPr>
        <w:t>di studio di estensione,</w:t>
      </w:r>
      <w:r w:rsidRPr="002E5347">
        <w:rPr>
          <w:rFonts w:asciiTheme="minorHAnsi" w:hAnsiTheme="minorHAnsi" w:cs="Arial"/>
          <w:b/>
          <w:sz w:val="20"/>
          <w:szCs w:val="20"/>
        </w:rPr>
        <w:t xml:space="preserve"> per poi </w:t>
      </w:r>
      <w:r w:rsidR="00CD4B88">
        <w:rPr>
          <w:rFonts w:asciiTheme="minorHAnsi" w:hAnsiTheme="minorHAnsi" w:cs="Arial"/>
          <w:b/>
          <w:sz w:val="20"/>
          <w:szCs w:val="20"/>
        </w:rPr>
        <w:t>mantenersi relativamente costante per tutta la durata dello studio</w:t>
      </w:r>
      <w:r w:rsidRPr="002E5347">
        <w:rPr>
          <w:rFonts w:asciiTheme="minorHAnsi" w:hAnsiTheme="minorHAnsi" w:cs="Arial"/>
          <w:b/>
          <w:sz w:val="20"/>
          <w:szCs w:val="20"/>
        </w:rPr>
        <w:t xml:space="preserve"> </w:t>
      </w:r>
      <w:r w:rsidR="00BD34D3">
        <w:rPr>
          <w:rFonts w:asciiTheme="minorHAnsi" w:hAnsiTheme="minorHAnsi" w:cs="Arial"/>
          <w:b/>
          <w:sz w:val="20"/>
          <w:szCs w:val="20"/>
        </w:rPr>
        <w:t>(</w:t>
      </w:r>
      <w:r w:rsidR="00244086">
        <w:rPr>
          <w:rFonts w:asciiTheme="minorHAnsi" w:hAnsiTheme="minorHAnsi" w:cs="Arial"/>
          <w:b/>
          <w:color w:val="0000FF"/>
          <w:sz w:val="20"/>
          <w:szCs w:val="20"/>
        </w:rPr>
        <w:t>Saag, 2016 (143)</w:t>
      </w:r>
      <w:r w:rsidR="00BD34D3">
        <w:rPr>
          <w:rFonts w:asciiTheme="minorHAnsi" w:hAnsiTheme="minorHAnsi" w:cs="Arial"/>
          <w:b/>
          <w:sz w:val="20"/>
          <w:szCs w:val="20"/>
        </w:rPr>
        <w:t xml:space="preserve">) </w:t>
      </w:r>
      <w:r w:rsidRPr="002E5347">
        <w:rPr>
          <w:rFonts w:asciiTheme="minorHAnsi" w:hAnsiTheme="minorHAnsi" w:cs="Arial"/>
          <w:b/>
          <w:sz w:val="20"/>
          <w:szCs w:val="20"/>
        </w:rPr>
        <w:t>(</w:t>
      </w:r>
      <w:hyperlink w:anchor="Figura38" w:history="1">
        <w:r w:rsidRPr="00F562F7">
          <w:rPr>
            <w:rStyle w:val="Hyperlink"/>
            <w:rFonts w:asciiTheme="minorHAnsi" w:hAnsiTheme="minorHAnsi" w:cs="Arial"/>
            <w:b/>
            <w:sz w:val="20"/>
            <w:szCs w:val="20"/>
          </w:rPr>
          <w:t xml:space="preserve">Figura </w:t>
        </w:r>
        <w:r w:rsidR="00DF1F08">
          <w:rPr>
            <w:rStyle w:val="Hyperlink"/>
            <w:rFonts w:asciiTheme="minorHAnsi" w:hAnsiTheme="minorHAnsi" w:cs="Arial"/>
            <w:b/>
            <w:sz w:val="20"/>
            <w:szCs w:val="20"/>
          </w:rPr>
          <w:t>3</w:t>
        </w:r>
        <w:r w:rsidR="00CC2CE9">
          <w:rPr>
            <w:rStyle w:val="Hyperlink"/>
            <w:rFonts w:asciiTheme="minorHAnsi" w:hAnsiTheme="minorHAnsi" w:cs="Arial"/>
            <w:b/>
            <w:sz w:val="20"/>
            <w:szCs w:val="20"/>
          </w:rPr>
          <w:t>8</w:t>
        </w:r>
      </w:hyperlink>
      <w:r w:rsidRPr="002E5347">
        <w:rPr>
          <w:rFonts w:asciiTheme="minorHAnsi" w:hAnsiTheme="minorHAnsi" w:cs="Arial"/>
          <w:b/>
          <w:sz w:val="20"/>
          <w:szCs w:val="20"/>
        </w:rPr>
        <w:t>)</w:t>
      </w:r>
      <w:r w:rsidRPr="002E5347">
        <w:rPr>
          <w:rFonts w:asciiTheme="minorHAnsi" w:hAnsiTheme="minorHAnsi" w:cs="Arial"/>
          <w:sz w:val="20"/>
          <w:szCs w:val="20"/>
        </w:rPr>
        <w:t>.</w:t>
      </w:r>
    </w:p>
    <w:p w14:paraId="0CC7D5F9" w14:textId="1258230D" w:rsidR="00507051" w:rsidRDefault="00507051" w:rsidP="000210A2">
      <w:pPr>
        <w:pStyle w:val="Paragrafoelenco3"/>
        <w:spacing w:line="360" w:lineRule="auto"/>
        <w:ind w:left="0"/>
        <w:rPr>
          <w:rFonts w:asciiTheme="minorHAnsi" w:hAnsiTheme="minorHAnsi" w:cs="Arial"/>
          <w:sz w:val="20"/>
          <w:szCs w:val="20"/>
        </w:rPr>
      </w:pPr>
      <w:r>
        <w:rPr>
          <w:rFonts w:asciiTheme="minorHAnsi" w:hAnsiTheme="minorHAnsi" w:cs="Arial"/>
          <w:sz w:val="20"/>
          <w:szCs w:val="20"/>
        </w:rPr>
        <w:t xml:space="preserve">In particolare la percentuale di pazienti che ha raggiunto il target nel gruppo 200CROSS  andava da un minimo del 27,3% a un max del 38.8% durante i 12 mesi dello studio “core” per aumentare nello studio di estensione in un range che andava dal 61,3% al 75.9% con l’aggiunta di lesinurad 200mg. D’altra parte, nel gruppo che era già in trattamento con lesinurad nello studio “core”, l’efficacia è stata mantenuta anche nello studio di estensione (da una range del </w:t>
      </w:r>
      <w:r w:rsidRPr="00507051">
        <w:rPr>
          <w:rFonts w:asciiTheme="minorHAnsi" w:hAnsiTheme="minorHAnsi" w:cs="Arial"/>
          <w:sz w:val="20"/>
          <w:szCs w:val="20"/>
        </w:rPr>
        <w:t xml:space="preserve">63.2% </w:t>
      </w:r>
      <w:r>
        <w:rPr>
          <w:rFonts w:asciiTheme="minorHAnsi" w:hAnsiTheme="minorHAnsi" w:cs="Arial"/>
          <w:sz w:val="20"/>
          <w:szCs w:val="20"/>
        </w:rPr>
        <w:t xml:space="preserve">- </w:t>
      </w:r>
      <w:r w:rsidRPr="00507051">
        <w:rPr>
          <w:rFonts w:asciiTheme="minorHAnsi" w:hAnsiTheme="minorHAnsi" w:cs="Arial"/>
          <w:sz w:val="20"/>
          <w:szCs w:val="20"/>
        </w:rPr>
        <w:t>68.6%</w:t>
      </w:r>
      <w:r>
        <w:rPr>
          <w:rFonts w:asciiTheme="minorHAnsi" w:hAnsiTheme="minorHAnsi" w:cs="Arial"/>
          <w:sz w:val="20"/>
          <w:szCs w:val="20"/>
        </w:rPr>
        <w:t xml:space="preserve"> al </w:t>
      </w:r>
      <w:r w:rsidRPr="00507051">
        <w:rPr>
          <w:rFonts w:asciiTheme="minorHAnsi" w:hAnsiTheme="minorHAnsi" w:cs="Arial"/>
          <w:sz w:val="20"/>
          <w:szCs w:val="20"/>
        </w:rPr>
        <w:t>61.5% to 68.7</w:t>
      </w:r>
      <w:r>
        <w:rPr>
          <w:rFonts w:asciiTheme="minorHAnsi" w:hAnsiTheme="minorHAnsi" w:cs="Arial"/>
          <w:sz w:val="20"/>
          <w:szCs w:val="20"/>
        </w:rPr>
        <w:t>%)</w:t>
      </w:r>
      <w:r w:rsidRPr="00507051">
        <w:t xml:space="preserve"> </w:t>
      </w:r>
      <w:r>
        <w:t>(</w:t>
      </w:r>
      <w:r w:rsidR="0020764E">
        <w:rPr>
          <w:rFonts w:asciiTheme="minorHAnsi" w:hAnsiTheme="minorHAnsi" w:cs="Arial"/>
          <w:color w:val="0000FF"/>
          <w:sz w:val="20"/>
          <w:szCs w:val="20"/>
        </w:rPr>
        <w:t>CSR 306, 2015 (130</w:t>
      </w:r>
      <w:r w:rsidR="0033498B">
        <w:rPr>
          <w:rFonts w:asciiTheme="minorHAnsi" w:hAnsiTheme="minorHAnsi" w:cs="Arial"/>
          <w:color w:val="0000FF"/>
          <w:sz w:val="20"/>
          <w:szCs w:val="20"/>
        </w:rPr>
        <w:t>)</w:t>
      </w:r>
      <w:r w:rsidRPr="00507051">
        <w:rPr>
          <w:rFonts w:asciiTheme="minorHAnsi" w:hAnsiTheme="minorHAnsi" w:cs="Arial"/>
          <w:sz w:val="20"/>
          <w:szCs w:val="20"/>
        </w:rPr>
        <w:t>)</w:t>
      </w:r>
      <w:r w:rsidR="00AE39FA">
        <w:rPr>
          <w:rFonts w:asciiTheme="minorHAnsi" w:hAnsiTheme="minorHAnsi" w:cs="Arial"/>
          <w:sz w:val="20"/>
          <w:szCs w:val="20"/>
        </w:rPr>
        <w:t>.</w:t>
      </w:r>
    </w:p>
    <w:p w14:paraId="22D89C10" w14:textId="77777777" w:rsidR="00F562F7" w:rsidRPr="002E5347" w:rsidRDefault="00F562F7" w:rsidP="000210A2">
      <w:pPr>
        <w:pStyle w:val="Paragrafoelenco3"/>
        <w:spacing w:line="360" w:lineRule="auto"/>
        <w:ind w:left="0"/>
        <w:rPr>
          <w:rFonts w:asciiTheme="minorHAnsi" w:hAnsiTheme="minorHAnsi" w:cs="Arial"/>
          <w:sz w:val="20"/>
          <w:szCs w:val="20"/>
        </w:rPr>
      </w:pPr>
    </w:p>
    <w:p w14:paraId="64F50DFD" w14:textId="7C069DA1" w:rsidR="002E5347" w:rsidRPr="00F562F7" w:rsidRDefault="00F562F7" w:rsidP="00F562F7">
      <w:pPr>
        <w:pStyle w:val="Caption"/>
        <w:rPr>
          <w:rFonts w:asciiTheme="minorHAnsi" w:hAnsiTheme="minorHAnsi" w:cstheme="minorHAnsi"/>
          <w:lang w:val="it-IT"/>
        </w:rPr>
      </w:pPr>
      <w:bookmarkStart w:id="174" w:name="Figura38"/>
      <w:bookmarkStart w:id="175" w:name="_Toc473186933"/>
      <w:bookmarkEnd w:id="174"/>
      <w:r w:rsidRPr="00F562F7">
        <w:rPr>
          <w:rFonts w:asciiTheme="minorHAnsi" w:hAnsiTheme="minorHAnsi" w:cstheme="minorHAnsi"/>
          <w:lang w:val="it-IT"/>
        </w:rPr>
        <w:t xml:space="preserve">Figura </w:t>
      </w:r>
      <w:r w:rsidRPr="00F562F7">
        <w:rPr>
          <w:rFonts w:asciiTheme="minorHAnsi" w:hAnsiTheme="minorHAnsi" w:cstheme="minorHAnsi"/>
        </w:rPr>
        <w:fldChar w:fldCharType="begin"/>
      </w:r>
      <w:r w:rsidRPr="00F562F7">
        <w:rPr>
          <w:rFonts w:asciiTheme="minorHAnsi" w:hAnsiTheme="minorHAnsi" w:cstheme="minorHAnsi"/>
          <w:lang w:val="it-IT"/>
        </w:rPr>
        <w:instrText xml:space="preserve"> SEQ Figura \* ARABIC </w:instrText>
      </w:r>
      <w:r w:rsidRPr="00F562F7">
        <w:rPr>
          <w:rFonts w:asciiTheme="minorHAnsi" w:hAnsiTheme="minorHAnsi" w:cstheme="minorHAnsi"/>
        </w:rPr>
        <w:fldChar w:fldCharType="separate"/>
      </w:r>
      <w:r w:rsidR="00A1679C">
        <w:rPr>
          <w:rFonts w:asciiTheme="minorHAnsi" w:hAnsiTheme="minorHAnsi" w:cstheme="minorHAnsi"/>
          <w:noProof/>
          <w:lang w:val="it-IT"/>
        </w:rPr>
        <w:t>38</w:t>
      </w:r>
      <w:r w:rsidRPr="00F562F7">
        <w:rPr>
          <w:rFonts w:asciiTheme="minorHAnsi" w:hAnsiTheme="minorHAnsi" w:cstheme="minorHAnsi"/>
        </w:rPr>
        <w:fldChar w:fldCharType="end"/>
      </w:r>
      <w:r w:rsidRPr="00F562F7">
        <w:rPr>
          <w:rFonts w:asciiTheme="minorHAnsi" w:hAnsiTheme="minorHAnsi" w:cstheme="minorHAnsi"/>
          <w:lang w:val="it-IT"/>
        </w:rPr>
        <w:t xml:space="preserve"> - </w:t>
      </w:r>
      <w:r w:rsidR="002E5347" w:rsidRPr="00F562F7">
        <w:rPr>
          <w:rFonts w:asciiTheme="minorHAnsi" w:hAnsiTheme="minorHAnsi" w:cstheme="minorHAnsi"/>
          <w:lang w:val="it-IT"/>
        </w:rPr>
        <w:t>Pazienti a target (</w:t>
      </w:r>
      <w:r w:rsidR="005848A1">
        <w:rPr>
          <w:rFonts w:asciiTheme="minorHAnsi" w:hAnsiTheme="minorHAnsi" w:cstheme="minorHAnsi"/>
          <w:lang w:val="it-IT"/>
        </w:rPr>
        <w:t>SUA</w:t>
      </w:r>
      <w:r w:rsidR="002E5347" w:rsidRPr="00F562F7">
        <w:rPr>
          <w:rFonts w:asciiTheme="minorHAnsi" w:hAnsiTheme="minorHAnsi" w:cstheme="minorHAnsi"/>
          <w:lang w:val="it-IT"/>
        </w:rPr>
        <w:t xml:space="preserve">&lt;6mg/dl) - CLEAR core ed extension </w:t>
      </w:r>
      <w:r w:rsidR="00507051">
        <w:rPr>
          <w:rFonts w:asciiTheme="minorHAnsi" w:hAnsiTheme="minorHAnsi" w:cstheme="minorHAnsi"/>
          <w:lang w:val="it-IT"/>
        </w:rPr>
        <w:t xml:space="preserve">(Observed case analysis, popolazione ITT) </w:t>
      </w:r>
      <w:r w:rsidR="00BF042A">
        <w:rPr>
          <w:rFonts w:asciiTheme="minorHAnsi" w:hAnsiTheme="minorHAnsi" w:cstheme="minorHAnsi"/>
          <w:lang w:val="it-IT"/>
        </w:rPr>
        <w:t>(</w:t>
      </w:r>
      <w:r w:rsidR="00BF042A" w:rsidRPr="000563A6">
        <w:rPr>
          <w:rFonts w:asciiTheme="minorHAnsi" w:hAnsiTheme="minorHAnsi" w:cstheme="minorHAnsi"/>
          <w:color w:val="0000FF"/>
          <w:lang w:val="it-IT"/>
        </w:rPr>
        <w:t>adattato</w:t>
      </w:r>
      <w:r w:rsidR="00BF042A" w:rsidRPr="008C3185">
        <w:rPr>
          <w:rFonts w:asciiTheme="minorHAnsi" w:hAnsiTheme="minorHAnsi" w:cstheme="minorHAnsi"/>
          <w:color w:val="0000FF"/>
          <w:lang w:val="it-IT"/>
        </w:rPr>
        <w:t xml:space="preserve"> da </w:t>
      </w:r>
      <w:r w:rsidR="0020764E">
        <w:rPr>
          <w:rFonts w:asciiTheme="minorHAnsi" w:hAnsiTheme="minorHAnsi" w:cstheme="minorHAnsi"/>
          <w:color w:val="0000FF"/>
          <w:lang w:val="it-IT"/>
        </w:rPr>
        <w:t>CSR 306, 2015 (130</w:t>
      </w:r>
      <w:r w:rsidR="0033498B">
        <w:rPr>
          <w:rFonts w:asciiTheme="minorHAnsi" w:hAnsiTheme="minorHAnsi" w:cstheme="minorHAnsi"/>
          <w:color w:val="0000FF"/>
          <w:lang w:val="it-IT"/>
        </w:rPr>
        <w:t>)</w:t>
      </w:r>
      <w:r w:rsidR="008A672B">
        <w:rPr>
          <w:rFonts w:asciiTheme="minorHAnsi" w:hAnsiTheme="minorHAnsi" w:cstheme="minorHAnsi"/>
          <w:color w:val="0000FF"/>
          <w:lang w:val="it-IT"/>
        </w:rPr>
        <w:t xml:space="preserve"> e </w:t>
      </w:r>
      <w:r w:rsidR="00244086">
        <w:rPr>
          <w:rFonts w:asciiTheme="minorHAnsi" w:hAnsiTheme="minorHAnsi" w:cstheme="minorHAnsi"/>
          <w:color w:val="0000FF"/>
          <w:lang w:val="it-IT"/>
        </w:rPr>
        <w:t>Saag, 2016 (143)</w:t>
      </w:r>
      <w:r w:rsidR="00BF042A">
        <w:rPr>
          <w:rFonts w:asciiTheme="minorHAnsi" w:hAnsiTheme="minorHAnsi" w:cstheme="minorHAnsi"/>
          <w:lang w:val="it-IT"/>
        </w:rPr>
        <w:t>)</w:t>
      </w:r>
      <w:bookmarkEnd w:id="175"/>
    </w:p>
    <w:p w14:paraId="28269FD1" w14:textId="6B4FD9BD" w:rsidR="002E5347" w:rsidRDefault="002E5347" w:rsidP="002E5347">
      <w:pPr>
        <w:pStyle w:val="Subtitle"/>
        <w:rPr>
          <w:noProof/>
          <w:lang w:val="it-IT"/>
        </w:rPr>
      </w:pPr>
      <w:r>
        <w:rPr>
          <w:noProof/>
          <w:lang w:eastAsia="en-GB"/>
        </w:rPr>
        <w:drawing>
          <wp:inline distT="0" distB="0" distL="0" distR="0" wp14:anchorId="38A04B49" wp14:editId="49644E46">
            <wp:extent cx="5384800" cy="3585767"/>
            <wp:effectExtent l="19050" t="19050" r="25400" b="1524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88497" cy="3588229"/>
                    </a:xfrm>
                    <a:prstGeom prst="rect">
                      <a:avLst/>
                    </a:prstGeom>
                    <a:noFill/>
                    <a:ln w="9525">
                      <a:solidFill>
                        <a:srgbClr val="000000"/>
                      </a:solidFill>
                      <a:miter lim="800000"/>
                      <a:headEnd/>
                      <a:tailEnd/>
                    </a:ln>
                  </pic:spPr>
                </pic:pic>
              </a:graphicData>
            </a:graphic>
          </wp:inline>
        </w:drawing>
      </w:r>
    </w:p>
    <w:p w14:paraId="13FD6195" w14:textId="77777777" w:rsidR="00F562F7" w:rsidRDefault="00F562F7" w:rsidP="000210A2">
      <w:pPr>
        <w:pStyle w:val="Paragrafoelenco3"/>
        <w:spacing w:line="360" w:lineRule="auto"/>
        <w:ind w:left="0"/>
        <w:rPr>
          <w:rFonts w:asciiTheme="minorHAnsi" w:hAnsiTheme="minorHAnsi" w:cs="Arial"/>
          <w:sz w:val="20"/>
          <w:szCs w:val="20"/>
        </w:rPr>
      </w:pPr>
    </w:p>
    <w:p w14:paraId="321FD475" w14:textId="6EB81BEB" w:rsidR="002E5347" w:rsidRPr="00485F07" w:rsidRDefault="002E5347" w:rsidP="000210A2">
      <w:pPr>
        <w:pStyle w:val="Paragrafoelenco3"/>
        <w:spacing w:line="360" w:lineRule="auto"/>
        <w:ind w:left="0"/>
        <w:rPr>
          <w:rFonts w:asciiTheme="minorHAnsi" w:hAnsiTheme="minorHAnsi" w:cs="Arial"/>
          <w:b/>
          <w:sz w:val="20"/>
          <w:szCs w:val="20"/>
        </w:rPr>
      </w:pPr>
      <w:r w:rsidRPr="00485F07">
        <w:rPr>
          <w:rFonts w:asciiTheme="minorHAnsi" w:hAnsiTheme="minorHAnsi" w:cs="Arial"/>
          <w:b/>
          <w:sz w:val="20"/>
          <w:szCs w:val="20"/>
        </w:rPr>
        <w:t>Il miglioramento rispetto a</w:t>
      </w:r>
      <w:r w:rsidR="000563A6" w:rsidRPr="00485F07">
        <w:rPr>
          <w:rFonts w:asciiTheme="minorHAnsi" w:hAnsiTheme="minorHAnsi" w:cs="Arial"/>
          <w:b/>
          <w:sz w:val="20"/>
          <w:szCs w:val="20"/>
        </w:rPr>
        <w:t xml:space="preserve">l raggiungimento del target di </w:t>
      </w:r>
      <w:r w:rsidR="005848A1" w:rsidRPr="00485F07">
        <w:rPr>
          <w:rFonts w:asciiTheme="minorHAnsi" w:hAnsiTheme="minorHAnsi" w:cs="Arial"/>
          <w:b/>
          <w:sz w:val="20"/>
          <w:szCs w:val="20"/>
        </w:rPr>
        <w:t>sUA</w:t>
      </w:r>
      <w:r w:rsidRPr="00485F07">
        <w:rPr>
          <w:rFonts w:asciiTheme="minorHAnsi" w:hAnsiTheme="minorHAnsi" w:cs="Arial"/>
          <w:b/>
          <w:sz w:val="20"/>
          <w:szCs w:val="20"/>
        </w:rPr>
        <w:t xml:space="preserve">, è </w:t>
      </w:r>
      <w:r w:rsidR="002B2447" w:rsidRPr="00485F07">
        <w:rPr>
          <w:rFonts w:asciiTheme="minorHAnsi" w:hAnsiTheme="minorHAnsi" w:cs="Arial"/>
          <w:b/>
          <w:sz w:val="20"/>
          <w:szCs w:val="20"/>
        </w:rPr>
        <w:t xml:space="preserve">stato  </w:t>
      </w:r>
      <w:r w:rsidRPr="00485F07">
        <w:rPr>
          <w:rFonts w:asciiTheme="minorHAnsi" w:hAnsiTheme="minorHAnsi" w:cs="Arial"/>
          <w:b/>
          <w:sz w:val="20"/>
          <w:szCs w:val="20"/>
        </w:rPr>
        <w:t xml:space="preserve">confermato anche per quanto riguarda la proporzione di pazienti che raggiungono </w:t>
      </w:r>
      <w:r w:rsidR="00881C4A" w:rsidRPr="00485F07">
        <w:rPr>
          <w:rFonts w:asciiTheme="minorHAnsi" w:hAnsiTheme="minorHAnsi" w:cs="Arial"/>
          <w:b/>
          <w:sz w:val="20"/>
          <w:szCs w:val="20"/>
        </w:rPr>
        <w:t xml:space="preserve">il target di </w:t>
      </w:r>
      <w:r w:rsidR="005848A1" w:rsidRPr="00485F07">
        <w:rPr>
          <w:rFonts w:asciiTheme="minorHAnsi" w:hAnsiTheme="minorHAnsi" w:cs="Arial"/>
          <w:b/>
          <w:sz w:val="20"/>
          <w:szCs w:val="20"/>
        </w:rPr>
        <w:t>sUA</w:t>
      </w:r>
      <w:r w:rsidRPr="00485F07">
        <w:rPr>
          <w:rFonts w:asciiTheme="minorHAnsi" w:hAnsiTheme="minorHAnsi" w:cs="Arial"/>
          <w:b/>
          <w:sz w:val="20"/>
          <w:szCs w:val="20"/>
        </w:rPr>
        <w:t>&lt;5 mg/dl</w:t>
      </w:r>
      <w:r w:rsidR="002B2447" w:rsidRPr="00485F07">
        <w:rPr>
          <w:rFonts w:asciiTheme="minorHAnsi" w:hAnsiTheme="minorHAnsi" w:cs="Arial"/>
          <w:b/>
          <w:sz w:val="20"/>
          <w:szCs w:val="20"/>
        </w:rPr>
        <w:t>, sUA&lt;4 mg/dl e sUA&lt;3 mg/dl (OC analysis, popolazione ITT)</w:t>
      </w:r>
      <w:r w:rsidR="00E74F62" w:rsidRPr="00485F07">
        <w:rPr>
          <w:rFonts w:asciiTheme="minorHAnsi" w:hAnsiTheme="minorHAnsi" w:cs="Arial"/>
          <w:b/>
          <w:sz w:val="20"/>
          <w:szCs w:val="20"/>
        </w:rPr>
        <w:t xml:space="preserve"> (</w:t>
      </w:r>
      <w:r w:rsidR="0020764E">
        <w:rPr>
          <w:rFonts w:asciiTheme="minorHAnsi" w:hAnsiTheme="minorHAnsi" w:cs="Arial"/>
          <w:b/>
          <w:color w:val="0000FF"/>
          <w:sz w:val="20"/>
          <w:szCs w:val="20"/>
        </w:rPr>
        <w:t>CSR 306, 2015 (130</w:t>
      </w:r>
      <w:r w:rsidR="0033498B">
        <w:rPr>
          <w:rFonts w:asciiTheme="minorHAnsi" w:hAnsiTheme="minorHAnsi" w:cs="Arial"/>
          <w:b/>
          <w:color w:val="0000FF"/>
          <w:sz w:val="20"/>
          <w:szCs w:val="20"/>
        </w:rPr>
        <w:t>)</w:t>
      </w:r>
      <w:r w:rsidR="00E74F62" w:rsidRPr="00485F07">
        <w:rPr>
          <w:rFonts w:asciiTheme="minorHAnsi" w:hAnsiTheme="minorHAnsi" w:cs="Arial"/>
          <w:b/>
          <w:sz w:val="20"/>
          <w:szCs w:val="20"/>
        </w:rPr>
        <w:t>)</w:t>
      </w:r>
      <w:r w:rsidR="002B2447" w:rsidRPr="00485F07">
        <w:rPr>
          <w:rFonts w:asciiTheme="minorHAnsi" w:hAnsiTheme="minorHAnsi" w:cs="Arial"/>
          <w:b/>
          <w:sz w:val="20"/>
          <w:szCs w:val="20"/>
        </w:rPr>
        <w:t xml:space="preserve">. </w:t>
      </w:r>
    </w:p>
    <w:p w14:paraId="79FE0001" w14:textId="0AE6D465" w:rsidR="002E5347" w:rsidRDefault="002E5347" w:rsidP="000210A2">
      <w:pPr>
        <w:pStyle w:val="Paragrafoelenco3"/>
        <w:spacing w:line="360" w:lineRule="auto"/>
        <w:ind w:left="0"/>
        <w:rPr>
          <w:rFonts w:asciiTheme="minorHAnsi" w:hAnsiTheme="minorHAnsi" w:cs="Arial"/>
          <w:sz w:val="20"/>
          <w:szCs w:val="20"/>
        </w:rPr>
      </w:pPr>
      <w:r w:rsidRPr="00B43F07">
        <w:rPr>
          <w:rFonts w:asciiTheme="minorHAnsi" w:hAnsiTheme="minorHAnsi" w:cs="Arial"/>
          <w:sz w:val="20"/>
          <w:szCs w:val="20"/>
        </w:rPr>
        <w:t xml:space="preserve">Analogamente, anche la percentuale di variazione del livello </w:t>
      </w:r>
      <w:r w:rsidR="005848A1">
        <w:rPr>
          <w:rFonts w:asciiTheme="minorHAnsi" w:hAnsiTheme="minorHAnsi" w:cs="Arial"/>
          <w:sz w:val="20"/>
          <w:szCs w:val="20"/>
        </w:rPr>
        <w:t>sUA</w:t>
      </w:r>
      <w:r w:rsidRPr="00B43F07">
        <w:rPr>
          <w:rFonts w:asciiTheme="minorHAnsi" w:hAnsiTheme="minorHAnsi" w:cs="Arial"/>
          <w:sz w:val="20"/>
          <w:szCs w:val="20"/>
        </w:rPr>
        <w:t xml:space="preserve"> dalla baseline diminuisce drasticamente nel gruppo 200CROSS fin dal primo mese, </w:t>
      </w:r>
      <w:r w:rsidR="00E74F62">
        <w:rPr>
          <w:rFonts w:asciiTheme="minorHAnsi" w:hAnsiTheme="minorHAnsi" w:cs="Arial"/>
          <w:sz w:val="20"/>
          <w:szCs w:val="20"/>
        </w:rPr>
        <w:t>raggiungendo livelli di sUA comparabili a quelli del gruppo 200CONT</w:t>
      </w:r>
      <w:r w:rsidR="00AE39FA">
        <w:rPr>
          <w:rFonts w:asciiTheme="minorHAnsi" w:hAnsiTheme="minorHAnsi" w:cs="Arial"/>
          <w:sz w:val="20"/>
          <w:szCs w:val="20"/>
        </w:rPr>
        <w:t>.</w:t>
      </w:r>
      <w:r w:rsidRPr="00B43F07">
        <w:rPr>
          <w:rFonts w:asciiTheme="minorHAnsi" w:hAnsiTheme="minorHAnsi" w:cs="Arial"/>
          <w:sz w:val="20"/>
          <w:szCs w:val="20"/>
        </w:rPr>
        <w:t xml:space="preserve"> </w:t>
      </w:r>
    </w:p>
    <w:p w14:paraId="3781CAC3" w14:textId="77777777" w:rsidR="00B43F07" w:rsidRDefault="00B43F07" w:rsidP="000210A2">
      <w:pPr>
        <w:pStyle w:val="Paragrafoelenco3"/>
        <w:spacing w:line="360" w:lineRule="auto"/>
        <w:ind w:left="0"/>
        <w:rPr>
          <w:rFonts w:asciiTheme="minorHAnsi" w:hAnsiTheme="minorHAnsi" w:cs="Arial"/>
          <w:sz w:val="20"/>
          <w:szCs w:val="20"/>
        </w:rPr>
      </w:pPr>
    </w:p>
    <w:p w14:paraId="55965139" w14:textId="7D2D1F0C" w:rsidR="00561D33" w:rsidRDefault="00DE5A12" w:rsidP="000210A2">
      <w:pPr>
        <w:pStyle w:val="Paragrafoelenco3"/>
        <w:spacing w:line="360" w:lineRule="auto"/>
        <w:ind w:left="0"/>
        <w:rPr>
          <w:rFonts w:asciiTheme="minorHAnsi" w:hAnsiTheme="minorHAnsi" w:cs="Arial"/>
          <w:sz w:val="20"/>
          <w:szCs w:val="20"/>
        </w:rPr>
      </w:pPr>
      <w:r w:rsidRPr="00485F07">
        <w:rPr>
          <w:rFonts w:asciiTheme="minorHAnsi" w:hAnsiTheme="minorHAnsi" w:cs="Arial"/>
          <w:b/>
          <w:sz w:val="20"/>
          <w:szCs w:val="20"/>
        </w:rPr>
        <w:t>Lesinurad è stato efficace anche sulla risoluzione del tofo target</w:t>
      </w:r>
      <w:r w:rsidRPr="00B43F07">
        <w:rPr>
          <w:rFonts w:asciiTheme="minorHAnsi" w:hAnsiTheme="minorHAnsi" w:cs="Arial"/>
          <w:sz w:val="20"/>
          <w:szCs w:val="20"/>
        </w:rPr>
        <w:t xml:space="preserve"> (key secondary end-point): </w:t>
      </w:r>
      <w:r>
        <w:rPr>
          <w:rFonts w:asciiTheme="minorHAnsi" w:hAnsiTheme="minorHAnsi" w:cs="Arial"/>
          <w:sz w:val="20"/>
          <w:szCs w:val="20"/>
        </w:rPr>
        <w:t xml:space="preserve">ad ogni visita mensile la percentuale di pazienti </w:t>
      </w:r>
      <w:r w:rsidRPr="00B43F07">
        <w:rPr>
          <w:rFonts w:asciiTheme="minorHAnsi" w:hAnsiTheme="minorHAnsi" w:cs="Arial"/>
          <w:sz w:val="20"/>
          <w:szCs w:val="20"/>
        </w:rPr>
        <w:t xml:space="preserve">con risoluzione completa del tofo target è </w:t>
      </w:r>
      <w:r>
        <w:rPr>
          <w:rFonts w:asciiTheme="minorHAnsi" w:hAnsiTheme="minorHAnsi" w:cs="Arial"/>
          <w:sz w:val="20"/>
          <w:szCs w:val="20"/>
        </w:rPr>
        <w:t>progressivamente</w:t>
      </w:r>
      <w:r w:rsidRPr="00B43F07">
        <w:rPr>
          <w:rFonts w:asciiTheme="minorHAnsi" w:hAnsiTheme="minorHAnsi" w:cs="Arial"/>
          <w:sz w:val="20"/>
          <w:szCs w:val="20"/>
        </w:rPr>
        <w:t xml:space="preserve"> aumentata fino a fine studio</w:t>
      </w:r>
      <w:r>
        <w:rPr>
          <w:rFonts w:asciiTheme="minorHAnsi" w:hAnsiTheme="minorHAnsi" w:cs="Arial"/>
          <w:sz w:val="20"/>
          <w:szCs w:val="20"/>
        </w:rPr>
        <w:t xml:space="preserve"> in modo comparabile nei due gruppi di trattamento </w:t>
      </w:r>
      <w:r w:rsidRPr="00DE5A12">
        <w:rPr>
          <w:rFonts w:asciiTheme="minorHAnsi" w:hAnsiTheme="minorHAnsi" w:cs="Arial"/>
          <w:sz w:val="20"/>
          <w:szCs w:val="20"/>
        </w:rPr>
        <w:t>(45,5% nei soggetti 200CROSS e 43,8% nei soggetti 200CONT)</w:t>
      </w:r>
      <w:r w:rsidR="00561D33">
        <w:rPr>
          <w:rFonts w:asciiTheme="minorHAnsi" w:hAnsiTheme="minorHAnsi" w:cs="Arial"/>
          <w:sz w:val="20"/>
          <w:szCs w:val="20"/>
        </w:rPr>
        <w:t xml:space="preserve"> </w:t>
      </w:r>
      <w:r w:rsidR="00561D33" w:rsidRPr="00CC2CE9">
        <w:rPr>
          <w:rFonts w:asciiTheme="minorHAnsi" w:hAnsiTheme="minorHAnsi" w:cs="Arial"/>
          <w:sz w:val="20"/>
          <w:szCs w:val="20"/>
        </w:rPr>
        <w:t>(</w:t>
      </w:r>
      <w:hyperlink w:anchor="Figura39" w:history="1">
        <w:r w:rsidR="00CC2CE9" w:rsidRPr="00CC2CE9">
          <w:rPr>
            <w:rStyle w:val="Hyperlink"/>
            <w:rFonts w:asciiTheme="minorHAnsi" w:hAnsiTheme="minorHAnsi" w:cs="Arial"/>
            <w:sz w:val="20"/>
            <w:szCs w:val="20"/>
          </w:rPr>
          <w:t>F</w:t>
        </w:r>
        <w:r w:rsidR="00561D33" w:rsidRPr="00CC2CE9">
          <w:rPr>
            <w:rStyle w:val="Hyperlink"/>
            <w:rFonts w:asciiTheme="minorHAnsi" w:hAnsiTheme="minorHAnsi" w:cs="Arial"/>
            <w:sz w:val="20"/>
            <w:szCs w:val="20"/>
          </w:rPr>
          <w:t>igura 3</w:t>
        </w:r>
        <w:r w:rsidR="00CC2CE9" w:rsidRPr="00CC2CE9">
          <w:rPr>
            <w:rStyle w:val="Hyperlink"/>
            <w:rFonts w:asciiTheme="minorHAnsi" w:hAnsiTheme="minorHAnsi" w:cs="Arial"/>
            <w:sz w:val="20"/>
            <w:szCs w:val="20"/>
          </w:rPr>
          <w:t>9</w:t>
        </w:r>
      </w:hyperlink>
      <w:r w:rsidR="00561D33" w:rsidRPr="00CC2CE9">
        <w:rPr>
          <w:rFonts w:asciiTheme="minorHAnsi" w:hAnsiTheme="minorHAnsi" w:cs="Arial"/>
          <w:sz w:val="20"/>
          <w:szCs w:val="20"/>
        </w:rPr>
        <w:t>)</w:t>
      </w:r>
      <w:r w:rsidR="00CC2CE9">
        <w:rPr>
          <w:rFonts w:asciiTheme="minorHAnsi" w:hAnsiTheme="minorHAnsi" w:cs="Arial"/>
          <w:sz w:val="20"/>
          <w:szCs w:val="20"/>
        </w:rPr>
        <w:t>.</w:t>
      </w:r>
      <w:r>
        <w:rPr>
          <w:rFonts w:asciiTheme="minorHAnsi" w:hAnsiTheme="minorHAnsi" w:cs="Arial"/>
          <w:sz w:val="20"/>
          <w:szCs w:val="20"/>
        </w:rPr>
        <w:t xml:space="preserve"> </w:t>
      </w:r>
    </w:p>
    <w:p w14:paraId="393BA8EC" w14:textId="25662FDF" w:rsidR="00561D33" w:rsidRPr="00CC2CE9" w:rsidRDefault="00CC2CE9" w:rsidP="000210A2">
      <w:pPr>
        <w:pStyle w:val="Paragrafoelenco3"/>
        <w:spacing w:line="360" w:lineRule="auto"/>
        <w:ind w:left="0"/>
        <w:rPr>
          <w:rFonts w:asciiTheme="minorHAnsi" w:hAnsiTheme="minorHAnsi" w:cs="Arial"/>
          <w:sz w:val="20"/>
          <w:szCs w:val="20"/>
        </w:rPr>
      </w:pPr>
      <w:r w:rsidRPr="00CC2CE9">
        <w:rPr>
          <w:rFonts w:asciiTheme="minorHAnsi" w:hAnsiTheme="minorHAnsi" w:cs="Arial"/>
          <w:sz w:val="20"/>
          <w:szCs w:val="20"/>
        </w:rPr>
        <w:t xml:space="preserve">La risoluzione complete o parziale di </w:t>
      </w:r>
      <w:r w:rsidR="00561D33" w:rsidRPr="00CC2CE9">
        <w:rPr>
          <w:rFonts w:asciiTheme="minorHAnsi" w:hAnsiTheme="minorHAnsi" w:cs="Arial"/>
          <w:sz w:val="20"/>
          <w:szCs w:val="20"/>
        </w:rPr>
        <w:t xml:space="preserve">≥1 </w:t>
      </w:r>
      <w:r w:rsidRPr="00CC2CE9">
        <w:rPr>
          <w:rFonts w:asciiTheme="minorHAnsi" w:hAnsiTheme="minorHAnsi" w:cs="Arial"/>
          <w:sz w:val="20"/>
          <w:szCs w:val="20"/>
        </w:rPr>
        <w:t xml:space="preserve">tofo </w:t>
      </w:r>
      <w:r w:rsidR="00561D33" w:rsidRPr="00CC2CE9">
        <w:rPr>
          <w:rFonts w:asciiTheme="minorHAnsi" w:hAnsiTheme="minorHAnsi" w:cs="Arial"/>
          <w:sz w:val="20"/>
          <w:szCs w:val="20"/>
        </w:rPr>
        <w:t xml:space="preserve">target </w:t>
      </w:r>
      <w:r w:rsidRPr="00CC2CE9">
        <w:rPr>
          <w:rFonts w:asciiTheme="minorHAnsi" w:hAnsiTheme="minorHAnsi" w:cs="Arial"/>
          <w:sz w:val="20"/>
          <w:szCs w:val="20"/>
        </w:rPr>
        <w:t xml:space="preserve">è stata osservata nel </w:t>
      </w:r>
      <w:r w:rsidR="00561D33" w:rsidRPr="00CC2CE9">
        <w:rPr>
          <w:rFonts w:asciiTheme="minorHAnsi" w:hAnsiTheme="minorHAnsi" w:cs="Arial"/>
          <w:sz w:val="20"/>
          <w:szCs w:val="20"/>
        </w:rPr>
        <w:t xml:space="preserve">59.3% </w:t>
      </w:r>
      <w:r w:rsidRPr="00CC2CE9">
        <w:rPr>
          <w:rFonts w:asciiTheme="minorHAnsi" w:hAnsiTheme="minorHAnsi" w:cs="Arial"/>
          <w:sz w:val="20"/>
          <w:szCs w:val="20"/>
        </w:rPr>
        <w:t xml:space="preserve">dei soggetti in trattamento con </w:t>
      </w:r>
      <w:r w:rsidR="00561D33" w:rsidRPr="00CC2CE9">
        <w:rPr>
          <w:rFonts w:asciiTheme="minorHAnsi" w:hAnsiTheme="minorHAnsi" w:cs="Arial"/>
          <w:sz w:val="20"/>
          <w:szCs w:val="20"/>
        </w:rPr>
        <w:t xml:space="preserve">lesinurad 200 mg </w:t>
      </w:r>
      <w:r w:rsidRPr="00CC2CE9">
        <w:rPr>
          <w:rFonts w:asciiTheme="minorHAnsi" w:hAnsiTheme="minorHAnsi" w:cs="Arial"/>
          <w:sz w:val="20"/>
          <w:szCs w:val="20"/>
        </w:rPr>
        <w:t>al Mese 12 dello studio di estensione</w:t>
      </w:r>
      <w:r>
        <w:rPr>
          <w:rFonts w:asciiTheme="minorHAnsi" w:hAnsiTheme="minorHAnsi" w:cs="Arial"/>
          <w:sz w:val="20"/>
          <w:szCs w:val="20"/>
        </w:rPr>
        <w:t>.</w:t>
      </w:r>
    </w:p>
    <w:p w14:paraId="2FCEEA59" w14:textId="77777777" w:rsidR="002B135D" w:rsidRPr="00CC2CE9" w:rsidRDefault="002B135D" w:rsidP="00B43F07">
      <w:pPr>
        <w:pStyle w:val="Paragrafoelenco3"/>
        <w:spacing w:line="360" w:lineRule="auto"/>
        <w:ind w:left="0"/>
        <w:jc w:val="both"/>
        <w:rPr>
          <w:rFonts w:asciiTheme="minorHAnsi" w:hAnsiTheme="minorHAnsi" w:cs="Arial"/>
          <w:sz w:val="20"/>
          <w:szCs w:val="20"/>
        </w:rPr>
      </w:pPr>
    </w:p>
    <w:p w14:paraId="06C1FF5C" w14:textId="5DB18E11" w:rsidR="002E5347" w:rsidRPr="00F562F7" w:rsidRDefault="00F562F7" w:rsidP="00F562F7">
      <w:pPr>
        <w:pStyle w:val="Caption"/>
        <w:rPr>
          <w:rFonts w:asciiTheme="minorHAnsi" w:hAnsiTheme="minorHAnsi" w:cstheme="minorHAnsi"/>
          <w:lang w:val="it-IT"/>
        </w:rPr>
      </w:pPr>
      <w:bookmarkStart w:id="176" w:name="Figura39"/>
      <w:bookmarkStart w:id="177" w:name="_Toc473186934"/>
      <w:bookmarkEnd w:id="176"/>
      <w:r w:rsidRPr="00F562F7">
        <w:rPr>
          <w:rFonts w:asciiTheme="minorHAnsi" w:hAnsiTheme="minorHAnsi" w:cstheme="minorHAnsi"/>
          <w:lang w:val="it-IT"/>
        </w:rPr>
        <w:t xml:space="preserve">Figura </w:t>
      </w:r>
      <w:r w:rsidRPr="00F562F7">
        <w:rPr>
          <w:rFonts w:asciiTheme="minorHAnsi" w:hAnsiTheme="minorHAnsi" w:cstheme="minorHAnsi"/>
        </w:rPr>
        <w:fldChar w:fldCharType="begin"/>
      </w:r>
      <w:r w:rsidRPr="00F562F7">
        <w:rPr>
          <w:rFonts w:asciiTheme="minorHAnsi" w:hAnsiTheme="minorHAnsi" w:cstheme="minorHAnsi"/>
          <w:lang w:val="it-IT"/>
        </w:rPr>
        <w:instrText xml:space="preserve"> SEQ Figura \* ARABIC </w:instrText>
      </w:r>
      <w:r w:rsidRPr="00F562F7">
        <w:rPr>
          <w:rFonts w:asciiTheme="minorHAnsi" w:hAnsiTheme="minorHAnsi" w:cstheme="minorHAnsi"/>
        </w:rPr>
        <w:fldChar w:fldCharType="separate"/>
      </w:r>
      <w:r w:rsidR="00A1679C">
        <w:rPr>
          <w:rFonts w:asciiTheme="minorHAnsi" w:hAnsiTheme="minorHAnsi" w:cstheme="minorHAnsi"/>
          <w:noProof/>
          <w:lang w:val="it-IT"/>
        </w:rPr>
        <w:t>39</w:t>
      </w:r>
      <w:r w:rsidRPr="00F562F7">
        <w:rPr>
          <w:rFonts w:asciiTheme="minorHAnsi" w:hAnsiTheme="minorHAnsi" w:cstheme="minorHAnsi"/>
        </w:rPr>
        <w:fldChar w:fldCharType="end"/>
      </w:r>
      <w:r w:rsidRPr="00F562F7">
        <w:rPr>
          <w:rFonts w:asciiTheme="minorHAnsi" w:hAnsiTheme="minorHAnsi" w:cstheme="minorHAnsi"/>
          <w:lang w:val="it-IT"/>
        </w:rPr>
        <w:t xml:space="preserve"> - </w:t>
      </w:r>
      <w:r w:rsidR="002E5347" w:rsidRPr="00F562F7">
        <w:rPr>
          <w:rFonts w:asciiTheme="minorHAnsi" w:hAnsiTheme="minorHAnsi" w:cstheme="minorHAnsi"/>
          <w:lang w:val="it-IT"/>
        </w:rPr>
        <w:t xml:space="preserve">Percentuale di soggetti con risoluzione completa </w:t>
      </w:r>
      <w:r w:rsidR="002E5347" w:rsidRPr="00F562F7">
        <w:rPr>
          <w:rFonts w:asciiTheme="minorHAnsi" w:hAnsiTheme="minorHAnsi" w:cstheme="minorHAnsi"/>
          <w:u w:val="single"/>
          <w:lang w:val="it-IT"/>
        </w:rPr>
        <w:t>&gt;</w:t>
      </w:r>
      <w:r w:rsidR="002E5347" w:rsidRPr="00F562F7">
        <w:rPr>
          <w:rFonts w:asciiTheme="minorHAnsi" w:hAnsiTheme="minorHAnsi" w:cstheme="minorHAnsi"/>
          <w:lang w:val="it-IT"/>
        </w:rPr>
        <w:t>1 tofo target – CLEAR core e extension</w:t>
      </w:r>
      <w:r w:rsidR="000D0A82">
        <w:rPr>
          <w:rFonts w:asciiTheme="minorHAnsi" w:hAnsiTheme="minorHAnsi" w:cstheme="minorHAnsi"/>
          <w:lang w:val="it-IT"/>
        </w:rPr>
        <w:t xml:space="preserve"> </w:t>
      </w:r>
      <w:r w:rsidR="000E3022">
        <w:rPr>
          <w:rFonts w:asciiTheme="minorHAnsi" w:hAnsiTheme="minorHAnsi" w:cstheme="minorHAnsi"/>
          <w:lang w:val="it-IT"/>
        </w:rPr>
        <w:t xml:space="preserve">(analisi LOCF, popolazione ITT) </w:t>
      </w:r>
      <w:r w:rsidR="000D0A82" w:rsidRPr="000563A6">
        <w:rPr>
          <w:rFonts w:asciiTheme="minorHAnsi" w:hAnsiTheme="minorHAnsi" w:cstheme="minorHAnsi"/>
          <w:color w:val="auto"/>
          <w:lang w:val="it-IT"/>
        </w:rPr>
        <w:t>(</w:t>
      </w:r>
      <w:r w:rsidR="000D0A82" w:rsidRPr="000563A6">
        <w:rPr>
          <w:rFonts w:asciiTheme="minorHAnsi" w:hAnsiTheme="minorHAnsi" w:cstheme="minorHAnsi"/>
          <w:color w:val="0000FF"/>
          <w:lang w:val="it-IT"/>
        </w:rPr>
        <w:t>adattato</w:t>
      </w:r>
      <w:r w:rsidR="000D0A82" w:rsidRPr="008C3185">
        <w:rPr>
          <w:rFonts w:asciiTheme="minorHAnsi" w:hAnsiTheme="minorHAnsi" w:cstheme="minorHAnsi"/>
          <w:color w:val="0000FF"/>
          <w:lang w:val="it-IT"/>
        </w:rPr>
        <w:t xml:space="preserve"> da </w:t>
      </w:r>
      <w:r w:rsidR="0033498B">
        <w:rPr>
          <w:rFonts w:asciiTheme="minorHAnsi" w:hAnsiTheme="minorHAnsi" w:cstheme="minorHAnsi"/>
          <w:color w:val="0000FF"/>
          <w:lang w:val="it-IT"/>
        </w:rPr>
        <w:t>CSR 306, 2015</w:t>
      </w:r>
      <w:r w:rsidR="000D0A82" w:rsidRPr="000563A6">
        <w:rPr>
          <w:rFonts w:asciiTheme="minorHAnsi" w:hAnsiTheme="minorHAnsi" w:cstheme="minorHAnsi"/>
          <w:color w:val="auto"/>
          <w:lang w:val="it-IT"/>
        </w:rPr>
        <w:t>)</w:t>
      </w:r>
      <w:bookmarkEnd w:id="177"/>
    </w:p>
    <w:p w14:paraId="4601DA62" w14:textId="77777777" w:rsidR="008A672B" w:rsidRDefault="008A672B" w:rsidP="002E5347"/>
    <w:p w14:paraId="5023BB24" w14:textId="03933897" w:rsidR="008A672B" w:rsidRDefault="008A672B" w:rsidP="002E5347">
      <w:r>
        <w:rPr>
          <w:noProof/>
          <w:lang w:val="en-GB" w:eastAsia="en-GB"/>
        </w:rPr>
        <w:drawing>
          <wp:inline distT="0" distB="0" distL="0" distR="0" wp14:anchorId="08FE25AB" wp14:editId="3436A06E">
            <wp:extent cx="3898900" cy="3580066"/>
            <wp:effectExtent l="0" t="0" r="6350" b="190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00127" cy="3581193"/>
                    </a:xfrm>
                    <a:prstGeom prst="rect">
                      <a:avLst/>
                    </a:prstGeom>
                    <a:noFill/>
                  </pic:spPr>
                </pic:pic>
              </a:graphicData>
            </a:graphic>
          </wp:inline>
        </w:drawing>
      </w:r>
    </w:p>
    <w:p w14:paraId="0276C7C0" w14:textId="77777777" w:rsidR="00F562F7" w:rsidRPr="00F562F7" w:rsidRDefault="00F562F7" w:rsidP="000210A2">
      <w:pPr>
        <w:rPr>
          <w:sz w:val="20"/>
          <w:szCs w:val="20"/>
        </w:rPr>
      </w:pPr>
    </w:p>
    <w:p w14:paraId="28C90D60" w14:textId="77777777" w:rsidR="00561D33" w:rsidRDefault="00561D33" w:rsidP="000210A2">
      <w:pPr>
        <w:pStyle w:val="Paragrafoelenco3"/>
        <w:spacing w:line="360" w:lineRule="auto"/>
        <w:ind w:left="0"/>
        <w:rPr>
          <w:rFonts w:asciiTheme="minorHAnsi" w:hAnsiTheme="minorHAnsi" w:cs="Arial"/>
          <w:sz w:val="20"/>
          <w:szCs w:val="20"/>
        </w:rPr>
      </w:pPr>
    </w:p>
    <w:p w14:paraId="3AFA20CC" w14:textId="1F2E168A" w:rsidR="00561D33" w:rsidRDefault="00561D33" w:rsidP="000210A2">
      <w:pPr>
        <w:pStyle w:val="Paragrafoelenco3"/>
        <w:spacing w:line="360" w:lineRule="auto"/>
        <w:ind w:left="0"/>
        <w:rPr>
          <w:rFonts w:asciiTheme="minorHAnsi" w:hAnsiTheme="minorHAnsi" w:cs="Arial"/>
          <w:sz w:val="20"/>
          <w:szCs w:val="20"/>
        </w:rPr>
      </w:pPr>
      <w:r>
        <w:rPr>
          <w:rFonts w:asciiTheme="minorHAnsi" w:hAnsiTheme="minorHAnsi" w:cs="Arial"/>
          <w:sz w:val="20"/>
          <w:szCs w:val="20"/>
        </w:rPr>
        <w:t>Q</w:t>
      </w:r>
      <w:r w:rsidRPr="00FB6CD6">
        <w:rPr>
          <w:rFonts w:asciiTheme="minorHAnsi" w:hAnsiTheme="minorHAnsi" w:cs="Arial"/>
          <w:sz w:val="20"/>
          <w:szCs w:val="20"/>
        </w:rPr>
        <w:t xml:space="preserve">uesta efficacia si è tradotta anche nella </w:t>
      </w:r>
      <w:r>
        <w:rPr>
          <w:rFonts w:asciiTheme="minorHAnsi" w:hAnsiTheme="minorHAnsi" w:cs="Arial"/>
          <w:sz w:val="20"/>
          <w:szCs w:val="20"/>
        </w:rPr>
        <w:t xml:space="preserve">progressiva </w:t>
      </w:r>
      <w:r w:rsidRPr="00FB6CD6">
        <w:rPr>
          <w:rFonts w:asciiTheme="minorHAnsi" w:hAnsiTheme="minorHAnsi" w:cs="Arial"/>
          <w:sz w:val="20"/>
          <w:szCs w:val="20"/>
        </w:rPr>
        <w:t xml:space="preserve">riduzione dell’area totale </w:t>
      </w:r>
      <w:r>
        <w:rPr>
          <w:rFonts w:asciiTheme="minorHAnsi" w:hAnsiTheme="minorHAnsi" w:cs="Arial"/>
          <w:sz w:val="20"/>
          <w:szCs w:val="20"/>
        </w:rPr>
        <w:t>dei tofi</w:t>
      </w:r>
      <w:r w:rsidRPr="00FB6CD6">
        <w:rPr>
          <w:rFonts w:asciiTheme="minorHAnsi" w:hAnsiTheme="minorHAnsi" w:cs="Arial"/>
          <w:sz w:val="20"/>
          <w:szCs w:val="20"/>
        </w:rPr>
        <w:t xml:space="preserve"> target</w:t>
      </w:r>
      <w:r>
        <w:rPr>
          <w:rFonts w:asciiTheme="minorHAnsi" w:hAnsiTheme="minorHAnsi" w:cs="Arial"/>
          <w:sz w:val="20"/>
          <w:szCs w:val="20"/>
        </w:rPr>
        <w:t xml:space="preserve"> ed è risultata maggiore nel gruppo 200CONT rispetto al gruppo 200CROSS al mese 10 dello studio di estensione (Analisi LOCF, popolazione ITT)</w:t>
      </w:r>
      <w:r w:rsidRPr="008A672B">
        <w:t xml:space="preserve"> </w:t>
      </w:r>
      <w:r w:rsidRPr="00561D33">
        <w:rPr>
          <w:rFonts w:asciiTheme="minorHAnsi" w:hAnsiTheme="minorHAnsi" w:cs="Arial"/>
          <w:sz w:val="20"/>
          <w:szCs w:val="20"/>
        </w:rPr>
        <w:t>(p&gt;0,05)</w:t>
      </w:r>
      <w:r>
        <w:t xml:space="preserve"> (</w:t>
      </w:r>
      <w:r w:rsidR="0020764E">
        <w:rPr>
          <w:rFonts w:asciiTheme="minorHAnsi" w:hAnsiTheme="minorHAnsi" w:cs="Arial"/>
          <w:color w:val="0000FF"/>
          <w:sz w:val="20"/>
          <w:szCs w:val="20"/>
        </w:rPr>
        <w:t>CSR 306, 2015 (130</w:t>
      </w:r>
      <w:r w:rsidR="0033498B">
        <w:rPr>
          <w:rFonts w:asciiTheme="minorHAnsi" w:hAnsiTheme="minorHAnsi" w:cs="Arial"/>
          <w:color w:val="0000FF"/>
          <w:sz w:val="20"/>
          <w:szCs w:val="20"/>
        </w:rPr>
        <w:t>)</w:t>
      </w:r>
      <w:r w:rsidRPr="00E74F62">
        <w:rPr>
          <w:rFonts w:asciiTheme="minorHAnsi" w:hAnsiTheme="minorHAnsi" w:cs="Arial"/>
          <w:sz w:val="20"/>
          <w:szCs w:val="20"/>
        </w:rPr>
        <w:t>)</w:t>
      </w:r>
      <w:r>
        <w:rPr>
          <w:rFonts w:asciiTheme="minorHAnsi" w:hAnsiTheme="minorHAnsi" w:cs="Arial"/>
          <w:sz w:val="20"/>
          <w:szCs w:val="20"/>
        </w:rPr>
        <w:t>.</w:t>
      </w:r>
    </w:p>
    <w:p w14:paraId="3BE9D494" w14:textId="77777777" w:rsidR="00485F07" w:rsidRDefault="00485F07" w:rsidP="000210A2">
      <w:pPr>
        <w:pStyle w:val="Paragrafoelenco3"/>
        <w:spacing w:line="360" w:lineRule="auto"/>
        <w:ind w:left="0"/>
        <w:rPr>
          <w:rFonts w:asciiTheme="minorHAnsi" w:hAnsiTheme="minorHAnsi" w:cs="Arial"/>
          <w:sz w:val="20"/>
          <w:szCs w:val="20"/>
        </w:rPr>
      </w:pPr>
    </w:p>
    <w:p w14:paraId="2BD4718F" w14:textId="24F713D6" w:rsidR="002E5347" w:rsidRDefault="002E5347" w:rsidP="000210A2">
      <w:pPr>
        <w:pStyle w:val="Paragrafoelenco3"/>
        <w:spacing w:line="360" w:lineRule="auto"/>
        <w:ind w:left="0"/>
        <w:rPr>
          <w:rFonts w:asciiTheme="minorHAnsi" w:hAnsiTheme="minorHAnsi" w:cs="Arial"/>
          <w:sz w:val="20"/>
          <w:szCs w:val="20"/>
        </w:rPr>
      </w:pPr>
      <w:r w:rsidRPr="00B43F07">
        <w:rPr>
          <w:rFonts w:asciiTheme="minorHAnsi" w:hAnsiTheme="minorHAnsi" w:cs="Arial"/>
          <w:sz w:val="20"/>
          <w:szCs w:val="20"/>
        </w:rPr>
        <w:t xml:space="preserve">La quota di pazienti che hanno necessitato di trattamento per un </w:t>
      </w:r>
      <w:r w:rsidRPr="00485F07">
        <w:rPr>
          <w:rFonts w:asciiTheme="minorHAnsi" w:hAnsiTheme="minorHAnsi" w:cs="Arial"/>
          <w:b/>
          <w:sz w:val="20"/>
          <w:szCs w:val="20"/>
        </w:rPr>
        <w:t>attacco acuto di gotta</w:t>
      </w:r>
      <w:r w:rsidRPr="00B43F07">
        <w:rPr>
          <w:rFonts w:asciiTheme="minorHAnsi" w:hAnsiTheme="minorHAnsi" w:cs="Arial"/>
          <w:sz w:val="20"/>
          <w:szCs w:val="20"/>
        </w:rPr>
        <w:t xml:space="preserve">, è risultata modesta in entrambi i gruppi di studio </w:t>
      </w:r>
      <w:r w:rsidR="00551267">
        <w:rPr>
          <w:rFonts w:asciiTheme="minorHAnsi" w:hAnsiTheme="minorHAnsi" w:cs="Arial"/>
          <w:sz w:val="20"/>
          <w:szCs w:val="20"/>
        </w:rPr>
        <w:t>durante tutto il periodo di osservazione</w:t>
      </w:r>
      <w:r w:rsidRPr="00B43F07">
        <w:rPr>
          <w:rFonts w:asciiTheme="minorHAnsi" w:hAnsiTheme="minorHAnsi" w:cs="Arial"/>
          <w:sz w:val="20"/>
          <w:szCs w:val="20"/>
        </w:rPr>
        <w:t xml:space="preserve"> </w:t>
      </w:r>
      <w:r w:rsidR="00580D1A">
        <w:rPr>
          <w:rFonts w:asciiTheme="minorHAnsi" w:hAnsiTheme="minorHAnsi" w:cs="Arial"/>
          <w:sz w:val="20"/>
          <w:szCs w:val="20"/>
        </w:rPr>
        <w:t xml:space="preserve"> e</w:t>
      </w:r>
      <w:r w:rsidRPr="00B43F07">
        <w:rPr>
          <w:rFonts w:asciiTheme="minorHAnsi" w:hAnsiTheme="minorHAnsi" w:cs="Arial"/>
          <w:sz w:val="20"/>
          <w:szCs w:val="20"/>
        </w:rPr>
        <w:t xml:space="preserve"> </w:t>
      </w:r>
      <w:r w:rsidRPr="00485F07">
        <w:rPr>
          <w:rFonts w:asciiTheme="minorHAnsi" w:hAnsiTheme="minorHAnsi" w:cs="Arial"/>
          <w:b/>
          <w:sz w:val="20"/>
          <w:szCs w:val="20"/>
        </w:rPr>
        <w:t>ha continuato a diminuire per tutto il periodo di estensione</w:t>
      </w:r>
      <w:r w:rsidR="00206E2E">
        <w:rPr>
          <w:rFonts w:asciiTheme="minorHAnsi" w:hAnsiTheme="minorHAnsi" w:cs="Arial"/>
          <w:sz w:val="20"/>
          <w:szCs w:val="20"/>
        </w:rPr>
        <w:t xml:space="preserve"> (</w:t>
      </w:r>
      <w:hyperlink w:anchor="Figura40" w:history="1">
        <w:r w:rsidR="00206E2E" w:rsidRPr="00CC2CE9">
          <w:rPr>
            <w:rStyle w:val="Hyperlink"/>
            <w:rFonts w:asciiTheme="minorHAnsi" w:hAnsiTheme="minorHAnsi" w:cs="Arial"/>
            <w:sz w:val="20"/>
            <w:szCs w:val="20"/>
          </w:rPr>
          <w:t xml:space="preserve">Figura </w:t>
        </w:r>
        <w:r w:rsidR="00CC2CE9" w:rsidRPr="00CC2CE9">
          <w:rPr>
            <w:rStyle w:val="Hyperlink"/>
            <w:rFonts w:asciiTheme="minorHAnsi" w:hAnsiTheme="minorHAnsi" w:cs="Arial"/>
            <w:sz w:val="20"/>
            <w:szCs w:val="20"/>
          </w:rPr>
          <w:t>40</w:t>
        </w:r>
      </w:hyperlink>
      <w:r w:rsidR="00206E2E" w:rsidRPr="00CC2CE9">
        <w:rPr>
          <w:rFonts w:asciiTheme="minorHAnsi" w:hAnsiTheme="minorHAnsi" w:cs="Arial"/>
          <w:sz w:val="20"/>
          <w:szCs w:val="20"/>
        </w:rPr>
        <w:t>)</w:t>
      </w:r>
      <w:r w:rsidRPr="00CC2CE9">
        <w:rPr>
          <w:rFonts w:asciiTheme="minorHAnsi" w:hAnsiTheme="minorHAnsi" w:cs="Arial"/>
          <w:sz w:val="20"/>
          <w:szCs w:val="20"/>
        </w:rPr>
        <w:t>.</w:t>
      </w:r>
    </w:p>
    <w:p w14:paraId="5FDC91AF" w14:textId="77777777" w:rsidR="002B135D" w:rsidRDefault="002B135D" w:rsidP="000210A2">
      <w:pPr>
        <w:pStyle w:val="Paragrafoelenco3"/>
        <w:spacing w:line="360" w:lineRule="auto"/>
        <w:ind w:left="0"/>
        <w:rPr>
          <w:rFonts w:asciiTheme="minorHAnsi" w:hAnsiTheme="minorHAnsi" w:cs="Arial"/>
          <w:sz w:val="20"/>
          <w:szCs w:val="20"/>
        </w:rPr>
      </w:pPr>
    </w:p>
    <w:p w14:paraId="2EB56A30" w14:textId="77777777" w:rsidR="00485F07" w:rsidRDefault="00485F07" w:rsidP="000210A2">
      <w:pPr>
        <w:pStyle w:val="Paragrafoelenco3"/>
        <w:spacing w:line="360" w:lineRule="auto"/>
        <w:ind w:left="0"/>
        <w:rPr>
          <w:rFonts w:asciiTheme="minorHAnsi" w:hAnsiTheme="minorHAnsi" w:cs="Arial"/>
          <w:sz w:val="20"/>
          <w:szCs w:val="20"/>
        </w:rPr>
      </w:pPr>
    </w:p>
    <w:p w14:paraId="00B77F32" w14:textId="77777777" w:rsidR="00485F07" w:rsidRDefault="00485F07" w:rsidP="000210A2">
      <w:pPr>
        <w:pStyle w:val="Paragrafoelenco3"/>
        <w:spacing w:line="360" w:lineRule="auto"/>
        <w:ind w:left="0"/>
        <w:rPr>
          <w:rFonts w:asciiTheme="minorHAnsi" w:hAnsiTheme="minorHAnsi" w:cs="Arial"/>
          <w:sz w:val="20"/>
          <w:szCs w:val="20"/>
        </w:rPr>
      </w:pPr>
    </w:p>
    <w:p w14:paraId="1A9746C8" w14:textId="77777777" w:rsidR="00485F07" w:rsidRDefault="00485F07" w:rsidP="000210A2">
      <w:pPr>
        <w:pStyle w:val="Paragrafoelenco3"/>
        <w:spacing w:line="360" w:lineRule="auto"/>
        <w:ind w:left="0"/>
        <w:rPr>
          <w:rFonts w:asciiTheme="minorHAnsi" w:hAnsiTheme="minorHAnsi" w:cs="Arial"/>
          <w:sz w:val="20"/>
          <w:szCs w:val="20"/>
        </w:rPr>
      </w:pPr>
    </w:p>
    <w:p w14:paraId="10153F36" w14:textId="6D4216C0" w:rsidR="002E5347" w:rsidRPr="00F562F7" w:rsidRDefault="00F562F7" w:rsidP="00F562F7">
      <w:pPr>
        <w:pStyle w:val="Caption"/>
        <w:rPr>
          <w:rFonts w:asciiTheme="minorHAnsi" w:hAnsiTheme="minorHAnsi" w:cstheme="minorHAnsi"/>
          <w:lang w:val="it-IT"/>
        </w:rPr>
      </w:pPr>
      <w:bookmarkStart w:id="178" w:name="Figura40"/>
      <w:bookmarkStart w:id="179" w:name="_Toc473186935"/>
      <w:bookmarkEnd w:id="178"/>
      <w:r w:rsidRPr="00F562F7">
        <w:rPr>
          <w:rFonts w:asciiTheme="minorHAnsi" w:hAnsiTheme="minorHAnsi" w:cstheme="minorHAnsi"/>
          <w:lang w:val="it-IT"/>
        </w:rPr>
        <w:t xml:space="preserve">Figura </w:t>
      </w:r>
      <w:r w:rsidRPr="00F562F7">
        <w:rPr>
          <w:rFonts w:asciiTheme="minorHAnsi" w:hAnsiTheme="minorHAnsi" w:cstheme="minorHAnsi"/>
        </w:rPr>
        <w:fldChar w:fldCharType="begin"/>
      </w:r>
      <w:r w:rsidRPr="00F562F7">
        <w:rPr>
          <w:rFonts w:asciiTheme="minorHAnsi" w:hAnsiTheme="minorHAnsi" w:cstheme="minorHAnsi"/>
          <w:lang w:val="it-IT"/>
        </w:rPr>
        <w:instrText xml:space="preserve"> SEQ Figura \* ARABIC </w:instrText>
      </w:r>
      <w:r w:rsidRPr="00F562F7">
        <w:rPr>
          <w:rFonts w:asciiTheme="minorHAnsi" w:hAnsiTheme="minorHAnsi" w:cstheme="minorHAnsi"/>
        </w:rPr>
        <w:fldChar w:fldCharType="separate"/>
      </w:r>
      <w:r w:rsidR="00A1679C">
        <w:rPr>
          <w:rFonts w:asciiTheme="minorHAnsi" w:hAnsiTheme="minorHAnsi" w:cstheme="minorHAnsi"/>
          <w:noProof/>
          <w:lang w:val="it-IT"/>
        </w:rPr>
        <w:t>40</w:t>
      </w:r>
      <w:r w:rsidRPr="00F562F7">
        <w:rPr>
          <w:rFonts w:asciiTheme="minorHAnsi" w:hAnsiTheme="minorHAnsi" w:cstheme="minorHAnsi"/>
        </w:rPr>
        <w:fldChar w:fldCharType="end"/>
      </w:r>
      <w:r w:rsidRPr="00F562F7">
        <w:rPr>
          <w:rFonts w:asciiTheme="minorHAnsi" w:hAnsiTheme="minorHAnsi" w:cstheme="minorHAnsi"/>
          <w:lang w:val="it-IT"/>
        </w:rPr>
        <w:t xml:space="preserve"> - </w:t>
      </w:r>
      <w:r w:rsidR="002E5347" w:rsidRPr="00F562F7">
        <w:rPr>
          <w:rFonts w:asciiTheme="minorHAnsi" w:hAnsiTheme="minorHAnsi" w:cstheme="minorHAnsi"/>
          <w:lang w:val="it-IT"/>
        </w:rPr>
        <w:t>Percentuale di pazienti con trattamento per un attacco acuto - CLEAR core ed extension</w:t>
      </w:r>
      <w:r w:rsidR="00551267">
        <w:rPr>
          <w:rFonts w:asciiTheme="minorHAnsi" w:hAnsiTheme="minorHAnsi" w:cstheme="minorHAnsi"/>
          <w:lang w:val="it-IT"/>
        </w:rPr>
        <w:t xml:space="preserve"> </w:t>
      </w:r>
      <w:r w:rsidR="002E54E2">
        <w:rPr>
          <w:rFonts w:asciiTheme="minorHAnsi" w:hAnsiTheme="minorHAnsi" w:cstheme="minorHAnsi"/>
          <w:lang w:val="it-IT"/>
        </w:rPr>
        <w:t xml:space="preserve">(observed case, popolazione ITT) </w:t>
      </w:r>
      <w:r w:rsidR="00551267" w:rsidRPr="000563A6">
        <w:rPr>
          <w:rFonts w:asciiTheme="minorHAnsi" w:hAnsiTheme="minorHAnsi" w:cstheme="minorHAnsi"/>
          <w:color w:val="auto"/>
          <w:lang w:val="it-IT"/>
        </w:rPr>
        <w:t>(</w:t>
      </w:r>
      <w:r w:rsidR="00551267">
        <w:rPr>
          <w:rFonts w:asciiTheme="minorHAnsi" w:hAnsiTheme="minorHAnsi" w:cstheme="minorHAnsi"/>
          <w:color w:val="0000FF"/>
          <w:lang w:val="it-IT"/>
        </w:rPr>
        <w:t xml:space="preserve">CSR </w:t>
      </w:r>
      <w:r w:rsidR="00213A82">
        <w:rPr>
          <w:rFonts w:asciiTheme="minorHAnsi" w:hAnsiTheme="minorHAnsi" w:cstheme="minorHAnsi"/>
          <w:color w:val="0000FF"/>
          <w:lang w:val="it-IT"/>
        </w:rPr>
        <w:t>306, 2015</w:t>
      </w:r>
      <w:r w:rsidR="00551267" w:rsidRPr="000563A6">
        <w:rPr>
          <w:rFonts w:asciiTheme="minorHAnsi" w:hAnsiTheme="minorHAnsi" w:cstheme="minorHAnsi"/>
          <w:color w:val="auto"/>
          <w:lang w:val="it-IT"/>
        </w:rPr>
        <w:t>)</w:t>
      </w:r>
      <w:bookmarkEnd w:id="179"/>
    </w:p>
    <w:p w14:paraId="1A26C04E" w14:textId="25656C77" w:rsidR="002E5347" w:rsidRDefault="002E5347" w:rsidP="002E5347"/>
    <w:p w14:paraId="69B1A969" w14:textId="4187970F" w:rsidR="00580D1A" w:rsidRDefault="00580D1A" w:rsidP="002E5347">
      <w:r>
        <w:rPr>
          <w:noProof/>
          <w:lang w:val="en-GB" w:eastAsia="en-GB"/>
        </w:rPr>
        <w:drawing>
          <wp:inline distT="0" distB="0" distL="0" distR="0" wp14:anchorId="09BAE502" wp14:editId="46398AA9">
            <wp:extent cx="5524500" cy="3410981"/>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523313" cy="3410248"/>
                    </a:xfrm>
                    <a:prstGeom prst="rect">
                      <a:avLst/>
                    </a:prstGeom>
                  </pic:spPr>
                </pic:pic>
              </a:graphicData>
            </a:graphic>
          </wp:inline>
        </w:drawing>
      </w:r>
    </w:p>
    <w:p w14:paraId="2EF5D571" w14:textId="77777777" w:rsidR="00DF1F08" w:rsidRDefault="00DF1F08" w:rsidP="00B43F07">
      <w:pPr>
        <w:pStyle w:val="Paragrafoelenco3"/>
        <w:spacing w:line="360" w:lineRule="auto"/>
        <w:ind w:left="0"/>
        <w:jc w:val="both"/>
        <w:rPr>
          <w:rFonts w:asciiTheme="minorHAnsi" w:hAnsiTheme="minorHAnsi" w:cs="Arial"/>
          <w:sz w:val="20"/>
          <w:szCs w:val="20"/>
        </w:rPr>
      </w:pPr>
    </w:p>
    <w:p w14:paraId="3C2E45E4" w14:textId="5070EAB2" w:rsidR="002E54E2" w:rsidRDefault="002E54E2" w:rsidP="000210A2">
      <w:pPr>
        <w:pStyle w:val="Paragrafoelenco3"/>
        <w:spacing w:line="360" w:lineRule="auto"/>
        <w:ind w:left="0"/>
        <w:rPr>
          <w:rFonts w:asciiTheme="minorHAnsi" w:hAnsiTheme="minorHAnsi" w:cs="Arial"/>
          <w:sz w:val="20"/>
          <w:szCs w:val="20"/>
        </w:rPr>
      </w:pPr>
      <w:r>
        <w:rPr>
          <w:rFonts w:asciiTheme="minorHAnsi" w:hAnsiTheme="minorHAnsi" w:cs="Arial"/>
          <w:sz w:val="20"/>
          <w:szCs w:val="20"/>
        </w:rPr>
        <w:t xml:space="preserve">Nel corso del trattatmento sono stati osservati miglioramenti nei punteggi dei PRO (HAQ-DI, HAQ-VAS, PGA e SDS), ma non sono state osservate differenze rilevanti tra i due gruppi di trattamento rispetto alla baseline dello studio “core”. </w:t>
      </w:r>
    </w:p>
    <w:p w14:paraId="005F4E05" w14:textId="77777777" w:rsidR="008F084F" w:rsidRPr="00221759" w:rsidRDefault="008F084F" w:rsidP="000210A2">
      <w:pPr>
        <w:spacing w:line="360" w:lineRule="auto"/>
        <w:rPr>
          <w:rFonts w:eastAsia="Times New Roman" w:cs="Arial"/>
          <w:color w:val="222222"/>
          <w:sz w:val="20"/>
          <w:szCs w:val="20"/>
        </w:rPr>
      </w:pPr>
    </w:p>
    <w:p w14:paraId="712C8D16" w14:textId="3BDFCAB6" w:rsidR="008F084F" w:rsidRPr="008F084F" w:rsidRDefault="00122D69" w:rsidP="00825BD3">
      <w:pPr>
        <w:numPr>
          <w:ilvl w:val="1"/>
          <w:numId w:val="13"/>
        </w:numPr>
        <w:spacing w:line="360" w:lineRule="auto"/>
        <w:ind w:left="709"/>
        <w:rPr>
          <w:rFonts w:cs="Arial"/>
          <w:sz w:val="20"/>
          <w:szCs w:val="20"/>
          <w:u w:val="single"/>
        </w:rPr>
      </w:pPr>
      <w:bookmarkStart w:id="180" w:name="Paragrafo539"/>
      <w:bookmarkEnd w:id="180"/>
      <w:r w:rsidRPr="00221759">
        <w:rPr>
          <w:rFonts w:cs="Arial"/>
          <w:sz w:val="20"/>
          <w:szCs w:val="20"/>
          <w:u w:val="single"/>
        </w:rPr>
        <w:t xml:space="preserve">Reazioni avverse nello studio </w:t>
      </w:r>
    </w:p>
    <w:p w14:paraId="3CA5A82E" w14:textId="00E76746" w:rsidR="00887A18" w:rsidRPr="00887A18" w:rsidRDefault="00887A18" w:rsidP="000210A2">
      <w:pPr>
        <w:pStyle w:val="Paragrafoelenco3"/>
        <w:spacing w:line="360" w:lineRule="auto"/>
        <w:ind w:left="0"/>
        <w:rPr>
          <w:rFonts w:asciiTheme="minorHAnsi" w:hAnsiTheme="minorHAnsi" w:cs="Arial"/>
          <w:sz w:val="20"/>
          <w:szCs w:val="20"/>
        </w:rPr>
      </w:pPr>
      <w:r w:rsidRPr="00485F07">
        <w:rPr>
          <w:rFonts w:asciiTheme="minorHAnsi" w:hAnsiTheme="minorHAnsi" w:cs="Arial"/>
          <w:b/>
          <w:sz w:val="20"/>
          <w:szCs w:val="20"/>
        </w:rPr>
        <w:t>Lo studio CLEAR extension ha confermato il buon profilo di tollerabilità di lesinurad 200mg/die</w:t>
      </w:r>
      <w:r w:rsidR="0048756E">
        <w:rPr>
          <w:rFonts w:asciiTheme="minorHAnsi" w:hAnsiTheme="minorHAnsi" w:cs="Arial"/>
          <w:sz w:val="20"/>
          <w:szCs w:val="20"/>
        </w:rPr>
        <w:t xml:space="preserve"> (l’analisi di sicurezza riporta i dati combinati per i grupppi di trattamento 200CONT e 200CROSS)</w:t>
      </w:r>
      <w:r w:rsidRPr="00887A18">
        <w:rPr>
          <w:rFonts w:asciiTheme="minorHAnsi" w:hAnsiTheme="minorHAnsi" w:cs="Arial"/>
          <w:sz w:val="20"/>
          <w:szCs w:val="20"/>
        </w:rPr>
        <w:t xml:space="preserve"> (</w:t>
      </w:r>
      <w:hyperlink w:anchor="Tabella25" w:history="1">
        <w:r w:rsidRPr="00593F33">
          <w:rPr>
            <w:rStyle w:val="Hyperlink"/>
            <w:rFonts w:asciiTheme="minorHAnsi" w:hAnsiTheme="minorHAnsi" w:cs="Arial"/>
            <w:sz w:val="20"/>
            <w:szCs w:val="20"/>
          </w:rPr>
          <w:t xml:space="preserve">Tabella </w:t>
        </w:r>
        <w:r w:rsidR="00593F33" w:rsidRPr="00593F33">
          <w:rPr>
            <w:rStyle w:val="Hyperlink"/>
            <w:rFonts w:asciiTheme="minorHAnsi" w:hAnsiTheme="minorHAnsi" w:cs="Arial"/>
            <w:sz w:val="20"/>
            <w:szCs w:val="20"/>
          </w:rPr>
          <w:t>2</w:t>
        </w:r>
        <w:r w:rsidR="00296E7F">
          <w:rPr>
            <w:rStyle w:val="Hyperlink"/>
            <w:rFonts w:asciiTheme="minorHAnsi" w:hAnsiTheme="minorHAnsi" w:cs="Arial"/>
            <w:sz w:val="20"/>
            <w:szCs w:val="20"/>
          </w:rPr>
          <w:t>5</w:t>
        </w:r>
      </w:hyperlink>
      <w:r w:rsidRPr="00887A18">
        <w:rPr>
          <w:rFonts w:asciiTheme="minorHAnsi" w:hAnsiTheme="minorHAnsi" w:cs="Arial"/>
          <w:sz w:val="20"/>
          <w:szCs w:val="20"/>
        </w:rPr>
        <w:t>)</w:t>
      </w:r>
    </w:p>
    <w:p w14:paraId="3A31BC10" w14:textId="77777777" w:rsidR="00887A18" w:rsidRPr="00887A18" w:rsidRDefault="00887A18" w:rsidP="000210A2">
      <w:pPr>
        <w:pStyle w:val="Paragrafoelenco3"/>
        <w:spacing w:line="360" w:lineRule="auto"/>
        <w:ind w:left="0"/>
        <w:rPr>
          <w:rFonts w:asciiTheme="minorHAnsi" w:hAnsiTheme="minorHAnsi" w:cs="Arial"/>
          <w:sz w:val="20"/>
          <w:szCs w:val="20"/>
        </w:rPr>
      </w:pPr>
      <w:r w:rsidRPr="00887A18">
        <w:rPr>
          <w:rFonts w:asciiTheme="minorHAnsi" w:hAnsiTheme="minorHAnsi" w:cs="Arial"/>
          <w:sz w:val="20"/>
          <w:szCs w:val="20"/>
        </w:rPr>
        <w:t>Rispetto allo studio CLEAR core (fase del trattamento in doppio cieco controllato vs PBO+ALLO):</w:t>
      </w:r>
    </w:p>
    <w:p w14:paraId="21087301" w14:textId="6B84780E" w:rsidR="00887A18" w:rsidRPr="00887A18" w:rsidRDefault="00887A18" w:rsidP="00825BD3">
      <w:pPr>
        <w:pStyle w:val="Paragrafoelenco3"/>
        <w:numPr>
          <w:ilvl w:val="0"/>
          <w:numId w:val="27"/>
        </w:numPr>
        <w:spacing w:line="360" w:lineRule="auto"/>
        <w:rPr>
          <w:rFonts w:asciiTheme="minorHAnsi" w:hAnsiTheme="minorHAnsi" w:cs="Arial"/>
          <w:sz w:val="20"/>
          <w:szCs w:val="20"/>
        </w:rPr>
      </w:pPr>
      <w:r w:rsidRPr="00887A18">
        <w:rPr>
          <w:rFonts w:asciiTheme="minorHAnsi" w:hAnsiTheme="minorHAnsi" w:cs="Arial"/>
          <w:sz w:val="20"/>
          <w:szCs w:val="20"/>
        </w:rPr>
        <w:t xml:space="preserve">non vi sono stati aumenti rilevanti nell'incidenza di eventi avversi </w:t>
      </w:r>
      <w:r w:rsidR="00A230C4">
        <w:rPr>
          <w:rFonts w:asciiTheme="minorHAnsi" w:hAnsiTheme="minorHAnsi" w:cs="Arial"/>
          <w:sz w:val="20"/>
          <w:szCs w:val="20"/>
        </w:rPr>
        <w:t>emersi durante il</w:t>
      </w:r>
      <w:r w:rsidRPr="00887A18">
        <w:rPr>
          <w:rFonts w:asciiTheme="minorHAnsi" w:hAnsiTheme="minorHAnsi" w:cs="Arial"/>
          <w:sz w:val="20"/>
          <w:szCs w:val="20"/>
        </w:rPr>
        <w:t xml:space="preserve"> trattamento (treatment-emergent adverse events - TEAEs) nei soggetti che hanno ricevuto lesinurad nello studio di estensione. </w:t>
      </w:r>
    </w:p>
    <w:p w14:paraId="50BF67F7" w14:textId="77777777" w:rsidR="00887A18" w:rsidRDefault="00887A18" w:rsidP="00825BD3">
      <w:pPr>
        <w:pStyle w:val="Paragrafoelenco3"/>
        <w:numPr>
          <w:ilvl w:val="0"/>
          <w:numId w:val="27"/>
        </w:numPr>
        <w:spacing w:line="360" w:lineRule="auto"/>
        <w:rPr>
          <w:rFonts w:asciiTheme="minorHAnsi" w:hAnsiTheme="minorHAnsi" w:cs="Arial"/>
          <w:sz w:val="20"/>
          <w:szCs w:val="20"/>
        </w:rPr>
      </w:pPr>
      <w:r w:rsidRPr="00887A18">
        <w:rPr>
          <w:rFonts w:asciiTheme="minorHAnsi" w:hAnsiTheme="minorHAnsi" w:cs="Arial"/>
          <w:sz w:val="20"/>
          <w:szCs w:val="20"/>
        </w:rPr>
        <w:t xml:space="preserve">non sono stati osservati nuovi segnali di safety nello studio di estensione </w:t>
      </w:r>
    </w:p>
    <w:p w14:paraId="375BF330" w14:textId="77777777" w:rsidR="00DF1F08" w:rsidRDefault="00DF1F08" w:rsidP="000210A2">
      <w:pPr>
        <w:pStyle w:val="BodyText"/>
        <w:jc w:val="left"/>
        <w:rPr>
          <w:lang w:val="it-IT"/>
        </w:rPr>
      </w:pPr>
    </w:p>
    <w:p w14:paraId="288944BF" w14:textId="77777777" w:rsidR="00485F07" w:rsidRDefault="00485F07" w:rsidP="000210A2">
      <w:pPr>
        <w:pStyle w:val="BodyText"/>
        <w:jc w:val="left"/>
        <w:rPr>
          <w:lang w:val="it-IT"/>
        </w:rPr>
      </w:pPr>
    </w:p>
    <w:p w14:paraId="351F1493" w14:textId="77777777" w:rsidR="00485F07" w:rsidRDefault="00485F07" w:rsidP="000210A2">
      <w:pPr>
        <w:pStyle w:val="BodyText"/>
        <w:jc w:val="left"/>
        <w:rPr>
          <w:lang w:val="it-IT"/>
        </w:rPr>
      </w:pPr>
    </w:p>
    <w:p w14:paraId="37D6C43E" w14:textId="77777777" w:rsidR="00142763" w:rsidRPr="00DF1F08" w:rsidRDefault="00142763" w:rsidP="000210A2">
      <w:pPr>
        <w:pStyle w:val="BodyText"/>
        <w:jc w:val="left"/>
        <w:rPr>
          <w:lang w:val="it-IT"/>
        </w:rPr>
      </w:pPr>
    </w:p>
    <w:p w14:paraId="7F8901CF" w14:textId="5B01B2A5" w:rsidR="00F562F7" w:rsidRPr="006548B5" w:rsidRDefault="00593F33" w:rsidP="00593F33">
      <w:pPr>
        <w:pStyle w:val="Caption"/>
        <w:rPr>
          <w:rFonts w:asciiTheme="minorHAnsi" w:hAnsiTheme="minorHAnsi" w:cstheme="minorHAnsi"/>
          <w:b w:val="0"/>
          <w:color w:val="0000FF"/>
          <w:lang w:val="it-IT"/>
        </w:rPr>
      </w:pPr>
      <w:bookmarkStart w:id="181" w:name="Tabella25"/>
      <w:bookmarkStart w:id="182" w:name="_Toc473150710"/>
      <w:bookmarkEnd w:id="181"/>
      <w:r w:rsidRPr="00127846">
        <w:rPr>
          <w:rFonts w:asciiTheme="minorHAnsi" w:hAnsiTheme="minorHAnsi" w:cstheme="minorHAnsi"/>
          <w:lang w:val="it-IT"/>
        </w:rPr>
        <w:t xml:space="preserve">Tabella </w:t>
      </w:r>
      <w:r w:rsidRPr="00127846">
        <w:rPr>
          <w:rFonts w:asciiTheme="minorHAnsi" w:hAnsiTheme="minorHAnsi" w:cstheme="minorHAnsi"/>
        </w:rPr>
        <w:fldChar w:fldCharType="begin"/>
      </w:r>
      <w:r w:rsidRPr="00127846">
        <w:rPr>
          <w:rFonts w:asciiTheme="minorHAnsi" w:hAnsiTheme="minorHAnsi" w:cstheme="minorHAnsi"/>
          <w:lang w:val="it-IT"/>
        </w:rPr>
        <w:instrText xml:space="preserve"> SEQ Tabella \* ARABIC </w:instrText>
      </w:r>
      <w:r w:rsidRPr="00127846">
        <w:rPr>
          <w:rFonts w:asciiTheme="minorHAnsi" w:hAnsiTheme="minorHAnsi" w:cstheme="minorHAnsi"/>
        </w:rPr>
        <w:fldChar w:fldCharType="separate"/>
      </w:r>
      <w:r w:rsidR="00A1679C" w:rsidRPr="00127846">
        <w:rPr>
          <w:rFonts w:asciiTheme="minorHAnsi" w:hAnsiTheme="minorHAnsi" w:cstheme="minorHAnsi"/>
          <w:noProof/>
          <w:lang w:val="it-IT"/>
        </w:rPr>
        <w:t>25</w:t>
      </w:r>
      <w:r w:rsidRPr="00127846">
        <w:rPr>
          <w:rFonts w:asciiTheme="minorHAnsi" w:hAnsiTheme="minorHAnsi" w:cstheme="minorHAnsi"/>
        </w:rPr>
        <w:fldChar w:fldCharType="end"/>
      </w:r>
      <w:r w:rsidR="0005344E" w:rsidRPr="00127846">
        <w:rPr>
          <w:rFonts w:asciiTheme="minorHAnsi" w:hAnsiTheme="minorHAnsi" w:cstheme="minorHAnsi"/>
          <w:lang w:val="it-IT"/>
        </w:rPr>
        <w:t xml:space="preserve"> - AEs nello Studio 306 – safety population</w:t>
      </w:r>
      <w:r w:rsidR="00064C4A" w:rsidRPr="00127846">
        <w:rPr>
          <w:rFonts w:asciiTheme="minorHAnsi" w:hAnsiTheme="minorHAnsi" w:cstheme="minorHAnsi"/>
          <w:lang w:val="it-IT"/>
        </w:rPr>
        <w:t xml:space="preserve"> </w:t>
      </w:r>
      <w:r w:rsidR="00064C4A" w:rsidRPr="00127846">
        <w:rPr>
          <w:rFonts w:asciiTheme="minorHAnsi" w:hAnsiTheme="minorHAnsi" w:cstheme="minorHAnsi"/>
          <w:b w:val="0"/>
          <w:lang w:val="it-IT"/>
        </w:rPr>
        <w:t>(</w:t>
      </w:r>
      <w:r w:rsidR="001D5820" w:rsidRPr="00127846">
        <w:rPr>
          <w:rFonts w:asciiTheme="minorHAnsi" w:hAnsiTheme="minorHAnsi" w:cstheme="minorHAnsi"/>
          <w:b w:val="0"/>
          <w:color w:val="0000FF"/>
          <w:lang w:val="it-IT"/>
        </w:rPr>
        <w:t xml:space="preserve">adattata da </w:t>
      </w:r>
      <w:r w:rsidR="0020764E" w:rsidRPr="00127846">
        <w:rPr>
          <w:rFonts w:asciiTheme="minorHAnsi" w:hAnsiTheme="minorHAnsi" w:cstheme="minorHAnsi"/>
          <w:b w:val="0"/>
          <w:color w:val="0000FF"/>
          <w:lang w:val="it-IT"/>
        </w:rPr>
        <w:t>CSR 306, 201</w:t>
      </w:r>
      <w:r w:rsidR="00127846" w:rsidRPr="00127846">
        <w:rPr>
          <w:rFonts w:asciiTheme="minorHAnsi" w:hAnsiTheme="minorHAnsi" w:cstheme="minorHAnsi"/>
          <w:b w:val="0"/>
          <w:color w:val="0000FF"/>
          <w:lang w:val="it-IT"/>
        </w:rPr>
        <w:t>6</w:t>
      </w:r>
      <w:r w:rsidR="00064C4A" w:rsidRPr="00127846">
        <w:rPr>
          <w:rFonts w:asciiTheme="minorHAnsi" w:hAnsiTheme="minorHAnsi" w:cstheme="minorHAnsi"/>
          <w:b w:val="0"/>
          <w:color w:val="0000FF"/>
          <w:lang w:val="it-IT"/>
        </w:rPr>
        <w:t>)</w:t>
      </w:r>
      <w:bookmarkEnd w:id="182"/>
    </w:p>
    <w:tbl>
      <w:tblPr>
        <w:tblStyle w:val="TableGrid"/>
        <w:tblW w:w="4890" w:type="pct"/>
        <w:tblLook w:val="04A0" w:firstRow="1" w:lastRow="0" w:firstColumn="1" w:lastColumn="0" w:noHBand="0" w:noVBand="1"/>
      </w:tblPr>
      <w:tblGrid>
        <w:gridCol w:w="2876"/>
        <w:gridCol w:w="1936"/>
        <w:gridCol w:w="2070"/>
        <w:gridCol w:w="1937"/>
      </w:tblGrid>
      <w:tr w:rsidR="00142763" w:rsidRPr="006548B5" w14:paraId="4CE83CE1" w14:textId="77777777" w:rsidTr="008601B4">
        <w:trPr>
          <w:trHeight w:val="395"/>
        </w:trPr>
        <w:tc>
          <w:tcPr>
            <w:tcW w:w="2943" w:type="dxa"/>
            <w:vMerge w:val="restart"/>
            <w:shd w:val="clear" w:color="auto" w:fill="D9D9D9" w:themeFill="background1" w:themeFillShade="D9"/>
          </w:tcPr>
          <w:p w14:paraId="550BC143" w14:textId="77777777" w:rsidR="00142763" w:rsidRPr="006548B5" w:rsidRDefault="00142763" w:rsidP="008601B4">
            <w:pPr>
              <w:pStyle w:val="BodyText"/>
              <w:rPr>
                <w:b/>
                <w:bCs/>
                <w:lang w:val="en-GB"/>
              </w:rPr>
            </w:pPr>
            <w:r w:rsidRPr="006548B5">
              <w:rPr>
                <w:b/>
                <w:bCs/>
                <w:lang w:val="en-GB"/>
              </w:rPr>
              <w:t>AEs, n (%)</w:t>
            </w:r>
            <w:r w:rsidRPr="006548B5">
              <w:rPr>
                <w:b/>
                <w:bCs/>
                <w:vertAlign w:val="superscript"/>
                <w:lang w:val="en-GB"/>
              </w:rPr>
              <w:t>†</w:t>
            </w:r>
          </w:p>
        </w:tc>
        <w:tc>
          <w:tcPr>
            <w:tcW w:w="6097" w:type="dxa"/>
            <w:gridSpan w:val="3"/>
            <w:shd w:val="clear" w:color="auto" w:fill="D9D9D9" w:themeFill="background1" w:themeFillShade="D9"/>
            <w:vAlign w:val="center"/>
          </w:tcPr>
          <w:p w14:paraId="3F020E37" w14:textId="77777777" w:rsidR="00142763" w:rsidRPr="006548B5" w:rsidRDefault="00142763" w:rsidP="008601B4">
            <w:pPr>
              <w:pStyle w:val="BodyText"/>
              <w:jc w:val="center"/>
              <w:rPr>
                <w:b/>
                <w:lang w:val="en-GB"/>
              </w:rPr>
            </w:pPr>
            <w:r w:rsidRPr="006548B5">
              <w:rPr>
                <w:b/>
                <w:lang w:val="en-GB"/>
              </w:rPr>
              <w:t>Lesinurad 200 mg + allopurinol</w:t>
            </w:r>
          </w:p>
        </w:tc>
      </w:tr>
      <w:tr w:rsidR="00142763" w:rsidRPr="006548B5" w14:paraId="60FB2C27" w14:textId="77777777" w:rsidTr="008601B4">
        <w:trPr>
          <w:trHeight w:val="395"/>
        </w:trPr>
        <w:tc>
          <w:tcPr>
            <w:tcW w:w="2943" w:type="dxa"/>
            <w:vMerge/>
            <w:shd w:val="clear" w:color="auto" w:fill="D9D9D9" w:themeFill="background1" w:themeFillShade="D9"/>
          </w:tcPr>
          <w:p w14:paraId="047468F8" w14:textId="77777777" w:rsidR="00142763" w:rsidRPr="006548B5" w:rsidRDefault="00142763" w:rsidP="008601B4">
            <w:pPr>
              <w:pStyle w:val="BodyText"/>
              <w:rPr>
                <w:b/>
                <w:bCs/>
                <w:lang w:val="en-GB"/>
              </w:rPr>
            </w:pPr>
          </w:p>
        </w:tc>
        <w:tc>
          <w:tcPr>
            <w:tcW w:w="1985" w:type="dxa"/>
            <w:shd w:val="clear" w:color="auto" w:fill="D9D9D9" w:themeFill="background1" w:themeFillShade="D9"/>
            <w:vAlign w:val="center"/>
          </w:tcPr>
          <w:p w14:paraId="00EBB4C9" w14:textId="77777777" w:rsidR="00142763" w:rsidRPr="006548B5" w:rsidRDefault="00142763" w:rsidP="008601B4">
            <w:pPr>
              <w:pStyle w:val="BodyText"/>
              <w:rPr>
                <w:b/>
                <w:lang w:val="en-GB"/>
              </w:rPr>
            </w:pPr>
            <w:r w:rsidRPr="006548B5">
              <w:rPr>
                <w:b/>
                <w:bCs/>
                <w:lang w:val="en-GB"/>
              </w:rPr>
              <w:t>CROSS (N=122)</w:t>
            </w:r>
          </w:p>
        </w:tc>
        <w:tc>
          <w:tcPr>
            <w:tcW w:w="2126" w:type="dxa"/>
            <w:shd w:val="clear" w:color="auto" w:fill="D9D9D9" w:themeFill="background1" w:themeFillShade="D9"/>
            <w:vAlign w:val="center"/>
          </w:tcPr>
          <w:p w14:paraId="6D832975" w14:textId="77777777" w:rsidR="00142763" w:rsidRPr="006548B5" w:rsidRDefault="00142763" w:rsidP="008601B4">
            <w:pPr>
              <w:pStyle w:val="BodyText"/>
              <w:rPr>
                <w:b/>
                <w:lang w:val="en-GB"/>
              </w:rPr>
            </w:pPr>
            <w:r w:rsidRPr="006548B5">
              <w:rPr>
                <w:b/>
                <w:bCs/>
                <w:lang w:val="en-GB"/>
              </w:rPr>
              <w:t>CONT (N=240)</w:t>
            </w:r>
          </w:p>
        </w:tc>
        <w:tc>
          <w:tcPr>
            <w:tcW w:w="1986" w:type="dxa"/>
            <w:shd w:val="clear" w:color="auto" w:fill="D9D9D9" w:themeFill="background1" w:themeFillShade="D9"/>
            <w:vAlign w:val="center"/>
          </w:tcPr>
          <w:p w14:paraId="5BDA4E50" w14:textId="77777777" w:rsidR="00142763" w:rsidRPr="006548B5" w:rsidRDefault="00142763" w:rsidP="008601B4">
            <w:pPr>
              <w:pStyle w:val="BodyText"/>
              <w:rPr>
                <w:b/>
                <w:lang w:val="en-GB"/>
              </w:rPr>
            </w:pPr>
            <w:r w:rsidRPr="006548B5">
              <w:rPr>
                <w:b/>
                <w:bCs/>
                <w:lang w:val="en-GB"/>
              </w:rPr>
              <w:t>TOTAL (N=362)</w:t>
            </w:r>
          </w:p>
        </w:tc>
      </w:tr>
      <w:tr w:rsidR="00142763" w:rsidRPr="006548B5" w14:paraId="72E18DCB" w14:textId="77777777" w:rsidTr="008601B4">
        <w:tc>
          <w:tcPr>
            <w:tcW w:w="2943" w:type="dxa"/>
            <w:shd w:val="clear" w:color="auto" w:fill="auto"/>
            <w:vAlign w:val="center"/>
          </w:tcPr>
          <w:p w14:paraId="1ED9ACE3" w14:textId="77777777" w:rsidR="00142763" w:rsidRPr="006548B5" w:rsidRDefault="00142763" w:rsidP="008601B4">
            <w:pPr>
              <w:pStyle w:val="BodyText"/>
              <w:rPr>
                <w:b/>
                <w:bCs/>
                <w:lang w:val="en-GB"/>
              </w:rPr>
            </w:pPr>
            <w:r w:rsidRPr="006548B5">
              <w:rPr>
                <w:lang w:val="en-GB"/>
              </w:rPr>
              <w:t>Any AE</w:t>
            </w:r>
          </w:p>
        </w:tc>
        <w:tc>
          <w:tcPr>
            <w:tcW w:w="1985" w:type="dxa"/>
            <w:shd w:val="clear" w:color="auto" w:fill="auto"/>
            <w:vAlign w:val="center"/>
          </w:tcPr>
          <w:p w14:paraId="1FCA3657" w14:textId="77777777" w:rsidR="00142763" w:rsidRPr="006548B5" w:rsidRDefault="00142763" w:rsidP="008601B4">
            <w:pPr>
              <w:pStyle w:val="BodyText"/>
              <w:rPr>
                <w:bCs/>
                <w:lang w:val="en-GB"/>
              </w:rPr>
            </w:pPr>
            <w:r w:rsidRPr="006548B5">
              <w:rPr>
                <w:bCs/>
                <w:lang w:val="en-GB"/>
              </w:rPr>
              <w:t>93 (76.2)</w:t>
            </w:r>
          </w:p>
        </w:tc>
        <w:tc>
          <w:tcPr>
            <w:tcW w:w="2126" w:type="dxa"/>
            <w:shd w:val="clear" w:color="auto" w:fill="auto"/>
            <w:vAlign w:val="center"/>
          </w:tcPr>
          <w:p w14:paraId="2B937216" w14:textId="77777777" w:rsidR="00142763" w:rsidRPr="006548B5" w:rsidRDefault="00142763" w:rsidP="008601B4">
            <w:pPr>
              <w:pStyle w:val="BodyText"/>
              <w:rPr>
                <w:bCs/>
                <w:lang w:val="en-GB"/>
              </w:rPr>
            </w:pPr>
            <w:r w:rsidRPr="006548B5">
              <w:rPr>
                <w:bCs/>
                <w:lang w:val="en-GB"/>
              </w:rPr>
              <w:t>187 (77.9)</w:t>
            </w:r>
          </w:p>
        </w:tc>
        <w:tc>
          <w:tcPr>
            <w:tcW w:w="1986" w:type="dxa"/>
            <w:vAlign w:val="center"/>
          </w:tcPr>
          <w:p w14:paraId="528C7E99" w14:textId="77777777" w:rsidR="00142763" w:rsidRPr="006548B5" w:rsidRDefault="00142763" w:rsidP="008601B4">
            <w:pPr>
              <w:pStyle w:val="BodyText"/>
              <w:rPr>
                <w:lang w:val="en-GB"/>
              </w:rPr>
            </w:pPr>
            <w:r w:rsidRPr="006548B5">
              <w:rPr>
                <w:lang w:val="en-GB"/>
              </w:rPr>
              <w:t>280 (77.3)</w:t>
            </w:r>
          </w:p>
        </w:tc>
      </w:tr>
      <w:tr w:rsidR="00142763" w:rsidRPr="006548B5" w14:paraId="54BAD0CC" w14:textId="77777777" w:rsidTr="008601B4">
        <w:tc>
          <w:tcPr>
            <w:tcW w:w="2943" w:type="dxa"/>
            <w:shd w:val="clear" w:color="auto" w:fill="auto"/>
            <w:vAlign w:val="center"/>
          </w:tcPr>
          <w:p w14:paraId="52099942" w14:textId="77777777" w:rsidR="00142763" w:rsidRPr="006548B5" w:rsidRDefault="00142763" w:rsidP="008601B4">
            <w:pPr>
              <w:pStyle w:val="BodyText"/>
              <w:rPr>
                <w:lang w:val="en-GB"/>
              </w:rPr>
            </w:pPr>
            <w:r w:rsidRPr="006548B5">
              <w:rPr>
                <w:lang w:val="en-GB"/>
              </w:rPr>
              <w:t>Any AE with RCTC toxicity Grade 3 or 4</w:t>
            </w:r>
          </w:p>
        </w:tc>
        <w:tc>
          <w:tcPr>
            <w:tcW w:w="1985" w:type="dxa"/>
            <w:shd w:val="clear" w:color="auto" w:fill="auto"/>
            <w:vAlign w:val="center"/>
          </w:tcPr>
          <w:p w14:paraId="55496433" w14:textId="77777777" w:rsidR="00142763" w:rsidRPr="006548B5" w:rsidRDefault="00142763" w:rsidP="008601B4">
            <w:pPr>
              <w:pStyle w:val="BodyText"/>
              <w:rPr>
                <w:bCs/>
                <w:lang w:val="en-GB"/>
              </w:rPr>
            </w:pPr>
            <w:r w:rsidRPr="006548B5">
              <w:rPr>
                <w:bCs/>
                <w:lang w:val="en-GB"/>
              </w:rPr>
              <w:t>20 (16.4)</w:t>
            </w:r>
          </w:p>
        </w:tc>
        <w:tc>
          <w:tcPr>
            <w:tcW w:w="2126" w:type="dxa"/>
            <w:shd w:val="clear" w:color="auto" w:fill="auto"/>
            <w:vAlign w:val="center"/>
          </w:tcPr>
          <w:p w14:paraId="7B95CF97" w14:textId="77777777" w:rsidR="00142763" w:rsidRPr="006548B5" w:rsidRDefault="00142763" w:rsidP="008601B4">
            <w:pPr>
              <w:pStyle w:val="BodyText"/>
              <w:rPr>
                <w:bCs/>
                <w:lang w:val="en-GB"/>
              </w:rPr>
            </w:pPr>
            <w:r w:rsidRPr="006548B5">
              <w:rPr>
                <w:bCs/>
                <w:lang w:val="en-GB"/>
              </w:rPr>
              <w:t>44 (18.3)</w:t>
            </w:r>
          </w:p>
        </w:tc>
        <w:tc>
          <w:tcPr>
            <w:tcW w:w="1986" w:type="dxa"/>
            <w:vAlign w:val="center"/>
          </w:tcPr>
          <w:p w14:paraId="3D49D69B" w14:textId="77777777" w:rsidR="00142763" w:rsidRPr="006548B5" w:rsidRDefault="00142763" w:rsidP="008601B4">
            <w:pPr>
              <w:pStyle w:val="BodyText"/>
              <w:rPr>
                <w:lang w:val="en-GB"/>
              </w:rPr>
            </w:pPr>
            <w:r w:rsidRPr="006548B5">
              <w:rPr>
                <w:lang w:val="en-GB"/>
              </w:rPr>
              <w:t>64 (17.7)</w:t>
            </w:r>
          </w:p>
        </w:tc>
      </w:tr>
      <w:tr w:rsidR="00142763" w:rsidRPr="006548B5" w14:paraId="6547B5DE" w14:textId="77777777" w:rsidTr="008601B4">
        <w:tc>
          <w:tcPr>
            <w:tcW w:w="2943" w:type="dxa"/>
            <w:shd w:val="clear" w:color="auto" w:fill="auto"/>
            <w:vAlign w:val="center"/>
          </w:tcPr>
          <w:p w14:paraId="1DE90FCF" w14:textId="77777777" w:rsidR="00142763" w:rsidRPr="006548B5" w:rsidRDefault="00142763" w:rsidP="008601B4">
            <w:pPr>
              <w:pStyle w:val="BodyText"/>
              <w:rPr>
                <w:b/>
                <w:bCs/>
                <w:lang w:val="en-GB"/>
              </w:rPr>
            </w:pPr>
            <w:r w:rsidRPr="006548B5">
              <w:rPr>
                <w:lang w:val="en-GB"/>
              </w:rPr>
              <w:t>Any AE possibly related to lesinurad</w:t>
            </w:r>
          </w:p>
        </w:tc>
        <w:tc>
          <w:tcPr>
            <w:tcW w:w="1985" w:type="dxa"/>
            <w:shd w:val="clear" w:color="auto" w:fill="auto"/>
            <w:vAlign w:val="center"/>
          </w:tcPr>
          <w:p w14:paraId="111028AE" w14:textId="77777777" w:rsidR="00142763" w:rsidRPr="006548B5" w:rsidRDefault="00142763" w:rsidP="008601B4">
            <w:pPr>
              <w:pStyle w:val="BodyText"/>
              <w:rPr>
                <w:bCs/>
                <w:lang w:val="en-GB"/>
              </w:rPr>
            </w:pPr>
            <w:r w:rsidRPr="006548B5">
              <w:rPr>
                <w:bCs/>
                <w:lang w:val="en-GB"/>
              </w:rPr>
              <w:t>25 (20.5)</w:t>
            </w:r>
          </w:p>
        </w:tc>
        <w:tc>
          <w:tcPr>
            <w:tcW w:w="2126" w:type="dxa"/>
            <w:shd w:val="clear" w:color="auto" w:fill="auto"/>
            <w:vAlign w:val="center"/>
          </w:tcPr>
          <w:p w14:paraId="33F562B2" w14:textId="77777777" w:rsidR="00142763" w:rsidRPr="006548B5" w:rsidRDefault="00142763" w:rsidP="008601B4">
            <w:pPr>
              <w:pStyle w:val="BodyText"/>
              <w:rPr>
                <w:bCs/>
                <w:lang w:val="en-GB"/>
              </w:rPr>
            </w:pPr>
            <w:r w:rsidRPr="006548B5">
              <w:rPr>
                <w:bCs/>
                <w:lang w:val="en-GB"/>
              </w:rPr>
              <w:t>46 (19.2)</w:t>
            </w:r>
          </w:p>
        </w:tc>
        <w:tc>
          <w:tcPr>
            <w:tcW w:w="1986" w:type="dxa"/>
            <w:vAlign w:val="center"/>
          </w:tcPr>
          <w:p w14:paraId="67D80514" w14:textId="77777777" w:rsidR="00142763" w:rsidRPr="006548B5" w:rsidRDefault="00142763" w:rsidP="008601B4">
            <w:pPr>
              <w:pStyle w:val="BodyText"/>
              <w:rPr>
                <w:lang w:val="en-GB"/>
              </w:rPr>
            </w:pPr>
            <w:r w:rsidRPr="006548B5">
              <w:rPr>
                <w:lang w:val="en-GB"/>
              </w:rPr>
              <w:t>71 (19.6)</w:t>
            </w:r>
          </w:p>
        </w:tc>
      </w:tr>
      <w:tr w:rsidR="00142763" w:rsidRPr="006548B5" w14:paraId="21B14C50" w14:textId="77777777" w:rsidTr="008601B4">
        <w:tc>
          <w:tcPr>
            <w:tcW w:w="2943" w:type="dxa"/>
            <w:shd w:val="clear" w:color="auto" w:fill="auto"/>
            <w:vAlign w:val="center"/>
          </w:tcPr>
          <w:p w14:paraId="0B18EB2E" w14:textId="77777777" w:rsidR="00142763" w:rsidRPr="006548B5" w:rsidRDefault="00142763" w:rsidP="008601B4">
            <w:pPr>
              <w:pStyle w:val="BodyText"/>
              <w:rPr>
                <w:b/>
                <w:bCs/>
                <w:lang w:val="en-GB"/>
              </w:rPr>
            </w:pPr>
            <w:r w:rsidRPr="006548B5">
              <w:rPr>
                <w:lang w:val="en-GB"/>
              </w:rPr>
              <w:t>Any AE possibly related to allopurinol</w:t>
            </w:r>
          </w:p>
        </w:tc>
        <w:tc>
          <w:tcPr>
            <w:tcW w:w="1985" w:type="dxa"/>
            <w:shd w:val="clear" w:color="auto" w:fill="auto"/>
            <w:vAlign w:val="center"/>
          </w:tcPr>
          <w:p w14:paraId="5602FBE8" w14:textId="77777777" w:rsidR="00142763" w:rsidRPr="006548B5" w:rsidRDefault="00142763" w:rsidP="008601B4">
            <w:pPr>
              <w:pStyle w:val="BodyText"/>
              <w:rPr>
                <w:bCs/>
                <w:lang w:val="en-GB"/>
              </w:rPr>
            </w:pPr>
            <w:r w:rsidRPr="006548B5">
              <w:rPr>
                <w:bCs/>
                <w:lang w:val="en-GB"/>
              </w:rPr>
              <w:t>9 (7.4)</w:t>
            </w:r>
          </w:p>
        </w:tc>
        <w:tc>
          <w:tcPr>
            <w:tcW w:w="2126" w:type="dxa"/>
            <w:shd w:val="clear" w:color="auto" w:fill="auto"/>
            <w:vAlign w:val="center"/>
          </w:tcPr>
          <w:p w14:paraId="4B86D5F6" w14:textId="77777777" w:rsidR="00142763" w:rsidRPr="006548B5" w:rsidRDefault="00142763" w:rsidP="008601B4">
            <w:pPr>
              <w:pStyle w:val="BodyText"/>
              <w:rPr>
                <w:bCs/>
                <w:lang w:val="en-GB"/>
              </w:rPr>
            </w:pPr>
            <w:r w:rsidRPr="006548B5">
              <w:rPr>
                <w:bCs/>
                <w:lang w:val="en-GB"/>
              </w:rPr>
              <w:t>16 (6.7)</w:t>
            </w:r>
          </w:p>
        </w:tc>
        <w:tc>
          <w:tcPr>
            <w:tcW w:w="1986" w:type="dxa"/>
            <w:vAlign w:val="center"/>
          </w:tcPr>
          <w:p w14:paraId="0ECB20AD" w14:textId="77777777" w:rsidR="00142763" w:rsidRPr="006548B5" w:rsidRDefault="00142763" w:rsidP="008601B4">
            <w:pPr>
              <w:pStyle w:val="BodyText"/>
              <w:rPr>
                <w:lang w:val="en-GB"/>
              </w:rPr>
            </w:pPr>
            <w:r w:rsidRPr="006548B5">
              <w:rPr>
                <w:lang w:val="en-GB"/>
              </w:rPr>
              <w:t>25 (6.9)</w:t>
            </w:r>
          </w:p>
        </w:tc>
      </w:tr>
      <w:tr w:rsidR="00142763" w:rsidRPr="006548B5" w14:paraId="450546F3" w14:textId="77777777" w:rsidTr="008601B4">
        <w:tc>
          <w:tcPr>
            <w:tcW w:w="2943" w:type="dxa"/>
            <w:shd w:val="clear" w:color="auto" w:fill="auto"/>
            <w:vAlign w:val="center"/>
          </w:tcPr>
          <w:p w14:paraId="29C96D22" w14:textId="77777777" w:rsidR="00142763" w:rsidRPr="006548B5" w:rsidRDefault="00142763" w:rsidP="008601B4">
            <w:pPr>
              <w:pStyle w:val="BodyText"/>
              <w:rPr>
                <w:b/>
                <w:bCs/>
                <w:lang w:val="en-GB"/>
              </w:rPr>
            </w:pPr>
            <w:r w:rsidRPr="006548B5">
              <w:rPr>
                <w:lang w:val="en-GB"/>
              </w:rPr>
              <w:t>Any AE possibly related to prophylaxis</w:t>
            </w:r>
          </w:p>
        </w:tc>
        <w:tc>
          <w:tcPr>
            <w:tcW w:w="1985" w:type="dxa"/>
            <w:shd w:val="clear" w:color="auto" w:fill="auto"/>
            <w:vAlign w:val="center"/>
          </w:tcPr>
          <w:p w14:paraId="2F6C838D" w14:textId="77777777" w:rsidR="00142763" w:rsidRPr="006548B5" w:rsidRDefault="00142763" w:rsidP="008601B4">
            <w:pPr>
              <w:pStyle w:val="BodyText"/>
              <w:rPr>
                <w:bCs/>
                <w:lang w:val="en-GB"/>
              </w:rPr>
            </w:pPr>
            <w:r w:rsidRPr="006548B5">
              <w:rPr>
                <w:bCs/>
                <w:lang w:val="en-GB"/>
              </w:rPr>
              <w:t>6 (4.9)</w:t>
            </w:r>
          </w:p>
        </w:tc>
        <w:tc>
          <w:tcPr>
            <w:tcW w:w="2126" w:type="dxa"/>
            <w:shd w:val="clear" w:color="auto" w:fill="auto"/>
            <w:vAlign w:val="center"/>
          </w:tcPr>
          <w:p w14:paraId="70FF75A9" w14:textId="77777777" w:rsidR="00142763" w:rsidRPr="006548B5" w:rsidRDefault="00142763" w:rsidP="008601B4">
            <w:pPr>
              <w:pStyle w:val="BodyText"/>
              <w:rPr>
                <w:bCs/>
                <w:lang w:val="en-GB"/>
              </w:rPr>
            </w:pPr>
            <w:r w:rsidRPr="006548B5">
              <w:rPr>
                <w:bCs/>
                <w:lang w:val="en-GB"/>
              </w:rPr>
              <w:t>9 (3.8)</w:t>
            </w:r>
          </w:p>
        </w:tc>
        <w:tc>
          <w:tcPr>
            <w:tcW w:w="1986" w:type="dxa"/>
            <w:vAlign w:val="center"/>
          </w:tcPr>
          <w:p w14:paraId="1351D280" w14:textId="77777777" w:rsidR="00142763" w:rsidRPr="006548B5" w:rsidRDefault="00142763" w:rsidP="008601B4">
            <w:pPr>
              <w:pStyle w:val="BodyText"/>
              <w:rPr>
                <w:lang w:val="en-GB"/>
              </w:rPr>
            </w:pPr>
            <w:r w:rsidRPr="006548B5">
              <w:rPr>
                <w:lang w:val="en-GB"/>
              </w:rPr>
              <w:t>15 (4.1)</w:t>
            </w:r>
          </w:p>
        </w:tc>
      </w:tr>
      <w:tr w:rsidR="00142763" w:rsidRPr="006548B5" w14:paraId="2B71C3A9" w14:textId="77777777" w:rsidTr="008601B4">
        <w:tc>
          <w:tcPr>
            <w:tcW w:w="2943" w:type="dxa"/>
            <w:shd w:val="clear" w:color="auto" w:fill="auto"/>
            <w:vAlign w:val="center"/>
          </w:tcPr>
          <w:p w14:paraId="767FB8EF" w14:textId="77777777" w:rsidR="00142763" w:rsidRPr="006548B5" w:rsidRDefault="00142763" w:rsidP="008601B4">
            <w:pPr>
              <w:pStyle w:val="BodyText"/>
              <w:rPr>
                <w:b/>
                <w:bCs/>
                <w:lang w:val="en-GB"/>
              </w:rPr>
            </w:pPr>
            <w:r w:rsidRPr="006548B5">
              <w:rPr>
                <w:lang w:val="en-GB"/>
              </w:rPr>
              <w:t>Any SAE</w:t>
            </w:r>
          </w:p>
        </w:tc>
        <w:tc>
          <w:tcPr>
            <w:tcW w:w="1985" w:type="dxa"/>
            <w:shd w:val="clear" w:color="auto" w:fill="auto"/>
            <w:vAlign w:val="center"/>
          </w:tcPr>
          <w:p w14:paraId="1CE68ECE" w14:textId="77777777" w:rsidR="00142763" w:rsidRPr="006548B5" w:rsidRDefault="00142763" w:rsidP="008601B4">
            <w:pPr>
              <w:pStyle w:val="BodyText"/>
              <w:rPr>
                <w:lang w:val="en-GB"/>
              </w:rPr>
            </w:pPr>
            <w:r w:rsidRPr="006548B5">
              <w:rPr>
                <w:lang w:val="en-GB"/>
              </w:rPr>
              <w:t>19 (15.6)</w:t>
            </w:r>
          </w:p>
        </w:tc>
        <w:tc>
          <w:tcPr>
            <w:tcW w:w="2126" w:type="dxa"/>
            <w:shd w:val="clear" w:color="auto" w:fill="auto"/>
            <w:vAlign w:val="center"/>
          </w:tcPr>
          <w:p w14:paraId="5401308E" w14:textId="77777777" w:rsidR="00142763" w:rsidRPr="006548B5" w:rsidRDefault="00142763" w:rsidP="008601B4">
            <w:pPr>
              <w:pStyle w:val="BodyText"/>
              <w:rPr>
                <w:lang w:val="en-GB"/>
              </w:rPr>
            </w:pPr>
            <w:r w:rsidRPr="006548B5">
              <w:rPr>
                <w:lang w:val="en-GB"/>
              </w:rPr>
              <w:t>29 (12.1)</w:t>
            </w:r>
          </w:p>
        </w:tc>
        <w:tc>
          <w:tcPr>
            <w:tcW w:w="1986" w:type="dxa"/>
            <w:vAlign w:val="center"/>
          </w:tcPr>
          <w:p w14:paraId="4CB08882" w14:textId="77777777" w:rsidR="00142763" w:rsidRPr="006548B5" w:rsidRDefault="00142763" w:rsidP="008601B4">
            <w:pPr>
              <w:pStyle w:val="BodyText"/>
              <w:rPr>
                <w:lang w:val="en-GB"/>
              </w:rPr>
            </w:pPr>
            <w:r w:rsidRPr="006548B5">
              <w:rPr>
                <w:lang w:val="en-GB"/>
              </w:rPr>
              <w:t>48 (13.3)</w:t>
            </w:r>
          </w:p>
        </w:tc>
      </w:tr>
      <w:tr w:rsidR="00142763" w:rsidRPr="006548B5" w14:paraId="52357982" w14:textId="77777777" w:rsidTr="008601B4">
        <w:tc>
          <w:tcPr>
            <w:tcW w:w="2943" w:type="dxa"/>
            <w:shd w:val="clear" w:color="auto" w:fill="auto"/>
            <w:vAlign w:val="center"/>
          </w:tcPr>
          <w:p w14:paraId="466BFB78" w14:textId="77777777" w:rsidR="00142763" w:rsidRPr="006548B5" w:rsidRDefault="00142763" w:rsidP="008601B4">
            <w:pPr>
              <w:pStyle w:val="BodyText"/>
              <w:rPr>
                <w:b/>
                <w:bCs/>
                <w:lang w:val="en-GB"/>
              </w:rPr>
            </w:pPr>
            <w:r w:rsidRPr="006548B5">
              <w:rPr>
                <w:lang w:val="en-GB"/>
              </w:rPr>
              <w:t>Any fatal AE</w:t>
            </w:r>
          </w:p>
        </w:tc>
        <w:tc>
          <w:tcPr>
            <w:tcW w:w="1985" w:type="dxa"/>
            <w:shd w:val="clear" w:color="auto" w:fill="auto"/>
            <w:vAlign w:val="center"/>
          </w:tcPr>
          <w:p w14:paraId="379AF29A" w14:textId="77777777" w:rsidR="00142763" w:rsidRPr="006548B5" w:rsidRDefault="00142763" w:rsidP="008601B4">
            <w:pPr>
              <w:pStyle w:val="BodyText"/>
              <w:rPr>
                <w:lang w:val="en-GB"/>
              </w:rPr>
            </w:pPr>
            <w:r w:rsidRPr="006548B5">
              <w:rPr>
                <w:lang w:val="en-GB"/>
              </w:rPr>
              <w:t>3 (2.5)</w:t>
            </w:r>
          </w:p>
        </w:tc>
        <w:tc>
          <w:tcPr>
            <w:tcW w:w="2126" w:type="dxa"/>
            <w:shd w:val="clear" w:color="auto" w:fill="auto"/>
            <w:vAlign w:val="center"/>
          </w:tcPr>
          <w:p w14:paraId="4E59C6C6" w14:textId="77777777" w:rsidR="00142763" w:rsidRPr="006548B5" w:rsidRDefault="00142763" w:rsidP="008601B4">
            <w:pPr>
              <w:pStyle w:val="BodyText"/>
              <w:rPr>
                <w:lang w:val="en-GB"/>
              </w:rPr>
            </w:pPr>
            <w:r w:rsidRPr="006548B5">
              <w:rPr>
                <w:lang w:val="en-GB"/>
              </w:rPr>
              <w:t>4 (1.7)</w:t>
            </w:r>
          </w:p>
        </w:tc>
        <w:tc>
          <w:tcPr>
            <w:tcW w:w="1986" w:type="dxa"/>
            <w:vAlign w:val="center"/>
          </w:tcPr>
          <w:p w14:paraId="652B890C" w14:textId="77777777" w:rsidR="00142763" w:rsidRPr="006548B5" w:rsidRDefault="00142763" w:rsidP="008601B4">
            <w:pPr>
              <w:pStyle w:val="BodyText"/>
              <w:rPr>
                <w:lang w:val="en-GB"/>
              </w:rPr>
            </w:pPr>
            <w:r w:rsidRPr="006548B5">
              <w:rPr>
                <w:lang w:val="en-GB"/>
              </w:rPr>
              <w:t>7 (1.9)</w:t>
            </w:r>
          </w:p>
        </w:tc>
      </w:tr>
      <w:tr w:rsidR="00142763" w:rsidRPr="006548B5" w14:paraId="077F925A" w14:textId="77777777" w:rsidTr="008601B4">
        <w:tc>
          <w:tcPr>
            <w:tcW w:w="2943" w:type="dxa"/>
            <w:shd w:val="clear" w:color="auto" w:fill="auto"/>
            <w:vAlign w:val="center"/>
          </w:tcPr>
          <w:p w14:paraId="68835C7F" w14:textId="77777777" w:rsidR="00142763" w:rsidRPr="006548B5" w:rsidRDefault="00142763" w:rsidP="008601B4">
            <w:pPr>
              <w:pStyle w:val="BodyText"/>
              <w:rPr>
                <w:b/>
                <w:bCs/>
                <w:lang w:val="en-GB"/>
              </w:rPr>
            </w:pPr>
            <w:r w:rsidRPr="006548B5">
              <w:rPr>
                <w:lang w:val="en-GB"/>
              </w:rPr>
              <w:t>Any AE leading to prophylaxis discontinuation</w:t>
            </w:r>
          </w:p>
        </w:tc>
        <w:tc>
          <w:tcPr>
            <w:tcW w:w="1985" w:type="dxa"/>
            <w:shd w:val="clear" w:color="auto" w:fill="auto"/>
            <w:vAlign w:val="center"/>
          </w:tcPr>
          <w:p w14:paraId="12806009" w14:textId="77777777" w:rsidR="00142763" w:rsidRPr="006548B5" w:rsidRDefault="00142763" w:rsidP="008601B4">
            <w:pPr>
              <w:pStyle w:val="BodyText"/>
              <w:rPr>
                <w:lang w:val="en-GB"/>
              </w:rPr>
            </w:pPr>
            <w:r w:rsidRPr="006548B5">
              <w:rPr>
                <w:lang w:val="en-GB"/>
              </w:rPr>
              <w:t>5 (4.1)</w:t>
            </w:r>
          </w:p>
        </w:tc>
        <w:tc>
          <w:tcPr>
            <w:tcW w:w="2126" w:type="dxa"/>
            <w:shd w:val="clear" w:color="auto" w:fill="auto"/>
            <w:vAlign w:val="center"/>
          </w:tcPr>
          <w:p w14:paraId="61F10253" w14:textId="77777777" w:rsidR="00142763" w:rsidRPr="006548B5" w:rsidRDefault="00142763" w:rsidP="008601B4">
            <w:pPr>
              <w:pStyle w:val="BodyText"/>
              <w:rPr>
                <w:lang w:val="en-GB"/>
              </w:rPr>
            </w:pPr>
            <w:r w:rsidRPr="006548B5">
              <w:rPr>
                <w:lang w:val="en-GB"/>
              </w:rPr>
              <w:t>2 (0.8)</w:t>
            </w:r>
          </w:p>
        </w:tc>
        <w:tc>
          <w:tcPr>
            <w:tcW w:w="1986" w:type="dxa"/>
            <w:vAlign w:val="center"/>
          </w:tcPr>
          <w:p w14:paraId="75F307CF" w14:textId="77777777" w:rsidR="00142763" w:rsidRPr="006548B5" w:rsidRDefault="00142763" w:rsidP="008601B4">
            <w:pPr>
              <w:pStyle w:val="BodyText"/>
              <w:rPr>
                <w:lang w:val="en-GB"/>
              </w:rPr>
            </w:pPr>
            <w:r w:rsidRPr="006548B5">
              <w:rPr>
                <w:lang w:val="en-GB"/>
              </w:rPr>
              <w:t>7 (1.9)</w:t>
            </w:r>
          </w:p>
        </w:tc>
      </w:tr>
      <w:tr w:rsidR="00142763" w:rsidRPr="0090314A" w14:paraId="2A85EB4C" w14:textId="77777777" w:rsidTr="008601B4">
        <w:tc>
          <w:tcPr>
            <w:tcW w:w="2943" w:type="dxa"/>
            <w:shd w:val="clear" w:color="auto" w:fill="auto"/>
            <w:vAlign w:val="center"/>
          </w:tcPr>
          <w:p w14:paraId="441E4DCD" w14:textId="77777777" w:rsidR="00142763" w:rsidRPr="006548B5" w:rsidRDefault="00142763" w:rsidP="008601B4">
            <w:pPr>
              <w:pStyle w:val="BodyText"/>
              <w:rPr>
                <w:b/>
                <w:bCs/>
                <w:lang w:val="en-GB"/>
              </w:rPr>
            </w:pPr>
            <w:r w:rsidRPr="006548B5">
              <w:rPr>
                <w:lang w:val="en-GB"/>
              </w:rPr>
              <w:t>Any AE leading to study withdrawal</w:t>
            </w:r>
          </w:p>
        </w:tc>
        <w:tc>
          <w:tcPr>
            <w:tcW w:w="1985" w:type="dxa"/>
            <w:shd w:val="clear" w:color="auto" w:fill="auto"/>
            <w:vAlign w:val="center"/>
          </w:tcPr>
          <w:p w14:paraId="599B99C6" w14:textId="77777777" w:rsidR="00142763" w:rsidRPr="006548B5" w:rsidRDefault="00142763" w:rsidP="008601B4">
            <w:pPr>
              <w:pStyle w:val="BodyText"/>
              <w:rPr>
                <w:lang w:val="en-GB"/>
              </w:rPr>
            </w:pPr>
            <w:r w:rsidRPr="006548B5">
              <w:rPr>
                <w:lang w:val="en-GB"/>
              </w:rPr>
              <w:t>13 (10.7)</w:t>
            </w:r>
          </w:p>
        </w:tc>
        <w:tc>
          <w:tcPr>
            <w:tcW w:w="2126" w:type="dxa"/>
            <w:shd w:val="clear" w:color="auto" w:fill="auto"/>
            <w:vAlign w:val="center"/>
          </w:tcPr>
          <w:p w14:paraId="416714C6" w14:textId="77777777" w:rsidR="00142763" w:rsidRPr="006548B5" w:rsidRDefault="00142763" w:rsidP="008601B4">
            <w:pPr>
              <w:pStyle w:val="BodyText"/>
              <w:rPr>
                <w:lang w:val="en-GB"/>
              </w:rPr>
            </w:pPr>
            <w:r w:rsidRPr="006548B5">
              <w:rPr>
                <w:lang w:val="en-GB"/>
              </w:rPr>
              <w:t>24 (10.0)</w:t>
            </w:r>
          </w:p>
        </w:tc>
        <w:tc>
          <w:tcPr>
            <w:tcW w:w="1986" w:type="dxa"/>
            <w:vAlign w:val="center"/>
          </w:tcPr>
          <w:p w14:paraId="2A94D396" w14:textId="77777777" w:rsidR="00142763" w:rsidRPr="006548B5" w:rsidRDefault="00142763" w:rsidP="008601B4">
            <w:pPr>
              <w:pStyle w:val="BodyText"/>
              <w:rPr>
                <w:lang w:val="en-GB"/>
              </w:rPr>
            </w:pPr>
            <w:r w:rsidRPr="006548B5">
              <w:rPr>
                <w:lang w:val="en-GB"/>
              </w:rPr>
              <w:t>37 (10.2)</w:t>
            </w:r>
          </w:p>
        </w:tc>
      </w:tr>
    </w:tbl>
    <w:p w14:paraId="6EA09939" w14:textId="77777777" w:rsidR="00142763" w:rsidRPr="00D04DEE" w:rsidRDefault="00142763" w:rsidP="00142763">
      <w:pPr>
        <w:pStyle w:val="BodyText"/>
        <w:jc w:val="left"/>
        <w:rPr>
          <w:highlight w:val="yellow"/>
        </w:rPr>
      </w:pPr>
      <w:r>
        <w:rPr>
          <w:sz w:val="16"/>
        </w:rPr>
        <w:t>†AEs</w:t>
      </w:r>
      <w:r w:rsidRPr="00770414">
        <w:rPr>
          <w:sz w:val="16"/>
        </w:rPr>
        <w:t xml:space="preserve"> are those that started on or after the first lesinurad dose date in extension study, or those that started prior to the first</w:t>
      </w:r>
      <w:r>
        <w:rPr>
          <w:sz w:val="16"/>
        </w:rPr>
        <w:t xml:space="preserve"> </w:t>
      </w:r>
      <w:r w:rsidRPr="00770414">
        <w:rPr>
          <w:sz w:val="16"/>
        </w:rPr>
        <w:t xml:space="preserve">lesinurad dose date but worsened during the extension </w:t>
      </w:r>
      <w:r>
        <w:rPr>
          <w:sz w:val="16"/>
        </w:rPr>
        <w:t>study.</w:t>
      </w:r>
      <w:r>
        <w:rPr>
          <w:sz w:val="16"/>
        </w:rPr>
        <w:br/>
      </w:r>
      <w:r w:rsidRPr="00550745">
        <w:rPr>
          <w:sz w:val="16"/>
        </w:rPr>
        <w:t xml:space="preserve">Abbreviations: AE, adverse event; </w:t>
      </w:r>
      <w:r>
        <w:rPr>
          <w:sz w:val="16"/>
        </w:rPr>
        <w:t xml:space="preserve">CONT, continuation; CROSS, crossover; </w:t>
      </w:r>
      <w:r w:rsidRPr="00550745">
        <w:rPr>
          <w:sz w:val="16"/>
        </w:rPr>
        <w:t>RCTC, rheumatology common toxicity criteria; SAE, serious adverse event</w:t>
      </w:r>
    </w:p>
    <w:p w14:paraId="1D46E66A" w14:textId="77777777" w:rsidR="00E24213" w:rsidRDefault="00E24213" w:rsidP="00887A18">
      <w:pPr>
        <w:pStyle w:val="Paragrafoelenco3"/>
        <w:spacing w:line="360" w:lineRule="auto"/>
        <w:ind w:left="0"/>
        <w:jc w:val="both"/>
        <w:rPr>
          <w:rFonts w:asciiTheme="minorHAnsi" w:hAnsiTheme="minorHAnsi" w:cs="Arial"/>
          <w:sz w:val="20"/>
          <w:szCs w:val="20"/>
          <w:lang w:val="en-US"/>
        </w:rPr>
      </w:pPr>
    </w:p>
    <w:p w14:paraId="42E66F33" w14:textId="6AF1057E" w:rsidR="001D5820" w:rsidRDefault="001D5820" w:rsidP="000210A2">
      <w:pPr>
        <w:pStyle w:val="Paragrafoelenco3"/>
        <w:spacing w:line="360" w:lineRule="auto"/>
        <w:ind w:left="0"/>
        <w:rPr>
          <w:rFonts w:asciiTheme="minorHAnsi" w:hAnsiTheme="minorHAnsi" w:cs="Arial"/>
          <w:sz w:val="20"/>
          <w:szCs w:val="20"/>
        </w:rPr>
      </w:pPr>
      <w:r w:rsidRPr="001D5820">
        <w:rPr>
          <w:rFonts w:asciiTheme="minorHAnsi" w:hAnsiTheme="minorHAnsi" w:cs="Arial"/>
          <w:sz w:val="20"/>
          <w:szCs w:val="20"/>
        </w:rPr>
        <w:t>Considerat</w:t>
      </w:r>
      <w:r>
        <w:rPr>
          <w:rFonts w:asciiTheme="minorHAnsi" w:hAnsiTheme="minorHAnsi" w:cs="Arial"/>
          <w:sz w:val="20"/>
          <w:szCs w:val="20"/>
        </w:rPr>
        <w:t>a</w:t>
      </w:r>
      <w:r w:rsidRPr="001D5820">
        <w:rPr>
          <w:rFonts w:asciiTheme="minorHAnsi" w:hAnsiTheme="minorHAnsi" w:cs="Arial"/>
          <w:sz w:val="20"/>
          <w:szCs w:val="20"/>
        </w:rPr>
        <w:t xml:space="preserve"> la maggior durata dell’esposizione al trattamento, è stata osservata una aumentata incidenza degli </w:t>
      </w:r>
      <w:r w:rsidRPr="00887A18">
        <w:rPr>
          <w:rFonts w:asciiTheme="minorHAnsi" w:hAnsiTheme="minorHAnsi" w:cs="Arial"/>
          <w:sz w:val="20"/>
          <w:szCs w:val="20"/>
        </w:rPr>
        <w:t>TEAEs renali</w:t>
      </w:r>
      <w:r>
        <w:rPr>
          <w:rFonts w:asciiTheme="minorHAnsi" w:hAnsiTheme="minorHAnsi" w:cs="Arial"/>
          <w:sz w:val="20"/>
          <w:szCs w:val="20"/>
        </w:rPr>
        <w:t>.</w:t>
      </w:r>
    </w:p>
    <w:p w14:paraId="38EF16E7" w14:textId="29460932" w:rsidR="001D5820" w:rsidRDefault="001D5820" w:rsidP="000210A2">
      <w:pPr>
        <w:pStyle w:val="Paragrafoelenco3"/>
        <w:spacing w:line="360" w:lineRule="auto"/>
        <w:ind w:left="0"/>
        <w:rPr>
          <w:rFonts w:asciiTheme="minorHAnsi" w:hAnsiTheme="minorHAnsi" w:cs="Arial"/>
          <w:sz w:val="20"/>
          <w:szCs w:val="20"/>
        </w:rPr>
      </w:pPr>
      <w:r w:rsidRPr="00887A18">
        <w:rPr>
          <w:rFonts w:asciiTheme="minorHAnsi" w:hAnsiTheme="minorHAnsi" w:cs="Arial"/>
          <w:sz w:val="20"/>
          <w:szCs w:val="20"/>
        </w:rPr>
        <w:t>L’aumento della creatinina sierica si è confermato come il più comune tra i TEAEs renali</w:t>
      </w:r>
      <w:r w:rsidRPr="001D5820">
        <w:rPr>
          <w:rFonts w:asciiTheme="minorHAnsi" w:hAnsiTheme="minorHAnsi" w:cs="Arial"/>
          <w:sz w:val="20"/>
          <w:szCs w:val="20"/>
        </w:rPr>
        <w:t xml:space="preserve"> </w:t>
      </w:r>
      <w:r w:rsidRPr="00887A18">
        <w:rPr>
          <w:rFonts w:asciiTheme="minorHAnsi" w:hAnsiTheme="minorHAnsi" w:cs="Arial"/>
          <w:sz w:val="20"/>
          <w:szCs w:val="20"/>
        </w:rPr>
        <w:t>e anche in questo caso tali aumenti della creatinina si sono risolti</w:t>
      </w:r>
      <w:r>
        <w:rPr>
          <w:rFonts w:asciiTheme="minorHAnsi" w:hAnsiTheme="minorHAnsi" w:cs="Arial"/>
          <w:sz w:val="20"/>
          <w:szCs w:val="20"/>
        </w:rPr>
        <w:t xml:space="preserve"> nella maggior parte dei casi</w:t>
      </w:r>
      <w:r w:rsidRPr="00887A18">
        <w:rPr>
          <w:rFonts w:asciiTheme="minorHAnsi" w:hAnsiTheme="minorHAnsi" w:cs="Arial"/>
          <w:sz w:val="20"/>
          <w:szCs w:val="20"/>
        </w:rPr>
        <w:t xml:space="preserve"> senza necessità di interrompere il trattamento con lesinurad</w:t>
      </w:r>
      <w:r w:rsidR="002F2660">
        <w:rPr>
          <w:rFonts w:asciiTheme="minorHAnsi" w:hAnsiTheme="minorHAnsi" w:cs="Arial"/>
          <w:sz w:val="20"/>
          <w:szCs w:val="20"/>
        </w:rPr>
        <w:t>.</w:t>
      </w:r>
    </w:p>
    <w:p w14:paraId="5BA834C3" w14:textId="6D72B5D7" w:rsidR="001B0BBB" w:rsidRDefault="001B0BBB" w:rsidP="000210A2">
      <w:pPr>
        <w:spacing w:line="360" w:lineRule="auto"/>
        <w:rPr>
          <w:rFonts w:eastAsia="Times New Roman" w:cs="Arial"/>
          <w:color w:val="222222"/>
          <w:sz w:val="20"/>
          <w:szCs w:val="20"/>
        </w:rPr>
      </w:pPr>
      <w:r>
        <w:rPr>
          <w:rFonts w:eastAsia="Times New Roman" w:cs="Arial"/>
          <w:color w:val="222222"/>
          <w:sz w:val="20"/>
          <w:szCs w:val="20"/>
        </w:rPr>
        <w:t>Per il gruppo di trattamento lesinurad 200 mg, il CEAC ha valutato potenziali AE cardiovascolari nell’11% dei soggetti, confermati poi nel 6.4% dei soggetti. Tra questi sono stati identificati 12 eventi MACE.</w:t>
      </w:r>
    </w:p>
    <w:p w14:paraId="3C9C1BEA" w14:textId="527D3EFE" w:rsidR="001B0BBB" w:rsidRDefault="001B0BBB" w:rsidP="000210A2">
      <w:pPr>
        <w:spacing w:line="360" w:lineRule="auto"/>
        <w:rPr>
          <w:rFonts w:eastAsia="Times New Roman" w:cs="Arial"/>
          <w:color w:val="222222"/>
          <w:sz w:val="20"/>
          <w:szCs w:val="20"/>
        </w:rPr>
      </w:pPr>
      <w:r>
        <w:rPr>
          <w:rFonts w:eastAsia="Times New Roman" w:cs="Arial"/>
          <w:color w:val="222222"/>
          <w:sz w:val="20"/>
          <w:szCs w:val="20"/>
        </w:rPr>
        <w:t>La maggior parte de</w:t>
      </w:r>
      <w:r w:rsidR="005F1CEC">
        <w:rPr>
          <w:rFonts w:eastAsia="Times New Roman" w:cs="Arial"/>
          <w:color w:val="222222"/>
          <w:sz w:val="20"/>
          <w:szCs w:val="20"/>
        </w:rPr>
        <w:t>gli AEs sono stati considerati non correlati a lesinurad da parte degli sperimentatori.</w:t>
      </w:r>
    </w:p>
    <w:p w14:paraId="29E6816C" w14:textId="2689F742" w:rsidR="005F1CEC" w:rsidRDefault="005F1CEC" w:rsidP="000210A2">
      <w:pPr>
        <w:spacing w:line="360" w:lineRule="auto"/>
        <w:rPr>
          <w:rFonts w:eastAsia="Times New Roman" w:cs="Arial"/>
          <w:color w:val="222222"/>
          <w:sz w:val="20"/>
          <w:szCs w:val="20"/>
        </w:rPr>
      </w:pPr>
      <w:r>
        <w:rPr>
          <w:rFonts w:eastAsia="Times New Roman" w:cs="Arial"/>
          <w:color w:val="222222"/>
          <w:sz w:val="20"/>
          <w:szCs w:val="20"/>
        </w:rPr>
        <w:t>Pertanto i dati a lungo termine fino a 52 mesi dimostrano che lesinuard 200 mg in associazione ad allopurinolo era ben tollerato nei pazienti gottosi.</w:t>
      </w:r>
    </w:p>
    <w:p w14:paraId="30770C7E" w14:textId="77777777" w:rsidR="00B624CA" w:rsidRPr="005F1CEC" w:rsidRDefault="00B624CA" w:rsidP="000210A2">
      <w:pPr>
        <w:spacing w:line="360" w:lineRule="auto"/>
        <w:rPr>
          <w:rFonts w:eastAsia="Times New Roman" w:cs="Arial"/>
          <w:color w:val="222222"/>
          <w:sz w:val="20"/>
          <w:szCs w:val="20"/>
        </w:rPr>
      </w:pPr>
    </w:p>
    <w:p w14:paraId="49508D70" w14:textId="77777777" w:rsidR="00D30985" w:rsidRPr="00221759" w:rsidRDefault="00122D69" w:rsidP="00825BD3">
      <w:pPr>
        <w:numPr>
          <w:ilvl w:val="1"/>
          <w:numId w:val="13"/>
        </w:numPr>
        <w:spacing w:line="360" w:lineRule="auto"/>
        <w:ind w:left="709"/>
        <w:rPr>
          <w:rFonts w:cs="Arial"/>
          <w:sz w:val="20"/>
          <w:szCs w:val="20"/>
          <w:u w:val="single"/>
        </w:rPr>
      </w:pPr>
      <w:bookmarkStart w:id="183" w:name="Paragrafo540"/>
      <w:bookmarkEnd w:id="183"/>
      <w:r w:rsidRPr="00221759">
        <w:rPr>
          <w:rFonts w:cs="Arial"/>
          <w:sz w:val="20"/>
          <w:szCs w:val="20"/>
          <w:u w:val="single"/>
        </w:rPr>
        <w:t>Valutazione conclusiva sullo studio</w:t>
      </w:r>
    </w:p>
    <w:p w14:paraId="1FCE3961" w14:textId="3E410F9B" w:rsidR="00887A18" w:rsidRPr="00887A18" w:rsidRDefault="00887A18" w:rsidP="000210A2">
      <w:pPr>
        <w:pStyle w:val="Paragrafoelenco3"/>
        <w:spacing w:line="360" w:lineRule="auto"/>
        <w:ind w:left="0"/>
        <w:rPr>
          <w:rFonts w:asciiTheme="minorHAnsi" w:hAnsiTheme="minorHAnsi" w:cs="Arial"/>
          <w:b/>
          <w:sz w:val="20"/>
          <w:szCs w:val="20"/>
        </w:rPr>
      </w:pPr>
      <w:r w:rsidRPr="00887A18">
        <w:rPr>
          <w:rFonts w:asciiTheme="minorHAnsi" w:hAnsiTheme="minorHAnsi" w:cs="Arial"/>
          <w:b/>
          <w:sz w:val="20"/>
          <w:szCs w:val="20"/>
        </w:rPr>
        <w:t xml:space="preserve">I due studi CLEAR-1 e CLEAR-2 hanno dimostrato che il trattamento con lesinurad 200 mg in associazione con allopurinolo determina un abbassamento dell’uricemia statisticamente significativo e clinicamente rilevante, nei pazienti </w:t>
      </w:r>
      <w:r w:rsidR="00D3347F">
        <w:rPr>
          <w:rFonts w:asciiTheme="minorHAnsi" w:hAnsiTheme="minorHAnsi" w:cs="Arial"/>
          <w:b/>
          <w:sz w:val="20"/>
          <w:szCs w:val="20"/>
        </w:rPr>
        <w:t>che non rispondevano in maniera adeguata</w:t>
      </w:r>
      <w:r w:rsidRPr="00887A18">
        <w:rPr>
          <w:rFonts w:asciiTheme="minorHAnsi" w:hAnsiTheme="minorHAnsi" w:cs="Arial"/>
          <w:b/>
          <w:sz w:val="20"/>
          <w:szCs w:val="20"/>
        </w:rPr>
        <w:t xml:space="preserve"> ad allopurinolo in monoterapia. Questi risultati positivi degli studi CLEAR-1 e-2 core, sono stati ampiamente riconfermati dallo studio di estensione CLEAR extension.</w:t>
      </w:r>
    </w:p>
    <w:p w14:paraId="4B4DF0D4" w14:textId="77777777" w:rsidR="00D3347F" w:rsidRPr="00887A18" w:rsidRDefault="00D3347F" w:rsidP="00825BD3">
      <w:pPr>
        <w:pStyle w:val="Paragrafoelenco3"/>
        <w:numPr>
          <w:ilvl w:val="0"/>
          <w:numId w:val="28"/>
        </w:numPr>
        <w:spacing w:line="360" w:lineRule="auto"/>
        <w:rPr>
          <w:rFonts w:asciiTheme="minorHAnsi" w:hAnsiTheme="minorHAnsi" w:cs="Arial"/>
          <w:sz w:val="20"/>
          <w:szCs w:val="20"/>
        </w:rPr>
      </w:pPr>
      <w:r w:rsidRPr="00887A18">
        <w:rPr>
          <w:rFonts w:asciiTheme="minorHAnsi" w:hAnsiTheme="minorHAnsi" w:cs="Arial"/>
          <w:sz w:val="20"/>
          <w:szCs w:val="20"/>
        </w:rPr>
        <w:t xml:space="preserve">La percentuale di soggetti che hanno raggiunto l’obiettivo di uricemia &lt;6.0 mg/dl con lesinurad durante lo studio CLEAR core è rimasta costante per tutto lo studio di estensione: la quota di soggetti che hanno raggiunto l’obiettivo uricemico è </w:t>
      </w:r>
      <w:r>
        <w:rPr>
          <w:rFonts w:asciiTheme="minorHAnsi" w:hAnsiTheme="minorHAnsi" w:cs="Arial"/>
          <w:sz w:val="20"/>
          <w:szCs w:val="20"/>
        </w:rPr>
        <w:t>raddoppiata</w:t>
      </w:r>
      <w:r w:rsidRPr="00887A18">
        <w:rPr>
          <w:rFonts w:asciiTheme="minorHAnsi" w:hAnsiTheme="minorHAnsi" w:cs="Arial"/>
          <w:sz w:val="20"/>
          <w:szCs w:val="20"/>
        </w:rPr>
        <w:t xml:space="preserve"> nei soggetti che sono passati da placebo+allopurinolo a lesinurad+allopurinolo nello studio di estensione e tale aumento è rimasto costante per tutto lo studio di estensione.</w:t>
      </w:r>
    </w:p>
    <w:p w14:paraId="457C0532" w14:textId="20956CA1" w:rsidR="00887A18" w:rsidRPr="00887A18" w:rsidRDefault="00887A18" w:rsidP="00825BD3">
      <w:pPr>
        <w:pStyle w:val="Paragrafoelenco3"/>
        <w:numPr>
          <w:ilvl w:val="0"/>
          <w:numId w:val="28"/>
        </w:numPr>
        <w:spacing w:line="360" w:lineRule="auto"/>
        <w:rPr>
          <w:rFonts w:asciiTheme="minorHAnsi" w:hAnsiTheme="minorHAnsi" w:cs="Arial"/>
          <w:sz w:val="20"/>
          <w:szCs w:val="20"/>
        </w:rPr>
      </w:pPr>
      <w:r w:rsidRPr="00887A18">
        <w:rPr>
          <w:rFonts w:asciiTheme="minorHAnsi" w:hAnsiTheme="minorHAnsi" w:cs="Arial"/>
          <w:sz w:val="20"/>
          <w:szCs w:val="20"/>
        </w:rPr>
        <w:t xml:space="preserve">L'incidenza di attacchi di gotta che necessitavano di trattamento durante il periodo post-profilassi è stata bassa </w:t>
      </w:r>
      <w:r w:rsidR="00D3347F">
        <w:rPr>
          <w:rFonts w:asciiTheme="minorHAnsi" w:hAnsiTheme="minorHAnsi" w:cs="Arial"/>
          <w:sz w:val="20"/>
          <w:szCs w:val="20"/>
        </w:rPr>
        <w:t>in</w:t>
      </w:r>
      <w:r w:rsidRPr="00887A18">
        <w:rPr>
          <w:rFonts w:asciiTheme="minorHAnsi" w:hAnsiTheme="minorHAnsi" w:cs="Arial"/>
          <w:sz w:val="20"/>
          <w:szCs w:val="20"/>
        </w:rPr>
        <w:t xml:space="preserve"> tutti i gruppi di trattamento: gli attacchi di gotta che necessitavano di trattamento hanno continuato a diminuire durante il periodo di trattamento a lungo termine.</w:t>
      </w:r>
    </w:p>
    <w:p w14:paraId="41E02987" w14:textId="77777777" w:rsidR="00887A18" w:rsidRPr="00887A18" w:rsidRDefault="00887A18" w:rsidP="00825BD3">
      <w:pPr>
        <w:pStyle w:val="Paragrafoelenco3"/>
        <w:numPr>
          <w:ilvl w:val="0"/>
          <w:numId w:val="28"/>
        </w:numPr>
        <w:spacing w:line="360" w:lineRule="auto"/>
        <w:rPr>
          <w:rFonts w:asciiTheme="minorHAnsi" w:hAnsiTheme="minorHAnsi" w:cs="Arial"/>
          <w:sz w:val="20"/>
          <w:szCs w:val="20"/>
        </w:rPr>
      </w:pPr>
      <w:r w:rsidRPr="00887A18">
        <w:rPr>
          <w:rFonts w:asciiTheme="minorHAnsi" w:hAnsiTheme="minorHAnsi" w:cs="Arial"/>
          <w:sz w:val="20"/>
          <w:szCs w:val="20"/>
        </w:rPr>
        <w:t>La quota di soggetti trattati con lesinurad, con risoluzione completa di almeno un tofo target, ha continuato ad aumentare nel corso del tempo.</w:t>
      </w:r>
    </w:p>
    <w:p w14:paraId="2DC660E5" w14:textId="29C6EF3A" w:rsidR="00887A18" w:rsidRPr="00887A18" w:rsidRDefault="00887A18" w:rsidP="000210A2">
      <w:pPr>
        <w:pStyle w:val="Paragrafoelenco3"/>
        <w:spacing w:line="360" w:lineRule="auto"/>
        <w:ind w:left="0"/>
        <w:rPr>
          <w:rFonts w:asciiTheme="minorHAnsi" w:hAnsiTheme="minorHAnsi" w:cs="Arial"/>
          <w:b/>
          <w:sz w:val="20"/>
          <w:szCs w:val="20"/>
        </w:rPr>
      </w:pPr>
      <w:r w:rsidRPr="00887A18">
        <w:rPr>
          <w:rFonts w:asciiTheme="minorHAnsi" w:hAnsiTheme="minorHAnsi" w:cs="Arial"/>
          <w:b/>
          <w:sz w:val="20"/>
          <w:szCs w:val="20"/>
        </w:rPr>
        <w:t>Lesinurad (200 mg in associazione ad allopurinolo) è stato generalmente ben tollerato durante lo studio di estensione</w:t>
      </w:r>
      <w:r w:rsidR="00D04DEE">
        <w:rPr>
          <w:rFonts w:asciiTheme="minorHAnsi" w:hAnsiTheme="minorHAnsi" w:cs="Arial"/>
          <w:b/>
          <w:sz w:val="20"/>
          <w:szCs w:val="20"/>
        </w:rPr>
        <w:t xml:space="preserve"> </w:t>
      </w:r>
      <w:r w:rsidR="005F1CEC">
        <w:rPr>
          <w:rFonts w:asciiTheme="minorHAnsi" w:hAnsiTheme="minorHAnsi" w:cs="Arial"/>
          <w:b/>
          <w:sz w:val="20"/>
          <w:szCs w:val="20"/>
        </w:rPr>
        <w:t xml:space="preserve">fino </w:t>
      </w:r>
      <w:r w:rsidR="00D04DEE">
        <w:rPr>
          <w:rFonts w:asciiTheme="minorHAnsi" w:hAnsiTheme="minorHAnsi" w:cs="Arial"/>
          <w:b/>
          <w:sz w:val="20"/>
          <w:szCs w:val="20"/>
        </w:rPr>
        <w:t xml:space="preserve">a 52 </w:t>
      </w:r>
      <w:r w:rsidR="005F1CEC">
        <w:rPr>
          <w:rFonts w:asciiTheme="minorHAnsi" w:hAnsiTheme="minorHAnsi" w:cs="Arial"/>
          <w:b/>
          <w:sz w:val="20"/>
          <w:szCs w:val="20"/>
        </w:rPr>
        <w:t>mesi</w:t>
      </w:r>
      <w:r w:rsidRPr="00887A18">
        <w:rPr>
          <w:rFonts w:asciiTheme="minorHAnsi" w:hAnsiTheme="minorHAnsi" w:cs="Arial"/>
          <w:b/>
          <w:sz w:val="20"/>
          <w:szCs w:val="20"/>
        </w:rPr>
        <w:t>, con un profilo di eventi avversi correlati al trattamento, anche a livello renale e cardiovascolare, paragonabile quanto osservato nello studio core.</w:t>
      </w:r>
      <w:r w:rsidR="00A90A84">
        <w:rPr>
          <w:rFonts w:asciiTheme="minorHAnsi" w:hAnsiTheme="minorHAnsi" w:cs="Arial"/>
          <w:b/>
          <w:sz w:val="20"/>
          <w:szCs w:val="20"/>
        </w:rPr>
        <w:t xml:space="preserve"> N</w:t>
      </w:r>
      <w:r w:rsidR="00A90A84" w:rsidRPr="00A90A84">
        <w:rPr>
          <w:rFonts w:asciiTheme="minorHAnsi" w:hAnsiTheme="minorHAnsi" w:cs="Arial"/>
          <w:b/>
          <w:sz w:val="20"/>
          <w:szCs w:val="20"/>
        </w:rPr>
        <w:t>on sono stati osservati nuovi segnali di safety nello studio di estensione</w:t>
      </w:r>
      <w:r w:rsidR="00A90A84">
        <w:rPr>
          <w:rFonts w:asciiTheme="minorHAnsi" w:hAnsiTheme="minorHAnsi" w:cs="Arial"/>
          <w:b/>
          <w:sz w:val="20"/>
          <w:szCs w:val="20"/>
        </w:rPr>
        <w:t>.</w:t>
      </w:r>
    </w:p>
    <w:p w14:paraId="00D72429" w14:textId="73B72744" w:rsidR="00887A18" w:rsidRPr="00887A18" w:rsidRDefault="00887A18" w:rsidP="000210A2">
      <w:pPr>
        <w:pStyle w:val="Paragrafoelenco3"/>
        <w:spacing w:line="360" w:lineRule="auto"/>
        <w:ind w:left="0"/>
        <w:rPr>
          <w:rFonts w:asciiTheme="minorHAnsi" w:hAnsiTheme="minorHAnsi" w:cs="Arial"/>
          <w:b/>
          <w:sz w:val="20"/>
          <w:szCs w:val="20"/>
        </w:rPr>
      </w:pPr>
      <w:r w:rsidRPr="00887A18">
        <w:rPr>
          <w:rFonts w:asciiTheme="minorHAnsi" w:hAnsiTheme="minorHAnsi" w:cs="Arial"/>
          <w:b/>
          <w:sz w:val="20"/>
          <w:szCs w:val="20"/>
        </w:rPr>
        <w:t>La terapia di combinazione con lesinurad e allopurinolo può rappresentare una importante opzione di trattamento anche a lungo termine, per i pazienti affetti da gotta che non rispondono ad una monoterapia con allopurinolo</w:t>
      </w:r>
      <w:r>
        <w:rPr>
          <w:rFonts w:asciiTheme="minorHAnsi" w:hAnsiTheme="minorHAnsi" w:cs="Arial"/>
          <w:b/>
          <w:sz w:val="20"/>
          <w:szCs w:val="20"/>
        </w:rPr>
        <w:t>.</w:t>
      </w:r>
    </w:p>
    <w:p w14:paraId="5892E2EE" w14:textId="77777777" w:rsidR="00887A18" w:rsidRDefault="00887A18" w:rsidP="000210A2">
      <w:pPr>
        <w:spacing w:line="360" w:lineRule="auto"/>
        <w:rPr>
          <w:rFonts w:eastAsia="Times New Roman" w:cs="Arial"/>
          <w:color w:val="222222"/>
          <w:sz w:val="20"/>
          <w:szCs w:val="20"/>
        </w:rPr>
      </w:pPr>
    </w:p>
    <w:p w14:paraId="1116056B" w14:textId="77777777" w:rsidR="00DF1F08" w:rsidRPr="00814F3C" w:rsidRDefault="00DF1F08" w:rsidP="000210A2">
      <w:pPr>
        <w:rPr>
          <w:rFonts w:eastAsia="Times New Roman" w:cs="Arial"/>
          <w:b/>
          <w:color w:val="222222"/>
          <w:sz w:val="20"/>
          <w:szCs w:val="20"/>
        </w:rPr>
      </w:pPr>
      <w:r w:rsidRPr="00814F3C">
        <w:rPr>
          <w:rFonts w:eastAsia="Times New Roman" w:cs="Arial"/>
          <w:b/>
          <w:color w:val="222222"/>
          <w:sz w:val="20"/>
          <w:szCs w:val="20"/>
        </w:rPr>
        <w:br w:type="page"/>
      </w:r>
    </w:p>
    <w:p w14:paraId="16189A7C" w14:textId="2C1B7210" w:rsidR="00887A18" w:rsidRPr="005B1CD1" w:rsidRDefault="00B42472" w:rsidP="000210A2">
      <w:pPr>
        <w:pStyle w:val="Heading2"/>
        <w:jc w:val="left"/>
        <w:rPr>
          <w:rFonts w:asciiTheme="minorHAnsi" w:hAnsiTheme="minorHAnsi" w:cstheme="minorHAnsi"/>
          <w:i w:val="0"/>
          <w:sz w:val="20"/>
          <w:u w:val="single"/>
          <w:lang w:val="en-GB"/>
        </w:rPr>
      </w:pPr>
      <w:bookmarkStart w:id="184" w:name="_Toc473184565"/>
      <w:r w:rsidRPr="005B1CD1">
        <w:rPr>
          <w:rFonts w:asciiTheme="minorHAnsi" w:hAnsiTheme="minorHAnsi" w:cstheme="minorHAnsi"/>
          <w:i w:val="0"/>
          <w:sz w:val="20"/>
          <w:u w:val="single"/>
          <w:lang w:val="en-GB"/>
        </w:rPr>
        <w:t>Studio CRYSTAL extension (studio 307)</w:t>
      </w:r>
      <w:r w:rsidR="00966A6C" w:rsidRPr="005B1CD1">
        <w:rPr>
          <w:rFonts w:asciiTheme="minorHAnsi" w:hAnsiTheme="minorHAnsi" w:cstheme="minorHAnsi"/>
          <w:i w:val="0"/>
          <w:sz w:val="20"/>
          <w:u w:val="single"/>
          <w:lang w:val="en-GB"/>
        </w:rPr>
        <w:t xml:space="preserve"> (</w:t>
      </w:r>
      <w:r w:rsidR="00A03658">
        <w:rPr>
          <w:rFonts w:asciiTheme="minorHAnsi" w:hAnsiTheme="minorHAnsi" w:cstheme="minorHAnsi"/>
          <w:i w:val="0"/>
          <w:color w:val="0000FF"/>
          <w:sz w:val="20"/>
          <w:u w:val="single"/>
          <w:lang w:val="en-GB"/>
        </w:rPr>
        <w:t>129</w:t>
      </w:r>
      <w:r w:rsidR="00966A6C" w:rsidRPr="005B1CD1">
        <w:rPr>
          <w:rFonts w:asciiTheme="minorHAnsi" w:hAnsiTheme="minorHAnsi" w:cstheme="minorHAnsi"/>
          <w:i w:val="0"/>
          <w:sz w:val="20"/>
          <w:u w:val="single"/>
          <w:lang w:val="en-GB"/>
        </w:rPr>
        <w:t>)</w:t>
      </w:r>
      <w:bookmarkEnd w:id="184"/>
    </w:p>
    <w:p w14:paraId="541F0359" w14:textId="77777777" w:rsidR="00B42472" w:rsidRPr="00B42472" w:rsidRDefault="00B42472" w:rsidP="000210A2">
      <w:pPr>
        <w:spacing w:line="360" w:lineRule="auto"/>
        <w:rPr>
          <w:rFonts w:eastAsia="Times New Roman" w:cs="Arial"/>
          <w:b/>
          <w:color w:val="222222"/>
          <w:sz w:val="20"/>
          <w:szCs w:val="20"/>
        </w:rPr>
      </w:pPr>
    </w:p>
    <w:p w14:paraId="30938178" w14:textId="77777777" w:rsidR="00B42472" w:rsidRPr="00B42472" w:rsidRDefault="00B42472" w:rsidP="00825BD3">
      <w:pPr>
        <w:numPr>
          <w:ilvl w:val="1"/>
          <w:numId w:val="13"/>
        </w:numPr>
        <w:spacing w:line="360" w:lineRule="auto"/>
        <w:rPr>
          <w:rFonts w:eastAsia="Times New Roman" w:cs="Arial"/>
          <w:b/>
          <w:color w:val="222222"/>
          <w:sz w:val="20"/>
          <w:szCs w:val="20"/>
          <w:u w:val="single"/>
        </w:rPr>
      </w:pPr>
      <w:r w:rsidRPr="00B42472">
        <w:rPr>
          <w:rFonts w:eastAsia="Times New Roman" w:cs="Arial"/>
          <w:b/>
          <w:color w:val="222222"/>
          <w:sz w:val="20"/>
          <w:szCs w:val="20"/>
          <w:u w:val="single"/>
        </w:rPr>
        <w:t>Presupposti fisiopatologici e obiettivi dello studio</w:t>
      </w:r>
    </w:p>
    <w:p w14:paraId="679F3ED4" w14:textId="7018FF8A" w:rsidR="003629F1" w:rsidRPr="001934A0" w:rsidRDefault="003629F1" w:rsidP="000210A2">
      <w:pPr>
        <w:spacing w:line="360" w:lineRule="auto"/>
        <w:rPr>
          <w:rFonts w:eastAsia="Times New Roman" w:cs="Arial"/>
          <w:color w:val="222222"/>
          <w:sz w:val="20"/>
          <w:szCs w:val="20"/>
        </w:rPr>
      </w:pPr>
      <w:r w:rsidRPr="001934A0">
        <w:rPr>
          <w:rFonts w:eastAsia="Times New Roman" w:cs="Arial"/>
          <w:color w:val="222222"/>
          <w:sz w:val="20"/>
          <w:szCs w:val="20"/>
        </w:rPr>
        <w:t xml:space="preserve">Lo studio CRYSTAL ha </w:t>
      </w:r>
      <w:r w:rsidR="006B03C5">
        <w:rPr>
          <w:rFonts w:eastAsia="Times New Roman" w:cs="Arial"/>
          <w:color w:val="222222"/>
          <w:sz w:val="20"/>
          <w:szCs w:val="20"/>
        </w:rPr>
        <w:t>dimostr</w:t>
      </w:r>
      <w:r w:rsidR="006B03C5" w:rsidRPr="001934A0">
        <w:rPr>
          <w:rFonts w:eastAsia="Times New Roman" w:cs="Arial"/>
          <w:color w:val="222222"/>
          <w:sz w:val="20"/>
          <w:szCs w:val="20"/>
        </w:rPr>
        <w:t xml:space="preserve">ato </w:t>
      </w:r>
      <w:r w:rsidRPr="001934A0">
        <w:rPr>
          <w:rFonts w:eastAsia="Times New Roman" w:cs="Arial"/>
          <w:color w:val="222222"/>
          <w:sz w:val="20"/>
          <w:szCs w:val="20"/>
        </w:rPr>
        <w:t>l’efficacia e sicurezza di lesinurad 200 mg</w:t>
      </w:r>
      <w:r w:rsidR="00117E3B">
        <w:rPr>
          <w:rFonts w:eastAsia="Times New Roman" w:cs="Arial"/>
          <w:color w:val="222222"/>
          <w:sz w:val="20"/>
          <w:szCs w:val="20"/>
        </w:rPr>
        <w:t xml:space="preserve"> </w:t>
      </w:r>
      <w:r w:rsidRPr="001934A0">
        <w:rPr>
          <w:rFonts w:eastAsia="Times New Roman" w:cs="Arial"/>
          <w:color w:val="222222"/>
          <w:sz w:val="20"/>
          <w:szCs w:val="20"/>
        </w:rPr>
        <w:t>in mono-som</w:t>
      </w:r>
      <w:r w:rsidR="00117E3B">
        <w:rPr>
          <w:rFonts w:eastAsia="Times New Roman" w:cs="Arial"/>
          <w:color w:val="222222"/>
          <w:sz w:val="20"/>
          <w:szCs w:val="20"/>
        </w:rPr>
        <w:t>ministrazione orale giornaliera</w:t>
      </w:r>
      <w:r w:rsidRPr="001934A0">
        <w:rPr>
          <w:rFonts w:eastAsia="Times New Roman" w:cs="Arial"/>
          <w:color w:val="222222"/>
          <w:sz w:val="20"/>
          <w:szCs w:val="20"/>
        </w:rPr>
        <w:t xml:space="preserve"> in combinazione con febuxostat </w:t>
      </w:r>
      <w:r w:rsidR="003B6687">
        <w:rPr>
          <w:rFonts w:eastAsia="Times New Roman" w:cs="Arial"/>
          <w:color w:val="222222"/>
          <w:sz w:val="20"/>
          <w:szCs w:val="20"/>
        </w:rPr>
        <w:t>80 mg</w:t>
      </w:r>
      <w:r w:rsidRPr="001934A0">
        <w:rPr>
          <w:rFonts w:eastAsia="Times New Roman" w:cs="Arial"/>
          <w:color w:val="222222"/>
          <w:sz w:val="20"/>
          <w:szCs w:val="20"/>
        </w:rPr>
        <w:t>, vs. febuxostat monoterapia, in pazienti con gotta</w:t>
      </w:r>
      <w:r w:rsidR="00117E3B">
        <w:rPr>
          <w:rFonts w:eastAsia="Times New Roman" w:cs="Arial"/>
          <w:color w:val="222222"/>
          <w:sz w:val="20"/>
          <w:szCs w:val="20"/>
        </w:rPr>
        <w:t xml:space="preserve"> tofacea</w:t>
      </w:r>
      <w:r w:rsidRPr="001934A0">
        <w:rPr>
          <w:rFonts w:eastAsia="Times New Roman" w:cs="Arial"/>
          <w:color w:val="222222"/>
          <w:sz w:val="20"/>
          <w:szCs w:val="20"/>
        </w:rPr>
        <w:t xml:space="preserve">. Infatti </w:t>
      </w:r>
      <w:r w:rsidR="006B03C5">
        <w:rPr>
          <w:rFonts w:eastAsia="Times New Roman" w:cs="Arial"/>
          <w:color w:val="222222"/>
          <w:sz w:val="20"/>
          <w:szCs w:val="20"/>
        </w:rPr>
        <w:t>nel</w:t>
      </w:r>
      <w:r w:rsidRPr="001934A0">
        <w:rPr>
          <w:rFonts w:eastAsia="Times New Roman" w:cs="Arial"/>
          <w:color w:val="222222"/>
          <w:sz w:val="20"/>
          <w:szCs w:val="20"/>
        </w:rPr>
        <w:t xml:space="preserve">lo studio CRYSTAL una maggiore quota di pazienti trattati con lesinurad 200 mg + febuxostat (LESU200 + </w:t>
      </w:r>
      <w:r w:rsidR="00117E3B">
        <w:rPr>
          <w:rFonts w:eastAsia="Times New Roman" w:cs="Arial"/>
          <w:color w:val="222222"/>
          <w:sz w:val="20"/>
          <w:szCs w:val="20"/>
        </w:rPr>
        <w:t xml:space="preserve">FBX) ha raggiunto il target di </w:t>
      </w:r>
      <w:r w:rsidR="005848A1">
        <w:rPr>
          <w:rFonts w:eastAsia="Times New Roman" w:cs="Arial"/>
          <w:color w:val="222222"/>
          <w:sz w:val="20"/>
          <w:szCs w:val="20"/>
        </w:rPr>
        <w:t>sUA</w:t>
      </w:r>
      <w:r w:rsidRPr="001934A0">
        <w:rPr>
          <w:rFonts w:eastAsia="Times New Roman" w:cs="Arial"/>
          <w:color w:val="222222"/>
          <w:sz w:val="20"/>
          <w:szCs w:val="20"/>
        </w:rPr>
        <w:t xml:space="preserve"> &lt;5.0 mg/dl a 6</w:t>
      </w:r>
      <w:r w:rsidR="00117E3B">
        <w:rPr>
          <w:rFonts w:eastAsia="Times New Roman" w:cs="Arial"/>
          <w:color w:val="222222"/>
          <w:sz w:val="20"/>
          <w:szCs w:val="20"/>
        </w:rPr>
        <w:t xml:space="preserve"> (Analisi LOCF p=0.0377)</w:t>
      </w:r>
      <w:r w:rsidRPr="001934A0">
        <w:rPr>
          <w:rFonts w:eastAsia="Times New Roman" w:cs="Arial"/>
          <w:color w:val="222222"/>
          <w:sz w:val="20"/>
          <w:szCs w:val="20"/>
        </w:rPr>
        <w:t xml:space="preserve"> e 12 mesi (</w:t>
      </w:r>
      <w:r w:rsidR="00117E3B">
        <w:rPr>
          <w:rFonts w:eastAsia="Times New Roman" w:cs="Arial"/>
          <w:color w:val="222222"/>
          <w:sz w:val="20"/>
          <w:szCs w:val="20"/>
        </w:rPr>
        <w:t xml:space="preserve">Analisi NRI </w:t>
      </w:r>
      <w:r w:rsidRPr="001934A0">
        <w:rPr>
          <w:rFonts w:eastAsia="Times New Roman" w:cs="Arial"/>
          <w:color w:val="222222"/>
          <w:sz w:val="20"/>
          <w:szCs w:val="20"/>
        </w:rPr>
        <w:t>p&lt;0.0001), rispetto a placebo + febuxostat (PBO + FBX).</w:t>
      </w:r>
    </w:p>
    <w:p w14:paraId="40F8FFAA" w14:textId="4DDA0E0C" w:rsidR="007326DA" w:rsidRPr="007326DA" w:rsidRDefault="001934A0" w:rsidP="007326DA">
      <w:pPr>
        <w:spacing w:line="360" w:lineRule="auto"/>
        <w:rPr>
          <w:rFonts w:eastAsia="Times New Roman" w:cs="Arial"/>
          <w:color w:val="222222"/>
          <w:sz w:val="20"/>
          <w:szCs w:val="20"/>
        </w:rPr>
      </w:pPr>
      <w:r w:rsidRPr="007326DA">
        <w:rPr>
          <w:rFonts w:eastAsia="Times New Roman" w:cs="Arial"/>
          <w:color w:val="222222"/>
          <w:sz w:val="20"/>
          <w:szCs w:val="20"/>
        </w:rPr>
        <w:t>Lo studio CRYSTAL extension (</w:t>
      </w:r>
      <w:r w:rsidR="009327AB" w:rsidRPr="007326DA">
        <w:rPr>
          <w:rFonts w:eastAsia="Times New Roman" w:cs="Arial"/>
          <w:color w:val="222222"/>
          <w:sz w:val="20"/>
          <w:szCs w:val="20"/>
        </w:rPr>
        <w:t>NCT01808144</w:t>
      </w:r>
      <w:r w:rsidRPr="007326DA">
        <w:rPr>
          <w:rFonts w:eastAsia="Times New Roman" w:cs="Arial"/>
          <w:color w:val="222222"/>
          <w:sz w:val="20"/>
          <w:szCs w:val="20"/>
        </w:rPr>
        <w:t xml:space="preserve">) aveva l’obiettivo di estendere l’osservazione del </w:t>
      </w:r>
      <w:r w:rsidR="003629F1" w:rsidRPr="007326DA">
        <w:rPr>
          <w:rFonts w:eastAsia="Times New Roman" w:cs="Arial"/>
          <w:color w:val="222222"/>
          <w:sz w:val="20"/>
          <w:szCs w:val="20"/>
        </w:rPr>
        <w:t>trattamento</w:t>
      </w:r>
      <w:r w:rsidR="003629F1" w:rsidRPr="001934A0">
        <w:rPr>
          <w:rFonts w:eastAsia="Times New Roman" w:cs="Arial"/>
          <w:color w:val="222222"/>
          <w:sz w:val="20"/>
          <w:szCs w:val="20"/>
        </w:rPr>
        <w:t xml:space="preserve"> con LESU + FBX per valutarne efficacia e sicurezza a lungo-termine.</w:t>
      </w:r>
      <w:r w:rsidR="00D04DEE">
        <w:rPr>
          <w:rFonts w:eastAsia="Times New Roman" w:cs="Arial"/>
          <w:color w:val="222222"/>
          <w:sz w:val="20"/>
          <w:szCs w:val="20"/>
        </w:rPr>
        <w:t xml:space="preserve"> Come per lo studio di estensione 306, anche</w:t>
      </w:r>
      <w:r w:rsidR="007326DA">
        <w:rPr>
          <w:rFonts w:eastAsia="Times New Roman" w:cs="Arial"/>
          <w:color w:val="222222"/>
          <w:sz w:val="20"/>
          <w:szCs w:val="20"/>
        </w:rPr>
        <w:t xml:space="preserve"> </w:t>
      </w:r>
      <w:r w:rsidR="006548B5">
        <w:rPr>
          <w:rFonts w:eastAsia="Times New Roman" w:cs="Arial"/>
          <w:color w:val="222222"/>
          <w:sz w:val="20"/>
          <w:szCs w:val="20"/>
        </w:rPr>
        <w:t>per lo studio 307 s</w:t>
      </w:r>
      <w:r w:rsidR="006548B5" w:rsidRPr="007326DA">
        <w:rPr>
          <w:rFonts w:eastAsia="Times New Roman" w:cs="Arial"/>
          <w:color w:val="222222"/>
          <w:sz w:val="20"/>
          <w:szCs w:val="20"/>
        </w:rPr>
        <w:t>ono disponibili due interim anal</w:t>
      </w:r>
      <w:r w:rsidR="006548B5">
        <w:rPr>
          <w:rFonts w:eastAsia="Times New Roman" w:cs="Arial"/>
          <w:color w:val="222222"/>
          <w:sz w:val="20"/>
          <w:szCs w:val="20"/>
        </w:rPr>
        <w:t>ysis ed una sinos</w:t>
      </w:r>
      <w:r w:rsidR="006548B5" w:rsidRPr="007326DA">
        <w:rPr>
          <w:rFonts w:eastAsia="Times New Roman" w:cs="Arial"/>
          <w:color w:val="222222"/>
          <w:sz w:val="20"/>
          <w:szCs w:val="20"/>
        </w:rPr>
        <w:t>s</w:t>
      </w:r>
      <w:r w:rsidR="006548B5">
        <w:rPr>
          <w:rFonts w:eastAsia="Times New Roman" w:cs="Arial"/>
          <w:color w:val="222222"/>
          <w:sz w:val="20"/>
          <w:szCs w:val="20"/>
        </w:rPr>
        <w:t>i</w:t>
      </w:r>
      <w:r w:rsidR="006548B5">
        <w:rPr>
          <w:rStyle w:val="FootnoteReference"/>
          <w:rFonts w:eastAsia="Times New Roman"/>
          <w:color w:val="222222"/>
          <w:sz w:val="20"/>
          <w:szCs w:val="20"/>
        </w:rPr>
        <w:footnoteReference w:id="8"/>
      </w:r>
      <w:r w:rsidR="006548B5">
        <w:rPr>
          <w:rFonts w:eastAsia="Times New Roman" w:cs="Arial"/>
          <w:color w:val="222222"/>
          <w:sz w:val="20"/>
          <w:szCs w:val="20"/>
        </w:rPr>
        <w:t xml:space="preserve"> </w:t>
      </w:r>
      <w:r w:rsidR="006548B5" w:rsidRPr="007326DA">
        <w:rPr>
          <w:rFonts w:eastAsia="Times New Roman" w:cs="Arial"/>
          <w:color w:val="222222"/>
          <w:sz w:val="20"/>
          <w:szCs w:val="20"/>
        </w:rPr>
        <w:t xml:space="preserve">finale: una prima interim analysis (cut-off </w:t>
      </w:r>
      <w:r w:rsidR="007326DA" w:rsidRPr="007326DA">
        <w:rPr>
          <w:rFonts w:eastAsia="Times New Roman" w:cs="Arial"/>
          <w:color w:val="222222"/>
          <w:sz w:val="20"/>
          <w:szCs w:val="20"/>
        </w:rPr>
        <w:t>1</w:t>
      </w:r>
      <w:r w:rsidR="006548B5">
        <w:rPr>
          <w:rFonts w:eastAsia="Times New Roman" w:cs="Arial"/>
          <w:color w:val="222222"/>
          <w:sz w:val="20"/>
          <w:szCs w:val="20"/>
        </w:rPr>
        <w:t>0</w:t>
      </w:r>
      <w:r w:rsidR="007326DA" w:rsidRPr="007326DA">
        <w:rPr>
          <w:rFonts w:eastAsia="Times New Roman" w:cs="Arial"/>
          <w:color w:val="222222"/>
          <w:sz w:val="20"/>
          <w:szCs w:val="20"/>
        </w:rPr>
        <w:t xml:space="preserve"> Giugno 2014) che </w:t>
      </w:r>
      <w:r w:rsidR="006548B5">
        <w:rPr>
          <w:rFonts w:eastAsia="Times New Roman" w:cs="Arial"/>
          <w:color w:val="222222"/>
          <w:sz w:val="20"/>
          <w:szCs w:val="20"/>
        </w:rPr>
        <w:t xml:space="preserve">si </w:t>
      </w:r>
      <w:r w:rsidR="007326DA" w:rsidRPr="007326DA">
        <w:rPr>
          <w:rFonts w:eastAsia="Times New Roman" w:cs="Arial"/>
          <w:color w:val="222222"/>
          <w:sz w:val="20"/>
          <w:szCs w:val="20"/>
        </w:rPr>
        <w:t>focalizza solo sui dati di sicurezza (</w:t>
      </w:r>
      <w:r w:rsidR="00127846">
        <w:rPr>
          <w:rFonts w:eastAsia="Times New Roman" w:cs="Arial"/>
          <w:color w:val="222222"/>
          <w:sz w:val="20"/>
          <w:szCs w:val="20"/>
        </w:rPr>
        <w:t>CSR 307, 2014 (</w:t>
      </w:r>
      <w:r w:rsidR="007326DA" w:rsidRPr="006548B5">
        <w:rPr>
          <w:rFonts w:eastAsia="Times New Roman" w:cs="Arial"/>
          <w:color w:val="0000FF"/>
          <w:sz w:val="20"/>
          <w:szCs w:val="20"/>
        </w:rPr>
        <w:t>1</w:t>
      </w:r>
      <w:r w:rsidR="00127846">
        <w:rPr>
          <w:rFonts w:eastAsia="Times New Roman" w:cs="Arial"/>
          <w:color w:val="0000FF"/>
          <w:sz w:val="20"/>
          <w:szCs w:val="20"/>
        </w:rPr>
        <w:t>48)</w:t>
      </w:r>
      <w:r w:rsidR="007326DA" w:rsidRPr="007326DA">
        <w:rPr>
          <w:rFonts w:eastAsia="Times New Roman" w:cs="Arial"/>
          <w:color w:val="222222"/>
          <w:sz w:val="20"/>
          <w:szCs w:val="20"/>
        </w:rPr>
        <w:t>); una seconda interim analysis (cut-off 1</w:t>
      </w:r>
      <w:r w:rsidR="006548B5">
        <w:rPr>
          <w:rFonts w:eastAsia="Times New Roman" w:cs="Arial"/>
          <w:color w:val="222222"/>
          <w:sz w:val="20"/>
          <w:szCs w:val="20"/>
        </w:rPr>
        <w:t>2</w:t>
      </w:r>
      <w:r w:rsidR="007326DA" w:rsidRPr="007326DA">
        <w:rPr>
          <w:rFonts w:eastAsia="Times New Roman" w:cs="Arial"/>
          <w:color w:val="222222"/>
          <w:sz w:val="20"/>
          <w:szCs w:val="20"/>
        </w:rPr>
        <w:t xml:space="preserve"> Ma</w:t>
      </w:r>
      <w:r w:rsidR="006548B5">
        <w:rPr>
          <w:rFonts w:eastAsia="Times New Roman" w:cs="Arial"/>
          <w:color w:val="222222"/>
          <w:sz w:val="20"/>
          <w:szCs w:val="20"/>
        </w:rPr>
        <w:t>rzo</w:t>
      </w:r>
      <w:r w:rsidR="007326DA" w:rsidRPr="007326DA">
        <w:rPr>
          <w:rFonts w:eastAsia="Times New Roman" w:cs="Arial"/>
          <w:color w:val="222222"/>
          <w:sz w:val="20"/>
          <w:szCs w:val="20"/>
        </w:rPr>
        <w:t xml:space="preserve"> 2015) che comprend</w:t>
      </w:r>
      <w:r w:rsidR="006548B5">
        <w:rPr>
          <w:rFonts w:eastAsia="Times New Roman" w:cs="Arial"/>
          <w:color w:val="222222"/>
          <w:sz w:val="20"/>
          <w:szCs w:val="20"/>
        </w:rPr>
        <w:t>e</w:t>
      </w:r>
      <w:r w:rsidR="007326DA" w:rsidRPr="007326DA">
        <w:rPr>
          <w:rFonts w:eastAsia="Times New Roman" w:cs="Arial"/>
          <w:color w:val="222222"/>
          <w:sz w:val="20"/>
          <w:szCs w:val="20"/>
        </w:rPr>
        <w:t xml:space="preserve"> la prima analisi di efficacia (tutti i dati da ogni soggetto in trattamento per almeno 12 mesi) e una seconda analisi di sicurezza (che include tutti i dati di sicurezza disponibili alla data del secondo cut-off) (</w:t>
      </w:r>
      <w:r w:rsidR="00127846">
        <w:rPr>
          <w:rFonts w:eastAsia="Times New Roman" w:cs="Arial"/>
          <w:color w:val="222222"/>
          <w:sz w:val="20"/>
          <w:szCs w:val="20"/>
        </w:rPr>
        <w:t>CSR 307, 2015 (129)</w:t>
      </w:r>
      <w:r w:rsidR="007326DA" w:rsidRPr="007326DA">
        <w:rPr>
          <w:rFonts w:eastAsia="Times New Roman" w:cs="Arial"/>
          <w:color w:val="222222"/>
          <w:sz w:val="20"/>
          <w:szCs w:val="20"/>
        </w:rPr>
        <w:t>); la sino</w:t>
      </w:r>
      <w:r w:rsidR="006548B5">
        <w:rPr>
          <w:rFonts w:eastAsia="Times New Roman" w:cs="Arial"/>
          <w:color w:val="222222"/>
          <w:sz w:val="20"/>
          <w:szCs w:val="20"/>
        </w:rPr>
        <w:t>s</w:t>
      </w:r>
      <w:r w:rsidR="007326DA" w:rsidRPr="007326DA">
        <w:rPr>
          <w:rFonts w:eastAsia="Times New Roman" w:cs="Arial"/>
          <w:color w:val="222222"/>
          <w:sz w:val="20"/>
          <w:szCs w:val="20"/>
        </w:rPr>
        <w:t>si finale include le analisi finali di sicurezza dallo studio di estensione (fino a 52 settimane) (</w:t>
      </w:r>
      <w:r w:rsidR="00127846">
        <w:rPr>
          <w:rFonts w:eastAsia="Times New Roman" w:cs="Arial"/>
          <w:color w:val="222222"/>
          <w:sz w:val="20"/>
          <w:szCs w:val="20"/>
        </w:rPr>
        <w:t>CSR 307, 2016 (</w:t>
      </w:r>
      <w:r w:rsidR="007326DA" w:rsidRPr="006548B5">
        <w:rPr>
          <w:rFonts w:eastAsia="Times New Roman" w:cs="Arial"/>
          <w:color w:val="0000FF"/>
          <w:sz w:val="20"/>
          <w:szCs w:val="20"/>
        </w:rPr>
        <w:t>1</w:t>
      </w:r>
      <w:r w:rsidR="00127846">
        <w:rPr>
          <w:rFonts w:eastAsia="Times New Roman" w:cs="Arial"/>
          <w:color w:val="0000FF"/>
          <w:sz w:val="20"/>
          <w:szCs w:val="20"/>
        </w:rPr>
        <w:t>49)</w:t>
      </w:r>
      <w:r w:rsidR="007326DA" w:rsidRPr="007326DA">
        <w:rPr>
          <w:rFonts w:eastAsia="Times New Roman" w:cs="Arial"/>
          <w:color w:val="222222"/>
          <w:sz w:val="20"/>
          <w:szCs w:val="20"/>
        </w:rPr>
        <w:t>)</w:t>
      </w:r>
      <w:r w:rsidR="006548B5">
        <w:rPr>
          <w:rFonts w:eastAsia="Times New Roman" w:cs="Arial"/>
          <w:color w:val="222222"/>
          <w:sz w:val="20"/>
          <w:szCs w:val="20"/>
        </w:rPr>
        <w:t>.</w:t>
      </w:r>
    </w:p>
    <w:p w14:paraId="4C566CAF" w14:textId="77777777" w:rsidR="003629F1" w:rsidRPr="001934A0" w:rsidRDefault="003629F1" w:rsidP="000210A2">
      <w:pPr>
        <w:spacing w:line="360" w:lineRule="auto"/>
        <w:rPr>
          <w:rFonts w:eastAsia="Times New Roman" w:cs="Arial"/>
          <w:color w:val="222222"/>
          <w:sz w:val="20"/>
          <w:szCs w:val="20"/>
        </w:rPr>
      </w:pPr>
    </w:p>
    <w:p w14:paraId="6AB25427" w14:textId="77777777" w:rsidR="00B42472" w:rsidRPr="001934A0" w:rsidRDefault="00B42472" w:rsidP="00825BD3">
      <w:pPr>
        <w:numPr>
          <w:ilvl w:val="1"/>
          <w:numId w:val="13"/>
        </w:numPr>
        <w:spacing w:line="360" w:lineRule="auto"/>
        <w:rPr>
          <w:rFonts w:eastAsia="Times New Roman" w:cs="Arial"/>
          <w:color w:val="222222"/>
          <w:sz w:val="20"/>
          <w:szCs w:val="20"/>
          <w:u w:val="single"/>
        </w:rPr>
      </w:pPr>
      <w:r w:rsidRPr="001934A0">
        <w:rPr>
          <w:rFonts w:eastAsia="Times New Roman" w:cs="Arial"/>
          <w:color w:val="222222"/>
          <w:sz w:val="20"/>
          <w:szCs w:val="20"/>
          <w:u w:val="single"/>
        </w:rPr>
        <w:t>Tipo dello studio</w:t>
      </w:r>
    </w:p>
    <w:p w14:paraId="56534DD5" w14:textId="4C1FFBA4" w:rsidR="00B42472" w:rsidRPr="001934A0" w:rsidRDefault="00B42472" w:rsidP="000210A2">
      <w:pPr>
        <w:spacing w:line="360" w:lineRule="auto"/>
        <w:rPr>
          <w:rFonts w:eastAsia="Times New Roman" w:cs="Arial"/>
          <w:color w:val="222222"/>
          <w:sz w:val="20"/>
          <w:szCs w:val="20"/>
        </w:rPr>
      </w:pPr>
      <w:r w:rsidRPr="001934A0">
        <w:rPr>
          <w:rFonts w:eastAsia="Times New Roman" w:cs="Arial"/>
          <w:color w:val="222222"/>
          <w:sz w:val="20"/>
          <w:szCs w:val="20"/>
        </w:rPr>
        <w:t xml:space="preserve">Studio randomizzato, </w:t>
      </w:r>
      <w:r w:rsidR="006B03C5">
        <w:rPr>
          <w:rFonts w:eastAsia="Times New Roman" w:cs="Arial"/>
          <w:color w:val="222222"/>
          <w:sz w:val="20"/>
          <w:szCs w:val="20"/>
        </w:rPr>
        <w:t xml:space="preserve">in doppio cieco fino alla conclusione dello studio CRYSTAL e successivamente </w:t>
      </w:r>
      <w:r w:rsidRPr="001934A0">
        <w:rPr>
          <w:rFonts w:eastAsia="Times New Roman" w:cs="Arial"/>
          <w:color w:val="222222"/>
          <w:sz w:val="20"/>
          <w:szCs w:val="20"/>
        </w:rPr>
        <w:t xml:space="preserve">in </w:t>
      </w:r>
      <w:r w:rsidR="001D5820">
        <w:rPr>
          <w:rFonts w:eastAsia="Times New Roman" w:cs="Arial"/>
          <w:color w:val="222222"/>
          <w:sz w:val="20"/>
          <w:szCs w:val="20"/>
        </w:rPr>
        <w:t>aperto</w:t>
      </w:r>
      <w:r w:rsidRPr="001934A0">
        <w:rPr>
          <w:rFonts w:eastAsia="Times New Roman" w:cs="Arial"/>
          <w:color w:val="222222"/>
          <w:sz w:val="20"/>
          <w:szCs w:val="20"/>
        </w:rPr>
        <w:t>.</w:t>
      </w:r>
      <w:r w:rsidR="009327AB">
        <w:rPr>
          <w:rFonts w:eastAsia="Times New Roman" w:cs="Arial"/>
          <w:color w:val="222222"/>
          <w:sz w:val="20"/>
          <w:szCs w:val="20"/>
        </w:rPr>
        <w:t xml:space="preserve"> </w:t>
      </w:r>
    </w:p>
    <w:p w14:paraId="54DDD346" w14:textId="77777777" w:rsidR="00B42472" w:rsidRPr="00B42472" w:rsidRDefault="00B42472" w:rsidP="000210A2">
      <w:pPr>
        <w:spacing w:line="360" w:lineRule="auto"/>
        <w:rPr>
          <w:rFonts w:eastAsia="Times New Roman" w:cs="Arial"/>
          <w:b/>
          <w:color w:val="222222"/>
          <w:sz w:val="20"/>
          <w:szCs w:val="20"/>
        </w:rPr>
      </w:pPr>
    </w:p>
    <w:p w14:paraId="5CFEF7AC" w14:textId="77777777" w:rsidR="00B42472" w:rsidRPr="00B42472" w:rsidRDefault="00B42472" w:rsidP="00825BD3">
      <w:pPr>
        <w:numPr>
          <w:ilvl w:val="1"/>
          <w:numId w:val="13"/>
        </w:numPr>
        <w:spacing w:line="360" w:lineRule="auto"/>
        <w:rPr>
          <w:rFonts w:eastAsia="Times New Roman" w:cs="Arial"/>
          <w:b/>
          <w:color w:val="222222"/>
          <w:sz w:val="20"/>
          <w:szCs w:val="20"/>
          <w:u w:val="single"/>
        </w:rPr>
      </w:pPr>
      <w:r w:rsidRPr="00B42472">
        <w:rPr>
          <w:rFonts w:eastAsia="Times New Roman" w:cs="Arial"/>
          <w:b/>
          <w:color w:val="222222"/>
          <w:sz w:val="20"/>
          <w:szCs w:val="20"/>
          <w:u w:val="single"/>
        </w:rPr>
        <w:t>Tipo e numero di pazienti partecipanti allo studio</w:t>
      </w:r>
    </w:p>
    <w:p w14:paraId="774B1026" w14:textId="69A3DCEF" w:rsidR="003629F1" w:rsidRDefault="003629F1" w:rsidP="000210A2">
      <w:pPr>
        <w:spacing w:line="360" w:lineRule="auto"/>
        <w:rPr>
          <w:rFonts w:eastAsia="Times New Roman" w:cs="Arial"/>
          <w:color w:val="222222"/>
          <w:sz w:val="20"/>
          <w:szCs w:val="20"/>
        </w:rPr>
      </w:pPr>
      <w:r w:rsidRPr="001934A0">
        <w:rPr>
          <w:rFonts w:eastAsia="Times New Roman" w:cs="Arial"/>
          <w:color w:val="222222"/>
          <w:sz w:val="20"/>
          <w:szCs w:val="20"/>
        </w:rPr>
        <w:t xml:space="preserve">La </w:t>
      </w:r>
      <w:hyperlink w:anchor="Figura41" w:history="1">
        <w:r w:rsidR="00117E3B">
          <w:rPr>
            <w:rStyle w:val="Hyperlink"/>
            <w:rFonts w:eastAsia="Times New Roman" w:cs="Arial"/>
            <w:sz w:val="20"/>
            <w:szCs w:val="20"/>
          </w:rPr>
          <w:t>Figura 4</w:t>
        </w:r>
        <w:r w:rsidR="00296E7F">
          <w:rPr>
            <w:rStyle w:val="Hyperlink"/>
            <w:rFonts w:eastAsia="Times New Roman" w:cs="Arial"/>
            <w:sz w:val="20"/>
            <w:szCs w:val="20"/>
          </w:rPr>
          <w:t>1</w:t>
        </w:r>
      </w:hyperlink>
      <w:r w:rsidRPr="001934A0">
        <w:rPr>
          <w:rFonts w:eastAsia="Times New Roman" w:cs="Arial"/>
          <w:color w:val="222222"/>
          <w:sz w:val="20"/>
          <w:szCs w:val="20"/>
        </w:rPr>
        <w:t xml:space="preserve"> illustra il disegno dello studio CRYSTAL extension.</w:t>
      </w:r>
    </w:p>
    <w:p w14:paraId="44023A2A" w14:textId="77777777" w:rsidR="00E24213" w:rsidRPr="001934A0" w:rsidRDefault="00E24213" w:rsidP="000210A2">
      <w:pPr>
        <w:spacing w:line="360" w:lineRule="auto"/>
        <w:rPr>
          <w:rFonts w:eastAsia="Times New Roman" w:cs="Arial"/>
          <w:color w:val="222222"/>
          <w:sz w:val="20"/>
          <w:szCs w:val="20"/>
        </w:rPr>
      </w:pPr>
    </w:p>
    <w:p w14:paraId="15B77D37" w14:textId="63825BC9" w:rsidR="003629F1" w:rsidRPr="00E24213" w:rsidRDefault="00E24213" w:rsidP="00E24213">
      <w:pPr>
        <w:pStyle w:val="Caption"/>
        <w:rPr>
          <w:rFonts w:asciiTheme="minorHAnsi" w:hAnsiTheme="minorHAnsi" w:cstheme="minorHAnsi"/>
          <w:lang w:val="it-IT"/>
        </w:rPr>
      </w:pPr>
      <w:bookmarkStart w:id="185" w:name="Figura41"/>
      <w:bookmarkStart w:id="186" w:name="_Toc473186936"/>
      <w:bookmarkEnd w:id="185"/>
      <w:r w:rsidRPr="00E24213">
        <w:rPr>
          <w:rFonts w:asciiTheme="minorHAnsi" w:hAnsiTheme="minorHAnsi" w:cstheme="minorHAnsi"/>
          <w:lang w:val="it-IT"/>
        </w:rPr>
        <w:t>Fig</w:t>
      </w:r>
      <w:bookmarkStart w:id="187" w:name="Figura51"/>
      <w:bookmarkEnd w:id="187"/>
      <w:r w:rsidRPr="00E24213">
        <w:rPr>
          <w:rFonts w:asciiTheme="minorHAnsi" w:hAnsiTheme="minorHAnsi" w:cstheme="minorHAnsi"/>
          <w:lang w:val="it-IT"/>
        </w:rPr>
        <w:t xml:space="preserve">ura </w:t>
      </w:r>
      <w:r w:rsidRPr="00E24213">
        <w:rPr>
          <w:rFonts w:asciiTheme="minorHAnsi" w:hAnsiTheme="minorHAnsi" w:cstheme="minorHAnsi"/>
        </w:rPr>
        <w:fldChar w:fldCharType="begin"/>
      </w:r>
      <w:r w:rsidRPr="00E24213">
        <w:rPr>
          <w:rFonts w:asciiTheme="minorHAnsi" w:hAnsiTheme="minorHAnsi" w:cstheme="minorHAnsi"/>
          <w:lang w:val="it-IT"/>
        </w:rPr>
        <w:instrText xml:space="preserve"> SEQ Figura \* ARABIC </w:instrText>
      </w:r>
      <w:r w:rsidRPr="00E24213">
        <w:rPr>
          <w:rFonts w:asciiTheme="minorHAnsi" w:hAnsiTheme="minorHAnsi" w:cstheme="minorHAnsi"/>
        </w:rPr>
        <w:fldChar w:fldCharType="separate"/>
      </w:r>
      <w:r w:rsidR="00A1679C">
        <w:rPr>
          <w:rFonts w:asciiTheme="minorHAnsi" w:hAnsiTheme="minorHAnsi" w:cstheme="minorHAnsi"/>
          <w:noProof/>
          <w:lang w:val="it-IT"/>
        </w:rPr>
        <w:t>41</w:t>
      </w:r>
      <w:r w:rsidRPr="00E24213">
        <w:rPr>
          <w:rFonts w:asciiTheme="minorHAnsi" w:hAnsiTheme="minorHAnsi" w:cstheme="minorHAnsi"/>
        </w:rPr>
        <w:fldChar w:fldCharType="end"/>
      </w:r>
      <w:r w:rsidRPr="00E24213">
        <w:rPr>
          <w:rFonts w:asciiTheme="minorHAnsi" w:hAnsiTheme="minorHAnsi" w:cstheme="minorHAnsi"/>
          <w:lang w:val="it-IT"/>
        </w:rPr>
        <w:t xml:space="preserve"> - </w:t>
      </w:r>
      <w:r w:rsidR="003629F1" w:rsidRPr="00E24213">
        <w:rPr>
          <w:rFonts w:asciiTheme="minorHAnsi" w:hAnsiTheme="minorHAnsi" w:cstheme="minorHAnsi"/>
          <w:lang w:val="it-IT"/>
        </w:rPr>
        <w:t>Disegno dello studio CRYSTAL extension</w:t>
      </w:r>
      <w:r w:rsidR="00117E3B">
        <w:rPr>
          <w:rFonts w:asciiTheme="minorHAnsi" w:hAnsiTheme="minorHAnsi" w:cstheme="minorHAnsi"/>
          <w:lang w:val="it-IT"/>
        </w:rPr>
        <w:t xml:space="preserve"> (</w:t>
      </w:r>
      <w:r w:rsidR="00CF02B8">
        <w:rPr>
          <w:rFonts w:asciiTheme="minorHAnsi" w:hAnsiTheme="minorHAnsi" w:cstheme="minorHAnsi"/>
          <w:color w:val="0000FF"/>
          <w:lang w:val="it-IT"/>
        </w:rPr>
        <w:t>Dalbeth, 2015 (144)</w:t>
      </w:r>
      <w:r w:rsidR="00117E3B">
        <w:rPr>
          <w:rFonts w:asciiTheme="minorHAnsi" w:hAnsiTheme="minorHAnsi" w:cstheme="minorHAnsi"/>
          <w:lang w:val="it-IT"/>
        </w:rPr>
        <w:t>)</w:t>
      </w:r>
      <w:bookmarkEnd w:id="186"/>
    </w:p>
    <w:p w14:paraId="3B4B60C0" w14:textId="6C361739" w:rsidR="003629F1" w:rsidRDefault="003629F1" w:rsidP="003629F1">
      <w:pPr>
        <w:autoSpaceDE w:val="0"/>
        <w:autoSpaceDN w:val="0"/>
        <w:adjustRightInd w:val="0"/>
        <w:rPr>
          <w:noProof/>
        </w:rPr>
      </w:pPr>
      <w:r>
        <w:rPr>
          <w:noProof/>
          <w:lang w:val="en-GB" w:eastAsia="en-GB"/>
        </w:rPr>
        <w:drawing>
          <wp:inline distT="0" distB="0" distL="0" distR="0" wp14:anchorId="571C6492" wp14:editId="7CD95B05">
            <wp:extent cx="4881432" cy="2622550"/>
            <wp:effectExtent l="19050" t="19050" r="14605" b="25400"/>
            <wp:docPr id="304" name="Immagin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85168" cy="2624557"/>
                    </a:xfrm>
                    <a:prstGeom prst="rect">
                      <a:avLst/>
                    </a:prstGeom>
                    <a:noFill/>
                    <a:ln w="12700" cmpd="sng">
                      <a:solidFill>
                        <a:srgbClr val="000000"/>
                      </a:solidFill>
                      <a:miter lim="800000"/>
                      <a:headEnd/>
                      <a:tailEnd/>
                    </a:ln>
                    <a:effectLst/>
                  </pic:spPr>
                </pic:pic>
              </a:graphicData>
            </a:graphic>
          </wp:inline>
        </w:drawing>
      </w:r>
    </w:p>
    <w:p w14:paraId="2B613680" w14:textId="77777777" w:rsidR="00E24213" w:rsidRPr="00E24213" w:rsidRDefault="00E24213" w:rsidP="003629F1">
      <w:pPr>
        <w:autoSpaceDE w:val="0"/>
        <w:autoSpaceDN w:val="0"/>
        <w:adjustRightInd w:val="0"/>
        <w:rPr>
          <w:noProof/>
          <w:sz w:val="20"/>
          <w:szCs w:val="20"/>
        </w:rPr>
      </w:pPr>
    </w:p>
    <w:p w14:paraId="55CB8150" w14:textId="19289B0A" w:rsidR="003629F1" w:rsidRPr="001934A0" w:rsidRDefault="003629F1" w:rsidP="00825BD3">
      <w:pPr>
        <w:pStyle w:val="ListParagraph"/>
        <w:numPr>
          <w:ilvl w:val="0"/>
          <w:numId w:val="29"/>
        </w:numPr>
        <w:spacing w:line="360" w:lineRule="auto"/>
        <w:rPr>
          <w:rFonts w:asciiTheme="minorHAnsi" w:hAnsiTheme="minorHAnsi" w:cstheme="minorHAnsi"/>
          <w:color w:val="222222"/>
          <w:sz w:val="20"/>
          <w:szCs w:val="20"/>
        </w:rPr>
      </w:pPr>
      <w:r w:rsidRPr="001934A0">
        <w:rPr>
          <w:rFonts w:asciiTheme="minorHAnsi" w:hAnsiTheme="minorHAnsi" w:cstheme="minorHAnsi"/>
          <w:color w:val="222222"/>
          <w:sz w:val="20"/>
          <w:szCs w:val="20"/>
        </w:rPr>
        <w:t>I pazienti che avevano completato lo studio CRYSTAL nel braccio PBO+FBX sono stati arruolati nello studio CRYSTAL extension e randomizzati in rapporto 1:1 a ricevere LESU200 + FBX (200CR</w:t>
      </w:r>
      <w:r w:rsidR="00E24213">
        <w:rPr>
          <w:rFonts w:asciiTheme="minorHAnsi" w:hAnsiTheme="minorHAnsi" w:cstheme="minorHAnsi"/>
          <w:color w:val="222222"/>
          <w:sz w:val="20"/>
          <w:szCs w:val="20"/>
        </w:rPr>
        <w:t>OSS) o LESU400 + FBX (400CROSS)</w:t>
      </w:r>
    </w:p>
    <w:p w14:paraId="7B2CB28D" w14:textId="2AF4D801" w:rsidR="003629F1" w:rsidRPr="001934A0" w:rsidRDefault="003629F1" w:rsidP="00825BD3">
      <w:pPr>
        <w:pStyle w:val="ListParagraph"/>
        <w:numPr>
          <w:ilvl w:val="0"/>
          <w:numId w:val="29"/>
        </w:numPr>
        <w:spacing w:line="360" w:lineRule="auto"/>
        <w:rPr>
          <w:rFonts w:asciiTheme="minorHAnsi" w:hAnsiTheme="minorHAnsi" w:cstheme="minorHAnsi"/>
          <w:color w:val="222222"/>
          <w:sz w:val="20"/>
          <w:szCs w:val="20"/>
        </w:rPr>
      </w:pPr>
      <w:r w:rsidRPr="001934A0">
        <w:rPr>
          <w:rFonts w:asciiTheme="minorHAnsi" w:hAnsiTheme="minorHAnsi" w:cstheme="minorHAnsi"/>
          <w:color w:val="222222"/>
          <w:sz w:val="20"/>
          <w:szCs w:val="20"/>
        </w:rPr>
        <w:t xml:space="preserve">I pazienti che avevano completato lo studio CRYSTAL nel braccio LESU200+FBX oppure LESU400+FBX hanno continuato la loro terapia nello studio CRYSTAL extension e </w:t>
      </w:r>
      <w:r w:rsidR="00117E3B">
        <w:rPr>
          <w:rFonts w:asciiTheme="minorHAnsi" w:hAnsiTheme="minorHAnsi" w:cstheme="minorHAnsi"/>
          <w:color w:val="222222"/>
          <w:sz w:val="20"/>
          <w:szCs w:val="20"/>
        </w:rPr>
        <w:t xml:space="preserve">sono stati </w:t>
      </w:r>
      <w:r w:rsidRPr="001934A0">
        <w:rPr>
          <w:rFonts w:asciiTheme="minorHAnsi" w:hAnsiTheme="minorHAnsi" w:cstheme="minorHAnsi"/>
          <w:color w:val="222222"/>
          <w:sz w:val="20"/>
          <w:szCs w:val="20"/>
        </w:rPr>
        <w:t>mantenuti nello stesso gruppo di randomizzazione LESU200 + FBX (200CONT) o LESU400 + FBX (400CONT).</w:t>
      </w:r>
    </w:p>
    <w:p w14:paraId="7EC41692" w14:textId="0AD9CDD8" w:rsidR="003629F1" w:rsidRPr="001934A0" w:rsidRDefault="003629F1" w:rsidP="000210A2">
      <w:pPr>
        <w:spacing w:line="360" w:lineRule="auto"/>
        <w:rPr>
          <w:rFonts w:eastAsia="Times New Roman" w:cs="Arial"/>
          <w:color w:val="222222"/>
          <w:sz w:val="20"/>
          <w:szCs w:val="20"/>
        </w:rPr>
      </w:pPr>
      <w:r w:rsidRPr="001934A0">
        <w:rPr>
          <w:rFonts w:eastAsia="Times New Roman" w:cs="Arial"/>
          <w:color w:val="222222"/>
          <w:sz w:val="20"/>
          <w:szCs w:val="20"/>
        </w:rPr>
        <w:t>Tutti i pazienti hanno ricevuto una profilassi per l’attacco acuto di gotta (con colchicina o FANS) per i primi 2 mesi e</w:t>
      </w:r>
      <w:r w:rsidR="006B03C5">
        <w:rPr>
          <w:rFonts w:eastAsia="Times New Roman" w:cs="Arial"/>
          <w:color w:val="222222"/>
          <w:sz w:val="20"/>
          <w:szCs w:val="20"/>
        </w:rPr>
        <w:t>,</w:t>
      </w:r>
      <w:r w:rsidR="006B03C5" w:rsidRPr="006B03C5">
        <w:rPr>
          <w:rFonts w:cs="Arial"/>
          <w:sz w:val="20"/>
          <w:szCs w:val="20"/>
        </w:rPr>
        <w:t xml:space="preserve"> </w:t>
      </w:r>
      <w:r w:rsidR="006B03C5">
        <w:rPr>
          <w:rFonts w:cs="Arial"/>
          <w:sz w:val="20"/>
          <w:szCs w:val="20"/>
        </w:rPr>
        <w:t>a discrezione a discrezione dello sperimentatore,</w:t>
      </w:r>
      <w:r w:rsidR="006B03C5" w:rsidRPr="001E7F7F">
        <w:rPr>
          <w:rFonts w:cs="Arial"/>
          <w:sz w:val="20"/>
          <w:szCs w:val="20"/>
        </w:rPr>
        <w:t xml:space="preserve"> </w:t>
      </w:r>
      <w:r w:rsidR="006B03C5">
        <w:rPr>
          <w:rFonts w:cs="Arial"/>
          <w:sz w:val="20"/>
          <w:szCs w:val="20"/>
        </w:rPr>
        <w:t>fino a un massimo</w:t>
      </w:r>
      <w:r w:rsidRPr="001934A0">
        <w:rPr>
          <w:rFonts w:eastAsia="Times New Roman" w:cs="Arial"/>
          <w:color w:val="222222"/>
          <w:sz w:val="20"/>
          <w:szCs w:val="20"/>
        </w:rPr>
        <w:t xml:space="preserve"> </w:t>
      </w:r>
      <w:r w:rsidR="006B03C5">
        <w:rPr>
          <w:rFonts w:eastAsia="Times New Roman" w:cs="Arial"/>
          <w:color w:val="222222"/>
          <w:sz w:val="20"/>
          <w:szCs w:val="20"/>
        </w:rPr>
        <w:t>di</w:t>
      </w:r>
      <w:r w:rsidRPr="001934A0">
        <w:rPr>
          <w:rFonts w:eastAsia="Times New Roman" w:cs="Arial"/>
          <w:color w:val="222222"/>
          <w:sz w:val="20"/>
          <w:szCs w:val="20"/>
        </w:rPr>
        <w:t xml:space="preserve"> 6 mesi.</w:t>
      </w:r>
    </w:p>
    <w:p w14:paraId="7200E79B" w14:textId="77777777" w:rsidR="00B42472" w:rsidRPr="00B42472" w:rsidRDefault="00B42472" w:rsidP="000210A2">
      <w:pPr>
        <w:spacing w:line="360" w:lineRule="auto"/>
        <w:rPr>
          <w:rFonts w:eastAsia="Times New Roman" w:cs="Arial"/>
          <w:b/>
          <w:color w:val="222222"/>
          <w:sz w:val="20"/>
          <w:szCs w:val="20"/>
        </w:rPr>
      </w:pPr>
    </w:p>
    <w:p w14:paraId="27C22A88" w14:textId="77777777" w:rsidR="00B42472" w:rsidRPr="00B42472" w:rsidRDefault="00B42472" w:rsidP="00825BD3">
      <w:pPr>
        <w:numPr>
          <w:ilvl w:val="1"/>
          <w:numId w:val="13"/>
        </w:numPr>
        <w:spacing w:line="360" w:lineRule="auto"/>
        <w:rPr>
          <w:rFonts w:eastAsia="Times New Roman" w:cs="Arial"/>
          <w:b/>
          <w:color w:val="222222"/>
          <w:sz w:val="20"/>
          <w:szCs w:val="20"/>
          <w:u w:val="single"/>
        </w:rPr>
      </w:pPr>
      <w:r w:rsidRPr="00B42472">
        <w:rPr>
          <w:rFonts w:eastAsia="Times New Roman" w:cs="Arial"/>
          <w:b/>
          <w:color w:val="222222"/>
          <w:sz w:val="20"/>
          <w:szCs w:val="20"/>
          <w:u w:val="single"/>
        </w:rPr>
        <w:t>Sponsorizzazione</w:t>
      </w:r>
    </w:p>
    <w:p w14:paraId="5EE67B98" w14:textId="77777777" w:rsidR="00B42472" w:rsidRPr="001934A0" w:rsidRDefault="00B42472" w:rsidP="000210A2">
      <w:pPr>
        <w:spacing w:line="360" w:lineRule="auto"/>
        <w:rPr>
          <w:rFonts w:eastAsia="Times New Roman" w:cs="Arial"/>
          <w:color w:val="222222"/>
          <w:sz w:val="20"/>
          <w:szCs w:val="20"/>
        </w:rPr>
      </w:pPr>
      <w:r w:rsidRPr="001934A0">
        <w:rPr>
          <w:rFonts w:eastAsia="Times New Roman" w:cs="Arial"/>
          <w:color w:val="222222"/>
          <w:sz w:val="20"/>
          <w:szCs w:val="20"/>
        </w:rPr>
        <w:t>AstraZeneca</w:t>
      </w:r>
    </w:p>
    <w:p w14:paraId="4B206E67" w14:textId="77777777" w:rsidR="00B42472" w:rsidRPr="00B42472" w:rsidRDefault="00B42472" w:rsidP="000210A2">
      <w:pPr>
        <w:spacing w:line="360" w:lineRule="auto"/>
        <w:rPr>
          <w:rFonts w:eastAsia="Times New Roman" w:cs="Arial"/>
          <w:b/>
          <w:color w:val="222222"/>
          <w:sz w:val="20"/>
          <w:szCs w:val="20"/>
        </w:rPr>
      </w:pPr>
    </w:p>
    <w:p w14:paraId="36384CBF" w14:textId="77777777" w:rsidR="00B42472" w:rsidRPr="00B42472" w:rsidRDefault="00B42472" w:rsidP="00825BD3">
      <w:pPr>
        <w:numPr>
          <w:ilvl w:val="1"/>
          <w:numId w:val="13"/>
        </w:numPr>
        <w:spacing w:line="360" w:lineRule="auto"/>
        <w:rPr>
          <w:rFonts w:eastAsia="Times New Roman" w:cs="Arial"/>
          <w:b/>
          <w:color w:val="222222"/>
          <w:sz w:val="20"/>
          <w:szCs w:val="20"/>
          <w:u w:val="single"/>
        </w:rPr>
      </w:pPr>
      <w:r w:rsidRPr="00B42472">
        <w:rPr>
          <w:rFonts w:eastAsia="Times New Roman" w:cs="Arial"/>
          <w:b/>
          <w:color w:val="222222"/>
          <w:sz w:val="20"/>
          <w:szCs w:val="20"/>
          <w:u w:val="single"/>
        </w:rPr>
        <w:t>Regime terapeutico in studio e regime terapeutico di confronto</w:t>
      </w:r>
    </w:p>
    <w:p w14:paraId="143B62A1" w14:textId="77777777" w:rsidR="001934A0" w:rsidRPr="001934A0" w:rsidRDefault="001934A0" w:rsidP="000210A2">
      <w:pPr>
        <w:spacing w:line="360" w:lineRule="auto"/>
        <w:rPr>
          <w:rFonts w:eastAsia="Times New Roman" w:cs="Arial"/>
          <w:color w:val="222222"/>
          <w:sz w:val="20"/>
          <w:szCs w:val="20"/>
        </w:rPr>
      </w:pPr>
      <w:r w:rsidRPr="001934A0">
        <w:rPr>
          <w:rFonts w:eastAsia="Times New Roman" w:cs="Arial"/>
          <w:color w:val="222222"/>
          <w:sz w:val="20"/>
          <w:szCs w:val="20"/>
        </w:rPr>
        <w:t>Nello studio CRYSTAL extension i pazienti eleggibili sono randomizzati nei seguenti bracci di trattamento:</w:t>
      </w:r>
    </w:p>
    <w:p w14:paraId="4543802C" w14:textId="6225A64D" w:rsidR="001934A0" w:rsidRPr="001934A0" w:rsidRDefault="001934A0" w:rsidP="00825BD3">
      <w:pPr>
        <w:pStyle w:val="ListParagraph"/>
        <w:numPr>
          <w:ilvl w:val="0"/>
          <w:numId w:val="31"/>
        </w:numPr>
        <w:spacing w:line="360" w:lineRule="auto"/>
        <w:rPr>
          <w:rFonts w:asciiTheme="minorHAnsi" w:hAnsiTheme="minorHAnsi" w:cstheme="minorHAnsi"/>
          <w:color w:val="222222"/>
          <w:sz w:val="20"/>
          <w:szCs w:val="20"/>
        </w:rPr>
      </w:pPr>
      <w:r w:rsidRPr="001934A0">
        <w:rPr>
          <w:rFonts w:asciiTheme="minorHAnsi" w:hAnsiTheme="minorHAnsi" w:cstheme="minorHAnsi"/>
          <w:color w:val="222222"/>
          <w:sz w:val="20"/>
          <w:szCs w:val="20"/>
        </w:rPr>
        <w:t>LESU200CROSS: pazienti provenienti dal braccio PBO+FBX dello studio CRYSTAL e passati a LESU200+FBX</w:t>
      </w:r>
    </w:p>
    <w:p w14:paraId="4998EEFA" w14:textId="24149F41" w:rsidR="001934A0" w:rsidRPr="001934A0" w:rsidRDefault="001934A0" w:rsidP="00825BD3">
      <w:pPr>
        <w:pStyle w:val="ListParagraph"/>
        <w:numPr>
          <w:ilvl w:val="0"/>
          <w:numId w:val="31"/>
        </w:numPr>
        <w:spacing w:line="360" w:lineRule="auto"/>
        <w:rPr>
          <w:rFonts w:asciiTheme="minorHAnsi" w:hAnsiTheme="minorHAnsi" w:cstheme="minorHAnsi"/>
          <w:color w:val="222222"/>
          <w:sz w:val="20"/>
          <w:szCs w:val="20"/>
        </w:rPr>
      </w:pPr>
      <w:r w:rsidRPr="001934A0">
        <w:rPr>
          <w:rFonts w:asciiTheme="minorHAnsi" w:hAnsiTheme="minorHAnsi" w:cstheme="minorHAnsi"/>
          <w:color w:val="222222"/>
          <w:sz w:val="20"/>
          <w:szCs w:val="20"/>
        </w:rPr>
        <w:t>LESU400CROSS: pazienti provenienti dal braccio PBO+FBX dello studio CRYSTAL e passati a LESU400+ FBX</w:t>
      </w:r>
    </w:p>
    <w:p w14:paraId="0B14C23E" w14:textId="7462FB02" w:rsidR="001934A0" w:rsidRPr="001934A0" w:rsidRDefault="001934A0" w:rsidP="00825BD3">
      <w:pPr>
        <w:pStyle w:val="ListParagraph"/>
        <w:numPr>
          <w:ilvl w:val="0"/>
          <w:numId w:val="31"/>
        </w:numPr>
        <w:spacing w:line="360" w:lineRule="auto"/>
        <w:rPr>
          <w:rFonts w:asciiTheme="minorHAnsi" w:hAnsiTheme="minorHAnsi" w:cstheme="minorHAnsi"/>
          <w:color w:val="222222"/>
          <w:sz w:val="20"/>
          <w:szCs w:val="20"/>
        </w:rPr>
      </w:pPr>
      <w:r w:rsidRPr="001934A0">
        <w:rPr>
          <w:rFonts w:asciiTheme="minorHAnsi" w:hAnsiTheme="minorHAnsi" w:cstheme="minorHAnsi"/>
          <w:color w:val="222222"/>
          <w:sz w:val="20"/>
          <w:szCs w:val="20"/>
        </w:rPr>
        <w:t>LESU200CONT: pazienti provenienti dal braccio LESU200+FBX dello studio CRYSTAL e rimasti in LESU200+ FBX</w:t>
      </w:r>
    </w:p>
    <w:p w14:paraId="366C7AB3" w14:textId="6E08CDEE" w:rsidR="001934A0" w:rsidRPr="001934A0" w:rsidRDefault="001934A0" w:rsidP="00825BD3">
      <w:pPr>
        <w:pStyle w:val="ListParagraph"/>
        <w:numPr>
          <w:ilvl w:val="0"/>
          <w:numId w:val="31"/>
        </w:numPr>
        <w:spacing w:line="360" w:lineRule="auto"/>
        <w:rPr>
          <w:rFonts w:asciiTheme="minorHAnsi" w:hAnsiTheme="minorHAnsi" w:cstheme="minorHAnsi"/>
          <w:color w:val="222222"/>
          <w:sz w:val="20"/>
          <w:szCs w:val="20"/>
        </w:rPr>
      </w:pPr>
      <w:r w:rsidRPr="001934A0">
        <w:rPr>
          <w:rFonts w:asciiTheme="minorHAnsi" w:hAnsiTheme="minorHAnsi" w:cstheme="minorHAnsi"/>
          <w:color w:val="222222"/>
          <w:sz w:val="20"/>
          <w:szCs w:val="20"/>
        </w:rPr>
        <w:t>LESU400CONT: pazienti provenienti dal braccio LESU400+FBX dello studio CRYSTAL e rimasti in LESU400+ FBX</w:t>
      </w:r>
    </w:p>
    <w:p w14:paraId="01143A84" w14:textId="7AABE503" w:rsidR="001934A0" w:rsidRPr="007326DA" w:rsidRDefault="001934A0" w:rsidP="000210A2">
      <w:pPr>
        <w:spacing w:line="360" w:lineRule="auto"/>
        <w:rPr>
          <w:rFonts w:eastAsia="Times New Roman" w:cs="Arial"/>
          <w:color w:val="222222"/>
          <w:sz w:val="20"/>
          <w:szCs w:val="20"/>
        </w:rPr>
      </w:pPr>
      <w:r w:rsidRPr="001934A0">
        <w:rPr>
          <w:rFonts w:eastAsia="Times New Roman" w:cs="Arial"/>
          <w:color w:val="222222"/>
          <w:sz w:val="20"/>
          <w:szCs w:val="20"/>
        </w:rPr>
        <w:t xml:space="preserve">Nello studio CRYSTAL (core ed extension) l’efficacia e la sicurezza di lesinurad sono state valutate a due diversi dosaggi di lesinurad, 200 mg e 400 mg: </w:t>
      </w:r>
      <w:r w:rsidRPr="007326DA">
        <w:rPr>
          <w:rFonts w:eastAsia="Times New Roman" w:cs="Arial"/>
          <w:color w:val="222222"/>
          <w:sz w:val="20"/>
          <w:szCs w:val="20"/>
        </w:rPr>
        <w:t>i risultati di seguito riportati fanno riferimento esclusivamente alla coorte di pazienti che hanno ricevuto lesinurad alla dose di 200 mg/die, approvata da EMA.</w:t>
      </w:r>
    </w:p>
    <w:p w14:paraId="221851FB" w14:textId="77777777" w:rsidR="00B42472" w:rsidRPr="00B42472" w:rsidRDefault="00B42472" w:rsidP="000210A2">
      <w:pPr>
        <w:spacing w:line="360" w:lineRule="auto"/>
        <w:rPr>
          <w:rFonts w:eastAsia="Times New Roman" w:cs="Arial"/>
          <w:b/>
          <w:color w:val="222222"/>
          <w:sz w:val="20"/>
          <w:szCs w:val="20"/>
        </w:rPr>
      </w:pPr>
    </w:p>
    <w:p w14:paraId="1A0DD08B" w14:textId="77777777" w:rsidR="00B42472" w:rsidRPr="00B42472" w:rsidRDefault="00B42472" w:rsidP="00825BD3">
      <w:pPr>
        <w:numPr>
          <w:ilvl w:val="1"/>
          <w:numId w:val="13"/>
        </w:numPr>
        <w:spacing w:line="360" w:lineRule="auto"/>
        <w:rPr>
          <w:rFonts w:eastAsia="Times New Roman" w:cs="Arial"/>
          <w:b/>
          <w:color w:val="222222"/>
          <w:sz w:val="20"/>
          <w:szCs w:val="20"/>
          <w:u w:val="single"/>
        </w:rPr>
      </w:pPr>
      <w:r w:rsidRPr="00B42472">
        <w:rPr>
          <w:rFonts w:eastAsia="Times New Roman" w:cs="Arial"/>
          <w:b/>
          <w:color w:val="222222"/>
          <w:sz w:val="20"/>
          <w:szCs w:val="20"/>
          <w:u w:val="single"/>
        </w:rPr>
        <w:t>Durata del trattamento e del follow-up</w:t>
      </w:r>
    </w:p>
    <w:p w14:paraId="1F062D7B" w14:textId="60F2F9AD" w:rsidR="00B42472" w:rsidRPr="001934A0" w:rsidRDefault="006548B5" w:rsidP="000210A2">
      <w:pPr>
        <w:spacing w:line="360" w:lineRule="auto"/>
        <w:rPr>
          <w:rFonts w:eastAsia="Times New Roman" w:cs="Arial"/>
          <w:color w:val="222222"/>
          <w:sz w:val="20"/>
          <w:szCs w:val="20"/>
        </w:rPr>
      </w:pPr>
      <w:r w:rsidRPr="00452039">
        <w:rPr>
          <w:rFonts w:eastAsia="Times New Roman" w:cs="Arial"/>
          <w:color w:val="222222"/>
          <w:sz w:val="20"/>
          <w:szCs w:val="20"/>
        </w:rPr>
        <w:t>Fino a 52 mesi</w:t>
      </w:r>
      <w:r>
        <w:rPr>
          <w:rFonts w:eastAsia="Times New Roman" w:cs="Arial"/>
          <w:color w:val="222222"/>
          <w:sz w:val="20"/>
          <w:szCs w:val="20"/>
        </w:rPr>
        <w:t xml:space="preserve"> di trattamento</w:t>
      </w:r>
      <w:r w:rsidRPr="00452039">
        <w:rPr>
          <w:rFonts w:eastAsia="Times New Roman" w:cs="Arial"/>
          <w:color w:val="222222"/>
          <w:sz w:val="20"/>
          <w:szCs w:val="20"/>
        </w:rPr>
        <w:t>, com</w:t>
      </w:r>
      <w:r>
        <w:rPr>
          <w:rFonts w:eastAsia="Times New Roman" w:cs="Arial"/>
          <w:color w:val="222222"/>
          <w:sz w:val="20"/>
          <w:szCs w:val="20"/>
        </w:rPr>
        <w:t>p</w:t>
      </w:r>
      <w:r w:rsidRPr="00452039">
        <w:rPr>
          <w:rFonts w:eastAsia="Times New Roman" w:cs="Arial"/>
          <w:color w:val="222222"/>
          <w:sz w:val="20"/>
          <w:szCs w:val="20"/>
        </w:rPr>
        <w:t>renden</w:t>
      </w:r>
      <w:r>
        <w:rPr>
          <w:rFonts w:eastAsia="Times New Roman" w:cs="Arial"/>
          <w:color w:val="222222"/>
          <w:sz w:val="20"/>
          <w:szCs w:val="20"/>
        </w:rPr>
        <w:t>d</w:t>
      </w:r>
      <w:r w:rsidRPr="00452039">
        <w:rPr>
          <w:rFonts w:eastAsia="Times New Roman" w:cs="Arial"/>
          <w:color w:val="222222"/>
          <w:sz w:val="20"/>
          <w:szCs w:val="20"/>
        </w:rPr>
        <w:t>o i 12 mesi de</w:t>
      </w:r>
      <w:r>
        <w:rPr>
          <w:rFonts w:eastAsia="Times New Roman" w:cs="Arial"/>
          <w:color w:val="222222"/>
          <w:sz w:val="20"/>
          <w:szCs w:val="20"/>
        </w:rPr>
        <w:t>llo</w:t>
      </w:r>
      <w:r w:rsidRPr="00452039">
        <w:rPr>
          <w:rFonts w:eastAsia="Times New Roman" w:cs="Arial"/>
          <w:color w:val="222222"/>
          <w:sz w:val="20"/>
          <w:szCs w:val="20"/>
        </w:rPr>
        <w:t xml:space="preserve"> studi</w:t>
      </w:r>
      <w:r>
        <w:rPr>
          <w:rFonts w:eastAsia="Times New Roman" w:cs="Arial"/>
          <w:color w:val="222222"/>
          <w:sz w:val="20"/>
          <w:szCs w:val="20"/>
        </w:rPr>
        <w:t>o</w:t>
      </w:r>
      <w:r w:rsidRPr="00452039">
        <w:rPr>
          <w:rFonts w:eastAsia="Times New Roman" w:cs="Arial"/>
          <w:color w:val="222222"/>
          <w:sz w:val="20"/>
          <w:szCs w:val="20"/>
        </w:rPr>
        <w:t xml:space="preserve"> core 30</w:t>
      </w:r>
      <w:r>
        <w:rPr>
          <w:rFonts w:eastAsia="Times New Roman" w:cs="Arial"/>
          <w:color w:val="222222"/>
          <w:sz w:val="20"/>
          <w:szCs w:val="20"/>
        </w:rPr>
        <w:t>4.</w:t>
      </w:r>
    </w:p>
    <w:p w14:paraId="4B0B7803" w14:textId="05730612" w:rsidR="00B42472" w:rsidRPr="00B42472" w:rsidRDefault="00B42472" w:rsidP="000210A2">
      <w:pPr>
        <w:spacing w:line="360" w:lineRule="auto"/>
        <w:rPr>
          <w:rFonts w:eastAsia="Times New Roman" w:cs="Arial"/>
          <w:b/>
          <w:color w:val="222222"/>
          <w:sz w:val="20"/>
          <w:szCs w:val="20"/>
        </w:rPr>
      </w:pPr>
    </w:p>
    <w:p w14:paraId="1207EB00" w14:textId="77777777" w:rsidR="00B42472" w:rsidRPr="00B42472" w:rsidRDefault="00B42472" w:rsidP="00825BD3">
      <w:pPr>
        <w:numPr>
          <w:ilvl w:val="1"/>
          <w:numId w:val="13"/>
        </w:numPr>
        <w:spacing w:line="360" w:lineRule="auto"/>
        <w:rPr>
          <w:rFonts w:eastAsia="Times New Roman" w:cs="Arial"/>
          <w:b/>
          <w:color w:val="222222"/>
          <w:sz w:val="20"/>
          <w:szCs w:val="20"/>
          <w:u w:val="single"/>
        </w:rPr>
      </w:pPr>
      <w:r w:rsidRPr="00B42472">
        <w:rPr>
          <w:rFonts w:eastAsia="Times New Roman" w:cs="Arial"/>
          <w:b/>
          <w:color w:val="222222"/>
          <w:sz w:val="20"/>
          <w:szCs w:val="20"/>
          <w:u w:val="single"/>
        </w:rPr>
        <w:t>Criteri di efficacia e di sicurezza –eventi misurati</w:t>
      </w:r>
    </w:p>
    <w:p w14:paraId="6A23AB47" w14:textId="77777777" w:rsidR="002921B3" w:rsidRPr="001D1C53" w:rsidRDefault="002921B3" w:rsidP="000210A2">
      <w:pPr>
        <w:spacing w:line="360" w:lineRule="auto"/>
        <w:rPr>
          <w:rFonts w:cstheme="minorHAnsi"/>
          <w:b/>
          <w:color w:val="222222"/>
          <w:sz w:val="20"/>
          <w:szCs w:val="20"/>
          <w:lang w:val="en-US"/>
        </w:rPr>
      </w:pPr>
      <w:r w:rsidRPr="001D1C53">
        <w:rPr>
          <w:rFonts w:cstheme="minorHAnsi"/>
          <w:b/>
          <w:color w:val="222222"/>
          <w:sz w:val="20"/>
          <w:szCs w:val="20"/>
          <w:lang w:val="en-US"/>
        </w:rPr>
        <w:t>Endpoint Interim Analysis:</w:t>
      </w:r>
    </w:p>
    <w:p w14:paraId="756EA159" w14:textId="77777777" w:rsidR="002921B3" w:rsidRPr="001D1C53" w:rsidRDefault="002921B3" w:rsidP="000210A2">
      <w:pPr>
        <w:spacing w:line="360" w:lineRule="auto"/>
        <w:rPr>
          <w:rFonts w:cstheme="minorHAnsi"/>
          <w:color w:val="222222"/>
          <w:sz w:val="20"/>
          <w:szCs w:val="20"/>
          <w:lang w:val="en-US"/>
        </w:rPr>
      </w:pPr>
      <w:r w:rsidRPr="001D1C53">
        <w:rPr>
          <w:rFonts w:cstheme="minorHAnsi"/>
          <w:color w:val="222222"/>
          <w:sz w:val="20"/>
          <w:szCs w:val="20"/>
          <w:lang w:val="en-US"/>
        </w:rPr>
        <w:t>Endpoint primario:</w:t>
      </w:r>
    </w:p>
    <w:p w14:paraId="48A3E203" w14:textId="150EEF01" w:rsidR="00990A8F" w:rsidRDefault="00990A8F" w:rsidP="00825BD3">
      <w:pPr>
        <w:pStyle w:val="ListParagraph"/>
        <w:numPr>
          <w:ilvl w:val="0"/>
          <w:numId w:val="26"/>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Percentuale di soggetti che hanno sperimentato la completa risoluzione di almeno un tofo</w:t>
      </w:r>
      <w:r>
        <w:rPr>
          <w:rFonts w:asciiTheme="minorHAnsi" w:hAnsiTheme="minorHAnsi" w:cstheme="minorHAnsi"/>
          <w:color w:val="222222"/>
          <w:sz w:val="20"/>
          <w:szCs w:val="20"/>
        </w:rPr>
        <w:t xml:space="preserve"> all’ultima visita o prima del Mese 12 dello studio di estensione</w:t>
      </w:r>
    </w:p>
    <w:p w14:paraId="5D833141" w14:textId="51B05BA6" w:rsidR="002921B3" w:rsidRPr="0091141E" w:rsidRDefault="002921B3" w:rsidP="000210A2">
      <w:pPr>
        <w:spacing w:line="360" w:lineRule="auto"/>
        <w:rPr>
          <w:rFonts w:cstheme="minorHAnsi"/>
          <w:color w:val="222222"/>
          <w:sz w:val="20"/>
          <w:szCs w:val="20"/>
        </w:rPr>
      </w:pPr>
      <w:r>
        <w:rPr>
          <w:rFonts w:cstheme="minorHAnsi"/>
          <w:color w:val="222222"/>
          <w:sz w:val="20"/>
          <w:szCs w:val="20"/>
        </w:rPr>
        <w:t>Endpoint secondario</w:t>
      </w:r>
      <w:r w:rsidR="006B03C5">
        <w:rPr>
          <w:rFonts w:cstheme="minorHAnsi"/>
          <w:color w:val="222222"/>
          <w:sz w:val="20"/>
          <w:szCs w:val="20"/>
        </w:rPr>
        <w:t xml:space="preserve"> principale</w:t>
      </w:r>
      <w:r>
        <w:rPr>
          <w:rFonts w:cstheme="minorHAnsi"/>
          <w:color w:val="222222"/>
          <w:sz w:val="20"/>
          <w:szCs w:val="20"/>
        </w:rPr>
        <w:t>:</w:t>
      </w:r>
    </w:p>
    <w:p w14:paraId="38069C99" w14:textId="15BBF0C9" w:rsidR="00990A8F" w:rsidRDefault="00990A8F" w:rsidP="00825BD3">
      <w:pPr>
        <w:pStyle w:val="ListParagraph"/>
        <w:numPr>
          <w:ilvl w:val="0"/>
          <w:numId w:val="26"/>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 xml:space="preserve">Percentuale di </w:t>
      </w:r>
      <w:r>
        <w:rPr>
          <w:rFonts w:asciiTheme="minorHAnsi" w:hAnsiTheme="minorHAnsi" w:cstheme="minorHAnsi"/>
          <w:color w:val="222222"/>
          <w:sz w:val="20"/>
          <w:szCs w:val="20"/>
        </w:rPr>
        <w:t>attacchi acuti che hanno richiesto trattamento nel periodo post profilassi da Mese 2 a Mese 12</w:t>
      </w:r>
    </w:p>
    <w:p w14:paraId="75B8D5F4" w14:textId="250E874E" w:rsidR="006B03C5" w:rsidRDefault="006B03C5" w:rsidP="000210A2">
      <w:pPr>
        <w:pStyle w:val="ListParagraph"/>
        <w:spacing w:line="360" w:lineRule="auto"/>
        <w:ind w:left="0"/>
        <w:rPr>
          <w:rFonts w:asciiTheme="minorHAnsi" w:hAnsiTheme="minorHAnsi" w:cstheme="minorHAnsi"/>
          <w:color w:val="222222"/>
          <w:sz w:val="20"/>
          <w:szCs w:val="20"/>
        </w:rPr>
      </w:pPr>
      <w:r>
        <w:rPr>
          <w:rFonts w:asciiTheme="minorHAnsi" w:hAnsiTheme="minorHAnsi" w:cstheme="minorHAnsi"/>
          <w:color w:val="222222"/>
          <w:sz w:val="20"/>
          <w:szCs w:val="20"/>
        </w:rPr>
        <w:t>Altri endpoint secondari:</w:t>
      </w:r>
    </w:p>
    <w:p w14:paraId="25C2C718" w14:textId="372EE193" w:rsidR="002921B3" w:rsidRPr="00916CEA" w:rsidRDefault="002921B3" w:rsidP="00825BD3">
      <w:pPr>
        <w:pStyle w:val="ListParagraph"/>
        <w:numPr>
          <w:ilvl w:val="0"/>
          <w:numId w:val="26"/>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Percentuale di soggetti con livelli di acido urico &lt;5.0, &lt;4.0 e &lt;3.0 mg/dl (a ogni visita)</w:t>
      </w:r>
    </w:p>
    <w:p w14:paraId="3C5CB64A" w14:textId="3985C8A7" w:rsidR="002921B3" w:rsidRDefault="002921B3" w:rsidP="00825BD3">
      <w:pPr>
        <w:pStyle w:val="ListParagraph"/>
        <w:numPr>
          <w:ilvl w:val="0"/>
          <w:numId w:val="26"/>
        </w:numPr>
        <w:spacing w:line="360" w:lineRule="auto"/>
        <w:rPr>
          <w:rFonts w:asciiTheme="minorHAnsi" w:hAnsiTheme="minorHAnsi" w:cstheme="minorHAnsi"/>
          <w:color w:val="222222"/>
          <w:sz w:val="20"/>
          <w:szCs w:val="20"/>
        </w:rPr>
      </w:pPr>
      <w:r w:rsidRPr="0091141E">
        <w:rPr>
          <w:rFonts w:asciiTheme="minorHAnsi" w:hAnsiTheme="minorHAnsi" w:cstheme="minorHAnsi"/>
          <w:color w:val="222222"/>
          <w:sz w:val="20"/>
          <w:szCs w:val="20"/>
        </w:rPr>
        <w:t xml:space="preserve">Variazione assoluta e percentuale, rispetto al basale, dei livelli di acido urico nel </w:t>
      </w:r>
      <w:r w:rsidR="00812156">
        <w:rPr>
          <w:rFonts w:asciiTheme="minorHAnsi" w:hAnsiTheme="minorHAnsi" w:cstheme="minorHAnsi"/>
          <w:color w:val="222222"/>
          <w:sz w:val="20"/>
          <w:szCs w:val="20"/>
        </w:rPr>
        <w:t xml:space="preserve">sangue </w:t>
      </w:r>
      <w:r w:rsidRPr="0091141E">
        <w:rPr>
          <w:rFonts w:asciiTheme="minorHAnsi" w:hAnsiTheme="minorHAnsi" w:cstheme="minorHAnsi"/>
          <w:color w:val="222222"/>
          <w:sz w:val="20"/>
          <w:szCs w:val="20"/>
        </w:rPr>
        <w:t>(a ogni visita)</w:t>
      </w:r>
    </w:p>
    <w:p w14:paraId="4BCA152A" w14:textId="396983DE" w:rsidR="002921B3" w:rsidRPr="0091141E" w:rsidRDefault="002921B3" w:rsidP="00825BD3">
      <w:pPr>
        <w:pStyle w:val="ListParagraph"/>
        <w:numPr>
          <w:ilvl w:val="0"/>
          <w:numId w:val="26"/>
        </w:numPr>
        <w:spacing w:line="360" w:lineRule="auto"/>
        <w:rPr>
          <w:rFonts w:asciiTheme="minorHAnsi" w:hAnsiTheme="minorHAnsi" w:cstheme="minorHAnsi"/>
          <w:color w:val="222222"/>
          <w:sz w:val="20"/>
          <w:szCs w:val="20"/>
        </w:rPr>
      </w:pPr>
      <w:r w:rsidRPr="0091141E">
        <w:rPr>
          <w:rFonts w:asciiTheme="minorHAnsi" w:hAnsiTheme="minorHAnsi" w:cstheme="minorHAnsi"/>
          <w:color w:val="222222"/>
          <w:sz w:val="20"/>
          <w:szCs w:val="20"/>
        </w:rPr>
        <w:t xml:space="preserve">Percentuale di soggetti che hanno necessitato di trattamento per un attacco acuto di gotta </w:t>
      </w:r>
      <w:r w:rsidR="006B03C5">
        <w:rPr>
          <w:rFonts w:asciiTheme="minorHAnsi" w:hAnsiTheme="minorHAnsi" w:cstheme="minorHAnsi"/>
          <w:color w:val="222222"/>
          <w:sz w:val="20"/>
          <w:szCs w:val="20"/>
        </w:rPr>
        <w:t xml:space="preserve">nel tempo </w:t>
      </w:r>
      <w:r w:rsidRPr="0091141E">
        <w:rPr>
          <w:rFonts w:asciiTheme="minorHAnsi" w:hAnsiTheme="minorHAnsi" w:cstheme="minorHAnsi"/>
          <w:color w:val="222222"/>
          <w:sz w:val="20"/>
          <w:szCs w:val="20"/>
        </w:rPr>
        <w:t>(Patients Requiring Treatment for a Gout Flare – GFRT</w:t>
      </w:r>
      <w:r w:rsidRPr="0091141E">
        <w:rPr>
          <w:rFonts w:cstheme="minorHAnsi"/>
          <w:color w:val="222222"/>
          <w:sz w:val="20"/>
          <w:szCs w:val="20"/>
        </w:rPr>
        <w:t>)</w:t>
      </w:r>
    </w:p>
    <w:p w14:paraId="229AD5C2" w14:textId="77227FC8" w:rsidR="002921B3" w:rsidRDefault="002921B3" w:rsidP="00825BD3">
      <w:pPr>
        <w:pStyle w:val="ListParagraph"/>
        <w:numPr>
          <w:ilvl w:val="0"/>
          <w:numId w:val="26"/>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 xml:space="preserve">Percentuale di soggetti con risoluzione completa o parziale di almeno un tofo target, a ciascuna visita </w:t>
      </w:r>
    </w:p>
    <w:p w14:paraId="1C53259B" w14:textId="77777777" w:rsidR="00563D46" w:rsidRDefault="00563D46" w:rsidP="00825BD3">
      <w:pPr>
        <w:pStyle w:val="ListParagraph"/>
        <w:numPr>
          <w:ilvl w:val="0"/>
          <w:numId w:val="26"/>
        </w:numPr>
        <w:spacing w:line="360" w:lineRule="auto"/>
        <w:rPr>
          <w:rFonts w:asciiTheme="minorHAnsi" w:hAnsiTheme="minorHAnsi" w:cstheme="minorHAnsi"/>
          <w:color w:val="222222"/>
          <w:sz w:val="20"/>
          <w:szCs w:val="20"/>
        </w:rPr>
      </w:pPr>
      <w:r w:rsidRPr="00563D46">
        <w:rPr>
          <w:rFonts w:asciiTheme="minorHAnsi" w:hAnsiTheme="minorHAnsi" w:cstheme="minorHAnsi"/>
          <w:color w:val="222222"/>
          <w:sz w:val="20"/>
          <w:szCs w:val="20"/>
        </w:rPr>
        <w:t>Percentuale di soggetti con risoluzione completa o parziale di almeno un tofo target, a ciascuna visita</w:t>
      </w:r>
    </w:p>
    <w:p w14:paraId="2D4F9130" w14:textId="2DCD829B" w:rsidR="00563D46" w:rsidRPr="00485F07" w:rsidRDefault="00485F07" w:rsidP="00825BD3">
      <w:pPr>
        <w:pStyle w:val="ListParagraph"/>
        <w:numPr>
          <w:ilvl w:val="0"/>
          <w:numId w:val="26"/>
        </w:numPr>
        <w:spacing w:line="360" w:lineRule="auto"/>
        <w:rPr>
          <w:rFonts w:asciiTheme="minorHAnsi" w:hAnsiTheme="minorHAnsi" w:cstheme="minorHAnsi"/>
          <w:color w:val="222222"/>
          <w:sz w:val="20"/>
          <w:szCs w:val="20"/>
        </w:rPr>
      </w:pPr>
      <w:r w:rsidRPr="00485F07">
        <w:rPr>
          <w:rFonts w:asciiTheme="minorHAnsi" w:hAnsiTheme="minorHAnsi" w:cstheme="minorHAnsi"/>
          <w:color w:val="222222"/>
          <w:sz w:val="20"/>
          <w:szCs w:val="20"/>
        </w:rPr>
        <w:t>e globalmente</w:t>
      </w:r>
    </w:p>
    <w:p w14:paraId="290743BA" w14:textId="7E2E5CBE" w:rsidR="002921B3" w:rsidRPr="00916CEA" w:rsidRDefault="002921B3" w:rsidP="00825BD3">
      <w:pPr>
        <w:pStyle w:val="ListParagraph"/>
        <w:numPr>
          <w:ilvl w:val="0"/>
          <w:numId w:val="26"/>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 xml:space="preserve">Variazione media </w:t>
      </w:r>
      <w:r w:rsidR="00563D46">
        <w:rPr>
          <w:rFonts w:asciiTheme="minorHAnsi" w:hAnsiTheme="minorHAnsi" w:cstheme="minorHAnsi"/>
          <w:color w:val="222222"/>
          <w:sz w:val="20"/>
          <w:szCs w:val="20"/>
        </w:rPr>
        <w:t xml:space="preserve">e </w:t>
      </w:r>
      <w:r w:rsidRPr="00916CEA">
        <w:rPr>
          <w:rFonts w:asciiTheme="minorHAnsi" w:hAnsiTheme="minorHAnsi" w:cstheme="minorHAnsi"/>
          <w:color w:val="222222"/>
          <w:sz w:val="20"/>
          <w:szCs w:val="20"/>
        </w:rPr>
        <w:t>percentuale rispetto al basale della somma delle superfici di tutti i tofi (a ogni visita)</w:t>
      </w:r>
    </w:p>
    <w:p w14:paraId="16BDFEA7" w14:textId="18D6C628" w:rsidR="002921B3" w:rsidRPr="00916CEA" w:rsidRDefault="002921B3" w:rsidP="00825BD3">
      <w:pPr>
        <w:pStyle w:val="ListParagraph"/>
        <w:numPr>
          <w:ilvl w:val="0"/>
          <w:numId w:val="26"/>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 xml:space="preserve">Variazione percentuale </w:t>
      </w:r>
      <w:r w:rsidR="00563D46" w:rsidRPr="00563D46">
        <w:rPr>
          <w:rFonts w:asciiTheme="minorHAnsi" w:hAnsiTheme="minorHAnsi" w:cstheme="minorHAnsi"/>
          <w:color w:val="222222"/>
          <w:sz w:val="20"/>
          <w:szCs w:val="20"/>
        </w:rPr>
        <w:t xml:space="preserve">rispetto al basale dei  parametri valutati con i  Patient Reported Outcomes </w:t>
      </w:r>
      <w:r w:rsidRPr="00916CEA">
        <w:rPr>
          <w:rFonts w:asciiTheme="minorHAnsi" w:hAnsiTheme="minorHAnsi" w:cstheme="minorHAnsi"/>
          <w:color w:val="222222"/>
          <w:sz w:val="20"/>
          <w:szCs w:val="20"/>
        </w:rPr>
        <w:t>(</w:t>
      </w:r>
      <w:r w:rsidR="00563D46" w:rsidRPr="00563D46">
        <w:rPr>
          <w:rFonts w:asciiTheme="minorHAnsi" w:hAnsiTheme="minorHAnsi" w:cstheme="minorHAnsi"/>
          <w:color w:val="222222"/>
          <w:sz w:val="20"/>
          <w:szCs w:val="20"/>
        </w:rPr>
        <w:t>PGA, SF-36, SDS, and the HAQ-DI</w:t>
      </w:r>
      <w:r w:rsidRPr="00916CEA">
        <w:rPr>
          <w:rFonts w:asciiTheme="minorHAnsi" w:hAnsiTheme="minorHAnsi" w:cstheme="minorHAnsi"/>
          <w:color w:val="222222"/>
          <w:sz w:val="20"/>
          <w:szCs w:val="20"/>
        </w:rPr>
        <w:t>), ad ogni visita.</w:t>
      </w:r>
    </w:p>
    <w:p w14:paraId="11DF1C78" w14:textId="77777777" w:rsidR="002921B3" w:rsidRPr="00916CEA" w:rsidRDefault="002921B3" w:rsidP="000210A2">
      <w:pPr>
        <w:spacing w:line="360" w:lineRule="auto"/>
        <w:rPr>
          <w:rFonts w:eastAsia="Times New Roman" w:cs="Arial"/>
          <w:color w:val="222222"/>
          <w:sz w:val="20"/>
          <w:szCs w:val="20"/>
        </w:rPr>
      </w:pPr>
      <w:r w:rsidRPr="00916CEA">
        <w:rPr>
          <w:rFonts w:eastAsia="Times New Roman" w:cs="Arial"/>
          <w:color w:val="222222"/>
          <w:sz w:val="20"/>
          <w:szCs w:val="20"/>
        </w:rPr>
        <w:t>Safety:</w:t>
      </w:r>
    </w:p>
    <w:p w14:paraId="3753EC3B" w14:textId="77777777" w:rsidR="002921B3" w:rsidRPr="00916CEA" w:rsidRDefault="002921B3" w:rsidP="00825BD3">
      <w:pPr>
        <w:pStyle w:val="ListParagraph"/>
        <w:numPr>
          <w:ilvl w:val="0"/>
          <w:numId w:val="27"/>
        </w:numPr>
        <w:spacing w:line="360" w:lineRule="auto"/>
        <w:rPr>
          <w:rFonts w:asciiTheme="minorHAnsi" w:hAnsiTheme="minorHAnsi" w:cstheme="minorHAnsi"/>
          <w:color w:val="222222"/>
          <w:sz w:val="20"/>
          <w:szCs w:val="20"/>
        </w:rPr>
      </w:pPr>
      <w:r w:rsidRPr="00916CEA">
        <w:rPr>
          <w:rFonts w:asciiTheme="minorHAnsi" w:hAnsiTheme="minorHAnsi" w:cstheme="minorHAnsi"/>
          <w:color w:val="222222"/>
          <w:sz w:val="20"/>
          <w:szCs w:val="20"/>
        </w:rPr>
        <w:t xml:space="preserve">Eventi avversi correlati al trattamento (Treatment-emergent adverse events - TEAEs) </w:t>
      </w:r>
    </w:p>
    <w:p w14:paraId="71768780" w14:textId="77777777" w:rsidR="00B42472" w:rsidRPr="00D138F4" w:rsidRDefault="00B42472" w:rsidP="000210A2">
      <w:pPr>
        <w:spacing w:line="360" w:lineRule="auto"/>
        <w:rPr>
          <w:rFonts w:eastAsia="Times New Roman" w:cs="Arial"/>
          <w:color w:val="222222"/>
          <w:sz w:val="20"/>
          <w:szCs w:val="20"/>
        </w:rPr>
      </w:pPr>
    </w:p>
    <w:p w14:paraId="6B391CDA" w14:textId="77777777" w:rsidR="00B42472" w:rsidRPr="00B42472" w:rsidRDefault="00B42472" w:rsidP="00825BD3">
      <w:pPr>
        <w:numPr>
          <w:ilvl w:val="1"/>
          <w:numId w:val="13"/>
        </w:numPr>
        <w:spacing w:line="360" w:lineRule="auto"/>
        <w:rPr>
          <w:rFonts w:eastAsia="Times New Roman" w:cs="Arial"/>
          <w:b/>
          <w:color w:val="222222"/>
          <w:sz w:val="20"/>
          <w:szCs w:val="20"/>
          <w:u w:val="single"/>
        </w:rPr>
      </w:pPr>
      <w:bookmarkStart w:id="188" w:name="Paragrafo548"/>
      <w:bookmarkEnd w:id="188"/>
      <w:r w:rsidRPr="00B42472">
        <w:rPr>
          <w:rFonts w:eastAsia="Times New Roman" w:cs="Arial"/>
          <w:b/>
          <w:color w:val="222222"/>
          <w:sz w:val="20"/>
          <w:szCs w:val="20"/>
          <w:u w:val="single"/>
        </w:rPr>
        <w:t>Risultati</w:t>
      </w:r>
    </w:p>
    <w:p w14:paraId="5DB1CDDC" w14:textId="77777777" w:rsidR="00D138F4" w:rsidRPr="00D138F4" w:rsidRDefault="00D138F4" w:rsidP="000210A2">
      <w:pPr>
        <w:spacing w:line="360" w:lineRule="auto"/>
        <w:rPr>
          <w:rFonts w:eastAsia="Times New Roman" w:cs="Arial"/>
          <w:color w:val="222222"/>
          <w:sz w:val="20"/>
          <w:szCs w:val="20"/>
        </w:rPr>
      </w:pPr>
      <w:r w:rsidRPr="00D138F4">
        <w:rPr>
          <w:rFonts w:eastAsia="Times New Roman" w:cs="Arial"/>
          <w:color w:val="222222"/>
          <w:sz w:val="20"/>
          <w:szCs w:val="20"/>
        </w:rPr>
        <w:t>Dei 235 pazienti che avevano completato lo studio CRYSTAL nella fase randomizzata in doppio-cieco con controllo attivo (per brevità, CRYSTAL core), 196 soggetti sono stati arruolati nello studio di estensione: 200CONT (n=64), 400CONT (n=65), 200CROSS (n=33), e 400CROSS (n=34).</w:t>
      </w:r>
    </w:p>
    <w:p w14:paraId="093364B1" w14:textId="3C9F697F" w:rsidR="00D138F4" w:rsidRPr="00485F07" w:rsidRDefault="00CE3B7D" w:rsidP="000210A2">
      <w:pPr>
        <w:spacing w:line="360" w:lineRule="auto"/>
        <w:rPr>
          <w:rFonts w:eastAsia="Times New Roman" w:cs="Arial"/>
          <w:color w:val="222222"/>
          <w:sz w:val="20"/>
          <w:szCs w:val="20"/>
        </w:rPr>
      </w:pPr>
      <w:r w:rsidRPr="00485F07">
        <w:rPr>
          <w:rFonts w:eastAsia="Times New Roman" w:cs="Arial"/>
          <w:color w:val="222222"/>
          <w:sz w:val="20"/>
          <w:szCs w:val="20"/>
        </w:rPr>
        <w:t>N</w:t>
      </w:r>
      <w:r w:rsidR="00D138F4" w:rsidRPr="00485F07">
        <w:rPr>
          <w:rFonts w:eastAsia="Times New Roman" w:cs="Arial"/>
          <w:color w:val="222222"/>
          <w:sz w:val="20"/>
          <w:szCs w:val="20"/>
        </w:rPr>
        <w:t xml:space="preserve">el prosieguo vengono riportati e presentati i dati con specifico riferimento al confronto PBO+FBX vs. LESU200+FBX in quanto il dosaggio di 200 mg/die è quello approvato da EMA. </w:t>
      </w:r>
    </w:p>
    <w:p w14:paraId="13AA7FC5" w14:textId="734B34BF" w:rsidR="00D138F4" w:rsidRDefault="00D138F4" w:rsidP="000210A2">
      <w:pPr>
        <w:spacing w:line="360" w:lineRule="auto"/>
        <w:rPr>
          <w:rFonts w:eastAsia="Times New Roman" w:cs="Arial"/>
          <w:color w:val="222222"/>
          <w:sz w:val="20"/>
          <w:szCs w:val="20"/>
        </w:rPr>
      </w:pPr>
      <w:r w:rsidRPr="00D138F4">
        <w:rPr>
          <w:rFonts w:eastAsia="Times New Roman" w:cs="Arial"/>
          <w:color w:val="222222"/>
          <w:sz w:val="20"/>
          <w:szCs w:val="20"/>
        </w:rPr>
        <w:t xml:space="preserve">I dati demografici e le caratteristiche al basale erano confrontabili nei gruppi di studio, come illustrato nella </w:t>
      </w:r>
      <w:hyperlink w:anchor="Tabella26" w:history="1">
        <w:r w:rsidRPr="00486F6D">
          <w:rPr>
            <w:rStyle w:val="Hyperlink"/>
            <w:rFonts w:eastAsia="Times New Roman" w:cs="Arial"/>
            <w:sz w:val="20"/>
            <w:szCs w:val="20"/>
          </w:rPr>
          <w:t>Tabella</w:t>
        </w:r>
        <w:r w:rsidR="00486F6D" w:rsidRPr="00486F6D">
          <w:rPr>
            <w:rStyle w:val="Hyperlink"/>
            <w:rFonts w:eastAsia="Times New Roman" w:cs="Arial"/>
            <w:sz w:val="20"/>
            <w:szCs w:val="20"/>
          </w:rPr>
          <w:t xml:space="preserve"> 2</w:t>
        </w:r>
        <w:r w:rsidR="00296E7F">
          <w:rPr>
            <w:rStyle w:val="Hyperlink"/>
            <w:rFonts w:eastAsia="Times New Roman" w:cs="Arial"/>
            <w:sz w:val="20"/>
            <w:szCs w:val="20"/>
          </w:rPr>
          <w:t>6</w:t>
        </w:r>
      </w:hyperlink>
      <w:r w:rsidR="00E24213">
        <w:rPr>
          <w:rFonts w:eastAsia="Times New Roman" w:cs="Arial"/>
          <w:color w:val="222222"/>
          <w:sz w:val="20"/>
          <w:szCs w:val="20"/>
        </w:rPr>
        <w:t>.</w:t>
      </w:r>
    </w:p>
    <w:p w14:paraId="45D094EA" w14:textId="77777777" w:rsidR="00E24213" w:rsidRPr="00D138F4" w:rsidRDefault="00E24213" w:rsidP="000210A2">
      <w:pPr>
        <w:spacing w:line="360" w:lineRule="auto"/>
        <w:rPr>
          <w:rFonts w:eastAsia="Times New Roman" w:cs="Arial"/>
          <w:color w:val="222222"/>
          <w:sz w:val="20"/>
          <w:szCs w:val="20"/>
        </w:rPr>
      </w:pPr>
    </w:p>
    <w:p w14:paraId="0EF45527" w14:textId="078122FD" w:rsidR="00D138F4" w:rsidRPr="00E24213" w:rsidRDefault="00E24213" w:rsidP="00E24213">
      <w:pPr>
        <w:pStyle w:val="Caption"/>
        <w:rPr>
          <w:rFonts w:asciiTheme="minorHAnsi" w:hAnsiTheme="minorHAnsi" w:cstheme="minorHAnsi"/>
          <w:lang w:val="it-IT"/>
        </w:rPr>
      </w:pPr>
      <w:bookmarkStart w:id="189" w:name="Tabella26"/>
      <w:bookmarkStart w:id="190" w:name="_Toc473150711"/>
      <w:bookmarkEnd w:id="189"/>
      <w:r w:rsidRPr="00E24213">
        <w:rPr>
          <w:rFonts w:asciiTheme="minorHAnsi" w:hAnsiTheme="minorHAnsi" w:cstheme="minorHAnsi"/>
          <w:lang w:val="it-IT"/>
        </w:rPr>
        <w:t xml:space="preserve">Tabella </w:t>
      </w:r>
      <w:r w:rsidRPr="00E24213">
        <w:rPr>
          <w:rFonts w:asciiTheme="minorHAnsi" w:hAnsiTheme="minorHAnsi" w:cstheme="minorHAnsi"/>
        </w:rPr>
        <w:fldChar w:fldCharType="begin"/>
      </w:r>
      <w:r w:rsidRPr="00E24213">
        <w:rPr>
          <w:rFonts w:asciiTheme="minorHAnsi" w:hAnsiTheme="minorHAnsi" w:cstheme="minorHAnsi"/>
          <w:lang w:val="it-IT"/>
        </w:rPr>
        <w:instrText xml:space="preserve"> SEQ Tabella \* ARABIC </w:instrText>
      </w:r>
      <w:r w:rsidRPr="00E24213">
        <w:rPr>
          <w:rFonts w:asciiTheme="minorHAnsi" w:hAnsiTheme="minorHAnsi" w:cstheme="minorHAnsi"/>
        </w:rPr>
        <w:fldChar w:fldCharType="separate"/>
      </w:r>
      <w:r w:rsidR="00A1679C">
        <w:rPr>
          <w:rFonts w:asciiTheme="minorHAnsi" w:hAnsiTheme="minorHAnsi" w:cstheme="minorHAnsi"/>
          <w:noProof/>
          <w:lang w:val="it-IT"/>
        </w:rPr>
        <w:t>26</w:t>
      </w:r>
      <w:r w:rsidRPr="00E24213">
        <w:rPr>
          <w:rFonts w:asciiTheme="minorHAnsi" w:hAnsiTheme="minorHAnsi" w:cstheme="minorHAnsi"/>
        </w:rPr>
        <w:fldChar w:fldCharType="end"/>
      </w:r>
      <w:r w:rsidRPr="00E24213">
        <w:rPr>
          <w:rFonts w:asciiTheme="minorHAnsi" w:hAnsiTheme="minorHAnsi" w:cstheme="minorHAnsi"/>
          <w:lang w:val="it-IT"/>
        </w:rPr>
        <w:t xml:space="preserve"> - </w:t>
      </w:r>
      <w:r w:rsidR="00D138F4" w:rsidRPr="00E24213">
        <w:rPr>
          <w:rFonts w:asciiTheme="minorHAnsi" w:hAnsiTheme="minorHAnsi" w:cstheme="minorHAnsi"/>
          <w:lang w:val="it-IT"/>
        </w:rPr>
        <w:t xml:space="preserve">Studio CRYSTAL extension caratteristiche demografiche al basale </w:t>
      </w:r>
      <w:r w:rsidR="00CE3B7D">
        <w:rPr>
          <w:rFonts w:asciiTheme="minorHAnsi" w:hAnsiTheme="minorHAnsi" w:cstheme="minorHAnsi"/>
          <w:lang w:val="it-IT"/>
        </w:rPr>
        <w:t>(</w:t>
      </w:r>
      <w:r w:rsidR="00CF02B8">
        <w:rPr>
          <w:rFonts w:asciiTheme="minorHAnsi" w:hAnsiTheme="minorHAnsi" w:cstheme="minorHAnsi"/>
          <w:color w:val="0000FF"/>
          <w:lang w:val="it-IT"/>
        </w:rPr>
        <w:t>Dalbeth, 2015 (144)</w:t>
      </w:r>
      <w:r w:rsidR="00CE3B7D">
        <w:rPr>
          <w:rFonts w:asciiTheme="minorHAnsi" w:hAnsiTheme="minorHAnsi" w:cstheme="minorHAnsi"/>
          <w:lang w:val="it-IT"/>
        </w:rPr>
        <w:t>)</w:t>
      </w:r>
      <w:bookmarkEnd w:id="190"/>
    </w:p>
    <w:p w14:paraId="4E736F91" w14:textId="6DA4A224" w:rsidR="00D138F4" w:rsidRDefault="00D138F4" w:rsidP="00D138F4">
      <w:r>
        <w:rPr>
          <w:noProof/>
          <w:lang w:val="en-GB" w:eastAsia="en-GB"/>
        </w:rPr>
        <w:drawing>
          <wp:inline distT="0" distB="0" distL="0" distR="0" wp14:anchorId="4FDDEE1B" wp14:editId="7B2A6DF9">
            <wp:extent cx="3962400" cy="3074961"/>
            <wp:effectExtent l="0" t="0" r="0" b="0"/>
            <wp:docPr id="305" name="Immagin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67062" cy="3078579"/>
                    </a:xfrm>
                    <a:prstGeom prst="rect">
                      <a:avLst/>
                    </a:prstGeom>
                    <a:noFill/>
                    <a:ln>
                      <a:noFill/>
                    </a:ln>
                  </pic:spPr>
                </pic:pic>
              </a:graphicData>
            </a:graphic>
          </wp:inline>
        </w:drawing>
      </w:r>
    </w:p>
    <w:p w14:paraId="7A45755E" w14:textId="77777777" w:rsidR="00D138F4" w:rsidRDefault="00D138F4" w:rsidP="00D138F4">
      <w:pPr>
        <w:spacing w:line="360" w:lineRule="auto"/>
        <w:jc w:val="both"/>
        <w:rPr>
          <w:rFonts w:eastAsia="Times New Roman" w:cs="Arial"/>
          <w:color w:val="222222"/>
          <w:sz w:val="20"/>
          <w:szCs w:val="20"/>
        </w:rPr>
      </w:pPr>
    </w:p>
    <w:p w14:paraId="3D8BE292" w14:textId="35F72F37" w:rsidR="00D138F4" w:rsidRDefault="00D138F4" w:rsidP="00206E2E">
      <w:pPr>
        <w:spacing w:line="360" w:lineRule="auto"/>
        <w:rPr>
          <w:rFonts w:eastAsia="Times New Roman" w:cs="Arial"/>
          <w:b/>
          <w:color w:val="222222"/>
          <w:sz w:val="20"/>
          <w:szCs w:val="20"/>
        </w:rPr>
      </w:pPr>
      <w:r w:rsidRPr="00485F07">
        <w:rPr>
          <w:rFonts w:eastAsia="Times New Roman" w:cs="Arial"/>
          <w:color w:val="222222"/>
          <w:sz w:val="20"/>
          <w:szCs w:val="20"/>
        </w:rPr>
        <w:t>Come qui di seguito illustrato,</w:t>
      </w:r>
      <w:r w:rsidRPr="00D138F4">
        <w:rPr>
          <w:rFonts w:eastAsia="Times New Roman" w:cs="Arial"/>
          <w:b/>
          <w:color w:val="222222"/>
          <w:sz w:val="20"/>
          <w:szCs w:val="20"/>
        </w:rPr>
        <w:t xml:space="preserve"> l’efficacia misurata nello studio CRYSTAL core è stata confermata e mantenuta nello studio di estensione </w:t>
      </w:r>
      <w:r w:rsidR="00BD34D3" w:rsidRPr="00BD34D3">
        <w:rPr>
          <w:rFonts w:eastAsia="Times New Roman" w:cs="Arial"/>
          <w:b/>
          <w:color w:val="222222"/>
          <w:sz w:val="20"/>
          <w:szCs w:val="20"/>
        </w:rPr>
        <w:t xml:space="preserve">per i pazienti trattati fin dall’inizio con </w:t>
      </w:r>
      <w:r w:rsidR="00BD34D3" w:rsidRPr="00D138F4">
        <w:rPr>
          <w:rFonts w:eastAsia="Times New Roman" w:cs="Arial"/>
          <w:b/>
          <w:color w:val="222222"/>
          <w:sz w:val="20"/>
          <w:szCs w:val="20"/>
        </w:rPr>
        <w:t xml:space="preserve">LESU200+FBX </w:t>
      </w:r>
      <w:r w:rsidR="00BD34D3">
        <w:rPr>
          <w:rFonts w:eastAsia="Times New Roman" w:cs="Arial"/>
          <w:b/>
          <w:color w:val="222222"/>
          <w:sz w:val="20"/>
          <w:szCs w:val="20"/>
        </w:rPr>
        <w:t xml:space="preserve">(200CONT) </w:t>
      </w:r>
      <w:r w:rsidR="00BD34D3" w:rsidRPr="00BD34D3">
        <w:rPr>
          <w:rFonts w:eastAsia="Times New Roman" w:cs="Arial"/>
          <w:b/>
          <w:color w:val="222222"/>
          <w:sz w:val="20"/>
          <w:szCs w:val="20"/>
        </w:rPr>
        <w:t>ma anche i pazienti precedentemente trattati con il controllo PBO+</w:t>
      </w:r>
      <w:r w:rsidR="002832BE">
        <w:rPr>
          <w:rFonts w:eastAsia="Times New Roman" w:cs="Arial"/>
          <w:b/>
          <w:color w:val="222222"/>
          <w:sz w:val="20"/>
          <w:szCs w:val="20"/>
        </w:rPr>
        <w:t>FBX</w:t>
      </w:r>
      <w:r w:rsidR="00BD34D3">
        <w:rPr>
          <w:rFonts w:eastAsia="Times New Roman" w:cs="Arial"/>
          <w:b/>
          <w:color w:val="222222"/>
          <w:sz w:val="20"/>
          <w:szCs w:val="20"/>
        </w:rPr>
        <w:t>,</w:t>
      </w:r>
      <w:r w:rsidR="00BD34D3" w:rsidRPr="00BD34D3">
        <w:rPr>
          <w:rFonts w:eastAsia="Times New Roman" w:cs="Arial"/>
          <w:b/>
          <w:color w:val="222222"/>
          <w:sz w:val="20"/>
          <w:szCs w:val="20"/>
        </w:rPr>
        <w:t xml:space="preserve"> </w:t>
      </w:r>
      <w:r w:rsidR="00BD34D3">
        <w:rPr>
          <w:rFonts w:eastAsia="Times New Roman" w:cs="Arial"/>
          <w:b/>
          <w:color w:val="222222"/>
          <w:sz w:val="20"/>
          <w:szCs w:val="20"/>
        </w:rPr>
        <w:t xml:space="preserve">con il passaggio all’associazione </w:t>
      </w:r>
      <w:r w:rsidR="00BD34D3" w:rsidRPr="00BD34D3">
        <w:rPr>
          <w:rFonts w:eastAsia="Times New Roman" w:cs="Arial"/>
          <w:b/>
          <w:color w:val="222222"/>
          <w:sz w:val="20"/>
          <w:szCs w:val="20"/>
        </w:rPr>
        <w:t>(200CROSS)</w:t>
      </w:r>
      <w:r w:rsidR="00BD34D3">
        <w:rPr>
          <w:rFonts w:eastAsia="Times New Roman" w:cs="Arial"/>
          <w:b/>
          <w:color w:val="222222"/>
          <w:sz w:val="20"/>
          <w:szCs w:val="20"/>
        </w:rPr>
        <w:t>,</w:t>
      </w:r>
      <w:r w:rsidR="00BD34D3" w:rsidRPr="00BD34D3">
        <w:rPr>
          <w:rFonts w:eastAsia="Times New Roman" w:cs="Arial"/>
          <w:b/>
          <w:color w:val="222222"/>
          <w:sz w:val="20"/>
          <w:szCs w:val="20"/>
        </w:rPr>
        <w:t xml:space="preserve"> </w:t>
      </w:r>
      <w:r w:rsidR="00BD34D3">
        <w:rPr>
          <w:rFonts w:eastAsia="Times New Roman" w:cs="Arial"/>
          <w:b/>
          <w:color w:val="222222"/>
          <w:sz w:val="20"/>
          <w:szCs w:val="20"/>
        </w:rPr>
        <w:t xml:space="preserve"> </w:t>
      </w:r>
      <w:r w:rsidR="00BD34D3" w:rsidRPr="00BD34D3">
        <w:rPr>
          <w:rFonts w:eastAsia="Times New Roman" w:cs="Arial"/>
          <w:b/>
          <w:color w:val="222222"/>
          <w:sz w:val="20"/>
          <w:szCs w:val="20"/>
        </w:rPr>
        <w:t>ha ottenuto nello studio di estensione un significativo miglioramento.</w:t>
      </w:r>
      <w:r w:rsidR="005234DE">
        <w:rPr>
          <w:rFonts w:eastAsia="Times New Roman" w:cs="Arial"/>
          <w:b/>
          <w:color w:val="222222"/>
          <w:sz w:val="20"/>
          <w:szCs w:val="20"/>
        </w:rPr>
        <w:t xml:space="preserve"> </w:t>
      </w:r>
    </w:p>
    <w:p w14:paraId="0B9E2526" w14:textId="1B2A4188" w:rsidR="008966FD" w:rsidRDefault="00BD34D3" w:rsidP="00206E2E">
      <w:pPr>
        <w:spacing w:line="360" w:lineRule="auto"/>
      </w:pPr>
      <w:r w:rsidRPr="002E5347">
        <w:rPr>
          <w:rFonts w:cs="Arial"/>
          <w:b/>
          <w:sz w:val="20"/>
          <w:szCs w:val="20"/>
        </w:rPr>
        <w:t xml:space="preserve">Infatti nel gruppo 200CROSS, </w:t>
      </w:r>
      <w:r w:rsidRPr="00BD34D3">
        <w:rPr>
          <w:rFonts w:cs="Arial"/>
          <w:b/>
          <w:sz w:val="20"/>
          <w:szCs w:val="20"/>
        </w:rPr>
        <w:t xml:space="preserve">la percentuale di pazienti che ha raggiunto il target </w:t>
      </w:r>
      <w:r w:rsidR="005234DE" w:rsidRPr="005234DE">
        <w:rPr>
          <w:rFonts w:cs="Arial"/>
          <w:b/>
          <w:sz w:val="20"/>
          <w:szCs w:val="20"/>
        </w:rPr>
        <w:t xml:space="preserve">di sUA&lt;5.0 mg/dl </w:t>
      </w:r>
      <w:r w:rsidRPr="00BD34D3">
        <w:rPr>
          <w:rFonts w:cs="Arial"/>
          <w:b/>
          <w:sz w:val="20"/>
          <w:szCs w:val="20"/>
        </w:rPr>
        <w:t xml:space="preserve">andava da un minimo del </w:t>
      </w:r>
      <w:r>
        <w:rPr>
          <w:rFonts w:cs="Arial"/>
          <w:b/>
          <w:sz w:val="20"/>
          <w:szCs w:val="20"/>
        </w:rPr>
        <w:t>53.1</w:t>
      </w:r>
      <w:r w:rsidRPr="00BD34D3">
        <w:rPr>
          <w:rFonts w:cs="Arial"/>
          <w:b/>
          <w:sz w:val="20"/>
          <w:szCs w:val="20"/>
        </w:rPr>
        <w:t xml:space="preserve">% a un max del </w:t>
      </w:r>
      <w:r>
        <w:rPr>
          <w:rFonts w:cs="Arial"/>
          <w:b/>
          <w:sz w:val="20"/>
          <w:szCs w:val="20"/>
        </w:rPr>
        <w:t>65.6</w:t>
      </w:r>
      <w:r w:rsidRPr="00BD34D3">
        <w:rPr>
          <w:rFonts w:cs="Arial"/>
          <w:b/>
          <w:sz w:val="20"/>
          <w:szCs w:val="20"/>
        </w:rPr>
        <w:t xml:space="preserve">% durante i 12 mesi dello studio “core” per aumentare nello studio di estensione in un range che andava dal </w:t>
      </w:r>
      <w:r>
        <w:rPr>
          <w:rFonts w:cs="Arial"/>
          <w:b/>
          <w:sz w:val="20"/>
          <w:szCs w:val="20"/>
        </w:rPr>
        <w:t>70.4</w:t>
      </w:r>
      <w:r w:rsidRPr="00BD34D3">
        <w:rPr>
          <w:rFonts w:cs="Arial"/>
          <w:b/>
          <w:sz w:val="20"/>
          <w:szCs w:val="20"/>
        </w:rPr>
        <w:t xml:space="preserve">% al </w:t>
      </w:r>
      <w:r>
        <w:rPr>
          <w:rFonts w:cs="Arial"/>
          <w:b/>
          <w:sz w:val="20"/>
          <w:szCs w:val="20"/>
        </w:rPr>
        <w:t>88.</w:t>
      </w:r>
      <w:r w:rsidRPr="00BD34D3">
        <w:rPr>
          <w:rFonts w:cs="Arial"/>
          <w:b/>
          <w:sz w:val="20"/>
          <w:szCs w:val="20"/>
        </w:rPr>
        <w:t xml:space="preserve">9% con l’aggiunta di lesinurad 200mg. D’altra parte, nel gruppo che era già in trattamento con lesinurad nello studio “core”, l’efficacia è stata mantenuta anche nello studio di estensione (da una range del </w:t>
      </w:r>
      <w:r>
        <w:rPr>
          <w:rFonts w:cs="Arial"/>
          <w:b/>
          <w:sz w:val="20"/>
          <w:szCs w:val="20"/>
        </w:rPr>
        <w:t xml:space="preserve">68.8% - </w:t>
      </w:r>
      <w:r w:rsidRPr="00BD34D3">
        <w:rPr>
          <w:rFonts w:cs="Arial"/>
          <w:b/>
          <w:sz w:val="20"/>
          <w:szCs w:val="20"/>
        </w:rPr>
        <w:t>79.7%al 64.5% to 77.1%)</w:t>
      </w:r>
      <w:r w:rsidR="007468AE">
        <w:rPr>
          <w:rFonts w:cs="Arial"/>
          <w:b/>
          <w:sz w:val="20"/>
          <w:szCs w:val="20"/>
        </w:rPr>
        <w:t xml:space="preserve"> </w:t>
      </w:r>
      <w:r w:rsidR="005234DE">
        <w:rPr>
          <w:rFonts w:cs="Arial"/>
          <w:b/>
          <w:sz w:val="20"/>
          <w:szCs w:val="20"/>
        </w:rPr>
        <w:t xml:space="preserve">(Analisi OC, popolazione ITT) </w:t>
      </w:r>
      <w:r w:rsidR="00296E7F" w:rsidRPr="00296E7F">
        <w:rPr>
          <w:rFonts w:cs="Arial"/>
          <w:sz w:val="20"/>
          <w:szCs w:val="20"/>
        </w:rPr>
        <w:t>(</w:t>
      </w:r>
      <w:hyperlink w:anchor="Figura42" w:history="1">
        <w:r w:rsidR="00296E7F" w:rsidRPr="00296E7F">
          <w:rPr>
            <w:rStyle w:val="Hyperlink"/>
            <w:rFonts w:cs="Arial"/>
            <w:sz w:val="20"/>
            <w:szCs w:val="20"/>
          </w:rPr>
          <w:t>Figura42</w:t>
        </w:r>
      </w:hyperlink>
      <w:r w:rsidR="00296E7F" w:rsidRPr="00296E7F">
        <w:rPr>
          <w:rFonts w:cs="Arial"/>
          <w:sz w:val="20"/>
          <w:szCs w:val="20"/>
        </w:rPr>
        <w:t xml:space="preserve">) </w:t>
      </w:r>
      <w:r w:rsidRPr="00296E7F">
        <w:rPr>
          <w:rFonts w:cs="Arial"/>
          <w:sz w:val="20"/>
          <w:szCs w:val="20"/>
        </w:rPr>
        <w:t>(</w:t>
      </w:r>
      <w:r w:rsidR="0020764E">
        <w:rPr>
          <w:rFonts w:cs="Arial"/>
          <w:color w:val="0000FF"/>
          <w:sz w:val="20"/>
          <w:szCs w:val="20"/>
        </w:rPr>
        <w:t>CSR 307, 2015 (129</w:t>
      </w:r>
      <w:r w:rsidRPr="00296E7F">
        <w:rPr>
          <w:rFonts w:cs="Arial"/>
          <w:color w:val="0000FF"/>
          <w:sz w:val="20"/>
          <w:szCs w:val="20"/>
        </w:rPr>
        <w:t>)</w:t>
      </w:r>
      <w:r w:rsidR="005E481E" w:rsidRPr="00296E7F">
        <w:rPr>
          <w:rFonts w:cs="Arial"/>
          <w:color w:val="0000FF"/>
          <w:sz w:val="20"/>
          <w:szCs w:val="20"/>
        </w:rPr>
        <w:t xml:space="preserve">; </w:t>
      </w:r>
      <w:r w:rsidR="00CF02B8">
        <w:rPr>
          <w:rFonts w:cs="Arial"/>
          <w:color w:val="0000FF"/>
          <w:sz w:val="20"/>
          <w:szCs w:val="20"/>
        </w:rPr>
        <w:t>Dalbeth, 2015 (144)</w:t>
      </w:r>
      <w:r w:rsidR="005E481E" w:rsidRPr="00296E7F">
        <w:rPr>
          <w:rFonts w:cs="Arial"/>
          <w:sz w:val="20"/>
          <w:szCs w:val="20"/>
        </w:rPr>
        <w:t>)</w:t>
      </w:r>
      <w:r w:rsidR="005234DE" w:rsidRPr="00296E7F">
        <w:rPr>
          <w:rFonts w:cs="Arial"/>
          <w:sz w:val="20"/>
          <w:szCs w:val="20"/>
        </w:rPr>
        <w:t>.</w:t>
      </w:r>
      <w:r w:rsidRPr="005234DE">
        <w:t xml:space="preserve"> </w:t>
      </w:r>
    </w:p>
    <w:p w14:paraId="103FD31E" w14:textId="77777777" w:rsidR="00485F07" w:rsidRDefault="00485F07" w:rsidP="00206E2E">
      <w:pPr>
        <w:spacing w:line="360" w:lineRule="auto"/>
      </w:pPr>
    </w:p>
    <w:p w14:paraId="0B468DE3" w14:textId="563FC937" w:rsidR="008966FD" w:rsidRPr="00296E7F" w:rsidRDefault="00296E7F" w:rsidP="00296E7F">
      <w:pPr>
        <w:pStyle w:val="Caption"/>
        <w:rPr>
          <w:lang w:val="it-IT"/>
        </w:rPr>
      </w:pPr>
      <w:bookmarkStart w:id="191" w:name="Figura42"/>
      <w:bookmarkStart w:id="192" w:name="_Toc473186937"/>
      <w:bookmarkEnd w:id="191"/>
      <w:r w:rsidRPr="00296E7F">
        <w:rPr>
          <w:rFonts w:asciiTheme="minorHAnsi" w:hAnsiTheme="minorHAnsi" w:cstheme="minorHAnsi"/>
          <w:lang w:val="it-IT"/>
        </w:rPr>
        <w:t xml:space="preserve">Figura </w:t>
      </w:r>
      <w:r w:rsidRPr="00296E7F">
        <w:rPr>
          <w:rFonts w:asciiTheme="minorHAnsi" w:hAnsiTheme="minorHAnsi" w:cstheme="minorHAnsi"/>
        </w:rPr>
        <w:fldChar w:fldCharType="begin"/>
      </w:r>
      <w:r w:rsidRPr="00296E7F">
        <w:rPr>
          <w:rFonts w:asciiTheme="minorHAnsi" w:hAnsiTheme="minorHAnsi" w:cstheme="minorHAnsi"/>
          <w:lang w:val="it-IT"/>
        </w:rPr>
        <w:instrText xml:space="preserve"> SEQ Figura \* ARABIC </w:instrText>
      </w:r>
      <w:r w:rsidRPr="00296E7F">
        <w:rPr>
          <w:rFonts w:asciiTheme="minorHAnsi" w:hAnsiTheme="minorHAnsi" w:cstheme="minorHAnsi"/>
        </w:rPr>
        <w:fldChar w:fldCharType="separate"/>
      </w:r>
      <w:r w:rsidR="00A1679C">
        <w:rPr>
          <w:rFonts w:asciiTheme="minorHAnsi" w:hAnsiTheme="minorHAnsi" w:cstheme="minorHAnsi"/>
          <w:noProof/>
          <w:lang w:val="it-IT"/>
        </w:rPr>
        <w:t>42</w:t>
      </w:r>
      <w:r w:rsidRPr="00296E7F">
        <w:rPr>
          <w:rFonts w:asciiTheme="minorHAnsi" w:hAnsiTheme="minorHAnsi" w:cstheme="minorHAnsi"/>
        </w:rPr>
        <w:fldChar w:fldCharType="end"/>
      </w:r>
      <w:r w:rsidR="008966FD" w:rsidRPr="00296E7F">
        <w:rPr>
          <w:rFonts w:asciiTheme="minorHAnsi" w:hAnsiTheme="minorHAnsi" w:cstheme="minorHAnsi"/>
          <w:lang w:val="it-IT"/>
        </w:rPr>
        <w:t xml:space="preserve"> </w:t>
      </w:r>
      <w:r w:rsidR="005E481E" w:rsidRPr="00296E7F">
        <w:rPr>
          <w:rFonts w:asciiTheme="minorHAnsi" w:hAnsiTheme="minorHAnsi" w:cstheme="minorHAnsi"/>
          <w:lang w:val="it-IT"/>
        </w:rPr>
        <w:t>–</w:t>
      </w:r>
      <w:r w:rsidR="008966FD" w:rsidRPr="00296E7F">
        <w:rPr>
          <w:rFonts w:asciiTheme="minorHAnsi" w:hAnsiTheme="minorHAnsi" w:cstheme="minorHAnsi"/>
          <w:lang w:val="it-IT"/>
        </w:rPr>
        <w:t xml:space="preserve"> </w:t>
      </w:r>
      <w:r w:rsidR="005E481E" w:rsidRPr="00296E7F">
        <w:rPr>
          <w:rFonts w:asciiTheme="minorHAnsi" w:hAnsiTheme="minorHAnsi" w:cstheme="minorHAnsi"/>
          <w:b w:val="0"/>
          <w:bCs w:val="0"/>
          <w:lang w:val="it-IT"/>
        </w:rPr>
        <w:t>Porzione di soggetti con sUA &lt; 5 mg/dl – CRYSTAL core ed extension (observed case,</w:t>
      </w:r>
      <w:r w:rsidR="005E481E" w:rsidRPr="00296E7F">
        <w:rPr>
          <w:rFonts w:cstheme="minorHAnsi"/>
          <w:b w:val="0"/>
          <w:bCs w:val="0"/>
          <w:lang w:val="it-IT"/>
        </w:rPr>
        <w:t xml:space="preserve"> </w:t>
      </w:r>
      <w:r w:rsidR="005E481E" w:rsidRPr="00AA683E">
        <w:rPr>
          <w:rFonts w:asciiTheme="minorHAnsi" w:hAnsiTheme="minorHAnsi" w:cstheme="minorHAnsi"/>
          <w:b w:val="0"/>
          <w:bCs w:val="0"/>
          <w:lang w:val="it-IT"/>
        </w:rPr>
        <w:t>popolazione ITT)</w:t>
      </w:r>
      <w:r w:rsidR="005E481E" w:rsidRPr="00AA683E">
        <w:rPr>
          <w:rFonts w:asciiTheme="minorHAnsi" w:hAnsiTheme="minorHAnsi" w:cstheme="minorHAnsi"/>
          <w:lang w:val="it-IT"/>
        </w:rPr>
        <w:t xml:space="preserve"> (</w:t>
      </w:r>
      <w:r w:rsidR="005E481E" w:rsidRPr="00AA683E">
        <w:rPr>
          <w:rFonts w:asciiTheme="minorHAnsi" w:hAnsiTheme="minorHAnsi" w:cstheme="minorHAnsi"/>
          <w:b w:val="0"/>
          <w:bCs w:val="0"/>
          <w:color w:val="0000FF"/>
          <w:lang w:val="it-IT"/>
        </w:rPr>
        <w:t>adattato da Dalbeth, 2015</w:t>
      </w:r>
      <w:r w:rsidR="005E481E" w:rsidRPr="00AA683E">
        <w:rPr>
          <w:rFonts w:asciiTheme="minorHAnsi" w:hAnsiTheme="minorHAnsi" w:cstheme="minorHAnsi"/>
          <w:lang w:val="it-IT"/>
        </w:rPr>
        <w:t>)</w:t>
      </w:r>
      <w:bookmarkEnd w:id="192"/>
    </w:p>
    <w:p w14:paraId="16D5B8AA" w14:textId="4D03E32B" w:rsidR="00BD34D3" w:rsidRPr="005234DE" w:rsidRDefault="005234DE" w:rsidP="00206E2E">
      <w:pPr>
        <w:spacing w:line="360" w:lineRule="auto"/>
        <w:rPr>
          <w:rFonts w:eastAsia="Times New Roman" w:cs="Arial"/>
          <w:color w:val="222222"/>
          <w:sz w:val="20"/>
          <w:szCs w:val="20"/>
        </w:rPr>
      </w:pPr>
      <w:r>
        <w:rPr>
          <w:rFonts w:eastAsia="Times New Roman" w:cs="Arial"/>
          <w:noProof/>
          <w:color w:val="222222"/>
          <w:sz w:val="20"/>
          <w:szCs w:val="20"/>
          <w:lang w:val="en-GB" w:eastAsia="en-GB"/>
        </w:rPr>
        <w:drawing>
          <wp:inline distT="0" distB="0" distL="0" distR="0" wp14:anchorId="525572DC" wp14:editId="4D9B532C">
            <wp:extent cx="5568950" cy="2929699"/>
            <wp:effectExtent l="0" t="0" r="0" b="444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74657" cy="2932702"/>
                    </a:xfrm>
                    <a:prstGeom prst="rect">
                      <a:avLst/>
                    </a:prstGeom>
                    <a:noFill/>
                  </pic:spPr>
                </pic:pic>
              </a:graphicData>
            </a:graphic>
          </wp:inline>
        </w:drawing>
      </w:r>
    </w:p>
    <w:p w14:paraId="3EF3138B" w14:textId="77777777" w:rsidR="006D32A8" w:rsidRPr="00D138F4" w:rsidRDefault="006D32A8" w:rsidP="006D32A8">
      <w:pPr>
        <w:spacing w:line="360" w:lineRule="auto"/>
        <w:jc w:val="both"/>
        <w:rPr>
          <w:rFonts w:eastAsia="Times New Roman" w:cs="Arial"/>
          <w:color w:val="222222"/>
          <w:sz w:val="20"/>
          <w:szCs w:val="20"/>
        </w:rPr>
      </w:pPr>
    </w:p>
    <w:p w14:paraId="0E41950A" w14:textId="7F804DDF" w:rsidR="006D32A8" w:rsidRDefault="006D32A8" w:rsidP="000210A2">
      <w:pPr>
        <w:spacing w:line="360" w:lineRule="auto"/>
        <w:rPr>
          <w:rFonts w:eastAsia="Times New Roman" w:cs="Arial"/>
          <w:color w:val="222222"/>
          <w:sz w:val="20"/>
          <w:szCs w:val="20"/>
        </w:rPr>
      </w:pPr>
      <w:r>
        <w:rPr>
          <w:rFonts w:eastAsia="Times New Roman" w:cs="Arial"/>
          <w:color w:val="222222"/>
          <w:sz w:val="20"/>
          <w:szCs w:val="20"/>
        </w:rPr>
        <w:t xml:space="preserve">L’andamento osservato per i pazienti che hanno raggiunto il target di </w:t>
      </w:r>
      <w:r w:rsidR="005848A1">
        <w:rPr>
          <w:rFonts w:eastAsia="Times New Roman" w:cs="Arial"/>
          <w:color w:val="222222"/>
          <w:sz w:val="20"/>
          <w:szCs w:val="20"/>
        </w:rPr>
        <w:t>sUA</w:t>
      </w:r>
      <w:r>
        <w:rPr>
          <w:rFonts w:eastAsia="Times New Roman" w:cs="Arial"/>
          <w:color w:val="222222"/>
          <w:sz w:val="20"/>
          <w:szCs w:val="20"/>
        </w:rPr>
        <w:t xml:space="preserve">&lt; </w:t>
      </w:r>
      <w:r w:rsidR="005234DE">
        <w:rPr>
          <w:rFonts w:eastAsia="Times New Roman" w:cs="Arial"/>
          <w:color w:val="222222"/>
          <w:sz w:val="20"/>
          <w:szCs w:val="20"/>
        </w:rPr>
        <w:t xml:space="preserve">6 mg/dl, </w:t>
      </w:r>
      <w:r>
        <w:rPr>
          <w:rFonts w:eastAsia="Times New Roman" w:cs="Arial"/>
          <w:color w:val="222222"/>
          <w:sz w:val="20"/>
          <w:szCs w:val="20"/>
        </w:rPr>
        <w:t xml:space="preserve">4 mg/dl </w:t>
      </w:r>
      <w:r w:rsidR="005234DE">
        <w:rPr>
          <w:rFonts w:eastAsia="Times New Roman" w:cs="Arial"/>
          <w:color w:val="222222"/>
          <w:sz w:val="20"/>
          <w:szCs w:val="20"/>
        </w:rPr>
        <w:t>e 3</w:t>
      </w:r>
      <w:r w:rsidR="005234DE" w:rsidRPr="005234DE">
        <w:rPr>
          <w:rFonts w:eastAsia="Times New Roman" w:cs="Arial"/>
          <w:color w:val="222222"/>
          <w:sz w:val="20"/>
          <w:szCs w:val="20"/>
        </w:rPr>
        <w:t xml:space="preserve"> mg/dl </w:t>
      </w:r>
      <w:r>
        <w:rPr>
          <w:rFonts w:eastAsia="Times New Roman" w:cs="Arial"/>
          <w:color w:val="222222"/>
          <w:sz w:val="20"/>
          <w:szCs w:val="20"/>
        </w:rPr>
        <w:t xml:space="preserve">è risultato comparabile a quello descritto per i pazienti che hanno raggiunto il target di </w:t>
      </w:r>
      <w:r w:rsidR="005848A1">
        <w:rPr>
          <w:rFonts w:eastAsia="Times New Roman" w:cs="Arial"/>
          <w:color w:val="222222"/>
          <w:sz w:val="20"/>
          <w:szCs w:val="20"/>
        </w:rPr>
        <w:t>sUA</w:t>
      </w:r>
      <w:r>
        <w:rPr>
          <w:rFonts w:eastAsia="Times New Roman" w:cs="Arial"/>
          <w:color w:val="222222"/>
          <w:sz w:val="20"/>
          <w:szCs w:val="20"/>
        </w:rPr>
        <w:t>&lt; 5 mg/dl (</w:t>
      </w:r>
      <w:r w:rsidR="0020764E">
        <w:rPr>
          <w:rFonts w:eastAsia="Times New Roman" w:cs="Arial"/>
          <w:color w:val="0000FF"/>
          <w:sz w:val="20"/>
          <w:szCs w:val="20"/>
        </w:rPr>
        <w:t>CSR 307, 2015 (129</w:t>
      </w:r>
      <w:r w:rsidR="00966A6C">
        <w:rPr>
          <w:rFonts w:eastAsia="Times New Roman" w:cs="Arial"/>
          <w:color w:val="0000FF"/>
          <w:sz w:val="20"/>
          <w:szCs w:val="20"/>
        </w:rPr>
        <w:t>)</w:t>
      </w:r>
      <w:r>
        <w:rPr>
          <w:rFonts w:eastAsia="Times New Roman" w:cs="Arial"/>
          <w:color w:val="222222"/>
          <w:sz w:val="20"/>
          <w:szCs w:val="20"/>
        </w:rPr>
        <w:t>).</w:t>
      </w:r>
    </w:p>
    <w:p w14:paraId="04FF566F" w14:textId="77777777" w:rsidR="006D32A8" w:rsidRDefault="006D32A8" w:rsidP="000210A2">
      <w:pPr>
        <w:spacing w:line="360" w:lineRule="auto"/>
        <w:rPr>
          <w:rFonts w:eastAsia="Times New Roman" w:cs="Arial"/>
          <w:color w:val="222222"/>
          <w:sz w:val="20"/>
          <w:szCs w:val="20"/>
        </w:rPr>
      </w:pPr>
    </w:p>
    <w:p w14:paraId="7231766E" w14:textId="39C4A605" w:rsidR="006D32A8" w:rsidRDefault="006D32A8" w:rsidP="000210A2">
      <w:pPr>
        <w:spacing w:line="360" w:lineRule="auto"/>
      </w:pPr>
      <w:r w:rsidRPr="00D138F4">
        <w:rPr>
          <w:rFonts w:eastAsia="Times New Roman" w:cs="Arial"/>
          <w:color w:val="222222"/>
          <w:sz w:val="20"/>
          <w:szCs w:val="20"/>
        </w:rPr>
        <w:t>Anche la percent</w:t>
      </w:r>
      <w:r>
        <w:rPr>
          <w:rFonts w:eastAsia="Times New Roman" w:cs="Arial"/>
          <w:color w:val="222222"/>
          <w:sz w:val="20"/>
          <w:szCs w:val="20"/>
        </w:rPr>
        <w:t xml:space="preserve">uale di variazione del livello </w:t>
      </w:r>
      <w:r w:rsidR="005848A1">
        <w:rPr>
          <w:rFonts w:eastAsia="Times New Roman" w:cs="Arial"/>
          <w:color w:val="222222"/>
          <w:sz w:val="20"/>
          <w:szCs w:val="20"/>
        </w:rPr>
        <w:t>sUA</w:t>
      </w:r>
      <w:r w:rsidRPr="00D138F4">
        <w:rPr>
          <w:rFonts w:eastAsia="Times New Roman" w:cs="Arial"/>
          <w:color w:val="222222"/>
          <w:sz w:val="20"/>
          <w:szCs w:val="20"/>
        </w:rPr>
        <w:t xml:space="preserve"> dalla baseline è diminuita drasticamente nel gruppo 200CROSS fin dal primo mese dello studio di estensione, confermando il risultato </w:t>
      </w:r>
      <w:r>
        <w:rPr>
          <w:rFonts w:eastAsia="Times New Roman" w:cs="Arial"/>
          <w:color w:val="222222"/>
          <w:sz w:val="20"/>
          <w:szCs w:val="20"/>
        </w:rPr>
        <w:t xml:space="preserve">degli altri end-point </w:t>
      </w:r>
    </w:p>
    <w:p w14:paraId="6E995212" w14:textId="77777777" w:rsidR="006D32A8" w:rsidRDefault="006D32A8" w:rsidP="000210A2">
      <w:pPr>
        <w:spacing w:line="360" w:lineRule="auto"/>
        <w:rPr>
          <w:rFonts w:eastAsia="Times New Roman" w:cs="Arial"/>
          <w:color w:val="222222"/>
          <w:sz w:val="20"/>
          <w:szCs w:val="20"/>
        </w:rPr>
      </w:pPr>
    </w:p>
    <w:p w14:paraId="3B41A3AD" w14:textId="24417C8F" w:rsidR="003E640F" w:rsidRDefault="003E640F" w:rsidP="000210A2">
      <w:pPr>
        <w:spacing w:line="360" w:lineRule="auto"/>
        <w:rPr>
          <w:rFonts w:cs="Arial"/>
          <w:sz w:val="20"/>
          <w:szCs w:val="20"/>
        </w:rPr>
      </w:pPr>
      <w:r w:rsidRPr="00485F07">
        <w:rPr>
          <w:rFonts w:eastAsia="Calibri" w:cs="Arial"/>
          <w:b/>
          <w:sz w:val="20"/>
          <w:szCs w:val="20"/>
          <w:lang w:eastAsia="it-IT"/>
        </w:rPr>
        <w:t>Lesinurad è stato efficace anche sulla risoluzione del tofo target</w:t>
      </w:r>
      <w:r w:rsidRPr="006D71E8">
        <w:rPr>
          <w:rFonts w:eastAsia="Calibri" w:cs="Arial"/>
          <w:sz w:val="20"/>
          <w:szCs w:val="20"/>
          <w:lang w:eastAsia="it-IT"/>
        </w:rPr>
        <w:t xml:space="preserve"> (key secondary end-point): ad ogni visita mensile la percentuale di pazienti con risoluzione completa del tofo target è progressivamente aumentata </w:t>
      </w:r>
      <w:r w:rsidR="00A7706B">
        <w:rPr>
          <w:rFonts w:eastAsia="Calibri" w:cs="Arial"/>
          <w:sz w:val="20"/>
          <w:szCs w:val="20"/>
          <w:lang w:eastAsia="it-IT"/>
        </w:rPr>
        <w:t xml:space="preserve">fino a </w:t>
      </w:r>
      <w:r w:rsidR="006D71E8" w:rsidRPr="006D71E8">
        <w:rPr>
          <w:rFonts w:eastAsia="Calibri" w:cs="Arial"/>
          <w:sz w:val="20"/>
          <w:szCs w:val="20"/>
          <w:lang w:eastAsia="it-IT"/>
        </w:rPr>
        <w:t>consolida</w:t>
      </w:r>
      <w:r w:rsidR="00A7706B">
        <w:rPr>
          <w:rFonts w:eastAsia="Calibri" w:cs="Arial"/>
          <w:sz w:val="20"/>
          <w:szCs w:val="20"/>
          <w:lang w:eastAsia="it-IT"/>
        </w:rPr>
        <w:t>rsi</w:t>
      </w:r>
      <w:r w:rsidR="006D71E8" w:rsidRPr="006D71E8">
        <w:rPr>
          <w:rFonts w:eastAsia="Calibri" w:cs="Arial"/>
          <w:sz w:val="20"/>
          <w:szCs w:val="20"/>
          <w:lang w:eastAsia="it-IT"/>
        </w:rPr>
        <w:t xml:space="preserve"> al 50.0% dei pazienti nel gruppo in cross-over da PBO+FBX e al 53.1% dei pazienti in terapia continuata con LESU200+FBX</w:t>
      </w:r>
      <w:r w:rsidR="00A7706B">
        <w:rPr>
          <w:rFonts w:eastAsia="Calibri" w:cs="Arial"/>
          <w:sz w:val="20"/>
          <w:szCs w:val="20"/>
          <w:lang w:eastAsia="it-IT"/>
        </w:rPr>
        <w:t xml:space="preserve"> (</w:t>
      </w:r>
      <w:hyperlink w:anchor="Figura43" w:history="1">
        <w:r w:rsidR="00A7706B" w:rsidRPr="00DB6A8A">
          <w:rPr>
            <w:rStyle w:val="Hyperlink"/>
            <w:rFonts w:eastAsia="Calibri" w:cs="Arial"/>
            <w:sz w:val="20"/>
            <w:szCs w:val="20"/>
            <w:lang w:eastAsia="it-IT"/>
          </w:rPr>
          <w:t>Figura 4</w:t>
        </w:r>
        <w:r w:rsidR="00DB6A8A" w:rsidRPr="00DB6A8A">
          <w:rPr>
            <w:rStyle w:val="Hyperlink"/>
            <w:rFonts w:eastAsia="Calibri" w:cs="Arial"/>
            <w:sz w:val="20"/>
            <w:szCs w:val="20"/>
            <w:lang w:eastAsia="it-IT"/>
          </w:rPr>
          <w:t>3</w:t>
        </w:r>
      </w:hyperlink>
      <w:r w:rsidR="00A7706B" w:rsidRPr="00DB6A8A">
        <w:rPr>
          <w:rFonts w:eastAsia="Calibri" w:cs="Arial"/>
          <w:sz w:val="20"/>
          <w:szCs w:val="20"/>
          <w:lang w:eastAsia="it-IT"/>
        </w:rPr>
        <w:t>)</w:t>
      </w:r>
      <w:r w:rsidR="00296E7F" w:rsidRPr="00DB6A8A">
        <w:rPr>
          <w:rFonts w:eastAsia="Calibri" w:cs="Arial"/>
          <w:sz w:val="20"/>
          <w:szCs w:val="20"/>
          <w:lang w:eastAsia="it-IT"/>
        </w:rPr>
        <w:t>. Pertanto</w:t>
      </w:r>
      <w:r w:rsidR="00296E7F" w:rsidRPr="00296E7F">
        <w:rPr>
          <w:rFonts w:eastAsia="Calibri" w:cs="Arial"/>
          <w:sz w:val="20"/>
          <w:szCs w:val="20"/>
          <w:lang w:eastAsia="it-IT"/>
        </w:rPr>
        <w:t xml:space="preserve"> la percentuale è aumentata </w:t>
      </w:r>
      <w:r w:rsidR="00DB6A8A">
        <w:rPr>
          <w:rFonts w:eastAsia="Calibri" w:cs="Arial"/>
          <w:sz w:val="20"/>
          <w:szCs w:val="20"/>
          <w:lang w:eastAsia="it-IT"/>
        </w:rPr>
        <w:t xml:space="preserve">progressivamente nel corso dello studio </w:t>
      </w:r>
      <w:r w:rsidR="00296E7F" w:rsidRPr="00296E7F">
        <w:rPr>
          <w:rFonts w:eastAsia="Calibri" w:cs="Arial"/>
          <w:sz w:val="20"/>
          <w:szCs w:val="20"/>
          <w:lang w:eastAsia="it-IT"/>
        </w:rPr>
        <w:t xml:space="preserve">rispetto  al numero di pazienti che </w:t>
      </w:r>
      <w:r w:rsidR="00DB6A8A">
        <w:rPr>
          <w:rFonts w:eastAsia="Calibri" w:cs="Arial"/>
          <w:sz w:val="20"/>
          <w:szCs w:val="20"/>
          <w:lang w:eastAsia="it-IT"/>
        </w:rPr>
        <w:t>che raggiungevano la completa risoluzione del tofo target al Mese 12 (25.5% lesinurad 200 mg vs 21.1% febuxostat)</w:t>
      </w:r>
      <w:r w:rsidR="006D71E8" w:rsidRPr="00296E7F">
        <w:rPr>
          <w:rFonts w:eastAsia="Calibri" w:cs="Arial"/>
          <w:sz w:val="20"/>
          <w:szCs w:val="20"/>
          <w:lang w:eastAsia="it-IT"/>
        </w:rPr>
        <w:t xml:space="preserve"> </w:t>
      </w:r>
      <w:r w:rsidRPr="00DB6A8A">
        <w:rPr>
          <w:sz w:val="20"/>
          <w:szCs w:val="20"/>
        </w:rPr>
        <w:t>(</w:t>
      </w:r>
      <w:r w:rsidR="0020764E">
        <w:rPr>
          <w:rFonts w:cs="Arial"/>
          <w:color w:val="0000FF"/>
          <w:sz w:val="20"/>
          <w:szCs w:val="20"/>
        </w:rPr>
        <w:t>CSR 307, 2015 (129</w:t>
      </w:r>
      <w:r w:rsidRPr="008966FD">
        <w:rPr>
          <w:rFonts w:cs="Arial"/>
          <w:color w:val="0000FF"/>
          <w:sz w:val="20"/>
          <w:szCs w:val="20"/>
        </w:rPr>
        <w:t>)</w:t>
      </w:r>
      <w:r w:rsidRPr="00E74F62">
        <w:rPr>
          <w:rFonts w:cs="Arial"/>
          <w:sz w:val="20"/>
          <w:szCs w:val="20"/>
        </w:rPr>
        <w:t>)</w:t>
      </w:r>
      <w:r>
        <w:rPr>
          <w:rFonts w:cs="Arial"/>
          <w:sz w:val="20"/>
          <w:szCs w:val="20"/>
        </w:rPr>
        <w:t>.</w:t>
      </w:r>
    </w:p>
    <w:p w14:paraId="304EF4B6" w14:textId="77777777" w:rsidR="00485F07" w:rsidRDefault="00485F07" w:rsidP="000210A2">
      <w:pPr>
        <w:spacing w:line="360" w:lineRule="auto"/>
        <w:rPr>
          <w:rFonts w:eastAsia="Times New Roman" w:cs="Arial"/>
          <w:color w:val="222222"/>
          <w:sz w:val="20"/>
          <w:szCs w:val="20"/>
        </w:rPr>
      </w:pPr>
    </w:p>
    <w:p w14:paraId="08756467" w14:textId="77777777" w:rsidR="00793837" w:rsidRDefault="00793837" w:rsidP="000210A2">
      <w:pPr>
        <w:spacing w:line="360" w:lineRule="auto"/>
        <w:rPr>
          <w:rFonts w:eastAsia="Times New Roman" w:cs="Arial"/>
          <w:color w:val="222222"/>
          <w:sz w:val="20"/>
          <w:szCs w:val="20"/>
        </w:rPr>
      </w:pPr>
    </w:p>
    <w:p w14:paraId="1A996A3C" w14:textId="77777777" w:rsidR="00793837" w:rsidRDefault="00793837" w:rsidP="000210A2">
      <w:pPr>
        <w:spacing w:line="360" w:lineRule="auto"/>
        <w:rPr>
          <w:rFonts w:eastAsia="Times New Roman" w:cs="Arial"/>
          <w:color w:val="222222"/>
          <w:sz w:val="20"/>
          <w:szCs w:val="20"/>
        </w:rPr>
      </w:pPr>
    </w:p>
    <w:p w14:paraId="0A8D36B9" w14:textId="77777777" w:rsidR="00793837" w:rsidRDefault="00793837" w:rsidP="000210A2">
      <w:pPr>
        <w:spacing w:line="360" w:lineRule="auto"/>
        <w:rPr>
          <w:rFonts w:eastAsia="Times New Roman" w:cs="Arial"/>
          <w:color w:val="222222"/>
          <w:sz w:val="20"/>
          <w:szCs w:val="20"/>
        </w:rPr>
      </w:pPr>
    </w:p>
    <w:p w14:paraId="66791027" w14:textId="77777777" w:rsidR="00793837" w:rsidRPr="00D138F4" w:rsidRDefault="00793837" w:rsidP="000210A2">
      <w:pPr>
        <w:spacing w:line="360" w:lineRule="auto"/>
        <w:rPr>
          <w:rFonts w:eastAsia="Times New Roman" w:cs="Arial"/>
          <w:color w:val="222222"/>
          <w:sz w:val="20"/>
          <w:szCs w:val="20"/>
        </w:rPr>
      </w:pPr>
    </w:p>
    <w:p w14:paraId="221301DB" w14:textId="1BB090AC" w:rsidR="00A87B3E" w:rsidRDefault="00E24213" w:rsidP="00E24213">
      <w:pPr>
        <w:pStyle w:val="Caption"/>
        <w:rPr>
          <w:rFonts w:asciiTheme="minorHAnsi" w:hAnsiTheme="minorHAnsi" w:cstheme="minorHAnsi"/>
          <w:lang w:val="it-IT"/>
        </w:rPr>
      </w:pPr>
      <w:bookmarkStart w:id="193" w:name="Figura43"/>
      <w:bookmarkStart w:id="194" w:name="_Toc473186938"/>
      <w:bookmarkEnd w:id="193"/>
      <w:r w:rsidRPr="00E24213">
        <w:rPr>
          <w:rFonts w:asciiTheme="minorHAnsi" w:hAnsiTheme="minorHAnsi" w:cstheme="minorHAnsi"/>
          <w:lang w:val="it-IT"/>
        </w:rPr>
        <w:t>Figu</w:t>
      </w:r>
      <w:bookmarkStart w:id="195" w:name="Figura52"/>
      <w:bookmarkEnd w:id="195"/>
      <w:r w:rsidRPr="00E24213">
        <w:rPr>
          <w:rFonts w:asciiTheme="minorHAnsi" w:hAnsiTheme="minorHAnsi" w:cstheme="minorHAnsi"/>
          <w:lang w:val="it-IT"/>
        </w:rPr>
        <w:t xml:space="preserve">ra </w:t>
      </w:r>
      <w:r w:rsidRPr="00E24213">
        <w:rPr>
          <w:rFonts w:asciiTheme="minorHAnsi" w:hAnsiTheme="minorHAnsi" w:cstheme="minorHAnsi"/>
        </w:rPr>
        <w:fldChar w:fldCharType="begin"/>
      </w:r>
      <w:r w:rsidRPr="00E24213">
        <w:rPr>
          <w:rFonts w:asciiTheme="minorHAnsi" w:hAnsiTheme="minorHAnsi" w:cstheme="minorHAnsi"/>
          <w:lang w:val="it-IT"/>
        </w:rPr>
        <w:instrText xml:space="preserve"> SEQ Figura \* ARABIC </w:instrText>
      </w:r>
      <w:r w:rsidRPr="00E24213">
        <w:rPr>
          <w:rFonts w:asciiTheme="minorHAnsi" w:hAnsiTheme="minorHAnsi" w:cstheme="minorHAnsi"/>
        </w:rPr>
        <w:fldChar w:fldCharType="separate"/>
      </w:r>
      <w:r w:rsidR="00A1679C">
        <w:rPr>
          <w:rFonts w:asciiTheme="minorHAnsi" w:hAnsiTheme="minorHAnsi" w:cstheme="minorHAnsi"/>
          <w:noProof/>
          <w:lang w:val="it-IT"/>
        </w:rPr>
        <w:t>43</w:t>
      </w:r>
      <w:r w:rsidRPr="00E24213">
        <w:rPr>
          <w:rFonts w:asciiTheme="minorHAnsi" w:hAnsiTheme="minorHAnsi" w:cstheme="minorHAnsi"/>
        </w:rPr>
        <w:fldChar w:fldCharType="end"/>
      </w:r>
      <w:r w:rsidRPr="00E24213">
        <w:rPr>
          <w:rFonts w:asciiTheme="minorHAnsi" w:hAnsiTheme="minorHAnsi" w:cstheme="minorHAnsi"/>
          <w:lang w:val="it-IT"/>
        </w:rPr>
        <w:t xml:space="preserve"> - </w:t>
      </w:r>
      <w:r w:rsidR="00D138F4" w:rsidRPr="00E24213">
        <w:rPr>
          <w:rFonts w:asciiTheme="minorHAnsi" w:hAnsiTheme="minorHAnsi" w:cstheme="minorHAnsi"/>
          <w:lang w:val="it-IT"/>
        </w:rPr>
        <w:t xml:space="preserve">Percentuale di pazienti con risoluzione completa </w:t>
      </w:r>
      <w:r w:rsidR="00D138F4" w:rsidRPr="00E24213">
        <w:rPr>
          <w:rFonts w:asciiTheme="minorHAnsi" w:hAnsiTheme="minorHAnsi" w:cstheme="minorHAnsi"/>
          <w:u w:val="single"/>
          <w:lang w:val="it-IT"/>
        </w:rPr>
        <w:t>&gt;1</w:t>
      </w:r>
      <w:r w:rsidR="00D138F4" w:rsidRPr="00E24213">
        <w:rPr>
          <w:rFonts w:asciiTheme="minorHAnsi" w:hAnsiTheme="minorHAnsi" w:cstheme="minorHAnsi"/>
          <w:lang w:val="it-IT"/>
        </w:rPr>
        <w:t xml:space="preserve"> tofo target </w:t>
      </w:r>
      <w:r w:rsidR="00A87B3E">
        <w:rPr>
          <w:rFonts w:asciiTheme="minorHAnsi" w:hAnsiTheme="minorHAnsi" w:cstheme="minorHAnsi"/>
          <w:lang w:val="it-IT"/>
        </w:rPr>
        <w:t xml:space="preserve">nel corso di </w:t>
      </w:r>
      <w:r w:rsidR="00D138F4" w:rsidRPr="00E24213">
        <w:rPr>
          <w:rFonts w:asciiTheme="minorHAnsi" w:hAnsiTheme="minorHAnsi" w:cstheme="minorHAnsi"/>
          <w:lang w:val="it-IT"/>
        </w:rPr>
        <w:t>CRYSTAL core e extension</w:t>
      </w:r>
      <w:r w:rsidR="00CE3B7D">
        <w:rPr>
          <w:rFonts w:asciiTheme="minorHAnsi" w:hAnsiTheme="minorHAnsi" w:cstheme="minorHAnsi"/>
          <w:lang w:val="it-IT"/>
        </w:rPr>
        <w:t xml:space="preserve"> </w:t>
      </w:r>
      <w:r w:rsidR="0000375A">
        <w:rPr>
          <w:rFonts w:asciiTheme="minorHAnsi" w:hAnsiTheme="minorHAnsi" w:cstheme="minorHAnsi"/>
          <w:lang w:val="it-IT"/>
        </w:rPr>
        <w:t xml:space="preserve">(analisi LOCF, popolazione ITT) </w:t>
      </w:r>
      <w:r w:rsidR="00CE3B7D">
        <w:rPr>
          <w:rFonts w:asciiTheme="minorHAnsi" w:hAnsiTheme="minorHAnsi" w:cstheme="minorHAnsi"/>
          <w:lang w:val="it-IT"/>
        </w:rPr>
        <w:t>(</w:t>
      </w:r>
      <w:r w:rsidR="00CE3B7D" w:rsidRPr="00117E3B">
        <w:rPr>
          <w:rFonts w:asciiTheme="minorHAnsi" w:hAnsiTheme="minorHAnsi" w:cstheme="minorHAnsi"/>
          <w:color w:val="0000FF"/>
          <w:lang w:val="it-IT"/>
        </w:rPr>
        <w:t>adattata CSR 307, 201</w:t>
      </w:r>
      <w:r w:rsidR="00CE3B7D">
        <w:rPr>
          <w:rFonts w:asciiTheme="minorHAnsi" w:hAnsiTheme="minorHAnsi" w:cstheme="minorHAnsi"/>
          <w:color w:val="0000FF"/>
          <w:lang w:val="it-IT"/>
        </w:rPr>
        <w:t>5</w:t>
      </w:r>
      <w:r w:rsidR="00CE3B7D">
        <w:rPr>
          <w:rFonts w:asciiTheme="minorHAnsi" w:hAnsiTheme="minorHAnsi" w:cstheme="minorHAnsi"/>
          <w:lang w:val="it-IT"/>
        </w:rPr>
        <w:t>)</w:t>
      </w:r>
      <w:bookmarkEnd w:id="194"/>
    </w:p>
    <w:tbl>
      <w:tblPr>
        <w:tblStyle w:val="Grigliatabella6"/>
        <w:tblW w:w="0" w:type="auto"/>
        <w:tblLook w:val="04A0" w:firstRow="1" w:lastRow="0" w:firstColumn="1" w:lastColumn="0" w:noHBand="0" w:noVBand="1"/>
      </w:tblPr>
      <w:tblGrid>
        <w:gridCol w:w="2654"/>
        <w:gridCol w:w="2121"/>
        <w:gridCol w:w="1980"/>
        <w:gridCol w:w="2262"/>
      </w:tblGrid>
      <w:tr w:rsidR="00A87B3E" w:rsidRPr="00A87B3E" w14:paraId="417715F3" w14:textId="77777777" w:rsidTr="00A87B3E">
        <w:tc>
          <w:tcPr>
            <w:tcW w:w="2660" w:type="dxa"/>
            <w:vMerge w:val="restart"/>
            <w:shd w:val="clear" w:color="auto" w:fill="D9D9D9" w:themeFill="background1" w:themeFillShade="D9"/>
          </w:tcPr>
          <w:p w14:paraId="4E3AF06C" w14:textId="77777777" w:rsidR="00A87B3E" w:rsidRPr="00A87B3E" w:rsidRDefault="00A87B3E" w:rsidP="00A87B3E">
            <w:pPr>
              <w:spacing w:before="60" w:after="60"/>
              <w:rPr>
                <w:rFonts w:ascii="Arial" w:eastAsia="Calibri" w:hAnsi="Arial" w:cs="Arial"/>
                <w:sz w:val="20"/>
                <w:szCs w:val="22"/>
                <w:lang w:val="it-IT" w:eastAsia="en-US"/>
              </w:rPr>
            </w:pPr>
          </w:p>
        </w:tc>
        <w:tc>
          <w:tcPr>
            <w:tcW w:w="6379" w:type="dxa"/>
            <w:gridSpan w:val="3"/>
            <w:shd w:val="clear" w:color="auto" w:fill="D9D9D9" w:themeFill="background1" w:themeFillShade="D9"/>
          </w:tcPr>
          <w:p w14:paraId="46262C1C" w14:textId="77777777" w:rsidR="00A87B3E" w:rsidRPr="00A87B3E" w:rsidRDefault="00A87B3E" w:rsidP="00A87B3E">
            <w:pPr>
              <w:spacing w:before="60" w:after="60"/>
              <w:jc w:val="center"/>
              <w:rPr>
                <w:rFonts w:ascii="Arial" w:eastAsia="Calibri" w:hAnsi="Arial" w:cs="Arial"/>
                <w:b/>
                <w:sz w:val="20"/>
                <w:szCs w:val="22"/>
                <w:lang w:eastAsia="en-US"/>
              </w:rPr>
            </w:pPr>
            <w:r w:rsidRPr="00A87B3E">
              <w:rPr>
                <w:rFonts w:ascii="Arial" w:eastAsia="Calibri" w:hAnsi="Arial" w:cs="Arial"/>
                <w:b/>
                <w:sz w:val="20"/>
                <w:szCs w:val="22"/>
                <w:lang w:eastAsia="en-US"/>
              </w:rPr>
              <w:t>Lesinurad 200 mg + febuxostat</w:t>
            </w:r>
          </w:p>
        </w:tc>
      </w:tr>
      <w:tr w:rsidR="00A87B3E" w:rsidRPr="00A87B3E" w14:paraId="31C73062" w14:textId="77777777" w:rsidTr="00A87B3E">
        <w:tc>
          <w:tcPr>
            <w:tcW w:w="2660" w:type="dxa"/>
            <w:vMerge/>
            <w:shd w:val="clear" w:color="auto" w:fill="D9D9D9" w:themeFill="background1" w:themeFillShade="D9"/>
          </w:tcPr>
          <w:p w14:paraId="1091D4B6" w14:textId="77777777" w:rsidR="00A87B3E" w:rsidRPr="00A87B3E" w:rsidRDefault="00A87B3E" w:rsidP="00A87B3E">
            <w:pPr>
              <w:spacing w:before="60" w:after="60"/>
              <w:rPr>
                <w:rFonts w:ascii="Arial" w:eastAsia="Calibri" w:hAnsi="Arial" w:cs="Arial"/>
                <w:sz w:val="20"/>
                <w:szCs w:val="22"/>
                <w:lang w:eastAsia="en-US"/>
              </w:rPr>
            </w:pPr>
          </w:p>
        </w:tc>
        <w:tc>
          <w:tcPr>
            <w:tcW w:w="2126" w:type="dxa"/>
            <w:shd w:val="clear" w:color="auto" w:fill="D9D9D9" w:themeFill="background1" w:themeFillShade="D9"/>
            <w:vAlign w:val="center"/>
          </w:tcPr>
          <w:p w14:paraId="4599FDE5" w14:textId="77777777" w:rsidR="00A87B3E" w:rsidRPr="00A87B3E" w:rsidRDefault="00A87B3E" w:rsidP="00A87B3E">
            <w:pPr>
              <w:spacing w:before="60" w:after="60"/>
              <w:jc w:val="center"/>
              <w:rPr>
                <w:rFonts w:ascii="Arial" w:eastAsia="Calibri" w:hAnsi="Arial" w:cs="Arial"/>
                <w:b/>
                <w:sz w:val="18"/>
                <w:szCs w:val="22"/>
                <w:lang w:eastAsia="en-US"/>
              </w:rPr>
            </w:pPr>
            <w:r w:rsidRPr="00A87B3E">
              <w:rPr>
                <w:rFonts w:ascii="Arial" w:eastAsia="Calibri" w:hAnsi="Arial" w:cs="Arial"/>
                <w:b/>
                <w:sz w:val="18"/>
                <w:szCs w:val="22"/>
                <w:lang w:eastAsia="en-US"/>
              </w:rPr>
              <w:t xml:space="preserve">CROSS (N=32) </w:t>
            </w:r>
            <w:r w:rsidRPr="00A87B3E">
              <w:rPr>
                <w:rFonts w:ascii="Arial" w:eastAsia="Calibri" w:hAnsi="Arial" w:cs="Arial"/>
                <w:b/>
                <w:sz w:val="18"/>
                <w:szCs w:val="22"/>
                <w:lang w:eastAsia="en-US"/>
              </w:rPr>
              <w:br/>
              <w:t>n (%)</w:t>
            </w:r>
          </w:p>
        </w:tc>
        <w:tc>
          <w:tcPr>
            <w:tcW w:w="1985" w:type="dxa"/>
            <w:shd w:val="clear" w:color="auto" w:fill="D9D9D9" w:themeFill="background1" w:themeFillShade="D9"/>
            <w:vAlign w:val="center"/>
          </w:tcPr>
          <w:p w14:paraId="3FAE0160" w14:textId="77777777" w:rsidR="00A87B3E" w:rsidRPr="00A87B3E" w:rsidRDefault="00A87B3E" w:rsidP="00A87B3E">
            <w:pPr>
              <w:spacing w:before="60" w:after="60"/>
              <w:jc w:val="center"/>
              <w:rPr>
                <w:rFonts w:ascii="Arial" w:eastAsia="Calibri" w:hAnsi="Arial" w:cs="Arial"/>
                <w:b/>
                <w:sz w:val="18"/>
                <w:szCs w:val="22"/>
                <w:lang w:eastAsia="en-US"/>
              </w:rPr>
            </w:pPr>
            <w:r w:rsidRPr="00A87B3E">
              <w:rPr>
                <w:rFonts w:ascii="Arial" w:eastAsia="Calibri" w:hAnsi="Arial" w:cs="Arial"/>
                <w:b/>
                <w:sz w:val="18"/>
                <w:szCs w:val="22"/>
                <w:lang w:eastAsia="en-US"/>
              </w:rPr>
              <w:t xml:space="preserve">CONT (N=64) </w:t>
            </w:r>
            <w:r w:rsidRPr="00A87B3E">
              <w:rPr>
                <w:rFonts w:ascii="Arial" w:eastAsia="Calibri" w:hAnsi="Arial" w:cs="Arial"/>
                <w:b/>
                <w:sz w:val="18"/>
                <w:szCs w:val="22"/>
                <w:lang w:eastAsia="en-US"/>
              </w:rPr>
              <w:br/>
              <w:t>n (%)</w:t>
            </w:r>
          </w:p>
        </w:tc>
        <w:tc>
          <w:tcPr>
            <w:tcW w:w="2268" w:type="dxa"/>
            <w:shd w:val="clear" w:color="auto" w:fill="D9D9D9" w:themeFill="background1" w:themeFillShade="D9"/>
            <w:vAlign w:val="center"/>
          </w:tcPr>
          <w:p w14:paraId="117788C9" w14:textId="77777777" w:rsidR="00A87B3E" w:rsidRPr="00A87B3E" w:rsidRDefault="00A87B3E" w:rsidP="00A87B3E">
            <w:pPr>
              <w:spacing w:before="60" w:after="60"/>
              <w:jc w:val="center"/>
              <w:rPr>
                <w:rFonts w:ascii="Arial" w:eastAsia="Calibri" w:hAnsi="Arial" w:cs="Arial"/>
                <w:b/>
                <w:sz w:val="18"/>
                <w:szCs w:val="22"/>
                <w:lang w:eastAsia="en-US"/>
              </w:rPr>
            </w:pPr>
            <w:r w:rsidRPr="00A87B3E">
              <w:rPr>
                <w:rFonts w:ascii="Arial" w:eastAsia="Calibri" w:hAnsi="Arial" w:cs="Arial"/>
                <w:b/>
                <w:sz w:val="18"/>
                <w:szCs w:val="22"/>
                <w:lang w:eastAsia="en-US"/>
              </w:rPr>
              <w:t>TOTAL</w:t>
            </w:r>
            <w:r w:rsidRPr="00A87B3E">
              <w:rPr>
                <w:rFonts w:ascii="Arial" w:eastAsia="Calibri" w:hAnsi="Arial" w:cs="Arial"/>
                <w:b/>
                <w:sz w:val="18"/>
                <w:szCs w:val="22"/>
                <w:lang w:eastAsia="en-US"/>
              </w:rPr>
              <w:br/>
              <w:t>(N=96)</w:t>
            </w:r>
            <w:r w:rsidRPr="00A87B3E">
              <w:rPr>
                <w:rFonts w:ascii="Arial" w:eastAsia="Calibri" w:hAnsi="Arial" w:cs="Arial"/>
                <w:b/>
                <w:sz w:val="18"/>
                <w:szCs w:val="22"/>
                <w:lang w:eastAsia="en-US"/>
              </w:rPr>
              <w:br/>
              <w:t>n (%)</w:t>
            </w:r>
          </w:p>
        </w:tc>
      </w:tr>
      <w:tr w:rsidR="00A87B3E" w:rsidRPr="00A87B3E" w14:paraId="1529F815" w14:textId="77777777" w:rsidTr="00A87B3E">
        <w:tc>
          <w:tcPr>
            <w:tcW w:w="2660" w:type="dxa"/>
          </w:tcPr>
          <w:p w14:paraId="4197DD45" w14:textId="77777777" w:rsidR="00A87B3E" w:rsidRPr="00A87B3E" w:rsidRDefault="00A87B3E" w:rsidP="00A87B3E">
            <w:pPr>
              <w:spacing w:before="60" w:after="60"/>
              <w:rPr>
                <w:rFonts w:ascii="Arial" w:eastAsia="Calibri" w:hAnsi="Arial" w:cs="Arial"/>
                <w:sz w:val="18"/>
                <w:szCs w:val="18"/>
                <w:lang w:eastAsia="en-US"/>
              </w:rPr>
            </w:pPr>
            <w:r w:rsidRPr="00A87B3E">
              <w:rPr>
                <w:rFonts w:ascii="Arial" w:eastAsia="Calibri" w:hAnsi="Arial" w:cs="Arial"/>
                <w:sz w:val="18"/>
                <w:szCs w:val="18"/>
                <w:lang w:eastAsia="en-US"/>
              </w:rPr>
              <w:t>Proportion with a CR by Month 12</w:t>
            </w:r>
          </w:p>
        </w:tc>
        <w:tc>
          <w:tcPr>
            <w:tcW w:w="2126" w:type="dxa"/>
            <w:vAlign w:val="center"/>
          </w:tcPr>
          <w:p w14:paraId="7A106659" w14:textId="77777777" w:rsidR="00A87B3E" w:rsidRPr="00A87B3E" w:rsidRDefault="00A87B3E" w:rsidP="00A87B3E">
            <w:pPr>
              <w:spacing w:before="60" w:after="60"/>
              <w:jc w:val="center"/>
              <w:rPr>
                <w:rFonts w:ascii="Arial" w:eastAsia="Calibri" w:hAnsi="Arial" w:cs="Arial"/>
                <w:sz w:val="18"/>
                <w:szCs w:val="22"/>
                <w:lang w:eastAsia="en-US"/>
              </w:rPr>
            </w:pPr>
            <w:r w:rsidRPr="00A87B3E">
              <w:rPr>
                <w:rFonts w:ascii="Arial" w:eastAsia="Calibri" w:hAnsi="Arial" w:cs="Arial"/>
                <w:sz w:val="18"/>
                <w:szCs w:val="22"/>
                <w:lang w:eastAsia="en-US"/>
              </w:rPr>
              <w:t>16/32 (50.0)</w:t>
            </w:r>
          </w:p>
        </w:tc>
        <w:tc>
          <w:tcPr>
            <w:tcW w:w="1985" w:type="dxa"/>
            <w:vAlign w:val="center"/>
          </w:tcPr>
          <w:p w14:paraId="62334CB5" w14:textId="77777777" w:rsidR="00A87B3E" w:rsidRPr="00A87B3E" w:rsidRDefault="00A87B3E" w:rsidP="00A87B3E">
            <w:pPr>
              <w:spacing w:before="60" w:after="60"/>
              <w:jc w:val="center"/>
              <w:rPr>
                <w:rFonts w:ascii="Arial" w:eastAsia="Calibri" w:hAnsi="Arial" w:cs="Arial"/>
                <w:sz w:val="18"/>
                <w:szCs w:val="22"/>
                <w:lang w:eastAsia="en-US"/>
              </w:rPr>
            </w:pPr>
            <w:r w:rsidRPr="00A87B3E">
              <w:rPr>
                <w:rFonts w:ascii="Arial" w:eastAsia="Calibri" w:hAnsi="Arial" w:cs="Arial"/>
                <w:sz w:val="18"/>
                <w:szCs w:val="22"/>
                <w:lang w:eastAsia="en-US"/>
              </w:rPr>
              <w:t>34/64 (53.1)</w:t>
            </w:r>
          </w:p>
        </w:tc>
        <w:tc>
          <w:tcPr>
            <w:tcW w:w="2268" w:type="dxa"/>
            <w:vAlign w:val="center"/>
          </w:tcPr>
          <w:p w14:paraId="651296A4" w14:textId="77777777" w:rsidR="00A87B3E" w:rsidRPr="00A87B3E" w:rsidRDefault="00A87B3E" w:rsidP="00A87B3E">
            <w:pPr>
              <w:spacing w:before="60" w:after="60"/>
              <w:jc w:val="center"/>
              <w:rPr>
                <w:rFonts w:ascii="Arial" w:eastAsia="Calibri" w:hAnsi="Arial" w:cs="Arial"/>
                <w:sz w:val="18"/>
                <w:szCs w:val="22"/>
                <w:lang w:eastAsia="en-US"/>
              </w:rPr>
            </w:pPr>
            <w:r w:rsidRPr="00A87B3E">
              <w:rPr>
                <w:rFonts w:ascii="Arial" w:eastAsia="Calibri" w:hAnsi="Arial" w:cs="Arial"/>
                <w:sz w:val="18"/>
                <w:szCs w:val="22"/>
                <w:lang w:eastAsia="en-US"/>
              </w:rPr>
              <w:t>50/96 (52.1)</w:t>
            </w:r>
          </w:p>
        </w:tc>
      </w:tr>
      <w:tr w:rsidR="00A87B3E" w:rsidRPr="00A87B3E" w14:paraId="3A7C5EF5" w14:textId="77777777" w:rsidTr="00A87B3E">
        <w:tc>
          <w:tcPr>
            <w:tcW w:w="2660" w:type="dxa"/>
          </w:tcPr>
          <w:p w14:paraId="061F03B1" w14:textId="77777777" w:rsidR="00A87B3E" w:rsidRPr="00A87B3E" w:rsidRDefault="00A87B3E" w:rsidP="00A87B3E">
            <w:pPr>
              <w:spacing w:before="60" w:after="60"/>
              <w:rPr>
                <w:rFonts w:ascii="Arial" w:eastAsia="Calibri" w:hAnsi="Arial" w:cs="Arial"/>
                <w:sz w:val="18"/>
                <w:szCs w:val="18"/>
                <w:lang w:eastAsia="en-US"/>
              </w:rPr>
            </w:pPr>
            <w:r w:rsidRPr="00A87B3E">
              <w:rPr>
                <w:rFonts w:ascii="Arial" w:eastAsia="Calibri" w:hAnsi="Arial" w:cs="Times New Roman"/>
                <w:sz w:val="18"/>
                <w:szCs w:val="18"/>
                <w:lang w:eastAsia="en-US"/>
              </w:rPr>
              <w:t>Difference in proportions (95% CI)</w:t>
            </w:r>
            <w:r w:rsidRPr="00A87B3E">
              <w:rPr>
                <w:rFonts w:ascii="Arial" w:eastAsia="Calibri" w:hAnsi="Arial" w:cs="Times New Roman"/>
                <w:sz w:val="18"/>
                <w:szCs w:val="18"/>
                <w:vertAlign w:val="superscript"/>
                <w:lang w:eastAsia="en-US"/>
              </w:rPr>
              <w:t>†</w:t>
            </w:r>
            <w:r w:rsidRPr="00A87B3E">
              <w:rPr>
                <w:rFonts w:ascii="Arial" w:eastAsia="Calibri" w:hAnsi="Arial" w:cs="Times New Roman"/>
                <w:sz w:val="18"/>
                <w:szCs w:val="18"/>
                <w:lang w:eastAsia="en-US"/>
              </w:rPr>
              <w:t>, cross. vs cont.</w:t>
            </w:r>
          </w:p>
        </w:tc>
        <w:tc>
          <w:tcPr>
            <w:tcW w:w="6379" w:type="dxa"/>
            <w:gridSpan w:val="3"/>
            <w:vAlign w:val="center"/>
          </w:tcPr>
          <w:p w14:paraId="6EDD4A68" w14:textId="77777777" w:rsidR="00A87B3E" w:rsidRPr="00A87B3E" w:rsidRDefault="00A87B3E" w:rsidP="00A87B3E">
            <w:pPr>
              <w:spacing w:before="60" w:after="60"/>
              <w:jc w:val="center"/>
              <w:rPr>
                <w:rFonts w:ascii="Arial" w:eastAsia="Calibri" w:hAnsi="Arial" w:cs="Arial"/>
                <w:sz w:val="18"/>
                <w:szCs w:val="22"/>
                <w:lang w:eastAsia="en-US"/>
              </w:rPr>
            </w:pPr>
            <w:r w:rsidRPr="00A87B3E">
              <w:rPr>
                <w:rFonts w:ascii="Arial" w:eastAsia="Calibri" w:hAnsi="Arial" w:cs="Arial"/>
                <w:sz w:val="18"/>
                <w:szCs w:val="22"/>
                <w:lang w:eastAsia="en-US"/>
              </w:rPr>
              <w:t>0.03 (–0.18, 0.24)</w:t>
            </w:r>
          </w:p>
        </w:tc>
      </w:tr>
      <w:tr w:rsidR="00A87B3E" w:rsidRPr="00A87B3E" w14:paraId="0DC239B1" w14:textId="77777777" w:rsidTr="00A87B3E">
        <w:tc>
          <w:tcPr>
            <w:tcW w:w="2660" w:type="dxa"/>
          </w:tcPr>
          <w:p w14:paraId="5053BB7D" w14:textId="77777777" w:rsidR="00A87B3E" w:rsidRPr="00A87B3E" w:rsidRDefault="00A87B3E" w:rsidP="00A87B3E">
            <w:pPr>
              <w:spacing w:before="60" w:after="60"/>
              <w:rPr>
                <w:rFonts w:ascii="Arial" w:eastAsia="Calibri" w:hAnsi="Arial" w:cs="Arial"/>
                <w:sz w:val="18"/>
                <w:szCs w:val="18"/>
                <w:lang w:eastAsia="en-US"/>
              </w:rPr>
            </w:pPr>
            <w:r w:rsidRPr="00A87B3E">
              <w:rPr>
                <w:rFonts w:ascii="Arial" w:eastAsia="Calibri" w:hAnsi="Arial" w:cs="Arial"/>
                <w:sz w:val="18"/>
                <w:szCs w:val="18"/>
                <w:lang w:eastAsia="en-US"/>
              </w:rPr>
              <w:t>p-value</w:t>
            </w:r>
          </w:p>
        </w:tc>
        <w:tc>
          <w:tcPr>
            <w:tcW w:w="6379" w:type="dxa"/>
            <w:gridSpan w:val="3"/>
            <w:vAlign w:val="center"/>
          </w:tcPr>
          <w:p w14:paraId="374C8620" w14:textId="77777777" w:rsidR="00A87B3E" w:rsidRPr="00A87B3E" w:rsidRDefault="00A87B3E" w:rsidP="00A87B3E">
            <w:pPr>
              <w:spacing w:before="60" w:after="60"/>
              <w:jc w:val="center"/>
              <w:rPr>
                <w:rFonts w:ascii="Arial" w:eastAsia="Calibri" w:hAnsi="Arial" w:cs="Arial"/>
                <w:sz w:val="18"/>
                <w:szCs w:val="22"/>
                <w:lang w:eastAsia="en-US"/>
              </w:rPr>
            </w:pPr>
            <w:r w:rsidRPr="00A87B3E">
              <w:rPr>
                <w:rFonts w:ascii="Arial" w:eastAsia="Calibri" w:hAnsi="Arial" w:cs="Arial"/>
                <w:sz w:val="18"/>
                <w:szCs w:val="22"/>
                <w:lang w:eastAsia="en-US"/>
              </w:rPr>
              <w:t>0.5700</w:t>
            </w:r>
          </w:p>
        </w:tc>
      </w:tr>
    </w:tbl>
    <w:p w14:paraId="53EE7ABB" w14:textId="22A94FE4" w:rsidR="00D138F4" w:rsidRPr="001D1C53" w:rsidRDefault="00A87B3E" w:rsidP="00A87B3E">
      <w:pPr>
        <w:pStyle w:val="Caption"/>
        <w:jc w:val="left"/>
        <w:rPr>
          <w:rFonts w:asciiTheme="minorHAnsi" w:hAnsiTheme="minorHAnsi" w:cs="Arial"/>
          <w:b w:val="0"/>
          <w:bCs w:val="0"/>
          <w:color w:val="222222"/>
          <w:sz w:val="18"/>
          <w:szCs w:val="18"/>
          <w:lang w:eastAsia="ja-JP"/>
        </w:rPr>
      </w:pPr>
      <w:r w:rsidRPr="001D1C53">
        <w:rPr>
          <w:rFonts w:asciiTheme="minorHAnsi" w:hAnsiTheme="minorHAnsi" w:cs="Arial"/>
          <w:b w:val="0"/>
          <w:bCs w:val="0"/>
          <w:color w:val="222222"/>
          <w:sz w:val="18"/>
          <w:szCs w:val="18"/>
          <w:lang w:eastAsia="ja-JP"/>
        </w:rPr>
        <w:t xml:space="preserve">†Cochran-Mantel Haenszel test stratified by Core Day -7 </w:t>
      </w:r>
      <w:r w:rsidR="005848A1">
        <w:rPr>
          <w:rFonts w:asciiTheme="minorHAnsi" w:hAnsiTheme="minorHAnsi" w:cs="Arial"/>
          <w:b w:val="0"/>
          <w:bCs w:val="0"/>
          <w:color w:val="222222"/>
          <w:sz w:val="18"/>
          <w:szCs w:val="18"/>
          <w:lang w:eastAsia="ja-JP"/>
        </w:rPr>
        <w:t>sUA</w:t>
      </w:r>
      <w:r w:rsidRPr="001D1C53">
        <w:rPr>
          <w:rFonts w:asciiTheme="minorHAnsi" w:hAnsiTheme="minorHAnsi" w:cs="Arial"/>
          <w:b w:val="0"/>
          <w:bCs w:val="0"/>
          <w:color w:val="222222"/>
          <w:sz w:val="18"/>
          <w:szCs w:val="18"/>
          <w:lang w:eastAsia="ja-JP"/>
        </w:rPr>
        <w:t xml:space="preserve"> status (randomised values). Note: Subjects who experience a best response of CR of at least 1 target tophus at their last on-study visit (by Extension Month 12) meet the endpoint. Subjects with progressive disease at their last on-study visit (by Extension Month 12) and those who do not achieve CR at their last on-study visit (by Extension Month 12) are treated as non-responders.</w:t>
      </w:r>
      <w:r w:rsidRPr="001D1C53">
        <w:rPr>
          <w:rFonts w:asciiTheme="minorHAnsi" w:hAnsiTheme="minorHAnsi" w:cs="Arial"/>
          <w:b w:val="0"/>
          <w:bCs w:val="0"/>
          <w:color w:val="222222"/>
          <w:sz w:val="18"/>
          <w:szCs w:val="18"/>
          <w:lang w:eastAsia="ja-JP"/>
        </w:rPr>
        <w:br/>
        <w:t>Abbreviations: CI, confidence interval; CONT, continuation; CR, complete resolution; CROSS, crossover; LOCF, last observation carried forward.</w:t>
      </w:r>
    </w:p>
    <w:p w14:paraId="600EC0E2" w14:textId="77777777" w:rsidR="00485F07" w:rsidRPr="00296E7F" w:rsidRDefault="00485F07" w:rsidP="00A7706B">
      <w:pPr>
        <w:spacing w:line="360" w:lineRule="auto"/>
        <w:jc w:val="both"/>
        <w:rPr>
          <w:rFonts w:cs="Arial"/>
          <w:sz w:val="20"/>
          <w:szCs w:val="20"/>
          <w:lang w:val="en-US"/>
        </w:rPr>
      </w:pPr>
    </w:p>
    <w:p w14:paraId="06BAE71D" w14:textId="631B8B8C" w:rsidR="00D138F4" w:rsidRDefault="00A7706B" w:rsidP="000210A2">
      <w:pPr>
        <w:spacing w:line="360" w:lineRule="auto"/>
        <w:rPr>
          <w:rFonts w:eastAsia="Times New Roman" w:cs="Arial"/>
          <w:color w:val="222222"/>
          <w:sz w:val="20"/>
          <w:szCs w:val="20"/>
        </w:rPr>
      </w:pPr>
      <w:r>
        <w:rPr>
          <w:rFonts w:cs="Arial"/>
          <w:sz w:val="20"/>
          <w:szCs w:val="20"/>
        </w:rPr>
        <w:t>Q</w:t>
      </w:r>
      <w:r w:rsidRPr="00FB6CD6">
        <w:rPr>
          <w:rFonts w:cs="Arial"/>
          <w:sz w:val="20"/>
          <w:szCs w:val="20"/>
        </w:rPr>
        <w:t xml:space="preserve">uesta efficacia si è tradotta anche nella </w:t>
      </w:r>
      <w:r w:rsidRPr="00485F07">
        <w:rPr>
          <w:rFonts w:cs="Arial"/>
          <w:b/>
          <w:sz w:val="20"/>
          <w:szCs w:val="20"/>
        </w:rPr>
        <w:t>progressiva riduzione dell’area totale dei tofi target</w:t>
      </w:r>
      <w:r>
        <w:rPr>
          <w:rFonts w:cs="Arial"/>
          <w:sz w:val="20"/>
          <w:szCs w:val="20"/>
        </w:rPr>
        <w:t xml:space="preserve"> ed è risultata maggiore nel gruppo 200CONT rispetto al gruppo 200CROSS al mese 4, 6 e 12 dello studio di estensione (Analisi LOCF, popolazione ITT); in particolare </w:t>
      </w:r>
      <w:r w:rsidR="00D138F4" w:rsidRPr="00D138F4">
        <w:rPr>
          <w:rFonts w:eastAsia="Times New Roman" w:cs="Arial"/>
          <w:color w:val="222222"/>
          <w:sz w:val="20"/>
          <w:szCs w:val="20"/>
        </w:rPr>
        <w:t>all’ultima osservazione dello studio di estensione (</w:t>
      </w:r>
      <w:r w:rsidR="00A87B3E">
        <w:rPr>
          <w:rFonts w:eastAsia="Times New Roman" w:cs="Arial"/>
          <w:color w:val="222222"/>
          <w:sz w:val="20"/>
          <w:szCs w:val="20"/>
        </w:rPr>
        <w:t>Mese 24</w:t>
      </w:r>
      <w:r w:rsidR="00D138F4" w:rsidRPr="00D138F4">
        <w:rPr>
          <w:rFonts w:eastAsia="Times New Roman" w:cs="Arial"/>
          <w:color w:val="222222"/>
          <w:sz w:val="20"/>
          <w:szCs w:val="20"/>
        </w:rPr>
        <w:t xml:space="preserve">), i pazienti nel gruppo 200CONT hanno avuto una riduzione del </w:t>
      </w:r>
      <w:r w:rsidR="00D51975">
        <w:rPr>
          <w:rFonts w:eastAsia="Times New Roman" w:cs="Arial"/>
          <w:color w:val="222222"/>
          <w:sz w:val="20"/>
          <w:szCs w:val="20"/>
        </w:rPr>
        <w:t>68.25</w:t>
      </w:r>
      <w:r w:rsidR="00D138F4" w:rsidRPr="00D138F4">
        <w:rPr>
          <w:rFonts w:eastAsia="Times New Roman" w:cs="Arial"/>
          <w:color w:val="222222"/>
          <w:sz w:val="20"/>
          <w:szCs w:val="20"/>
        </w:rPr>
        <w:t>% e i pa</w:t>
      </w:r>
      <w:r w:rsidR="00A87B3E">
        <w:rPr>
          <w:rFonts w:eastAsia="Times New Roman" w:cs="Arial"/>
          <w:color w:val="222222"/>
          <w:sz w:val="20"/>
          <w:szCs w:val="20"/>
        </w:rPr>
        <w:t xml:space="preserve">zienti nel gruppo 200CROSS del </w:t>
      </w:r>
      <w:r w:rsidR="00527093">
        <w:rPr>
          <w:rFonts w:eastAsia="Times New Roman" w:cs="Arial"/>
          <w:color w:val="222222"/>
          <w:sz w:val="20"/>
          <w:szCs w:val="20"/>
        </w:rPr>
        <w:t>64.07</w:t>
      </w:r>
      <w:r w:rsidR="00E24213">
        <w:rPr>
          <w:rFonts w:eastAsia="Times New Roman" w:cs="Arial"/>
          <w:color w:val="222222"/>
          <w:sz w:val="20"/>
          <w:szCs w:val="20"/>
        </w:rPr>
        <w:t>% (</w:t>
      </w:r>
      <w:hyperlink w:anchor="Figura44" w:history="1">
        <w:r w:rsidR="00E24213" w:rsidRPr="00E24213">
          <w:rPr>
            <w:rStyle w:val="Hyperlink"/>
            <w:rFonts w:eastAsia="Times New Roman" w:cs="Arial"/>
            <w:sz w:val="20"/>
            <w:szCs w:val="20"/>
          </w:rPr>
          <w:t>Figura</w:t>
        </w:r>
        <w:r w:rsidR="00DF1F08">
          <w:rPr>
            <w:rStyle w:val="Hyperlink"/>
            <w:rFonts w:eastAsia="Times New Roman" w:cs="Arial"/>
            <w:sz w:val="20"/>
            <w:szCs w:val="20"/>
          </w:rPr>
          <w:t xml:space="preserve"> </w:t>
        </w:r>
        <w:r w:rsidR="00DF1F08" w:rsidRPr="00DB6A8A">
          <w:rPr>
            <w:rStyle w:val="Hyperlink"/>
            <w:rFonts w:eastAsia="Times New Roman" w:cs="Arial"/>
            <w:sz w:val="20"/>
            <w:szCs w:val="20"/>
          </w:rPr>
          <w:t>4</w:t>
        </w:r>
        <w:r w:rsidR="00DB6A8A" w:rsidRPr="00DB6A8A">
          <w:rPr>
            <w:rStyle w:val="Hyperlink"/>
            <w:rFonts w:eastAsia="Times New Roman" w:cs="Arial"/>
            <w:sz w:val="20"/>
            <w:szCs w:val="20"/>
          </w:rPr>
          <w:t>4</w:t>
        </w:r>
      </w:hyperlink>
      <w:r w:rsidR="00D138F4" w:rsidRPr="00D138F4">
        <w:rPr>
          <w:rFonts w:eastAsia="Times New Roman" w:cs="Arial"/>
          <w:color w:val="222222"/>
          <w:sz w:val="20"/>
          <w:szCs w:val="20"/>
        </w:rPr>
        <w:t>).</w:t>
      </w:r>
    </w:p>
    <w:p w14:paraId="4EB01641" w14:textId="77777777" w:rsidR="00E24213" w:rsidRPr="00D138F4" w:rsidRDefault="00E24213" w:rsidP="00D138F4">
      <w:pPr>
        <w:spacing w:line="360" w:lineRule="auto"/>
        <w:jc w:val="both"/>
        <w:rPr>
          <w:rFonts w:eastAsia="Times New Roman" w:cs="Arial"/>
          <w:color w:val="222222"/>
          <w:sz w:val="20"/>
          <w:szCs w:val="20"/>
        </w:rPr>
      </w:pPr>
    </w:p>
    <w:p w14:paraId="4B40FA75" w14:textId="5D4BA8C7" w:rsidR="00D138F4" w:rsidRDefault="00E24213" w:rsidP="00E24213">
      <w:pPr>
        <w:pStyle w:val="Caption"/>
        <w:rPr>
          <w:rFonts w:asciiTheme="minorHAnsi" w:hAnsiTheme="minorHAnsi" w:cstheme="minorHAnsi"/>
          <w:lang w:val="it-IT"/>
        </w:rPr>
      </w:pPr>
      <w:bookmarkStart w:id="196" w:name="Figura44"/>
      <w:bookmarkStart w:id="197" w:name="_Toc473186939"/>
      <w:bookmarkEnd w:id="196"/>
      <w:r w:rsidRPr="00E24213">
        <w:rPr>
          <w:rFonts w:asciiTheme="minorHAnsi" w:hAnsiTheme="minorHAnsi" w:cstheme="minorHAnsi"/>
          <w:lang w:val="it-IT"/>
        </w:rPr>
        <w:t>F</w:t>
      </w:r>
      <w:bookmarkStart w:id="198" w:name="Figura53"/>
      <w:bookmarkEnd w:id="198"/>
      <w:r w:rsidRPr="00E24213">
        <w:rPr>
          <w:rFonts w:asciiTheme="minorHAnsi" w:hAnsiTheme="minorHAnsi" w:cstheme="minorHAnsi"/>
          <w:lang w:val="it-IT"/>
        </w:rPr>
        <w:t xml:space="preserve">igura </w:t>
      </w:r>
      <w:r w:rsidRPr="00E24213">
        <w:rPr>
          <w:rFonts w:asciiTheme="minorHAnsi" w:hAnsiTheme="minorHAnsi" w:cstheme="minorHAnsi"/>
        </w:rPr>
        <w:fldChar w:fldCharType="begin"/>
      </w:r>
      <w:r w:rsidRPr="00E24213">
        <w:rPr>
          <w:rFonts w:asciiTheme="minorHAnsi" w:hAnsiTheme="minorHAnsi" w:cstheme="minorHAnsi"/>
          <w:lang w:val="it-IT"/>
        </w:rPr>
        <w:instrText xml:space="preserve"> SEQ Figura \* ARABIC </w:instrText>
      </w:r>
      <w:r w:rsidRPr="00E24213">
        <w:rPr>
          <w:rFonts w:asciiTheme="minorHAnsi" w:hAnsiTheme="minorHAnsi" w:cstheme="minorHAnsi"/>
        </w:rPr>
        <w:fldChar w:fldCharType="separate"/>
      </w:r>
      <w:r w:rsidR="00A1679C">
        <w:rPr>
          <w:rFonts w:asciiTheme="minorHAnsi" w:hAnsiTheme="minorHAnsi" w:cstheme="minorHAnsi"/>
          <w:noProof/>
          <w:lang w:val="it-IT"/>
        </w:rPr>
        <w:t>44</w:t>
      </w:r>
      <w:r w:rsidRPr="00E24213">
        <w:rPr>
          <w:rFonts w:asciiTheme="minorHAnsi" w:hAnsiTheme="minorHAnsi" w:cstheme="minorHAnsi"/>
        </w:rPr>
        <w:fldChar w:fldCharType="end"/>
      </w:r>
      <w:r w:rsidRPr="00E24213">
        <w:rPr>
          <w:rFonts w:asciiTheme="minorHAnsi" w:hAnsiTheme="minorHAnsi" w:cstheme="minorHAnsi"/>
          <w:lang w:val="it-IT"/>
        </w:rPr>
        <w:t xml:space="preserve"> - </w:t>
      </w:r>
      <w:r w:rsidR="00D138F4" w:rsidRPr="00E24213">
        <w:rPr>
          <w:rFonts w:asciiTheme="minorHAnsi" w:hAnsiTheme="minorHAnsi" w:cstheme="minorHAnsi"/>
          <w:lang w:val="it-IT"/>
        </w:rPr>
        <w:t xml:space="preserve">Variazione percentuale area del tofo target </w:t>
      </w:r>
      <w:r w:rsidR="00AF3742">
        <w:rPr>
          <w:rFonts w:asciiTheme="minorHAnsi" w:hAnsiTheme="minorHAnsi" w:cstheme="minorHAnsi"/>
          <w:lang w:val="it-IT"/>
        </w:rPr>
        <w:t>nel corso di</w:t>
      </w:r>
      <w:r w:rsidR="00D138F4" w:rsidRPr="00E24213">
        <w:rPr>
          <w:rFonts w:asciiTheme="minorHAnsi" w:hAnsiTheme="minorHAnsi" w:cstheme="minorHAnsi"/>
          <w:lang w:val="it-IT"/>
        </w:rPr>
        <w:t xml:space="preserve"> CRYSTAL core ed extension</w:t>
      </w:r>
      <w:r w:rsidR="00A87B3E">
        <w:rPr>
          <w:rFonts w:asciiTheme="minorHAnsi" w:hAnsiTheme="minorHAnsi" w:cstheme="minorHAnsi"/>
          <w:lang w:val="it-IT"/>
        </w:rPr>
        <w:t xml:space="preserve"> </w:t>
      </w:r>
      <w:r w:rsidR="0000375A">
        <w:rPr>
          <w:rFonts w:asciiTheme="minorHAnsi" w:hAnsiTheme="minorHAnsi" w:cstheme="minorHAnsi"/>
          <w:lang w:val="it-IT"/>
        </w:rPr>
        <w:t xml:space="preserve">(Analisi LOCF, popolazione ITT) </w:t>
      </w:r>
      <w:r w:rsidR="00A87B3E">
        <w:rPr>
          <w:rFonts w:asciiTheme="minorHAnsi" w:hAnsiTheme="minorHAnsi" w:cstheme="minorHAnsi"/>
          <w:lang w:val="it-IT"/>
        </w:rPr>
        <w:t>(</w:t>
      </w:r>
      <w:r w:rsidR="00A87B3E" w:rsidRPr="00117E3B">
        <w:rPr>
          <w:rFonts w:asciiTheme="minorHAnsi" w:hAnsiTheme="minorHAnsi" w:cstheme="minorHAnsi"/>
          <w:color w:val="0000FF"/>
          <w:lang w:val="it-IT"/>
        </w:rPr>
        <w:t>adattata CSR 307, 201</w:t>
      </w:r>
      <w:r w:rsidR="0033498B">
        <w:rPr>
          <w:rFonts w:asciiTheme="minorHAnsi" w:hAnsiTheme="minorHAnsi" w:cstheme="minorHAnsi"/>
          <w:color w:val="0000FF"/>
          <w:lang w:val="it-IT"/>
        </w:rPr>
        <w:t>5</w:t>
      </w:r>
      <w:r w:rsidR="00A87B3E">
        <w:rPr>
          <w:rFonts w:asciiTheme="minorHAnsi" w:hAnsiTheme="minorHAnsi" w:cstheme="minorHAnsi"/>
          <w:lang w:val="it-IT"/>
        </w:rPr>
        <w:t>)</w:t>
      </w:r>
      <w:bookmarkEnd w:id="197"/>
    </w:p>
    <w:tbl>
      <w:tblPr>
        <w:tblStyle w:val="TableGrid"/>
        <w:tblW w:w="9180" w:type="dxa"/>
        <w:tblLook w:val="04A0" w:firstRow="1" w:lastRow="0" w:firstColumn="1" w:lastColumn="0" w:noHBand="0" w:noVBand="1"/>
      </w:tblPr>
      <w:tblGrid>
        <w:gridCol w:w="3369"/>
        <w:gridCol w:w="1842"/>
        <w:gridCol w:w="1985"/>
        <w:gridCol w:w="1984"/>
      </w:tblGrid>
      <w:tr w:rsidR="00527093" w:rsidRPr="00550745" w14:paraId="2813AD84" w14:textId="77777777" w:rsidTr="00527093">
        <w:tc>
          <w:tcPr>
            <w:tcW w:w="3369" w:type="dxa"/>
            <w:vMerge w:val="restart"/>
            <w:shd w:val="clear" w:color="auto" w:fill="D9D9D9" w:themeFill="background1" w:themeFillShade="D9"/>
          </w:tcPr>
          <w:p w14:paraId="4B6B473F" w14:textId="77777777" w:rsidR="00527093" w:rsidRPr="001D1C53" w:rsidRDefault="00527093" w:rsidP="001D1C53">
            <w:pPr>
              <w:pStyle w:val="Tabletext"/>
              <w:rPr>
                <w:b/>
                <w:bCs/>
                <w:sz w:val="18"/>
                <w:lang w:val="it-IT"/>
              </w:rPr>
            </w:pPr>
          </w:p>
        </w:tc>
        <w:tc>
          <w:tcPr>
            <w:tcW w:w="5811" w:type="dxa"/>
            <w:gridSpan w:val="3"/>
            <w:shd w:val="clear" w:color="auto" w:fill="D9D9D9" w:themeFill="background1" w:themeFillShade="D9"/>
            <w:vAlign w:val="center"/>
          </w:tcPr>
          <w:p w14:paraId="6D992B01" w14:textId="133BF61B" w:rsidR="00527093" w:rsidRPr="00550745" w:rsidRDefault="00527093" w:rsidP="002832BE">
            <w:pPr>
              <w:pStyle w:val="Tabletext"/>
              <w:jc w:val="center"/>
              <w:rPr>
                <w:b/>
                <w:bCs/>
                <w:sz w:val="18"/>
              </w:rPr>
            </w:pPr>
            <w:r w:rsidRPr="00550745">
              <w:rPr>
                <w:b/>
                <w:sz w:val="18"/>
              </w:rPr>
              <w:t xml:space="preserve">Lesinurad 200 mg + </w:t>
            </w:r>
            <w:r w:rsidR="002832BE">
              <w:rPr>
                <w:b/>
                <w:sz w:val="18"/>
              </w:rPr>
              <w:t>febuxostat</w:t>
            </w:r>
          </w:p>
        </w:tc>
      </w:tr>
      <w:tr w:rsidR="00527093" w:rsidRPr="00550745" w14:paraId="4E147346" w14:textId="77777777" w:rsidTr="00527093">
        <w:tc>
          <w:tcPr>
            <w:tcW w:w="3369" w:type="dxa"/>
            <w:vMerge/>
            <w:shd w:val="clear" w:color="auto" w:fill="D9D9D9" w:themeFill="background1" w:themeFillShade="D9"/>
          </w:tcPr>
          <w:p w14:paraId="15F466DD" w14:textId="77777777" w:rsidR="00527093" w:rsidRPr="00550745" w:rsidRDefault="00527093" w:rsidP="001D1C53">
            <w:pPr>
              <w:pStyle w:val="Tabletext"/>
              <w:rPr>
                <w:b/>
                <w:bCs/>
                <w:sz w:val="18"/>
              </w:rPr>
            </w:pPr>
          </w:p>
        </w:tc>
        <w:tc>
          <w:tcPr>
            <w:tcW w:w="1842" w:type="dxa"/>
            <w:shd w:val="clear" w:color="auto" w:fill="D9D9D9" w:themeFill="background1" w:themeFillShade="D9"/>
            <w:vAlign w:val="center"/>
          </w:tcPr>
          <w:p w14:paraId="5C1AF1D1" w14:textId="77777777" w:rsidR="00527093" w:rsidRPr="00550745" w:rsidRDefault="00527093" w:rsidP="001D1C53">
            <w:pPr>
              <w:pStyle w:val="Tabletext"/>
              <w:jc w:val="center"/>
              <w:rPr>
                <w:b/>
                <w:bCs/>
                <w:sz w:val="18"/>
              </w:rPr>
            </w:pPr>
            <w:r w:rsidRPr="00550745">
              <w:rPr>
                <w:b/>
                <w:bCs/>
                <w:sz w:val="18"/>
              </w:rPr>
              <w:t>CROSS (n=32)</w:t>
            </w:r>
          </w:p>
        </w:tc>
        <w:tc>
          <w:tcPr>
            <w:tcW w:w="1985" w:type="dxa"/>
            <w:shd w:val="clear" w:color="auto" w:fill="D9D9D9" w:themeFill="background1" w:themeFillShade="D9"/>
            <w:vAlign w:val="center"/>
          </w:tcPr>
          <w:p w14:paraId="10BBCE59" w14:textId="77777777" w:rsidR="00527093" w:rsidRPr="00550745" w:rsidRDefault="00527093" w:rsidP="001D1C53">
            <w:pPr>
              <w:pStyle w:val="Tabletext"/>
              <w:jc w:val="center"/>
              <w:rPr>
                <w:b/>
                <w:bCs/>
                <w:sz w:val="18"/>
              </w:rPr>
            </w:pPr>
            <w:r w:rsidRPr="00550745">
              <w:rPr>
                <w:b/>
                <w:bCs/>
                <w:sz w:val="18"/>
              </w:rPr>
              <w:t>CONT (N=64)</w:t>
            </w:r>
          </w:p>
        </w:tc>
        <w:tc>
          <w:tcPr>
            <w:tcW w:w="1984" w:type="dxa"/>
            <w:shd w:val="clear" w:color="auto" w:fill="D9D9D9" w:themeFill="background1" w:themeFillShade="D9"/>
            <w:vAlign w:val="center"/>
          </w:tcPr>
          <w:p w14:paraId="0FE7E3A2" w14:textId="77777777" w:rsidR="00527093" w:rsidRPr="00550745" w:rsidRDefault="00527093" w:rsidP="001D1C53">
            <w:pPr>
              <w:pStyle w:val="Tabletext"/>
              <w:jc w:val="center"/>
              <w:rPr>
                <w:b/>
                <w:bCs/>
                <w:sz w:val="18"/>
              </w:rPr>
            </w:pPr>
            <w:r w:rsidRPr="00550745">
              <w:rPr>
                <w:b/>
                <w:bCs/>
                <w:sz w:val="18"/>
              </w:rPr>
              <w:t>TOTAL (N=96)</w:t>
            </w:r>
          </w:p>
        </w:tc>
      </w:tr>
      <w:tr w:rsidR="00527093" w:rsidRPr="00550745" w14:paraId="60B6977D" w14:textId="77777777" w:rsidTr="00527093">
        <w:tc>
          <w:tcPr>
            <w:tcW w:w="3369" w:type="dxa"/>
            <w:shd w:val="clear" w:color="auto" w:fill="auto"/>
          </w:tcPr>
          <w:p w14:paraId="019731D4" w14:textId="77777777" w:rsidR="00527093" w:rsidRPr="00550745" w:rsidRDefault="00527093" w:rsidP="001D1C53">
            <w:pPr>
              <w:pStyle w:val="Tabletext"/>
              <w:rPr>
                <w:sz w:val="18"/>
              </w:rPr>
            </w:pPr>
            <w:r w:rsidRPr="00550745">
              <w:rPr>
                <w:sz w:val="18"/>
              </w:rPr>
              <w:t>% change from core baseline to extension Month 12, mean (SD)</w:t>
            </w:r>
          </w:p>
        </w:tc>
        <w:tc>
          <w:tcPr>
            <w:tcW w:w="1842" w:type="dxa"/>
            <w:vAlign w:val="center"/>
          </w:tcPr>
          <w:p w14:paraId="205F4CFD" w14:textId="77777777" w:rsidR="00527093" w:rsidRPr="00550745" w:rsidRDefault="00527093" w:rsidP="001D1C53">
            <w:pPr>
              <w:pStyle w:val="Tabletext"/>
              <w:jc w:val="center"/>
              <w:rPr>
                <w:bCs/>
                <w:sz w:val="18"/>
              </w:rPr>
            </w:pPr>
            <w:r w:rsidRPr="00550745">
              <w:rPr>
                <w:sz w:val="18"/>
              </w:rPr>
              <w:t>–64.07 (61.01)</w:t>
            </w:r>
          </w:p>
        </w:tc>
        <w:tc>
          <w:tcPr>
            <w:tcW w:w="1985" w:type="dxa"/>
            <w:vAlign w:val="center"/>
          </w:tcPr>
          <w:p w14:paraId="03193785" w14:textId="77777777" w:rsidR="00527093" w:rsidRPr="00550745" w:rsidRDefault="00527093" w:rsidP="001D1C53">
            <w:pPr>
              <w:pStyle w:val="Tabletext"/>
              <w:jc w:val="center"/>
              <w:rPr>
                <w:bCs/>
                <w:sz w:val="18"/>
              </w:rPr>
            </w:pPr>
            <w:r w:rsidRPr="00550745">
              <w:rPr>
                <w:sz w:val="18"/>
              </w:rPr>
              <w:t>–68.25 (38.27)</w:t>
            </w:r>
          </w:p>
        </w:tc>
        <w:tc>
          <w:tcPr>
            <w:tcW w:w="1984" w:type="dxa"/>
            <w:vAlign w:val="center"/>
          </w:tcPr>
          <w:p w14:paraId="79738B5E" w14:textId="77777777" w:rsidR="00527093" w:rsidRPr="00550745" w:rsidRDefault="00527093" w:rsidP="001D1C53">
            <w:pPr>
              <w:pStyle w:val="Tabletext"/>
              <w:jc w:val="center"/>
              <w:rPr>
                <w:bCs/>
                <w:sz w:val="18"/>
              </w:rPr>
            </w:pPr>
            <w:r w:rsidRPr="00550745">
              <w:rPr>
                <w:bCs/>
                <w:sz w:val="18"/>
              </w:rPr>
              <w:t>–66.86 (46.79)</w:t>
            </w:r>
          </w:p>
        </w:tc>
      </w:tr>
      <w:tr w:rsidR="00527093" w:rsidRPr="00550745" w14:paraId="54E72BA0" w14:textId="77777777" w:rsidTr="00527093">
        <w:tc>
          <w:tcPr>
            <w:tcW w:w="3369" w:type="dxa"/>
            <w:shd w:val="clear" w:color="auto" w:fill="auto"/>
          </w:tcPr>
          <w:p w14:paraId="57DE72A5" w14:textId="77777777" w:rsidR="00527093" w:rsidRPr="00550745" w:rsidRDefault="00527093" w:rsidP="001D1C53">
            <w:pPr>
              <w:pStyle w:val="Tabletext"/>
              <w:ind w:left="259"/>
              <w:rPr>
                <w:sz w:val="18"/>
              </w:rPr>
            </w:pPr>
            <w:r w:rsidRPr="00550745">
              <w:rPr>
                <w:sz w:val="18"/>
              </w:rPr>
              <w:t>Adjusted difference in means (95% CI), cross. vs cont.</w:t>
            </w:r>
          </w:p>
        </w:tc>
        <w:tc>
          <w:tcPr>
            <w:tcW w:w="5811" w:type="dxa"/>
            <w:gridSpan w:val="3"/>
            <w:vAlign w:val="center"/>
          </w:tcPr>
          <w:p w14:paraId="0BE114C9" w14:textId="77777777" w:rsidR="00527093" w:rsidRPr="00550745" w:rsidRDefault="00527093" w:rsidP="001D1C53">
            <w:pPr>
              <w:pStyle w:val="Tabletext"/>
              <w:jc w:val="center"/>
              <w:rPr>
                <w:bCs/>
                <w:sz w:val="18"/>
              </w:rPr>
            </w:pPr>
            <w:r w:rsidRPr="00550745">
              <w:rPr>
                <w:sz w:val="18"/>
              </w:rPr>
              <w:t>–6.50 (–25.62, 12.63)</w:t>
            </w:r>
          </w:p>
        </w:tc>
      </w:tr>
      <w:tr w:rsidR="00527093" w:rsidRPr="00550745" w14:paraId="29013D43" w14:textId="77777777" w:rsidTr="00527093">
        <w:tc>
          <w:tcPr>
            <w:tcW w:w="3369" w:type="dxa"/>
            <w:shd w:val="clear" w:color="auto" w:fill="auto"/>
          </w:tcPr>
          <w:p w14:paraId="43817357" w14:textId="77777777" w:rsidR="00527093" w:rsidRPr="00550745" w:rsidRDefault="00527093" w:rsidP="001D1C53">
            <w:pPr>
              <w:pStyle w:val="Tabletext"/>
              <w:ind w:left="259"/>
              <w:rPr>
                <w:sz w:val="18"/>
              </w:rPr>
            </w:pPr>
            <w:r w:rsidRPr="00550745">
              <w:rPr>
                <w:sz w:val="18"/>
              </w:rPr>
              <w:t>p-value</w:t>
            </w:r>
          </w:p>
        </w:tc>
        <w:tc>
          <w:tcPr>
            <w:tcW w:w="5811" w:type="dxa"/>
            <w:gridSpan w:val="3"/>
            <w:vAlign w:val="center"/>
          </w:tcPr>
          <w:p w14:paraId="58329EC1" w14:textId="77777777" w:rsidR="00527093" w:rsidRPr="00550745" w:rsidRDefault="00527093" w:rsidP="001D1C53">
            <w:pPr>
              <w:pStyle w:val="Tabletext"/>
              <w:jc w:val="center"/>
              <w:rPr>
                <w:bCs/>
                <w:sz w:val="18"/>
              </w:rPr>
            </w:pPr>
            <w:r w:rsidRPr="00550745">
              <w:rPr>
                <w:sz w:val="18"/>
              </w:rPr>
              <w:t>0.5016</w:t>
            </w:r>
          </w:p>
        </w:tc>
      </w:tr>
    </w:tbl>
    <w:p w14:paraId="216B40A9" w14:textId="75C8C031" w:rsidR="00527093" w:rsidRPr="00527093" w:rsidRDefault="00527093" w:rsidP="00527093">
      <w:pPr>
        <w:pStyle w:val="BodyText"/>
        <w:jc w:val="left"/>
        <w:rPr>
          <w:rFonts w:asciiTheme="minorHAnsi" w:hAnsiTheme="minorHAnsi" w:cstheme="minorHAnsi"/>
          <w:sz w:val="18"/>
          <w:szCs w:val="18"/>
        </w:rPr>
      </w:pPr>
      <w:r w:rsidRPr="00527093">
        <w:rPr>
          <w:rFonts w:asciiTheme="minorHAnsi" w:hAnsiTheme="minorHAnsi" w:cstheme="minorHAnsi"/>
          <w:sz w:val="18"/>
          <w:szCs w:val="18"/>
          <w:vertAlign w:val="superscript"/>
        </w:rPr>
        <w:t>†</w:t>
      </w:r>
      <w:r w:rsidRPr="00527093">
        <w:rPr>
          <w:rFonts w:asciiTheme="minorHAnsi" w:hAnsiTheme="minorHAnsi" w:cstheme="minorHAnsi"/>
          <w:sz w:val="18"/>
          <w:szCs w:val="18"/>
        </w:rPr>
        <w:t>Core baseline was defined as the last scheduled or unscheduled measurement prior to the first dose of randomised study medication in the preceding studies.</w:t>
      </w:r>
      <w:r w:rsidRPr="00527093">
        <w:rPr>
          <w:rFonts w:asciiTheme="minorHAnsi" w:hAnsiTheme="minorHAnsi" w:cstheme="minorHAnsi"/>
          <w:sz w:val="18"/>
          <w:szCs w:val="18"/>
        </w:rPr>
        <w:br/>
        <w:t>Abbreviations: CI, confidence interval; ITT, intent-to-treat; LOCF, last observation carried forward; SD, standard deviation</w:t>
      </w:r>
    </w:p>
    <w:p w14:paraId="6527121D" w14:textId="77777777" w:rsidR="00D138F4" w:rsidRPr="001D1C53" w:rsidRDefault="00D138F4" w:rsidP="000210A2">
      <w:pPr>
        <w:spacing w:line="360" w:lineRule="auto"/>
        <w:rPr>
          <w:rFonts w:eastAsia="Times New Roman" w:cs="Arial"/>
          <w:color w:val="222222"/>
          <w:sz w:val="20"/>
          <w:szCs w:val="20"/>
          <w:lang w:val="en-US"/>
        </w:rPr>
      </w:pPr>
    </w:p>
    <w:p w14:paraId="44A9AC74" w14:textId="26DD0D48" w:rsidR="00D138F4" w:rsidRDefault="001B4ABD" w:rsidP="000210A2">
      <w:pPr>
        <w:spacing w:line="360" w:lineRule="auto"/>
        <w:rPr>
          <w:rFonts w:eastAsia="Times New Roman" w:cs="Arial"/>
          <w:color w:val="222222"/>
          <w:sz w:val="20"/>
          <w:szCs w:val="20"/>
        </w:rPr>
      </w:pPr>
      <w:r w:rsidRPr="00B43F07">
        <w:rPr>
          <w:rFonts w:cs="Arial"/>
          <w:sz w:val="20"/>
          <w:szCs w:val="20"/>
        </w:rPr>
        <w:t xml:space="preserve">La quota di pazienti che hanno necessitato di trattamento per un </w:t>
      </w:r>
      <w:r w:rsidRPr="00485F07">
        <w:rPr>
          <w:rFonts w:cs="Arial"/>
          <w:b/>
          <w:sz w:val="20"/>
          <w:szCs w:val="20"/>
        </w:rPr>
        <w:t>attacco acuto di gotta</w:t>
      </w:r>
      <w:r w:rsidRPr="00D138F4" w:rsidDel="001B4ABD">
        <w:rPr>
          <w:rFonts w:eastAsia="Times New Roman" w:cs="Arial"/>
          <w:color w:val="222222"/>
          <w:sz w:val="20"/>
          <w:szCs w:val="20"/>
        </w:rPr>
        <w:t xml:space="preserve"> </w:t>
      </w:r>
      <w:r w:rsidR="00D138F4" w:rsidRPr="00D138F4">
        <w:rPr>
          <w:rFonts w:eastAsia="Times New Roman" w:cs="Arial"/>
          <w:color w:val="222222"/>
          <w:sz w:val="20"/>
          <w:szCs w:val="20"/>
        </w:rPr>
        <w:t>è risultata modesta in entra</w:t>
      </w:r>
      <w:r w:rsidR="00794CC2">
        <w:rPr>
          <w:rFonts w:eastAsia="Times New Roman" w:cs="Arial"/>
          <w:color w:val="222222"/>
          <w:sz w:val="20"/>
          <w:szCs w:val="20"/>
        </w:rPr>
        <w:t>mbi i gruppi di studio</w:t>
      </w:r>
      <w:r>
        <w:rPr>
          <w:rFonts w:eastAsia="Times New Roman" w:cs="Arial"/>
          <w:color w:val="222222"/>
          <w:sz w:val="20"/>
          <w:szCs w:val="20"/>
        </w:rPr>
        <w:t xml:space="preserve"> e </w:t>
      </w:r>
      <w:r w:rsidRPr="00485F07">
        <w:rPr>
          <w:rFonts w:eastAsia="Times New Roman" w:cs="Arial"/>
          <w:b/>
          <w:color w:val="222222"/>
          <w:sz w:val="20"/>
          <w:szCs w:val="20"/>
        </w:rPr>
        <w:t>ha continuato a diminuire per tutto il periodo di estensione</w:t>
      </w:r>
      <w:r w:rsidR="00D138F4" w:rsidRPr="00D138F4">
        <w:rPr>
          <w:rFonts w:eastAsia="Times New Roman" w:cs="Arial"/>
          <w:color w:val="222222"/>
          <w:sz w:val="20"/>
          <w:szCs w:val="20"/>
        </w:rPr>
        <w:t xml:space="preserve">  (</w:t>
      </w:r>
      <w:hyperlink w:anchor="Figura45" w:history="1">
        <w:r w:rsidR="00D138F4" w:rsidRPr="00F63E7B">
          <w:rPr>
            <w:rStyle w:val="Hyperlink"/>
            <w:rFonts w:eastAsia="Times New Roman" w:cs="Arial"/>
            <w:sz w:val="20"/>
            <w:szCs w:val="20"/>
          </w:rPr>
          <w:t xml:space="preserve">Figura </w:t>
        </w:r>
        <w:r w:rsidR="00DB6A8A">
          <w:rPr>
            <w:rStyle w:val="Hyperlink"/>
            <w:rFonts w:eastAsia="Times New Roman" w:cs="Arial"/>
            <w:sz w:val="20"/>
            <w:szCs w:val="20"/>
          </w:rPr>
          <w:t>45</w:t>
        </w:r>
      </w:hyperlink>
      <w:r w:rsidR="00D138F4" w:rsidRPr="00D138F4">
        <w:rPr>
          <w:rFonts w:eastAsia="Times New Roman" w:cs="Arial"/>
          <w:color w:val="222222"/>
          <w:sz w:val="20"/>
          <w:szCs w:val="20"/>
        </w:rPr>
        <w:t>).</w:t>
      </w:r>
    </w:p>
    <w:p w14:paraId="1A78B33C" w14:textId="77777777" w:rsidR="00F63E7B" w:rsidRPr="00D138F4" w:rsidRDefault="00F63E7B" w:rsidP="00D138F4">
      <w:pPr>
        <w:spacing w:line="360" w:lineRule="auto"/>
        <w:jc w:val="both"/>
        <w:rPr>
          <w:rFonts w:eastAsia="Times New Roman" w:cs="Arial"/>
          <w:color w:val="222222"/>
          <w:sz w:val="20"/>
          <w:szCs w:val="20"/>
        </w:rPr>
      </w:pPr>
    </w:p>
    <w:p w14:paraId="3C49BC1A" w14:textId="3A96BD59" w:rsidR="00D138F4" w:rsidRPr="00F63E7B" w:rsidRDefault="00F63E7B" w:rsidP="00F63E7B">
      <w:pPr>
        <w:pStyle w:val="Caption"/>
        <w:rPr>
          <w:rFonts w:asciiTheme="minorHAnsi" w:hAnsiTheme="minorHAnsi" w:cstheme="minorHAnsi"/>
          <w:lang w:val="it-IT"/>
        </w:rPr>
      </w:pPr>
      <w:bookmarkStart w:id="199" w:name="Figura45"/>
      <w:bookmarkStart w:id="200" w:name="_Toc473186940"/>
      <w:bookmarkEnd w:id="199"/>
      <w:r w:rsidRPr="00F63E7B">
        <w:rPr>
          <w:rFonts w:asciiTheme="minorHAnsi" w:hAnsiTheme="minorHAnsi" w:cstheme="minorHAnsi"/>
          <w:lang w:val="it-IT"/>
        </w:rPr>
        <w:t>Figu</w:t>
      </w:r>
      <w:bookmarkStart w:id="201" w:name="Figura57"/>
      <w:bookmarkEnd w:id="201"/>
      <w:r w:rsidRPr="00F63E7B">
        <w:rPr>
          <w:rFonts w:asciiTheme="minorHAnsi" w:hAnsiTheme="minorHAnsi" w:cstheme="minorHAnsi"/>
          <w:lang w:val="it-IT"/>
        </w:rPr>
        <w:t xml:space="preserve">ra </w:t>
      </w:r>
      <w:r w:rsidRPr="00F63E7B">
        <w:rPr>
          <w:rFonts w:asciiTheme="minorHAnsi" w:hAnsiTheme="minorHAnsi" w:cstheme="minorHAnsi"/>
        </w:rPr>
        <w:fldChar w:fldCharType="begin"/>
      </w:r>
      <w:r w:rsidRPr="00F63E7B">
        <w:rPr>
          <w:rFonts w:asciiTheme="minorHAnsi" w:hAnsiTheme="minorHAnsi" w:cstheme="minorHAnsi"/>
          <w:lang w:val="it-IT"/>
        </w:rPr>
        <w:instrText xml:space="preserve"> SEQ Figura \* ARABIC </w:instrText>
      </w:r>
      <w:r w:rsidRPr="00F63E7B">
        <w:rPr>
          <w:rFonts w:asciiTheme="minorHAnsi" w:hAnsiTheme="minorHAnsi" w:cstheme="minorHAnsi"/>
        </w:rPr>
        <w:fldChar w:fldCharType="separate"/>
      </w:r>
      <w:r w:rsidR="00A1679C">
        <w:rPr>
          <w:rFonts w:asciiTheme="minorHAnsi" w:hAnsiTheme="minorHAnsi" w:cstheme="minorHAnsi"/>
          <w:noProof/>
          <w:lang w:val="it-IT"/>
        </w:rPr>
        <w:t>45</w:t>
      </w:r>
      <w:r w:rsidRPr="00F63E7B">
        <w:rPr>
          <w:rFonts w:asciiTheme="minorHAnsi" w:hAnsiTheme="minorHAnsi" w:cstheme="minorHAnsi"/>
        </w:rPr>
        <w:fldChar w:fldCharType="end"/>
      </w:r>
      <w:r w:rsidRPr="00F63E7B">
        <w:rPr>
          <w:rFonts w:asciiTheme="minorHAnsi" w:hAnsiTheme="minorHAnsi" w:cstheme="minorHAnsi"/>
          <w:lang w:val="it-IT"/>
        </w:rPr>
        <w:t xml:space="preserve"> - </w:t>
      </w:r>
      <w:r w:rsidR="00D138F4" w:rsidRPr="00F63E7B">
        <w:rPr>
          <w:rFonts w:asciiTheme="minorHAnsi" w:hAnsiTheme="minorHAnsi" w:cstheme="minorHAnsi"/>
          <w:lang w:val="it-IT"/>
        </w:rPr>
        <w:t>Percentuale di pazienti con trattamento per un attacco acuto - CRYSTAL core ed extension</w:t>
      </w:r>
      <w:r w:rsidR="007B28ED">
        <w:rPr>
          <w:rFonts w:asciiTheme="minorHAnsi" w:hAnsiTheme="minorHAnsi" w:cstheme="minorHAnsi"/>
          <w:lang w:val="it-IT"/>
        </w:rPr>
        <w:t xml:space="preserve"> </w:t>
      </w:r>
      <w:r w:rsidR="001B4ABD">
        <w:rPr>
          <w:rFonts w:asciiTheme="minorHAnsi" w:hAnsiTheme="minorHAnsi" w:cstheme="minorHAnsi"/>
          <w:lang w:val="it-IT"/>
        </w:rPr>
        <w:t xml:space="preserve">(observed case, popolazione ITT) </w:t>
      </w:r>
      <w:r w:rsidR="007B28ED">
        <w:rPr>
          <w:rFonts w:asciiTheme="minorHAnsi" w:hAnsiTheme="minorHAnsi" w:cstheme="minorHAnsi"/>
          <w:lang w:val="it-IT"/>
        </w:rPr>
        <w:t>(</w:t>
      </w:r>
      <w:r w:rsidR="007B28ED" w:rsidRPr="00117E3B">
        <w:rPr>
          <w:rFonts w:asciiTheme="minorHAnsi" w:hAnsiTheme="minorHAnsi" w:cstheme="minorHAnsi"/>
          <w:color w:val="0000FF"/>
          <w:lang w:val="it-IT"/>
        </w:rPr>
        <w:t>CSR 307, 201</w:t>
      </w:r>
      <w:r w:rsidR="007B28ED">
        <w:rPr>
          <w:rFonts w:asciiTheme="minorHAnsi" w:hAnsiTheme="minorHAnsi" w:cstheme="minorHAnsi"/>
          <w:color w:val="0000FF"/>
          <w:lang w:val="it-IT"/>
        </w:rPr>
        <w:t>5</w:t>
      </w:r>
      <w:r w:rsidR="007B28ED">
        <w:rPr>
          <w:rFonts w:asciiTheme="minorHAnsi" w:hAnsiTheme="minorHAnsi" w:cstheme="minorHAnsi"/>
          <w:lang w:val="it-IT"/>
        </w:rPr>
        <w:t>)</w:t>
      </w:r>
      <w:bookmarkEnd w:id="200"/>
      <w:r w:rsidR="0083075B">
        <w:rPr>
          <w:rFonts w:asciiTheme="minorHAnsi" w:hAnsiTheme="minorHAnsi" w:cstheme="minorHAnsi"/>
          <w:lang w:val="it-IT"/>
        </w:rPr>
        <w:t xml:space="preserve"> </w:t>
      </w:r>
    </w:p>
    <w:p w14:paraId="73C202BD" w14:textId="5BEDD40A" w:rsidR="00D138F4" w:rsidRDefault="00D138F4" w:rsidP="00D138F4"/>
    <w:p w14:paraId="100F20D2" w14:textId="12DB6F21" w:rsidR="001B4ABD" w:rsidRDefault="001B4ABD" w:rsidP="00D138F4">
      <w:r>
        <w:rPr>
          <w:noProof/>
          <w:lang w:val="en-GB" w:eastAsia="en-GB"/>
        </w:rPr>
        <w:drawing>
          <wp:inline distT="0" distB="0" distL="0" distR="0" wp14:anchorId="0742F732" wp14:editId="37449F13">
            <wp:extent cx="5664200" cy="3125194"/>
            <wp:effectExtent l="0" t="0" r="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668352" cy="3127485"/>
                    </a:xfrm>
                    <a:prstGeom prst="rect">
                      <a:avLst/>
                    </a:prstGeom>
                  </pic:spPr>
                </pic:pic>
              </a:graphicData>
            </a:graphic>
          </wp:inline>
        </w:drawing>
      </w:r>
    </w:p>
    <w:p w14:paraId="17C90E9D" w14:textId="77777777" w:rsidR="009705B9" w:rsidRDefault="009705B9" w:rsidP="00D138F4"/>
    <w:p w14:paraId="4BAB1576" w14:textId="77777777" w:rsidR="00DF1F08" w:rsidRDefault="00DF1F08" w:rsidP="000210A2">
      <w:pPr>
        <w:pStyle w:val="Paragrafoelenco3"/>
        <w:spacing w:line="360" w:lineRule="auto"/>
        <w:ind w:left="0"/>
        <w:rPr>
          <w:rFonts w:asciiTheme="minorHAnsi" w:hAnsiTheme="minorHAnsi" w:cs="Arial"/>
          <w:sz w:val="20"/>
          <w:szCs w:val="20"/>
        </w:rPr>
      </w:pPr>
    </w:p>
    <w:p w14:paraId="0EC5AF3B" w14:textId="7FA3BB73" w:rsidR="006D32A8" w:rsidRDefault="006D32A8" w:rsidP="000210A2">
      <w:pPr>
        <w:pStyle w:val="Paragrafoelenco3"/>
        <w:spacing w:line="360" w:lineRule="auto"/>
        <w:ind w:left="0"/>
        <w:rPr>
          <w:rFonts w:asciiTheme="minorHAnsi" w:hAnsiTheme="minorHAnsi" w:cs="Arial"/>
          <w:sz w:val="20"/>
          <w:szCs w:val="20"/>
        </w:rPr>
      </w:pPr>
      <w:r w:rsidRPr="00B43F07">
        <w:rPr>
          <w:rFonts w:asciiTheme="minorHAnsi" w:hAnsiTheme="minorHAnsi" w:cs="Arial"/>
          <w:sz w:val="20"/>
          <w:szCs w:val="20"/>
        </w:rPr>
        <w:t xml:space="preserve">I pazienti </w:t>
      </w:r>
      <w:r>
        <w:rPr>
          <w:rFonts w:asciiTheme="minorHAnsi" w:hAnsiTheme="minorHAnsi" w:cs="Arial"/>
          <w:sz w:val="20"/>
          <w:szCs w:val="20"/>
        </w:rPr>
        <w:t xml:space="preserve">dello studio di estensione hanno riportato un miglioramento nel tempo dei punteggi ottenuti con </w:t>
      </w:r>
      <w:r w:rsidR="0091141E">
        <w:rPr>
          <w:rFonts w:asciiTheme="minorHAnsi" w:hAnsiTheme="minorHAnsi" w:cs="Arial"/>
          <w:sz w:val="20"/>
          <w:szCs w:val="20"/>
        </w:rPr>
        <w:t>i questionari sulla qualità della vita (HAQ-DI, HAQ VAS Pain Scale, PGA e SDS)</w:t>
      </w:r>
      <w:r w:rsidR="002D66FB">
        <w:rPr>
          <w:rFonts w:asciiTheme="minorHAnsi" w:hAnsiTheme="minorHAnsi" w:cs="Arial"/>
          <w:sz w:val="20"/>
          <w:szCs w:val="20"/>
        </w:rPr>
        <w:t>, ma non sono state osservate differenze rilevanti tra i due gruppi di trattamento rispetto alla baseline dello studio “core”.</w:t>
      </w:r>
    </w:p>
    <w:p w14:paraId="59ACEA5E" w14:textId="77777777" w:rsidR="00B42472" w:rsidRDefault="00B42472" w:rsidP="000210A2">
      <w:pPr>
        <w:spacing w:line="360" w:lineRule="auto"/>
        <w:rPr>
          <w:rFonts w:eastAsia="Times New Roman" w:cs="Arial"/>
          <w:b/>
          <w:color w:val="222222"/>
          <w:sz w:val="20"/>
          <w:szCs w:val="20"/>
        </w:rPr>
      </w:pPr>
    </w:p>
    <w:p w14:paraId="5E975EA9" w14:textId="77777777" w:rsidR="00485F07" w:rsidRPr="00B42472" w:rsidRDefault="00485F07" w:rsidP="000210A2">
      <w:pPr>
        <w:spacing w:line="360" w:lineRule="auto"/>
        <w:rPr>
          <w:rFonts w:eastAsia="Times New Roman" w:cs="Arial"/>
          <w:b/>
          <w:color w:val="222222"/>
          <w:sz w:val="20"/>
          <w:szCs w:val="20"/>
        </w:rPr>
      </w:pPr>
    </w:p>
    <w:p w14:paraId="59A8102F" w14:textId="77777777" w:rsidR="00B42472" w:rsidRPr="00B42472" w:rsidRDefault="00B42472" w:rsidP="00825BD3">
      <w:pPr>
        <w:numPr>
          <w:ilvl w:val="1"/>
          <w:numId w:val="13"/>
        </w:numPr>
        <w:spacing w:line="360" w:lineRule="auto"/>
        <w:rPr>
          <w:rFonts w:eastAsia="Times New Roman" w:cs="Arial"/>
          <w:b/>
          <w:color w:val="222222"/>
          <w:sz w:val="20"/>
          <w:szCs w:val="20"/>
          <w:u w:val="single"/>
        </w:rPr>
      </w:pPr>
      <w:bookmarkStart w:id="202" w:name="Paragrafo549"/>
      <w:bookmarkEnd w:id="202"/>
      <w:r w:rsidRPr="00B42472">
        <w:rPr>
          <w:rFonts w:eastAsia="Times New Roman" w:cs="Arial"/>
          <w:b/>
          <w:color w:val="222222"/>
          <w:sz w:val="20"/>
          <w:szCs w:val="20"/>
          <w:u w:val="single"/>
        </w:rPr>
        <w:t xml:space="preserve">Reazioni avverse nello studio </w:t>
      </w:r>
    </w:p>
    <w:p w14:paraId="1CAE1DD5" w14:textId="5C3ACF7E" w:rsidR="00D138F4" w:rsidRPr="00D138F4" w:rsidRDefault="00D138F4" w:rsidP="000210A2">
      <w:pPr>
        <w:spacing w:line="360" w:lineRule="auto"/>
        <w:rPr>
          <w:rFonts w:eastAsia="Times New Roman" w:cs="Arial"/>
          <w:color w:val="222222"/>
          <w:sz w:val="20"/>
          <w:szCs w:val="20"/>
        </w:rPr>
      </w:pPr>
      <w:r w:rsidRPr="00485F07">
        <w:rPr>
          <w:rFonts w:eastAsia="Times New Roman" w:cs="Arial"/>
          <w:b/>
          <w:color w:val="222222"/>
          <w:sz w:val="20"/>
          <w:szCs w:val="20"/>
        </w:rPr>
        <w:t>Lo studio CRYSTAL extension ha confermato il buon profilo di tollerabilità di lesinurad 200mg/die</w:t>
      </w:r>
      <w:r w:rsidR="0048756E">
        <w:rPr>
          <w:rFonts w:eastAsia="Times New Roman" w:cs="Arial"/>
          <w:color w:val="222222"/>
          <w:sz w:val="20"/>
          <w:szCs w:val="20"/>
        </w:rPr>
        <w:t xml:space="preserve"> </w:t>
      </w:r>
      <w:r w:rsidR="0048756E">
        <w:rPr>
          <w:rFonts w:cs="Arial"/>
          <w:sz w:val="20"/>
          <w:szCs w:val="20"/>
        </w:rPr>
        <w:t>(l’analisi di sicurezza riporta i dati combinati per i grupppi di trattamento 200CONT e 200CROSS)</w:t>
      </w:r>
      <w:r w:rsidRPr="00D138F4">
        <w:rPr>
          <w:rFonts w:eastAsia="Times New Roman" w:cs="Arial"/>
          <w:color w:val="222222"/>
          <w:sz w:val="20"/>
          <w:szCs w:val="20"/>
        </w:rPr>
        <w:t xml:space="preserve"> (</w:t>
      </w:r>
      <w:hyperlink w:anchor="Tabella27" w:history="1">
        <w:r w:rsidRPr="00486F6D">
          <w:rPr>
            <w:rStyle w:val="Hyperlink"/>
            <w:rFonts w:eastAsia="Times New Roman" w:cs="Arial"/>
            <w:sz w:val="20"/>
            <w:szCs w:val="20"/>
          </w:rPr>
          <w:t xml:space="preserve">Tabella </w:t>
        </w:r>
        <w:r w:rsidR="00DB6A8A">
          <w:rPr>
            <w:rStyle w:val="Hyperlink"/>
            <w:rFonts w:eastAsia="Times New Roman" w:cs="Arial"/>
            <w:sz w:val="20"/>
            <w:szCs w:val="20"/>
          </w:rPr>
          <w:t>27</w:t>
        </w:r>
      </w:hyperlink>
      <w:r w:rsidRPr="00D138F4">
        <w:rPr>
          <w:rFonts w:eastAsia="Times New Roman" w:cs="Arial"/>
          <w:color w:val="222222"/>
          <w:sz w:val="20"/>
          <w:szCs w:val="20"/>
        </w:rPr>
        <w:t>)</w:t>
      </w:r>
    </w:p>
    <w:p w14:paraId="5EBB4141" w14:textId="77777777" w:rsidR="00D138F4" w:rsidRPr="00D138F4" w:rsidRDefault="00D138F4" w:rsidP="000210A2">
      <w:pPr>
        <w:spacing w:line="360" w:lineRule="auto"/>
        <w:rPr>
          <w:rFonts w:eastAsia="Times New Roman" w:cs="Arial"/>
          <w:color w:val="222222"/>
          <w:sz w:val="20"/>
          <w:szCs w:val="20"/>
        </w:rPr>
      </w:pPr>
      <w:r w:rsidRPr="00D138F4">
        <w:rPr>
          <w:rFonts w:eastAsia="Times New Roman" w:cs="Arial"/>
          <w:color w:val="222222"/>
          <w:sz w:val="20"/>
          <w:szCs w:val="20"/>
        </w:rPr>
        <w:t>Rispetto allo studio CRYSTAL core (fase del trattamento controllato vs PBO+FBX):</w:t>
      </w:r>
    </w:p>
    <w:p w14:paraId="50C34263" w14:textId="52E8B71B" w:rsidR="00D138F4" w:rsidRPr="00D138F4" w:rsidRDefault="00DF7667" w:rsidP="00825BD3">
      <w:pPr>
        <w:pStyle w:val="ListParagraph"/>
        <w:numPr>
          <w:ilvl w:val="0"/>
          <w:numId w:val="27"/>
        </w:numPr>
        <w:spacing w:line="360" w:lineRule="auto"/>
        <w:rPr>
          <w:rFonts w:asciiTheme="minorHAnsi" w:hAnsiTheme="minorHAnsi" w:cstheme="minorHAnsi"/>
          <w:color w:val="222222"/>
          <w:sz w:val="20"/>
          <w:szCs w:val="20"/>
        </w:rPr>
      </w:pPr>
      <w:r w:rsidRPr="00887A18">
        <w:rPr>
          <w:rFonts w:asciiTheme="minorHAnsi" w:hAnsiTheme="minorHAnsi" w:cs="Arial"/>
          <w:sz w:val="20"/>
          <w:szCs w:val="20"/>
        </w:rPr>
        <w:t xml:space="preserve">non vi sono stati aumenti rilevanti nell'incidenza di eventi avversi </w:t>
      </w:r>
      <w:r>
        <w:rPr>
          <w:rFonts w:asciiTheme="minorHAnsi" w:hAnsiTheme="minorHAnsi" w:cs="Arial"/>
          <w:sz w:val="20"/>
          <w:szCs w:val="20"/>
        </w:rPr>
        <w:t>emersi durante il</w:t>
      </w:r>
      <w:r w:rsidRPr="00887A18">
        <w:rPr>
          <w:rFonts w:asciiTheme="minorHAnsi" w:hAnsiTheme="minorHAnsi" w:cs="Arial"/>
          <w:sz w:val="20"/>
          <w:szCs w:val="20"/>
        </w:rPr>
        <w:t xml:space="preserve"> trattamento (treatment-emergent adverse events - TEAEs) nei soggetti che hanno ricevuto lesinurad nello studio di estensione</w:t>
      </w:r>
      <w:r w:rsidR="00D138F4" w:rsidRPr="00D138F4">
        <w:rPr>
          <w:rFonts w:asciiTheme="minorHAnsi" w:hAnsiTheme="minorHAnsi" w:cstheme="minorHAnsi"/>
          <w:color w:val="222222"/>
          <w:sz w:val="20"/>
          <w:szCs w:val="20"/>
        </w:rPr>
        <w:t xml:space="preserve"> </w:t>
      </w:r>
    </w:p>
    <w:p w14:paraId="62874F9D" w14:textId="288AD314" w:rsidR="00D138F4" w:rsidRDefault="00D138F4" w:rsidP="00825BD3">
      <w:pPr>
        <w:pStyle w:val="ListParagraph"/>
        <w:numPr>
          <w:ilvl w:val="0"/>
          <w:numId w:val="27"/>
        </w:numPr>
        <w:spacing w:line="360" w:lineRule="auto"/>
        <w:rPr>
          <w:rFonts w:asciiTheme="minorHAnsi" w:hAnsiTheme="minorHAnsi" w:cstheme="minorHAnsi"/>
          <w:color w:val="222222"/>
          <w:sz w:val="20"/>
          <w:szCs w:val="20"/>
        </w:rPr>
      </w:pPr>
      <w:r w:rsidRPr="00D138F4">
        <w:rPr>
          <w:rFonts w:asciiTheme="minorHAnsi" w:hAnsiTheme="minorHAnsi" w:cstheme="minorHAnsi"/>
          <w:color w:val="222222"/>
          <w:sz w:val="20"/>
          <w:szCs w:val="20"/>
        </w:rPr>
        <w:t xml:space="preserve">non sono stati osservati nuovi segnali di safety nello studio di estensione </w:t>
      </w:r>
    </w:p>
    <w:p w14:paraId="02F9A308" w14:textId="77777777" w:rsidR="00DF1F08" w:rsidRDefault="00DF1F08" w:rsidP="000210A2">
      <w:pPr>
        <w:spacing w:line="360" w:lineRule="auto"/>
        <w:rPr>
          <w:rFonts w:cstheme="minorHAnsi"/>
          <w:color w:val="222222"/>
          <w:sz w:val="20"/>
          <w:szCs w:val="20"/>
        </w:rPr>
      </w:pPr>
    </w:p>
    <w:p w14:paraId="4D6D83CE" w14:textId="77777777" w:rsidR="00793837" w:rsidRDefault="00793837" w:rsidP="000210A2">
      <w:pPr>
        <w:spacing w:line="360" w:lineRule="auto"/>
        <w:rPr>
          <w:rFonts w:cstheme="minorHAnsi"/>
          <w:color w:val="222222"/>
          <w:sz w:val="20"/>
          <w:szCs w:val="20"/>
        </w:rPr>
      </w:pPr>
    </w:p>
    <w:p w14:paraId="70177386" w14:textId="77777777" w:rsidR="00485F07" w:rsidRDefault="00485F07" w:rsidP="000210A2">
      <w:pPr>
        <w:spacing w:line="360" w:lineRule="auto"/>
        <w:rPr>
          <w:rFonts w:cstheme="minorHAnsi"/>
          <w:color w:val="222222"/>
          <w:sz w:val="20"/>
          <w:szCs w:val="20"/>
        </w:rPr>
      </w:pPr>
    </w:p>
    <w:p w14:paraId="72662410" w14:textId="44C570AF" w:rsidR="008368C5" w:rsidRDefault="00486F6D" w:rsidP="00486F6D">
      <w:pPr>
        <w:pStyle w:val="Caption"/>
        <w:rPr>
          <w:rFonts w:asciiTheme="minorHAnsi" w:hAnsiTheme="minorHAnsi" w:cstheme="minorHAnsi"/>
          <w:lang w:val="it-IT"/>
        </w:rPr>
      </w:pPr>
      <w:bookmarkStart w:id="203" w:name="Tabella27"/>
      <w:bookmarkStart w:id="204" w:name="_Toc473150712"/>
      <w:bookmarkEnd w:id="203"/>
      <w:r w:rsidRPr="00127846">
        <w:rPr>
          <w:rFonts w:asciiTheme="minorHAnsi" w:hAnsiTheme="minorHAnsi" w:cstheme="minorHAnsi"/>
          <w:lang w:val="it-IT"/>
        </w:rPr>
        <w:t xml:space="preserve">Tabella </w:t>
      </w:r>
      <w:r w:rsidRPr="00127846">
        <w:rPr>
          <w:rFonts w:asciiTheme="minorHAnsi" w:hAnsiTheme="minorHAnsi" w:cstheme="minorHAnsi"/>
        </w:rPr>
        <w:fldChar w:fldCharType="begin"/>
      </w:r>
      <w:r w:rsidRPr="00127846">
        <w:rPr>
          <w:rFonts w:asciiTheme="minorHAnsi" w:hAnsiTheme="minorHAnsi" w:cstheme="minorHAnsi"/>
          <w:lang w:val="it-IT"/>
        </w:rPr>
        <w:instrText xml:space="preserve"> SEQ Tabella \* ARABIC </w:instrText>
      </w:r>
      <w:r w:rsidRPr="00127846">
        <w:rPr>
          <w:rFonts w:asciiTheme="minorHAnsi" w:hAnsiTheme="minorHAnsi" w:cstheme="minorHAnsi"/>
        </w:rPr>
        <w:fldChar w:fldCharType="separate"/>
      </w:r>
      <w:r w:rsidR="00A1679C" w:rsidRPr="00127846">
        <w:rPr>
          <w:rFonts w:asciiTheme="minorHAnsi" w:hAnsiTheme="minorHAnsi" w:cstheme="minorHAnsi"/>
          <w:noProof/>
          <w:lang w:val="it-IT"/>
        </w:rPr>
        <w:t>27</w:t>
      </w:r>
      <w:r w:rsidRPr="00127846">
        <w:rPr>
          <w:rFonts w:asciiTheme="minorHAnsi" w:hAnsiTheme="minorHAnsi" w:cstheme="minorHAnsi"/>
        </w:rPr>
        <w:fldChar w:fldCharType="end"/>
      </w:r>
      <w:r w:rsidR="008368C5" w:rsidRPr="00127846">
        <w:rPr>
          <w:rFonts w:asciiTheme="minorHAnsi" w:hAnsiTheme="minorHAnsi" w:cstheme="minorHAnsi"/>
          <w:lang w:val="it-IT"/>
        </w:rPr>
        <w:t xml:space="preserve"> - AEs nello Studio 307 – safety population (</w:t>
      </w:r>
      <w:r w:rsidR="007E4844" w:rsidRPr="00127846">
        <w:rPr>
          <w:rFonts w:asciiTheme="minorHAnsi" w:hAnsiTheme="minorHAnsi" w:cstheme="minorHAnsi"/>
          <w:color w:val="0000FF"/>
          <w:lang w:val="it-IT"/>
        </w:rPr>
        <w:t>adattata CSR 307, 201</w:t>
      </w:r>
      <w:r w:rsidR="00127846">
        <w:rPr>
          <w:rFonts w:asciiTheme="minorHAnsi" w:hAnsiTheme="minorHAnsi" w:cstheme="minorHAnsi"/>
          <w:color w:val="0000FF"/>
          <w:lang w:val="it-IT"/>
        </w:rPr>
        <w:t>6</w:t>
      </w:r>
      <w:r w:rsidR="008368C5" w:rsidRPr="00127846">
        <w:rPr>
          <w:rFonts w:asciiTheme="minorHAnsi" w:hAnsiTheme="minorHAnsi" w:cstheme="minorHAnsi"/>
          <w:lang w:val="it-IT"/>
        </w:rPr>
        <w:t>)</w:t>
      </w:r>
      <w:bookmarkEnd w:id="204"/>
    </w:p>
    <w:tbl>
      <w:tblPr>
        <w:tblStyle w:val="TableGrid"/>
        <w:tblW w:w="4966" w:type="pct"/>
        <w:tblLook w:val="04A0" w:firstRow="1" w:lastRow="0" w:firstColumn="1" w:lastColumn="0" w:noHBand="0" w:noVBand="1"/>
      </w:tblPr>
      <w:tblGrid>
        <w:gridCol w:w="3557"/>
        <w:gridCol w:w="1802"/>
        <w:gridCol w:w="1798"/>
        <w:gridCol w:w="1799"/>
      </w:tblGrid>
      <w:tr w:rsidR="00E3108A" w:rsidRPr="007326DA" w14:paraId="159327EF" w14:textId="77777777" w:rsidTr="008601B4">
        <w:trPr>
          <w:trHeight w:val="395"/>
        </w:trPr>
        <w:tc>
          <w:tcPr>
            <w:tcW w:w="3652" w:type="dxa"/>
            <w:vMerge w:val="restart"/>
            <w:shd w:val="clear" w:color="auto" w:fill="D9D9D9" w:themeFill="background1" w:themeFillShade="D9"/>
          </w:tcPr>
          <w:p w14:paraId="0C9E87E3" w14:textId="77777777" w:rsidR="00E3108A" w:rsidRPr="007326DA" w:rsidRDefault="00E3108A" w:rsidP="008601B4">
            <w:pPr>
              <w:pStyle w:val="BodyText"/>
              <w:rPr>
                <w:b/>
                <w:bCs/>
                <w:lang w:val="en-GB"/>
              </w:rPr>
            </w:pPr>
            <w:r w:rsidRPr="007326DA">
              <w:rPr>
                <w:b/>
                <w:bCs/>
                <w:lang w:val="en-GB"/>
              </w:rPr>
              <w:t>AEs, n (%)</w:t>
            </w:r>
            <w:r w:rsidRPr="007326DA">
              <w:rPr>
                <w:b/>
                <w:bCs/>
                <w:vertAlign w:val="superscript"/>
                <w:lang w:val="en-GB"/>
              </w:rPr>
              <w:t>†</w:t>
            </w:r>
          </w:p>
        </w:tc>
        <w:tc>
          <w:tcPr>
            <w:tcW w:w="5528" w:type="dxa"/>
            <w:gridSpan w:val="3"/>
            <w:shd w:val="clear" w:color="auto" w:fill="D9D9D9" w:themeFill="background1" w:themeFillShade="D9"/>
            <w:vAlign w:val="center"/>
          </w:tcPr>
          <w:p w14:paraId="38CFC3B1" w14:textId="77777777" w:rsidR="00E3108A" w:rsidRPr="007326DA" w:rsidRDefault="00E3108A" w:rsidP="008601B4">
            <w:pPr>
              <w:pStyle w:val="BodyText"/>
              <w:jc w:val="center"/>
              <w:rPr>
                <w:b/>
                <w:lang w:val="en-GB"/>
              </w:rPr>
            </w:pPr>
            <w:r w:rsidRPr="007326DA">
              <w:rPr>
                <w:b/>
                <w:lang w:val="en-GB"/>
              </w:rPr>
              <w:t>Lesinurad 200 mg + febuxostat</w:t>
            </w:r>
          </w:p>
        </w:tc>
      </w:tr>
      <w:tr w:rsidR="00E3108A" w:rsidRPr="007326DA" w14:paraId="28856354" w14:textId="77777777" w:rsidTr="008601B4">
        <w:trPr>
          <w:trHeight w:val="395"/>
        </w:trPr>
        <w:tc>
          <w:tcPr>
            <w:tcW w:w="3652" w:type="dxa"/>
            <w:vMerge/>
            <w:shd w:val="clear" w:color="auto" w:fill="D9D9D9" w:themeFill="background1" w:themeFillShade="D9"/>
          </w:tcPr>
          <w:p w14:paraId="496FAC01" w14:textId="77777777" w:rsidR="00E3108A" w:rsidRPr="007326DA" w:rsidRDefault="00E3108A" w:rsidP="008601B4">
            <w:pPr>
              <w:pStyle w:val="BodyText"/>
              <w:rPr>
                <w:b/>
                <w:bCs/>
                <w:lang w:val="en-GB"/>
              </w:rPr>
            </w:pPr>
          </w:p>
        </w:tc>
        <w:tc>
          <w:tcPr>
            <w:tcW w:w="1843" w:type="dxa"/>
            <w:shd w:val="clear" w:color="auto" w:fill="D9D9D9" w:themeFill="background1" w:themeFillShade="D9"/>
            <w:vAlign w:val="center"/>
          </w:tcPr>
          <w:p w14:paraId="5C267455" w14:textId="77777777" w:rsidR="00E3108A" w:rsidRPr="007326DA" w:rsidRDefault="00E3108A" w:rsidP="008601B4">
            <w:pPr>
              <w:pStyle w:val="BodyText"/>
              <w:rPr>
                <w:b/>
                <w:lang w:val="en-GB"/>
              </w:rPr>
            </w:pPr>
            <w:r w:rsidRPr="007326DA">
              <w:rPr>
                <w:b/>
                <w:bCs/>
                <w:lang w:val="en-GB"/>
              </w:rPr>
              <w:t>CROSS (N=33)</w:t>
            </w:r>
          </w:p>
        </w:tc>
        <w:tc>
          <w:tcPr>
            <w:tcW w:w="1843" w:type="dxa"/>
            <w:shd w:val="clear" w:color="auto" w:fill="D9D9D9" w:themeFill="background1" w:themeFillShade="D9"/>
            <w:vAlign w:val="center"/>
          </w:tcPr>
          <w:p w14:paraId="4A49D624" w14:textId="77777777" w:rsidR="00E3108A" w:rsidRPr="007326DA" w:rsidRDefault="00E3108A" w:rsidP="008601B4">
            <w:pPr>
              <w:pStyle w:val="BodyText"/>
              <w:rPr>
                <w:b/>
                <w:lang w:val="en-GB"/>
              </w:rPr>
            </w:pPr>
            <w:r w:rsidRPr="007326DA">
              <w:rPr>
                <w:b/>
                <w:bCs/>
                <w:lang w:val="en-GB"/>
              </w:rPr>
              <w:t>CONT (N=64)</w:t>
            </w:r>
          </w:p>
        </w:tc>
        <w:tc>
          <w:tcPr>
            <w:tcW w:w="1842" w:type="dxa"/>
            <w:shd w:val="clear" w:color="auto" w:fill="D9D9D9" w:themeFill="background1" w:themeFillShade="D9"/>
            <w:vAlign w:val="center"/>
          </w:tcPr>
          <w:p w14:paraId="0DA90730" w14:textId="77777777" w:rsidR="00E3108A" w:rsidRPr="007326DA" w:rsidRDefault="00E3108A" w:rsidP="008601B4">
            <w:pPr>
              <w:pStyle w:val="BodyText"/>
              <w:rPr>
                <w:b/>
                <w:lang w:val="en-GB"/>
              </w:rPr>
            </w:pPr>
            <w:r w:rsidRPr="007326DA">
              <w:rPr>
                <w:b/>
                <w:bCs/>
                <w:lang w:val="en-GB"/>
              </w:rPr>
              <w:t>TOTAL (N=97)</w:t>
            </w:r>
          </w:p>
        </w:tc>
      </w:tr>
      <w:tr w:rsidR="00E3108A" w:rsidRPr="007326DA" w14:paraId="5704806E" w14:textId="77777777" w:rsidTr="008601B4">
        <w:tc>
          <w:tcPr>
            <w:tcW w:w="3652" w:type="dxa"/>
            <w:shd w:val="clear" w:color="auto" w:fill="auto"/>
            <w:vAlign w:val="center"/>
          </w:tcPr>
          <w:p w14:paraId="20404B69" w14:textId="77777777" w:rsidR="00E3108A" w:rsidRPr="007326DA" w:rsidRDefault="00E3108A" w:rsidP="008601B4">
            <w:pPr>
              <w:pStyle w:val="BodyText"/>
              <w:rPr>
                <w:b/>
                <w:bCs/>
                <w:lang w:val="en-GB"/>
              </w:rPr>
            </w:pPr>
            <w:r w:rsidRPr="007326DA">
              <w:rPr>
                <w:lang w:val="en-GB"/>
              </w:rPr>
              <w:t>Any AE</w:t>
            </w:r>
          </w:p>
        </w:tc>
        <w:tc>
          <w:tcPr>
            <w:tcW w:w="1843" w:type="dxa"/>
            <w:shd w:val="clear" w:color="auto" w:fill="auto"/>
            <w:vAlign w:val="center"/>
          </w:tcPr>
          <w:p w14:paraId="5D99AFF8" w14:textId="77777777" w:rsidR="00E3108A" w:rsidRPr="007326DA" w:rsidRDefault="00E3108A" w:rsidP="008601B4">
            <w:pPr>
              <w:pStyle w:val="BodyText"/>
              <w:rPr>
                <w:bCs/>
                <w:lang w:val="en-GB"/>
              </w:rPr>
            </w:pPr>
            <w:r w:rsidRPr="007326DA">
              <w:rPr>
                <w:bCs/>
                <w:lang w:val="en-GB"/>
              </w:rPr>
              <w:t>27 (81.8)</w:t>
            </w:r>
          </w:p>
        </w:tc>
        <w:tc>
          <w:tcPr>
            <w:tcW w:w="1843" w:type="dxa"/>
            <w:shd w:val="clear" w:color="auto" w:fill="auto"/>
            <w:vAlign w:val="center"/>
          </w:tcPr>
          <w:p w14:paraId="6C00991A" w14:textId="77777777" w:rsidR="00E3108A" w:rsidRPr="007326DA" w:rsidRDefault="00E3108A" w:rsidP="008601B4">
            <w:pPr>
              <w:pStyle w:val="BodyText"/>
              <w:rPr>
                <w:bCs/>
                <w:lang w:val="en-GB"/>
              </w:rPr>
            </w:pPr>
            <w:r w:rsidRPr="007326DA">
              <w:rPr>
                <w:bCs/>
                <w:lang w:val="en-GB"/>
              </w:rPr>
              <w:t>50 (78.1)</w:t>
            </w:r>
          </w:p>
        </w:tc>
        <w:tc>
          <w:tcPr>
            <w:tcW w:w="1842" w:type="dxa"/>
            <w:vAlign w:val="center"/>
          </w:tcPr>
          <w:p w14:paraId="6DFE7CBE" w14:textId="77777777" w:rsidR="00E3108A" w:rsidRPr="007326DA" w:rsidRDefault="00E3108A" w:rsidP="008601B4">
            <w:pPr>
              <w:pStyle w:val="BodyText"/>
              <w:rPr>
                <w:lang w:val="en-GB"/>
              </w:rPr>
            </w:pPr>
            <w:r w:rsidRPr="007326DA">
              <w:rPr>
                <w:lang w:val="en-GB"/>
              </w:rPr>
              <w:t>77 (79.4)</w:t>
            </w:r>
          </w:p>
        </w:tc>
      </w:tr>
      <w:tr w:rsidR="00E3108A" w:rsidRPr="007326DA" w14:paraId="72E0E0ED" w14:textId="77777777" w:rsidTr="008601B4">
        <w:tc>
          <w:tcPr>
            <w:tcW w:w="3652" w:type="dxa"/>
            <w:shd w:val="clear" w:color="auto" w:fill="auto"/>
            <w:vAlign w:val="center"/>
          </w:tcPr>
          <w:p w14:paraId="62BFDC18" w14:textId="77777777" w:rsidR="00E3108A" w:rsidRPr="007326DA" w:rsidRDefault="00E3108A" w:rsidP="008601B4">
            <w:pPr>
              <w:pStyle w:val="BodyText"/>
              <w:rPr>
                <w:lang w:val="en-GB"/>
              </w:rPr>
            </w:pPr>
            <w:r w:rsidRPr="007326DA">
              <w:rPr>
                <w:lang w:val="en-GB"/>
              </w:rPr>
              <w:t>Any AE with RCTC toxicity Grade 3 or 4</w:t>
            </w:r>
          </w:p>
        </w:tc>
        <w:tc>
          <w:tcPr>
            <w:tcW w:w="1843" w:type="dxa"/>
            <w:shd w:val="clear" w:color="auto" w:fill="auto"/>
            <w:vAlign w:val="center"/>
          </w:tcPr>
          <w:p w14:paraId="756B6047" w14:textId="77777777" w:rsidR="00E3108A" w:rsidRPr="007326DA" w:rsidRDefault="00E3108A" w:rsidP="008601B4">
            <w:pPr>
              <w:pStyle w:val="BodyText"/>
              <w:rPr>
                <w:bCs/>
                <w:lang w:val="en-GB"/>
              </w:rPr>
            </w:pPr>
            <w:r w:rsidRPr="007326DA">
              <w:rPr>
                <w:bCs/>
                <w:lang w:val="en-GB"/>
              </w:rPr>
              <w:t>2 (6.1)</w:t>
            </w:r>
          </w:p>
        </w:tc>
        <w:tc>
          <w:tcPr>
            <w:tcW w:w="1843" w:type="dxa"/>
            <w:shd w:val="clear" w:color="auto" w:fill="auto"/>
            <w:vAlign w:val="center"/>
          </w:tcPr>
          <w:p w14:paraId="335982A6" w14:textId="77777777" w:rsidR="00E3108A" w:rsidRPr="007326DA" w:rsidRDefault="00E3108A" w:rsidP="008601B4">
            <w:pPr>
              <w:pStyle w:val="BodyText"/>
              <w:rPr>
                <w:bCs/>
                <w:lang w:val="en-GB"/>
              </w:rPr>
            </w:pPr>
            <w:r w:rsidRPr="007326DA">
              <w:rPr>
                <w:bCs/>
                <w:lang w:val="en-GB"/>
              </w:rPr>
              <w:t>7 (10.9)</w:t>
            </w:r>
          </w:p>
        </w:tc>
        <w:tc>
          <w:tcPr>
            <w:tcW w:w="1842" w:type="dxa"/>
            <w:vAlign w:val="center"/>
          </w:tcPr>
          <w:p w14:paraId="0BF5E1B7" w14:textId="77777777" w:rsidR="00E3108A" w:rsidRPr="007326DA" w:rsidRDefault="00E3108A" w:rsidP="008601B4">
            <w:pPr>
              <w:pStyle w:val="BodyText"/>
              <w:rPr>
                <w:lang w:val="en-GB"/>
              </w:rPr>
            </w:pPr>
            <w:r w:rsidRPr="007326DA">
              <w:rPr>
                <w:lang w:val="en-GB"/>
              </w:rPr>
              <w:t>9 (9.3)</w:t>
            </w:r>
          </w:p>
        </w:tc>
      </w:tr>
      <w:tr w:rsidR="00E3108A" w:rsidRPr="007326DA" w14:paraId="3DCA9A11" w14:textId="77777777" w:rsidTr="008601B4">
        <w:tc>
          <w:tcPr>
            <w:tcW w:w="3652" w:type="dxa"/>
            <w:shd w:val="clear" w:color="auto" w:fill="auto"/>
            <w:vAlign w:val="center"/>
          </w:tcPr>
          <w:p w14:paraId="3821CDD3" w14:textId="77777777" w:rsidR="00E3108A" w:rsidRPr="007326DA" w:rsidRDefault="00E3108A" w:rsidP="008601B4">
            <w:pPr>
              <w:pStyle w:val="BodyText"/>
              <w:rPr>
                <w:b/>
                <w:bCs/>
                <w:lang w:val="en-GB"/>
              </w:rPr>
            </w:pPr>
            <w:r w:rsidRPr="007326DA">
              <w:rPr>
                <w:lang w:val="en-GB"/>
              </w:rPr>
              <w:t>Any AE possibly related to lesinurad</w:t>
            </w:r>
          </w:p>
        </w:tc>
        <w:tc>
          <w:tcPr>
            <w:tcW w:w="1843" w:type="dxa"/>
            <w:shd w:val="clear" w:color="auto" w:fill="auto"/>
            <w:vAlign w:val="center"/>
          </w:tcPr>
          <w:p w14:paraId="03E1D685" w14:textId="77777777" w:rsidR="00E3108A" w:rsidRPr="007326DA" w:rsidRDefault="00E3108A" w:rsidP="008601B4">
            <w:pPr>
              <w:pStyle w:val="BodyText"/>
              <w:rPr>
                <w:bCs/>
                <w:lang w:val="en-GB"/>
              </w:rPr>
            </w:pPr>
            <w:r w:rsidRPr="007326DA">
              <w:rPr>
                <w:bCs/>
                <w:lang w:val="en-GB"/>
              </w:rPr>
              <w:t>5 (15.2)</w:t>
            </w:r>
          </w:p>
        </w:tc>
        <w:tc>
          <w:tcPr>
            <w:tcW w:w="1843" w:type="dxa"/>
            <w:shd w:val="clear" w:color="auto" w:fill="auto"/>
            <w:vAlign w:val="center"/>
          </w:tcPr>
          <w:p w14:paraId="09EF6F02" w14:textId="77777777" w:rsidR="00E3108A" w:rsidRPr="007326DA" w:rsidRDefault="00E3108A" w:rsidP="008601B4">
            <w:pPr>
              <w:pStyle w:val="BodyText"/>
              <w:rPr>
                <w:bCs/>
                <w:lang w:val="en-GB"/>
              </w:rPr>
            </w:pPr>
            <w:r w:rsidRPr="007326DA">
              <w:rPr>
                <w:bCs/>
                <w:lang w:val="en-GB"/>
              </w:rPr>
              <w:t>18 (28.1)</w:t>
            </w:r>
          </w:p>
        </w:tc>
        <w:tc>
          <w:tcPr>
            <w:tcW w:w="1842" w:type="dxa"/>
            <w:vAlign w:val="center"/>
          </w:tcPr>
          <w:p w14:paraId="4182462A" w14:textId="77777777" w:rsidR="00E3108A" w:rsidRPr="007326DA" w:rsidRDefault="00E3108A" w:rsidP="008601B4">
            <w:pPr>
              <w:pStyle w:val="BodyText"/>
              <w:rPr>
                <w:lang w:val="en-GB"/>
              </w:rPr>
            </w:pPr>
            <w:r w:rsidRPr="007326DA">
              <w:rPr>
                <w:lang w:val="en-GB"/>
              </w:rPr>
              <w:t>23 (23.7)</w:t>
            </w:r>
          </w:p>
        </w:tc>
      </w:tr>
      <w:tr w:rsidR="00E3108A" w:rsidRPr="007326DA" w14:paraId="7710CD72" w14:textId="77777777" w:rsidTr="008601B4">
        <w:tc>
          <w:tcPr>
            <w:tcW w:w="3652" w:type="dxa"/>
            <w:shd w:val="clear" w:color="auto" w:fill="auto"/>
            <w:vAlign w:val="center"/>
          </w:tcPr>
          <w:p w14:paraId="20854BBB" w14:textId="77777777" w:rsidR="00E3108A" w:rsidRPr="007326DA" w:rsidRDefault="00E3108A" w:rsidP="008601B4">
            <w:pPr>
              <w:pStyle w:val="BodyText"/>
              <w:rPr>
                <w:b/>
                <w:bCs/>
                <w:lang w:val="en-GB"/>
              </w:rPr>
            </w:pPr>
            <w:r w:rsidRPr="007326DA">
              <w:rPr>
                <w:lang w:val="en-GB"/>
              </w:rPr>
              <w:t>Any AE possibly related to febuxostat</w:t>
            </w:r>
          </w:p>
        </w:tc>
        <w:tc>
          <w:tcPr>
            <w:tcW w:w="1843" w:type="dxa"/>
            <w:shd w:val="clear" w:color="auto" w:fill="auto"/>
            <w:vAlign w:val="center"/>
          </w:tcPr>
          <w:p w14:paraId="34B6F856" w14:textId="77777777" w:rsidR="00E3108A" w:rsidRPr="007326DA" w:rsidRDefault="00E3108A" w:rsidP="008601B4">
            <w:pPr>
              <w:pStyle w:val="BodyText"/>
              <w:rPr>
                <w:bCs/>
                <w:lang w:val="en-GB"/>
              </w:rPr>
            </w:pPr>
            <w:r w:rsidRPr="007326DA">
              <w:rPr>
                <w:bCs/>
                <w:lang w:val="en-GB"/>
              </w:rPr>
              <w:t>4 (12.1)</w:t>
            </w:r>
          </w:p>
        </w:tc>
        <w:tc>
          <w:tcPr>
            <w:tcW w:w="1843" w:type="dxa"/>
            <w:shd w:val="clear" w:color="auto" w:fill="auto"/>
            <w:vAlign w:val="center"/>
          </w:tcPr>
          <w:p w14:paraId="6A61C5F2" w14:textId="77777777" w:rsidR="00E3108A" w:rsidRPr="007326DA" w:rsidRDefault="00E3108A" w:rsidP="008601B4">
            <w:pPr>
              <w:pStyle w:val="BodyText"/>
              <w:rPr>
                <w:bCs/>
                <w:lang w:val="en-GB"/>
              </w:rPr>
            </w:pPr>
            <w:r w:rsidRPr="007326DA">
              <w:rPr>
                <w:bCs/>
                <w:lang w:val="en-GB"/>
              </w:rPr>
              <w:t>11 (17.2)</w:t>
            </w:r>
          </w:p>
        </w:tc>
        <w:tc>
          <w:tcPr>
            <w:tcW w:w="1842" w:type="dxa"/>
            <w:vAlign w:val="center"/>
          </w:tcPr>
          <w:p w14:paraId="43F3B26D" w14:textId="77777777" w:rsidR="00E3108A" w:rsidRPr="007326DA" w:rsidRDefault="00E3108A" w:rsidP="008601B4">
            <w:pPr>
              <w:pStyle w:val="BodyText"/>
              <w:rPr>
                <w:lang w:val="en-GB"/>
              </w:rPr>
            </w:pPr>
            <w:r w:rsidRPr="007326DA">
              <w:rPr>
                <w:lang w:val="en-GB"/>
              </w:rPr>
              <w:t>15 (15.5)</w:t>
            </w:r>
          </w:p>
        </w:tc>
      </w:tr>
      <w:tr w:rsidR="00E3108A" w:rsidRPr="007326DA" w14:paraId="71D9B0A9" w14:textId="77777777" w:rsidTr="008601B4">
        <w:tc>
          <w:tcPr>
            <w:tcW w:w="3652" w:type="dxa"/>
            <w:shd w:val="clear" w:color="auto" w:fill="auto"/>
            <w:vAlign w:val="center"/>
          </w:tcPr>
          <w:p w14:paraId="5AA6840D" w14:textId="77777777" w:rsidR="00E3108A" w:rsidRPr="007326DA" w:rsidRDefault="00E3108A" w:rsidP="008601B4">
            <w:pPr>
              <w:pStyle w:val="BodyText"/>
              <w:rPr>
                <w:b/>
                <w:bCs/>
                <w:lang w:val="en-GB"/>
              </w:rPr>
            </w:pPr>
            <w:r w:rsidRPr="007326DA">
              <w:rPr>
                <w:lang w:val="en-GB"/>
              </w:rPr>
              <w:t>Any AE possibly related to prophylaxis</w:t>
            </w:r>
          </w:p>
        </w:tc>
        <w:tc>
          <w:tcPr>
            <w:tcW w:w="1843" w:type="dxa"/>
            <w:shd w:val="clear" w:color="auto" w:fill="auto"/>
            <w:vAlign w:val="center"/>
          </w:tcPr>
          <w:p w14:paraId="4124C74E" w14:textId="77777777" w:rsidR="00E3108A" w:rsidRPr="007326DA" w:rsidRDefault="00E3108A" w:rsidP="008601B4">
            <w:pPr>
              <w:pStyle w:val="BodyText"/>
              <w:rPr>
                <w:bCs/>
                <w:lang w:val="en-GB"/>
              </w:rPr>
            </w:pPr>
            <w:r w:rsidRPr="007326DA">
              <w:rPr>
                <w:bCs/>
                <w:lang w:val="en-GB"/>
              </w:rPr>
              <w:t>2 (6.1)</w:t>
            </w:r>
          </w:p>
        </w:tc>
        <w:tc>
          <w:tcPr>
            <w:tcW w:w="1843" w:type="dxa"/>
            <w:shd w:val="clear" w:color="auto" w:fill="auto"/>
            <w:vAlign w:val="center"/>
          </w:tcPr>
          <w:p w14:paraId="3AFEDA58" w14:textId="77777777" w:rsidR="00E3108A" w:rsidRPr="007326DA" w:rsidRDefault="00E3108A" w:rsidP="008601B4">
            <w:pPr>
              <w:pStyle w:val="BodyText"/>
              <w:rPr>
                <w:bCs/>
                <w:lang w:val="en-GB"/>
              </w:rPr>
            </w:pPr>
            <w:r w:rsidRPr="007326DA">
              <w:rPr>
                <w:bCs/>
                <w:lang w:val="en-GB"/>
              </w:rPr>
              <w:t>5 (7.8)</w:t>
            </w:r>
          </w:p>
        </w:tc>
        <w:tc>
          <w:tcPr>
            <w:tcW w:w="1842" w:type="dxa"/>
            <w:vAlign w:val="center"/>
          </w:tcPr>
          <w:p w14:paraId="5E0B4818" w14:textId="77777777" w:rsidR="00E3108A" w:rsidRPr="007326DA" w:rsidRDefault="00E3108A" w:rsidP="008601B4">
            <w:pPr>
              <w:pStyle w:val="BodyText"/>
              <w:rPr>
                <w:lang w:val="en-GB"/>
              </w:rPr>
            </w:pPr>
            <w:r w:rsidRPr="007326DA">
              <w:rPr>
                <w:lang w:val="en-GB"/>
              </w:rPr>
              <w:t>7 (7.2)</w:t>
            </w:r>
          </w:p>
        </w:tc>
      </w:tr>
      <w:tr w:rsidR="00E3108A" w:rsidRPr="007326DA" w14:paraId="5EA67911" w14:textId="77777777" w:rsidTr="008601B4">
        <w:tc>
          <w:tcPr>
            <w:tcW w:w="3652" w:type="dxa"/>
            <w:shd w:val="clear" w:color="auto" w:fill="auto"/>
            <w:vAlign w:val="center"/>
          </w:tcPr>
          <w:p w14:paraId="475B2B78" w14:textId="77777777" w:rsidR="00E3108A" w:rsidRPr="007326DA" w:rsidRDefault="00E3108A" w:rsidP="008601B4">
            <w:pPr>
              <w:pStyle w:val="BodyText"/>
              <w:rPr>
                <w:b/>
                <w:bCs/>
                <w:lang w:val="en-GB"/>
              </w:rPr>
            </w:pPr>
            <w:r w:rsidRPr="007326DA">
              <w:rPr>
                <w:lang w:val="en-GB"/>
              </w:rPr>
              <w:t>Any SAE</w:t>
            </w:r>
          </w:p>
        </w:tc>
        <w:tc>
          <w:tcPr>
            <w:tcW w:w="1843" w:type="dxa"/>
            <w:shd w:val="clear" w:color="auto" w:fill="auto"/>
            <w:vAlign w:val="center"/>
          </w:tcPr>
          <w:p w14:paraId="0F9F7FFA" w14:textId="77777777" w:rsidR="00E3108A" w:rsidRPr="007326DA" w:rsidRDefault="00E3108A" w:rsidP="008601B4">
            <w:pPr>
              <w:pStyle w:val="BodyText"/>
              <w:rPr>
                <w:lang w:val="en-GB"/>
              </w:rPr>
            </w:pPr>
            <w:r w:rsidRPr="007326DA">
              <w:rPr>
                <w:lang w:val="en-GB"/>
              </w:rPr>
              <w:t>3 (9.1)</w:t>
            </w:r>
          </w:p>
        </w:tc>
        <w:tc>
          <w:tcPr>
            <w:tcW w:w="1843" w:type="dxa"/>
            <w:shd w:val="clear" w:color="auto" w:fill="auto"/>
            <w:vAlign w:val="center"/>
          </w:tcPr>
          <w:p w14:paraId="74FD4414" w14:textId="77777777" w:rsidR="00E3108A" w:rsidRPr="007326DA" w:rsidRDefault="00E3108A" w:rsidP="008601B4">
            <w:pPr>
              <w:pStyle w:val="BodyText"/>
              <w:rPr>
                <w:lang w:val="en-GB"/>
              </w:rPr>
            </w:pPr>
            <w:r w:rsidRPr="007326DA">
              <w:rPr>
                <w:lang w:val="en-GB"/>
              </w:rPr>
              <w:t>9 (14.1)</w:t>
            </w:r>
          </w:p>
        </w:tc>
        <w:tc>
          <w:tcPr>
            <w:tcW w:w="1842" w:type="dxa"/>
            <w:vAlign w:val="center"/>
          </w:tcPr>
          <w:p w14:paraId="33299E30" w14:textId="77777777" w:rsidR="00E3108A" w:rsidRPr="007326DA" w:rsidRDefault="00E3108A" w:rsidP="008601B4">
            <w:pPr>
              <w:pStyle w:val="BodyText"/>
              <w:rPr>
                <w:lang w:val="en-GB"/>
              </w:rPr>
            </w:pPr>
            <w:r w:rsidRPr="007326DA">
              <w:rPr>
                <w:lang w:val="en-GB"/>
              </w:rPr>
              <w:t>12 (12.4)</w:t>
            </w:r>
          </w:p>
        </w:tc>
      </w:tr>
      <w:tr w:rsidR="00E3108A" w:rsidRPr="007326DA" w14:paraId="27702602" w14:textId="77777777" w:rsidTr="008601B4">
        <w:tc>
          <w:tcPr>
            <w:tcW w:w="3652" w:type="dxa"/>
            <w:shd w:val="clear" w:color="auto" w:fill="auto"/>
            <w:vAlign w:val="center"/>
          </w:tcPr>
          <w:p w14:paraId="337F7504" w14:textId="77777777" w:rsidR="00E3108A" w:rsidRPr="007326DA" w:rsidRDefault="00E3108A" w:rsidP="008601B4">
            <w:pPr>
              <w:pStyle w:val="BodyText"/>
              <w:rPr>
                <w:b/>
                <w:bCs/>
                <w:lang w:val="en-GB"/>
              </w:rPr>
            </w:pPr>
            <w:r w:rsidRPr="007326DA">
              <w:rPr>
                <w:lang w:val="en-GB"/>
              </w:rPr>
              <w:t>Any fatal AE</w:t>
            </w:r>
          </w:p>
        </w:tc>
        <w:tc>
          <w:tcPr>
            <w:tcW w:w="1843" w:type="dxa"/>
            <w:shd w:val="clear" w:color="auto" w:fill="auto"/>
            <w:vAlign w:val="center"/>
          </w:tcPr>
          <w:p w14:paraId="3BB8ED40" w14:textId="77777777" w:rsidR="00E3108A" w:rsidRPr="007326DA" w:rsidRDefault="00E3108A" w:rsidP="008601B4">
            <w:pPr>
              <w:pStyle w:val="BodyText"/>
              <w:rPr>
                <w:lang w:val="en-GB"/>
              </w:rPr>
            </w:pPr>
            <w:r w:rsidRPr="007326DA">
              <w:rPr>
                <w:lang w:val="en-GB"/>
              </w:rPr>
              <w:t>0</w:t>
            </w:r>
          </w:p>
        </w:tc>
        <w:tc>
          <w:tcPr>
            <w:tcW w:w="1843" w:type="dxa"/>
            <w:shd w:val="clear" w:color="auto" w:fill="auto"/>
            <w:vAlign w:val="center"/>
          </w:tcPr>
          <w:p w14:paraId="40727F13" w14:textId="77777777" w:rsidR="00E3108A" w:rsidRPr="007326DA" w:rsidRDefault="00E3108A" w:rsidP="008601B4">
            <w:pPr>
              <w:pStyle w:val="BodyText"/>
              <w:rPr>
                <w:lang w:val="en-GB"/>
              </w:rPr>
            </w:pPr>
            <w:r w:rsidRPr="007326DA">
              <w:rPr>
                <w:lang w:val="en-GB"/>
              </w:rPr>
              <w:t>1 (1.6)</w:t>
            </w:r>
          </w:p>
        </w:tc>
        <w:tc>
          <w:tcPr>
            <w:tcW w:w="1842" w:type="dxa"/>
            <w:vAlign w:val="center"/>
          </w:tcPr>
          <w:p w14:paraId="0381D90B" w14:textId="77777777" w:rsidR="00E3108A" w:rsidRPr="007326DA" w:rsidRDefault="00E3108A" w:rsidP="008601B4">
            <w:pPr>
              <w:pStyle w:val="BodyText"/>
              <w:rPr>
                <w:lang w:val="en-GB"/>
              </w:rPr>
            </w:pPr>
            <w:r w:rsidRPr="007326DA">
              <w:rPr>
                <w:lang w:val="en-GB"/>
              </w:rPr>
              <w:t>1 (1.0)</w:t>
            </w:r>
          </w:p>
        </w:tc>
      </w:tr>
      <w:tr w:rsidR="00E3108A" w:rsidRPr="007326DA" w14:paraId="1C752E78" w14:textId="77777777" w:rsidTr="008601B4">
        <w:tc>
          <w:tcPr>
            <w:tcW w:w="3652" w:type="dxa"/>
            <w:shd w:val="clear" w:color="auto" w:fill="auto"/>
            <w:vAlign w:val="center"/>
          </w:tcPr>
          <w:p w14:paraId="146ED83F" w14:textId="77777777" w:rsidR="00E3108A" w:rsidRPr="007326DA" w:rsidRDefault="00E3108A" w:rsidP="008601B4">
            <w:pPr>
              <w:pStyle w:val="BodyText"/>
              <w:rPr>
                <w:b/>
                <w:bCs/>
                <w:lang w:val="en-GB"/>
              </w:rPr>
            </w:pPr>
            <w:r w:rsidRPr="007326DA">
              <w:rPr>
                <w:lang w:val="en-GB"/>
              </w:rPr>
              <w:t>Any AE leading to prophylaxis discontinuation</w:t>
            </w:r>
          </w:p>
        </w:tc>
        <w:tc>
          <w:tcPr>
            <w:tcW w:w="1843" w:type="dxa"/>
            <w:shd w:val="clear" w:color="auto" w:fill="auto"/>
            <w:vAlign w:val="center"/>
          </w:tcPr>
          <w:p w14:paraId="7B6AA13B" w14:textId="77777777" w:rsidR="00E3108A" w:rsidRPr="007326DA" w:rsidRDefault="00E3108A" w:rsidP="008601B4">
            <w:pPr>
              <w:pStyle w:val="BodyText"/>
              <w:rPr>
                <w:lang w:val="en-GB"/>
              </w:rPr>
            </w:pPr>
            <w:r w:rsidRPr="007326DA">
              <w:rPr>
                <w:lang w:val="en-GB"/>
              </w:rPr>
              <w:t>0</w:t>
            </w:r>
          </w:p>
        </w:tc>
        <w:tc>
          <w:tcPr>
            <w:tcW w:w="1843" w:type="dxa"/>
            <w:shd w:val="clear" w:color="auto" w:fill="auto"/>
            <w:vAlign w:val="center"/>
          </w:tcPr>
          <w:p w14:paraId="44B8450D" w14:textId="77777777" w:rsidR="00E3108A" w:rsidRPr="007326DA" w:rsidRDefault="00E3108A" w:rsidP="008601B4">
            <w:pPr>
              <w:pStyle w:val="BodyText"/>
              <w:rPr>
                <w:lang w:val="en-GB"/>
              </w:rPr>
            </w:pPr>
            <w:r w:rsidRPr="007326DA">
              <w:rPr>
                <w:lang w:val="en-GB"/>
              </w:rPr>
              <w:t>1 (1.6)</w:t>
            </w:r>
          </w:p>
        </w:tc>
        <w:tc>
          <w:tcPr>
            <w:tcW w:w="1842" w:type="dxa"/>
            <w:vAlign w:val="center"/>
          </w:tcPr>
          <w:p w14:paraId="6C3DDDDC" w14:textId="77777777" w:rsidR="00E3108A" w:rsidRPr="007326DA" w:rsidRDefault="00E3108A" w:rsidP="008601B4">
            <w:pPr>
              <w:pStyle w:val="BodyText"/>
              <w:rPr>
                <w:lang w:val="en-GB"/>
              </w:rPr>
            </w:pPr>
            <w:r w:rsidRPr="007326DA">
              <w:rPr>
                <w:lang w:val="en-GB"/>
              </w:rPr>
              <w:t>1 (1.0)</w:t>
            </w:r>
          </w:p>
        </w:tc>
      </w:tr>
      <w:tr w:rsidR="00E3108A" w:rsidRPr="007326DA" w14:paraId="4A05ABED" w14:textId="77777777" w:rsidTr="008601B4">
        <w:tc>
          <w:tcPr>
            <w:tcW w:w="3652" w:type="dxa"/>
            <w:shd w:val="clear" w:color="auto" w:fill="auto"/>
            <w:vAlign w:val="center"/>
          </w:tcPr>
          <w:p w14:paraId="56847A7F" w14:textId="77777777" w:rsidR="00E3108A" w:rsidRPr="007326DA" w:rsidRDefault="00E3108A" w:rsidP="008601B4">
            <w:pPr>
              <w:pStyle w:val="BodyText"/>
              <w:rPr>
                <w:b/>
                <w:bCs/>
                <w:lang w:val="en-GB"/>
              </w:rPr>
            </w:pPr>
            <w:r w:rsidRPr="007326DA">
              <w:rPr>
                <w:lang w:val="en-GB"/>
              </w:rPr>
              <w:t>Any AE leading to study withdrawal</w:t>
            </w:r>
          </w:p>
        </w:tc>
        <w:tc>
          <w:tcPr>
            <w:tcW w:w="1843" w:type="dxa"/>
            <w:shd w:val="clear" w:color="auto" w:fill="auto"/>
            <w:vAlign w:val="center"/>
          </w:tcPr>
          <w:p w14:paraId="335C503A" w14:textId="77777777" w:rsidR="00E3108A" w:rsidRPr="007326DA" w:rsidRDefault="00E3108A" w:rsidP="008601B4">
            <w:pPr>
              <w:pStyle w:val="BodyText"/>
              <w:rPr>
                <w:lang w:val="en-GB"/>
              </w:rPr>
            </w:pPr>
            <w:r w:rsidRPr="007326DA">
              <w:rPr>
                <w:lang w:val="en-GB"/>
              </w:rPr>
              <w:t>2 (6.1)</w:t>
            </w:r>
          </w:p>
        </w:tc>
        <w:tc>
          <w:tcPr>
            <w:tcW w:w="1843" w:type="dxa"/>
            <w:shd w:val="clear" w:color="auto" w:fill="auto"/>
            <w:vAlign w:val="center"/>
          </w:tcPr>
          <w:p w14:paraId="777E7EBC" w14:textId="77777777" w:rsidR="00E3108A" w:rsidRPr="007326DA" w:rsidRDefault="00E3108A" w:rsidP="008601B4">
            <w:pPr>
              <w:pStyle w:val="BodyText"/>
              <w:rPr>
                <w:lang w:val="en-GB"/>
              </w:rPr>
            </w:pPr>
            <w:r w:rsidRPr="007326DA">
              <w:rPr>
                <w:lang w:val="en-GB"/>
              </w:rPr>
              <w:t>10 (15.6)</w:t>
            </w:r>
          </w:p>
        </w:tc>
        <w:tc>
          <w:tcPr>
            <w:tcW w:w="1842" w:type="dxa"/>
            <w:vAlign w:val="center"/>
          </w:tcPr>
          <w:p w14:paraId="4AD0DEF1" w14:textId="77777777" w:rsidR="00E3108A" w:rsidRPr="007326DA" w:rsidRDefault="00E3108A" w:rsidP="008601B4">
            <w:pPr>
              <w:pStyle w:val="BodyText"/>
              <w:rPr>
                <w:lang w:val="en-GB"/>
              </w:rPr>
            </w:pPr>
            <w:r w:rsidRPr="007326DA">
              <w:rPr>
                <w:lang w:val="en-GB"/>
              </w:rPr>
              <w:t>12 (12.4)</w:t>
            </w:r>
          </w:p>
        </w:tc>
      </w:tr>
    </w:tbl>
    <w:p w14:paraId="56A17DE9" w14:textId="77777777" w:rsidR="00E3108A" w:rsidRPr="00BC4E78" w:rsidRDefault="00E3108A" w:rsidP="00E3108A">
      <w:pPr>
        <w:pStyle w:val="BodyText"/>
        <w:jc w:val="left"/>
      </w:pPr>
      <w:r w:rsidRPr="00443362">
        <w:rPr>
          <w:sz w:val="16"/>
        </w:rPr>
        <w:t>†AEs are those that started on or after the first lesinurad dose date in extension study, or those that started prior to the first lesinurad dose date but worsened during the extension study.</w:t>
      </w:r>
      <w:r w:rsidRPr="00443362">
        <w:rPr>
          <w:sz w:val="16"/>
        </w:rPr>
        <w:br/>
        <w:t>Abbreviations: AE, adverse event; CONT, continuation; CROSS, crossover; RCTC, rheumatology common toxicity criteria; SAE, serious adverse event</w:t>
      </w:r>
    </w:p>
    <w:p w14:paraId="5DB0D809" w14:textId="77777777" w:rsidR="007326DA" w:rsidRPr="00BC4E78" w:rsidRDefault="007326DA" w:rsidP="007326DA">
      <w:pPr>
        <w:pStyle w:val="BodyText"/>
      </w:pPr>
    </w:p>
    <w:p w14:paraId="55AE783A" w14:textId="77777777" w:rsidR="00DF7667" w:rsidRDefault="00DF7667" w:rsidP="00DF7667">
      <w:pPr>
        <w:pStyle w:val="Paragrafoelenco3"/>
        <w:spacing w:line="360" w:lineRule="auto"/>
        <w:ind w:left="0"/>
        <w:rPr>
          <w:rFonts w:asciiTheme="minorHAnsi" w:hAnsiTheme="minorHAnsi" w:cs="Arial"/>
          <w:sz w:val="20"/>
          <w:szCs w:val="20"/>
        </w:rPr>
      </w:pPr>
      <w:r w:rsidRPr="001D5820">
        <w:rPr>
          <w:rFonts w:asciiTheme="minorHAnsi" w:hAnsiTheme="minorHAnsi" w:cs="Arial"/>
          <w:sz w:val="20"/>
          <w:szCs w:val="20"/>
        </w:rPr>
        <w:t>Considerat</w:t>
      </w:r>
      <w:r>
        <w:rPr>
          <w:rFonts w:asciiTheme="minorHAnsi" w:hAnsiTheme="minorHAnsi" w:cs="Arial"/>
          <w:sz w:val="20"/>
          <w:szCs w:val="20"/>
        </w:rPr>
        <w:t>a</w:t>
      </w:r>
      <w:r w:rsidRPr="001D5820">
        <w:rPr>
          <w:rFonts w:asciiTheme="minorHAnsi" w:hAnsiTheme="minorHAnsi" w:cs="Arial"/>
          <w:sz w:val="20"/>
          <w:szCs w:val="20"/>
        </w:rPr>
        <w:t xml:space="preserve"> la maggior durata dell’esposizione al trattamento, è stata osservata una aumentata incidenza degli </w:t>
      </w:r>
      <w:r w:rsidRPr="00887A18">
        <w:rPr>
          <w:rFonts w:asciiTheme="minorHAnsi" w:hAnsiTheme="minorHAnsi" w:cs="Arial"/>
          <w:sz w:val="20"/>
          <w:szCs w:val="20"/>
        </w:rPr>
        <w:t>TEAEs renali</w:t>
      </w:r>
      <w:r>
        <w:rPr>
          <w:rFonts w:asciiTheme="minorHAnsi" w:hAnsiTheme="minorHAnsi" w:cs="Arial"/>
          <w:sz w:val="20"/>
          <w:szCs w:val="20"/>
        </w:rPr>
        <w:t>.</w:t>
      </w:r>
    </w:p>
    <w:p w14:paraId="3FAEA65A" w14:textId="72742F0D" w:rsidR="00DF7667" w:rsidRDefault="00DF7667" w:rsidP="00DF7667">
      <w:pPr>
        <w:spacing w:line="360" w:lineRule="auto"/>
        <w:rPr>
          <w:rFonts w:cs="Arial"/>
          <w:sz w:val="20"/>
          <w:szCs w:val="20"/>
        </w:rPr>
      </w:pPr>
      <w:r w:rsidRPr="00887A18">
        <w:rPr>
          <w:rFonts w:cs="Arial"/>
          <w:sz w:val="20"/>
          <w:szCs w:val="20"/>
        </w:rPr>
        <w:t>L’aumento della creatinina sierica si è confermato come il più comune tra i TEAEs renali</w:t>
      </w:r>
      <w:r>
        <w:rPr>
          <w:rFonts w:cs="Arial"/>
          <w:sz w:val="20"/>
          <w:szCs w:val="20"/>
        </w:rPr>
        <w:t>, risoltasi nella maggior parte dei casi.</w:t>
      </w:r>
    </w:p>
    <w:p w14:paraId="2D513B52" w14:textId="318F0930" w:rsidR="00D138F4" w:rsidRPr="00D138F4" w:rsidRDefault="00D138F4" w:rsidP="00DF7667">
      <w:pPr>
        <w:spacing w:line="360" w:lineRule="auto"/>
        <w:rPr>
          <w:rFonts w:eastAsia="Times New Roman" w:cs="Arial"/>
          <w:color w:val="222222"/>
          <w:sz w:val="20"/>
          <w:szCs w:val="20"/>
        </w:rPr>
      </w:pPr>
    </w:p>
    <w:p w14:paraId="51C4F0B7" w14:textId="4916B58F" w:rsidR="008B5FF1" w:rsidRDefault="008B5FF1" w:rsidP="008B5FF1">
      <w:pPr>
        <w:spacing w:line="360" w:lineRule="auto"/>
        <w:rPr>
          <w:rFonts w:eastAsia="Times New Roman" w:cs="Arial"/>
          <w:color w:val="222222"/>
          <w:sz w:val="20"/>
          <w:szCs w:val="20"/>
        </w:rPr>
      </w:pPr>
      <w:r>
        <w:rPr>
          <w:rFonts w:eastAsia="Times New Roman" w:cs="Arial"/>
          <w:color w:val="222222"/>
          <w:sz w:val="20"/>
          <w:szCs w:val="20"/>
        </w:rPr>
        <w:t>Per il gruppo di trattamento lesinurad 200 mg, il CEAC ha valutato potenziali AE cardiovascolari nel 7.2% dei soggetti, confermati poi nel 4.1% dei soggetti. Tra questi è stato identificato 1 solo evento MACE.</w:t>
      </w:r>
    </w:p>
    <w:p w14:paraId="0B538ED3" w14:textId="77777777" w:rsidR="008B5FF1" w:rsidRDefault="008B5FF1" w:rsidP="008B5FF1">
      <w:pPr>
        <w:spacing w:line="360" w:lineRule="auto"/>
        <w:rPr>
          <w:rFonts w:eastAsia="Times New Roman" w:cs="Arial"/>
          <w:color w:val="222222"/>
          <w:sz w:val="20"/>
          <w:szCs w:val="20"/>
        </w:rPr>
      </w:pPr>
      <w:r>
        <w:rPr>
          <w:rFonts w:eastAsia="Times New Roman" w:cs="Arial"/>
          <w:color w:val="222222"/>
          <w:sz w:val="20"/>
          <w:szCs w:val="20"/>
        </w:rPr>
        <w:t>La maggior parte degli AEs sono stati considerati non correlati a lesinurad da parte degli sperimentatori.</w:t>
      </w:r>
    </w:p>
    <w:p w14:paraId="24E5EB3F" w14:textId="733BF1D4" w:rsidR="008B5FF1" w:rsidRDefault="008B5FF1" w:rsidP="008B5FF1">
      <w:pPr>
        <w:spacing w:line="360" w:lineRule="auto"/>
        <w:rPr>
          <w:rFonts w:eastAsia="Times New Roman" w:cs="Arial"/>
          <w:color w:val="222222"/>
          <w:sz w:val="20"/>
          <w:szCs w:val="20"/>
        </w:rPr>
      </w:pPr>
      <w:r>
        <w:rPr>
          <w:rFonts w:eastAsia="Times New Roman" w:cs="Arial"/>
          <w:color w:val="222222"/>
          <w:sz w:val="20"/>
          <w:szCs w:val="20"/>
        </w:rPr>
        <w:t>Pertanto i dati a lungo termine fino a 52 mesi dimostrano che lesinuard 200 mg in associazione a febuxostat era ben tollerato nei pazienti gottosi.</w:t>
      </w:r>
    </w:p>
    <w:p w14:paraId="318B8AAC" w14:textId="77777777" w:rsidR="00B42472" w:rsidRPr="00E3108A" w:rsidRDefault="00B42472" w:rsidP="000210A2">
      <w:pPr>
        <w:spacing w:line="360" w:lineRule="auto"/>
        <w:rPr>
          <w:rFonts w:eastAsia="Times New Roman" w:cs="Arial"/>
          <w:b/>
          <w:color w:val="222222"/>
          <w:sz w:val="20"/>
          <w:szCs w:val="20"/>
        </w:rPr>
      </w:pPr>
    </w:p>
    <w:p w14:paraId="5153BCEE" w14:textId="77777777" w:rsidR="00B42472" w:rsidRPr="00B42472" w:rsidRDefault="00B42472" w:rsidP="00825BD3">
      <w:pPr>
        <w:numPr>
          <w:ilvl w:val="1"/>
          <w:numId w:val="13"/>
        </w:numPr>
        <w:spacing w:line="360" w:lineRule="auto"/>
        <w:rPr>
          <w:rFonts w:eastAsia="Times New Roman" w:cs="Arial"/>
          <w:b/>
          <w:color w:val="222222"/>
          <w:sz w:val="20"/>
          <w:szCs w:val="20"/>
          <w:u w:val="single"/>
        </w:rPr>
      </w:pPr>
      <w:r w:rsidRPr="00B42472">
        <w:rPr>
          <w:rFonts w:eastAsia="Times New Roman" w:cs="Arial"/>
          <w:b/>
          <w:color w:val="222222"/>
          <w:sz w:val="20"/>
          <w:szCs w:val="20"/>
          <w:u w:val="single"/>
        </w:rPr>
        <w:t>Valutazione conclusiva sullo studio</w:t>
      </w:r>
    </w:p>
    <w:p w14:paraId="27B4B716" w14:textId="13B95B29" w:rsidR="00D138F4" w:rsidRPr="00D138F4" w:rsidRDefault="00D138F4" w:rsidP="000210A2">
      <w:pPr>
        <w:spacing w:line="360" w:lineRule="auto"/>
        <w:rPr>
          <w:rFonts w:eastAsia="Times New Roman" w:cs="Arial"/>
          <w:b/>
          <w:color w:val="222222"/>
          <w:sz w:val="20"/>
          <w:szCs w:val="20"/>
        </w:rPr>
      </w:pPr>
      <w:r w:rsidRPr="00D138F4">
        <w:rPr>
          <w:rFonts w:eastAsia="Times New Roman" w:cs="Arial"/>
          <w:b/>
          <w:color w:val="222222"/>
          <w:sz w:val="20"/>
          <w:szCs w:val="20"/>
        </w:rPr>
        <w:t xml:space="preserve">Lo studio CRYSTAL ha dimostrato che il trattamento con lesinurad 200 mg in associazione con febuxostat determina un abbassamento dell’uricemia statisticamente significativo e clinicamente rilevante, nei pazienti </w:t>
      </w:r>
      <w:r w:rsidR="001019D0">
        <w:rPr>
          <w:rFonts w:eastAsia="Times New Roman" w:cs="Arial"/>
          <w:b/>
          <w:color w:val="222222"/>
          <w:sz w:val="20"/>
          <w:szCs w:val="20"/>
        </w:rPr>
        <w:t xml:space="preserve">con gotta tofacea, inclusi i </w:t>
      </w:r>
      <w:r w:rsidRPr="00D138F4">
        <w:rPr>
          <w:rFonts w:eastAsia="Times New Roman" w:cs="Arial"/>
          <w:b/>
          <w:color w:val="222222"/>
          <w:sz w:val="20"/>
          <w:szCs w:val="20"/>
        </w:rPr>
        <w:t>non responder a febuxostat in monoterapia</w:t>
      </w:r>
      <w:r w:rsidR="001019D0">
        <w:rPr>
          <w:rFonts w:eastAsia="Times New Roman" w:cs="Arial"/>
          <w:b/>
          <w:color w:val="222222"/>
          <w:sz w:val="20"/>
          <w:szCs w:val="20"/>
        </w:rPr>
        <w:t xml:space="preserve"> al basale</w:t>
      </w:r>
      <w:r w:rsidRPr="00D138F4">
        <w:rPr>
          <w:rFonts w:eastAsia="Times New Roman" w:cs="Arial"/>
          <w:b/>
          <w:color w:val="222222"/>
          <w:sz w:val="20"/>
          <w:szCs w:val="20"/>
        </w:rPr>
        <w:t>. Questi risultati positivi sono stati riconfermati dallo studio CRYSTAL extension.</w:t>
      </w:r>
    </w:p>
    <w:p w14:paraId="6E941C1A" w14:textId="183E0489" w:rsidR="00732563" w:rsidRPr="00D138F4" w:rsidRDefault="00732563" w:rsidP="00825BD3">
      <w:pPr>
        <w:pStyle w:val="ListParagraph"/>
        <w:numPr>
          <w:ilvl w:val="0"/>
          <w:numId w:val="33"/>
        </w:numPr>
        <w:spacing w:line="360" w:lineRule="auto"/>
        <w:rPr>
          <w:rFonts w:asciiTheme="minorHAnsi" w:hAnsiTheme="minorHAnsi" w:cstheme="minorHAnsi"/>
          <w:color w:val="222222"/>
          <w:sz w:val="20"/>
          <w:szCs w:val="20"/>
        </w:rPr>
      </w:pPr>
      <w:r w:rsidRPr="00D138F4">
        <w:rPr>
          <w:rFonts w:asciiTheme="minorHAnsi" w:hAnsiTheme="minorHAnsi" w:cstheme="minorHAnsi"/>
          <w:color w:val="222222"/>
          <w:sz w:val="20"/>
          <w:szCs w:val="20"/>
        </w:rPr>
        <w:t xml:space="preserve">Tra i soggetti che hanno ricevuto lesinurad durante lo studio core, la percentuale di quelli che hanno raggiunto i target uricemici </w:t>
      </w:r>
      <w:r w:rsidR="005848A1">
        <w:rPr>
          <w:rFonts w:asciiTheme="minorHAnsi" w:hAnsiTheme="minorHAnsi" w:cstheme="minorHAnsi"/>
          <w:color w:val="222222"/>
          <w:sz w:val="20"/>
          <w:szCs w:val="20"/>
        </w:rPr>
        <w:t>SUA</w:t>
      </w:r>
      <w:r w:rsidRPr="00D138F4">
        <w:rPr>
          <w:rFonts w:asciiTheme="minorHAnsi" w:hAnsiTheme="minorHAnsi" w:cstheme="minorHAnsi"/>
          <w:color w:val="222222"/>
          <w:sz w:val="20"/>
          <w:szCs w:val="20"/>
        </w:rPr>
        <w:t xml:space="preserve">&lt;5.0 e &lt;4.0 mg/dl, è stata mantenuta per tutto il periodo di estensione; inoltre, nei pazienti che hanno effettuato il cross-over questa percentuale è marcatamente aumentata </w:t>
      </w:r>
      <w:r>
        <w:rPr>
          <w:rFonts w:asciiTheme="minorHAnsi" w:hAnsiTheme="minorHAnsi" w:cstheme="minorHAnsi"/>
          <w:color w:val="222222"/>
          <w:sz w:val="20"/>
          <w:szCs w:val="20"/>
        </w:rPr>
        <w:t xml:space="preserve">già dal primo mese di trattamento </w:t>
      </w:r>
      <w:r w:rsidRPr="00D138F4">
        <w:rPr>
          <w:rFonts w:asciiTheme="minorHAnsi" w:hAnsiTheme="minorHAnsi" w:cstheme="minorHAnsi"/>
          <w:color w:val="222222"/>
          <w:sz w:val="20"/>
          <w:szCs w:val="20"/>
        </w:rPr>
        <w:t>ed è stata mantenuta per tutto il resto del periodo di estensione.</w:t>
      </w:r>
    </w:p>
    <w:p w14:paraId="5AE08329" w14:textId="77777777" w:rsidR="00D138F4" w:rsidRPr="00D138F4" w:rsidRDefault="00D138F4" w:rsidP="00825BD3">
      <w:pPr>
        <w:pStyle w:val="ListParagraph"/>
        <w:numPr>
          <w:ilvl w:val="0"/>
          <w:numId w:val="33"/>
        </w:numPr>
        <w:spacing w:line="360" w:lineRule="auto"/>
        <w:rPr>
          <w:rFonts w:asciiTheme="minorHAnsi" w:hAnsiTheme="minorHAnsi" w:cstheme="minorHAnsi"/>
          <w:color w:val="222222"/>
          <w:sz w:val="20"/>
          <w:szCs w:val="20"/>
        </w:rPr>
      </w:pPr>
      <w:r w:rsidRPr="00D138F4">
        <w:rPr>
          <w:rFonts w:asciiTheme="minorHAnsi" w:hAnsiTheme="minorHAnsi" w:cstheme="minorHAnsi"/>
          <w:color w:val="222222"/>
          <w:sz w:val="20"/>
          <w:szCs w:val="20"/>
        </w:rPr>
        <w:t>La proporzione di soggetti con completa risoluzione di almeno un tofo target è aumentata nel tempo per tutti i gruppi di trattamento; oltre il 50% dei soggetti ha avuto completa risoluzione di almeno 1 tofo target dopo un'esposizione di 2 anni a lesinurad 200 mg</w:t>
      </w:r>
    </w:p>
    <w:p w14:paraId="72149043" w14:textId="00F8243C" w:rsidR="00D138F4" w:rsidRPr="00D138F4" w:rsidRDefault="00D138F4" w:rsidP="00825BD3">
      <w:pPr>
        <w:pStyle w:val="ListParagraph"/>
        <w:numPr>
          <w:ilvl w:val="0"/>
          <w:numId w:val="33"/>
        </w:numPr>
        <w:spacing w:line="360" w:lineRule="auto"/>
        <w:rPr>
          <w:rFonts w:asciiTheme="minorHAnsi" w:hAnsiTheme="minorHAnsi" w:cstheme="minorHAnsi"/>
          <w:color w:val="222222"/>
          <w:sz w:val="20"/>
          <w:szCs w:val="20"/>
        </w:rPr>
      </w:pPr>
      <w:r w:rsidRPr="00D138F4">
        <w:rPr>
          <w:rFonts w:asciiTheme="minorHAnsi" w:hAnsiTheme="minorHAnsi" w:cstheme="minorHAnsi"/>
          <w:color w:val="222222"/>
          <w:sz w:val="20"/>
          <w:szCs w:val="20"/>
        </w:rPr>
        <w:t>Le riacutizzazioni della gotta hanno continuato a diminuire nel corso dello studio di estensione; durante tutto il periodo di estensione, i tassi di attacchi acuti di gotta che richiedono un trattamento sono rimasti bassi in entrambi i gruppi di trattamento</w:t>
      </w:r>
      <w:r w:rsidR="00732563">
        <w:rPr>
          <w:rFonts w:asciiTheme="minorHAnsi" w:hAnsiTheme="minorHAnsi" w:cstheme="minorHAnsi"/>
          <w:color w:val="222222"/>
          <w:sz w:val="20"/>
          <w:szCs w:val="20"/>
        </w:rPr>
        <w:t xml:space="preserve"> (200CONT e 200CROSS).</w:t>
      </w:r>
    </w:p>
    <w:p w14:paraId="0BB9B78B" w14:textId="22DB8B76" w:rsidR="00D138F4" w:rsidRPr="00D138F4" w:rsidRDefault="00D138F4" w:rsidP="000210A2">
      <w:pPr>
        <w:spacing w:line="360" w:lineRule="auto"/>
        <w:rPr>
          <w:rFonts w:eastAsia="Times New Roman" w:cs="Arial"/>
          <w:b/>
          <w:color w:val="222222"/>
          <w:sz w:val="20"/>
          <w:szCs w:val="20"/>
        </w:rPr>
      </w:pPr>
      <w:r w:rsidRPr="00D138F4">
        <w:rPr>
          <w:rFonts w:eastAsia="Times New Roman" w:cs="Arial"/>
          <w:b/>
          <w:color w:val="222222"/>
          <w:sz w:val="20"/>
          <w:szCs w:val="20"/>
        </w:rPr>
        <w:t>Lesinurad (200 mg in associazione a febuxostat) è stato generalmente ben tollerato durante lo studio di estensione</w:t>
      </w:r>
      <w:r w:rsidR="00BC4E78">
        <w:rPr>
          <w:rFonts w:eastAsia="Times New Roman" w:cs="Arial"/>
          <w:b/>
          <w:color w:val="222222"/>
          <w:sz w:val="20"/>
          <w:szCs w:val="20"/>
        </w:rPr>
        <w:t xml:space="preserve"> </w:t>
      </w:r>
      <w:r w:rsidR="00E3108A">
        <w:rPr>
          <w:rFonts w:eastAsia="Times New Roman" w:cs="Arial"/>
          <w:b/>
          <w:color w:val="222222"/>
          <w:sz w:val="20"/>
          <w:szCs w:val="20"/>
        </w:rPr>
        <w:t xml:space="preserve">fino </w:t>
      </w:r>
      <w:r w:rsidR="00BC4E78">
        <w:rPr>
          <w:rFonts w:eastAsia="Times New Roman" w:cs="Arial"/>
          <w:b/>
          <w:color w:val="222222"/>
          <w:sz w:val="20"/>
          <w:szCs w:val="20"/>
        </w:rPr>
        <w:t xml:space="preserve">a 52 </w:t>
      </w:r>
      <w:r w:rsidR="00E3108A">
        <w:rPr>
          <w:rFonts w:eastAsia="Times New Roman" w:cs="Arial"/>
          <w:b/>
          <w:color w:val="222222"/>
          <w:sz w:val="20"/>
          <w:szCs w:val="20"/>
        </w:rPr>
        <w:t>mesi</w:t>
      </w:r>
      <w:r w:rsidRPr="00D138F4">
        <w:rPr>
          <w:rFonts w:eastAsia="Times New Roman" w:cs="Arial"/>
          <w:b/>
          <w:color w:val="222222"/>
          <w:sz w:val="20"/>
          <w:szCs w:val="20"/>
        </w:rPr>
        <w:t xml:space="preserve">, con un profilo di eventi avversi correlati al trattamento, anche a livello renale e cardiovascolare, paragonabile </w:t>
      </w:r>
      <w:r w:rsidR="00732563">
        <w:rPr>
          <w:rFonts w:eastAsia="Times New Roman" w:cs="Arial"/>
          <w:b/>
          <w:color w:val="222222"/>
          <w:sz w:val="20"/>
          <w:szCs w:val="20"/>
        </w:rPr>
        <w:t xml:space="preserve">a </w:t>
      </w:r>
      <w:r w:rsidRPr="00D138F4">
        <w:rPr>
          <w:rFonts w:eastAsia="Times New Roman" w:cs="Arial"/>
          <w:b/>
          <w:color w:val="222222"/>
          <w:sz w:val="20"/>
          <w:szCs w:val="20"/>
        </w:rPr>
        <w:t>quanto osservato nello studio core.</w:t>
      </w:r>
      <w:r w:rsidR="00A90A84">
        <w:rPr>
          <w:rFonts w:eastAsia="Times New Roman" w:cs="Arial"/>
          <w:b/>
          <w:color w:val="222222"/>
          <w:sz w:val="20"/>
          <w:szCs w:val="20"/>
        </w:rPr>
        <w:t xml:space="preserve"> N</w:t>
      </w:r>
      <w:r w:rsidR="00A90A84" w:rsidRPr="00A90A84">
        <w:rPr>
          <w:rFonts w:eastAsia="Times New Roman" w:cs="Arial"/>
          <w:b/>
          <w:color w:val="222222"/>
          <w:sz w:val="20"/>
          <w:szCs w:val="20"/>
        </w:rPr>
        <w:t>on sono stati osservati nuovi segnali di safety nello studio di estensione</w:t>
      </w:r>
      <w:r w:rsidR="00732563">
        <w:rPr>
          <w:rFonts w:eastAsia="Times New Roman" w:cs="Arial"/>
          <w:b/>
          <w:color w:val="222222"/>
          <w:sz w:val="20"/>
          <w:szCs w:val="20"/>
        </w:rPr>
        <w:t>.</w:t>
      </w:r>
    </w:p>
    <w:p w14:paraId="25D0EF1E" w14:textId="2A63E225" w:rsidR="00D138F4" w:rsidRDefault="00D138F4" w:rsidP="000210A2">
      <w:pPr>
        <w:spacing w:line="360" w:lineRule="auto"/>
        <w:rPr>
          <w:rFonts w:eastAsia="Times New Roman" w:cs="Arial"/>
          <w:b/>
          <w:color w:val="222222"/>
          <w:sz w:val="20"/>
          <w:szCs w:val="20"/>
        </w:rPr>
      </w:pPr>
      <w:r w:rsidRPr="00D138F4">
        <w:rPr>
          <w:rFonts w:eastAsia="Times New Roman" w:cs="Arial"/>
          <w:b/>
          <w:color w:val="222222"/>
          <w:sz w:val="20"/>
          <w:szCs w:val="20"/>
        </w:rPr>
        <w:t xml:space="preserve">La terapia di combinazione con lesinurad e febuxostat può rappresentare una importante opzione di trattamento anche a lungo termine, per i pazienti affetti da gotta </w:t>
      </w:r>
      <w:r w:rsidR="00732563">
        <w:rPr>
          <w:rFonts w:eastAsia="Times New Roman" w:cs="Arial"/>
          <w:b/>
          <w:color w:val="222222"/>
          <w:sz w:val="20"/>
          <w:szCs w:val="20"/>
        </w:rPr>
        <w:t xml:space="preserve">tofacea </w:t>
      </w:r>
      <w:r w:rsidRPr="00D138F4">
        <w:rPr>
          <w:rFonts w:eastAsia="Times New Roman" w:cs="Arial"/>
          <w:b/>
          <w:color w:val="222222"/>
          <w:sz w:val="20"/>
          <w:szCs w:val="20"/>
        </w:rPr>
        <w:t>che non rispondono ad una monoterapia con febuxostat.</w:t>
      </w:r>
    </w:p>
    <w:p w14:paraId="2630471A" w14:textId="51A8E4FF" w:rsidR="00B42472" w:rsidRPr="00B42472" w:rsidRDefault="00B42472" w:rsidP="000210A2">
      <w:pPr>
        <w:spacing w:line="360" w:lineRule="auto"/>
        <w:rPr>
          <w:rFonts w:eastAsia="Times New Roman" w:cs="Arial"/>
          <w:b/>
          <w:color w:val="222222"/>
          <w:sz w:val="20"/>
          <w:szCs w:val="20"/>
        </w:rPr>
      </w:pPr>
    </w:p>
    <w:p w14:paraId="252482A5" w14:textId="77777777" w:rsidR="00B42472" w:rsidRPr="00B42472" w:rsidRDefault="00B42472" w:rsidP="000210A2">
      <w:pPr>
        <w:spacing w:line="360" w:lineRule="auto"/>
        <w:rPr>
          <w:rFonts w:eastAsia="Times New Roman" w:cs="Arial"/>
          <w:b/>
          <w:color w:val="222222"/>
          <w:sz w:val="20"/>
          <w:szCs w:val="20"/>
        </w:rPr>
      </w:pPr>
    </w:p>
    <w:p w14:paraId="666C03C8" w14:textId="5C924D95" w:rsidR="00122D69" w:rsidRDefault="00122D69" w:rsidP="000210A2">
      <w:pPr>
        <w:spacing w:line="360" w:lineRule="auto"/>
        <w:rPr>
          <w:rFonts w:eastAsia="Times New Roman" w:cs="Arial"/>
          <w:b/>
          <w:color w:val="222222"/>
          <w:sz w:val="20"/>
          <w:szCs w:val="20"/>
        </w:rPr>
      </w:pPr>
    </w:p>
    <w:p w14:paraId="2F1FECA5" w14:textId="77777777" w:rsidR="00B42472" w:rsidRDefault="00B42472" w:rsidP="000210A2">
      <w:pPr>
        <w:spacing w:line="360" w:lineRule="auto"/>
        <w:rPr>
          <w:rFonts w:eastAsia="Times New Roman" w:cs="Arial"/>
          <w:b/>
          <w:color w:val="222222"/>
          <w:sz w:val="20"/>
          <w:szCs w:val="20"/>
        </w:rPr>
      </w:pPr>
    </w:p>
    <w:p w14:paraId="76C64D61" w14:textId="77777777" w:rsidR="00B42472" w:rsidRPr="00221759" w:rsidRDefault="00B42472" w:rsidP="000210A2">
      <w:pPr>
        <w:spacing w:line="360" w:lineRule="auto"/>
        <w:rPr>
          <w:rFonts w:eastAsia="Times New Roman" w:cs="Arial"/>
          <w:b/>
          <w:color w:val="222222"/>
          <w:sz w:val="20"/>
          <w:szCs w:val="20"/>
        </w:rPr>
      </w:pPr>
    </w:p>
    <w:p w14:paraId="3F5D4B14" w14:textId="77777777" w:rsidR="00122D69" w:rsidRPr="000410B7" w:rsidRDefault="00122D69" w:rsidP="000210A2">
      <w:pPr>
        <w:spacing w:line="312" w:lineRule="auto"/>
        <w:rPr>
          <w:rFonts w:eastAsia="Times New Roman" w:cs="Arial"/>
          <w:color w:val="222222"/>
          <w:sz w:val="20"/>
          <w:szCs w:val="20"/>
        </w:rPr>
      </w:pPr>
    </w:p>
    <w:p w14:paraId="791618DA" w14:textId="77777777" w:rsidR="00122D69" w:rsidRPr="00221759" w:rsidRDefault="00122D69" w:rsidP="000210A2">
      <w:pPr>
        <w:spacing w:line="360" w:lineRule="auto"/>
        <w:rPr>
          <w:rFonts w:eastAsia="Times New Roman" w:cs="Arial"/>
          <w:color w:val="222222"/>
          <w:sz w:val="20"/>
          <w:szCs w:val="20"/>
        </w:rPr>
      </w:pPr>
    </w:p>
    <w:p w14:paraId="5FC45430" w14:textId="77777777" w:rsidR="00CE0690" w:rsidRPr="00221759" w:rsidRDefault="00CE0690" w:rsidP="000210A2">
      <w:pPr>
        <w:spacing w:line="360" w:lineRule="auto"/>
        <w:rPr>
          <w:rFonts w:eastAsia="Times New Roman" w:cs="Arial"/>
          <w:color w:val="222222"/>
          <w:sz w:val="20"/>
          <w:szCs w:val="20"/>
        </w:rPr>
      </w:pPr>
    </w:p>
    <w:p w14:paraId="09DE8BFC" w14:textId="77777777" w:rsidR="003731F5" w:rsidRPr="00221759" w:rsidRDefault="003731F5" w:rsidP="000210A2">
      <w:pPr>
        <w:spacing w:line="360" w:lineRule="auto"/>
        <w:rPr>
          <w:rFonts w:eastAsia="Times New Roman" w:cs="Arial"/>
          <w:color w:val="222222"/>
          <w:sz w:val="20"/>
          <w:szCs w:val="20"/>
        </w:rPr>
      </w:pPr>
    </w:p>
    <w:p w14:paraId="39ACEE28" w14:textId="77777777" w:rsidR="005A7799" w:rsidRPr="00221759" w:rsidRDefault="005A7799" w:rsidP="000210A2">
      <w:pPr>
        <w:rPr>
          <w:rFonts w:eastAsia="MS Mincho" w:cs="Calibri"/>
          <w:b/>
          <w:bCs/>
          <w:color w:val="000000"/>
          <w:lang w:eastAsia="en-US"/>
        </w:rPr>
      </w:pPr>
      <w:r w:rsidRPr="00221759">
        <w:rPr>
          <w:rFonts w:eastAsia="MS Mincho" w:cs="Calibri"/>
          <w:b/>
          <w:bCs/>
          <w:color w:val="000000"/>
        </w:rPr>
        <w:br w:type="page"/>
      </w:r>
    </w:p>
    <w:p w14:paraId="3A39436E" w14:textId="0D1B93D6" w:rsidR="005A7799" w:rsidRPr="00797A72" w:rsidRDefault="005A7799" w:rsidP="00825BD3">
      <w:pPr>
        <w:pStyle w:val="Heading1"/>
        <w:numPr>
          <w:ilvl w:val="0"/>
          <w:numId w:val="40"/>
        </w:numPr>
        <w:ind w:left="567" w:hanging="567"/>
        <w:rPr>
          <w:rFonts w:asciiTheme="minorHAnsi" w:hAnsiTheme="minorHAnsi" w:cstheme="minorHAnsi"/>
          <w:sz w:val="20"/>
        </w:rPr>
      </w:pPr>
      <w:bookmarkStart w:id="205" w:name="_Toc439456126"/>
      <w:bookmarkStart w:id="206" w:name="_Toc473184566"/>
      <w:r w:rsidRPr="00797A72">
        <w:rPr>
          <w:rFonts w:asciiTheme="minorHAnsi" w:hAnsiTheme="minorHAnsi" w:cstheme="minorHAnsi"/>
          <w:sz w:val="20"/>
        </w:rPr>
        <w:t>Dati di farmacovigilanza disponibili sul prodotto</w:t>
      </w:r>
      <w:bookmarkEnd w:id="205"/>
      <w:bookmarkEnd w:id="206"/>
      <w:r w:rsidRPr="00797A72">
        <w:rPr>
          <w:rFonts w:asciiTheme="minorHAnsi" w:hAnsiTheme="minorHAnsi" w:cstheme="minorHAnsi"/>
          <w:sz w:val="20"/>
        </w:rPr>
        <w:t xml:space="preserve"> </w:t>
      </w:r>
    </w:p>
    <w:p w14:paraId="4B601017" w14:textId="77777777" w:rsidR="005551BC" w:rsidRDefault="005551BC" w:rsidP="00264943">
      <w:pPr>
        <w:spacing w:line="360" w:lineRule="auto"/>
        <w:rPr>
          <w:rFonts w:eastAsia="Times New Roman" w:cs="Arial"/>
          <w:color w:val="222222"/>
          <w:sz w:val="20"/>
          <w:szCs w:val="20"/>
        </w:rPr>
      </w:pPr>
    </w:p>
    <w:p w14:paraId="56ED6989" w14:textId="700C41C7" w:rsidR="00821A3D" w:rsidRDefault="00821A3D" w:rsidP="00264943">
      <w:pPr>
        <w:spacing w:line="360" w:lineRule="auto"/>
        <w:rPr>
          <w:rFonts w:eastAsia="Times New Roman" w:cs="Arial"/>
          <w:color w:val="222222"/>
          <w:sz w:val="20"/>
          <w:szCs w:val="20"/>
        </w:rPr>
      </w:pPr>
      <w:bookmarkStart w:id="207" w:name="Paragrafo6"/>
      <w:bookmarkEnd w:id="207"/>
      <w:r w:rsidRPr="00821A3D">
        <w:rPr>
          <w:rFonts w:eastAsia="Times New Roman" w:cs="Arial"/>
          <w:color w:val="222222"/>
          <w:sz w:val="20"/>
          <w:szCs w:val="20"/>
        </w:rPr>
        <w:t>La sicurezza di ZURAMPIC 200 mg è stata valutata in 3 studi clinici di Fase 3 di terapia combinata (compresi gli studi di estensione). Le reazioni avverse riportate più comunemente durante il trattamento con ZURAMPIC 200 mg sono influenza, malattia da reflusso gastro-esofageo, cefalea e aumento del livello di creatinina nel sangue. Le reazioni avverse gravi di insufficienza renale, danno renale e nefrolitiasi, si sono manifestate come non comuni (meno di 1 caso in 100 pazienti). Negli studi clinici, la maggior parte delle reazioni avverse sono state di entità lieve o moderata e si sono risolte durante il proseguimento della terapia con ZURAMPIC. La reazione avversa più comune che ha causato l’interruzione del trattamento con ZURAMPIC è stata l’aumento dei livelli ematici di creatinina (0,8%).</w:t>
      </w:r>
    </w:p>
    <w:p w14:paraId="6BF3D496" w14:textId="2AA8D109" w:rsidR="004C638B" w:rsidRDefault="004C638B" w:rsidP="00264943">
      <w:pPr>
        <w:spacing w:line="360" w:lineRule="auto"/>
        <w:rPr>
          <w:rFonts w:eastAsia="Times New Roman" w:cs="Arial"/>
          <w:b/>
          <w:color w:val="222222"/>
          <w:sz w:val="20"/>
          <w:szCs w:val="20"/>
        </w:rPr>
      </w:pPr>
      <w:r>
        <w:rPr>
          <w:rFonts w:eastAsia="Times New Roman" w:cs="Arial"/>
          <w:color w:val="222222"/>
          <w:sz w:val="20"/>
          <w:szCs w:val="20"/>
        </w:rPr>
        <w:t>L’incidenza di eventi cardiovascolari, compresi i MACE (</w:t>
      </w:r>
      <w:r w:rsidRPr="004C638B">
        <w:rPr>
          <w:rFonts w:eastAsia="Times New Roman" w:cs="Arial"/>
          <w:color w:val="222222"/>
          <w:sz w:val="20"/>
          <w:szCs w:val="20"/>
        </w:rPr>
        <w:t xml:space="preserve">Major Adverse Cardiovascular Events) </w:t>
      </w:r>
      <w:r>
        <w:rPr>
          <w:rFonts w:eastAsia="Times New Roman" w:cs="Arial"/>
          <w:color w:val="222222"/>
          <w:sz w:val="20"/>
          <w:szCs w:val="20"/>
        </w:rPr>
        <w:t xml:space="preserve">nel piano di sviluppo clinico di lesinurad era simile tra lesinurad 200 mg + XOI e XOI in monoterapia. </w:t>
      </w:r>
      <w:r w:rsidRPr="003B30D6">
        <w:rPr>
          <w:rFonts w:eastAsia="Times New Roman" w:cs="Arial"/>
          <w:b/>
          <w:color w:val="222222"/>
          <w:sz w:val="20"/>
          <w:szCs w:val="20"/>
        </w:rPr>
        <w:t>Non è stato stabilito alcun nesso di causalità</w:t>
      </w:r>
      <w:r>
        <w:rPr>
          <w:rFonts w:eastAsia="Times New Roman" w:cs="Arial"/>
          <w:color w:val="222222"/>
          <w:sz w:val="20"/>
          <w:szCs w:val="20"/>
        </w:rPr>
        <w:t xml:space="preserve"> </w:t>
      </w:r>
      <w:r w:rsidRPr="004C638B">
        <w:rPr>
          <w:rFonts w:eastAsia="Times New Roman" w:cs="Arial"/>
          <w:b/>
          <w:color w:val="222222"/>
          <w:sz w:val="20"/>
          <w:szCs w:val="20"/>
        </w:rPr>
        <w:t>tra lesinurad e l’incidenza di eventi cardiovascolari, compresi i MACE.</w:t>
      </w:r>
      <w:r>
        <w:rPr>
          <w:rFonts w:eastAsia="Times New Roman" w:cs="Arial"/>
          <w:b/>
          <w:color w:val="222222"/>
          <w:sz w:val="20"/>
          <w:szCs w:val="20"/>
        </w:rPr>
        <w:t xml:space="preserve"> La totale indicenza di eventi MACE nel programma di sviluppo clinico di lesinurad era bassa, con percentuali simili tra lesinurad 200 mg + XOI e XOI in monoterapia. Degno di nota è che la percentuale di eventi MACE osservati nel piano di sviluppo clinico di lesinuard era all’interno d</w:t>
      </w:r>
      <w:r w:rsidR="009733C4">
        <w:rPr>
          <w:rFonts w:eastAsia="Times New Roman" w:cs="Arial"/>
          <w:b/>
          <w:color w:val="222222"/>
          <w:sz w:val="20"/>
          <w:szCs w:val="20"/>
        </w:rPr>
        <w:t>ell’</w:t>
      </w:r>
      <w:r>
        <w:rPr>
          <w:rFonts w:eastAsia="Times New Roman" w:cs="Arial"/>
          <w:b/>
          <w:color w:val="222222"/>
          <w:sz w:val="20"/>
          <w:szCs w:val="20"/>
        </w:rPr>
        <w:t>intervallo atteso per la popolazione gottosa con comorbidità multiple cardiovascolari.</w:t>
      </w:r>
    </w:p>
    <w:p w14:paraId="7E9B9DDE" w14:textId="29680F40" w:rsidR="004C638B" w:rsidRDefault="004C638B" w:rsidP="004C638B">
      <w:pPr>
        <w:spacing w:line="360" w:lineRule="auto"/>
        <w:rPr>
          <w:rFonts w:eastAsia="Times New Roman" w:cs="Arial"/>
          <w:color w:val="222222"/>
          <w:sz w:val="20"/>
          <w:szCs w:val="20"/>
        </w:rPr>
      </w:pPr>
      <w:r>
        <w:rPr>
          <w:rFonts w:eastAsia="Times New Roman" w:cs="Arial"/>
          <w:color w:val="222222"/>
          <w:sz w:val="20"/>
          <w:szCs w:val="20"/>
        </w:rPr>
        <w:t>Il profilo di sicurezza renale di lesinurad 200 mg in associazione a XOI negli studi clinici era paragonabile a quello degli XOI in monoterapia. Si sono solamente verificati degli aumenti transitori della creatinina sierica (sCr), la maggior parte dei quali si è risolta senza interruzione del trattamento con lesinurad.</w:t>
      </w:r>
    </w:p>
    <w:p w14:paraId="2C0570E2" w14:textId="3797CA54" w:rsidR="004C638B" w:rsidRDefault="004C638B" w:rsidP="00264943">
      <w:pPr>
        <w:spacing w:line="360" w:lineRule="auto"/>
        <w:rPr>
          <w:rFonts w:eastAsia="Times New Roman" w:cs="Arial"/>
          <w:b/>
          <w:color w:val="222222"/>
          <w:sz w:val="20"/>
          <w:szCs w:val="20"/>
        </w:rPr>
      </w:pPr>
      <w:r w:rsidRPr="004C638B">
        <w:rPr>
          <w:rFonts w:eastAsia="Times New Roman" w:cs="Arial"/>
          <w:b/>
          <w:color w:val="222222"/>
          <w:sz w:val="20"/>
          <w:szCs w:val="20"/>
        </w:rPr>
        <w:t>Pertanto viene confermato che lesinurad 200 mg/die in associazione a XOI in pazienti con gotta è generalmente ben tollerato, con un profilo di eventi avversi simile a quello osservato con uno XOI in monoterapia.</w:t>
      </w:r>
    </w:p>
    <w:p w14:paraId="67C8513C" w14:textId="77777777" w:rsidR="004C638B" w:rsidRPr="00821A3D" w:rsidRDefault="004C638B" w:rsidP="00264943">
      <w:pPr>
        <w:spacing w:line="360" w:lineRule="auto"/>
        <w:rPr>
          <w:rFonts w:eastAsia="Times New Roman" w:cs="Arial"/>
          <w:color w:val="222222"/>
          <w:sz w:val="20"/>
          <w:szCs w:val="20"/>
        </w:rPr>
      </w:pPr>
    </w:p>
    <w:p w14:paraId="2AA63EAC" w14:textId="7890A351" w:rsidR="00821A3D" w:rsidRPr="00264943" w:rsidRDefault="00821A3D" w:rsidP="00264943">
      <w:pPr>
        <w:spacing w:line="360" w:lineRule="auto"/>
        <w:rPr>
          <w:rFonts w:eastAsia="Times New Roman" w:cs="Arial"/>
          <w:color w:val="222222"/>
          <w:sz w:val="20"/>
          <w:szCs w:val="20"/>
        </w:rPr>
      </w:pPr>
      <w:r w:rsidRPr="00264943">
        <w:rPr>
          <w:rFonts w:eastAsia="Times New Roman" w:cs="Arial"/>
          <w:color w:val="222222"/>
          <w:sz w:val="20"/>
          <w:szCs w:val="20"/>
        </w:rPr>
        <w:t xml:space="preserve">Sulla base della revisione dei dati di qualità, sicurezza ed efficacia, il CHMP ha </w:t>
      </w:r>
      <w:r w:rsidR="002E7397">
        <w:rPr>
          <w:rFonts w:eastAsia="Times New Roman" w:cs="Arial"/>
          <w:color w:val="222222"/>
          <w:sz w:val="20"/>
          <w:szCs w:val="20"/>
        </w:rPr>
        <w:t xml:space="preserve">concordato sul favorevole </w:t>
      </w:r>
      <w:r w:rsidRPr="00264943">
        <w:rPr>
          <w:rFonts w:eastAsia="Times New Roman" w:cs="Arial"/>
          <w:color w:val="222222"/>
          <w:sz w:val="20"/>
          <w:szCs w:val="20"/>
        </w:rPr>
        <w:t>rapporto rischio-beneficio di ZURAMPIC,</w:t>
      </w:r>
      <w:r w:rsidRPr="00821A3D">
        <w:rPr>
          <w:rFonts w:eastAsia="Times New Roman" w:cs="Arial"/>
          <w:color w:val="222222"/>
          <w:sz w:val="20"/>
          <w:szCs w:val="20"/>
        </w:rPr>
        <w:t xml:space="preserve"> nel trattamento aggiuntivo dell’iperuricemia in pazienti con gotta (con o senza tofi) che non abbiano raggiunto livelli sierici target di acido urico con una dose adeguata di un inibitore della xantina ossidasi in monoterapia.</w:t>
      </w:r>
    </w:p>
    <w:p w14:paraId="10C907DE" w14:textId="777D70F9" w:rsidR="00821A3D" w:rsidRDefault="00821A3D" w:rsidP="00264943">
      <w:pPr>
        <w:spacing w:line="360" w:lineRule="auto"/>
        <w:rPr>
          <w:rFonts w:eastAsia="Times New Roman" w:cs="Arial"/>
          <w:color w:val="222222"/>
          <w:sz w:val="20"/>
          <w:szCs w:val="20"/>
        </w:rPr>
      </w:pPr>
      <w:r w:rsidRPr="00264943">
        <w:rPr>
          <w:rFonts w:eastAsia="Times New Roman" w:cs="Arial"/>
          <w:color w:val="222222"/>
          <w:sz w:val="20"/>
          <w:szCs w:val="20"/>
        </w:rPr>
        <w:t xml:space="preserve">Poiché ZURAMPIC è stato approvato da EMA solo recentemente, il 18 Febbraio 2016, sono disponibili dati di post-marketing surveillance molto limitati, essendo in commercio </w:t>
      </w:r>
      <w:r w:rsidR="002E7397">
        <w:rPr>
          <w:rFonts w:eastAsia="Times New Roman" w:cs="Arial"/>
          <w:color w:val="222222"/>
          <w:sz w:val="20"/>
          <w:szCs w:val="20"/>
        </w:rPr>
        <w:t xml:space="preserve">solo </w:t>
      </w:r>
      <w:r w:rsidRPr="00264943">
        <w:rPr>
          <w:rFonts w:eastAsia="Times New Roman" w:cs="Arial"/>
          <w:color w:val="222222"/>
          <w:sz w:val="20"/>
          <w:szCs w:val="20"/>
        </w:rPr>
        <w:t>negli Stati Uniti da Ottobre 2016. Questi dati, seppure limitati, confermano quanto ad oggi noto del profilo di tollerabilità di lesinurad 200 mg.</w:t>
      </w:r>
    </w:p>
    <w:p w14:paraId="2044F0FF" w14:textId="3AB3EB7E" w:rsidR="005551BC" w:rsidRDefault="005551BC" w:rsidP="00264943">
      <w:pPr>
        <w:spacing w:line="360" w:lineRule="auto"/>
        <w:rPr>
          <w:rFonts w:eastAsia="Times New Roman" w:cs="Arial"/>
          <w:color w:val="222222"/>
          <w:sz w:val="20"/>
          <w:szCs w:val="20"/>
        </w:rPr>
      </w:pPr>
      <w:r>
        <w:rPr>
          <w:rFonts w:eastAsia="Times New Roman" w:cs="Arial"/>
          <w:color w:val="222222"/>
          <w:sz w:val="20"/>
          <w:szCs w:val="20"/>
        </w:rPr>
        <w:t>Inoltre è disponibile presso l’Unita di Farmacovigilanza dell’azienda</w:t>
      </w:r>
      <w:r w:rsidR="003B30D6">
        <w:rPr>
          <w:rFonts w:eastAsia="Times New Roman" w:cs="Arial"/>
          <w:color w:val="222222"/>
          <w:sz w:val="20"/>
          <w:szCs w:val="20"/>
        </w:rPr>
        <w:t>,</w:t>
      </w:r>
      <w:r>
        <w:rPr>
          <w:rFonts w:eastAsia="Times New Roman" w:cs="Arial"/>
          <w:color w:val="222222"/>
          <w:sz w:val="20"/>
          <w:szCs w:val="20"/>
        </w:rPr>
        <w:t xml:space="preserve"> copia del primo PSUR </w:t>
      </w:r>
      <w:r w:rsidR="00E709A4">
        <w:rPr>
          <w:rFonts w:eastAsia="Times New Roman" w:cs="Arial"/>
          <w:color w:val="222222"/>
          <w:sz w:val="20"/>
          <w:szCs w:val="20"/>
        </w:rPr>
        <w:t>di lesinurad, datato 16 Agos</w:t>
      </w:r>
      <w:r>
        <w:rPr>
          <w:rFonts w:eastAsia="Times New Roman" w:cs="Arial"/>
          <w:color w:val="222222"/>
          <w:sz w:val="20"/>
          <w:szCs w:val="20"/>
        </w:rPr>
        <w:t>t</w:t>
      </w:r>
      <w:r w:rsidR="00E709A4">
        <w:rPr>
          <w:rFonts w:eastAsia="Times New Roman" w:cs="Arial"/>
          <w:color w:val="222222"/>
          <w:sz w:val="20"/>
          <w:szCs w:val="20"/>
        </w:rPr>
        <w:t>o</w:t>
      </w:r>
      <w:r>
        <w:rPr>
          <w:rFonts w:eastAsia="Times New Roman" w:cs="Arial"/>
          <w:color w:val="222222"/>
          <w:sz w:val="20"/>
          <w:szCs w:val="20"/>
        </w:rPr>
        <w:t xml:space="preserve"> 2016</w:t>
      </w:r>
      <w:r w:rsidR="00E40AF1" w:rsidRPr="002E7397">
        <w:rPr>
          <w:rFonts w:eastAsia="Times New Roman" w:cs="Arial"/>
          <w:sz w:val="20"/>
          <w:szCs w:val="20"/>
        </w:rPr>
        <w:t xml:space="preserve"> (</w:t>
      </w:r>
      <w:r w:rsidR="0020764E">
        <w:rPr>
          <w:rFonts w:eastAsia="Times New Roman" w:cs="Arial"/>
          <w:color w:val="0000FF"/>
          <w:sz w:val="20"/>
          <w:szCs w:val="20"/>
        </w:rPr>
        <w:t>PSUR 16 Agosto 2016 (133</w:t>
      </w:r>
      <w:r w:rsidR="009B51CD">
        <w:rPr>
          <w:rFonts w:eastAsia="Times New Roman" w:cs="Arial"/>
          <w:color w:val="0000FF"/>
          <w:sz w:val="20"/>
          <w:szCs w:val="20"/>
        </w:rPr>
        <w:t>)</w:t>
      </w:r>
      <w:r w:rsidR="00E40AF1" w:rsidRPr="002E7397">
        <w:rPr>
          <w:rFonts w:eastAsia="Times New Roman" w:cs="Arial"/>
          <w:sz w:val="20"/>
          <w:szCs w:val="20"/>
        </w:rPr>
        <w:t>)</w:t>
      </w:r>
      <w:r w:rsidR="002E7397">
        <w:rPr>
          <w:rFonts w:eastAsia="Times New Roman" w:cs="Arial"/>
          <w:sz w:val="20"/>
          <w:szCs w:val="20"/>
        </w:rPr>
        <w:t xml:space="preserve"> che copre il periodo 22 Dic 2015 – 21 Giugno 2016</w:t>
      </w:r>
      <w:r>
        <w:rPr>
          <w:rFonts w:eastAsia="Times New Roman" w:cs="Arial"/>
          <w:color w:val="222222"/>
          <w:sz w:val="20"/>
          <w:szCs w:val="20"/>
        </w:rPr>
        <w:t xml:space="preserve">, </w:t>
      </w:r>
      <w:r w:rsidR="002E7397">
        <w:rPr>
          <w:rFonts w:eastAsia="Times New Roman" w:cs="Arial"/>
          <w:color w:val="222222"/>
          <w:sz w:val="20"/>
          <w:szCs w:val="20"/>
        </w:rPr>
        <w:t xml:space="preserve">ed inviato all’EMA: il Preliminary Assement Report (datato 14 Nov 2016) del </w:t>
      </w:r>
      <w:r w:rsidR="009733C4">
        <w:rPr>
          <w:rFonts w:eastAsia="Times New Roman" w:cs="Arial"/>
          <w:color w:val="222222"/>
          <w:sz w:val="20"/>
          <w:szCs w:val="20"/>
        </w:rPr>
        <w:t xml:space="preserve">PRAC </w:t>
      </w:r>
      <w:r w:rsidR="002E7397">
        <w:rPr>
          <w:rFonts w:eastAsia="Times New Roman" w:cs="Arial"/>
          <w:color w:val="222222"/>
          <w:sz w:val="20"/>
          <w:szCs w:val="20"/>
        </w:rPr>
        <w:t xml:space="preserve">Rapporteur della procedura </w:t>
      </w:r>
      <w:r w:rsidR="00E709A4" w:rsidRPr="003B30D6">
        <w:rPr>
          <w:rFonts w:eastAsia="Times New Roman" w:cs="Arial"/>
          <w:b/>
          <w:color w:val="222222"/>
          <w:sz w:val="20"/>
          <w:szCs w:val="20"/>
        </w:rPr>
        <w:t>ha confermato l’immutato positivo rapporto rischio/beneficio del farmaco</w:t>
      </w:r>
      <w:r w:rsidR="003B30D6">
        <w:rPr>
          <w:rFonts w:eastAsia="Times New Roman" w:cs="Arial"/>
          <w:color w:val="222222"/>
          <w:sz w:val="20"/>
          <w:szCs w:val="20"/>
        </w:rPr>
        <w:t>.</w:t>
      </w:r>
    </w:p>
    <w:p w14:paraId="573B421F" w14:textId="624308C2" w:rsidR="002E7397" w:rsidRDefault="000B12A9" w:rsidP="00E709A4">
      <w:pPr>
        <w:spacing w:line="360" w:lineRule="auto"/>
        <w:rPr>
          <w:rFonts w:eastAsia="Times New Roman" w:cs="Arial"/>
          <w:color w:val="222222"/>
          <w:sz w:val="20"/>
          <w:szCs w:val="20"/>
        </w:rPr>
      </w:pPr>
      <w:r>
        <w:rPr>
          <w:rFonts w:eastAsia="Times New Roman" w:cs="Arial"/>
          <w:color w:val="222222"/>
          <w:sz w:val="20"/>
          <w:szCs w:val="20"/>
        </w:rPr>
        <w:t>Negli studi controllati di F</w:t>
      </w:r>
      <w:r w:rsidR="00057473">
        <w:rPr>
          <w:rFonts w:eastAsia="Times New Roman" w:cs="Arial"/>
          <w:color w:val="222222"/>
          <w:sz w:val="20"/>
          <w:szCs w:val="20"/>
        </w:rPr>
        <w:t xml:space="preserve">ase 3, </w:t>
      </w:r>
      <w:r w:rsidR="002E7397">
        <w:rPr>
          <w:rFonts w:eastAsia="Times New Roman" w:cs="Arial"/>
          <w:color w:val="222222"/>
          <w:sz w:val="20"/>
          <w:szCs w:val="20"/>
        </w:rPr>
        <w:t xml:space="preserve">il numero degli eventi MACE era basso (&lt; 1%) </w:t>
      </w:r>
      <w:r w:rsidR="002E7397" w:rsidRPr="002E7397">
        <w:rPr>
          <w:rFonts w:eastAsia="Times New Roman" w:cs="Arial"/>
          <w:color w:val="222222"/>
          <w:sz w:val="20"/>
          <w:szCs w:val="20"/>
        </w:rPr>
        <w:t xml:space="preserve">con un lieve squilibrio legato al caso. </w:t>
      </w:r>
      <w:r w:rsidR="002E7397" w:rsidRPr="002E7397">
        <w:rPr>
          <w:rFonts w:eastAsia="Times New Roman" w:cs="Arial"/>
          <w:b/>
          <w:color w:val="222222"/>
          <w:sz w:val="20"/>
          <w:szCs w:val="20"/>
        </w:rPr>
        <w:t>Valutati nell’insieme, tutti i dati suggeriscono che lesinuard non aumenta il rischio di eventi MACE</w:t>
      </w:r>
      <w:r w:rsidR="002E7397" w:rsidRPr="002E7397">
        <w:rPr>
          <w:rFonts w:eastAsia="Times New Roman" w:cs="Arial"/>
          <w:color w:val="222222"/>
          <w:sz w:val="20"/>
          <w:szCs w:val="20"/>
        </w:rPr>
        <w:t>.</w:t>
      </w:r>
    </w:p>
    <w:p w14:paraId="0D606C34" w14:textId="77B49D85" w:rsidR="002E7397" w:rsidRDefault="002E7397" w:rsidP="002E7397">
      <w:pPr>
        <w:spacing w:line="360" w:lineRule="auto"/>
        <w:rPr>
          <w:rFonts w:eastAsia="Times New Roman" w:cs="Arial"/>
          <w:color w:val="222222"/>
          <w:sz w:val="20"/>
          <w:szCs w:val="20"/>
        </w:rPr>
      </w:pPr>
      <w:r>
        <w:rPr>
          <w:rFonts w:eastAsia="Times New Roman" w:cs="Arial"/>
          <w:color w:val="222222"/>
          <w:sz w:val="20"/>
          <w:szCs w:val="20"/>
        </w:rPr>
        <w:t xml:space="preserve">Nel Piano di gestione del rischio europeo (EU RMP) di lesinurad, gli eventi MACE, principalmente in pazienti con storia di disordini cardiovascolari, sono considerati un importante rischio </w:t>
      </w:r>
      <w:r w:rsidRPr="002E7397">
        <w:rPr>
          <w:rFonts w:eastAsia="Times New Roman" w:cs="Arial"/>
          <w:b/>
          <w:color w:val="222222"/>
          <w:sz w:val="20"/>
          <w:szCs w:val="20"/>
        </w:rPr>
        <w:t>potenziale</w:t>
      </w:r>
      <w:r>
        <w:rPr>
          <w:rFonts w:eastAsia="Times New Roman" w:cs="Arial"/>
          <w:color w:val="222222"/>
          <w:sz w:val="20"/>
          <w:szCs w:val="20"/>
        </w:rPr>
        <w:t xml:space="preserve">, ovvero </w:t>
      </w:r>
      <w:r w:rsidRPr="008F466F">
        <w:rPr>
          <w:rFonts w:eastAsia="Times New Roman" w:cs="Arial"/>
          <w:b/>
          <w:color w:val="222222"/>
          <w:sz w:val="20"/>
          <w:szCs w:val="20"/>
        </w:rPr>
        <w:t xml:space="preserve">un evento imprevisto per il quale </w:t>
      </w:r>
      <w:r w:rsidR="009733C4">
        <w:rPr>
          <w:rFonts w:eastAsia="Times New Roman" w:cs="Arial"/>
          <w:b/>
          <w:color w:val="222222"/>
          <w:sz w:val="20"/>
          <w:szCs w:val="20"/>
        </w:rPr>
        <w:t xml:space="preserve">però </w:t>
      </w:r>
      <w:r w:rsidRPr="008F466F">
        <w:rPr>
          <w:rFonts w:eastAsia="Times New Roman" w:cs="Arial"/>
          <w:b/>
          <w:color w:val="222222"/>
          <w:sz w:val="20"/>
          <w:szCs w:val="20"/>
        </w:rPr>
        <w:t>esiste solamente un sospetto di associazione</w:t>
      </w:r>
      <w:r>
        <w:rPr>
          <w:rFonts w:eastAsia="Times New Roman" w:cs="Arial"/>
          <w:color w:val="222222"/>
          <w:sz w:val="20"/>
          <w:szCs w:val="20"/>
        </w:rPr>
        <w:t xml:space="preserve"> con lesinurad, </w:t>
      </w:r>
      <w:r w:rsidRPr="002E7397">
        <w:rPr>
          <w:rFonts w:eastAsia="Times New Roman" w:cs="Arial"/>
          <w:b/>
          <w:color w:val="222222"/>
          <w:sz w:val="20"/>
          <w:szCs w:val="20"/>
        </w:rPr>
        <w:t>ma tale associazione non è stata confermata</w:t>
      </w:r>
      <w:r>
        <w:rPr>
          <w:rFonts w:eastAsia="Times New Roman" w:cs="Arial"/>
          <w:color w:val="222222"/>
          <w:sz w:val="20"/>
          <w:szCs w:val="20"/>
        </w:rPr>
        <w:t>.</w:t>
      </w:r>
    </w:p>
    <w:p w14:paraId="451D71F2" w14:textId="5EEDEF5B" w:rsidR="004D59BD" w:rsidRDefault="002E7397" w:rsidP="004D59BD">
      <w:pPr>
        <w:spacing w:line="360" w:lineRule="auto"/>
        <w:rPr>
          <w:rFonts w:eastAsia="Times New Roman" w:cs="Arial"/>
          <w:color w:val="222222"/>
          <w:sz w:val="20"/>
          <w:szCs w:val="20"/>
        </w:rPr>
      </w:pPr>
      <w:r>
        <w:rPr>
          <w:rFonts w:eastAsia="Times New Roman" w:cs="Arial"/>
          <w:color w:val="222222"/>
          <w:sz w:val="20"/>
          <w:szCs w:val="20"/>
        </w:rPr>
        <w:t>In accordo al Rapporto</w:t>
      </w:r>
      <w:r w:rsidR="004D59BD">
        <w:rPr>
          <w:rFonts w:eastAsia="Times New Roman" w:cs="Arial"/>
          <w:color w:val="222222"/>
          <w:sz w:val="20"/>
          <w:szCs w:val="20"/>
        </w:rPr>
        <w:t xml:space="preserve"> di Valutazione del CHMP (datat</w:t>
      </w:r>
      <w:r>
        <w:rPr>
          <w:rFonts w:eastAsia="Times New Roman" w:cs="Arial"/>
          <w:color w:val="222222"/>
          <w:sz w:val="20"/>
          <w:szCs w:val="20"/>
        </w:rPr>
        <w:t xml:space="preserve">o 17 Dic 2015), il numero di eventi MACE </w:t>
      </w:r>
      <w:r w:rsidR="004D59BD">
        <w:rPr>
          <w:rFonts w:eastAsia="Times New Roman" w:cs="Arial"/>
          <w:color w:val="222222"/>
          <w:sz w:val="20"/>
          <w:szCs w:val="20"/>
        </w:rPr>
        <w:t>negli studi clinici è stato giudicato basso</w:t>
      </w:r>
      <w:r w:rsidR="009733C4">
        <w:rPr>
          <w:rFonts w:eastAsia="Times New Roman" w:cs="Arial"/>
          <w:color w:val="222222"/>
          <w:sz w:val="20"/>
          <w:szCs w:val="20"/>
        </w:rPr>
        <w:t>,</w:t>
      </w:r>
      <w:r w:rsidR="004D59BD">
        <w:rPr>
          <w:rFonts w:eastAsia="Times New Roman" w:cs="Arial"/>
          <w:color w:val="222222"/>
          <w:sz w:val="20"/>
          <w:szCs w:val="20"/>
        </w:rPr>
        <w:t xml:space="preserve"> ma l’azienda si è impegnata nell’ambito del RMP a condurre - successivamente al lancio nel prodotto sul mercato europeo - uno studio PASS (Post Authorization Safety Study) per valutare se si è in presenza di un segnale cardiovascolare e per caratterizzare ulteriormente il pro</w:t>
      </w:r>
      <w:r w:rsidR="009733C4">
        <w:rPr>
          <w:rFonts w:eastAsia="Times New Roman" w:cs="Arial"/>
          <w:color w:val="222222"/>
          <w:sz w:val="20"/>
          <w:szCs w:val="20"/>
        </w:rPr>
        <w:t>filo di sicu</w:t>
      </w:r>
      <w:r w:rsidR="004D59BD">
        <w:rPr>
          <w:rFonts w:eastAsia="Times New Roman" w:cs="Arial"/>
          <w:color w:val="222222"/>
          <w:sz w:val="20"/>
          <w:szCs w:val="20"/>
        </w:rPr>
        <w:t>r</w:t>
      </w:r>
      <w:r w:rsidR="009733C4">
        <w:rPr>
          <w:rFonts w:eastAsia="Times New Roman" w:cs="Arial"/>
          <w:color w:val="222222"/>
          <w:sz w:val="20"/>
          <w:szCs w:val="20"/>
        </w:rPr>
        <w:t>e</w:t>
      </w:r>
      <w:r w:rsidR="004D59BD">
        <w:rPr>
          <w:rFonts w:eastAsia="Times New Roman" w:cs="Arial"/>
          <w:color w:val="222222"/>
          <w:sz w:val="20"/>
          <w:szCs w:val="20"/>
        </w:rPr>
        <w:t>zza renale di lesinur</w:t>
      </w:r>
      <w:r w:rsidR="008F5A5E">
        <w:rPr>
          <w:rFonts w:eastAsia="Times New Roman" w:cs="Arial"/>
          <w:color w:val="222222"/>
          <w:sz w:val="20"/>
          <w:szCs w:val="20"/>
        </w:rPr>
        <w:t>ad in un setting di real-world. L’obiettivo finale di questo studio prospettico osservazionale di coorte è di confrontare il rischio di eventi c</w:t>
      </w:r>
      <w:r w:rsidR="00663272">
        <w:rPr>
          <w:rFonts w:eastAsia="Times New Roman" w:cs="Arial"/>
          <w:color w:val="222222"/>
          <w:sz w:val="20"/>
          <w:szCs w:val="20"/>
        </w:rPr>
        <w:t xml:space="preserve">ardiovascolari (MACE e ospedalizzazioni per angina instabile) tra i pazienti gottosi che utilizzano per la prima volta lesinurad + XOI e quelli che sono in terapia abituale con XOI in monoterapia e di confrontare anche le percentuali di ospedalizzazione per </w:t>
      </w:r>
      <w:r w:rsidR="009733C4">
        <w:rPr>
          <w:rFonts w:eastAsia="Times New Roman" w:cs="Arial"/>
          <w:color w:val="222222"/>
          <w:sz w:val="20"/>
          <w:szCs w:val="20"/>
        </w:rPr>
        <w:t xml:space="preserve">danni </w:t>
      </w:r>
      <w:r w:rsidR="00663272">
        <w:rPr>
          <w:rFonts w:eastAsia="Times New Roman" w:cs="Arial"/>
          <w:color w:val="222222"/>
          <w:sz w:val="20"/>
          <w:szCs w:val="20"/>
        </w:rPr>
        <w:t>renali acute</w:t>
      </w:r>
      <w:r w:rsidR="00435461">
        <w:rPr>
          <w:rFonts w:eastAsia="Times New Roman" w:cs="Arial"/>
          <w:color w:val="222222"/>
          <w:sz w:val="20"/>
          <w:szCs w:val="20"/>
        </w:rPr>
        <w:t>.</w:t>
      </w:r>
    </w:p>
    <w:p w14:paraId="6179EDDC" w14:textId="3DD1E83D" w:rsidR="00663272" w:rsidRPr="009733C4" w:rsidRDefault="00663272" w:rsidP="004D59BD">
      <w:pPr>
        <w:spacing w:line="360" w:lineRule="auto"/>
        <w:rPr>
          <w:rFonts w:eastAsia="Times New Roman" w:cs="Arial"/>
          <w:b/>
          <w:color w:val="222222"/>
          <w:sz w:val="20"/>
          <w:szCs w:val="20"/>
        </w:rPr>
      </w:pPr>
      <w:r w:rsidRPr="009733C4">
        <w:rPr>
          <w:rFonts w:eastAsia="Times New Roman" w:cs="Arial"/>
          <w:b/>
          <w:color w:val="222222"/>
          <w:sz w:val="20"/>
          <w:szCs w:val="20"/>
        </w:rPr>
        <w:t xml:space="preserve">Sulla base dei risultati degli studi di estensione (studi 306 e 307) è stato concluso che il trattamento a lungo termine (fino a </w:t>
      </w:r>
      <w:r w:rsidR="00BC4E78">
        <w:rPr>
          <w:rFonts w:eastAsia="Times New Roman" w:cs="Arial"/>
          <w:b/>
          <w:color w:val="222222"/>
          <w:sz w:val="20"/>
          <w:szCs w:val="20"/>
        </w:rPr>
        <w:t>52</w:t>
      </w:r>
      <w:r w:rsidR="00F6438E">
        <w:rPr>
          <w:rFonts w:eastAsia="Times New Roman" w:cs="Arial"/>
          <w:b/>
          <w:color w:val="222222"/>
          <w:sz w:val="20"/>
          <w:szCs w:val="20"/>
        </w:rPr>
        <w:t xml:space="preserve"> </w:t>
      </w:r>
      <w:r w:rsidR="00990C9E" w:rsidRPr="009733C4">
        <w:rPr>
          <w:rFonts w:eastAsia="Times New Roman" w:cs="Arial"/>
          <w:b/>
          <w:color w:val="222222"/>
          <w:sz w:val="20"/>
          <w:szCs w:val="20"/>
        </w:rPr>
        <w:t xml:space="preserve">mesi) </w:t>
      </w:r>
      <w:r w:rsidRPr="009733C4">
        <w:rPr>
          <w:rFonts w:eastAsia="Times New Roman" w:cs="Arial"/>
          <w:b/>
          <w:color w:val="222222"/>
          <w:sz w:val="20"/>
          <w:szCs w:val="20"/>
        </w:rPr>
        <w:t xml:space="preserve">di lesinurad 200 mg/die in associazione ad allopurinolo o febuxostat era </w:t>
      </w:r>
      <w:r w:rsidR="00990C9E" w:rsidRPr="009733C4">
        <w:rPr>
          <w:rFonts w:eastAsia="Times New Roman" w:cs="Arial"/>
          <w:b/>
          <w:color w:val="222222"/>
          <w:sz w:val="20"/>
          <w:szCs w:val="20"/>
        </w:rPr>
        <w:t>ben tollerato nei pazienti gottosi.</w:t>
      </w:r>
    </w:p>
    <w:p w14:paraId="26E8AD69" w14:textId="68AE7D16" w:rsidR="00990C9E" w:rsidRDefault="00990C9E" w:rsidP="004D59BD">
      <w:pPr>
        <w:spacing w:line="360" w:lineRule="auto"/>
        <w:rPr>
          <w:rFonts w:eastAsia="Times New Roman" w:cs="Arial"/>
          <w:color w:val="222222"/>
          <w:sz w:val="20"/>
          <w:szCs w:val="20"/>
        </w:rPr>
      </w:pPr>
      <w:r>
        <w:rPr>
          <w:rFonts w:eastAsia="Times New Roman" w:cs="Arial"/>
          <w:color w:val="222222"/>
          <w:sz w:val="20"/>
          <w:szCs w:val="20"/>
        </w:rPr>
        <w:t xml:space="preserve">Concludendo, lesinurad 200 mg in associazione a XOI continua ad avere un rapporto rischio/beneficio favorevole nel </w:t>
      </w:r>
      <w:r w:rsidRPr="00990C9E">
        <w:rPr>
          <w:rFonts w:eastAsia="Times New Roman" w:cs="Arial"/>
          <w:color w:val="222222"/>
          <w:sz w:val="20"/>
          <w:szCs w:val="20"/>
        </w:rPr>
        <w:t>trattamento aggiuntivo dell’iperuricemia in pazienti con gotta (con o senza tofi) che non abbiano raggiunto livelli sierici target di acido urico con una dose adeguata di un inibitore della xantina ossidasi in monoterapia.</w:t>
      </w:r>
    </w:p>
    <w:p w14:paraId="6E76D249" w14:textId="77777777" w:rsidR="00581908" w:rsidRPr="003B30D6" w:rsidRDefault="00581908" w:rsidP="00CE7CF9">
      <w:pPr>
        <w:spacing w:line="360" w:lineRule="auto"/>
        <w:rPr>
          <w:rFonts w:eastAsia="Times New Roman" w:cs="Arial"/>
          <w:color w:val="222222"/>
          <w:sz w:val="20"/>
          <w:szCs w:val="20"/>
        </w:rPr>
      </w:pPr>
    </w:p>
    <w:p w14:paraId="5A692658" w14:textId="29A20703" w:rsidR="000B4D6A" w:rsidRPr="000B4D6A" w:rsidRDefault="000B4D6A" w:rsidP="000B4D6A">
      <w:pPr>
        <w:spacing w:line="360" w:lineRule="auto"/>
        <w:rPr>
          <w:rFonts w:eastAsia="Times New Roman" w:cs="Arial"/>
          <w:color w:val="222222"/>
          <w:sz w:val="20"/>
          <w:szCs w:val="20"/>
        </w:rPr>
      </w:pPr>
      <w:r w:rsidRPr="000B4D6A">
        <w:rPr>
          <w:rFonts w:eastAsia="Times New Roman" w:cs="Arial"/>
          <w:color w:val="222222"/>
          <w:sz w:val="20"/>
          <w:szCs w:val="20"/>
        </w:rPr>
        <w:t>Si riporta di seguito il punto 4.8 (Effetti indesiderati) del Riassunto delle Caratteristiche del Prodotto approvato di ZURAMPIC (</w:t>
      </w:r>
      <w:r w:rsidR="00E54BFE" w:rsidRPr="00E54BFE">
        <w:rPr>
          <w:rFonts w:cstheme="minorHAnsi"/>
          <w:color w:val="0000FF"/>
          <w:sz w:val="20"/>
          <w:szCs w:val="20"/>
        </w:rPr>
        <w:t>SmPC Zurampic, EPAR, 2015 (1)</w:t>
      </w:r>
      <w:r w:rsidR="00E40AF1" w:rsidRPr="008B42E0">
        <w:rPr>
          <w:rFonts w:cstheme="minorHAnsi"/>
          <w:color w:val="0000FF"/>
          <w:sz w:val="20"/>
          <w:szCs w:val="20"/>
        </w:rPr>
        <w:t xml:space="preserve">, </w:t>
      </w:r>
      <w:r w:rsidR="00563FA4">
        <w:rPr>
          <w:rFonts w:cstheme="minorHAnsi"/>
          <w:color w:val="0000FF"/>
          <w:sz w:val="20"/>
          <w:szCs w:val="20"/>
        </w:rPr>
        <w:t>EPAR, 2015 (42)</w:t>
      </w:r>
      <w:r w:rsidRPr="000B4D6A">
        <w:rPr>
          <w:rFonts w:eastAsia="Times New Roman" w:cs="Arial"/>
          <w:color w:val="222222"/>
          <w:sz w:val="20"/>
          <w:szCs w:val="20"/>
        </w:rPr>
        <w:t>):</w:t>
      </w:r>
    </w:p>
    <w:p w14:paraId="0EF0F615" w14:textId="77777777" w:rsidR="000B4D6A" w:rsidRPr="000B4D6A" w:rsidRDefault="000B4D6A" w:rsidP="000B4D6A">
      <w:pPr>
        <w:spacing w:line="360" w:lineRule="auto"/>
        <w:rPr>
          <w:rFonts w:eastAsia="Times New Roman" w:cs="Arial"/>
          <w:color w:val="222222"/>
          <w:sz w:val="20"/>
          <w:szCs w:val="20"/>
        </w:rPr>
      </w:pPr>
    </w:p>
    <w:p w14:paraId="4D1D3D9F"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u w:val="single"/>
        </w:rPr>
        <w:t>“Riassunto del profilo di sicurezza</w:t>
      </w:r>
    </w:p>
    <w:p w14:paraId="75D1ED3A"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La sicurezza di Zurampic 200 mg è stata valutata in studi clinici di Fase 3 di terapia combinata (compresi gli studi di estensione). Le reazioni avverse riportate più comunemente durante il trattamento con Zurampic 200 mg sono influenza, malattia da reflusso gastro-esofageo, cefalea e aumento del livello di creatinina nel sangue. Le reazioni avverse gravi di insufficienza renale, danno renale e nefrolitiasi, si sono manifestate come non comuni (meno di 1 caso in 100 pazienti) (vedere Tabella 1). Negli studi clinici, la maggior parte delle reazioni avverse sono state di entità lieve o moderata e si sono risolte durante il proseguimento della terapia con Zurampic. La reazione avversa più comune che ha causato l’interruzione del trattamento con Zurampic è stata l’aumento dei livelli ematici di creatinina (0,8%).</w:t>
      </w:r>
    </w:p>
    <w:p w14:paraId="0FE359D9" w14:textId="77777777" w:rsidR="000B4D6A" w:rsidRPr="000B4D6A" w:rsidRDefault="000B4D6A" w:rsidP="000B4D6A">
      <w:pPr>
        <w:spacing w:line="360" w:lineRule="auto"/>
        <w:rPr>
          <w:rFonts w:eastAsia="Times New Roman" w:cs="Arial"/>
          <w:i/>
          <w:color w:val="222222"/>
          <w:sz w:val="18"/>
          <w:szCs w:val="18"/>
        </w:rPr>
      </w:pPr>
    </w:p>
    <w:p w14:paraId="1FFA89DD"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u w:val="single"/>
        </w:rPr>
        <w:t>Elenco delle reazioni avverse</w:t>
      </w:r>
    </w:p>
    <w:p w14:paraId="6987A751"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Le reazioni avverse sono classificate secondo la frequenza e la classificazione per organi e sistemi (SOC). Le categorie di frequenza sono definite secondo le seguenti convenzioni: molto comune (≥1/10), comune (≥1/100, &lt;1/10), non comune (≥1/1.000, &lt;1/100), raro (≥1/10.000, &lt;1/1.000) e molto raro (&lt;1/10.000).</w:t>
      </w:r>
    </w:p>
    <w:p w14:paraId="142ACBEF" w14:textId="77777777" w:rsidR="000B4D6A" w:rsidRPr="000B4D6A" w:rsidRDefault="000B4D6A" w:rsidP="000B4D6A">
      <w:pPr>
        <w:spacing w:line="360" w:lineRule="auto"/>
        <w:rPr>
          <w:rFonts w:eastAsia="Times New Roman" w:cs="Arial"/>
          <w:i/>
          <w:color w:val="222222"/>
          <w:sz w:val="18"/>
          <w:szCs w:val="18"/>
        </w:rPr>
      </w:pPr>
    </w:p>
    <w:p w14:paraId="6FEE62D7" w14:textId="77777777" w:rsidR="009733C4"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La Tabella 1 elenca le reazioni avverse identificate in studi clinici condotti in pazienti trattati con Zurampic 200 mg una volta al giorno in associazione con un inibitore della xantina ossidasi, allopurinolo o febuxostat.</w:t>
      </w:r>
    </w:p>
    <w:p w14:paraId="2AB7C7C9" w14:textId="77777777" w:rsidR="009733C4" w:rsidRDefault="009733C4" w:rsidP="000B4D6A">
      <w:pPr>
        <w:spacing w:line="360" w:lineRule="auto"/>
        <w:rPr>
          <w:rFonts w:eastAsia="Times New Roman" w:cs="Arial"/>
          <w:i/>
          <w:color w:val="222222"/>
          <w:sz w:val="18"/>
          <w:szCs w:val="18"/>
        </w:rPr>
      </w:pPr>
    </w:p>
    <w:p w14:paraId="1068C573" w14:textId="2752B35D" w:rsidR="000B4D6A" w:rsidRPr="000B4D6A" w:rsidRDefault="000B4D6A" w:rsidP="000B4D6A">
      <w:pPr>
        <w:spacing w:line="360" w:lineRule="auto"/>
        <w:rPr>
          <w:rFonts w:eastAsia="Times New Roman" w:cs="Arial"/>
          <w:color w:val="222222"/>
          <w:sz w:val="20"/>
          <w:szCs w:val="20"/>
        </w:rPr>
      </w:pPr>
      <w:r w:rsidRPr="000B4D6A">
        <w:rPr>
          <w:rFonts w:eastAsia="Times New Roman" w:cs="Arial"/>
          <w:noProof/>
          <w:color w:val="222222"/>
          <w:sz w:val="20"/>
          <w:szCs w:val="20"/>
          <w:lang w:val="en-GB" w:eastAsia="en-GB"/>
        </w:rPr>
        <w:drawing>
          <wp:inline distT="0" distB="0" distL="0" distR="0" wp14:anchorId="449F081C" wp14:editId="59088356">
            <wp:extent cx="4843192" cy="3090862"/>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843960" cy="3091352"/>
                    </a:xfrm>
                    <a:prstGeom prst="rect">
                      <a:avLst/>
                    </a:prstGeom>
                  </pic:spPr>
                </pic:pic>
              </a:graphicData>
            </a:graphic>
          </wp:inline>
        </w:drawing>
      </w:r>
    </w:p>
    <w:p w14:paraId="1E6B7DDC" w14:textId="77777777" w:rsidR="000B4D6A" w:rsidRPr="000B4D6A" w:rsidRDefault="000B4D6A" w:rsidP="000B4D6A">
      <w:pPr>
        <w:spacing w:line="360" w:lineRule="auto"/>
        <w:rPr>
          <w:rFonts w:eastAsia="Times New Roman" w:cs="Arial"/>
          <w:color w:val="222222"/>
          <w:sz w:val="20"/>
          <w:szCs w:val="20"/>
        </w:rPr>
      </w:pPr>
    </w:p>
    <w:p w14:paraId="1CC8136D"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u w:val="single"/>
        </w:rPr>
        <w:t>Descrizioni di reazioni avverse selezionate</w:t>
      </w:r>
    </w:p>
    <w:p w14:paraId="429E0068" w14:textId="77777777" w:rsidR="000B4D6A" w:rsidRPr="000B4D6A" w:rsidRDefault="000B4D6A" w:rsidP="000B4D6A">
      <w:pPr>
        <w:spacing w:line="360" w:lineRule="auto"/>
        <w:rPr>
          <w:rFonts w:eastAsia="Times New Roman" w:cs="Arial"/>
          <w:i/>
          <w:color w:val="222222"/>
          <w:sz w:val="18"/>
          <w:szCs w:val="18"/>
        </w:rPr>
      </w:pPr>
    </w:p>
    <w:p w14:paraId="42827E62"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Eventi renali</w:t>
      </w:r>
    </w:p>
    <w:p w14:paraId="23373EF5"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Zurampic causa un aumento dell’escrezione renale di acido urico, che può determinare incrementi temporanei dei livelli sierici di creatinina, reazioni avverse correlate alla funzione renale e calcoli renali. Sebbene siano state studiate altre dosi, la dose raccomandata di Zurampic è 200 mg una volta al giorno in associazione con un inibitore della xantina ossidasi.</w:t>
      </w:r>
    </w:p>
    <w:p w14:paraId="1977102D" w14:textId="77777777" w:rsidR="000B4D6A" w:rsidRPr="000B4D6A" w:rsidRDefault="000B4D6A" w:rsidP="000B4D6A">
      <w:pPr>
        <w:spacing w:line="360" w:lineRule="auto"/>
        <w:rPr>
          <w:rFonts w:eastAsia="Times New Roman" w:cs="Arial"/>
          <w:i/>
          <w:color w:val="222222"/>
          <w:sz w:val="18"/>
          <w:szCs w:val="18"/>
        </w:rPr>
      </w:pPr>
    </w:p>
    <w:p w14:paraId="07B459A8"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In tre studi clinici controllati verso placebo della durata di 12 mesi condotti con Zurampic in associazione con un inibitore della xantina ossidasi versus la monoterapia con un inibitore della</w:t>
      </w:r>
    </w:p>
    <w:p w14:paraId="2CE02433"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xantina ossidasi (placebo), sono stati riportati incrementi dei livelli sierici di creatinina tra 1,5 volte e 2 volte superiori rispetto al basale nel 3,9% dei pazienti in trattamento con Zurampic 200 mg , nel 10,0% dei pazienti in trattamento con Zurampic 400 mg nel 2,3% dei pazienti trattati con placebo; sono stati riportati incrementi dei livelli sierici di creatinina 2 volte o più rispetto al basale nell’1,8% dei pazienti in terapia con Zurampic 200 mg, nel 6,7% dei pazienti con Zurampic 400 mg e nello 0% con placebo. Questi aumenti dei livelli sierici di creatinina sono generalmente scomparsi, la maggior parte senza alcuna interruzione del trattamento. Sono state riportate reazioni avverse correlate alla funzione renale nei pazienti trattati con Zurampic 200 mg (5,7%) e Zurampic 400 mg (11,8%), rispetto al placebo (4,5%), che hanno causato l’interruzione del trattamento rispettivamente nell’1,2%, 3,3% e 1% (vedere paragrafo 4.4). La reazione avversa correlata alla funzione renale più frequente è stata l’incremento dei livelli ematici di creatinina (4,3% con Zurampic 200 mg e 7,8% con Zurampic 400 mg rispetto a 2,3% con placebo). Nei pazienti con danno renale moderato, l’incidenza delle reazioni avverse correlate alla funzione renale è risultata simile in tutti i gruppi di trattamento: Zurampic 200 mg (12,7%), Zurampic 400 mg (16,3%) e placebo (13,3%). Sono state riportate reazioni avverse gravi correlate alla funzione renale (ad es. insufficienza renale acuta e danno renale) nei pazienti trattati con 400 mg di lesinurad (1%) e il placebo (0,4%) e in nessun paziente in terapia con 200 mg di lesinurad. Includendo gli studi di estensione a lungo termine sulla terapia combinata, le incidenze delle reazioni avverse gravi correlate alla funzione renale (compresa l’insufficienza renale acuta) per 100 pazienti-anni di esposizione erano pari rispettivamente a 0,4 e 1,4 per Zurampic 200 mg e Zurampic 400 mg in associazione con un inibitore della xantina ossidasi (vedere paragrafi 4.2 e 4.4). Dati ricavati da studi di estensione a lungo termine fino a 24 mesi hanno rivelato un profilo di sicurezza renale paragonabile a quello osservato negli studi controllati verso placebo.</w:t>
      </w:r>
    </w:p>
    <w:p w14:paraId="2DD98BC6" w14:textId="77777777" w:rsidR="000B4D6A" w:rsidRPr="000B4D6A" w:rsidRDefault="000B4D6A" w:rsidP="000B4D6A">
      <w:pPr>
        <w:spacing w:line="360" w:lineRule="auto"/>
        <w:rPr>
          <w:rFonts w:eastAsia="Times New Roman" w:cs="Arial"/>
          <w:i/>
          <w:color w:val="222222"/>
          <w:sz w:val="18"/>
          <w:szCs w:val="18"/>
        </w:rPr>
      </w:pPr>
    </w:p>
    <w:p w14:paraId="0DD3FD34"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In uno studio sulla monoterapia con Zurampic della durata di 6 mesi, in doppio cieco e controllato verso placebo, sono state riportate reazioni avverse correlate alla funzione renale e reazioni avverse gravi correlate alla funzione renale (compresa l’insufficienza renale acuta) rispettivamente nel 17,8% e 4,7% dei pazienti sottoposti a monoterapia con Zurampic 400 mg e in nessun paziente che ha ricevuto il placebo (vedere paragrafi 4.2 e 4.4). Tra le reazioni avverse gravi correlate alla funzione renale: insufficienza renale, insufficienza renale acuta e danno renale sono stati riportati rispettivamente nell’1,9%, 1,9% e 0,9% dei pazienti trattati con 400 mg di lesinurad in monoterapia e in nessun paziente che ha ricevuto il placebo.</w:t>
      </w:r>
    </w:p>
    <w:p w14:paraId="18A5784E"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Poiché l’incidenza delle reazioni avverse severe correlate alla funzione renale era aumentata con la monoterapia rispetto alla terapia in associazione con inibitore della xantina ossidasi, Zurampic non deve essere usato in monoterapia (vedere paragrafi 4.2 e 5.1).</w:t>
      </w:r>
    </w:p>
    <w:p w14:paraId="1F04F598" w14:textId="77777777" w:rsidR="000B4D6A" w:rsidRPr="000B4D6A" w:rsidRDefault="000B4D6A" w:rsidP="000B4D6A">
      <w:pPr>
        <w:spacing w:line="360" w:lineRule="auto"/>
        <w:rPr>
          <w:rFonts w:eastAsia="Times New Roman" w:cs="Arial"/>
          <w:i/>
          <w:color w:val="222222"/>
          <w:sz w:val="18"/>
          <w:szCs w:val="18"/>
        </w:rPr>
      </w:pPr>
    </w:p>
    <w:p w14:paraId="1C4E96F9"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I pazienti con una storia di calcoli renali hanno potuto partecipare agli studi di 12 mesi sull’uso di Zurampic in associazione con un inibitore della xantina ossidasi. In questi studi, sono state riportate reazioni avverse correlate ai calcoli renali (la più frequente è stata la nefrolitiasi) nei pazienti trattati con Zurampic 200 mg (0,6%), Zurampic 400 mg (2,5%) e il placebo (1,7%).</w:t>
      </w:r>
    </w:p>
    <w:p w14:paraId="0E027E44" w14:textId="77777777" w:rsidR="000B4D6A" w:rsidRPr="000B4D6A" w:rsidRDefault="000B4D6A" w:rsidP="000B4D6A">
      <w:pPr>
        <w:spacing w:line="360" w:lineRule="auto"/>
        <w:rPr>
          <w:rFonts w:eastAsia="Times New Roman" w:cs="Arial"/>
          <w:i/>
          <w:color w:val="222222"/>
          <w:sz w:val="18"/>
          <w:szCs w:val="18"/>
        </w:rPr>
      </w:pPr>
    </w:p>
    <w:p w14:paraId="10B2A5D6"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Sicurezza cardiovascolare</w:t>
      </w:r>
    </w:p>
    <w:p w14:paraId="3090BFE3"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Negli studi clinici randomizzati, in doppio cieco, controllati con placebo sulla terapia di combinazione, l’incidenza dei pazienti con Eventi Avversi Cardiovascolari Maggiori (morte cardiovascolare, infarto miocardico non fatale o ictus non fatale) per 100 pazienti-anni di esposizione è stata: 0,71 (95% IC</w:t>
      </w:r>
    </w:p>
    <w:p w14:paraId="3C1E2355"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0,23; 2,21) per placebo, 0,96 (95% IC 0,36; 2,57) per Zurampic 200 mg e 1,94 (95% IC 0,97; 3,87) per</w:t>
      </w:r>
    </w:p>
    <w:p w14:paraId="6B3E52BC"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Zurampic 400 mg, quando usati in associazione con un inibitore della xantina ossidasi. Non è stata stabilita una relazione causale con Zurampic. Tutti i pazienti che hanno avuto un Evento Avverso Cardiovascolare Maggiore con Zurampic 200 mg avevano anamnesi positiva per insufficienza cardiaca, ictus o infarto miocardico. Un’analisi post-hoc in un sottogruppo di pazienti con un elevato rischio cardiovascolare al basale (definito da attacco ischemico transitorio, angina pectoris, insufficienza cardiaca, infarto miocardico, patologie vascolari periferiche e/o ictus) ha mostrato che l’incidenza di Eventi Avversi Cardiovascolari Maggiori era di 1/52 per placebo e 4/53 per Zurampic 200 mg quando usato in associazione con un inibitore della xantina ossidasi.</w:t>
      </w:r>
    </w:p>
    <w:p w14:paraId="50F8F4DA" w14:textId="77777777" w:rsidR="000B4D6A" w:rsidRPr="000B4D6A" w:rsidRDefault="000B4D6A" w:rsidP="000B4D6A">
      <w:pPr>
        <w:spacing w:line="360" w:lineRule="auto"/>
        <w:rPr>
          <w:rFonts w:eastAsia="Times New Roman" w:cs="Arial"/>
          <w:i/>
          <w:color w:val="222222"/>
          <w:sz w:val="18"/>
          <w:szCs w:val="18"/>
        </w:rPr>
      </w:pPr>
    </w:p>
    <w:p w14:paraId="79D62117"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Ipersensibilità</w:t>
      </w:r>
    </w:p>
    <w:p w14:paraId="26C05DA7"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Rari casi di ipersensibilità (fotodermatosi, reazione di fotosensibilità, dermatite allergica, prurito e orticaria) sono stati riportati con lesinurad durante lo sviluppo clinico . Nessuno di questi casi è stato grave o ha richiesto il ricovero in ospedale.</w:t>
      </w:r>
    </w:p>
    <w:p w14:paraId="3CD59188" w14:textId="77777777" w:rsidR="000B4D6A" w:rsidRPr="000B4D6A" w:rsidRDefault="000B4D6A" w:rsidP="000B4D6A">
      <w:pPr>
        <w:spacing w:line="360" w:lineRule="auto"/>
        <w:rPr>
          <w:rFonts w:eastAsia="Times New Roman" w:cs="Arial"/>
          <w:i/>
          <w:color w:val="222222"/>
          <w:sz w:val="18"/>
          <w:szCs w:val="18"/>
        </w:rPr>
      </w:pPr>
    </w:p>
    <w:p w14:paraId="683CDB48"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u w:val="single"/>
        </w:rPr>
        <w:t>Altre popolazioni speciali</w:t>
      </w:r>
    </w:p>
    <w:p w14:paraId="01B540F0"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Pazienti con danno renale</w:t>
      </w:r>
    </w:p>
    <w:p w14:paraId="2188DA42"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rPr>
        <w:t>Non sono state osservate differenze complessive nel profilo di sicurezza di Zurampic in pazienti con danno renale lieve o moderato (eCrCL pari a 30-89 mL/min) rispetto a pazienti con funzionalità renale normale (vedere paragrafi 4.2 e 5.2).</w:t>
      </w:r>
    </w:p>
    <w:p w14:paraId="67782B0E" w14:textId="77777777" w:rsidR="009733C4" w:rsidRDefault="009733C4" w:rsidP="000B4D6A">
      <w:pPr>
        <w:spacing w:line="360" w:lineRule="auto"/>
        <w:rPr>
          <w:rFonts w:eastAsia="Times New Roman" w:cs="Arial"/>
          <w:i/>
          <w:color w:val="222222"/>
          <w:sz w:val="18"/>
          <w:szCs w:val="18"/>
          <w:u w:val="single"/>
        </w:rPr>
      </w:pPr>
    </w:p>
    <w:p w14:paraId="502DCF4C" w14:textId="77777777" w:rsidR="000B4D6A" w:rsidRPr="000B4D6A" w:rsidRDefault="000B4D6A" w:rsidP="000B4D6A">
      <w:pPr>
        <w:spacing w:line="360" w:lineRule="auto"/>
        <w:rPr>
          <w:rFonts w:eastAsia="Times New Roman" w:cs="Arial"/>
          <w:i/>
          <w:color w:val="222222"/>
          <w:sz w:val="18"/>
          <w:szCs w:val="18"/>
        </w:rPr>
      </w:pPr>
      <w:r w:rsidRPr="000B4D6A">
        <w:rPr>
          <w:rFonts w:eastAsia="Times New Roman" w:cs="Arial"/>
          <w:i/>
          <w:color w:val="222222"/>
          <w:sz w:val="18"/>
          <w:szCs w:val="18"/>
          <w:u w:val="single"/>
        </w:rPr>
        <w:t>Segnalazione delle reazioni avverse sospette</w:t>
      </w:r>
    </w:p>
    <w:p w14:paraId="635C94AA" w14:textId="08767CD1" w:rsidR="005551BC" w:rsidRPr="000B4D6A" w:rsidRDefault="000B4D6A" w:rsidP="000B4D6A">
      <w:pPr>
        <w:spacing w:line="360" w:lineRule="auto"/>
        <w:rPr>
          <w:rFonts w:eastAsia="Times New Roman" w:cs="Arial"/>
          <w:color w:val="222222"/>
          <w:sz w:val="18"/>
          <w:szCs w:val="18"/>
        </w:rPr>
      </w:pPr>
      <w:r w:rsidRPr="000B4D6A">
        <w:rPr>
          <w:rFonts w:eastAsia="Times New Roman" w:cs="Arial"/>
          <w:i/>
          <w:color w:val="222222"/>
          <w:sz w:val="18"/>
          <w:szCs w:val="18"/>
        </w:rPr>
        <w:t xml:space="preserve">La segnalazione delle reazioni avverse sospette che si verificano dopo l’autorizzazione del medicinale è importante, in quanto permette un monitoraggio continuo del rapporto beneficio/rischio del medicinale. Agli operatori sanitari è richiesto di segnalare qualsiasi reazione avversa sospetta tramite il sistema nazionale di segnalazione Agenzia Italiana del Farmaco Sito web: </w:t>
      </w:r>
      <w:hyperlink r:id="rId66" w:tooltip="http://www.agenziafarmaco.gov.it/it/responsabili" w:history="1">
        <w:r w:rsidRPr="000B4D6A">
          <w:rPr>
            <w:rStyle w:val="Hyperlink"/>
            <w:rFonts w:eastAsia="Times New Roman" w:cs="Arial"/>
            <w:i/>
            <w:sz w:val="18"/>
            <w:szCs w:val="18"/>
          </w:rPr>
          <w:t>http://www.agenziafarmaco.gov.it/it/responsabili</w:t>
        </w:r>
      </w:hyperlink>
      <w:r w:rsidRPr="000B4D6A">
        <w:rPr>
          <w:rFonts w:eastAsia="Times New Roman" w:cs="Arial"/>
          <w:i/>
          <w:color w:val="222222"/>
          <w:sz w:val="18"/>
          <w:szCs w:val="18"/>
          <w:u w:val="single"/>
        </w:rPr>
        <w:t>”</w:t>
      </w:r>
    </w:p>
    <w:p w14:paraId="71C02F1F" w14:textId="77777777" w:rsidR="005551BC" w:rsidRPr="000B4D6A" w:rsidRDefault="005551BC" w:rsidP="00264943">
      <w:pPr>
        <w:spacing w:line="360" w:lineRule="auto"/>
        <w:rPr>
          <w:rFonts w:eastAsia="Times New Roman" w:cs="Arial"/>
          <w:color w:val="222222"/>
          <w:sz w:val="18"/>
          <w:szCs w:val="18"/>
        </w:rPr>
      </w:pPr>
    </w:p>
    <w:p w14:paraId="0B3F8F7E" w14:textId="77777777" w:rsidR="00821A3D" w:rsidRPr="000B4D6A" w:rsidRDefault="00821A3D" w:rsidP="00264943">
      <w:pPr>
        <w:spacing w:line="360" w:lineRule="auto"/>
        <w:rPr>
          <w:rFonts w:eastAsia="Times New Roman" w:cs="Arial"/>
          <w:color w:val="222222"/>
          <w:sz w:val="18"/>
          <w:szCs w:val="18"/>
        </w:rPr>
      </w:pPr>
    </w:p>
    <w:p w14:paraId="09A09E5B" w14:textId="77777777" w:rsidR="0090655B" w:rsidRPr="003B30D6" w:rsidRDefault="0090655B" w:rsidP="00FD7D8B">
      <w:pPr>
        <w:jc w:val="both"/>
        <w:rPr>
          <w:rFonts w:cs="Calibri"/>
          <w:b/>
          <w:sz w:val="20"/>
          <w:szCs w:val="20"/>
          <w:u w:val="single"/>
        </w:rPr>
      </w:pPr>
      <w:r w:rsidRPr="003B30D6">
        <w:rPr>
          <w:rFonts w:cs="Calibri"/>
          <w:b/>
          <w:sz w:val="20"/>
          <w:szCs w:val="20"/>
          <w:u w:val="single"/>
        </w:rPr>
        <w:br w:type="page"/>
      </w:r>
    </w:p>
    <w:p w14:paraId="71E7CDD7" w14:textId="60517374" w:rsidR="00F05DF2" w:rsidRPr="00797A72" w:rsidRDefault="00F05DF2" w:rsidP="00825BD3">
      <w:pPr>
        <w:pStyle w:val="Heading1"/>
        <w:numPr>
          <w:ilvl w:val="0"/>
          <w:numId w:val="40"/>
        </w:numPr>
        <w:ind w:left="567" w:hanging="567"/>
        <w:rPr>
          <w:rFonts w:asciiTheme="minorHAnsi" w:hAnsiTheme="minorHAnsi" w:cstheme="minorHAnsi"/>
          <w:sz w:val="20"/>
        </w:rPr>
      </w:pPr>
      <w:bookmarkStart w:id="208" w:name="_Toc439456127"/>
      <w:bookmarkStart w:id="209" w:name="_Toc473184567"/>
      <w:r w:rsidRPr="00BE5C44">
        <w:rPr>
          <w:rFonts w:asciiTheme="minorHAnsi" w:hAnsiTheme="minorHAnsi" w:cstheme="minorHAnsi"/>
          <w:sz w:val="20"/>
        </w:rPr>
        <w:t>Altri Paesi dell’UE in cui il farmaco è commercializzato ad oggi</w:t>
      </w:r>
      <w:bookmarkEnd w:id="208"/>
      <w:bookmarkEnd w:id="209"/>
      <w:r w:rsidRPr="00797A72">
        <w:rPr>
          <w:rFonts w:asciiTheme="minorHAnsi" w:hAnsiTheme="minorHAnsi" w:cstheme="minorHAnsi"/>
          <w:sz w:val="20"/>
        </w:rPr>
        <w:t xml:space="preserve"> </w:t>
      </w:r>
    </w:p>
    <w:p w14:paraId="2D4D1E7C" w14:textId="77777777" w:rsidR="005D57ED" w:rsidRPr="00264943" w:rsidRDefault="005D57ED" w:rsidP="00264943">
      <w:pPr>
        <w:spacing w:line="360" w:lineRule="auto"/>
        <w:rPr>
          <w:rFonts w:eastAsia="Times New Roman" w:cs="Arial"/>
          <w:color w:val="222222"/>
          <w:sz w:val="20"/>
          <w:szCs w:val="20"/>
        </w:rPr>
      </w:pPr>
    </w:p>
    <w:p w14:paraId="45BDF32B" w14:textId="2B36F164" w:rsidR="005A2BD0" w:rsidRPr="00264943" w:rsidRDefault="0063696F" w:rsidP="00264943">
      <w:pPr>
        <w:spacing w:line="360" w:lineRule="auto"/>
        <w:rPr>
          <w:rFonts w:eastAsia="Times New Roman" w:cs="Arial"/>
          <w:color w:val="222222"/>
          <w:sz w:val="20"/>
          <w:szCs w:val="20"/>
        </w:rPr>
      </w:pPr>
      <w:r w:rsidRPr="00264943">
        <w:rPr>
          <w:rFonts w:eastAsia="Times New Roman" w:cs="Arial"/>
          <w:color w:val="222222"/>
          <w:sz w:val="20"/>
          <w:szCs w:val="20"/>
        </w:rPr>
        <w:t xml:space="preserve">Ad oggi </w:t>
      </w:r>
      <w:r w:rsidR="009361DB" w:rsidRPr="00264943">
        <w:rPr>
          <w:rFonts w:eastAsia="Times New Roman" w:cs="Arial"/>
          <w:color w:val="222222"/>
          <w:sz w:val="20"/>
          <w:szCs w:val="20"/>
        </w:rPr>
        <w:t>Z</w:t>
      </w:r>
      <w:r w:rsidR="001A1490" w:rsidRPr="00264943">
        <w:rPr>
          <w:rFonts w:eastAsia="Times New Roman" w:cs="Arial"/>
          <w:color w:val="222222"/>
          <w:sz w:val="20"/>
          <w:szCs w:val="20"/>
        </w:rPr>
        <w:t xml:space="preserve">urampic non è </w:t>
      </w:r>
      <w:r w:rsidRPr="00264943">
        <w:rPr>
          <w:rFonts w:eastAsia="Times New Roman" w:cs="Arial"/>
          <w:color w:val="222222"/>
          <w:sz w:val="20"/>
          <w:szCs w:val="20"/>
        </w:rPr>
        <w:t>commercializzato in nessun Paese dell'UE.</w:t>
      </w:r>
    </w:p>
    <w:p w14:paraId="19C7CACD" w14:textId="77777777" w:rsidR="005A2BD0" w:rsidRPr="00264943" w:rsidRDefault="005A2BD0" w:rsidP="00264943">
      <w:pPr>
        <w:spacing w:line="360" w:lineRule="auto"/>
        <w:rPr>
          <w:rFonts w:eastAsia="Times New Roman" w:cs="Arial"/>
          <w:color w:val="222222"/>
          <w:sz w:val="20"/>
          <w:szCs w:val="20"/>
        </w:rPr>
      </w:pPr>
    </w:p>
    <w:p w14:paraId="0880521F" w14:textId="56219154" w:rsidR="00EA1402" w:rsidRDefault="00F05DF2" w:rsidP="00825BD3">
      <w:pPr>
        <w:pStyle w:val="Heading1"/>
        <w:numPr>
          <w:ilvl w:val="0"/>
          <w:numId w:val="40"/>
        </w:numPr>
        <w:ind w:left="567" w:hanging="567"/>
        <w:rPr>
          <w:rFonts w:asciiTheme="minorHAnsi" w:hAnsiTheme="minorHAnsi" w:cstheme="minorHAnsi"/>
          <w:sz w:val="20"/>
        </w:rPr>
      </w:pPr>
      <w:r w:rsidRPr="005A2BD0">
        <w:rPr>
          <w:rFonts w:cs="Calibri"/>
        </w:rPr>
        <w:br w:type="page"/>
      </w:r>
      <w:bookmarkStart w:id="210" w:name="_Toc473184568"/>
      <w:r w:rsidR="005A2BD0" w:rsidRPr="00797A72">
        <w:rPr>
          <w:rFonts w:asciiTheme="minorHAnsi" w:hAnsiTheme="minorHAnsi" w:cstheme="minorHAnsi"/>
          <w:sz w:val="20"/>
        </w:rPr>
        <w:t>Costo proposto al Servizio Sanitario Nazionale (SSN) italiano per la specialità di cui si richiede la rimborsabilità</w:t>
      </w:r>
      <w:bookmarkEnd w:id="210"/>
    </w:p>
    <w:p w14:paraId="5CCDAAA1" w14:textId="77777777" w:rsidR="007C2B3E" w:rsidRPr="007C2B3E" w:rsidRDefault="007C2B3E" w:rsidP="007C2B3E">
      <w:pPr>
        <w:rPr>
          <w:sz w:val="20"/>
          <w:szCs w:val="20"/>
          <w:lang w:eastAsia="it-IT"/>
        </w:rPr>
      </w:pPr>
    </w:p>
    <w:p w14:paraId="590EB89B" w14:textId="77777777" w:rsidR="004F41F9" w:rsidRPr="003A3038" w:rsidRDefault="004F41F9" w:rsidP="004F41F9">
      <w:pPr>
        <w:pStyle w:val="Heading2"/>
        <w:jc w:val="left"/>
        <w:rPr>
          <w:rFonts w:asciiTheme="minorHAnsi" w:hAnsiTheme="minorHAnsi" w:cstheme="minorHAnsi"/>
          <w:i w:val="0"/>
          <w:sz w:val="20"/>
          <w:u w:val="single"/>
        </w:rPr>
      </w:pPr>
      <w:bookmarkStart w:id="211" w:name="_Toc473184569"/>
      <w:r w:rsidRPr="003A3038">
        <w:rPr>
          <w:rFonts w:asciiTheme="minorHAnsi" w:hAnsiTheme="minorHAnsi" w:cstheme="minorHAnsi"/>
          <w:i w:val="0"/>
          <w:sz w:val="20"/>
        </w:rPr>
        <w:t xml:space="preserve">8.1 </w:t>
      </w:r>
      <w:r w:rsidRPr="003A3038">
        <w:rPr>
          <w:rFonts w:asciiTheme="minorHAnsi" w:hAnsiTheme="minorHAnsi" w:cstheme="minorHAnsi"/>
          <w:i w:val="0"/>
          <w:sz w:val="20"/>
          <w:u w:val="single"/>
        </w:rPr>
        <w:t>Costo delle singole confezioni</w:t>
      </w:r>
      <w:bookmarkEnd w:id="211"/>
    </w:p>
    <w:p w14:paraId="24CD0088" w14:textId="77777777" w:rsidR="004F41F9" w:rsidRDefault="004F41F9" w:rsidP="004F41F9">
      <w:pPr>
        <w:spacing w:line="360" w:lineRule="auto"/>
        <w:rPr>
          <w:rFonts w:cs="Arial"/>
          <w:sz w:val="20"/>
          <w:szCs w:val="20"/>
        </w:rPr>
      </w:pPr>
      <w:r w:rsidRPr="00405C98">
        <w:rPr>
          <w:rFonts w:cs="Arial"/>
          <w:sz w:val="20"/>
          <w:szCs w:val="20"/>
        </w:rPr>
        <w:t xml:space="preserve">ZURAMPIC, </w:t>
      </w:r>
      <w:r>
        <w:rPr>
          <w:rFonts w:cs="Arial"/>
          <w:sz w:val="20"/>
          <w:szCs w:val="20"/>
        </w:rPr>
        <w:t xml:space="preserve">unico uricosurico disponibile in Italia, da somministrare </w:t>
      </w:r>
      <w:r w:rsidRPr="00405C98">
        <w:rPr>
          <w:rFonts w:cs="Arial"/>
          <w:sz w:val="20"/>
          <w:szCs w:val="20"/>
        </w:rPr>
        <w:t xml:space="preserve">in associazione a XOI, si propone come nuovo strumento per risolvere i bisogni non risolti della gotta, ovvero  </w:t>
      </w:r>
    </w:p>
    <w:p w14:paraId="679A1C4C" w14:textId="77777777" w:rsidR="004F41F9" w:rsidRDefault="004F41F9" w:rsidP="00825BD3">
      <w:pPr>
        <w:pStyle w:val="ListParagraph"/>
        <w:numPr>
          <w:ilvl w:val="0"/>
          <w:numId w:val="48"/>
        </w:numPr>
        <w:spacing w:line="360" w:lineRule="auto"/>
        <w:rPr>
          <w:rFonts w:asciiTheme="minorHAnsi" w:hAnsiTheme="minorHAnsi" w:cstheme="minorHAnsi"/>
          <w:sz w:val="20"/>
          <w:szCs w:val="20"/>
        </w:rPr>
      </w:pPr>
      <w:r>
        <w:rPr>
          <w:rFonts w:asciiTheme="minorHAnsi" w:hAnsiTheme="minorHAnsi" w:cstheme="minorHAnsi"/>
          <w:sz w:val="20"/>
          <w:szCs w:val="20"/>
        </w:rPr>
        <w:t xml:space="preserve">fornisce </w:t>
      </w:r>
      <w:r w:rsidRPr="00E05B8A">
        <w:rPr>
          <w:rFonts w:asciiTheme="minorHAnsi" w:hAnsiTheme="minorHAnsi" w:cstheme="minorHAnsi"/>
          <w:sz w:val="20"/>
          <w:szCs w:val="20"/>
        </w:rPr>
        <w:t xml:space="preserve">un trattamento rapido (già dal mese 1) e sostenuto nel tempo (dimostrato nei 24 mesi), </w:t>
      </w:r>
    </w:p>
    <w:p w14:paraId="1E3C86F9" w14:textId="77777777" w:rsidR="004F41F9" w:rsidRDefault="004F41F9" w:rsidP="00825BD3">
      <w:pPr>
        <w:pStyle w:val="ListParagraph"/>
        <w:numPr>
          <w:ilvl w:val="0"/>
          <w:numId w:val="48"/>
        </w:numPr>
        <w:spacing w:line="360" w:lineRule="auto"/>
        <w:rPr>
          <w:rFonts w:asciiTheme="minorHAnsi" w:hAnsiTheme="minorHAnsi" w:cstheme="minorHAnsi"/>
          <w:sz w:val="20"/>
          <w:szCs w:val="20"/>
        </w:rPr>
      </w:pPr>
      <w:r>
        <w:rPr>
          <w:rFonts w:asciiTheme="minorHAnsi" w:hAnsiTheme="minorHAnsi" w:cstheme="minorHAnsi"/>
          <w:sz w:val="20"/>
          <w:szCs w:val="20"/>
        </w:rPr>
        <w:t xml:space="preserve">fornisce un trattamento </w:t>
      </w:r>
      <w:r w:rsidRPr="00E05B8A">
        <w:rPr>
          <w:rFonts w:asciiTheme="minorHAnsi" w:hAnsiTheme="minorHAnsi" w:cstheme="minorHAnsi"/>
          <w:sz w:val="20"/>
          <w:szCs w:val="20"/>
        </w:rPr>
        <w:t xml:space="preserve">più efficace nel raggiungere il target uricemico rispetto agli XOI (raddoppia il numero di pazienti che raggiungono il target raccomandato dalle Linee Guida e riduce i livelli sierici di acido urico del 15-25%, già dal primo mese di trattamento) </w:t>
      </w:r>
    </w:p>
    <w:p w14:paraId="1312BF7F" w14:textId="77777777" w:rsidR="004F41F9" w:rsidRDefault="004F41F9" w:rsidP="00825BD3">
      <w:pPr>
        <w:pStyle w:val="ListParagraph"/>
        <w:numPr>
          <w:ilvl w:val="0"/>
          <w:numId w:val="48"/>
        </w:numPr>
        <w:spacing w:line="360" w:lineRule="auto"/>
        <w:rPr>
          <w:rFonts w:asciiTheme="minorHAnsi" w:hAnsiTheme="minorHAnsi" w:cstheme="minorHAnsi"/>
          <w:sz w:val="20"/>
          <w:szCs w:val="20"/>
        </w:rPr>
      </w:pPr>
      <w:r w:rsidRPr="00E05B8A">
        <w:rPr>
          <w:rFonts w:asciiTheme="minorHAnsi" w:hAnsiTheme="minorHAnsi" w:cstheme="minorHAnsi"/>
          <w:sz w:val="20"/>
          <w:szCs w:val="20"/>
        </w:rPr>
        <w:t>ridu</w:t>
      </w:r>
      <w:r>
        <w:rPr>
          <w:rFonts w:asciiTheme="minorHAnsi" w:hAnsiTheme="minorHAnsi" w:cstheme="minorHAnsi"/>
          <w:sz w:val="20"/>
          <w:szCs w:val="20"/>
        </w:rPr>
        <w:t>ce</w:t>
      </w:r>
      <w:r w:rsidRPr="00E05B8A">
        <w:rPr>
          <w:rFonts w:asciiTheme="minorHAnsi" w:hAnsiTheme="minorHAnsi" w:cstheme="minorHAnsi"/>
          <w:sz w:val="20"/>
          <w:szCs w:val="20"/>
        </w:rPr>
        <w:t xml:space="preserve"> costantemente e nel lungo periodo (dimostrato nei 24 mesi) i tofi e le riacutizzazioni,</w:t>
      </w:r>
    </w:p>
    <w:p w14:paraId="51493816" w14:textId="49976536" w:rsidR="004F41F9" w:rsidRPr="00E05B8A" w:rsidRDefault="004F41F9" w:rsidP="00825BD3">
      <w:pPr>
        <w:pStyle w:val="ListParagraph"/>
        <w:numPr>
          <w:ilvl w:val="0"/>
          <w:numId w:val="48"/>
        </w:numPr>
        <w:spacing w:line="360" w:lineRule="auto"/>
        <w:rPr>
          <w:rFonts w:asciiTheme="minorHAnsi" w:hAnsiTheme="minorHAnsi" w:cstheme="minorHAnsi"/>
          <w:sz w:val="20"/>
          <w:szCs w:val="20"/>
        </w:rPr>
      </w:pPr>
      <w:r>
        <w:rPr>
          <w:rFonts w:asciiTheme="minorHAnsi" w:hAnsiTheme="minorHAnsi" w:cstheme="minorHAnsi"/>
          <w:sz w:val="20"/>
          <w:szCs w:val="20"/>
        </w:rPr>
        <w:t>presenta</w:t>
      </w:r>
      <w:r w:rsidRPr="00E05B8A">
        <w:rPr>
          <w:rFonts w:asciiTheme="minorHAnsi" w:hAnsiTheme="minorHAnsi" w:cstheme="minorHAnsi"/>
          <w:sz w:val="20"/>
          <w:szCs w:val="20"/>
        </w:rPr>
        <w:t xml:space="preserve"> una generale buona tollerabilità (paragonabile a quella che si ottiene con allopurinolo e febuxostat in monoterapia), </w:t>
      </w:r>
      <w:r w:rsidR="00E34E16">
        <w:rPr>
          <w:rFonts w:asciiTheme="minorHAnsi" w:hAnsiTheme="minorHAnsi" w:cstheme="minorHAnsi"/>
          <w:sz w:val="20"/>
          <w:szCs w:val="20"/>
        </w:rPr>
        <w:t>confermata dai risultati a lungo termine (</w:t>
      </w:r>
      <w:r w:rsidR="00460BDA">
        <w:rPr>
          <w:rFonts w:asciiTheme="minorHAnsi" w:hAnsiTheme="minorHAnsi" w:cstheme="minorHAnsi"/>
          <w:sz w:val="20"/>
          <w:szCs w:val="20"/>
        </w:rPr>
        <w:t xml:space="preserve">fino a </w:t>
      </w:r>
      <w:r w:rsidR="00E34E16">
        <w:rPr>
          <w:rFonts w:asciiTheme="minorHAnsi" w:hAnsiTheme="minorHAnsi" w:cstheme="minorHAnsi"/>
          <w:sz w:val="20"/>
          <w:szCs w:val="20"/>
        </w:rPr>
        <w:t xml:space="preserve">52 </w:t>
      </w:r>
      <w:r w:rsidR="00460BDA">
        <w:rPr>
          <w:rFonts w:asciiTheme="minorHAnsi" w:hAnsiTheme="minorHAnsi" w:cstheme="minorHAnsi"/>
          <w:sz w:val="20"/>
          <w:szCs w:val="20"/>
        </w:rPr>
        <w:t>mesi</w:t>
      </w:r>
      <w:r w:rsidR="00E34E16">
        <w:rPr>
          <w:rFonts w:asciiTheme="minorHAnsi" w:hAnsiTheme="minorHAnsi" w:cstheme="minorHAnsi"/>
          <w:sz w:val="20"/>
          <w:szCs w:val="20"/>
        </w:rPr>
        <w:t xml:space="preserve"> di trattamento) e </w:t>
      </w:r>
      <w:r w:rsidRPr="00E05B8A">
        <w:rPr>
          <w:rFonts w:asciiTheme="minorHAnsi" w:hAnsiTheme="minorHAnsi" w:cstheme="minorHAnsi"/>
          <w:sz w:val="20"/>
          <w:szCs w:val="20"/>
        </w:rPr>
        <w:t>anche in alcuni sottogruppi di pazienti (ad es. pazienti con insufficienza renale moderata, pazienti trattati con aspirina, pazienti t</w:t>
      </w:r>
      <w:r>
        <w:rPr>
          <w:rFonts w:asciiTheme="minorHAnsi" w:hAnsiTheme="minorHAnsi" w:cstheme="minorHAnsi"/>
          <w:sz w:val="20"/>
          <w:szCs w:val="20"/>
        </w:rPr>
        <w:t>rattati con diuretici tiazidici e nei pazienti con età ≥65 anni</w:t>
      </w:r>
      <w:r w:rsidRPr="00E05B8A">
        <w:rPr>
          <w:rFonts w:asciiTheme="minorHAnsi" w:hAnsiTheme="minorHAnsi" w:cstheme="minorHAnsi"/>
          <w:sz w:val="20"/>
          <w:szCs w:val="20"/>
        </w:rPr>
        <w:t>)</w:t>
      </w:r>
      <w:r>
        <w:rPr>
          <w:rFonts w:asciiTheme="minorHAnsi" w:hAnsiTheme="minorHAnsi" w:cstheme="minorHAnsi"/>
          <w:sz w:val="20"/>
          <w:szCs w:val="20"/>
        </w:rPr>
        <w:t>.</w:t>
      </w:r>
    </w:p>
    <w:p w14:paraId="00F992BE" w14:textId="77777777" w:rsidR="004F41F9" w:rsidRDefault="004F41F9" w:rsidP="004F41F9">
      <w:pPr>
        <w:spacing w:line="360" w:lineRule="auto"/>
        <w:rPr>
          <w:rFonts w:cs="Arial"/>
          <w:b/>
          <w:sz w:val="20"/>
          <w:szCs w:val="20"/>
        </w:rPr>
      </w:pPr>
    </w:p>
    <w:p w14:paraId="017F21F9" w14:textId="77777777" w:rsidR="004F41F9" w:rsidRDefault="004F41F9" w:rsidP="004F41F9">
      <w:pPr>
        <w:spacing w:line="360" w:lineRule="auto"/>
        <w:rPr>
          <w:rFonts w:cs="Arial"/>
          <w:b/>
          <w:sz w:val="20"/>
          <w:szCs w:val="20"/>
        </w:rPr>
      </w:pPr>
      <w:r w:rsidRPr="00F61A51">
        <w:rPr>
          <w:rFonts w:cs="Arial"/>
          <w:b/>
          <w:sz w:val="20"/>
          <w:szCs w:val="20"/>
        </w:rPr>
        <w:t>ZURAMPIC, somministrato in associazione ad un farmaco XOI, rappresenta una nuova possibilità terapeutica</w:t>
      </w:r>
      <w:r>
        <w:rPr>
          <w:rFonts w:cs="Arial"/>
          <w:b/>
          <w:sz w:val="20"/>
          <w:szCs w:val="20"/>
        </w:rPr>
        <w:t xml:space="preserve"> nel </w:t>
      </w:r>
      <w:r w:rsidRPr="00405C98">
        <w:rPr>
          <w:rFonts w:cs="Arial"/>
          <w:b/>
          <w:sz w:val="20"/>
          <w:szCs w:val="20"/>
        </w:rPr>
        <w:t>trattamento dell’iperuricemia in pazienti con gotta</w:t>
      </w:r>
      <w:r w:rsidRPr="00F61A51">
        <w:rPr>
          <w:rFonts w:cs="Arial"/>
          <w:b/>
          <w:sz w:val="20"/>
          <w:szCs w:val="20"/>
        </w:rPr>
        <w:t xml:space="preserve"> non adeguatamente controllata con le terapie standard</w:t>
      </w:r>
      <w:r>
        <w:rPr>
          <w:rFonts w:cs="Arial"/>
          <w:b/>
          <w:sz w:val="20"/>
          <w:szCs w:val="20"/>
        </w:rPr>
        <w:t xml:space="preserve"> e risponde ad importanti necessità terapeutiche non soddisfatte dalle attuali opzioni farmacologiche, in quanto capace di correggere l’alterazione patogenetica di più frequente riscontro nei pazienti con gotta (cioè l’insufficiente escrezione renale di acido urico)</w:t>
      </w:r>
      <w:r w:rsidRPr="00F61A51">
        <w:rPr>
          <w:rFonts w:cs="Arial"/>
          <w:b/>
          <w:sz w:val="20"/>
          <w:szCs w:val="20"/>
        </w:rPr>
        <w:t>.</w:t>
      </w:r>
    </w:p>
    <w:p w14:paraId="0547019D" w14:textId="77777777" w:rsidR="004F41F9" w:rsidRDefault="004F41F9" w:rsidP="004F41F9">
      <w:pPr>
        <w:spacing w:line="360" w:lineRule="auto"/>
        <w:rPr>
          <w:rFonts w:cs="Arial"/>
          <w:sz w:val="20"/>
          <w:szCs w:val="20"/>
        </w:rPr>
      </w:pPr>
    </w:p>
    <w:p w14:paraId="10158CD6" w14:textId="77777777" w:rsidR="004F41F9" w:rsidRDefault="004F41F9" w:rsidP="004F41F9">
      <w:pPr>
        <w:spacing w:line="360" w:lineRule="auto"/>
        <w:rPr>
          <w:rFonts w:cs="Arial"/>
          <w:sz w:val="20"/>
          <w:szCs w:val="20"/>
        </w:rPr>
      </w:pPr>
      <w:r>
        <w:rPr>
          <w:rFonts w:cs="Arial"/>
          <w:sz w:val="20"/>
          <w:szCs w:val="20"/>
        </w:rPr>
        <w:t>L</w:t>
      </w:r>
      <w:r w:rsidRPr="004F2A8E">
        <w:rPr>
          <w:rFonts w:cs="Arial"/>
          <w:sz w:val="20"/>
          <w:szCs w:val="20"/>
        </w:rPr>
        <w:t xml:space="preserve">’Azienda propone l’inserimento di ZURAMPIC (lesinurad) in classe di rimborsabilità A </w:t>
      </w:r>
      <w:r>
        <w:rPr>
          <w:rFonts w:cs="Arial"/>
          <w:sz w:val="20"/>
          <w:szCs w:val="20"/>
        </w:rPr>
        <w:t>come di seguito specificato, in accordo alle Linee Guida EULAR 2016, in fase di recepimento dalle Linee Guida SIR 2013:</w:t>
      </w:r>
    </w:p>
    <w:p w14:paraId="25C899B3" w14:textId="77777777" w:rsidR="004F41F9" w:rsidRPr="00F04AD2" w:rsidRDefault="004F41F9" w:rsidP="00825BD3">
      <w:pPr>
        <w:numPr>
          <w:ilvl w:val="0"/>
          <w:numId w:val="38"/>
        </w:numPr>
        <w:spacing w:line="360" w:lineRule="auto"/>
        <w:rPr>
          <w:rFonts w:eastAsia="Times New Roman" w:cs="Arial"/>
          <w:color w:val="222222"/>
          <w:sz w:val="20"/>
          <w:szCs w:val="20"/>
        </w:rPr>
      </w:pPr>
      <w:r w:rsidRPr="00F04AD2">
        <w:rPr>
          <w:rFonts w:cs="Arial"/>
          <w:sz w:val="20"/>
          <w:szCs w:val="20"/>
        </w:rPr>
        <w:t>LESU+ALLO: terapia in associazione, di seconda linea quando il paziente non raggiunge il target uricemico con dosaggi terapeutici ottimali di allopurinolo monoterapia;</w:t>
      </w:r>
    </w:p>
    <w:p w14:paraId="1BBD2C02" w14:textId="77777777" w:rsidR="004F41F9" w:rsidRPr="00F04AD2" w:rsidRDefault="004F41F9" w:rsidP="00825BD3">
      <w:pPr>
        <w:numPr>
          <w:ilvl w:val="0"/>
          <w:numId w:val="38"/>
        </w:numPr>
        <w:spacing w:line="360" w:lineRule="auto"/>
        <w:rPr>
          <w:rFonts w:eastAsia="Times New Roman" w:cs="Arial"/>
          <w:color w:val="222222"/>
          <w:sz w:val="20"/>
          <w:szCs w:val="20"/>
        </w:rPr>
      </w:pPr>
      <w:r w:rsidRPr="00F04AD2">
        <w:rPr>
          <w:rFonts w:cs="Arial"/>
          <w:sz w:val="20"/>
          <w:szCs w:val="20"/>
        </w:rPr>
        <w:t>LESU+FEB: terapia in associazione, di terza linea quando il paziente non raggiunge il target uricemico con dosaggi terapeutici ottimali di febuxostat monoterapia o di LESU+ALLO</w:t>
      </w:r>
    </w:p>
    <w:p w14:paraId="434E1112" w14:textId="77777777" w:rsidR="004F41F9" w:rsidRDefault="004F41F9" w:rsidP="004F41F9">
      <w:pPr>
        <w:spacing w:line="360" w:lineRule="auto"/>
        <w:rPr>
          <w:rFonts w:eastAsia="Times New Roman" w:cs="Arial"/>
          <w:color w:val="222222"/>
          <w:sz w:val="20"/>
          <w:szCs w:val="20"/>
        </w:rPr>
      </w:pPr>
    </w:p>
    <w:p w14:paraId="24F1B48C" w14:textId="77777777" w:rsidR="004F41F9" w:rsidRDefault="004F41F9" w:rsidP="004F41F9">
      <w:pPr>
        <w:spacing w:line="360" w:lineRule="auto"/>
        <w:rPr>
          <w:rFonts w:eastAsia="Times New Roman" w:cs="Arial"/>
          <w:color w:val="222222"/>
          <w:sz w:val="20"/>
          <w:szCs w:val="20"/>
        </w:rPr>
      </w:pPr>
      <w:r w:rsidRPr="00264943">
        <w:rPr>
          <w:rFonts w:eastAsia="Times New Roman" w:cs="Arial"/>
          <w:color w:val="222222"/>
          <w:sz w:val="20"/>
          <w:szCs w:val="20"/>
        </w:rPr>
        <w:t>L</w:t>
      </w:r>
      <w:r>
        <w:rPr>
          <w:rFonts w:eastAsia="Times New Roman" w:cs="Arial"/>
          <w:color w:val="222222"/>
          <w:sz w:val="20"/>
          <w:szCs w:val="20"/>
        </w:rPr>
        <w:t xml:space="preserve">’Azienda </w:t>
      </w:r>
      <w:r w:rsidRPr="00264943">
        <w:rPr>
          <w:rFonts w:eastAsia="Times New Roman" w:cs="Arial"/>
          <w:color w:val="222222"/>
          <w:sz w:val="20"/>
          <w:szCs w:val="20"/>
        </w:rPr>
        <w:t>richiede per la confezione da 30 compresse, ciascuna contenete 200 mg di lesinurad, la classificazione in Classe A al seguente prezzo di rimborso:</w:t>
      </w:r>
    </w:p>
    <w:p w14:paraId="67A82849" w14:textId="77777777" w:rsidR="004F41F9" w:rsidRPr="00264943" w:rsidRDefault="004F41F9" w:rsidP="004F41F9">
      <w:pPr>
        <w:spacing w:line="360" w:lineRule="auto"/>
        <w:rPr>
          <w:rFonts w:eastAsia="Times New Roman" w:cs="Arial"/>
          <w:color w:val="222222"/>
          <w:sz w:val="20"/>
          <w:szCs w:val="20"/>
        </w:rPr>
      </w:pPr>
    </w:p>
    <w:p w14:paraId="391E7906" w14:textId="77777777" w:rsidR="004F41F9" w:rsidRPr="00221759" w:rsidRDefault="004F41F9" w:rsidP="004F41F9">
      <w:pPr>
        <w:autoSpaceDE w:val="0"/>
        <w:autoSpaceDN w:val="0"/>
        <w:adjustRightInd w:val="0"/>
        <w:rPr>
          <w:rFonts w:cs="Calibri"/>
          <w:i/>
          <w:color w:val="000000"/>
          <w:sz w:val="20"/>
          <w:szCs w:val="22"/>
          <w:u w:val="single"/>
        </w:rPr>
      </w:pPr>
      <w:r w:rsidRPr="00221759">
        <w:rPr>
          <w:rFonts w:cs="Calibri"/>
          <w:i/>
          <w:color w:val="000000"/>
          <w:sz w:val="20"/>
          <w:szCs w:val="22"/>
          <w:u w:val="single"/>
        </w:rPr>
        <w:t>Al lordo degli sconti di legge</w:t>
      </w:r>
    </w:p>
    <w:p w14:paraId="6115A25C" w14:textId="77777777" w:rsidR="004F41F9" w:rsidRPr="00221759" w:rsidRDefault="004F41F9" w:rsidP="004F41F9">
      <w:pPr>
        <w:autoSpaceDE w:val="0"/>
        <w:autoSpaceDN w:val="0"/>
        <w:adjustRightInd w:val="0"/>
        <w:rPr>
          <w:rFonts w:cs="Calibri"/>
          <w:color w:val="000000"/>
          <w:sz w:val="20"/>
          <w:szCs w:val="22"/>
        </w:rPr>
      </w:pPr>
    </w:p>
    <w:tbl>
      <w:tblPr>
        <w:tblStyle w:val="TableGrid"/>
        <w:tblW w:w="0" w:type="auto"/>
        <w:tblLook w:val="04A0" w:firstRow="1" w:lastRow="0" w:firstColumn="1" w:lastColumn="0" w:noHBand="0" w:noVBand="1"/>
      </w:tblPr>
      <w:tblGrid>
        <w:gridCol w:w="3005"/>
        <w:gridCol w:w="3006"/>
        <w:gridCol w:w="3006"/>
      </w:tblGrid>
      <w:tr w:rsidR="004F41F9" w:rsidRPr="00221759" w14:paraId="47909FFA" w14:textId="77777777" w:rsidTr="0087637F">
        <w:tc>
          <w:tcPr>
            <w:tcW w:w="3005" w:type="dxa"/>
          </w:tcPr>
          <w:p w14:paraId="160292B1" w14:textId="77777777" w:rsidR="004F41F9" w:rsidRPr="00221759" w:rsidRDefault="004F41F9" w:rsidP="0087637F">
            <w:pPr>
              <w:tabs>
                <w:tab w:val="left" w:pos="540"/>
              </w:tabs>
              <w:autoSpaceDE w:val="0"/>
              <w:autoSpaceDN w:val="0"/>
              <w:adjustRightInd w:val="0"/>
              <w:jc w:val="both"/>
              <w:rPr>
                <w:rFonts w:cs="Calibri"/>
                <w:b/>
                <w:sz w:val="20"/>
              </w:rPr>
            </w:pPr>
            <w:r>
              <w:rPr>
                <w:rFonts w:cs="Calibri"/>
                <w:color w:val="000000"/>
                <w:sz w:val="20"/>
                <w:szCs w:val="22"/>
              </w:rPr>
              <w:t>Zurampic®</w:t>
            </w:r>
          </w:p>
        </w:tc>
        <w:tc>
          <w:tcPr>
            <w:tcW w:w="3006" w:type="dxa"/>
          </w:tcPr>
          <w:p w14:paraId="7BC26005"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 xml:space="preserve">PP </w:t>
            </w:r>
          </w:p>
        </w:tc>
        <w:tc>
          <w:tcPr>
            <w:tcW w:w="3006" w:type="dxa"/>
          </w:tcPr>
          <w:p w14:paraId="6AEAAA35"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EF</w:t>
            </w:r>
          </w:p>
        </w:tc>
      </w:tr>
      <w:tr w:rsidR="004F41F9" w:rsidRPr="00221759" w14:paraId="22D9A292" w14:textId="77777777" w:rsidTr="0087637F">
        <w:tc>
          <w:tcPr>
            <w:tcW w:w="3005" w:type="dxa"/>
          </w:tcPr>
          <w:p w14:paraId="125602E1" w14:textId="77777777" w:rsidR="004F41F9" w:rsidRDefault="004F41F9" w:rsidP="0087637F">
            <w:pPr>
              <w:tabs>
                <w:tab w:val="left" w:pos="540"/>
              </w:tabs>
              <w:autoSpaceDE w:val="0"/>
              <w:autoSpaceDN w:val="0"/>
              <w:adjustRightInd w:val="0"/>
              <w:jc w:val="both"/>
              <w:rPr>
                <w:rFonts w:cs="Calibri"/>
                <w:b/>
                <w:sz w:val="20"/>
              </w:rPr>
            </w:pPr>
            <w:r>
              <w:rPr>
                <w:rFonts w:cs="Calibri"/>
                <w:b/>
                <w:sz w:val="20"/>
              </w:rPr>
              <w:t>30</w:t>
            </w:r>
            <w:r w:rsidRPr="00221759">
              <w:rPr>
                <w:rFonts w:cs="Calibri"/>
                <w:b/>
                <w:sz w:val="20"/>
              </w:rPr>
              <w:t xml:space="preserve"> c</w:t>
            </w:r>
            <w:r>
              <w:rPr>
                <w:rFonts w:cs="Calibri"/>
                <w:b/>
                <w:sz w:val="20"/>
              </w:rPr>
              <w:t xml:space="preserve">ompresse 200 mg </w:t>
            </w:r>
          </w:p>
          <w:p w14:paraId="08B9290A" w14:textId="77777777" w:rsidR="004F41F9" w:rsidRPr="00221759" w:rsidRDefault="004F41F9" w:rsidP="0087637F">
            <w:pPr>
              <w:tabs>
                <w:tab w:val="left" w:pos="540"/>
              </w:tabs>
              <w:autoSpaceDE w:val="0"/>
              <w:autoSpaceDN w:val="0"/>
              <w:adjustRightInd w:val="0"/>
              <w:jc w:val="both"/>
              <w:rPr>
                <w:rFonts w:cs="Calibri"/>
                <w:b/>
                <w:sz w:val="20"/>
              </w:rPr>
            </w:pPr>
            <w:r>
              <w:rPr>
                <w:rFonts w:cs="Calibri"/>
                <w:b/>
                <w:sz w:val="20"/>
              </w:rPr>
              <w:t>AIC 044727030</w:t>
            </w:r>
          </w:p>
        </w:tc>
        <w:tc>
          <w:tcPr>
            <w:tcW w:w="3006" w:type="dxa"/>
          </w:tcPr>
          <w:p w14:paraId="42681A0F" w14:textId="77777777" w:rsidR="004F41F9" w:rsidRPr="00221759" w:rsidRDefault="004F41F9" w:rsidP="0087637F">
            <w:pPr>
              <w:tabs>
                <w:tab w:val="left" w:pos="540"/>
              </w:tabs>
              <w:autoSpaceDE w:val="0"/>
              <w:autoSpaceDN w:val="0"/>
              <w:adjustRightInd w:val="0"/>
              <w:jc w:val="center"/>
              <w:rPr>
                <w:rFonts w:cs="Calibri"/>
                <w:sz w:val="20"/>
              </w:rPr>
            </w:pPr>
          </w:p>
          <w:p w14:paraId="2EBC787C" w14:textId="77777777" w:rsidR="004F41F9" w:rsidRPr="00221759" w:rsidRDefault="004F41F9" w:rsidP="0087637F">
            <w:pPr>
              <w:tabs>
                <w:tab w:val="left" w:pos="540"/>
              </w:tabs>
              <w:autoSpaceDE w:val="0"/>
              <w:autoSpaceDN w:val="0"/>
              <w:adjustRightInd w:val="0"/>
              <w:jc w:val="center"/>
              <w:rPr>
                <w:rFonts w:cs="Calibri"/>
                <w:sz w:val="20"/>
              </w:rPr>
            </w:pPr>
            <w:r>
              <w:rPr>
                <w:rFonts w:cs="Calibri"/>
                <w:sz w:val="20"/>
              </w:rPr>
              <w:t>46,64</w:t>
            </w:r>
            <w:r w:rsidRPr="00221759">
              <w:rPr>
                <w:rFonts w:cs="Calibri"/>
                <w:sz w:val="20"/>
              </w:rPr>
              <w:t xml:space="preserve"> €</w:t>
            </w:r>
          </w:p>
          <w:p w14:paraId="0F66E805" w14:textId="77777777" w:rsidR="004F41F9" w:rsidRPr="00221759" w:rsidRDefault="004F41F9" w:rsidP="0087637F">
            <w:pPr>
              <w:tabs>
                <w:tab w:val="left" w:pos="540"/>
              </w:tabs>
              <w:autoSpaceDE w:val="0"/>
              <w:autoSpaceDN w:val="0"/>
              <w:adjustRightInd w:val="0"/>
              <w:jc w:val="center"/>
              <w:rPr>
                <w:rFonts w:cs="Calibri"/>
                <w:sz w:val="20"/>
              </w:rPr>
            </w:pPr>
          </w:p>
        </w:tc>
        <w:tc>
          <w:tcPr>
            <w:tcW w:w="3006" w:type="dxa"/>
          </w:tcPr>
          <w:p w14:paraId="79DFB96A"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p>
          <w:p w14:paraId="16D92127"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r>
              <w:rPr>
                <w:rFonts w:cs="Calibri"/>
                <w:sz w:val="20"/>
              </w:rPr>
              <w:t>28,26</w:t>
            </w:r>
            <w:r w:rsidRPr="00221759">
              <w:rPr>
                <w:rFonts w:cs="Calibri"/>
                <w:sz w:val="20"/>
              </w:rPr>
              <w:t xml:space="preserve"> €</w:t>
            </w:r>
          </w:p>
        </w:tc>
      </w:tr>
    </w:tbl>
    <w:p w14:paraId="123E86DF" w14:textId="77777777" w:rsidR="004F41F9" w:rsidRPr="00221759" w:rsidRDefault="004F41F9" w:rsidP="004F41F9">
      <w:pPr>
        <w:autoSpaceDE w:val="0"/>
        <w:autoSpaceDN w:val="0"/>
        <w:adjustRightInd w:val="0"/>
        <w:rPr>
          <w:rFonts w:cs="Calibri"/>
          <w:i/>
          <w:color w:val="000000"/>
          <w:sz w:val="20"/>
          <w:szCs w:val="22"/>
          <w:u w:val="single"/>
        </w:rPr>
      </w:pPr>
      <w:r w:rsidRPr="00221759">
        <w:rPr>
          <w:rFonts w:cs="Calibri"/>
          <w:i/>
          <w:color w:val="000000"/>
          <w:sz w:val="20"/>
          <w:szCs w:val="22"/>
          <w:u w:val="single"/>
        </w:rPr>
        <w:t>Al netto degli sconti di legge</w:t>
      </w:r>
    </w:p>
    <w:p w14:paraId="03C8C599" w14:textId="77777777" w:rsidR="004F41F9" w:rsidRPr="00221759" w:rsidRDefault="004F41F9" w:rsidP="004F41F9">
      <w:pPr>
        <w:autoSpaceDE w:val="0"/>
        <w:autoSpaceDN w:val="0"/>
        <w:adjustRightInd w:val="0"/>
        <w:rPr>
          <w:rFonts w:cs="Calibri"/>
          <w:color w:val="000000"/>
          <w:sz w:val="20"/>
          <w:szCs w:val="22"/>
        </w:rPr>
      </w:pPr>
    </w:p>
    <w:tbl>
      <w:tblPr>
        <w:tblStyle w:val="TableGrid"/>
        <w:tblW w:w="0" w:type="auto"/>
        <w:tblLook w:val="04A0" w:firstRow="1" w:lastRow="0" w:firstColumn="1" w:lastColumn="0" w:noHBand="0" w:noVBand="1"/>
      </w:tblPr>
      <w:tblGrid>
        <w:gridCol w:w="3005"/>
        <w:gridCol w:w="3006"/>
        <w:gridCol w:w="3006"/>
      </w:tblGrid>
      <w:tr w:rsidR="004F41F9" w:rsidRPr="00221759" w14:paraId="25DC25CE" w14:textId="77777777" w:rsidTr="0087637F">
        <w:tc>
          <w:tcPr>
            <w:tcW w:w="3005" w:type="dxa"/>
          </w:tcPr>
          <w:p w14:paraId="485134FB" w14:textId="77777777" w:rsidR="004F41F9" w:rsidRPr="00221759" w:rsidRDefault="004F41F9" w:rsidP="0087637F">
            <w:pPr>
              <w:tabs>
                <w:tab w:val="left" w:pos="540"/>
              </w:tabs>
              <w:autoSpaceDE w:val="0"/>
              <w:autoSpaceDN w:val="0"/>
              <w:adjustRightInd w:val="0"/>
              <w:jc w:val="both"/>
              <w:rPr>
                <w:rFonts w:cs="Calibri"/>
                <w:b/>
                <w:sz w:val="20"/>
              </w:rPr>
            </w:pPr>
            <w:r>
              <w:rPr>
                <w:rFonts w:cs="Calibri"/>
                <w:color w:val="000000"/>
                <w:sz w:val="20"/>
                <w:szCs w:val="22"/>
              </w:rPr>
              <w:t>Zurampic®</w:t>
            </w:r>
          </w:p>
        </w:tc>
        <w:tc>
          <w:tcPr>
            <w:tcW w:w="3006" w:type="dxa"/>
          </w:tcPr>
          <w:p w14:paraId="6E6A5613"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 xml:space="preserve">PP </w:t>
            </w:r>
          </w:p>
        </w:tc>
        <w:tc>
          <w:tcPr>
            <w:tcW w:w="3006" w:type="dxa"/>
          </w:tcPr>
          <w:p w14:paraId="00750F64"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EF</w:t>
            </w:r>
          </w:p>
        </w:tc>
      </w:tr>
      <w:tr w:rsidR="004F41F9" w:rsidRPr="00221759" w14:paraId="288A537E" w14:textId="77777777" w:rsidTr="0087637F">
        <w:tc>
          <w:tcPr>
            <w:tcW w:w="3005" w:type="dxa"/>
          </w:tcPr>
          <w:p w14:paraId="09A30557" w14:textId="77777777" w:rsidR="004F41F9" w:rsidRDefault="004F41F9" w:rsidP="0087637F">
            <w:pPr>
              <w:tabs>
                <w:tab w:val="left" w:pos="540"/>
              </w:tabs>
              <w:autoSpaceDE w:val="0"/>
              <w:autoSpaceDN w:val="0"/>
              <w:adjustRightInd w:val="0"/>
              <w:jc w:val="both"/>
              <w:rPr>
                <w:rFonts w:cs="Calibri"/>
                <w:b/>
                <w:sz w:val="20"/>
              </w:rPr>
            </w:pPr>
            <w:r>
              <w:rPr>
                <w:rFonts w:cs="Calibri"/>
                <w:b/>
                <w:sz w:val="20"/>
              </w:rPr>
              <w:t>30</w:t>
            </w:r>
            <w:r w:rsidRPr="00221759">
              <w:rPr>
                <w:rFonts w:cs="Calibri"/>
                <w:b/>
                <w:sz w:val="20"/>
              </w:rPr>
              <w:t xml:space="preserve"> c</w:t>
            </w:r>
            <w:r>
              <w:rPr>
                <w:rFonts w:cs="Calibri"/>
                <w:b/>
                <w:sz w:val="20"/>
              </w:rPr>
              <w:t xml:space="preserve">ompresse 200 mg </w:t>
            </w:r>
          </w:p>
          <w:p w14:paraId="4E108DBE" w14:textId="77777777" w:rsidR="004F41F9" w:rsidRPr="00221759" w:rsidRDefault="004F41F9" w:rsidP="0087637F">
            <w:pPr>
              <w:tabs>
                <w:tab w:val="left" w:pos="540"/>
              </w:tabs>
              <w:autoSpaceDE w:val="0"/>
              <w:autoSpaceDN w:val="0"/>
              <w:adjustRightInd w:val="0"/>
              <w:jc w:val="both"/>
              <w:rPr>
                <w:rFonts w:cs="Calibri"/>
                <w:b/>
                <w:sz w:val="20"/>
              </w:rPr>
            </w:pPr>
            <w:r>
              <w:rPr>
                <w:rFonts w:cs="Calibri"/>
                <w:b/>
                <w:sz w:val="20"/>
              </w:rPr>
              <w:t>AIC 044727030</w:t>
            </w:r>
          </w:p>
        </w:tc>
        <w:tc>
          <w:tcPr>
            <w:tcW w:w="3006" w:type="dxa"/>
          </w:tcPr>
          <w:p w14:paraId="6C1A9DE1" w14:textId="77777777" w:rsidR="004F41F9" w:rsidRPr="00221759" w:rsidRDefault="004F41F9" w:rsidP="0087637F">
            <w:pPr>
              <w:tabs>
                <w:tab w:val="left" w:pos="540"/>
              </w:tabs>
              <w:autoSpaceDE w:val="0"/>
              <w:autoSpaceDN w:val="0"/>
              <w:adjustRightInd w:val="0"/>
              <w:jc w:val="center"/>
              <w:rPr>
                <w:rFonts w:cs="Calibri"/>
                <w:sz w:val="20"/>
              </w:rPr>
            </w:pPr>
          </w:p>
          <w:p w14:paraId="5427BFE4" w14:textId="77777777" w:rsidR="004F41F9" w:rsidRPr="00221759" w:rsidRDefault="004F41F9" w:rsidP="0087637F">
            <w:pPr>
              <w:tabs>
                <w:tab w:val="left" w:pos="540"/>
              </w:tabs>
              <w:autoSpaceDE w:val="0"/>
              <w:autoSpaceDN w:val="0"/>
              <w:adjustRightInd w:val="0"/>
              <w:jc w:val="center"/>
              <w:rPr>
                <w:rFonts w:cs="Calibri"/>
                <w:sz w:val="20"/>
              </w:rPr>
            </w:pPr>
            <w:r>
              <w:rPr>
                <w:rFonts w:cs="Calibri"/>
                <w:sz w:val="20"/>
              </w:rPr>
              <w:t>42,09</w:t>
            </w:r>
            <w:r w:rsidRPr="00221759">
              <w:rPr>
                <w:rFonts w:cs="Calibri"/>
                <w:sz w:val="20"/>
              </w:rPr>
              <w:t xml:space="preserve"> €</w:t>
            </w:r>
          </w:p>
          <w:p w14:paraId="13F9711C" w14:textId="77777777" w:rsidR="004F41F9" w:rsidRPr="00221759" w:rsidRDefault="004F41F9" w:rsidP="0087637F">
            <w:pPr>
              <w:tabs>
                <w:tab w:val="left" w:pos="540"/>
              </w:tabs>
              <w:autoSpaceDE w:val="0"/>
              <w:autoSpaceDN w:val="0"/>
              <w:adjustRightInd w:val="0"/>
              <w:jc w:val="center"/>
              <w:rPr>
                <w:rFonts w:cs="Calibri"/>
                <w:sz w:val="20"/>
              </w:rPr>
            </w:pPr>
          </w:p>
        </w:tc>
        <w:tc>
          <w:tcPr>
            <w:tcW w:w="3006" w:type="dxa"/>
          </w:tcPr>
          <w:p w14:paraId="63750C7F"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p>
          <w:p w14:paraId="1C6D4F5D"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r>
              <w:rPr>
                <w:rFonts w:cs="Calibri"/>
                <w:sz w:val="20"/>
              </w:rPr>
              <w:t>25,50</w:t>
            </w:r>
            <w:r w:rsidRPr="00221759">
              <w:rPr>
                <w:rFonts w:cs="Calibri"/>
                <w:sz w:val="20"/>
              </w:rPr>
              <w:t xml:space="preserve"> €</w:t>
            </w:r>
          </w:p>
        </w:tc>
      </w:tr>
    </w:tbl>
    <w:p w14:paraId="5DB1BECC" w14:textId="77777777" w:rsidR="004F41F9" w:rsidRDefault="004F41F9" w:rsidP="004F41F9">
      <w:pPr>
        <w:tabs>
          <w:tab w:val="left" w:pos="540"/>
        </w:tabs>
        <w:autoSpaceDE w:val="0"/>
        <w:autoSpaceDN w:val="0"/>
        <w:adjustRightInd w:val="0"/>
        <w:rPr>
          <w:rFonts w:cs="Calibri"/>
          <w:sz w:val="18"/>
          <w:u w:val="single"/>
        </w:rPr>
      </w:pPr>
    </w:p>
    <w:p w14:paraId="06F17087" w14:textId="77777777" w:rsidR="004F41F9" w:rsidRPr="00221759" w:rsidRDefault="004F41F9" w:rsidP="004F41F9">
      <w:pPr>
        <w:tabs>
          <w:tab w:val="left" w:pos="540"/>
        </w:tabs>
        <w:autoSpaceDE w:val="0"/>
        <w:autoSpaceDN w:val="0"/>
        <w:adjustRightInd w:val="0"/>
        <w:rPr>
          <w:rFonts w:cs="Calibri"/>
          <w:sz w:val="18"/>
          <w:u w:val="single"/>
        </w:rPr>
      </w:pPr>
    </w:p>
    <w:p w14:paraId="7776AB67" w14:textId="77777777" w:rsidR="004F41F9" w:rsidRPr="003A3038" w:rsidRDefault="004F41F9" w:rsidP="004F41F9">
      <w:pPr>
        <w:pStyle w:val="Heading2"/>
        <w:jc w:val="left"/>
        <w:rPr>
          <w:rFonts w:asciiTheme="minorHAnsi" w:hAnsiTheme="minorHAnsi" w:cstheme="minorHAnsi"/>
          <w:i w:val="0"/>
          <w:sz w:val="20"/>
          <w:u w:val="single"/>
        </w:rPr>
      </w:pPr>
      <w:bookmarkStart w:id="212" w:name="_Toc473184570"/>
      <w:r w:rsidRPr="003A3038">
        <w:rPr>
          <w:rFonts w:asciiTheme="minorHAnsi" w:hAnsiTheme="minorHAnsi" w:cstheme="minorHAnsi"/>
          <w:i w:val="0"/>
          <w:sz w:val="20"/>
        </w:rPr>
        <w:t xml:space="preserve">8.2 </w:t>
      </w:r>
      <w:r w:rsidRPr="003A3038">
        <w:rPr>
          <w:rFonts w:asciiTheme="minorHAnsi" w:hAnsiTheme="minorHAnsi" w:cstheme="minorHAnsi"/>
          <w:i w:val="0"/>
          <w:sz w:val="20"/>
          <w:u w:val="single"/>
        </w:rPr>
        <w:t>Costo per mg di principio attivo delle singole confezioni</w:t>
      </w:r>
      <w:bookmarkEnd w:id="212"/>
    </w:p>
    <w:p w14:paraId="1E9A8FBF" w14:textId="77777777" w:rsidR="004F41F9" w:rsidRPr="00221759" w:rsidRDefault="004F41F9" w:rsidP="004F41F9">
      <w:pPr>
        <w:autoSpaceDE w:val="0"/>
        <w:autoSpaceDN w:val="0"/>
        <w:adjustRightInd w:val="0"/>
        <w:rPr>
          <w:rFonts w:cs="Calibri"/>
          <w:i/>
          <w:color w:val="000000"/>
          <w:sz w:val="20"/>
          <w:szCs w:val="22"/>
          <w:u w:val="single"/>
        </w:rPr>
      </w:pPr>
      <w:r w:rsidRPr="00221759">
        <w:rPr>
          <w:rFonts w:cs="Calibri"/>
          <w:i/>
          <w:color w:val="000000"/>
          <w:sz w:val="20"/>
          <w:szCs w:val="22"/>
          <w:u w:val="single"/>
        </w:rPr>
        <w:t>Al lordo degli sconti di legge</w:t>
      </w:r>
    </w:p>
    <w:p w14:paraId="2A89597F" w14:textId="77777777" w:rsidR="004F41F9" w:rsidRPr="00221759" w:rsidRDefault="004F41F9" w:rsidP="004F41F9">
      <w:pPr>
        <w:autoSpaceDE w:val="0"/>
        <w:autoSpaceDN w:val="0"/>
        <w:adjustRightInd w:val="0"/>
        <w:rPr>
          <w:rFonts w:cs="Calibri"/>
          <w:sz w:val="20"/>
        </w:rPr>
      </w:pPr>
    </w:p>
    <w:tbl>
      <w:tblPr>
        <w:tblStyle w:val="TableGrid"/>
        <w:tblW w:w="0" w:type="auto"/>
        <w:tblLook w:val="04A0" w:firstRow="1" w:lastRow="0" w:firstColumn="1" w:lastColumn="0" w:noHBand="0" w:noVBand="1"/>
      </w:tblPr>
      <w:tblGrid>
        <w:gridCol w:w="3005"/>
        <w:gridCol w:w="3006"/>
        <w:gridCol w:w="3006"/>
      </w:tblGrid>
      <w:tr w:rsidR="004F41F9" w:rsidRPr="00221759" w14:paraId="40418DAC" w14:textId="77777777" w:rsidTr="0087637F">
        <w:tc>
          <w:tcPr>
            <w:tcW w:w="3005" w:type="dxa"/>
          </w:tcPr>
          <w:p w14:paraId="723B1F12" w14:textId="77777777" w:rsidR="004F41F9" w:rsidRPr="00221759" w:rsidRDefault="004F41F9" w:rsidP="0087637F">
            <w:pPr>
              <w:tabs>
                <w:tab w:val="left" w:pos="540"/>
              </w:tabs>
              <w:autoSpaceDE w:val="0"/>
              <w:autoSpaceDN w:val="0"/>
              <w:adjustRightInd w:val="0"/>
              <w:jc w:val="both"/>
              <w:rPr>
                <w:rFonts w:cs="Calibri"/>
                <w:b/>
                <w:sz w:val="20"/>
              </w:rPr>
            </w:pPr>
            <w:r>
              <w:rPr>
                <w:rFonts w:cs="Calibri"/>
                <w:color w:val="000000"/>
                <w:sz w:val="20"/>
                <w:szCs w:val="22"/>
              </w:rPr>
              <w:t>Zurampic®</w:t>
            </w:r>
          </w:p>
        </w:tc>
        <w:tc>
          <w:tcPr>
            <w:tcW w:w="3006" w:type="dxa"/>
          </w:tcPr>
          <w:p w14:paraId="6123EFBF"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 xml:space="preserve">PP </w:t>
            </w:r>
          </w:p>
        </w:tc>
        <w:tc>
          <w:tcPr>
            <w:tcW w:w="3006" w:type="dxa"/>
          </w:tcPr>
          <w:p w14:paraId="3AB1561E"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EF</w:t>
            </w:r>
          </w:p>
        </w:tc>
      </w:tr>
      <w:tr w:rsidR="004F41F9" w:rsidRPr="00221759" w14:paraId="29A3614F" w14:textId="77777777" w:rsidTr="0087637F">
        <w:tc>
          <w:tcPr>
            <w:tcW w:w="3005" w:type="dxa"/>
          </w:tcPr>
          <w:p w14:paraId="2DE4D1FB" w14:textId="77777777" w:rsidR="004F41F9" w:rsidRDefault="004F41F9" w:rsidP="0087637F">
            <w:pPr>
              <w:tabs>
                <w:tab w:val="left" w:pos="540"/>
              </w:tabs>
              <w:autoSpaceDE w:val="0"/>
              <w:autoSpaceDN w:val="0"/>
              <w:adjustRightInd w:val="0"/>
              <w:jc w:val="both"/>
              <w:rPr>
                <w:rFonts w:cs="Calibri"/>
                <w:b/>
                <w:sz w:val="20"/>
              </w:rPr>
            </w:pPr>
            <w:r>
              <w:rPr>
                <w:rFonts w:cs="Calibri"/>
                <w:b/>
                <w:sz w:val="20"/>
              </w:rPr>
              <w:t>Costo/mg</w:t>
            </w:r>
          </w:p>
          <w:p w14:paraId="3E586380" w14:textId="77777777" w:rsidR="004F41F9" w:rsidRDefault="004F41F9" w:rsidP="0087637F">
            <w:pPr>
              <w:tabs>
                <w:tab w:val="left" w:pos="540"/>
              </w:tabs>
              <w:autoSpaceDE w:val="0"/>
              <w:autoSpaceDN w:val="0"/>
              <w:adjustRightInd w:val="0"/>
              <w:jc w:val="both"/>
              <w:rPr>
                <w:rFonts w:cs="Calibri"/>
                <w:b/>
                <w:sz w:val="20"/>
              </w:rPr>
            </w:pPr>
            <w:r>
              <w:rPr>
                <w:rFonts w:cs="Calibri"/>
                <w:b/>
                <w:sz w:val="20"/>
              </w:rPr>
              <w:t>30</w:t>
            </w:r>
            <w:r w:rsidRPr="00221759">
              <w:rPr>
                <w:rFonts w:cs="Calibri"/>
                <w:b/>
                <w:sz w:val="20"/>
              </w:rPr>
              <w:t xml:space="preserve"> c</w:t>
            </w:r>
            <w:r>
              <w:rPr>
                <w:rFonts w:cs="Calibri"/>
                <w:b/>
                <w:sz w:val="20"/>
              </w:rPr>
              <w:t xml:space="preserve">ompresse 200 mg </w:t>
            </w:r>
          </w:p>
          <w:p w14:paraId="5FEDECC1" w14:textId="77777777" w:rsidR="004F41F9" w:rsidRPr="00221759" w:rsidRDefault="004F41F9" w:rsidP="0087637F">
            <w:pPr>
              <w:tabs>
                <w:tab w:val="left" w:pos="540"/>
              </w:tabs>
              <w:autoSpaceDE w:val="0"/>
              <w:autoSpaceDN w:val="0"/>
              <w:adjustRightInd w:val="0"/>
              <w:jc w:val="both"/>
              <w:rPr>
                <w:rFonts w:cs="Calibri"/>
                <w:b/>
                <w:sz w:val="20"/>
              </w:rPr>
            </w:pPr>
            <w:r>
              <w:rPr>
                <w:rFonts w:cs="Calibri"/>
                <w:b/>
                <w:sz w:val="20"/>
              </w:rPr>
              <w:t>AIC 044727030</w:t>
            </w:r>
          </w:p>
        </w:tc>
        <w:tc>
          <w:tcPr>
            <w:tcW w:w="3006" w:type="dxa"/>
          </w:tcPr>
          <w:p w14:paraId="45A09E5A" w14:textId="77777777" w:rsidR="004F41F9" w:rsidRPr="00221759" w:rsidRDefault="004F41F9" w:rsidP="0087637F">
            <w:pPr>
              <w:tabs>
                <w:tab w:val="left" w:pos="540"/>
              </w:tabs>
              <w:autoSpaceDE w:val="0"/>
              <w:autoSpaceDN w:val="0"/>
              <w:adjustRightInd w:val="0"/>
              <w:jc w:val="center"/>
              <w:rPr>
                <w:rFonts w:cs="Calibri"/>
                <w:sz w:val="20"/>
              </w:rPr>
            </w:pPr>
          </w:p>
          <w:p w14:paraId="3DE7AE4C" w14:textId="77777777" w:rsidR="004F41F9" w:rsidRPr="00221759" w:rsidRDefault="004F41F9" w:rsidP="0087637F">
            <w:pPr>
              <w:tabs>
                <w:tab w:val="left" w:pos="540"/>
              </w:tabs>
              <w:autoSpaceDE w:val="0"/>
              <w:autoSpaceDN w:val="0"/>
              <w:adjustRightInd w:val="0"/>
              <w:jc w:val="center"/>
              <w:rPr>
                <w:rFonts w:cs="Calibri"/>
                <w:sz w:val="20"/>
              </w:rPr>
            </w:pPr>
            <w:r>
              <w:rPr>
                <w:rFonts w:cs="Calibri"/>
                <w:sz w:val="20"/>
              </w:rPr>
              <w:t>0,0078</w:t>
            </w:r>
            <w:r w:rsidRPr="00221759">
              <w:rPr>
                <w:rFonts w:cs="Calibri"/>
                <w:sz w:val="20"/>
              </w:rPr>
              <w:t xml:space="preserve"> €</w:t>
            </w:r>
          </w:p>
          <w:p w14:paraId="7C167E03" w14:textId="77777777" w:rsidR="004F41F9" w:rsidRPr="00221759" w:rsidRDefault="004F41F9" w:rsidP="0087637F">
            <w:pPr>
              <w:tabs>
                <w:tab w:val="left" w:pos="540"/>
              </w:tabs>
              <w:autoSpaceDE w:val="0"/>
              <w:autoSpaceDN w:val="0"/>
              <w:adjustRightInd w:val="0"/>
              <w:jc w:val="center"/>
              <w:rPr>
                <w:rFonts w:cs="Calibri"/>
                <w:sz w:val="20"/>
              </w:rPr>
            </w:pPr>
          </w:p>
        </w:tc>
        <w:tc>
          <w:tcPr>
            <w:tcW w:w="3006" w:type="dxa"/>
          </w:tcPr>
          <w:p w14:paraId="05ED2238"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p>
          <w:p w14:paraId="75466BD3"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r>
              <w:rPr>
                <w:rFonts w:cs="Calibri"/>
                <w:sz w:val="20"/>
              </w:rPr>
              <w:t>0,0047</w:t>
            </w:r>
            <w:r w:rsidRPr="00221759">
              <w:rPr>
                <w:rFonts w:cs="Calibri"/>
                <w:sz w:val="20"/>
              </w:rPr>
              <w:t xml:space="preserve"> €</w:t>
            </w:r>
          </w:p>
        </w:tc>
      </w:tr>
    </w:tbl>
    <w:p w14:paraId="7BD8DD80" w14:textId="77777777" w:rsidR="004F41F9" w:rsidRPr="00E01389" w:rsidRDefault="004F41F9" w:rsidP="004F41F9">
      <w:pPr>
        <w:autoSpaceDE w:val="0"/>
        <w:autoSpaceDN w:val="0"/>
        <w:adjustRightInd w:val="0"/>
        <w:rPr>
          <w:rFonts w:cs="Calibri"/>
          <w:sz w:val="20"/>
        </w:rPr>
      </w:pPr>
    </w:p>
    <w:p w14:paraId="49B6747B" w14:textId="77777777" w:rsidR="004F41F9" w:rsidRPr="00221759" w:rsidRDefault="004F41F9" w:rsidP="004F41F9">
      <w:pPr>
        <w:autoSpaceDE w:val="0"/>
        <w:autoSpaceDN w:val="0"/>
        <w:adjustRightInd w:val="0"/>
        <w:rPr>
          <w:rFonts w:cs="Calibri"/>
          <w:i/>
          <w:color w:val="000000"/>
          <w:sz w:val="20"/>
          <w:szCs w:val="22"/>
          <w:u w:val="single"/>
        </w:rPr>
      </w:pPr>
      <w:r w:rsidRPr="00221759">
        <w:rPr>
          <w:rFonts w:cs="Calibri"/>
          <w:i/>
          <w:color w:val="000000"/>
          <w:sz w:val="20"/>
          <w:szCs w:val="22"/>
          <w:u w:val="single"/>
        </w:rPr>
        <w:t>Al netto degli sconti di legge</w:t>
      </w:r>
    </w:p>
    <w:p w14:paraId="779F6B9F" w14:textId="77777777" w:rsidR="004F41F9" w:rsidRPr="00221759" w:rsidRDefault="004F41F9" w:rsidP="004F41F9">
      <w:pPr>
        <w:autoSpaceDE w:val="0"/>
        <w:autoSpaceDN w:val="0"/>
        <w:adjustRightInd w:val="0"/>
        <w:rPr>
          <w:rFonts w:cs="Calibri"/>
          <w:color w:val="000000"/>
          <w:sz w:val="20"/>
          <w:szCs w:val="22"/>
        </w:rPr>
      </w:pPr>
    </w:p>
    <w:tbl>
      <w:tblPr>
        <w:tblStyle w:val="TableGrid"/>
        <w:tblW w:w="0" w:type="auto"/>
        <w:tblLook w:val="04A0" w:firstRow="1" w:lastRow="0" w:firstColumn="1" w:lastColumn="0" w:noHBand="0" w:noVBand="1"/>
      </w:tblPr>
      <w:tblGrid>
        <w:gridCol w:w="3005"/>
        <w:gridCol w:w="3006"/>
        <w:gridCol w:w="3006"/>
      </w:tblGrid>
      <w:tr w:rsidR="004F41F9" w:rsidRPr="00221759" w14:paraId="025BB9AC" w14:textId="77777777" w:rsidTr="0087637F">
        <w:tc>
          <w:tcPr>
            <w:tcW w:w="3005" w:type="dxa"/>
          </w:tcPr>
          <w:p w14:paraId="39F0A3E7" w14:textId="77777777" w:rsidR="004F41F9" w:rsidRPr="00221759" w:rsidRDefault="004F41F9" w:rsidP="0087637F">
            <w:pPr>
              <w:tabs>
                <w:tab w:val="left" w:pos="540"/>
              </w:tabs>
              <w:autoSpaceDE w:val="0"/>
              <w:autoSpaceDN w:val="0"/>
              <w:adjustRightInd w:val="0"/>
              <w:jc w:val="both"/>
              <w:rPr>
                <w:rFonts w:cs="Calibri"/>
                <w:b/>
                <w:sz w:val="20"/>
              </w:rPr>
            </w:pPr>
            <w:r>
              <w:rPr>
                <w:rFonts w:cs="Calibri"/>
                <w:color w:val="000000"/>
                <w:sz w:val="20"/>
                <w:szCs w:val="22"/>
              </w:rPr>
              <w:t>Zurampic®</w:t>
            </w:r>
          </w:p>
        </w:tc>
        <w:tc>
          <w:tcPr>
            <w:tcW w:w="3006" w:type="dxa"/>
          </w:tcPr>
          <w:p w14:paraId="5FCCB965"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 xml:space="preserve">PP </w:t>
            </w:r>
          </w:p>
        </w:tc>
        <w:tc>
          <w:tcPr>
            <w:tcW w:w="3006" w:type="dxa"/>
          </w:tcPr>
          <w:p w14:paraId="4BF147C9"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EF</w:t>
            </w:r>
          </w:p>
        </w:tc>
      </w:tr>
      <w:tr w:rsidR="004F41F9" w:rsidRPr="00221759" w14:paraId="4901E414" w14:textId="77777777" w:rsidTr="0087637F">
        <w:tc>
          <w:tcPr>
            <w:tcW w:w="3005" w:type="dxa"/>
          </w:tcPr>
          <w:p w14:paraId="13EEB22F" w14:textId="77777777" w:rsidR="004F41F9" w:rsidRDefault="004F41F9" w:rsidP="0087637F">
            <w:pPr>
              <w:tabs>
                <w:tab w:val="left" w:pos="540"/>
              </w:tabs>
              <w:autoSpaceDE w:val="0"/>
              <w:autoSpaceDN w:val="0"/>
              <w:adjustRightInd w:val="0"/>
              <w:jc w:val="both"/>
              <w:rPr>
                <w:rFonts w:cs="Calibri"/>
                <w:b/>
                <w:sz w:val="20"/>
              </w:rPr>
            </w:pPr>
            <w:r>
              <w:rPr>
                <w:rFonts w:cs="Calibri"/>
                <w:b/>
                <w:sz w:val="20"/>
              </w:rPr>
              <w:t>Costo/mg</w:t>
            </w:r>
          </w:p>
          <w:p w14:paraId="47367F7B" w14:textId="77777777" w:rsidR="004F41F9" w:rsidRDefault="004F41F9" w:rsidP="0087637F">
            <w:pPr>
              <w:tabs>
                <w:tab w:val="left" w:pos="540"/>
              </w:tabs>
              <w:autoSpaceDE w:val="0"/>
              <w:autoSpaceDN w:val="0"/>
              <w:adjustRightInd w:val="0"/>
              <w:jc w:val="both"/>
              <w:rPr>
                <w:rFonts w:cs="Calibri"/>
                <w:b/>
                <w:sz w:val="20"/>
              </w:rPr>
            </w:pPr>
            <w:r>
              <w:rPr>
                <w:rFonts w:cs="Calibri"/>
                <w:b/>
                <w:sz w:val="20"/>
              </w:rPr>
              <w:t>30</w:t>
            </w:r>
            <w:r w:rsidRPr="00221759">
              <w:rPr>
                <w:rFonts w:cs="Calibri"/>
                <w:b/>
                <w:sz w:val="20"/>
              </w:rPr>
              <w:t xml:space="preserve"> c</w:t>
            </w:r>
            <w:r>
              <w:rPr>
                <w:rFonts w:cs="Calibri"/>
                <w:b/>
                <w:sz w:val="20"/>
              </w:rPr>
              <w:t xml:space="preserve">ompresse 200 mg </w:t>
            </w:r>
          </w:p>
          <w:p w14:paraId="10C56A54" w14:textId="77777777" w:rsidR="004F41F9" w:rsidRPr="00221759" w:rsidRDefault="004F41F9" w:rsidP="0087637F">
            <w:pPr>
              <w:tabs>
                <w:tab w:val="left" w:pos="540"/>
              </w:tabs>
              <w:autoSpaceDE w:val="0"/>
              <w:autoSpaceDN w:val="0"/>
              <w:adjustRightInd w:val="0"/>
              <w:jc w:val="both"/>
              <w:rPr>
                <w:rFonts w:cs="Calibri"/>
                <w:b/>
                <w:sz w:val="20"/>
              </w:rPr>
            </w:pPr>
            <w:r>
              <w:rPr>
                <w:rFonts w:cs="Calibri"/>
                <w:b/>
                <w:sz w:val="20"/>
              </w:rPr>
              <w:t>AIC 044727030</w:t>
            </w:r>
          </w:p>
        </w:tc>
        <w:tc>
          <w:tcPr>
            <w:tcW w:w="3006" w:type="dxa"/>
          </w:tcPr>
          <w:p w14:paraId="008CC76D" w14:textId="77777777" w:rsidR="004F41F9" w:rsidRPr="00221759" w:rsidRDefault="004F41F9" w:rsidP="0087637F">
            <w:pPr>
              <w:tabs>
                <w:tab w:val="left" w:pos="540"/>
              </w:tabs>
              <w:autoSpaceDE w:val="0"/>
              <w:autoSpaceDN w:val="0"/>
              <w:adjustRightInd w:val="0"/>
              <w:jc w:val="center"/>
              <w:rPr>
                <w:rFonts w:cs="Calibri"/>
                <w:sz w:val="20"/>
              </w:rPr>
            </w:pPr>
          </w:p>
          <w:p w14:paraId="33CB48D6" w14:textId="77777777" w:rsidR="004F41F9" w:rsidRPr="00221759" w:rsidRDefault="004F41F9" w:rsidP="0087637F">
            <w:pPr>
              <w:tabs>
                <w:tab w:val="left" w:pos="540"/>
              </w:tabs>
              <w:autoSpaceDE w:val="0"/>
              <w:autoSpaceDN w:val="0"/>
              <w:adjustRightInd w:val="0"/>
              <w:jc w:val="center"/>
              <w:rPr>
                <w:rFonts w:cs="Calibri"/>
                <w:sz w:val="20"/>
              </w:rPr>
            </w:pPr>
            <w:r>
              <w:rPr>
                <w:rFonts w:cs="Calibri"/>
                <w:sz w:val="20"/>
              </w:rPr>
              <w:t>0,0070</w:t>
            </w:r>
            <w:r w:rsidRPr="00221759">
              <w:rPr>
                <w:rFonts w:cs="Calibri"/>
                <w:sz w:val="20"/>
              </w:rPr>
              <w:t xml:space="preserve"> €</w:t>
            </w:r>
          </w:p>
          <w:p w14:paraId="18B601FA" w14:textId="77777777" w:rsidR="004F41F9" w:rsidRPr="00221759" w:rsidRDefault="004F41F9" w:rsidP="0087637F">
            <w:pPr>
              <w:tabs>
                <w:tab w:val="left" w:pos="540"/>
              </w:tabs>
              <w:autoSpaceDE w:val="0"/>
              <w:autoSpaceDN w:val="0"/>
              <w:adjustRightInd w:val="0"/>
              <w:jc w:val="center"/>
              <w:rPr>
                <w:rFonts w:cs="Calibri"/>
                <w:sz w:val="20"/>
              </w:rPr>
            </w:pPr>
          </w:p>
        </w:tc>
        <w:tc>
          <w:tcPr>
            <w:tcW w:w="3006" w:type="dxa"/>
          </w:tcPr>
          <w:p w14:paraId="197696B2"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p>
          <w:p w14:paraId="757FF5B4"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r>
              <w:rPr>
                <w:rFonts w:cs="Calibri"/>
                <w:sz w:val="20"/>
              </w:rPr>
              <w:t>0,0043</w:t>
            </w:r>
            <w:r w:rsidRPr="00221759">
              <w:rPr>
                <w:rFonts w:cs="Calibri"/>
                <w:sz w:val="20"/>
              </w:rPr>
              <w:t xml:space="preserve"> €</w:t>
            </w:r>
          </w:p>
        </w:tc>
      </w:tr>
    </w:tbl>
    <w:p w14:paraId="6897A1B7" w14:textId="77777777" w:rsidR="004F41F9" w:rsidRDefault="004F41F9" w:rsidP="004F41F9">
      <w:pPr>
        <w:autoSpaceDE w:val="0"/>
        <w:autoSpaceDN w:val="0"/>
        <w:adjustRightInd w:val="0"/>
        <w:rPr>
          <w:rFonts w:cs="Calibri"/>
          <w:b/>
          <w:color w:val="000000"/>
          <w:sz w:val="20"/>
          <w:szCs w:val="22"/>
          <w:u w:val="single"/>
        </w:rPr>
      </w:pPr>
    </w:p>
    <w:p w14:paraId="1C23CA24" w14:textId="77777777" w:rsidR="004F41F9" w:rsidRDefault="004F41F9" w:rsidP="004F41F9">
      <w:pPr>
        <w:autoSpaceDE w:val="0"/>
        <w:autoSpaceDN w:val="0"/>
        <w:adjustRightInd w:val="0"/>
        <w:rPr>
          <w:rFonts w:cs="Calibri"/>
          <w:b/>
          <w:color w:val="000000"/>
          <w:sz w:val="20"/>
          <w:szCs w:val="22"/>
          <w:u w:val="single"/>
        </w:rPr>
      </w:pPr>
    </w:p>
    <w:p w14:paraId="240E86B2" w14:textId="77777777" w:rsidR="004F41F9" w:rsidRPr="003A3038" w:rsidRDefault="004F41F9" w:rsidP="004F41F9">
      <w:pPr>
        <w:pStyle w:val="Heading2"/>
        <w:jc w:val="left"/>
        <w:rPr>
          <w:rFonts w:asciiTheme="minorHAnsi" w:hAnsiTheme="minorHAnsi" w:cstheme="minorHAnsi"/>
          <w:i w:val="0"/>
          <w:sz w:val="20"/>
          <w:u w:val="single"/>
        </w:rPr>
      </w:pPr>
      <w:bookmarkStart w:id="213" w:name="_Toc473184571"/>
      <w:r w:rsidRPr="003A3038">
        <w:rPr>
          <w:rFonts w:asciiTheme="minorHAnsi" w:hAnsiTheme="minorHAnsi" w:cstheme="minorHAnsi"/>
          <w:i w:val="0"/>
          <w:sz w:val="20"/>
        </w:rPr>
        <w:t xml:space="preserve">8.3 </w:t>
      </w:r>
      <w:r w:rsidRPr="003A3038">
        <w:rPr>
          <w:rFonts w:asciiTheme="minorHAnsi" w:hAnsiTheme="minorHAnsi" w:cstheme="minorHAnsi"/>
          <w:i w:val="0"/>
          <w:sz w:val="20"/>
          <w:u w:val="single"/>
        </w:rPr>
        <w:t>Costo per unità posologica delle singole confezioni</w:t>
      </w:r>
      <w:bookmarkEnd w:id="213"/>
    </w:p>
    <w:p w14:paraId="5C52164E" w14:textId="77777777" w:rsidR="004F41F9" w:rsidRPr="00221759" w:rsidRDefault="004F41F9" w:rsidP="004F41F9">
      <w:pPr>
        <w:autoSpaceDE w:val="0"/>
        <w:autoSpaceDN w:val="0"/>
        <w:adjustRightInd w:val="0"/>
        <w:rPr>
          <w:rFonts w:cs="Calibri"/>
          <w:i/>
          <w:color w:val="000000"/>
          <w:sz w:val="20"/>
          <w:szCs w:val="22"/>
          <w:u w:val="single"/>
        </w:rPr>
      </w:pPr>
      <w:r w:rsidRPr="00221759">
        <w:rPr>
          <w:rFonts w:cs="Calibri"/>
          <w:i/>
          <w:color w:val="000000"/>
          <w:sz w:val="20"/>
          <w:szCs w:val="22"/>
          <w:u w:val="single"/>
        </w:rPr>
        <w:t>Al lordo degli sconti di legge</w:t>
      </w:r>
    </w:p>
    <w:p w14:paraId="542E9EA7" w14:textId="77777777" w:rsidR="004F41F9" w:rsidRPr="00221759" w:rsidRDefault="004F41F9" w:rsidP="004F41F9">
      <w:pPr>
        <w:autoSpaceDE w:val="0"/>
        <w:autoSpaceDN w:val="0"/>
        <w:adjustRightInd w:val="0"/>
        <w:rPr>
          <w:rFonts w:cs="Calibri"/>
          <w:color w:val="000000"/>
          <w:sz w:val="20"/>
          <w:szCs w:val="22"/>
          <w:highlight w:val="green"/>
        </w:rPr>
      </w:pPr>
    </w:p>
    <w:tbl>
      <w:tblPr>
        <w:tblStyle w:val="TableGrid"/>
        <w:tblW w:w="0" w:type="auto"/>
        <w:tblLook w:val="04A0" w:firstRow="1" w:lastRow="0" w:firstColumn="1" w:lastColumn="0" w:noHBand="0" w:noVBand="1"/>
      </w:tblPr>
      <w:tblGrid>
        <w:gridCol w:w="3005"/>
        <w:gridCol w:w="3006"/>
        <w:gridCol w:w="3006"/>
      </w:tblGrid>
      <w:tr w:rsidR="004F41F9" w:rsidRPr="00221759" w14:paraId="2BB7F923" w14:textId="77777777" w:rsidTr="0087637F">
        <w:tc>
          <w:tcPr>
            <w:tcW w:w="3005" w:type="dxa"/>
          </w:tcPr>
          <w:p w14:paraId="1B895139" w14:textId="77777777" w:rsidR="004F41F9" w:rsidRPr="00221759" w:rsidRDefault="004F41F9" w:rsidP="0087637F">
            <w:pPr>
              <w:tabs>
                <w:tab w:val="left" w:pos="540"/>
              </w:tabs>
              <w:autoSpaceDE w:val="0"/>
              <w:autoSpaceDN w:val="0"/>
              <w:adjustRightInd w:val="0"/>
              <w:jc w:val="both"/>
              <w:rPr>
                <w:rFonts w:cs="Calibri"/>
                <w:b/>
                <w:sz w:val="20"/>
              </w:rPr>
            </w:pPr>
            <w:r>
              <w:rPr>
                <w:rFonts w:cs="Calibri"/>
                <w:color w:val="000000"/>
                <w:sz w:val="20"/>
                <w:szCs w:val="22"/>
              </w:rPr>
              <w:t>Zurampic®</w:t>
            </w:r>
          </w:p>
        </w:tc>
        <w:tc>
          <w:tcPr>
            <w:tcW w:w="3006" w:type="dxa"/>
          </w:tcPr>
          <w:p w14:paraId="7DFDC867"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 xml:space="preserve">PP </w:t>
            </w:r>
          </w:p>
        </w:tc>
        <w:tc>
          <w:tcPr>
            <w:tcW w:w="3006" w:type="dxa"/>
          </w:tcPr>
          <w:p w14:paraId="0BFE0950"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EF</w:t>
            </w:r>
          </w:p>
        </w:tc>
      </w:tr>
      <w:tr w:rsidR="004F41F9" w:rsidRPr="00221759" w14:paraId="26BD541D" w14:textId="77777777" w:rsidTr="0087637F">
        <w:tc>
          <w:tcPr>
            <w:tcW w:w="3005" w:type="dxa"/>
          </w:tcPr>
          <w:p w14:paraId="4BDD7A99"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1 compress</w:t>
            </w:r>
            <w:r>
              <w:rPr>
                <w:rFonts w:cs="Calibri"/>
                <w:b/>
                <w:sz w:val="20"/>
              </w:rPr>
              <w:t>a</w:t>
            </w:r>
            <w:r w:rsidRPr="00221759">
              <w:rPr>
                <w:rFonts w:cs="Calibri"/>
                <w:b/>
                <w:sz w:val="20"/>
              </w:rPr>
              <w:t xml:space="preserve"> da </w:t>
            </w:r>
            <w:r>
              <w:rPr>
                <w:rFonts w:cs="Calibri"/>
                <w:b/>
                <w:sz w:val="20"/>
              </w:rPr>
              <w:t>200 mg</w:t>
            </w:r>
          </w:p>
        </w:tc>
        <w:tc>
          <w:tcPr>
            <w:tcW w:w="3006" w:type="dxa"/>
          </w:tcPr>
          <w:p w14:paraId="0AB512FB" w14:textId="77777777" w:rsidR="004F41F9" w:rsidRPr="00221759" w:rsidRDefault="004F41F9" w:rsidP="0087637F">
            <w:pPr>
              <w:tabs>
                <w:tab w:val="left" w:pos="540"/>
              </w:tabs>
              <w:autoSpaceDE w:val="0"/>
              <w:autoSpaceDN w:val="0"/>
              <w:adjustRightInd w:val="0"/>
              <w:jc w:val="center"/>
              <w:rPr>
                <w:rFonts w:cs="Calibri"/>
                <w:sz w:val="20"/>
              </w:rPr>
            </w:pPr>
          </w:p>
          <w:p w14:paraId="5FA5E107" w14:textId="77777777" w:rsidR="004F41F9" w:rsidRPr="00221759" w:rsidRDefault="004F41F9" w:rsidP="0087637F">
            <w:pPr>
              <w:tabs>
                <w:tab w:val="left" w:pos="540"/>
              </w:tabs>
              <w:autoSpaceDE w:val="0"/>
              <w:autoSpaceDN w:val="0"/>
              <w:adjustRightInd w:val="0"/>
              <w:jc w:val="center"/>
              <w:rPr>
                <w:rFonts w:cs="Calibri"/>
                <w:sz w:val="20"/>
              </w:rPr>
            </w:pPr>
            <w:r>
              <w:rPr>
                <w:rFonts w:cs="Calibri"/>
                <w:sz w:val="20"/>
              </w:rPr>
              <w:t>1,55</w:t>
            </w:r>
            <w:r w:rsidRPr="00221759">
              <w:rPr>
                <w:rFonts w:cs="Calibri"/>
                <w:sz w:val="20"/>
              </w:rPr>
              <w:t xml:space="preserve"> €</w:t>
            </w:r>
          </w:p>
          <w:p w14:paraId="79B6AC12" w14:textId="77777777" w:rsidR="004F41F9" w:rsidRPr="00221759" w:rsidRDefault="004F41F9" w:rsidP="0087637F">
            <w:pPr>
              <w:tabs>
                <w:tab w:val="left" w:pos="540"/>
              </w:tabs>
              <w:autoSpaceDE w:val="0"/>
              <w:autoSpaceDN w:val="0"/>
              <w:adjustRightInd w:val="0"/>
              <w:jc w:val="center"/>
              <w:rPr>
                <w:rFonts w:cs="Calibri"/>
                <w:sz w:val="20"/>
              </w:rPr>
            </w:pPr>
          </w:p>
        </w:tc>
        <w:tc>
          <w:tcPr>
            <w:tcW w:w="3006" w:type="dxa"/>
          </w:tcPr>
          <w:p w14:paraId="6FF42945"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p>
          <w:p w14:paraId="04E02A24"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r>
              <w:rPr>
                <w:rFonts w:cs="Calibri"/>
                <w:sz w:val="20"/>
              </w:rPr>
              <w:t>0,94</w:t>
            </w:r>
            <w:r w:rsidRPr="00221759">
              <w:rPr>
                <w:rFonts w:cs="Calibri"/>
                <w:sz w:val="20"/>
              </w:rPr>
              <w:t xml:space="preserve"> €</w:t>
            </w:r>
          </w:p>
        </w:tc>
      </w:tr>
    </w:tbl>
    <w:p w14:paraId="48509661" w14:textId="77777777" w:rsidR="004F41F9" w:rsidRPr="00221759" w:rsidRDefault="004F41F9" w:rsidP="004F41F9">
      <w:pPr>
        <w:autoSpaceDE w:val="0"/>
        <w:autoSpaceDN w:val="0"/>
        <w:adjustRightInd w:val="0"/>
        <w:rPr>
          <w:rFonts w:cs="Calibri"/>
          <w:color w:val="000000"/>
          <w:sz w:val="20"/>
          <w:szCs w:val="22"/>
          <w:highlight w:val="green"/>
        </w:rPr>
      </w:pPr>
      <w:r w:rsidRPr="00221759">
        <w:rPr>
          <w:rFonts w:cs="Calibri"/>
          <w:color w:val="000000"/>
          <w:sz w:val="20"/>
          <w:szCs w:val="22"/>
          <w:highlight w:val="green"/>
        </w:rPr>
        <w:t xml:space="preserve">   </w:t>
      </w:r>
    </w:p>
    <w:p w14:paraId="56A5E9C5" w14:textId="77777777" w:rsidR="004F41F9" w:rsidRPr="00221759" w:rsidRDefault="004F41F9" w:rsidP="004F41F9">
      <w:pPr>
        <w:autoSpaceDE w:val="0"/>
        <w:autoSpaceDN w:val="0"/>
        <w:adjustRightInd w:val="0"/>
        <w:rPr>
          <w:rFonts w:cs="Calibri"/>
          <w:i/>
          <w:color w:val="000000"/>
          <w:sz w:val="20"/>
          <w:szCs w:val="22"/>
          <w:u w:val="single"/>
        </w:rPr>
      </w:pPr>
      <w:r w:rsidRPr="00221759">
        <w:rPr>
          <w:rFonts w:cs="Calibri"/>
          <w:i/>
          <w:color w:val="000000"/>
          <w:sz w:val="20"/>
          <w:szCs w:val="22"/>
          <w:u w:val="single"/>
        </w:rPr>
        <w:t>Al netto degli sconti di legge</w:t>
      </w:r>
    </w:p>
    <w:p w14:paraId="3605FEF0" w14:textId="77777777" w:rsidR="004F41F9" w:rsidRPr="00221759" w:rsidRDefault="004F41F9" w:rsidP="004F41F9">
      <w:pPr>
        <w:autoSpaceDE w:val="0"/>
        <w:autoSpaceDN w:val="0"/>
        <w:adjustRightInd w:val="0"/>
        <w:rPr>
          <w:rFonts w:cs="Calibri"/>
          <w:color w:val="000000"/>
          <w:sz w:val="20"/>
          <w:szCs w:val="22"/>
        </w:rPr>
      </w:pPr>
    </w:p>
    <w:tbl>
      <w:tblPr>
        <w:tblStyle w:val="TableGrid"/>
        <w:tblW w:w="0" w:type="auto"/>
        <w:tblLook w:val="04A0" w:firstRow="1" w:lastRow="0" w:firstColumn="1" w:lastColumn="0" w:noHBand="0" w:noVBand="1"/>
      </w:tblPr>
      <w:tblGrid>
        <w:gridCol w:w="3005"/>
        <w:gridCol w:w="3006"/>
        <w:gridCol w:w="3006"/>
      </w:tblGrid>
      <w:tr w:rsidR="004F41F9" w:rsidRPr="00221759" w14:paraId="442655AB" w14:textId="77777777" w:rsidTr="0087637F">
        <w:tc>
          <w:tcPr>
            <w:tcW w:w="3005" w:type="dxa"/>
          </w:tcPr>
          <w:p w14:paraId="1F1204E5" w14:textId="77777777" w:rsidR="004F41F9" w:rsidRPr="00221759" w:rsidRDefault="004F41F9" w:rsidP="0087637F">
            <w:pPr>
              <w:tabs>
                <w:tab w:val="left" w:pos="540"/>
              </w:tabs>
              <w:autoSpaceDE w:val="0"/>
              <w:autoSpaceDN w:val="0"/>
              <w:adjustRightInd w:val="0"/>
              <w:jc w:val="both"/>
              <w:rPr>
                <w:rFonts w:cs="Calibri"/>
                <w:b/>
                <w:sz w:val="20"/>
              </w:rPr>
            </w:pPr>
            <w:r>
              <w:rPr>
                <w:rFonts w:cs="Calibri"/>
                <w:color w:val="000000"/>
                <w:sz w:val="20"/>
                <w:szCs w:val="22"/>
              </w:rPr>
              <w:t>Zurampic®</w:t>
            </w:r>
          </w:p>
        </w:tc>
        <w:tc>
          <w:tcPr>
            <w:tcW w:w="3006" w:type="dxa"/>
          </w:tcPr>
          <w:p w14:paraId="11529884"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 xml:space="preserve">PP </w:t>
            </w:r>
          </w:p>
        </w:tc>
        <w:tc>
          <w:tcPr>
            <w:tcW w:w="3006" w:type="dxa"/>
          </w:tcPr>
          <w:p w14:paraId="28B1B2D5"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EF</w:t>
            </w:r>
          </w:p>
        </w:tc>
      </w:tr>
      <w:tr w:rsidR="004F41F9" w:rsidRPr="00221759" w14:paraId="65883E38" w14:textId="77777777" w:rsidTr="0087637F">
        <w:tc>
          <w:tcPr>
            <w:tcW w:w="3005" w:type="dxa"/>
          </w:tcPr>
          <w:p w14:paraId="0DB1551E"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1 compress</w:t>
            </w:r>
            <w:r>
              <w:rPr>
                <w:rFonts w:cs="Calibri"/>
                <w:b/>
                <w:sz w:val="20"/>
              </w:rPr>
              <w:t>a</w:t>
            </w:r>
            <w:r w:rsidRPr="00221759">
              <w:rPr>
                <w:rFonts w:cs="Calibri"/>
                <w:b/>
                <w:sz w:val="20"/>
              </w:rPr>
              <w:t xml:space="preserve"> da </w:t>
            </w:r>
            <w:r>
              <w:rPr>
                <w:rFonts w:cs="Calibri"/>
                <w:b/>
                <w:sz w:val="20"/>
              </w:rPr>
              <w:t>200 mg</w:t>
            </w:r>
          </w:p>
        </w:tc>
        <w:tc>
          <w:tcPr>
            <w:tcW w:w="3006" w:type="dxa"/>
          </w:tcPr>
          <w:p w14:paraId="671B2B20" w14:textId="77777777" w:rsidR="004F41F9" w:rsidRPr="00221759" w:rsidRDefault="004F41F9" w:rsidP="0087637F">
            <w:pPr>
              <w:tabs>
                <w:tab w:val="left" w:pos="540"/>
              </w:tabs>
              <w:autoSpaceDE w:val="0"/>
              <w:autoSpaceDN w:val="0"/>
              <w:adjustRightInd w:val="0"/>
              <w:jc w:val="center"/>
              <w:rPr>
                <w:rFonts w:cs="Calibri"/>
                <w:sz w:val="20"/>
              </w:rPr>
            </w:pPr>
          </w:p>
          <w:p w14:paraId="1852528E" w14:textId="77777777" w:rsidR="004F41F9" w:rsidRPr="00221759" w:rsidRDefault="004F41F9" w:rsidP="0087637F">
            <w:pPr>
              <w:tabs>
                <w:tab w:val="left" w:pos="540"/>
              </w:tabs>
              <w:autoSpaceDE w:val="0"/>
              <w:autoSpaceDN w:val="0"/>
              <w:adjustRightInd w:val="0"/>
              <w:jc w:val="center"/>
              <w:rPr>
                <w:rFonts w:cs="Calibri"/>
                <w:sz w:val="20"/>
              </w:rPr>
            </w:pPr>
            <w:r>
              <w:rPr>
                <w:rFonts w:cs="Calibri"/>
                <w:sz w:val="20"/>
              </w:rPr>
              <w:t>1,40</w:t>
            </w:r>
            <w:r w:rsidRPr="00221759">
              <w:rPr>
                <w:rFonts w:cs="Calibri"/>
                <w:sz w:val="20"/>
              </w:rPr>
              <w:t xml:space="preserve"> €</w:t>
            </w:r>
          </w:p>
          <w:p w14:paraId="2935C297" w14:textId="77777777" w:rsidR="004F41F9" w:rsidRPr="00221759" w:rsidRDefault="004F41F9" w:rsidP="0087637F">
            <w:pPr>
              <w:tabs>
                <w:tab w:val="left" w:pos="540"/>
              </w:tabs>
              <w:autoSpaceDE w:val="0"/>
              <w:autoSpaceDN w:val="0"/>
              <w:adjustRightInd w:val="0"/>
              <w:jc w:val="center"/>
              <w:rPr>
                <w:rFonts w:cs="Calibri"/>
                <w:sz w:val="20"/>
              </w:rPr>
            </w:pPr>
          </w:p>
        </w:tc>
        <w:tc>
          <w:tcPr>
            <w:tcW w:w="3006" w:type="dxa"/>
          </w:tcPr>
          <w:p w14:paraId="0E76ECC1"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p>
          <w:p w14:paraId="0365700C"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r>
              <w:rPr>
                <w:rFonts w:cs="Calibri"/>
                <w:sz w:val="20"/>
              </w:rPr>
              <w:t>0,85</w:t>
            </w:r>
            <w:r w:rsidRPr="00221759">
              <w:rPr>
                <w:rFonts w:cs="Calibri"/>
                <w:sz w:val="20"/>
              </w:rPr>
              <w:t xml:space="preserve"> €</w:t>
            </w:r>
          </w:p>
        </w:tc>
      </w:tr>
    </w:tbl>
    <w:p w14:paraId="36C7DD96" w14:textId="77777777" w:rsidR="004F41F9" w:rsidRDefault="004F41F9" w:rsidP="004F41F9">
      <w:pPr>
        <w:autoSpaceDE w:val="0"/>
        <w:autoSpaceDN w:val="0"/>
        <w:adjustRightInd w:val="0"/>
        <w:rPr>
          <w:rFonts w:cs="Calibri"/>
          <w:b/>
          <w:color w:val="000000"/>
          <w:sz w:val="20"/>
          <w:szCs w:val="22"/>
          <w:u w:val="single"/>
        </w:rPr>
      </w:pPr>
    </w:p>
    <w:p w14:paraId="2C8C84E8" w14:textId="77777777" w:rsidR="004F41F9" w:rsidRPr="00221759" w:rsidRDefault="004F41F9" w:rsidP="004F41F9">
      <w:pPr>
        <w:autoSpaceDE w:val="0"/>
        <w:autoSpaceDN w:val="0"/>
        <w:adjustRightInd w:val="0"/>
        <w:rPr>
          <w:rFonts w:cs="Calibri"/>
          <w:b/>
          <w:color w:val="000000"/>
          <w:sz w:val="20"/>
          <w:szCs w:val="22"/>
          <w:u w:val="single"/>
        </w:rPr>
      </w:pPr>
    </w:p>
    <w:p w14:paraId="25D381B7" w14:textId="77777777" w:rsidR="004F41F9" w:rsidRPr="003A3038" w:rsidRDefault="004F41F9" w:rsidP="004F41F9">
      <w:pPr>
        <w:pStyle w:val="Heading2"/>
        <w:jc w:val="left"/>
        <w:rPr>
          <w:rFonts w:asciiTheme="minorHAnsi" w:hAnsiTheme="minorHAnsi" w:cstheme="minorHAnsi"/>
          <w:i w:val="0"/>
          <w:sz w:val="20"/>
          <w:u w:val="single"/>
        </w:rPr>
      </w:pPr>
      <w:bookmarkStart w:id="214" w:name="_Toc473184572"/>
      <w:r w:rsidRPr="003A3038">
        <w:rPr>
          <w:rFonts w:asciiTheme="minorHAnsi" w:hAnsiTheme="minorHAnsi" w:cstheme="minorHAnsi"/>
          <w:i w:val="0"/>
          <w:sz w:val="20"/>
        </w:rPr>
        <w:t xml:space="preserve">8.4 </w:t>
      </w:r>
      <w:r w:rsidRPr="003A3038">
        <w:rPr>
          <w:rFonts w:asciiTheme="minorHAnsi" w:hAnsiTheme="minorHAnsi" w:cstheme="minorHAnsi"/>
          <w:i w:val="0"/>
          <w:sz w:val="20"/>
          <w:u w:val="single"/>
        </w:rPr>
        <w:t>Costo per DDD</w:t>
      </w:r>
      <w:bookmarkEnd w:id="214"/>
    </w:p>
    <w:p w14:paraId="3E23FD42" w14:textId="77777777" w:rsidR="004F41F9" w:rsidRPr="00264943" w:rsidRDefault="004F41F9" w:rsidP="004F41F9">
      <w:pPr>
        <w:spacing w:line="360" w:lineRule="auto"/>
        <w:rPr>
          <w:rFonts w:eastAsia="Times New Roman" w:cs="Arial"/>
          <w:color w:val="222222"/>
          <w:sz w:val="20"/>
          <w:szCs w:val="20"/>
        </w:rPr>
      </w:pPr>
      <w:r w:rsidRPr="00264943">
        <w:rPr>
          <w:rFonts w:eastAsia="Times New Roman" w:cs="Arial"/>
          <w:color w:val="222222"/>
          <w:sz w:val="20"/>
          <w:szCs w:val="20"/>
        </w:rPr>
        <w:t>Non applicabile.</w:t>
      </w:r>
    </w:p>
    <w:p w14:paraId="05B7942A" w14:textId="77777777" w:rsidR="004F41F9" w:rsidRPr="003A3038" w:rsidRDefault="004F41F9" w:rsidP="004F41F9">
      <w:pPr>
        <w:pStyle w:val="Heading2"/>
        <w:jc w:val="left"/>
        <w:rPr>
          <w:rFonts w:asciiTheme="minorHAnsi" w:hAnsiTheme="minorHAnsi" w:cstheme="minorHAnsi"/>
          <w:i w:val="0"/>
          <w:sz w:val="20"/>
          <w:u w:val="single"/>
        </w:rPr>
      </w:pPr>
      <w:bookmarkStart w:id="215" w:name="_Toc473184573"/>
      <w:r w:rsidRPr="003A3038">
        <w:rPr>
          <w:rFonts w:asciiTheme="minorHAnsi" w:hAnsiTheme="minorHAnsi" w:cstheme="minorHAnsi"/>
          <w:i w:val="0"/>
          <w:sz w:val="20"/>
        </w:rPr>
        <w:t xml:space="preserve">8.5 </w:t>
      </w:r>
      <w:r w:rsidRPr="003A3038">
        <w:rPr>
          <w:rFonts w:asciiTheme="minorHAnsi" w:hAnsiTheme="minorHAnsi" w:cstheme="minorHAnsi"/>
          <w:i w:val="0"/>
          <w:sz w:val="20"/>
          <w:u w:val="single"/>
        </w:rPr>
        <w:t>Costo per ciclo di terapia in rapporto alle indicazioni</w:t>
      </w:r>
      <w:bookmarkEnd w:id="215"/>
    </w:p>
    <w:p w14:paraId="6EBBB1CC" w14:textId="77777777" w:rsidR="004F41F9" w:rsidRDefault="004F41F9" w:rsidP="004F41F9">
      <w:pPr>
        <w:spacing w:line="360" w:lineRule="auto"/>
        <w:rPr>
          <w:rFonts w:eastAsia="Times New Roman" w:cs="Arial"/>
          <w:color w:val="222222"/>
          <w:sz w:val="20"/>
          <w:szCs w:val="20"/>
        </w:rPr>
      </w:pPr>
      <w:r w:rsidRPr="00264943">
        <w:rPr>
          <w:rFonts w:eastAsia="Times New Roman" w:cs="Arial"/>
          <w:color w:val="222222"/>
          <w:sz w:val="20"/>
          <w:szCs w:val="20"/>
        </w:rPr>
        <w:t>Non applicabile: il trattamento di gotta/iperuricemia è un trattamento cronico</w:t>
      </w:r>
    </w:p>
    <w:p w14:paraId="31A0D533" w14:textId="77777777" w:rsidR="004F41F9" w:rsidRDefault="004F41F9" w:rsidP="004F41F9">
      <w:pPr>
        <w:spacing w:line="360" w:lineRule="auto"/>
        <w:rPr>
          <w:rFonts w:eastAsia="Times New Roman" w:cs="Arial"/>
          <w:color w:val="222222"/>
          <w:sz w:val="20"/>
          <w:szCs w:val="20"/>
        </w:rPr>
      </w:pPr>
    </w:p>
    <w:p w14:paraId="021FC333" w14:textId="77777777" w:rsidR="004F41F9" w:rsidRPr="00264943" w:rsidRDefault="004F41F9" w:rsidP="004F41F9">
      <w:pPr>
        <w:spacing w:line="360" w:lineRule="auto"/>
        <w:rPr>
          <w:rFonts w:eastAsia="Times New Roman" w:cs="Arial"/>
          <w:color w:val="222222"/>
          <w:sz w:val="20"/>
          <w:szCs w:val="20"/>
        </w:rPr>
      </w:pPr>
    </w:p>
    <w:p w14:paraId="17901B73" w14:textId="77777777" w:rsidR="004F41F9" w:rsidRPr="003A3038" w:rsidRDefault="004F41F9" w:rsidP="004F41F9">
      <w:pPr>
        <w:pStyle w:val="Heading2"/>
        <w:jc w:val="left"/>
        <w:rPr>
          <w:rFonts w:asciiTheme="minorHAnsi" w:hAnsiTheme="minorHAnsi" w:cstheme="minorHAnsi"/>
          <w:i w:val="0"/>
          <w:sz w:val="20"/>
          <w:u w:val="single"/>
        </w:rPr>
      </w:pPr>
      <w:bookmarkStart w:id="216" w:name="_Toc473184574"/>
      <w:r w:rsidRPr="003A3038">
        <w:rPr>
          <w:rFonts w:asciiTheme="minorHAnsi" w:hAnsiTheme="minorHAnsi" w:cstheme="minorHAnsi"/>
          <w:i w:val="0"/>
          <w:sz w:val="20"/>
        </w:rPr>
        <w:t>8.6</w:t>
      </w:r>
      <w:r w:rsidRPr="003A3038">
        <w:rPr>
          <w:rFonts w:asciiTheme="minorHAnsi" w:hAnsiTheme="minorHAnsi" w:cstheme="minorHAnsi"/>
          <w:i w:val="0"/>
          <w:sz w:val="20"/>
          <w:u w:val="single"/>
        </w:rPr>
        <w:t xml:space="preserve"> Costi dei farmaci di documentata similarità o equivalenza clinico/terapeutica</w:t>
      </w:r>
      <w:bookmarkEnd w:id="216"/>
    </w:p>
    <w:p w14:paraId="0E79CCCB" w14:textId="77777777" w:rsidR="004F41F9" w:rsidRPr="00264943" w:rsidRDefault="004F41F9" w:rsidP="004F41F9">
      <w:pPr>
        <w:spacing w:line="360" w:lineRule="auto"/>
        <w:rPr>
          <w:rFonts w:eastAsia="Times New Roman" w:cs="Arial"/>
          <w:color w:val="222222"/>
          <w:sz w:val="20"/>
          <w:szCs w:val="20"/>
        </w:rPr>
      </w:pPr>
      <w:r w:rsidRPr="00264943">
        <w:rPr>
          <w:rFonts w:eastAsia="Times New Roman" w:cs="Arial"/>
          <w:color w:val="222222"/>
          <w:sz w:val="20"/>
          <w:szCs w:val="20"/>
        </w:rPr>
        <w:t>Attualmente non esistono farmaci simili o equivalenti a ZURAMPIC.</w:t>
      </w:r>
    </w:p>
    <w:p w14:paraId="71B25332" w14:textId="77777777" w:rsidR="004F41F9" w:rsidRPr="00350151" w:rsidRDefault="004F41F9" w:rsidP="004F41F9">
      <w:pPr>
        <w:spacing w:line="360" w:lineRule="auto"/>
        <w:rPr>
          <w:rFonts w:eastAsia="Times New Roman" w:cs="Arial"/>
          <w:color w:val="222222"/>
          <w:sz w:val="20"/>
          <w:szCs w:val="20"/>
        </w:rPr>
      </w:pPr>
      <w:r w:rsidRPr="00350151">
        <w:rPr>
          <w:rFonts w:eastAsia="Times New Roman" w:cs="Arial"/>
          <w:color w:val="222222"/>
          <w:sz w:val="20"/>
          <w:szCs w:val="20"/>
        </w:rPr>
        <w:t xml:space="preserve">ZURAMPIC (lesinurad) rappresenta la prima novità significativa nel trattamento della gotta: </w:t>
      </w:r>
      <w:r w:rsidRPr="00350151">
        <w:rPr>
          <w:rFonts w:eastAsia="Times New Roman" w:cs="Arial"/>
          <w:b/>
          <w:color w:val="222222"/>
          <w:sz w:val="20"/>
          <w:szCs w:val="20"/>
          <w:u w:val="single"/>
        </w:rPr>
        <w:t xml:space="preserve">è </w:t>
      </w:r>
      <w:r>
        <w:rPr>
          <w:rFonts w:eastAsia="Times New Roman" w:cs="Arial"/>
          <w:b/>
          <w:color w:val="222222"/>
          <w:sz w:val="20"/>
          <w:szCs w:val="20"/>
          <w:u w:val="single"/>
        </w:rPr>
        <w:t>l’</w:t>
      </w:r>
      <w:r w:rsidRPr="006C7A52">
        <w:rPr>
          <w:rFonts w:eastAsia="Times New Roman" w:cs="Arial"/>
          <w:b/>
          <w:color w:val="222222"/>
          <w:sz w:val="20"/>
          <w:szCs w:val="20"/>
          <w:u w:val="single"/>
        </w:rPr>
        <w:t xml:space="preserve">unico farmaco </w:t>
      </w:r>
      <w:r w:rsidRPr="00350151">
        <w:rPr>
          <w:rFonts w:eastAsia="Times New Roman" w:cs="Arial"/>
          <w:color w:val="222222"/>
          <w:sz w:val="20"/>
          <w:szCs w:val="20"/>
          <w:u w:val="single"/>
        </w:rPr>
        <w:t>uricosurico disponibile in Italia</w:t>
      </w:r>
      <w:r w:rsidRPr="00350151">
        <w:rPr>
          <w:rFonts w:eastAsia="Times New Roman" w:cs="Arial"/>
          <w:b/>
          <w:color w:val="222222"/>
          <w:sz w:val="20"/>
          <w:szCs w:val="20"/>
          <w:u w:val="single"/>
        </w:rPr>
        <w:t>, rappresentando quindi una significativa innovazione per il trattamento di questa patologia;</w:t>
      </w:r>
      <w:r w:rsidRPr="00350151">
        <w:rPr>
          <w:rFonts w:eastAsia="Times New Roman" w:cs="Arial"/>
          <w:color w:val="222222"/>
          <w:sz w:val="20"/>
          <w:szCs w:val="20"/>
        </w:rPr>
        <w:t xml:space="preserve"> ZURAMPIC ha dimostrato, in virtù di un meccanismo d’azione complementare rispetto agli inibitori della xantina ossidasi, efficacia importante </w:t>
      </w:r>
      <w:r>
        <w:rPr>
          <w:rFonts w:eastAsia="Times New Roman" w:cs="Arial"/>
          <w:color w:val="222222"/>
          <w:sz w:val="20"/>
          <w:szCs w:val="20"/>
        </w:rPr>
        <w:t xml:space="preserve">rapida e sostenuta nel tempo </w:t>
      </w:r>
      <w:r w:rsidRPr="00350151">
        <w:rPr>
          <w:rFonts w:eastAsia="Times New Roman" w:cs="Arial"/>
          <w:color w:val="222222"/>
          <w:sz w:val="20"/>
          <w:szCs w:val="20"/>
        </w:rPr>
        <w:t>nella riduzione dei livelli sierici di urato che rappresentano il target principale nel controllo di questa patologia (riduzione dei livelli sierici di acido urico del 15-25%, raddoppiando il numero di pazienti che raggiungono il target terapeutico raccomandato dalle Linee Guida), con evidenza di un continuo beneficio clinico (riduzione del 50% l’area interessata dai tofi e il numero di tofi e riduzione delle riacutizzazioni).</w:t>
      </w:r>
    </w:p>
    <w:p w14:paraId="612EA1FE" w14:textId="77777777" w:rsidR="004F41F9" w:rsidRPr="00264943" w:rsidRDefault="004F41F9" w:rsidP="004F41F9">
      <w:pPr>
        <w:spacing w:line="360" w:lineRule="auto"/>
        <w:rPr>
          <w:rFonts w:eastAsia="Times New Roman" w:cs="Arial"/>
          <w:color w:val="222222"/>
          <w:sz w:val="20"/>
          <w:szCs w:val="20"/>
        </w:rPr>
      </w:pPr>
    </w:p>
    <w:p w14:paraId="55097EA4" w14:textId="77777777" w:rsidR="004F41F9" w:rsidRDefault="004F41F9" w:rsidP="004F41F9">
      <w:pPr>
        <w:spacing w:line="360" w:lineRule="auto"/>
        <w:rPr>
          <w:rFonts w:eastAsia="Times New Roman" w:cs="Arial"/>
          <w:color w:val="222222"/>
          <w:sz w:val="20"/>
          <w:szCs w:val="20"/>
        </w:rPr>
      </w:pPr>
      <w:r>
        <w:rPr>
          <w:rFonts w:eastAsia="Times New Roman" w:cs="Arial"/>
          <w:color w:val="222222"/>
          <w:sz w:val="20"/>
          <w:szCs w:val="20"/>
        </w:rPr>
        <w:t xml:space="preserve">Attualmente le terapie disponibili in Italia sono allopurinolo e febuxostat, entrambi inibitori della xantino ossidasi e quindi con meccanismo d’azione diverso da lesinurad, promuovendo gli XOI una ridotta produzione di acido urico. Febuxostat in Italia è un trattamento di seconda linea (Nota Aifa 91), potendo trattare i pazienti affetti da iperuricemia </w:t>
      </w:r>
      <w:r w:rsidRPr="00350151">
        <w:rPr>
          <w:rFonts w:eastAsia="Times New Roman" w:cs="Arial"/>
          <w:color w:val="222222"/>
          <w:sz w:val="20"/>
          <w:szCs w:val="20"/>
        </w:rPr>
        <w:t xml:space="preserve">cronica con anamnesi o presenza di tofi e/o di artrite gottosa </w:t>
      </w:r>
      <w:r>
        <w:rPr>
          <w:rFonts w:eastAsia="Times New Roman" w:cs="Arial"/>
          <w:color w:val="222222"/>
          <w:sz w:val="20"/>
          <w:szCs w:val="20"/>
        </w:rPr>
        <w:t xml:space="preserve">solo se </w:t>
      </w:r>
      <w:r w:rsidRPr="00350151">
        <w:rPr>
          <w:rFonts w:eastAsia="Times New Roman" w:cs="Arial"/>
          <w:color w:val="222222"/>
          <w:sz w:val="20"/>
          <w:szCs w:val="20"/>
        </w:rPr>
        <w:t>i soggetti non s</w:t>
      </w:r>
      <w:r>
        <w:rPr>
          <w:rFonts w:eastAsia="Times New Roman" w:cs="Arial"/>
          <w:color w:val="222222"/>
          <w:sz w:val="20"/>
          <w:szCs w:val="20"/>
        </w:rPr>
        <w:t>o</w:t>
      </w:r>
      <w:r w:rsidRPr="00350151">
        <w:rPr>
          <w:rFonts w:eastAsia="Times New Roman" w:cs="Arial"/>
          <w:color w:val="222222"/>
          <w:sz w:val="20"/>
          <w:szCs w:val="20"/>
        </w:rPr>
        <w:t>no adeguatamente controllati con allopurinolo o s</w:t>
      </w:r>
      <w:r>
        <w:rPr>
          <w:rFonts w:eastAsia="Times New Roman" w:cs="Arial"/>
          <w:color w:val="222222"/>
          <w:sz w:val="20"/>
          <w:szCs w:val="20"/>
        </w:rPr>
        <w:t>ono</w:t>
      </w:r>
      <w:r w:rsidRPr="00350151">
        <w:rPr>
          <w:rFonts w:eastAsia="Times New Roman" w:cs="Arial"/>
          <w:color w:val="222222"/>
          <w:sz w:val="20"/>
          <w:szCs w:val="20"/>
        </w:rPr>
        <w:t xml:space="preserve"> ad esso intolleranti</w:t>
      </w:r>
      <w:r>
        <w:rPr>
          <w:rFonts w:eastAsia="Times New Roman" w:cs="Arial"/>
          <w:color w:val="222222"/>
          <w:sz w:val="20"/>
          <w:szCs w:val="20"/>
        </w:rPr>
        <w:t>.</w:t>
      </w:r>
      <w:r w:rsidRPr="00350151">
        <w:rPr>
          <w:rFonts w:eastAsia="Times New Roman" w:cs="Arial"/>
          <w:color w:val="222222"/>
          <w:sz w:val="20"/>
          <w:szCs w:val="20"/>
        </w:rPr>
        <w:t xml:space="preserve"> </w:t>
      </w:r>
    </w:p>
    <w:p w14:paraId="684C2C99" w14:textId="77777777" w:rsidR="004F41F9" w:rsidRPr="00264943" w:rsidRDefault="004F41F9" w:rsidP="004F41F9">
      <w:pPr>
        <w:spacing w:line="360" w:lineRule="auto"/>
        <w:rPr>
          <w:rFonts w:eastAsia="Times New Roman" w:cs="Arial"/>
          <w:color w:val="222222"/>
          <w:sz w:val="20"/>
          <w:szCs w:val="20"/>
        </w:rPr>
      </w:pPr>
    </w:p>
    <w:p w14:paraId="4D57CD50" w14:textId="77777777" w:rsidR="004F41F9" w:rsidRPr="00264943" w:rsidRDefault="004F41F9" w:rsidP="004F41F9">
      <w:pPr>
        <w:spacing w:line="360" w:lineRule="auto"/>
        <w:rPr>
          <w:rFonts w:eastAsia="Times New Roman" w:cs="Arial"/>
          <w:color w:val="222222"/>
          <w:sz w:val="20"/>
          <w:szCs w:val="20"/>
        </w:rPr>
      </w:pPr>
      <w:r w:rsidRPr="00264943">
        <w:rPr>
          <w:rFonts w:eastAsia="Times New Roman" w:cs="Arial"/>
          <w:color w:val="222222"/>
          <w:sz w:val="20"/>
          <w:szCs w:val="20"/>
        </w:rPr>
        <w:t xml:space="preserve">Per le ragioni sopra elencate, quindi, non è possibile considerare né </w:t>
      </w:r>
      <w:r>
        <w:rPr>
          <w:rFonts w:eastAsia="Times New Roman" w:cs="Arial"/>
          <w:color w:val="222222"/>
          <w:sz w:val="20"/>
          <w:szCs w:val="20"/>
        </w:rPr>
        <w:t>allopurinolo</w:t>
      </w:r>
      <w:r w:rsidRPr="00264943">
        <w:rPr>
          <w:rFonts w:eastAsia="Times New Roman" w:cs="Arial"/>
          <w:color w:val="222222"/>
          <w:sz w:val="20"/>
          <w:szCs w:val="20"/>
        </w:rPr>
        <w:t xml:space="preserve"> né </w:t>
      </w:r>
      <w:r>
        <w:rPr>
          <w:rFonts w:eastAsia="Times New Roman" w:cs="Arial"/>
          <w:color w:val="222222"/>
          <w:sz w:val="20"/>
          <w:szCs w:val="20"/>
        </w:rPr>
        <w:t>febuxostat</w:t>
      </w:r>
      <w:r w:rsidRPr="00264943">
        <w:rPr>
          <w:rFonts w:eastAsia="Times New Roman" w:cs="Arial"/>
          <w:color w:val="222222"/>
          <w:sz w:val="20"/>
          <w:szCs w:val="20"/>
        </w:rPr>
        <w:t xml:space="preserve"> propriamente farmaci di documentata similarità o equivalenza clinico/terapeutica.</w:t>
      </w:r>
    </w:p>
    <w:p w14:paraId="3C6C46D6" w14:textId="77777777" w:rsidR="004F41F9" w:rsidRPr="00221759" w:rsidRDefault="004F41F9" w:rsidP="004F41F9">
      <w:pPr>
        <w:spacing w:line="360" w:lineRule="auto"/>
        <w:rPr>
          <w:rFonts w:cs="Calibri"/>
          <w:i/>
          <w:color w:val="000000"/>
          <w:sz w:val="20"/>
          <w:szCs w:val="22"/>
          <w:u w:val="single"/>
        </w:rPr>
      </w:pPr>
      <w:r>
        <w:rPr>
          <w:rFonts w:eastAsia="Times New Roman" w:cs="Arial"/>
          <w:color w:val="222222"/>
          <w:sz w:val="20"/>
          <w:szCs w:val="20"/>
        </w:rPr>
        <w:t xml:space="preserve">L’unico farmaco utilizzabile in seconda linea </w:t>
      </w:r>
      <w:r w:rsidRPr="00264943">
        <w:rPr>
          <w:rFonts w:eastAsia="Times New Roman" w:cs="Arial"/>
          <w:color w:val="222222"/>
          <w:sz w:val="20"/>
          <w:szCs w:val="20"/>
        </w:rPr>
        <w:t xml:space="preserve">è </w:t>
      </w:r>
      <w:r>
        <w:rPr>
          <w:rFonts w:eastAsia="Times New Roman" w:cs="Arial"/>
          <w:color w:val="222222"/>
          <w:sz w:val="20"/>
          <w:szCs w:val="20"/>
        </w:rPr>
        <w:t>quindi febuxostat</w:t>
      </w:r>
      <w:r w:rsidRPr="00264943">
        <w:rPr>
          <w:rFonts w:eastAsia="Times New Roman" w:cs="Arial"/>
          <w:color w:val="222222"/>
          <w:sz w:val="20"/>
          <w:szCs w:val="20"/>
        </w:rPr>
        <w:t>. Sulla base de</w:t>
      </w:r>
      <w:r>
        <w:rPr>
          <w:rFonts w:eastAsia="Times New Roman" w:cs="Arial"/>
          <w:color w:val="222222"/>
          <w:sz w:val="20"/>
          <w:szCs w:val="20"/>
        </w:rPr>
        <w:t>i prezzi attualmente pubblicati in Gazzetta (Gazzetta Ufficiale n. 279 del 30 novembre 2015) si può stimare il seguente costo per compressa:</w:t>
      </w:r>
      <w:r w:rsidRPr="00221759">
        <w:rPr>
          <w:rFonts w:cs="Calibri"/>
          <w:i/>
          <w:color w:val="000000"/>
          <w:sz w:val="20"/>
          <w:szCs w:val="22"/>
          <w:u w:val="single"/>
        </w:rPr>
        <w:t xml:space="preserve"> </w:t>
      </w:r>
    </w:p>
    <w:p w14:paraId="20E6523E" w14:textId="77777777" w:rsidR="004F41F9" w:rsidRPr="00E556D8" w:rsidRDefault="004F41F9" w:rsidP="004F41F9">
      <w:pPr>
        <w:autoSpaceDE w:val="0"/>
        <w:autoSpaceDN w:val="0"/>
        <w:adjustRightInd w:val="0"/>
        <w:rPr>
          <w:rFonts w:cs="Calibri"/>
          <w:color w:val="000000"/>
          <w:sz w:val="20"/>
          <w:szCs w:val="22"/>
        </w:rPr>
      </w:pPr>
    </w:p>
    <w:p w14:paraId="3EEDC77A" w14:textId="77777777" w:rsidR="004F41F9" w:rsidRPr="00221759" w:rsidRDefault="004F41F9" w:rsidP="004F41F9">
      <w:pPr>
        <w:autoSpaceDE w:val="0"/>
        <w:autoSpaceDN w:val="0"/>
        <w:adjustRightInd w:val="0"/>
        <w:rPr>
          <w:rFonts w:cs="Calibri"/>
          <w:i/>
          <w:color w:val="000000"/>
          <w:sz w:val="20"/>
          <w:szCs w:val="22"/>
          <w:u w:val="single"/>
        </w:rPr>
      </w:pPr>
      <w:r w:rsidRPr="00221759">
        <w:rPr>
          <w:rFonts w:cs="Calibri"/>
          <w:i/>
          <w:color w:val="000000"/>
          <w:sz w:val="20"/>
          <w:szCs w:val="22"/>
          <w:u w:val="single"/>
        </w:rPr>
        <w:t>Prezzo</w:t>
      </w:r>
      <w:r>
        <w:rPr>
          <w:rFonts w:cs="Calibri"/>
          <w:i/>
          <w:color w:val="000000"/>
          <w:sz w:val="20"/>
          <w:szCs w:val="22"/>
          <w:u w:val="single"/>
        </w:rPr>
        <w:t>/compressa</w:t>
      </w:r>
      <w:r w:rsidRPr="00221759">
        <w:rPr>
          <w:rFonts w:cs="Calibri"/>
          <w:i/>
          <w:color w:val="000000"/>
          <w:sz w:val="20"/>
          <w:szCs w:val="22"/>
          <w:u w:val="single"/>
        </w:rPr>
        <w:t xml:space="preserve"> </w:t>
      </w:r>
      <w:r>
        <w:rPr>
          <w:rFonts w:cs="Calibri"/>
          <w:i/>
          <w:color w:val="000000"/>
          <w:sz w:val="20"/>
          <w:szCs w:val="22"/>
          <w:u w:val="single"/>
        </w:rPr>
        <w:t>calcolato in base al prezzo febuxostat (Adenuric) attualmente pubblicato in Gazzetta Ufficiale</w:t>
      </w:r>
      <w:r w:rsidRPr="00221759">
        <w:rPr>
          <w:rFonts w:cs="Calibri"/>
          <w:i/>
          <w:color w:val="000000"/>
          <w:sz w:val="20"/>
          <w:szCs w:val="22"/>
          <w:u w:val="single"/>
        </w:rPr>
        <w:t>:</w:t>
      </w:r>
    </w:p>
    <w:p w14:paraId="430A5A94" w14:textId="77777777" w:rsidR="004F41F9" w:rsidRDefault="004F41F9" w:rsidP="004F41F9">
      <w:pPr>
        <w:autoSpaceDE w:val="0"/>
        <w:autoSpaceDN w:val="0"/>
        <w:adjustRightInd w:val="0"/>
        <w:rPr>
          <w:rFonts w:cs="Calibri"/>
          <w:color w:val="000000"/>
          <w:sz w:val="20"/>
          <w:szCs w:val="22"/>
        </w:rPr>
      </w:pPr>
    </w:p>
    <w:p w14:paraId="7F41AFA3" w14:textId="77777777" w:rsidR="004F41F9" w:rsidRPr="00A547DB" w:rsidRDefault="004F41F9" w:rsidP="004F41F9">
      <w:pPr>
        <w:autoSpaceDE w:val="0"/>
        <w:autoSpaceDN w:val="0"/>
        <w:adjustRightInd w:val="0"/>
        <w:rPr>
          <w:rFonts w:cs="Calibri"/>
          <w:i/>
          <w:color w:val="000000"/>
          <w:sz w:val="20"/>
          <w:szCs w:val="22"/>
          <w:u w:val="single"/>
        </w:rPr>
      </w:pPr>
      <w:r w:rsidRPr="00A547DB">
        <w:rPr>
          <w:rFonts w:cs="Calibri"/>
          <w:i/>
          <w:color w:val="000000"/>
          <w:sz w:val="20"/>
          <w:szCs w:val="22"/>
          <w:u w:val="single"/>
        </w:rPr>
        <w:t>Al lordo degli sconti di legge</w:t>
      </w:r>
    </w:p>
    <w:p w14:paraId="15FBF22F" w14:textId="77777777" w:rsidR="004F41F9" w:rsidRPr="00E556D8" w:rsidRDefault="004F41F9" w:rsidP="004F41F9">
      <w:pPr>
        <w:autoSpaceDE w:val="0"/>
        <w:autoSpaceDN w:val="0"/>
        <w:adjustRightInd w:val="0"/>
        <w:rPr>
          <w:rFonts w:cs="Calibri"/>
          <w:color w:val="000000"/>
          <w:sz w:val="20"/>
          <w:szCs w:val="22"/>
        </w:rPr>
      </w:pPr>
    </w:p>
    <w:tbl>
      <w:tblPr>
        <w:tblStyle w:val="TableGrid"/>
        <w:tblW w:w="0" w:type="auto"/>
        <w:tblLook w:val="04A0" w:firstRow="1" w:lastRow="0" w:firstColumn="1" w:lastColumn="0" w:noHBand="0" w:noVBand="1"/>
      </w:tblPr>
      <w:tblGrid>
        <w:gridCol w:w="3652"/>
        <w:gridCol w:w="2359"/>
        <w:gridCol w:w="3006"/>
      </w:tblGrid>
      <w:tr w:rsidR="004F41F9" w:rsidRPr="00221759" w14:paraId="5A082B25" w14:textId="77777777" w:rsidTr="0087637F">
        <w:tc>
          <w:tcPr>
            <w:tcW w:w="3652" w:type="dxa"/>
          </w:tcPr>
          <w:p w14:paraId="7D86B330" w14:textId="77777777" w:rsidR="004F41F9" w:rsidRPr="00221759" w:rsidRDefault="004F41F9" w:rsidP="0087637F">
            <w:pPr>
              <w:tabs>
                <w:tab w:val="left" w:pos="540"/>
              </w:tabs>
              <w:autoSpaceDE w:val="0"/>
              <w:autoSpaceDN w:val="0"/>
              <w:adjustRightInd w:val="0"/>
              <w:jc w:val="both"/>
              <w:rPr>
                <w:rFonts w:cs="Calibri"/>
                <w:b/>
                <w:sz w:val="20"/>
              </w:rPr>
            </w:pPr>
            <w:r>
              <w:rPr>
                <w:rFonts w:cs="Calibri"/>
                <w:b/>
                <w:sz w:val="20"/>
              </w:rPr>
              <w:t>Adenuric</w:t>
            </w:r>
          </w:p>
        </w:tc>
        <w:tc>
          <w:tcPr>
            <w:tcW w:w="2359" w:type="dxa"/>
          </w:tcPr>
          <w:p w14:paraId="33952888"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 xml:space="preserve">PP </w:t>
            </w:r>
          </w:p>
        </w:tc>
        <w:tc>
          <w:tcPr>
            <w:tcW w:w="3006" w:type="dxa"/>
          </w:tcPr>
          <w:p w14:paraId="7C40B90D"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EF</w:t>
            </w:r>
          </w:p>
        </w:tc>
      </w:tr>
      <w:tr w:rsidR="004F41F9" w:rsidRPr="00221759" w14:paraId="4B5BF2BE" w14:textId="77777777" w:rsidTr="0087637F">
        <w:tc>
          <w:tcPr>
            <w:tcW w:w="3652" w:type="dxa"/>
          </w:tcPr>
          <w:p w14:paraId="066C1B36" w14:textId="77777777" w:rsidR="004F41F9" w:rsidRPr="00A547DB" w:rsidRDefault="004F41F9" w:rsidP="0087637F">
            <w:pPr>
              <w:tabs>
                <w:tab w:val="left" w:pos="540"/>
              </w:tabs>
              <w:autoSpaceDE w:val="0"/>
              <w:autoSpaceDN w:val="0"/>
              <w:adjustRightInd w:val="0"/>
              <w:jc w:val="both"/>
              <w:rPr>
                <w:rFonts w:cs="Calibri"/>
                <w:b/>
                <w:sz w:val="20"/>
              </w:rPr>
            </w:pPr>
            <w:r w:rsidRPr="00A547DB">
              <w:rPr>
                <w:rFonts w:cs="Calibri"/>
                <w:b/>
                <w:sz w:val="20"/>
              </w:rPr>
              <w:t>Costo/compressa</w:t>
            </w:r>
          </w:p>
          <w:p w14:paraId="7C5CA840" w14:textId="77777777" w:rsidR="004F41F9" w:rsidRPr="00A547DB" w:rsidRDefault="004F41F9" w:rsidP="0087637F">
            <w:pPr>
              <w:tabs>
                <w:tab w:val="left" w:pos="540"/>
              </w:tabs>
              <w:autoSpaceDE w:val="0"/>
              <w:autoSpaceDN w:val="0"/>
              <w:adjustRightInd w:val="0"/>
              <w:jc w:val="both"/>
              <w:rPr>
                <w:rFonts w:cs="Calibri"/>
                <w:b/>
                <w:sz w:val="20"/>
              </w:rPr>
            </w:pPr>
            <w:r w:rsidRPr="00A547DB">
              <w:rPr>
                <w:rFonts w:cs="Calibri"/>
                <w:b/>
                <w:sz w:val="20"/>
              </w:rPr>
              <w:t>28 compresse 80 mg</w:t>
            </w:r>
            <w:r>
              <w:rPr>
                <w:rFonts w:cs="Calibri"/>
                <w:b/>
                <w:sz w:val="20"/>
              </w:rPr>
              <w:t xml:space="preserve"> </w:t>
            </w:r>
          </w:p>
        </w:tc>
        <w:tc>
          <w:tcPr>
            <w:tcW w:w="2359" w:type="dxa"/>
          </w:tcPr>
          <w:p w14:paraId="09AFA3F4" w14:textId="77777777" w:rsidR="004F41F9" w:rsidRDefault="004F41F9" w:rsidP="0087637F">
            <w:pPr>
              <w:tabs>
                <w:tab w:val="left" w:pos="540"/>
              </w:tabs>
              <w:autoSpaceDE w:val="0"/>
              <w:autoSpaceDN w:val="0"/>
              <w:adjustRightInd w:val="0"/>
              <w:jc w:val="center"/>
              <w:rPr>
                <w:rFonts w:cs="Calibri"/>
                <w:sz w:val="20"/>
              </w:rPr>
            </w:pPr>
          </w:p>
          <w:p w14:paraId="32316F21" w14:textId="77777777" w:rsidR="004F41F9" w:rsidRPr="00221759" w:rsidRDefault="004F41F9" w:rsidP="0087637F">
            <w:pPr>
              <w:tabs>
                <w:tab w:val="left" w:pos="540"/>
              </w:tabs>
              <w:autoSpaceDE w:val="0"/>
              <w:autoSpaceDN w:val="0"/>
              <w:adjustRightInd w:val="0"/>
              <w:jc w:val="center"/>
              <w:rPr>
                <w:rFonts w:cs="Calibri"/>
                <w:sz w:val="20"/>
              </w:rPr>
            </w:pPr>
            <w:r>
              <w:rPr>
                <w:rFonts w:cs="Calibri"/>
                <w:sz w:val="20"/>
              </w:rPr>
              <w:t>1,41</w:t>
            </w:r>
            <w:r w:rsidRPr="00221759">
              <w:rPr>
                <w:rFonts w:cs="Calibri"/>
                <w:sz w:val="20"/>
              </w:rPr>
              <w:t xml:space="preserve"> €</w:t>
            </w:r>
          </w:p>
        </w:tc>
        <w:tc>
          <w:tcPr>
            <w:tcW w:w="3006" w:type="dxa"/>
          </w:tcPr>
          <w:p w14:paraId="2D811444" w14:textId="77777777" w:rsidR="004F41F9" w:rsidRDefault="004F41F9" w:rsidP="0087637F">
            <w:pPr>
              <w:tabs>
                <w:tab w:val="left" w:pos="540"/>
              </w:tabs>
              <w:autoSpaceDE w:val="0"/>
              <w:autoSpaceDN w:val="0"/>
              <w:adjustRightInd w:val="0"/>
              <w:spacing w:line="276" w:lineRule="auto"/>
              <w:jc w:val="center"/>
              <w:rPr>
                <w:rFonts w:cs="Calibri"/>
                <w:b/>
                <w:sz w:val="20"/>
              </w:rPr>
            </w:pPr>
          </w:p>
          <w:p w14:paraId="4BF32EEC"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r>
              <w:rPr>
                <w:rFonts w:cs="Calibri"/>
                <w:b/>
                <w:sz w:val="20"/>
              </w:rPr>
              <w:t>0,86</w:t>
            </w:r>
            <w:r w:rsidRPr="00221759">
              <w:rPr>
                <w:rFonts w:cs="Calibri"/>
                <w:b/>
                <w:sz w:val="20"/>
              </w:rPr>
              <w:t xml:space="preserve"> €</w:t>
            </w:r>
          </w:p>
        </w:tc>
      </w:tr>
    </w:tbl>
    <w:p w14:paraId="217C4927" w14:textId="77777777" w:rsidR="004F41F9" w:rsidRDefault="004F41F9" w:rsidP="004F41F9">
      <w:pPr>
        <w:autoSpaceDE w:val="0"/>
        <w:autoSpaceDN w:val="0"/>
        <w:adjustRightInd w:val="0"/>
        <w:spacing w:line="360" w:lineRule="auto"/>
        <w:rPr>
          <w:rFonts w:eastAsia="Times New Roman" w:cs="Arial"/>
          <w:sz w:val="20"/>
          <w:szCs w:val="20"/>
          <w:lang w:eastAsia="it-IT"/>
        </w:rPr>
      </w:pPr>
    </w:p>
    <w:p w14:paraId="380F26C0" w14:textId="77777777" w:rsidR="004F41F9" w:rsidRPr="00A547DB" w:rsidRDefault="004F41F9" w:rsidP="004F41F9">
      <w:pPr>
        <w:autoSpaceDE w:val="0"/>
        <w:autoSpaceDN w:val="0"/>
        <w:adjustRightInd w:val="0"/>
        <w:rPr>
          <w:rFonts w:cs="Calibri"/>
          <w:i/>
          <w:color w:val="000000"/>
          <w:sz w:val="20"/>
          <w:szCs w:val="22"/>
          <w:u w:val="single"/>
        </w:rPr>
      </w:pPr>
      <w:r w:rsidRPr="00A547DB">
        <w:rPr>
          <w:rFonts w:cs="Calibri"/>
          <w:i/>
          <w:color w:val="000000"/>
          <w:sz w:val="20"/>
          <w:szCs w:val="22"/>
          <w:u w:val="single"/>
        </w:rPr>
        <w:t xml:space="preserve">Al </w:t>
      </w:r>
      <w:r>
        <w:rPr>
          <w:rFonts w:cs="Calibri"/>
          <w:i/>
          <w:color w:val="000000"/>
          <w:sz w:val="20"/>
          <w:szCs w:val="22"/>
          <w:u w:val="single"/>
        </w:rPr>
        <w:t>netto</w:t>
      </w:r>
      <w:r w:rsidRPr="00A547DB">
        <w:rPr>
          <w:rFonts w:cs="Calibri"/>
          <w:i/>
          <w:color w:val="000000"/>
          <w:sz w:val="20"/>
          <w:szCs w:val="22"/>
          <w:u w:val="single"/>
        </w:rPr>
        <w:t xml:space="preserve"> degli sconti di legge</w:t>
      </w:r>
    </w:p>
    <w:p w14:paraId="384E5577" w14:textId="77777777" w:rsidR="004F41F9" w:rsidRPr="00E556D8" w:rsidRDefault="004F41F9" w:rsidP="004F41F9">
      <w:pPr>
        <w:autoSpaceDE w:val="0"/>
        <w:autoSpaceDN w:val="0"/>
        <w:adjustRightInd w:val="0"/>
        <w:rPr>
          <w:rFonts w:cs="Calibri"/>
          <w:color w:val="000000"/>
          <w:sz w:val="20"/>
          <w:szCs w:val="22"/>
        </w:rPr>
      </w:pPr>
    </w:p>
    <w:tbl>
      <w:tblPr>
        <w:tblStyle w:val="TableGrid"/>
        <w:tblW w:w="0" w:type="auto"/>
        <w:tblLook w:val="04A0" w:firstRow="1" w:lastRow="0" w:firstColumn="1" w:lastColumn="0" w:noHBand="0" w:noVBand="1"/>
      </w:tblPr>
      <w:tblGrid>
        <w:gridCol w:w="3652"/>
        <w:gridCol w:w="2359"/>
        <w:gridCol w:w="3006"/>
      </w:tblGrid>
      <w:tr w:rsidR="004F41F9" w:rsidRPr="00221759" w14:paraId="7684A328" w14:textId="77777777" w:rsidTr="0087637F">
        <w:tc>
          <w:tcPr>
            <w:tcW w:w="3652" w:type="dxa"/>
          </w:tcPr>
          <w:p w14:paraId="3031752C" w14:textId="77777777" w:rsidR="004F41F9" w:rsidRPr="00221759" w:rsidRDefault="004F41F9" w:rsidP="0087637F">
            <w:pPr>
              <w:tabs>
                <w:tab w:val="left" w:pos="540"/>
              </w:tabs>
              <w:autoSpaceDE w:val="0"/>
              <w:autoSpaceDN w:val="0"/>
              <w:adjustRightInd w:val="0"/>
              <w:jc w:val="both"/>
              <w:rPr>
                <w:rFonts w:cs="Calibri"/>
                <w:b/>
                <w:sz w:val="20"/>
              </w:rPr>
            </w:pPr>
            <w:r>
              <w:rPr>
                <w:rFonts w:cs="Calibri"/>
                <w:b/>
                <w:sz w:val="20"/>
              </w:rPr>
              <w:t>Adenuric</w:t>
            </w:r>
          </w:p>
        </w:tc>
        <w:tc>
          <w:tcPr>
            <w:tcW w:w="2359" w:type="dxa"/>
          </w:tcPr>
          <w:p w14:paraId="7468E2A3"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 xml:space="preserve">PP </w:t>
            </w:r>
          </w:p>
        </w:tc>
        <w:tc>
          <w:tcPr>
            <w:tcW w:w="3006" w:type="dxa"/>
          </w:tcPr>
          <w:p w14:paraId="76CB7641" w14:textId="77777777" w:rsidR="004F41F9" w:rsidRPr="00221759" w:rsidRDefault="004F41F9" w:rsidP="0087637F">
            <w:pPr>
              <w:tabs>
                <w:tab w:val="left" w:pos="540"/>
              </w:tabs>
              <w:autoSpaceDE w:val="0"/>
              <w:autoSpaceDN w:val="0"/>
              <w:adjustRightInd w:val="0"/>
              <w:jc w:val="both"/>
              <w:rPr>
                <w:rFonts w:cs="Calibri"/>
                <w:b/>
                <w:sz w:val="20"/>
              </w:rPr>
            </w:pPr>
            <w:r w:rsidRPr="00221759">
              <w:rPr>
                <w:rFonts w:cs="Calibri"/>
                <w:b/>
                <w:sz w:val="20"/>
              </w:rPr>
              <w:t>EF</w:t>
            </w:r>
          </w:p>
        </w:tc>
      </w:tr>
      <w:tr w:rsidR="004F41F9" w:rsidRPr="00221759" w14:paraId="5FE1AA13" w14:textId="77777777" w:rsidTr="0087637F">
        <w:tc>
          <w:tcPr>
            <w:tcW w:w="3652" w:type="dxa"/>
          </w:tcPr>
          <w:p w14:paraId="597425FF" w14:textId="77777777" w:rsidR="004F41F9" w:rsidRPr="00A547DB" w:rsidRDefault="004F41F9" w:rsidP="0087637F">
            <w:pPr>
              <w:tabs>
                <w:tab w:val="left" w:pos="540"/>
              </w:tabs>
              <w:autoSpaceDE w:val="0"/>
              <w:autoSpaceDN w:val="0"/>
              <w:adjustRightInd w:val="0"/>
              <w:jc w:val="both"/>
              <w:rPr>
                <w:rFonts w:cs="Calibri"/>
                <w:b/>
                <w:sz w:val="20"/>
              </w:rPr>
            </w:pPr>
            <w:r w:rsidRPr="00A547DB">
              <w:rPr>
                <w:rFonts w:cs="Calibri"/>
                <w:b/>
                <w:sz w:val="20"/>
              </w:rPr>
              <w:t>Costo/compressa</w:t>
            </w:r>
          </w:p>
          <w:p w14:paraId="57E29A33" w14:textId="77777777" w:rsidR="004F41F9" w:rsidRPr="00A547DB" w:rsidRDefault="004F41F9" w:rsidP="0087637F">
            <w:pPr>
              <w:tabs>
                <w:tab w:val="left" w:pos="540"/>
              </w:tabs>
              <w:autoSpaceDE w:val="0"/>
              <w:autoSpaceDN w:val="0"/>
              <w:adjustRightInd w:val="0"/>
              <w:jc w:val="both"/>
              <w:rPr>
                <w:rFonts w:cs="Calibri"/>
                <w:b/>
                <w:sz w:val="20"/>
              </w:rPr>
            </w:pPr>
            <w:r w:rsidRPr="00A547DB">
              <w:rPr>
                <w:rFonts w:cs="Calibri"/>
                <w:b/>
                <w:sz w:val="20"/>
              </w:rPr>
              <w:t>28 compresse 80 mg</w:t>
            </w:r>
            <w:r>
              <w:rPr>
                <w:rFonts w:cs="Calibri"/>
                <w:b/>
                <w:sz w:val="20"/>
              </w:rPr>
              <w:t xml:space="preserve"> </w:t>
            </w:r>
          </w:p>
        </w:tc>
        <w:tc>
          <w:tcPr>
            <w:tcW w:w="2359" w:type="dxa"/>
          </w:tcPr>
          <w:p w14:paraId="2B428C51" w14:textId="77777777" w:rsidR="004F41F9" w:rsidRDefault="004F41F9" w:rsidP="0087637F">
            <w:pPr>
              <w:tabs>
                <w:tab w:val="left" w:pos="540"/>
              </w:tabs>
              <w:autoSpaceDE w:val="0"/>
              <w:autoSpaceDN w:val="0"/>
              <w:adjustRightInd w:val="0"/>
              <w:jc w:val="center"/>
              <w:rPr>
                <w:rFonts w:cs="Calibri"/>
                <w:sz w:val="20"/>
              </w:rPr>
            </w:pPr>
          </w:p>
          <w:p w14:paraId="330DC795" w14:textId="77777777" w:rsidR="004F41F9" w:rsidRPr="00221759" w:rsidRDefault="004F41F9" w:rsidP="0087637F">
            <w:pPr>
              <w:tabs>
                <w:tab w:val="left" w:pos="540"/>
              </w:tabs>
              <w:autoSpaceDE w:val="0"/>
              <w:autoSpaceDN w:val="0"/>
              <w:adjustRightInd w:val="0"/>
              <w:jc w:val="center"/>
              <w:rPr>
                <w:rFonts w:cs="Calibri"/>
                <w:sz w:val="20"/>
              </w:rPr>
            </w:pPr>
            <w:r>
              <w:rPr>
                <w:rFonts w:cs="Calibri"/>
                <w:sz w:val="20"/>
              </w:rPr>
              <w:t>1,28</w:t>
            </w:r>
            <w:r w:rsidRPr="00221759">
              <w:rPr>
                <w:rFonts w:cs="Calibri"/>
                <w:sz w:val="20"/>
              </w:rPr>
              <w:t xml:space="preserve"> €</w:t>
            </w:r>
          </w:p>
        </w:tc>
        <w:tc>
          <w:tcPr>
            <w:tcW w:w="3006" w:type="dxa"/>
          </w:tcPr>
          <w:p w14:paraId="32AE75E6" w14:textId="77777777" w:rsidR="004F41F9" w:rsidRDefault="004F41F9" w:rsidP="0087637F">
            <w:pPr>
              <w:tabs>
                <w:tab w:val="left" w:pos="540"/>
              </w:tabs>
              <w:autoSpaceDE w:val="0"/>
              <w:autoSpaceDN w:val="0"/>
              <w:adjustRightInd w:val="0"/>
              <w:spacing w:line="276" w:lineRule="auto"/>
              <w:jc w:val="center"/>
              <w:rPr>
                <w:rFonts w:cs="Calibri"/>
                <w:b/>
                <w:sz w:val="20"/>
              </w:rPr>
            </w:pPr>
          </w:p>
          <w:p w14:paraId="69EDB911" w14:textId="77777777" w:rsidR="004F41F9" w:rsidRPr="00221759" w:rsidRDefault="004F41F9" w:rsidP="0087637F">
            <w:pPr>
              <w:tabs>
                <w:tab w:val="left" w:pos="540"/>
              </w:tabs>
              <w:autoSpaceDE w:val="0"/>
              <w:autoSpaceDN w:val="0"/>
              <w:adjustRightInd w:val="0"/>
              <w:spacing w:line="276" w:lineRule="auto"/>
              <w:jc w:val="center"/>
              <w:rPr>
                <w:rFonts w:cs="Calibri"/>
                <w:sz w:val="20"/>
              </w:rPr>
            </w:pPr>
            <w:r>
              <w:rPr>
                <w:rFonts w:cs="Calibri"/>
                <w:b/>
                <w:sz w:val="20"/>
              </w:rPr>
              <w:t>0,77</w:t>
            </w:r>
            <w:r w:rsidRPr="00221759">
              <w:rPr>
                <w:rFonts w:cs="Calibri"/>
                <w:b/>
                <w:sz w:val="20"/>
              </w:rPr>
              <w:t xml:space="preserve"> €</w:t>
            </w:r>
          </w:p>
        </w:tc>
      </w:tr>
    </w:tbl>
    <w:p w14:paraId="6F468021" w14:textId="77777777" w:rsidR="004F41F9" w:rsidRDefault="004F41F9" w:rsidP="004F41F9">
      <w:pPr>
        <w:spacing w:line="360" w:lineRule="auto"/>
        <w:jc w:val="both"/>
        <w:rPr>
          <w:rFonts w:cs="Calibri"/>
          <w:b/>
          <w:color w:val="000000"/>
          <w:sz w:val="20"/>
          <w:szCs w:val="22"/>
          <w:u w:val="single"/>
        </w:rPr>
      </w:pPr>
    </w:p>
    <w:p w14:paraId="7EAE5B09" w14:textId="77777777" w:rsidR="004F41F9" w:rsidRPr="003A3038" w:rsidRDefault="004F41F9" w:rsidP="004F41F9">
      <w:pPr>
        <w:pStyle w:val="Heading2"/>
        <w:jc w:val="left"/>
        <w:rPr>
          <w:rFonts w:asciiTheme="minorHAnsi" w:hAnsiTheme="minorHAnsi" w:cstheme="minorHAnsi"/>
          <w:i w:val="0"/>
          <w:sz w:val="20"/>
          <w:u w:val="single"/>
        </w:rPr>
      </w:pPr>
      <w:bookmarkStart w:id="217" w:name="_Toc473184575"/>
      <w:r w:rsidRPr="003A3038">
        <w:rPr>
          <w:rFonts w:asciiTheme="minorHAnsi" w:hAnsiTheme="minorHAnsi" w:cstheme="minorHAnsi"/>
          <w:i w:val="0"/>
          <w:sz w:val="20"/>
        </w:rPr>
        <w:t xml:space="preserve">8.7 </w:t>
      </w:r>
      <w:r w:rsidRPr="003A3038">
        <w:rPr>
          <w:rFonts w:asciiTheme="minorHAnsi" w:hAnsiTheme="minorHAnsi" w:cstheme="minorHAnsi"/>
          <w:i w:val="0"/>
          <w:sz w:val="20"/>
          <w:u w:val="single"/>
        </w:rPr>
        <w:t>Numero prevedibile di soggetti interessati al trattamento in un anno</w:t>
      </w:r>
      <w:bookmarkEnd w:id="217"/>
    </w:p>
    <w:p w14:paraId="01E75B70" w14:textId="4B5A6B73" w:rsidR="004F41F9" w:rsidRDefault="004F41F9" w:rsidP="004F41F9">
      <w:pPr>
        <w:widowControl w:val="0"/>
        <w:autoSpaceDE w:val="0"/>
        <w:autoSpaceDN w:val="0"/>
        <w:adjustRightInd w:val="0"/>
        <w:spacing w:line="360" w:lineRule="auto"/>
        <w:rPr>
          <w:rFonts w:cs="Arial"/>
          <w:sz w:val="20"/>
          <w:szCs w:val="20"/>
        </w:rPr>
      </w:pPr>
      <w:r w:rsidRPr="000B2721">
        <w:rPr>
          <w:rFonts w:cs="Arial"/>
          <w:sz w:val="20"/>
          <w:szCs w:val="20"/>
        </w:rPr>
        <w:t xml:space="preserve">Come illustrato al </w:t>
      </w:r>
      <w:hyperlink w:anchor="Paragrafo41" w:history="1">
        <w:r w:rsidRPr="00502F15">
          <w:rPr>
            <w:rStyle w:val="Hyperlink"/>
            <w:rFonts w:cs="Arial"/>
            <w:sz w:val="20"/>
            <w:szCs w:val="20"/>
          </w:rPr>
          <w:t>Paragrafo 4.1</w:t>
        </w:r>
      </w:hyperlink>
      <w:r w:rsidRPr="000B2721">
        <w:rPr>
          <w:rFonts w:cs="Arial"/>
          <w:sz w:val="20"/>
          <w:szCs w:val="20"/>
        </w:rPr>
        <w:t xml:space="preserve"> </w:t>
      </w:r>
      <w:r>
        <w:rPr>
          <w:rFonts w:cs="Arial"/>
          <w:sz w:val="20"/>
          <w:szCs w:val="20"/>
        </w:rPr>
        <w:t xml:space="preserve">i pazienti potenzialmente eleggibili sono </w:t>
      </w:r>
      <w:r w:rsidR="00211678">
        <w:rPr>
          <w:rFonts w:cs="Arial"/>
          <w:sz w:val="20"/>
          <w:szCs w:val="20"/>
        </w:rPr>
        <w:t>riporttai di seguito:</w:t>
      </w:r>
      <w:r>
        <w:rPr>
          <w:rFonts w:cs="Arial"/>
          <w:sz w:val="20"/>
          <w:szCs w:val="20"/>
        </w:rPr>
        <w:t xml:space="preserve"> </w:t>
      </w:r>
    </w:p>
    <w:p w14:paraId="23AB9235" w14:textId="7009B6BC" w:rsidR="004F41F9" w:rsidRDefault="00211678" w:rsidP="004F41F9">
      <w:pPr>
        <w:widowControl w:val="0"/>
        <w:autoSpaceDE w:val="0"/>
        <w:autoSpaceDN w:val="0"/>
        <w:adjustRightInd w:val="0"/>
        <w:spacing w:line="360" w:lineRule="auto"/>
        <w:rPr>
          <w:rFonts w:cs="Arial"/>
          <w:sz w:val="20"/>
          <w:szCs w:val="20"/>
        </w:rPr>
      </w:pPr>
      <w:r>
        <w:rPr>
          <w:noProof/>
          <w:lang w:val="en-GB" w:eastAsia="en-GB"/>
        </w:rPr>
        <w:drawing>
          <wp:inline distT="0" distB="0" distL="0" distR="0" wp14:anchorId="3FB4476D" wp14:editId="4C0CAEA3">
            <wp:extent cx="5732145" cy="3998996"/>
            <wp:effectExtent l="0" t="0" r="1905" b="1905"/>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2145" cy="3998996"/>
                    </a:xfrm>
                    <a:prstGeom prst="rect">
                      <a:avLst/>
                    </a:prstGeom>
                  </pic:spPr>
                </pic:pic>
              </a:graphicData>
            </a:graphic>
          </wp:inline>
        </w:drawing>
      </w:r>
    </w:p>
    <w:p w14:paraId="66D8E567" w14:textId="77777777" w:rsidR="00211678" w:rsidRDefault="00211678" w:rsidP="004F41F9">
      <w:pPr>
        <w:pStyle w:val="Heading2"/>
        <w:jc w:val="left"/>
        <w:rPr>
          <w:rFonts w:asciiTheme="minorHAnsi" w:hAnsiTheme="minorHAnsi" w:cstheme="minorHAnsi"/>
          <w:i w:val="0"/>
          <w:sz w:val="20"/>
        </w:rPr>
      </w:pPr>
    </w:p>
    <w:p w14:paraId="5C1EE31B" w14:textId="77777777" w:rsidR="004F41F9" w:rsidRPr="003A3038" w:rsidRDefault="004F41F9" w:rsidP="004F41F9">
      <w:pPr>
        <w:pStyle w:val="Heading2"/>
        <w:jc w:val="left"/>
        <w:rPr>
          <w:rFonts w:asciiTheme="minorHAnsi" w:hAnsiTheme="minorHAnsi" w:cstheme="minorHAnsi"/>
          <w:i w:val="0"/>
          <w:sz w:val="20"/>
          <w:u w:val="single"/>
        </w:rPr>
      </w:pPr>
      <w:bookmarkStart w:id="218" w:name="_Toc473184576"/>
      <w:r w:rsidRPr="003A3038">
        <w:rPr>
          <w:rFonts w:asciiTheme="minorHAnsi" w:hAnsiTheme="minorHAnsi" w:cstheme="minorHAnsi"/>
          <w:i w:val="0"/>
          <w:sz w:val="20"/>
        </w:rPr>
        <w:t xml:space="preserve">8.8 </w:t>
      </w:r>
      <w:r w:rsidRPr="003A3038">
        <w:rPr>
          <w:rFonts w:asciiTheme="minorHAnsi" w:hAnsiTheme="minorHAnsi" w:cstheme="minorHAnsi"/>
          <w:i w:val="0"/>
          <w:sz w:val="20"/>
          <w:u w:val="single"/>
        </w:rPr>
        <w:t>Mercato totale dello specifico settore terapeutico</w:t>
      </w:r>
      <w:bookmarkEnd w:id="218"/>
    </w:p>
    <w:p w14:paraId="27FB6258" w14:textId="77777777" w:rsidR="004F41F9" w:rsidRDefault="004F41F9" w:rsidP="004F41F9">
      <w:pPr>
        <w:widowControl w:val="0"/>
        <w:autoSpaceDE w:val="0"/>
        <w:autoSpaceDN w:val="0"/>
        <w:adjustRightInd w:val="0"/>
        <w:spacing w:line="360" w:lineRule="auto"/>
        <w:rPr>
          <w:rFonts w:cs="Arial"/>
          <w:sz w:val="20"/>
          <w:szCs w:val="20"/>
        </w:rPr>
      </w:pPr>
      <w:r>
        <w:rPr>
          <w:rFonts w:cs="Arial"/>
          <w:sz w:val="20"/>
          <w:szCs w:val="20"/>
        </w:rPr>
        <w:t>Il mercato di riferimento è M04A0 – Farmaci antigottosi.</w:t>
      </w:r>
    </w:p>
    <w:p w14:paraId="71F89425" w14:textId="77777777" w:rsidR="004F41F9" w:rsidRDefault="004F41F9" w:rsidP="004F41F9">
      <w:pPr>
        <w:widowControl w:val="0"/>
        <w:autoSpaceDE w:val="0"/>
        <w:autoSpaceDN w:val="0"/>
        <w:adjustRightInd w:val="0"/>
        <w:spacing w:line="360" w:lineRule="auto"/>
        <w:rPr>
          <w:rFonts w:cs="Arial"/>
          <w:sz w:val="20"/>
          <w:szCs w:val="20"/>
        </w:rPr>
      </w:pPr>
      <w:r>
        <w:rPr>
          <w:rFonts w:cs="Arial"/>
          <w:sz w:val="20"/>
          <w:szCs w:val="20"/>
        </w:rPr>
        <w:t xml:space="preserve">Il dato IMS </w:t>
      </w:r>
      <w:r w:rsidRPr="000B2721">
        <w:rPr>
          <w:rFonts w:cs="Arial"/>
          <w:sz w:val="20"/>
          <w:szCs w:val="20"/>
        </w:rPr>
        <w:t xml:space="preserve">in Italia mostra un consumo dei farmaci con indicazione per gotta e iperuricemia di circa  </w:t>
      </w:r>
      <w:r>
        <w:rPr>
          <w:rFonts w:cs="Arial"/>
          <w:sz w:val="20"/>
          <w:szCs w:val="20"/>
        </w:rPr>
        <w:t>40</w:t>
      </w:r>
      <w:r w:rsidRPr="000B2721">
        <w:rPr>
          <w:rFonts w:cs="Arial"/>
          <w:sz w:val="20"/>
          <w:szCs w:val="20"/>
        </w:rPr>
        <w:t>M</w:t>
      </w:r>
      <w:r>
        <w:rPr>
          <w:rFonts w:cs="Arial"/>
          <w:sz w:val="20"/>
          <w:szCs w:val="20"/>
        </w:rPr>
        <w:t>io</w:t>
      </w:r>
      <w:r w:rsidRPr="000B2721">
        <w:rPr>
          <w:rFonts w:cs="Arial"/>
          <w:sz w:val="20"/>
          <w:szCs w:val="20"/>
        </w:rPr>
        <w:t>€</w:t>
      </w:r>
      <w:r>
        <w:rPr>
          <w:rFonts w:cs="Arial"/>
          <w:sz w:val="20"/>
          <w:szCs w:val="20"/>
        </w:rPr>
        <w:t xml:space="preserve"> </w:t>
      </w:r>
      <w:r w:rsidRPr="000B2721">
        <w:rPr>
          <w:rFonts w:cs="Arial"/>
          <w:sz w:val="20"/>
          <w:szCs w:val="20"/>
        </w:rPr>
        <w:t>(ex-factory</w:t>
      </w:r>
      <w:r>
        <w:rPr>
          <w:rFonts w:cs="Arial"/>
          <w:sz w:val="20"/>
          <w:szCs w:val="20"/>
        </w:rPr>
        <w:t xml:space="preserve"> gross</w:t>
      </w:r>
      <w:r w:rsidRPr="000B2721">
        <w:rPr>
          <w:rFonts w:cs="Arial"/>
          <w:sz w:val="20"/>
          <w:szCs w:val="20"/>
        </w:rPr>
        <w:t>)</w:t>
      </w:r>
      <w:r>
        <w:rPr>
          <w:rFonts w:cs="Arial"/>
          <w:sz w:val="20"/>
          <w:szCs w:val="20"/>
        </w:rPr>
        <w:t xml:space="preserve"> (Data source IMS MAT 11/2016)</w:t>
      </w:r>
      <w:r w:rsidRPr="000B2721">
        <w:rPr>
          <w:rFonts w:cs="Arial"/>
          <w:sz w:val="20"/>
          <w:szCs w:val="20"/>
        </w:rPr>
        <w:t xml:space="preserve"> </w:t>
      </w:r>
      <w:r>
        <w:rPr>
          <w:rFonts w:cs="Arial"/>
          <w:sz w:val="20"/>
          <w:szCs w:val="20"/>
        </w:rPr>
        <w:t>(</w:t>
      </w:r>
      <w:hyperlink w:anchor="Tabella28" w:history="1">
        <w:r w:rsidRPr="00502F15">
          <w:rPr>
            <w:rStyle w:val="Hyperlink"/>
            <w:rFonts w:cs="Arial"/>
            <w:sz w:val="20"/>
            <w:szCs w:val="20"/>
          </w:rPr>
          <w:t>Tabella 2</w:t>
        </w:r>
        <w:r>
          <w:rPr>
            <w:rStyle w:val="Hyperlink"/>
            <w:rFonts w:cs="Arial"/>
            <w:sz w:val="20"/>
            <w:szCs w:val="20"/>
          </w:rPr>
          <w:t>8</w:t>
        </w:r>
      </w:hyperlink>
      <w:r>
        <w:rPr>
          <w:rStyle w:val="Hyperlink"/>
          <w:rFonts w:cs="Arial"/>
          <w:sz w:val="20"/>
          <w:szCs w:val="20"/>
        </w:rPr>
        <w:t>)</w:t>
      </w:r>
      <w:r>
        <w:rPr>
          <w:rFonts w:cs="Arial"/>
          <w:sz w:val="20"/>
          <w:szCs w:val="20"/>
        </w:rPr>
        <w:t>.</w:t>
      </w:r>
    </w:p>
    <w:p w14:paraId="685848E6" w14:textId="77777777" w:rsidR="004F41F9" w:rsidRPr="000B2721" w:rsidRDefault="004F41F9" w:rsidP="004F41F9">
      <w:pPr>
        <w:widowControl w:val="0"/>
        <w:autoSpaceDE w:val="0"/>
        <w:autoSpaceDN w:val="0"/>
        <w:adjustRightInd w:val="0"/>
        <w:spacing w:line="360" w:lineRule="auto"/>
        <w:rPr>
          <w:rFonts w:cs="Arial"/>
          <w:sz w:val="20"/>
          <w:szCs w:val="20"/>
        </w:rPr>
      </w:pPr>
    </w:p>
    <w:p w14:paraId="1DF18A54" w14:textId="77777777" w:rsidR="004F41F9" w:rsidRPr="00502F15" w:rsidRDefault="004F41F9" w:rsidP="004F41F9">
      <w:pPr>
        <w:pStyle w:val="Caption"/>
        <w:rPr>
          <w:rFonts w:asciiTheme="minorHAnsi" w:hAnsiTheme="minorHAnsi" w:cstheme="minorHAnsi"/>
          <w:b w:val="0"/>
          <w:lang w:val="it-IT"/>
        </w:rPr>
      </w:pPr>
      <w:bookmarkStart w:id="219" w:name="Tabella28"/>
      <w:bookmarkStart w:id="220" w:name="_Toc473150713"/>
      <w:bookmarkEnd w:id="219"/>
      <w:r w:rsidRPr="00502F15">
        <w:rPr>
          <w:rFonts w:asciiTheme="minorHAnsi" w:hAnsiTheme="minorHAnsi" w:cstheme="minorHAnsi"/>
          <w:lang w:val="it-IT"/>
        </w:rPr>
        <w:t xml:space="preserve">Tabella </w:t>
      </w:r>
      <w:r w:rsidRPr="00502F15">
        <w:rPr>
          <w:rFonts w:asciiTheme="minorHAnsi" w:hAnsiTheme="minorHAnsi" w:cstheme="minorHAnsi"/>
        </w:rPr>
        <w:fldChar w:fldCharType="begin"/>
      </w:r>
      <w:r w:rsidRPr="00502F15">
        <w:rPr>
          <w:rFonts w:asciiTheme="minorHAnsi" w:hAnsiTheme="minorHAnsi" w:cstheme="minorHAnsi"/>
          <w:lang w:val="it-IT"/>
        </w:rPr>
        <w:instrText xml:space="preserve"> SEQ Tabella \* ARABIC </w:instrText>
      </w:r>
      <w:r w:rsidRPr="00502F15">
        <w:rPr>
          <w:rFonts w:asciiTheme="minorHAnsi" w:hAnsiTheme="minorHAnsi" w:cstheme="minorHAnsi"/>
        </w:rPr>
        <w:fldChar w:fldCharType="separate"/>
      </w:r>
      <w:r w:rsidR="00A1679C">
        <w:rPr>
          <w:rFonts w:asciiTheme="minorHAnsi" w:hAnsiTheme="minorHAnsi" w:cstheme="minorHAnsi"/>
          <w:noProof/>
          <w:lang w:val="it-IT"/>
        </w:rPr>
        <w:t>28</w:t>
      </w:r>
      <w:r w:rsidRPr="00502F15">
        <w:rPr>
          <w:rFonts w:asciiTheme="minorHAnsi" w:hAnsiTheme="minorHAnsi" w:cstheme="minorHAnsi"/>
        </w:rPr>
        <w:fldChar w:fldCharType="end"/>
      </w:r>
      <w:r w:rsidRPr="00502F15">
        <w:rPr>
          <w:rFonts w:asciiTheme="minorHAnsi" w:hAnsiTheme="minorHAnsi" w:cstheme="minorHAnsi"/>
          <w:lang w:val="it-IT"/>
        </w:rPr>
        <w:t xml:space="preserve"> - </w:t>
      </w:r>
      <w:r w:rsidRPr="00502F15">
        <w:rPr>
          <w:rFonts w:asciiTheme="minorHAnsi" w:hAnsiTheme="minorHAnsi" w:cstheme="minorHAnsi"/>
          <w:b w:val="0"/>
          <w:lang w:val="it-IT"/>
        </w:rPr>
        <w:t>Mercato totale dello specific</w:t>
      </w:r>
      <w:r>
        <w:rPr>
          <w:rFonts w:asciiTheme="minorHAnsi" w:hAnsiTheme="minorHAnsi" w:cstheme="minorHAnsi"/>
          <w:b w:val="0"/>
          <w:lang w:val="it-IT"/>
        </w:rPr>
        <w:t>o</w:t>
      </w:r>
      <w:r w:rsidRPr="00502F15">
        <w:rPr>
          <w:rFonts w:asciiTheme="minorHAnsi" w:hAnsiTheme="minorHAnsi" w:cstheme="minorHAnsi"/>
          <w:b w:val="0"/>
          <w:lang w:val="it-IT"/>
        </w:rPr>
        <w:t xml:space="preserve"> settore terapeutico (EUR)</w:t>
      </w:r>
      <w:bookmarkEnd w:id="220"/>
    </w:p>
    <w:p w14:paraId="56548C22" w14:textId="77777777" w:rsidR="004F41F9" w:rsidRDefault="004F41F9" w:rsidP="004F41F9">
      <w:pPr>
        <w:autoSpaceDE w:val="0"/>
        <w:autoSpaceDN w:val="0"/>
        <w:adjustRightInd w:val="0"/>
        <w:jc w:val="both"/>
        <w:rPr>
          <w:rFonts w:cs="Arial"/>
          <w:sz w:val="20"/>
          <w:szCs w:val="20"/>
        </w:rPr>
      </w:pPr>
      <w:r>
        <w:rPr>
          <w:noProof/>
          <w:lang w:val="en-GB" w:eastAsia="en-GB"/>
        </w:rPr>
        <w:drawing>
          <wp:inline distT="0" distB="0" distL="0" distR="0" wp14:anchorId="431F14C7" wp14:editId="1A6CE113">
            <wp:extent cx="5251450" cy="1993893"/>
            <wp:effectExtent l="0" t="0" r="6350" b="6985"/>
            <wp:docPr id="3" name="Immagine 3" descr="cid:image001.png@01D270BD.D3BE4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descr="cid:image001.png@01D270BD.D3BE4E40"/>
                    <pic:cNvPicPr>
                      <a:picLocks noChangeAspect="1" noChangeArrowheads="1"/>
                    </pic:cNvPicPr>
                  </pic:nvPicPr>
                  <pic:blipFill>
                    <a:blip r:embed="rId67" r:link="rId68">
                      <a:extLst>
                        <a:ext uri="{28A0092B-C50C-407E-A947-70E740481C1C}">
                          <a14:useLocalDpi xmlns:a14="http://schemas.microsoft.com/office/drawing/2010/main" val="0"/>
                        </a:ext>
                      </a:extLst>
                    </a:blip>
                    <a:srcRect/>
                    <a:stretch>
                      <a:fillRect/>
                    </a:stretch>
                  </pic:blipFill>
                  <pic:spPr bwMode="auto">
                    <a:xfrm>
                      <a:off x="0" y="0"/>
                      <a:ext cx="5249705" cy="1993231"/>
                    </a:xfrm>
                    <a:prstGeom prst="rect">
                      <a:avLst/>
                    </a:prstGeom>
                    <a:noFill/>
                    <a:ln>
                      <a:noFill/>
                    </a:ln>
                  </pic:spPr>
                </pic:pic>
              </a:graphicData>
            </a:graphic>
          </wp:inline>
        </w:drawing>
      </w:r>
    </w:p>
    <w:p w14:paraId="0490E978" w14:textId="77777777" w:rsidR="004F41F9" w:rsidRPr="000A67DD" w:rsidRDefault="004F41F9" w:rsidP="004F41F9">
      <w:pPr>
        <w:autoSpaceDE w:val="0"/>
        <w:autoSpaceDN w:val="0"/>
        <w:adjustRightInd w:val="0"/>
        <w:jc w:val="both"/>
        <w:rPr>
          <w:rFonts w:cs="Arial"/>
          <w:sz w:val="20"/>
          <w:szCs w:val="20"/>
        </w:rPr>
      </w:pPr>
    </w:p>
    <w:p w14:paraId="46595066" w14:textId="77777777" w:rsidR="004F41F9" w:rsidRPr="003A3038" w:rsidRDefault="004F41F9" w:rsidP="004F41F9">
      <w:pPr>
        <w:pStyle w:val="Heading2"/>
        <w:jc w:val="left"/>
        <w:rPr>
          <w:rFonts w:asciiTheme="minorHAnsi" w:hAnsiTheme="minorHAnsi" w:cstheme="minorHAnsi"/>
          <w:i w:val="0"/>
          <w:sz w:val="20"/>
          <w:u w:val="single"/>
        </w:rPr>
      </w:pPr>
      <w:bookmarkStart w:id="221" w:name="_Toc473184577"/>
      <w:r w:rsidRPr="003A3038">
        <w:rPr>
          <w:rFonts w:asciiTheme="minorHAnsi" w:hAnsiTheme="minorHAnsi" w:cstheme="minorHAnsi"/>
          <w:i w:val="0"/>
          <w:sz w:val="20"/>
        </w:rPr>
        <w:t xml:space="preserve">8.9 </w:t>
      </w:r>
      <w:r w:rsidRPr="003A3038">
        <w:rPr>
          <w:rFonts w:asciiTheme="minorHAnsi" w:hAnsiTheme="minorHAnsi" w:cstheme="minorHAnsi"/>
          <w:i w:val="0"/>
          <w:sz w:val="20"/>
          <w:u w:val="single"/>
        </w:rPr>
        <w:t>Quota di mercato/anno del prodotto nei primi tre anni di rimborsabilità</w:t>
      </w:r>
      <w:bookmarkEnd w:id="221"/>
      <w:r w:rsidRPr="003A3038">
        <w:rPr>
          <w:rFonts w:asciiTheme="minorHAnsi" w:hAnsiTheme="minorHAnsi" w:cstheme="minorHAnsi"/>
          <w:i w:val="0"/>
          <w:sz w:val="20"/>
          <w:u w:val="single"/>
        </w:rPr>
        <w:t xml:space="preserve"> </w:t>
      </w:r>
    </w:p>
    <w:p w14:paraId="6B6E2E8C" w14:textId="5958AC90" w:rsidR="004F41F9" w:rsidRDefault="004F41F9" w:rsidP="004F41F9">
      <w:pPr>
        <w:widowControl w:val="0"/>
        <w:autoSpaceDE w:val="0"/>
        <w:autoSpaceDN w:val="0"/>
        <w:adjustRightInd w:val="0"/>
        <w:spacing w:line="360" w:lineRule="auto"/>
        <w:rPr>
          <w:rFonts w:cs="Arial"/>
          <w:sz w:val="20"/>
          <w:szCs w:val="20"/>
        </w:rPr>
      </w:pPr>
      <w:r w:rsidRPr="00105C9F">
        <w:rPr>
          <w:rFonts w:cs="Arial"/>
          <w:sz w:val="20"/>
          <w:szCs w:val="20"/>
        </w:rPr>
        <w:t xml:space="preserve">Come è stato illustrato nel presente documento, in virtù dell’indicazione approvata, ZURAMPIC verrà prescritto in add-on a un farmaco XOI (allopurinolo o febuxostat) in quei pazienti per cui il trattamento con XOI non è sufficiente a controllare gotta ed uricemia. </w:t>
      </w:r>
      <w:r w:rsidR="002C52FC" w:rsidRPr="00FA51BC">
        <w:rPr>
          <w:rFonts w:cs="Arial"/>
          <w:sz w:val="20"/>
          <w:szCs w:val="20"/>
        </w:rPr>
        <w:t xml:space="preserve">Con le dosi comunemente utilizzate di XOI, più del 50% dei pazienti gottosi non raggiunge il livello target di </w:t>
      </w:r>
      <w:r w:rsidR="002C52FC">
        <w:rPr>
          <w:rFonts w:cs="Arial"/>
          <w:sz w:val="20"/>
          <w:szCs w:val="20"/>
        </w:rPr>
        <w:t>SUA</w:t>
      </w:r>
      <w:r w:rsidR="002C52FC" w:rsidRPr="00FA51BC">
        <w:rPr>
          <w:rFonts w:cs="Arial"/>
          <w:sz w:val="20"/>
          <w:szCs w:val="20"/>
        </w:rPr>
        <w:t xml:space="preserve"> (&lt; 6.0 mg/dl) (</w:t>
      </w:r>
      <w:r w:rsidR="002C52FC" w:rsidRPr="00F114DC">
        <w:rPr>
          <w:rFonts w:cs="Arial"/>
          <w:color w:val="0000FF"/>
          <w:sz w:val="20"/>
          <w:szCs w:val="20"/>
        </w:rPr>
        <w:t>Becker, 2005 (36); Becker, 2009 (37); Becker, 2010 (38); Schumacher, 2008 (39); Becker, 2015 (40)</w:t>
      </w:r>
      <w:r w:rsidR="002C52FC" w:rsidRPr="00AA683E">
        <w:rPr>
          <w:rFonts w:cs="Arial"/>
          <w:sz w:val="20"/>
          <w:szCs w:val="20"/>
        </w:rPr>
        <w:t>)</w:t>
      </w:r>
      <w:r w:rsidRPr="00105C9F">
        <w:rPr>
          <w:rFonts w:cs="Arial"/>
          <w:sz w:val="20"/>
          <w:szCs w:val="20"/>
        </w:rPr>
        <w:t>.</w:t>
      </w:r>
    </w:p>
    <w:p w14:paraId="7CFC945C" w14:textId="77777777" w:rsidR="004F41F9" w:rsidRDefault="004F41F9" w:rsidP="004F41F9">
      <w:pPr>
        <w:widowControl w:val="0"/>
        <w:autoSpaceDE w:val="0"/>
        <w:autoSpaceDN w:val="0"/>
        <w:adjustRightInd w:val="0"/>
        <w:spacing w:line="360" w:lineRule="auto"/>
        <w:rPr>
          <w:rFonts w:cs="Arial"/>
          <w:sz w:val="20"/>
          <w:szCs w:val="20"/>
        </w:rPr>
      </w:pPr>
    </w:p>
    <w:p w14:paraId="03828BDE" w14:textId="0F73358F" w:rsidR="004F41F9" w:rsidRDefault="004F41F9" w:rsidP="004F41F9">
      <w:pPr>
        <w:widowControl w:val="0"/>
        <w:autoSpaceDE w:val="0"/>
        <w:autoSpaceDN w:val="0"/>
        <w:adjustRightInd w:val="0"/>
        <w:spacing w:line="360" w:lineRule="auto"/>
        <w:rPr>
          <w:rFonts w:cstheme="minorHAnsi"/>
          <w:sz w:val="20"/>
          <w:szCs w:val="20"/>
        </w:rPr>
      </w:pPr>
      <w:r>
        <w:rPr>
          <w:rFonts w:cs="Arial"/>
          <w:sz w:val="20"/>
          <w:szCs w:val="20"/>
        </w:rPr>
        <w:t xml:space="preserve">L’azienda ritiene che Zurampic </w:t>
      </w:r>
      <w:r w:rsidR="00211678">
        <w:rPr>
          <w:rFonts w:cs="Arial"/>
          <w:sz w:val="20"/>
          <w:szCs w:val="20"/>
        </w:rPr>
        <w:t>potrà essere prescritto al seguente numero di pazienti, i</w:t>
      </w:r>
      <w:r w:rsidRPr="006C7A52">
        <w:rPr>
          <w:rFonts w:cstheme="minorHAnsi"/>
          <w:sz w:val="20"/>
          <w:szCs w:val="20"/>
        </w:rPr>
        <w:t xml:space="preserve">n riferimento al mercato </w:t>
      </w:r>
      <w:r w:rsidRPr="006C7A52">
        <w:rPr>
          <w:rFonts w:cstheme="minorHAnsi"/>
          <w:sz w:val="20"/>
          <w:szCs w:val="20"/>
          <w:u w:val="single"/>
        </w:rPr>
        <w:t>gottosi</w:t>
      </w:r>
      <w:r w:rsidRPr="006C7A52">
        <w:rPr>
          <w:rFonts w:cstheme="minorHAnsi"/>
          <w:sz w:val="20"/>
          <w:szCs w:val="20"/>
        </w:rPr>
        <w:t xml:space="preserve"> e</w:t>
      </w:r>
      <w:r>
        <w:rPr>
          <w:rFonts w:cstheme="minorHAnsi"/>
          <w:sz w:val="20"/>
          <w:szCs w:val="20"/>
        </w:rPr>
        <w:t>d</w:t>
      </w:r>
      <w:r w:rsidRPr="006C7A52">
        <w:rPr>
          <w:rFonts w:cstheme="minorHAnsi"/>
          <w:sz w:val="20"/>
          <w:szCs w:val="20"/>
        </w:rPr>
        <w:t xml:space="preserve"> </w:t>
      </w:r>
      <w:r w:rsidRPr="006C7A52">
        <w:rPr>
          <w:rFonts w:cstheme="minorHAnsi"/>
          <w:sz w:val="20"/>
          <w:szCs w:val="20"/>
          <w:u w:val="single"/>
        </w:rPr>
        <w:t>iperuricemici/gottosi (in cui si celano i pazienti in fase gottosa intercritica) non a target</w:t>
      </w:r>
      <w:r w:rsidRPr="006C7A52">
        <w:rPr>
          <w:rFonts w:cstheme="minorHAnsi"/>
          <w:sz w:val="20"/>
          <w:szCs w:val="20"/>
        </w:rPr>
        <w:t>:</w:t>
      </w:r>
    </w:p>
    <w:p w14:paraId="4B94B3AC" w14:textId="77777777" w:rsidR="0087637F" w:rsidRDefault="0087637F" w:rsidP="004F41F9">
      <w:pPr>
        <w:widowControl w:val="0"/>
        <w:autoSpaceDE w:val="0"/>
        <w:autoSpaceDN w:val="0"/>
        <w:adjustRightInd w:val="0"/>
        <w:spacing w:line="360" w:lineRule="auto"/>
        <w:rPr>
          <w:rFonts w:cstheme="minorHAnsi"/>
          <w:sz w:val="20"/>
          <w:szCs w:val="20"/>
        </w:rPr>
      </w:pPr>
    </w:p>
    <w:p w14:paraId="423C8403" w14:textId="4CC6B7CC" w:rsidR="004F41F9" w:rsidRDefault="0087637F" w:rsidP="004F41F9">
      <w:pPr>
        <w:widowControl w:val="0"/>
        <w:autoSpaceDE w:val="0"/>
        <w:autoSpaceDN w:val="0"/>
        <w:adjustRightInd w:val="0"/>
        <w:spacing w:line="360" w:lineRule="auto"/>
        <w:jc w:val="both"/>
        <w:rPr>
          <w:rFonts w:cs="Arial"/>
          <w:sz w:val="20"/>
          <w:szCs w:val="20"/>
        </w:rPr>
      </w:pPr>
      <w:r w:rsidRPr="00B92DF2">
        <w:rPr>
          <w:noProof/>
          <w:lang w:val="en-GB" w:eastAsia="en-GB"/>
        </w:rPr>
        <w:drawing>
          <wp:inline distT="0" distB="0" distL="0" distR="0" wp14:anchorId="7E85F555" wp14:editId="7421B11E">
            <wp:extent cx="5327650" cy="768350"/>
            <wp:effectExtent l="0" t="0" r="635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27650" cy="768350"/>
                    </a:xfrm>
                    <a:prstGeom prst="rect">
                      <a:avLst/>
                    </a:prstGeom>
                    <a:noFill/>
                    <a:ln>
                      <a:noFill/>
                    </a:ln>
                  </pic:spPr>
                </pic:pic>
              </a:graphicData>
            </a:graphic>
          </wp:inline>
        </w:drawing>
      </w:r>
    </w:p>
    <w:p w14:paraId="136FDA32" w14:textId="77777777" w:rsidR="004F41F9" w:rsidRDefault="004F41F9" w:rsidP="004F41F9">
      <w:pPr>
        <w:widowControl w:val="0"/>
        <w:autoSpaceDE w:val="0"/>
        <w:autoSpaceDN w:val="0"/>
        <w:adjustRightInd w:val="0"/>
        <w:spacing w:line="360" w:lineRule="auto"/>
        <w:rPr>
          <w:rFonts w:cs="Arial"/>
          <w:sz w:val="20"/>
          <w:szCs w:val="20"/>
        </w:rPr>
      </w:pPr>
    </w:p>
    <w:p w14:paraId="4512721A" w14:textId="77777777" w:rsidR="004F41F9" w:rsidRDefault="004F41F9" w:rsidP="004F41F9">
      <w:pPr>
        <w:widowControl w:val="0"/>
        <w:autoSpaceDE w:val="0"/>
        <w:autoSpaceDN w:val="0"/>
        <w:adjustRightInd w:val="0"/>
        <w:spacing w:line="360" w:lineRule="auto"/>
        <w:rPr>
          <w:rFonts w:cs="Arial"/>
          <w:sz w:val="20"/>
          <w:szCs w:val="20"/>
        </w:rPr>
      </w:pPr>
      <w:r>
        <w:rPr>
          <w:rFonts w:cs="Arial"/>
          <w:sz w:val="20"/>
          <w:szCs w:val="20"/>
        </w:rPr>
        <w:t xml:space="preserve">L’azienda si aspetta che l’introduzione nel mercato di lesinurad, abbinato al programma </w:t>
      </w:r>
      <w:r w:rsidRPr="007208D4">
        <w:rPr>
          <w:rFonts w:cs="Arial"/>
          <w:b/>
          <w:sz w:val="20"/>
          <w:szCs w:val="20"/>
        </w:rPr>
        <w:t>CHANGE GOUT</w:t>
      </w:r>
      <w:r w:rsidRPr="007208D4">
        <w:rPr>
          <w:rFonts w:cstheme="minorHAnsi"/>
          <w:b/>
          <w:sz w:val="20"/>
          <w:szCs w:val="20"/>
        </w:rPr>
        <w:t>®</w:t>
      </w:r>
      <w:r>
        <w:rPr>
          <w:rFonts w:cstheme="minorHAnsi"/>
          <w:b/>
          <w:sz w:val="20"/>
          <w:szCs w:val="20"/>
        </w:rPr>
        <w:t xml:space="preserve"> </w:t>
      </w:r>
      <w:r>
        <w:rPr>
          <w:rFonts w:cs="Arial"/>
          <w:sz w:val="20"/>
          <w:szCs w:val="20"/>
        </w:rPr>
        <w:t xml:space="preserve">descritto al </w:t>
      </w:r>
      <w:hyperlink w:anchor="Paragrafo42" w:history="1">
        <w:r w:rsidRPr="00502F15">
          <w:rPr>
            <w:rStyle w:val="Hyperlink"/>
            <w:rFonts w:cs="Arial"/>
            <w:sz w:val="20"/>
            <w:szCs w:val="20"/>
          </w:rPr>
          <w:t>Paragrafo 4.2</w:t>
        </w:r>
      </w:hyperlink>
      <w:r>
        <w:rPr>
          <w:rFonts w:cs="Arial"/>
          <w:sz w:val="20"/>
          <w:szCs w:val="20"/>
        </w:rPr>
        <w:t xml:space="preserve">, porti ad un miglioramento della gestione della gotta in Italia, con un numero maggiore di pazienti che raggiungono i livelli di sUA previsti dalle LineeGuida, riducendo quindi il numero di pazienti con gotta severa, ovvero cronica tofacea, che necessiterebbero quindi anche del trattamento di terza linea o addirittura di ospedalizzazione. </w:t>
      </w:r>
    </w:p>
    <w:p w14:paraId="6FB0234A" w14:textId="77777777" w:rsidR="004F41F9" w:rsidRPr="00105C9F" w:rsidRDefault="004F41F9" w:rsidP="004F41F9">
      <w:pPr>
        <w:widowControl w:val="0"/>
        <w:autoSpaceDE w:val="0"/>
        <w:autoSpaceDN w:val="0"/>
        <w:adjustRightInd w:val="0"/>
        <w:spacing w:line="360" w:lineRule="auto"/>
        <w:rPr>
          <w:rFonts w:cs="Arial"/>
          <w:sz w:val="20"/>
          <w:szCs w:val="20"/>
        </w:rPr>
      </w:pPr>
      <w:r>
        <w:rPr>
          <w:rFonts w:cs="Arial"/>
          <w:sz w:val="20"/>
          <w:szCs w:val="20"/>
        </w:rPr>
        <w:t xml:space="preserve">L’azienda prevede che le prescrizioni di lesinurad + allopurinolo (seconda linea) andranno ad erodere la maggior parte delle prescrizioni di febuxostat in monoterapia (seconda linea); inoltre l’azienda prevede che le prescrizioni di lesinurad + febuxostat saranno molto limitate numericamente, essendo questa associazione una terza linea. </w:t>
      </w:r>
    </w:p>
    <w:p w14:paraId="5346B189" w14:textId="77777777" w:rsidR="004F41F9" w:rsidRDefault="004F41F9" w:rsidP="004F41F9">
      <w:pPr>
        <w:widowControl w:val="0"/>
        <w:autoSpaceDE w:val="0"/>
        <w:autoSpaceDN w:val="0"/>
        <w:adjustRightInd w:val="0"/>
        <w:spacing w:line="360" w:lineRule="auto"/>
        <w:rPr>
          <w:rFonts w:cs="Arial"/>
          <w:sz w:val="20"/>
          <w:szCs w:val="20"/>
        </w:rPr>
      </w:pPr>
      <w:r>
        <w:rPr>
          <w:rFonts w:cs="Arial"/>
          <w:sz w:val="20"/>
          <w:szCs w:val="20"/>
        </w:rPr>
        <w:t>In particolare si prevede che lesinurad mediamente vada in associazione ad allopurinolo nel 97% di prescrizioni ed in associazione a febuxostat solo nel 3% delle prescrizioni.</w:t>
      </w:r>
    </w:p>
    <w:p w14:paraId="5A15C4F0" w14:textId="77777777" w:rsidR="004F41F9" w:rsidRPr="00105C9F" w:rsidRDefault="004F41F9" w:rsidP="004F41F9">
      <w:pPr>
        <w:widowControl w:val="0"/>
        <w:autoSpaceDE w:val="0"/>
        <w:autoSpaceDN w:val="0"/>
        <w:adjustRightInd w:val="0"/>
        <w:spacing w:line="360" w:lineRule="auto"/>
        <w:rPr>
          <w:rFonts w:cs="Arial"/>
          <w:sz w:val="20"/>
          <w:szCs w:val="20"/>
        </w:rPr>
      </w:pPr>
      <w:r>
        <w:rPr>
          <w:rFonts w:cs="Arial"/>
          <w:sz w:val="20"/>
          <w:szCs w:val="20"/>
        </w:rPr>
        <w:t xml:space="preserve">L’impatto sul budget viene specificato nel </w:t>
      </w:r>
      <w:hyperlink w:anchor="Paragrafo911" w:history="1">
        <w:r w:rsidRPr="00502F15">
          <w:rPr>
            <w:rStyle w:val="Hyperlink"/>
            <w:rFonts w:cs="Arial"/>
            <w:sz w:val="20"/>
            <w:szCs w:val="20"/>
          </w:rPr>
          <w:t>Paragrafo 9</w:t>
        </w:r>
      </w:hyperlink>
      <w:r>
        <w:rPr>
          <w:rFonts w:cs="Arial"/>
          <w:sz w:val="20"/>
          <w:szCs w:val="20"/>
        </w:rPr>
        <w:t xml:space="preserve">. </w:t>
      </w:r>
    </w:p>
    <w:p w14:paraId="103101CF" w14:textId="77777777" w:rsidR="004F41F9" w:rsidRDefault="004F41F9" w:rsidP="004F41F9">
      <w:pPr>
        <w:tabs>
          <w:tab w:val="left" w:pos="360"/>
        </w:tabs>
        <w:autoSpaceDE w:val="0"/>
        <w:autoSpaceDN w:val="0"/>
        <w:adjustRightInd w:val="0"/>
        <w:rPr>
          <w:rFonts w:cs="Calibri"/>
          <w:color w:val="000000"/>
          <w:sz w:val="20"/>
          <w:szCs w:val="20"/>
        </w:rPr>
      </w:pPr>
    </w:p>
    <w:p w14:paraId="7023A5C9" w14:textId="7A4F9001" w:rsidR="002B31E2" w:rsidRPr="003A3038" w:rsidRDefault="003A3038" w:rsidP="003A3038">
      <w:pPr>
        <w:pStyle w:val="Heading2"/>
        <w:jc w:val="left"/>
        <w:rPr>
          <w:rFonts w:asciiTheme="minorHAnsi" w:hAnsiTheme="minorHAnsi" w:cstheme="minorHAnsi"/>
          <w:i w:val="0"/>
          <w:sz w:val="20"/>
          <w:u w:val="single"/>
        </w:rPr>
      </w:pPr>
      <w:bookmarkStart w:id="222" w:name="_Toc473184578"/>
      <w:r w:rsidRPr="003A3038">
        <w:rPr>
          <w:rFonts w:asciiTheme="minorHAnsi" w:hAnsiTheme="minorHAnsi" w:cstheme="minorHAnsi"/>
          <w:i w:val="0"/>
          <w:sz w:val="20"/>
        </w:rPr>
        <w:t xml:space="preserve">8.10 </w:t>
      </w:r>
      <w:r w:rsidR="002B31E2" w:rsidRPr="003A3038">
        <w:rPr>
          <w:rFonts w:asciiTheme="minorHAnsi" w:hAnsiTheme="minorHAnsi" w:cstheme="minorHAnsi"/>
          <w:i w:val="0"/>
          <w:sz w:val="20"/>
          <w:u w:val="single"/>
        </w:rPr>
        <w:t>Altre misure economiche proposte dalla Ditta a vantaggio del SSN (sconti, interventi sui prezzi di altre specialità medicinali della stessa Ditta)</w:t>
      </w:r>
      <w:bookmarkEnd w:id="222"/>
    </w:p>
    <w:p w14:paraId="1929F256" w14:textId="44486133" w:rsidR="007208D4" w:rsidRPr="007208D4" w:rsidRDefault="004B154C" w:rsidP="004B154C">
      <w:pPr>
        <w:widowControl w:val="0"/>
        <w:autoSpaceDE w:val="0"/>
        <w:autoSpaceDN w:val="0"/>
        <w:adjustRightInd w:val="0"/>
        <w:spacing w:line="360" w:lineRule="auto"/>
        <w:rPr>
          <w:rFonts w:cs="Calibri"/>
          <w:color w:val="000000"/>
          <w:sz w:val="20"/>
          <w:szCs w:val="20"/>
        </w:rPr>
      </w:pPr>
      <w:r>
        <w:rPr>
          <w:rFonts w:cs="Arial"/>
          <w:sz w:val="20"/>
          <w:szCs w:val="20"/>
        </w:rPr>
        <w:t>Non applicabile.</w:t>
      </w:r>
    </w:p>
    <w:p w14:paraId="2AC0011C" w14:textId="42B8872C" w:rsidR="002B31E2" w:rsidRPr="003A3038" w:rsidRDefault="003A3038" w:rsidP="003A3038">
      <w:pPr>
        <w:pStyle w:val="Heading2"/>
        <w:jc w:val="left"/>
        <w:rPr>
          <w:rFonts w:asciiTheme="minorHAnsi" w:hAnsiTheme="minorHAnsi" w:cstheme="minorHAnsi"/>
          <w:i w:val="0"/>
          <w:sz w:val="20"/>
          <w:u w:val="single"/>
        </w:rPr>
      </w:pPr>
      <w:bookmarkStart w:id="223" w:name="_Toc473184579"/>
      <w:r w:rsidRPr="003A3038">
        <w:rPr>
          <w:rFonts w:asciiTheme="minorHAnsi" w:hAnsiTheme="minorHAnsi" w:cstheme="minorHAnsi"/>
          <w:i w:val="0"/>
          <w:sz w:val="20"/>
        </w:rPr>
        <w:t xml:space="preserve">8.11 </w:t>
      </w:r>
      <w:r w:rsidR="002B31E2" w:rsidRPr="003A3038">
        <w:rPr>
          <w:rFonts w:asciiTheme="minorHAnsi" w:hAnsiTheme="minorHAnsi" w:cstheme="minorHAnsi"/>
          <w:i w:val="0"/>
          <w:sz w:val="20"/>
          <w:u w:val="single"/>
        </w:rPr>
        <w:t>Investimenti in ricerca e sviluppo svolti dalla impresa proponente in Italia negli ultimi tre anni</w:t>
      </w:r>
      <w:bookmarkEnd w:id="223"/>
    </w:p>
    <w:p w14:paraId="50F2803C" w14:textId="77777777" w:rsidR="00105C9F" w:rsidRDefault="00105C9F" w:rsidP="002B31E2">
      <w:pPr>
        <w:autoSpaceDE w:val="0"/>
        <w:autoSpaceDN w:val="0"/>
        <w:adjustRightInd w:val="0"/>
        <w:jc w:val="both"/>
        <w:rPr>
          <w:rFonts w:cs="Calibri"/>
          <w:b/>
          <w:sz w:val="18"/>
          <w:szCs w:val="20"/>
          <w:u w:val="single"/>
        </w:rPr>
      </w:pPr>
    </w:p>
    <w:tbl>
      <w:tblPr>
        <w:tblW w:w="7084" w:type="dxa"/>
        <w:tblInd w:w="496" w:type="dxa"/>
        <w:tblCellMar>
          <w:left w:w="0" w:type="dxa"/>
          <w:right w:w="0" w:type="dxa"/>
        </w:tblCellMar>
        <w:tblLook w:val="04A0" w:firstRow="1" w:lastRow="0" w:firstColumn="1" w:lastColumn="0" w:noHBand="0" w:noVBand="1"/>
      </w:tblPr>
      <w:tblGrid>
        <w:gridCol w:w="3943"/>
        <w:gridCol w:w="1047"/>
        <w:gridCol w:w="1047"/>
        <w:gridCol w:w="1047"/>
      </w:tblGrid>
      <w:tr w:rsidR="00F33740" w:rsidRPr="005D188F" w14:paraId="6591DFC6" w14:textId="77777777" w:rsidTr="005B11B6">
        <w:trPr>
          <w:trHeight w:val="324"/>
        </w:trPr>
        <w:tc>
          <w:tcPr>
            <w:tcW w:w="3943" w:type="dxa"/>
            <w:tcBorders>
              <w:top w:val="single" w:sz="8" w:space="0" w:color="auto"/>
              <w:left w:val="single" w:sz="8" w:space="0" w:color="auto"/>
              <w:bottom w:val="single" w:sz="8" w:space="0" w:color="auto"/>
              <w:right w:val="nil"/>
            </w:tcBorders>
            <w:noWrap/>
            <w:tcMar>
              <w:top w:w="0" w:type="dxa"/>
              <w:left w:w="70" w:type="dxa"/>
              <w:bottom w:w="0" w:type="dxa"/>
              <w:right w:w="70" w:type="dxa"/>
            </w:tcMar>
            <w:vAlign w:val="center"/>
            <w:hideMark/>
          </w:tcPr>
          <w:p w14:paraId="3BE02062" w14:textId="77777777" w:rsidR="00F33740" w:rsidRPr="005D188F" w:rsidRDefault="00F33740" w:rsidP="005B11B6">
            <w:pPr>
              <w:autoSpaceDE w:val="0"/>
              <w:autoSpaceDN w:val="0"/>
              <w:adjustRightInd w:val="0"/>
              <w:jc w:val="both"/>
              <w:rPr>
                <w:rFonts w:cs="Calibri"/>
                <w:sz w:val="20"/>
                <w:szCs w:val="20"/>
              </w:rPr>
            </w:pPr>
            <w:r w:rsidRPr="005D188F">
              <w:rPr>
                <w:rFonts w:cs="Calibri"/>
                <w:sz w:val="20"/>
                <w:szCs w:val="20"/>
              </w:rPr>
              <w:t> </w:t>
            </w:r>
          </w:p>
        </w:tc>
        <w:tc>
          <w:tcPr>
            <w:tcW w:w="3141" w:type="dxa"/>
            <w:gridSpan w:val="3"/>
            <w:tcBorders>
              <w:top w:val="single" w:sz="8" w:space="0" w:color="auto"/>
              <w:left w:val="single" w:sz="8" w:space="0" w:color="auto"/>
              <w:bottom w:val="single" w:sz="8" w:space="0" w:color="auto"/>
              <w:right w:val="single" w:sz="8" w:space="0" w:color="000000"/>
            </w:tcBorders>
            <w:noWrap/>
            <w:tcMar>
              <w:top w:w="0" w:type="dxa"/>
              <w:left w:w="70" w:type="dxa"/>
              <w:bottom w:w="0" w:type="dxa"/>
              <w:right w:w="70" w:type="dxa"/>
            </w:tcMar>
            <w:vAlign w:val="center"/>
            <w:hideMark/>
          </w:tcPr>
          <w:p w14:paraId="20472CE4" w14:textId="77777777" w:rsidR="00F33740" w:rsidRPr="005D188F" w:rsidRDefault="00F33740" w:rsidP="005B11B6">
            <w:pPr>
              <w:autoSpaceDE w:val="0"/>
              <w:autoSpaceDN w:val="0"/>
              <w:adjustRightInd w:val="0"/>
              <w:jc w:val="both"/>
              <w:rPr>
                <w:rFonts w:cs="Calibri"/>
                <w:sz w:val="20"/>
                <w:szCs w:val="20"/>
              </w:rPr>
            </w:pPr>
            <w:r w:rsidRPr="005D188F">
              <w:rPr>
                <w:rFonts w:cs="Calibri"/>
                <w:sz w:val="20"/>
                <w:szCs w:val="20"/>
                <w:lang w:val="de-DE"/>
              </w:rPr>
              <w:t xml:space="preserve">Consuntivo </w:t>
            </w:r>
          </w:p>
        </w:tc>
      </w:tr>
      <w:tr w:rsidR="00F33740" w:rsidRPr="005D188F" w14:paraId="55E16B62" w14:textId="77777777" w:rsidTr="005B11B6">
        <w:trPr>
          <w:trHeight w:val="324"/>
        </w:trPr>
        <w:tc>
          <w:tcPr>
            <w:tcW w:w="3943"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14:paraId="28428A92" w14:textId="77777777" w:rsidR="00F33740" w:rsidRPr="005D188F" w:rsidRDefault="00F33740" w:rsidP="005B11B6">
            <w:pPr>
              <w:autoSpaceDE w:val="0"/>
              <w:autoSpaceDN w:val="0"/>
              <w:adjustRightInd w:val="0"/>
              <w:jc w:val="both"/>
              <w:rPr>
                <w:rFonts w:cs="Calibri"/>
                <w:sz w:val="20"/>
                <w:szCs w:val="20"/>
              </w:rPr>
            </w:pPr>
            <w:r w:rsidRPr="005D188F">
              <w:rPr>
                <w:rFonts w:cs="Calibri"/>
                <w:sz w:val="20"/>
                <w:szCs w:val="20"/>
                <w:lang w:val="de-DE"/>
              </w:rPr>
              <w:t>€000</w:t>
            </w:r>
          </w:p>
        </w:tc>
        <w:tc>
          <w:tcPr>
            <w:tcW w:w="10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BCABC23" w14:textId="77777777" w:rsidR="00F33740" w:rsidRPr="005D188F" w:rsidRDefault="00F33740" w:rsidP="005B11B6">
            <w:pPr>
              <w:autoSpaceDE w:val="0"/>
              <w:autoSpaceDN w:val="0"/>
              <w:adjustRightInd w:val="0"/>
              <w:jc w:val="both"/>
              <w:rPr>
                <w:rFonts w:cs="Calibri"/>
                <w:sz w:val="20"/>
                <w:szCs w:val="20"/>
              </w:rPr>
            </w:pPr>
            <w:r>
              <w:rPr>
                <w:rFonts w:cs="Calibri"/>
                <w:sz w:val="20"/>
                <w:szCs w:val="20"/>
                <w:lang w:val="de-DE"/>
              </w:rPr>
              <w:t>2013</w:t>
            </w:r>
          </w:p>
        </w:tc>
        <w:tc>
          <w:tcPr>
            <w:tcW w:w="104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A04DED" w14:textId="77777777" w:rsidR="00F33740" w:rsidRPr="005D188F" w:rsidRDefault="00F33740" w:rsidP="005B11B6">
            <w:pPr>
              <w:autoSpaceDE w:val="0"/>
              <w:autoSpaceDN w:val="0"/>
              <w:adjustRightInd w:val="0"/>
              <w:jc w:val="both"/>
              <w:rPr>
                <w:rFonts w:cs="Calibri"/>
                <w:sz w:val="20"/>
                <w:szCs w:val="20"/>
              </w:rPr>
            </w:pPr>
            <w:r>
              <w:rPr>
                <w:rFonts w:cs="Calibri"/>
                <w:sz w:val="20"/>
                <w:szCs w:val="20"/>
                <w:lang w:val="de-DE"/>
              </w:rPr>
              <w:t>2014</w:t>
            </w:r>
          </w:p>
        </w:tc>
        <w:tc>
          <w:tcPr>
            <w:tcW w:w="104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FDA5450" w14:textId="77777777" w:rsidR="00F33740" w:rsidRPr="005D188F" w:rsidRDefault="00F33740" w:rsidP="005B11B6">
            <w:pPr>
              <w:autoSpaceDE w:val="0"/>
              <w:autoSpaceDN w:val="0"/>
              <w:adjustRightInd w:val="0"/>
              <w:jc w:val="both"/>
              <w:rPr>
                <w:rFonts w:cs="Calibri"/>
                <w:sz w:val="20"/>
                <w:szCs w:val="20"/>
              </w:rPr>
            </w:pPr>
            <w:r>
              <w:rPr>
                <w:rFonts w:cs="Calibri"/>
                <w:sz w:val="20"/>
                <w:szCs w:val="20"/>
                <w:lang w:val="de-DE"/>
              </w:rPr>
              <w:t>2015</w:t>
            </w:r>
          </w:p>
        </w:tc>
      </w:tr>
      <w:tr w:rsidR="00F33740" w:rsidRPr="005D188F" w14:paraId="05A24048" w14:textId="77777777" w:rsidTr="005B11B6">
        <w:trPr>
          <w:trHeight w:val="324"/>
        </w:trPr>
        <w:tc>
          <w:tcPr>
            <w:tcW w:w="3943"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43E18523" w14:textId="77777777" w:rsidR="00F33740" w:rsidRPr="005D188F" w:rsidRDefault="00F33740" w:rsidP="005B11B6">
            <w:pPr>
              <w:autoSpaceDE w:val="0"/>
              <w:autoSpaceDN w:val="0"/>
              <w:adjustRightInd w:val="0"/>
              <w:jc w:val="both"/>
              <w:rPr>
                <w:rFonts w:cs="Calibri"/>
                <w:sz w:val="20"/>
                <w:szCs w:val="20"/>
              </w:rPr>
            </w:pPr>
            <w:r w:rsidRPr="005D188F">
              <w:rPr>
                <w:rFonts w:cs="Calibri"/>
                <w:sz w:val="20"/>
                <w:szCs w:val="20"/>
              </w:rPr>
              <w:t xml:space="preserve">Investimenti in ricerca e sviluppo </w:t>
            </w:r>
          </w:p>
        </w:tc>
        <w:tc>
          <w:tcPr>
            <w:tcW w:w="10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DBD7731" w14:textId="77777777" w:rsidR="00F33740" w:rsidRPr="005D188F" w:rsidRDefault="00F33740" w:rsidP="005B11B6">
            <w:pPr>
              <w:autoSpaceDE w:val="0"/>
              <w:autoSpaceDN w:val="0"/>
              <w:adjustRightInd w:val="0"/>
              <w:jc w:val="both"/>
              <w:rPr>
                <w:rFonts w:cs="Calibri"/>
                <w:sz w:val="20"/>
                <w:szCs w:val="20"/>
              </w:rPr>
            </w:pPr>
            <w:r>
              <w:rPr>
                <w:rFonts w:cs="Calibri"/>
                <w:sz w:val="20"/>
                <w:szCs w:val="20"/>
              </w:rPr>
              <w:t>475</w:t>
            </w:r>
          </w:p>
        </w:tc>
        <w:tc>
          <w:tcPr>
            <w:tcW w:w="104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89266B9" w14:textId="77777777" w:rsidR="00F33740" w:rsidRPr="005D188F" w:rsidRDefault="00F33740" w:rsidP="005B11B6">
            <w:pPr>
              <w:autoSpaceDE w:val="0"/>
              <w:autoSpaceDN w:val="0"/>
              <w:adjustRightInd w:val="0"/>
              <w:jc w:val="both"/>
              <w:rPr>
                <w:rFonts w:cs="Calibri"/>
                <w:sz w:val="20"/>
                <w:szCs w:val="20"/>
              </w:rPr>
            </w:pPr>
            <w:r>
              <w:rPr>
                <w:rFonts w:cs="Calibri"/>
                <w:sz w:val="20"/>
                <w:szCs w:val="20"/>
              </w:rPr>
              <w:t>417</w:t>
            </w:r>
          </w:p>
        </w:tc>
        <w:tc>
          <w:tcPr>
            <w:tcW w:w="104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37B8B78" w14:textId="77777777" w:rsidR="00F33740" w:rsidRPr="005D188F" w:rsidRDefault="00F33740" w:rsidP="005B11B6">
            <w:pPr>
              <w:autoSpaceDE w:val="0"/>
              <w:autoSpaceDN w:val="0"/>
              <w:adjustRightInd w:val="0"/>
              <w:jc w:val="both"/>
              <w:rPr>
                <w:rFonts w:cs="Calibri"/>
                <w:sz w:val="20"/>
                <w:szCs w:val="20"/>
              </w:rPr>
            </w:pPr>
            <w:r>
              <w:rPr>
                <w:rFonts w:cs="Calibri"/>
                <w:sz w:val="20"/>
                <w:szCs w:val="20"/>
              </w:rPr>
              <w:t>287</w:t>
            </w:r>
          </w:p>
        </w:tc>
      </w:tr>
    </w:tbl>
    <w:p w14:paraId="29A862B9" w14:textId="77777777" w:rsidR="00F33740" w:rsidRDefault="00F33740" w:rsidP="002B31E2">
      <w:pPr>
        <w:autoSpaceDE w:val="0"/>
        <w:autoSpaceDN w:val="0"/>
        <w:adjustRightInd w:val="0"/>
        <w:jc w:val="both"/>
        <w:rPr>
          <w:rFonts w:cs="Calibri"/>
          <w:b/>
          <w:sz w:val="18"/>
          <w:szCs w:val="20"/>
          <w:u w:val="single"/>
        </w:rPr>
      </w:pPr>
    </w:p>
    <w:p w14:paraId="0D1DEDA4" w14:textId="5778250C" w:rsidR="002B31E2" w:rsidRPr="003A3038" w:rsidRDefault="003A3038" w:rsidP="003A3038">
      <w:pPr>
        <w:pStyle w:val="Heading2"/>
        <w:jc w:val="left"/>
        <w:rPr>
          <w:rFonts w:asciiTheme="minorHAnsi" w:hAnsiTheme="minorHAnsi" w:cstheme="minorHAnsi"/>
          <w:i w:val="0"/>
          <w:sz w:val="20"/>
          <w:u w:val="single"/>
        </w:rPr>
      </w:pPr>
      <w:bookmarkStart w:id="224" w:name="_Toc473184580"/>
      <w:r w:rsidRPr="003A3038">
        <w:rPr>
          <w:rFonts w:asciiTheme="minorHAnsi" w:hAnsiTheme="minorHAnsi" w:cstheme="minorHAnsi"/>
          <w:i w:val="0"/>
          <w:sz w:val="20"/>
        </w:rPr>
        <w:t xml:space="preserve">8.12 </w:t>
      </w:r>
      <w:r w:rsidR="002B31E2" w:rsidRPr="003A3038">
        <w:rPr>
          <w:rFonts w:asciiTheme="minorHAnsi" w:hAnsiTheme="minorHAnsi" w:cstheme="minorHAnsi"/>
          <w:i w:val="0"/>
          <w:sz w:val="20"/>
          <w:u w:val="single"/>
        </w:rPr>
        <w:t>Investimenti produttivi effettuati in Italia dalla impresa proponente negli ultimi tre anni</w:t>
      </w:r>
      <w:bookmarkEnd w:id="224"/>
      <w:r w:rsidR="002B31E2" w:rsidRPr="003A3038">
        <w:rPr>
          <w:rFonts w:asciiTheme="minorHAnsi" w:hAnsiTheme="minorHAnsi" w:cstheme="minorHAnsi"/>
          <w:i w:val="0"/>
          <w:sz w:val="20"/>
          <w:u w:val="single"/>
        </w:rPr>
        <w:t xml:space="preserve"> </w:t>
      </w:r>
    </w:p>
    <w:p w14:paraId="1E6DD561" w14:textId="77777777" w:rsidR="005D188F" w:rsidRPr="005D188F" w:rsidRDefault="005D188F" w:rsidP="005D188F">
      <w:pPr>
        <w:autoSpaceDE w:val="0"/>
        <w:autoSpaceDN w:val="0"/>
        <w:adjustRightInd w:val="0"/>
        <w:jc w:val="both"/>
        <w:rPr>
          <w:rFonts w:cs="Calibri"/>
          <w:b/>
          <w:sz w:val="20"/>
          <w:szCs w:val="20"/>
          <w:highlight w:val="yellow"/>
        </w:rPr>
      </w:pPr>
    </w:p>
    <w:tbl>
      <w:tblPr>
        <w:tblW w:w="7087" w:type="dxa"/>
        <w:tblInd w:w="496" w:type="dxa"/>
        <w:tblCellMar>
          <w:left w:w="70" w:type="dxa"/>
          <w:right w:w="70" w:type="dxa"/>
        </w:tblCellMar>
        <w:tblLook w:val="0000" w:firstRow="0" w:lastRow="0" w:firstColumn="0" w:lastColumn="0" w:noHBand="0" w:noVBand="0"/>
      </w:tblPr>
      <w:tblGrid>
        <w:gridCol w:w="3969"/>
        <w:gridCol w:w="992"/>
        <w:gridCol w:w="1134"/>
        <w:gridCol w:w="992"/>
      </w:tblGrid>
      <w:tr w:rsidR="00F33740" w:rsidRPr="005D188F" w14:paraId="334F3492" w14:textId="77777777" w:rsidTr="005B11B6">
        <w:trPr>
          <w:trHeight w:val="255"/>
        </w:trPr>
        <w:tc>
          <w:tcPr>
            <w:tcW w:w="3969" w:type="dxa"/>
            <w:tcBorders>
              <w:top w:val="single" w:sz="4" w:space="0" w:color="auto"/>
              <w:left w:val="single" w:sz="4" w:space="0" w:color="auto"/>
              <w:bottom w:val="single" w:sz="4" w:space="0" w:color="auto"/>
              <w:right w:val="nil"/>
            </w:tcBorders>
            <w:shd w:val="clear" w:color="auto" w:fill="auto"/>
            <w:noWrap/>
            <w:vAlign w:val="bottom"/>
          </w:tcPr>
          <w:p w14:paraId="7B6D0C9B" w14:textId="77777777" w:rsidR="00F33740" w:rsidRPr="005D188F" w:rsidRDefault="00F33740" w:rsidP="005B11B6">
            <w:pPr>
              <w:autoSpaceDE w:val="0"/>
              <w:autoSpaceDN w:val="0"/>
              <w:adjustRightInd w:val="0"/>
              <w:jc w:val="both"/>
              <w:rPr>
                <w:rFonts w:cs="Calibri"/>
                <w:sz w:val="20"/>
                <w:szCs w:val="20"/>
              </w:rPr>
            </w:pPr>
            <w:r w:rsidRPr="005D188F">
              <w:rPr>
                <w:rFonts w:cs="Calibri"/>
                <w:sz w:val="20"/>
                <w:szCs w:val="20"/>
              </w:rPr>
              <w:t> </w:t>
            </w:r>
          </w:p>
        </w:tc>
        <w:tc>
          <w:tcPr>
            <w:tcW w:w="3118"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tcPr>
          <w:p w14:paraId="2189820F" w14:textId="77777777" w:rsidR="00F33740" w:rsidRPr="005D188F" w:rsidRDefault="00F33740" w:rsidP="005B11B6">
            <w:pPr>
              <w:autoSpaceDE w:val="0"/>
              <w:autoSpaceDN w:val="0"/>
              <w:adjustRightInd w:val="0"/>
              <w:jc w:val="both"/>
              <w:rPr>
                <w:rFonts w:cs="Calibri"/>
                <w:sz w:val="20"/>
                <w:szCs w:val="20"/>
                <w:lang w:val="de-DE"/>
              </w:rPr>
            </w:pPr>
            <w:r w:rsidRPr="005D188F">
              <w:rPr>
                <w:rFonts w:cs="Calibri"/>
                <w:sz w:val="20"/>
                <w:szCs w:val="20"/>
                <w:lang w:val="de-DE"/>
              </w:rPr>
              <w:t xml:space="preserve">Consuntivo </w:t>
            </w:r>
          </w:p>
        </w:tc>
      </w:tr>
      <w:tr w:rsidR="00F33740" w:rsidRPr="005D188F" w14:paraId="13347D06" w14:textId="77777777" w:rsidTr="005B11B6">
        <w:trPr>
          <w:trHeight w:val="255"/>
        </w:trPr>
        <w:tc>
          <w:tcPr>
            <w:tcW w:w="3969" w:type="dxa"/>
            <w:tcBorders>
              <w:top w:val="nil"/>
              <w:left w:val="single" w:sz="4" w:space="0" w:color="auto"/>
              <w:bottom w:val="single" w:sz="4" w:space="0" w:color="auto"/>
              <w:right w:val="nil"/>
            </w:tcBorders>
            <w:shd w:val="clear" w:color="auto" w:fill="auto"/>
            <w:noWrap/>
            <w:vAlign w:val="bottom"/>
          </w:tcPr>
          <w:p w14:paraId="00A08495" w14:textId="77777777" w:rsidR="00F33740" w:rsidRPr="005D188F" w:rsidRDefault="00F33740" w:rsidP="005B11B6">
            <w:pPr>
              <w:autoSpaceDE w:val="0"/>
              <w:autoSpaceDN w:val="0"/>
              <w:adjustRightInd w:val="0"/>
              <w:jc w:val="both"/>
              <w:rPr>
                <w:rFonts w:cs="Calibri"/>
                <w:sz w:val="20"/>
                <w:szCs w:val="20"/>
                <w:lang w:val="de-DE"/>
              </w:rPr>
            </w:pPr>
            <w:r w:rsidRPr="005D188F">
              <w:rPr>
                <w:rFonts w:cs="Calibri"/>
                <w:sz w:val="20"/>
                <w:szCs w:val="20"/>
                <w:lang w:val="de-DE"/>
              </w:rPr>
              <w:t>€ 000</w:t>
            </w:r>
          </w:p>
        </w:tc>
        <w:tc>
          <w:tcPr>
            <w:tcW w:w="992" w:type="dxa"/>
            <w:tcBorders>
              <w:top w:val="nil"/>
              <w:left w:val="single" w:sz="8" w:space="0" w:color="auto"/>
              <w:bottom w:val="single" w:sz="4" w:space="0" w:color="auto"/>
              <w:right w:val="single" w:sz="4" w:space="0" w:color="auto"/>
            </w:tcBorders>
            <w:shd w:val="clear" w:color="auto" w:fill="auto"/>
            <w:noWrap/>
            <w:vAlign w:val="bottom"/>
          </w:tcPr>
          <w:p w14:paraId="290AFCCE" w14:textId="77777777" w:rsidR="00F33740" w:rsidRPr="005D188F" w:rsidRDefault="00F33740" w:rsidP="005B11B6">
            <w:pPr>
              <w:autoSpaceDE w:val="0"/>
              <w:autoSpaceDN w:val="0"/>
              <w:adjustRightInd w:val="0"/>
              <w:jc w:val="both"/>
              <w:rPr>
                <w:rFonts w:cs="Calibri"/>
                <w:sz w:val="20"/>
                <w:szCs w:val="20"/>
                <w:lang w:val="de-DE"/>
              </w:rPr>
            </w:pPr>
            <w:r>
              <w:rPr>
                <w:rFonts w:cs="Calibri"/>
                <w:sz w:val="20"/>
                <w:szCs w:val="20"/>
                <w:lang w:val="de-DE"/>
              </w:rPr>
              <w:t>2013</w:t>
            </w:r>
          </w:p>
        </w:tc>
        <w:tc>
          <w:tcPr>
            <w:tcW w:w="1134" w:type="dxa"/>
            <w:tcBorders>
              <w:top w:val="nil"/>
              <w:left w:val="nil"/>
              <w:bottom w:val="single" w:sz="4" w:space="0" w:color="auto"/>
              <w:right w:val="single" w:sz="4" w:space="0" w:color="auto"/>
            </w:tcBorders>
            <w:shd w:val="clear" w:color="auto" w:fill="auto"/>
            <w:noWrap/>
            <w:vAlign w:val="bottom"/>
          </w:tcPr>
          <w:p w14:paraId="259138EA" w14:textId="77777777" w:rsidR="00F33740" w:rsidRPr="005D188F" w:rsidRDefault="00F33740" w:rsidP="005B11B6">
            <w:pPr>
              <w:autoSpaceDE w:val="0"/>
              <w:autoSpaceDN w:val="0"/>
              <w:adjustRightInd w:val="0"/>
              <w:jc w:val="both"/>
              <w:rPr>
                <w:rFonts w:cs="Calibri"/>
                <w:sz w:val="20"/>
                <w:szCs w:val="20"/>
                <w:lang w:val="de-DE"/>
              </w:rPr>
            </w:pPr>
            <w:r>
              <w:rPr>
                <w:rFonts w:cs="Calibri"/>
                <w:sz w:val="20"/>
                <w:szCs w:val="20"/>
                <w:lang w:val="de-DE"/>
              </w:rPr>
              <w:t>2014</w:t>
            </w:r>
          </w:p>
        </w:tc>
        <w:tc>
          <w:tcPr>
            <w:tcW w:w="992" w:type="dxa"/>
            <w:tcBorders>
              <w:top w:val="nil"/>
              <w:left w:val="nil"/>
              <w:bottom w:val="single" w:sz="4" w:space="0" w:color="auto"/>
              <w:right w:val="single" w:sz="8" w:space="0" w:color="auto"/>
            </w:tcBorders>
            <w:shd w:val="clear" w:color="auto" w:fill="auto"/>
            <w:noWrap/>
            <w:vAlign w:val="bottom"/>
          </w:tcPr>
          <w:p w14:paraId="4F413253" w14:textId="77777777" w:rsidR="00F33740" w:rsidRPr="005D188F" w:rsidRDefault="00F33740" w:rsidP="005B11B6">
            <w:pPr>
              <w:autoSpaceDE w:val="0"/>
              <w:autoSpaceDN w:val="0"/>
              <w:adjustRightInd w:val="0"/>
              <w:jc w:val="both"/>
              <w:rPr>
                <w:rFonts w:cs="Calibri"/>
                <w:sz w:val="20"/>
                <w:szCs w:val="20"/>
                <w:lang w:val="de-DE"/>
              </w:rPr>
            </w:pPr>
            <w:r>
              <w:rPr>
                <w:rFonts w:cs="Calibri"/>
                <w:sz w:val="20"/>
                <w:szCs w:val="20"/>
                <w:lang w:val="de-DE"/>
              </w:rPr>
              <w:t>2015</w:t>
            </w:r>
          </w:p>
        </w:tc>
      </w:tr>
      <w:tr w:rsidR="00F33740" w:rsidRPr="005D188F" w14:paraId="1630C911" w14:textId="77777777" w:rsidTr="005B11B6">
        <w:trPr>
          <w:trHeight w:val="477"/>
        </w:trPr>
        <w:tc>
          <w:tcPr>
            <w:tcW w:w="3969" w:type="dxa"/>
            <w:tcBorders>
              <w:top w:val="nil"/>
              <w:left w:val="single" w:sz="4" w:space="0" w:color="auto"/>
              <w:bottom w:val="single" w:sz="4" w:space="0" w:color="auto"/>
              <w:right w:val="nil"/>
            </w:tcBorders>
            <w:shd w:val="clear" w:color="auto" w:fill="auto"/>
            <w:vAlign w:val="bottom"/>
          </w:tcPr>
          <w:p w14:paraId="5FAD0966" w14:textId="77777777" w:rsidR="00F33740" w:rsidRPr="005D188F" w:rsidRDefault="00F33740" w:rsidP="005B11B6">
            <w:pPr>
              <w:autoSpaceDE w:val="0"/>
              <w:autoSpaceDN w:val="0"/>
              <w:adjustRightInd w:val="0"/>
              <w:jc w:val="both"/>
              <w:rPr>
                <w:rFonts w:cs="Calibri"/>
                <w:sz w:val="20"/>
                <w:szCs w:val="20"/>
              </w:rPr>
            </w:pPr>
            <w:r w:rsidRPr="005D188F">
              <w:rPr>
                <w:rFonts w:cs="Calibri"/>
                <w:sz w:val="20"/>
                <w:szCs w:val="20"/>
              </w:rPr>
              <w:t>Investimenti produttivi - Sito di Origgio</w:t>
            </w:r>
          </w:p>
        </w:tc>
        <w:tc>
          <w:tcPr>
            <w:tcW w:w="992" w:type="dxa"/>
            <w:tcBorders>
              <w:top w:val="nil"/>
              <w:left w:val="single" w:sz="8" w:space="0" w:color="auto"/>
              <w:bottom w:val="single" w:sz="4" w:space="0" w:color="auto"/>
              <w:right w:val="single" w:sz="4" w:space="0" w:color="auto"/>
            </w:tcBorders>
            <w:shd w:val="clear" w:color="auto" w:fill="auto"/>
            <w:noWrap/>
            <w:vAlign w:val="bottom"/>
          </w:tcPr>
          <w:p w14:paraId="0C4E6D11" w14:textId="77777777" w:rsidR="00F33740" w:rsidRPr="005D188F" w:rsidRDefault="00F33740" w:rsidP="005B11B6">
            <w:pPr>
              <w:autoSpaceDE w:val="0"/>
              <w:autoSpaceDN w:val="0"/>
              <w:adjustRightInd w:val="0"/>
              <w:jc w:val="both"/>
              <w:rPr>
                <w:rFonts w:cs="Calibri"/>
                <w:sz w:val="20"/>
                <w:szCs w:val="20"/>
                <w:lang w:val="de-DE"/>
              </w:rPr>
            </w:pPr>
            <w:r>
              <w:rPr>
                <w:rFonts w:cs="Calibri"/>
                <w:sz w:val="20"/>
                <w:szCs w:val="20"/>
                <w:lang w:val="de-DE"/>
              </w:rPr>
              <w:t>877</w:t>
            </w:r>
          </w:p>
        </w:tc>
        <w:tc>
          <w:tcPr>
            <w:tcW w:w="1134" w:type="dxa"/>
            <w:tcBorders>
              <w:top w:val="nil"/>
              <w:left w:val="nil"/>
              <w:bottom w:val="single" w:sz="4" w:space="0" w:color="auto"/>
              <w:right w:val="single" w:sz="4" w:space="0" w:color="auto"/>
            </w:tcBorders>
            <w:shd w:val="clear" w:color="auto" w:fill="auto"/>
            <w:noWrap/>
            <w:vAlign w:val="bottom"/>
          </w:tcPr>
          <w:p w14:paraId="37BAE4F1" w14:textId="77777777" w:rsidR="00F33740" w:rsidRPr="005D188F" w:rsidRDefault="00F33740" w:rsidP="005B11B6">
            <w:pPr>
              <w:autoSpaceDE w:val="0"/>
              <w:autoSpaceDN w:val="0"/>
              <w:adjustRightInd w:val="0"/>
              <w:jc w:val="both"/>
              <w:rPr>
                <w:rFonts w:cs="Calibri"/>
                <w:sz w:val="20"/>
                <w:szCs w:val="20"/>
                <w:lang w:val="de-DE"/>
              </w:rPr>
            </w:pPr>
            <w:r>
              <w:rPr>
                <w:rFonts w:cs="Calibri"/>
                <w:sz w:val="20"/>
                <w:szCs w:val="20"/>
                <w:lang w:val="de-DE"/>
              </w:rPr>
              <w:t>637</w:t>
            </w:r>
          </w:p>
        </w:tc>
        <w:tc>
          <w:tcPr>
            <w:tcW w:w="992" w:type="dxa"/>
            <w:tcBorders>
              <w:top w:val="nil"/>
              <w:left w:val="nil"/>
              <w:bottom w:val="single" w:sz="4" w:space="0" w:color="auto"/>
              <w:right w:val="single" w:sz="8" w:space="0" w:color="auto"/>
            </w:tcBorders>
            <w:shd w:val="clear" w:color="auto" w:fill="auto"/>
            <w:noWrap/>
            <w:vAlign w:val="bottom"/>
          </w:tcPr>
          <w:p w14:paraId="17EDBB22" w14:textId="77777777" w:rsidR="00F33740" w:rsidRPr="005D188F" w:rsidRDefault="00F33740" w:rsidP="005B11B6">
            <w:pPr>
              <w:autoSpaceDE w:val="0"/>
              <w:autoSpaceDN w:val="0"/>
              <w:adjustRightInd w:val="0"/>
              <w:jc w:val="both"/>
              <w:rPr>
                <w:rFonts w:cs="Calibri"/>
                <w:sz w:val="20"/>
                <w:szCs w:val="20"/>
                <w:lang w:val="de-DE"/>
              </w:rPr>
            </w:pPr>
            <w:r>
              <w:rPr>
                <w:rFonts w:cs="Calibri"/>
                <w:sz w:val="20"/>
                <w:szCs w:val="20"/>
                <w:lang w:val="de-DE"/>
              </w:rPr>
              <w:t>780</w:t>
            </w:r>
          </w:p>
        </w:tc>
      </w:tr>
    </w:tbl>
    <w:p w14:paraId="2CBDE56B" w14:textId="77777777" w:rsidR="00105C9F" w:rsidRDefault="00105C9F" w:rsidP="002B31E2">
      <w:pPr>
        <w:autoSpaceDE w:val="0"/>
        <w:autoSpaceDN w:val="0"/>
        <w:rPr>
          <w:b/>
          <w:bCs/>
          <w:color w:val="000000"/>
          <w:sz w:val="20"/>
          <w:u w:val="single"/>
        </w:rPr>
      </w:pPr>
    </w:p>
    <w:p w14:paraId="35838AB2" w14:textId="0D04A646" w:rsidR="00105C9F" w:rsidRPr="003A3038" w:rsidRDefault="003A3038" w:rsidP="003A3038">
      <w:pPr>
        <w:pStyle w:val="Heading2"/>
        <w:jc w:val="left"/>
        <w:rPr>
          <w:rFonts w:asciiTheme="minorHAnsi" w:hAnsiTheme="minorHAnsi" w:cstheme="minorHAnsi"/>
          <w:i w:val="0"/>
          <w:sz w:val="20"/>
          <w:u w:val="single"/>
        </w:rPr>
      </w:pPr>
      <w:bookmarkStart w:id="225" w:name="_Toc473184581"/>
      <w:r w:rsidRPr="003A3038">
        <w:rPr>
          <w:rFonts w:asciiTheme="minorHAnsi" w:hAnsiTheme="minorHAnsi" w:cstheme="minorHAnsi"/>
          <w:i w:val="0"/>
          <w:sz w:val="20"/>
        </w:rPr>
        <w:t xml:space="preserve">8.13 </w:t>
      </w:r>
      <w:r w:rsidR="002B31E2" w:rsidRPr="003A3038">
        <w:rPr>
          <w:rFonts w:asciiTheme="minorHAnsi" w:hAnsiTheme="minorHAnsi" w:cstheme="minorHAnsi"/>
          <w:i w:val="0"/>
          <w:sz w:val="20"/>
          <w:u w:val="single"/>
        </w:rPr>
        <w:t>Esportazioni di materie prime, semilavorati e prodotti finite negli ultimo tre anni</w:t>
      </w:r>
      <w:bookmarkEnd w:id="225"/>
      <w:r w:rsidR="002B31E2" w:rsidRPr="003A3038">
        <w:rPr>
          <w:rFonts w:asciiTheme="minorHAnsi" w:hAnsiTheme="minorHAnsi" w:cstheme="minorHAnsi"/>
          <w:i w:val="0"/>
          <w:sz w:val="20"/>
          <w:u w:val="single"/>
        </w:rPr>
        <w:t xml:space="preserve"> </w:t>
      </w:r>
    </w:p>
    <w:p w14:paraId="42018FAE" w14:textId="77777777" w:rsidR="00FF631E" w:rsidRDefault="00FF631E" w:rsidP="00F33740">
      <w:pPr>
        <w:pStyle w:val="Body"/>
        <w:ind w:left="426"/>
        <w:rPr>
          <w:rFonts w:asciiTheme="minorHAnsi" w:hAnsiTheme="minorHAnsi" w:cstheme="minorHAnsi"/>
          <w:b/>
          <w:sz w:val="20"/>
          <w:u w:val="single"/>
        </w:rPr>
      </w:pPr>
    </w:p>
    <w:p w14:paraId="2FAB5BE2" w14:textId="443D51EB" w:rsidR="00105C9F" w:rsidRPr="00105C9F" w:rsidRDefault="00F33740" w:rsidP="00F33740">
      <w:pPr>
        <w:pStyle w:val="Body"/>
        <w:ind w:left="426"/>
        <w:rPr>
          <w:rFonts w:asciiTheme="minorHAnsi" w:hAnsiTheme="minorHAnsi" w:cstheme="minorHAnsi"/>
          <w:b/>
          <w:sz w:val="20"/>
          <w:u w:val="single"/>
        </w:rPr>
      </w:pPr>
      <w:r w:rsidRPr="001F0C04">
        <w:rPr>
          <w:noProof/>
          <w:lang w:val="en-GB" w:eastAsia="en-GB" w:bidi="ar-SA"/>
        </w:rPr>
        <w:drawing>
          <wp:inline distT="0" distB="0" distL="0" distR="0" wp14:anchorId="7F7C78D0" wp14:editId="6533B899">
            <wp:extent cx="4308231" cy="2621720"/>
            <wp:effectExtent l="0" t="0" r="0" b="762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08535" cy="2621905"/>
                    </a:xfrm>
                    <a:prstGeom prst="rect">
                      <a:avLst/>
                    </a:prstGeom>
                    <a:noFill/>
                    <a:ln>
                      <a:noFill/>
                    </a:ln>
                  </pic:spPr>
                </pic:pic>
              </a:graphicData>
            </a:graphic>
          </wp:inline>
        </w:drawing>
      </w:r>
    </w:p>
    <w:p w14:paraId="7F1C8C5F" w14:textId="5170909C" w:rsidR="00502F15" w:rsidRDefault="00C579E4">
      <w:pPr>
        <w:rPr>
          <w:rFonts w:eastAsia="Times New Roman" w:cstheme="minorHAnsi"/>
          <w:b/>
          <w:noProof/>
          <w:sz w:val="20"/>
          <w:szCs w:val="20"/>
          <w:u w:val="single"/>
          <w:lang w:eastAsia="it-IT"/>
        </w:rPr>
      </w:pPr>
      <w:r>
        <w:rPr>
          <w:rFonts w:cstheme="minorHAnsi"/>
          <w:sz w:val="20"/>
        </w:rPr>
        <w:br w:type="page"/>
      </w:r>
    </w:p>
    <w:p w14:paraId="2F1C4286" w14:textId="75D4C87E" w:rsidR="005A2BD0" w:rsidRPr="00797A72" w:rsidRDefault="005A2BD0" w:rsidP="00825BD3">
      <w:pPr>
        <w:pStyle w:val="Heading1"/>
        <w:numPr>
          <w:ilvl w:val="0"/>
          <w:numId w:val="40"/>
        </w:numPr>
        <w:ind w:left="567" w:hanging="567"/>
        <w:rPr>
          <w:rFonts w:asciiTheme="minorHAnsi" w:hAnsiTheme="minorHAnsi" w:cstheme="minorHAnsi"/>
          <w:b w:val="0"/>
          <w:sz w:val="20"/>
        </w:rPr>
      </w:pPr>
      <w:bookmarkStart w:id="226" w:name="_Toc473184582"/>
      <w:r w:rsidRPr="008B174D">
        <w:rPr>
          <w:rFonts w:asciiTheme="minorHAnsi" w:hAnsiTheme="minorHAnsi" w:cstheme="minorHAnsi"/>
          <w:sz w:val="20"/>
        </w:rPr>
        <w:t>Studi farmacoeconomici disponibili</w:t>
      </w:r>
      <w:bookmarkEnd w:id="226"/>
    </w:p>
    <w:p w14:paraId="1063E796" w14:textId="51185FB3" w:rsidR="00F05DF2" w:rsidRDefault="00F05DF2" w:rsidP="005A2BD0">
      <w:pPr>
        <w:tabs>
          <w:tab w:val="left" w:pos="426"/>
        </w:tabs>
        <w:autoSpaceDE w:val="0"/>
        <w:autoSpaceDN w:val="0"/>
        <w:adjustRightInd w:val="0"/>
        <w:rPr>
          <w:rFonts w:cstheme="minorHAnsi"/>
          <w:color w:val="000000"/>
          <w:sz w:val="20"/>
          <w:szCs w:val="20"/>
        </w:rPr>
      </w:pPr>
    </w:p>
    <w:p w14:paraId="07AD34DA" w14:textId="33AA62CE" w:rsidR="00837A8A" w:rsidRPr="00851DF6" w:rsidRDefault="00837A8A" w:rsidP="00FF631E">
      <w:pPr>
        <w:widowControl w:val="0"/>
        <w:autoSpaceDE w:val="0"/>
        <w:autoSpaceDN w:val="0"/>
        <w:adjustRightInd w:val="0"/>
        <w:spacing w:line="360" w:lineRule="auto"/>
        <w:rPr>
          <w:rFonts w:cs="Arial"/>
          <w:sz w:val="20"/>
          <w:szCs w:val="20"/>
        </w:rPr>
      </w:pPr>
      <w:r w:rsidRPr="00851DF6">
        <w:rPr>
          <w:rFonts w:cs="Arial"/>
          <w:sz w:val="20"/>
          <w:szCs w:val="20"/>
        </w:rPr>
        <w:t>L’azienda presenta i risu</w:t>
      </w:r>
      <w:r w:rsidR="00D84B72" w:rsidRPr="00851DF6">
        <w:rPr>
          <w:rFonts w:cs="Arial"/>
          <w:sz w:val="20"/>
          <w:szCs w:val="20"/>
        </w:rPr>
        <w:t>l</w:t>
      </w:r>
      <w:r w:rsidRPr="00851DF6">
        <w:rPr>
          <w:rFonts w:cs="Arial"/>
          <w:sz w:val="20"/>
          <w:szCs w:val="20"/>
        </w:rPr>
        <w:t>tati di due studi farmacoeconomici: Analisi di costo-efficacia e Analisi di Impatto di Budget</w:t>
      </w:r>
      <w:r w:rsidR="005B11B6" w:rsidRPr="00851DF6">
        <w:rPr>
          <w:rFonts w:cs="Arial"/>
          <w:sz w:val="20"/>
          <w:szCs w:val="20"/>
        </w:rPr>
        <w:t>, effettuate dall’Alta Scuola di Economia e Management (ALTEMS) dell’Università Cattolica del Sacro Cuore – sede di Roma</w:t>
      </w:r>
      <w:r w:rsidR="00851DF6">
        <w:rPr>
          <w:rFonts w:cs="Arial"/>
          <w:sz w:val="20"/>
          <w:szCs w:val="20"/>
        </w:rPr>
        <w:t>.</w:t>
      </w:r>
      <w:r w:rsidR="00AC5A6A">
        <w:rPr>
          <w:rFonts w:cs="Arial"/>
          <w:sz w:val="20"/>
          <w:szCs w:val="20"/>
        </w:rPr>
        <w:t xml:space="preserve"> Il Report di entrambi gli studi è fornito in allegato (</w:t>
      </w:r>
      <w:hyperlink w:anchor="Allegato2" w:history="1">
        <w:r w:rsidR="00AC5A6A" w:rsidRPr="00AC5A6A">
          <w:rPr>
            <w:rStyle w:val="Hyperlink"/>
            <w:rFonts w:cs="Arial"/>
            <w:sz w:val="20"/>
            <w:szCs w:val="20"/>
          </w:rPr>
          <w:t>Allegato 2</w:t>
        </w:r>
      </w:hyperlink>
      <w:r w:rsidR="00AC5A6A">
        <w:rPr>
          <w:rFonts w:cs="Arial"/>
          <w:sz w:val="20"/>
          <w:szCs w:val="20"/>
        </w:rPr>
        <w:t>)</w:t>
      </w:r>
    </w:p>
    <w:p w14:paraId="30635F36" w14:textId="4E45C3B7" w:rsidR="00837A8A" w:rsidRPr="005B1CD1" w:rsidRDefault="00837A8A" w:rsidP="00FF631E">
      <w:pPr>
        <w:pStyle w:val="Heading2"/>
        <w:jc w:val="left"/>
        <w:rPr>
          <w:rFonts w:asciiTheme="minorHAnsi" w:hAnsiTheme="minorHAnsi" w:cstheme="minorHAnsi"/>
          <w:i w:val="0"/>
          <w:sz w:val="20"/>
          <w:u w:val="single"/>
        </w:rPr>
      </w:pPr>
      <w:bookmarkStart w:id="227" w:name="_Toc473184583"/>
      <w:r w:rsidRPr="005B1CD1">
        <w:rPr>
          <w:rFonts w:asciiTheme="minorHAnsi" w:hAnsiTheme="minorHAnsi" w:cstheme="minorHAnsi"/>
          <w:i w:val="0"/>
          <w:sz w:val="20"/>
          <w:u w:val="single"/>
        </w:rPr>
        <w:t>Analisi di costo efficacia</w:t>
      </w:r>
      <w:r w:rsidR="00AC5A6A">
        <w:rPr>
          <w:rFonts w:asciiTheme="minorHAnsi" w:hAnsiTheme="minorHAnsi" w:cstheme="minorHAnsi"/>
          <w:i w:val="0"/>
          <w:sz w:val="20"/>
          <w:u w:val="single"/>
        </w:rPr>
        <w:t xml:space="preserve"> (</w:t>
      </w:r>
      <w:hyperlink w:anchor="Allegato2" w:history="1">
        <w:r w:rsidR="00AC5A6A" w:rsidRPr="00AC5A6A">
          <w:rPr>
            <w:rStyle w:val="Hyperlink"/>
            <w:rFonts w:asciiTheme="minorHAnsi" w:hAnsiTheme="minorHAnsi" w:cstheme="minorHAnsi"/>
            <w:i w:val="0"/>
            <w:sz w:val="20"/>
          </w:rPr>
          <w:t>Allegato 2</w:t>
        </w:r>
      </w:hyperlink>
      <w:r w:rsidR="00AC5A6A">
        <w:rPr>
          <w:rFonts w:asciiTheme="minorHAnsi" w:hAnsiTheme="minorHAnsi" w:cstheme="minorHAnsi"/>
          <w:i w:val="0"/>
          <w:sz w:val="20"/>
          <w:u w:val="single"/>
        </w:rPr>
        <w:t>)</w:t>
      </w:r>
      <w:r w:rsidRPr="005B1CD1">
        <w:rPr>
          <w:rFonts w:asciiTheme="minorHAnsi" w:hAnsiTheme="minorHAnsi" w:cstheme="minorHAnsi"/>
          <w:i w:val="0"/>
          <w:sz w:val="20"/>
          <w:u w:val="single"/>
        </w:rPr>
        <w:t>:</w:t>
      </w:r>
      <w:bookmarkEnd w:id="227"/>
    </w:p>
    <w:p w14:paraId="435AA65E" w14:textId="77777777" w:rsidR="00837A8A" w:rsidRPr="00797A72" w:rsidRDefault="00837A8A" w:rsidP="00FF631E">
      <w:pPr>
        <w:tabs>
          <w:tab w:val="left" w:pos="426"/>
        </w:tabs>
        <w:autoSpaceDE w:val="0"/>
        <w:autoSpaceDN w:val="0"/>
        <w:adjustRightInd w:val="0"/>
        <w:rPr>
          <w:rFonts w:cstheme="minorHAnsi"/>
          <w:color w:val="000000"/>
          <w:sz w:val="20"/>
          <w:szCs w:val="20"/>
        </w:rPr>
      </w:pPr>
    </w:p>
    <w:p w14:paraId="2C41849C" w14:textId="77777777" w:rsidR="00A717AE" w:rsidRPr="00816C7D" w:rsidRDefault="00A717AE" w:rsidP="00825BD3">
      <w:pPr>
        <w:pStyle w:val="ListParagraph"/>
        <w:numPr>
          <w:ilvl w:val="1"/>
          <w:numId w:val="41"/>
        </w:numPr>
        <w:spacing w:after="120"/>
        <w:ind w:left="567" w:hanging="567"/>
        <w:rPr>
          <w:rFonts w:asciiTheme="minorHAnsi" w:hAnsiTheme="minorHAnsi" w:cstheme="minorHAnsi"/>
          <w:b/>
          <w:bCs/>
          <w:vanish/>
          <w:sz w:val="20"/>
          <w:szCs w:val="20"/>
          <w:u w:val="single"/>
          <w:lang w:val="fr-FR" w:eastAsia="fr-FR" w:bidi="en-US"/>
        </w:rPr>
      </w:pPr>
      <w:bookmarkStart w:id="228" w:name="Paragrafo91"/>
      <w:bookmarkEnd w:id="228"/>
      <w:r w:rsidRPr="00816C7D">
        <w:rPr>
          <w:rFonts w:asciiTheme="minorHAnsi" w:hAnsiTheme="minorHAnsi" w:cstheme="minorHAnsi"/>
          <w:b/>
          <w:bCs/>
          <w:sz w:val="20"/>
          <w:szCs w:val="20"/>
          <w:u w:val="single"/>
          <w:lang w:val="fr-FR" w:eastAsia="fr-FR" w:bidi="en-US"/>
        </w:rPr>
        <w:t>Obiettivo dello studio presenta</w:t>
      </w:r>
      <w:r>
        <w:rPr>
          <w:rFonts w:asciiTheme="minorHAnsi" w:hAnsiTheme="minorHAnsi" w:cstheme="minorHAnsi"/>
          <w:b/>
          <w:bCs/>
          <w:sz w:val="20"/>
          <w:szCs w:val="20"/>
          <w:u w:val="single"/>
          <w:lang w:val="fr-FR" w:eastAsia="fr-FR" w:bidi="en-US"/>
        </w:rPr>
        <w:t>to</w:t>
      </w:r>
      <w:r w:rsidRPr="00816C7D">
        <w:rPr>
          <w:rFonts w:asciiTheme="minorHAnsi" w:hAnsiTheme="minorHAnsi" w:cstheme="minorHAnsi"/>
          <w:b/>
          <w:bCs/>
          <w:vanish/>
          <w:sz w:val="20"/>
          <w:szCs w:val="20"/>
          <w:u w:val="single"/>
          <w:lang w:val="fr-FR" w:eastAsia="fr-FR" w:bidi="en-US"/>
        </w:rPr>
        <w:t>o</w:t>
      </w:r>
    </w:p>
    <w:p w14:paraId="68892DAF" w14:textId="77777777" w:rsidR="00A717AE" w:rsidRDefault="00A717AE" w:rsidP="00A717AE">
      <w:pPr>
        <w:widowControl w:val="0"/>
        <w:autoSpaceDE w:val="0"/>
        <w:autoSpaceDN w:val="0"/>
        <w:adjustRightInd w:val="0"/>
        <w:spacing w:line="360" w:lineRule="auto"/>
        <w:rPr>
          <w:rFonts w:cs="Arial"/>
          <w:sz w:val="20"/>
          <w:szCs w:val="20"/>
        </w:rPr>
      </w:pPr>
    </w:p>
    <w:p w14:paraId="71AA8AAE" w14:textId="77777777" w:rsidR="00A717AE" w:rsidRDefault="00A717AE" w:rsidP="00A717AE">
      <w:pPr>
        <w:widowControl w:val="0"/>
        <w:autoSpaceDE w:val="0"/>
        <w:autoSpaceDN w:val="0"/>
        <w:adjustRightInd w:val="0"/>
        <w:spacing w:line="360" w:lineRule="auto"/>
        <w:rPr>
          <w:rFonts w:cs="Arial"/>
          <w:sz w:val="20"/>
          <w:szCs w:val="20"/>
        </w:rPr>
      </w:pPr>
      <w:r>
        <w:rPr>
          <w:rFonts w:cs="Arial"/>
          <w:sz w:val="20"/>
          <w:szCs w:val="20"/>
        </w:rPr>
        <w:t>Determinazione e valutazione del</w:t>
      </w:r>
      <w:r w:rsidRPr="005B11B6">
        <w:rPr>
          <w:rFonts w:cs="Arial"/>
          <w:sz w:val="20"/>
          <w:szCs w:val="20"/>
        </w:rPr>
        <w:t xml:space="preserve">l’impatto economico in termini di costi e di efficacia </w:t>
      </w:r>
      <w:r>
        <w:rPr>
          <w:rFonts w:cs="Arial"/>
          <w:sz w:val="20"/>
          <w:szCs w:val="20"/>
        </w:rPr>
        <w:t>associata all</w:t>
      </w:r>
      <w:r w:rsidRPr="0033605A">
        <w:rPr>
          <w:rFonts w:cs="Arial"/>
          <w:sz w:val="20"/>
          <w:szCs w:val="20"/>
        </w:rPr>
        <w:t>’utilizzo nella pratica clinica di ZURAMPIC</w:t>
      </w:r>
      <w:r>
        <w:rPr>
          <w:rFonts w:cs="Arial"/>
          <w:sz w:val="20"/>
          <w:szCs w:val="20"/>
        </w:rPr>
        <w:t xml:space="preserve"> (lesinurad)</w:t>
      </w:r>
      <w:r w:rsidRPr="0033605A">
        <w:rPr>
          <w:rFonts w:cs="Arial"/>
          <w:sz w:val="20"/>
          <w:szCs w:val="20"/>
        </w:rPr>
        <w:t xml:space="preserve"> in associazione </w:t>
      </w:r>
      <w:r>
        <w:rPr>
          <w:rFonts w:cs="Arial"/>
          <w:sz w:val="20"/>
          <w:szCs w:val="20"/>
        </w:rPr>
        <w:t>ad</w:t>
      </w:r>
      <w:r w:rsidRPr="0033605A">
        <w:rPr>
          <w:rFonts w:cs="Arial"/>
          <w:sz w:val="20"/>
          <w:szCs w:val="20"/>
        </w:rPr>
        <w:t xml:space="preserve"> </w:t>
      </w:r>
      <w:r>
        <w:rPr>
          <w:rFonts w:cs="Arial"/>
          <w:sz w:val="20"/>
          <w:szCs w:val="20"/>
        </w:rPr>
        <w:t>allopurinolo</w:t>
      </w:r>
      <w:r w:rsidRPr="0033605A">
        <w:rPr>
          <w:rFonts w:cs="Arial"/>
          <w:sz w:val="20"/>
          <w:szCs w:val="20"/>
        </w:rPr>
        <w:t xml:space="preserve">, in soggetti adulti per il trattamento aggiuntivo dell’iperuricemia in pazienti con gotta (con o senza tofi) che non abbiano raggiunto livelli sierici target di acido urico con una dose adeguata di </w:t>
      </w:r>
      <w:r>
        <w:rPr>
          <w:rFonts w:cs="Arial"/>
          <w:sz w:val="20"/>
          <w:szCs w:val="20"/>
        </w:rPr>
        <w:t>allopurinolo</w:t>
      </w:r>
      <w:r w:rsidRPr="0033605A">
        <w:rPr>
          <w:rFonts w:cs="Arial"/>
          <w:sz w:val="20"/>
          <w:szCs w:val="20"/>
        </w:rPr>
        <w:t xml:space="preserve"> in monoterapia</w:t>
      </w:r>
      <w:r>
        <w:rPr>
          <w:rFonts w:cs="Arial"/>
          <w:sz w:val="20"/>
          <w:szCs w:val="20"/>
        </w:rPr>
        <w:t>.</w:t>
      </w:r>
    </w:p>
    <w:p w14:paraId="36973BEF" w14:textId="77777777" w:rsidR="00A717AE" w:rsidRPr="0033605A" w:rsidRDefault="00A717AE" w:rsidP="00A717AE">
      <w:pPr>
        <w:widowControl w:val="0"/>
        <w:autoSpaceDE w:val="0"/>
        <w:autoSpaceDN w:val="0"/>
        <w:adjustRightInd w:val="0"/>
        <w:spacing w:line="360" w:lineRule="auto"/>
        <w:rPr>
          <w:rFonts w:cs="Arial"/>
          <w:sz w:val="20"/>
          <w:szCs w:val="20"/>
        </w:rPr>
      </w:pPr>
    </w:p>
    <w:p w14:paraId="62E309ED" w14:textId="77777777" w:rsidR="00A717AE" w:rsidRPr="00816C7D" w:rsidRDefault="00A717AE" w:rsidP="00825BD3">
      <w:pPr>
        <w:pStyle w:val="ListParagraph"/>
        <w:numPr>
          <w:ilvl w:val="1"/>
          <w:numId w:val="41"/>
        </w:numPr>
        <w:spacing w:after="120"/>
        <w:ind w:left="567" w:hanging="567"/>
        <w:rPr>
          <w:rFonts w:asciiTheme="minorHAnsi" w:hAnsiTheme="minorHAnsi" w:cstheme="minorHAnsi"/>
          <w:b/>
          <w:bCs/>
          <w:sz w:val="20"/>
          <w:szCs w:val="20"/>
          <w:u w:val="single"/>
          <w:lang w:val="fr-FR" w:eastAsia="fr-FR" w:bidi="en-US"/>
        </w:rPr>
      </w:pPr>
      <w:r w:rsidRPr="00816C7D">
        <w:rPr>
          <w:rFonts w:asciiTheme="minorHAnsi" w:hAnsiTheme="minorHAnsi" w:cstheme="minorHAnsi"/>
          <w:b/>
          <w:bCs/>
          <w:sz w:val="20"/>
          <w:szCs w:val="20"/>
          <w:u w:val="single"/>
          <w:lang w:val="fr-FR" w:eastAsia="fr-FR" w:bidi="en-US"/>
        </w:rPr>
        <w:t>Tipologia dell’analisi economica impiegata e motivazioni della scelta</w:t>
      </w:r>
    </w:p>
    <w:p w14:paraId="3B00BB97" w14:textId="77777777" w:rsidR="00A717AE" w:rsidRDefault="00A717AE" w:rsidP="00A717AE">
      <w:pPr>
        <w:widowControl w:val="0"/>
        <w:autoSpaceDE w:val="0"/>
        <w:autoSpaceDN w:val="0"/>
        <w:adjustRightInd w:val="0"/>
        <w:spacing w:line="360" w:lineRule="auto"/>
        <w:rPr>
          <w:rFonts w:cs="Arial"/>
          <w:sz w:val="20"/>
          <w:szCs w:val="20"/>
        </w:rPr>
      </w:pPr>
      <w:r>
        <w:rPr>
          <w:rFonts w:cs="Arial"/>
          <w:sz w:val="20"/>
          <w:szCs w:val="20"/>
        </w:rPr>
        <w:t>Si tratta di un’analisi di Costo-Efficacia che permette di mettere a confronto lesinurad+allopurinolo con l’alternativa febuxostat in monoterapia per facilitare la decisione tra queste due opzioni di trattamento.</w:t>
      </w:r>
    </w:p>
    <w:p w14:paraId="26295850" w14:textId="77777777" w:rsidR="00A717AE" w:rsidRPr="00816C7D" w:rsidRDefault="00A717AE" w:rsidP="00A717AE">
      <w:pPr>
        <w:widowControl w:val="0"/>
        <w:autoSpaceDE w:val="0"/>
        <w:autoSpaceDN w:val="0"/>
        <w:adjustRightInd w:val="0"/>
        <w:spacing w:line="360" w:lineRule="auto"/>
        <w:rPr>
          <w:rFonts w:cs="Arial"/>
          <w:sz w:val="20"/>
          <w:szCs w:val="20"/>
        </w:rPr>
      </w:pPr>
    </w:p>
    <w:p w14:paraId="1B2DC158" w14:textId="77777777" w:rsidR="00A717AE" w:rsidRPr="00816C7D" w:rsidRDefault="00A717AE" w:rsidP="00825BD3">
      <w:pPr>
        <w:pStyle w:val="ListParagraph"/>
        <w:numPr>
          <w:ilvl w:val="1"/>
          <w:numId w:val="41"/>
        </w:numPr>
        <w:spacing w:after="120"/>
        <w:ind w:left="567" w:hanging="567"/>
        <w:rPr>
          <w:rFonts w:asciiTheme="minorHAnsi" w:hAnsiTheme="minorHAnsi" w:cstheme="minorHAnsi"/>
          <w:b/>
          <w:bCs/>
          <w:sz w:val="20"/>
          <w:szCs w:val="20"/>
          <w:u w:val="single"/>
          <w:lang w:val="fr-FR" w:eastAsia="fr-FR" w:bidi="en-US"/>
        </w:rPr>
      </w:pPr>
      <w:r w:rsidRPr="00816C7D">
        <w:rPr>
          <w:rFonts w:asciiTheme="minorHAnsi" w:hAnsiTheme="minorHAnsi" w:cstheme="minorHAnsi"/>
          <w:b/>
          <w:bCs/>
          <w:sz w:val="20"/>
          <w:szCs w:val="20"/>
          <w:u w:val="single"/>
          <w:lang w:val="fr-FR" w:eastAsia="fr-FR" w:bidi="en-US"/>
        </w:rPr>
        <w:t>Punto di vista dell’analisi effettuata</w:t>
      </w:r>
    </w:p>
    <w:p w14:paraId="455EFCFF" w14:textId="77777777" w:rsidR="00A717AE" w:rsidRDefault="00A717AE" w:rsidP="00A717AE">
      <w:pPr>
        <w:widowControl w:val="0"/>
        <w:autoSpaceDE w:val="0"/>
        <w:autoSpaceDN w:val="0"/>
        <w:adjustRightInd w:val="0"/>
        <w:spacing w:line="360" w:lineRule="auto"/>
        <w:rPr>
          <w:rFonts w:cs="Arial"/>
          <w:sz w:val="20"/>
          <w:szCs w:val="20"/>
        </w:rPr>
      </w:pPr>
      <w:r w:rsidRPr="00816C7D">
        <w:rPr>
          <w:rFonts w:cs="Arial"/>
          <w:sz w:val="20"/>
          <w:szCs w:val="20"/>
        </w:rPr>
        <w:t xml:space="preserve">La prospettiva adottata </w:t>
      </w:r>
      <w:r>
        <w:rPr>
          <w:rFonts w:cs="Arial"/>
          <w:sz w:val="20"/>
          <w:szCs w:val="20"/>
        </w:rPr>
        <w:t>nell’analisi è quella del SSN, in un orizzonte temporale “life/time”</w:t>
      </w:r>
      <w:r w:rsidRPr="0082571E">
        <w:rPr>
          <w:rFonts w:eastAsiaTheme="minorHAnsi"/>
          <w:sz w:val="22"/>
          <w:lang w:eastAsia="en-US"/>
        </w:rPr>
        <w:t xml:space="preserve"> </w:t>
      </w:r>
      <w:r w:rsidRPr="0082571E">
        <w:rPr>
          <w:rFonts w:cs="Arial"/>
          <w:sz w:val="20"/>
          <w:szCs w:val="20"/>
        </w:rPr>
        <w:t>e ha considerato i costi totali di tutti i comparatori rapportati ai benefici totali (misurati in termini di QALY – quality-adjusted life years – in una coorte di pazienti determinata sulla base della popolazione Italiana pesata per il tasso di prevalenza della patologia, distinto per sesso e per stadio di avanzamento della patologia (iperuricemia e gotta)</w:t>
      </w:r>
      <w:r>
        <w:rPr>
          <w:rFonts w:cs="Arial"/>
          <w:sz w:val="20"/>
          <w:szCs w:val="20"/>
        </w:rPr>
        <w:t>, relativamente al contesto sanitario italiano.</w:t>
      </w:r>
    </w:p>
    <w:p w14:paraId="681CAD08" w14:textId="77777777" w:rsidR="00A717AE" w:rsidRDefault="00A717AE" w:rsidP="00A717AE">
      <w:pPr>
        <w:widowControl w:val="0"/>
        <w:autoSpaceDE w:val="0"/>
        <w:autoSpaceDN w:val="0"/>
        <w:adjustRightInd w:val="0"/>
        <w:spacing w:line="360" w:lineRule="auto"/>
        <w:rPr>
          <w:rFonts w:cs="Arial"/>
          <w:sz w:val="20"/>
          <w:szCs w:val="20"/>
        </w:rPr>
      </w:pPr>
      <w:r>
        <w:rPr>
          <w:rFonts w:cs="Arial"/>
          <w:sz w:val="20"/>
          <w:szCs w:val="20"/>
        </w:rPr>
        <w:t xml:space="preserve">E’ stato </w:t>
      </w:r>
      <w:r w:rsidRPr="0082571E">
        <w:rPr>
          <w:rFonts w:cs="Arial"/>
          <w:sz w:val="20"/>
          <w:szCs w:val="20"/>
        </w:rPr>
        <w:t>applica</w:t>
      </w:r>
      <w:r>
        <w:rPr>
          <w:rFonts w:cs="Arial"/>
          <w:sz w:val="20"/>
          <w:szCs w:val="20"/>
        </w:rPr>
        <w:t>to</w:t>
      </w:r>
      <w:r w:rsidRPr="0082571E">
        <w:rPr>
          <w:rFonts w:cs="Arial"/>
          <w:sz w:val="20"/>
          <w:szCs w:val="20"/>
        </w:rPr>
        <w:t xml:space="preserve"> un tasso di sconto annuo per l’inclusione del fattore temporale per costi e benefici del 3,5%. Il modello presenta una struttura markoviana che replica il decorso della patologia</w:t>
      </w:r>
      <w:r>
        <w:rPr>
          <w:rFonts w:cs="Arial"/>
          <w:sz w:val="20"/>
          <w:szCs w:val="20"/>
        </w:rPr>
        <w:t>. Il modello</w:t>
      </w:r>
      <w:r w:rsidRPr="0082571E">
        <w:rPr>
          <w:rFonts w:cs="Arial"/>
          <w:sz w:val="20"/>
          <w:szCs w:val="20"/>
        </w:rPr>
        <w:t xml:space="preserve"> include cinque stati di salute in cui il paziente affetto da gotta/iperuricemia può ricadere considerando il </w:t>
      </w:r>
      <w:r>
        <w:rPr>
          <w:rFonts w:cs="Arial"/>
          <w:sz w:val="20"/>
          <w:szCs w:val="20"/>
        </w:rPr>
        <w:t>livello di sUA</w:t>
      </w:r>
      <w:r w:rsidRPr="0082571E">
        <w:rPr>
          <w:rFonts w:cs="Arial"/>
          <w:sz w:val="20"/>
          <w:szCs w:val="20"/>
        </w:rPr>
        <w:t xml:space="preserve"> (con un v</w:t>
      </w:r>
      <w:r>
        <w:rPr>
          <w:rFonts w:cs="Arial"/>
          <w:sz w:val="20"/>
          <w:szCs w:val="20"/>
        </w:rPr>
        <w:t>alore soglia fissato a 6,5mg/dl</w:t>
      </w:r>
      <w:r w:rsidRPr="0082571E">
        <w:rPr>
          <w:rFonts w:cs="Arial"/>
          <w:sz w:val="20"/>
          <w:szCs w:val="20"/>
        </w:rPr>
        <w:t>), e distinguendo a seconda che la patologia sviluppata dal paziente sia di tipo tofaceo o meno</w:t>
      </w:r>
      <w:r>
        <w:rPr>
          <w:rFonts w:cs="Arial"/>
          <w:sz w:val="20"/>
          <w:szCs w:val="20"/>
        </w:rPr>
        <w:t xml:space="preserve"> (</w:t>
      </w:r>
      <w:hyperlink w:anchor="Figura46" w:history="1">
        <w:r w:rsidRPr="0082571E">
          <w:rPr>
            <w:rStyle w:val="Hyperlink"/>
            <w:rFonts w:cs="Arial"/>
            <w:sz w:val="20"/>
            <w:szCs w:val="20"/>
          </w:rPr>
          <w:t>Figura 4</w:t>
        </w:r>
        <w:r>
          <w:rPr>
            <w:rStyle w:val="Hyperlink"/>
            <w:rFonts w:cs="Arial"/>
            <w:sz w:val="20"/>
            <w:szCs w:val="20"/>
          </w:rPr>
          <w:t>6</w:t>
        </w:r>
      </w:hyperlink>
      <w:r>
        <w:rPr>
          <w:rFonts w:cs="Arial"/>
          <w:sz w:val="20"/>
          <w:szCs w:val="20"/>
        </w:rPr>
        <w:t>)</w:t>
      </w:r>
      <w:r w:rsidRPr="0082571E">
        <w:rPr>
          <w:rFonts w:cs="Arial"/>
          <w:sz w:val="20"/>
          <w:szCs w:val="20"/>
        </w:rPr>
        <w:t>.</w:t>
      </w:r>
    </w:p>
    <w:p w14:paraId="2F27096A" w14:textId="77777777" w:rsidR="00A717AE" w:rsidRDefault="00A717AE" w:rsidP="00A717AE">
      <w:pPr>
        <w:widowControl w:val="0"/>
        <w:autoSpaceDE w:val="0"/>
        <w:autoSpaceDN w:val="0"/>
        <w:adjustRightInd w:val="0"/>
        <w:spacing w:line="360" w:lineRule="auto"/>
        <w:rPr>
          <w:rFonts w:cs="Arial"/>
          <w:sz w:val="20"/>
          <w:szCs w:val="20"/>
        </w:rPr>
      </w:pPr>
    </w:p>
    <w:p w14:paraId="07A0E481" w14:textId="77777777" w:rsidR="00A717AE" w:rsidRPr="0082571E" w:rsidRDefault="00A717AE" w:rsidP="00A717AE">
      <w:pPr>
        <w:pStyle w:val="Caption"/>
        <w:jc w:val="left"/>
        <w:rPr>
          <w:rFonts w:asciiTheme="minorHAnsi" w:hAnsiTheme="minorHAnsi" w:cstheme="minorHAnsi"/>
          <w:lang w:val="it-IT"/>
        </w:rPr>
      </w:pPr>
      <w:bookmarkStart w:id="229" w:name="Figura46"/>
      <w:bookmarkStart w:id="230" w:name="_Toc473186941"/>
      <w:bookmarkEnd w:id="229"/>
      <w:r w:rsidRPr="0082571E">
        <w:rPr>
          <w:rFonts w:asciiTheme="minorHAnsi" w:hAnsiTheme="minorHAnsi" w:cstheme="minorHAnsi"/>
          <w:lang w:val="it-IT"/>
        </w:rPr>
        <w:t xml:space="preserve">Figura </w:t>
      </w:r>
      <w:r w:rsidRPr="0082571E">
        <w:rPr>
          <w:rFonts w:asciiTheme="minorHAnsi" w:hAnsiTheme="minorHAnsi" w:cstheme="minorHAnsi"/>
        </w:rPr>
        <w:fldChar w:fldCharType="begin"/>
      </w:r>
      <w:r w:rsidRPr="0082571E">
        <w:rPr>
          <w:rFonts w:asciiTheme="minorHAnsi" w:hAnsiTheme="minorHAnsi" w:cstheme="minorHAnsi"/>
          <w:lang w:val="it-IT"/>
        </w:rPr>
        <w:instrText xml:space="preserve"> SEQ Figura \* ARABIC </w:instrText>
      </w:r>
      <w:r w:rsidRPr="0082571E">
        <w:rPr>
          <w:rFonts w:asciiTheme="minorHAnsi" w:hAnsiTheme="minorHAnsi" w:cstheme="minorHAnsi"/>
        </w:rPr>
        <w:fldChar w:fldCharType="separate"/>
      </w:r>
      <w:r w:rsidR="00A1679C">
        <w:rPr>
          <w:rFonts w:asciiTheme="minorHAnsi" w:hAnsiTheme="minorHAnsi" w:cstheme="minorHAnsi"/>
          <w:noProof/>
          <w:lang w:val="it-IT"/>
        </w:rPr>
        <w:t>46</w:t>
      </w:r>
      <w:r w:rsidRPr="0082571E">
        <w:rPr>
          <w:rFonts w:asciiTheme="minorHAnsi" w:hAnsiTheme="minorHAnsi" w:cstheme="minorHAnsi"/>
        </w:rPr>
        <w:fldChar w:fldCharType="end"/>
      </w:r>
      <w:r w:rsidRPr="0082571E">
        <w:rPr>
          <w:rFonts w:asciiTheme="minorHAnsi" w:hAnsiTheme="minorHAnsi" w:cstheme="minorHAnsi"/>
          <w:lang w:val="it-IT"/>
        </w:rPr>
        <w:t xml:space="preserve"> – Struttura del modello elaborato da ALTEMS</w:t>
      </w:r>
      <w:bookmarkEnd w:id="230"/>
    </w:p>
    <w:p w14:paraId="426AD6CB" w14:textId="77777777" w:rsidR="00A717AE" w:rsidRDefault="00A717AE" w:rsidP="00A717AE">
      <w:pPr>
        <w:widowControl w:val="0"/>
        <w:autoSpaceDE w:val="0"/>
        <w:autoSpaceDN w:val="0"/>
        <w:adjustRightInd w:val="0"/>
        <w:spacing w:line="360" w:lineRule="auto"/>
        <w:rPr>
          <w:rFonts w:cs="Arial"/>
          <w:sz w:val="20"/>
          <w:szCs w:val="20"/>
        </w:rPr>
      </w:pPr>
      <w:r>
        <w:rPr>
          <w:noProof/>
          <w:lang w:val="en-GB" w:eastAsia="en-GB"/>
        </w:rPr>
        <w:drawing>
          <wp:inline distT="0" distB="0" distL="0" distR="0" wp14:anchorId="111398D6" wp14:editId="37DAF9B3">
            <wp:extent cx="5732145" cy="2813764"/>
            <wp:effectExtent l="0" t="0" r="1905" b="571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32145" cy="2813764"/>
                    </a:xfrm>
                    <a:prstGeom prst="rect">
                      <a:avLst/>
                    </a:prstGeom>
                  </pic:spPr>
                </pic:pic>
              </a:graphicData>
            </a:graphic>
          </wp:inline>
        </w:drawing>
      </w:r>
    </w:p>
    <w:p w14:paraId="17BF10DA" w14:textId="77777777" w:rsidR="00A717AE" w:rsidRPr="00816C7D" w:rsidRDefault="00A717AE" w:rsidP="00825BD3">
      <w:pPr>
        <w:pStyle w:val="ListParagraph"/>
        <w:numPr>
          <w:ilvl w:val="1"/>
          <w:numId w:val="41"/>
        </w:numPr>
        <w:spacing w:after="120"/>
        <w:ind w:left="567" w:hanging="567"/>
        <w:rPr>
          <w:rFonts w:asciiTheme="minorHAnsi" w:hAnsiTheme="minorHAnsi" w:cstheme="minorHAnsi"/>
          <w:b/>
          <w:bCs/>
          <w:sz w:val="20"/>
          <w:szCs w:val="20"/>
          <w:u w:val="single"/>
          <w:lang w:val="fr-FR" w:eastAsia="fr-FR" w:bidi="en-US"/>
        </w:rPr>
      </w:pPr>
      <w:r w:rsidRPr="00816C7D">
        <w:rPr>
          <w:rFonts w:asciiTheme="minorHAnsi" w:hAnsiTheme="minorHAnsi" w:cstheme="minorHAnsi"/>
          <w:b/>
          <w:bCs/>
          <w:sz w:val="20"/>
          <w:szCs w:val="20"/>
          <w:u w:val="single"/>
          <w:lang w:val="fr-FR" w:eastAsia="fr-FR" w:bidi="en-US"/>
        </w:rPr>
        <w:t xml:space="preserve">Trattamenti di confronto individuati per le analisi comparative e motivazioni della scelta dei competitors </w:t>
      </w:r>
    </w:p>
    <w:p w14:paraId="17F62C47" w14:textId="77777777" w:rsidR="00A717AE" w:rsidRDefault="00A717AE" w:rsidP="00A717AE">
      <w:pPr>
        <w:widowControl w:val="0"/>
        <w:autoSpaceDE w:val="0"/>
        <w:autoSpaceDN w:val="0"/>
        <w:adjustRightInd w:val="0"/>
        <w:spacing w:line="360" w:lineRule="auto"/>
        <w:rPr>
          <w:rFonts w:cs="Arial"/>
          <w:sz w:val="20"/>
          <w:szCs w:val="20"/>
        </w:rPr>
      </w:pPr>
      <w:r>
        <w:rPr>
          <w:rFonts w:cs="Arial"/>
          <w:sz w:val="20"/>
          <w:szCs w:val="20"/>
        </w:rPr>
        <w:t>Nell’analisi di costo-efficacia vi è una diretta comparazione tra lesinurad+allopurinolo con l’alternativa febuxostat in monoterapia, entrambi posizionati in seconda linea di trattamento al fallimento del target di sUA con allopurinolo in monoterapia.</w:t>
      </w:r>
    </w:p>
    <w:p w14:paraId="5A0D524B" w14:textId="77777777" w:rsidR="00A717AE" w:rsidRPr="00816C7D" w:rsidRDefault="00A717AE" w:rsidP="00A717AE">
      <w:pPr>
        <w:widowControl w:val="0"/>
        <w:autoSpaceDE w:val="0"/>
        <w:autoSpaceDN w:val="0"/>
        <w:adjustRightInd w:val="0"/>
        <w:spacing w:line="360" w:lineRule="auto"/>
        <w:rPr>
          <w:rFonts w:cs="Arial"/>
          <w:sz w:val="20"/>
          <w:szCs w:val="20"/>
        </w:rPr>
      </w:pPr>
    </w:p>
    <w:p w14:paraId="4C1AF16B" w14:textId="77777777" w:rsidR="00A717AE" w:rsidRPr="00816C7D" w:rsidRDefault="00A717AE" w:rsidP="00825BD3">
      <w:pPr>
        <w:pStyle w:val="ListParagraph"/>
        <w:numPr>
          <w:ilvl w:val="1"/>
          <w:numId w:val="41"/>
        </w:numPr>
        <w:spacing w:after="120"/>
        <w:ind w:left="567" w:hanging="567"/>
        <w:rPr>
          <w:rFonts w:asciiTheme="minorHAnsi" w:hAnsiTheme="minorHAnsi" w:cstheme="minorHAnsi"/>
          <w:b/>
          <w:bCs/>
          <w:sz w:val="20"/>
          <w:szCs w:val="20"/>
          <w:u w:val="single"/>
          <w:lang w:val="fr-FR" w:eastAsia="fr-FR" w:bidi="en-US"/>
        </w:rPr>
      </w:pPr>
      <w:r w:rsidRPr="00816C7D">
        <w:rPr>
          <w:rFonts w:asciiTheme="minorHAnsi" w:hAnsiTheme="minorHAnsi" w:cstheme="minorHAnsi"/>
          <w:b/>
          <w:bCs/>
          <w:sz w:val="20"/>
          <w:szCs w:val="20"/>
          <w:u w:val="single"/>
          <w:lang w:val="fr-FR" w:eastAsia="fr-FR" w:bidi="en-US"/>
        </w:rPr>
        <w:t xml:space="preserve">Fonte dei dati di efficacia e indicatori di efficacia utilizzati </w:t>
      </w:r>
    </w:p>
    <w:p w14:paraId="40AC7E79" w14:textId="77777777" w:rsidR="00A717AE" w:rsidRDefault="00A717AE" w:rsidP="00A717AE">
      <w:pPr>
        <w:widowControl w:val="0"/>
        <w:autoSpaceDE w:val="0"/>
        <w:autoSpaceDN w:val="0"/>
        <w:adjustRightInd w:val="0"/>
        <w:spacing w:line="360" w:lineRule="auto"/>
        <w:rPr>
          <w:rFonts w:cs="Arial"/>
          <w:sz w:val="20"/>
          <w:szCs w:val="20"/>
        </w:rPr>
      </w:pPr>
      <w:r>
        <w:rPr>
          <w:rFonts w:cs="Arial"/>
          <w:sz w:val="20"/>
          <w:szCs w:val="20"/>
        </w:rPr>
        <w:t>La fonte dati dell’analisi di costo-efficacia sono gli studi clinici CLEAR 1 e CLEAR 2 (per le transizioni di lesinuard+allopurinolo) e lo studio clinico CRYSTAL (per le transizioni di febuxostat in seconda linea)</w:t>
      </w:r>
    </w:p>
    <w:p w14:paraId="347CB150" w14:textId="77777777" w:rsidR="00A717AE" w:rsidRPr="00816C7D" w:rsidRDefault="00A717AE" w:rsidP="00A717AE">
      <w:pPr>
        <w:widowControl w:val="0"/>
        <w:autoSpaceDE w:val="0"/>
        <w:autoSpaceDN w:val="0"/>
        <w:adjustRightInd w:val="0"/>
        <w:spacing w:line="360" w:lineRule="auto"/>
        <w:rPr>
          <w:rFonts w:cs="Arial"/>
          <w:sz w:val="20"/>
          <w:szCs w:val="20"/>
        </w:rPr>
      </w:pPr>
    </w:p>
    <w:p w14:paraId="2EAB1D3C" w14:textId="77777777" w:rsidR="00A717AE" w:rsidRPr="00816C7D" w:rsidRDefault="00A717AE" w:rsidP="00825BD3">
      <w:pPr>
        <w:pStyle w:val="ListParagraph"/>
        <w:numPr>
          <w:ilvl w:val="1"/>
          <w:numId w:val="41"/>
        </w:numPr>
        <w:spacing w:after="120"/>
        <w:ind w:left="567" w:hanging="567"/>
        <w:rPr>
          <w:rFonts w:asciiTheme="minorHAnsi" w:hAnsiTheme="minorHAnsi" w:cstheme="minorHAnsi"/>
          <w:b/>
          <w:bCs/>
          <w:sz w:val="20"/>
          <w:szCs w:val="20"/>
          <w:u w:val="single"/>
          <w:lang w:val="fr-FR" w:eastAsia="fr-FR" w:bidi="en-US"/>
        </w:rPr>
      </w:pPr>
      <w:r w:rsidRPr="00816C7D">
        <w:rPr>
          <w:rFonts w:asciiTheme="minorHAnsi" w:hAnsiTheme="minorHAnsi" w:cstheme="minorHAnsi"/>
          <w:b/>
          <w:bCs/>
          <w:sz w:val="20"/>
          <w:szCs w:val="20"/>
          <w:u w:val="single"/>
          <w:lang w:val="fr-FR" w:eastAsia="fr-FR" w:bidi="en-US"/>
        </w:rPr>
        <w:t>Fonte dei dati di costo e metodi utilizzati per la loro stima</w:t>
      </w:r>
    </w:p>
    <w:p w14:paraId="758D5219" w14:textId="77777777" w:rsidR="00A717AE" w:rsidRDefault="00A717AE" w:rsidP="00A717AE">
      <w:pPr>
        <w:widowControl w:val="0"/>
        <w:autoSpaceDE w:val="0"/>
        <w:autoSpaceDN w:val="0"/>
        <w:adjustRightInd w:val="0"/>
        <w:spacing w:line="360" w:lineRule="auto"/>
        <w:rPr>
          <w:rFonts w:cs="Arial"/>
          <w:sz w:val="20"/>
          <w:szCs w:val="20"/>
        </w:rPr>
      </w:pPr>
      <w:r>
        <w:rPr>
          <w:rFonts w:cs="Arial"/>
          <w:sz w:val="20"/>
          <w:szCs w:val="20"/>
        </w:rPr>
        <w:t xml:space="preserve">Il </w:t>
      </w:r>
      <w:r w:rsidRPr="00851DF6">
        <w:rPr>
          <w:rFonts w:cs="Arial"/>
          <w:sz w:val="20"/>
          <w:szCs w:val="20"/>
        </w:rPr>
        <w:t>costo complessivo</w:t>
      </w:r>
      <w:r>
        <w:rPr>
          <w:rFonts w:cs="Arial"/>
          <w:sz w:val="20"/>
          <w:szCs w:val="20"/>
        </w:rPr>
        <w:t xml:space="preserve"> associato ad entrambi i trattamenti farmacologici è composto da: </w:t>
      </w:r>
      <w:r w:rsidRPr="00851DF6">
        <w:rPr>
          <w:rFonts w:cs="Arial"/>
          <w:sz w:val="20"/>
          <w:szCs w:val="20"/>
        </w:rPr>
        <w:t>prezzo del farmaco</w:t>
      </w:r>
      <w:r>
        <w:rPr>
          <w:rFonts w:cs="Arial"/>
          <w:sz w:val="20"/>
          <w:szCs w:val="20"/>
        </w:rPr>
        <w:t xml:space="preserve">, </w:t>
      </w:r>
      <w:r w:rsidRPr="00851DF6">
        <w:rPr>
          <w:rFonts w:cs="Arial"/>
          <w:sz w:val="20"/>
          <w:szCs w:val="20"/>
        </w:rPr>
        <w:t>prestazioni specialistiche ambulatoriali, gestione degli eventuali eventi avversi e di eventuali riacutizzazioni della patologia</w:t>
      </w:r>
      <w:r>
        <w:rPr>
          <w:rFonts w:cs="Arial"/>
          <w:sz w:val="20"/>
          <w:szCs w:val="20"/>
        </w:rPr>
        <w:t>.</w:t>
      </w:r>
    </w:p>
    <w:p w14:paraId="499377FA" w14:textId="77777777" w:rsidR="00A717AE" w:rsidRDefault="00A717AE" w:rsidP="00A717AE">
      <w:pPr>
        <w:widowControl w:val="0"/>
        <w:autoSpaceDE w:val="0"/>
        <w:autoSpaceDN w:val="0"/>
        <w:adjustRightInd w:val="0"/>
        <w:spacing w:line="360" w:lineRule="auto"/>
        <w:rPr>
          <w:rFonts w:cs="Arial"/>
          <w:sz w:val="20"/>
          <w:szCs w:val="20"/>
        </w:rPr>
      </w:pPr>
      <w:r>
        <w:rPr>
          <w:rFonts w:cs="Arial"/>
          <w:sz w:val="20"/>
          <w:szCs w:val="20"/>
        </w:rPr>
        <w:t xml:space="preserve">Il costo/prezzo dei farmaci è </w:t>
      </w:r>
      <w:r w:rsidRPr="00816C7D">
        <w:rPr>
          <w:rFonts w:cs="Arial"/>
          <w:sz w:val="20"/>
          <w:szCs w:val="20"/>
        </w:rPr>
        <w:t>ricavato dal Pro</w:t>
      </w:r>
      <w:r>
        <w:rPr>
          <w:rFonts w:cs="Arial"/>
          <w:sz w:val="20"/>
          <w:szCs w:val="20"/>
        </w:rPr>
        <w:t xml:space="preserve">ntuario Terapeutico Nazionale </w:t>
      </w:r>
    </w:p>
    <w:p w14:paraId="396E8511" w14:textId="77777777" w:rsidR="00A717AE" w:rsidRPr="004B0BE3" w:rsidRDefault="00A717AE" w:rsidP="00A717AE">
      <w:pPr>
        <w:widowControl w:val="0"/>
        <w:autoSpaceDE w:val="0"/>
        <w:autoSpaceDN w:val="0"/>
        <w:adjustRightInd w:val="0"/>
        <w:spacing w:line="360" w:lineRule="auto"/>
        <w:rPr>
          <w:rFonts w:cs="Arial"/>
          <w:sz w:val="20"/>
          <w:szCs w:val="20"/>
        </w:rPr>
      </w:pPr>
    </w:p>
    <w:p w14:paraId="5FF3AF72" w14:textId="77777777" w:rsidR="00A717AE" w:rsidRPr="00816C7D" w:rsidRDefault="00A717AE" w:rsidP="00825BD3">
      <w:pPr>
        <w:pStyle w:val="ListParagraph"/>
        <w:numPr>
          <w:ilvl w:val="1"/>
          <w:numId w:val="41"/>
        </w:numPr>
        <w:spacing w:after="120"/>
        <w:ind w:left="567" w:hanging="567"/>
        <w:rPr>
          <w:rFonts w:asciiTheme="minorHAnsi" w:hAnsiTheme="minorHAnsi" w:cstheme="minorHAnsi"/>
          <w:b/>
          <w:bCs/>
          <w:sz w:val="20"/>
          <w:szCs w:val="20"/>
          <w:u w:val="single"/>
          <w:lang w:val="fr-FR" w:eastAsia="fr-FR" w:bidi="en-US"/>
        </w:rPr>
      </w:pPr>
      <w:r w:rsidRPr="00816C7D">
        <w:rPr>
          <w:rFonts w:asciiTheme="minorHAnsi" w:hAnsiTheme="minorHAnsi" w:cstheme="minorHAnsi"/>
          <w:b/>
          <w:bCs/>
          <w:sz w:val="20"/>
          <w:szCs w:val="20"/>
          <w:u w:val="single"/>
          <w:lang w:val="fr-FR" w:eastAsia="fr-FR" w:bidi="en-US"/>
        </w:rPr>
        <w:t xml:space="preserve">Risultati espressi come indicatore di costo/efficacia (o di costo/utilità, costo/beneficio) </w:t>
      </w:r>
    </w:p>
    <w:p w14:paraId="229E9330" w14:textId="77777777" w:rsidR="00A717AE" w:rsidRDefault="00A717AE" w:rsidP="00A717AE">
      <w:pPr>
        <w:widowControl w:val="0"/>
        <w:autoSpaceDE w:val="0"/>
        <w:autoSpaceDN w:val="0"/>
        <w:adjustRightInd w:val="0"/>
        <w:spacing w:line="360" w:lineRule="auto"/>
        <w:rPr>
          <w:rFonts w:cs="Arial"/>
          <w:sz w:val="20"/>
          <w:szCs w:val="20"/>
        </w:rPr>
      </w:pPr>
      <w:r>
        <w:rPr>
          <w:rFonts w:cs="Arial"/>
          <w:sz w:val="20"/>
          <w:szCs w:val="20"/>
          <w:lang w:val="fr-FR"/>
        </w:rPr>
        <w:t>F</w:t>
      </w:r>
      <w:r w:rsidRPr="00851DF6">
        <w:rPr>
          <w:rFonts w:cs="Arial"/>
          <w:sz w:val="20"/>
          <w:szCs w:val="20"/>
        </w:rPr>
        <w:t>ebuxostat risulta associato ad un costo complessivo (prezzo del farmaco</w:t>
      </w:r>
      <w:r>
        <w:rPr>
          <w:rFonts w:cs="Arial"/>
          <w:sz w:val="20"/>
          <w:szCs w:val="20"/>
        </w:rPr>
        <w:t xml:space="preserve">, </w:t>
      </w:r>
      <w:r w:rsidRPr="00851DF6">
        <w:rPr>
          <w:rFonts w:cs="Arial"/>
          <w:sz w:val="20"/>
          <w:szCs w:val="20"/>
        </w:rPr>
        <w:t xml:space="preserve">prestazioni specialistiche ambulatoriali, gestione degli eventuali eventi avversi e di eventuali riacutizzazioni della patologia) sull’orizzonte temporale considerato (life-time) di €10.645,87/paziente, per un totale di 7,61 QALY guadagnati. La combinazione </w:t>
      </w:r>
      <w:r>
        <w:rPr>
          <w:rFonts w:cs="Arial"/>
          <w:sz w:val="20"/>
          <w:szCs w:val="20"/>
        </w:rPr>
        <w:t>lesinurad + allopurinolo</w:t>
      </w:r>
      <w:r w:rsidRPr="00851DF6">
        <w:rPr>
          <w:rFonts w:cs="Arial"/>
          <w:sz w:val="20"/>
          <w:szCs w:val="20"/>
        </w:rPr>
        <w:t xml:space="preserve"> risulta invece associata ad un costo più elevato (€1</w:t>
      </w:r>
      <w:r>
        <w:rPr>
          <w:rFonts w:cs="Arial"/>
          <w:sz w:val="20"/>
          <w:szCs w:val="20"/>
        </w:rPr>
        <w:t>0.885,87</w:t>
      </w:r>
      <w:r w:rsidRPr="00851DF6">
        <w:rPr>
          <w:rFonts w:cs="Arial"/>
          <w:sz w:val="20"/>
          <w:szCs w:val="20"/>
        </w:rPr>
        <w:t xml:space="preserve">) sull’orizzonte temporale considerato (life-time) per un guadagno in termini di QALY pari a 7,77. La combinazione </w:t>
      </w:r>
      <w:r>
        <w:rPr>
          <w:rFonts w:cs="Arial"/>
          <w:sz w:val="20"/>
          <w:szCs w:val="20"/>
        </w:rPr>
        <w:t>lesinurad + a</w:t>
      </w:r>
      <w:r w:rsidRPr="00851DF6">
        <w:rPr>
          <w:rFonts w:cs="Arial"/>
          <w:sz w:val="20"/>
          <w:szCs w:val="20"/>
        </w:rPr>
        <w:t>llopurinolo risulta dunque associata ad un livello più alto in termini di efficacia con un differenziale pari a 0,16 QALY; il differenziale stimato in termini di assorbimento delle risorse da parte dei due farmaci è pari €</w:t>
      </w:r>
      <w:r>
        <w:rPr>
          <w:rFonts w:cs="Arial"/>
          <w:sz w:val="20"/>
          <w:szCs w:val="20"/>
        </w:rPr>
        <w:t>240,04</w:t>
      </w:r>
      <w:r w:rsidRPr="00851DF6">
        <w:rPr>
          <w:rFonts w:cs="Arial"/>
          <w:sz w:val="20"/>
          <w:szCs w:val="20"/>
        </w:rPr>
        <w:t xml:space="preserve">. Tale più alto costo del trattamento basato su </w:t>
      </w:r>
      <w:r>
        <w:rPr>
          <w:rFonts w:cs="Arial"/>
          <w:sz w:val="20"/>
          <w:szCs w:val="20"/>
        </w:rPr>
        <w:t>lesinurad + a</w:t>
      </w:r>
      <w:r w:rsidRPr="00851DF6">
        <w:rPr>
          <w:rFonts w:cs="Arial"/>
          <w:sz w:val="20"/>
          <w:szCs w:val="20"/>
        </w:rPr>
        <w:t>llopurinolo, pesato per il suo più elevato livello di efficacia, determina un ICER (incremental cost-effectiveness ratio – dato dal rapporto tra la differenza del costo e la differenza di QALY tra i due trattamenti) pari a €</w:t>
      </w:r>
      <w:r>
        <w:rPr>
          <w:rFonts w:cs="Arial"/>
          <w:sz w:val="20"/>
          <w:szCs w:val="20"/>
        </w:rPr>
        <w:t>1</w:t>
      </w:r>
      <w:r w:rsidRPr="00851DF6">
        <w:rPr>
          <w:rFonts w:cs="Arial"/>
          <w:sz w:val="20"/>
          <w:szCs w:val="20"/>
        </w:rPr>
        <w:t>.</w:t>
      </w:r>
      <w:r>
        <w:rPr>
          <w:rFonts w:cs="Arial"/>
          <w:sz w:val="20"/>
          <w:szCs w:val="20"/>
        </w:rPr>
        <w:t>513,25</w:t>
      </w:r>
      <w:r w:rsidRPr="00851DF6">
        <w:rPr>
          <w:rFonts w:cs="Arial"/>
          <w:sz w:val="20"/>
          <w:szCs w:val="20"/>
        </w:rPr>
        <w:t xml:space="preserve">: per una soglia di accettabilità fissata a €30.000/QALY, la combinazione </w:t>
      </w:r>
      <w:r>
        <w:rPr>
          <w:rFonts w:cs="Arial"/>
          <w:sz w:val="20"/>
          <w:szCs w:val="20"/>
        </w:rPr>
        <w:t>lesinurad + allopurinolo</w:t>
      </w:r>
      <w:r w:rsidRPr="00851DF6">
        <w:rPr>
          <w:rFonts w:cs="Arial"/>
          <w:sz w:val="20"/>
          <w:szCs w:val="20"/>
        </w:rPr>
        <w:t xml:space="preserve"> oggetto di analisi risulta essere costo-efficace nel confronto con la terapia farmacologica basata su </w:t>
      </w:r>
      <w:r>
        <w:rPr>
          <w:rFonts w:cs="Arial"/>
          <w:sz w:val="20"/>
          <w:szCs w:val="20"/>
        </w:rPr>
        <w:t>f</w:t>
      </w:r>
      <w:r w:rsidRPr="00851DF6">
        <w:rPr>
          <w:rFonts w:cs="Arial"/>
          <w:sz w:val="20"/>
          <w:szCs w:val="20"/>
        </w:rPr>
        <w:t>ebuxostat</w:t>
      </w:r>
      <w:r>
        <w:rPr>
          <w:rFonts w:cs="Arial"/>
          <w:sz w:val="20"/>
          <w:szCs w:val="20"/>
        </w:rPr>
        <w:t xml:space="preserve"> in monoterapia (</w:t>
      </w:r>
      <w:hyperlink w:anchor="Tabella29" w:history="1">
        <w:r w:rsidRPr="00AF63C0">
          <w:rPr>
            <w:rStyle w:val="Hyperlink"/>
            <w:rFonts w:cs="Arial"/>
            <w:sz w:val="20"/>
            <w:szCs w:val="20"/>
          </w:rPr>
          <w:t>Tabella 2</w:t>
        </w:r>
        <w:r>
          <w:rPr>
            <w:rStyle w:val="Hyperlink"/>
            <w:rFonts w:cs="Arial"/>
            <w:sz w:val="20"/>
            <w:szCs w:val="20"/>
          </w:rPr>
          <w:t>9</w:t>
        </w:r>
      </w:hyperlink>
      <w:r>
        <w:rPr>
          <w:rFonts w:cs="Arial"/>
          <w:sz w:val="20"/>
          <w:szCs w:val="20"/>
        </w:rPr>
        <w:t>)</w:t>
      </w:r>
      <w:r w:rsidRPr="00851DF6">
        <w:rPr>
          <w:rFonts w:cs="Arial"/>
          <w:sz w:val="20"/>
          <w:szCs w:val="20"/>
        </w:rPr>
        <w:t>.</w:t>
      </w:r>
    </w:p>
    <w:p w14:paraId="38816C0F" w14:textId="77777777" w:rsidR="00A717AE" w:rsidRDefault="00A717AE" w:rsidP="00A717AE">
      <w:pPr>
        <w:pStyle w:val="Caption"/>
        <w:jc w:val="left"/>
        <w:rPr>
          <w:rFonts w:asciiTheme="minorHAnsi" w:hAnsiTheme="minorHAnsi" w:cstheme="minorHAnsi"/>
          <w:lang w:val="it-IT"/>
        </w:rPr>
      </w:pPr>
    </w:p>
    <w:p w14:paraId="581B4A33" w14:textId="77777777" w:rsidR="00A717AE" w:rsidRPr="00102564" w:rsidRDefault="00A717AE" w:rsidP="00A717AE">
      <w:pPr>
        <w:pStyle w:val="Caption"/>
        <w:jc w:val="left"/>
        <w:rPr>
          <w:rFonts w:asciiTheme="minorHAnsi" w:hAnsiTheme="minorHAnsi" w:cstheme="minorHAnsi"/>
          <w:lang w:val="it-IT"/>
        </w:rPr>
      </w:pPr>
      <w:bookmarkStart w:id="231" w:name="Tabella29"/>
      <w:bookmarkStart w:id="232" w:name="_Toc473150714"/>
      <w:bookmarkEnd w:id="231"/>
      <w:r w:rsidRPr="00AF63C0">
        <w:rPr>
          <w:rFonts w:asciiTheme="minorHAnsi" w:hAnsiTheme="minorHAnsi" w:cstheme="minorHAnsi"/>
          <w:lang w:val="it-IT"/>
        </w:rPr>
        <w:t xml:space="preserve">Tabella </w:t>
      </w:r>
      <w:r w:rsidRPr="00AF63C0">
        <w:rPr>
          <w:rFonts w:asciiTheme="minorHAnsi" w:hAnsiTheme="minorHAnsi" w:cstheme="minorHAnsi"/>
        </w:rPr>
        <w:fldChar w:fldCharType="begin"/>
      </w:r>
      <w:r w:rsidRPr="00AF63C0">
        <w:rPr>
          <w:rFonts w:asciiTheme="minorHAnsi" w:hAnsiTheme="minorHAnsi" w:cstheme="minorHAnsi"/>
          <w:lang w:val="it-IT"/>
        </w:rPr>
        <w:instrText xml:space="preserve"> SEQ Tabella \* ARABIC </w:instrText>
      </w:r>
      <w:r w:rsidRPr="00AF63C0">
        <w:rPr>
          <w:rFonts w:asciiTheme="minorHAnsi" w:hAnsiTheme="minorHAnsi" w:cstheme="minorHAnsi"/>
        </w:rPr>
        <w:fldChar w:fldCharType="separate"/>
      </w:r>
      <w:r w:rsidR="00A1679C">
        <w:rPr>
          <w:rFonts w:asciiTheme="minorHAnsi" w:hAnsiTheme="minorHAnsi" w:cstheme="minorHAnsi"/>
          <w:noProof/>
          <w:lang w:val="it-IT"/>
        </w:rPr>
        <w:t>29</w:t>
      </w:r>
      <w:r w:rsidRPr="00AF63C0">
        <w:rPr>
          <w:rFonts w:asciiTheme="minorHAnsi" w:hAnsiTheme="minorHAnsi" w:cstheme="minorHAnsi"/>
        </w:rPr>
        <w:fldChar w:fldCharType="end"/>
      </w:r>
      <w:r w:rsidRPr="00AF63C0">
        <w:rPr>
          <w:rFonts w:asciiTheme="minorHAnsi" w:hAnsiTheme="minorHAnsi" w:cstheme="minorHAnsi"/>
          <w:lang w:val="it-IT"/>
        </w:rPr>
        <w:t xml:space="preserve"> – Risultati studio Costo/Efficacia</w:t>
      </w:r>
      <w:bookmarkEnd w:id="232"/>
    </w:p>
    <w:tbl>
      <w:tblPr>
        <w:tblW w:w="5000" w:type="pct"/>
        <w:tblCellMar>
          <w:left w:w="0" w:type="dxa"/>
          <w:right w:w="0" w:type="dxa"/>
        </w:tblCellMar>
        <w:tblLook w:val="0420" w:firstRow="1" w:lastRow="0" w:firstColumn="0" w:lastColumn="0" w:noHBand="0" w:noVBand="1"/>
      </w:tblPr>
      <w:tblGrid>
        <w:gridCol w:w="2973"/>
        <w:gridCol w:w="1271"/>
        <w:gridCol w:w="1181"/>
        <w:gridCol w:w="1107"/>
        <w:gridCol w:w="1181"/>
        <w:gridCol w:w="1314"/>
      </w:tblGrid>
      <w:tr w:rsidR="00A717AE" w:rsidRPr="006B0857" w14:paraId="1D7009DC" w14:textId="77777777" w:rsidTr="003F359A">
        <w:trPr>
          <w:trHeight w:hRule="exact" w:val="283"/>
        </w:trPr>
        <w:tc>
          <w:tcPr>
            <w:tcW w:w="1647" w:type="pct"/>
            <w:tcBorders>
              <w:top w:val="single" w:sz="8" w:space="0" w:color="F79646"/>
              <w:left w:val="nil"/>
              <w:bottom w:val="single" w:sz="8" w:space="0" w:color="F79646"/>
              <w:right w:val="nil"/>
            </w:tcBorders>
            <w:shd w:val="clear" w:color="auto" w:fill="auto"/>
            <w:tcMar>
              <w:top w:w="11" w:type="dxa"/>
              <w:left w:w="11" w:type="dxa"/>
              <w:bottom w:w="0" w:type="dxa"/>
              <w:right w:w="11" w:type="dxa"/>
            </w:tcMar>
            <w:vAlign w:val="center"/>
            <w:hideMark/>
          </w:tcPr>
          <w:p w14:paraId="29FA5CB2" w14:textId="77777777" w:rsidR="00A717AE" w:rsidRPr="006B0857" w:rsidRDefault="00A717AE" w:rsidP="003F359A">
            <w:pPr>
              <w:rPr>
                <w:sz w:val="18"/>
              </w:rPr>
            </w:pPr>
            <w:r w:rsidRPr="00393FB9">
              <w:rPr>
                <w:b/>
                <w:bCs/>
                <w:sz w:val="18"/>
              </w:rPr>
              <w:t>TRATTAMENTO</w:t>
            </w:r>
          </w:p>
        </w:tc>
        <w:tc>
          <w:tcPr>
            <w:tcW w:w="704" w:type="pct"/>
            <w:tcBorders>
              <w:top w:val="single" w:sz="8" w:space="0" w:color="F79646"/>
              <w:left w:val="nil"/>
              <w:bottom w:val="single" w:sz="8" w:space="0" w:color="F79646"/>
              <w:right w:val="nil"/>
            </w:tcBorders>
            <w:shd w:val="clear" w:color="auto" w:fill="auto"/>
            <w:tcMar>
              <w:top w:w="11" w:type="dxa"/>
              <w:left w:w="11" w:type="dxa"/>
              <w:bottom w:w="0" w:type="dxa"/>
              <w:right w:w="11" w:type="dxa"/>
            </w:tcMar>
            <w:vAlign w:val="center"/>
            <w:hideMark/>
          </w:tcPr>
          <w:p w14:paraId="04C2EE29" w14:textId="77777777" w:rsidR="00A717AE" w:rsidRPr="006B0857" w:rsidRDefault="00A717AE" w:rsidP="003F359A">
            <w:pPr>
              <w:rPr>
                <w:sz w:val="18"/>
              </w:rPr>
            </w:pPr>
            <w:r w:rsidRPr="006B0857">
              <w:rPr>
                <w:b/>
                <w:bCs/>
                <w:sz w:val="18"/>
              </w:rPr>
              <w:t>COSTI</w:t>
            </w:r>
          </w:p>
        </w:tc>
        <w:tc>
          <w:tcPr>
            <w:tcW w:w="654" w:type="pct"/>
            <w:tcBorders>
              <w:top w:val="single" w:sz="8" w:space="0" w:color="F79646"/>
              <w:left w:val="nil"/>
              <w:bottom w:val="single" w:sz="8" w:space="0" w:color="F79646"/>
              <w:right w:val="nil"/>
            </w:tcBorders>
            <w:shd w:val="clear" w:color="auto" w:fill="auto"/>
            <w:tcMar>
              <w:top w:w="11" w:type="dxa"/>
              <w:left w:w="11" w:type="dxa"/>
              <w:bottom w:w="0" w:type="dxa"/>
              <w:right w:w="11" w:type="dxa"/>
            </w:tcMar>
            <w:vAlign w:val="center"/>
            <w:hideMark/>
          </w:tcPr>
          <w:p w14:paraId="45375809" w14:textId="77777777" w:rsidR="00A717AE" w:rsidRPr="006B0857" w:rsidRDefault="00A717AE" w:rsidP="003F359A">
            <w:pPr>
              <w:rPr>
                <w:sz w:val="18"/>
              </w:rPr>
            </w:pPr>
            <w:r w:rsidRPr="006B0857">
              <w:rPr>
                <w:b/>
                <w:bCs/>
                <w:sz w:val="18"/>
              </w:rPr>
              <w:t>QALYs</w:t>
            </w:r>
          </w:p>
        </w:tc>
        <w:tc>
          <w:tcPr>
            <w:tcW w:w="613" w:type="pct"/>
            <w:tcBorders>
              <w:top w:val="single" w:sz="8" w:space="0" w:color="F79646"/>
              <w:left w:val="nil"/>
              <w:bottom w:val="single" w:sz="8" w:space="0" w:color="F79646"/>
              <w:right w:val="nil"/>
            </w:tcBorders>
            <w:shd w:val="clear" w:color="auto" w:fill="auto"/>
            <w:tcMar>
              <w:top w:w="11" w:type="dxa"/>
              <w:left w:w="11" w:type="dxa"/>
              <w:bottom w:w="0" w:type="dxa"/>
              <w:right w:w="11" w:type="dxa"/>
            </w:tcMar>
            <w:vAlign w:val="center"/>
            <w:hideMark/>
          </w:tcPr>
          <w:p w14:paraId="7739337F" w14:textId="77777777" w:rsidR="00A717AE" w:rsidRPr="006B0857" w:rsidRDefault="00A717AE" w:rsidP="003F359A">
            <w:pPr>
              <w:rPr>
                <w:sz w:val="18"/>
              </w:rPr>
            </w:pPr>
            <w:r w:rsidRPr="006B0857">
              <w:rPr>
                <w:sz w:val="18"/>
                <w:lang w:val="el-GR"/>
              </w:rPr>
              <w:t>Δ</w:t>
            </w:r>
            <w:r w:rsidRPr="006B0857">
              <w:rPr>
                <w:sz w:val="18"/>
              </w:rPr>
              <w:t xml:space="preserve"> </w:t>
            </w:r>
            <w:r w:rsidRPr="006B0857">
              <w:rPr>
                <w:b/>
                <w:bCs/>
                <w:sz w:val="18"/>
              </w:rPr>
              <w:t>COSTI</w:t>
            </w:r>
          </w:p>
        </w:tc>
        <w:tc>
          <w:tcPr>
            <w:tcW w:w="654" w:type="pct"/>
            <w:tcBorders>
              <w:top w:val="single" w:sz="8" w:space="0" w:color="F79646"/>
              <w:left w:val="nil"/>
              <w:bottom w:val="single" w:sz="8" w:space="0" w:color="F79646"/>
              <w:right w:val="nil"/>
            </w:tcBorders>
            <w:shd w:val="clear" w:color="auto" w:fill="auto"/>
            <w:tcMar>
              <w:top w:w="11" w:type="dxa"/>
              <w:left w:w="11" w:type="dxa"/>
              <w:bottom w:w="0" w:type="dxa"/>
              <w:right w:w="11" w:type="dxa"/>
            </w:tcMar>
            <w:vAlign w:val="center"/>
            <w:hideMark/>
          </w:tcPr>
          <w:p w14:paraId="6879945B" w14:textId="77777777" w:rsidR="00A717AE" w:rsidRPr="006B0857" w:rsidRDefault="00A717AE" w:rsidP="003F359A">
            <w:pPr>
              <w:rPr>
                <w:sz w:val="18"/>
              </w:rPr>
            </w:pPr>
            <w:r w:rsidRPr="006B0857">
              <w:rPr>
                <w:sz w:val="18"/>
                <w:lang w:val="el-GR"/>
              </w:rPr>
              <w:t>Δ</w:t>
            </w:r>
            <w:r w:rsidRPr="006B0857">
              <w:rPr>
                <w:sz w:val="18"/>
              </w:rPr>
              <w:t xml:space="preserve"> </w:t>
            </w:r>
            <w:r w:rsidRPr="006B0857">
              <w:rPr>
                <w:b/>
                <w:bCs/>
                <w:sz w:val="18"/>
              </w:rPr>
              <w:t>QALY</w:t>
            </w:r>
          </w:p>
        </w:tc>
        <w:tc>
          <w:tcPr>
            <w:tcW w:w="728" w:type="pct"/>
            <w:tcBorders>
              <w:top w:val="single" w:sz="8" w:space="0" w:color="F79646"/>
              <w:left w:val="nil"/>
              <w:bottom w:val="single" w:sz="8" w:space="0" w:color="F79646"/>
              <w:right w:val="nil"/>
            </w:tcBorders>
            <w:shd w:val="clear" w:color="auto" w:fill="auto"/>
            <w:tcMar>
              <w:top w:w="11" w:type="dxa"/>
              <w:left w:w="11" w:type="dxa"/>
              <w:bottom w:w="0" w:type="dxa"/>
              <w:right w:w="11" w:type="dxa"/>
            </w:tcMar>
            <w:vAlign w:val="center"/>
            <w:hideMark/>
          </w:tcPr>
          <w:p w14:paraId="1B3D659D" w14:textId="77777777" w:rsidR="00A717AE" w:rsidRPr="006B0857" w:rsidRDefault="00A717AE" w:rsidP="003F359A">
            <w:pPr>
              <w:rPr>
                <w:sz w:val="18"/>
              </w:rPr>
            </w:pPr>
            <w:r w:rsidRPr="006B0857">
              <w:rPr>
                <w:b/>
                <w:bCs/>
                <w:sz w:val="18"/>
              </w:rPr>
              <w:t>ICER</w:t>
            </w:r>
          </w:p>
        </w:tc>
      </w:tr>
      <w:tr w:rsidR="00A717AE" w:rsidRPr="006B0857" w14:paraId="4A187E02" w14:textId="77777777" w:rsidTr="003F359A">
        <w:trPr>
          <w:trHeight w:hRule="exact" w:val="283"/>
        </w:trPr>
        <w:tc>
          <w:tcPr>
            <w:tcW w:w="1647" w:type="pct"/>
            <w:tcBorders>
              <w:top w:val="single" w:sz="8" w:space="0" w:color="F79646"/>
              <w:left w:val="nil"/>
              <w:right w:val="nil"/>
            </w:tcBorders>
            <w:shd w:val="clear" w:color="auto" w:fill="F2DBDB" w:themeFill="accent2" w:themeFillTint="33"/>
            <w:tcMar>
              <w:top w:w="11" w:type="dxa"/>
              <w:left w:w="113" w:type="dxa"/>
              <w:bottom w:w="0" w:type="dxa"/>
              <w:right w:w="11" w:type="dxa"/>
            </w:tcMar>
            <w:vAlign w:val="center"/>
            <w:hideMark/>
          </w:tcPr>
          <w:p w14:paraId="6E36FDE2" w14:textId="77777777" w:rsidR="00A717AE" w:rsidRPr="006B0857" w:rsidRDefault="00A717AE" w:rsidP="003F359A">
            <w:pPr>
              <w:rPr>
                <w:sz w:val="18"/>
              </w:rPr>
            </w:pPr>
            <w:r w:rsidRPr="006B0857">
              <w:rPr>
                <w:b/>
                <w:bCs/>
                <w:sz w:val="18"/>
              </w:rPr>
              <w:t>Febuxostat</w:t>
            </w:r>
          </w:p>
        </w:tc>
        <w:tc>
          <w:tcPr>
            <w:tcW w:w="704" w:type="pct"/>
            <w:tcBorders>
              <w:top w:val="single" w:sz="8" w:space="0" w:color="F79646"/>
              <w:left w:val="nil"/>
              <w:right w:val="nil"/>
            </w:tcBorders>
            <w:shd w:val="clear" w:color="auto" w:fill="F2DBDB" w:themeFill="accent2" w:themeFillTint="33"/>
            <w:tcMar>
              <w:top w:w="11" w:type="dxa"/>
              <w:left w:w="11" w:type="dxa"/>
              <w:bottom w:w="0" w:type="dxa"/>
              <w:right w:w="11" w:type="dxa"/>
            </w:tcMar>
            <w:vAlign w:val="center"/>
            <w:hideMark/>
          </w:tcPr>
          <w:p w14:paraId="4EB6B373" w14:textId="77777777" w:rsidR="00A717AE" w:rsidRPr="006B0857" w:rsidRDefault="00A717AE" w:rsidP="003F359A">
            <w:pPr>
              <w:rPr>
                <w:sz w:val="18"/>
              </w:rPr>
            </w:pPr>
            <w:r>
              <w:rPr>
                <w:sz w:val="18"/>
              </w:rPr>
              <w:t>€ 10.645,87</w:t>
            </w:r>
          </w:p>
        </w:tc>
        <w:tc>
          <w:tcPr>
            <w:tcW w:w="654" w:type="pct"/>
            <w:tcBorders>
              <w:top w:val="single" w:sz="8" w:space="0" w:color="F79646"/>
              <w:left w:val="nil"/>
              <w:right w:val="nil"/>
            </w:tcBorders>
            <w:shd w:val="clear" w:color="auto" w:fill="F2DBDB" w:themeFill="accent2" w:themeFillTint="33"/>
            <w:tcMar>
              <w:top w:w="11" w:type="dxa"/>
              <w:left w:w="11" w:type="dxa"/>
              <w:bottom w:w="0" w:type="dxa"/>
              <w:right w:w="11" w:type="dxa"/>
            </w:tcMar>
            <w:vAlign w:val="center"/>
            <w:hideMark/>
          </w:tcPr>
          <w:p w14:paraId="520F0F47" w14:textId="77777777" w:rsidR="00A717AE" w:rsidRPr="006B0857" w:rsidRDefault="00A717AE" w:rsidP="003F359A">
            <w:pPr>
              <w:rPr>
                <w:sz w:val="18"/>
              </w:rPr>
            </w:pPr>
            <w:r w:rsidRPr="006B0857">
              <w:rPr>
                <w:sz w:val="18"/>
              </w:rPr>
              <w:t>7,</w:t>
            </w:r>
            <w:r>
              <w:rPr>
                <w:sz w:val="18"/>
              </w:rPr>
              <w:t>61</w:t>
            </w:r>
          </w:p>
        </w:tc>
        <w:tc>
          <w:tcPr>
            <w:tcW w:w="613" w:type="pct"/>
            <w:tcBorders>
              <w:top w:val="single" w:sz="8" w:space="0" w:color="F79646"/>
              <w:left w:val="nil"/>
              <w:right w:val="nil"/>
            </w:tcBorders>
            <w:shd w:val="clear" w:color="auto" w:fill="F2DBDB" w:themeFill="accent2" w:themeFillTint="33"/>
            <w:tcMar>
              <w:top w:w="11" w:type="dxa"/>
              <w:left w:w="11" w:type="dxa"/>
              <w:bottom w:w="0" w:type="dxa"/>
              <w:right w:w="11" w:type="dxa"/>
            </w:tcMar>
            <w:vAlign w:val="center"/>
            <w:hideMark/>
          </w:tcPr>
          <w:p w14:paraId="26CA0218" w14:textId="77777777" w:rsidR="00A717AE" w:rsidRPr="006B0857" w:rsidRDefault="00A717AE" w:rsidP="003F359A">
            <w:pPr>
              <w:rPr>
                <w:sz w:val="18"/>
              </w:rPr>
            </w:pPr>
            <w:r w:rsidRPr="006B0857">
              <w:rPr>
                <w:sz w:val="18"/>
              </w:rPr>
              <w:t>-</w:t>
            </w:r>
          </w:p>
        </w:tc>
        <w:tc>
          <w:tcPr>
            <w:tcW w:w="654" w:type="pct"/>
            <w:tcBorders>
              <w:top w:val="single" w:sz="8" w:space="0" w:color="F79646"/>
              <w:left w:val="nil"/>
              <w:right w:val="nil"/>
            </w:tcBorders>
            <w:shd w:val="clear" w:color="auto" w:fill="F2DBDB" w:themeFill="accent2" w:themeFillTint="33"/>
            <w:tcMar>
              <w:top w:w="11" w:type="dxa"/>
              <w:left w:w="11" w:type="dxa"/>
              <w:bottom w:w="0" w:type="dxa"/>
              <w:right w:w="11" w:type="dxa"/>
            </w:tcMar>
            <w:vAlign w:val="center"/>
            <w:hideMark/>
          </w:tcPr>
          <w:p w14:paraId="2EBF0A64" w14:textId="77777777" w:rsidR="00A717AE" w:rsidRPr="006B0857" w:rsidRDefault="00A717AE" w:rsidP="003F359A">
            <w:pPr>
              <w:rPr>
                <w:sz w:val="18"/>
              </w:rPr>
            </w:pPr>
            <w:r w:rsidRPr="006B0857">
              <w:rPr>
                <w:sz w:val="18"/>
              </w:rPr>
              <w:t>-</w:t>
            </w:r>
          </w:p>
        </w:tc>
        <w:tc>
          <w:tcPr>
            <w:tcW w:w="728" w:type="pct"/>
            <w:tcBorders>
              <w:top w:val="single" w:sz="8" w:space="0" w:color="F79646"/>
              <w:left w:val="nil"/>
              <w:right w:val="nil"/>
            </w:tcBorders>
            <w:shd w:val="clear" w:color="auto" w:fill="F2DBDB" w:themeFill="accent2" w:themeFillTint="33"/>
            <w:tcMar>
              <w:top w:w="11" w:type="dxa"/>
              <w:left w:w="11" w:type="dxa"/>
              <w:bottom w:w="0" w:type="dxa"/>
              <w:right w:w="11" w:type="dxa"/>
            </w:tcMar>
            <w:vAlign w:val="center"/>
            <w:hideMark/>
          </w:tcPr>
          <w:p w14:paraId="71FE7697" w14:textId="77777777" w:rsidR="00A717AE" w:rsidRPr="006B0857" w:rsidRDefault="00A717AE" w:rsidP="003F359A">
            <w:pPr>
              <w:rPr>
                <w:sz w:val="18"/>
              </w:rPr>
            </w:pPr>
            <w:r w:rsidRPr="006B0857">
              <w:rPr>
                <w:sz w:val="18"/>
              </w:rPr>
              <w:t>-</w:t>
            </w:r>
          </w:p>
        </w:tc>
      </w:tr>
      <w:tr w:rsidR="00A717AE" w:rsidRPr="006B0857" w14:paraId="4BE465BD" w14:textId="77777777" w:rsidTr="003F359A">
        <w:trPr>
          <w:trHeight w:hRule="exact" w:val="283"/>
        </w:trPr>
        <w:tc>
          <w:tcPr>
            <w:tcW w:w="1647" w:type="pct"/>
            <w:tcBorders>
              <w:top w:val="nil"/>
              <w:left w:val="nil"/>
              <w:bottom w:val="single" w:sz="8" w:space="0" w:color="F79646"/>
              <w:right w:val="nil"/>
            </w:tcBorders>
            <w:shd w:val="clear" w:color="auto" w:fill="auto"/>
            <w:tcMar>
              <w:top w:w="11" w:type="dxa"/>
              <w:left w:w="113" w:type="dxa"/>
              <w:bottom w:w="0" w:type="dxa"/>
              <w:right w:w="11" w:type="dxa"/>
            </w:tcMar>
            <w:vAlign w:val="center"/>
          </w:tcPr>
          <w:p w14:paraId="28A6F602" w14:textId="77777777" w:rsidR="00A717AE" w:rsidRPr="00E36EFF" w:rsidRDefault="00A717AE" w:rsidP="003F359A">
            <w:pPr>
              <w:rPr>
                <w:b/>
                <w:bCs/>
                <w:sz w:val="18"/>
              </w:rPr>
            </w:pPr>
            <w:bookmarkStart w:id="233" w:name="OLE_LINK1"/>
            <w:r w:rsidRPr="00E36EFF">
              <w:rPr>
                <w:b/>
                <w:bCs/>
                <w:sz w:val="18"/>
              </w:rPr>
              <w:t>Lesinurad(€0,85/cmp)/Allopurinolo</w:t>
            </w:r>
          </w:p>
        </w:tc>
        <w:tc>
          <w:tcPr>
            <w:tcW w:w="704" w:type="pct"/>
            <w:tcBorders>
              <w:top w:val="nil"/>
              <w:left w:val="nil"/>
              <w:bottom w:val="single" w:sz="8" w:space="0" w:color="F79646"/>
              <w:right w:val="nil"/>
            </w:tcBorders>
            <w:shd w:val="clear" w:color="auto" w:fill="auto"/>
            <w:tcMar>
              <w:top w:w="11" w:type="dxa"/>
              <w:left w:w="11" w:type="dxa"/>
              <w:bottom w:w="0" w:type="dxa"/>
              <w:right w:w="11" w:type="dxa"/>
            </w:tcMar>
            <w:vAlign w:val="center"/>
          </w:tcPr>
          <w:p w14:paraId="2838780E" w14:textId="77777777" w:rsidR="00A717AE" w:rsidRPr="00E36EFF" w:rsidRDefault="00A717AE" w:rsidP="003F359A">
            <w:pPr>
              <w:rPr>
                <w:sz w:val="18"/>
              </w:rPr>
            </w:pPr>
            <w:r>
              <w:rPr>
                <w:sz w:val="18"/>
              </w:rPr>
              <w:t>€ 10</w:t>
            </w:r>
            <w:r w:rsidRPr="00E36EFF">
              <w:rPr>
                <w:sz w:val="18"/>
              </w:rPr>
              <w:t>.</w:t>
            </w:r>
            <w:r>
              <w:rPr>
                <w:sz w:val="18"/>
              </w:rPr>
              <w:t>885,87</w:t>
            </w:r>
          </w:p>
        </w:tc>
        <w:tc>
          <w:tcPr>
            <w:tcW w:w="654" w:type="pct"/>
            <w:tcBorders>
              <w:top w:val="nil"/>
              <w:left w:val="nil"/>
              <w:bottom w:val="single" w:sz="8" w:space="0" w:color="F79646"/>
              <w:right w:val="nil"/>
            </w:tcBorders>
            <w:shd w:val="clear" w:color="auto" w:fill="auto"/>
            <w:tcMar>
              <w:top w:w="11" w:type="dxa"/>
              <w:left w:w="11" w:type="dxa"/>
              <w:bottom w:w="0" w:type="dxa"/>
              <w:right w:w="11" w:type="dxa"/>
            </w:tcMar>
            <w:vAlign w:val="center"/>
          </w:tcPr>
          <w:p w14:paraId="196275F3" w14:textId="77777777" w:rsidR="00A717AE" w:rsidRPr="00E36EFF" w:rsidRDefault="00A717AE" w:rsidP="003F359A">
            <w:pPr>
              <w:rPr>
                <w:sz w:val="18"/>
              </w:rPr>
            </w:pPr>
            <w:r w:rsidRPr="00E36EFF">
              <w:rPr>
                <w:sz w:val="18"/>
              </w:rPr>
              <w:t>7,77</w:t>
            </w:r>
          </w:p>
        </w:tc>
        <w:tc>
          <w:tcPr>
            <w:tcW w:w="613" w:type="pct"/>
            <w:tcBorders>
              <w:top w:val="nil"/>
              <w:left w:val="nil"/>
              <w:bottom w:val="single" w:sz="8" w:space="0" w:color="F79646"/>
              <w:right w:val="nil"/>
            </w:tcBorders>
            <w:shd w:val="clear" w:color="auto" w:fill="auto"/>
            <w:tcMar>
              <w:top w:w="11" w:type="dxa"/>
              <w:left w:w="11" w:type="dxa"/>
              <w:bottom w:w="0" w:type="dxa"/>
              <w:right w:w="11" w:type="dxa"/>
            </w:tcMar>
            <w:vAlign w:val="center"/>
          </w:tcPr>
          <w:p w14:paraId="71539BFA" w14:textId="77777777" w:rsidR="00A717AE" w:rsidRPr="00E36EFF" w:rsidRDefault="00A717AE" w:rsidP="003F359A">
            <w:pPr>
              <w:rPr>
                <w:sz w:val="18"/>
              </w:rPr>
            </w:pPr>
            <w:r w:rsidRPr="00E36EFF">
              <w:rPr>
                <w:sz w:val="18"/>
              </w:rPr>
              <w:t xml:space="preserve">€ </w:t>
            </w:r>
            <w:r>
              <w:rPr>
                <w:sz w:val="18"/>
              </w:rPr>
              <w:t>240,04</w:t>
            </w:r>
          </w:p>
        </w:tc>
        <w:tc>
          <w:tcPr>
            <w:tcW w:w="654" w:type="pct"/>
            <w:tcBorders>
              <w:top w:val="nil"/>
              <w:left w:val="nil"/>
              <w:bottom w:val="single" w:sz="8" w:space="0" w:color="F79646"/>
              <w:right w:val="nil"/>
            </w:tcBorders>
            <w:shd w:val="clear" w:color="auto" w:fill="auto"/>
            <w:tcMar>
              <w:top w:w="11" w:type="dxa"/>
              <w:left w:w="11" w:type="dxa"/>
              <w:bottom w:w="0" w:type="dxa"/>
              <w:right w:w="11" w:type="dxa"/>
            </w:tcMar>
            <w:vAlign w:val="center"/>
          </w:tcPr>
          <w:p w14:paraId="2F93C892" w14:textId="77777777" w:rsidR="00A717AE" w:rsidRPr="00E36EFF" w:rsidRDefault="00A717AE" w:rsidP="003F359A">
            <w:pPr>
              <w:rPr>
                <w:sz w:val="18"/>
              </w:rPr>
            </w:pPr>
            <w:r w:rsidRPr="00E36EFF">
              <w:rPr>
                <w:sz w:val="18"/>
              </w:rPr>
              <w:t>0,16</w:t>
            </w:r>
          </w:p>
        </w:tc>
        <w:tc>
          <w:tcPr>
            <w:tcW w:w="728" w:type="pct"/>
            <w:tcBorders>
              <w:top w:val="nil"/>
              <w:left w:val="nil"/>
              <w:bottom w:val="single" w:sz="8" w:space="0" w:color="F79646"/>
              <w:right w:val="nil"/>
            </w:tcBorders>
            <w:shd w:val="clear" w:color="auto" w:fill="auto"/>
            <w:tcMar>
              <w:top w:w="11" w:type="dxa"/>
              <w:left w:w="11" w:type="dxa"/>
              <w:bottom w:w="0" w:type="dxa"/>
              <w:right w:w="11" w:type="dxa"/>
            </w:tcMar>
            <w:vAlign w:val="center"/>
          </w:tcPr>
          <w:p w14:paraId="53826187" w14:textId="77777777" w:rsidR="00A717AE" w:rsidRPr="00FA7989" w:rsidRDefault="00A717AE" w:rsidP="003F359A">
            <w:pPr>
              <w:rPr>
                <w:b/>
                <w:sz w:val="18"/>
              </w:rPr>
            </w:pPr>
            <w:r w:rsidRPr="00E36EFF">
              <w:rPr>
                <w:b/>
                <w:sz w:val="18"/>
              </w:rPr>
              <w:t xml:space="preserve">€ </w:t>
            </w:r>
            <w:r>
              <w:rPr>
                <w:b/>
                <w:sz w:val="18"/>
              </w:rPr>
              <w:t>1.513,25</w:t>
            </w:r>
          </w:p>
        </w:tc>
      </w:tr>
      <w:bookmarkEnd w:id="233"/>
    </w:tbl>
    <w:p w14:paraId="141FDA81" w14:textId="77777777" w:rsidR="00A717AE" w:rsidRDefault="00A717AE" w:rsidP="00A717AE"/>
    <w:p w14:paraId="250E4E59" w14:textId="77777777" w:rsidR="00A717AE" w:rsidRDefault="00A717AE" w:rsidP="00A717AE">
      <w:pPr>
        <w:widowControl w:val="0"/>
        <w:autoSpaceDE w:val="0"/>
        <w:autoSpaceDN w:val="0"/>
        <w:adjustRightInd w:val="0"/>
        <w:spacing w:line="360" w:lineRule="auto"/>
        <w:rPr>
          <w:rFonts w:cs="Arial"/>
          <w:sz w:val="20"/>
          <w:szCs w:val="20"/>
        </w:rPr>
      </w:pPr>
    </w:p>
    <w:p w14:paraId="30E06AC0" w14:textId="77777777" w:rsidR="00A717AE" w:rsidRPr="004B0BE3" w:rsidRDefault="00A717AE" w:rsidP="00825BD3">
      <w:pPr>
        <w:pStyle w:val="ListParagraph"/>
        <w:numPr>
          <w:ilvl w:val="1"/>
          <w:numId w:val="41"/>
        </w:numPr>
        <w:spacing w:after="120"/>
        <w:ind w:left="567" w:hanging="567"/>
        <w:rPr>
          <w:rFonts w:asciiTheme="minorHAnsi" w:hAnsiTheme="minorHAnsi" w:cstheme="minorHAnsi"/>
          <w:b/>
          <w:bCs/>
          <w:sz w:val="20"/>
          <w:szCs w:val="20"/>
          <w:u w:val="single"/>
          <w:lang w:val="fr-FR" w:eastAsia="fr-FR" w:bidi="en-US"/>
        </w:rPr>
      </w:pPr>
      <w:r w:rsidRPr="004B0BE3">
        <w:rPr>
          <w:rFonts w:asciiTheme="minorHAnsi" w:hAnsiTheme="minorHAnsi" w:cstheme="minorHAnsi"/>
          <w:b/>
          <w:bCs/>
          <w:sz w:val="20"/>
          <w:szCs w:val="20"/>
          <w:u w:val="single"/>
          <w:lang w:val="fr-FR" w:eastAsia="fr-FR" w:bidi="en-US"/>
        </w:rPr>
        <w:t>Metodologia statistica ed analisi di sensibilità</w:t>
      </w:r>
    </w:p>
    <w:p w14:paraId="2C6C06FE" w14:textId="77777777" w:rsidR="00A717AE" w:rsidRDefault="00A717AE" w:rsidP="00A717AE">
      <w:pPr>
        <w:widowControl w:val="0"/>
        <w:autoSpaceDE w:val="0"/>
        <w:autoSpaceDN w:val="0"/>
        <w:adjustRightInd w:val="0"/>
        <w:spacing w:line="360" w:lineRule="auto"/>
        <w:rPr>
          <w:rFonts w:cs="Arial"/>
          <w:sz w:val="20"/>
          <w:szCs w:val="20"/>
        </w:rPr>
      </w:pPr>
      <w:r w:rsidRPr="006E1091">
        <w:rPr>
          <w:rFonts w:cs="Arial"/>
          <w:sz w:val="20"/>
          <w:szCs w:val="20"/>
        </w:rPr>
        <w:t xml:space="preserve">L’analisi probabilistica multivariata condotta sul campione di pazienti affetti da gotta/iperuricemia riguardante il confronto della combinazione </w:t>
      </w:r>
      <w:r>
        <w:rPr>
          <w:rFonts w:cs="Arial"/>
          <w:sz w:val="20"/>
          <w:szCs w:val="20"/>
        </w:rPr>
        <w:t>lesinurad + a</w:t>
      </w:r>
      <w:r w:rsidRPr="006E1091">
        <w:rPr>
          <w:rFonts w:cs="Arial"/>
          <w:sz w:val="20"/>
          <w:szCs w:val="20"/>
        </w:rPr>
        <w:t>llopurinolo</w:t>
      </w:r>
      <w:r>
        <w:rPr>
          <w:rFonts w:cs="Arial"/>
          <w:sz w:val="20"/>
          <w:szCs w:val="20"/>
        </w:rPr>
        <w:t xml:space="preserve"> vs f</w:t>
      </w:r>
      <w:r w:rsidRPr="006E1091">
        <w:rPr>
          <w:rFonts w:cs="Arial"/>
          <w:sz w:val="20"/>
          <w:szCs w:val="20"/>
        </w:rPr>
        <w:t>ebuxostat</w:t>
      </w:r>
      <w:r>
        <w:rPr>
          <w:rFonts w:cs="Arial"/>
          <w:sz w:val="20"/>
          <w:szCs w:val="20"/>
        </w:rPr>
        <w:t xml:space="preserve"> in monoterapia</w:t>
      </w:r>
      <w:r w:rsidRPr="006E1091">
        <w:rPr>
          <w:rFonts w:cs="Arial"/>
          <w:sz w:val="20"/>
          <w:szCs w:val="20"/>
        </w:rPr>
        <w:t xml:space="preserve"> ha consentito di verificare l’impatto complessivo dell’incertezza legata ai parametri considerati nell’analisi sui risultati deterministici (base-case) ottenuti. </w:t>
      </w:r>
      <w:r w:rsidRPr="0055035C">
        <w:rPr>
          <w:rFonts w:cs="Arial"/>
          <w:b/>
          <w:sz w:val="20"/>
          <w:szCs w:val="20"/>
        </w:rPr>
        <w:t>Dai risultati emerge che in nessuna delle 1.000 simulazioni condotte l’ICER dato da tale confronto supera il limite di accettabilità̀ di €30.000/QALY: la combinazione lesinurad + allopurinolo risulta dunque costo-efficace nel contesto sanitario Italiano.</w:t>
      </w:r>
      <w:r w:rsidRPr="006E1091">
        <w:rPr>
          <w:rFonts w:cs="Arial"/>
          <w:sz w:val="20"/>
          <w:szCs w:val="20"/>
        </w:rPr>
        <w:t xml:space="preserve"> </w:t>
      </w:r>
      <w:r>
        <w:rPr>
          <w:rFonts w:cs="Arial"/>
          <w:sz w:val="20"/>
          <w:szCs w:val="20"/>
        </w:rPr>
        <w:t>(</w:t>
      </w:r>
      <w:hyperlink w:anchor="Figura47" w:history="1">
        <w:r w:rsidRPr="006E1091">
          <w:rPr>
            <w:rStyle w:val="Hyperlink"/>
            <w:rFonts w:cs="Arial"/>
            <w:sz w:val="20"/>
            <w:szCs w:val="20"/>
          </w:rPr>
          <w:t>Figura 4</w:t>
        </w:r>
        <w:r>
          <w:rPr>
            <w:rStyle w:val="Hyperlink"/>
            <w:rFonts w:cs="Arial"/>
            <w:sz w:val="20"/>
            <w:szCs w:val="20"/>
          </w:rPr>
          <w:t>7</w:t>
        </w:r>
      </w:hyperlink>
      <w:r w:rsidRPr="006E1091">
        <w:rPr>
          <w:rFonts w:cs="Arial"/>
          <w:sz w:val="20"/>
          <w:szCs w:val="20"/>
        </w:rPr>
        <w:t>).</w:t>
      </w:r>
    </w:p>
    <w:p w14:paraId="4754FD70" w14:textId="77777777" w:rsidR="00A717AE" w:rsidRDefault="00A717AE" w:rsidP="00A717AE">
      <w:pPr>
        <w:widowControl w:val="0"/>
        <w:autoSpaceDE w:val="0"/>
        <w:autoSpaceDN w:val="0"/>
        <w:adjustRightInd w:val="0"/>
        <w:spacing w:line="360" w:lineRule="auto"/>
        <w:rPr>
          <w:rFonts w:cs="Arial"/>
          <w:sz w:val="20"/>
          <w:szCs w:val="20"/>
        </w:rPr>
      </w:pPr>
    </w:p>
    <w:p w14:paraId="228B9040" w14:textId="77777777" w:rsidR="00A717AE" w:rsidRPr="006E1091" w:rsidRDefault="00A717AE" w:rsidP="00A717AE">
      <w:pPr>
        <w:pStyle w:val="Caption"/>
        <w:jc w:val="left"/>
        <w:rPr>
          <w:rFonts w:asciiTheme="minorHAnsi" w:hAnsiTheme="minorHAnsi" w:cstheme="minorHAnsi"/>
          <w:lang w:val="it-IT"/>
        </w:rPr>
      </w:pPr>
      <w:bookmarkStart w:id="234" w:name="Figura49"/>
      <w:bookmarkStart w:id="235" w:name="Figura47"/>
      <w:bookmarkStart w:id="236" w:name="_Toc473186942"/>
      <w:bookmarkEnd w:id="234"/>
      <w:bookmarkEnd w:id="235"/>
      <w:r w:rsidRPr="006E1091">
        <w:rPr>
          <w:rFonts w:asciiTheme="minorHAnsi" w:hAnsiTheme="minorHAnsi" w:cstheme="minorHAnsi"/>
          <w:lang w:val="it-IT"/>
        </w:rPr>
        <w:t xml:space="preserve">Figura </w:t>
      </w:r>
      <w:r w:rsidRPr="006E1091">
        <w:rPr>
          <w:rFonts w:asciiTheme="minorHAnsi" w:hAnsiTheme="minorHAnsi" w:cstheme="minorHAnsi"/>
        </w:rPr>
        <w:fldChar w:fldCharType="begin"/>
      </w:r>
      <w:r w:rsidRPr="006E1091">
        <w:rPr>
          <w:rFonts w:asciiTheme="minorHAnsi" w:hAnsiTheme="minorHAnsi" w:cstheme="minorHAnsi"/>
          <w:lang w:val="it-IT"/>
        </w:rPr>
        <w:instrText xml:space="preserve"> SEQ Figura \* ARABIC </w:instrText>
      </w:r>
      <w:r w:rsidRPr="006E1091">
        <w:rPr>
          <w:rFonts w:asciiTheme="minorHAnsi" w:hAnsiTheme="minorHAnsi" w:cstheme="minorHAnsi"/>
        </w:rPr>
        <w:fldChar w:fldCharType="separate"/>
      </w:r>
      <w:r w:rsidR="00A1679C">
        <w:rPr>
          <w:rFonts w:asciiTheme="minorHAnsi" w:hAnsiTheme="minorHAnsi" w:cstheme="minorHAnsi"/>
          <w:noProof/>
          <w:lang w:val="it-IT"/>
        </w:rPr>
        <w:t>47</w:t>
      </w:r>
      <w:r w:rsidRPr="006E1091">
        <w:rPr>
          <w:rFonts w:asciiTheme="minorHAnsi" w:hAnsiTheme="minorHAnsi" w:cstheme="minorHAnsi"/>
        </w:rPr>
        <w:fldChar w:fldCharType="end"/>
      </w:r>
      <w:r w:rsidRPr="006E1091">
        <w:rPr>
          <w:rFonts w:asciiTheme="minorHAnsi" w:hAnsiTheme="minorHAnsi" w:cstheme="minorHAnsi"/>
          <w:lang w:val="it-IT"/>
        </w:rPr>
        <w:t>: Analisi di sensitività multivariata</w:t>
      </w:r>
      <w:r>
        <w:rPr>
          <w:rFonts w:asciiTheme="minorHAnsi" w:hAnsiTheme="minorHAnsi" w:cstheme="minorHAnsi"/>
          <w:lang w:val="it-IT"/>
        </w:rPr>
        <w:t xml:space="preserve"> </w:t>
      </w:r>
      <w:r w:rsidRPr="006E1091">
        <w:rPr>
          <w:rFonts w:asciiTheme="minorHAnsi" w:hAnsiTheme="minorHAnsi" w:cstheme="minorHAnsi"/>
          <w:lang w:val="it-IT"/>
        </w:rPr>
        <w:t>–</w:t>
      </w:r>
      <w:r>
        <w:rPr>
          <w:rFonts w:asciiTheme="minorHAnsi" w:hAnsiTheme="minorHAnsi" w:cstheme="minorHAnsi"/>
          <w:lang w:val="it-IT"/>
        </w:rPr>
        <w:t xml:space="preserve"> lesinurad + a</w:t>
      </w:r>
      <w:r w:rsidRPr="006E1091">
        <w:rPr>
          <w:rFonts w:asciiTheme="minorHAnsi" w:hAnsiTheme="minorHAnsi" w:cstheme="minorHAnsi"/>
          <w:lang w:val="it-IT"/>
        </w:rPr>
        <w:t xml:space="preserve">llopurinolo vs </w:t>
      </w:r>
      <w:r>
        <w:rPr>
          <w:rFonts w:asciiTheme="minorHAnsi" w:hAnsiTheme="minorHAnsi" w:cstheme="minorHAnsi"/>
          <w:lang w:val="it-IT"/>
        </w:rPr>
        <w:t>fe</w:t>
      </w:r>
      <w:r w:rsidRPr="006E1091">
        <w:rPr>
          <w:rFonts w:asciiTheme="minorHAnsi" w:hAnsiTheme="minorHAnsi" w:cstheme="minorHAnsi"/>
          <w:lang w:val="it-IT"/>
        </w:rPr>
        <w:t>buxostat</w:t>
      </w:r>
      <w:r>
        <w:rPr>
          <w:rFonts w:asciiTheme="minorHAnsi" w:hAnsiTheme="minorHAnsi" w:cstheme="minorHAnsi"/>
          <w:lang w:val="it-IT"/>
        </w:rPr>
        <w:t xml:space="preserve"> in monoterapia</w:t>
      </w:r>
      <w:bookmarkEnd w:id="236"/>
    </w:p>
    <w:p w14:paraId="5F29A391" w14:textId="77777777" w:rsidR="00A717AE" w:rsidRDefault="00A717AE" w:rsidP="00A717AE">
      <w:pPr>
        <w:widowControl w:val="0"/>
        <w:autoSpaceDE w:val="0"/>
        <w:autoSpaceDN w:val="0"/>
        <w:adjustRightInd w:val="0"/>
        <w:spacing w:line="360" w:lineRule="auto"/>
        <w:rPr>
          <w:rFonts w:cs="Arial"/>
          <w:sz w:val="20"/>
          <w:szCs w:val="20"/>
        </w:rPr>
      </w:pPr>
      <w:r w:rsidRPr="00056D0E">
        <w:rPr>
          <w:rFonts w:cs="Arial"/>
          <w:noProof/>
          <w:sz w:val="20"/>
          <w:szCs w:val="20"/>
          <w:lang w:val="en-GB" w:eastAsia="en-GB"/>
        </w:rPr>
        <w:drawing>
          <wp:inline distT="0" distB="0" distL="0" distR="0" wp14:anchorId="66AA1C18" wp14:editId="2704BD48">
            <wp:extent cx="5732145" cy="3621966"/>
            <wp:effectExtent l="0" t="0" r="20955" b="17145"/>
            <wp:docPr id="6" name="Gra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B74D3FB" w14:textId="77777777" w:rsidR="00A717AE" w:rsidRDefault="00A717AE" w:rsidP="00A717AE">
      <w:pPr>
        <w:widowControl w:val="0"/>
        <w:autoSpaceDE w:val="0"/>
        <w:autoSpaceDN w:val="0"/>
        <w:adjustRightInd w:val="0"/>
        <w:spacing w:line="360" w:lineRule="auto"/>
        <w:rPr>
          <w:rFonts w:cs="Arial"/>
          <w:sz w:val="20"/>
          <w:szCs w:val="20"/>
        </w:rPr>
      </w:pPr>
    </w:p>
    <w:p w14:paraId="2BF52A03" w14:textId="77777777" w:rsidR="00A717AE" w:rsidRDefault="00A717AE" w:rsidP="00A717AE">
      <w:pPr>
        <w:widowControl w:val="0"/>
        <w:autoSpaceDE w:val="0"/>
        <w:autoSpaceDN w:val="0"/>
        <w:adjustRightInd w:val="0"/>
        <w:spacing w:line="360" w:lineRule="auto"/>
        <w:rPr>
          <w:rFonts w:cs="Arial"/>
          <w:sz w:val="20"/>
          <w:szCs w:val="20"/>
        </w:rPr>
      </w:pPr>
      <w:r w:rsidRPr="006E1091">
        <w:rPr>
          <w:rFonts w:cs="Arial"/>
          <w:sz w:val="20"/>
          <w:szCs w:val="20"/>
        </w:rPr>
        <w:t>I risultati dell’analisi multivariata sono infatti confermati dall’analisi mirata alla determinazione della costo-efficacia dei trattamenti considerati per dati livelli di disponibilità a pagare dell’economia di riferimento</w:t>
      </w:r>
      <w:r>
        <w:rPr>
          <w:rFonts w:cs="Arial"/>
          <w:sz w:val="20"/>
          <w:szCs w:val="20"/>
        </w:rPr>
        <w:t xml:space="preserve">. </w:t>
      </w:r>
    </w:p>
    <w:p w14:paraId="77598928" w14:textId="77777777" w:rsidR="00A717AE" w:rsidRPr="006E1091" w:rsidRDefault="00A717AE" w:rsidP="00A717AE">
      <w:pPr>
        <w:widowControl w:val="0"/>
        <w:autoSpaceDE w:val="0"/>
        <w:autoSpaceDN w:val="0"/>
        <w:adjustRightInd w:val="0"/>
        <w:spacing w:line="360" w:lineRule="auto"/>
        <w:rPr>
          <w:rFonts w:cs="Arial"/>
          <w:sz w:val="20"/>
          <w:szCs w:val="20"/>
        </w:rPr>
      </w:pPr>
      <w:r>
        <w:rPr>
          <w:rFonts w:cs="Arial"/>
          <w:sz w:val="20"/>
          <w:szCs w:val="20"/>
        </w:rPr>
        <w:t>Inoltre l’analisi di sensibilità probabilistica ha mostrato che, alla soglia di €2.227,90 per QALY, la probabilità che il trattamento con lesinuard + allopurinolo sia costo-efficace è del 90%, mentre c’è una probabilità del 100% che il trattamento sia costo-efficace ad una soglia di € 5.481,96/QALY, supportando quindi la costo/efficacia dell’associazione</w:t>
      </w:r>
      <w:r w:rsidRPr="006E1091">
        <w:rPr>
          <w:rFonts w:cs="Arial"/>
          <w:sz w:val="20"/>
          <w:szCs w:val="20"/>
        </w:rPr>
        <w:t xml:space="preserve"> </w:t>
      </w:r>
      <w:r>
        <w:rPr>
          <w:rFonts w:cs="Arial"/>
          <w:sz w:val="20"/>
          <w:szCs w:val="20"/>
        </w:rPr>
        <w:t>(</w:t>
      </w:r>
      <w:hyperlink w:anchor="Figura48" w:history="1">
        <w:r w:rsidRPr="00B3238C">
          <w:rPr>
            <w:rStyle w:val="Hyperlink"/>
            <w:rFonts w:cs="Arial"/>
            <w:sz w:val="20"/>
            <w:szCs w:val="20"/>
          </w:rPr>
          <w:t xml:space="preserve">Figura </w:t>
        </w:r>
        <w:r>
          <w:rPr>
            <w:rStyle w:val="Hyperlink"/>
            <w:rFonts w:cs="Arial"/>
            <w:sz w:val="20"/>
            <w:szCs w:val="20"/>
          </w:rPr>
          <w:t>48</w:t>
        </w:r>
      </w:hyperlink>
      <w:r>
        <w:rPr>
          <w:rFonts w:cs="Arial"/>
          <w:sz w:val="20"/>
          <w:szCs w:val="20"/>
        </w:rPr>
        <w:t>)</w:t>
      </w:r>
      <w:r w:rsidRPr="006E1091">
        <w:rPr>
          <w:rFonts w:cs="Arial"/>
          <w:sz w:val="20"/>
          <w:szCs w:val="20"/>
        </w:rPr>
        <w:t xml:space="preserve">. </w:t>
      </w:r>
    </w:p>
    <w:p w14:paraId="40EFBC17" w14:textId="77777777" w:rsidR="00A717AE" w:rsidRDefault="00A717AE" w:rsidP="00A717AE">
      <w:pPr>
        <w:widowControl w:val="0"/>
        <w:autoSpaceDE w:val="0"/>
        <w:autoSpaceDN w:val="0"/>
        <w:adjustRightInd w:val="0"/>
        <w:spacing w:line="360" w:lineRule="auto"/>
        <w:rPr>
          <w:rFonts w:cs="Arial"/>
          <w:sz w:val="20"/>
          <w:szCs w:val="20"/>
        </w:rPr>
      </w:pPr>
    </w:p>
    <w:p w14:paraId="480FA23C" w14:textId="77777777" w:rsidR="00A717AE" w:rsidRPr="00B3238C" w:rsidRDefault="00A717AE" w:rsidP="00A717AE">
      <w:pPr>
        <w:pStyle w:val="Caption"/>
        <w:jc w:val="left"/>
        <w:rPr>
          <w:rFonts w:asciiTheme="minorHAnsi" w:hAnsiTheme="minorHAnsi" w:cstheme="minorHAnsi"/>
          <w:lang w:val="it-IT"/>
        </w:rPr>
      </w:pPr>
      <w:bookmarkStart w:id="237" w:name="Figura50"/>
      <w:bookmarkStart w:id="238" w:name="Figura48"/>
      <w:bookmarkStart w:id="239" w:name="_Toc473186943"/>
      <w:bookmarkEnd w:id="237"/>
      <w:bookmarkEnd w:id="238"/>
      <w:r w:rsidRPr="00B3238C">
        <w:rPr>
          <w:rFonts w:asciiTheme="minorHAnsi" w:hAnsiTheme="minorHAnsi" w:cstheme="minorHAnsi"/>
          <w:lang w:val="it-IT"/>
        </w:rPr>
        <w:t xml:space="preserve">Figura </w:t>
      </w:r>
      <w:r w:rsidRPr="00B3238C">
        <w:rPr>
          <w:rFonts w:asciiTheme="minorHAnsi" w:hAnsiTheme="minorHAnsi" w:cstheme="minorHAnsi"/>
        </w:rPr>
        <w:fldChar w:fldCharType="begin"/>
      </w:r>
      <w:r w:rsidRPr="00B3238C">
        <w:rPr>
          <w:rFonts w:asciiTheme="minorHAnsi" w:hAnsiTheme="minorHAnsi" w:cstheme="minorHAnsi"/>
          <w:lang w:val="it-IT"/>
        </w:rPr>
        <w:instrText xml:space="preserve"> SEQ Figura \* ARABIC </w:instrText>
      </w:r>
      <w:r w:rsidRPr="00B3238C">
        <w:rPr>
          <w:rFonts w:asciiTheme="minorHAnsi" w:hAnsiTheme="minorHAnsi" w:cstheme="minorHAnsi"/>
        </w:rPr>
        <w:fldChar w:fldCharType="separate"/>
      </w:r>
      <w:r w:rsidR="00A1679C">
        <w:rPr>
          <w:rFonts w:asciiTheme="minorHAnsi" w:hAnsiTheme="minorHAnsi" w:cstheme="minorHAnsi"/>
          <w:noProof/>
          <w:lang w:val="it-IT"/>
        </w:rPr>
        <w:t>48</w:t>
      </w:r>
      <w:r w:rsidRPr="00B3238C">
        <w:rPr>
          <w:rFonts w:asciiTheme="minorHAnsi" w:hAnsiTheme="minorHAnsi" w:cstheme="minorHAnsi"/>
        </w:rPr>
        <w:fldChar w:fldCharType="end"/>
      </w:r>
      <w:r w:rsidRPr="00B3238C">
        <w:rPr>
          <w:rFonts w:asciiTheme="minorHAnsi" w:hAnsiTheme="minorHAnsi" w:cstheme="minorHAnsi"/>
          <w:lang w:val="it-IT"/>
        </w:rPr>
        <w:t xml:space="preserve"> - Probabilità di lesinurad + allopurinolo vs febuxostat in monoterapia di essere costo-efficace per dati livelli di disponibilità a pagare (WTP) nella popolazione</w:t>
      </w:r>
      <w:r>
        <w:rPr>
          <w:rFonts w:asciiTheme="minorHAnsi" w:hAnsiTheme="minorHAnsi" w:cstheme="minorHAnsi"/>
          <w:lang w:val="it-IT"/>
        </w:rPr>
        <w:t xml:space="preserve"> adulta</w:t>
      </w:r>
      <w:bookmarkEnd w:id="239"/>
      <w:r w:rsidRPr="00B3238C">
        <w:rPr>
          <w:rFonts w:asciiTheme="minorHAnsi" w:hAnsiTheme="minorHAnsi" w:cstheme="minorHAnsi"/>
          <w:lang w:val="it-IT"/>
        </w:rPr>
        <w:t xml:space="preserve"> </w:t>
      </w:r>
    </w:p>
    <w:p w14:paraId="1ACFB682" w14:textId="77777777" w:rsidR="00A717AE" w:rsidRPr="006E1091" w:rsidRDefault="00A717AE" w:rsidP="00A717AE">
      <w:pPr>
        <w:pStyle w:val="Caption"/>
        <w:jc w:val="left"/>
        <w:rPr>
          <w:rFonts w:cs="Arial"/>
          <w:lang w:val="it-IT"/>
        </w:rPr>
      </w:pPr>
    </w:p>
    <w:p w14:paraId="2D99637B" w14:textId="77777777" w:rsidR="00A717AE" w:rsidRDefault="00A717AE" w:rsidP="00A717AE">
      <w:pPr>
        <w:widowControl w:val="0"/>
        <w:autoSpaceDE w:val="0"/>
        <w:autoSpaceDN w:val="0"/>
        <w:adjustRightInd w:val="0"/>
        <w:spacing w:line="360" w:lineRule="auto"/>
        <w:rPr>
          <w:rFonts w:cs="Arial"/>
          <w:sz w:val="20"/>
          <w:szCs w:val="20"/>
        </w:rPr>
      </w:pPr>
      <w:r w:rsidRPr="00965D35">
        <w:rPr>
          <w:rFonts w:cs="Arial"/>
          <w:noProof/>
          <w:sz w:val="20"/>
          <w:szCs w:val="20"/>
          <w:lang w:val="en-GB" w:eastAsia="en-GB"/>
        </w:rPr>
        <w:drawing>
          <wp:inline distT="0" distB="0" distL="0" distR="0" wp14:anchorId="7BDE3098" wp14:editId="15FB3553">
            <wp:extent cx="5732145" cy="3229936"/>
            <wp:effectExtent l="0" t="0" r="0" b="0"/>
            <wp:docPr id="5" name="Gra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08A3FBF" w14:textId="77777777" w:rsidR="00A717AE" w:rsidRDefault="00A717AE" w:rsidP="00A717AE">
      <w:pPr>
        <w:widowControl w:val="0"/>
        <w:autoSpaceDE w:val="0"/>
        <w:autoSpaceDN w:val="0"/>
        <w:adjustRightInd w:val="0"/>
        <w:spacing w:line="360" w:lineRule="auto"/>
        <w:rPr>
          <w:rFonts w:cs="Arial"/>
          <w:sz w:val="20"/>
          <w:szCs w:val="20"/>
        </w:rPr>
      </w:pPr>
    </w:p>
    <w:p w14:paraId="02BC68F8" w14:textId="77777777" w:rsidR="00A717AE" w:rsidRDefault="00A717AE" w:rsidP="00A717AE">
      <w:pPr>
        <w:widowControl w:val="0"/>
        <w:autoSpaceDE w:val="0"/>
        <w:autoSpaceDN w:val="0"/>
        <w:adjustRightInd w:val="0"/>
        <w:spacing w:line="360" w:lineRule="auto"/>
        <w:rPr>
          <w:rFonts w:cs="Arial"/>
          <w:sz w:val="20"/>
          <w:szCs w:val="20"/>
        </w:rPr>
      </w:pPr>
      <w:r>
        <w:rPr>
          <w:rFonts w:cs="Arial"/>
          <w:sz w:val="20"/>
          <w:szCs w:val="20"/>
        </w:rPr>
        <w:t>Pertanto, i</w:t>
      </w:r>
      <w:r w:rsidRPr="00B3238C">
        <w:rPr>
          <w:rFonts w:cs="Arial"/>
          <w:sz w:val="20"/>
          <w:szCs w:val="20"/>
        </w:rPr>
        <w:t xml:space="preserve"> risultati ottenuti nell’analisi condotta portano a concludere che, ad un prezzo ex-factory </w:t>
      </w:r>
      <w:r>
        <w:rPr>
          <w:rFonts w:cs="Arial"/>
          <w:sz w:val="20"/>
          <w:szCs w:val="20"/>
        </w:rPr>
        <w:t>netto di €0,85</w:t>
      </w:r>
      <w:r w:rsidRPr="00B3238C">
        <w:rPr>
          <w:rFonts w:cs="Arial"/>
          <w:sz w:val="20"/>
          <w:szCs w:val="20"/>
        </w:rPr>
        <w:t>/cp</w:t>
      </w:r>
      <w:r>
        <w:rPr>
          <w:rFonts w:cs="Arial"/>
          <w:sz w:val="20"/>
          <w:szCs w:val="20"/>
        </w:rPr>
        <w:t xml:space="preserve">r, lesinurad, come </w:t>
      </w:r>
      <w:r w:rsidRPr="00B3238C">
        <w:rPr>
          <w:rFonts w:cs="Arial"/>
          <w:sz w:val="20"/>
          <w:szCs w:val="20"/>
        </w:rPr>
        <w:t xml:space="preserve">trattamento </w:t>
      </w:r>
      <w:r w:rsidRPr="00202D3B">
        <w:rPr>
          <w:rFonts w:cs="Arial"/>
          <w:sz w:val="20"/>
          <w:szCs w:val="20"/>
        </w:rPr>
        <w:t xml:space="preserve">aggiuntivo </w:t>
      </w:r>
      <w:r>
        <w:rPr>
          <w:rFonts w:cs="Arial"/>
          <w:sz w:val="20"/>
          <w:szCs w:val="20"/>
        </w:rPr>
        <w:t xml:space="preserve">ad allopurinolo in soggetti adulti per </w:t>
      </w:r>
      <w:r w:rsidRPr="00202D3B">
        <w:rPr>
          <w:rFonts w:cs="Arial"/>
          <w:sz w:val="20"/>
          <w:szCs w:val="20"/>
        </w:rPr>
        <w:t xml:space="preserve">l’iperuricemia in pazienti con gotta (con o senza tofi) che non abbiano raggiunto livelli sierici target di acido urico con una dose adeguata di </w:t>
      </w:r>
      <w:r>
        <w:rPr>
          <w:rFonts w:cs="Arial"/>
          <w:sz w:val="20"/>
          <w:szCs w:val="20"/>
        </w:rPr>
        <w:t xml:space="preserve">allopurinolo </w:t>
      </w:r>
      <w:r w:rsidRPr="00202D3B">
        <w:rPr>
          <w:rFonts w:cs="Arial"/>
          <w:sz w:val="20"/>
          <w:szCs w:val="20"/>
        </w:rPr>
        <w:t>in monoterapia</w:t>
      </w:r>
      <w:r w:rsidRPr="00B3238C">
        <w:rPr>
          <w:rFonts w:cs="Arial"/>
          <w:sz w:val="20"/>
          <w:szCs w:val="20"/>
        </w:rPr>
        <w:t xml:space="preserve"> </w:t>
      </w:r>
      <w:r w:rsidRPr="000D5D70">
        <w:rPr>
          <w:rFonts w:cs="Arial"/>
          <w:b/>
          <w:sz w:val="20"/>
          <w:szCs w:val="20"/>
        </w:rPr>
        <w:t>risulta essere costo-efficace nel confronto con l’alternativa di seconda linea febuxostat in monoterapia.</w:t>
      </w:r>
    </w:p>
    <w:p w14:paraId="7B4971B0" w14:textId="77777777" w:rsidR="008B174D" w:rsidRDefault="008B174D" w:rsidP="00FF631E">
      <w:pPr>
        <w:widowControl w:val="0"/>
        <w:autoSpaceDE w:val="0"/>
        <w:autoSpaceDN w:val="0"/>
        <w:adjustRightInd w:val="0"/>
        <w:spacing w:line="360" w:lineRule="auto"/>
        <w:rPr>
          <w:rFonts w:cs="Arial"/>
          <w:sz w:val="20"/>
          <w:szCs w:val="20"/>
        </w:rPr>
      </w:pPr>
    </w:p>
    <w:p w14:paraId="47BE3A76" w14:textId="77777777" w:rsidR="00A717AE" w:rsidRDefault="00A717AE">
      <w:pPr>
        <w:rPr>
          <w:rFonts w:eastAsia="Times New Roman" w:cstheme="minorHAnsi"/>
          <w:b/>
          <w:noProof/>
          <w:sz w:val="20"/>
          <w:szCs w:val="20"/>
          <w:u w:val="single"/>
          <w:lang w:eastAsia="it-IT"/>
        </w:rPr>
      </w:pPr>
      <w:bookmarkStart w:id="240" w:name="Paragrafo911"/>
      <w:bookmarkEnd w:id="240"/>
      <w:r>
        <w:rPr>
          <w:rFonts w:cstheme="minorHAnsi"/>
          <w:i/>
          <w:sz w:val="20"/>
          <w:u w:val="single"/>
        </w:rPr>
        <w:br w:type="page"/>
      </w:r>
    </w:p>
    <w:p w14:paraId="176A618A" w14:textId="060D4FE2" w:rsidR="007B6E53" w:rsidRPr="005B1CD1" w:rsidRDefault="007B6E53" w:rsidP="00FF631E">
      <w:pPr>
        <w:pStyle w:val="Heading2"/>
        <w:jc w:val="left"/>
        <w:rPr>
          <w:rFonts w:asciiTheme="minorHAnsi" w:hAnsiTheme="minorHAnsi" w:cstheme="minorHAnsi"/>
          <w:i w:val="0"/>
          <w:sz w:val="20"/>
          <w:u w:val="single"/>
        </w:rPr>
      </w:pPr>
      <w:bookmarkStart w:id="241" w:name="_Toc473184584"/>
      <w:r w:rsidRPr="005B1CD1">
        <w:rPr>
          <w:rFonts w:asciiTheme="minorHAnsi" w:hAnsiTheme="minorHAnsi" w:cstheme="minorHAnsi"/>
          <w:i w:val="0"/>
          <w:sz w:val="20"/>
          <w:u w:val="single"/>
        </w:rPr>
        <w:t>Analisi di Impatto di Budget</w:t>
      </w:r>
      <w:r w:rsidR="00AC5A6A">
        <w:rPr>
          <w:rFonts w:asciiTheme="minorHAnsi" w:hAnsiTheme="minorHAnsi" w:cstheme="minorHAnsi"/>
          <w:i w:val="0"/>
          <w:sz w:val="20"/>
          <w:u w:val="single"/>
        </w:rPr>
        <w:t xml:space="preserve"> (</w:t>
      </w:r>
      <w:hyperlink w:anchor="Allegato2" w:history="1">
        <w:r w:rsidR="00AC5A6A" w:rsidRPr="00AC5A6A">
          <w:rPr>
            <w:rStyle w:val="Hyperlink"/>
            <w:rFonts w:asciiTheme="minorHAnsi" w:hAnsiTheme="minorHAnsi" w:cstheme="minorHAnsi"/>
            <w:i w:val="0"/>
            <w:sz w:val="20"/>
          </w:rPr>
          <w:t>Allegato 2</w:t>
        </w:r>
      </w:hyperlink>
      <w:r w:rsidR="00AC5A6A">
        <w:rPr>
          <w:rFonts w:asciiTheme="minorHAnsi" w:hAnsiTheme="minorHAnsi" w:cstheme="minorHAnsi"/>
          <w:i w:val="0"/>
          <w:sz w:val="20"/>
          <w:u w:val="single"/>
        </w:rPr>
        <w:t>)</w:t>
      </w:r>
      <w:r w:rsidRPr="005B1CD1">
        <w:rPr>
          <w:rFonts w:asciiTheme="minorHAnsi" w:hAnsiTheme="minorHAnsi" w:cstheme="minorHAnsi"/>
          <w:i w:val="0"/>
          <w:sz w:val="20"/>
          <w:u w:val="single"/>
        </w:rPr>
        <w:t>:</w:t>
      </w:r>
      <w:bookmarkEnd w:id="241"/>
    </w:p>
    <w:p w14:paraId="672C9863" w14:textId="77777777" w:rsidR="007B6E53" w:rsidRPr="00797A72" w:rsidRDefault="007B6E53" w:rsidP="00FF631E">
      <w:pPr>
        <w:tabs>
          <w:tab w:val="left" w:pos="426"/>
        </w:tabs>
        <w:autoSpaceDE w:val="0"/>
        <w:autoSpaceDN w:val="0"/>
        <w:adjustRightInd w:val="0"/>
        <w:rPr>
          <w:rFonts w:cstheme="minorHAnsi"/>
          <w:color w:val="000000"/>
          <w:sz w:val="20"/>
          <w:szCs w:val="20"/>
        </w:rPr>
      </w:pPr>
    </w:p>
    <w:p w14:paraId="0F9C82B2" w14:textId="77777777" w:rsidR="00A717AE" w:rsidRPr="00816C7D" w:rsidRDefault="00A717AE" w:rsidP="00825BD3">
      <w:pPr>
        <w:pStyle w:val="ListParagraph"/>
        <w:numPr>
          <w:ilvl w:val="1"/>
          <w:numId w:val="41"/>
        </w:numPr>
        <w:spacing w:after="120"/>
        <w:ind w:left="567" w:hanging="567"/>
        <w:rPr>
          <w:rFonts w:asciiTheme="minorHAnsi" w:hAnsiTheme="minorHAnsi" w:cstheme="minorHAnsi"/>
          <w:b/>
          <w:bCs/>
          <w:vanish/>
          <w:sz w:val="20"/>
          <w:szCs w:val="20"/>
          <w:u w:val="single"/>
          <w:lang w:val="fr-FR" w:eastAsia="fr-FR" w:bidi="en-US"/>
        </w:rPr>
      </w:pPr>
      <w:r w:rsidRPr="00816C7D">
        <w:rPr>
          <w:rFonts w:asciiTheme="minorHAnsi" w:hAnsiTheme="minorHAnsi" w:cstheme="minorHAnsi"/>
          <w:b/>
          <w:bCs/>
          <w:sz w:val="20"/>
          <w:szCs w:val="20"/>
          <w:u w:val="single"/>
          <w:lang w:val="fr-FR" w:eastAsia="fr-FR" w:bidi="en-US"/>
        </w:rPr>
        <w:t>Obiettivo dello studio presenta</w:t>
      </w:r>
      <w:r>
        <w:rPr>
          <w:rFonts w:asciiTheme="minorHAnsi" w:hAnsiTheme="minorHAnsi" w:cstheme="minorHAnsi"/>
          <w:b/>
          <w:bCs/>
          <w:sz w:val="20"/>
          <w:szCs w:val="20"/>
          <w:u w:val="single"/>
          <w:lang w:val="fr-FR" w:eastAsia="fr-FR" w:bidi="en-US"/>
        </w:rPr>
        <w:t>to</w:t>
      </w:r>
      <w:r w:rsidRPr="00816C7D">
        <w:rPr>
          <w:rFonts w:asciiTheme="minorHAnsi" w:hAnsiTheme="minorHAnsi" w:cstheme="minorHAnsi"/>
          <w:b/>
          <w:bCs/>
          <w:vanish/>
          <w:sz w:val="20"/>
          <w:szCs w:val="20"/>
          <w:u w:val="single"/>
          <w:lang w:val="fr-FR" w:eastAsia="fr-FR" w:bidi="en-US"/>
        </w:rPr>
        <w:t>o</w:t>
      </w:r>
    </w:p>
    <w:p w14:paraId="024EAE13" w14:textId="77777777" w:rsidR="00A717AE" w:rsidRDefault="00A717AE" w:rsidP="00A717AE">
      <w:pPr>
        <w:widowControl w:val="0"/>
        <w:autoSpaceDE w:val="0"/>
        <w:autoSpaceDN w:val="0"/>
        <w:adjustRightInd w:val="0"/>
        <w:spacing w:line="360" w:lineRule="auto"/>
        <w:rPr>
          <w:rFonts w:cs="Arial"/>
          <w:sz w:val="20"/>
          <w:szCs w:val="20"/>
        </w:rPr>
      </w:pPr>
    </w:p>
    <w:p w14:paraId="1F78C65A" w14:textId="77777777" w:rsidR="00A717AE" w:rsidRDefault="00A717AE" w:rsidP="00A717AE">
      <w:pPr>
        <w:widowControl w:val="0"/>
        <w:autoSpaceDE w:val="0"/>
        <w:autoSpaceDN w:val="0"/>
        <w:adjustRightInd w:val="0"/>
        <w:spacing w:line="360" w:lineRule="auto"/>
        <w:rPr>
          <w:rFonts w:cs="Arial"/>
          <w:sz w:val="20"/>
          <w:szCs w:val="20"/>
        </w:rPr>
      </w:pPr>
      <w:r>
        <w:rPr>
          <w:rFonts w:cs="Arial"/>
          <w:sz w:val="20"/>
          <w:szCs w:val="20"/>
        </w:rPr>
        <w:t>S</w:t>
      </w:r>
      <w:r w:rsidRPr="0033605A">
        <w:rPr>
          <w:rFonts w:cs="Arial"/>
          <w:sz w:val="20"/>
          <w:szCs w:val="20"/>
        </w:rPr>
        <w:t>tima del potenziale carico economico per il Servizio Sanitario Nazionale derivante dall’utilizzo nella pratica clinica di ZURAMPIC</w:t>
      </w:r>
      <w:r>
        <w:rPr>
          <w:rFonts w:cs="Arial"/>
          <w:sz w:val="20"/>
          <w:szCs w:val="20"/>
        </w:rPr>
        <w:t xml:space="preserve"> (lesinurad)</w:t>
      </w:r>
      <w:r w:rsidRPr="0033605A">
        <w:rPr>
          <w:rFonts w:cs="Arial"/>
          <w:sz w:val="20"/>
          <w:szCs w:val="20"/>
        </w:rPr>
        <w:t xml:space="preserve"> in associazione </w:t>
      </w:r>
      <w:r>
        <w:rPr>
          <w:rFonts w:cs="Arial"/>
          <w:sz w:val="20"/>
          <w:szCs w:val="20"/>
        </w:rPr>
        <w:t>ad allopurinolo</w:t>
      </w:r>
      <w:r w:rsidRPr="0033605A">
        <w:rPr>
          <w:rFonts w:cs="Arial"/>
          <w:sz w:val="20"/>
          <w:szCs w:val="20"/>
        </w:rPr>
        <w:t xml:space="preserve">, in soggetti adulti per il trattamento aggiuntivo dell’iperuricemia in pazienti con gotta (con o senza tofi) che non abbiano raggiunto livelli sierici target di acido urico con una dose adeguata di </w:t>
      </w:r>
      <w:r>
        <w:rPr>
          <w:rFonts w:cs="Arial"/>
          <w:sz w:val="20"/>
          <w:szCs w:val="20"/>
        </w:rPr>
        <w:t>allopurinolo</w:t>
      </w:r>
      <w:r w:rsidRPr="0033605A">
        <w:rPr>
          <w:rFonts w:cs="Arial"/>
          <w:sz w:val="20"/>
          <w:szCs w:val="20"/>
        </w:rPr>
        <w:t xml:space="preserve"> in monoterapia.</w:t>
      </w:r>
    </w:p>
    <w:p w14:paraId="775E2E0E" w14:textId="77777777" w:rsidR="00A717AE" w:rsidRPr="0033605A" w:rsidRDefault="00A717AE" w:rsidP="00A717AE">
      <w:pPr>
        <w:widowControl w:val="0"/>
        <w:autoSpaceDE w:val="0"/>
        <w:autoSpaceDN w:val="0"/>
        <w:adjustRightInd w:val="0"/>
        <w:spacing w:line="360" w:lineRule="auto"/>
        <w:rPr>
          <w:rFonts w:cs="Arial"/>
          <w:sz w:val="20"/>
          <w:szCs w:val="20"/>
        </w:rPr>
      </w:pPr>
    </w:p>
    <w:p w14:paraId="7319CB3D" w14:textId="77777777" w:rsidR="00A717AE" w:rsidRPr="00816C7D" w:rsidRDefault="00A717AE" w:rsidP="00825BD3">
      <w:pPr>
        <w:pStyle w:val="ListParagraph"/>
        <w:numPr>
          <w:ilvl w:val="1"/>
          <w:numId w:val="41"/>
        </w:numPr>
        <w:spacing w:after="120"/>
        <w:ind w:left="567" w:hanging="567"/>
        <w:rPr>
          <w:rFonts w:asciiTheme="minorHAnsi" w:hAnsiTheme="minorHAnsi" w:cstheme="minorHAnsi"/>
          <w:b/>
          <w:bCs/>
          <w:sz w:val="20"/>
          <w:szCs w:val="20"/>
          <w:u w:val="single"/>
          <w:lang w:val="fr-FR" w:eastAsia="fr-FR" w:bidi="en-US"/>
        </w:rPr>
      </w:pPr>
      <w:r w:rsidRPr="00816C7D">
        <w:rPr>
          <w:rFonts w:asciiTheme="minorHAnsi" w:hAnsiTheme="minorHAnsi" w:cstheme="minorHAnsi"/>
          <w:b/>
          <w:bCs/>
          <w:sz w:val="20"/>
          <w:szCs w:val="20"/>
          <w:u w:val="single"/>
          <w:lang w:val="fr-FR" w:eastAsia="fr-FR" w:bidi="en-US"/>
        </w:rPr>
        <w:t>Tipologia dell’analisi economica impiegata e motivazioni della scelta</w:t>
      </w:r>
    </w:p>
    <w:p w14:paraId="3F96E29D" w14:textId="77777777" w:rsidR="00A717AE" w:rsidRDefault="00A717AE" w:rsidP="00A717AE">
      <w:pPr>
        <w:widowControl w:val="0"/>
        <w:autoSpaceDE w:val="0"/>
        <w:autoSpaceDN w:val="0"/>
        <w:adjustRightInd w:val="0"/>
        <w:spacing w:line="360" w:lineRule="auto"/>
        <w:rPr>
          <w:rFonts w:cs="Arial"/>
          <w:sz w:val="20"/>
          <w:szCs w:val="20"/>
        </w:rPr>
      </w:pPr>
      <w:r w:rsidRPr="00816C7D">
        <w:rPr>
          <w:rFonts w:cs="Arial"/>
          <w:sz w:val="20"/>
          <w:szCs w:val="20"/>
        </w:rPr>
        <w:t>Si tratta di un’analisi di Impatto di Budget (BIA Budget Impact Analysis) che permette di valutare l’effetto economico globale sul SSN considerando l’evoluzione tendenziale prevista per il mercato prima e dopo l’introduzione di ZURAMPIC nella pratica clinica.</w:t>
      </w:r>
    </w:p>
    <w:p w14:paraId="1A8079D4" w14:textId="77777777" w:rsidR="00A717AE" w:rsidRPr="00816C7D" w:rsidRDefault="00A717AE" w:rsidP="00A717AE">
      <w:pPr>
        <w:widowControl w:val="0"/>
        <w:autoSpaceDE w:val="0"/>
        <w:autoSpaceDN w:val="0"/>
        <w:adjustRightInd w:val="0"/>
        <w:spacing w:line="360" w:lineRule="auto"/>
        <w:rPr>
          <w:rFonts w:cs="Arial"/>
          <w:sz w:val="20"/>
          <w:szCs w:val="20"/>
        </w:rPr>
      </w:pPr>
    </w:p>
    <w:p w14:paraId="4DCE76DB" w14:textId="77777777" w:rsidR="00A717AE" w:rsidRPr="00816C7D" w:rsidRDefault="00A717AE" w:rsidP="00825BD3">
      <w:pPr>
        <w:pStyle w:val="ListParagraph"/>
        <w:numPr>
          <w:ilvl w:val="1"/>
          <w:numId w:val="41"/>
        </w:numPr>
        <w:spacing w:after="120"/>
        <w:ind w:left="567" w:hanging="567"/>
        <w:rPr>
          <w:rFonts w:asciiTheme="minorHAnsi" w:hAnsiTheme="minorHAnsi" w:cstheme="minorHAnsi"/>
          <w:b/>
          <w:bCs/>
          <w:sz w:val="20"/>
          <w:szCs w:val="20"/>
          <w:u w:val="single"/>
          <w:lang w:val="fr-FR" w:eastAsia="fr-FR" w:bidi="en-US"/>
        </w:rPr>
      </w:pPr>
      <w:r w:rsidRPr="00816C7D">
        <w:rPr>
          <w:rFonts w:asciiTheme="minorHAnsi" w:hAnsiTheme="minorHAnsi" w:cstheme="minorHAnsi"/>
          <w:b/>
          <w:bCs/>
          <w:sz w:val="20"/>
          <w:szCs w:val="20"/>
          <w:u w:val="single"/>
          <w:lang w:val="fr-FR" w:eastAsia="fr-FR" w:bidi="en-US"/>
        </w:rPr>
        <w:t>Punto di vista dell’analisi effettuata</w:t>
      </w:r>
    </w:p>
    <w:p w14:paraId="04B29C49" w14:textId="77777777" w:rsidR="00A717AE" w:rsidRDefault="00A717AE" w:rsidP="00A717AE">
      <w:pPr>
        <w:widowControl w:val="0"/>
        <w:autoSpaceDE w:val="0"/>
        <w:autoSpaceDN w:val="0"/>
        <w:adjustRightInd w:val="0"/>
        <w:spacing w:line="360" w:lineRule="auto"/>
        <w:rPr>
          <w:rFonts w:cs="Arial"/>
          <w:sz w:val="20"/>
          <w:szCs w:val="20"/>
        </w:rPr>
      </w:pPr>
      <w:r w:rsidRPr="00816C7D">
        <w:rPr>
          <w:rFonts w:cs="Arial"/>
          <w:sz w:val="20"/>
          <w:szCs w:val="20"/>
        </w:rPr>
        <w:t xml:space="preserve">La prospettiva adottata </w:t>
      </w:r>
      <w:r>
        <w:rPr>
          <w:rFonts w:cs="Arial"/>
          <w:sz w:val="20"/>
          <w:szCs w:val="20"/>
        </w:rPr>
        <w:t xml:space="preserve">nell’analisi è quella del SSN. </w:t>
      </w:r>
      <w:r w:rsidRPr="001966E6">
        <w:rPr>
          <w:rFonts w:cs="Arial"/>
          <w:sz w:val="20"/>
          <w:szCs w:val="20"/>
        </w:rPr>
        <w:t xml:space="preserve">ALTEMS ha sviluppato un modello di budget impact su base Excel. Il modello considera, partendo da una popolazione iniziale di </w:t>
      </w:r>
      <w:r w:rsidRPr="003E71C8">
        <w:rPr>
          <w:rFonts w:cs="Arial"/>
          <w:sz w:val="20"/>
          <w:szCs w:val="20"/>
        </w:rPr>
        <w:t>2.000.670 pazienti di cui 351.536 sono pazienti affetti da gotta e 1.649.134 da iperuricemia (dato calcolato partendo dalla popolazione stimata secondo i dati IMS 06/2016 (1.761.063), aggiustata considerando l’evoluzione epidemiologica della patologia e la crescita del mercato), i</w:t>
      </w:r>
      <w:r w:rsidRPr="001966E6">
        <w:rPr>
          <w:rFonts w:cs="Arial"/>
          <w:sz w:val="20"/>
          <w:szCs w:val="20"/>
        </w:rPr>
        <w:t xml:space="preserve"> pazienti eleggibili ad un trattamento in seconda linea con la combinazione </w:t>
      </w:r>
      <w:r>
        <w:rPr>
          <w:rFonts w:cs="Arial"/>
          <w:sz w:val="20"/>
          <w:szCs w:val="20"/>
        </w:rPr>
        <w:t>lesinurad + a</w:t>
      </w:r>
      <w:r w:rsidRPr="001966E6">
        <w:rPr>
          <w:rFonts w:cs="Arial"/>
          <w:sz w:val="20"/>
          <w:szCs w:val="20"/>
        </w:rPr>
        <w:t>llopurinolo</w:t>
      </w:r>
      <w:r>
        <w:rPr>
          <w:rFonts w:cs="Arial"/>
          <w:sz w:val="20"/>
          <w:szCs w:val="20"/>
        </w:rPr>
        <w:t xml:space="preserve"> e nella piccola quota di pazienti elegibbili in terza linea (3% circa) con la combinazione lesinurad + febuxostat).</w:t>
      </w:r>
    </w:p>
    <w:p w14:paraId="53223F23" w14:textId="77777777" w:rsidR="00A717AE" w:rsidRPr="001966E6" w:rsidRDefault="00A717AE" w:rsidP="00A717AE">
      <w:pPr>
        <w:widowControl w:val="0"/>
        <w:autoSpaceDE w:val="0"/>
        <w:autoSpaceDN w:val="0"/>
        <w:adjustRightInd w:val="0"/>
        <w:spacing w:line="360" w:lineRule="auto"/>
        <w:rPr>
          <w:rFonts w:cs="Arial"/>
          <w:sz w:val="20"/>
          <w:szCs w:val="20"/>
        </w:rPr>
      </w:pPr>
      <w:r w:rsidRPr="001966E6">
        <w:rPr>
          <w:rFonts w:cs="Arial"/>
          <w:sz w:val="20"/>
          <w:szCs w:val="20"/>
        </w:rPr>
        <w:t>L’impatto sul budget del Sistema Sanitario Nazionale è stimato sulla base dei costi per acquisizione del farmaco. Il modello simula due scenari di mercato con una pr</w:t>
      </w:r>
      <w:r>
        <w:rPr>
          <w:rFonts w:cs="Arial"/>
          <w:sz w:val="20"/>
          <w:szCs w:val="20"/>
        </w:rPr>
        <w:t xml:space="preserve">oiezione a 3 anni (dall’anno 1 </w:t>
      </w:r>
      <w:r w:rsidRPr="001966E6">
        <w:rPr>
          <w:rFonts w:cs="Arial"/>
          <w:sz w:val="20"/>
          <w:szCs w:val="20"/>
        </w:rPr>
        <w:t xml:space="preserve">all’anno </w:t>
      </w:r>
      <w:r>
        <w:rPr>
          <w:rFonts w:cs="Arial"/>
          <w:sz w:val="20"/>
          <w:szCs w:val="20"/>
        </w:rPr>
        <w:t>3</w:t>
      </w:r>
      <w:r w:rsidRPr="001966E6">
        <w:rPr>
          <w:rFonts w:cs="Arial"/>
          <w:sz w:val="20"/>
          <w:szCs w:val="20"/>
        </w:rPr>
        <w:t xml:space="preserve">) con e senza l’introduzione di </w:t>
      </w:r>
      <w:r>
        <w:rPr>
          <w:rFonts w:cs="Arial"/>
          <w:sz w:val="20"/>
          <w:szCs w:val="20"/>
        </w:rPr>
        <w:t>lesinurad</w:t>
      </w:r>
      <w:r w:rsidRPr="001966E6">
        <w:rPr>
          <w:rFonts w:cs="Arial"/>
          <w:sz w:val="20"/>
          <w:szCs w:val="20"/>
        </w:rPr>
        <w:t xml:space="preserve"> a partire dall’anno </w:t>
      </w:r>
      <w:r>
        <w:rPr>
          <w:rFonts w:cs="Arial"/>
          <w:sz w:val="20"/>
          <w:szCs w:val="20"/>
        </w:rPr>
        <w:t>1</w:t>
      </w:r>
      <w:r w:rsidRPr="001966E6">
        <w:rPr>
          <w:rFonts w:cs="Arial"/>
          <w:sz w:val="20"/>
          <w:szCs w:val="20"/>
        </w:rPr>
        <w:t>.</w:t>
      </w:r>
    </w:p>
    <w:p w14:paraId="63DCF868" w14:textId="77777777" w:rsidR="00A717AE" w:rsidRPr="001966E6" w:rsidRDefault="00A717AE" w:rsidP="00A717AE">
      <w:pPr>
        <w:widowControl w:val="0"/>
        <w:autoSpaceDE w:val="0"/>
        <w:autoSpaceDN w:val="0"/>
        <w:adjustRightInd w:val="0"/>
        <w:spacing w:line="360" w:lineRule="auto"/>
        <w:rPr>
          <w:rFonts w:cstheme="minorHAnsi"/>
          <w:sz w:val="20"/>
          <w:szCs w:val="20"/>
        </w:rPr>
      </w:pPr>
      <w:r w:rsidRPr="001966E6">
        <w:rPr>
          <w:rFonts w:cs="Arial"/>
          <w:sz w:val="20"/>
          <w:szCs w:val="20"/>
        </w:rPr>
        <w:t xml:space="preserve">Per garantire un confronto omogeneo sia tra i due scenari che tra i diversi anni e per semplicità di modellistica </w:t>
      </w:r>
      <w:r w:rsidRPr="001966E6">
        <w:rPr>
          <w:rFonts w:cstheme="minorHAnsi"/>
          <w:sz w:val="20"/>
          <w:szCs w:val="20"/>
        </w:rPr>
        <w:t>sono stat</w:t>
      </w:r>
      <w:r>
        <w:rPr>
          <w:rFonts w:cstheme="minorHAnsi"/>
          <w:sz w:val="20"/>
          <w:szCs w:val="20"/>
        </w:rPr>
        <w:t>e</w:t>
      </w:r>
      <w:r w:rsidRPr="001966E6">
        <w:rPr>
          <w:rFonts w:cstheme="minorHAnsi"/>
          <w:sz w:val="20"/>
          <w:szCs w:val="20"/>
        </w:rPr>
        <w:t xml:space="preserve"> applicate le seguenti assunzioni:</w:t>
      </w:r>
    </w:p>
    <w:p w14:paraId="2F328DB1" w14:textId="77777777" w:rsidR="00A717AE" w:rsidRPr="001966E6" w:rsidRDefault="00A717AE" w:rsidP="00825BD3">
      <w:pPr>
        <w:pStyle w:val="ListParagraph"/>
        <w:widowControl w:val="0"/>
        <w:numPr>
          <w:ilvl w:val="0"/>
          <w:numId w:val="50"/>
        </w:numPr>
        <w:autoSpaceDE w:val="0"/>
        <w:autoSpaceDN w:val="0"/>
        <w:adjustRightInd w:val="0"/>
        <w:spacing w:line="360" w:lineRule="auto"/>
        <w:ind w:left="284" w:hanging="284"/>
        <w:rPr>
          <w:rFonts w:asciiTheme="minorHAnsi" w:hAnsiTheme="minorHAnsi" w:cstheme="minorHAnsi"/>
          <w:sz w:val="20"/>
          <w:szCs w:val="20"/>
        </w:rPr>
      </w:pPr>
      <w:r w:rsidRPr="001966E6">
        <w:rPr>
          <w:rFonts w:asciiTheme="minorHAnsi" w:hAnsiTheme="minorHAnsi" w:cstheme="minorHAnsi"/>
          <w:sz w:val="20"/>
          <w:szCs w:val="20"/>
        </w:rPr>
        <w:t>Tasso di mortalità della coorte di pazienti è considerato nullo per i 3 anni;</w:t>
      </w:r>
    </w:p>
    <w:p w14:paraId="417285F5" w14:textId="77777777" w:rsidR="00A717AE" w:rsidRPr="001966E6" w:rsidRDefault="00A717AE" w:rsidP="00825BD3">
      <w:pPr>
        <w:pStyle w:val="ListParagraph"/>
        <w:widowControl w:val="0"/>
        <w:numPr>
          <w:ilvl w:val="0"/>
          <w:numId w:val="50"/>
        </w:numPr>
        <w:autoSpaceDE w:val="0"/>
        <w:autoSpaceDN w:val="0"/>
        <w:adjustRightInd w:val="0"/>
        <w:spacing w:line="360" w:lineRule="auto"/>
        <w:ind w:left="284" w:hanging="284"/>
        <w:rPr>
          <w:rFonts w:asciiTheme="minorHAnsi" w:hAnsiTheme="minorHAnsi" w:cstheme="minorHAnsi"/>
          <w:sz w:val="20"/>
          <w:szCs w:val="20"/>
        </w:rPr>
      </w:pPr>
      <w:r w:rsidRPr="001966E6">
        <w:rPr>
          <w:rFonts w:asciiTheme="minorHAnsi" w:hAnsiTheme="minorHAnsi" w:cstheme="minorHAnsi"/>
          <w:sz w:val="20"/>
          <w:szCs w:val="20"/>
        </w:rPr>
        <w:t>La coorte di pazienti è analizzata per 3 anni in base a</w:t>
      </w:r>
      <w:r>
        <w:rPr>
          <w:rFonts w:asciiTheme="minorHAnsi" w:hAnsiTheme="minorHAnsi" w:cstheme="minorHAnsi"/>
          <w:sz w:val="20"/>
          <w:szCs w:val="20"/>
        </w:rPr>
        <w:t>lla stima delle quote di mercato</w:t>
      </w:r>
      <w:r w:rsidRPr="001966E6">
        <w:rPr>
          <w:rFonts w:asciiTheme="minorHAnsi" w:hAnsiTheme="minorHAnsi" w:cstheme="minorHAnsi"/>
          <w:sz w:val="20"/>
          <w:szCs w:val="20"/>
        </w:rPr>
        <w:t>;</w:t>
      </w:r>
    </w:p>
    <w:p w14:paraId="6189ECDB" w14:textId="77777777" w:rsidR="00A717AE" w:rsidRPr="001966E6" w:rsidRDefault="00A717AE" w:rsidP="00825BD3">
      <w:pPr>
        <w:pStyle w:val="ListParagraph"/>
        <w:widowControl w:val="0"/>
        <w:numPr>
          <w:ilvl w:val="0"/>
          <w:numId w:val="50"/>
        </w:numPr>
        <w:autoSpaceDE w:val="0"/>
        <w:autoSpaceDN w:val="0"/>
        <w:adjustRightInd w:val="0"/>
        <w:spacing w:line="360" w:lineRule="auto"/>
        <w:ind w:left="284" w:hanging="284"/>
        <w:rPr>
          <w:rFonts w:asciiTheme="minorHAnsi" w:hAnsiTheme="minorHAnsi" w:cstheme="minorHAnsi"/>
          <w:sz w:val="20"/>
          <w:szCs w:val="20"/>
        </w:rPr>
      </w:pPr>
      <w:r w:rsidRPr="001966E6">
        <w:rPr>
          <w:rFonts w:asciiTheme="minorHAnsi" w:hAnsiTheme="minorHAnsi" w:cstheme="minorHAnsi"/>
          <w:sz w:val="20"/>
          <w:szCs w:val="20"/>
        </w:rPr>
        <w:t xml:space="preserve">Il consumo farmaceutico per ciascun paziente è calcolato </w:t>
      </w:r>
      <w:r>
        <w:rPr>
          <w:rFonts w:asciiTheme="minorHAnsi" w:hAnsiTheme="minorHAnsi" w:cstheme="minorHAnsi"/>
          <w:sz w:val="20"/>
          <w:szCs w:val="20"/>
        </w:rPr>
        <w:t>stimando un’aderenza del 50%, come derivata dallo studio IMS.</w:t>
      </w:r>
    </w:p>
    <w:p w14:paraId="03507A22" w14:textId="77777777" w:rsidR="00A717AE" w:rsidRPr="00816C7D" w:rsidRDefault="00A717AE" w:rsidP="00A717AE">
      <w:pPr>
        <w:widowControl w:val="0"/>
        <w:autoSpaceDE w:val="0"/>
        <w:autoSpaceDN w:val="0"/>
        <w:adjustRightInd w:val="0"/>
        <w:spacing w:line="360" w:lineRule="auto"/>
        <w:rPr>
          <w:rFonts w:cs="Arial"/>
          <w:sz w:val="20"/>
          <w:szCs w:val="20"/>
        </w:rPr>
      </w:pPr>
    </w:p>
    <w:p w14:paraId="416A2565" w14:textId="77777777" w:rsidR="00A717AE" w:rsidRPr="00816C7D" w:rsidRDefault="00A717AE" w:rsidP="00825BD3">
      <w:pPr>
        <w:pStyle w:val="ListParagraph"/>
        <w:numPr>
          <w:ilvl w:val="1"/>
          <w:numId w:val="41"/>
        </w:numPr>
        <w:spacing w:after="120"/>
        <w:ind w:left="567" w:hanging="567"/>
        <w:rPr>
          <w:rFonts w:asciiTheme="minorHAnsi" w:hAnsiTheme="minorHAnsi" w:cstheme="minorHAnsi"/>
          <w:b/>
          <w:bCs/>
          <w:sz w:val="20"/>
          <w:szCs w:val="20"/>
          <w:u w:val="single"/>
          <w:lang w:val="fr-FR" w:eastAsia="fr-FR" w:bidi="en-US"/>
        </w:rPr>
      </w:pPr>
      <w:r w:rsidRPr="00816C7D">
        <w:rPr>
          <w:rFonts w:asciiTheme="minorHAnsi" w:hAnsiTheme="minorHAnsi" w:cstheme="minorHAnsi"/>
          <w:b/>
          <w:bCs/>
          <w:sz w:val="20"/>
          <w:szCs w:val="20"/>
          <w:u w:val="single"/>
          <w:lang w:val="fr-FR" w:eastAsia="fr-FR" w:bidi="en-US"/>
        </w:rPr>
        <w:t>Fonte dei dati di costo e metodi utilizzati per la loro stima</w:t>
      </w:r>
    </w:p>
    <w:p w14:paraId="202972A1" w14:textId="0CBC82AC" w:rsidR="00A717AE" w:rsidRPr="001966E6" w:rsidRDefault="00A717AE" w:rsidP="00A717AE">
      <w:pPr>
        <w:widowControl w:val="0"/>
        <w:autoSpaceDE w:val="0"/>
        <w:autoSpaceDN w:val="0"/>
        <w:adjustRightInd w:val="0"/>
        <w:spacing w:line="360" w:lineRule="auto"/>
        <w:rPr>
          <w:rFonts w:cs="Arial"/>
          <w:sz w:val="20"/>
          <w:szCs w:val="20"/>
        </w:rPr>
      </w:pPr>
      <w:r w:rsidRPr="001966E6">
        <w:rPr>
          <w:rFonts w:cs="Arial"/>
          <w:sz w:val="20"/>
          <w:szCs w:val="20"/>
        </w:rPr>
        <w:t>L’analisi dei costi di trattamento farmacologico comprende le s</w:t>
      </w:r>
      <w:r>
        <w:rPr>
          <w:rFonts w:cs="Arial"/>
          <w:sz w:val="20"/>
          <w:szCs w:val="20"/>
        </w:rPr>
        <w:t>eguenti specialità medicinali: allopurinolo e f</w:t>
      </w:r>
      <w:r w:rsidRPr="001966E6">
        <w:rPr>
          <w:rFonts w:cs="Arial"/>
          <w:sz w:val="20"/>
          <w:szCs w:val="20"/>
        </w:rPr>
        <w:t xml:space="preserve">ebuxostat (Adenuric) valorizzate al prezzo ex-factory </w:t>
      </w:r>
      <w:r>
        <w:rPr>
          <w:rFonts w:cs="Arial"/>
          <w:sz w:val="20"/>
          <w:szCs w:val="20"/>
        </w:rPr>
        <w:t xml:space="preserve">netto </w:t>
      </w:r>
      <w:r w:rsidRPr="001966E6">
        <w:rPr>
          <w:rFonts w:cs="Arial"/>
          <w:sz w:val="20"/>
          <w:szCs w:val="20"/>
        </w:rPr>
        <w:t xml:space="preserve">e </w:t>
      </w:r>
      <w:r>
        <w:rPr>
          <w:rFonts w:cs="Arial"/>
          <w:sz w:val="20"/>
          <w:szCs w:val="20"/>
        </w:rPr>
        <w:t>lesinurad</w:t>
      </w:r>
      <w:r w:rsidRPr="001966E6">
        <w:rPr>
          <w:rFonts w:cs="Arial"/>
          <w:sz w:val="20"/>
          <w:szCs w:val="20"/>
        </w:rPr>
        <w:t xml:space="preserve">, la cui introduzione nel mercato Italiano è prevista per l’anno </w:t>
      </w:r>
      <w:r>
        <w:rPr>
          <w:rFonts w:cs="Arial"/>
          <w:sz w:val="20"/>
          <w:szCs w:val="20"/>
        </w:rPr>
        <w:t>1</w:t>
      </w:r>
      <w:r w:rsidRPr="001966E6">
        <w:rPr>
          <w:rFonts w:cs="Arial"/>
          <w:sz w:val="20"/>
          <w:szCs w:val="20"/>
        </w:rPr>
        <w:t>, stimando un prezzo pari a €0,</w:t>
      </w:r>
      <w:r>
        <w:rPr>
          <w:rFonts w:cs="Arial"/>
          <w:sz w:val="20"/>
          <w:szCs w:val="20"/>
        </w:rPr>
        <w:t>85</w:t>
      </w:r>
      <w:r w:rsidRPr="001966E6">
        <w:rPr>
          <w:rFonts w:cs="Arial"/>
          <w:sz w:val="20"/>
          <w:szCs w:val="20"/>
        </w:rPr>
        <w:t>/cp</w:t>
      </w:r>
      <w:r>
        <w:rPr>
          <w:rFonts w:cs="Arial"/>
          <w:sz w:val="20"/>
          <w:szCs w:val="20"/>
        </w:rPr>
        <w:t>r</w:t>
      </w:r>
      <w:r w:rsidRPr="001966E6">
        <w:rPr>
          <w:rFonts w:cs="Arial"/>
          <w:sz w:val="20"/>
          <w:szCs w:val="20"/>
        </w:rPr>
        <w:t>.</w:t>
      </w:r>
    </w:p>
    <w:p w14:paraId="711F5A49" w14:textId="77777777" w:rsidR="00A717AE" w:rsidRDefault="00A717AE" w:rsidP="00A717AE">
      <w:pPr>
        <w:rPr>
          <w:rFonts w:cs="Arial"/>
          <w:sz w:val="20"/>
          <w:szCs w:val="20"/>
        </w:rPr>
      </w:pPr>
      <w:r>
        <w:rPr>
          <w:rFonts w:cs="Arial"/>
          <w:sz w:val="20"/>
          <w:szCs w:val="20"/>
        </w:rPr>
        <w:br w:type="page"/>
      </w:r>
    </w:p>
    <w:p w14:paraId="5AD78D84" w14:textId="77777777" w:rsidR="00A717AE" w:rsidRPr="00816C7D" w:rsidRDefault="00A717AE" w:rsidP="00825BD3">
      <w:pPr>
        <w:pStyle w:val="ListParagraph"/>
        <w:numPr>
          <w:ilvl w:val="1"/>
          <w:numId w:val="41"/>
        </w:numPr>
        <w:spacing w:after="120"/>
        <w:ind w:left="567" w:hanging="567"/>
        <w:rPr>
          <w:rFonts w:asciiTheme="minorHAnsi" w:hAnsiTheme="minorHAnsi" w:cstheme="minorHAnsi"/>
          <w:b/>
          <w:bCs/>
          <w:sz w:val="20"/>
          <w:szCs w:val="20"/>
          <w:u w:val="single"/>
          <w:lang w:val="fr-FR" w:eastAsia="fr-FR" w:bidi="en-US"/>
        </w:rPr>
      </w:pPr>
      <w:r w:rsidRPr="00816C7D">
        <w:rPr>
          <w:rFonts w:asciiTheme="minorHAnsi" w:hAnsiTheme="minorHAnsi" w:cstheme="minorHAnsi"/>
          <w:b/>
          <w:bCs/>
          <w:sz w:val="20"/>
          <w:szCs w:val="20"/>
          <w:u w:val="single"/>
          <w:lang w:val="fr-FR" w:eastAsia="fr-FR" w:bidi="en-US"/>
        </w:rPr>
        <w:t xml:space="preserve">Risultati espressi come indicatore di costo/efficacia (o di costo/utilità, costo/beneficio) </w:t>
      </w:r>
    </w:p>
    <w:p w14:paraId="7975D611" w14:textId="24CEF18D" w:rsidR="00A717AE" w:rsidRDefault="00A717AE" w:rsidP="00A717AE">
      <w:pPr>
        <w:widowControl w:val="0"/>
        <w:autoSpaceDE w:val="0"/>
        <w:autoSpaceDN w:val="0"/>
        <w:adjustRightInd w:val="0"/>
        <w:spacing w:line="360" w:lineRule="auto"/>
        <w:rPr>
          <w:rFonts w:cs="Arial"/>
          <w:sz w:val="20"/>
          <w:szCs w:val="20"/>
        </w:rPr>
      </w:pPr>
      <w:r w:rsidRPr="004B0BE3">
        <w:rPr>
          <w:rFonts w:cs="Arial"/>
          <w:sz w:val="20"/>
          <w:szCs w:val="20"/>
        </w:rPr>
        <w:t>I risultati del Modello BIA sono illustrati nelle Tabelle e Grafici che seguono.</w:t>
      </w:r>
      <w:r w:rsidR="003F359A">
        <w:rPr>
          <w:rFonts w:cs="Arial"/>
          <w:sz w:val="20"/>
          <w:szCs w:val="20"/>
        </w:rPr>
        <w:t xml:space="preserve">  </w:t>
      </w:r>
      <w:r w:rsidRPr="001966E6">
        <w:rPr>
          <w:rFonts w:cs="Arial"/>
          <w:sz w:val="20"/>
          <w:szCs w:val="20"/>
        </w:rPr>
        <w:t>La simulazione dell’impatto sul budget è stimata a partire da</w:t>
      </w:r>
      <w:r>
        <w:rPr>
          <w:rFonts w:cs="Arial"/>
          <w:sz w:val="20"/>
          <w:szCs w:val="20"/>
        </w:rPr>
        <w:t>lle quote di mercato dell’anno 1</w:t>
      </w:r>
      <w:r w:rsidRPr="001966E6">
        <w:rPr>
          <w:rFonts w:cs="Arial"/>
          <w:sz w:val="20"/>
          <w:szCs w:val="20"/>
        </w:rPr>
        <w:t xml:space="preserve"> e per i 2 anni successivi con e senza l’introduzione di </w:t>
      </w:r>
      <w:r>
        <w:rPr>
          <w:rFonts w:cs="Arial"/>
          <w:sz w:val="20"/>
          <w:szCs w:val="20"/>
        </w:rPr>
        <w:t>lesinurad</w:t>
      </w:r>
      <w:r w:rsidRPr="001966E6">
        <w:rPr>
          <w:rFonts w:cs="Arial"/>
          <w:sz w:val="20"/>
          <w:szCs w:val="20"/>
        </w:rPr>
        <w:t xml:space="preserve">. Le differenze di costo dei due scenari per gli anni </w:t>
      </w:r>
      <w:r>
        <w:rPr>
          <w:rFonts w:cs="Arial"/>
          <w:sz w:val="20"/>
          <w:szCs w:val="20"/>
        </w:rPr>
        <w:t>1, 2 e 3</w:t>
      </w:r>
      <w:r w:rsidRPr="001966E6">
        <w:rPr>
          <w:rFonts w:cs="Arial"/>
          <w:sz w:val="20"/>
          <w:szCs w:val="20"/>
        </w:rPr>
        <w:t xml:space="preserve"> rappresentano il risultato dell’analisi di budget impact.</w:t>
      </w:r>
      <w:r>
        <w:rPr>
          <w:rFonts w:cs="Arial"/>
          <w:sz w:val="20"/>
          <w:szCs w:val="20"/>
        </w:rPr>
        <w:t xml:space="preserve"> </w:t>
      </w:r>
      <w:r w:rsidRPr="001966E6">
        <w:rPr>
          <w:rFonts w:cs="Arial"/>
          <w:sz w:val="20"/>
          <w:szCs w:val="20"/>
        </w:rPr>
        <w:t>Le quote d</w:t>
      </w:r>
      <w:r>
        <w:rPr>
          <w:rFonts w:cs="Arial"/>
          <w:sz w:val="20"/>
          <w:szCs w:val="20"/>
        </w:rPr>
        <w:t xml:space="preserve">i mercato stimate sono riportate nella </w:t>
      </w:r>
      <w:hyperlink w:anchor="Tabella30" w:history="1">
        <w:r w:rsidRPr="00455A42">
          <w:rPr>
            <w:rStyle w:val="Hyperlink"/>
            <w:rFonts w:cs="Arial"/>
            <w:sz w:val="20"/>
            <w:szCs w:val="20"/>
          </w:rPr>
          <w:t xml:space="preserve">Tabella </w:t>
        </w:r>
        <w:r>
          <w:rPr>
            <w:rStyle w:val="Hyperlink"/>
            <w:rFonts w:cs="Arial"/>
            <w:sz w:val="20"/>
            <w:szCs w:val="20"/>
          </w:rPr>
          <w:t>30</w:t>
        </w:r>
      </w:hyperlink>
      <w:r>
        <w:rPr>
          <w:rFonts w:cs="Arial"/>
          <w:sz w:val="20"/>
          <w:szCs w:val="20"/>
        </w:rPr>
        <w:t>.</w:t>
      </w:r>
    </w:p>
    <w:p w14:paraId="38A247D5" w14:textId="77777777" w:rsidR="00A717AE" w:rsidRPr="00455A42" w:rsidRDefault="00A717AE" w:rsidP="00A717AE">
      <w:pPr>
        <w:pStyle w:val="Caption"/>
        <w:jc w:val="left"/>
        <w:rPr>
          <w:rFonts w:asciiTheme="minorHAnsi" w:hAnsiTheme="minorHAnsi" w:cstheme="minorHAnsi"/>
          <w:lang w:val="it-IT"/>
        </w:rPr>
      </w:pPr>
      <w:bookmarkStart w:id="242" w:name="Tabella30"/>
      <w:bookmarkStart w:id="243" w:name="_Toc473150715"/>
      <w:bookmarkEnd w:id="242"/>
      <w:r w:rsidRPr="00455A42">
        <w:rPr>
          <w:rFonts w:asciiTheme="minorHAnsi" w:hAnsiTheme="minorHAnsi" w:cstheme="minorHAnsi"/>
          <w:lang w:val="it-IT"/>
        </w:rPr>
        <w:t xml:space="preserve">Tabella </w:t>
      </w:r>
      <w:r w:rsidRPr="00455A42">
        <w:rPr>
          <w:rFonts w:asciiTheme="minorHAnsi" w:hAnsiTheme="minorHAnsi" w:cstheme="minorHAnsi"/>
        </w:rPr>
        <w:fldChar w:fldCharType="begin"/>
      </w:r>
      <w:r w:rsidRPr="00455A42">
        <w:rPr>
          <w:rFonts w:asciiTheme="minorHAnsi" w:hAnsiTheme="minorHAnsi" w:cstheme="minorHAnsi"/>
          <w:lang w:val="it-IT"/>
        </w:rPr>
        <w:instrText xml:space="preserve"> SEQ Tabella \* ARABIC </w:instrText>
      </w:r>
      <w:r w:rsidRPr="00455A42">
        <w:rPr>
          <w:rFonts w:asciiTheme="minorHAnsi" w:hAnsiTheme="minorHAnsi" w:cstheme="minorHAnsi"/>
        </w:rPr>
        <w:fldChar w:fldCharType="separate"/>
      </w:r>
      <w:r w:rsidR="00A1679C">
        <w:rPr>
          <w:rFonts w:asciiTheme="minorHAnsi" w:hAnsiTheme="minorHAnsi" w:cstheme="minorHAnsi"/>
          <w:noProof/>
          <w:lang w:val="it-IT"/>
        </w:rPr>
        <w:t>30</w:t>
      </w:r>
      <w:r w:rsidRPr="00455A42">
        <w:rPr>
          <w:rFonts w:asciiTheme="minorHAnsi" w:hAnsiTheme="minorHAnsi" w:cstheme="minorHAnsi"/>
        </w:rPr>
        <w:fldChar w:fldCharType="end"/>
      </w:r>
      <w:r w:rsidRPr="00455A42">
        <w:rPr>
          <w:rFonts w:asciiTheme="minorHAnsi" w:hAnsiTheme="minorHAnsi" w:cstheme="minorHAnsi"/>
          <w:lang w:val="it-IT"/>
        </w:rPr>
        <w:t xml:space="preserve"> - Quote di mercato negli scenari a confronto nella simulazione di budget impact</w:t>
      </w:r>
      <w:bookmarkEnd w:id="243"/>
    </w:p>
    <w:tbl>
      <w:tblPr>
        <w:tblW w:w="8900" w:type="dxa"/>
        <w:tblCellMar>
          <w:left w:w="0" w:type="dxa"/>
          <w:right w:w="0" w:type="dxa"/>
        </w:tblCellMar>
        <w:tblLook w:val="0420" w:firstRow="1" w:lastRow="0" w:firstColumn="0" w:lastColumn="0" w:noHBand="0" w:noVBand="1"/>
      </w:tblPr>
      <w:tblGrid>
        <w:gridCol w:w="2228"/>
        <w:gridCol w:w="2224"/>
        <w:gridCol w:w="2224"/>
        <w:gridCol w:w="2224"/>
      </w:tblGrid>
      <w:tr w:rsidR="00A717AE" w:rsidRPr="00A429EE" w14:paraId="1234015C" w14:textId="77777777" w:rsidTr="003F359A">
        <w:trPr>
          <w:trHeight w:val="397"/>
        </w:trPr>
        <w:tc>
          <w:tcPr>
            <w:tcW w:w="222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44AA8162" w14:textId="77777777" w:rsidR="00A717AE" w:rsidRPr="00A429EE" w:rsidRDefault="00A717AE" w:rsidP="003F359A">
            <w:pPr>
              <w:spacing w:line="340" w:lineRule="atLeast"/>
              <w:jc w:val="center"/>
              <w:textAlignment w:val="bottom"/>
              <w:rPr>
                <w:rFonts w:ascii="Arial" w:eastAsia="Times New Roman" w:hAnsi="Arial" w:cs="Arial"/>
                <w:sz w:val="36"/>
                <w:szCs w:val="36"/>
                <w:lang w:eastAsia="it-IT"/>
              </w:rPr>
            </w:pPr>
            <w:r w:rsidRPr="00A429EE">
              <w:rPr>
                <w:rFonts w:ascii="Calibri" w:eastAsia="Times New Roman" w:hAnsi="Calibri" w:cs="Calibri"/>
                <w:b/>
                <w:bCs/>
                <w:color w:val="000000" w:themeColor="text1"/>
                <w:kern w:val="24"/>
                <w:sz w:val="20"/>
                <w:szCs w:val="20"/>
                <w:lang w:val="en-US" w:eastAsia="it-IT"/>
              </w:rPr>
              <w:t>Without Zurampic</w:t>
            </w:r>
          </w:p>
        </w:tc>
        <w:tc>
          <w:tcPr>
            <w:tcW w:w="2224"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5C325F9F" w14:textId="77777777" w:rsidR="00A717AE" w:rsidRPr="00A429EE" w:rsidRDefault="00A717AE" w:rsidP="003F359A">
            <w:pPr>
              <w:spacing w:line="340" w:lineRule="atLeast"/>
              <w:jc w:val="center"/>
              <w:textAlignment w:val="bottom"/>
              <w:rPr>
                <w:rFonts w:ascii="Arial" w:eastAsia="Times New Roman" w:hAnsi="Arial" w:cs="Arial"/>
                <w:sz w:val="36"/>
                <w:szCs w:val="36"/>
                <w:lang w:eastAsia="it-IT"/>
              </w:rPr>
            </w:pPr>
            <w:r>
              <w:rPr>
                <w:rFonts w:ascii="Calibri" w:eastAsia="Times New Roman" w:hAnsi="Calibri" w:cs="Calibri"/>
                <w:b/>
                <w:bCs/>
                <w:color w:val="000000" w:themeColor="text1"/>
                <w:kern w:val="24"/>
                <w:sz w:val="20"/>
                <w:szCs w:val="20"/>
                <w:lang w:val="en-US" w:eastAsia="it-IT"/>
              </w:rPr>
              <w:t>Anno 1</w:t>
            </w:r>
          </w:p>
        </w:tc>
        <w:tc>
          <w:tcPr>
            <w:tcW w:w="2224"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138B3A7F" w14:textId="77777777" w:rsidR="00A717AE" w:rsidRPr="00A429EE" w:rsidRDefault="00A717AE" w:rsidP="003F359A">
            <w:pPr>
              <w:spacing w:line="340" w:lineRule="atLeast"/>
              <w:jc w:val="center"/>
              <w:textAlignment w:val="bottom"/>
              <w:rPr>
                <w:rFonts w:ascii="Arial" w:eastAsia="Times New Roman" w:hAnsi="Arial" w:cs="Arial"/>
                <w:sz w:val="36"/>
                <w:szCs w:val="36"/>
                <w:lang w:eastAsia="it-IT"/>
              </w:rPr>
            </w:pPr>
            <w:r>
              <w:rPr>
                <w:rFonts w:ascii="Calibri" w:eastAsia="Times New Roman" w:hAnsi="Calibri" w:cs="Calibri"/>
                <w:b/>
                <w:bCs/>
                <w:color w:val="000000" w:themeColor="text1"/>
                <w:kern w:val="24"/>
                <w:sz w:val="20"/>
                <w:szCs w:val="20"/>
                <w:lang w:val="en-US" w:eastAsia="it-IT"/>
              </w:rPr>
              <w:t>Anno 2</w:t>
            </w:r>
          </w:p>
        </w:tc>
        <w:tc>
          <w:tcPr>
            <w:tcW w:w="2224"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5F4FC48B" w14:textId="77777777" w:rsidR="00A717AE" w:rsidRPr="00A429EE" w:rsidRDefault="00A717AE" w:rsidP="003F359A">
            <w:pPr>
              <w:spacing w:line="340" w:lineRule="atLeast"/>
              <w:jc w:val="center"/>
              <w:textAlignment w:val="bottom"/>
              <w:rPr>
                <w:rFonts w:ascii="Arial" w:eastAsia="Times New Roman" w:hAnsi="Arial" w:cs="Arial"/>
                <w:sz w:val="36"/>
                <w:szCs w:val="36"/>
                <w:lang w:eastAsia="it-IT"/>
              </w:rPr>
            </w:pPr>
            <w:r>
              <w:rPr>
                <w:rFonts w:ascii="Calibri" w:eastAsia="Times New Roman" w:hAnsi="Calibri" w:cs="Calibri"/>
                <w:b/>
                <w:bCs/>
                <w:color w:val="000000" w:themeColor="text1"/>
                <w:kern w:val="24"/>
                <w:sz w:val="20"/>
                <w:szCs w:val="20"/>
                <w:lang w:val="en-US" w:eastAsia="it-IT"/>
              </w:rPr>
              <w:t>Anno 3</w:t>
            </w:r>
          </w:p>
        </w:tc>
      </w:tr>
      <w:tr w:rsidR="00A717AE" w:rsidRPr="00A429EE" w14:paraId="01B643C8" w14:textId="77777777" w:rsidTr="003F359A">
        <w:trPr>
          <w:trHeight w:val="397"/>
        </w:trPr>
        <w:tc>
          <w:tcPr>
            <w:tcW w:w="2228" w:type="dxa"/>
            <w:tcBorders>
              <w:top w:val="single" w:sz="8" w:space="0" w:color="F79646"/>
              <w:left w:val="nil"/>
              <w:bottom w:val="nil"/>
              <w:right w:val="nil"/>
            </w:tcBorders>
            <w:shd w:val="clear" w:color="auto" w:fill="FDEFE9"/>
            <w:tcMar>
              <w:top w:w="15" w:type="dxa"/>
              <w:left w:w="15" w:type="dxa"/>
              <w:bottom w:w="0" w:type="dxa"/>
              <w:right w:w="15" w:type="dxa"/>
            </w:tcMar>
            <w:vAlign w:val="center"/>
            <w:hideMark/>
          </w:tcPr>
          <w:p w14:paraId="7024D95F" w14:textId="77777777" w:rsidR="00A717AE" w:rsidRPr="00A429EE" w:rsidRDefault="00A717AE" w:rsidP="003F359A">
            <w:pPr>
              <w:spacing w:line="340" w:lineRule="atLeast"/>
              <w:jc w:val="center"/>
              <w:textAlignment w:val="bottom"/>
              <w:rPr>
                <w:rFonts w:ascii="Arial" w:eastAsia="Times New Roman" w:hAnsi="Arial" w:cs="Arial"/>
                <w:sz w:val="36"/>
                <w:szCs w:val="36"/>
                <w:lang w:eastAsia="it-IT"/>
              </w:rPr>
            </w:pPr>
            <w:r w:rsidRPr="00A429EE">
              <w:rPr>
                <w:rFonts w:ascii="Calibri" w:eastAsia="Times New Roman" w:hAnsi="Calibri" w:cs="Calibri"/>
                <w:b/>
                <w:bCs/>
                <w:i/>
                <w:iCs/>
                <w:color w:val="000000" w:themeColor="text1"/>
                <w:kern w:val="24"/>
                <w:sz w:val="20"/>
                <w:szCs w:val="20"/>
                <w:lang w:val="en-US" w:eastAsia="it-IT"/>
              </w:rPr>
              <w:t xml:space="preserve">Gout </w:t>
            </w:r>
          </w:p>
        </w:tc>
        <w:tc>
          <w:tcPr>
            <w:tcW w:w="2224" w:type="dxa"/>
            <w:tcBorders>
              <w:top w:val="single" w:sz="8" w:space="0" w:color="F79646"/>
              <w:left w:val="nil"/>
              <w:bottom w:val="nil"/>
              <w:right w:val="nil"/>
            </w:tcBorders>
            <w:shd w:val="clear" w:color="auto" w:fill="FDEFE9"/>
            <w:tcMar>
              <w:top w:w="15" w:type="dxa"/>
              <w:left w:w="15" w:type="dxa"/>
              <w:bottom w:w="0" w:type="dxa"/>
              <w:right w:w="15" w:type="dxa"/>
            </w:tcMar>
            <w:vAlign w:val="bottom"/>
            <w:hideMark/>
          </w:tcPr>
          <w:p w14:paraId="50B3FF22" w14:textId="77777777" w:rsidR="00A717AE" w:rsidRPr="00A429EE" w:rsidRDefault="00A717AE" w:rsidP="003F359A">
            <w:pPr>
              <w:spacing w:line="340"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 </w:t>
            </w:r>
          </w:p>
        </w:tc>
        <w:tc>
          <w:tcPr>
            <w:tcW w:w="2224" w:type="dxa"/>
            <w:tcBorders>
              <w:top w:val="single" w:sz="8" w:space="0" w:color="F79646"/>
              <w:left w:val="nil"/>
              <w:bottom w:val="nil"/>
              <w:right w:val="nil"/>
            </w:tcBorders>
            <w:shd w:val="clear" w:color="auto" w:fill="FDEFE9"/>
            <w:tcMar>
              <w:top w:w="15" w:type="dxa"/>
              <w:left w:w="15" w:type="dxa"/>
              <w:bottom w:w="0" w:type="dxa"/>
              <w:right w:w="15" w:type="dxa"/>
            </w:tcMar>
            <w:vAlign w:val="bottom"/>
            <w:hideMark/>
          </w:tcPr>
          <w:p w14:paraId="244F8B4D" w14:textId="77777777" w:rsidR="00A717AE" w:rsidRPr="00A429EE" w:rsidRDefault="00A717AE" w:rsidP="003F359A">
            <w:pPr>
              <w:spacing w:line="340"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 </w:t>
            </w:r>
          </w:p>
        </w:tc>
        <w:tc>
          <w:tcPr>
            <w:tcW w:w="2224" w:type="dxa"/>
            <w:tcBorders>
              <w:top w:val="single" w:sz="8" w:space="0" w:color="F79646"/>
              <w:left w:val="nil"/>
              <w:bottom w:val="nil"/>
              <w:right w:val="nil"/>
            </w:tcBorders>
            <w:shd w:val="clear" w:color="auto" w:fill="FDEFE9"/>
            <w:tcMar>
              <w:top w:w="15" w:type="dxa"/>
              <w:left w:w="15" w:type="dxa"/>
              <w:bottom w:w="0" w:type="dxa"/>
              <w:right w:w="15" w:type="dxa"/>
            </w:tcMar>
            <w:vAlign w:val="bottom"/>
            <w:hideMark/>
          </w:tcPr>
          <w:p w14:paraId="1A9FDB8C" w14:textId="77777777" w:rsidR="00A717AE" w:rsidRPr="00A429EE" w:rsidRDefault="00A717AE" w:rsidP="003F359A">
            <w:pPr>
              <w:spacing w:line="340"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 </w:t>
            </w:r>
          </w:p>
        </w:tc>
      </w:tr>
      <w:tr w:rsidR="00A717AE" w:rsidRPr="00A429EE" w14:paraId="5F5D5C02" w14:textId="77777777" w:rsidTr="003F359A">
        <w:trPr>
          <w:trHeight w:val="331"/>
        </w:trPr>
        <w:tc>
          <w:tcPr>
            <w:tcW w:w="2228" w:type="dxa"/>
            <w:tcBorders>
              <w:top w:val="nil"/>
              <w:left w:val="nil"/>
              <w:bottom w:val="nil"/>
              <w:right w:val="nil"/>
            </w:tcBorders>
            <w:shd w:val="clear" w:color="auto" w:fill="auto"/>
            <w:tcMar>
              <w:top w:w="15" w:type="dxa"/>
              <w:left w:w="15" w:type="dxa"/>
              <w:bottom w:w="0" w:type="dxa"/>
              <w:right w:w="15" w:type="dxa"/>
            </w:tcMar>
            <w:vAlign w:val="bottom"/>
            <w:hideMark/>
          </w:tcPr>
          <w:p w14:paraId="485312CB"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Febuxostat</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3604C5FF"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16,26%</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702CA6B8"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17,26%</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7C04CDF0"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18,26%</w:t>
            </w:r>
          </w:p>
        </w:tc>
      </w:tr>
      <w:tr w:rsidR="00A717AE" w:rsidRPr="00A429EE" w14:paraId="27583267" w14:textId="77777777" w:rsidTr="003F359A">
        <w:trPr>
          <w:trHeight w:val="331"/>
        </w:trPr>
        <w:tc>
          <w:tcPr>
            <w:tcW w:w="2228" w:type="dxa"/>
            <w:tcBorders>
              <w:top w:val="nil"/>
              <w:left w:val="nil"/>
              <w:bottom w:val="nil"/>
              <w:right w:val="nil"/>
            </w:tcBorders>
            <w:shd w:val="clear" w:color="auto" w:fill="FDEFE9"/>
            <w:tcMar>
              <w:top w:w="15" w:type="dxa"/>
              <w:left w:w="15" w:type="dxa"/>
              <w:bottom w:w="0" w:type="dxa"/>
              <w:right w:w="15" w:type="dxa"/>
            </w:tcMar>
            <w:vAlign w:val="bottom"/>
            <w:hideMark/>
          </w:tcPr>
          <w:p w14:paraId="1B9FA141"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Allopurinol</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55F9FD00"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83,74%</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726BC04A"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82,74%</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2ABCC82D"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81,74%</w:t>
            </w:r>
          </w:p>
        </w:tc>
      </w:tr>
      <w:tr w:rsidR="00A717AE" w:rsidRPr="00A429EE" w14:paraId="4E9BD46B" w14:textId="77777777" w:rsidTr="003F359A">
        <w:trPr>
          <w:trHeight w:val="331"/>
        </w:trPr>
        <w:tc>
          <w:tcPr>
            <w:tcW w:w="2228" w:type="dxa"/>
            <w:tcBorders>
              <w:top w:val="nil"/>
              <w:left w:val="nil"/>
              <w:bottom w:val="nil"/>
              <w:right w:val="nil"/>
            </w:tcBorders>
            <w:shd w:val="clear" w:color="auto" w:fill="auto"/>
            <w:tcMar>
              <w:top w:w="15" w:type="dxa"/>
              <w:left w:w="15" w:type="dxa"/>
              <w:bottom w:w="0" w:type="dxa"/>
              <w:right w:w="15" w:type="dxa"/>
            </w:tcMar>
            <w:vAlign w:val="bottom"/>
            <w:hideMark/>
          </w:tcPr>
          <w:p w14:paraId="7D925AE7"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Allopurinol + Zurampic</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72B646AD"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55C2574D"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1B9C19F0"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r>
      <w:tr w:rsidR="00A717AE" w:rsidRPr="00A429EE" w14:paraId="4A7FA279" w14:textId="77777777" w:rsidTr="003F359A">
        <w:trPr>
          <w:trHeight w:val="331"/>
        </w:trPr>
        <w:tc>
          <w:tcPr>
            <w:tcW w:w="2228" w:type="dxa"/>
            <w:tcBorders>
              <w:top w:val="nil"/>
              <w:left w:val="nil"/>
              <w:bottom w:val="nil"/>
              <w:right w:val="nil"/>
            </w:tcBorders>
            <w:shd w:val="clear" w:color="auto" w:fill="FDEFE9"/>
            <w:tcMar>
              <w:top w:w="15" w:type="dxa"/>
              <w:left w:w="15" w:type="dxa"/>
              <w:bottom w:w="0" w:type="dxa"/>
              <w:right w:w="15" w:type="dxa"/>
            </w:tcMar>
            <w:vAlign w:val="bottom"/>
            <w:hideMark/>
          </w:tcPr>
          <w:p w14:paraId="4B30EA9B"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Febuxostat + Zurampic</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2EA51F11"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0FA59217"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5DE237B2"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r>
      <w:tr w:rsidR="00A717AE" w:rsidRPr="00A429EE" w14:paraId="2EF29444" w14:textId="77777777" w:rsidTr="003F359A">
        <w:trPr>
          <w:trHeight w:val="331"/>
        </w:trPr>
        <w:tc>
          <w:tcPr>
            <w:tcW w:w="2228" w:type="dxa"/>
            <w:tcBorders>
              <w:top w:val="nil"/>
              <w:left w:val="nil"/>
              <w:bottom w:val="nil"/>
              <w:right w:val="nil"/>
            </w:tcBorders>
            <w:shd w:val="clear" w:color="auto" w:fill="auto"/>
            <w:tcMar>
              <w:top w:w="15" w:type="dxa"/>
              <w:left w:w="15" w:type="dxa"/>
              <w:bottom w:w="0" w:type="dxa"/>
              <w:right w:w="15" w:type="dxa"/>
            </w:tcMar>
            <w:vAlign w:val="center"/>
            <w:hideMark/>
          </w:tcPr>
          <w:p w14:paraId="1D88CAA2" w14:textId="07625C6E" w:rsidR="00A717AE" w:rsidRPr="00A429EE" w:rsidRDefault="00211678" w:rsidP="00211678">
            <w:pPr>
              <w:spacing w:line="283" w:lineRule="atLeast"/>
              <w:jc w:val="center"/>
              <w:textAlignment w:val="bottom"/>
              <w:rPr>
                <w:rFonts w:ascii="Arial" w:eastAsia="Times New Roman" w:hAnsi="Arial" w:cs="Arial"/>
                <w:sz w:val="36"/>
                <w:szCs w:val="36"/>
                <w:lang w:eastAsia="it-IT"/>
              </w:rPr>
            </w:pPr>
            <w:r>
              <w:rPr>
                <w:rFonts w:ascii="Calibri" w:eastAsia="Times New Roman" w:hAnsi="Calibri" w:cs="Calibri"/>
                <w:b/>
                <w:bCs/>
                <w:i/>
                <w:iCs/>
                <w:color w:val="000000" w:themeColor="text1"/>
                <w:kern w:val="24"/>
                <w:sz w:val="20"/>
                <w:szCs w:val="20"/>
                <w:lang w:val="en-US" w:eastAsia="it-IT"/>
              </w:rPr>
              <w:t>Gout/</w:t>
            </w:r>
            <w:r w:rsidR="00A717AE" w:rsidRPr="00A429EE">
              <w:rPr>
                <w:rFonts w:ascii="Calibri" w:eastAsia="Times New Roman" w:hAnsi="Calibri" w:cs="Calibri"/>
                <w:b/>
                <w:bCs/>
                <w:i/>
                <w:iCs/>
                <w:color w:val="000000" w:themeColor="text1"/>
                <w:kern w:val="24"/>
                <w:sz w:val="20"/>
                <w:szCs w:val="20"/>
                <w:lang w:val="en-US" w:eastAsia="it-IT"/>
              </w:rPr>
              <w:t>Hyperuricemia</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23D2780E"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 </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5C546456"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 </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2C9A1A60"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 </w:t>
            </w:r>
          </w:p>
        </w:tc>
      </w:tr>
      <w:tr w:rsidR="00A717AE" w:rsidRPr="00A429EE" w14:paraId="6EB5D672" w14:textId="77777777" w:rsidTr="003F359A">
        <w:trPr>
          <w:trHeight w:val="331"/>
        </w:trPr>
        <w:tc>
          <w:tcPr>
            <w:tcW w:w="2228" w:type="dxa"/>
            <w:tcBorders>
              <w:top w:val="nil"/>
              <w:left w:val="nil"/>
              <w:bottom w:val="nil"/>
              <w:right w:val="nil"/>
            </w:tcBorders>
            <w:shd w:val="clear" w:color="auto" w:fill="FDEFE9"/>
            <w:tcMar>
              <w:top w:w="15" w:type="dxa"/>
              <w:left w:w="15" w:type="dxa"/>
              <w:bottom w:w="0" w:type="dxa"/>
              <w:right w:w="15" w:type="dxa"/>
            </w:tcMar>
            <w:vAlign w:val="bottom"/>
            <w:hideMark/>
          </w:tcPr>
          <w:p w14:paraId="2B2EC1CE"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Febuxostat</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3BCDD227"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9,41%</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62040599"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9,73%</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4F5799D8"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9,95%</w:t>
            </w:r>
          </w:p>
        </w:tc>
      </w:tr>
      <w:tr w:rsidR="00A717AE" w:rsidRPr="00A429EE" w14:paraId="79DEEDB9" w14:textId="77777777" w:rsidTr="003F359A">
        <w:trPr>
          <w:trHeight w:val="331"/>
        </w:trPr>
        <w:tc>
          <w:tcPr>
            <w:tcW w:w="2228" w:type="dxa"/>
            <w:tcBorders>
              <w:top w:val="nil"/>
              <w:left w:val="nil"/>
              <w:bottom w:val="nil"/>
              <w:right w:val="nil"/>
            </w:tcBorders>
            <w:shd w:val="clear" w:color="auto" w:fill="auto"/>
            <w:tcMar>
              <w:top w:w="15" w:type="dxa"/>
              <w:left w:w="15" w:type="dxa"/>
              <w:bottom w:w="0" w:type="dxa"/>
              <w:right w:w="15" w:type="dxa"/>
            </w:tcMar>
            <w:vAlign w:val="bottom"/>
            <w:hideMark/>
          </w:tcPr>
          <w:p w14:paraId="50F0D198"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Allopurinol</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41A58990"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90,59%</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069B2EE2"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90,27%</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0A625837"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90,05%</w:t>
            </w:r>
          </w:p>
        </w:tc>
      </w:tr>
      <w:tr w:rsidR="00A717AE" w:rsidRPr="00A429EE" w14:paraId="5709A215" w14:textId="77777777" w:rsidTr="003F359A">
        <w:trPr>
          <w:trHeight w:val="331"/>
        </w:trPr>
        <w:tc>
          <w:tcPr>
            <w:tcW w:w="2228" w:type="dxa"/>
            <w:tcBorders>
              <w:top w:val="nil"/>
              <w:left w:val="nil"/>
              <w:bottom w:val="nil"/>
              <w:right w:val="nil"/>
            </w:tcBorders>
            <w:shd w:val="clear" w:color="auto" w:fill="FDEFE9"/>
            <w:tcMar>
              <w:top w:w="15" w:type="dxa"/>
              <w:left w:w="15" w:type="dxa"/>
              <w:bottom w:w="0" w:type="dxa"/>
              <w:right w:w="15" w:type="dxa"/>
            </w:tcMar>
            <w:vAlign w:val="bottom"/>
            <w:hideMark/>
          </w:tcPr>
          <w:p w14:paraId="7852D7CD"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Allopurinol + Zurampic</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1D2DCE95"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015AEE65"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18783804"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r>
      <w:tr w:rsidR="00A717AE" w:rsidRPr="00A429EE" w14:paraId="0A15CA24" w14:textId="77777777" w:rsidTr="003F359A">
        <w:trPr>
          <w:trHeight w:val="331"/>
        </w:trPr>
        <w:tc>
          <w:tcPr>
            <w:tcW w:w="2228" w:type="dxa"/>
            <w:tcBorders>
              <w:top w:val="nil"/>
              <w:left w:val="nil"/>
              <w:bottom w:val="nil"/>
              <w:right w:val="nil"/>
            </w:tcBorders>
            <w:shd w:val="clear" w:color="auto" w:fill="auto"/>
            <w:tcMar>
              <w:top w:w="15" w:type="dxa"/>
              <w:left w:w="15" w:type="dxa"/>
              <w:bottom w:w="0" w:type="dxa"/>
              <w:right w:w="15" w:type="dxa"/>
            </w:tcMar>
            <w:vAlign w:val="bottom"/>
            <w:hideMark/>
          </w:tcPr>
          <w:p w14:paraId="279BE08D"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Febuxostat + Zurampic</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22024615"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4C476AB2"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6AD50B0C"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r>
      <w:tr w:rsidR="00A717AE" w:rsidRPr="00A429EE" w14:paraId="4307FE4F" w14:textId="77777777" w:rsidTr="003F359A">
        <w:trPr>
          <w:trHeight w:val="331"/>
        </w:trPr>
        <w:tc>
          <w:tcPr>
            <w:tcW w:w="2228" w:type="dxa"/>
            <w:tcBorders>
              <w:top w:val="nil"/>
              <w:left w:val="nil"/>
              <w:bottom w:val="nil"/>
              <w:right w:val="nil"/>
            </w:tcBorders>
            <w:shd w:val="clear" w:color="auto" w:fill="FDEFE9"/>
            <w:tcMar>
              <w:top w:w="15" w:type="dxa"/>
              <w:left w:w="15" w:type="dxa"/>
              <w:bottom w:w="0" w:type="dxa"/>
              <w:right w:w="15" w:type="dxa"/>
            </w:tcMar>
            <w:vAlign w:val="center"/>
            <w:hideMark/>
          </w:tcPr>
          <w:p w14:paraId="00F88772"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Times New Roman" w:hAnsi="Calibri" w:cs="Calibri"/>
                <w:b/>
                <w:bCs/>
                <w:i/>
                <w:iCs/>
                <w:color w:val="000000" w:themeColor="text1"/>
                <w:kern w:val="24"/>
                <w:sz w:val="20"/>
                <w:szCs w:val="20"/>
                <w:lang w:val="en-US" w:eastAsia="it-IT"/>
              </w:rPr>
              <w:t>Total</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5970D503"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 </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58A8C18F"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 </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5D167EB6"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 </w:t>
            </w:r>
          </w:p>
        </w:tc>
      </w:tr>
      <w:tr w:rsidR="00A717AE" w:rsidRPr="00A429EE" w14:paraId="23E4B56B" w14:textId="77777777" w:rsidTr="003F359A">
        <w:trPr>
          <w:trHeight w:val="331"/>
        </w:trPr>
        <w:tc>
          <w:tcPr>
            <w:tcW w:w="2228" w:type="dxa"/>
            <w:tcBorders>
              <w:top w:val="nil"/>
              <w:left w:val="nil"/>
              <w:bottom w:val="nil"/>
              <w:right w:val="nil"/>
            </w:tcBorders>
            <w:shd w:val="clear" w:color="auto" w:fill="auto"/>
            <w:tcMar>
              <w:top w:w="15" w:type="dxa"/>
              <w:left w:w="15" w:type="dxa"/>
              <w:bottom w:w="0" w:type="dxa"/>
              <w:right w:w="15" w:type="dxa"/>
            </w:tcMar>
            <w:vAlign w:val="bottom"/>
            <w:hideMark/>
          </w:tcPr>
          <w:p w14:paraId="24B3EFA6"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Febuxostat</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25FD69B4"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10,61%</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05CCF34A"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11,05%</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229E09A5"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11,40%</w:t>
            </w:r>
          </w:p>
        </w:tc>
      </w:tr>
      <w:tr w:rsidR="00A717AE" w:rsidRPr="00A429EE" w14:paraId="4AD02A52" w14:textId="77777777" w:rsidTr="003F359A">
        <w:trPr>
          <w:trHeight w:val="331"/>
        </w:trPr>
        <w:tc>
          <w:tcPr>
            <w:tcW w:w="2228" w:type="dxa"/>
            <w:tcBorders>
              <w:top w:val="nil"/>
              <w:left w:val="nil"/>
              <w:bottom w:val="nil"/>
              <w:right w:val="nil"/>
            </w:tcBorders>
            <w:shd w:val="clear" w:color="auto" w:fill="FDEFE9"/>
            <w:tcMar>
              <w:top w:w="15" w:type="dxa"/>
              <w:left w:w="15" w:type="dxa"/>
              <w:bottom w:w="0" w:type="dxa"/>
              <w:right w:w="15" w:type="dxa"/>
            </w:tcMar>
            <w:vAlign w:val="bottom"/>
            <w:hideMark/>
          </w:tcPr>
          <w:p w14:paraId="18107F5F"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Allopurinol</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4BF32D83"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89,39%</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4B25D7CD"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88,95%</w:t>
            </w:r>
          </w:p>
        </w:tc>
        <w:tc>
          <w:tcPr>
            <w:tcW w:w="2224" w:type="dxa"/>
            <w:tcBorders>
              <w:top w:val="nil"/>
              <w:left w:val="nil"/>
              <w:bottom w:val="nil"/>
              <w:right w:val="nil"/>
            </w:tcBorders>
            <w:shd w:val="clear" w:color="auto" w:fill="FDEFE9"/>
            <w:tcMar>
              <w:top w:w="15" w:type="dxa"/>
              <w:left w:w="15" w:type="dxa"/>
              <w:bottom w:w="0" w:type="dxa"/>
              <w:right w:w="15" w:type="dxa"/>
            </w:tcMar>
            <w:vAlign w:val="center"/>
            <w:hideMark/>
          </w:tcPr>
          <w:p w14:paraId="05D4ABD1"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88,60%</w:t>
            </w:r>
          </w:p>
        </w:tc>
      </w:tr>
      <w:tr w:rsidR="00A717AE" w:rsidRPr="00A429EE" w14:paraId="375CD1D7" w14:textId="77777777" w:rsidTr="003F359A">
        <w:trPr>
          <w:trHeight w:val="331"/>
        </w:trPr>
        <w:tc>
          <w:tcPr>
            <w:tcW w:w="2228" w:type="dxa"/>
            <w:tcBorders>
              <w:top w:val="nil"/>
              <w:left w:val="nil"/>
              <w:bottom w:val="nil"/>
              <w:right w:val="nil"/>
            </w:tcBorders>
            <w:shd w:val="clear" w:color="auto" w:fill="auto"/>
            <w:tcMar>
              <w:top w:w="15" w:type="dxa"/>
              <w:left w:w="15" w:type="dxa"/>
              <w:bottom w:w="0" w:type="dxa"/>
              <w:right w:w="15" w:type="dxa"/>
            </w:tcMar>
            <w:vAlign w:val="bottom"/>
            <w:hideMark/>
          </w:tcPr>
          <w:p w14:paraId="2EF46AE0"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Allopurinol + Zurampic</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71B4DA1B"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422029A1"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c>
          <w:tcPr>
            <w:tcW w:w="2224" w:type="dxa"/>
            <w:tcBorders>
              <w:top w:val="nil"/>
              <w:left w:val="nil"/>
              <w:bottom w:val="nil"/>
              <w:right w:val="nil"/>
            </w:tcBorders>
            <w:shd w:val="clear" w:color="auto" w:fill="auto"/>
            <w:tcMar>
              <w:top w:w="15" w:type="dxa"/>
              <w:left w:w="15" w:type="dxa"/>
              <w:bottom w:w="0" w:type="dxa"/>
              <w:right w:w="15" w:type="dxa"/>
            </w:tcMar>
            <w:vAlign w:val="center"/>
            <w:hideMark/>
          </w:tcPr>
          <w:p w14:paraId="66E9EE03"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r>
      <w:tr w:rsidR="00A717AE" w:rsidRPr="00A429EE" w14:paraId="70A535B8" w14:textId="77777777" w:rsidTr="003F359A">
        <w:trPr>
          <w:trHeight w:val="331"/>
        </w:trPr>
        <w:tc>
          <w:tcPr>
            <w:tcW w:w="2228" w:type="dxa"/>
            <w:tcBorders>
              <w:top w:val="nil"/>
              <w:left w:val="nil"/>
              <w:bottom w:val="single" w:sz="8" w:space="0" w:color="F79646"/>
              <w:right w:val="nil"/>
            </w:tcBorders>
            <w:shd w:val="clear" w:color="auto" w:fill="FDEFE9"/>
            <w:tcMar>
              <w:top w:w="15" w:type="dxa"/>
              <w:left w:w="15" w:type="dxa"/>
              <w:bottom w:w="0" w:type="dxa"/>
              <w:right w:w="15" w:type="dxa"/>
            </w:tcMar>
            <w:vAlign w:val="bottom"/>
            <w:hideMark/>
          </w:tcPr>
          <w:p w14:paraId="7EEAFC65"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Times New Roman" w:hAnsi="Calibri" w:cs="Calibri"/>
                <w:color w:val="000000" w:themeColor="text1"/>
                <w:kern w:val="24"/>
                <w:sz w:val="20"/>
                <w:szCs w:val="20"/>
                <w:lang w:val="en-US" w:eastAsia="it-IT"/>
              </w:rPr>
              <w:t>Febuxostat + Zurampic</w:t>
            </w:r>
          </w:p>
        </w:tc>
        <w:tc>
          <w:tcPr>
            <w:tcW w:w="2224"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17E19FFC"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c>
          <w:tcPr>
            <w:tcW w:w="2224"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45C35299"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c>
          <w:tcPr>
            <w:tcW w:w="2224"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71449F6E"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0,00%</w:t>
            </w:r>
          </w:p>
        </w:tc>
      </w:tr>
    </w:tbl>
    <w:p w14:paraId="0D0AD04E" w14:textId="77777777" w:rsidR="00A717AE" w:rsidRDefault="00A717AE" w:rsidP="00A717AE">
      <w:pPr>
        <w:widowControl w:val="0"/>
        <w:autoSpaceDE w:val="0"/>
        <w:autoSpaceDN w:val="0"/>
        <w:adjustRightInd w:val="0"/>
        <w:spacing w:line="360" w:lineRule="auto"/>
        <w:rPr>
          <w:rFonts w:cs="Arial"/>
          <w:sz w:val="20"/>
          <w:szCs w:val="20"/>
        </w:rPr>
      </w:pPr>
    </w:p>
    <w:tbl>
      <w:tblPr>
        <w:tblW w:w="8680" w:type="dxa"/>
        <w:tblCellMar>
          <w:left w:w="0" w:type="dxa"/>
          <w:right w:w="0" w:type="dxa"/>
        </w:tblCellMar>
        <w:tblLook w:val="0420" w:firstRow="1" w:lastRow="0" w:firstColumn="0" w:lastColumn="0" w:noHBand="0" w:noVBand="1"/>
      </w:tblPr>
      <w:tblGrid>
        <w:gridCol w:w="2173"/>
        <w:gridCol w:w="2169"/>
        <w:gridCol w:w="2169"/>
        <w:gridCol w:w="2169"/>
      </w:tblGrid>
      <w:tr w:rsidR="00A717AE" w:rsidRPr="00A429EE" w14:paraId="72EDBA07" w14:textId="77777777" w:rsidTr="003F359A">
        <w:trPr>
          <w:trHeight w:val="279"/>
        </w:trPr>
        <w:tc>
          <w:tcPr>
            <w:tcW w:w="2173"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72E5E892"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b/>
                <w:bCs/>
                <w:color w:val="000000" w:themeColor="text1"/>
                <w:kern w:val="24"/>
                <w:sz w:val="20"/>
                <w:szCs w:val="20"/>
                <w:lang w:val="en-US" w:eastAsia="it-IT"/>
              </w:rPr>
              <w:t>With Zurampic</w:t>
            </w:r>
          </w:p>
        </w:tc>
        <w:tc>
          <w:tcPr>
            <w:tcW w:w="2169"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791817A1"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Pr>
                <w:rFonts w:ascii="Calibri" w:eastAsia="Times New Roman" w:hAnsi="Calibri" w:cs="Calibri"/>
                <w:b/>
                <w:bCs/>
                <w:color w:val="000000" w:themeColor="text1"/>
                <w:kern w:val="24"/>
                <w:sz w:val="20"/>
                <w:szCs w:val="20"/>
                <w:lang w:val="en-US" w:eastAsia="it-IT"/>
              </w:rPr>
              <w:t>Anno 1</w:t>
            </w:r>
          </w:p>
        </w:tc>
        <w:tc>
          <w:tcPr>
            <w:tcW w:w="2169"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2C4F7F97"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Pr>
                <w:rFonts w:ascii="Calibri" w:eastAsia="Times New Roman" w:hAnsi="Calibri" w:cs="Calibri"/>
                <w:b/>
                <w:bCs/>
                <w:color w:val="000000" w:themeColor="text1"/>
                <w:kern w:val="24"/>
                <w:sz w:val="20"/>
                <w:szCs w:val="20"/>
                <w:lang w:val="en-US" w:eastAsia="it-IT"/>
              </w:rPr>
              <w:t>Anno 2</w:t>
            </w:r>
          </w:p>
        </w:tc>
        <w:tc>
          <w:tcPr>
            <w:tcW w:w="2169"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00DE8054"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Pr>
                <w:rFonts w:ascii="Calibri" w:eastAsia="Times New Roman" w:hAnsi="Calibri" w:cs="Calibri"/>
                <w:b/>
                <w:bCs/>
                <w:color w:val="000000" w:themeColor="text1"/>
                <w:kern w:val="24"/>
                <w:sz w:val="20"/>
                <w:szCs w:val="20"/>
                <w:lang w:val="en-US" w:eastAsia="it-IT"/>
              </w:rPr>
              <w:t>Anno 3</w:t>
            </w:r>
          </w:p>
        </w:tc>
      </w:tr>
      <w:tr w:rsidR="00A717AE" w:rsidRPr="00A429EE" w14:paraId="6800C11B" w14:textId="77777777" w:rsidTr="003F359A">
        <w:trPr>
          <w:trHeight w:val="279"/>
        </w:trPr>
        <w:tc>
          <w:tcPr>
            <w:tcW w:w="2173" w:type="dxa"/>
            <w:tcBorders>
              <w:top w:val="single" w:sz="8" w:space="0" w:color="F79646"/>
              <w:left w:val="nil"/>
              <w:bottom w:val="nil"/>
              <w:right w:val="nil"/>
            </w:tcBorders>
            <w:shd w:val="clear" w:color="auto" w:fill="FDEFE9"/>
            <w:tcMar>
              <w:top w:w="15" w:type="dxa"/>
              <w:left w:w="15" w:type="dxa"/>
              <w:bottom w:w="0" w:type="dxa"/>
              <w:right w:w="15" w:type="dxa"/>
            </w:tcMar>
            <w:vAlign w:val="center"/>
            <w:hideMark/>
          </w:tcPr>
          <w:p w14:paraId="2506A27F"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b/>
                <w:bCs/>
                <w:i/>
                <w:iCs/>
                <w:color w:val="000000" w:themeColor="text1"/>
                <w:kern w:val="24"/>
                <w:sz w:val="20"/>
                <w:szCs w:val="20"/>
                <w:lang w:val="en-US" w:eastAsia="it-IT"/>
              </w:rPr>
              <w:t>Gout</w:t>
            </w:r>
          </w:p>
        </w:tc>
        <w:tc>
          <w:tcPr>
            <w:tcW w:w="2169" w:type="dxa"/>
            <w:tcBorders>
              <w:top w:val="single" w:sz="8" w:space="0" w:color="F79646"/>
              <w:left w:val="nil"/>
              <w:bottom w:val="nil"/>
              <w:right w:val="nil"/>
            </w:tcBorders>
            <w:shd w:val="clear" w:color="auto" w:fill="FDEFE9"/>
            <w:tcMar>
              <w:top w:w="15" w:type="dxa"/>
              <w:left w:w="15" w:type="dxa"/>
              <w:bottom w:w="0" w:type="dxa"/>
              <w:right w:w="15" w:type="dxa"/>
            </w:tcMar>
            <w:vAlign w:val="bottom"/>
            <w:hideMark/>
          </w:tcPr>
          <w:p w14:paraId="0A949C0F"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 </w:t>
            </w:r>
          </w:p>
        </w:tc>
        <w:tc>
          <w:tcPr>
            <w:tcW w:w="2169" w:type="dxa"/>
            <w:tcBorders>
              <w:top w:val="single" w:sz="8" w:space="0" w:color="F79646"/>
              <w:left w:val="nil"/>
              <w:bottom w:val="nil"/>
              <w:right w:val="nil"/>
            </w:tcBorders>
            <w:shd w:val="clear" w:color="auto" w:fill="FDEFE9"/>
            <w:tcMar>
              <w:top w:w="15" w:type="dxa"/>
              <w:left w:w="15" w:type="dxa"/>
              <w:bottom w:w="0" w:type="dxa"/>
              <w:right w:w="15" w:type="dxa"/>
            </w:tcMar>
            <w:vAlign w:val="bottom"/>
            <w:hideMark/>
          </w:tcPr>
          <w:p w14:paraId="0233AE97"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 </w:t>
            </w:r>
          </w:p>
        </w:tc>
        <w:tc>
          <w:tcPr>
            <w:tcW w:w="2169" w:type="dxa"/>
            <w:tcBorders>
              <w:top w:val="single" w:sz="8" w:space="0" w:color="F79646"/>
              <w:left w:val="nil"/>
              <w:bottom w:val="nil"/>
              <w:right w:val="nil"/>
            </w:tcBorders>
            <w:shd w:val="clear" w:color="auto" w:fill="FDEFE9"/>
            <w:tcMar>
              <w:top w:w="15" w:type="dxa"/>
              <w:left w:w="15" w:type="dxa"/>
              <w:bottom w:w="0" w:type="dxa"/>
              <w:right w:w="15" w:type="dxa"/>
            </w:tcMar>
            <w:vAlign w:val="bottom"/>
            <w:hideMark/>
          </w:tcPr>
          <w:p w14:paraId="13BD80BE"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 </w:t>
            </w:r>
          </w:p>
        </w:tc>
      </w:tr>
      <w:tr w:rsidR="00A717AE" w:rsidRPr="00A429EE" w14:paraId="0AAC36F4" w14:textId="77777777" w:rsidTr="003F359A">
        <w:trPr>
          <w:trHeight w:val="279"/>
        </w:trPr>
        <w:tc>
          <w:tcPr>
            <w:tcW w:w="2173" w:type="dxa"/>
            <w:tcBorders>
              <w:top w:val="nil"/>
              <w:left w:val="nil"/>
              <w:bottom w:val="nil"/>
              <w:right w:val="nil"/>
            </w:tcBorders>
            <w:shd w:val="clear" w:color="auto" w:fill="auto"/>
            <w:tcMar>
              <w:top w:w="15" w:type="dxa"/>
              <w:left w:w="15" w:type="dxa"/>
              <w:bottom w:w="0" w:type="dxa"/>
              <w:right w:w="15" w:type="dxa"/>
            </w:tcMar>
            <w:vAlign w:val="bottom"/>
            <w:hideMark/>
          </w:tcPr>
          <w:p w14:paraId="7FFD0F9B"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Febuxostat</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2A4CB59B"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8,73%</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5BDFBE5E"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4,05%</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31970BCB"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0,90%</w:t>
            </w:r>
          </w:p>
        </w:tc>
      </w:tr>
      <w:tr w:rsidR="00A717AE" w:rsidRPr="00A429EE" w14:paraId="7C760AE5" w14:textId="77777777" w:rsidTr="003F359A">
        <w:trPr>
          <w:trHeight w:val="279"/>
        </w:trPr>
        <w:tc>
          <w:tcPr>
            <w:tcW w:w="2173" w:type="dxa"/>
            <w:tcBorders>
              <w:top w:val="nil"/>
              <w:left w:val="nil"/>
              <w:bottom w:val="nil"/>
              <w:right w:val="nil"/>
            </w:tcBorders>
            <w:shd w:val="clear" w:color="auto" w:fill="FDEFE9"/>
            <w:tcMar>
              <w:top w:w="15" w:type="dxa"/>
              <w:left w:w="15" w:type="dxa"/>
              <w:bottom w:w="0" w:type="dxa"/>
              <w:right w:w="15" w:type="dxa"/>
            </w:tcMar>
            <w:vAlign w:val="bottom"/>
            <w:hideMark/>
          </w:tcPr>
          <w:p w14:paraId="0BC4D7B4"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Allopurinol</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1993DC8D"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83,51%</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5880BDA0"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82,37%</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5DF78A00"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81,31%</w:t>
            </w:r>
          </w:p>
        </w:tc>
      </w:tr>
      <w:tr w:rsidR="00A717AE" w:rsidRPr="00A429EE" w14:paraId="5A40D772" w14:textId="77777777" w:rsidTr="003F359A">
        <w:trPr>
          <w:trHeight w:val="279"/>
        </w:trPr>
        <w:tc>
          <w:tcPr>
            <w:tcW w:w="2173" w:type="dxa"/>
            <w:tcBorders>
              <w:top w:val="nil"/>
              <w:left w:val="nil"/>
              <w:bottom w:val="nil"/>
              <w:right w:val="nil"/>
            </w:tcBorders>
            <w:shd w:val="clear" w:color="auto" w:fill="auto"/>
            <w:tcMar>
              <w:top w:w="15" w:type="dxa"/>
              <w:left w:w="15" w:type="dxa"/>
              <w:bottom w:w="0" w:type="dxa"/>
              <w:right w:w="15" w:type="dxa"/>
            </w:tcMar>
            <w:vAlign w:val="bottom"/>
            <w:hideMark/>
          </w:tcPr>
          <w:p w14:paraId="578CFEC8"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Allopurinol + Zurampic</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571727C8"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7,53%</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2E5DF76D"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13,21%</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65E9ED48"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17,36%</w:t>
            </w:r>
          </w:p>
        </w:tc>
      </w:tr>
      <w:tr w:rsidR="00A717AE" w:rsidRPr="00A429EE" w14:paraId="7F6A730D" w14:textId="77777777" w:rsidTr="003F359A">
        <w:trPr>
          <w:trHeight w:val="279"/>
        </w:trPr>
        <w:tc>
          <w:tcPr>
            <w:tcW w:w="2173" w:type="dxa"/>
            <w:tcBorders>
              <w:top w:val="nil"/>
              <w:left w:val="nil"/>
              <w:bottom w:val="nil"/>
              <w:right w:val="nil"/>
            </w:tcBorders>
            <w:shd w:val="clear" w:color="auto" w:fill="FDEFE9"/>
            <w:tcMar>
              <w:top w:w="15" w:type="dxa"/>
              <w:left w:w="15" w:type="dxa"/>
              <w:bottom w:w="0" w:type="dxa"/>
              <w:right w:w="15" w:type="dxa"/>
            </w:tcMar>
            <w:vAlign w:val="bottom"/>
            <w:hideMark/>
          </w:tcPr>
          <w:p w14:paraId="049606A9"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Febuxostat + Zurampic</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0A8A377F"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0,22%</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737FBC28"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0,37%</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06622D24"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0,43%</w:t>
            </w:r>
          </w:p>
        </w:tc>
      </w:tr>
      <w:tr w:rsidR="00A717AE" w:rsidRPr="00A429EE" w14:paraId="62CC97AB" w14:textId="77777777" w:rsidTr="003F359A">
        <w:trPr>
          <w:trHeight w:val="279"/>
        </w:trPr>
        <w:tc>
          <w:tcPr>
            <w:tcW w:w="2173" w:type="dxa"/>
            <w:tcBorders>
              <w:top w:val="nil"/>
              <w:left w:val="nil"/>
              <w:bottom w:val="nil"/>
              <w:right w:val="nil"/>
            </w:tcBorders>
            <w:shd w:val="clear" w:color="auto" w:fill="auto"/>
            <w:tcMar>
              <w:top w:w="15" w:type="dxa"/>
              <w:left w:w="15" w:type="dxa"/>
              <w:bottom w:w="0" w:type="dxa"/>
              <w:right w:w="15" w:type="dxa"/>
            </w:tcMar>
            <w:vAlign w:val="center"/>
            <w:hideMark/>
          </w:tcPr>
          <w:p w14:paraId="31CCA3AC"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b/>
                <w:bCs/>
                <w:i/>
                <w:iCs/>
                <w:color w:val="000000" w:themeColor="text1"/>
                <w:kern w:val="24"/>
                <w:sz w:val="20"/>
                <w:szCs w:val="20"/>
                <w:lang w:val="en-US" w:eastAsia="it-IT"/>
              </w:rPr>
              <w:t>Hyperuricemia</w:t>
            </w:r>
            <w:r>
              <w:rPr>
                <w:rFonts w:ascii="Calibri" w:eastAsia="Calibri" w:hAnsi="Calibri" w:cs="Calibri"/>
                <w:b/>
                <w:bCs/>
                <w:i/>
                <w:iCs/>
                <w:color w:val="000000" w:themeColor="text1"/>
                <w:kern w:val="24"/>
                <w:sz w:val="20"/>
                <w:szCs w:val="20"/>
                <w:lang w:val="en-US" w:eastAsia="it-IT"/>
              </w:rPr>
              <w:t>/Gout</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12AFD12F"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 </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7DF8A76D"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 </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473BF902"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 </w:t>
            </w:r>
          </w:p>
        </w:tc>
      </w:tr>
      <w:tr w:rsidR="00A717AE" w:rsidRPr="00A429EE" w14:paraId="6FCEDF2E" w14:textId="77777777" w:rsidTr="003F359A">
        <w:trPr>
          <w:trHeight w:val="279"/>
        </w:trPr>
        <w:tc>
          <w:tcPr>
            <w:tcW w:w="2173" w:type="dxa"/>
            <w:tcBorders>
              <w:top w:val="nil"/>
              <w:left w:val="nil"/>
              <w:bottom w:val="nil"/>
              <w:right w:val="nil"/>
            </w:tcBorders>
            <w:shd w:val="clear" w:color="auto" w:fill="FDEFE9"/>
            <w:tcMar>
              <w:top w:w="15" w:type="dxa"/>
              <w:left w:w="15" w:type="dxa"/>
              <w:bottom w:w="0" w:type="dxa"/>
              <w:right w:w="15" w:type="dxa"/>
            </w:tcMar>
            <w:vAlign w:val="bottom"/>
            <w:hideMark/>
          </w:tcPr>
          <w:p w14:paraId="5DE36212"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Febuxostat</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77363C67"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9,10%</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76B842E3"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9,30%</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15EAE7E4"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9,39%</w:t>
            </w:r>
          </w:p>
        </w:tc>
      </w:tr>
      <w:tr w:rsidR="00A717AE" w:rsidRPr="00A429EE" w14:paraId="5F9054C9" w14:textId="77777777" w:rsidTr="003F359A">
        <w:trPr>
          <w:trHeight w:val="279"/>
        </w:trPr>
        <w:tc>
          <w:tcPr>
            <w:tcW w:w="2173" w:type="dxa"/>
            <w:tcBorders>
              <w:top w:val="nil"/>
              <w:left w:val="nil"/>
              <w:bottom w:val="nil"/>
              <w:right w:val="nil"/>
            </w:tcBorders>
            <w:shd w:val="clear" w:color="auto" w:fill="auto"/>
            <w:tcMar>
              <w:top w:w="15" w:type="dxa"/>
              <w:left w:w="15" w:type="dxa"/>
              <w:bottom w:w="0" w:type="dxa"/>
              <w:right w:w="15" w:type="dxa"/>
            </w:tcMar>
            <w:vAlign w:val="bottom"/>
            <w:hideMark/>
          </w:tcPr>
          <w:p w14:paraId="6E54E13E"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Allopurinol</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4951F930"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90,57%</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68D19567"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90,25%</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4B5D90FF"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90,03%</w:t>
            </w:r>
          </w:p>
        </w:tc>
      </w:tr>
      <w:tr w:rsidR="00A717AE" w:rsidRPr="00A429EE" w14:paraId="4B7A188B" w14:textId="77777777" w:rsidTr="003F359A">
        <w:trPr>
          <w:trHeight w:val="279"/>
        </w:trPr>
        <w:tc>
          <w:tcPr>
            <w:tcW w:w="2173" w:type="dxa"/>
            <w:tcBorders>
              <w:top w:val="nil"/>
              <w:left w:val="nil"/>
              <w:bottom w:val="nil"/>
              <w:right w:val="nil"/>
            </w:tcBorders>
            <w:shd w:val="clear" w:color="auto" w:fill="FDEFE9"/>
            <w:tcMar>
              <w:top w:w="15" w:type="dxa"/>
              <w:left w:w="15" w:type="dxa"/>
              <w:bottom w:w="0" w:type="dxa"/>
              <w:right w:w="15" w:type="dxa"/>
            </w:tcMar>
            <w:vAlign w:val="bottom"/>
            <w:hideMark/>
          </w:tcPr>
          <w:p w14:paraId="3F118E2B"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Allopurinol + Zurampic</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1F87D7B9"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0,30%</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396B8E5A"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0,43%</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6E40EABC"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0,56%</w:t>
            </w:r>
          </w:p>
        </w:tc>
      </w:tr>
      <w:tr w:rsidR="00A717AE" w:rsidRPr="00A429EE" w14:paraId="35946DEB" w14:textId="77777777" w:rsidTr="003F359A">
        <w:trPr>
          <w:trHeight w:val="279"/>
        </w:trPr>
        <w:tc>
          <w:tcPr>
            <w:tcW w:w="2173" w:type="dxa"/>
            <w:tcBorders>
              <w:top w:val="nil"/>
              <w:left w:val="nil"/>
              <w:bottom w:val="nil"/>
              <w:right w:val="nil"/>
            </w:tcBorders>
            <w:shd w:val="clear" w:color="auto" w:fill="auto"/>
            <w:tcMar>
              <w:top w:w="15" w:type="dxa"/>
              <w:left w:w="15" w:type="dxa"/>
              <w:bottom w:w="0" w:type="dxa"/>
              <w:right w:w="15" w:type="dxa"/>
            </w:tcMar>
            <w:vAlign w:val="bottom"/>
            <w:hideMark/>
          </w:tcPr>
          <w:p w14:paraId="260C7C11"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Febuxostat + Zurampic</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48005D69"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0,02%</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510C58B0"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0,02%</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61B34615"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0,02%</w:t>
            </w:r>
          </w:p>
        </w:tc>
      </w:tr>
      <w:tr w:rsidR="00A717AE" w:rsidRPr="00A429EE" w14:paraId="0A1EFE8A" w14:textId="77777777" w:rsidTr="003F359A">
        <w:trPr>
          <w:trHeight w:val="279"/>
        </w:trPr>
        <w:tc>
          <w:tcPr>
            <w:tcW w:w="2173" w:type="dxa"/>
            <w:tcBorders>
              <w:top w:val="nil"/>
              <w:left w:val="nil"/>
              <w:bottom w:val="nil"/>
              <w:right w:val="nil"/>
            </w:tcBorders>
            <w:shd w:val="clear" w:color="auto" w:fill="FDEFE9"/>
            <w:tcMar>
              <w:top w:w="15" w:type="dxa"/>
              <w:left w:w="15" w:type="dxa"/>
              <w:bottom w:w="0" w:type="dxa"/>
              <w:right w:w="15" w:type="dxa"/>
            </w:tcMar>
            <w:vAlign w:val="center"/>
            <w:hideMark/>
          </w:tcPr>
          <w:p w14:paraId="1A49A57E"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b/>
                <w:bCs/>
                <w:i/>
                <w:iCs/>
                <w:color w:val="000000" w:themeColor="text1"/>
                <w:kern w:val="24"/>
                <w:sz w:val="20"/>
                <w:szCs w:val="20"/>
                <w:lang w:val="en-US" w:eastAsia="it-IT"/>
              </w:rPr>
              <w:t>Total</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165E9370"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 </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454B0029"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 </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695201E1"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 </w:t>
            </w:r>
          </w:p>
        </w:tc>
      </w:tr>
      <w:tr w:rsidR="00A717AE" w:rsidRPr="00A429EE" w14:paraId="6CE12F17" w14:textId="77777777" w:rsidTr="003F359A">
        <w:trPr>
          <w:trHeight w:val="279"/>
        </w:trPr>
        <w:tc>
          <w:tcPr>
            <w:tcW w:w="2173" w:type="dxa"/>
            <w:tcBorders>
              <w:top w:val="nil"/>
              <w:left w:val="nil"/>
              <w:bottom w:val="nil"/>
              <w:right w:val="nil"/>
            </w:tcBorders>
            <w:shd w:val="clear" w:color="auto" w:fill="auto"/>
            <w:tcMar>
              <w:top w:w="15" w:type="dxa"/>
              <w:left w:w="15" w:type="dxa"/>
              <w:bottom w:w="0" w:type="dxa"/>
              <w:right w:w="15" w:type="dxa"/>
            </w:tcMar>
            <w:vAlign w:val="bottom"/>
            <w:hideMark/>
          </w:tcPr>
          <w:p w14:paraId="6217B9E4"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Febuxostat</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43433DCA"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9,04%</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05A63FAF"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8,38%</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55E5D31F"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7,91%</w:t>
            </w:r>
          </w:p>
        </w:tc>
      </w:tr>
      <w:tr w:rsidR="00A717AE" w:rsidRPr="00A429EE" w14:paraId="7162AFD8" w14:textId="77777777" w:rsidTr="003F359A">
        <w:trPr>
          <w:trHeight w:val="279"/>
        </w:trPr>
        <w:tc>
          <w:tcPr>
            <w:tcW w:w="2173" w:type="dxa"/>
            <w:tcBorders>
              <w:top w:val="nil"/>
              <w:left w:val="nil"/>
              <w:bottom w:val="nil"/>
              <w:right w:val="nil"/>
            </w:tcBorders>
            <w:shd w:val="clear" w:color="auto" w:fill="FDEFE9"/>
            <w:tcMar>
              <w:top w:w="15" w:type="dxa"/>
              <w:left w:w="15" w:type="dxa"/>
              <w:bottom w:w="0" w:type="dxa"/>
              <w:right w:w="15" w:type="dxa"/>
            </w:tcMar>
            <w:vAlign w:val="bottom"/>
            <w:hideMark/>
          </w:tcPr>
          <w:p w14:paraId="15D8759A"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Allopurinol</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2C244C2B"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89,33%</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078AE272"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88,87%</w:t>
            </w:r>
          </w:p>
        </w:tc>
        <w:tc>
          <w:tcPr>
            <w:tcW w:w="2169" w:type="dxa"/>
            <w:tcBorders>
              <w:top w:val="nil"/>
              <w:left w:val="nil"/>
              <w:bottom w:val="nil"/>
              <w:right w:val="nil"/>
            </w:tcBorders>
            <w:shd w:val="clear" w:color="auto" w:fill="FDEFE9"/>
            <w:tcMar>
              <w:top w:w="15" w:type="dxa"/>
              <w:left w:w="15" w:type="dxa"/>
              <w:bottom w:w="0" w:type="dxa"/>
              <w:right w:w="15" w:type="dxa"/>
            </w:tcMar>
            <w:vAlign w:val="center"/>
            <w:hideMark/>
          </w:tcPr>
          <w:p w14:paraId="761DD433"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88,51%</w:t>
            </w:r>
          </w:p>
        </w:tc>
      </w:tr>
      <w:tr w:rsidR="00A717AE" w:rsidRPr="00A429EE" w14:paraId="433B0C55" w14:textId="77777777" w:rsidTr="003F359A">
        <w:trPr>
          <w:trHeight w:val="279"/>
        </w:trPr>
        <w:tc>
          <w:tcPr>
            <w:tcW w:w="2173" w:type="dxa"/>
            <w:tcBorders>
              <w:top w:val="nil"/>
              <w:left w:val="nil"/>
              <w:bottom w:val="nil"/>
              <w:right w:val="nil"/>
            </w:tcBorders>
            <w:shd w:val="clear" w:color="auto" w:fill="auto"/>
            <w:tcMar>
              <w:top w:w="15" w:type="dxa"/>
              <w:left w:w="15" w:type="dxa"/>
              <w:bottom w:w="0" w:type="dxa"/>
              <w:right w:w="15" w:type="dxa"/>
            </w:tcMar>
            <w:vAlign w:val="bottom"/>
            <w:hideMark/>
          </w:tcPr>
          <w:p w14:paraId="7200F351"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Allopurinol + Zurampic</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29836263"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1,57%</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30624276"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2,66%</w:t>
            </w:r>
          </w:p>
        </w:tc>
        <w:tc>
          <w:tcPr>
            <w:tcW w:w="2169" w:type="dxa"/>
            <w:tcBorders>
              <w:top w:val="nil"/>
              <w:left w:val="nil"/>
              <w:bottom w:val="nil"/>
              <w:right w:val="nil"/>
            </w:tcBorders>
            <w:shd w:val="clear" w:color="auto" w:fill="auto"/>
            <w:tcMar>
              <w:top w:w="15" w:type="dxa"/>
              <w:left w:w="15" w:type="dxa"/>
              <w:bottom w:w="0" w:type="dxa"/>
              <w:right w:w="15" w:type="dxa"/>
            </w:tcMar>
            <w:vAlign w:val="center"/>
            <w:hideMark/>
          </w:tcPr>
          <w:p w14:paraId="449C822F"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3,48%</w:t>
            </w:r>
          </w:p>
        </w:tc>
      </w:tr>
      <w:tr w:rsidR="00A717AE" w:rsidRPr="00A429EE" w14:paraId="4FC69AD7" w14:textId="77777777" w:rsidTr="003F359A">
        <w:trPr>
          <w:trHeight w:val="279"/>
        </w:trPr>
        <w:tc>
          <w:tcPr>
            <w:tcW w:w="2173" w:type="dxa"/>
            <w:tcBorders>
              <w:top w:val="nil"/>
              <w:left w:val="nil"/>
              <w:bottom w:val="single" w:sz="8" w:space="0" w:color="F79646"/>
              <w:right w:val="nil"/>
            </w:tcBorders>
            <w:shd w:val="clear" w:color="auto" w:fill="FDEFE9"/>
            <w:tcMar>
              <w:top w:w="15" w:type="dxa"/>
              <w:left w:w="15" w:type="dxa"/>
              <w:bottom w:w="0" w:type="dxa"/>
              <w:right w:w="15" w:type="dxa"/>
            </w:tcMar>
            <w:vAlign w:val="bottom"/>
            <w:hideMark/>
          </w:tcPr>
          <w:p w14:paraId="4B54E8C1" w14:textId="77777777" w:rsidR="00A717AE" w:rsidRPr="00A429EE" w:rsidRDefault="00A717AE" w:rsidP="003F359A">
            <w:pPr>
              <w:spacing w:line="283" w:lineRule="atLeast"/>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20"/>
                <w:szCs w:val="20"/>
                <w:lang w:val="en-US" w:eastAsia="it-IT"/>
              </w:rPr>
              <w:t>Febuxostat + Zurampic</w:t>
            </w:r>
          </w:p>
        </w:tc>
        <w:tc>
          <w:tcPr>
            <w:tcW w:w="2169"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1371FFB8"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0,06%</w:t>
            </w:r>
          </w:p>
        </w:tc>
        <w:tc>
          <w:tcPr>
            <w:tcW w:w="2169"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176BF3E3"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0,09%</w:t>
            </w:r>
          </w:p>
        </w:tc>
        <w:tc>
          <w:tcPr>
            <w:tcW w:w="2169"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23780E3A" w14:textId="77777777" w:rsidR="00A717AE" w:rsidRPr="00A429EE" w:rsidRDefault="00A717AE" w:rsidP="003F359A">
            <w:pPr>
              <w:spacing w:line="283" w:lineRule="atLeast"/>
              <w:jc w:val="center"/>
              <w:textAlignment w:val="bottom"/>
              <w:rPr>
                <w:rFonts w:ascii="Arial" w:eastAsia="Times New Roman" w:hAnsi="Arial" w:cs="Arial"/>
                <w:sz w:val="36"/>
                <w:szCs w:val="36"/>
                <w:lang w:eastAsia="it-IT"/>
              </w:rPr>
            </w:pPr>
            <w:r w:rsidRPr="00A429EE">
              <w:rPr>
                <w:rFonts w:ascii="Calibri" w:eastAsia="Calibri" w:hAnsi="Calibri" w:cs="Calibri"/>
                <w:color w:val="000000" w:themeColor="text1"/>
                <w:kern w:val="24"/>
                <w:sz w:val="18"/>
                <w:szCs w:val="18"/>
                <w:lang w:val="en-US" w:eastAsia="it-IT"/>
              </w:rPr>
              <w:t>0,09%</w:t>
            </w:r>
          </w:p>
        </w:tc>
      </w:tr>
    </w:tbl>
    <w:p w14:paraId="112F06CC" w14:textId="77777777" w:rsidR="00A717AE" w:rsidRDefault="00A717AE" w:rsidP="00A717AE">
      <w:pPr>
        <w:widowControl w:val="0"/>
        <w:autoSpaceDE w:val="0"/>
        <w:autoSpaceDN w:val="0"/>
        <w:adjustRightInd w:val="0"/>
        <w:spacing w:line="360" w:lineRule="auto"/>
        <w:rPr>
          <w:rFonts w:cs="Arial"/>
          <w:sz w:val="20"/>
          <w:szCs w:val="20"/>
        </w:rPr>
      </w:pPr>
    </w:p>
    <w:p w14:paraId="542467AC" w14:textId="77777777" w:rsidR="00A717AE" w:rsidRDefault="00A717AE" w:rsidP="00A717AE">
      <w:pPr>
        <w:widowControl w:val="0"/>
        <w:autoSpaceDE w:val="0"/>
        <w:autoSpaceDN w:val="0"/>
        <w:adjustRightInd w:val="0"/>
        <w:spacing w:line="360" w:lineRule="auto"/>
        <w:rPr>
          <w:rStyle w:val="Hyperlink"/>
          <w:rFonts w:cs="Arial"/>
          <w:sz w:val="20"/>
          <w:szCs w:val="20"/>
        </w:rPr>
      </w:pPr>
      <w:r>
        <w:rPr>
          <w:rFonts w:cs="Arial"/>
          <w:sz w:val="20"/>
          <w:szCs w:val="20"/>
        </w:rPr>
        <w:t xml:space="preserve">In base ai costi calcolati come precedentemente indicato, traducendo le quote di mercato in costi, l’introduzione di lesinurad per il trattamento di iperuricemia in pazienti gottosi, avrà un impatto trascurabile sulla spesa SSN (dell’1,6% sul mercato all’anno 1), come riportato in </w:t>
      </w:r>
      <w:hyperlink w:anchor="Tabella31" w:history="1">
        <w:r w:rsidRPr="007B5BF3">
          <w:rPr>
            <w:rStyle w:val="Hyperlink"/>
            <w:rFonts w:cs="Arial"/>
            <w:sz w:val="20"/>
            <w:szCs w:val="20"/>
          </w:rPr>
          <w:t xml:space="preserve">Tabella </w:t>
        </w:r>
        <w:r>
          <w:rPr>
            <w:rStyle w:val="Hyperlink"/>
            <w:rFonts w:cs="Arial"/>
            <w:sz w:val="20"/>
            <w:szCs w:val="20"/>
          </w:rPr>
          <w:t>31</w:t>
        </w:r>
      </w:hyperlink>
      <w:r w:rsidRPr="00E670E9">
        <w:rPr>
          <w:rStyle w:val="Hyperlink"/>
          <w:rFonts w:cs="Arial"/>
          <w:color w:val="auto"/>
          <w:sz w:val="20"/>
          <w:szCs w:val="20"/>
          <w:u w:val="none"/>
        </w:rPr>
        <w:t>, alla quale</w:t>
      </w:r>
      <w:r>
        <w:rPr>
          <w:rStyle w:val="Hyperlink"/>
          <w:rFonts w:cs="Arial"/>
          <w:color w:val="auto"/>
          <w:sz w:val="20"/>
          <w:szCs w:val="20"/>
          <w:u w:val="none"/>
        </w:rPr>
        <w:t xml:space="preserve"> si aggiunge un impatto irrilevante (€314.000 all’anno 1), ascrivibile ai pazienti di terza linea che ad oggi non hanno alcuna alternativa terapeutica a loro disposizione e per i quali lesinurad risulta l’unico farmaco registrato.</w:t>
      </w:r>
    </w:p>
    <w:p w14:paraId="13AA07BB" w14:textId="77777777" w:rsidR="00A717AE" w:rsidRDefault="00A717AE" w:rsidP="00A717AE">
      <w:pPr>
        <w:widowControl w:val="0"/>
        <w:autoSpaceDE w:val="0"/>
        <w:autoSpaceDN w:val="0"/>
        <w:adjustRightInd w:val="0"/>
        <w:spacing w:line="360" w:lineRule="auto"/>
        <w:rPr>
          <w:rFonts w:cs="Arial"/>
          <w:b/>
          <w:sz w:val="20"/>
          <w:szCs w:val="20"/>
        </w:rPr>
      </w:pPr>
    </w:p>
    <w:p w14:paraId="7CF74707" w14:textId="77777777" w:rsidR="00A717AE" w:rsidRPr="001E4DFC" w:rsidRDefault="00A717AE" w:rsidP="00A717AE">
      <w:pPr>
        <w:pStyle w:val="Caption"/>
        <w:jc w:val="left"/>
        <w:rPr>
          <w:rFonts w:asciiTheme="minorHAnsi" w:hAnsiTheme="minorHAnsi" w:cstheme="minorHAnsi"/>
          <w:b w:val="0"/>
          <w:lang w:val="it-IT"/>
        </w:rPr>
      </w:pPr>
      <w:bookmarkStart w:id="244" w:name="Tabella31"/>
      <w:bookmarkStart w:id="245" w:name="_Toc473150716"/>
      <w:bookmarkEnd w:id="244"/>
      <w:r w:rsidRPr="001E4DFC">
        <w:rPr>
          <w:rFonts w:asciiTheme="minorHAnsi" w:hAnsiTheme="minorHAnsi" w:cstheme="minorHAnsi"/>
          <w:lang w:val="it-IT"/>
        </w:rPr>
        <w:t xml:space="preserve">Tabella </w:t>
      </w:r>
      <w:r w:rsidRPr="001E4DFC">
        <w:rPr>
          <w:rFonts w:asciiTheme="minorHAnsi" w:hAnsiTheme="minorHAnsi" w:cstheme="minorHAnsi"/>
        </w:rPr>
        <w:fldChar w:fldCharType="begin"/>
      </w:r>
      <w:r w:rsidRPr="001E4DFC">
        <w:rPr>
          <w:rFonts w:asciiTheme="minorHAnsi" w:hAnsiTheme="minorHAnsi" w:cstheme="minorHAnsi"/>
          <w:lang w:val="it-IT"/>
        </w:rPr>
        <w:instrText xml:space="preserve"> SEQ Tabella \* ARABIC </w:instrText>
      </w:r>
      <w:r w:rsidRPr="001E4DFC">
        <w:rPr>
          <w:rFonts w:asciiTheme="minorHAnsi" w:hAnsiTheme="minorHAnsi" w:cstheme="minorHAnsi"/>
        </w:rPr>
        <w:fldChar w:fldCharType="separate"/>
      </w:r>
      <w:r w:rsidR="00A1679C">
        <w:rPr>
          <w:rFonts w:asciiTheme="minorHAnsi" w:hAnsiTheme="minorHAnsi" w:cstheme="minorHAnsi"/>
          <w:noProof/>
          <w:lang w:val="it-IT"/>
        </w:rPr>
        <w:t>31</w:t>
      </w:r>
      <w:r w:rsidRPr="001E4DFC">
        <w:rPr>
          <w:rFonts w:asciiTheme="minorHAnsi" w:hAnsiTheme="minorHAnsi" w:cstheme="minorHAnsi"/>
        </w:rPr>
        <w:fldChar w:fldCharType="end"/>
      </w:r>
      <w:r w:rsidRPr="001E4DFC">
        <w:rPr>
          <w:rFonts w:asciiTheme="minorHAnsi" w:hAnsiTheme="minorHAnsi" w:cstheme="minorHAnsi"/>
          <w:lang w:val="it-IT"/>
        </w:rPr>
        <w:t xml:space="preserve"> - Risultati dell’analisi di budget impact nella prospettiva del SSN (Costo/cpr Zurampic: €0,85)</w:t>
      </w:r>
      <w:bookmarkEnd w:id="245"/>
    </w:p>
    <w:tbl>
      <w:tblPr>
        <w:tblW w:w="9112" w:type="dxa"/>
        <w:tblCellMar>
          <w:left w:w="0" w:type="dxa"/>
          <w:right w:w="0" w:type="dxa"/>
        </w:tblCellMar>
        <w:tblLook w:val="0420" w:firstRow="1" w:lastRow="0" w:firstColumn="0" w:lastColumn="0" w:noHBand="0" w:noVBand="1"/>
      </w:tblPr>
      <w:tblGrid>
        <w:gridCol w:w="2278"/>
        <w:gridCol w:w="2278"/>
        <w:gridCol w:w="2278"/>
        <w:gridCol w:w="2278"/>
      </w:tblGrid>
      <w:tr w:rsidR="00A717AE" w:rsidRPr="00E670E9" w14:paraId="3628DC24" w14:textId="77777777" w:rsidTr="003F359A">
        <w:trPr>
          <w:trHeight w:val="328"/>
        </w:trPr>
        <w:tc>
          <w:tcPr>
            <w:tcW w:w="227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356CDD4A"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themeColor="text1"/>
                <w:kern w:val="24"/>
                <w:sz w:val="22"/>
                <w:szCs w:val="22"/>
                <w:lang w:val="en-US" w:eastAsia="it-IT"/>
              </w:rPr>
              <w:t>WITHOUT ZURAMPIC</w:t>
            </w:r>
          </w:p>
        </w:tc>
        <w:tc>
          <w:tcPr>
            <w:tcW w:w="227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2C724291"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themeColor="text1"/>
                <w:kern w:val="24"/>
                <w:sz w:val="22"/>
                <w:szCs w:val="22"/>
                <w:lang w:val="en-US" w:eastAsia="it-IT"/>
              </w:rPr>
              <w:t>Anno 1</w:t>
            </w:r>
          </w:p>
        </w:tc>
        <w:tc>
          <w:tcPr>
            <w:tcW w:w="227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3670709F"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themeColor="text1"/>
                <w:kern w:val="24"/>
                <w:sz w:val="22"/>
                <w:szCs w:val="22"/>
                <w:lang w:val="en-US" w:eastAsia="it-IT"/>
              </w:rPr>
              <w:t>Anno 2</w:t>
            </w:r>
          </w:p>
        </w:tc>
        <w:tc>
          <w:tcPr>
            <w:tcW w:w="227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129D433B"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themeColor="text1"/>
                <w:kern w:val="24"/>
                <w:sz w:val="22"/>
                <w:szCs w:val="22"/>
                <w:lang w:val="en-US" w:eastAsia="it-IT"/>
              </w:rPr>
              <w:t>Anno 3</w:t>
            </w:r>
          </w:p>
        </w:tc>
      </w:tr>
      <w:tr w:rsidR="00A717AE" w:rsidRPr="00E670E9" w14:paraId="75BAF5DC" w14:textId="77777777" w:rsidTr="003F359A">
        <w:trPr>
          <w:trHeight w:val="328"/>
        </w:trPr>
        <w:tc>
          <w:tcPr>
            <w:tcW w:w="2278" w:type="dxa"/>
            <w:tcBorders>
              <w:top w:val="single" w:sz="8" w:space="0" w:color="F79646"/>
              <w:left w:val="nil"/>
              <w:bottom w:val="nil"/>
              <w:right w:val="nil"/>
            </w:tcBorders>
            <w:shd w:val="clear" w:color="auto" w:fill="FDEFE9"/>
            <w:tcMar>
              <w:top w:w="15" w:type="dxa"/>
              <w:left w:w="15" w:type="dxa"/>
              <w:bottom w:w="0" w:type="dxa"/>
              <w:right w:w="15" w:type="dxa"/>
            </w:tcMar>
            <w:vAlign w:val="bottom"/>
            <w:hideMark/>
          </w:tcPr>
          <w:p w14:paraId="58922346"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i/>
                <w:iCs/>
                <w:color w:val="000000" w:themeColor="text1"/>
                <w:kern w:val="24"/>
                <w:sz w:val="22"/>
                <w:szCs w:val="22"/>
                <w:lang w:val="en-US" w:eastAsia="it-IT"/>
              </w:rPr>
              <w:t>Febuxostat</w:t>
            </w:r>
          </w:p>
        </w:tc>
        <w:tc>
          <w:tcPr>
            <w:tcW w:w="2278" w:type="dxa"/>
            <w:tcBorders>
              <w:top w:val="single" w:sz="8" w:space="0" w:color="F79646"/>
              <w:left w:val="nil"/>
              <w:bottom w:val="nil"/>
              <w:right w:val="nil"/>
            </w:tcBorders>
            <w:shd w:val="clear" w:color="auto" w:fill="FDEFE9"/>
            <w:tcMar>
              <w:top w:w="15" w:type="dxa"/>
              <w:left w:w="15" w:type="dxa"/>
              <w:bottom w:w="0" w:type="dxa"/>
              <w:right w:w="15" w:type="dxa"/>
            </w:tcMar>
            <w:vAlign w:val="center"/>
            <w:hideMark/>
          </w:tcPr>
          <w:p w14:paraId="7960183B"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themeColor="text1"/>
                <w:kern w:val="24"/>
                <w:sz w:val="20"/>
                <w:szCs w:val="20"/>
                <w:lang w:val="en-US" w:eastAsia="it-IT"/>
              </w:rPr>
              <w:t xml:space="preserve"> €   29.422.008,00 </w:t>
            </w:r>
          </w:p>
        </w:tc>
        <w:tc>
          <w:tcPr>
            <w:tcW w:w="2278" w:type="dxa"/>
            <w:tcBorders>
              <w:top w:val="single" w:sz="8" w:space="0" w:color="F79646"/>
              <w:left w:val="nil"/>
              <w:bottom w:val="nil"/>
              <w:right w:val="nil"/>
            </w:tcBorders>
            <w:shd w:val="clear" w:color="auto" w:fill="FDEFE9"/>
            <w:tcMar>
              <w:top w:w="15" w:type="dxa"/>
              <w:left w:w="15" w:type="dxa"/>
              <w:bottom w:w="0" w:type="dxa"/>
              <w:right w:w="15" w:type="dxa"/>
            </w:tcMar>
            <w:vAlign w:val="center"/>
            <w:hideMark/>
          </w:tcPr>
          <w:p w14:paraId="768E8D89"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themeColor="text1"/>
                <w:kern w:val="24"/>
                <w:sz w:val="20"/>
                <w:szCs w:val="20"/>
                <w:lang w:val="en-US" w:eastAsia="it-IT"/>
              </w:rPr>
              <w:t xml:space="preserve"> €   32.983.542,90 </w:t>
            </w:r>
          </w:p>
        </w:tc>
        <w:tc>
          <w:tcPr>
            <w:tcW w:w="2278" w:type="dxa"/>
            <w:tcBorders>
              <w:top w:val="single" w:sz="8" w:space="0" w:color="F79646"/>
              <w:left w:val="nil"/>
              <w:bottom w:val="nil"/>
              <w:right w:val="nil"/>
            </w:tcBorders>
            <w:shd w:val="clear" w:color="auto" w:fill="FDEFE9"/>
            <w:tcMar>
              <w:top w:w="15" w:type="dxa"/>
              <w:left w:w="15" w:type="dxa"/>
              <w:bottom w:w="0" w:type="dxa"/>
              <w:right w:w="15" w:type="dxa"/>
            </w:tcMar>
            <w:vAlign w:val="center"/>
            <w:hideMark/>
          </w:tcPr>
          <w:p w14:paraId="55D8B595"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themeColor="text1"/>
                <w:kern w:val="24"/>
                <w:sz w:val="20"/>
                <w:szCs w:val="20"/>
                <w:lang w:val="en-US" w:eastAsia="it-IT"/>
              </w:rPr>
              <w:t xml:space="preserve"> €   36.627.440,85 </w:t>
            </w:r>
          </w:p>
        </w:tc>
      </w:tr>
      <w:tr w:rsidR="00A717AE" w:rsidRPr="00E670E9" w14:paraId="0C395C12" w14:textId="77777777" w:rsidTr="003F359A">
        <w:trPr>
          <w:trHeight w:val="328"/>
        </w:trPr>
        <w:tc>
          <w:tcPr>
            <w:tcW w:w="2278" w:type="dxa"/>
            <w:tcBorders>
              <w:top w:val="nil"/>
              <w:left w:val="nil"/>
              <w:bottom w:val="nil"/>
              <w:right w:val="nil"/>
            </w:tcBorders>
            <w:shd w:val="clear" w:color="auto" w:fill="auto"/>
            <w:tcMar>
              <w:top w:w="15" w:type="dxa"/>
              <w:left w:w="15" w:type="dxa"/>
              <w:bottom w:w="0" w:type="dxa"/>
              <w:right w:w="15" w:type="dxa"/>
            </w:tcMar>
            <w:vAlign w:val="bottom"/>
            <w:hideMark/>
          </w:tcPr>
          <w:p w14:paraId="2076E5DF"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i/>
                <w:iCs/>
                <w:color w:val="000000" w:themeColor="text1"/>
                <w:kern w:val="24"/>
                <w:sz w:val="22"/>
                <w:szCs w:val="22"/>
                <w:lang w:val="en-US" w:eastAsia="it-IT"/>
              </w:rPr>
              <w:t>Allopurinol</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0C5D5389"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pt-BR" w:eastAsia="it-IT"/>
              </w:rPr>
              <w:t xml:space="preserve"> € 16.095.507,75 </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735A7918"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en-US" w:eastAsia="it-IT"/>
              </w:rPr>
              <w:t xml:space="preserve"> € 17.248.905,00 </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70E4951D"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en-US" w:eastAsia="it-IT"/>
              </w:rPr>
              <w:t xml:space="preserve"> € 18.490.410,00 </w:t>
            </w:r>
          </w:p>
        </w:tc>
      </w:tr>
      <w:tr w:rsidR="00A717AE" w:rsidRPr="00E670E9" w14:paraId="27DFCD66" w14:textId="77777777" w:rsidTr="003F359A">
        <w:trPr>
          <w:trHeight w:val="328"/>
        </w:trPr>
        <w:tc>
          <w:tcPr>
            <w:tcW w:w="2278" w:type="dxa"/>
            <w:tcBorders>
              <w:top w:val="nil"/>
              <w:left w:val="nil"/>
              <w:bottom w:val="nil"/>
              <w:right w:val="nil"/>
            </w:tcBorders>
            <w:shd w:val="clear" w:color="auto" w:fill="FDEFE9"/>
            <w:tcMar>
              <w:top w:w="15" w:type="dxa"/>
              <w:left w:w="15" w:type="dxa"/>
              <w:bottom w:w="0" w:type="dxa"/>
              <w:right w:w="15" w:type="dxa"/>
            </w:tcMar>
            <w:vAlign w:val="bottom"/>
            <w:hideMark/>
          </w:tcPr>
          <w:p w14:paraId="0F8DCCA0"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i/>
                <w:iCs/>
                <w:color w:val="000000" w:themeColor="text1"/>
                <w:kern w:val="24"/>
                <w:sz w:val="22"/>
                <w:szCs w:val="22"/>
                <w:lang w:val="en-US" w:eastAsia="it-IT"/>
              </w:rPr>
              <w:t>Allopurinol + Zurampic</w:t>
            </w:r>
          </w:p>
        </w:tc>
        <w:tc>
          <w:tcPr>
            <w:tcW w:w="2278" w:type="dxa"/>
            <w:tcBorders>
              <w:top w:val="nil"/>
              <w:left w:val="nil"/>
              <w:bottom w:val="nil"/>
              <w:right w:val="nil"/>
            </w:tcBorders>
            <w:shd w:val="clear" w:color="auto" w:fill="FDEFE9"/>
            <w:tcMar>
              <w:top w:w="15" w:type="dxa"/>
              <w:left w:w="15" w:type="dxa"/>
              <w:bottom w:w="0" w:type="dxa"/>
              <w:right w:w="15" w:type="dxa"/>
            </w:tcMar>
            <w:vAlign w:val="center"/>
            <w:hideMark/>
          </w:tcPr>
          <w:p w14:paraId="4DEFBE70"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themeColor="text1"/>
                <w:kern w:val="24"/>
                <w:sz w:val="20"/>
                <w:szCs w:val="20"/>
                <w:lang w:val="en-US" w:eastAsia="it-IT"/>
              </w:rPr>
              <w:t>- </w:t>
            </w:r>
          </w:p>
        </w:tc>
        <w:tc>
          <w:tcPr>
            <w:tcW w:w="2278" w:type="dxa"/>
            <w:tcBorders>
              <w:top w:val="nil"/>
              <w:left w:val="nil"/>
              <w:bottom w:val="nil"/>
              <w:right w:val="nil"/>
            </w:tcBorders>
            <w:shd w:val="clear" w:color="auto" w:fill="FDEFE9"/>
            <w:tcMar>
              <w:top w:w="15" w:type="dxa"/>
              <w:left w:w="15" w:type="dxa"/>
              <w:bottom w:w="0" w:type="dxa"/>
              <w:right w:w="15" w:type="dxa"/>
            </w:tcMar>
            <w:vAlign w:val="center"/>
            <w:hideMark/>
          </w:tcPr>
          <w:p w14:paraId="01699DE4"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themeColor="text1"/>
                <w:kern w:val="24"/>
                <w:sz w:val="20"/>
                <w:szCs w:val="20"/>
                <w:lang w:val="en-US" w:eastAsia="it-IT"/>
              </w:rPr>
              <w:t>-</w:t>
            </w:r>
          </w:p>
        </w:tc>
        <w:tc>
          <w:tcPr>
            <w:tcW w:w="2278" w:type="dxa"/>
            <w:tcBorders>
              <w:top w:val="nil"/>
              <w:left w:val="nil"/>
              <w:bottom w:val="nil"/>
              <w:right w:val="nil"/>
            </w:tcBorders>
            <w:shd w:val="clear" w:color="auto" w:fill="FDEFE9"/>
            <w:tcMar>
              <w:top w:w="15" w:type="dxa"/>
              <w:left w:w="15" w:type="dxa"/>
              <w:bottom w:w="0" w:type="dxa"/>
              <w:right w:w="15" w:type="dxa"/>
            </w:tcMar>
            <w:vAlign w:val="center"/>
            <w:hideMark/>
          </w:tcPr>
          <w:p w14:paraId="4BDAE714"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themeColor="text1"/>
                <w:kern w:val="24"/>
                <w:sz w:val="20"/>
                <w:szCs w:val="20"/>
                <w:lang w:val="en-US" w:eastAsia="it-IT"/>
              </w:rPr>
              <w:t>-</w:t>
            </w:r>
          </w:p>
        </w:tc>
      </w:tr>
      <w:tr w:rsidR="00A717AE" w:rsidRPr="00E670E9" w14:paraId="488B75DB" w14:textId="77777777" w:rsidTr="003F359A">
        <w:trPr>
          <w:trHeight w:val="328"/>
        </w:trPr>
        <w:tc>
          <w:tcPr>
            <w:tcW w:w="2278" w:type="dxa"/>
            <w:tcBorders>
              <w:top w:val="nil"/>
              <w:left w:val="nil"/>
              <w:bottom w:val="nil"/>
              <w:right w:val="nil"/>
            </w:tcBorders>
            <w:shd w:val="clear" w:color="auto" w:fill="auto"/>
            <w:tcMar>
              <w:top w:w="15" w:type="dxa"/>
              <w:left w:w="15" w:type="dxa"/>
              <w:bottom w:w="0" w:type="dxa"/>
              <w:right w:w="15" w:type="dxa"/>
            </w:tcMar>
            <w:vAlign w:val="bottom"/>
            <w:hideMark/>
          </w:tcPr>
          <w:p w14:paraId="4FD78CE8"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i/>
                <w:iCs/>
                <w:color w:val="000000" w:themeColor="text1"/>
                <w:kern w:val="24"/>
                <w:sz w:val="22"/>
                <w:szCs w:val="22"/>
                <w:lang w:val="en-US" w:eastAsia="it-IT"/>
              </w:rPr>
              <w:t>Febuxostat + Zurampic</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1B458BBB"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themeColor="text1"/>
                <w:kern w:val="24"/>
                <w:sz w:val="20"/>
                <w:szCs w:val="20"/>
                <w:lang w:val="en-US" w:eastAsia="it-IT"/>
              </w:rPr>
              <w:t>- </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560E4A8A"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themeColor="text1"/>
                <w:kern w:val="24"/>
                <w:sz w:val="20"/>
                <w:szCs w:val="20"/>
                <w:lang w:val="en-US" w:eastAsia="it-IT"/>
              </w:rPr>
              <w:t>-</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7D4E8684"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themeColor="text1"/>
                <w:kern w:val="24"/>
                <w:sz w:val="20"/>
                <w:szCs w:val="20"/>
                <w:lang w:val="en-US" w:eastAsia="it-IT"/>
              </w:rPr>
              <w:t>-</w:t>
            </w:r>
          </w:p>
        </w:tc>
      </w:tr>
      <w:tr w:rsidR="00A717AE" w:rsidRPr="00E670E9" w14:paraId="4D7863A6" w14:textId="77777777" w:rsidTr="003F359A">
        <w:trPr>
          <w:trHeight w:val="328"/>
        </w:trPr>
        <w:tc>
          <w:tcPr>
            <w:tcW w:w="2278" w:type="dxa"/>
            <w:tcBorders>
              <w:top w:val="nil"/>
              <w:left w:val="nil"/>
              <w:bottom w:val="single" w:sz="8" w:space="0" w:color="F79646"/>
              <w:right w:val="nil"/>
            </w:tcBorders>
            <w:shd w:val="clear" w:color="auto" w:fill="FDEFE9"/>
            <w:tcMar>
              <w:top w:w="15" w:type="dxa"/>
              <w:left w:w="15" w:type="dxa"/>
              <w:bottom w:w="0" w:type="dxa"/>
              <w:right w:w="15" w:type="dxa"/>
            </w:tcMar>
            <w:vAlign w:val="bottom"/>
            <w:hideMark/>
          </w:tcPr>
          <w:p w14:paraId="29352ECC"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b/>
                <w:bCs/>
                <w:i/>
                <w:iCs/>
                <w:color w:val="000000" w:themeColor="text1"/>
                <w:kern w:val="24"/>
                <w:sz w:val="22"/>
                <w:szCs w:val="22"/>
                <w:lang w:val="en-US" w:eastAsia="it-IT"/>
              </w:rPr>
              <w:t>Total market</w:t>
            </w:r>
          </w:p>
        </w:tc>
        <w:tc>
          <w:tcPr>
            <w:tcW w:w="2278"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78511296"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kern w:val="24"/>
                <w:sz w:val="20"/>
                <w:szCs w:val="20"/>
                <w:lang w:val="sk-SK" w:eastAsia="it-IT"/>
              </w:rPr>
              <w:t xml:space="preserve"> € 45.517.515,75 </w:t>
            </w:r>
          </w:p>
        </w:tc>
        <w:tc>
          <w:tcPr>
            <w:tcW w:w="2278"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5942F376"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kern w:val="24"/>
                <w:sz w:val="20"/>
                <w:szCs w:val="20"/>
                <w:lang w:val="pt-BR" w:eastAsia="it-IT"/>
              </w:rPr>
              <w:t xml:space="preserve"> € 50.232.447,90 </w:t>
            </w:r>
          </w:p>
        </w:tc>
        <w:tc>
          <w:tcPr>
            <w:tcW w:w="2278"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7882D027"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kern w:val="24"/>
                <w:sz w:val="20"/>
                <w:szCs w:val="20"/>
                <w:lang w:val="sk-SK" w:eastAsia="it-IT"/>
              </w:rPr>
              <w:t xml:space="preserve"> € 55.117.850,85 </w:t>
            </w:r>
          </w:p>
        </w:tc>
      </w:tr>
      <w:tr w:rsidR="00A717AE" w:rsidRPr="00E670E9" w14:paraId="40E1E1D9" w14:textId="77777777" w:rsidTr="003F359A">
        <w:trPr>
          <w:trHeight w:val="328"/>
        </w:trPr>
        <w:tc>
          <w:tcPr>
            <w:tcW w:w="227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1E93BE55"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themeColor="text1"/>
                <w:kern w:val="24"/>
                <w:sz w:val="22"/>
                <w:szCs w:val="22"/>
                <w:lang w:val="en-US" w:eastAsia="it-IT"/>
              </w:rPr>
              <w:t>WITH ZURAMPIC</w:t>
            </w:r>
          </w:p>
        </w:tc>
        <w:tc>
          <w:tcPr>
            <w:tcW w:w="227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24F9935B"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themeColor="text1"/>
                <w:kern w:val="24"/>
                <w:sz w:val="22"/>
                <w:szCs w:val="22"/>
                <w:lang w:val="en-US" w:eastAsia="it-IT"/>
              </w:rPr>
              <w:t>Anno 1</w:t>
            </w:r>
          </w:p>
        </w:tc>
        <w:tc>
          <w:tcPr>
            <w:tcW w:w="227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1596C0AF"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themeColor="text1"/>
                <w:kern w:val="24"/>
                <w:sz w:val="22"/>
                <w:szCs w:val="22"/>
                <w:lang w:val="en-US" w:eastAsia="it-IT"/>
              </w:rPr>
              <w:t>Anno 2</w:t>
            </w:r>
          </w:p>
        </w:tc>
        <w:tc>
          <w:tcPr>
            <w:tcW w:w="227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536ABD02"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themeColor="text1"/>
                <w:kern w:val="24"/>
                <w:sz w:val="22"/>
                <w:szCs w:val="22"/>
                <w:lang w:val="en-US" w:eastAsia="it-IT"/>
              </w:rPr>
              <w:t>Anno 3</w:t>
            </w:r>
          </w:p>
        </w:tc>
      </w:tr>
      <w:tr w:rsidR="00A717AE" w:rsidRPr="00E670E9" w14:paraId="29DD5F6B" w14:textId="77777777" w:rsidTr="003F359A">
        <w:trPr>
          <w:trHeight w:val="328"/>
        </w:trPr>
        <w:tc>
          <w:tcPr>
            <w:tcW w:w="2278" w:type="dxa"/>
            <w:tcBorders>
              <w:top w:val="single" w:sz="8" w:space="0" w:color="F79646"/>
              <w:left w:val="nil"/>
              <w:bottom w:val="nil"/>
              <w:right w:val="nil"/>
            </w:tcBorders>
            <w:shd w:val="clear" w:color="auto" w:fill="FDEFE9"/>
            <w:tcMar>
              <w:top w:w="15" w:type="dxa"/>
              <w:left w:w="15" w:type="dxa"/>
              <w:bottom w:w="0" w:type="dxa"/>
              <w:right w:w="15" w:type="dxa"/>
            </w:tcMar>
            <w:vAlign w:val="bottom"/>
            <w:hideMark/>
          </w:tcPr>
          <w:p w14:paraId="34A21FCB"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i/>
                <w:iCs/>
                <w:color w:val="000000" w:themeColor="text1"/>
                <w:kern w:val="24"/>
                <w:sz w:val="22"/>
                <w:szCs w:val="22"/>
                <w:lang w:val="en-US" w:eastAsia="it-IT"/>
              </w:rPr>
              <w:t>Febuxostat</w:t>
            </w:r>
          </w:p>
        </w:tc>
        <w:tc>
          <w:tcPr>
            <w:tcW w:w="2278" w:type="dxa"/>
            <w:tcBorders>
              <w:top w:val="single" w:sz="8" w:space="0" w:color="F79646"/>
              <w:left w:val="nil"/>
              <w:bottom w:val="nil"/>
              <w:right w:val="nil"/>
            </w:tcBorders>
            <w:shd w:val="clear" w:color="auto" w:fill="FDEFE9"/>
            <w:tcMar>
              <w:top w:w="15" w:type="dxa"/>
              <w:left w:w="15" w:type="dxa"/>
              <w:bottom w:w="0" w:type="dxa"/>
              <w:right w:w="15" w:type="dxa"/>
            </w:tcMar>
            <w:vAlign w:val="center"/>
            <w:hideMark/>
          </w:tcPr>
          <w:p w14:paraId="4AAA800B"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pt-BR" w:eastAsia="it-IT"/>
              </w:rPr>
              <w:t xml:space="preserve"> € 25.059.087,90 </w:t>
            </w:r>
          </w:p>
        </w:tc>
        <w:tc>
          <w:tcPr>
            <w:tcW w:w="2278" w:type="dxa"/>
            <w:tcBorders>
              <w:top w:val="single" w:sz="8" w:space="0" w:color="F79646"/>
              <w:left w:val="nil"/>
              <w:bottom w:val="nil"/>
              <w:right w:val="nil"/>
            </w:tcBorders>
            <w:shd w:val="clear" w:color="auto" w:fill="FDEFE9"/>
            <w:tcMar>
              <w:top w:w="15" w:type="dxa"/>
              <w:left w:w="15" w:type="dxa"/>
              <w:bottom w:w="0" w:type="dxa"/>
              <w:right w:w="15" w:type="dxa"/>
            </w:tcMar>
            <w:vAlign w:val="center"/>
            <w:hideMark/>
          </w:tcPr>
          <w:p w14:paraId="09FF02E9"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pt-BR" w:eastAsia="it-IT"/>
              </w:rPr>
              <w:t xml:space="preserve"> € 25.029.947,25 </w:t>
            </w:r>
          </w:p>
        </w:tc>
        <w:tc>
          <w:tcPr>
            <w:tcW w:w="2278" w:type="dxa"/>
            <w:tcBorders>
              <w:top w:val="single" w:sz="8" w:space="0" w:color="F79646"/>
              <w:left w:val="nil"/>
              <w:bottom w:val="nil"/>
              <w:right w:val="nil"/>
            </w:tcBorders>
            <w:shd w:val="clear" w:color="auto" w:fill="FDEFE9"/>
            <w:tcMar>
              <w:top w:w="15" w:type="dxa"/>
              <w:left w:w="15" w:type="dxa"/>
              <w:bottom w:w="0" w:type="dxa"/>
              <w:right w:w="15" w:type="dxa"/>
            </w:tcMar>
            <w:vAlign w:val="center"/>
            <w:hideMark/>
          </w:tcPr>
          <w:p w14:paraId="171F611D"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sk-SK" w:eastAsia="it-IT"/>
              </w:rPr>
              <w:t xml:space="preserve"> € 25.433.446,50 </w:t>
            </w:r>
          </w:p>
        </w:tc>
      </w:tr>
      <w:tr w:rsidR="00A717AE" w:rsidRPr="00E670E9" w14:paraId="1350E5D0" w14:textId="77777777" w:rsidTr="003F359A">
        <w:trPr>
          <w:trHeight w:val="328"/>
        </w:trPr>
        <w:tc>
          <w:tcPr>
            <w:tcW w:w="2278" w:type="dxa"/>
            <w:tcBorders>
              <w:top w:val="nil"/>
              <w:left w:val="nil"/>
              <w:bottom w:val="nil"/>
              <w:right w:val="nil"/>
            </w:tcBorders>
            <w:shd w:val="clear" w:color="auto" w:fill="auto"/>
            <w:tcMar>
              <w:top w:w="15" w:type="dxa"/>
              <w:left w:w="15" w:type="dxa"/>
              <w:bottom w:w="0" w:type="dxa"/>
              <w:right w:w="15" w:type="dxa"/>
            </w:tcMar>
            <w:vAlign w:val="bottom"/>
            <w:hideMark/>
          </w:tcPr>
          <w:p w14:paraId="2CA24318"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i/>
                <w:iCs/>
                <w:color w:val="000000" w:themeColor="text1"/>
                <w:kern w:val="24"/>
                <w:sz w:val="22"/>
                <w:szCs w:val="22"/>
                <w:lang w:val="en-US" w:eastAsia="it-IT"/>
              </w:rPr>
              <w:t>Allopurinol</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67F4C489"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pt-BR" w:eastAsia="it-IT"/>
              </w:rPr>
              <w:t xml:space="preserve"> € 16.095.507,75 </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3424AD49"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en-US" w:eastAsia="it-IT"/>
              </w:rPr>
              <w:t xml:space="preserve"> € 17.248.905,00 </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7E18AA79"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en-US" w:eastAsia="it-IT"/>
              </w:rPr>
              <w:t xml:space="preserve"> € 18.490.410,00 </w:t>
            </w:r>
          </w:p>
        </w:tc>
      </w:tr>
      <w:tr w:rsidR="00A717AE" w:rsidRPr="00E670E9" w14:paraId="6315E245" w14:textId="77777777" w:rsidTr="003F359A">
        <w:trPr>
          <w:trHeight w:val="328"/>
        </w:trPr>
        <w:tc>
          <w:tcPr>
            <w:tcW w:w="2278" w:type="dxa"/>
            <w:tcBorders>
              <w:top w:val="nil"/>
              <w:left w:val="nil"/>
              <w:bottom w:val="nil"/>
              <w:right w:val="nil"/>
            </w:tcBorders>
            <w:shd w:val="clear" w:color="auto" w:fill="FDEFE9"/>
            <w:tcMar>
              <w:top w:w="15" w:type="dxa"/>
              <w:left w:w="15" w:type="dxa"/>
              <w:bottom w:w="0" w:type="dxa"/>
              <w:right w:w="15" w:type="dxa"/>
            </w:tcMar>
            <w:vAlign w:val="bottom"/>
            <w:hideMark/>
          </w:tcPr>
          <w:p w14:paraId="218D07CC"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i/>
                <w:iCs/>
                <w:color w:val="000000" w:themeColor="text1"/>
                <w:kern w:val="24"/>
                <w:sz w:val="22"/>
                <w:szCs w:val="22"/>
                <w:lang w:val="en-US" w:eastAsia="it-IT"/>
              </w:rPr>
              <w:t>Allopurinol + Zurampic</w:t>
            </w:r>
          </w:p>
        </w:tc>
        <w:tc>
          <w:tcPr>
            <w:tcW w:w="2278" w:type="dxa"/>
            <w:tcBorders>
              <w:top w:val="nil"/>
              <w:left w:val="nil"/>
              <w:bottom w:val="nil"/>
              <w:right w:val="nil"/>
            </w:tcBorders>
            <w:shd w:val="clear" w:color="auto" w:fill="FDEFE9"/>
            <w:tcMar>
              <w:top w:w="15" w:type="dxa"/>
              <w:left w:w="15" w:type="dxa"/>
              <w:bottom w:w="0" w:type="dxa"/>
              <w:right w:w="15" w:type="dxa"/>
            </w:tcMar>
            <w:vAlign w:val="center"/>
            <w:hideMark/>
          </w:tcPr>
          <w:p w14:paraId="3A70EF88"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pt-BR" w:eastAsia="it-IT"/>
              </w:rPr>
              <w:t xml:space="preserve"> € 5.099.517,00 </w:t>
            </w:r>
          </w:p>
        </w:tc>
        <w:tc>
          <w:tcPr>
            <w:tcW w:w="2278" w:type="dxa"/>
            <w:tcBorders>
              <w:top w:val="nil"/>
              <w:left w:val="nil"/>
              <w:bottom w:val="nil"/>
              <w:right w:val="nil"/>
            </w:tcBorders>
            <w:shd w:val="clear" w:color="auto" w:fill="FDEFE9"/>
            <w:tcMar>
              <w:top w:w="15" w:type="dxa"/>
              <w:left w:w="15" w:type="dxa"/>
              <w:bottom w:w="0" w:type="dxa"/>
              <w:right w:w="15" w:type="dxa"/>
            </w:tcMar>
            <w:vAlign w:val="center"/>
            <w:hideMark/>
          </w:tcPr>
          <w:p w14:paraId="19A206C1"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sk-SK" w:eastAsia="it-IT"/>
              </w:rPr>
              <w:t xml:space="preserve"> € 9.296.410,50 </w:t>
            </w:r>
          </w:p>
        </w:tc>
        <w:tc>
          <w:tcPr>
            <w:tcW w:w="2278" w:type="dxa"/>
            <w:tcBorders>
              <w:top w:val="nil"/>
              <w:left w:val="nil"/>
              <w:bottom w:val="nil"/>
              <w:right w:val="nil"/>
            </w:tcBorders>
            <w:shd w:val="clear" w:color="auto" w:fill="FDEFE9"/>
            <w:tcMar>
              <w:top w:w="15" w:type="dxa"/>
              <w:left w:w="15" w:type="dxa"/>
              <w:bottom w:w="0" w:type="dxa"/>
              <w:right w:w="15" w:type="dxa"/>
            </w:tcMar>
            <w:vAlign w:val="center"/>
            <w:hideMark/>
          </w:tcPr>
          <w:p w14:paraId="77E9E57D"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pt-BR" w:eastAsia="it-IT"/>
              </w:rPr>
              <w:t xml:space="preserve"> € 13.083.889,50 </w:t>
            </w:r>
          </w:p>
        </w:tc>
      </w:tr>
      <w:tr w:rsidR="00A717AE" w:rsidRPr="00E670E9" w14:paraId="61A4F494" w14:textId="77777777" w:rsidTr="003F359A">
        <w:trPr>
          <w:trHeight w:val="328"/>
        </w:trPr>
        <w:tc>
          <w:tcPr>
            <w:tcW w:w="2278" w:type="dxa"/>
            <w:tcBorders>
              <w:top w:val="nil"/>
              <w:left w:val="nil"/>
              <w:bottom w:val="nil"/>
              <w:right w:val="nil"/>
            </w:tcBorders>
            <w:shd w:val="clear" w:color="auto" w:fill="auto"/>
            <w:tcMar>
              <w:top w:w="15" w:type="dxa"/>
              <w:left w:w="15" w:type="dxa"/>
              <w:bottom w:w="0" w:type="dxa"/>
              <w:right w:w="15" w:type="dxa"/>
            </w:tcMar>
            <w:vAlign w:val="bottom"/>
            <w:hideMark/>
          </w:tcPr>
          <w:p w14:paraId="599666A1"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i/>
                <w:iCs/>
                <w:color w:val="000000" w:themeColor="text1"/>
                <w:kern w:val="24"/>
                <w:sz w:val="22"/>
                <w:szCs w:val="22"/>
                <w:lang w:val="en-US" w:eastAsia="it-IT"/>
              </w:rPr>
              <w:t>Febuxostat + Zurampic</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79EC0819"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Mangal"/>
                <w:color w:val="000000"/>
                <w:kern w:val="24"/>
                <w:sz w:val="20"/>
                <w:szCs w:val="20"/>
                <w:cs/>
                <w:lang w:eastAsia="it-IT" w:bidi="mr-IN"/>
              </w:rPr>
              <w:t xml:space="preserve"> </w:t>
            </w:r>
            <w:r w:rsidRPr="00E670E9">
              <w:rPr>
                <w:rFonts w:ascii="Calibri" w:eastAsia="Times New Roman" w:hAnsi="Calibri" w:cs="Calibri"/>
                <w:color w:val="000000"/>
                <w:kern w:val="24"/>
                <w:sz w:val="20"/>
                <w:szCs w:val="20"/>
                <w:lang w:eastAsia="it-IT" w:bidi="mr-IN"/>
              </w:rPr>
              <w:t>€ -</w:t>
            </w:r>
            <w:r w:rsidRPr="00E670E9">
              <w:rPr>
                <w:rFonts w:ascii="Calibri" w:eastAsia="Times New Roman" w:hAnsi="Calibri" w:cs="Mangal"/>
                <w:color w:val="000000"/>
                <w:kern w:val="24"/>
                <w:sz w:val="20"/>
                <w:szCs w:val="20"/>
                <w:cs/>
                <w:lang w:eastAsia="it-IT" w:bidi="mr-IN"/>
              </w:rPr>
              <w:t xml:space="preserve">   </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6EFFB093"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Mangal"/>
                <w:color w:val="000000"/>
                <w:kern w:val="24"/>
                <w:sz w:val="20"/>
                <w:szCs w:val="20"/>
                <w:cs/>
                <w:lang w:eastAsia="it-IT" w:bidi="mr-IN"/>
              </w:rPr>
              <w:t xml:space="preserve"> </w:t>
            </w:r>
            <w:r w:rsidRPr="00E670E9">
              <w:rPr>
                <w:rFonts w:ascii="Calibri" w:eastAsia="Times New Roman" w:hAnsi="Calibri" w:cs="Calibri"/>
                <w:color w:val="000000"/>
                <w:kern w:val="24"/>
                <w:sz w:val="20"/>
                <w:szCs w:val="20"/>
                <w:lang w:eastAsia="it-IT" w:bidi="mr-IN"/>
              </w:rPr>
              <w:t>€ -</w:t>
            </w:r>
            <w:r w:rsidRPr="00E670E9">
              <w:rPr>
                <w:rFonts w:ascii="Calibri" w:eastAsia="Times New Roman" w:hAnsi="Calibri" w:cs="Mangal"/>
                <w:color w:val="000000"/>
                <w:kern w:val="24"/>
                <w:sz w:val="20"/>
                <w:szCs w:val="20"/>
                <w:cs/>
                <w:lang w:eastAsia="it-IT" w:bidi="mr-IN"/>
              </w:rPr>
              <w:t xml:space="preserve">   </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6225DD3A"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Mangal"/>
                <w:color w:val="000000"/>
                <w:kern w:val="24"/>
                <w:sz w:val="20"/>
                <w:szCs w:val="20"/>
                <w:cs/>
                <w:lang w:eastAsia="it-IT" w:bidi="mr-IN"/>
              </w:rPr>
              <w:t xml:space="preserve"> </w:t>
            </w:r>
            <w:r w:rsidRPr="00E670E9">
              <w:rPr>
                <w:rFonts w:ascii="Calibri" w:eastAsia="Times New Roman" w:hAnsi="Calibri" w:cs="Calibri"/>
                <w:color w:val="000000"/>
                <w:kern w:val="24"/>
                <w:sz w:val="20"/>
                <w:szCs w:val="20"/>
                <w:lang w:eastAsia="it-IT" w:bidi="mr-IN"/>
              </w:rPr>
              <w:t>€ -</w:t>
            </w:r>
            <w:r w:rsidRPr="00E670E9">
              <w:rPr>
                <w:rFonts w:ascii="Calibri" w:eastAsia="Times New Roman" w:hAnsi="Calibri" w:cs="Mangal"/>
                <w:color w:val="000000"/>
                <w:kern w:val="24"/>
                <w:sz w:val="20"/>
                <w:szCs w:val="20"/>
                <w:cs/>
                <w:lang w:eastAsia="it-IT" w:bidi="mr-IN"/>
              </w:rPr>
              <w:t xml:space="preserve">   </w:t>
            </w:r>
          </w:p>
        </w:tc>
      </w:tr>
      <w:tr w:rsidR="00A717AE" w:rsidRPr="00E670E9" w14:paraId="4E1B32EB" w14:textId="77777777" w:rsidTr="003F359A">
        <w:trPr>
          <w:trHeight w:val="328"/>
        </w:trPr>
        <w:tc>
          <w:tcPr>
            <w:tcW w:w="2278" w:type="dxa"/>
            <w:tcBorders>
              <w:top w:val="nil"/>
              <w:left w:val="nil"/>
              <w:bottom w:val="single" w:sz="8" w:space="0" w:color="F79646"/>
              <w:right w:val="nil"/>
            </w:tcBorders>
            <w:shd w:val="clear" w:color="auto" w:fill="FDEFE9"/>
            <w:tcMar>
              <w:top w:w="15" w:type="dxa"/>
              <w:left w:w="15" w:type="dxa"/>
              <w:bottom w:w="0" w:type="dxa"/>
              <w:right w:w="15" w:type="dxa"/>
            </w:tcMar>
            <w:vAlign w:val="bottom"/>
            <w:hideMark/>
          </w:tcPr>
          <w:p w14:paraId="1047AAEF"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b/>
                <w:bCs/>
                <w:i/>
                <w:iCs/>
                <w:color w:val="000000" w:themeColor="text1"/>
                <w:kern w:val="24"/>
                <w:sz w:val="22"/>
                <w:szCs w:val="22"/>
                <w:lang w:val="en-US" w:eastAsia="it-IT"/>
              </w:rPr>
              <w:t>Total market</w:t>
            </w:r>
          </w:p>
        </w:tc>
        <w:tc>
          <w:tcPr>
            <w:tcW w:w="2278"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28754C25"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kern w:val="24"/>
                <w:sz w:val="20"/>
                <w:szCs w:val="20"/>
                <w:lang w:val="sk-SK" w:eastAsia="it-IT"/>
              </w:rPr>
              <w:t xml:space="preserve"> € 46.254.112,65 </w:t>
            </w:r>
          </w:p>
        </w:tc>
        <w:tc>
          <w:tcPr>
            <w:tcW w:w="2278"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36F6FF8F"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kern w:val="24"/>
                <w:sz w:val="20"/>
                <w:szCs w:val="20"/>
                <w:lang w:val="hr-HR" w:eastAsia="it-IT"/>
              </w:rPr>
              <w:t xml:space="preserve"> € 51.575.262,75 </w:t>
            </w:r>
          </w:p>
        </w:tc>
        <w:tc>
          <w:tcPr>
            <w:tcW w:w="2278"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3CB6DBCE"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kern w:val="24"/>
                <w:sz w:val="20"/>
                <w:szCs w:val="20"/>
                <w:lang w:val="pt-BR" w:eastAsia="it-IT"/>
              </w:rPr>
              <w:t xml:space="preserve"> € 57.007.746,00 </w:t>
            </w:r>
          </w:p>
        </w:tc>
      </w:tr>
      <w:tr w:rsidR="00A717AE" w:rsidRPr="00E670E9" w14:paraId="032FF716" w14:textId="77777777" w:rsidTr="003F359A">
        <w:trPr>
          <w:trHeight w:val="328"/>
        </w:trPr>
        <w:tc>
          <w:tcPr>
            <w:tcW w:w="227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047D4D59"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themeColor="text1"/>
                <w:kern w:val="24"/>
                <w:sz w:val="22"/>
                <w:szCs w:val="22"/>
                <w:lang w:val="en-US" w:eastAsia="it-IT"/>
              </w:rPr>
              <w:t>DIFFERENTIAL</w:t>
            </w:r>
          </w:p>
        </w:tc>
        <w:tc>
          <w:tcPr>
            <w:tcW w:w="227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560CF8FE"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themeColor="text1"/>
                <w:kern w:val="24"/>
                <w:sz w:val="22"/>
                <w:szCs w:val="22"/>
                <w:lang w:val="en-US" w:eastAsia="it-IT"/>
              </w:rPr>
              <w:t>Anno 1</w:t>
            </w:r>
          </w:p>
        </w:tc>
        <w:tc>
          <w:tcPr>
            <w:tcW w:w="227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4AB901D0"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themeColor="text1"/>
                <w:kern w:val="24"/>
                <w:sz w:val="22"/>
                <w:szCs w:val="22"/>
                <w:lang w:val="en-US" w:eastAsia="it-IT"/>
              </w:rPr>
              <w:t>Anno 2</w:t>
            </w:r>
          </w:p>
        </w:tc>
        <w:tc>
          <w:tcPr>
            <w:tcW w:w="2278" w:type="dxa"/>
            <w:tcBorders>
              <w:top w:val="single" w:sz="8" w:space="0" w:color="F79646"/>
              <w:left w:val="nil"/>
              <w:bottom w:val="single" w:sz="8" w:space="0" w:color="F79646"/>
              <w:right w:val="nil"/>
            </w:tcBorders>
            <w:shd w:val="clear" w:color="auto" w:fill="auto"/>
            <w:tcMar>
              <w:top w:w="15" w:type="dxa"/>
              <w:left w:w="15" w:type="dxa"/>
              <w:bottom w:w="0" w:type="dxa"/>
              <w:right w:w="15" w:type="dxa"/>
            </w:tcMar>
            <w:vAlign w:val="center"/>
            <w:hideMark/>
          </w:tcPr>
          <w:p w14:paraId="368764BA"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color w:val="000000" w:themeColor="text1"/>
                <w:kern w:val="24"/>
                <w:sz w:val="22"/>
                <w:szCs w:val="22"/>
                <w:lang w:val="en-US" w:eastAsia="it-IT"/>
              </w:rPr>
              <w:t>Anno 3</w:t>
            </w:r>
          </w:p>
        </w:tc>
      </w:tr>
      <w:tr w:rsidR="00A717AE" w:rsidRPr="00E670E9" w14:paraId="5876A107" w14:textId="77777777" w:rsidTr="003F359A">
        <w:trPr>
          <w:trHeight w:val="328"/>
        </w:trPr>
        <w:tc>
          <w:tcPr>
            <w:tcW w:w="2278" w:type="dxa"/>
            <w:tcBorders>
              <w:top w:val="single" w:sz="8" w:space="0" w:color="F79646"/>
              <w:left w:val="nil"/>
              <w:bottom w:val="nil"/>
              <w:right w:val="nil"/>
            </w:tcBorders>
            <w:shd w:val="clear" w:color="auto" w:fill="FDEFE9"/>
            <w:tcMar>
              <w:top w:w="15" w:type="dxa"/>
              <w:left w:w="15" w:type="dxa"/>
              <w:bottom w:w="0" w:type="dxa"/>
              <w:right w:w="15" w:type="dxa"/>
            </w:tcMar>
            <w:vAlign w:val="bottom"/>
            <w:hideMark/>
          </w:tcPr>
          <w:p w14:paraId="6226AD5B"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i/>
                <w:iCs/>
                <w:color w:val="000000" w:themeColor="text1"/>
                <w:kern w:val="24"/>
                <w:sz w:val="22"/>
                <w:szCs w:val="22"/>
                <w:lang w:val="en-US" w:eastAsia="it-IT"/>
              </w:rPr>
              <w:t>Without Zurampic</w:t>
            </w:r>
          </w:p>
        </w:tc>
        <w:tc>
          <w:tcPr>
            <w:tcW w:w="2278" w:type="dxa"/>
            <w:tcBorders>
              <w:top w:val="single" w:sz="8" w:space="0" w:color="F79646"/>
              <w:left w:val="nil"/>
              <w:bottom w:val="nil"/>
              <w:right w:val="nil"/>
            </w:tcBorders>
            <w:shd w:val="clear" w:color="auto" w:fill="FDEFE9"/>
            <w:tcMar>
              <w:top w:w="15" w:type="dxa"/>
              <w:left w:w="15" w:type="dxa"/>
              <w:bottom w:w="0" w:type="dxa"/>
              <w:right w:w="15" w:type="dxa"/>
            </w:tcMar>
            <w:vAlign w:val="center"/>
            <w:hideMark/>
          </w:tcPr>
          <w:p w14:paraId="00D555E7"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sk-SK" w:eastAsia="it-IT"/>
              </w:rPr>
              <w:t xml:space="preserve"> € 45.517.515,75 </w:t>
            </w:r>
          </w:p>
        </w:tc>
        <w:tc>
          <w:tcPr>
            <w:tcW w:w="2278" w:type="dxa"/>
            <w:tcBorders>
              <w:top w:val="single" w:sz="8" w:space="0" w:color="F79646"/>
              <w:left w:val="nil"/>
              <w:bottom w:val="nil"/>
              <w:right w:val="nil"/>
            </w:tcBorders>
            <w:shd w:val="clear" w:color="auto" w:fill="FDEFE9"/>
            <w:tcMar>
              <w:top w:w="15" w:type="dxa"/>
              <w:left w:w="15" w:type="dxa"/>
              <w:bottom w:w="0" w:type="dxa"/>
              <w:right w:w="15" w:type="dxa"/>
            </w:tcMar>
            <w:vAlign w:val="center"/>
            <w:hideMark/>
          </w:tcPr>
          <w:p w14:paraId="134D413C"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pt-BR" w:eastAsia="it-IT"/>
              </w:rPr>
              <w:t xml:space="preserve"> € 50.232.447,90 </w:t>
            </w:r>
          </w:p>
        </w:tc>
        <w:tc>
          <w:tcPr>
            <w:tcW w:w="2278" w:type="dxa"/>
            <w:tcBorders>
              <w:top w:val="single" w:sz="8" w:space="0" w:color="F79646"/>
              <w:left w:val="nil"/>
              <w:bottom w:val="nil"/>
              <w:right w:val="nil"/>
            </w:tcBorders>
            <w:shd w:val="clear" w:color="auto" w:fill="FDEFE9"/>
            <w:tcMar>
              <w:top w:w="15" w:type="dxa"/>
              <w:left w:w="15" w:type="dxa"/>
              <w:bottom w:w="0" w:type="dxa"/>
              <w:right w:w="15" w:type="dxa"/>
            </w:tcMar>
            <w:vAlign w:val="center"/>
            <w:hideMark/>
          </w:tcPr>
          <w:p w14:paraId="15CC44C3"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sk-SK" w:eastAsia="it-IT"/>
              </w:rPr>
              <w:t xml:space="preserve"> € 55.117.850,85 </w:t>
            </w:r>
          </w:p>
        </w:tc>
      </w:tr>
      <w:tr w:rsidR="00A717AE" w:rsidRPr="00E670E9" w14:paraId="5A697FB4" w14:textId="77777777" w:rsidTr="003F359A">
        <w:trPr>
          <w:trHeight w:val="328"/>
        </w:trPr>
        <w:tc>
          <w:tcPr>
            <w:tcW w:w="2278" w:type="dxa"/>
            <w:tcBorders>
              <w:top w:val="nil"/>
              <w:left w:val="nil"/>
              <w:bottom w:val="nil"/>
              <w:right w:val="nil"/>
            </w:tcBorders>
            <w:shd w:val="clear" w:color="auto" w:fill="auto"/>
            <w:tcMar>
              <w:top w:w="15" w:type="dxa"/>
              <w:left w:w="15" w:type="dxa"/>
              <w:bottom w:w="0" w:type="dxa"/>
              <w:right w:w="15" w:type="dxa"/>
            </w:tcMar>
            <w:vAlign w:val="bottom"/>
            <w:hideMark/>
          </w:tcPr>
          <w:p w14:paraId="5A0C63DE"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i/>
                <w:iCs/>
                <w:color w:val="000000" w:themeColor="text1"/>
                <w:kern w:val="24"/>
                <w:sz w:val="22"/>
                <w:szCs w:val="22"/>
                <w:lang w:val="en-US" w:eastAsia="it-IT"/>
              </w:rPr>
              <w:t>With Zurampic</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28602779"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sk-SK" w:eastAsia="it-IT"/>
              </w:rPr>
              <w:t xml:space="preserve"> € 46.254.112,65 </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0BD70F0C"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hr-HR" w:eastAsia="it-IT"/>
              </w:rPr>
              <w:t xml:space="preserve"> € 51.575.262,75 </w:t>
            </w:r>
          </w:p>
        </w:tc>
        <w:tc>
          <w:tcPr>
            <w:tcW w:w="2278" w:type="dxa"/>
            <w:tcBorders>
              <w:top w:val="nil"/>
              <w:left w:val="nil"/>
              <w:bottom w:val="nil"/>
              <w:right w:val="nil"/>
            </w:tcBorders>
            <w:shd w:val="clear" w:color="auto" w:fill="auto"/>
            <w:tcMar>
              <w:top w:w="15" w:type="dxa"/>
              <w:left w:w="15" w:type="dxa"/>
              <w:bottom w:w="0" w:type="dxa"/>
              <w:right w:w="15" w:type="dxa"/>
            </w:tcMar>
            <w:vAlign w:val="center"/>
            <w:hideMark/>
          </w:tcPr>
          <w:p w14:paraId="5468FAC7"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color w:val="000000"/>
                <w:kern w:val="24"/>
                <w:sz w:val="20"/>
                <w:szCs w:val="20"/>
                <w:lang w:val="pt-BR" w:eastAsia="it-IT"/>
              </w:rPr>
              <w:t xml:space="preserve"> € 57.007.746,00 </w:t>
            </w:r>
          </w:p>
        </w:tc>
      </w:tr>
      <w:tr w:rsidR="00A717AE" w:rsidRPr="00E670E9" w14:paraId="57262F84" w14:textId="77777777" w:rsidTr="003F359A">
        <w:trPr>
          <w:trHeight w:val="328"/>
        </w:trPr>
        <w:tc>
          <w:tcPr>
            <w:tcW w:w="2278" w:type="dxa"/>
            <w:tcBorders>
              <w:top w:val="nil"/>
              <w:left w:val="nil"/>
              <w:bottom w:val="single" w:sz="8" w:space="0" w:color="F79646"/>
              <w:right w:val="nil"/>
            </w:tcBorders>
            <w:shd w:val="clear" w:color="auto" w:fill="FDEFE9"/>
            <w:tcMar>
              <w:top w:w="15" w:type="dxa"/>
              <w:left w:w="15" w:type="dxa"/>
              <w:bottom w:w="0" w:type="dxa"/>
              <w:right w:w="15" w:type="dxa"/>
            </w:tcMar>
            <w:vAlign w:val="bottom"/>
            <w:hideMark/>
          </w:tcPr>
          <w:p w14:paraId="1C550D4F" w14:textId="77777777" w:rsidR="00A717AE" w:rsidRPr="00E670E9" w:rsidRDefault="00A717AE" w:rsidP="003F359A">
            <w:pPr>
              <w:spacing w:line="340" w:lineRule="atLeast"/>
              <w:textAlignment w:val="bottom"/>
              <w:rPr>
                <w:rFonts w:ascii="Arial" w:eastAsia="Times New Roman" w:hAnsi="Arial" w:cs="Arial"/>
                <w:sz w:val="36"/>
                <w:szCs w:val="36"/>
                <w:lang w:eastAsia="it-IT"/>
              </w:rPr>
            </w:pPr>
            <w:r w:rsidRPr="00E670E9">
              <w:rPr>
                <w:rFonts w:ascii="Calibri" w:eastAsia="Times New Roman" w:hAnsi="Calibri" w:cs="Calibri"/>
                <w:b/>
                <w:bCs/>
                <w:i/>
                <w:iCs/>
                <w:color w:val="000000" w:themeColor="text1"/>
                <w:kern w:val="24"/>
                <w:sz w:val="22"/>
                <w:szCs w:val="22"/>
                <w:lang w:val="en-US" w:eastAsia="it-IT"/>
              </w:rPr>
              <w:t>Annual incremental cost</w:t>
            </w:r>
          </w:p>
        </w:tc>
        <w:tc>
          <w:tcPr>
            <w:tcW w:w="2278"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05EC5F47"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i/>
                <w:iCs/>
                <w:color w:val="000000"/>
                <w:kern w:val="24"/>
                <w:sz w:val="22"/>
                <w:szCs w:val="22"/>
                <w:lang w:val="pt-BR" w:eastAsia="it-IT"/>
              </w:rPr>
              <w:t xml:space="preserve"> € 736.596,90 </w:t>
            </w:r>
          </w:p>
        </w:tc>
        <w:tc>
          <w:tcPr>
            <w:tcW w:w="2278"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580FD685"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i/>
                <w:iCs/>
                <w:color w:val="000000"/>
                <w:kern w:val="24"/>
                <w:sz w:val="22"/>
                <w:szCs w:val="22"/>
                <w:lang w:val="sk-SK" w:eastAsia="it-IT"/>
              </w:rPr>
              <w:t xml:space="preserve"> € 1.342.814,85 </w:t>
            </w:r>
          </w:p>
        </w:tc>
        <w:tc>
          <w:tcPr>
            <w:tcW w:w="2278" w:type="dxa"/>
            <w:tcBorders>
              <w:top w:val="nil"/>
              <w:left w:val="nil"/>
              <w:bottom w:val="single" w:sz="8" w:space="0" w:color="F79646"/>
              <w:right w:val="nil"/>
            </w:tcBorders>
            <w:shd w:val="clear" w:color="auto" w:fill="FDEFE9"/>
            <w:tcMar>
              <w:top w:w="15" w:type="dxa"/>
              <w:left w:w="15" w:type="dxa"/>
              <w:bottom w:w="0" w:type="dxa"/>
              <w:right w:w="15" w:type="dxa"/>
            </w:tcMar>
            <w:vAlign w:val="center"/>
            <w:hideMark/>
          </w:tcPr>
          <w:p w14:paraId="72A5A134" w14:textId="77777777" w:rsidR="00A717AE" w:rsidRPr="00E670E9" w:rsidRDefault="00A717AE" w:rsidP="003F359A">
            <w:pPr>
              <w:spacing w:line="340" w:lineRule="atLeast"/>
              <w:jc w:val="center"/>
              <w:textAlignment w:val="bottom"/>
              <w:rPr>
                <w:rFonts w:ascii="Arial" w:eastAsia="Times New Roman" w:hAnsi="Arial" w:cs="Arial"/>
                <w:sz w:val="36"/>
                <w:szCs w:val="36"/>
                <w:lang w:eastAsia="it-IT"/>
              </w:rPr>
            </w:pPr>
            <w:r w:rsidRPr="00E670E9">
              <w:rPr>
                <w:rFonts w:ascii="Calibri" w:eastAsia="Times New Roman" w:hAnsi="Calibri" w:cs="Calibri"/>
                <w:b/>
                <w:bCs/>
                <w:i/>
                <w:iCs/>
                <w:color w:val="000000"/>
                <w:kern w:val="24"/>
                <w:sz w:val="22"/>
                <w:szCs w:val="22"/>
                <w:lang w:val="sk-SK" w:eastAsia="it-IT"/>
              </w:rPr>
              <w:t xml:space="preserve"> € 1.889.895,15 </w:t>
            </w:r>
          </w:p>
        </w:tc>
      </w:tr>
    </w:tbl>
    <w:p w14:paraId="6EF9BCE2" w14:textId="77777777" w:rsidR="00A717AE" w:rsidRDefault="00A717AE" w:rsidP="00A717AE">
      <w:pPr>
        <w:widowControl w:val="0"/>
        <w:autoSpaceDE w:val="0"/>
        <w:autoSpaceDN w:val="0"/>
        <w:adjustRightInd w:val="0"/>
        <w:spacing w:line="360" w:lineRule="auto"/>
        <w:rPr>
          <w:rFonts w:cs="Arial"/>
          <w:b/>
          <w:sz w:val="20"/>
          <w:szCs w:val="20"/>
        </w:rPr>
      </w:pPr>
    </w:p>
    <w:p w14:paraId="5445460A" w14:textId="2E44E3C2" w:rsidR="008B174D" w:rsidRPr="008A5103" w:rsidRDefault="00F05DF2" w:rsidP="00825BD3">
      <w:pPr>
        <w:pStyle w:val="Heading1"/>
        <w:numPr>
          <w:ilvl w:val="0"/>
          <w:numId w:val="40"/>
        </w:numPr>
        <w:ind w:left="567" w:hanging="567"/>
        <w:rPr>
          <w:rFonts w:asciiTheme="minorHAnsi" w:hAnsiTheme="minorHAnsi" w:cstheme="minorHAnsi"/>
          <w:sz w:val="20"/>
        </w:rPr>
      </w:pPr>
      <w:r w:rsidRPr="008B174D">
        <w:br w:type="page"/>
      </w:r>
      <w:bookmarkStart w:id="246" w:name="_Toc473184585"/>
      <w:r w:rsidR="008B174D" w:rsidRPr="008B174D">
        <w:rPr>
          <w:rFonts w:asciiTheme="minorHAnsi" w:hAnsiTheme="minorHAnsi" w:cstheme="minorHAnsi"/>
          <w:sz w:val="20"/>
        </w:rPr>
        <w:t>Valutazioni conclusive</w:t>
      </w:r>
      <w:bookmarkEnd w:id="246"/>
    </w:p>
    <w:p w14:paraId="45E9CEBB" w14:textId="18C83927" w:rsidR="00F05DF2" w:rsidRDefault="00F05DF2" w:rsidP="00FF631E">
      <w:pPr>
        <w:tabs>
          <w:tab w:val="left" w:pos="426"/>
        </w:tabs>
        <w:autoSpaceDE w:val="0"/>
        <w:autoSpaceDN w:val="0"/>
        <w:adjustRightInd w:val="0"/>
        <w:rPr>
          <w:rFonts w:cs="Calibri"/>
          <w:color w:val="000000"/>
          <w:sz w:val="20"/>
          <w:szCs w:val="20"/>
        </w:rPr>
      </w:pPr>
    </w:p>
    <w:p w14:paraId="5C50679A" w14:textId="77777777" w:rsidR="000A6153" w:rsidRDefault="009C060C" w:rsidP="00FF631E">
      <w:pPr>
        <w:spacing w:line="360" w:lineRule="auto"/>
        <w:rPr>
          <w:rFonts w:cs="Arial"/>
          <w:sz w:val="20"/>
          <w:szCs w:val="20"/>
        </w:rPr>
      </w:pPr>
      <w:r w:rsidRPr="001D1C44">
        <w:rPr>
          <w:rFonts w:cs="Arial"/>
          <w:sz w:val="20"/>
          <w:szCs w:val="20"/>
        </w:rPr>
        <w:t>La gotta è una malattia cronica, ingravescente e disabilitante causata da un eccesso di acido urico nel sangue (iperuricemia).</w:t>
      </w:r>
    </w:p>
    <w:p w14:paraId="43240478" w14:textId="22A406DF" w:rsidR="00477027" w:rsidRDefault="009C060C" w:rsidP="00FF631E">
      <w:pPr>
        <w:spacing w:line="360" w:lineRule="auto"/>
        <w:rPr>
          <w:rFonts w:cs="Arial"/>
          <w:sz w:val="20"/>
          <w:szCs w:val="20"/>
        </w:rPr>
      </w:pPr>
      <w:r w:rsidRPr="001D1C44">
        <w:rPr>
          <w:rFonts w:cs="Arial"/>
          <w:sz w:val="20"/>
          <w:szCs w:val="20"/>
        </w:rPr>
        <w:t xml:space="preserve"> La malattia si manifesta come un’artrite infiammatoria associata a dolore intenso, </w:t>
      </w:r>
      <w:r w:rsidR="00812156">
        <w:rPr>
          <w:rFonts w:cs="Arial"/>
          <w:sz w:val="20"/>
          <w:szCs w:val="20"/>
        </w:rPr>
        <w:t xml:space="preserve">tumefazione </w:t>
      </w:r>
      <w:r w:rsidR="00812156" w:rsidRPr="001D1C44">
        <w:rPr>
          <w:rFonts w:cs="Arial"/>
          <w:sz w:val="20"/>
          <w:szCs w:val="20"/>
        </w:rPr>
        <w:t xml:space="preserve"> </w:t>
      </w:r>
      <w:r w:rsidRPr="001D1C44">
        <w:rPr>
          <w:rFonts w:cs="Arial"/>
          <w:sz w:val="20"/>
          <w:szCs w:val="20"/>
        </w:rPr>
        <w:t xml:space="preserve">e </w:t>
      </w:r>
      <w:r>
        <w:rPr>
          <w:rFonts w:cs="Arial"/>
          <w:sz w:val="20"/>
          <w:szCs w:val="20"/>
        </w:rPr>
        <w:t>compromessa funzionalità fisica</w:t>
      </w:r>
      <w:r w:rsidRPr="001D1C44">
        <w:rPr>
          <w:rFonts w:cs="Arial"/>
          <w:sz w:val="20"/>
          <w:szCs w:val="20"/>
        </w:rPr>
        <w:t xml:space="preserve"> nei pazienti che ne sono affetti (</w:t>
      </w:r>
      <w:r w:rsidR="0018676B">
        <w:rPr>
          <w:rFonts w:cs="Arial"/>
          <w:color w:val="0000FF"/>
          <w:sz w:val="20"/>
          <w:szCs w:val="20"/>
        </w:rPr>
        <w:t>Doghramji, 2012 (46)</w:t>
      </w:r>
      <w:r>
        <w:rPr>
          <w:rFonts w:cs="Arial"/>
          <w:color w:val="0000FF"/>
          <w:sz w:val="20"/>
          <w:szCs w:val="20"/>
        </w:rPr>
        <w:t xml:space="preserve">; </w:t>
      </w:r>
      <w:r w:rsidR="0018676B">
        <w:rPr>
          <w:rFonts w:cs="Arial"/>
          <w:color w:val="0000FF"/>
          <w:sz w:val="20"/>
          <w:szCs w:val="20"/>
        </w:rPr>
        <w:t>Doherty, 2012 (47)</w:t>
      </w:r>
      <w:r w:rsidRPr="001D1C44">
        <w:rPr>
          <w:rFonts w:cs="Arial"/>
          <w:sz w:val="20"/>
          <w:szCs w:val="20"/>
        </w:rPr>
        <w:t>)</w:t>
      </w:r>
      <w:r w:rsidR="000A6153">
        <w:rPr>
          <w:rFonts w:cs="Arial"/>
          <w:sz w:val="20"/>
          <w:szCs w:val="20"/>
        </w:rPr>
        <w:t>.</w:t>
      </w:r>
      <w:r w:rsidR="00524A50">
        <w:rPr>
          <w:rFonts w:cs="Arial"/>
          <w:sz w:val="20"/>
          <w:szCs w:val="20"/>
        </w:rPr>
        <w:t xml:space="preserve"> </w:t>
      </w:r>
    </w:p>
    <w:p w14:paraId="0225E3DE" w14:textId="60E0B129" w:rsidR="000A6153" w:rsidRDefault="000A6153" w:rsidP="00FF631E">
      <w:pPr>
        <w:spacing w:line="360" w:lineRule="auto"/>
        <w:rPr>
          <w:rFonts w:cs="Arial"/>
          <w:sz w:val="20"/>
          <w:szCs w:val="20"/>
        </w:rPr>
      </w:pPr>
      <w:r>
        <w:rPr>
          <w:rFonts w:cs="Arial"/>
          <w:sz w:val="20"/>
          <w:szCs w:val="20"/>
        </w:rPr>
        <w:t>I pazienti affetti da gotta/iperuricemia hanno una compresenza maggiore di patologie gravi, tra cui ipertensione, dislipidemia, diabete di tipo 2, malattia coronarica, malattia cerebrovascolare e nefrolitiasi (</w:t>
      </w:r>
      <w:r w:rsidR="00231A40">
        <w:rPr>
          <w:rFonts w:cs="Arial"/>
          <w:color w:val="0000FF"/>
          <w:sz w:val="20"/>
          <w:szCs w:val="20"/>
        </w:rPr>
        <w:t>Trifirò, 2012 (20)</w:t>
      </w:r>
      <w:r>
        <w:rPr>
          <w:rFonts w:cs="Arial"/>
          <w:sz w:val="20"/>
          <w:szCs w:val="20"/>
        </w:rPr>
        <w:t>).</w:t>
      </w:r>
    </w:p>
    <w:p w14:paraId="09AA9251" w14:textId="08B6A682" w:rsidR="00E42E68" w:rsidRPr="00E42E68" w:rsidRDefault="00E42E68" w:rsidP="00FF631E">
      <w:pPr>
        <w:spacing w:line="360" w:lineRule="auto"/>
        <w:rPr>
          <w:rFonts w:cs="Arial"/>
          <w:sz w:val="20"/>
          <w:szCs w:val="20"/>
        </w:rPr>
      </w:pPr>
      <w:r>
        <w:rPr>
          <w:rFonts w:cs="Arial"/>
          <w:sz w:val="20"/>
          <w:szCs w:val="20"/>
        </w:rPr>
        <w:t>I</w:t>
      </w:r>
      <w:r w:rsidRPr="00E42E68">
        <w:rPr>
          <w:rFonts w:cs="Arial"/>
          <w:sz w:val="20"/>
          <w:szCs w:val="20"/>
        </w:rPr>
        <w:t xml:space="preserve">l risultato di un inadeguato trattamento della patologia, ovvero della mancata riduzione dei livelli di acido urico, è la deposizione di cristalli di MSU che, oltre al </w:t>
      </w:r>
      <w:r w:rsidRPr="00E42E68">
        <w:rPr>
          <w:rFonts w:cs="Arial"/>
          <w:b/>
          <w:sz w:val="20"/>
          <w:szCs w:val="20"/>
        </w:rPr>
        <w:t xml:space="preserve">danno osteo-articolare, </w:t>
      </w:r>
      <w:r w:rsidRPr="00E42E68">
        <w:rPr>
          <w:rFonts w:cs="Arial"/>
          <w:sz w:val="20"/>
          <w:szCs w:val="20"/>
        </w:rPr>
        <w:t>generano</w:t>
      </w:r>
      <w:r w:rsidRPr="00E42E68">
        <w:rPr>
          <w:rFonts w:cs="Arial"/>
          <w:b/>
          <w:sz w:val="20"/>
          <w:szCs w:val="20"/>
        </w:rPr>
        <w:t xml:space="preserve"> nel lungo termine pesanti conseguenze cliniche</w:t>
      </w:r>
      <w:r w:rsidRPr="00E42E68">
        <w:rPr>
          <w:rFonts w:cs="Arial"/>
          <w:sz w:val="20"/>
          <w:szCs w:val="20"/>
        </w:rPr>
        <w:t xml:space="preserve"> (evoluzione di patologie cardiovascolari, disfunzioni ed insufficienze d’organo), </w:t>
      </w:r>
      <w:r w:rsidRPr="00E42E68">
        <w:rPr>
          <w:rFonts w:cs="Arial"/>
          <w:b/>
          <w:sz w:val="20"/>
          <w:szCs w:val="20"/>
        </w:rPr>
        <w:t>disabilità ed i corrispondenti, rilevanti effetti economici sui costi del SSN</w:t>
      </w:r>
      <w:r w:rsidRPr="00E42E68">
        <w:rPr>
          <w:rFonts w:cs="Arial"/>
          <w:sz w:val="20"/>
          <w:szCs w:val="20"/>
        </w:rPr>
        <w:t xml:space="preserve"> (</w:t>
      </w:r>
      <w:r w:rsidR="00231A40">
        <w:rPr>
          <w:rFonts w:cs="Arial"/>
          <w:color w:val="0000FF"/>
          <w:sz w:val="20"/>
          <w:szCs w:val="20"/>
        </w:rPr>
        <w:t>Terkeltaub, 2013 (14)</w:t>
      </w:r>
      <w:r w:rsidRPr="00E42E68">
        <w:rPr>
          <w:rFonts w:cs="Arial"/>
          <w:color w:val="0000FF"/>
          <w:sz w:val="20"/>
          <w:szCs w:val="20"/>
        </w:rPr>
        <w:t xml:space="preserve">; </w:t>
      </w:r>
      <w:r w:rsidR="00231A40">
        <w:rPr>
          <w:rFonts w:cs="Arial"/>
          <w:color w:val="0000FF"/>
          <w:sz w:val="20"/>
          <w:szCs w:val="20"/>
        </w:rPr>
        <w:t>Wertheimer, 2013 (15)</w:t>
      </w:r>
      <w:r w:rsidR="002A77A1">
        <w:rPr>
          <w:rFonts w:cs="Arial"/>
          <w:color w:val="0000FF"/>
          <w:sz w:val="20"/>
          <w:szCs w:val="20"/>
        </w:rPr>
        <w:t xml:space="preserve">; </w:t>
      </w:r>
      <w:r w:rsidR="00231A40">
        <w:rPr>
          <w:rFonts w:cs="Arial"/>
          <w:color w:val="0000FF"/>
          <w:sz w:val="20"/>
          <w:szCs w:val="20"/>
        </w:rPr>
        <w:t>Park, 2014 (19)</w:t>
      </w:r>
      <w:r w:rsidR="00AA683E">
        <w:rPr>
          <w:rFonts w:cs="Arial"/>
          <w:color w:val="0000FF"/>
          <w:sz w:val="20"/>
          <w:szCs w:val="20"/>
        </w:rPr>
        <w:t>; Dalbeth, 2015 (61)</w:t>
      </w:r>
      <w:r w:rsidRPr="00E42E68">
        <w:rPr>
          <w:rFonts w:cs="Arial"/>
          <w:sz w:val="20"/>
          <w:szCs w:val="20"/>
        </w:rPr>
        <w:t>)</w:t>
      </w:r>
      <w:r w:rsidR="00AA683E">
        <w:rPr>
          <w:rFonts w:cs="Arial"/>
          <w:sz w:val="20"/>
          <w:szCs w:val="20"/>
        </w:rPr>
        <w:t>.</w:t>
      </w:r>
    </w:p>
    <w:p w14:paraId="6C860BF9" w14:textId="77F50670" w:rsidR="000A6153" w:rsidRDefault="000A6153" w:rsidP="00FF631E">
      <w:pPr>
        <w:spacing w:line="360" w:lineRule="auto"/>
        <w:rPr>
          <w:rFonts w:cs="Arial"/>
          <w:color w:val="0000FF"/>
          <w:sz w:val="20"/>
          <w:szCs w:val="20"/>
        </w:rPr>
      </w:pPr>
      <w:r>
        <w:rPr>
          <w:rFonts w:cs="Arial"/>
          <w:sz w:val="20"/>
          <w:szCs w:val="20"/>
        </w:rPr>
        <w:t>N</w:t>
      </w:r>
      <w:r w:rsidRPr="004B4079">
        <w:rPr>
          <w:rFonts w:cs="Arial"/>
          <w:sz w:val="20"/>
          <w:szCs w:val="20"/>
        </w:rPr>
        <w:t>umerosi studi dimostrano che la gotta è associata ad un aumento del rischio di mortalità per qualsiasi causa, ed in particolare mortalità per patologie cardiovascolari</w:t>
      </w:r>
      <w:r>
        <w:rPr>
          <w:rFonts w:cs="Arial"/>
          <w:sz w:val="20"/>
          <w:szCs w:val="20"/>
        </w:rPr>
        <w:t xml:space="preserve"> (</w:t>
      </w:r>
      <w:r w:rsidR="00AA683E">
        <w:rPr>
          <w:rFonts w:cs="Arial"/>
          <w:color w:val="0000FF"/>
          <w:sz w:val="20"/>
          <w:szCs w:val="20"/>
        </w:rPr>
        <w:t>Perez-Ruiz</w:t>
      </w:r>
      <w:r w:rsidR="00AA683E" w:rsidRPr="0049606F">
        <w:rPr>
          <w:rFonts w:cs="Arial"/>
          <w:color w:val="0000FF"/>
          <w:sz w:val="20"/>
          <w:szCs w:val="20"/>
        </w:rPr>
        <w:t>, 2014 (</w:t>
      </w:r>
      <w:r w:rsidR="00AA683E">
        <w:rPr>
          <w:rFonts w:cs="Arial"/>
          <w:color w:val="0000FF"/>
          <w:sz w:val="20"/>
          <w:szCs w:val="20"/>
        </w:rPr>
        <w:t>9</w:t>
      </w:r>
      <w:r w:rsidR="00AA683E" w:rsidRPr="0049606F">
        <w:rPr>
          <w:rFonts w:cs="Arial"/>
          <w:color w:val="0000FF"/>
          <w:sz w:val="20"/>
          <w:szCs w:val="20"/>
        </w:rPr>
        <w:t>)</w:t>
      </w:r>
      <w:r w:rsidR="00AA683E">
        <w:rPr>
          <w:rFonts w:cs="Arial"/>
          <w:color w:val="0000FF"/>
          <w:sz w:val="20"/>
          <w:szCs w:val="20"/>
        </w:rPr>
        <w:t xml:space="preserve">; </w:t>
      </w:r>
      <w:r w:rsidRPr="0049606F">
        <w:rPr>
          <w:rFonts w:cs="Arial"/>
          <w:color w:val="0000FF"/>
          <w:sz w:val="20"/>
          <w:szCs w:val="20"/>
        </w:rPr>
        <w:t>Choi, 2007 (21</w:t>
      </w:r>
      <w:r w:rsidR="002A77A1">
        <w:rPr>
          <w:rFonts w:cs="Arial"/>
          <w:color w:val="0000FF"/>
          <w:sz w:val="20"/>
          <w:szCs w:val="20"/>
        </w:rPr>
        <w:t>)</w:t>
      </w:r>
      <w:r w:rsidRPr="0049606F">
        <w:rPr>
          <w:rFonts w:cs="Arial"/>
          <w:color w:val="0000FF"/>
          <w:sz w:val="20"/>
          <w:szCs w:val="20"/>
        </w:rPr>
        <w:t xml:space="preserve">; </w:t>
      </w:r>
      <w:r w:rsidR="00231A40">
        <w:rPr>
          <w:rFonts w:cs="Arial"/>
          <w:color w:val="0000FF"/>
          <w:sz w:val="20"/>
          <w:szCs w:val="20"/>
        </w:rPr>
        <w:t>Kuo, 2011 (22)</w:t>
      </w:r>
      <w:r w:rsidRPr="0049606F">
        <w:rPr>
          <w:rFonts w:cs="Arial"/>
          <w:color w:val="0000FF"/>
          <w:sz w:val="20"/>
          <w:szCs w:val="20"/>
        </w:rPr>
        <w:t xml:space="preserve">; </w:t>
      </w:r>
      <w:r w:rsidR="00231A40">
        <w:rPr>
          <w:rFonts w:cs="Arial"/>
          <w:color w:val="0000FF"/>
          <w:sz w:val="20"/>
          <w:szCs w:val="20"/>
        </w:rPr>
        <w:t>Stack, 2013 (23)</w:t>
      </w:r>
      <w:r w:rsidRPr="0049606F">
        <w:rPr>
          <w:rFonts w:cs="Arial"/>
          <w:color w:val="0000FF"/>
          <w:sz w:val="20"/>
          <w:szCs w:val="20"/>
        </w:rPr>
        <w:t xml:space="preserve">; </w:t>
      </w:r>
      <w:r w:rsidR="0083674F">
        <w:rPr>
          <w:rFonts w:cs="Arial"/>
          <w:color w:val="0000FF"/>
          <w:sz w:val="20"/>
          <w:szCs w:val="20"/>
        </w:rPr>
        <w:t>Ioachimescu, 2008 (24)</w:t>
      </w:r>
      <w:r w:rsidRPr="0049606F">
        <w:rPr>
          <w:rFonts w:cs="Arial"/>
          <w:color w:val="0000FF"/>
          <w:sz w:val="20"/>
          <w:szCs w:val="20"/>
        </w:rPr>
        <w:t xml:space="preserve">; </w:t>
      </w:r>
      <w:r w:rsidR="0083674F">
        <w:rPr>
          <w:rFonts w:cs="Arial"/>
          <w:color w:val="0000FF"/>
          <w:sz w:val="20"/>
          <w:szCs w:val="20"/>
        </w:rPr>
        <w:t>Kleber, 2015 (25)</w:t>
      </w:r>
      <w:r w:rsidRPr="0049606F">
        <w:rPr>
          <w:rFonts w:cs="Arial"/>
          <w:color w:val="0000FF"/>
          <w:sz w:val="20"/>
          <w:szCs w:val="20"/>
        </w:rPr>
        <w:t xml:space="preserve">; </w:t>
      </w:r>
      <w:r w:rsidR="0083674F">
        <w:rPr>
          <w:rFonts w:cs="Arial"/>
          <w:color w:val="0000FF"/>
          <w:sz w:val="20"/>
          <w:szCs w:val="20"/>
        </w:rPr>
        <w:t>Niskanen, 2004 (26)</w:t>
      </w:r>
      <w:r w:rsidRPr="000A6153">
        <w:rPr>
          <w:rFonts w:cs="Arial"/>
          <w:sz w:val="20"/>
          <w:szCs w:val="20"/>
        </w:rPr>
        <w:t>).</w:t>
      </w:r>
    </w:p>
    <w:p w14:paraId="216B7ED8" w14:textId="77777777" w:rsidR="000A6153" w:rsidRDefault="000A6153" w:rsidP="00FF631E">
      <w:pPr>
        <w:widowControl w:val="0"/>
        <w:autoSpaceDE w:val="0"/>
        <w:autoSpaceDN w:val="0"/>
        <w:adjustRightInd w:val="0"/>
        <w:spacing w:line="360" w:lineRule="auto"/>
        <w:rPr>
          <w:rFonts w:cstheme="minorHAnsi"/>
          <w:sz w:val="20"/>
          <w:szCs w:val="20"/>
        </w:rPr>
      </w:pPr>
      <w:r w:rsidRPr="00A92DB9">
        <w:rPr>
          <w:rFonts w:cstheme="minorHAnsi"/>
          <w:sz w:val="20"/>
          <w:szCs w:val="20"/>
        </w:rPr>
        <w:t xml:space="preserve">La gotta riduce </w:t>
      </w:r>
      <w:r>
        <w:rPr>
          <w:rFonts w:cstheme="minorHAnsi"/>
          <w:sz w:val="20"/>
          <w:szCs w:val="20"/>
        </w:rPr>
        <w:t>la qualità di vita dei pazienti</w:t>
      </w:r>
      <w:r w:rsidRPr="007E6EF4">
        <w:rPr>
          <w:rFonts w:cstheme="minorHAnsi"/>
          <w:sz w:val="20"/>
          <w:szCs w:val="20"/>
        </w:rPr>
        <w:t>.</w:t>
      </w:r>
    </w:p>
    <w:p w14:paraId="33EDF851" w14:textId="77777777" w:rsidR="000A6153" w:rsidRDefault="000A6153" w:rsidP="00FF631E">
      <w:pPr>
        <w:widowControl w:val="0"/>
        <w:autoSpaceDE w:val="0"/>
        <w:autoSpaceDN w:val="0"/>
        <w:adjustRightInd w:val="0"/>
        <w:spacing w:line="360" w:lineRule="auto"/>
        <w:rPr>
          <w:rFonts w:cs="Arial"/>
          <w:sz w:val="20"/>
          <w:szCs w:val="20"/>
        </w:rPr>
      </w:pPr>
      <w:r w:rsidRPr="00A92DB9">
        <w:rPr>
          <w:rFonts w:cs="Arial"/>
          <w:sz w:val="20"/>
          <w:szCs w:val="20"/>
        </w:rPr>
        <w:t xml:space="preserve">Il trattamento della gotta e delle sue complicanze comporta un carico economico importante </w:t>
      </w:r>
      <w:r>
        <w:rPr>
          <w:rFonts w:cs="Arial"/>
          <w:sz w:val="20"/>
          <w:szCs w:val="20"/>
        </w:rPr>
        <w:t>sui sistemi sanitari nazionali</w:t>
      </w:r>
    </w:p>
    <w:p w14:paraId="13AB412A" w14:textId="77777777" w:rsidR="000A6153" w:rsidRDefault="000A6153" w:rsidP="00FF631E">
      <w:pPr>
        <w:spacing w:line="360" w:lineRule="auto"/>
        <w:rPr>
          <w:rFonts w:cs="Arial"/>
          <w:sz w:val="20"/>
          <w:szCs w:val="20"/>
        </w:rPr>
      </w:pPr>
    </w:p>
    <w:p w14:paraId="5A185AA5" w14:textId="1BC379B6" w:rsidR="000A6153" w:rsidRDefault="000A6153" w:rsidP="00FF631E">
      <w:pPr>
        <w:spacing w:line="360" w:lineRule="auto"/>
        <w:rPr>
          <w:rFonts w:cs="Arial"/>
          <w:sz w:val="20"/>
          <w:szCs w:val="20"/>
        </w:rPr>
      </w:pPr>
      <w:r>
        <w:rPr>
          <w:rFonts w:cstheme="minorHAnsi"/>
          <w:sz w:val="20"/>
          <w:szCs w:val="20"/>
        </w:rPr>
        <w:t>L</w:t>
      </w:r>
      <w:r w:rsidRPr="000A6153">
        <w:rPr>
          <w:rFonts w:cstheme="minorHAnsi"/>
          <w:bCs/>
          <w:sz w:val="20"/>
          <w:szCs w:val="20"/>
        </w:rPr>
        <w:t xml:space="preserve">’approccio terapeutico mirato </w:t>
      </w:r>
      <w:r w:rsidRPr="000A6153">
        <w:rPr>
          <w:rFonts w:cstheme="minorHAnsi"/>
          <w:b/>
          <w:bCs/>
          <w:sz w:val="20"/>
          <w:szCs w:val="20"/>
        </w:rPr>
        <w:t>(treat to target)</w:t>
      </w:r>
      <w:r w:rsidRPr="000A6153">
        <w:rPr>
          <w:rFonts w:cstheme="minorHAnsi"/>
          <w:sz w:val="20"/>
          <w:szCs w:val="20"/>
        </w:rPr>
        <w:t xml:space="preserve"> suggerito sulla base della fisiopatologia della gotta è un approccio a due livelli: il primo, un </w:t>
      </w:r>
      <w:r w:rsidRPr="000A6153">
        <w:rPr>
          <w:rFonts w:cstheme="minorHAnsi"/>
          <w:b/>
          <w:sz w:val="20"/>
          <w:szCs w:val="20"/>
        </w:rPr>
        <w:t>trattamento ipo-uricemizzante</w:t>
      </w:r>
      <w:r w:rsidRPr="000A6153">
        <w:rPr>
          <w:rFonts w:cstheme="minorHAnsi"/>
          <w:sz w:val="20"/>
          <w:szCs w:val="20"/>
        </w:rPr>
        <w:t xml:space="preserve"> “intensivo”,   per cercare di dissolvere completamente</w:t>
      </w:r>
      <w:r w:rsidRPr="00477027">
        <w:rPr>
          <w:rFonts w:cstheme="minorHAnsi"/>
          <w:sz w:val="20"/>
          <w:szCs w:val="20"/>
        </w:rPr>
        <w:t xml:space="preserve"> i depositi  di cristalli di MSU, specialmente nei pazienti con gotta più grave, e il secondo, successivo, mirato a </w:t>
      </w:r>
      <w:r w:rsidRPr="00477027">
        <w:rPr>
          <w:rFonts w:cstheme="minorHAnsi"/>
          <w:bCs/>
          <w:sz w:val="20"/>
          <w:szCs w:val="20"/>
        </w:rPr>
        <w:t>mantenere i livelli di sUA al di sotto dei livelli di sicurezza per impedire la precipitazione ed il deposito di cristalli di MSU (ovvero 6 mg/dl),  per tutta la vita del paziente. Ciò per  garantire la scomparsa di attacchi acuti e la risoluzione completa dei tofi</w:t>
      </w:r>
      <w:r w:rsidRPr="00477027">
        <w:rPr>
          <w:rFonts w:cstheme="minorHAnsi"/>
          <w:sz w:val="20"/>
          <w:szCs w:val="20"/>
        </w:rPr>
        <w:t>.</w:t>
      </w:r>
    </w:p>
    <w:p w14:paraId="6104219B" w14:textId="2E43EDBC" w:rsidR="00814F3C" w:rsidRPr="00FA51BC" w:rsidRDefault="00814F3C" w:rsidP="00814F3C">
      <w:pPr>
        <w:spacing w:line="360" w:lineRule="auto"/>
        <w:rPr>
          <w:rFonts w:cs="Arial"/>
          <w:sz w:val="20"/>
          <w:szCs w:val="20"/>
        </w:rPr>
      </w:pPr>
      <w:r w:rsidRPr="00FA51BC">
        <w:rPr>
          <w:rFonts w:cs="Arial"/>
          <w:sz w:val="20"/>
          <w:szCs w:val="20"/>
        </w:rPr>
        <w:t xml:space="preserve">Con le dosi comunemente utilizzate di XOI, più del 50% dei pazienti gottosi non raggiunge il livello target di </w:t>
      </w:r>
      <w:r w:rsidR="005848A1">
        <w:rPr>
          <w:rFonts w:cs="Arial"/>
          <w:sz w:val="20"/>
          <w:szCs w:val="20"/>
        </w:rPr>
        <w:t>SUA</w:t>
      </w:r>
      <w:r w:rsidRPr="00FA51BC">
        <w:rPr>
          <w:rFonts w:cs="Arial"/>
          <w:sz w:val="20"/>
          <w:szCs w:val="20"/>
        </w:rPr>
        <w:t xml:space="preserve"> (&lt; 6.0 mg/dl) (</w:t>
      </w:r>
      <w:r w:rsidR="00F114DC" w:rsidRPr="00F114DC">
        <w:rPr>
          <w:rFonts w:cs="Arial"/>
          <w:color w:val="0000FF"/>
          <w:sz w:val="20"/>
          <w:szCs w:val="20"/>
        </w:rPr>
        <w:t>Becker, 2005 (36); Becker, 2009 (37); Becker, 2010 (38); Schumacher, 2008 (39); Becker, 2015 (40)</w:t>
      </w:r>
      <w:r w:rsidR="00477027" w:rsidRPr="00AA683E">
        <w:rPr>
          <w:rFonts w:cs="Arial"/>
          <w:sz w:val="20"/>
          <w:szCs w:val="20"/>
        </w:rPr>
        <w:t>);</w:t>
      </w:r>
      <w:r w:rsidR="00477027">
        <w:rPr>
          <w:rFonts w:cs="Arial"/>
          <w:sz w:val="20"/>
          <w:szCs w:val="20"/>
        </w:rPr>
        <w:t xml:space="preserve"> anche con </w:t>
      </w:r>
      <w:r w:rsidRPr="00FA51BC">
        <w:rPr>
          <w:rFonts w:cs="Arial"/>
          <w:sz w:val="20"/>
          <w:szCs w:val="20"/>
        </w:rPr>
        <w:t>dosaggi superiori a quelli più comunemente utilizzati di allopurinolo (300 mg/die)</w:t>
      </w:r>
      <w:r w:rsidR="00474059" w:rsidRPr="00474059">
        <w:rPr>
          <w:rFonts w:cs="Arial"/>
          <w:sz w:val="20"/>
          <w:szCs w:val="20"/>
        </w:rPr>
        <w:t xml:space="preserve"> </w:t>
      </w:r>
      <w:r w:rsidR="00474059" w:rsidRPr="0096302C">
        <w:rPr>
          <w:rFonts w:cs="Arial"/>
          <w:sz w:val="20"/>
          <w:szCs w:val="20"/>
        </w:rPr>
        <w:t>e c</w:t>
      </w:r>
      <w:r w:rsidR="00474059">
        <w:rPr>
          <w:rFonts w:cs="Arial"/>
          <w:sz w:val="20"/>
          <w:szCs w:val="20"/>
        </w:rPr>
        <w:t>on un’aderenza alla terapia superiore al 96</w:t>
      </w:r>
      <w:r w:rsidR="00474059" w:rsidRPr="0096302C">
        <w:rPr>
          <w:rFonts w:cs="Arial"/>
          <w:sz w:val="20"/>
          <w:szCs w:val="20"/>
        </w:rPr>
        <w:t>%</w:t>
      </w:r>
      <w:r w:rsidR="00474059">
        <w:rPr>
          <w:rFonts w:cs="Arial"/>
          <w:sz w:val="20"/>
          <w:szCs w:val="20"/>
        </w:rPr>
        <w:t>,</w:t>
      </w:r>
      <w:r w:rsidR="00474059" w:rsidRPr="00FA51BC">
        <w:rPr>
          <w:rFonts w:cs="Arial"/>
          <w:sz w:val="20"/>
          <w:szCs w:val="20"/>
        </w:rPr>
        <w:t xml:space="preserve"> </w:t>
      </w:r>
      <w:r w:rsidRPr="00FA51BC">
        <w:rPr>
          <w:rFonts w:cs="Arial"/>
          <w:sz w:val="20"/>
          <w:szCs w:val="20"/>
        </w:rPr>
        <w:t>rimane comunque alta la percentuale di pazienti che non rispondono al trattamento</w:t>
      </w:r>
      <w:r w:rsidR="00826DA8">
        <w:rPr>
          <w:rFonts w:cs="Arial"/>
          <w:b/>
          <w:sz w:val="20"/>
          <w:szCs w:val="20"/>
        </w:rPr>
        <w:t>,</w:t>
      </w:r>
      <w:r w:rsidR="00826DA8" w:rsidRPr="00FA51BC">
        <w:rPr>
          <w:rFonts w:cs="Arial"/>
          <w:sz w:val="20"/>
          <w:szCs w:val="20"/>
        </w:rPr>
        <w:t xml:space="preserve"> con il 52% dei pazienti che </w:t>
      </w:r>
      <w:r w:rsidR="00826DA8">
        <w:rPr>
          <w:rFonts w:cs="Arial"/>
          <w:sz w:val="20"/>
          <w:szCs w:val="20"/>
        </w:rPr>
        <w:t>non</w:t>
      </w:r>
      <w:r w:rsidR="00826DA8" w:rsidRPr="00FA51BC" w:rsidDel="00826DA8">
        <w:rPr>
          <w:rFonts w:cs="Arial"/>
          <w:sz w:val="20"/>
          <w:szCs w:val="20"/>
        </w:rPr>
        <w:t xml:space="preserve"> </w:t>
      </w:r>
      <w:r w:rsidRPr="00FA51BC">
        <w:rPr>
          <w:rFonts w:cs="Arial"/>
          <w:sz w:val="20"/>
          <w:szCs w:val="20"/>
        </w:rPr>
        <w:t xml:space="preserve">raggiungono il livello target di </w:t>
      </w:r>
      <w:r w:rsidR="005848A1">
        <w:rPr>
          <w:rFonts w:cs="Arial"/>
          <w:sz w:val="20"/>
          <w:szCs w:val="20"/>
        </w:rPr>
        <w:t>sUA</w:t>
      </w:r>
      <w:r w:rsidRPr="00FA51BC">
        <w:rPr>
          <w:rFonts w:cs="Arial"/>
          <w:sz w:val="20"/>
          <w:szCs w:val="20"/>
        </w:rPr>
        <w:t xml:space="preserve"> (&lt;6.0 mg/dl) (</w:t>
      </w:r>
      <w:r w:rsidR="00563FA4">
        <w:rPr>
          <w:rFonts w:cs="Arial"/>
          <w:color w:val="0000FF"/>
          <w:sz w:val="20"/>
          <w:szCs w:val="20"/>
        </w:rPr>
        <w:t>Becker, 2015 (40)</w:t>
      </w:r>
      <w:r w:rsidRPr="00FA51BC">
        <w:rPr>
          <w:rFonts w:cs="Arial"/>
          <w:sz w:val="20"/>
          <w:szCs w:val="20"/>
        </w:rPr>
        <w:t>).</w:t>
      </w:r>
    </w:p>
    <w:p w14:paraId="2DC00270" w14:textId="093C6F30" w:rsidR="00814F3C" w:rsidRPr="00307293" w:rsidRDefault="00477027" w:rsidP="00814F3C">
      <w:pPr>
        <w:spacing w:line="360" w:lineRule="auto"/>
        <w:rPr>
          <w:rFonts w:cs="Arial"/>
          <w:sz w:val="20"/>
          <w:szCs w:val="20"/>
        </w:rPr>
      </w:pPr>
      <w:r>
        <w:rPr>
          <w:rFonts w:cs="Arial"/>
          <w:sz w:val="20"/>
          <w:szCs w:val="20"/>
        </w:rPr>
        <w:t xml:space="preserve">Attualmente in Italia per trattare questa patologia esistono solo i farmaci inibitori della xantino ossidasi </w:t>
      </w:r>
      <w:r w:rsidR="00814F3C" w:rsidRPr="00307293">
        <w:rPr>
          <w:rFonts w:cs="Arial"/>
          <w:sz w:val="20"/>
          <w:szCs w:val="20"/>
        </w:rPr>
        <w:t>in monoterapia</w:t>
      </w:r>
      <w:r>
        <w:rPr>
          <w:rFonts w:cs="Arial"/>
          <w:sz w:val="20"/>
          <w:szCs w:val="20"/>
        </w:rPr>
        <w:t>, che</w:t>
      </w:r>
      <w:r w:rsidR="00814F3C" w:rsidRPr="00307293">
        <w:rPr>
          <w:rFonts w:cs="Arial"/>
          <w:sz w:val="20"/>
          <w:szCs w:val="20"/>
        </w:rPr>
        <w:t xml:space="preserve"> agiscono sulla </w:t>
      </w:r>
      <w:r w:rsidR="00814F3C">
        <w:rPr>
          <w:rFonts w:cs="Arial"/>
          <w:sz w:val="20"/>
          <w:szCs w:val="20"/>
        </w:rPr>
        <w:t>sovra</w:t>
      </w:r>
      <w:r w:rsidR="00814F3C" w:rsidRPr="00307293">
        <w:rPr>
          <w:rFonts w:cs="Arial"/>
          <w:sz w:val="20"/>
          <w:szCs w:val="20"/>
        </w:rPr>
        <w:t xml:space="preserve">produzione di acido urico ma non agiscono sulla </w:t>
      </w:r>
      <w:r w:rsidR="00814F3C">
        <w:rPr>
          <w:rFonts w:cs="Arial"/>
          <w:sz w:val="20"/>
          <w:szCs w:val="20"/>
        </w:rPr>
        <w:t>inefficiente e</w:t>
      </w:r>
      <w:r w:rsidR="00814F3C" w:rsidRPr="00307293">
        <w:rPr>
          <w:rFonts w:cs="Arial"/>
          <w:sz w:val="20"/>
          <w:szCs w:val="20"/>
        </w:rPr>
        <w:t>screzione di acido urico</w:t>
      </w:r>
      <w:r w:rsidR="00814F3C">
        <w:rPr>
          <w:rFonts w:cs="Arial"/>
          <w:sz w:val="20"/>
          <w:szCs w:val="20"/>
        </w:rPr>
        <w:t>, che è la principale causa di gotta nel 80-90% dei pazienti</w:t>
      </w:r>
      <w:r w:rsidR="00814F3C" w:rsidRPr="00307293">
        <w:rPr>
          <w:rFonts w:cs="Arial"/>
          <w:sz w:val="20"/>
          <w:szCs w:val="20"/>
        </w:rPr>
        <w:t xml:space="preserve"> (</w:t>
      </w:r>
      <w:r w:rsidR="0083674F">
        <w:rPr>
          <w:rFonts w:cs="Arial"/>
          <w:color w:val="0000FF"/>
          <w:sz w:val="20"/>
          <w:szCs w:val="20"/>
        </w:rPr>
        <w:t>Richette, 2010 (34)</w:t>
      </w:r>
      <w:r w:rsidR="00FA3A90">
        <w:rPr>
          <w:rFonts w:cs="Arial"/>
          <w:color w:val="0000FF"/>
          <w:sz w:val="20"/>
          <w:szCs w:val="20"/>
        </w:rPr>
        <w:t>; Boss, 1979 (35</w:t>
      </w:r>
      <w:r w:rsidR="009C060C">
        <w:rPr>
          <w:rFonts w:cs="Arial"/>
          <w:color w:val="0000FF"/>
          <w:sz w:val="20"/>
          <w:szCs w:val="20"/>
        </w:rPr>
        <w:t>)</w:t>
      </w:r>
      <w:r w:rsidR="00814F3C" w:rsidRPr="00307293">
        <w:rPr>
          <w:rFonts w:cs="Arial"/>
          <w:sz w:val="20"/>
          <w:szCs w:val="20"/>
        </w:rPr>
        <w:t xml:space="preserve">). </w:t>
      </w:r>
    </w:p>
    <w:p w14:paraId="3A2A52F0" w14:textId="4C1C593C" w:rsidR="00814F3C" w:rsidRDefault="00814F3C" w:rsidP="00814F3C">
      <w:pPr>
        <w:spacing w:line="360" w:lineRule="auto"/>
        <w:rPr>
          <w:rFonts w:cs="Arial"/>
          <w:sz w:val="20"/>
          <w:szCs w:val="20"/>
        </w:rPr>
      </w:pPr>
      <w:r w:rsidRPr="00FA51BC">
        <w:rPr>
          <w:rFonts w:cs="Arial"/>
          <w:sz w:val="20"/>
          <w:szCs w:val="20"/>
        </w:rPr>
        <w:t>Pertanto</w:t>
      </w:r>
      <w:r w:rsidR="00477027">
        <w:rPr>
          <w:rFonts w:cs="Arial"/>
          <w:sz w:val="20"/>
          <w:szCs w:val="20"/>
        </w:rPr>
        <w:t>, come anche ev</w:t>
      </w:r>
      <w:r w:rsidR="009C060C">
        <w:rPr>
          <w:rFonts w:cs="Arial"/>
          <w:sz w:val="20"/>
          <w:szCs w:val="20"/>
        </w:rPr>
        <w:t>idenziato dall’esperto Porf Pun</w:t>
      </w:r>
      <w:r w:rsidR="0000404E">
        <w:rPr>
          <w:rFonts w:cs="Arial"/>
          <w:sz w:val="20"/>
          <w:szCs w:val="20"/>
        </w:rPr>
        <w:t xml:space="preserve">zi </w:t>
      </w:r>
      <w:r w:rsidR="0000404E" w:rsidRPr="0000404E">
        <w:rPr>
          <w:rFonts w:cs="Arial"/>
          <w:sz w:val="20"/>
          <w:szCs w:val="20"/>
        </w:rPr>
        <w:t xml:space="preserve">Direttore U.O.C. di Reumatologia, Università degli Studi di Padova </w:t>
      </w:r>
      <w:r w:rsidR="009C060C" w:rsidRPr="0000404E">
        <w:rPr>
          <w:rFonts w:cs="Arial"/>
          <w:sz w:val="20"/>
          <w:szCs w:val="20"/>
        </w:rPr>
        <w:t>(</w:t>
      </w:r>
      <w:hyperlink w:anchor="Allegato1" w:history="1">
        <w:r w:rsidR="009C060C" w:rsidRPr="00502F15">
          <w:rPr>
            <w:rStyle w:val="Hyperlink"/>
            <w:rFonts w:cs="Arial"/>
            <w:sz w:val="20"/>
            <w:szCs w:val="20"/>
          </w:rPr>
          <w:t>Allegato 1</w:t>
        </w:r>
      </w:hyperlink>
      <w:r w:rsidR="009C060C">
        <w:rPr>
          <w:rFonts w:cs="Arial"/>
          <w:sz w:val="20"/>
          <w:szCs w:val="20"/>
        </w:rPr>
        <w:t>)</w:t>
      </w:r>
      <w:r w:rsidRPr="00FA51BC">
        <w:rPr>
          <w:rFonts w:cs="Arial"/>
          <w:sz w:val="20"/>
          <w:szCs w:val="20"/>
        </w:rPr>
        <w:t xml:space="preserve"> rimane </w:t>
      </w:r>
      <w:r w:rsidRPr="000A6153">
        <w:rPr>
          <w:rFonts w:cs="Arial"/>
          <w:b/>
          <w:sz w:val="20"/>
          <w:szCs w:val="20"/>
        </w:rPr>
        <w:t xml:space="preserve">un’importate necessità terapeutica non risolta la gestione di quei pazienti che non riescono a controllare i livelli di </w:t>
      </w:r>
      <w:r w:rsidR="005848A1" w:rsidRPr="000A6153">
        <w:rPr>
          <w:rFonts w:cs="Arial"/>
          <w:b/>
          <w:sz w:val="20"/>
          <w:szCs w:val="20"/>
        </w:rPr>
        <w:t>sUA</w:t>
      </w:r>
      <w:r w:rsidRPr="000A6153">
        <w:rPr>
          <w:rFonts w:cs="Arial"/>
          <w:b/>
          <w:sz w:val="20"/>
          <w:szCs w:val="20"/>
        </w:rPr>
        <w:t xml:space="preserve"> nonostante la monoterapia con i farmaci che agiscono sulla sovraproduzione di acido urico (allopurinolo e febuxostat)</w:t>
      </w:r>
      <w:r w:rsidRPr="00FA51BC">
        <w:rPr>
          <w:rFonts w:cs="Arial"/>
          <w:sz w:val="20"/>
          <w:szCs w:val="20"/>
        </w:rPr>
        <w:t>: questi ultimi non sono in grado di intervenire sull’escrezione renale, che può essere corretta solo da un farmaco uricosurico, quale lesinurad.</w:t>
      </w:r>
      <w:r w:rsidR="00477027">
        <w:rPr>
          <w:rFonts w:cs="Arial"/>
          <w:sz w:val="20"/>
          <w:szCs w:val="20"/>
        </w:rPr>
        <w:t xml:space="preserve"> </w:t>
      </w:r>
    </w:p>
    <w:p w14:paraId="04BC8946" w14:textId="468E3C7D" w:rsidR="00814F3C" w:rsidRPr="00FE059F" w:rsidRDefault="00E42E68" w:rsidP="00814F3C">
      <w:pPr>
        <w:spacing w:line="360" w:lineRule="auto"/>
        <w:rPr>
          <w:rFonts w:cs="Arial"/>
          <w:sz w:val="20"/>
          <w:szCs w:val="20"/>
        </w:rPr>
      </w:pPr>
      <w:r w:rsidRPr="006B3BE6">
        <w:rPr>
          <w:rFonts w:cs="Arial"/>
          <w:sz w:val="20"/>
          <w:szCs w:val="20"/>
        </w:rPr>
        <w:t>Le principali Linee Guida internazionali (</w:t>
      </w:r>
      <w:r w:rsidR="00F114DC">
        <w:rPr>
          <w:rFonts w:cs="Arial"/>
          <w:color w:val="0000FF"/>
          <w:sz w:val="20"/>
          <w:szCs w:val="20"/>
        </w:rPr>
        <w:t>R</w:t>
      </w:r>
      <w:r w:rsidR="00C57973">
        <w:rPr>
          <w:rFonts w:cs="Arial"/>
          <w:color w:val="0000FF"/>
          <w:sz w:val="20"/>
          <w:szCs w:val="20"/>
        </w:rPr>
        <w:t>ichette</w:t>
      </w:r>
      <w:r w:rsidR="00F114DC">
        <w:rPr>
          <w:rFonts w:cs="Arial"/>
          <w:color w:val="0000FF"/>
          <w:sz w:val="20"/>
          <w:szCs w:val="20"/>
        </w:rPr>
        <w:t>, 2016 (6)</w:t>
      </w:r>
      <w:r w:rsidRPr="006B3BE6">
        <w:rPr>
          <w:rFonts w:cs="Arial"/>
          <w:color w:val="0000FF"/>
          <w:sz w:val="20"/>
          <w:szCs w:val="20"/>
        </w:rPr>
        <w:t xml:space="preserve">; </w:t>
      </w:r>
      <w:r w:rsidR="00AA683E" w:rsidRPr="00416E9E">
        <w:rPr>
          <w:rFonts w:cstheme="minorHAnsi"/>
          <w:color w:val="0000FF"/>
          <w:sz w:val="20"/>
          <w:szCs w:val="20"/>
        </w:rPr>
        <w:t>Manara, 2013 (7</w:t>
      </w:r>
      <w:r w:rsidR="00AA683E" w:rsidRPr="00416E9E">
        <w:rPr>
          <w:rFonts w:cstheme="minorHAnsi"/>
          <w:sz w:val="20"/>
          <w:szCs w:val="20"/>
        </w:rPr>
        <w:t>)</w:t>
      </w:r>
      <w:r w:rsidR="00AA683E">
        <w:rPr>
          <w:rFonts w:cstheme="minorHAnsi"/>
          <w:sz w:val="20"/>
          <w:szCs w:val="20"/>
        </w:rPr>
        <w:t xml:space="preserve">; </w:t>
      </w:r>
      <w:r w:rsidR="00F114DC">
        <w:rPr>
          <w:rFonts w:cs="Arial"/>
          <w:color w:val="0000FF"/>
          <w:sz w:val="20"/>
          <w:szCs w:val="20"/>
        </w:rPr>
        <w:t>K</w:t>
      </w:r>
      <w:r w:rsidR="00C57973">
        <w:rPr>
          <w:rFonts w:cs="Arial"/>
          <w:color w:val="0000FF"/>
          <w:sz w:val="20"/>
          <w:szCs w:val="20"/>
        </w:rPr>
        <w:t>hanna</w:t>
      </w:r>
      <w:r w:rsidR="00F114DC">
        <w:rPr>
          <w:rFonts w:cs="Arial"/>
          <w:color w:val="0000FF"/>
          <w:sz w:val="20"/>
          <w:szCs w:val="20"/>
        </w:rPr>
        <w:t>, 2012 (96)</w:t>
      </w:r>
      <w:r w:rsidRPr="006B3BE6">
        <w:rPr>
          <w:rFonts w:cs="Arial"/>
          <w:color w:val="0000FF"/>
          <w:sz w:val="20"/>
          <w:szCs w:val="20"/>
        </w:rPr>
        <w:t xml:space="preserve">, </w:t>
      </w:r>
      <w:r w:rsidR="00E63B51">
        <w:rPr>
          <w:rFonts w:cs="Arial"/>
          <w:color w:val="0000FF"/>
          <w:sz w:val="20"/>
          <w:szCs w:val="20"/>
        </w:rPr>
        <w:t>Jordan</w:t>
      </w:r>
      <w:r w:rsidR="00EC3329">
        <w:rPr>
          <w:rFonts w:cs="Arial"/>
          <w:color w:val="0000FF"/>
          <w:sz w:val="20"/>
          <w:szCs w:val="20"/>
        </w:rPr>
        <w:t>, 2007 (97</w:t>
      </w:r>
      <w:r w:rsidR="00156E01">
        <w:rPr>
          <w:rFonts w:cs="Arial"/>
          <w:color w:val="0000FF"/>
          <w:sz w:val="20"/>
          <w:szCs w:val="20"/>
        </w:rPr>
        <w:t>)</w:t>
      </w:r>
      <w:r>
        <w:rPr>
          <w:rFonts w:cs="Arial"/>
          <w:color w:val="0000FF"/>
          <w:sz w:val="20"/>
          <w:szCs w:val="20"/>
        </w:rPr>
        <w:t>,</w:t>
      </w:r>
      <w:r>
        <w:rPr>
          <w:rFonts w:cstheme="minorHAnsi"/>
          <w:sz w:val="20"/>
          <w:szCs w:val="20"/>
        </w:rPr>
        <w:t>)</w:t>
      </w:r>
      <w:r w:rsidRPr="006B3BE6">
        <w:rPr>
          <w:rFonts w:cs="Arial"/>
          <w:sz w:val="20"/>
          <w:szCs w:val="20"/>
        </w:rPr>
        <w:t xml:space="preserve"> e diverse pubblicazioni supportano </w:t>
      </w:r>
      <w:r w:rsidRPr="00CD1C33">
        <w:rPr>
          <w:rFonts w:cs="Arial"/>
          <w:b/>
          <w:sz w:val="20"/>
          <w:szCs w:val="20"/>
        </w:rPr>
        <w:t>l’utilizzo dei livelli di sUA come marker dei benefici clinici nel trattamento e nella gestione della gotta</w:t>
      </w:r>
      <w:r w:rsidRPr="006B3BE6">
        <w:rPr>
          <w:rFonts w:cs="Arial"/>
          <w:sz w:val="20"/>
          <w:szCs w:val="20"/>
        </w:rPr>
        <w:t xml:space="preserve"> (</w:t>
      </w:r>
      <w:r w:rsidR="00AA683E">
        <w:rPr>
          <w:rFonts w:cs="Arial"/>
          <w:color w:val="0000FF"/>
          <w:sz w:val="20"/>
          <w:szCs w:val="20"/>
        </w:rPr>
        <w:t>Shoji, 2004 (17)</w:t>
      </w:r>
      <w:r w:rsidR="00AA683E" w:rsidRPr="006B3BE6">
        <w:rPr>
          <w:rFonts w:cs="Arial"/>
          <w:color w:val="0000FF"/>
          <w:sz w:val="20"/>
          <w:szCs w:val="20"/>
        </w:rPr>
        <w:t xml:space="preserve">; </w:t>
      </w:r>
      <w:r w:rsidRPr="006B3BE6">
        <w:rPr>
          <w:rFonts w:cs="Arial"/>
          <w:color w:val="0000FF"/>
          <w:sz w:val="20"/>
          <w:szCs w:val="20"/>
        </w:rPr>
        <w:t xml:space="preserve">Becker, 2009 (37); </w:t>
      </w:r>
      <w:r w:rsidR="00AA683E">
        <w:rPr>
          <w:rFonts w:cs="Arial"/>
          <w:color w:val="0000FF"/>
          <w:sz w:val="20"/>
          <w:szCs w:val="20"/>
        </w:rPr>
        <w:t>Kiltz, 2016 (104</w:t>
      </w:r>
      <w:r w:rsidR="00AA683E" w:rsidRPr="006B3BE6">
        <w:rPr>
          <w:rFonts w:cs="Arial"/>
          <w:color w:val="0000FF"/>
          <w:sz w:val="20"/>
          <w:szCs w:val="20"/>
        </w:rPr>
        <w:t>)</w:t>
      </w:r>
      <w:r w:rsidR="00AA683E">
        <w:rPr>
          <w:rFonts w:cs="Arial"/>
          <w:color w:val="0000FF"/>
          <w:sz w:val="20"/>
          <w:szCs w:val="20"/>
        </w:rPr>
        <w:t xml:space="preserve">; </w:t>
      </w:r>
      <w:r w:rsidR="0087651E">
        <w:rPr>
          <w:rFonts w:cs="Arial"/>
          <w:color w:val="0000FF"/>
          <w:sz w:val="20"/>
          <w:szCs w:val="20"/>
        </w:rPr>
        <w:t>Li-Yu, 2001 (112</w:t>
      </w:r>
      <w:r w:rsidR="008E6BDD">
        <w:rPr>
          <w:rFonts w:cs="Arial"/>
          <w:color w:val="0000FF"/>
          <w:sz w:val="20"/>
          <w:szCs w:val="20"/>
        </w:rPr>
        <w:t>)</w:t>
      </w:r>
      <w:r w:rsidRPr="006B3BE6">
        <w:rPr>
          <w:rFonts w:cs="Arial"/>
          <w:color w:val="0000FF"/>
          <w:sz w:val="20"/>
          <w:szCs w:val="20"/>
        </w:rPr>
        <w:t xml:space="preserve">; </w:t>
      </w:r>
      <w:r w:rsidR="0087651E">
        <w:rPr>
          <w:rFonts w:cs="Arial"/>
          <w:color w:val="0000FF"/>
          <w:sz w:val="20"/>
          <w:szCs w:val="20"/>
        </w:rPr>
        <w:t>Pascual, 2007 (113</w:t>
      </w:r>
      <w:r w:rsidR="00F64F56">
        <w:rPr>
          <w:rFonts w:cs="Arial"/>
          <w:color w:val="0000FF"/>
          <w:sz w:val="20"/>
          <w:szCs w:val="20"/>
        </w:rPr>
        <w:t>)</w:t>
      </w:r>
      <w:r w:rsidRPr="006B3BE6">
        <w:rPr>
          <w:rFonts w:cs="Arial"/>
          <w:color w:val="0000FF"/>
          <w:sz w:val="20"/>
          <w:szCs w:val="20"/>
        </w:rPr>
        <w:t xml:space="preserve">; </w:t>
      </w:r>
      <w:r w:rsidR="009752F0">
        <w:rPr>
          <w:rFonts w:cs="Arial"/>
          <w:color w:val="0000FF"/>
          <w:sz w:val="20"/>
          <w:szCs w:val="20"/>
        </w:rPr>
        <w:t>Perez-Ruiz</w:t>
      </w:r>
      <w:r w:rsidR="0087651E">
        <w:rPr>
          <w:rFonts w:cs="Arial"/>
          <w:color w:val="0000FF"/>
          <w:sz w:val="20"/>
          <w:szCs w:val="20"/>
        </w:rPr>
        <w:t>, 2002 (114</w:t>
      </w:r>
      <w:r w:rsidR="00F64F56">
        <w:rPr>
          <w:rFonts w:cs="Arial"/>
          <w:color w:val="0000FF"/>
          <w:sz w:val="20"/>
          <w:szCs w:val="20"/>
        </w:rPr>
        <w:t>)</w:t>
      </w:r>
      <w:r w:rsidRPr="006B3BE6">
        <w:rPr>
          <w:rFonts w:cs="Arial"/>
          <w:color w:val="0000FF"/>
          <w:sz w:val="20"/>
          <w:szCs w:val="20"/>
        </w:rPr>
        <w:t xml:space="preserve">; </w:t>
      </w:r>
      <w:r w:rsidR="00B200A7">
        <w:rPr>
          <w:rFonts w:cs="Arial"/>
          <w:color w:val="0000FF"/>
          <w:sz w:val="20"/>
          <w:szCs w:val="20"/>
        </w:rPr>
        <w:t>Campion, 1987 (115</w:t>
      </w:r>
      <w:r w:rsidR="00F64F56">
        <w:rPr>
          <w:rFonts w:cs="Arial"/>
          <w:color w:val="0000FF"/>
          <w:sz w:val="20"/>
          <w:szCs w:val="20"/>
        </w:rPr>
        <w:t>)</w:t>
      </w:r>
      <w:r>
        <w:rPr>
          <w:rFonts w:cs="Arial"/>
          <w:sz w:val="20"/>
          <w:szCs w:val="20"/>
        </w:rPr>
        <w:t>)</w:t>
      </w:r>
      <w:r w:rsidRPr="006B3BE6">
        <w:rPr>
          <w:rFonts w:cs="Arial"/>
          <w:sz w:val="20"/>
          <w:szCs w:val="20"/>
        </w:rPr>
        <w:t>.</w:t>
      </w:r>
    </w:p>
    <w:p w14:paraId="11761B10" w14:textId="1EAEC785" w:rsidR="00814F3C" w:rsidRPr="00194162" w:rsidRDefault="008B5B29" w:rsidP="00814F3C">
      <w:pPr>
        <w:spacing w:line="360" w:lineRule="auto"/>
        <w:rPr>
          <w:rFonts w:cs="Arial"/>
          <w:sz w:val="20"/>
          <w:szCs w:val="20"/>
        </w:rPr>
      </w:pPr>
      <w:r w:rsidRPr="00194162">
        <w:rPr>
          <w:rFonts w:cs="Arial"/>
          <w:sz w:val="20"/>
          <w:szCs w:val="20"/>
        </w:rPr>
        <w:t>ZURAMPIC</w:t>
      </w:r>
      <w:r>
        <w:rPr>
          <w:rFonts w:cs="Arial"/>
          <w:sz w:val="20"/>
          <w:szCs w:val="20"/>
        </w:rPr>
        <w:t xml:space="preserve">, </w:t>
      </w:r>
      <w:r w:rsidR="00814F3C" w:rsidRPr="00194162">
        <w:rPr>
          <w:rFonts w:cs="Arial"/>
          <w:sz w:val="20"/>
          <w:szCs w:val="20"/>
        </w:rPr>
        <w:t xml:space="preserve">rappresenta </w:t>
      </w:r>
      <w:r w:rsidR="00814F3C">
        <w:rPr>
          <w:rFonts w:cs="Arial"/>
          <w:sz w:val="20"/>
          <w:szCs w:val="20"/>
        </w:rPr>
        <w:t xml:space="preserve">una </w:t>
      </w:r>
      <w:r w:rsidR="00814F3C" w:rsidRPr="001E55C6">
        <w:rPr>
          <w:rFonts w:cs="Arial"/>
          <w:b/>
          <w:sz w:val="20"/>
          <w:szCs w:val="20"/>
        </w:rPr>
        <w:t>significativa innovazione</w:t>
      </w:r>
      <w:r w:rsidR="00814F3C" w:rsidRPr="00194162">
        <w:rPr>
          <w:rFonts w:cs="Arial"/>
          <w:sz w:val="20"/>
          <w:szCs w:val="20"/>
        </w:rPr>
        <w:t xml:space="preserve"> nell’ambito dell’attuale panorama di trattamento</w:t>
      </w:r>
      <w:r w:rsidR="00814F3C">
        <w:rPr>
          <w:rFonts w:cs="Arial"/>
          <w:sz w:val="20"/>
          <w:szCs w:val="20"/>
        </w:rPr>
        <w:t xml:space="preserve"> dell’iperuricemia nei pazienti con gotta</w:t>
      </w:r>
      <w:r w:rsidR="00373051">
        <w:rPr>
          <w:rFonts w:cs="Arial"/>
          <w:sz w:val="20"/>
          <w:szCs w:val="20"/>
        </w:rPr>
        <w:t xml:space="preserve"> </w:t>
      </w:r>
      <w:r w:rsidR="00373051" w:rsidRPr="00F61A51">
        <w:rPr>
          <w:rFonts w:cs="Arial"/>
          <w:b/>
          <w:sz w:val="20"/>
          <w:szCs w:val="20"/>
        </w:rPr>
        <w:t>non adeguatamente controllata con le terapie standard</w:t>
      </w:r>
      <w:r w:rsidR="00373051">
        <w:rPr>
          <w:rFonts w:cs="Arial"/>
          <w:b/>
          <w:sz w:val="20"/>
          <w:szCs w:val="20"/>
        </w:rPr>
        <w:t xml:space="preserve"> e risponde ad importanti necessità terapeutiche non soddisfatte dalle attuali opzioni farmacologiche, in quanto capace di correggere l’alterazione patogenetica </w:t>
      </w:r>
      <w:r w:rsidR="00C00B31">
        <w:rPr>
          <w:rFonts w:cs="Arial"/>
          <w:b/>
          <w:sz w:val="20"/>
          <w:szCs w:val="20"/>
        </w:rPr>
        <w:t>di più frequente riscontro nei pazienti con gotta</w:t>
      </w:r>
      <w:r w:rsidR="00373051">
        <w:rPr>
          <w:rFonts w:cs="Arial"/>
          <w:b/>
          <w:sz w:val="20"/>
          <w:szCs w:val="20"/>
        </w:rPr>
        <w:t xml:space="preserve"> (cioè l’insufficiente escrezione renale di acido urico)</w:t>
      </w:r>
      <w:r w:rsidR="00814F3C">
        <w:rPr>
          <w:rFonts w:cs="Arial"/>
          <w:sz w:val="20"/>
          <w:szCs w:val="20"/>
        </w:rPr>
        <w:t>.</w:t>
      </w:r>
    </w:p>
    <w:p w14:paraId="781C8E54" w14:textId="226174A6" w:rsidR="00524A50" w:rsidRDefault="00814F3C" w:rsidP="00814F3C">
      <w:pPr>
        <w:spacing w:line="360" w:lineRule="auto"/>
        <w:rPr>
          <w:rFonts w:cs="Arial"/>
          <w:sz w:val="20"/>
          <w:szCs w:val="20"/>
        </w:rPr>
      </w:pPr>
      <w:r w:rsidRPr="00194162">
        <w:rPr>
          <w:rFonts w:cs="Arial"/>
          <w:sz w:val="20"/>
          <w:szCs w:val="20"/>
        </w:rPr>
        <w:t>ZURAMPIC è l’unico farmaco uricosurico disponibile in Italia</w:t>
      </w:r>
      <w:r w:rsidR="000A6153">
        <w:rPr>
          <w:rFonts w:cs="Arial"/>
          <w:sz w:val="20"/>
          <w:szCs w:val="20"/>
        </w:rPr>
        <w:t>.</w:t>
      </w:r>
      <w:r w:rsidRPr="00194162">
        <w:rPr>
          <w:rFonts w:cs="Arial"/>
          <w:sz w:val="20"/>
          <w:szCs w:val="20"/>
        </w:rPr>
        <w:t xml:space="preserve"> </w:t>
      </w:r>
    </w:p>
    <w:p w14:paraId="7AF8F925" w14:textId="3E1DB8C8" w:rsidR="00814F3C" w:rsidRDefault="00524A50" w:rsidP="00814F3C">
      <w:pPr>
        <w:spacing w:line="360" w:lineRule="auto"/>
        <w:rPr>
          <w:rFonts w:cs="Arial"/>
          <w:sz w:val="20"/>
          <w:szCs w:val="20"/>
        </w:rPr>
      </w:pPr>
      <w:r>
        <w:rPr>
          <w:rFonts w:cs="Arial"/>
          <w:sz w:val="20"/>
          <w:szCs w:val="20"/>
        </w:rPr>
        <w:t xml:space="preserve">ZURAMPIC ha </w:t>
      </w:r>
      <w:r w:rsidR="00814F3C" w:rsidRPr="00194162">
        <w:rPr>
          <w:rFonts w:cs="Arial"/>
          <w:sz w:val="20"/>
          <w:szCs w:val="20"/>
        </w:rPr>
        <w:t>un meccanismo d’azione complementare rispetto agli inibitori della xantina ossidasi (XOI)</w:t>
      </w:r>
      <w:r>
        <w:rPr>
          <w:rFonts w:cs="Arial"/>
          <w:sz w:val="20"/>
          <w:szCs w:val="20"/>
        </w:rPr>
        <w:t>.</w:t>
      </w:r>
    </w:p>
    <w:p w14:paraId="6C96BFEA" w14:textId="38C7373D" w:rsidR="008B5B29" w:rsidRDefault="00814F3C" w:rsidP="003719CF">
      <w:pPr>
        <w:spacing w:line="360" w:lineRule="auto"/>
        <w:rPr>
          <w:rFonts w:cs="Arial"/>
          <w:sz w:val="20"/>
          <w:szCs w:val="20"/>
        </w:rPr>
      </w:pPr>
      <w:r w:rsidRPr="00405C98">
        <w:rPr>
          <w:rFonts w:cs="Arial"/>
          <w:sz w:val="20"/>
          <w:szCs w:val="20"/>
        </w:rPr>
        <w:t xml:space="preserve">ZURAMPIC, in associazione a XOI, si propone come nuovo strumento per risolvere i bisogni non risolti della gotta, ovvero fornisce un trattamento </w:t>
      </w:r>
      <w:r w:rsidRPr="00E91FE7">
        <w:rPr>
          <w:rFonts w:cs="Arial"/>
          <w:b/>
          <w:sz w:val="20"/>
          <w:szCs w:val="20"/>
        </w:rPr>
        <w:t>rapido (già dal mese 1) e sostenuto nel tempo (dimostrato nei 24 mesi),</w:t>
      </w:r>
      <w:r w:rsidRPr="00405C98">
        <w:rPr>
          <w:rFonts w:cs="Arial"/>
          <w:sz w:val="20"/>
          <w:szCs w:val="20"/>
        </w:rPr>
        <w:t xml:space="preserve"> più efficace nel raggiungere il target uricemico rispetto agli XOI (</w:t>
      </w:r>
      <w:r w:rsidRPr="00E91FE7">
        <w:rPr>
          <w:rFonts w:cs="Arial"/>
          <w:b/>
          <w:sz w:val="20"/>
          <w:szCs w:val="20"/>
        </w:rPr>
        <w:t>raddoppia il numero di pazienti che raggiungono il target raccomandato dalle Linee Guida</w:t>
      </w:r>
      <w:r w:rsidRPr="00405C98">
        <w:rPr>
          <w:rFonts w:cs="Arial"/>
          <w:sz w:val="20"/>
          <w:szCs w:val="20"/>
        </w:rPr>
        <w:t xml:space="preserve">) e nel </w:t>
      </w:r>
      <w:r w:rsidRPr="00E91FE7">
        <w:rPr>
          <w:rFonts w:cs="Arial"/>
          <w:b/>
          <w:sz w:val="20"/>
          <w:szCs w:val="20"/>
        </w:rPr>
        <w:t>ridurre costantemente e nel lungo periodo (dimostrato nei 24 mesi) i tofi e le riacutizzazioni</w:t>
      </w:r>
      <w:r w:rsidRPr="00405C98">
        <w:rPr>
          <w:rFonts w:cs="Arial"/>
          <w:sz w:val="20"/>
          <w:szCs w:val="20"/>
        </w:rPr>
        <w:t xml:space="preserve">, combinando una generale </w:t>
      </w:r>
      <w:r w:rsidRPr="00E91FE7">
        <w:rPr>
          <w:rFonts w:cs="Arial"/>
          <w:b/>
          <w:sz w:val="20"/>
          <w:szCs w:val="20"/>
        </w:rPr>
        <w:t>buona tollerabilità (paragonabile a quella che si ottiene con allopurinolo e febuxostat in  monoterapia)</w:t>
      </w:r>
      <w:r w:rsidR="00E34E16">
        <w:rPr>
          <w:rFonts w:cs="Arial"/>
          <w:sz w:val="20"/>
          <w:szCs w:val="20"/>
        </w:rPr>
        <w:t>; s</w:t>
      </w:r>
      <w:r w:rsidR="00E34E16" w:rsidRPr="00E34E16">
        <w:rPr>
          <w:rFonts w:cs="Arial"/>
          <w:b/>
          <w:sz w:val="20"/>
          <w:szCs w:val="20"/>
        </w:rPr>
        <w:t>ulla base dei risultati degli studi di estensione  è stato concluso che il trattamento a lungo termine (fino a 52 mesi) di lesinurad 200 mg/die in associazione ad allopurinolo o febuxostat era ben tollerato nei pazienti gottosi</w:t>
      </w:r>
      <w:r w:rsidR="00E34E16">
        <w:rPr>
          <w:rFonts w:cs="Arial"/>
          <w:b/>
          <w:sz w:val="20"/>
          <w:szCs w:val="20"/>
        </w:rPr>
        <w:t xml:space="preserve"> come</w:t>
      </w:r>
      <w:r w:rsidRPr="00E91FE7">
        <w:rPr>
          <w:rFonts w:cs="Arial"/>
          <w:b/>
          <w:sz w:val="20"/>
          <w:szCs w:val="20"/>
        </w:rPr>
        <w:t xml:space="preserve"> anche in alcuni sottogruppi di pazienti (ad es. pazienti con insufficienza renale moderata, pazienti trattati con aspirina, pazienti trattati con diuretici tiazidici e nei pazienti di età &gt; 65 anni)</w:t>
      </w:r>
      <w:r w:rsidR="00D80C5F" w:rsidRPr="00E91FE7">
        <w:rPr>
          <w:rFonts w:cs="Arial"/>
          <w:b/>
          <w:sz w:val="20"/>
          <w:szCs w:val="20"/>
        </w:rPr>
        <w:t>.</w:t>
      </w:r>
    </w:p>
    <w:p w14:paraId="509C8657" w14:textId="6E53F24A" w:rsidR="008B5B29" w:rsidRDefault="008B5B29" w:rsidP="008B5B29">
      <w:pPr>
        <w:spacing w:line="360" w:lineRule="auto"/>
        <w:rPr>
          <w:rFonts w:cs="Arial"/>
          <w:sz w:val="20"/>
          <w:szCs w:val="20"/>
        </w:rPr>
      </w:pPr>
      <w:r>
        <w:rPr>
          <w:rFonts w:cs="Arial"/>
          <w:b/>
          <w:sz w:val="20"/>
          <w:szCs w:val="20"/>
        </w:rPr>
        <w:t>I</w:t>
      </w:r>
      <w:r w:rsidRPr="0035001A">
        <w:rPr>
          <w:rFonts w:cs="Arial"/>
          <w:b/>
          <w:sz w:val="20"/>
          <w:szCs w:val="20"/>
        </w:rPr>
        <w:t xml:space="preserve"> dati di efficacia a lungo termine dopo 24 mesi di trattamento hanno fornito evidenze sufficienti a dimostrare l’effetto clinico con riduzione continua dei tofi e dei flares (</w:t>
      </w:r>
      <w:r w:rsidR="00563FA4">
        <w:rPr>
          <w:rFonts w:cs="Arial"/>
          <w:b/>
          <w:color w:val="0000FF"/>
          <w:sz w:val="20"/>
          <w:szCs w:val="20"/>
        </w:rPr>
        <w:t>EPAR, 2015 (42)</w:t>
      </w:r>
      <w:r w:rsidRPr="0035001A">
        <w:rPr>
          <w:rFonts w:cs="Arial"/>
          <w:b/>
          <w:sz w:val="20"/>
          <w:szCs w:val="20"/>
        </w:rPr>
        <w:t>).</w:t>
      </w:r>
    </w:p>
    <w:p w14:paraId="6D36332C" w14:textId="3EAD701D" w:rsidR="00814F3C" w:rsidRDefault="00D80C5F" w:rsidP="00D80C5F">
      <w:pPr>
        <w:spacing w:line="360" w:lineRule="auto"/>
        <w:rPr>
          <w:rFonts w:cs="Arial"/>
          <w:sz w:val="20"/>
          <w:szCs w:val="20"/>
        </w:rPr>
      </w:pPr>
      <w:r>
        <w:rPr>
          <w:rFonts w:cs="Arial"/>
          <w:sz w:val="20"/>
          <w:szCs w:val="20"/>
        </w:rPr>
        <w:t>ZURAMPIC</w:t>
      </w:r>
      <w:r w:rsidRPr="000B4D6A">
        <w:rPr>
          <w:rFonts w:cs="Arial"/>
          <w:sz w:val="20"/>
          <w:szCs w:val="20"/>
        </w:rPr>
        <w:t xml:space="preserve"> ha dimostrato di </w:t>
      </w:r>
      <w:r w:rsidRPr="00E91FE7">
        <w:rPr>
          <w:rFonts w:cs="Arial"/>
          <w:b/>
          <w:sz w:val="20"/>
          <w:szCs w:val="20"/>
        </w:rPr>
        <w:t>non avere rilevanti interazioni con altri farmac</w:t>
      </w:r>
      <w:r w:rsidRPr="000B4D6A">
        <w:rPr>
          <w:rFonts w:cs="Arial"/>
          <w:sz w:val="20"/>
          <w:szCs w:val="20"/>
        </w:rPr>
        <w:t>i quali atorvastatina, metformina e furosemide, non alterandone l’esposizione plasmatica (AUC). Questo aspetto è particolarmente importante in soggetti anziani, tipicamente poli-trattati per altre patologie croniche quali ipercolesterolemia, diabete e ipertensione (</w:t>
      </w:r>
      <w:r w:rsidR="00E54BFE">
        <w:rPr>
          <w:rFonts w:cs="Arial"/>
          <w:color w:val="0000FF"/>
          <w:sz w:val="20"/>
          <w:szCs w:val="20"/>
        </w:rPr>
        <w:t>Shen, 2016 (5)</w:t>
      </w:r>
      <w:r w:rsidRPr="000B4D6A">
        <w:rPr>
          <w:rFonts w:cs="Arial"/>
          <w:sz w:val="20"/>
          <w:szCs w:val="20"/>
        </w:rPr>
        <w:t>)</w:t>
      </w:r>
      <w:r>
        <w:rPr>
          <w:rFonts w:cs="Arial"/>
          <w:sz w:val="20"/>
          <w:szCs w:val="20"/>
        </w:rPr>
        <w:t>.</w:t>
      </w:r>
      <w:r w:rsidR="00814F3C" w:rsidRPr="00405C98">
        <w:rPr>
          <w:rFonts w:cs="Arial"/>
          <w:sz w:val="20"/>
          <w:szCs w:val="20"/>
        </w:rPr>
        <w:t xml:space="preserve"> </w:t>
      </w:r>
    </w:p>
    <w:p w14:paraId="0D3D574E" w14:textId="7EA1B005" w:rsidR="00524A50" w:rsidRPr="00405C98" w:rsidRDefault="00524A50" w:rsidP="00D80C5F">
      <w:pPr>
        <w:spacing w:line="360" w:lineRule="auto"/>
        <w:rPr>
          <w:rFonts w:cs="Arial"/>
          <w:sz w:val="20"/>
          <w:szCs w:val="20"/>
        </w:rPr>
      </w:pPr>
      <w:r>
        <w:rPr>
          <w:rFonts w:cs="Arial"/>
          <w:sz w:val="20"/>
          <w:szCs w:val="20"/>
        </w:rPr>
        <w:t xml:space="preserve">Il meccanismo d’azione di ZURAMPIC e le sue peculiarità </w:t>
      </w:r>
      <w:r w:rsidRPr="00B25E19">
        <w:rPr>
          <w:rFonts w:cs="Arial"/>
          <w:sz w:val="20"/>
          <w:szCs w:val="20"/>
        </w:rPr>
        <w:t>farmacologiche lo rendono</w:t>
      </w:r>
      <w:r>
        <w:rPr>
          <w:rFonts w:cs="Arial"/>
          <w:sz w:val="20"/>
          <w:szCs w:val="20"/>
        </w:rPr>
        <w:t xml:space="preserve"> l’uricosurico con il profilo di sicurezza maggiormente favorevole, </w:t>
      </w:r>
      <w:r w:rsidRPr="00865528">
        <w:rPr>
          <w:rFonts w:cs="Arial"/>
          <w:sz w:val="20"/>
          <w:szCs w:val="20"/>
        </w:rPr>
        <w:t xml:space="preserve">tanto che l’uso ne è autorizzato anche </w:t>
      </w:r>
      <w:r w:rsidRPr="00E91FE7">
        <w:rPr>
          <w:rFonts w:cs="Arial"/>
          <w:b/>
          <w:sz w:val="20"/>
          <w:szCs w:val="20"/>
        </w:rPr>
        <w:t xml:space="preserve">nei pazienti con insufficienza renale lieve e moderata come anche con insufficienza epatica lieve e moderata senza modifiche del dosaggio </w:t>
      </w:r>
      <w:r w:rsidRPr="00865528">
        <w:rPr>
          <w:rFonts w:cs="Arial"/>
          <w:sz w:val="20"/>
          <w:szCs w:val="20"/>
        </w:rPr>
        <w:t>(</w:t>
      </w:r>
      <w:r w:rsidRPr="00865528">
        <w:rPr>
          <w:rFonts w:cs="Arial"/>
          <w:color w:val="0000FF"/>
          <w:sz w:val="20"/>
          <w:szCs w:val="20"/>
        </w:rPr>
        <w:t>SmP</w:t>
      </w:r>
      <w:r>
        <w:rPr>
          <w:rFonts w:cs="Arial"/>
          <w:color w:val="0000FF"/>
          <w:sz w:val="20"/>
          <w:szCs w:val="20"/>
        </w:rPr>
        <w:t>C</w:t>
      </w:r>
      <w:r w:rsidR="0018676B" w:rsidRPr="0018676B">
        <w:rPr>
          <w:rFonts w:cs="Arial"/>
          <w:color w:val="0000FF"/>
          <w:sz w:val="20"/>
          <w:szCs w:val="20"/>
        </w:rPr>
        <w:t xml:space="preserve"> </w:t>
      </w:r>
      <w:r w:rsidR="0018676B" w:rsidRPr="00865528">
        <w:rPr>
          <w:rFonts w:cs="Arial"/>
          <w:color w:val="0000FF"/>
          <w:sz w:val="20"/>
          <w:szCs w:val="20"/>
        </w:rPr>
        <w:t>Zurampic</w:t>
      </w:r>
      <w:r w:rsidR="0018676B">
        <w:rPr>
          <w:rFonts w:cs="Arial"/>
          <w:color w:val="0000FF"/>
          <w:sz w:val="20"/>
          <w:szCs w:val="20"/>
        </w:rPr>
        <w:t>, EPAR, 2015 (1</w:t>
      </w:r>
      <w:r w:rsidRPr="00865528">
        <w:rPr>
          <w:rFonts w:cs="Arial"/>
          <w:color w:val="0000FF"/>
          <w:sz w:val="20"/>
          <w:szCs w:val="20"/>
        </w:rPr>
        <w:t>)</w:t>
      </w:r>
      <w:r>
        <w:rPr>
          <w:rFonts w:cs="Arial"/>
          <w:sz w:val="20"/>
          <w:szCs w:val="20"/>
        </w:rPr>
        <w:t>)</w:t>
      </w:r>
      <w:r w:rsidR="00EF017E">
        <w:rPr>
          <w:rFonts w:cs="Arial"/>
          <w:sz w:val="20"/>
          <w:szCs w:val="20"/>
        </w:rPr>
        <w:t>.</w:t>
      </w:r>
    </w:p>
    <w:p w14:paraId="53560F27" w14:textId="77777777" w:rsidR="00814F3C" w:rsidRPr="00FA51BC" w:rsidRDefault="00814F3C" w:rsidP="00D80C5F">
      <w:pPr>
        <w:spacing w:line="360" w:lineRule="auto"/>
        <w:rPr>
          <w:rFonts w:cs="Arial"/>
          <w:sz w:val="20"/>
          <w:szCs w:val="20"/>
        </w:rPr>
      </w:pPr>
      <w:r w:rsidRPr="00FA51BC">
        <w:rPr>
          <w:rFonts w:cs="Arial"/>
          <w:sz w:val="20"/>
          <w:szCs w:val="20"/>
        </w:rPr>
        <w:t>L’efficacia e tollerabilità di ZURAMPIC in mono-somministrazione giornaliera e in associazione con un farmaco XOI, è stata studiata in 3 ampi RCT di Fase III, svolti su oltre 1.500 pazienti adulti affetti da iperuricemia e gotta.</w:t>
      </w:r>
    </w:p>
    <w:p w14:paraId="1E2E35E9" w14:textId="77777777" w:rsidR="00E91FE7" w:rsidRDefault="00E91FE7" w:rsidP="00D80C5F">
      <w:pPr>
        <w:spacing w:line="360" w:lineRule="auto"/>
        <w:rPr>
          <w:rFonts w:cs="Arial"/>
          <w:sz w:val="20"/>
          <w:szCs w:val="20"/>
        </w:rPr>
      </w:pPr>
    </w:p>
    <w:p w14:paraId="20451CF7" w14:textId="7973A9EF" w:rsidR="001E55C6" w:rsidRPr="009A557F" w:rsidRDefault="001E55C6" w:rsidP="001E55C6">
      <w:pPr>
        <w:spacing w:line="360" w:lineRule="auto"/>
        <w:rPr>
          <w:rFonts w:cs="Arial"/>
          <w:sz w:val="20"/>
          <w:szCs w:val="20"/>
        </w:rPr>
      </w:pPr>
      <w:r>
        <w:rPr>
          <w:rFonts w:cs="Arial"/>
          <w:b/>
          <w:sz w:val="20"/>
          <w:szCs w:val="20"/>
        </w:rPr>
        <w:t xml:space="preserve">Come sostentuto dal Prof </w:t>
      </w:r>
      <w:r w:rsidR="00753598">
        <w:rPr>
          <w:rFonts w:cs="Arial"/>
          <w:b/>
          <w:sz w:val="20"/>
          <w:szCs w:val="20"/>
        </w:rPr>
        <w:t>Punzi Direttore U.O.C. di Reumatologia, Università degli Studi di Padova</w:t>
      </w:r>
      <w:r>
        <w:rPr>
          <w:rFonts w:cs="Arial"/>
          <w:b/>
          <w:sz w:val="20"/>
          <w:szCs w:val="20"/>
        </w:rPr>
        <w:t xml:space="preserve"> (</w:t>
      </w:r>
      <w:hyperlink w:anchor="Allegato1" w:history="1">
        <w:r w:rsidRPr="00BC34F2">
          <w:rPr>
            <w:rStyle w:val="Hyperlink"/>
            <w:rFonts w:cs="Arial"/>
            <w:b/>
            <w:sz w:val="20"/>
            <w:szCs w:val="20"/>
          </w:rPr>
          <w:t>Allegato 1</w:t>
        </w:r>
      </w:hyperlink>
      <w:r>
        <w:rPr>
          <w:rFonts w:cs="Arial"/>
          <w:b/>
          <w:sz w:val="20"/>
          <w:szCs w:val="20"/>
        </w:rPr>
        <w:t xml:space="preserve">), </w:t>
      </w:r>
      <w:r w:rsidRPr="00F61A51">
        <w:rPr>
          <w:rFonts w:cs="Arial"/>
          <w:b/>
          <w:sz w:val="20"/>
          <w:szCs w:val="20"/>
        </w:rPr>
        <w:t>ZURAMPIC, somministrato in associazione ad un farmaco XOI, rappresenta una nuova possibilità terapeutica</w:t>
      </w:r>
      <w:r>
        <w:rPr>
          <w:rFonts w:cs="Arial"/>
          <w:b/>
          <w:sz w:val="20"/>
          <w:szCs w:val="20"/>
        </w:rPr>
        <w:t xml:space="preserve"> nel </w:t>
      </w:r>
      <w:r w:rsidRPr="00405C98">
        <w:rPr>
          <w:rFonts w:cs="Arial"/>
          <w:b/>
          <w:sz w:val="20"/>
          <w:szCs w:val="20"/>
        </w:rPr>
        <w:t>trattamento dell’iperuricemia in pazienti con gotta</w:t>
      </w:r>
      <w:r w:rsidRPr="00F61A51">
        <w:rPr>
          <w:rFonts w:cs="Arial"/>
          <w:b/>
          <w:sz w:val="20"/>
          <w:szCs w:val="20"/>
        </w:rPr>
        <w:t xml:space="preserve"> non adeguatamente controllata con le terapie standard</w:t>
      </w:r>
      <w:r>
        <w:rPr>
          <w:rFonts w:cs="Arial"/>
          <w:b/>
          <w:sz w:val="20"/>
          <w:szCs w:val="20"/>
        </w:rPr>
        <w:t xml:space="preserve"> e risponde ad importanti necessità terapeutiche non soddisfatte dalle attuali opzioni farmacologiche, in quanto capace di correggere l’alterazione patogenetica di più frequente riscontro (cioè l’insufficiente escrezione renale di acido urico)</w:t>
      </w:r>
      <w:r w:rsidRPr="00F61A51">
        <w:rPr>
          <w:rFonts w:cs="Arial"/>
          <w:b/>
          <w:sz w:val="20"/>
          <w:szCs w:val="20"/>
        </w:rPr>
        <w:t>.</w:t>
      </w:r>
    </w:p>
    <w:p w14:paraId="22398082" w14:textId="77777777" w:rsidR="001E55C6" w:rsidRDefault="001E55C6" w:rsidP="00D80C5F">
      <w:pPr>
        <w:spacing w:line="360" w:lineRule="auto"/>
        <w:rPr>
          <w:rFonts w:cs="Arial"/>
          <w:sz w:val="20"/>
          <w:szCs w:val="20"/>
        </w:rPr>
      </w:pPr>
    </w:p>
    <w:p w14:paraId="24C8F9AD" w14:textId="77777777" w:rsidR="00A717AE" w:rsidRDefault="00A717AE" w:rsidP="00A717AE">
      <w:pPr>
        <w:spacing w:line="360" w:lineRule="auto"/>
        <w:rPr>
          <w:rStyle w:val="Hyperlink"/>
          <w:rFonts w:cs="Arial"/>
          <w:color w:val="auto"/>
          <w:sz w:val="20"/>
          <w:szCs w:val="20"/>
          <w:u w:val="none"/>
        </w:rPr>
      </w:pPr>
      <w:r>
        <w:rPr>
          <w:rFonts w:cs="Arial"/>
          <w:sz w:val="20"/>
          <w:szCs w:val="20"/>
        </w:rPr>
        <w:t>Secono la valutazione condotta da Altems (Alta Scuola di Economia e Management dei Sistemi Sanitari), è possibile stimare che l’introduzione di lesinurad per il trattamento di iperuricemia in pazienti gottosi</w:t>
      </w:r>
      <w:r w:rsidRPr="00AF1C51">
        <w:rPr>
          <w:rFonts w:cs="Arial"/>
          <w:sz w:val="20"/>
          <w:szCs w:val="20"/>
        </w:rPr>
        <w:t>, considerando un costo netto per compressa pari a 0,85€,</w:t>
      </w:r>
      <w:r>
        <w:rPr>
          <w:rFonts w:cs="Arial"/>
          <w:b/>
          <w:sz w:val="20"/>
          <w:szCs w:val="20"/>
        </w:rPr>
        <w:t xml:space="preserve"> </w:t>
      </w:r>
      <w:r>
        <w:rPr>
          <w:rFonts w:cs="Arial"/>
          <w:sz w:val="20"/>
          <w:szCs w:val="20"/>
        </w:rPr>
        <w:t>avrà un impatto trascurabile sulla spesa SSN pari all’1,6% sul mercato totale all’anno 1),</w:t>
      </w:r>
      <w:r w:rsidRPr="00E670E9">
        <w:rPr>
          <w:rStyle w:val="Hyperlink"/>
          <w:rFonts w:cs="Arial"/>
          <w:color w:val="auto"/>
          <w:sz w:val="20"/>
          <w:szCs w:val="20"/>
          <w:u w:val="none"/>
        </w:rPr>
        <w:t xml:space="preserve"> alla quale</w:t>
      </w:r>
      <w:r>
        <w:rPr>
          <w:rStyle w:val="Hyperlink"/>
          <w:rFonts w:cs="Arial"/>
          <w:color w:val="auto"/>
          <w:sz w:val="20"/>
          <w:szCs w:val="20"/>
          <w:u w:val="none"/>
        </w:rPr>
        <w:t xml:space="preserve"> si aggiunge un impatto irrilevante (€314.000 all’anno 1), ascrivibile ai pazienti di terza linea che ad oggi non hanno alcuna alternativa terapeutica a loro disposizione e per i quali lesinurad risulta l’unico farmaco registrato.</w:t>
      </w:r>
    </w:p>
    <w:p w14:paraId="4D1F2595" w14:textId="77777777" w:rsidR="00A717AE" w:rsidRDefault="00A717AE" w:rsidP="00A717AE">
      <w:pPr>
        <w:spacing w:line="360" w:lineRule="auto"/>
        <w:rPr>
          <w:rFonts w:cs="Arial"/>
          <w:sz w:val="20"/>
          <w:szCs w:val="20"/>
        </w:rPr>
      </w:pPr>
      <w:r>
        <w:rPr>
          <w:rFonts w:cs="Arial"/>
          <w:sz w:val="20"/>
          <w:szCs w:val="20"/>
        </w:rPr>
        <w:t>I</w:t>
      </w:r>
      <w:r w:rsidRPr="00B3238C">
        <w:rPr>
          <w:rFonts w:cs="Arial"/>
          <w:sz w:val="20"/>
          <w:szCs w:val="20"/>
        </w:rPr>
        <w:t xml:space="preserve"> risultati ottenuti nell’analisi </w:t>
      </w:r>
      <w:r>
        <w:rPr>
          <w:rFonts w:cs="Arial"/>
          <w:sz w:val="20"/>
          <w:szCs w:val="20"/>
        </w:rPr>
        <w:t xml:space="preserve">di costo efficacia dinostrano inoltre che lesinurad, come </w:t>
      </w:r>
      <w:r w:rsidRPr="00B3238C">
        <w:rPr>
          <w:rFonts w:cs="Arial"/>
          <w:sz w:val="20"/>
          <w:szCs w:val="20"/>
        </w:rPr>
        <w:t xml:space="preserve">trattamento </w:t>
      </w:r>
      <w:r w:rsidRPr="00202D3B">
        <w:rPr>
          <w:rFonts w:cs="Arial"/>
          <w:sz w:val="20"/>
          <w:szCs w:val="20"/>
        </w:rPr>
        <w:t xml:space="preserve">aggiuntivo </w:t>
      </w:r>
      <w:r>
        <w:rPr>
          <w:rFonts w:cs="Arial"/>
          <w:sz w:val="20"/>
          <w:szCs w:val="20"/>
        </w:rPr>
        <w:t xml:space="preserve">ad allopurinolo in soggetti adulti per </w:t>
      </w:r>
      <w:r w:rsidRPr="00202D3B">
        <w:rPr>
          <w:rFonts w:cs="Arial"/>
          <w:sz w:val="20"/>
          <w:szCs w:val="20"/>
        </w:rPr>
        <w:t xml:space="preserve">l’iperuricemia in pazienti con gotta (con o senza tofi) che non abbiano raggiunto livelli sierici target di acido urico con una dose adeguata di </w:t>
      </w:r>
      <w:r>
        <w:rPr>
          <w:rFonts w:cs="Arial"/>
          <w:sz w:val="20"/>
          <w:szCs w:val="20"/>
        </w:rPr>
        <w:t xml:space="preserve">allopurinolo </w:t>
      </w:r>
      <w:r w:rsidRPr="00202D3B">
        <w:rPr>
          <w:rFonts w:cs="Arial"/>
          <w:sz w:val="20"/>
          <w:szCs w:val="20"/>
        </w:rPr>
        <w:t>in monoterapia</w:t>
      </w:r>
      <w:r w:rsidRPr="00B3238C">
        <w:rPr>
          <w:rFonts w:cs="Arial"/>
          <w:sz w:val="20"/>
          <w:szCs w:val="20"/>
        </w:rPr>
        <w:t xml:space="preserve"> </w:t>
      </w:r>
      <w:r w:rsidRPr="000D5D70">
        <w:rPr>
          <w:rFonts w:cs="Arial"/>
          <w:b/>
          <w:sz w:val="20"/>
          <w:szCs w:val="20"/>
        </w:rPr>
        <w:t>risulta essere costo-efficace nel confronto con l’alternativa di seconda linea febuxostat in monoterapia</w:t>
      </w:r>
      <w:r>
        <w:rPr>
          <w:rFonts w:cs="Arial"/>
          <w:b/>
          <w:sz w:val="20"/>
          <w:szCs w:val="20"/>
        </w:rPr>
        <w:t xml:space="preserve"> </w:t>
      </w:r>
      <w:r w:rsidRPr="00405C07">
        <w:rPr>
          <w:rFonts w:cs="Arial"/>
          <w:sz w:val="20"/>
          <w:szCs w:val="20"/>
        </w:rPr>
        <w:t>(I</w:t>
      </w:r>
      <w:r w:rsidRPr="00851DF6">
        <w:rPr>
          <w:rFonts w:cs="Arial"/>
          <w:sz w:val="20"/>
          <w:szCs w:val="20"/>
        </w:rPr>
        <w:t>CER pari a €</w:t>
      </w:r>
      <w:r>
        <w:rPr>
          <w:rFonts w:cs="Arial"/>
          <w:sz w:val="20"/>
          <w:szCs w:val="20"/>
        </w:rPr>
        <w:t>1.513,25 per QALY guadagnato, ben al di sotto della</w:t>
      </w:r>
      <w:r w:rsidRPr="00851DF6">
        <w:rPr>
          <w:rFonts w:cs="Arial"/>
          <w:sz w:val="20"/>
          <w:szCs w:val="20"/>
        </w:rPr>
        <w:t xml:space="preserve"> soglia di accettabilità fissata a €30.000/QALY</w:t>
      </w:r>
      <w:r>
        <w:rPr>
          <w:rFonts w:cs="Arial"/>
          <w:sz w:val="20"/>
          <w:szCs w:val="20"/>
        </w:rPr>
        <w:t xml:space="preserve">). </w:t>
      </w:r>
    </w:p>
    <w:p w14:paraId="59E0FBF8" w14:textId="77777777" w:rsidR="00934969" w:rsidRDefault="00934969" w:rsidP="00EC43A7">
      <w:pPr>
        <w:spacing w:line="360" w:lineRule="auto"/>
        <w:rPr>
          <w:rFonts w:cs="Arial"/>
          <w:sz w:val="20"/>
          <w:szCs w:val="20"/>
        </w:rPr>
      </w:pPr>
    </w:p>
    <w:p w14:paraId="76E95300" w14:textId="133EDED8" w:rsidR="00F11123" w:rsidRDefault="00EC43A7" w:rsidP="00EC43A7">
      <w:pPr>
        <w:spacing w:line="360" w:lineRule="auto"/>
        <w:rPr>
          <w:rFonts w:cs="Arial"/>
          <w:sz w:val="20"/>
          <w:szCs w:val="20"/>
        </w:rPr>
      </w:pPr>
      <w:r w:rsidRPr="00F11123">
        <w:rPr>
          <w:rFonts w:cs="Arial"/>
          <w:sz w:val="20"/>
          <w:szCs w:val="20"/>
        </w:rPr>
        <w:t xml:space="preserve">L’azienda inoltre lancerà </w:t>
      </w:r>
      <w:r w:rsidR="00934969">
        <w:rPr>
          <w:rFonts w:cs="Arial"/>
          <w:sz w:val="20"/>
          <w:szCs w:val="20"/>
        </w:rPr>
        <w:t xml:space="preserve">in tutta Europa, Italia compresa, </w:t>
      </w:r>
      <w:r w:rsidRPr="00F11123">
        <w:rPr>
          <w:rFonts w:cs="Arial"/>
          <w:sz w:val="20"/>
          <w:szCs w:val="20"/>
        </w:rPr>
        <w:t xml:space="preserve">nel corso del 2017 </w:t>
      </w:r>
      <w:r w:rsidRPr="00934969">
        <w:rPr>
          <w:rFonts w:cs="Arial"/>
          <w:b/>
          <w:sz w:val="20"/>
          <w:szCs w:val="20"/>
        </w:rPr>
        <w:t>il programma</w:t>
      </w:r>
      <w:r w:rsidR="00934969" w:rsidRPr="00934969">
        <w:rPr>
          <w:rFonts w:cs="Arial"/>
          <w:b/>
          <w:sz w:val="20"/>
          <w:szCs w:val="20"/>
        </w:rPr>
        <w:t xml:space="preserve"> a lungo termine</w:t>
      </w:r>
      <w:r w:rsidRPr="00F11123">
        <w:rPr>
          <w:rFonts w:cs="Arial"/>
          <w:sz w:val="20"/>
          <w:szCs w:val="20"/>
        </w:rPr>
        <w:t xml:space="preserve"> </w:t>
      </w:r>
      <w:r w:rsidRPr="00934969">
        <w:rPr>
          <w:rFonts w:cs="Arial"/>
          <w:b/>
          <w:sz w:val="20"/>
          <w:szCs w:val="20"/>
        </w:rPr>
        <w:t>CHANGE GOUT</w:t>
      </w:r>
      <w:r w:rsidR="00F11123" w:rsidRPr="00934969">
        <w:rPr>
          <w:rFonts w:cstheme="minorHAnsi"/>
          <w:b/>
          <w:sz w:val="20"/>
          <w:szCs w:val="20"/>
        </w:rPr>
        <w:t>®</w:t>
      </w:r>
      <w:r w:rsidRPr="00934969">
        <w:rPr>
          <w:rFonts w:cs="Arial"/>
          <w:b/>
          <w:sz w:val="20"/>
          <w:szCs w:val="20"/>
        </w:rPr>
        <w:t xml:space="preserve">: </w:t>
      </w:r>
      <w:r w:rsidRPr="00F11123">
        <w:rPr>
          <w:rFonts w:cs="Arial"/>
          <w:sz w:val="20"/>
          <w:szCs w:val="20"/>
        </w:rPr>
        <w:t xml:space="preserve">si tratta di una </w:t>
      </w:r>
      <w:r w:rsidRPr="00934969">
        <w:rPr>
          <w:rFonts w:cs="Arial"/>
          <w:i/>
          <w:sz w:val="20"/>
          <w:szCs w:val="20"/>
          <w:u w:val="single"/>
        </w:rPr>
        <w:t>iniziativa educazionale</w:t>
      </w:r>
      <w:r w:rsidRPr="00F11123">
        <w:rPr>
          <w:rFonts w:cs="Arial"/>
          <w:sz w:val="20"/>
          <w:szCs w:val="20"/>
        </w:rPr>
        <w:t xml:space="preserve"> indirizzata alla sensibilizzazione ed educazione di medici e pazienti per una gestione a 360° d</w:t>
      </w:r>
      <w:r w:rsidR="00F11123">
        <w:rPr>
          <w:rFonts w:cs="Arial"/>
          <w:sz w:val="20"/>
          <w:szCs w:val="20"/>
        </w:rPr>
        <w:t>ella gotta</w:t>
      </w:r>
      <w:r w:rsidR="00F11123" w:rsidRPr="00F11123">
        <w:rPr>
          <w:rFonts w:cs="Arial"/>
          <w:sz w:val="20"/>
          <w:szCs w:val="20"/>
        </w:rPr>
        <w:t>, in base alle LineeGuida EULAR 2016 (</w:t>
      </w:r>
      <w:r w:rsidR="00E54BFE">
        <w:rPr>
          <w:rFonts w:cs="Arial"/>
          <w:color w:val="0000FF"/>
          <w:sz w:val="20"/>
          <w:szCs w:val="20"/>
        </w:rPr>
        <w:t>Richette, 2016 (6)</w:t>
      </w:r>
      <w:r w:rsidR="00F11123" w:rsidRPr="00F11123">
        <w:rPr>
          <w:rFonts w:cs="Arial"/>
          <w:sz w:val="20"/>
          <w:szCs w:val="20"/>
        </w:rPr>
        <w:t>)</w:t>
      </w:r>
      <w:r w:rsidR="00F11123">
        <w:rPr>
          <w:rFonts w:cs="Arial"/>
          <w:sz w:val="20"/>
          <w:szCs w:val="20"/>
        </w:rPr>
        <w:t>: queste infatti evidenziano quanto l’aspetto educazionale sia un fattore chiave per il successo del trattamento di questa patologia, enfatizzano la necessità di introdurre un trattamento “treat to serum target”, che è stato dimostrato essere un fattore chiave nel migliorare le manifestazioni della patologia.</w:t>
      </w:r>
    </w:p>
    <w:p w14:paraId="70EE4633" w14:textId="5AC3DF53" w:rsidR="00934969" w:rsidRDefault="00F11123" w:rsidP="00EC43A7">
      <w:pPr>
        <w:spacing w:line="360" w:lineRule="auto"/>
        <w:rPr>
          <w:rFonts w:cs="Arial"/>
          <w:sz w:val="20"/>
          <w:szCs w:val="20"/>
        </w:rPr>
      </w:pPr>
      <w:r>
        <w:rPr>
          <w:rFonts w:cs="Arial"/>
          <w:sz w:val="20"/>
          <w:szCs w:val="20"/>
        </w:rPr>
        <w:t>In quest’ottica si colloca quindi l’ambi</w:t>
      </w:r>
      <w:r w:rsidR="00934969">
        <w:rPr>
          <w:rFonts w:cs="Arial"/>
          <w:sz w:val="20"/>
          <w:szCs w:val="20"/>
        </w:rPr>
        <w:t>o</w:t>
      </w:r>
      <w:r>
        <w:rPr>
          <w:rFonts w:cs="Arial"/>
          <w:sz w:val="20"/>
          <w:szCs w:val="20"/>
        </w:rPr>
        <w:t xml:space="preserve">so programma a lungo termine </w:t>
      </w:r>
      <w:r w:rsidRPr="00F11123">
        <w:rPr>
          <w:rFonts w:cs="Arial"/>
          <w:sz w:val="20"/>
          <w:szCs w:val="20"/>
        </w:rPr>
        <w:t>CHANGE GOUT</w:t>
      </w:r>
      <w:r>
        <w:rPr>
          <w:rFonts w:cstheme="minorHAnsi"/>
          <w:sz w:val="20"/>
          <w:szCs w:val="20"/>
        </w:rPr>
        <w:t>®</w:t>
      </w:r>
      <w:r>
        <w:rPr>
          <w:rFonts w:cs="Arial"/>
          <w:sz w:val="20"/>
          <w:szCs w:val="20"/>
        </w:rPr>
        <w:t>, con lo scopo di fa</w:t>
      </w:r>
      <w:r w:rsidR="00934969">
        <w:rPr>
          <w:rFonts w:cs="Arial"/>
          <w:sz w:val="20"/>
          <w:szCs w:val="20"/>
        </w:rPr>
        <w:t>r</w:t>
      </w:r>
      <w:r>
        <w:rPr>
          <w:rFonts w:cs="Arial"/>
          <w:sz w:val="20"/>
          <w:szCs w:val="20"/>
        </w:rPr>
        <w:t xml:space="preserve"> conoscere meglio la gotta e le modalità di gestione del paziente gottoso</w:t>
      </w:r>
      <w:r w:rsidR="00934969">
        <w:rPr>
          <w:rFonts w:cs="Arial"/>
          <w:sz w:val="20"/>
          <w:szCs w:val="20"/>
        </w:rPr>
        <w:t>,</w:t>
      </w:r>
      <w:r>
        <w:rPr>
          <w:rFonts w:cs="Arial"/>
          <w:sz w:val="20"/>
          <w:szCs w:val="20"/>
        </w:rPr>
        <w:t xml:space="preserve"> che dovrà essere </w:t>
      </w:r>
      <w:r w:rsidRPr="00934969">
        <w:rPr>
          <w:rFonts w:cs="Arial"/>
          <w:b/>
          <w:sz w:val="20"/>
          <w:szCs w:val="20"/>
        </w:rPr>
        <w:t>preso in carico globalmente</w:t>
      </w:r>
      <w:r>
        <w:rPr>
          <w:rFonts w:cs="Arial"/>
          <w:sz w:val="20"/>
          <w:szCs w:val="20"/>
        </w:rPr>
        <w:t xml:space="preserve">, considerando tuttii gli aspetti, </w:t>
      </w:r>
      <w:r w:rsidR="00934969">
        <w:rPr>
          <w:rFonts w:cs="Arial"/>
          <w:sz w:val="20"/>
          <w:szCs w:val="20"/>
        </w:rPr>
        <w:t>compreso l</w:t>
      </w:r>
      <w:r>
        <w:rPr>
          <w:rFonts w:cs="Arial"/>
          <w:sz w:val="20"/>
          <w:szCs w:val="20"/>
        </w:rPr>
        <w:t>o stile di vita</w:t>
      </w:r>
      <w:r w:rsidR="00934969">
        <w:rPr>
          <w:rFonts w:cs="Arial"/>
          <w:sz w:val="20"/>
          <w:szCs w:val="20"/>
        </w:rPr>
        <w:t xml:space="preserve"> e dovrà essere informato sullo scopo e sui vantaggi della terapia. Il programma è a lungo termine e verrà indirizzato sia agli operatori sanitari che ai pazienti al fine di ridurre le barriere esistenti al trattamento adeguato di questa patologia.</w:t>
      </w:r>
    </w:p>
    <w:p w14:paraId="479C5424" w14:textId="77777777" w:rsidR="00687078" w:rsidRDefault="00687078" w:rsidP="00687078">
      <w:pPr>
        <w:spacing w:line="360" w:lineRule="auto"/>
        <w:rPr>
          <w:rFonts w:cs="Arial"/>
          <w:sz w:val="20"/>
          <w:szCs w:val="20"/>
        </w:rPr>
      </w:pPr>
      <w:r>
        <w:rPr>
          <w:rFonts w:cs="Arial"/>
          <w:sz w:val="20"/>
          <w:szCs w:val="20"/>
        </w:rPr>
        <w:t xml:space="preserve">Questo programma sarà di valore per avere quindi una gestione più appropriata, anche di tipo farmacologico, di questa patologia e porterà quindi dei vantaggi per il SSN.  </w:t>
      </w:r>
    </w:p>
    <w:p w14:paraId="3BCB54D0" w14:textId="02817C38" w:rsidR="00687078" w:rsidRDefault="00687078" w:rsidP="00EC43A7">
      <w:pPr>
        <w:spacing w:line="360" w:lineRule="auto"/>
        <w:rPr>
          <w:rFonts w:cs="Arial"/>
          <w:sz w:val="20"/>
          <w:szCs w:val="20"/>
        </w:rPr>
      </w:pPr>
      <w:r>
        <w:rPr>
          <w:rFonts w:cs="Arial"/>
          <w:sz w:val="20"/>
          <w:szCs w:val="20"/>
        </w:rPr>
        <w:t>L’azienda inoltre collaborerà con l</w:t>
      </w:r>
      <w:r w:rsidRPr="00836F73">
        <w:rPr>
          <w:rFonts w:cs="Arial"/>
          <w:sz w:val="20"/>
          <w:szCs w:val="20"/>
        </w:rPr>
        <w:t>’U</w:t>
      </w:r>
      <w:r>
        <w:rPr>
          <w:rFonts w:cs="Arial"/>
          <w:sz w:val="20"/>
          <w:szCs w:val="20"/>
        </w:rPr>
        <w:t xml:space="preserve">niversità degli Studi di Parma al programma di </w:t>
      </w:r>
      <w:r w:rsidRPr="00836F73">
        <w:rPr>
          <w:rFonts w:cs="Arial"/>
          <w:sz w:val="20"/>
          <w:szCs w:val="20"/>
        </w:rPr>
        <w:t>EFSA</w:t>
      </w:r>
      <w:r>
        <w:rPr>
          <w:rFonts w:cs="Arial"/>
          <w:sz w:val="20"/>
          <w:szCs w:val="20"/>
        </w:rPr>
        <w:t xml:space="preserve"> (European Food Safety Authority) “</w:t>
      </w:r>
      <w:r w:rsidRPr="00836F73">
        <w:rPr>
          <w:rFonts w:cs="Arial"/>
          <w:b/>
          <w:sz w:val="20"/>
          <w:szCs w:val="20"/>
        </w:rPr>
        <w:t>Multidisciplinary patient care in the elderly: personalization of pain therapy and nutrition, based on epigenetic biomarkers (PANE)</w:t>
      </w:r>
      <w:r>
        <w:rPr>
          <w:rFonts w:cs="Arial"/>
          <w:b/>
          <w:sz w:val="20"/>
          <w:szCs w:val="20"/>
        </w:rPr>
        <w:t xml:space="preserve">”, </w:t>
      </w:r>
      <w:r w:rsidRPr="00836F73">
        <w:rPr>
          <w:rFonts w:cs="Arial"/>
          <w:sz w:val="20"/>
          <w:szCs w:val="20"/>
        </w:rPr>
        <w:t xml:space="preserve">progetto focalizzato sul dolore e sulla nutrizione nel paziente anziano. </w:t>
      </w:r>
      <w:r>
        <w:rPr>
          <w:rFonts w:cs="Arial"/>
          <w:sz w:val="20"/>
          <w:szCs w:val="20"/>
        </w:rPr>
        <w:t>Infatti u</w:t>
      </w:r>
      <w:r w:rsidRPr="00836F73">
        <w:rPr>
          <w:rFonts w:cs="Arial"/>
          <w:sz w:val="20"/>
          <w:szCs w:val="20"/>
        </w:rPr>
        <w:t xml:space="preserve">na corretta alimentazione risulta fondamentale non solo per particolari malattie come per esempio la gotta, ma anche in molte patologie frequentemente presenti nella popolaziona anziana come l’osteoartrosi e la lombalgia. L’obiettivo primario </w:t>
      </w:r>
      <w:r>
        <w:rPr>
          <w:rFonts w:cs="Arial"/>
          <w:sz w:val="20"/>
          <w:szCs w:val="20"/>
        </w:rPr>
        <w:t xml:space="preserve">del progetto </w:t>
      </w:r>
      <w:r w:rsidRPr="00836F73">
        <w:rPr>
          <w:rFonts w:cs="Arial"/>
          <w:sz w:val="20"/>
          <w:szCs w:val="20"/>
        </w:rPr>
        <w:t>consiste nel gestire il dolore attraverso un approccio multidisciplinare, analizzando sia la fisiopatologia del dolore sia lo stile di vita dei pazienti. Piani nutrizionali personalizzati e appropriati nutraceutici potranno ottimizzare la qualità della vita dei pazienti.</w:t>
      </w:r>
    </w:p>
    <w:p w14:paraId="23CC7E08" w14:textId="77777777" w:rsidR="00B5368F" w:rsidRDefault="00B5368F" w:rsidP="00D80C5F">
      <w:pPr>
        <w:widowControl w:val="0"/>
        <w:autoSpaceDE w:val="0"/>
        <w:autoSpaceDN w:val="0"/>
        <w:adjustRightInd w:val="0"/>
        <w:spacing w:line="360" w:lineRule="auto"/>
        <w:jc w:val="both"/>
        <w:rPr>
          <w:rFonts w:cs="Arial"/>
          <w:sz w:val="20"/>
          <w:szCs w:val="20"/>
        </w:rPr>
      </w:pPr>
    </w:p>
    <w:p w14:paraId="1C459C53" w14:textId="275B5E00" w:rsidR="005C6338" w:rsidRDefault="00D71110" w:rsidP="00D80C5F">
      <w:pPr>
        <w:widowControl w:val="0"/>
        <w:autoSpaceDE w:val="0"/>
        <w:autoSpaceDN w:val="0"/>
        <w:adjustRightInd w:val="0"/>
        <w:spacing w:line="360" w:lineRule="auto"/>
        <w:jc w:val="both"/>
        <w:rPr>
          <w:rFonts w:cs="Arial"/>
          <w:sz w:val="20"/>
          <w:szCs w:val="20"/>
        </w:rPr>
      </w:pPr>
      <w:r w:rsidRPr="00D71110">
        <w:rPr>
          <w:rFonts w:cs="Arial"/>
          <w:sz w:val="20"/>
          <w:szCs w:val="20"/>
        </w:rPr>
        <w:t xml:space="preserve">Il prezzo proposto al SSN per la confezione di ZURAMPIC 30 compresse da 200mg è di € </w:t>
      </w:r>
      <w:r w:rsidR="00D80C5F">
        <w:rPr>
          <w:rFonts w:cs="Arial"/>
          <w:sz w:val="20"/>
          <w:szCs w:val="20"/>
        </w:rPr>
        <w:t>25,50</w:t>
      </w:r>
      <w:r w:rsidRPr="00D71110">
        <w:rPr>
          <w:rFonts w:cs="Arial"/>
          <w:sz w:val="20"/>
          <w:szCs w:val="20"/>
        </w:rPr>
        <w:t xml:space="preserve"> con un costo per compressa, ovvero un costo/die, di € </w:t>
      </w:r>
      <w:r w:rsidR="00D80C5F">
        <w:rPr>
          <w:rFonts w:cs="Arial"/>
          <w:sz w:val="20"/>
          <w:szCs w:val="20"/>
        </w:rPr>
        <w:t>0,85</w:t>
      </w:r>
      <w:r w:rsidRPr="00D71110">
        <w:rPr>
          <w:rFonts w:cs="Arial"/>
          <w:sz w:val="20"/>
          <w:szCs w:val="20"/>
        </w:rPr>
        <w:t xml:space="preserve"> (prezzi ex-factory, al netto degli sconti di legge). L’Azienda propone l’inserimento di ZURAMPIC, lesinurad 30 compresse da 200mg,</w:t>
      </w:r>
      <w:r w:rsidR="00D80C5F">
        <w:rPr>
          <w:rFonts w:cs="Arial"/>
          <w:sz w:val="20"/>
          <w:szCs w:val="20"/>
        </w:rPr>
        <w:t xml:space="preserve"> in classe di </w:t>
      </w:r>
      <w:r w:rsidR="00D80C5F" w:rsidRPr="00934969">
        <w:rPr>
          <w:rFonts w:cs="Arial"/>
          <w:b/>
          <w:sz w:val="20"/>
          <w:szCs w:val="20"/>
        </w:rPr>
        <w:t xml:space="preserve">rimborsabilità A, </w:t>
      </w:r>
      <w:r w:rsidR="00EC43A7" w:rsidRPr="00934969">
        <w:rPr>
          <w:rFonts w:cs="Arial"/>
          <w:b/>
          <w:sz w:val="20"/>
          <w:szCs w:val="20"/>
        </w:rPr>
        <w:t>in seconda linea in associazione ad allopurinolo ed in terza linea in associazione a febuxosta</w:t>
      </w:r>
      <w:r w:rsidR="00934969">
        <w:rPr>
          <w:rFonts w:cs="Arial"/>
          <w:b/>
          <w:sz w:val="20"/>
          <w:szCs w:val="20"/>
        </w:rPr>
        <w:t>t</w:t>
      </w:r>
      <w:r w:rsidR="00EC43A7">
        <w:rPr>
          <w:rFonts w:cs="Arial"/>
          <w:sz w:val="20"/>
          <w:szCs w:val="20"/>
        </w:rPr>
        <w:t xml:space="preserve">, </w:t>
      </w:r>
      <w:r w:rsidR="005C6338" w:rsidRPr="00221759">
        <w:rPr>
          <w:rFonts w:cs="Arial"/>
          <w:sz w:val="20"/>
          <w:szCs w:val="20"/>
        </w:rPr>
        <w:t>al seguente prezzo:</w:t>
      </w:r>
    </w:p>
    <w:p w14:paraId="628318AD" w14:textId="77777777" w:rsidR="00FF631E" w:rsidRPr="00221759" w:rsidRDefault="00FF631E" w:rsidP="00D80C5F">
      <w:pPr>
        <w:widowControl w:val="0"/>
        <w:autoSpaceDE w:val="0"/>
        <w:autoSpaceDN w:val="0"/>
        <w:adjustRightInd w:val="0"/>
        <w:spacing w:line="360" w:lineRule="auto"/>
        <w:jc w:val="both"/>
        <w:rPr>
          <w:rFonts w:cs="Arial"/>
          <w:sz w:val="20"/>
          <w:szCs w:val="20"/>
        </w:rPr>
      </w:pPr>
    </w:p>
    <w:tbl>
      <w:tblPr>
        <w:tblW w:w="7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4"/>
        <w:gridCol w:w="1145"/>
        <w:gridCol w:w="1111"/>
        <w:gridCol w:w="1701"/>
      </w:tblGrid>
      <w:tr w:rsidR="003026BA" w:rsidRPr="00221759" w14:paraId="6EC26DD1" w14:textId="77777777" w:rsidTr="00EB6965">
        <w:trPr>
          <w:trHeight w:val="346"/>
          <w:jc w:val="center"/>
        </w:trPr>
        <w:tc>
          <w:tcPr>
            <w:tcW w:w="3144" w:type="dxa"/>
            <w:vAlign w:val="center"/>
          </w:tcPr>
          <w:p w14:paraId="2DC431B1" w14:textId="77777777" w:rsidR="003026BA" w:rsidRPr="00221759" w:rsidRDefault="003026BA" w:rsidP="000E14F7">
            <w:pPr>
              <w:autoSpaceDE w:val="0"/>
              <w:autoSpaceDN w:val="0"/>
              <w:adjustRightInd w:val="0"/>
              <w:spacing w:before="120"/>
              <w:rPr>
                <w:rFonts w:cstheme="minorHAnsi"/>
                <w:b/>
                <w:color w:val="000000"/>
                <w:sz w:val="20"/>
                <w:szCs w:val="20"/>
              </w:rPr>
            </w:pPr>
          </w:p>
        </w:tc>
        <w:tc>
          <w:tcPr>
            <w:tcW w:w="1145" w:type="dxa"/>
            <w:vAlign w:val="center"/>
          </w:tcPr>
          <w:p w14:paraId="5AB30FC4" w14:textId="77777777" w:rsidR="003026BA" w:rsidRPr="00221759" w:rsidRDefault="003026BA" w:rsidP="000E14F7">
            <w:pPr>
              <w:autoSpaceDE w:val="0"/>
              <w:autoSpaceDN w:val="0"/>
              <w:adjustRightInd w:val="0"/>
              <w:spacing w:before="120"/>
              <w:rPr>
                <w:rFonts w:cstheme="minorHAnsi"/>
                <w:b/>
                <w:color w:val="000000"/>
                <w:sz w:val="20"/>
                <w:szCs w:val="20"/>
              </w:rPr>
            </w:pPr>
            <w:r w:rsidRPr="00221759">
              <w:rPr>
                <w:rFonts w:cstheme="minorHAnsi"/>
                <w:b/>
                <w:color w:val="000000"/>
                <w:sz w:val="20"/>
                <w:szCs w:val="20"/>
              </w:rPr>
              <w:t>Confezione</w:t>
            </w:r>
          </w:p>
        </w:tc>
        <w:tc>
          <w:tcPr>
            <w:tcW w:w="1111" w:type="dxa"/>
            <w:vAlign w:val="center"/>
          </w:tcPr>
          <w:p w14:paraId="2270C273" w14:textId="77777777" w:rsidR="003026BA" w:rsidRPr="00221759" w:rsidRDefault="003026BA" w:rsidP="000E14F7">
            <w:pPr>
              <w:autoSpaceDE w:val="0"/>
              <w:autoSpaceDN w:val="0"/>
              <w:adjustRightInd w:val="0"/>
              <w:spacing w:before="120"/>
              <w:rPr>
                <w:rFonts w:cstheme="minorHAnsi"/>
                <w:b/>
                <w:color w:val="000000"/>
                <w:sz w:val="20"/>
                <w:szCs w:val="20"/>
              </w:rPr>
            </w:pPr>
            <w:r w:rsidRPr="00221759">
              <w:rPr>
                <w:rFonts w:cstheme="minorHAnsi"/>
                <w:b/>
                <w:color w:val="000000"/>
                <w:sz w:val="20"/>
                <w:szCs w:val="20"/>
              </w:rPr>
              <w:t>Prezzo al pubblico</w:t>
            </w:r>
          </w:p>
        </w:tc>
        <w:tc>
          <w:tcPr>
            <w:tcW w:w="1701" w:type="dxa"/>
            <w:vAlign w:val="center"/>
          </w:tcPr>
          <w:p w14:paraId="5AE06D00" w14:textId="77777777" w:rsidR="003026BA" w:rsidRPr="00221759" w:rsidRDefault="003026BA" w:rsidP="000E14F7">
            <w:pPr>
              <w:autoSpaceDE w:val="0"/>
              <w:autoSpaceDN w:val="0"/>
              <w:adjustRightInd w:val="0"/>
              <w:spacing w:before="120"/>
              <w:rPr>
                <w:rFonts w:cstheme="minorHAnsi"/>
                <w:b/>
                <w:color w:val="000000"/>
                <w:sz w:val="20"/>
                <w:szCs w:val="20"/>
              </w:rPr>
            </w:pPr>
            <w:r w:rsidRPr="00221759">
              <w:rPr>
                <w:rFonts w:cstheme="minorHAnsi"/>
                <w:b/>
                <w:color w:val="000000"/>
                <w:sz w:val="20"/>
                <w:szCs w:val="20"/>
              </w:rPr>
              <w:t>Prezzo ex-factory</w:t>
            </w:r>
          </w:p>
        </w:tc>
      </w:tr>
      <w:tr w:rsidR="003026BA" w:rsidRPr="00221759" w14:paraId="48047C43" w14:textId="77777777" w:rsidTr="00EB6965">
        <w:trPr>
          <w:trHeight w:val="671"/>
          <w:jc w:val="center"/>
        </w:trPr>
        <w:tc>
          <w:tcPr>
            <w:tcW w:w="3144" w:type="dxa"/>
            <w:vAlign w:val="center"/>
          </w:tcPr>
          <w:p w14:paraId="33FBDC71" w14:textId="77777777" w:rsidR="003026BA" w:rsidRPr="00221759" w:rsidRDefault="003026BA" w:rsidP="000E14F7">
            <w:pPr>
              <w:autoSpaceDE w:val="0"/>
              <w:autoSpaceDN w:val="0"/>
              <w:adjustRightInd w:val="0"/>
              <w:spacing w:before="120"/>
              <w:rPr>
                <w:rFonts w:cstheme="minorHAnsi"/>
                <w:b/>
                <w:color w:val="000000"/>
                <w:sz w:val="20"/>
                <w:szCs w:val="20"/>
              </w:rPr>
            </w:pPr>
            <w:r w:rsidRPr="00221759">
              <w:rPr>
                <w:rFonts w:cstheme="minorHAnsi"/>
                <w:b/>
                <w:color w:val="000000"/>
                <w:sz w:val="20"/>
                <w:szCs w:val="20"/>
              </w:rPr>
              <w:t>Prezzo al lordo degli sconti di legge</w:t>
            </w:r>
          </w:p>
        </w:tc>
        <w:tc>
          <w:tcPr>
            <w:tcW w:w="1145" w:type="dxa"/>
            <w:vMerge w:val="restart"/>
            <w:vAlign w:val="center"/>
          </w:tcPr>
          <w:p w14:paraId="47F05416" w14:textId="4FAB0B3D" w:rsidR="003026BA" w:rsidRPr="00221759" w:rsidRDefault="00D80C5F" w:rsidP="000E14F7">
            <w:pPr>
              <w:autoSpaceDE w:val="0"/>
              <w:autoSpaceDN w:val="0"/>
              <w:adjustRightInd w:val="0"/>
              <w:spacing w:before="120"/>
              <w:rPr>
                <w:rFonts w:cstheme="minorHAnsi"/>
                <w:color w:val="000000"/>
                <w:sz w:val="20"/>
                <w:szCs w:val="20"/>
              </w:rPr>
            </w:pPr>
            <w:r>
              <w:rPr>
                <w:rFonts w:cstheme="minorHAnsi"/>
                <w:color w:val="000000"/>
                <w:sz w:val="20"/>
                <w:szCs w:val="20"/>
              </w:rPr>
              <w:t>30 cpr</w:t>
            </w:r>
          </w:p>
        </w:tc>
        <w:tc>
          <w:tcPr>
            <w:tcW w:w="1111" w:type="dxa"/>
            <w:vAlign w:val="center"/>
          </w:tcPr>
          <w:p w14:paraId="69D69D64" w14:textId="46A219B0" w:rsidR="003026BA" w:rsidRPr="000E64E1" w:rsidRDefault="00D80C5F" w:rsidP="000E14F7">
            <w:pPr>
              <w:autoSpaceDE w:val="0"/>
              <w:autoSpaceDN w:val="0"/>
              <w:adjustRightInd w:val="0"/>
              <w:spacing w:before="120"/>
              <w:rPr>
                <w:rFonts w:cstheme="minorHAnsi"/>
                <w:b/>
                <w:color w:val="000000"/>
                <w:sz w:val="20"/>
                <w:szCs w:val="20"/>
              </w:rPr>
            </w:pPr>
            <w:r>
              <w:rPr>
                <w:rFonts w:cstheme="minorHAnsi"/>
                <w:b/>
                <w:color w:val="000000"/>
                <w:sz w:val="20"/>
                <w:szCs w:val="20"/>
              </w:rPr>
              <w:t>46,64</w:t>
            </w:r>
          </w:p>
        </w:tc>
        <w:tc>
          <w:tcPr>
            <w:tcW w:w="1701" w:type="dxa"/>
            <w:vAlign w:val="center"/>
          </w:tcPr>
          <w:p w14:paraId="6960F784" w14:textId="53C04808" w:rsidR="003026BA" w:rsidRPr="000E64E1" w:rsidRDefault="00D80C5F" w:rsidP="000E14F7">
            <w:pPr>
              <w:autoSpaceDE w:val="0"/>
              <w:autoSpaceDN w:val="0"/>
              <w:adjustRightInd w:val="0"/>
              <w:spacing w:before="120"/>
              <w:rPr>
                <w:rFonts w:cstheme="minorHAnsi"/>
                <w:color w:val="000000"/>
                <w:sz w:val="20"/>
                <w:szCs w:val="20"/>
              </w:rPr>
            </w:pPr>
            <w:r>
              <w:rPr>
                <w:rFonts w:cstheme="minorHAnsi"/>
                <w:color w:val="000000"/>
                <w:sz w:val="20"/>
                <w:szCs w:val="20"/>
              </w:rPr>
              <w:t>28,26</w:t>
            </w:r>
          </w:p>
        </w:tc>
      </w:tr>
      <w:tr w:rsidR="003026BA" w:rsidRPr="00221759" w14:paraId="10911F8A" w14:textId="77777777" w:rsidTr="00EB6965">
        <w:trPr>
          <w:trHeight w:val="559"/>
          <w:jc w:val="center"/>
        </w:trPr>
        <w:tc>
          <w:tcPr>
            <w:tcW w:w="3144" w:type="dxa"/>
            <w:vAlign w:val="center"/>
          </w:tcPr>
          <w:p w14:paraId="6F1FF319" w14:textId="77777777" w:rsidR="003026BA" w:rsidRPr="00221759" w:rsidRDefault="003026BA" w:rsidP="000E14F7">
            <w:pPr>
              <w:autoSpaceDE w:val="0"/>
              <w:autoSpaceDN w:val="0"/>
              <w:adjustRightInd w:val="0"/>
              <w:spacing w:before="120"/>
              <w:rPr>
                <w:rFonts w:cstheme="minorHAnsi"/>
                <w:b/>
                <w:color w:val="000000"/>
                <w:sz w:val="20"/>
                <w:szCs w:val="20"/>
              </w:rPr>
            </w:pPr>
            <w:r w:rsidRPr="00221759">
              <w:rPr>
                <w:rFonts w:cstheme="minorHAnsi"/>
                <w:b/>
                <w:color w:val="000000"/>
                <w:sz w:val="20"/>
                <w:szCs w:val="20"/>
              </w:rPr>
              <w:t>Prezzo al netto degli sconti di legge</w:t>
            </w:r>
          </w:p>
        </w:tc>
        <w:tc>
          <w:tcPr>
            <w:tcW w:w="1145" w:type="dxa"/>
            <w:vMerge/>
            <w:vAlign w:val="center"/>
          </w:tcPr>
          <w:p w14:paraId="37BE0157" w14:textId="77777777" w:rsidR="003026BA" w:rsidRPr="00221759" w:rsidRDefault="003026BA" w:rsidP="000E14F7">
            <w:pPr>
              <w:autoSpaceDE w:val="0"/>
              <w:autoSpaceDN w:val="0"/>
              <w:adjustRightInd w:val="0"/>
              <w:spacing w:before="120"/>
              <w:rPr>
                <w:rFonts w:cstheme="minorHAnsi"/>
                <w:b/>
                <w:color w:val="000000"/>
                <w:sz w:val="20"/>
                <w:szCs w:val="20"/>
              </w:rPr>
            </w:pPr>
          </w:p>
        </w:tc>
        <w:tc>
          <w:tcPr>
            <w:tcW w:w="1111" w:type="dxa"/>
            <w:vAlign w:val="center"/>
          </w:tcPr>
          <w:p w14:paraId="0F4638CE" w14:textId="1298459B" w:rsidR="003026BA" w:rsidRPr="006F3C71" w:rsidRDefault="00D80C5F" w:rsidP="000E14F7">
            <w:pPr>
              <w:autoSpaceDE w:val="0"/>
              <w:autoSpaceDN w:val="0"/>
              <w:adjustRightInd w:val="0"/>
              <w:spacing w:before="120"/>
              <w:rPr>
                <w:rFonts w:cstheme="minorHAnsi"/>
                <w:b/>
                <w:color w:val="000000"/>
                <w:sz w:val="20"/>
                <w:szCs w:val="20"/>
              </w:rPr>
            </w:pPr>
            <w:r>
              <w:rPr>
                <w:rFonts w:cstheme="minorHAnsi"/>
                <w:b/>
                <w:color w:val="000000"/>
                <w:sz w:val="20"/>
                <w:szCs w:val="20"/>
              </w:rPr>
              <w:t>42,09</w:t>
            </w:r>
          </w:p>
        </w:tc>
        <w:tc>
          <w:tcPr>
            <w:tcW w:w="1701" w:type="dxa"/>
            <w:vAlign w:val="center"/>
          </w:tcPr>
          <w:p w14:paraId="13FDF448" w14:textId="76B317F5" w:rsidR="003026BA" w:rsidRPr="00221759" w:rsidRDefault="00D80C5F" w:rsidP="000E14F7">
            <w:pPr>
              <w:autoSpaceDE w:val="0"/>
              <w:autoSpaceDN w:val="0"/>
              <w:adjustRightInd w:val="0"/>
              <w:spacing w:before="120"/>
              <w:rPr>
                <w:rFonts w:cstheme="minorHAnsi"/>
                <w:color w:val="000000"/>
                <w:sz w:val="20"/>
                <w:szCs w:val="20"/>
              </w:rPr>
            </w:pPr>
            <w:r>
              <w:rPr>
                <w:rFonts w:cstheme="minorHAnsi"/>
                <w:color w:val="000000"/>
                <w:sz w:val="20"/>
                <w:szCs w:val="20"/>
              </w:rPr>
              <w:t>25,50</w:t>
            </w:r>
          </w:p>
        </w:tc>
      </w:tr>
    </w:tbl>
    <w:p w14:paraId="2FC6FA22" w14:textId="77777777" w:rsidR="005C6338" w:rsidRPr="00221759" w:rsidRDefault="005C6338" w:rsidP="00E76698">
      <w:pPr>
        <w:spacing w:line="360" w:lineRule="auto"/>
        <w:jc w:val="both"/>
        <w:rPr>
          <w:rFonts w:cs="Arial"/>
          <w:sz w:val="20"/>
          <w:szCs w:val="20"/>
        </w:rPr>
      </w:pPr>
    </w:p>
    <w:p w14:paraId="09DC5DAD" w14:textId="77777777" w:rsidR="00FF631E" w:rsidRDefault="00FF631E" w:rsidP="00F05DF2">
      <w:pPr>
        <w:autoSpaceDE w:val="0"/>
        <w:autoSpaceDN w:val="0"/>
        <w:adjustRightInd w:val="0"/>
        <w:spacing w:line="360" w:lineRule="auto"/>
        <w:jc w:val="both"/>
        <w:rPr>
          <w:rFonts w:cs="Calibri"/>
          <w:color w:val="000000"/>
          <w:sz w:val="20"/>
          <w:szCs w:val="20"/>
        </w:rPr>
      </w:pPr>
    </w:p>
    <w:p w14:paraId="78F1EE5C" w14:textId="77777777" w:rsidR="00491D63" w:rsidRDefault="00491D63">
      <w:pPr>
        <w:rPr>
          <w:rFonts w:cs="Calibri"/>
          <w:color w:val="000000"/>
          <w:sz w:val="20"/>
          <w:szCs w:val="20"/>
        </w:rPr>
      </w:pPr>
      <w:r>
        <w:rPr>
          <w:rFonts w:cs="Calibri"/>
          <w:color w:val="000000"/>
          <w:sz w:val="20"/>
          <w:szCs w:val="20"/>
        </w:rPr>
        <w:br w:type="page"/>
      </w:r>
    </w:p>
    <w:p w14:paraId="7787EDAD" w14:textId="55C19DB3" w:rsidR="00F05DF2" w:rsidRDefault="000E2289" w:rsidP="00825BD3">
      <w:pPr>
        <w:pStyle w:val="Heading1"/>
        <w:numPr>
          <w:ilvl w:val="0"/>
          <w:numId w:val="40"/>
        </w:numPr>
        <w:ind w:left="567" w:hanging="567"/>
        <w:rPr>
          <w:rFonts w:asciiTheme="minorHAnsi" w:hAnsiTheme="minorHAnsi" w:cstheme="minorHAnsi"/>
          <w:sz w:val="20"/>
        </w:rPr>
      </w:pPr>
      <w:bookmarkStart w:id="247" w:name="_Toc439456128"/>
      <w:bookmarkStart w:id="248" w:name="_Toc473184586"/>
      <w:r w:rsidRPr="00BE5C44">
        <w:rPr>
          <w:rFonts w:asciiTheme="minorHAnsi" w:hAnsiTheme="minorHAnsi" w:cstheme="minorHAnsi"/>
          <w:sz w:val="20"/>
        </w:rPr>
        <w:t>Bibliografia</w:t>
      </w:r>
      <w:bookmarkEnd w:id="247"/>
      <w:bookmarkEnd w:id="248"/>
      <w:r w:rsidRPr="00BE5C44">
        <w:rPr>
          <w:rFonts w:asciiTheme="minorHAnsi" w:hAnsiTheme="minorHAnsi" w:cstheme="minorHAnsi"/>
          <w:sz w:val="20"/>
        </w:rPr>
        <w:t xml:space="preserve"> </w:t>
      </w:r>
    </w:p>
    <w:p w14:paraId="7E7EA366" w14:textId="77777777" w:rsidR="00BF7971" w:rsidRPr="00B959C1" w:rsidRDefault="00BF7971" w:rsidP="00B959C1"/>
    <w:p w14:paraId="4874A7E1" w14:textId="77777777" w:rsidR="0031593C" w:rsidRPr="0031593C" w:rsidRDefault="0031593C" w:rsidP="0031593C">
      <w:pPr>
        <w:spacing w:line="360" w:lineRule="auto"/>
        <w:jc w:val="both"/>
        <w:rPr>
          <w:rFonts w:ascii="Calibri" w:eastAsia="Times New Roman" w:hAnsi="Calibri" w:cs="Arial"/>
          <w:sz w:val="20"/>
          <w:szCs w:val="20"/>
        </w:rPr>
      </w:pPr>
      <w:r w:rsidRPr="0031593C">
        <w:rPr>
          <w:rFonts w:ascii="Calibri" w:eastAsia="Times New Roman" w:hAnsi="Calibri" w:cs="Arial"/>
          <w:sz w:val="20"/>
          <w:szCs w:val="20"/>
        </w:rPr>
        <w:t>La seguente bibliografia è disponibile su richiesta.</w:t>
      </w:r>
    </w:p>
    <w:p w14:paraId="3E59456B"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 xml:space="preserve">European Medicines Agency. Summary of product characterstics: Lesinurad. Available at: </w:t>
      </w:r>
      <w:hyperlink r:id="rId74" w:history="1">
        <w:r w:rsidRPr="0031593C">
          <w:rPr>
            <w:rFonts w:ascii="Calibri" w:eastAsia="Times New Roman" w:hAnsi="Calibri" w:cs="Arial"/>
            <w:color w:val="0000FF"/>
            <w:sz w:val="20"/>
            <w:szCs w:val="20"/>
            <w:u w:val="single"/>
            <w:lang w:val="en-US"/>
          </w:rPr>
          <w:t>http://www.ema.europa.eu/docs/en_GB/document_library/EPAR_-_Product_Information/human/003932/WC500203066.pdf</w:t>
        </w:r>
      </w:hyperlink>
      <w:r w:rsidRPr="0031593C">
        <w:rPr>
          <w:rFonts w:ascii="Calibri" w:eastAsia="Times New Roman" w:hAnsi="Calibri" w:cs="Arial"/>
          <w:sz w:val="20"/>
          <w:szCs w:val="20"/>
          <w:lang w:val="en-US"/>
        </w:rPr>
        <w:t>.</w:t>
      </w:r>
    </w:p>
    <w:p w14:paraId="01C8FC2E" w14:textId="77777777" w:rsidR="0031593C" w:rsidRPr="0031593C" w:rsidRDefault="0031593C" w:rsidP="00825BD3">
      <w:pPr>
        <w:numPr>
          <w:ilvl w:val="0"/>
          <w:numId w:val="54"/>
        </w:numPr>
        <w:contextualSpacing/>
        <w:rPr>
          <w:rFonts w:ascii="Calibri" w:eastAsia="Times New Roman" w:hAnsi="Calibri" w:cs="Arial"/>
          <w:sz w:val="20"/>
          <w:szCs w:val="20"/>
          <w:lang w:val="en-US"/>
        </w:rPr>
      </w:pPr>
      <w:bookmarkStart w:id="249" w:name="_ENREF_52"/>
      <w:r w:rsidRPr="0031593C">
        <w:rPr>
          <w:rFonts w:ascii="Calibri" w:eastAsia="Times New Roman" w:hAnsi="Calibri" w:cs="Arial"/>
          <w:sz w:val="20"/>
          <w:szCs w:val="20"/>
          <w:lang w:val="en-US"/>
        </w:rPr>
        <w:t>Keenan R, Nowatzky J, Pillinger M. Etiology and pathogenesis of hyperuricemia and gout. In Firestein GS, Budd RC, Gabriel SE, et al: Kelley's textbook of rheumatology. Elsevier Saunders. 2013;94:1533-53.</w:t>
      </w:r>
      <w:bookmarkEnd w:id="249"/>
    </w:p>
    <w:p w14:paraId="167F302E"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Tan PK et al. Mechanism of high affinity inhibition of the human urate transporter URAT1 Sci Rep. 2016 Oct 7;6:34995</w:t>
      </w:r>
    </w:p>
    <w:p w14:paraId="2868026C"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Miner JN, Tan PK, Hyndman D, Liu S, Iverson C, Nanavati P, et al. Lesinurad, a novel, oral compound for gout, acts to decrease serum uric acid through inhibition of urate transporters in the kidney. Arthritis research &amp; therapy. 2016;18(1):214</w:t>
      </w:r>
    </w:p>
    <w:p w14:paraId="3931AC12"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Shen Z et al In Vitro and In Vivo Interaction Studies Between Lesinurad, a Selective Urate Reabsorption Inhibitor, and Major Liver or Kidney Transporters</w:t>
      </w:r>
      <w:r w:rsidRPr="0031593C">
        <w:rPr>
          <w:rFonts w:ascii="Calibri" w:eastAsia="Times New Roman" w:hAnsi="Calibri" w:cs="Arial"/>
          <w:sz w:val="20"/>
          <w:szCs w:val="20"/>
          <w:lang w:val="de-DE"/>
        </w:rPr>
        <w:t xml:space="preserve"> </w:t>
      </w:r>
      <w:r w:rsidRPr="0031593C">
        <w:rPr>
          <w:rFonts w:ascii="Calibri" w:eastAsia="Times New Roman" w:hAnsi="Calibri" w:cs="Arial"/>
          <w:sz w:val="20"/>
          <w:szCs w:val="20"/>
          <w:lang w:val="en-US"/>
        </w:rPr>
        <w:t>Clin Drug Investig (2016) 36:443–452</w:t>
      </w:r>
    </w:p>
    <w:p w14:paraId="41A30947"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Richette P, Doherty M, Pascual E, Barskova V, Becce F, Castañeda-Sanabria J, et al. 2016 updated EULAR evidence-based recommendations for the management of gout. Annals of the rheumatic diseases. 2016:annrheumdis-2016-209707.</w:t>
      </w:r>
    </w:p>
    <w:p w14:paraId="26A7C15C"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rPr>
        <w:t xml:space="preserve">Manara M, Bortoluzzi A, Favero M, Prevete I, Scirè CA, Bianchi G, et al. </w:t>
      </w:r>
      <w:r w:rsidRPr="0031593C">
        <w:rPr>
          <w:rFonts w:ascii="Calibri" w:eastAsia="Times New Roman" w:hAnsi="Calibri" w:cs="Arial"/>
          <w:sz w:val="20"/>
          <w:szCs w:val="20"/>
          <w:lang w:val="en-US"/>
        </w:rPr>
        <w:t>Italian Society of Rheumatology recommendations for the management of gout. Reumatismo. 2013;65(1):4-21.</w:t>
      </w:r>
    </w:p>
    <w:p w14:paraId="0CB1B4BA"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Burns CM, Wortmann RL. Kelley's Textbook of Rheumatology (Ninth edition). Philadelphia: Elsevier Saunders; 2013.</w:t>
      </w:r>
    </w:p>
    <w:p w14:paraId="186EEFEE"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Perez-Ruiz F, Martinez-Indart L, Carmona L, Herrero-Beites AM, Pijoan JI, Krishnan E. Tophaceous gout and high level of hyperuricaemia are both associated with increased risk of mortality in patients with gout. Ann Rheum Dis. 2014 Jan;73(1):177-82.</w:t>
      </w:r>
    </w:p>
    <w:p w14:paraId="72F74550"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iCs/>
          <w:sz w:val="20"/>
          <w:szCs w:val="20"/>
          <w:lang w:val="en-US"/>
        </w:rPr>
        <w:t>Doghrami PP et al Management of gout in the real world: current practice versus guideline recommendations 2016 Postgraduate Medicine, 128:1, 106-114</w:t>
      </w:r>
    </w:p>
    <w:p w14:paraId="132B15B0" w14:textId="1E4EB051" w:rsidR="0031593C" w:rsidRPr="0031593C" w:rsidRDefault="009752F0" w:rsidP="00825BD3">
      <w:pPr>
        <w:numPr>
          <w:ilvl w:val="0"/>
          <w:numId w:val="54"/>
        </w:numPr>
        <w:contextualSpacing/>
        <w:rPr>
          <w:rFonts w:ascii="Calibri" w:eastAsia="Times New Roman" w:hAnsi="Calibri" w:cs="Arial"/>
          <w:sz w:val="20"/>
          <w:szCs w:val="20"/>
          <w:lang w:val="en-US"/>
        </w:rPr>
      </w:pPr>
      <w:r>
        <w:rPr>
          <w:rFonts w:ascii="Calibri" w:eastAsia="Times New Roman" w:hAnsi="Calibri" w:cs="Arial"/>
          <w:sz w:val="20"/>
          <w:szCs w:val="20"/>
          <w:lang w:val="en-US"/>
        </w:rPr>
        <w:t>Perez-Ruiz</w:t>
      </w:r>
      <w:r w:rsidR="0031593C" w:rsidRPr="0031593C">
        <w:rPr>
          <w:rFonts w:ascii="Calibri" w:eastAsia="Times New Roman" w:hAnsi="Calibri" w:cs="Arial"/>
          <w:sz w:val="20"/>
          <w:szCs w:val="20"/>
          <w:lang w:val="en-US"/>
        </w:rPr>
        <w:t xml:space="preserve"> F. A Review of Uric Acid, Crystal Deposition Disease, and Gout Adv Ther (2015) 32:31–41</w:t>
      </w:r>
    </w:p>
    <w:p w14:paraId="76EBAB92"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Tatlock S. What Outcomes are Important for Gout Patients? In-Depth Qualitative Research into the Gout Patient Experience to Determine Optimal Endpoints for Evaluating Therapeutic Interventions</w:t>
      </w:r>
      <w:r w:rsidRPr="0031593C">
        <w:rPr>
          <w:rFonts w:ascii="Calibri" w:eastAsia="Times New Roman" w:hAnsi="Calibri" w:cs="Arial"/>
          <w:sz w:val="20"/>
          <w:szCs w:val="20"/>
          <w:lang w:val="de-DE"/>
        </w:rPr>
        <w:t xml:space="preserve">  </w:t>
      </w:r>
      <w:r w:rsidRPr="0031593C">
        <w:rPr>
          <w:rFonts w:ascii="Calibri" w:eastAsia="Times New Roman" w:hAnsi="Calibri" w:cs="Arial"/>
          <w:sz w:val="20"/>
          <w:szCs w:val="20"/>
          <w:lang w:val="en-US"/>
        </w:rPr>
        <w:t>Patient (2016) 1-15.</w:t>
      </w:r>
    </w:p>
    <w:p w14:paraId="4A21E771"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Harrold LR</w:t>
      </w:r>
      <w:r w:rsidRPr="0031593C">
        <w:rPr>
          <w:rFonts w:ascii="Calibri" w:eastAsia="Times New Roman" w:hAnsi="Calibri" w:cs="Arial"/>
          <w:sz w:val="20"/>
          <w:szCs w:val="20"/>
          <w:lang w:val="de-DE"/>
        </w:rPr>
        <w:t xml:space="preserve"> </w:t>
      </w:r>
      <w:r w:rsidRPr="0031593C">
        <w:rPr>
          <w:rFonts w:ascii="Calibri" w:eastAsia="Times New Roman" w:hAnsi="Calibri" w:cs="Arial"/>
          <w:sz w:val="20"/>
          <w:szCs w:val="20"/>
          <w:lang w:val="en-US"/>
        </w:rPr>
        <w:t>Primary care providers’ knowledge, beliefs and treatment practices for gout: results of a physician questionnaire</w:t>
      </w:r>
      <w:r w:rsidRPr="0031593C">
        <w:rPr>
          <w:rFonts w:ascii="Calibri" w:eastAsia="Times New Roman" w:hAnsi="Calibri" w:cs="Arial"/>
          <w:sz w:val="20"/>
          <w:szCs w:val="20"/>
          <w:lang w:val="de-DE"/>
        </w:rPr>
        <w:t xml:space="preserve"> </w:t>
      </w:r>
      <w:r w:rsidRPr="0031593C">
        <w:rPr>
          <w:rFonts w:ascii="Calibri" w:eastAsia="Times New Roman" w:hAnsi="Calibri" w:cs="Arial"/>
          <w:sz w:val="20"/>
          <w:szCs w:val="20"/>
          <w:lang w:val="en-US"/>
        </w:rPr>
        <w:t>Rheumatology 2013;52:16231629</w:t>
      </w:r>
    </w:p>
    <w:p w14:paraId="11B8A701"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Terkeltaub R, Edwards NL. Chapter 7. In: Terkeltaub R, Edwards NL (eds). Gout: Diagnosis and Management of Gouty Arthritis and Hyperuricemia (Third edition). Oklahoma: Professional Communications, Inc, 2013</w:t>
      </w:r>
    </w:p>
    <w:p w14:paraId="73EB99BE" w14:textId="77777777" w:rsidR="0031593C" w:rsidRPr="0031593C" w:rsidRDefault="0031593C" w:rsidP="00825BD3">
      <w:pPr>
        <w:numPr>
          <w:ilvl w:val="0"/>
          <w:numId w:val="54"/>
        </w:numPr>
        <w:contextualSpacing/>
        <w:rPr>
          <w:rFonts w:ascii="Calibri" w:eastAsia="Times New Roman" w:hAnsi="Calibri" w:cs="Arial"/>
          <w:iCs/>
          <w:sz w:val="20"/>
          <w:szCs w:val="20"/>
          <w:lang w:val="en-US"/>
        </w:rPr>
      </w:pPr>
      <w:r w:rsidRPr="0031593C">
        <w:rPr>
          <w:rFonts w:ascii="Calibri" w:eastAsia="Times New Roman" w:hAnsi="Calibri" w:cs="Arial"/>
          <w:iCs/>
          <w:sz w:val="20"/>
          <w:szCs w:val="20"/>
          <w:lang w:val="en-US"/>
        </w:rPr>
        <w:t>Wertheimer A, Morlock R, Becker M. A revised estimate of the burden of illness of gout. Current Therapeutic Research. 2013;75:1-4.</w:t>
      </w:r>
    </w:p>
    <w:p w14:paraId="3075F9B2"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Dalbeth N, Clark B, Gregory K, et al. Mechanisms of bone erosion in gout: a quantitative analysis using plain radiography and computed tomography. Ann Rheum Dis. 2009;68(8):1290-1295.</w:t>
      </w:r>
    </w:p>
    <w:p w14:paraId="38F8FC41"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Shoji A, Yamanaka H, Kamatani N. A retrospective study of the relationship between serum urate level and recurrent attacks of gouty arthritis: evidence for reduction of recurrent gouty arthritis with antihyperuricemic therapy. Arthritis care &amp; research. 2004;51(3):321-5.</w:t>
      </w:r>
    </w:p>
    <w:p w14:paraId="42F2143E" w14:textId="5AB0AF8C" w:rsidR="0031593C" w:rsidRPr="0031593C" w:rsidRDefault="009752F0" w:rsidP="00825BD3">
      <w:pPr>
        <w:numPr>
          <w:ilvl w:val="0"/>
          <w:numId w:val="54"/>
        </w:numPr>
        <w:contextualSpacing/>
        <w:rPr>
          <w:rFonts w:ascii="Calibri" w:eastAsia="Times New Roman" w:hAnsi="Calibri" w:cs="Arial"/>
          <w:sz w:val="20"/>
          <w:szCs w:val="20"/>
          <w:lang w:val="en-US"/>
        </w:rPr>
      </w:pPr>
      <w:r>
        <w:rPr>
          <w:rFonts w:ascii="Calibri" w:eastAsia="Times New Roman" w:hAnsi="Calibri" w:cs="Arial"/>
          <w:sz w:val="20"/>
          <w:szCs w:val="20"/>
          <w:lang w:val="en-US"/>
        </w:rPr>
        <w:t>Perez-Ruiz</w:t>
      </w:r>
      <w:r w:rsidR="0031593C" w:rsidRPr="0031593C">
        <w:rPr>
          <w:rFonts w:ascii="Calibri" w:eastAsia="Times New Roman" w:hAnsi="Calibri" w:cs="Arial"/>
          <w:sz w:val="20"/>
          <w:szCs w:val="20"/>
          <w:lang w:val="en-US"/>
        </w:rPr>
        <w:t xml:space="preserve"> F.  A Two-Stage Approach to the Treatment of Hyperuricemia in Gout: The “Dirty Dish” Hypothesis Arthritis &amp; Rheumatism Vol. 63, No. 12, December 2011, pp 4002–4006</w:t>
      </w:r>
    </w:p>
    <w:p w14:paraId="5BFF6510"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Park JJ, Roudier MP, Soman D, et al. Prevalence of birefringent crystals in cardiac and prostatic tissues, an observational study. BMJ Open. 2014;4:e005308. doi: 10.1136/bmjopen-2014-005308</w:t>
      </w:r>
    </w:p>
    <w:p w14:paraId="6FD50F25"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rPr>
        <w:t xml:space="preserve">Trifirò G, Morabito P, Cavagna L, Ferrajolo C, Pecchioli S, Simonetti M, et al. </w:t>
      </w:r>
      <w:r w:rsidRPr="0031593C">
        <w:rPr>
          <w:rFonts w:ascii="Calibri" w:eastAsia="Times New Roman" w:hAnsi="Calibri" w:cs="Arial"/>
          <w:sz w:val="20"/>
          <w:szCs w:val="20"/>
          <w:lang w:val="en-US"/>
        </w:rPr>
        <w:t>Epidemiology of gout and hyperuricaemia in Italy during the years 2005–2009: a nationwide population-based study. Annals of the rheumatic diseases. 2012:annrheumdis-2011-201254</w:t>
      </w:r>
    </w:p>
    <w:p w14:paraId="5BB2F3B4"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Choi HK, Curhan G. Independent impact of gout on mortality and risk for coronary heart disease. Circulation. 2007;116(8):894-900.</w:t>
      </w:r>
    </w:p>
    <w:p w14:paraId="7B3C2491"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Kuo C-F, Yu K-H, See L-C, Chou I-J, Tseng W-Y, Chang H-C, et al. Elevated risk of mortality among gout patients: a comparison with the national population in Taiwan. Joint Bone Spine. 2011;78(6):577-80.</w:t>
      </w:r>
    </w:p>
    <w:p w14:paraId="4D53C942"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Stack A, Hanley A, Casserly L, Cronin C, Abdalla A, Kiernan T, et al. Independent and conjoint associations of gout and hyperuricaemia with total and cardiovascular mortality. Qjm. 2013;106(7):647-58.</w:t>
      </w:r>
    </w:p>
    <w:p w14:paraId="225CC91D"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Ioachimescu AG, Brennan DM, Hoar BM, Hazen SL, Hoogwerf BJ. Serum uric acid is an independent predictor of all-cause mortality in patients at high risk of cardiovascular disease: a preventive cardiology information system (PreCIS) database cohort study. Arthritis Rheum. 2008 Feb;58(2):623-30.</w:t>
      </w:r>
    </w:p>
    <w:p w14:paraId="5C9C12BC"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Kleber ME, Delgado G, Grammer TB, Silbernagel G, Huang J, Kramer BK, et al. Uric Acid and Cardiovascular Events: A Mendelian Randomization Study. J Am Soc Nephrol. 2015 Nov;26(11):2831-8.</w:t>
      </w:r>
    </w:p>
    <w:p w14:paraId="6A878EC9"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Niskanen LK, Laaksonen DE, Nyyssonen K, Alfthan G, Lakka HM, Lakka TA, et al. Uric acid level as a risk factor for cardiovascular and all-cause mortality in middle-aged men: a prospective cohort study. Arch Intern Med. 2004 Jul 26;164(14):1546-51.</w:t>
      </w:r>
    </w:p>
    <w:p w14:paraId="6D7DA2B6"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Chen J-H, Lan J-L, Cheng C-F, Liang W-M, Lin H-Y, Tsay GJ, et al. Effect of urate-lowering therapy on all-cause and cardiovascular mortality in hyperuricemic patients without Gout: A case-matched cohort study. PloS one. 2015;10(12):e0145193.</w:t>
      </w:r>
    </w:p>
    <w:p w14:paraId="07D81D53"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rPr>
        <w:t xml:space="preserve">Scirè CA, Manara M, Cimmino MA, Govoni M, Salaffi F, Punzi L, et al. </w:t>
      </w:r>
      <w:r w:rsidRPr="0031593C">
        <w:rPr>
          <w:rFonts w:ascii="Calibri" w:eastAsia="Times New Roman" w:hAnsi="Calibri" w:cs="Arial"/>
          <w:sz w:val="20"/>
          <w:szCs w:val="20"/>
          <w:lang w:val="en-US"/>
        </w:rPr>
        <w:t xml:space="preserve">Gout impacts on function and health-related quality of life beyond associated risk factors and medical conditions: results from the KING observational study of the Italian Society for Rheumatology (SIR). </w:t>
      </w:r>
      <w:r w:rsidRPr="0031593C">
        <w:rPr>
          <w:rFonts w:ascii="Calibri" w:eastAsia="Times New Roman" w:hAnsi="Calibri" w:cs="Arial"/>
          <w:sz w:val="20"/>
          <w:szCs w:val="20"/>
        </w:rPr>
        <w:t>Arthritis Res Ther. 2013;15(5):101.</w:t>
      </w:r>
    </w:p>
    <w:p w14:paraId="08E9C0B6"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Khanna PP, Nuki G, Bardin T, Tausche A-K, Forsythe A, Goren A, et al. Tophi and frequent gout flares are associated with impairments to quality of life, productivity, and increased healthcare resource use: Results from a cross-sectional survey. Health and quality of life outcomes. 2012;10(1):117.</w:t>
      </w:r>
    </w:p>
    <w:p w14:paraId="0A92CB81"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Lee SJ, Hirsch JD, Terkeltaub R, Khanna D, Singh JA, Sarkin A, et al. Perceptions of disease and health-related quality of life among patients with gout. Rheumatology. 2009;48(5):582-6.</w:t>
      </w:r>
    </w:p>
    <w:p w14:paraId="3C95CEFB"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Roddy E, Zhang W, Doherty M. Is gout associated with reduced quality of life? A case-control study. Rheumatology. 2007;46(9):1441-4.</w:t>
      </w:r>
    </w:p>
    <w:p w14:paraId="5A325916"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rPr>
        <w:t xml:space="preserve">Rai SK, Burns LC, De Vera MA, Haji A, Giustini D, Choi HK. </w:t>
      </w:r>
      <w:r w:rsidRPr="0031593C">
        <w:rPr>
          <w:rFonts w:ascii="Calibri" w:eastAsia="Times New Roman" w:hAnsi="Calibri" w:cs="Arial"/>
          <w:sz w:val="20"/>
          <w:szCs w:val="20"/>
          <w:lang w:val="en-US"/>
        </w:rPr>
        <w:t>The economic burden of gout: A systematic review. Semin Arthritis Rheum. 2015 Aug;45(1):75-80.</w:t>
      </w:r>
    </w:p>
    <w:p w14:paraId="58907C07"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Zhu Y, Pandya BJ, Choi HK. Prevalence of gout and hyperuricemia in the US general population: the National Health and Nutrition Examination Survey 2007–2008. Arthritis &amp; Rheumatism. 2011;63(10):3136-41.</w:t>
      </w:r>
    </w:p>
    <w:p w14:paraId="39F30CFB"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rPr>
        <w:t xml:space="preserve">Richette P, Bardin T. Gout Lancet. </w:t>
      </w:r>
      <w:r w:rsidRPr="0031593C">
        <w:rPr>
          <w:rFonts w:ascii="Calibri" w:eastAsia="Times New Roman" w:hAnsi="Calibri" w:cs="Arial"/>
          <w:sz w:val="20"/>
          <w:szCs w:val="20"/>
          <w:lang w:val="en-US"/>
        </w:rPr>
        <w:t>2010 Jan 23;375(9711):318-28</w:t>
      </w:r>
    </w:p>
    <w:p w14:paraId="3C45DD5D"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Boss GR, Seegmiller JE. Hyperuricemia and gout: classification, complications and management. New England Journal of Medicine. 1979;300(26):1459-68.</w:t>
      </w:r>
    </w:p>
    <w:p w14:paraId="5F4A0D01"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Becker MA, Schumacher HR, Jr., Wortmann RL, MacDonald PA, Eustace D, Palo WA, et al. Febuxostat compared with allopurinol in patients with hyperuricemia and gout. N Engl J Med. 2005 Dec 8;353(23):2450-61.</w:t>
      </w:r>
    </w:p>
    <w:p w14:paraId="36E1BF7F"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Becker MA, Schumacher HR, MacDONALD PA, Lloyd E, Lademacher C. Clinical efficacy and safety of successful longterm urate lowering with febuxostat or allopurinol in subjects with gout. The Journal of rheumatology. 2009;36(6):1273-82.</w:t>
      </w:r>
    </w:p>
    <w:p w14:paraId="0D7C46B4"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Becker MA, Schumacher HR, Espinoza LR, Wells AF, MacDonald P, Lloyd E, et al. The urate-lowering efficacy and safety of febuxostat in the treatment of the hyperuricemia of gout: the CONFIRMS trial. Arthritis Res Ther. 2010;12(2):R63.</w:t>
      </w:r>
    </w:p>
    <w:p w14:paraId="73B11984"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Schumacher HR, Becker MA, Wortmann RL, Macdonald PA, Hunt B, Streit J, et al. Effects of febuxostat versus allopurinol and placebo in reducing serum urate in subjects with hyperuricemia and gout: a 28-week, phase III, randomized, double-blind, parallel-group trial. Arthritis Rheum. 2008 Nov 15;59(11):1540-8.</w:t>
      </w:r>
    </w:p>
    <w:p w14:paraId="6C2CCAA5"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Becker MA, Fitz-Patrick D, Choi HK, Dalbeth N, Storgard C, Cravets M, et al. An open-label, 6-month study of allopurinol safety in gout: The LASSO study. Semin Arthritis Rheum. 2015 Oct;45(2):174-83.</w:t>
      </w:r>
    </w:p>
    <w:p w14:paraId="0D671926"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IMS Health longitudinal Patient Database. Gout Patients analysis, GPs in Italy MAT June 2016.</w:t>
      </w:r>
    </w:p>
    <w:p w14:paraId="473C8E5C"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 xml:space="preserve">European Medicines Agency. European Public Assessment Report: Lesinurad. Available at: </w:t>
      </w:r>
      <w:hyperlink r:id="rId75" w:history="1">
        <w:r w:rsidRPr="0031593C">
          <w:rPr>
            <w:rFonts w:ascii="Calibri" w:eastAsia="Times New Roman" w:hAnsi="Calibri" w:cs="Times New Roman"/>
            <w:color w:val="0000FF"/>
            <w:sz w:val="20"/>
            <w:szCs w:val="20"/>
            <w:u w:val="single"/>
            <w:lang w:val="en-US"/>
          </w:rPr>
          <w:t>http://www.ema.europa.eu/docs/en_GB/document_library/EPAR_-_Public_assessment_report/human/003932/WC500203069.pdf</w:t>
        </w:r>
      </w:hyperlink>
    </w:p>
    <w:p w14:paraId="792E4B2A"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Choi HJ, Lee YJ, Park JJ, et al. The effect of low-dose aspirin on serum and urinary uric acid levels in gouty arthritis patients. The Journal of the Korean Rheumatism Association. 2006;13(3):203-208.</w:t>
      </w:r>
    </w:p>
    <w:p w14:paraId="0006921B"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Rosch PJ, Sturman MF. Thiazides and hyperuricaemia. Br Med J. 1962;1(5272):185-186.</w:t>
      </w:r>
    </w:p>
    <w:p w14:paraId="171FD56D"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Hasannejad H, Takeda M, Taki K, et al. Interactions of human organic anion transporters with diuretics. J Pharmacol Exp Ther. 2004;308(3):1021-1029.</w:t>
      </w:r>
    </w:p>
    <w:p w14:paraId="3B4B723E"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Doghramji PP, Wortmann RL. Hyperuricemia and gout: new concepts in diagnosis and management. Postgraduate medicine. 2012;124(6):98-109.</w:t>
      </w:r>
    </w:p>
    <w:p w14:paraId="586A8C22"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Doherty M, Jansen TL, Nuki G, Pascual E, Perez-Ruiz F, Punzi L, et al. Gout: why is this curable disease so seldom cured? Annals of the rheumatic diseases. 2012;71(11):1765-70.</w:t>
      </w:r>
    </w:p>
    <w:p w14:paraId="0A8ED34A"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Elliot AJ, Cross KW, Fleming DM. Seasonality and trends in the incidence and prevalence of gout in England and Wales 1994–2007. Annals of the rheumatic diseases. 2009;68(11):1728-33.</w:t>
      </w:r>
    </w:p>
    <w:p w14:paraId="244C76AE"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Hakoda M. Recent Trends in Hyperuricemia and Gout in Japan. Japan Medical Association journal: JMAJ. 2012;55(4):319-23.</w:t>
      </w:r>
    </w:p>
    <w:p w14:paraId="2471BEEA"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Mikuls T, Farrar J, Bilker W, Fernandes S, Schumacher H, Saag K. Gout epidemiology: results from the UK general practice research database, 1990–1999. Annals of the rheumatic diseases. 2005;64(2):267-72.</w:t>
      </w:r>
    </w:p>
    <w:p w14:paraId="3AB5D859"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Kuo C-F, Grainge MJ, Mallen C, Zhang W, Doherty M. Rising burden of gout in the UK but continuing suboptimal management: a nationwide population study. Annals of the rheumatic diseases. 2014:annrheumdis-2013-204463.</w:t>
      </w:r>
    </w:p>
    <w:p w14:paraId="6D3990CA" w14:textId="77777777" w:rsidR="0031593C" w:rsidRPr="0031593C" w:rsidRDefault="0031593C" w:rsidP="00825BD3">
      <w:pPr>
        <w:numPr>
          <w:ilvl w:val="0"/>
          <w:numId w:val="54"/>
        </w:numPr>
        <w:contextualSpacing/>
        <w:rPr>
          <w:rFonts w:ascii="Calibri" w:eastAsia="Times New Roman" w:hAnsi="Calibri" w:cs="Arial"/>
          <w:sz w:val="20"/>
          <w:szCs w:val="20"/>
        </w:rPr>
      </w:pPr>
      <w:r w:rsidRPr="0031593C">
        <w:rPr>
          <w:rFonts w:ascii="Calibri" w:eastAsia="Times New Roman" w:hAnsi="Calibri" w:cs="Arial"/>
          <w:sz w:val="20"/>
          <w:szCs w:val="20"/>
          <w:lang w:val="en-US"/>
        </w:rPr>
        <w:t xml:space="preserve">Edwards NL. The rising prevalence of gout. </w:t>
      </w:r>
      <w:r w:rsidRPr="0031593C">
        <w:rPr>
          <w:rFonts w:ascii="Calibri" w:eastAsia="Times New Roman" w:hAnsi="Calibri" w:cs="Arial"/>
          <w:sz w:val="20"/>
          <w:szCs w:val="20"/>
        </w:rPr>
        <w:t>Paper presented at: EULAR, 2014.</w:t>
      </w:r>
    </w:p>
    <w:p w14:paraId="54749A01"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Salaffi F. et al Prevalence of musculoskeletal conditions in an Italian population sample: results of a regional community-based study.I. The MAPPING study Clinical and Experimental Rheumatology 2005; 23: 819-828.</w:t>
      </w:r>
    </w:p>
    <w:p w14:paraId="07E31469" w14:textId="77777777" w:rsidR="006B192A"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 xml:space="preserve">ISTAT. Available at: </w:t>
      </w:r>
      <w:hyperlink r:id="rId76" w:history="1">
        <w:r w:rsidRPr="0031593C">
          <w:rPr>
            <w:rFonts w:ascii="Calibri" w:eastAsia="Times New Roman" w:hAnsi="Calibri" w:cs="Arial"/>
            <w:color w:val="0000FF"/>
            <w:sz w:val="20"/>
            <w:szCs w:val="20"/>
            <w:u w:val="single"/>
            <w:lang w:val="en-US"/>
          </w:rPr>
          <w:t>http://demo.istat.it/</w:t>
        </w:r>
      </w:hyperlink>
      <w:r w:rsidRPr="0031593C">
        <w:rPr>
          <w:rFonts w:ascii="Calibri" w:eastAsia="Times New Roman" w:hAnsi="Calibri" w:cs="Arial"/>
          <w:sz w:val="20"/>
          <w:szCs w:val="20"/>
          <w:lang w:val="en-US"/>
        </w:rPr>
        <w:t>.</w:t>
      </w:r>
    </w:p>
    <w:p w14:paraId="13CCC9FF" w14:textId="2D92ADED" w:rsidR="0031593C" w:rsidRPr="006B192A" w:rsidRDefault="0031593C" w:rsidP="00825BD3">
      <w:pPr>
        <w:numPr>
          <w:ilvl w:val="0"/>
          <w:numId w:val="54"/>
        </w:numPr>
        <w:contextualSpacing/>
        <w:rPr>
          <w:rFonts w:ascii="Calibri" w:eastAsia="Times New Roman" w:hAnsi="Calibri" w:cs="Arial"/>
          <w:sz w:val="20"/>
          <w:szCs w:val="20"/>
          <w:lang w:val="en-US"/>
        </w:rPr>
      </w:pPr>
      <w:r w:rsidRPr="006B192A">
        <w:rPr>
          <w:rFonts w:ascii="Calibri" w:eastAsia="Times New Roman" w:hAnsi="Calibri" w:cs="Arial"/>
          <w:sz w:val="20"/>
          <w:szCs w:val="20"/>
          <w:lang w:val="en-US"/>
        </w:rPr>
        <w:t>Terkeltaub R. Gout and Other Crystal Arthropathies Elsevier Health Sciences, 19 ago 2011</w:t>
      </w:r>
      <w:r w:rsidRPr="006B192A">
        <w:rPr>
          <w:rFonts w:ascii="Calibri" w:eastAsia="Times New Roman" w:hAnsi="Calibri" w:cs="Arial"/>
          <w:sz w:val="20"/>
          <w:szCs w:val="20"/>
          <w:lang w:val="en-US"/>
        </w:rPr>
        <w:tab/>
      </w:r>
    </w:p>
    <w:p w14:paraId="2AF22533"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Pascual E, Andrés M, Vela P. Gout treatment: should we aim for rapid crystal dissolution? Annals of the rheumatic diseases. 2013:annrheumdis-2012-202594.</w:t>
      </w:r>
    </w:p>
    <w:p w14:paraId="2689D37F"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Hamburger M, Baraf HS, Adamson TC, Basile J, Bass L, Cole B, et al. 2011 recommendations for the diagnosis and management of gout and hyperuricemia. Postgraduate medicine. 2011;123(sup1):3-36.</w:t>
      </w:r>
    </w:p>
    <w:p w14:paraId="10836AEF"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Yu TF, Gutman AB. Principles of current management of primary gout. Am J Med Sci. 1967 Dec;254(6):893-907.</w:t>
      </w:r>
    </w:p>
    <w:p w14:paraId="1CAA045B"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Taylor JW, Grainger R. Chapter 9. Gout and Other Crystal Arthropathies. Philadelphia Elsevier Saunders; 2012.</w:t>
      </w:r>
    </w:p>
    <w:p w14:paraId="4175CD02"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Mandell BF. Clinical manifestations of hyperuricemia and gout. Cleve Clin J Med. 2008;75:Suppl 5:S5-8.</w:t>
      </w:r>
    </w:p>
    <w:p w14:paraId="5F46972C"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rPr>
        <w:t xml:space="preserve">Dalbeth N, Aati O, Kalluru R, Gamble GD, Horne A, Doyle AJ, et al. </w:t>
      </w:r>
      <w:r w:rsidRPr="0031593C">
        <w:rPr>
          <w:rFonts w:ascii="Calibri" w:eastAsia="Times New Roman" w:hAnsi="Calibri" w:cs="Arial"/>
          <w:sz w:val="20"/>
          <w:szCs w:val="20"/>
          <w:lang w:val="en-US"/>
        </w:rPr>
        <w:t>Relationship between structural joint damage and urate deposition in gout: a plain radiography and dual-energy CT study. Annals of the rheumatic diseases. Ann Rheum Dis 2015;74:6 1030-1036 Published Online First: 12 February 2014</w:t>
      </w:r>
    </w:p>
    <w:p w14:paraId="32225DD5"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Hall AP, Barry PE, Dawber TR, McNamara PM. Epidemiology of gout and hyperuricemia. A long-term population study. Am J Med. 1967;42(1):27-37</w:t>
      </w:r>
    </w:p>
    <w:p w14:paraId="6B768EF7"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 xml:space="preserve">National Institute for Health and Care Excellence. Clinical Knowledge Summary (CKS) – Gout. Available at: </w:t>
      </w:r>
      <w:hyperlink r:id="rId77" w:anchor="!topicsummary" w:history="1">
        <w:r w:rsidRPr="0031593C">
          <w:rPr>
            <w:rFonts w:ascii="Calibri" w:eastAsia="Times New Roman" w:hAnsi="Calibri" w:cs="Arial"/>
            <w:color w:val="0000FF"/>
            <w:sz w:val="20"/>
            <w:szCs w:val="20"/>
            <w:u w:val="single"/>
            <w:lang w:val="en-US"/>
          </w:rPr>
          <w:t>http://cks.nice.org.uk/gout#!topicsummary</w:t>
        </w:r>
      </w:hyperlink>
      <w:r w:rsidRPr="0031593C">
        <w:rPr>
          <w:rFonts w:ascii="Calibri" w:eastAsia="Times New Roman" w:hAnsi="Calibri" w:cs="Arial"/>
          <w:sz w:val="20"/>
          <w:szCs w:val="20"/>
          <w:lang w:val="en-US"/>
        </w:rPr>
        <w:t xml:space="preserve"> [last accessed: March 2016]. 2015.</w:t>
      </w:r>
    </w:p>
    <w:p w14:paraId="3E578AB9"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Annemans L, Spaepen E, Gaskin M, Bonnemaire M, Malier V, Gilbert T, et al. Gout in the UK and Germany: prevalence, comorbidities and management in general practice 2000-2005. Annals of the rheumatic diseases. 2008 Jul;67(7):960-6.</w:t>
      </w:r>
    </w:p>
    <w:p w14:paraId="3F71B1C0"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Zhu Y, Pandya BJ, Choi HK. Comorbidities of gout and hyperuricemia in the US general population: NHANES 2007-2008. The American journal of medicine. 2012;125(7):679-87.</w:t>
      </w:r>
    </w:p>
    <w:p w14:paraId="07BCE4BA"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Eggebeen AT. Gout: an update. Am Fam Physician. 2007 Sep 15;76(6):801-8. Review.</w:t>
      </w:r>
    </w:p>
    <w:p w14:paraId="749F5C1B"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Grayson PC, Kim SY, LaValley M, Choi HK. Hyperuricemia and incident hypertension: a systematic review and meta‐analysis. Arthritis care &amp; research. 2011;63(1):102-10.</w:t>
      </w:r>
    </w:p>
    <w:p w14:paraId="209D5BEA"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Kodama S, Saito K, Yachi Y, Asumi M, Sugawara A, Totsuka K, et al. Association between serum uric acid and development of type 2 diabetes. Diabetes care. 2009;32(9):1737-42.</w:t>
      </w:r>
    </w:p>
    <w:p w14:paraId="4FDBED42"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Mikuls TR, Saag KG. New insights into gout epidemiology. Current opinion in rheumatology. 2006;18(2):199-203.</w:t>
      </w:r>
    </w:p>
    <w:p w14:paraId="4329E13B"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Bos MJ, Koudstaal PJ, Hofman A, Witteman JC, Breteler MM. Uric acid is a risk factor for myocardial infarction and stroke: the Rotterdam study. Stroke. 2006 Jun;37(6):1503-7.</w:t>
      </w:r>
    </w:p>
    <w:p w14:paraId="38B26F9F"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Kuo CF, Grainge MJ, Mallen C, Zhang W, Doherty M. Impact of gout on the risk of atrial fibrillation. Rheumatology (Oxford). 2016 Apr;55(4):721-8.</w:t>
      </w:r>
    </w:p>
    <w:p w14:paraId="307102C6"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rPr>
        <w:t xml:space="preserve">Richette P, Clerson P, Perissin L, et al. </w:t>
      </w:r>
      <w:r w:rsidRPr="0031593C">
        <w:rPr>
          <w:rFonts w:ascii="Calibri" w:eastAsia="Times New Roman" w:hAnsi="Calibri" w:cs="Arial"/>
          <w:sz w:val="20"/>
          <w:szCs w:val="20"/>
          <w:lang w:val="en-US"/>
        </w:rPr>
        <w:t>Revisiting comorbidities in gout: a cluster analysis. Ann Rheum Dis. 2013.</w:t>
      </w:r>
    </w:p>
    <w:p w14:paraId="7A8441DD"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Braga F, Pasqualetti S, Ferraro S, Panteghini M. Hyperuricemia as risk factor for coronary heart disease incidence and mortality in the general population: a systematic review and meta-analysis. Clin Chem Lab Med. 2016 Jan 1;54(1):7-15.</w:t>
      </w:r>
    </w:p>
    <w:p w14:paraId="3EDFB69E"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Kim SY, Guevara JP, Kim KM, Choi HK, Heitjan DF, Albert DA. Hyperuricemia and coronary heart disease: a systematic review and meta-analysis. Arthritis Care Res (Hoboken). 2010 Feb;62(2):170-80.</w:t>
      </w:r>
    </w:p>
    <w:p w14:paraId="276DA47D"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Li M, Hou W, Zhang X, Hu L, Tang Z. Hyperuricemia and risk of stroke: a systematic review and meta-analysis of prospective studies. Atherosclerosis. 2014 Feb;232(2):265-70.</w:t>
      </w:r>
    </w:p>
    <w:p w14:paraId="344C2820"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Kim SY, Guevara JP, Kim KM, Choi HK, Heitjan DF, Albert DA. Hyperuricemia and risk of stroke: a systematic review and meta-analysis. Arthritis Rheum. 2009 Jul 15;61(7):885-92.</w:t>
      </w:r>
    </w:p>
    <w:p w14:paraId="68AC2FDC"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color w:val="0000FF"/>
          <w:sz w:val="20"/>
          <w:szCs w:val="20"/>
          <w:lang w:val="en-US"/>
        </w:rPr>
        <w:t>Grünenthal Ltd. DOF, Maggio 2016</w:t>
      </w:r>
    </w:p>
    <w:p w14:paraId="30B4FBC4"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Abbott KC, Kimmel PL, Dharnidharka V, Oglesby RJ, Agodoa LY, Caillard S. New-onset gout after kidney transplantation: incidence, risk factors and implications. Transplantation. 2005;80(10):1383-91.</w:t>
      </w:r>
    </w:p>
    <w:p w14:paraId="2A2B56CF"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Cohen SD, Kimmel PL, Neff R, Agodoa L, Abbott KC. Association of incident gout and mortality in dialysis patients. Journal of the American Society of Nephrology. 2008;19(11):2204-10.</w:t>
      </w:r>
    </w:p>
    <w:p w14:paraId="5BAE1D69"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Krishnan E. Gout and the risk for incident heart failure and systolic dysfunction. BMJ open. 2012;2(1):e000282.</w:t>
      </w:r>
    </w:p>
    <w:p w14:paraId="41AB39A9"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Krishnan E, Pandya BJ, Lingala B, Hariri A, Dabbous O. Hyperuricemia and untreated gout are poor prognostic markers among those with a recent acute myocardial infarction. Arthritis research &amp; therapy. 2012;14(1):1.</w:t>
      </w:r>
    </w:p>
    <w:p w14:paraId="60CFCD2D"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Kuo C-F, Grainge MJ, Mallen C, Zhang W, Doherty M. Comorbidities in patients with gout prior to and following diagnosis: case-control study. Annals of the rheumatic diseases. 2016;75(1):210-7.</w:t>
      </w:r>
    </w:p>
    <w:p w14:paraId="1EFF2DD0"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Kuo C-F, See L-C, Luo S-F, Ko Y-S, Lin Y-S, Hwang J-S, et al. Gout: an independent risk factor for all-cause and cardiovascular mortality. Rheumatology. 2010;49:141-6.2</w:t>
      </w:r>
    </w:p>
    <w:p w14:paraId="3E8D3EB5"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Teng GG, Ang L-W, Saag KG, Mimi CY, Yuan J-M, Koh W-P. Mortality due to coronary heart disease and kidney disease among middle-aged and elderly men and women with gout in the Singapore Chinese Health Study. Annals of the rheumatic diseases. 2012;71(6):924-8.</w:t>
      </w:r>
    </w:p>
    <w:p w14:paraId="4BAB7DCB"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Thanassoulis G, Brophy JM, Richard H, Pilote L. Gout, allopurinol use, and heart failure outcomes. Archives of Internal Medicine. 2010;170(15):1358-64.</w:t>
      </w:r>
    </w:p>
    <w:p w14:paraId="0D05BEFF"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rPr>
        <w:t xml:space="preserve">De Vera MA, Rahman MM, Bhole V, Kopec JA, Choi HK. </w:t>
      </w:r>
      <w:r w:rsidRPr="0031593C">
        <w:rPr>
          <w:rFonts w:ascii="Calibri" w:eastAsia="Times New Roman" w:hAnsi="Calibri" w:cs="Arial"/>
          <w:sz w:val="20"/>
          <w:szCs w:val="20"/>
          <w:lang w:val="en-US"/>
        </w:rPr>
        <w:t>Independent impact of gout on the risk of acute myocardial infarction among elderly women: a population-based study. Annals of the rheumatic diseases. 2010;69(6):1161-4.</w:t>
      </w:r>
    </w:p>
    <w:p w14:paraId="307D05D8"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Kok VC, Horng J-T, Lin H-L, Chen Y-C, Chen Y-J, Cheng KF. Gout and subsequent increased risk of cardiovascular mortality in non-diabetics aged 50 and above: a population-based cohort study in Taiwan. BMC cardiovascular disorders. 2012;12(1):1.</w:t>
      </w:r>
    </w:p>
    <w:p w14:paraId="4755F4B4"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Krishnan E, Svendsen K, Neaton JD, Grandits G, Kuller LH. Long-term cardiovascular mortality among middle-aged men with gout. Archives of Internal Medicine. 2008;168(10):1104-10.</w:t>
      </w:r>
    </w:p>
    <w:p w14:paraId="479970EF"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Lottmann K, Chen X, Schadlich PK. Association between gout and all-cause as well as cardiovascular mortality: a systematic review. Current Rheumatology Reports. 2012 Apr;14(2):195-203.</w:t>
      </w:r>
    </w:p>
    <w:p w14:paraId="648E6EF8"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Clarson LE, Chandratre P, Hider SL, Belcher J, Heneghan C, Roddy E, et al. Increased cardiovascular mortality associated with gout: a systematic review and meta-analysis. European Journal of Preventive Cardiology. 2015 Mar;22(3):335-43.</w:t>
      </w:r>
    </w:p>
    <w:p w14:paraId="4743FA62"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rPr>
        <w:t xml:space="preserve">Kim SY, De Vera MA, Choi HK. </w:t>
      </w:r>
      <w:r w:rsidRPr="0031593C">
        <w:rPr>
          <w:rFonts w:ascii="Calibri" w:eastAsia="Times New Roman" w:hAnsi="Calibri" w:cs="Arial"/>
          <w:sz w:val="20"/>
          <w:szCs w:val="20"/>
          <w:lang w:val="en-US"/>
        </w:rPr>
        <w:t>Gout and mortality. Clinical &amp; Experimental Rheumatology. 2008 Sep-Oct;26(5 Suppl 51):S115-9.</w:t>
      </w:r>
    </w:p>
    <w:p w14:paraId="15E956B9"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Kleinman NL, Brook RA, Patel PA, Melkonian AK, Brizee TJ, Smeeding JE, et al. The impact of gout on work absence and productivity. Value in health. 2007;10(4):231-7.</w:t>
      </w:r>
    </w:p>
    <w:p w14:paraId="33B0B7DF"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Wood R, Fermer S, Ramachandran S, Baumgartner S, Morlock R. Patients with Gout Treated with Conventional Urate-lowering Therapy: Association with Disease Control, Health-related Quality of Life, and Work Productivity. J Rheumatol. 2016 Apr 1.</w:t>
      </w:r>
    </w:p>
    <w:p w14:paraId="1D8AB67D"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Van Vlaenderen I, Strens D, Annemans L, Murdock S. European study of health-related quality-of-life in patients with gout. Ann Rheum Dis. 2008;67 (Suppl II)(580).</w:t>
      </w:r>
    </w:p>
    <w:p w14:paraId="6D879008"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 xml:space="preserve">Shields GE, Beard SM. A Systematic Review of the Economic and Humanistic Burden of Gout. </w:t>
      </w:r>
      <w:r w:rsidRPr="0031593C">
        <w:rPr>
          <w:rFonts w:ascii="Calibri" w:eastAsia="Times New Roman" w:hAnsi="Calibri" w:cs="Arial"/>
          <w:sz w:val="20"/>
          <w:szCs w:val="20"/>
        </w:rPr>
        <w:t>Pharmacoeconomics. 2015 Oct;33(10):1029-47.</w:t>
      </w:r>
    </w:p>
    <w:p w14:paraId="04AD6CB5"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Khanna D. et al American College of Rheumatology Guidelines for Management of Gout. Part 1: Systematic Nonpharmacologic and Pharmacologic Therapeutic Approaches to HyperuricemiaArthritis Care &amp; Research Vol. 64, No. 10, October 2012, pp 1431–1446</w:t>
      </w:r>
    </w:p>
    <w:p w14:paraId="0C302184"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Jordan KM, Cameron JS, Snaith M, Zhang W, Doherty M, Seckl J, et al. British Society for Rheumatology and British Health Professionals in Rheumatology guideline for the management of gout. Rheumatology. 2007;46(8):1372-4.</w:t>
      </w:r>
    </w:p>
    <w:p w14:paraId="2D827C8D"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Nicolau S. et al Dual-Energy CT: A Promising New Technique for Assessment of the Musculoskeletal System  AJR Am J Roentgenol 199 (5 Suppl), S78-S86. 11 2012</w:t>
      </w:r>
    </w:p>
    <w:p w14:paraId="01F0FE86"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Grainger R, McLaughlin RJ, Harrison AA, Harper JL. Hyperuricaemia elevates circulating CCL2 levels and primes monocyte trafficking in subjects with inter-critical gout. Rheumatology (Oxford) 2013; 52:1018–1021.</w:t>
      </w:r>
    </w:p>
    <w:p w14:paraId="1561113B"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Kanbay M et al A Randomized Study of Allopurinol on Endothelial Function and Estimated Glomular Filtration Rate in Asymptomatic Hyperuricemic Subjects with Normal Renal Function</w:t>
      </w:r>
      <w:r w:rsidRPr="0031593C">
        <w:rPr>
          <w:rFonts w:ascii="Calibri" w:eastAsia="Times New Roman" w:hAnsi="Calibri" w:cs="Times New Roman"/>
          <w:lang w:val="en-US"/>
        </w:rPr>
        <w:t xml:space="preserve"> </w:t>
      </w:r>
      <w:r w:rsidRPr="0031593C">
        <w:rPr>
          <w:rFonts w:ascii="Calibri" w:eastAsia="Times New Roman" w:hAnsi="Calibri" w:cs="Arial"/>
          <w:sz w:val="20"/>
          <w:szCs w:val="20"/>
          <w:lang w:val="en-US"/>
        </w:rPr>
        <w:t>Clin J Am Soc Nephrol. 2011 Aug; 6(8): 1887–1894.</w:t>
      </w:r>
    </w:p>
    <w:p w14:paraId="47DEC0E7"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Goicoechea M et al Effect of allopurinol in chronic kidney disease progression and cardiovascular risk. Clin J Am Soc Nephrol. 2010 Aug;5(8):1388-93. doi: 10.2215/CJN.01580210. Epub 2010 Jun 10.</w:t>
      </w:r>
    </w:p>
    <w:p w14:paraId="24FAA4BF" w14:textId="77777777" w:rsidR="000B4C2E"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Singh J, Storgard C, Baumgartner S, Morlock R. High Dose Allopurinol in France, Germany, Italy, Spain and the UK. Annals of the Rheumatic Diseases (abstract). 2013;72(Suppl 3):A713-A.</w:t>
      </w:r>
    </w:p>
    <w:p w14:paraId="46A0719B" w14:textId="3E8F06B5" w:rsidR="0031593C" w:rsidRPr="000B4C2E" w:rsidRDefault="0031593C" w:rsidP="00825BD3">
      <w:pPr>
        <w:numPr>
          <w:ilvl w:val="0"/>
          <w:numId w:val="54"/>
        </w:numPr>
        <w:contextualSpacing/>
        <w:rPr>
          <w:rFonts w:ascii="Calibri" w:eastAsia="Times New Roman" w:hAnsi="Calibri" w:cs="Arial"/>
          <w:sz w:val="20"/>
          <w:szCs w:val="20"/>
          <w:lang w:val="en-US"/>
        </w:rPr>
      </w:pPr>
      <w:r w:rsidRPr="000B4C2E">
        <w:rPr>
          <w:rFonts w:ascii="Calibri" w:eastAsia="Times New Roman" w:hAnsi="Calibri" w:cs="Arial"/>
          <w:sz w:val="20"/>
          <w:szCs w:val="20"/>
          <w:lang w:val="en-US"/>
        </w:rPr>
        <w:t>Grünenthal Ltd. Delphi Survey report 2016, DOF.</w:t>
      </w:r>
      <w:r w:rsidRPr="000B4C2E">
        <w:rPr>
          <w:rFonts w:ascii="Calibri" w:eastAsia="Times New Roman" w:hAnsi="Calibri" w:cs="Arial"/>
          <w:sz w:val="20"/>
          <w:szCs w:val="20"/>
          <w:lang w:val="en-US"/>
        </w:rPr>
        <w:tab/>
      </w:r>
    </w:p>
    <w:p w14:paraId="29C512FE"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Kiltz U. et al Treat-to-target (T2T) recommendations for gout Ann Rheum Dis 2016;0:1–7. doi:10.1136</w:t>
      </w:r>
    </w:p>
    <w:p w14:paraId="08766FEC"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Crittenden DB, Pillinger MH. The year in gout. Bull NYU Hosp Jt Dis. 2011;69(3):257-263</w:t>
      </w:r>
    </w:p>
    <w:p w14:paraId="42B05573"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Enomoto A, Endou H. Roles of organic anion transporters (OATs) and a urate transporter (URAT1) in the pathophysiology of human disease. Clin Exp Nephrol. 2005;9:195-205.</w:t>
      </w:r>
    </w:p>
    <w:p w14:paraId="01CAF6C5"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Cunningham R, Israili Z, Dayton P. Clinical pharmacokinetics of probenecid. Clinical pharmacokinetics. 1981;6(2):135-51.</w:t>
      </w:r>
    </w:p>
    <w:p w14:paraId="62699CCF"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Lee M-HH, Graham GG, Williams KM, Day RO. A benefit-risk assessment of benzbromarone in the treatment of gout. Drug Safety. 2008;31(8):643-65.</w:t>
      </w:r>
    </w:p>
    <w:p w14:paraId="08B1A8B7"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Ardea Biosciences Inc. Clinical Study Report RDEA5994-301: A phase 3 randomized, double-blind, multicenter, placebo-controlled, combination study to evaluate the efficacy and safety of lesinurad and allopurinol compared to allopurinol alone in subjects with gout who have had an inadequate hypouricemic response to standard of care allopurinol. 2014.</w:t>
      </w:r>
    </w:p>
    <w:p w14:paraId="22A23419" w14:textId="77777777" w:rsidR="0031593C" w:rsidRPr="0031593C" w:rsidRDefault="0031593C" w:rsidP="00825BD3">
      <w:pPr>
        <w:numPr>
          <w:ilvl w:val="0"/>
          <w:numId w:val="54"/>
        </w:numPr>
        <w:contextualSpacing/>
        <w:rPr>
          <w:rFonts w:ascii="Calibri" w:eastAsia="Times New Roman" w:hAnsi="Calibri" w:cs="Arial"/>
          <w:sz w:val="20"/>
          <w:szCs w:val="20"/>
          <w:lang w:val="en-US"/>
        </w:rPr>
      </w:pPr>
      <w:bookmarkStart w:id="250" w:name="_ENREF_48"/>
      <w:r w:rsidRPr="0031593C">
        <w:rPr>
          <w:rFonts w:ascii="Calibri" w:eastAsia="Times New Roman" w:hAnsi="Calibri" w:cs="Arial"/>
          <w:sz w:val="20"/>
          <w:szCs w:val="20"/>
          <w:lang w:val="en-US"/>
        </w:rPr>
        <w:t>Ardea Biosciences Inc. Clinical Study Report RDEA594-302: A phase 3 randomized, double-blind, multicenter, placebo-controlled, combination study to evaluate the efficacy and safety of lesinurad and allopurinol compared to allopurinol alone in subjects with gout who have had an inadequate hypouricemic response to standard of care allopurinol. 2014.</w:t>
      </w:r>
      <w:bookmarkEnd w:id="250"/>
    </w:p>
    <w:p w14:paraId="43B55EBA" w14:textId="77777777" w:rsidR="0031593C" w:rsidRPr="0031593C" w:rsidRDefault="0031593C" w:rsidP="00825BD3">
      <w:pPr>
        <w:numPr>
          <w:ilvl w:val="0"/>
          <w:numId w:val="54"/>
        </w:numPr>
        <w:contextualSpacing/>
        <w:rPr>
          <w:rFonts w:ascii="Calibri" w:eastAsia="Times New Roman" w:hAnsi="Calibri" w:cs="Arial"/>
          <w:sz w:val="20"/>
          <w:szCs w:val="20"/>
          <w:lang w:val="en-US"/>
        </w:rPr>
      </w:pPr>
      <w:bookmarkStart w:id="251" w:name="_ENREF_49"/>
      <w:r w:rsidRPr="0031593C">
        <w:rPr>
          <w:rFonts w:ascii="Calibri" w:eastAsia="Times New Roman" w:hAnsi="Calibri" w:cs="Arial"/>
          <w:sz w:val="20"/>
          <w:szCs w:val="20"/>
          <w:lang w:val="en-US"/>
        </w:rPr>
        <w:t>Ardea Biosciences Inc. Clinical Study Report RDEA594-304: A phase 3 randomized, double-blind, multicenter, placebo-controlled, combination study to evaluate the efficacy and safety of lesinurad and febuxostat compared to febuxostat alone at lowering serum uric acid and resolving tophi in subjects with tophaceous gout. 2014.</w:t>
      </w:r>
      <w:bookmarkEnd w:id="251"/>
    </w:p>
    <w:p w14:paraId="1FFFCF87"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Li-Yu J, Clayburne G, Sieck M, Beutler A, Rull M, Eisner E, et al. Treatment of chronic gout. Can we determine when urate stores are depleted enough to prevent attacks of gout? The Journal of rheumatology. 2001;28(3):577-80.</w:t>
      </w:r>
    </w:p>
    <w:p w14:paraId="33C92C3C"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Pascual E, Sivera F. Time required for disappearance of urate crystals from synovial fluid after successful hypouricaemic treatment relates to the duration of gout. Annals of the rheumatic diseases. 2007;66(8):1056-8.</w:t>
      </w:r>
    </w:p>
    <w:p w14:paraId="47B2CA7F"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Perez‐Ruiz F, Calabozo M, Pijoan JI, Herrero‐Beites AM, Ruibal A. Effect of urate‐lowering therapy on the velocity of size reduction of tophi in chronic gout. Arthritis care &amp; research. 2002;47(4):356-60.</w:t>
      </w:r>
    </w:p>
    <w:p w14:paraId="310F35AA"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rPr>
        <w:t xml:space="preserve">Campion EW, Glynn RJ, Delabry LO. </w:t>
      </w:r>
      <w:r w:rsidRPr="0031593C">
        <w:rPr>
          <w:rFonts w:ascii="Calibri" w:eastAsia="Times New Roman" w:hAnsi="Calibri" w:cs="Arial"/>
          <w:sz w:val="20"/>
          <w:szCs w:val="20"/>
          <w:lang w:val="en-US"/>
        </w:rPr>
        <w:t>Asymptomatic hyperuricemia. Risks and consequences in the Normative Aging Study. The American journal of medicine. 1987;82(3):421-6.</w:t>
      </w:r>
    </w:p>
    <w:p w14:paraId="2F8A9832"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color w:val="0000FF"/>
          <w:sz w:val="20"/>
          <w:szCs w:val="20"/>
          <w:lang w:val="en-US"/>
        </w:rPr>
        <w:t>Grünenthal DOF, SLR, Settembre 2016</w:t>
      </w:r>
    </w:p>
    <w:p w14:paraId="72FD7D0B"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Wortmann RL, MacDonald PA, Hunt B, Jackson RL. Effect of prophylaxis on gout flares after the initiation of urate-lowering therapy: analysis of data from three phase III trials. Clinical therapeutics. 2010;32(14):2386-97.</w:t>
      </w:r>
    </w:p>
    <w:p w14:paraId="01B308C2"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Becker MA, Baraf HS, Yood RA, Dillon A, Vazquez-Mellado J, Ottery FD, et al. Long-term safety of pegloticase in chronic gout refractory to conventional treatment. Annals of the Rheumatic Diseases. 2013 Sep 1;72(9):1469-74.</w:t>
      </w:r>
    </w:p>
    <w:p w14:paraId="4C63B465"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Becker MA, MacDonald PA, Hunt BJ, Lademacher C, Joseph-Ridge N. Determinants of the clinical outcomes of gout during the first year of urate-lowering therapy. Nucleosides, Nucleotides, and Nucleic Acids. 2008;27(6-7):585-91.</w:t>
      </w:r>
    </w:p>
    <w:p w14:paraId="280C7032"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Dalbeth N, House ME, Horne A, Petrie KJ, McQueen FM, Taylor WJ. Prescription and dosing of urate-lowering therapy, rather than patient behaviours, are the key modifiable factors associated with targeting serum urate in gout. BMC musculoskeletal disorders. 2012;13(1):1.</w:t>
      </w:r>
    </w:p>
    <w:p w14:paraId="0038EF0E"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Hamburger MI, Tesser JR, Skosey JL, Morton AH, Kilgore KM, editors. Patterns of gout treatment and related outcomes in us community rheumatology practices: The relation between gout flares, time in treatment, serum uric acid level and urate lowering therapy. Arthritis and Rheumatism; 2012.</w:t>
      </w:r>
    </w:p>
    <w:p w14:paraId="2337AB1A"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Khanna P, Baumgartner S, Khanna D, Storgard C, Morlock R. SAT0554 Assessing SUA, Flare Rates, and Tophi in Patients with Gout Treated Xanthine Oxidase Inhibitors in the United States. Annals of the rheumatic diseases. 2013;72(Suppl 3):A770-A.</w:t>
      </w:r>
    </w:p>
    <w:p w14:paraId="29ABD512"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Sarawate CA, Patel PA, Schumacher HR, Yang W, Brewer KK, Bakst AW. Serum urate levels and gout flares: analysis from managed care data. JCR: Journal of Clinical Rheumatology. 2006;12(2):61-5.</w:t>
      </w:r>
    </w:p>
    <w:p w14:paraId="4019E67C"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Shiozawa A, Buysman E, Korrer S, Choi H, editors. Serum Uric Acid Levels and Gout Flares in a US Managed Care Setting. Arthritis and Rheumatology. Conference: American College of Rheumatology/Association of Rheumatology Health Professionals Annual Scientific Meeting, ACR/ARHP. 2015;67(no pagination).</w:t>
      </w:r>
    </w:p>
    <w:p w14:paraId="3CABFFCF"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Wu EQ, Patel PA, Mody RR, Yu AP, Cahill KE, Tang J, et al. Frequency, risk, and cost of gout-related episodes among the elderly: does serum uric acid level matter? The Journal of rheumatology. 2009;36(5):1032-40.</w:t>
      </w:r>
    </w:p>
    <w:p w14:paraId="2D817D18"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Araujo EG, Bayat S, Petsch C, Englbrecht M, Faustini F, Kleyer A, et al. Tophus resolution with pegloticase: a prospective dual-energy CT study. RMD open. 2015;1(1):e000075.</w:t>
      </w:r>
    </w:p>
    <w:p w14:paraId="5BA8D3D7"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Baraf HS, Becker MA, Gutierrez-Urena SR, Treadwell EL, Vazquez-Mellado J, Rehrig CD, et al. Tophus burden reduction with pegloticase: results from phase 3 randomized trials and open-label extension in patients with chronic gout refractory to conventional therapy. Arthritis research &amp; therapy. 2013;15(5):1.</w:t>
      </w:r>
    </w:p>
    <w:p w14:paraId="76D3BBF0"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Perez-Ruiz F, Martin I, Canteli B. Ultrasonographic measurement of tophi as an outcome measure for chronic gout. The Journal of rheumatology. 2007;34(9):1888-93.</w:t>
      </w:r>
    </w:p>
    <w:p w14:paraId="33DDE86A" w14:textId="77777777" w:rsidR="0031593C" w:rsidRPr="006E59D2" w:rsidRDefault="0031593C" w:rsidP="00825BD3">
      <w:pPr>
        <w:numPr>
          <w:ilvl w:val="0"/>
          <w:numId w:val="54"/>
        </w:numPr>
        <w:contextualSpacing/>
        <w:rPr>
          <w:rFonts w:ascii="Calibri" w:eastAsia="Times New Roman" w:hAnsi="Calibri" w:cs="Arial"/>
          <w:sz w:val="20"/>
          <w:szCs w:val="20"/>
          <w:lang w:val="en-US"/>
        </w:rPr>
      </w:pPr>
      <w:r w:rsidRPr="006E59D2">
        <w:rPr>
          <w:rFonts w:ascii="Calibri" w:eastAsia="Times New Roman" w:hAnsi="Calibri" w:cs="Arial"/>
          <w:sz w:val="20"/>
          <w:szCs w:val="20"/>
          <w:lang w:val="en-US"/>
        </w:rPr>
        <w:t>Ardea Biosciences Inc. Interim Clinical Study Report RDEA594-307: A long-term extension study of lesinurad in combination with febuxostat for subjects with gout completing an efficacy and safety study of lesinurad and febuxostat. Second interim cut-off date: 12 March 2015. Release date 16 December 2015.</w:t>
      </w:r>
    </w:p>
    <w:p w14:paraId="6365D517" w14:textId="3D3B28ED" w:rsidR="00862AFC" w:rsidRPr="00862AFC" w:rsidRDefault="002B3328" w:rsidP="00825BD3">
      <w:pPr>
        <w:pStyle w:val="ListParagraph"/>
        <w:numPr>
          <w:ilvl w:val="0"/>
          <w:numId w:val="54"/>
        </w:numPr>
        <w:rPr>
          <w:rFonts w:asciiTheme="minorHAnsi" w:eastAsiaTheme="minorEastAsia" w:hAnsiTheme="minorHAnsi" w:cs="Arial"/>
          <w:sz w:val="20"/>
          <w:szCs w:val="20"/>
          <w:lang w:val="en-US" w:eastAsia="ja-JP"/>
        </w:rPr>
      </w:pPr>
      <w:r w:rsidRPr="00862AFC">
        <w:rPr>
          <w:rFonts w:cs="Arial"/>
          <w:sz w:val="20"/>
          <w:szCs w:val="20"/>
          <w:lang w:val="en-US"/>
        </w:rPr>
        <w:t xml:space="preserve">Ardea Biosciences Inc. Interim Clinical Study Report RDEA594-306: A long-term extension study of lesinurad in combination with allopurinol for subjects completing an efficacy and safety study of lesinurad and allopurinol. </w:t>
      </w:r>
      <w:r w:rsidR="00862AFC" w:rsidRPr="00862AFC">
        <w:rPr>
          <w:rFonts w:asciiTheme="minorHAnsi" w:eastAsiaTheme="minorEastAsia" w:hAnsiTheme="minorHAnsi" w:cs="Arial"/>
          <w:sz w:val="20"/>
          <w:szCs w:val="20"/>
          <w:lang w:val="en-US" w:eastAsia="ja-JP"/>
        </w:rPr>
        <w:t xml:space="preserve">Second interim cut-off date: </w:t>
      </w:r>
      <w:r w:rsidR="00862AFC">
        <w:rPr>
          <w:rFonts w:asciiTheme="minorHAnsi" w:eastAsiaTheme="minorEastAsia" w:hAnsiTheme="minorHAnsi" w:cs="Arial"/>
          <w:sz w:val="20"/>
          <w:szCs w:val="20"/>
          <w:lang w:val="en-US" w:eastAsia="ja-JP"/>
        </w:rPr>
        <w:t>15 May</w:t>
      </w:r>
      <w:r w:rsidR="00862AFC" w:rsidRPr="00862AFC">
        <w:rPr>
          <w:rFonts w:asciiTheme="minorHAnsi" w:eastAsiaTheme="minorEastAsia" w:hAnsiTheme="minorHAnsi" w:cs="Arial"/>
          <w:sz w:val="20"/>
          <w:szCs w:val="20"/>
          <w:lang w:val="en-US" w:eastAsia="ja-JP"/>
        </w:rPr>
        <w:t xml:space="preserve"> 2015. Release date </w:t>
      </w:r>
      <w:r w:rsidR="00862AFC">
        <w:rPr>
          <w:rFonts w:asciiTheme="minorHAnsi" w:eastAsiaTheme="minorEastAsia" w:hAnsiTheme="minorHAnsi" w:cs="Arial"/>
          <w:sz w:val="20"/>
          <w:szCs w:val="20"/>
          <w:lang w:val="en-US" w:eastAsia="ja-JP"/>
        </w:rPr>
        <w:t>21</w:t>
      </w:r>
      <w:r w:rsidR="00862AFC" w:rsidRPr="00862AFC">
        <w:rPr>
          <w:rFonts w:asciiTheme="minorHAnsi" w:eastAsiaTheme="minorEastAsia" w:hAnsiTheme="minorHAnsi" w:cs="Arial"/>
          <w:sz w:val="20"/>
          <w:szCs w:val="20"/>
          <w:lang w:val="en-US" w:eastAsia="ja-JP"/>
        </w:rPr>
        <w:t xml:space="preserve"> December 2015.</w:t>
      </w:r>
    </w:p>
    <w:p w14:paraId="5C2F7070" w14:textId="7F6867DF" w:rsidR="0031593C" w:rsidRPr="00862AFC" w:rsidRDefault="0031593C" w:rsidP="00825BD3">
      <w:pPr>
        <w:numPr>
          <w:ilvl w:val="0"/>
          <w:numId w:val="54"/>
        </w:numPr>
        <w:contextualSpacing/>
        <w:rPr>
          <w:rFonts w:ascii="Calibri" w:eastAsia="Times New Roman" w:hAnsi="Calibri" w:cs="Arial"/>
          <w:sz w:val="20"/>
          <w:szCs w:val="20"/>
          <w:lang w:val="en-US"/>
        </w:rPr>
      </w:pPr>
      <w:r w:rsidRPr="00862AFC">
        <w:rPr>
          <w:rFonts w:ascii="Calibri" w:eastAsia="Times New Roman" w:hAnsi="Calibri" w:cs="Arial"/>
          <w:sz w:val="20"/>
          <w:szCs w:val="20"/>
          <w:lang w:val="en-US"/>
        </w:rPr>
        <w:t>Ardea Biosciences Inc. Lesinurad Clinical Overview.</w:t>
      </w:r>
    </w:p>
    <w:p w14:paraId="22F95108" w14:textId="0BAD162E"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iCs/>
          <w:sz w:val="20"/>
          <w:szCs w:val="20"/>
          <w:lang w:val="en-US"/>
        </w:rPr>
        <w:t>Nicola Dalbeth, Graeme Jones, Robert Terkeltaub, Dinesh Khanna, Jeff Kopicko, Scott Adler, Nihar Bhakta, Maple Fung, Chris Storgard, Scott Baumgartner, Fernando Perez-Ruiz Lesinurad and febuxostat combination therapy: Analysis of treatment based on patient baseline renal function. 79th Annual Meeting of the American College of Rheumatology (ACR), San Francisc</w:t>
      </w:r>
      <w:r w:rsidR="009752F0">
        <w:rPr>
          <w:rFonts w:ascii="Calibri" w:eastAsia="Times New Roman" w:hAnsi="Calibri" w:cs="Arial"/>
          <w:iCs/>
          <w:sz w:val="20"/>
          <w:szCs w:val="20"/>
          <w:lang w:val="en-US"/>
        </w:rPr>
        <w:t>o, CA, USA, November 6-11, 2015.</w:t>
      </w:r>
    </w:p>
    <w:p w14:paraId="51A6594D"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AstraZeneca, Periodic Safety Update Report, 18 August, 2016.</w:t>
      </w:r>
    </w:p>
    <w:p w14:paraId="75BCBE0E"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Saag KG, Choi H. Epidemiology, risk factors, and lifestyle modifications for gout. Arthritis research &amp; therapy. 2006;8(1):1.</w:t>
      </w:r>
    </w:p>
    <w:p w14:paraId="64D40C2E"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Roddy E, Choi HK. Epidemiology of gout. Rheumatic Disease Clinics of North America. 2014;40(2):155-75.</w:t>
      </w:r>
    </w:p>
    <w:p w14:paraId="35E42C89"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Choi HK, Atkinson K, Karlson EW, Willett W, Curhan G. Alcohol intake and risk of incident gout in men: a prospective study. The Lancet. 2004;363(9417):1277-81.</w:t>
      </w:r>
    </w:p>
    <w:p w14:paraId="0D8D45DC"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Moi JH, Sriranganathan MK, Edwards CJ, Buchbinder R. Lifestyle interventions for chronic gout. The Cochrane Library. 2013;31(5):CD010039.</w:t>
      </w:r>
    </w:p>
    <w:p w14:paraId="7FBDC456"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Saag KG, Fitz‐Patrick D, Kopicko J, Fung M, Bhakta N, Adler S, et al. Lesinurad Combined With Allopurinol: Randomized, Double‐Blind, Placebo‐Controlled Study in Gout Subjects With Inadequate Response to Standard of Care Allopurinol (A US‐based Study). Arthritis &amp; rheumatology. 2016.</w:t>
      </w:r>
    </w:p>
    <w:p w14:paraId="2E221905" w14:textId="77777777" w:rsidR="0031593C" w:rsidRPr="0031593C" w:rsidRDefault="0031593C" w:rsidP="00825BD3">
      <w:pPr>
        <w:numPr>
          <w:ilvl w:val="0"/>
          <w:numId w:val="54"/>
        </w:numPr>
        <w:contextualSpacing/>
        <w:rPr>
          <w:rFonts w:ascii="Calibri" w:eastAsia="Times New Roman" w:hAnsi="Calibri" w:cs="Arial"/>
          <w:sz w:val="20"/>
          <w:szCs w:val="20"/>
          <w:lang w:val="en-US"/>
        </w:rPr>
      </w:pPr>
      <w:r w:rsidRPr="0031593C">
        <w:rPr>
          <w:rFonts w:ascii="Calibri" w:eastAsia="Times New Roman" w:hAnsi="Calibri" w:cs="Arial"/>
          <w:sz w:val="20"/>
          <w:szCs w:val="20"/>
          <w:lang w:val="en-US"/>
        </w:rPr>
        <w:t>Bardin T, Keenan RT, Khanna PP, Kopicko J, Fung M, Bhakta N, et al. Lesinurad in combination with allopurinol: a randomised, double-blind, placebo-controlled study in patients with gout with inadequate response to standard of care (the multinational CLEAR 2 study). Annals of the rheumatic diseases. 2016;0:1–10. doi:10.1136/annrheumdis-2016-209213</w:t>
      </w:r>
    </w:p>
    <w:p w14:paraId="7DBCCF15" w14:textId="30546623" w:rsidR="0031593C" w:rsidRPr="00CF02B8" w:rsidRDefault="001E58A7" w:rsidP="00825BD3">
      <w:pPr>
        <w:numPr>
          <w:ilvl w:val="0"/>
          <w:numId w:val="54"/>
        </w:numPr>
        <w:contextualSpacing/>
        <w:rPr>
          <w:rFonts w:ascii="Calibri" w:eastAsia="Times New Roman" w:hAnsi="Calibri" w:cs="Arial"/>
          <w:sz w:val="20"/>
          <w:szCs w:val="20"/>
          <w:lang w:val="en-US"/>
        </w:rPr>
      </w:pPr>
      <w:r>
        <w:rPr>
          <w:rFonts w:ascii="Calibri" w:eastAsia="Times New Roman" w:hAnsi="Calibri" w:cs="Arial"/>
          <w:sz w:val="20"/>
          <w:szCs w:val="20"/>
          <w:lang w:val="en-US"/>
        </w:rPr>
        <w:t xml:space="preserve"> </w:t>
      </w:r>
      <w:r w:rsidR="007C0EB7" w:rsidRPr="00CF02B8">
        <w:rPr>
          <w:rFonts w:ascii="Calibri" w:eastAsia="Times New Roman" w:hAnsi="Calibri" w:cs="Arial"/>
          <w:sz w:val="20"/>
          <w:szCs w:val="20"/>
          <w:lang w:val="en"/>
        </w:rPr>
        <w:t xml:space="preserve">Wallace S. L., Robinson H., Masi A. T., Decker J. L., McCarty D. J., Yü T. F. Preliminary criteria for the classification of the acute arthritis of primary gout. </w:t>
      </w:r>
      <w:r w:rsidR="007C0EB7" w:rsidRPr="00CF02B8">
        <w:rPr>
          <w:rFonts w:ascii="Calibri" w:eastAsia="Times New Roman" w:hAnsi="Calibri" w:cs="Arial"/>
          <w:i/>
          <w:iCs/>
          <w:sz w:val="20"/>
          <w:szCs w:val="20"/>
          <w:lang w:val="en"/>
        </w:rPr>
        <w:t>Arthritis &amp; Rheumatism</w:t>
      </w:r>
      <w:r w:rsidR="007C0EB7" w:rsidRPr="00CF02B8">
        <w:rPr>
          <w:rFonts w:ascii="Calibri" w:eastAsia="Times New Roman" w:hAnsi="Calibri" w:cs="Arial"/>
          <w:sz w:val="20"/>
          <w:szCs w:val="20"/>
          <w:lang w:val="en"/>
        </w:rPr>
        <w:t>. 1977;20(3):895–900.</w:t>
      </w:r>
    </w:p>
    <w:p w14:paraId="4F615516" w14:textId="1EEFC2F9" w:rsidR="0031593C" w:rsidRPr="00CF02B8" w:rsidRDefault="0031593C" w:rsidP="00825BD3">
      <w:pPr>
        <w:numPr>
          <w:ilvl w:val="0"/>
          <w:numId w:val="54"/>
        </w:numPr>
        <w:contextualSpacing/>
        <w:rPr>
          <w:rFonts w:ascii="Calibri" w:eastAsia="Times New Roman" w:hAnsi="Calibri" w:cs="Arial"/>
          <w:sz w:val="20"/>
          <w:szCs w:val="20"/>
          <w:lang w:val="en-US"/>
        </w:rPr>
      </w:pPr>
      <w:r w:rsidRPr="00CF02B8">
        <w:rPr>
          <w:rFonts w:ascii="Calibri" w:eastAsia="Times New Roman" w:hAnsi="Calibri" w:cs="Arial"/>
          <w:sz w:val="20"/>
          <w:szCs w:val="20"/>
          <w:lang w:val="en-US"/>
        </w:rPr>
        <w:t xml:space="preserve"> Dalbeth N. et al</w:t>
      </w:r>
      <w:r w:rsidRPr="00CF02B8">
        <w:rPr>
          <w:rFonts w:ascii="Calibri" w:eastAsia="Times New Roman" w:hAnsi="Calibri" w:cs="Times New Roman"/>
          <w:lang w:val="en-US"/>
        </w:rPr>
        <w:t xml:space="preserve"> </w:t>
      </w:r>
      <w:r w:rsidRPr="00CF02B8">
        <w:rPr>
          <w:rFonts w:ascii="Calibri" w:eastAsia="Times New Roman" w:hAnsi="Calibri" w:cs="Arial"/>
          <w:sz w:val="20"/>
          <w:szCs w:val="20"/>
          <w:lang w:val="en-US"/>
        </w:rPr>
        <w:t xml:space="preserve">Lesinurad, a Novel Selective Uric Acid Reabsorption Inhibitor, in Combination With Febuxostat,in Patients With Tophaceous Gout: The CRYSTAL Phase III Clinical Trial </w:t>
      </w:r>
      <w:r w:rsidR="003B4499">
        <w:rPr>
          <w:rFonts w:ascii="Calibri" w:eastAsia="Times New Roman" w:hAnsi="Calibri" w:cs="Arial"/>
          <w:sz w:val="20"/>
          <w:szCs w:val="20"/>
          <w:lang w:val="en-US"/>
        </w:rPr>
        <w:t>Poster p</w:t>
      </w:r>
      <w:r w:rsidRPr="00CF02B8">
        <w:rPr>
          <w:rFonts w:ascii="Calibri" w:eastAsia="Times New Roman" w:hAnsi="Calibri" w:cs="Arial"/>
          <w:iCs/>
          <w:sz w:val="20"/>
          <w:szCs w:val="20"/>
          <w:lang w:val="en-US"/>
        </w:rPr>
        <w:t>resented at the 16th EULAR Annual European Congress of Rheumatology, Rome, Italy, June 10-13, 2015.</w:t>
      </w:r>
    </w:p>
    <w:p w14:paraId="6409FB97" w14:textId="77777777" w:rsidR="0031593C" w:rsidRPr="00CF02B8" w:rsidRDefault="0031593C" w:rsidP="00825BD3">
      <w:pPr>
        <w:numPr>
          <w:ilvl w:val="0"/>
          <w:numId w:val="54"/>
        </w:numPr>
        <w:contextualSpacing/>
        <w:rPr>
          <w:rFonts w:ascii="Calibri" w:eastAsia="Times New Roman" w:hAnsi="Calibri" w:cs="Arial"/>
          <w:sz w:val="20"/>
          <w:szCs w:val="20"/>
          <w:lang w:val="en-US"/>
        </w:rPr>
      </w:pPr>
      <w:r w:rsidRPr="00CF02B8">
        <w:rPr>
          <w:rFonts w:ascii="Calibri" w:eastAsia="Times New Roman" w:hAnsi="Calibri" w:cs="Arial"/>
          <w:sz w:val="20"/>
          <w:szCs w:val="20"/>
          <w:lang w:val="en-US"/>
        </w:rPr>
        <w:t xml:space="preserve"> Sarnak MJ, Levey AS, Schoolwerth AC, Coresh J, Culleton B, Hamm LL, et al. Kidney disease as a risk factor for development of cardiovascular disease: a statement from the American Heart Association Councils on Kidney in Cardiovascular Disease, High Blood Pressure Research, Clinical Cardiology, and Epidemiology and Prevention. Hypertension. 2003 Nov;42(5):1050-65.</w:t>
      </w:r>
    </w:p>
    <w:p w14:paraId="6E05BE72" w14:textId="77777777" w:rsidR="0031593C" w:rsidRPr="00CF02B8" w:rsidRDefault="0031593C" w:rsidP="00825BD3">
      <w:pPr>
        <w:numPr>
          <w:ilvl w:val="0"/>
          <w:numId w:val="54"/>
        </w:numPr>
        <w:contextualSpacing/>
        <w:jc w:val="both"/>
        <w:rPr>
          <w:rFonts w:ascii="Calibri" w:eastAsia="Times New Roman" w:hAnsi="Calibri" w:cs="Arial"/>
          <w:sz w:val="20"/>
          <w:szCs w:val="20"/>
          <w:lang w:val="en-US"/>
        </w:rPr>
      </w:pPr>
      <w:r w:rsidRPr="00CF02B8">
        <w:rPr>
          <w:rFonts w:ascii="Calibri" w:eastAsia="Times New Roman" w:hAnsi="Calibri" w:cs="Arial"/>
          <w:sz w:val="20"/>
          <w:szCs w:val="20"/>
          <w:lang w:val="en-US"/>
        </w:rPr>
        <w:t xml:space="preserve"> </w:t>
      </w:r>
      <w:r w:rsidRPr="00CF02B8">
        <w:rPr>
          <w:rFonts w:ascii="Calibri" w:eastAsia="Times New Roman" w:hAnsi="Calibri" w:cs="Arial"/>
          <w:iCs/>
          <w:sz w:val="20"/>
          <w:szCs w:val="20"/>
          <w:lang w:val="en-US"/>
        </w:rPr>
        <w:t>Saag K et al Examination of Serum Uric Acid (sUA) Lowering and Safety With Extended Treatment With Lesinurad and Allopurinol in Subjects With Gout Presented at the EULAR Annual European Congress of Rheumatology, London, UK, June 8-11, 2016</w:t>
      </w:r>
    </w:p>
    <w:p w14:paraId="5B0A13D0" w14:textId="466127AF" w:rsidR="00022BDF" w:rsidRPr="00022BDF" w:rsidRDefault="0031593C" w:rsidP="00825BD3">
      <w:pPr>
        <w:numPr>
          <w:ilvl w:val="0"/>
          <w:numId w:val="54"/>
        </w:numPr>
        <w:contextualSpacing/>
        <w:rPr>
          <w:rFonts w:ascii="Calibri" w:eastAsia="Times New Roman" w:hAnsi="Calibri" w:cs="Arial"/>
          <w:sz w:val="20"/>
          <w:szCs w:val="20"/>
          <w:lang w:val="en-US"/>
        </w:rPr>
      </w:pPr>
      <w:r w:rsidRPr="00CF02B8">
        <w:rPr>
          <w:rFonts w:ascii="Calibri" w:eastAsia="Times New Roman" w:hAnsi="Calibri" w:cs="Arial"/>
          <w:iCs/>
          <w:sz w:val="20"/>
          <w:szCs w:val="20"/>
          <w:lang w:val="en-US"/>
        </w:rPr>
        <w:t>Dalbeth, Efficacy and Safety in Patients With Tophaceous Gout Receiving Lesinurad and Febuxostat Combination Therapy: Interim Analysis of an Extension Study Presented at the 79th Annual Meeting of the American College of Rheumatology (ACR), San Francisco, CA, USA, November 6-11, 2015.</w:t>
      </w:r>
    </w:p>
    <w:p w14:paraId="40E24EAF" w14:textId="2C161522" w:rsidR="00022BDF" w:rsidRPr="00022BDF" w:rsidRDefault="00022BDF" w:rsidP="00825BD3">
      <w:pPr>
        <w:numPr>
          <w:ilvl w:val="0"/>
          <w:numId w:val="54"/>
        </w:numPr>
        <w:contextualSpacing/>
        <w:rPr>
          <w:rFonts w:ascii="Calibri" w:eastAsia="Times New Roman" w:hAnsi="Calibri" w:cs="Arial"/>
          <w:sz w:val="20"/>
          <w:szCs w:val="20"/>
          <w:lang w:val="en-US"/>
        </w:rPr>
      </w:pPr>
      <w:r w:rsidRPr="00022BDF">
        <w:rPr>
          <w:rFonts w:ascii="Calibri" w:eastAsia="Times New Roman" w:hAnsi="Calibri" w:cs="Arial"/>
          <w:sz w:val="20"/>
          <w:szCs w:val="20"/>
          <w:lang w:val="en-GB"/>
        </w:rPr>
        <w:t>Ardea Biosciences Inc. Clinical Study Report Synopsis RDEA594-306: A long-term extension study of lesinurad in combination with allopurinol for subjects completing an efficacy and safety study of lesinurad and allopurinol. 2016</w:t>
      </w:r>
      <w:r>
        <w:rPr>
          <w:rFonts w:ascii="Calibri" w:eastAsia="Times New Roman" w:hAnsi="Calibri" w:cs="Arial"/>
          <w:sz w:val="20"/>
          <w:szCs w:val="20"/>
          <w:lang w:val="en-GB"/>
        </w:rPr>
        <w:t>.</w:t>
      </w:r>
    </w:p>
    <w:p w14:paraId="5E6D8F0F" w14:textId="54C5E093" w:rsidR="00022BDF" w:rsidRPr="00022BDF" w:rsidRDefault="00022BDF" w:rsidP="00825BD3">
      <w:pPr>
        <w:numPr>
          <w:ilvl w:val="0"/>
          <w:numId w:val="54"/>
        </w:numPr>
        <w:contextualSpacing/>
        <w:rPr>
          <w:rFonts w:ascii="Calibri" w:eastAsia="Times New Roman" w:hAnsi="Calibri" w:cs="Arial"/>
          <w:sz w:val="20"/>
          <w:szCs w:val="20"/>
          <w:lang w:val="en-US"/>
        </w:rPr>
      </w:pPr>
      <w:r w:rsidRPr="00022BDF">
        <w:rPr>
          <w:rFonts w:ascii="Calibri" w:eastAsia="Times New Roman" w:hAnsi="Calibri" w:cs="Arial"/>
          <w:sz w:val="20"/>
          <w:szCs w:val="20"/>
          <w:lang w:val="en-GB"/>
        </w:rPr>
        <w:t xml:space="preserve">Food and Drug Administration. Guidance for Industry. Submission of Abbreviated Reports and Synopses in Support of Marketing Applications. Available at: </w:t>
      </w:r>
      <w:hyperlink r:id="rId78" w:history="1">
        <w:r w:rsidRPr="00022BDF">
          <w:rPr>
            <w:rStyle w:val="Hyperlink"/>
            <w:rFonts w:ascii="Calibri" w:eastAsia="Times New Roman" w:hAnsi="Calibri" w:cs="Arial"/>
            <w:sz w:val="20"/>
            <w:szCs w:val="20"/>
            <w:lang w:val="en-GB"/>
          </w:rPr>
          <w:t>http://www.fda.gov/downloads/drugs/guidancecomplianceregulatoryinformation/guidances/ucm072053.pdf</w:t>
        </w:r>
      </w:hyperlink>
      <w:r w:rsidRPr="00022BDF">
        <w:rPr>
          <w:rFonts w:ascii="Calibri" w:eastAsia="Times New Roman" w:hAnsi="Calibri" w:cs="Arial"/>
          <w:sz w:val="20"/>
          <w:szCs w:val="20"/>
          <w:lang w:val="en-GB"/>
        </w:rPr>
        <w:t xml:space="preserve"> [Last accessed January 2017]. 1999</w:t>
      </w:r>
      <w:r>
        <w:rPr>
          <w:rFonts w:ascii="Calibri" w:eastAsia="Times New Roman" w:hAnsi="Calibri" w:cs="Arial"/>
          <w:sz w:val="20"/>
          <w:szCs w:val="20"/>
          <w:lang w:val="en-GB"/>
        </w:rPr>
        <w:t>.</w:t>
      </w:r>
    </w:p>
    <w:p w14:paraId="591D5154" w14:textId="5FA5AE32" w:rsidR="00022BDF" w:rsidRPr="00127846" w:rsidRDefault="00022BDF" w:rsidP="00825BD3">
      <w:pPr>
        <w:numPr>
          <w:ilvl w:val="0"/>
          <w:numId w:val="54"/>
        </w:numPr>
        <w:contextualSpacing/>
        <w:rPr>
          <w:rFonts w:ascii="Calibri" w:eastAsia="Times New Roman" w:hAnsi="Calibri" w:cs="Arial"/>
          <w:sz w:val="20"/>
          <w:szCs w:val="20"/>
          <w:lang w:val="en-US"/>
        </w:rPr>
      </w:pPr>
      <w:r w:rsidRPr="00022BDF">
        <w:rPr>
          <w:rFonts w:ascii="Calibri" w:eastAsia="Times New Roman" w:hAnsi="Calibri" w:cs="Arial"/>
          <w:sz w:val="20"/>
          <w:szCs w:val="20"/>
          <w:lang w:val="en-GB"/>
        </w:rPr>
        <w:t>Ardea Biosciences Inc. Interim Clinical Study Report RDEA594-306: A long-term extension study of lesinurad in combination with allopurinol for subjects completing an efficacy and safety study of lesinurad and allopurinol. First interim cut-off date: 17 June 2014. 2014</w:t>
      </w:r>
      <w:r w:rsidR="00127846">
        <w:rPr>
          <w:rFonts w:ascii="Calibri" w:eastAsia="Times New Roman" w:hAnsi="Calibri" w:cs="Arial"/>
          <w:sz w:val="20"/>
          <w:szCs w:val="20"/>
          <w:lang w:val="en-GB"/>
        </w:rPr>
        <w:t>.</w:t>
      </w:r>
    </w:p>
    <w:p w14:paraId="19EE2247" w14:textId="16C42B7B" w:rsidR="00127846" w:rsidRPr="00127846" w:rsidRDefault="00127846" w:rsidP="00825BD3">
      <w:pPr>
        <w:numPr>
          <w:ilvl w:val="0"/>
          <w:numId w:val="54"/>
        </w:numPr>
        <w:contextualSpacing/>
        <w:rPr>
          <w:rFonts w:ascii="Calibri" w:eastAsia="Times New Roman" w:hAnsi="Calibri" w:cs="Arial"/>
          <w:sz w:val="20"/>
          <w:szCs w:val="20"/>
          <w:lang w:val="en-US"/>
        </w:rPr>
      </w:pPr>
      <w:r w:rsidRPr="00127846">
        <w:rPr>
          <w:rFonts w:ascii="Calibri" w:eastAsia="Times New Roman" w:hAnsi="Calibri" w:cs="Arial"/>
          <w:sz w:val="20"/>
          <w:szCs w:val="20"/>
          <w:lang w:val="en-GB"/>
        </w:rPr>
        <w:t>A</w:t>
      </w:r>
      <w:r>
        <w:rPr>
          <w:rFonts w:ascii="Calibri" w:eastAsia="Times New Roman" w:hAnsi="Calibri" w:cs="Arial"/>
          <w:sz w:val="20"/>
          <w:szCs w:val="20"/>
          <w:lang w:val="en-GB"/>
        </w:rPr>
        <w:t>r</w:t>
      </w:r>
      <w:r w:rsidRPr="00127846">
        <w:rPr>
          <w:rFonts w:ascii="Calibri" w:eastAsia="Times New Roman" w:hAnsi="Calibri" w:cs="Arial"/>
          <w:sz w:val="20"/>
          <w:szCs w:val="20"/>
          <w:lang w:val="en-GB"/>
        </w:rPr>
        <w:t>dea Biosciences Inc. Interim Clinical Study Report RDEA594-307: A long-term extension study of lesinurad in combination with febuxostat for subjects with gout completing an efficacy and safety study of lesinurad and febuxostat. First interim cut-off date: 10 June 2014. 2014</w:t>
      </w:r>
      <w:r>
        <w:rPr>
          <w:rFonts w:ascii="Calibri" w:eastAsia="Times New Roman" w:hAnsi="Calibri" w:cs="Arial"/>
          <w:sz w:val="20"/>
          <w:szCs w:val="20"/>
          <w:lang w:val="en-GB"/>
        </w:rPr>
        <w:t>.</w:t>
      </w:r>
    </w:p>
    <w:p w14:paraId="2F11875F" w14:textId="7EC4CBB9" w:rsidR="00127846" w:rsidRPr="00CF02B8" w:rsidRDefault="00127846" w:rsidP="00825BD3">
      <w:pPr>
        <w:numPr>
          <w:ilvl w:val="0"/>
          <w:numId w:val="54"/>
        </w:numPr>
        <w:contextualSpacing/>
        <w:rPr>
          <w:rFonts w:ascii="Calibri" w:eastAsia="Times New Roman" w:hAnsi="Calibri" w:cs="Arial"/>
          <w:sz w:val="20"/>
          <w:szCs w:val="20"/>
          <w:lang w:val="en-US"/>
        </w:rPr>
      </w:pPr>
      <w:r w:rsidRPr="00127846">
        <w:rPr>
          <w:rFonts w:ascii="Calibri" w:eastAsia="Times New Roman" w:hAnsi="Calibri" w:cs="Arial"/>
          <w:sz w:val="20"/>
          <w:szCs w:val="20"/>
          <w:lang w:val="en-GB"/>
        </w:rPr>
        <w:t>A</w:t>
      </w:r>
      <w:r>
        <w:rPr>
          <w:rFonts w:ascii="Calibri" w:eastAsia="Times New Roman" w:hAnsi="Calibri" w:cs="Arial"/>
          <w:sz w:val="20"/>
          <w:szCs w:val="20"/>
          <w:lang w:val="en-GB"/>
        </w:rPr>
        <w:t>r</w:t>
      </w:r>
      <w:r w:rsidRPr="00127846">
        <w:rPr>
          <w:rFonts w:ascii="Calibri" w:eastAsia="Times New Roman" w:hAnsi="Calibri" w:cs="Arial"/>
          <w:sz w:val="20"/>
          <w:szCs w:val="20"/>
          <w:lang w:val="en-GB"/>
        </w:rPr>
        <w:t>dea Biosciences Inc. Clinical Study Report Synopsis RDEA594-307: A long-term extension study of lesinurad in combination with febuxostat for subjects with gout completing an efficacy and safety study of lesinurad and febuxostat. 2016</w:t>
      </w:r>
      <w:r>
        <w:rPr>
          <w:rFonts w:ascii="Calibri" w:eastAsia="Times New Roman" w:hAnsi="Calibri" w:cs="Arial"/>
          <w:sz w:val="20"/>
          <w:szCs w:val="20"/>
          <w:lang w:val="en-GB"/>
        </w:rPr>
        <w:t>.</w:t>
      </w:r>
    </w:p>
    <w:p w14:paraId="48AF3232" w14:textId="77777777" w:rsidR="00F77D26" w:rsidRPr="009C6FBA" w:rsidRDefault="00F77D26" w:rsidP="00F77D26">
      <w:pPr>
        <w:rPr>
          <w:rFonts w:cs="Arial"/>
          <w:sz w:val="20"/>
          <w:szCs w:val="20"/>
          <w:lang w:val="en-US"/>
        </w:rPr>
      </w:pPr>
    </w:p>
    <w:p w14:paraId="0BFA68D9" w14:textId="18C965E9" w:rsidR="00C3636C" w:rsidRPr="009C6FBA" w:rsidRDefault="00C3636C" w:rsidP="00F77D26">
      <w:pPr>
        <w:rPr>
          <w:rFonts w:cs="Arial"/>
          <w:sz w:val="20"/>
          <w:szCs w:val="20"/>
          <w:lang w:val="en-US"/>
        </w:rPr>
      </w:pPr>
    </w:p>
    <w:p w14:paraId="0D903B84" w14:textId="77777777" w:rsidR="00C3636C" w:rsidRPr="009C6FBA" w:rsidRDefault="00C3636C" w:rsidP="00C3636C">
      <w:pPr>
        <w:rPr>
          <w:rFonts w:cs="Arial"/>
          <w:sz w:val="20"/>
          <w:szCs w:val="20"/>
          <w:lang w:val="en-US"/>
        </w:rPr>
      </w:pPr>
    </w:p>
    <w:p w14:paraId="6AAA86D2" w14:textId="77777777" w:rsidR="004630F4" w:rsidRPr="009C6FBA" w:rsidRDefault="004630F4">
      <w:pPr>
        <w:rPr>
          <w:rFonts w:eastAsia="Calibri" w:cstheme="minorHAnsi"/>
          <w:bCs/>
          <w:color w:val="00355F"/>
          <w:sz w:val="20"/>
          <w:szCs w:val="20"/>
          <w:lang w:val="en-US" w:eastAsia="it-IT"/>
        </w:rPr>
      </w:pPr>
      <w:r w:rsidRPr="009C6FBA">
        <w:rPr>
          <w:rFonts w:eastAsia="Calibri" w:cstheme="minorHAnsi"/>
          <w:b/>
          <w:lang w:val="en-US" w:eastAsia="it-IT"/>
        </w:rPr>
        <w:br w:type="page"/>
      </w:r>
    </w:p>
    <w:p w14:paraId="47E474AD" w14:textId="02479B7E" w:rsidR="0009277C" w:rsidRPr="003840E3" w:rsidRDefault="0063089E" w:rsidP="001E4DFC">
      <w:pPr>
        <w:pStyle w:val="Heading1"/>
        <w:rPr>
          <w:rFonts w:asciiTheme="minorHAnsi" w:hAnsiTheme="minorHAnsi" w:cstheme="minorHAnsi"/>
        </w:rPr>
      </w:pPr>
      <w:bookmarkStart w:id="252" w:name="_Toc472698023"/>
      <w:bookmarkStart w:id="253" w:name="_Toc473184587"/>
      <w:r w:rsidRPr="003840E3">
        <w:rPr>
          <w:rFonts w:asciiTheme="minorHAnsi" w:hAnsiTheme="minorHAnsi" w:cstheme="minorHAnsi"/>
        </w:rPr>
        <w:t xml:space="preserve">Allegato </w:t>
      </w:r>
      <w:bookmarkStart w:id="254" w:name="Allegato1"/>
      <w:bookmarkEnd w:id="254"/>
      <w:r w:rsidRPr="001E4DFC">
        <w:rPr>
          <w:rFonts w:asciiTheme="minorHAnsi" w:hAnsiTheme="minorHAnsi" w:cstheme="minorHAnsi"/>
        </w:rPr>
        <w:fldChar w:fldCharType="begin"/>
      </w:r>
      <w:r w:rsidRPr="003840E3">
        <w:rPr>
          <w:rFonts w:asciiTheme="minorHAnsi" w:hAnsiTheme="minorHAnsi" w:cstheme="minorHAnsi"/>
        </w:rPr>
        <w:instrText xml:space="preserve"> SEQ Allegato \* ARABIC </w:instrText>
      </w:r>
      <w:r w:rsidRPr="001E4DFC">
        <w:rPr>
          <w:rFonts w:asciiTheme="minorHAnsi" w:hAnsiTheme="minorHAnsi" w:cstheme="minorHAnsi"/>
        </w:rPr>
        <w:fldChar w:fldCharType="separate"/>
      </w:r>
      <w:r w:rsidR="00A1679C">
        <w:rPr>
          <w:rFonts w:asciiTheme="minorHAnsi" w:hAnsiTheme="minorHAnsi" w:cstheme="minorHAnsi"/>
        </w:rPr>
        <w:t>1</w:t>
      </w:r>
      <w:r w:rsidRPr="001E4DFC">
        <w:rPr>
          <w:rFonts w:asciiTheme="minorHAnsi" w:hAnsiTheme="minorHAnsi" w:cstheme="minorHAnsi"/>
        </w:rPr>
        <w:fldChar w:fldCharType="end"/>
      </w:r>
      <w:r w:rsidR="00F7367A" w:rsidRPr="003840E3">
        <w:rPr>
          <w:rFonts w:asciiTheme="minorHAnsi" w:hAnsiTheme="minorHAnsi" w:cstheme="minorHAnsi"/>
        </w:rPr>
        <w:t xml:space="preserve"> </w:t>
      </w:r>
      <w:r w:rsidR="0078540A" w:rsidRPr="003840E3">
        <w:rPr>
          <w:rFonts w:asciiTheme="minorHAnsi" w:hAnsiTheme="minorHAnsi" w:cstheme="minorHAnsi"/>
        </w:rPr>
        <w:t>–</w:t>
      </w:r>
      <w:r w:rsidR="00F7367A" w:rsidRPr="003840E3">
        <w:rPr>
          <w:rFonts w:asciiTheme="minorHAnsi" w:hAnsiTheme="minorHAnsi" w:cstheme="minorHAnsi"/>
        </w:rPr>
        <w:t xml:space="preserve"> </w:t>
      </w:r>
      <w:r w:rsidR="002A3CC7" w:rsidRPr="003840E3">
        <w:rPr>
          <w:rFonts w:asciiTheme="minorHAnsi" w:hAnsiTheme="minorHAnsi" w:cstheme="minorHAnsi"/>
        </w:rPr>
        <w:t>Punzi L</w:t>
      </w:r>
      <w:r w:rsidR="00E407F8" w:rsidRPr="003840E3">
        <w:rPr>
          <w:rFonts w:asciiTheme="minorHAnsi" w:hAnsiTheme="minorHAnsi" w:cstheme="minorHAnsi"/>
        </w:rPr>
        <w:t xml:space="preserve"> – Expert Statement, Gennaio 2017</w:t>
      </w:r>
      <w:bookmarkEnd w:id="252"/>
      <w:bookmarkEnd w:id="253"/>
    </w:p>
    <w:p w14:paraId="32315BFC" w14:textId="5ADB2391" w:rsidR="0090165D" w:rsidRDefault="0090165D">
      <w:pPr>
        <w:rPr>
          <w:rFonts w:ascii="Arial" w:eastAsia="Times New Roman" w:hAnsi="Arial" w:cs="Arial"/>
          <w:sz w:val="23"/>
          <w:szCs w:val="23"/>
          <w:lang w:eastAsia="en-US"/>
        </w:rPr>
      </w:pPr>
      <w:r>
        <w:rPr>
          <w:noProof/>
          <w:lang w:val="en-GB" w:eastAsia="en-GB"/>
        </w:rPr>
        <w:drawing>
          <wp:inline distT="0" distB="0" distL="0" distR="0" wp14:anchorId="25A70A7E" wp14:editId="30D48402">
            <wp:extent cx="6172200" cy="7645400"/>
            <wp:effectExtent l="0" t="0" r="0" b="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66934" cy="7638877"/>
                    </a:xfrm>
                    <a:prstGeom prst="rect">
                      <a:avLst/>
                    </a:prstGeom>
                    <a:noFill/>
                    <a:ln>
                      <a:noFill/>
                    </a:ln>
                  </pic:spPr>
                </pic:pic>
              </a:graphicData>
            </a:graphic>
          </wp:inline>
        </w:drawing>
      </w:r>
      <w:r>
        <w:br w:type="page"/>
      </w:r>
    </w:p>
    <w:p w14:paraId="13BF5257" w14:textId="062C50DE" w:rsidR="0090165D" w:rsidRDefault="0090165D">
      <w:pPr>
        <w:rPr>
          <w:rFonts w:ascii="Arial" w:eastAsia="Times New Roman" w:hAnsi="Arial" w:cs="Arial"/>
          <w:sz w:val="23"/>
          <w:szCs w:val="23"/>
          <w:lang w:eastAsia="en-US"/>
        </w:rPr>
      </w:pPr>
      <w:r>
        <w:rPr>
          <w:noProof/>
          <w:lang w:val="en-GB" w:eastAsia="en-GB"/>
        </w:rPr>
        <w:drawing>
          <wp:inline distT="0" distB="0" distL="0" distR="0" wp14:anchorId="61A9955F" wp14:editId="5C5BD8C5">
            <wp:extent cx="6134100" cy="8356600"/>
            <wp:effectExtent l="0" t="0" r="0" b="635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34100" cy="8356600"/>
                    </a:xfrm>
                    <a:prstGeom prst="rect">
                      <a:avLst/>
                    </a:prstGeom>
                    <a:noFill/>
                    <a:ln>
                      <a:noFill/>
                    </a:ln>
                  </pic:spPr>
                </pic:pic>
              </a:graphicData>
            </a:graphic>
          </wp:inline>
        </w:drawing>
      </w:r>
      <w:r>
        <w:br w:type="page"/>
      </w:r>
    </w:p>
    <w:p w14:paraId="3827150A" w14:textId="68F1D94D" w:rsidR="0090165D" w:rsidRDefault="0090165D">
      <w:pPr>
        <w:rPr>
          <w:rFonts w:ascii="Arial" w:eastAsia="Times New Roman" w:hAnsi="Arial" w:cs="Arial"/>
          <w:sz w:val="23"/>
          <w:szCs w:val="23"/>
          <w:lang w:eastAsia="en-US"/>
        </w:rPr>
      </w:pPr>
      <w:r>
        <w:rPr>
          <w:noProof/>
          <w:lang w:val="en-GB" w:eastAsia="en-GB"/>
        </w:rPr>
        <w:drawing>
          <wp:inline distT="0" distB="0" distL="0" distR="0" wp14:anchorId="1610144D" wp14:editId="67191986">
            <wp:extent cx="6184900" cy="8420100"/>
            <wp:effectExtent l="0" t="0" r="6350" b="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83981" cy="8418849"/>
                    </a:xfrm>
                    <a:prstGeom prst="rect">
                      <a:avLst/>
                    </a:prstGeom>
                    <a:noFill/>
                    <a:ln>
                      <a:noFill/>
                    </a:ln>
                  </pic:spPr>
                </pic:pic>
              </a:graphicData>
            </a:graphic>
          </wp:inline>
        </w:drawing>
      </w:r>
      <w:r>
        <w:rPr>
          <w:noProof/>
          <w:lang w:val="en-GB" w:eastAsia="en-GB"/>
        </w:rPr>
        <w:drawing>
          <wp:inline distT="0" distB="0" distL="0" distR="0" wp14:anchorId="47B0B468" wp14:editId="05B13939">
            <wp:extent cx="6134100" cy="8445500"/>
            <wp:effectExtent l="0" t="0" r="0"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38897" cy="8452104"/>
                    </a:xfrm>
                    <a:prstGeom prst="rect">
                      <a:avLst/>
                    </a:prstGeom>
                    <a:noFill/>
                    <a:ln>
                      <a:noFill/>
                    </a:ln>
                  </pic:spPr>
                </pic:pic>
              </a:graphicData>
            </a:graphic>
          </wp:inline>
        </w:drawing>
      </w:r>
      <w:r>
        <w:rPr>
          <w:noProof/>
          <w:lang w:val="en-GB" w:eastAsia="en-GB"/>
        </w:rPr>
        <w:drawing>
          <wp:inline distT="0" distB="0" distL="0" distR="0" wp14:anchorId="79FDD371" wp14:editId="46077A66">
            <wp:extent cx="6159500" cy="8255000"/>
            <wp:effectExtent l="0" t="0" r="0" b="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51860" cy="8244761"/>
                    </a:xfrm>
                    <a:prstGeom prst="rect">
                      <a:avLst/>
                    </a:prstGeom>
                    <a:noFill/>
                    <a:ln>
                      <a:noFill/>
                    </a:ln>
                  </pic:spPr>
                </pic:pic>
              </a:graphicData>
            </a:graphic>
          </wp:inline>
        </w:drawing>
      </w:r>
      <w:r>
        <w:br w:type="page"/>
      </w:r>
    </w:p>
    <w:p w14:paraId="293AEDFB" w14:textId="7AF7F3B2" w:rsidR="0090165D" w:rsidRDefault="0090165D">
      <w:pPr>
        <w:rPr>
          <w:rFonts w:ascii="Arial" w:eastAsia="Times New Roman" w:hAnsi="Arial" w:cs="Arial"/>
          <w:sz w:val="23"/>
          <w:szCs w:val="23"/>
          <w:lang w:eastAsia="en-US"/>
        </w:rPr>
      </w:pPr>
      <w:r>
        <w:rPr>
          <w:noProof/>
          <w:lang w:val="en-GB" w:eastAsia="en-GB"/>
        </w:rPr>
        <w:drawing>
          <wp:inline distT="0" distB="0" distL="0" distR="0" wp14:anchorId="7A8636A7" wp14:editId="3BECD712">
            <wp:extent cx="6121400" cy="8001000"/>
            <wp:effectExtent l="0" t="0" r="0" b="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1372" cy="8000963"/>
                    </a:xfrm>
                    <a:prstGeom prst="rect">
                      <a:avLst/>
                    </a:prstGeom>
                    <a:noFill/>
                    <a:ln>
                      <a:noFill/>
                    </a:ln>
                  </pic:spPr>
                </pic:pic>
              </a:graphicData>
            </a:graphic>
          </wp:inline>
        </w:drawing>
      </w:r>
      <w:r>
        <w:br w:type="page"/>
      </w:r>
    </w:p>
    <w:p w14:paraId="2A6FE8B4" w14:textId="3B745B2C" w:rsidR="0090165D" w:rsidRDefault="0090165D">
      <w:pPr>
        <w:rPr>
          <w:rFonts w:ascii="Arial" w:eastAsia="Times New Roman" w:hAnsi="Arial" w:cs="Arial"/>
          <w:sz w:val="23"/>
          <w:szCs w:val="23"/>
          <w:lang w:eastAsia="en-US"/>
        </w:rPr>
      </w:pPr>
      <w:r>
        <w:rPr>
          <w:noProof/>
          <w:lang w:val="en-GB" w:eastAsia="en-GB"/>
        </w:rPr>
        <w:drawing>
          <wp:inline distT="0" distB="0" distL="0" distR="0" wp14:anchorId="549E17E7" wp14:editId="474E4F94">
            <wp:extent cx="6108700" cy="8325668"/>
            <wp:effectExtent l="0" t="0" r="6350" b="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00844" cy="8314961"/>
                    </a:xfrm>
                    <a:prstGeom prst="rect">
                      <a:avLst/>
                    </a:prstGeom>
                    <a:noFill/>
                    <a:ln>
                      <a:noFill/>
                    </a:ln>
                  </pic:spPr>
                </pic:pic>
              </a:graphicData>
            </a:graphic>
          </wp:inline>
        </w:drawing>
      </w:r>
      <w:r>
        <w:br w:type="page"/>
      </w:r>
    </w:p>
    <w:p w14:paraId="65D72836" w14:textId="7E4C9499" w:rsidR="0090165D" w:rsidRDefault="0090165D">
      <w:pPr>
        <w:rPr>
          <w:rFonts w:ascii="Arial" w:eastAsia="Times New Roman" w:hAnsi="Arial" w:cs="Arial"/>
          <w:sz w:val="23"/>
          <w:szCs w:val="23"/>
          <w:lang w:eastAsia="en-US"/>
        </w:rPr>
      </w:pPr>
      <w:r>
        <w:rPr>
          <w:noProof/>
          <w:lang w:val="en-GB" w:eastAsia="en-GB"/>
        </w:rPr>
        <w:drawing>
          <wp:inline distT="0" distB="0" distL="0" distR="0" wp14:anchorId="25096C85" wp14:editId="76525EC9">
            <wp:extent cx="6146800" cy="7670800"/>
            <wp:effectExtent l="0" t="0" r="6350" b="6350"/>
            <wp:docPr id="289" name="Immagin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44295" cy="7667674"/>
                    </a:xfrm>
                    <a:prstGeom prst="rect">
                      <a:avLst/>
                    </a:prstGeom>
                    <a:noFill/>
                    <a:ln>
                      <a:noFill/>
                    </a:ln>
                  </pic:spPr>
                </pic:pic>
              </a:graphicData>
            </a:graphic>
          </wp:inline>
        </w:drawing>
      </w:r>
      <w:r>
        <w:br w:type="page"/>
      </w:r>
    </w:p>
    <w:p w14:paraId="396B5053" w14:textId="37624DB2" w:rsidR="0090165D" w:rsidRDefault="00E724E5">
      <w:pPr>
        <w:rPr>
          <w:rFonts w:ascii="Arial" w:eastAsia="Times New Roman" w:hAnsi="Arial" w:cs="Arial"/>
          <w:sz w:val="23"/>
          <w:szCs w:val="23"/>
          <w:lang w:eastAsia="en-US"/>
        </w:rPr>
      </w:pPr>
      <w:r>
        <w:rPr>
          <w:noProof/>
          <w:lang w:val="en-GB" w:eastAsia="en-GB"/>
        </w:rPr>
        <w:drawing>
          <wp:inline distT="0" distB="0" distL="0" distR="0" wp14:anchorId="00001351" wp14:editId="69B21EAF">
            <wp:extent cx="6007100" cy="8039100"/>
            <wp:effectExtent l="0" t="0" r="0" b="0"/>
            <wp:docPr id="290" name="Immagin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10398" cy="8043513"/>
                    </a:xfrm>
                    <a:prstGeom prst="rect">
                      <a:avLst/>
                    </a:prstGeom>
                    <a:noFill/>
                    <a:ln>
                      <a:noFill/>
                    </a:ln>
                  </pic:spPr>
                </pic:pic>
              </a:graphicData>
            </a:graphic>
          </wp:inline>
        </w:drawing>
      </w:r>
      <w:r w:rsidR="0090165D">
        <w:br w:type="page"/>
      </w:r>
    </w:p>
    <w:p w14:paraId="3248456E" w14:textId="0B9DAC6C" w:rsidR="0090165D" w:rsidRDefault="0090165D">
      <w:pPr>
        <w:rPr>
          <w:rFonts w:ascii="Arial" w:eastAsia="Times New Roman" w:hAnsi="Arial" w:cs="Arial"/>
          <w:sz w:val="23"/>
          <w:szCs w:val="23"/>
          <w:lang w:eastAsia="en-US"/>
        </w:rPr>
      </w:pPr>
    </w:p>
    <w:p w14:paraId="203D56DA" w14:textId="49A21FD8" w:rsidR="0090165D" w:rsidRDefault="00225053">
      <w:pPr>
        <w:rPr>
          <w:rFonts w:ascii="Arial" w:eastAsia="Times New Roman" w:hAnsi="Arial" w:cs="Arial"/>
          <w:sz w:val="23"/>
          <w:szCs w:val="23"/>
          <w:lang w:eastAsia="en-US"/>
        </w:rPr>
      </w:pPr>
      <w:r>
        <w:rPr>
          <w:noProof/>
          <w:lang w:val="en-GB" w:eastAsia="en-GB"/>
        </w:rPr>
        <w:drawing>
          <wp:inline distT="0" distB="0" distL="0" distR="0" wp14:anchorId="16A6120A" wp14:editId="6BAC857F">
            <wp:extent cx="5732145" cy="7791951"/>
            <wp:effectExtent l="0" t="0" r="1905" b="0"/>
            <wp:docPr id="293" name="Immagin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2145" cy="7791951"/>
                    </a:xfrm>
                    <a:prstGeom prst="rect">
                      <a:avLst/>
                    </a:prstGeom>
                    <a:noFill/>
                    <a:ln>
                      <a:noFill/>
                    </a:ln>
                  </pic:spPr>
                </pic:pic>
              </a:graphicData>
            </a:graphic>
          </wp:inline>
        </w:drawing>
      </w:r>
      <w:r w:rsidR="0090165D">
        <w:br w:type="page"/>
      </w:r>
    </w:p>
    <w:p w14:paraId="7E7D87A1" w14:textId="223601C9" w:rsidR="0090165D" w:rsidRDefault="00225053">
      <w:pPr>
        <w:rPr>
          <w:rFonts w:ascii="Arial" w:eastAsia="Times New Roman" w:hAnsi="Arial" w:cs="Arial"/>
          <w:sz w:val="23"/>
          <w:szCs w:val="23"/>
          <w:lang w:eastAsia="en-US"/>
        </w:rPr>
      </w:pPr>
      <w:r>
        <w:rPr>
          <w:noProof/>
          <w:lang w:val="en-GB" w:eastAsia="en-GB"/>
        </w:rPr>
        <w:drawing>
          <wp:inline distT="0" distB="0" distL="0" distR="0" wp14:anchorId="17F7896E" wp14:editId="217DC5EB">
            <wp:extent cx="5732145" cy="8422005"/>
            <wp:effectExtent l="0" t="0" r="1905" b="0"/>
            <wp:docPr id="295" name="Immagin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2145" cy="8422005"/>
                    </a:xfrm>
                    <a:prstGeom prst="rect">
                      <a:avLst/>
                    </a:prstGeom>
                    <a:noFill/>
                    <a:ln>
                      <a:noFill/>
                    </a:ln>
                  </pic:spPr>
                </pic:pic>
              </a:graphicData>
            </a:graphic>
          </wp:inline>
        </w:drawing>
      </w:r>
      <w:r>
        <w:rPr>
          <w:noProof/>
          <w:lang w:val="en-GB" w:eastAsia="en-GB"/>
        </w:rPr>
        <w:drawing>
          <wp:inline distT="0" distB="0" distL="0" distR="0" wp14:anchorId="50D0C0C1" wp14:editId="13B8F45D">
            <wp:extent cx="6146800" cy="8064500"/>
            <wp:effectExtent l="0" t="0" r="6350" b="0"/>
            <wp:docPr id="297" name="Immagin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49938" cy="8068617"/>
                    </a:xfrm>
                    <a:prstGeom prst="rect">
                      <a:avLst/>
                    </a:prstGeom>
                    <a:noFill/>
                    <a:ln>
                      <a:noFill/>
                    </a:ln>
                  </pic:spPr>
                </pic:pic>
              </a:graphicData>
            </a:graphic>
          </wp:inline>
        </w:drawing>
      </w:r>
      <w:r w:rsidR="0090165D">
        <w:br w:type="page"/>
      </w:r>
    </w:p>
    <w:p w14:paraId="7EDB8D7F" w14:textId="5BCEAF95" w:rsidR="00065233" w:rsidRPr="00A1679C" w:rsidRDefault="0063089E" w:rsidP="001E4DFC">
      <w:pPr>
        <w:pStyle w:val="Heading1"/>
        <w:ind w:left="0" w:firstLine="0"/>
        <w:rPr>
          <w:rFonts w:asciiTheme="minorHAnsi" w:hAnsiTheme="minorHAnsi" w:cstheme="minorHAnsi"/>
          <w:lang w:val="en-US"/>
        </w:rPr>
      </w:pPr>
      <w:bookmarkStart w:id="255" w:name="Allegato2"/>
      <w:bookmarkStart w:id="256" w:name="_Toc472698024"/>
      <w:bookmarkStart w:id="257" w:name="_Toc473184588"/>
      <w:bookmarkEnd w:id="255"/>
      <w:r w:rsidRPr="00A1679C">
        <w:rPr>
          <w:rFonts w:asciiTheme="minorHAnsi" w:hAnsiTheme="minorHAnsi" w:cstheme="minorHAnsi"/>
          <w:lang w:val="en-US"/>
        </w:rPr>
        <w:t xml:space="preserve">Allegato </w:t>
      </w:r>
      <w:r w:rsidRPr="001E4DFC">
        <w:rPr>
          <w:rFonts w:asciiTheme="minorHAnsi" w:hAnsiTheme="minorHAnsi" w:cstheme="minorHAnsi"/>
        </w:rPr>
        <w:fldChar w:fldCharType="begin"/>
      </w:r>
      <w:r w:rsidRPr="00A1679C">
        <w:rPr>
          <w:rFonts w:asciiTheme="minorHAnsi" w:hAnsiTheme="minorHAnsi" w:cstheme="minorHAnsi"/>
          <w:lang w:val="en-US"/>
        </w:rPr>
        <w:instrText xml:space="preserve"> SEQ Allegato \* ARABIC </w:instrText>
      </w:r>
      <w:r w:rsidRPr="001E4DFC">
        <w:rPr>
          <w:rFonts w:asciiTheme="minorHAnsi" w:hAnsiTheme="minorHAnsi" w:cstheme="minorHAnsi"/>
        </w:rPr>
        <w:fldChar w:fldCharType="separate"/>
      </w:r>
      <w:r w:rsidR="00A1679C">
        <w:rPr>
          <w:rFonts w:asciiTheme="minorHAnsi" w:hAnsiTheme="minorHAnsi" w:cstheme="minorHAnsi"/>
          <w:lang w:val="en-US"/>
        </w:rPr>
        <w:t>2</w:t>
      </w:r>
      <w:r w:rsidRPr="001E4DFC">
        <w:rPr>
          <w:rFonts w:asciiTheme="minorHAnsi" w:hAnsiTheme="minorHAnsi" w:cstheme="minorHAnsi"/>
        </w:rPr>
        <w:fldChar w:fldCharType="end"/>
      </w:r>
      <w:r w:rsidR="00900574" w:rsidRPr="00A1679C">
        <w:rPr>
          <w:rFonts w:asciiTheme="minorHAnsi" w:hAnsiTheme="minorHAnsi" w:cstheme="minorHAnsi"/>
          <w:lang w:val="en-US"/>
        </w:rPr>
        <w:t xml:space="preserve"> </w:t>
      </w:r>
      <w:r w:rsidR="00C41225" w:rsidRPr="00A1679C">
        <w:rPr>
          <w:rFonts w:asciiTheme="minorHAnsi" w:hAnsiTheme="minorHAnsi" w:cstheme="minorHAnsi"/>
          <w:lang w:val="en-US"/>
        </w:rPr>
        <w:t>–</w:t>
      </w:r>
      <w:r w:rsidR="00900574" w:rsidRPr="00A1679C">
        <w:rPr>
          <w:rFonts w:asciiTheme="minorHAnsi" w:hAnsiTheme="minorHAnsi" w:cstheme="minorHAnsi"/>
          <w:lang w:val="en-US"/>
        </w:rPr>
        <w:t xml:space="preserve"> </w:t>
      </w:r>
      <w:r w:rsidR="00211678" w:rsidRPr="00A1679C">
        <w:rPr>
          <w:rFonts w:asciiTheme="minorHAnsi" w:hAnsiTheme="minorHAnsi" w:cstheme="minorHAnsi"/>
          <w:lang w:val="en-US"/>
        </w:rPr>
        <w:t>Basile</w:t>
      </w:r>
      <w:r w:rsidR="00C41225" w:rsidRPr="00A1679C">
        <w:rPr>
          <w:rFonts w:asciiTheme="minorHAnsi" w:hAnsiTheme="minorHAnsi" w:cstheme="minorHAnsi"/>
          <w:lang w:val="en-US"/>
        </w:rPr>
        <w:t xml:space="preserve"> M.</w:t>
      </w:r>
      <w:r w:rsidR="00A27B84" w:rsidRPr="00A1679C">
        <w:rPr>
          <w:rFonts w:asciiTheme="minorHAnsi" w:hAnsiTheme="minorHAnsi" w:cstheme="minorHAnsi"/>
          <w:lang w:val="en-US"/>
        </w:rPr>
        <w:t xml:space="preserve"> et al.</w:t>
      </w:r>
      <w:r w:rsidR="00C41225" w:rsidRPr="00A1679C">
        <w:rPr>
          <w:rFonts w:asciiTheme="minorHAnsi" w:hAnsiTheme="minorHAnsi" w:cstheme="minorHAnsi"/>
          <w:lang w:val="en-US"/>
        </w:rPr>
        <w:t>,</w:t>
      </w:r>
      <w:r w:rsidR="00900574" w:rsidRPr="00A1679C">
        <w:rPr>
          <w:rFonts w:asciiTheme="minorHAnsi" w:hAnsiTheme="minorHAnsi" w:cstheme="minorHAnsi"/>
          <w:lang w:val="en-US"/>
        </w:rPr>
        <w:t xml:space="preserve"> </w:t>
      </w:r>
      <w:r w:rsidR="00A27B84" w:rsidRPr="00A1679C">
        <w:rPr>
          <w:rFonts w:asciiTheme="minorHAnsi" w:hAnsiTheme="minorHAnsi" w:cstheme="minorHAnsi"/>
          <w:lang w:val="en-US"/>
        </w:rPr>
        <w:t>Health-economic implications of the use of Zurampic in the Italian Health Sector</w:t>
      </w:r>
      <w:r w:rsidR="00FC684E" w:rsidRPr="00A1679C">
        <w:rPr>
          <w:rFonts w:asciiTheme="minorHAnsi" w:hAnsiTheme="minorHAnsi" w:cstheme="minorHAnsi"/>
          <w:lang w:val="en-US"/>
        </w:rPr>
        <w:t xml:space="preserve">, </w:t>
      </w:r>
      <w:r w:rsidR="00C41225" w:rsidRPr="00A1679C">
        <w:rPr>
          <w:rFonts w:asciiTheme="minorHAnsi" w:hAnsiTheme="minorHAnsi" w:cstheme="minorHAnsi"/>
          <w:lang w:val="en-US"/>
        </w:rPr>
        <w:t xml:space="preserve">Altems </w:t>
      </w:r>
      <w:r w:rsidR="00211678" w:rsidRPr="00A1679C">
        <w:rPr>
          <w:rFonts w:asciiTheme="minorHAnsi" w:hAnsiTheme="minorHAnsi" w:cstheme="minorHAnsi"/>
          <w:lang w:val="en-US"/>
        </w:rPr>
        <w:t xml:space="preserve">Gennaio </w:t>
      </w:r>
      <w:r w:rsidR="00FC684E" w:rsidRPr="00A1679C">
        <w:rPr>
          <w:rFonts w:asciiTheme="minorHAnsi" w:hAnsiTheme="minorHAnsi" w:cstheme="minorHAnsi"/>
          <w:lang w:val="en-US"/>
        </w:rPr>
        <w:t>201</w:t>
      </w:r>
      <w:r w:rsidR="00E407F8" w:rsidRPr="00A1679C">
        <w:rPr>
          <w:rFonts w:asciiTheme="minorHAnsi" w:hAnsiTheme="minorHAnsi" w:cstheme="minorHAnsi"/>
          <w:lang w:val="en-US"/>
        </w:rPr>
        <w:t>7</w:t>
      </w:r>
      <w:bookmarkEnd w:id="256"/>
      <w:bookmarkEnd w:id="257"/>
    </w:p>
    <w:p w14:paraId="20E40B03" w14:textId="1D55E21C" w:rsidR="00FC684E" w:rsidRPr="00A1679C" w:rsidRDefault="00FC684E" w:rsidP="00065233">
      <w:pPr>
        <w:rPr>
          <w:rFonts w:cs="Calibri"/>
          <w:noProof/>
          <w:sz w:val="20"/>
          <w:szCs w:val="20"/>
          <w:lang w:val="en-US"/>
        </w:rPr>
      </w:pPr>
    </w:p>
    <w:p w14:paraId="37C8A89A" w14:textId="0C2D4EA5" w:rsidR="00E323CD" w:rsidRPr="00A1679C" w:rsidRDefault="00E323CD">
      <w:pPr>
        <w:rPr>
          <w:rFonts w:cs="Calibri"/>
          <w:noProof/>
          <w:sz w:val="20"/>
          <w:szCs w:val="20"/>
          <w:lang w:val="en-US"/>
        </w:rPr>
      </w:pPr>
    </w:p>
    <w:p w14:paraId="16390357" w14:textId="5A6EC2B7" w:rsidR="00E323CD" w:rsidRDefault="00AC21AE">
      <w:pPr>
        <w:rPr>
          <w:rFonts w:cs="Calibri"/>
          <w:noProof/>
          <w:sz w:val="20"/>
          <w:szCs w:val="20"/>
        </w:rPr>
      </w:pPr>
      <w:r>
        <w:rPr>
          <w:rFonts w:cs="Calibri"/>
          <w:noProof/>
          <w:sz w:val="20"/>
          <w:szCs w:val="20"/>
          <w:lang w:val="en-GB" w:eastAsia="en-GB"/>
        </w:rPr>
        <w:drawing>
          <wp:inline distT="0" distB="0" distL="0" distR="0" wp14:anchorId="03430B51" wp14:editId="019A5892">
            <wp:extent cx="5198276" cy="7289800"/>
            <wp:effectExtent l="0" t="0" r="2540" b="635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97869" cy="7289230"/>
                    </a:xfrm>
                    <a:prstGeom prst="rect">
                      <a:avLst/>
                    </a:prstGeom>
                    <a:noFill/>
                    <a:ln>
                      <a:noFill/>
                    </a:ln>
                  </pic:spPr>
                </pic:pic>
              </a:graphicData>
            </a:graphic>
          </wp:inline>
        </w:drawing>
      </w:r>
    </w:p>
    <w:p w14:paraId="098CA3C1" w14:textId="77777777" w:rsidR="00183B12" w:rsidRDefault="00183B12">
      <w:pPr>
        <w:rPr>
          <w:rFonts w:cs="Calibri"/>
          <w:noProof/>
          <w:sz w:val="20"/>
          <w:szCs w:val="20"/>
        </w:rPr>
      </w:pPr>
    </w:p>
    <w:p w14:paraId="11685C55" w14:textId="77777777" w:rsidR="00AC21AE" w:rsidRDefault="00AC21AE">
      <w:pPr>
        <w:rPr>
          <w:rFonts w:cs="Calibri"/>
          <w:noProof/>
          <w:sz w:val="20"/>
          <w:szCs w:val="20"/>
        </w:rPr>
      </w:pPr>
      <w:r>
        <w:rPr>
          <w:rFonts w:cs="Calibri"/>
          <w:noProof/>
          <w:sz w:val="20"/>
          <w:szCs w:val="20"/>
        </w:rPr>
        <w:br w:type="page"/>
      </w:r>
    </w:p>
    <w:p w14:paraId="1735C551" w14:textId="6E730161" w:rsidR="00AC21AE" w:rsidRDefault="00C5765A">
      <w:pPr>
        <w:rPr>
          <w:rFonts w:cs="Calibri"/>
          <w:noProof/>
          <w:sz w:val="20"/>
          <w:szCs w:val="20"/>
        </w:rPr>
      </w:pPr>
      <w:r>
        <w:rPr>
          <w:rFonts w:cs="Calibri"/>
          <w:noProof/>
          <w:sz w:val="20"/>
          <w:szCs w:val="20"/>
          <w:lang w:val="en-GB" w:eastAsia="en-GB"/>
        </w:rPr>
        <w:drawing>
          <wp:inline distT="0" distB="0" distL="0" distR="0" wp14:anchorId="4EAE7778" wp14:editId="5CB5B64F">
            <wp:extent cx="6070600" cy="8620803"/>
            <wp:effectExtent l="0" t="0" r="6350" b="889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74196" cy="8625910"/>
                    </a:xfrm>
                    <a:prstGeom prst="rect">
                      <a:avLst/>
                    </a:prstGeom>
                    <a:noFill/>
                    <a:ln>
                      <a:noFill/>
                    </a:ln>
                  </pic:spPr>
                </pic:pic>
              </a:graphicData>
            </a:graphic>
          </wp:inline>
        </w:drawing>
      </w:r>
      <w:r w:rsidR="001F0834">
        <w:rPr>
          <w:rFonts w:cs="Calibri"/>
          <w:noProof/>
          <w:sz w:val="20"/>
          <w:szCs w:val="20"/>
          <w:lang w:val="en-GB" w:eastAsia="en-GB"/>
        </w:rPr>
        <w:drawing>
          <wp:inline distT="0" distB="0" distL="0" distR="0" wp14:anchorId="7C6D0595" wp14:editId="14B37653">
            <wp:extent cx="6172200" cy="8610600"/>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72328" cy="8610778"/>
                    </a:xfrm>
                    <a:prstGeom prst="rect">
                      <a:avLst/>
                    </a:prstGeom>
                    <a:noFill/>
                    <a:ln>
                      <a:noFill/>
                    </a:ln>
                  </pic:spPr>
                </pic:pic>
              </a:graphicData>
            </a:graphic>
          </wp:inline>
        </w:drawing>
      </w:r>
      <w:r w:rsidR="001F0834">
        <w:rPr>
          <w:rFonts w:cs="Calibri"/>
          <w:noProof/>
          <w:sz w:val="20"/>
          <w:szCs w:val="20"/>
          <w:lang w:val="en-GB" w:eastAsia="en-GB"/>
        </w:rPr>
        <w:drawing>
          <wp:inline distT="0" distB="0" distL="0" distR="0" wp14:anchorId="087912ED" wp14:editId="5AE877E1">
            <wp:extent cx="6184900" cy="2962666"/>
            <wp:effectExtent l="0" t="0" r="6350" b="9525"/>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90737" cy="2965462"/>
                    </a:xfrm>
                    <a:prstGeom prst="rect">
                      <a:avLst/>
                    </a:prstGeom>
                    <a:noFill/>
                    <a:ln>
                      <a:noFill/>
                    </a:ln>
                  </pic:spPr>
                </pic:pic>
              </a:graphicData>
            </a:graphic>
          </wp:inline>
        </w:drawing>
      </w:r>
      <w:r w:rsidR="00AC21AE">
        <w:rPr>
          <w:rFonts w:cs="Calibri"/>
          <w:noProof/>
          <w:sz w:val="20"/>
          <w:szCs w:val="20"/>
        </w:rPr>
        <w:br w:type="page"/>
      </w:r>
    </w:p>
    <w:p w14:paraId="0ADE0C5E" w14:textId="5F729624" w:rsidR="00AC21AE" w:rsidRDefault="001F0834">
      <w:pPr>
        <w:rPr>
          <w:rFonts w:cs="Calibri"/>
          <w:noProof/>
          <w:sz w:val="20"/>
          <w:szCs w:val="20"/>
        </w:rPr>
      </w:pPr>
      <w:r>
        <w:rPr>
          <w:rFonts w:cs="Calibri"/>
          <w:noProof/>
          <w:sz w:val="20"/>
          <w:szCs w:val="20"/>
          <w:lang w:val="en-GB" w:eastAsia="en-GB"/>
        </w:rPr>
        <w:drawing>
          <wp:inline distT="0" distB="0" distL="0" distR="0" wp14:anchorId="4F23F2C9" wp14:editId="3473B0FC">
            <wp:extent cx="5981700" cy="8576627"/>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86724" cy="8583830"/>
                    </a:xfrm>
                    <a:prstGeom prst="rect">
                      <a:avLst/>
                    </a:prstGeom>
                    <a:noFill/>
                    <a:ln>
                      <a:noFill/>
                    </a:ln>
                  </pic:spPr>
                </pic:pic>
              </a:graphicData>
            </a:graphic>
          </wp:inline>
        </w:drawing>
      </w:r>
      <w:r w:rsidR="005B426B">
        <w:rPr>
          <w:rFonts w:cs="Calibri"/>
          <w:noProof/>
          <w:sz w:val="20"/>
          <w:szCs w:val="20"/>
          <w:lang w:val="en-GB" w:eastAsia="en-GB"/>
        </w:rPr>
        <w:drawing>
          <wp:inline distT="0" distB="0" distL="0" distR="0" wp14:anchorId="17484D6C" wp14:editId="6D60767C">
            <wp:extent cx="6045200" cy="8641066"/>
            <wp:effectExtent l="0" t="0" r="0" b="8255"/>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44350" cy="8639851"/>
                    </a:xfrm>
                    <a:prstGeom prst="rect">
                      <a:avLst/>
                    </a:prstGeom>
                    <a:noFill/>
                    <a:ln>
                      <a:noFill/>
                    </a:ln>
                  </pic:spPr>
                </pic:pic>
              </a:graphicData>
            </a:graphic>
          </wp:inline>
        </w:drawing>
      </w:r>
      <w:r w:rsidR="00D02CA2">
        <w:rPr>
          <w:rFonts w:cs="Calibri"/>
          <w:noProof/>
          <w:sz w:val="20"/>
          <w:szCs w:val="20"/>
          <w:lang w:val="en-GB" w:eastAsia="en-GB"/>
        </w:rPr>
        <w:drawing>
          <wp:inline distT="0" distB="0" distL="0" distR="0" wp14:anchorId="33EFD1EB" wp14:editId="2FF3705D">
            <wp:extent cx="6184900" cy="8597900"/>
            <wp:effectExtent l="0" t="0" r="635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81855" cy="8593667"/>
                    </a:xfrm>
                    <a:prstGeom prst="rect">
                      <a:avLst/>
                    </a:prstGeom>
                    <a:noFill/>
                    <a:ln>
                      <a:noFill/>
                    </a:ln>
                  </pic:spPr>
                </pic:pic>
              </a:graphicData>
            </a:graphic>
          </wp:inline>
        </w:drawing>
      </w:r>
      <w:r w:rsidR="00D525D1">
        <w:rPr>
          <w:rFonts w:cs="Calibri"/>
          <w:noProof/>
          <w:sz w:val="20"/>
          <w:szCs w:val="20"/>
          <w:lang w:val="en-GB" w:eastAsia="en-GB"/>
        </w:rPr>
        <w:drawing>
          <wp:inline distT="0" distB="0" distL="0" distR="0" wp14:anchorId="66310C51" wp14:editId="549E7657">
            <wp:extent cx="6223000" cy="8517332"/>
            <wp:effectExtent l="0" t="0" r="635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23031" cy="8517375"/>
                    </a:xfrm>
                    <a:prstGeom prst="rect">
                      <a:avLst/>
                    </a:prstGeom>
                    <a:noFill/>
                    <a:ln>
                      <a:noFill/>
                    </a:ln>
                  </pic:spPr>
                </pic:pic>
              </a:graphicData>
            </a:graphic>
          </wp:inline>
        </w:drawing>
      </w:r>
      <w:r w:rsidR="00D525D1">
        <w:rPr>
          <w:rFonts w:cs="Calibri"/>
          <w:noProof/>
          <w:sz w:val="20"/>
          <w:szCs w:val="20"/>
          <w:lang w:val="en-GB" w:eastAsia="en-GB"/>
        </w:rPr>
        <w:drawing>
          <wp:inline distT="0" distB="0" distL="0" distR="0" wp14:anchorId="60BFB0D1" wp14:editId="58A8DEF0">
            <wp:extent cx="6159500" cy="4076700"/>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65462" cy="4080646"/>
                    </a:xfrm>
                    <a:prstGeom prst="rect">
                      <a:avLst/>
                    </a:prstGeom>
                    <a:noFill/>
                    <a:ln>
                      <a:noFill/>
                    </a:ln>
                  </pic:spPr>
                </pic:pic>
              </a:graphicData>
            </a:graphic>
          </wp:inline>
        </w:drawing>
      </w:r>
      <w:r w:rsidR="00AC21AE">
        <w:rPr>
          <w:rFonts w:cs="Calibri"/>
          <w:noProof/>
          <w:sz w:val="20"/>
          <w:szCs w:val="20"/>
        </w:rPr>
        <w:br w:type="page"/>
      </w:r>
    </w:p>
    <w:p w14:paraId="59E6316A" w14:textId="4D9C426C" w:rsidR="00AC21AE" w:rsidRDefault="00D525D1">
      <w:pPr>
        <w:rPr>
          <w:rFonts w:cs="Calibri"/>
          <w:noProof/>
          <w:sz w:val="20"/>
          <w:szCs w:val="20"/>
        </w:rPr>
      </w:pPr>
      <w:r>
        <w:rPr>
          <w:rFonts w:cs="Calibri"/>
          <w:noProof/>
          <w:sz w:val="20"/>
          <w:szCs w:val="20"/>
          <w:lang w:val="en-GB" w:eastAsia="en-GB"/>
        </w:rPr>
        <w:drawing>
          <wp:inline distT="0" distB="0" distL="0" distR="0" wp14:anchorId="5CE35147" wp14:editId="608391E8">
            <wp:extent cx="6159500" cy="8674100"/>
            <wp:effectExtent l="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56236" cy="8669503"/>
                    </a:xfrm>
                    <a:prstGeom prst="rect">
                      <a:avLst/>
                    </a:prstGeom>
                    <a:noFill/>
                    <a:ln>
                      <a:noFill/>
                    </a:ln>
                  </pic:spPr>
                </pic:pic>
              </a:graphicData>
            </a:graphic>
          </wp:inline>
        </w:drawing>
      </w:r>
      <w:r w:rsidR="00DB43BF">
        <w:rPr>
          <w:rFonts w:cs="Calibri"/>
          <w:noProof/>
          <w:sz w:val="20"/>
          <w:szCs w:val="20"/>
          <w:lang w:val="en-GB" w:eastAsia="en-GB"/>
        </w:rPr>
        <w:drawing>
          <wp:inline distT="0" distB="0" distL="0" distR="0" wp14:anchorId="361E3C70" wp14:editId="5D4A9C5C">
            <wp:extent cx="6223000" cy="8674100"/>
            <wp:effectExtent l="0" t="0" r="635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22053" cy="8672780"/>
                    </a:xfrm>
                    <a:prstGeom prst="rect">
                      <a:avLst/>
                    </a:prstGeom>
                    <a:noFill/>
                    <a:ln>
                      <a:noFill/>
                    </a:ln>
                  </pic:spPr>
                </pic:pic>
              </a:graphicData>
            </a:graphic>
          </wp:inline>
        </w:drawing>
      </w:r>
      <w:r w:rsidR="0090359A">
        <w:rPr>
          <w:rFonts w:cs="Calibri"/>
          <w:noProof/>
          <w:sz w:val="20"/>
          <w:szCs w:val="20"/>
          <w:lang w:val="en-GB" w:eastAsia="en-GB"/>
        </w:rPr>
        <w:drawing>
          <wp:inline distT="0" distB="0" distL="0" distR="0" wp14:anchorId="38420255" wp14:editId="57A91E50">
            <wp:extent cx="6197600" cy="8591270"/>
            <wp:effectExtent l="0" t="0" r="0" b="635"/>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00055" cy="8594673"/>
                    </a:xfrm>
                    <a:prstGeom prst="rect">
                      <a:avLst/>
                    </a:prstGeom>
                    <a:noFill/>
                    <a:ln>
                      <a:noFill/>
                    </a:ln>
                  </pic:spPr>
                </pic:pic>
              </a:graphicData>
            </a:graphic>
          </wp:inline>
        </w:drawing>
      </w:r>
      <w:r w:rsidR="00754999">
        <w:rPr>
          <w:rFonts w:cs="Calibri"/>
          <w:noProof/>
          <w:sz w:val="20"/>
          <w:szCs w:val="20"/>
          <w:lang w:val="en-GB" w:eastAsia="en-GB"/>
        </w:rPr>
        <w:drawing>
          <wp:inline distT="0" distB="0" distL="0" distR="0" wp14:anchorId="22D8D1B2" wp14:editId="3DE05617">
            <wp:extent cx="6134100" cy="3013399"/>
            <wp:effectExtent l="0" t="0" r="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6566" cy="3009698"/>
                    </a:xfrm>
                    <a:prstGeom prst="rect">
                      <a:avLst/>
                    </a:prstGeom>
                    <a:noFill/>
                    <a:ln>
                      <a:noFill/>
                    </a:ln>
                  </pic:spPr>
                </pic:pic>
              </a:graphicData>
            </a:graphic>
          </wp:inline>
        </w:drawing>
      </w:r>
      <w:r w:rsidR="00AC21AE">
        <w:rPr>
          <w:rFonts w:cs="Calibri"/>
          <w:noProof/>
          <w:sz w:val="20"/>
          <w:szCs w:val="20"/>
        </w:rPr>
        <w:br w:type="page"/>
      </w:r>
    </w:p>
    <w:p w14:paraId="1AF9F164" w14:textId="2AFFC426" w:rsidR="00FC684E" w:rsidRDefault="00754999" w:rsidP="00754999">
      <w:pPr>
        <w:rPr>
          <w:rFonts w:cs="Calibri"/>
          <w:noProof/>
          <w:sz w:val="20"/>
          <w:szCs w:val="20"/>
        </w:rPr>
      </w:pPr>
      <w:r>
        <w:rPr>
          <w:rFonts w:cs="Calibri"/>
          <w:noProof/>
          <w:sz w:val="20"/>
          <w:szCs w:val="20"/>
          <w:lang w:val="en-GB" w:eastAsia="en-GB"/>
        </w:rPr>
        <w:drawing>
          <wp:inline distT="0" distB="0" distL="0" distR="0" wp14:anchorId="6DFB697D" wp14:editId="56749B7D">
            <wp:extent cx="6172200" cy="7200900"/>
            <wp:effectExtent l="0" t="0" r="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73814" cy="7202783"/>
                    </a:xfrm>
                    <a:prstGeom prst="rect">
                      <a:avLst/>
                    </a:prstGeom>
                    <a:noFill/>
                    <a:ln>
                      <a:noFill/>
                    </a:ln>
                  </pic:spPr>
                </pic:pic>
              </a:graphicData>
            </a:graphic>
          </wp:inline>
        </w:drawing>
      </w:r>
    </w:p>
    <w:sectPr w:rsidR="00FC684E" w:rsidSect="000F3321">
      <w:headerReference w:type="default" r:id="rId105"/>
      <w:pgSz w:w="11907" w:h="16839" w:code="9"/>
      <w:pgMar w:top="1440"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ED4AE1" w14:textId="77777777" w:rsidR="000F3321" w:rsidRDefault="000F3321" w:rsidP="00D75699">
      <w:r>
        <w:separator/>
      </w:r>
    </w:p>
  </w:endnote>
  <w:endnote w:type="continuationSeparator" w:id="0">
    <w:p w14:paraId="7B5F3C9B" w14:textId="77777777" w:rsidR="000F3321" w:rsidRDefault="000F3321" w:rsidP="00D756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ill Sans MT">
    <w:charset w:val="00"/>
    <w:family w:val="swiss"/>
    <w:pitch w:val="variable"/>
    <w:sig w:usb0="00000003" w:usb1="00000000" w:usb2="00000000" w:usb3="00000000" w:csb0="00000003" w:csb1="00000000"/>
  </w:font>
  <w:font w:name="Arial Bold">
    <w:altName w:val="Arial"/>
    <w:panose1 w:val="020B0704020202020204"/>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PMingLiU">
    <w:altName w:val="新細明體"/>
    <w:panose1 w:val="02010601000101010101"/>
    <w:charset w:val="88"/>
    <w:family w:val="roman"/>
    <w:pitch w:val="variable"/>
    <w:sig w:usb0="A00002FF" w:usb1="28CFFCFA" w:usb2="00000016" w:usb3="00000000" w:csb0="00100001" w:csb1="00000000"/>
  </w:font>
  <w:font w:name="Helvetica 55 Roman">
    <w:altName w:val="Helvetica 55 Roman"/>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0">
    <w:altName w:val="Dotum"/>
    <w:panose1 w:val="00000000000000000000"/>
    <w:charset w:val="81"/>
    <w:family w:val="swiss"/>
    <w:notTrueType/>
    <w:pitch w:val="variable"/>
    <w:sig w:usb0="00000000" w:usb1="09060000" w:usb2="00000010" w:usb3="00000000" w:csb0="00080000" w:csb1="00000000"/>
  </w:font>
  <w:font w:name="Verdana">
    <w:panose1 w:val="020B0604030504040204"/>
    <w:charset w:val="00"/>
    <w:family w:val="swiss"/>
    <w:pitch w:val="variable"/>
    <w:sig w:usb0="A00006FF" w:usb1="4000205B" w:usb2="00000010" w:usb3="00000000" w:csb0="0000019F" w:csb1="00000000"/>
  </w:font>
  <w:font w:name="Times New Roman Bold">
    <w:altName w:val="Times New Roman"/>
    <w:panose1 w:val="00000000000000000000"/>
    <w:charset w:val="00"/>
    <w:family w:val="auto"/>
    <w:notTrueType/>
    <w:pitch w:val="variable"/>
    <w:sig w:usb0="00000003" w:usb1="00000000" w:usb2="00000000" w:usb3="00000000" w:csb0="00000001" w:csb1="00000000"/>
  </w:font>
  <w:font w:name="Adobe Garamond">
    <w:altName w:val="Adobe Garamond"/>
    <w:panose1 w:val="00000000000000000000"/>
    <w:charset w:val="00"/>
    <w:family w:val="roman"/>
    <w:notTrueType/>
    <w:pitch w:val="default"/>
    <w:sig w:usb0="00000003" w:usb1="00000000" w:usb2="00000000" w:usb3="00000000" w:csb0="00000001" w:csb1="00000000"/>
  </w:font>
  <w:font w:name="Garamond Premr Pro">
    <w:altName w:val="Garamond Premr Pro"/>
    <w:panose1 w:val="00000000000000000000"/>
    <w:charset w:val="00"/>
    <w:family w:val="roman"/>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entury Gothic">
    <w:charset w:val="00"/>
    <w:family w:val="swiss"/>
    <w:pitch w:val="variable"/>
    <w:sig w:usb0="00000287" w:usb1="00000000" w:usb2="00000000" w:usb3="00000000" w:csb0="000000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98941" w14:textId="77777777" w:rsidR="00410477" w:rsidRDefault="00410477" w:rsidP="00C742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E83685D" w14:textId="77777777" w:rsidR="00410477" w:rsidRDefault="004104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D59FA" w14:textId="77777777" w:rsidR="00410477" w:rsidRDefault="00410477" w:rsidP="009E557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90A230" w14:textId="77777777" w:rsidR="000F3321" w:rsidRDefault="000F3321" w:rsidP="00D75699">
      <w:r>
        <w:separator/>
      </w:r>
    </w:p>
  </w:footnote>
  <w:footnote w:type="continuationSeparator" w:id="0">
    <w:p w14:paraId="0CA103B2" w14:textId="77777777" w:rsidR="000F3321" w:rsidRDefault="000F3321" w:rsidP="00D75699">
      <w:r>
        <w:continuationSeparator/>
      </w:r>
    </w:p>
  </w:footnote>
  <w:footnote w:type="continuationNotice" w:id="1">
    <w:p w14:paraId="58C96029" w14:textId="77777777" w:rsidR="000F3321" w:rsidRDefault="000F3321"/>
  </w:footnote>
  <w:footnote w:id="2">
    <w:p w14:paraId="645CBA1F" w14:textId="77777777" w:rsidR="00410477" w:rsidRPr="00B51382" w:rsidRDefault="00410477" w:rsidP="000808B5">
      <w:pPr>
        <w:pStyle w:val="FootnoteText"/>
      </w:pPr>
      <w:r>
        <w:rPr>
          <w:rStyle w:val="FootnoteReference"/>
        </w:rPr>
        <w:footnoteRef/>
      </w:r>
      <w:r>
        <w:t xml:space="preserve"> </w:t>
      </w:r>
      <w:r w:rsidRPr="00B51382">
        <w:t>UMS = MSU mono-urato sierico</w:t>
      </w:r>
    </w:p>
  </w:footnote>
  <w:footnote w:id="3">
    <w:p w14:paraId="1CBA64A8" w14:textId="77777777" w:rsidR="00410477" w:rsidRPr="00771A32" w:rsidRDefault="00410477" w:rsidP="001A0C27">
      <w:pPr>
        <w:pStyle w:val="FootnoteText"/>
      </w:pPr>
      <w:r>
        <w:rPr>
          <w:rStyle w:val="FootnoteReference"/>
        </w:rPr>
        <w:footnoteRef/>
      </w:r>
      <w:r w:rsidRPr="00771A32">
        <w:t xml:space="preserve"> Selective Uric Aci</w:t>
      </w:r>
      <w:r>
        <w:t>d Reabsorption Inhibitor - SURI</w:t>
      </w:r>
    </w:p>
  </w:footnote>
  <w:footnote w:id="4">
    <w:p w14:paraId="35B4454B" w14:textId="77777777" w:rsidR="00410477" w:rsidRPr="00771A32" w:rsidRDefault="00410477" w:rsidP="001A0C27">
      <w:pPr>
        <w:pStyle w:val="FootnoteText"/>
      </w:pPr>
      <w:r>
        <w:rPr>
          <w:rStyle w:val="FootnoteReference"/>
        </w:rPr>
        <w:footnoteRef/>
      </w:r>
      <w:r w:rsidRPr="00771A32">
        <w:t xml:space="preserve"> Uric Acid Transporter 1</w:t>
      </w:r>
    </w:p>
  </w:footnote>
  <w:footnote w:id="5">
    <w:p w14:paraId="5FD313EE" w14:textId="77777777" w:rsidR="00410477" w:rsidRPr="00771A32" w:rsidRDefault="00410477" w:rsidP="001A0C27">
      <w:pPr>
        <w:pStyle w:val="FootnoteText"/>
      </w:pPr>
      <w:r>
        <w:rPr>
          <w:rStyle w:val="FootnoteReference"/>
        </w:rPr>
        <w:footnoteRef/>
      </w:r>
      <w:r>
        <w:t xml:space="preserve"> </w:t>
      </w:r>
      <w:r w:rsidRPr="00771A32">
        <w:t>Organic Anion Transporter 4</w:t>
      </w:r>
    </w:p>
  </w:footnote>
  <w:footnote w:id="6">
    <w:p w14:paraId="68D46706" w14:textId="77777777" w:rsidR="00410477" w:rsidRPr="00782F71" w:rsidRDefault="00410477" w:rsidP="00213A82">
      <w:pPr>
        <w:pStyle w:val="FootnoteText"/>
        <w:rPr>
          <w:lang w:val="it-IT"/>
        </w:rPr>
      </w:pPr>
      <w:r>
        <w:rPr>
          <w:rStyle w:val="FootnoteReference"/>
        </w:rPr>
        <w:footnoteRef/>
      </w:r>
      <w:r w:rsidRPr="00782F71">
        <w:rPr>
          <w:lang w:val="it-IT"/>
        </w:rPr>
        <w:t xml:space="preserve"> UMS = MSU mono-urato sierico</w:t>
      </w:r>
    </w:p>
  </w:footnote>
  <w:footnote w:id="7">
    <w:p w14:paraId="0FB1BEAE" w14:textId="2D533DA0" w:rsidR="00410477" w:rsidRPr="00F740C5" w:rsidRDefault="00410477">
      <w:pPr>
        <w:pStyle w:val="FootnoteText"/>
        <w:rPr>
          <w:lang w:val="it-IT"/>
        </w:rPr>
      </w:pPr>
      <w:r>
        <w:rPr>
          <w:rStyle w:val="FootnoteReference"/>
        </w:rPr>
        <w:footnoteRef/>
      </w:r>
      <w:r w:rsidRPr="00F740C5">
        <w:rPr>
          <w:lang w:val="it-IT"/>
        </w:rPr>
        <w:t xml:space="preserve"> La FDA Guidance for Industry, conferma che</w:t>
      </w:r>
      <w:r>
        <w:rPr>
          <w:lang w:val="it-IT"/>
        </w:rPr>
        <w:t xml:space="preserve"> può essere presentata una sinos</w:t>
      </w:r>
      <w:r w:rsidRPr="00F740C5">
        <w:rPr>
          <w:lang w:val="it-IT"/>
        </w:rPr>
        <w:t xml:space="preserve">si per gli studi che non sono rilevanti per la valutazione dell’effectiveness del prodotto o della farmacologia clinica, ma che forniscono informazioni necessarie per valutare </w:t>
      </w:r>
      <w:r>
        <w:rPr>
          <w:lang w:val="it-IT"/>
        </w:rPr>
        <w:t>i</w:t>
      </w:r>
      <w:r w:rsidRPr="00F740C5">
        <w:rPr>
          <w:lang w:val="it-IT"/>
        </w:rPr>
        <w:t xml:space="preserve"> dati di sicurezza dello studio (</w:t>
      </w:r>
      <w:r>
        <w:rPr>
          <w:lang w:val="it-IT"/>
        </w:rPr>
        <w:t>FDA, 1999 (</w:t>
      </w:r>
      <w:r w:rsidRPr="00F740C5">
        <w:rPr>
          <w:color w:val="0000FF"/>
          <w:lang w:val="it-IT"/>
        </w:rPr>
        <w:t>1</w:t>
      </w:r>
      <w:r>
        <w:rPr>
          <w:color w:val="0000FF"/>
          <w:lang w:val="it-IT"/>
        </w:rPr>
        <w:t>46)</w:t>
      </w:r>
      <w:r w:rsidRPr="00F740C5">
        <w:rPr>
          <w:lang w:val="it-IT"/>
        </w:rPr>
        <w:t xml:space="preserve">) </w:t>
      </w:r>
    </w:p>
  </w:footnote>
  <w:footnote w:id="8">
    <w:p w14:paraId="3EA3C19A" w14:textId="48707139" w:rsidR="00410477" w:rsidRPr="007326DA" w:rsidRDefault="00410477" w:rsidP="006548B5">
      <w:pPr>
        <w:pStyle w:val="FootnoteText"/>
        <w:rPr>
          <w:lang w:val="it-IT"/>
        </w:rPr>
      </w:pPr>
      <w:r>
        <w:rPr>
          <w:rStyle w:val="FootnoteReference"/>
        </w:rPr>
        <w:footnoteRef/>
      </w:r>
      <w:r w:rsidRPr="006548B5">
        <w:rPr>
          <w:lang w:val="it-IT"/>
        </w:rPr>
        <w:t xml:space="preserve"> La FDA Guidance for Industry, conferma che può essere presentata una sino</w:t>
      </w:r>
      <w:r>
        <w:rPr>
          <w:lang w:val="it-IT"/>
        </w:rPr>
        <w:t>s</w:t>
      </w:r>
      <w:r w:rsidRPr="006548B5">
        <w:rPr>
          <w:lang w:val="it-IT"/>
        </w:rPr>
        <w:t>si per gli studi che non sono rilevanti per la valutazione dell’effectiveness del prodotto o della farmacologia clinica, ma che forniscono informazioni necessarie per valutare I dati di sicurezza dello studio (</w:t>
      </w:r>
      <w:r>
        <w:rPr>
          <w:lang w:val="it-IT"/>
        </w:rPr>
        <w:t>FDA, 1999 (</w:t>
      </w:r>
      <w:r w:rsidRPr="006548B5">
        <w:rPr>
          <w:color w:val="0000FF"/>
          <w:lang w:val="it-IT"/>
        </w:rPr>
        <w:t>1</w:t>
      </w:r>
      <w:r>
        <w:rPr>
          <w:color w:val="0000FF"/>
          <w:lang w:val="it-IT"/>
        </w:rPr>
        <w:t>46</w:t>
      </w:r>
      <w:r w:rsidRPr="006548B5">
        <w:rPr>
          <w:lang w:val="it-IT"/>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738" w:type="dxa"/>
      <w:tblInd w:w="113"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107" w:type="dxa"/>
        <w:right w:w="107" w:type="dxa"/>
      </w:tblCellMar>
      <w:tblLook w:val="0000" w:firstRow="0" w:lastRow="0" w:firstColumn="0" w:lastColumn="0" w:noHBand="0" w:noVBand="0"/>
    </w:tblPr>
    <w:tblGrid>
      <w:gridCol w:w="1914"/>
      <w:gridCol w:w="5880"/>
      <w:gridCol w:w="1944"/>
    </w:tblGrid>
    <w:tr w:rsidR="00410477" w:rsidRPr="009750AD" w14:paraId="402FF35E" w14:textId="77777777" w:rsidTr="00EA3EA3">
      <w:trPr>
        <w:cantSplit/>
        <w:trHeight w:hRule="exact" w:val="1202"/>
      </w:trPr>
      <w:tc>
        <w:tcPr>
          <w:tcW w:w="1914" w:type="dxa"/>
          <w:vAlign w:val="center"/>
        </w:tcPr>
        <w:p w14:paraId="73BDB1E8" w14:textId="77777777" w:rsidR="00410477" w:rsidRPr="009750AD" w:rsidRDefault="00410477" w:rsidP="00EA3EA3">
          <w:pPr>
            <w:pStyle w:val="Header"/>
            <w:rPr>
              <w:lang w:val="en-US"/>
            </w:rPr>
          </w:pPr>
          <w:r>
            <w:rPr>
              <w:rFonts w:ascii="Arial" w:hAnsi="Arial"/>
              <w:noProof/>
              <w:sz w:val="16"/>
              <w:lang w:val="en-GB" w:eastAsia="en-GB"/>
            </w:rPr>
            <w:drawing>
              <wp:anchor distT="0" distB="0" distL="114300" distR="114300" simplePos="0" relativeHeight="251659264" behindDoc="1" locked="1" layoutInCell="1" allowOverlap="1" wp14:anchorId="277E789C" wp14:editId="39E5B883">
                <wp:simplePos x="0" y="0"/>
                <wp:positionH relativeFrom="column">
                  <wp:posOffset>-8255</wp:posOffset>
                </wp:positionH>
                <wp:positionV relativeFrom="paragraph">
                  <wp:posOffset>62230</wp:posOffset>
                </wp:positionV>
                <wp:extent cx="827405" cy="417195"/>
                <wp:effectExtent l="0" t="0" r="0" b="1905"/>
                <wp:wrapNone/>
                <wp:docPr id="605" name="Immagine 605" descr="Grunenth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unenthal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7405"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5EF5FC" w14:textId="77777777" w:rsidR="00410477" w:rsidRDefault="00410477" w:rsidP="00EA3EA3">
          <w:pPr>
            <w:pStyle w:val="Header"/>
            <w:rPr>
              <w:lang w:val="en-US"/>
            </w:rPr>
          </w:pPr>
        </w:p>
        <w:p w14:paraId="090FA32F" w14:textId="77777777" w:rsidR="00410477" w:rsidRDefault="00410477" w:rsidP="00EA3EA3">
          <w:pPr>
            <w:pStyle w:val="Header"/>
            <w:rPr>
              <w:lang w:val="en-US"/>
            </w:rPr>
          </w:pPr>
        </w:p>
        <w:p w14:paraId="3262BA9F" w14:textId="37F4055C" w:rsidR="00410477" w:rsidRPr="009750AD" w:rsidRDefault="00410477" w:rsidP="009750AD">
          <w:pPr>
            <w:pStyle w:val="Header"/>
            <w:rPr>
              <w:lang w:val="de-DE"/>
            </w:rPr>
          </w:pPr>
          <w:r>
            <w:rPr>
              <w:lang w:val="de-DE"/>
            </w:rPr>
            <w:t>Confidential</w:t>
          </w:r>
        </w:p>
      </w:tc>
      <w:tc>
        <w:tcPr>
          <w:tcW w:w="5880" w:type="dxa"/>
          <w:vAlign w:val="center"/>
        </w:tcPr>
        <w:p w14:paraId="1ED02D17" w14:textId="607D6A43" w:rsidR="00410477" w:rsidRPr="009750AD" w:rsidRDefault="00410477" w:rsidP="009750AD">
          <w:pPr>
            <w:pStyle w:val="Header"/>
            <w:rPr>
              <w:rFonts w:asciiTheme="minorHAnsi" w:hAnsiTheme="minorHAnsi" w:cstheme="minorHAnsi"/>
            </w:rPr>
          </w:pPr>
        </w:p>
      </w:tc>
      <w:tc>
        <w:tcPr>
          <w:tcW w:w="1944" w:type="dxa"/>
          <w:vAlign w:val="center"/>
        </w:tcPr>
        <w:p w14:paraId="4CD2706D" w14:textId="181E610A" w:rsidR="00410477" w:rsidRPr="009750AD" w:rsidRDefault="00410477" w:rsidP="009750AD">
          <w:pPr>
            <w:pStyle w:val="Header"/>
            <w:rPr>
              <w:rFonts w:asciiTheme="minorHAnsi" w:hAnsiTheme="minorHAnsi" w:cstheme="minorHAnsi"/>
              <w:lang w:val="en-US"/>
            </w:rPr>
          </w:pPr>
        </w:p>
      </w:tc>
    </w:tr>
  </w:tbl>
  <w:p w14:paraId="54B4665A" w14:textId="77777777" w:rsidR="00410477" w:rsidRDefault="004104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Ind w:w="113"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107" w:type="dxa"/>
        <w:right w:w="107" w:type="dxa"/>
      </w:tblCellMar>
      <w:tblLook w:val="0000" w:firstRow="0" w:lastRow="0" w:firstColumn="0" w:lastColumn="0" w:noHBand="0" w:noVBand="0"/>
    </w:tblPr>
    <w:tblGrid>
      <w:gridCol w:w="1914"/>
      <w:gridCol w:w="5880"/>
      <w:gridCol w:w="1944"/>
    </w:tblGrid>
    <w:tr w:rsidR="00410477" w:rsidRPr="009750AD" w14:paraId="1C023877" w14:textId="77777777" w:rsidTr="00D06F5A">
      <w:trPr>
        <w:cantSplit/>
        <w:trHeight w:hRule="exact" w:val="1202"/>
      </w:trPr>
      <w:tc>
        <w:tcPr>
          <w:tcW w:w="1914" w:type="dxa"/>
          <w:vAlign w:val="center"/>
        </w:tcPr>
        <w:p w14:paraId="70EA7E72" w14:textId="2C85C2B8" w:rsidR="00410477" w:rsidRPr="009750AD" w:rsidRDefault="00410477" w:rsidP="009750AD">
          <w:pPr>
            <w:pStyle w:val="Header"/>
            <w:rPr>
              <w:lang w:val="en-US"/>
            </w:rPr>
          </w:pPr>
          <w:r>
            <w:rPr>
              <w:rFonts w:ascii="Arial" w:hAnsi="Arial"/>
              <w:noProof/>
              <w:sz w:val="16"/>
              <w:lang w:val="en-GB" w:eastAsia="en-GB"/>
            </w:rPr>
            <w:drawing>
              <wp:anchor distT="0" distB="0" distL="114300" distR="114300" simplePos="0" relativeHeight="251661312" behindDoc="1" locked="1" layoutInCell="1" allowOverlap="1" wp14:anchorId="228BD7DA" wp14:editId="7B2B2715">
                <wp:simplePos x="0" y="0"/>
                <wp:positionH relativeFrom="column">
                  <wp:posOffset>-15875</wp:posOffset>
                </wp:positionH>
                <wp:positionV relativeFrom="paragraph">
                  <wp:posOffset>41275</wp:posOffset>
                </wp:positionV>
                <wp:extent cx="827405" cy="417195"/>
                <wp:effectExtent l="0" t="0" r="0" b="1905"/>
                <wp:wrapNone/>
                <wp:docPr id="606" name="Immagine 606" descr="Grunenth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unenthal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7405"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4756D4" w14:textId="77777777" w:rsidR="00410477" w:rsidRDefault="00410477" w:rsidP="009750AD">
          <w:pPr>
            <w:pStyle w:val="Header"/>
            <w:rPr>
              <w:lang w:val="en-US"/>
            </w:rPr>
          </w:pPr>
        </w:p>
        <w:p w14:paraId="41874418" w14:textId="77777777" w:rsidR="00410477" w:rsidRDefault="00410477" w:rsidP="009750AD">
          <w:pPr>
            <w:pStyle w:val="Header"/>
            <w:rPr>
              <w:lang w:val="en-US"/>
            </w:rPr>
          </w:pPr>
        </w:p>
        <w:p w14:paraId="6F01E13C" w14:textId="77777777" w:rsidR="00410477" w:rsidRPr="009750AD" w:rsidRDefault="00410477" w:rsidP="009750AD">
          <w:pPr>
            <w:pStyle w:val="Header"/>
            <w:rPr>
              <w:lang w:val="de-DE"/>
            </w:rPr>
          </w:pPr>
          <w:r w:rsidRPr="009750AD">
            <w:rPr>
              <w:lang w:val="en-US"/>
            </w:rPr>
            <w:t>Confidential</w:t>
          </w:r>
        </w:p>
      </w:tc>
      <w:tc>
        <w:tcPr>
          <w:tcW w:w="5880" w:type="dxa"/>
          <w:vAlign w:val="center"/>
        </w:tcPr>
        <w:p w14:paraId="362AA45F" w14:textId="440DC5A3" w:rsidR="00410477" w:rsidRPr="002438D3" w:rsidRDefault="00410477" w:rsidP="009750AD">
          <w:pPr>
            <w:pStyle w:val="Header"/>
            <w:rPr>
              <w:rFonts w:asciiTheme="minorHAnsi" w:hAnsiTheme="minorHAnsi" w:cstheme="minorHAnsi"/>
            </w:rPr>
          </w:pPr>
          <w:r w:rsidRPr="002438D3">
            <w:rPr>
              <w:rFonts w:asciiTheme="minorHAnsi" w:hAnsiTheme="minorHAnsi" w:cstheme="minorHAnsi"/>
            </w:rPr>
            <w:t>Zurampic®</w:t>
          </w:r>
          <w:r w:rsidRPr="002438D3">
            <w:rPr>
              <w:rFonts w:asciiTheme="minorHAnsi" w:hAnsiTheme="minorHAnsi" w:cstheme="minorHAnsi"/>
              <w:vertAlign w:val="superscript"/>
            </w:rPr>
            <w:t xml:space="preserve"> </w:t>
          </w:r>
          <w:r w:rsidRPr="002438D3">
            <w:rPr>
              <w:rFonts w:asciiTheme="minorHAnsi" w:hAnsiTheme="minorHAnsi" w:cstheme="minorHAnsi"/>
            </w:rPr>
            <w:t>Lesinurad 200 mg compresse rivestite con film</w:t>
          </w:r>
        </w:p>
        <w:p w14:paraId="1CF0A7CE" w14:textId="2516F091" w:rsidR="00410477" w:rsidRPr="002438D3" w:rsidRDefault="00410477" w:rsidP="00F473A1">
          <w:pPr>
            <w:pStyle w:val="Header"/>
            <w:rPr>
              <w:rFonts w:asciiTheme="minorHAnsi" w:hAnsiTheme="minorHAnsi" w:cstheme="minorHAnsi"/>
            </w:rPr>
          </w:pPr>
          <w:r w:rsidRPr="002438D3">
            <w:rPr>
              <w:rFonts w:asciiTheme="minorHAnsi" w:hAnsiTheme="minorHAnsi" w:cstheme="minorHAnsi"/>
            </w:rPr>
            <w:t>Dossier Rimborsabilità e Prezzo</w:t>
          </w:r>
        </w:p>
      </w:tc>
      <w:tc>
        <w:tcPr>
          <w:tcW w:w="1944" w:type="dxa"/>
          <w:vAlign w:val="center"/>
        </w:tcPr>
        <w:p w14:paraId="576254C3" w14:textId="77777777" w:rsidR="00410477" w:rsidRPr="002438D3" w:rsidRDefault="00410477" w:rsidP="009750AD">
          <w:pPr>
            <w:pStyle w:val="Header"/>
            <w:rPr>
              <w:rFonts w:asciiTheme="minorHAnsi" w:hAnsiTheme="minorHAnsi" w:cstheme="minorHAnsi"/>
              <w:lang w:val="en-US"/>
            </w:rPr>
          </w:pPr>
          <w:r w:rsidRPr="002438D3">
            <w:rPr>
              <w:rFonts w:asciiTheme="minorHAnsi" w:hAnsiTheme="minorHAnsi" w:cstheme="minorHAnsi"/>
              <w:lang w:val="en-US"/>
            </w:rPr>
            <w:t xml:space="preserve">Pag </w:t>
          </w:r>
          <w:r w:rsidRPr="002438D3">
            <w:rPr>
              <w:rFonts w:asciiTheme="minorHAnsi" w:hAnsiTheme="minorHAnsi" w:cstheme="minorHAnsi"/>
              <w:lang w:val="en-US"/>
            </w:rPr>
            <w:fldChar w:fldCharType="begin"/>
          </w:r>
          <w:r w:rsidRPr="002438D3">
            <w:rPr>
              <w:rFonts w:asciiTheme="minorHAnsi" w:hAnsiTheme="minorHAnsi" w:cstheme="minorHAnsi"/>
              <w:lang w:val="en-US"/>
            </w:rPr>
            <w:instrText xml:space="preserve"> PAGE </w:instrText>
          </w:r>
          <w:r w:rsidRPr="002438D3">
            <w:rPr>
              <w:rFonts w:asciiTheme="minorHAnsi" w:hAnsiTheme="minorHAnsi" w:cstheme="minorHAnsi"/>
              <w:lang w:val="en-US"/>
            </w:rPr>
            <w:fldChar w:fldCharType="separate"/>
          </w:r>
          <w:r w:rsidR="00B873C1">
            <w:rPr>
              <w:rFonts w:asciiTheme="minorHAnsi" w:hAnsiTheme="minorHAnsi" w:cstheme="minorHAnsi"/>
              <w:noProof/>
              <w:lang w:val="en-US"/>
            </w:rPr>
            <w:t>160</w:t>
          </w:r>
          <w:r w:rsidRPr="002438D3">
            <w:rPr>
              <w:rFonts w:asciiTheme="minorHAnsi" w:hAnsiTheme="minorHAnsi" w:cstheme="minorHAnsi"/>
            </w:rPr>
            <w:fldChar w:fldCharType="end"/>
          </w:r>
          <w:r w:rsidRPr="002438D3">
            <w:rPr>
              <w:rFonts w:asciiTheme="minorHAnsi" w:hAnsiTheme="minorHAnsi" w:cstheme="minorHAnsi"/>
              <w:lang w:val="en-US"/>
            </w:rPr>
            <w:t xml:space="preserve"> di </w:t>
          </w:r>
          <w:r w:rsidRPr="002438D3">
            <w:rPr>
              <w:rFonts w:asciiTheme="minorHAnsi" w:hAnsiTheme="minorHAnsi" w:cstheme="minorHAnsi"/>
              <w:lang w:val="en-US"/>
            </w:rPr>
            <w:fldChar w:fldCharType="begin"/>
          </w:r>
          <w:r w:rsidRPr="002438D3">
            <w:rPr>
              <w:rFonts w:asciiTheme="minorHAnsi" w:hAnsiTheme="minorHAnsi" w:cstheme="minorHAnsi"/>
              <w:lang w:val="en-US"/>
            </w:rPr>
            <w:instrText xml:space="preserve"> NUMPAGES </w:instrText>
          </w:r>
          <w:r w:rsidRPr="002438D3">
            <w:rPr>
              <w:rFonts w:asciiTheme="minorHAnsi" w:hAnsiTheme="minorHAnsi" w:cstheme="minorHAnsi"/>
              <w:lang w:val="en-US"/>
            </w:rPr>
            <w:fldChar w:fldCharType="separate"/>
          </w:r>
          <w:r w:rsidR="00B873C1">
            <w:rPr>
              <w:rFonts w:asciiTheme="minorHAnsi" w:hAnsiTheme="minorHAnsi" w:cstheme="minorHAnsi"/>
              <w:noProof/>
              <w:lang w:val="en-US"/>
            </w:rPr>
            <w:t>179</w:t>
          </w:r>
          <w:r w:rsidRPr="002438D3">
            <w:rPr>
              <w:rFonts w:asciiTheme="minorHAnsi" w:hAnsiTheme="minorHAnsi" w:cstheme="minorHAnsi"/>
            </w:rPr>
            <w:fldChar w:fldCharType="end"/>
          </w:r>
        </w:p>
        <w:p w14:paraId="725AAF41" w14:textId="430145AA" w:rsidR="00410477" w:rsidRPr="002438D3" w:rsidRDefault="00410477" w:rsidP="002438D3">
          <w:pPr>
            <w:pStyle w:val="Header"/>
            <w:rPr>
              <w:rFonts w:asciiTheme="minorHAnsi" w:hAnsiTheme="minorHAnsi" w:cstheme="minorHAnsi"/>
              <w:lang w:val="en-US"/>
            </w:rPr>
          </w:pPr>
          <w:r>
            <w:rPr>
              <w:rFonts w:asciiTheme="minorHAnsi" w:hAnsiTheme="minorHAnsi" w:cstheme="minorHAnsi"/>
              <w:lang w:val="en-US"/>
            </w:rPr>
            <w:t>27</w:t>
          </w:r>
          <w:r w:rsidRPr="002438D3">
            <w:rPr>
              <w:rFonts w:asciiTheme="minorHAnsi" w:hAnsiTheme="minorHAnsi" w:cstheme="minorHAnsi"/>
              <w:lang w:val="en-US"/>
            </w:rPr>
            <w:t xml:space="preserve"> Gen. 2017</w:t>
          </w:r>
        </w:p>
      </w:tc>
    </w:tr>
  </w:tbl>
  <w:p w14:paraId="1C3CFDA2" w14:textId="77777777" w:rsidR="00410477" w:rsidRDefault="004104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390AADF0"/>
    <w:lvl w:ilvl="0">
      <w:start w:val="1"/>
      <w:numFmt w:val="bullet"/>
      <w:pStyle w:val="table-head"/>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1B68E84A"/>
    <w:lvl w:ilvl="0">
      <w:start w:val="1"/>
      <w:numFmt w:val="decimal"/>
      <w:pStyle w:val="TableText8"/>
      <w:lvlText w:val="%1."/>
      <w:lvlJc w:val="left"/>
      <w:pPr>
        <w:tabs>
          <w:tab w:val="num" w:pos="360"/>
        </w:tabs>
        <w:ind w:left="360" w:hanging="360"/>
      </w:pPr>
    </w:lvl>
  </w:abstractNum>
  <w:abstractNum w:abstractNumId="2" w15:restartNumberingAfterBreak="0">
    <w:nsid w:val="FFFFFF89"/>
    <w:multiLevelType w:val="singleLevel"/>
    <w:tmpl w:val="C714D1D8"/>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1B11154"/>
    <w:multiLevelType w:val="multilevel"/>
    <w:tmpl w:val="122EB356"/>
    <w:lvl w:ilvl="0">
      <w:start w:val="2"/>
      <w:numFmt w:val="decimal"/>
      <w:pStyle w:val="Text-BulletRebecca"/>
      <w:lvlText w:val="%1"/>
      <w:lvlJc w:val="left"/>
      <w:pPr>
        <w:tabs>
          <w:tab w:val="num" w:pos="705"/>
        </w:tabs>
        <w:ind w:left="705" w:hanging="705"/>
      </w:pPr>
      <w:rPr>
        <w:rFonts w:cs="Times New Roman" w:hint="default"/>
      </w:rPr>
    </w:lvl>
    <w:lvl w:ilvl="1">
      <w:start w:val="1"/>
      <w:numFmt w:val="decimal"/>
      <w:lvlText w:val="%1.%2"/>
      <w:lvlJc w:val="left"/>
      <w:pPr>
        <w:tabs>
          <w:tab w:val="num" w:pos="705"/>
        </w:tabs>
        <w:ind w:left="705" w:hanging="70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 w15:restartNumberingAfterBreak="0">
    <w:nsid w:val="0200627D"/>
    <w:multiLevelType w:val="hybridMultilevel"/>
    <w:tmpl w:val="64FEF7CE"/>
    <w:styleLink w:val="Stileimportato1"/>
    <w:lvl w:ilvl="0" w:tplc="31C24452">
      <w:start w:val="1"/>
      <w:numFmt w:val="bullet"/>
      <w:lvlText w:val="•"/>
      <w:lvlJc w:val="left"/>
      <w:pPr>
        <w:ind w:left="7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76F615D6">
      <w:start w:val="1"/>
      <w:numFmt w:val="bullet"/>
      <w:lvlText w:val="o"/>
      <w:lvlJc w:val="left"/>
      <w:pPr>
        <w:ind w:left="14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22601DF8">
      <w:start w:val="1"/>
      <w:numFmt w:val="bullet"/>
      <w:lvlText w:val="▪"/>
      <w:lvlJc w:val="left"/>
      <w:pPr>
        <w:ind w:left="21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25E4FF96">
      <w:start w:val="1"/>
      <w:numFmt w:val="bullet"/>
      <w:lvlText w:val="•"/>
      <w:lvlJc w:val="left"/>
      <w:pPr>
        <w:ind w:left="28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310F09E">
      <w:start w:val="1"/>
      <w:numFmt w:val="bullet"/>
      <w:lvlText w:val="o"/>
      <w:lvlJc w:val="left"/>
      <w:pPr>
        <w:ind w:left="36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6C662298">
      <w:start w:val="1"/>
      <w:numFmt w:val="bullet"/>
      <w:lvlText w:val="▪"/>
      <w:lvlJc w:val="left"/>
      <w:pPr>
        <w:ind w:left="43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957ADBC2">
      <w:start w:val="1"/>
      <w:numFmt w:val="bullet"/>
      <w:lvlText w:val="•"/>
      <w:lvlJc w:val="left"/>
      <w:pPr>
        <w:ind w:left="50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533A3230">
      <w:start w:val="1"/>
      <w:numFmt w:val="bullet"/>
      <w:lvlText w:val="o"/>
      <w:lvlJc w:val="left"/>
      <w:pPr>
        <w:ind w:left="57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BF8CDFDC">
      <w:start w:val="1"/>
      <w:numFmt w:val="bullet"/>
      <w:lvlText w:val="▪"/>
      <w:lvlJc w:val="left"/>
      <w:pPr>
        <w:ind w:left="64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5" w15:restartNumberingAfterBreak="0">
    <w:nsid w:val="03592D59"/>
    <w:multiLevelType w:val="hybridMultilevel"/>
    <w:tmpl w:val="EA5206A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035F0135"/>
    <w:multiLevelType w:val="hybridMultilevel"/>
    <w:tmpl w:val="096E06B6"/>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1">
      <w:start w:val="1"/>
      <w:numFmt w:val="bullet"/>
      <w:lvlText w:val=""/>
      <w:lvlJc w:val="left"/>
      <w:pPr>
        <w:ind w:left="2160" w:hanging="360"/>
      </w:pPr>
      <w:rPr>
        <w:rFonts w:ascii="Symbol" w:hAnsi="Symbol"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05066360"/>
    <w:multiLevelType w:val="multilevel"/>
    <w:tmpl w:val="C3482338"/>
    <w:lvl w:ilvl="0">
      <w:start w:val="5"/>
      <w:numFmt w:val="decimal"/>
      <w:pStyle w:val="TOC9"/>
      <w:lvlText w:val="%1"/>
      <w:lvlJc w:val="left"/>
      <w:pPr>
        <w:tabs>
          <w:tab w:val="num" w:pos="705"/>
        </w:tabs>
        <w:ind w:left="705" w:hanging="705"/>
      </w:pPr>
      <w:rPr>
        <w:rFonts w:cs="Times New Roman" w:hint="default"/>
      </w:rPr>
    </w:lvl>
    <w:lvl w:ilvl="1">
      <w:start w:val="1"/>
      <w:numFmt w:val="none"/>
      <w:lvlText w:val="5.1"/>
      <w:lvlJc w:val="left"/>
      <w:pPr>
        <w:tabs>
          <w:tab w:val="num" w:pos="705"/>
        </w:tabs>
        <w:ind w:left="705" w:hanging="705"/>
      </w:pPr>
      <w:rPr>
        <w:rFonts w:cs="Times New Roman" w:hint="default"/>
      </w:rPr>
    </w:lvl>
    <w:lvl w:ilvl="2">
      <w:start w:val="1"/>
      <w:numFmt w:val="upperLetter"/>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 w15:restartNumberingAfterBreak="0">
    <w:nsid w:val="05CB75D4"/>
    <w:multiLevelType w:val="hybridMultilevel"/>
    <w:tmpl w:val="3C4CA2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06495BB9"/>
    <w:multiLevelType w:val="multilevel"/>
    <w:tmpl w:val="FDB6EB38"/>
    <w:lvl w:ilvl="0">
      <w:start w:val="4"/>
      <w:numFmt w:val="decimal"/>
      <w:pStyle w:val="ListNumber"/>
      <w:lvlText w:val="%1"/>
      <w:lvlJc w:val="left"/>
      <w:pPr>
        <w:tabs>
          <w:tab w:val="num" w:pos="570"/>
        </w:tabs>
        <w:ind w:left="570" w:hanging="570"/>
      </w:pPr>
      <w:rPr>
        <w:rFonts w:cs="Times New Roman" w:hint="default"/>
      </w:rPr>
    </w:lvl>
    <w:lvl w:ilvl="1">
      <w:start w:val="1"/>
      <w:numFmt w:val="decimal"/>
      <w:lvlText w:val="%1.%2"/>
      <w:lvlJc w:val="left"/>
      <w:pPr>
        <w:tabs>
          <w:tab w:val="num" w:pos="570"/>
        </w:tabs>
        <w:ind w:left="570" w:hanging="570"/>
      </w:pPr>
      <w:rPr>
        <w:rFonts w:cs="Times New Roman" w:hint="default"/>
      </w:rPr>
    </w:lvl>
    <w:lvl w:ilvl="2">
      <w:start w:val="1"/>
      <w:numFmt w:val="upperLetter"/>
      <w:lvlText w:val="%1.%2.%3"/>
      <w:lvlJc w:val="left"/>
      <w:pPr>
        <w:tabs>
          <w:tab w:val="num" w:pos="720"/>
        </w:tabs>
        <w:ind w:left="720" w:hanging="720"/>
      </w:pPr>
      <w:rPr>
        <w:rFonts w:cs="Times New Roman" w:hint="default"/>
        <w:b/>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15:restartNumberingAfterBreak="0">
    <w:nsid w:val="0657706F"/>
    <w:multiLevelType w:val="hybridMultilevel"/>
    <w:tmpl w:val="4D784F8A"/>
    <w:lvl w:ilvl="0" w:tplc="F7B0A930">
      <w:start w:val="1"/>
      <w:numFmt w:val="bullet"/>
      <w:pStyle w:val="baletta"/>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68C4B88"/>
    <w:multiLevelType w:val="multilevel"/>
    <w:tmpl w:val="EAA2E5F6"/>
    <w:lvl w:ilvl="0">
      <w:start w:val="3"/>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2" w15:restartNumberingAfterBreak="0">
    <w:nsid w:val="09B6449B"/>
    <w:multiLevelType w:val="multilevel"/>
    <w:tmpl w:val="6F2A00AE"/>
    <w:styleLink w:val="List0"/>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13" w15:restartNumberingAfterBreak="0">
    <w:nsid w:val="0C0D7EC3"/>
    <w:multiLevelType w:val="hybridMultilevel"/>
    <w:tmpl w:val="0B2C15C6"/>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0EF57E9A"/>
    <w:multiLevelType w:val="multilevel"/>
    <w:tmpl w:val="0CCC31D4"/>
    <w:lvl w:ilvl="0">
      <w:start w:val="1"/>
      <w:numFmt w:val="decimal"/>
      <w:pStyle w:val="C-Heading5"/>
      <w:lvlText w:val="%1"/>
      <w:lvlJc w:val="left"/>
      <w:pPr>
        <w:tabs>
          <w:tab w:val="num" w:pos="705"/>
        </w:tabs>
        <w:ind w:left="705" w:hanging="705"/>
      </w:pPr>
      <w:rPr>
        <w:rFonts w:cs="Times New Roman" w:hint="default"/>
      </w:rPr>
    </w:lvl>
    <w:lvl w:ilvl="1">
      <w:start w:val="3"/>
      <w:numFmt w:val="decimal"/>
      <w:lvlText w:val="%1.%2"/>
      <w:lvlJc w:val="left"/>
      <w:pPr>
        <w:tabs>
          <w:tab w:val="num" w:pos="705"/>
        </w:tabs>
        <w:ind w:left="705" w:hanging="70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15" w15:restartNumberingAfterBreak="0">
    <w:nsid w:val="117F6A59"/>
    <w:multiLevelType w:val="hybridMultilevel"/>
    <w:tmpl w:val="DB7CC5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16375E3D"/>
    <w:multiLevelType w:val="hybridMultilevel"/>
    <w:tmpl w:val="039E167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18CC7343"/>
    <w:multiLevelType w:val="hybridMultilevel"/>
    <w:tmpl w:val="08D4293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1B611184"/>
    <w:multiLevelType w:val="hybridMultilevel"/>
    <w:tmpl w:val="3AD8CD7E"/>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1">
      <w:start w:val="1"/>
      <w:numFmt w:val="bullet"/>
      <w:lvlText w:val=""/>
      <w:lvlJc w:val="left"/>
      <w:pPr>
        <w:ind w:left="2160" w:hanging="360"/>
      </w:pPr>
      <w:rPr>
        <w:rFonts w:ascii="Symbol" w:hAnsi="Symbol"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1BAD7383"/>
    <w:multiLevelType w:val="multilevel"/>
    <w:tmpl w:val="3E5E3054"/>
    <w:lvl w:ilvl="0">
      <w:start w:val="5"/>
      <w:numFmt w:val="decimal"/>
      <w:lvlText w:val="%1"/>
      <w:lvlJc w:val="left"/>
      <w:pPr>
        <w:tabs>
          <w:tab w:val="num" w:pos="705"/>
        </w:tabs>
        <w:ind w:left="705" w:hanging="705"/>
      </w:pPr>
      <w:rPr>
        <w:rFonts w:cs="Times New Roman" w:hint="default"/>
      </w:rPr>
    </w:lvl>
    <w:lvl w:ilvl="1">
      <w:start w:val="1"/>
      <w:numFmt w:val="decimal"/>
      <w:lvlText w:val="%1.%2"/>
      <w:lvlJc w:val="left"/>
      <w:pPr>
        <w:tabs>
          <w:tab w:val="num" w:pos="705"/>
        </w:tabs>
        <w:ind w:left="705" w:hanging="70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0" w15:restartNumberingAfterBreak="0">
    <w:nsid w:val="1E7471B0"/>
    <w:multiLevelType w:val="hybridMultilevel"/>
    <w:tmpl w:val="7C46EAD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83B1D19"/>
    <w:multiLevelType w:val="hybridMultilevel"/>
    <w:tmpl w:val="1868C4BE"/>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1">
      <w:start w:val="1"/>
      <w:numFmt w:val="bullet"/>
      <w:lvlText w:val=""/>
      <w:lvlJc w:val="left"/>
      <w:pPr>
        <w:ind w:left="2160" w:hanging="360"/>
      </w:pPr>
      <w:rPr>
        <w:rFonts w:ascii="Symbol" w:hAnsi="Symbol"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A5E0EE8"/>
    <w:multiLevelType w:val="hybridMultilevel"/>
    <w:tmpl w:val="101454E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2C04511F"/>
    <w:multiLevelType w:val="hybridMultilevel"/>
    <w:tmpl w:val="3E10700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CC83DE7"/>
    <w:multiLevelType w:val="hybridMultilevel"/>
    <w:tmpl w:val="16146E6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31ED1202"/>
    <w:multiLevelType w:val="multilevel"/>
    <w:tmpl w:val="A210B4C6"/>
    <w:lvl w:ilvl="0">
      <w:start w:val="3"/>
      <w:numFmt w:val="decimal"/>
      <w:pStyle w:val="TOC2"/>
      <w:lvlText w:val="%1"/>
      <w:lvlJc w:val="left"/>
      <w:pPr>
        <w:tabs>
          <w:tab w:val="num" w:pos="705"/>
        </w:tabs>
        <w:ind w:left="705" w:hanging="705"/>
      </w:pPr>
      <w:rPr>
        <w:rFonts w:cs="Times New Roman" w:hint="default"/>
      </w:rPr>
    </w:lvl>
    <w:lvl w:ilvl="1">
      <w:start w:val="3"/>
      <w:numFmt w:val="decimal"/>
      <w:pStyle w:val="TOC3"/>
      <w:lvlText w:val="%1.%2"/>
      <w:lvlJc w:val="left"/>
      <w:pPr>
        <w:tabs>
          <w:tab w:val="num" w:pos="847"/>
        </w:tabs>
        <w:ind w:left="847" w:hanging="705"/>
      </w:pPr>
      <w:rPr>
        <w:rFonts w:cs="Times New Roman" w:hint="default"/>
      </w:rPr>
    </w:lvl>
    <w:lvl w:ilvl="2">
      <w:start w:val="1"/>
      <w:numFmt w:val="decimal"/>
      <w:pStyle w:val="TOC4"/>
      <w:lvlText w:val="%1.%2.%3"/>
      <w:lvlJc w:val="left"/>
      <w:pPr>
        <w:tabs>
          <w:tab w:val="num" w:pos="720"/>
        </w:tabs>
        <w:ind w:left="720" w:hanging="720"/>
      </w:pPr>
      <w:rPr>
        <w:rFonts w:cs="Times New Roman" w:hint="default"/>
      </w:rPr>
    </w:lvl>
    <w:lvl w:ilvl="3">
      <w:start w:val="1"/>
      <w:numFmt w:val="decimal"/>
      <w:pStyle w:val="C-Heading4"/>
      <w:lvlText w:val="%1.%2.%3.%4"/>
      <w:lvlJc w:val="left"/>
      <w:pPr>
        <w:tabs>
          <w:tab w:val="num" w:pos="720"/>
        </w:tabs>
        <w:ind w:left="720" w:hanging="720"/>
      </w:pPr>
      <w:rPr>
        <w:rFonts w:cs="Times New Roman" w:hint="default"/>
      </w:rPr>
    </w:lvl>
    <w:lvl w:ilvl="4">
      <w:start w:val="1"/>
      <w:numFmt w:val="decimal"/>
      <w:pStyle w:val="C-Heading2"/>
      <w:lvlText w:val="%1.%2.%3.%4.%5"/>
      <w:lvlJc w:val="left"/>
      <w:pPr>
        <w:tabs>
          <w:tab w:val="num" w:pos="1080"/>
        </w:tabs>
        <w:ind w:left="1080" w:hanging="1080"/>
      </w:pPr>
      <w:rPr>
        <w:rFonts w:cs="Times New Roman" w:hint="default"/>
      </w:rPr>
    </w:lvl>
    <w:lvl w:ilvl="5">
      <w:start w:val="1"/>
      <w:numFmt w:val="decimal"/>
      <w:pStyle w:val="C-Heading3"/>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26" w15:restartNumberingAfterBreak="0">
    <w:nsid w:val="33965246"/>
    <w:multiLevelType w:val="hybridMultilevel"/>
    <w:tmpl w:val="31C8202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34E15C53"/>
    <w:multiLevelType w:val="hybridMultilevel"/>
    <w:tmpl w:val="7864FF6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34E20D98"/>
    <w:multiLevelType w:val="multilevel"/>
    <w:tmpl w:val="83C0EF14"/>
    <w:lvl w:ilvl="0">
      <w:start w:val="8"/>
      <w:numFmt w:val="decimal"/>
      <w:pStyle w:val="Style1"/>
      <w:lvlText w:val="%1"/>
      <w:lvlJc w:val="left"/>
      <w:pPr>
        <w:tabs>
          <w:tab w:val="num" w:pos="705"/>
        </w:tabs>
        <w:ind w:left="705" w:hanging="705"/>
      </w:pPr>
      <w:rPr>
        <w:rFonts w:cs="Times New Roman" w:hint="default"/>
      </w:rPr>
    </w:lvl>
    <w:lvl w:ilvl="1">
      <w:start w:val="5"/>
      <w:numFmt w:val="decimal"/>
      <w:lvlText w:val="%1.%2"/>
      <w:lvlJc w:val="left"/>
      <w:pPr>
        <w:tabs>
          <w:tab w:val="num" w:pos="705"/>
        </w:tabs>
        <w:ind w:left="705" w:hanging="70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29" w15:restartNumberingAfterBreak="0">
    <w:nsid w:val="3A910B61"/>
    <w:multiLevelType w:val="hybridMultilevel"/>
    <w:tmpl w:val="AF60890E"/>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3B8938FE"/>
    <w:multiLevelType w:val="hybridMultilevel"/>
    <w:tmpl w:val="4782AC1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3B904542"/>
    <w:multiLevelType w:val="hybridMultilevel"/>
    <w:tmpl w:val="76503DC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3C777321"/>
    <w:multiLevelType w:val="hybridMultilevel"/>
    <w:tmpl w:val="6DF0F31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3E8F2212"/>
    <w:multiLevelType w:val="hybridMultilevel"/>
    <w:tmpl w:val="92E6F38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3F0448AC"/>
    <w:multiLevelType w:val="hybridMultilevel"/>
    <w:tmpl w:val="043E1F3C"/>
    <w:lvl w:ilvl="0" w:tplc="04100001">
      <w:start w:val="1"/>
      <w:numFmt w:val="bullet"/>
      <w:lvlText w:val=""/>
      <w:lvlJc w:val="left"/>
      <w:pPr>
        <w:ind w:left="724" w:hanging="360"/>
      </w:pPr>
      <w:rPr>
        <w:rFonts w:ascii="Symbol" w:hAnsi="Symbol" w:hint="default"/>
      </w:rPr>
    </w:lvl>
    <w:lvl w:ilvl="1" w:tplc="04100003" w:tentative="1">
      <w:start w:val="1"/>
      <w:numFmt w:val="bullet"/>
      <w:lvlText w:val="o"/>
      <w:lvlJc w:val="left"/>
      <w:pPr>
        <w:ind w:left="1444" w:hanging="360"/>
      </w:pPr>
      <w:rPr>
        <w:rFonts w:ascii="Courier New" w:hAnsi="Courier New" w:cs="Courier New" w:hint="default"/>
      </w:rPr>
    </w:lvl>
    <w:lvl w:ilvl="2" w:tplc="04100005" w:tentative="1">
      <w:start w:val="1"/>
      <w:numFmt w:val="bullet"/>
      <w:lvlText w:val=""/>
      <w:lvlJc w:val="left"/>
      <w:pPr>
        <w:ind w:left="2164" w:hanging="360"/>
      </w:pPr>
      <w:rPr>
        <w:rFonts w:ascii="Wingdings" w:hAnsi="Wingdings" w:hint="default"/>
      </w:rPr>
    </w:lvl>
    <w:lvl w:ilvl="3" w:tplc="04100001" w:tentative="1">
      <w:start w:val="1"/>
      <w:numFmt w:val="bullet"/>
      <w:lvlText w:val=""/>
      <w:lvlJc w:val="left"/>
      <w:pPr>
        <w:ind w:left="2884" w:hanging="360"/>
      </w:pPr>
      <w:rPr>
        <w:rFonts w:ascii="Symbol" w:hAnsi="Symbol" w:hint="default"/>
      </w:rPr>
    </w:lvl>
    <w:lvl w:ilvl="4" w:tplc="04100003" w:tentative="1">
      <w:start w:val="1"/>
      <w:numFmt w:val="bullet"/>
      <w:lvlText w:val="o"/>
      <w:lvlJc w:val="left"/>
      <w:pPr>
        <w:ind w:left="3604" w:hanging="360"/>
      </w:pPr>
      <w:rPr>
        <w:rFonts w:ascii="Courier New" w:hAnsi="Courier New" w:cs="Courier New" w:hint="default"/>
      </w:rPr>
    </w:lvl>
    <w:lvl w:ilvl="5" w:tplc="04100005" w:tentative="1">
      <w:start w:val="1"/>
      <w:numFmt w:val="bullet"/>
      <w:lvlText w:val=""/>
      <w:lvlJc w:val="left"/>
      <w:pPr>
        <w:ind w:left="4324" w:hanging="360"/>
      </w:pPr>
      <w:rPr>
        <w:rFonts w:ascii="Wingdings" w:hAnsi="Wingdings" w:hint="default"/>
      </w:rPr>
    </w:lvl>
    <w:lvl w:ilvl="6" w:tplc="04100001" w:tentative="1">
      <w:start w:val="1"/>
      <w:numFmt w:val="bullet"/>
      <w:lvlText w:val=""/>
      <w:lvlJc w:val="left"/>
      <w:pPr>
        <w:ind w:left="5044" w:hanging="360"/>
      </w:pPr>
      <w:rPr>
        <w:rFonts w:ascii="Symbol" w:hAnsi="Symbol" w:hint="default"/>
      </w:rPr>
    </w:lvl>
    <w:lvl w:ilvl="7" w:tplc="04100003" w:tentative="1">
      <w:start w:val="1"/>
      <w:numFmt w:val="bullet"/>
      <w:lvlText w:val="o"/>
      <w:lvlJc w:val="left"/>
      <w:pPr>
        <w:ind w:left="5764" w:hanging="360"/>
      </w:pPr>
      <w:rPr>
        <w:rFonts w:ascii="Courier New" w:hAnsi="Courier New" w:cs="Courier New" w:hint="default"/>
      </w:rPr>
    </w:lvl>
    <w:lvl w:ilvl="8" w:tplc="04100005" w:tentative="1">
      <w:start w:val="1"/>
      <w:numFmt w:val="bullet"/>
      <w:lvlText w:val=""/>
      <w:lvlJc w:val="left"/>
      <w:pPr>
        <w:ind w:left="6484" w:hanging="360"/>
      </w:pPr>
      <w:rPr>
        <w:rFonts w:ascii="Wingdings" w:hAnsi="Wingdings" w:hint="default"/>
      </w:rPr>
    </w:lvl>
  </w:abstractNum>
  <w:abstractNum w:abstractNumId="35" w15:restartNumberingAfterBreak="0">
    <w:nsid w:val="40217E0B"/>
    <w:multiLevelType w:val="hybridMultilevel"/>
    <w:tmpl w:val="2CCCF5D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46044695"/>
    <w:multiLevelType w:val="multilevel"/>
    <w:tmpl w:val="0410001F"/>
    <w:styleLink w:val="Stile1"/>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4A852653"/>
    <w:multiLevelType w:val="hybridMultilevel"/>
    <w:tmpl w:val="E4F06CF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8" w15:restartNumberingAfterBreak="0">
    <w:nsid w:val="4B292FF4"/>
    <w:multiLevelType w:val="hybridMultilevel"/>
    <w:tmpl w:val="C55E193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15:restartNumberingAfterBreak="0">
    <w:nsid w:val="4D991A6B"/>
    <w:multiLevelType w:val="hybridMultilevel"/>
    <w:tmpl w:val="821AB410"/>
    <w:lvl w:ilvl="0" w:tplc="B1466200">
      <w:start w:val="1"/>
      <w:numFmt w:val="bullet"/>
      <w:lvlText w:val="–"/>
      <w:lvlJc w:val="left"/>
      <w:pPr>
        <w:ind w:left="720" w:hanging="360"/>
      </w:pPr>
      <w:rPr>
        <w:rFonts w:ascii="Arial" w:hAnsi="Arial" w:hint="default"/>
        <w:color w:val="808080"/>
        <w:sz w:val="24"/>
        <w:szCs w:val="24"/>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4E8D3027"/>
    <w:multiLevelType w:val="hybridMultilevel"/>
    <w:tmpl w:val="E4F06CF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1" w15:restartNumberingAfterBreak="0">
    <w:nsid w:val="534A0780"/>
    <w:multiLevelType w:val="hybridMultilevel"/>
    <w:tmpl w:val="B75A806C"/>
    <w:styleLink w:val="Stileimportato3"/>
    <w:lvl w:ilvl="0" w:tplc="35044F60">
      <w:start w:val="1"/>
      <w:numFmt w:val="decimal"/>
      <w:lvlText w:val="%1."/>
      <w:lvlJc w:val="left"/>
      <w:pPr>
        <w:ind w:left="3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A7C095C">
      <w:start w:val="1"/>
      <w:numFmt w:val="decimal"/>
      <w:lvlText w:val="%2."/>
      <w:lvlJc w:val="left"/>
      <w:pPr>
        <w:tabs>
          <w:tab w:val="left" w:pos="360"/>
        </w:tabs>
        <w:ind w:left="10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61068096">
      <w:start w:val="1"/>
      <w:numFmt w:val="decimal"/>
      <w:lvlText w:val="%3."/>
      <w:lvlJc w:val="left"/>
      <w:pPr>
        <w:tabs>
          <w:tab w:val="left" w:pos="360"/>
        </w:tabs>
        <w:ind w:left="18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0F815B0">
      <w:start w:val="1"/>
      <w:numFmt w:val="decimal"/>
      <w:lvlText w:val="%4."/>
      <w:lvlJc w:val="left"/>
      <w:pPr>
        <w:tabs>
          <w:tab w:val="left" w:pos="360"/>
        </w:tabs>
        <w:ind w:left="25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79C05832">
      <w:start w:val="1"/>
      <w:numFmt w:val="decimal"/>
      <w:lvlText w:val="%5."/>
      <w:lvlJc w:val="left"/>
      <w:pPr>
        <w:tabs>
          <w:tab w:val="left" w:pos="360"/>
        </w:tabs>
        <w:ind w:left="32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D3C2D5E">
      <w:start w:val="1"/>
      <w:numFmt w:val="decimal"/>
      <w:lvlText w:val="%6."/>
      <w:lvlJc w:val="left"/>
      <w:pPr>
        <w:tabs>
          <w:tab w:val="left" w:pos="360"/>
        </w:tabs>
        <w:ind w:left="39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A4CD7F8">
      <w:start w:val="1"/>
      <w:numFmt w:val="decimal"/>
      <w:lvlText w:val="%7."/>
      <w:lvlJc w:val="left"/>
      <w:pPr>
        <w:tabs>
          <w:tab w:val="left" w:pos="360"/>
        </w:tabs>
        <w:ind w:left="46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0DEBD02">
      <w:start w:val="1"/>
      <w:numFmt w:val="decimal"/>
      <w:lvlText w:val="%8."/>
      <w:lvlJc w:val="left"/>
      <w:pPr>
        <w:tabs>
          <w:tab w:val="left" w:pos="360"/>
        </w:tabs>
        <w:ind w:left="54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6C7A068A">
      <w:start w:val="1"/>
      <w:numFmt w:val="decimal"/>
      <w:lvlText w:val="%9."/>
      <w:lvlJc w:val="left"/>
      <w:pPr>
        <w:tabs>
          <w:tab w:val="left" w:pos="360"/>
        </w:tabs>
        <w:ind w:left="61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2" w15:restartNumberingAfterBreak="0">
    <w:nsid w:val="577977F6"/>
    <w:multiLevelType w:val="hybridMultilevel"/>
    <w:tmpl w:val="B590CDE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15:restartNumberingAfterBreak="0">
    <w:nsid w:val="59694AD6"/>
    <w:multiLevelType w:val="hybridMultilevel"/>
    <w:tmpl w:val="28883D9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4" w15:restartNumberingAfterBreak="0">
    <w:nsid w:val="5C980D01"/>
    <w:multiLevelType w:val="hybridMultilevel"/>
    <w:tmpl w:val="29BECD02"/>
    <w:lvl w:ilvl="0" w:tplc="FFFFFFFF">
      <w:start w:val="1"/>
      <w:numFmt w:val="bullet"/>
      <w:pStyle w:val="C-Bullet"/>
      <w:lvlText w:val="·"/>
      <w:lvlJc w:val="left"/>
      <w:pPr>
        <w:tabs>
          <w:tab w:val="num" w:pos="1080"/>
        </w:tabs>
        <w:ind w:left="1080" w:hanging="360"/>
      </w:pPr>
      <w:rPr>
        <w:rFonts w:ascii="Symbol" w:hAnsi="Symbol" w:hint="default"/>
        <w:b w:val="0"/>
        <w:i w:val="0"/>
        <w:caps w:val="0"/>
        <w:strike w:val="0"/>
        <w:dstrike w:val="0"/>
        <w:vanish w:val="0"/>
        <w:color w:val="00000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start w:val="1"/>
      <w:numFmt w:val="bullet"/>
      <w:lvlText w:val="o"/>
      <w:lvlJc w:val="left"/>
      <w:pPr>
        <w:tabs>
          <w:tab w:val="num" w:pos="1800"/>
        </w:tabs>
        <w:ind w:left="1800" w:hanging="360"/>
      </w:pPr>
      <w:rPr>
        <w:rFonts w:ascii="Courier New" w:hAnsi="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45" w15:restartNumberingAfterBreak="0">
    <w:nsid w:val="61D02E8B"/>
    <w:multiLevelType w:val="multilevel"/>
    <w:tmpl w:val="7A801BB0"/>
    <w:lvl w:ilvl="0">
      <w:start w:val="1"/>
      <w:numFmt w:val="decimal"/>
      <w:lvlText w:val="%1"/>
      <w:lvlJc w:val="left"/>
      <w:pPr>
        <w:tabs>
          <w:tab w:val="num" w:pos="705"/>
        </w:tabs>
        <w:ind w:left="705" w:hanging="705"/>
      </w:pPr>
      <w:rPr>
        <w:rFonts w:cs="Times New Roman" w:hint="default"/>
      </w:rPr>
    </w:lvl>
    <w:lvl w:ilvl="1">
      <w:start w:val="1"/>
      <w:numFmt w:val="decimal"/>
      <w:lvlText w:val="%1.%2"/>
      <w:lvlJc w:val="left"/>
      <w:pPr>
        <w:tabs>
          <w:tab w:val="num" w:pos="847"/>
        </w:tabs>
        <w:ind w:left="847" w:hanging="70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6" w15:restartNumberingAfterBreak="0">
    <w:nsid w:val="62D41E42"/>
    <w:multiLevelType w:val="multilevel"/>
    <w:tmpl w:val="0410001F"/>
    <w:numStyleLink w:val="Stile1"/>
  </w:abstractNum>
  <w:abstractNum w:abstractNumId="47" w15:restartNumberingAfterBreak="0">
    <w:nsid w:val="6432215F"/>
    <w:multiLevelType w:val="hybridMultilevel"/>
    <w:tmpl w:val="535451B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8" w15:restartNumberingAfterBreak="0">
    <w:nsid w:val="647775AB"/>
    <w:multiLevelType w:val="hybridMultilevel"/>
    <w:tmpl w:val="4B1A7AB4"/>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15:restartNumberingAfterBreak="0">
    <w:nsid w:val="66B44346"/>
    <w:multiLevelType w:val="hybridMultilevel"/>
    <w:tmpl w:val="2D2A2FB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15:restartNumberingAfterBreak="0">
    <w:nsid w:val="66ED6F97"/>
    <w:multiLevelType w:val="hybridMultilevel"/>
    <w:tmpl w:val="A7F275A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1" w15:restartNumberingAfterBreak="0">
    <w:nsid w:val="71DC586A"/>
    <w:multiLevelType w:val="hybridMultilevel"/>
    <w:tmpl w:val="298C5384"/>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52" w15:restartNumberingAfterBreak="0">
    <w:nsid w:val="72644139"/>
    <w:multiLevelType w:val="multilevel"/>
    <w:tmpl w:val="C4E4098A"/>
    <w:lvl w:ilvl="0">
      <w:start w:val="8"/>
      <w:numFmt w:val="decimal"/>
      <w:pStyle w:val="Bullets15"/>
      <w:lvlText w:val="%1"/>
      <w:lvlJc w:val="left"/>
      <w:pPr>
        <w:tabs>
          <w:tab w:val="num" w:pos="705"/>
        </w:tabs>
        <w:ind w:left="705" w:hanging="705"/>
      </w:pPr>
      <w:rPr>
        <w:rFonts w:cs="Times New Roman" w:hint="default"/>
      </w:rPr>
    </w:lvl>
    <w:lvl w:ilvl="1">
      <w:start w:val="1"/>
      <w:numFmt w:val="decimal"/>
      <w:lvlText w:val="%1.%2"/>
      <w:lvlJc w:val="left"/>
      <w:pPr>
        <w:tabs>
          <w:tab w:val="num" w:pos="705"/>
        </w:tabs>
        <w:ind w:left="705" w:hanging="70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3" w15:restartNumberingAfterBreak="0">
    <w:nsid w:val="755769C1"/>
    <w:multiLevelType w:val="hybridMultilevel"/>
    <w:tmpl w:val="0B32ED22"/>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4" w15:restartNumberingAfterBreak="0">
    <w:nsid w:val="7579702B"/>
    <w:multiLevelType w:val="hybridMultilevel"/>
    <w:tmpl w:val="C762AB92"/>
    <w:styleLink w:val="Stileimportato2"/>
    <w:lvl w:ilvl="0" w:tplc="B35438C0">
      <w:start w:val="1"/>
      <w:numFmt w:val="bullet"/>
      <w:lvlText w:val="•"/>
      <w:lvlJc w:val="left"/>
      <w:pPr>
        <w:ind w:left="660" w:hanging="30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961E885C">
      <w:start w:val="1"/>
      <w:numFmt w:val="bullet"/>
      <w:lvlText w:val="o"/>
      <w:lvlJc w:val="left"/>
      <w:pPr>
        <w:ind w:left="14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D4DCB2C8">
      <w:start w:val="1"/>
      <w:numFmt w:val="bullet"/>
      <w:lvlText w:val="▪"/>
      <w:lvlJc w:val="left"/>
      <w:pPr>
        <w:ind w:left="21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1520D2C0">
      <w:start w:val="1"/>
      <w:numFmt w:val="bullet"/>
      <w:lvlText w:val="•"/>
      <w:lvlJc w:val="left"/>
      <w:pPr>
        <w:ind w:left="28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A426C78">
      <w:start w:val="1"/>
      <w:numFmt w:val="bullet"/>
      <w:lvlText w:val="o"/>
      <w:lvlJc w:val="left"/>
      <w:pPr>
        <w:ind w:left="360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9A842CA0">
      <w:start w:val="1"/>
      <w:numFmt w:val="bullet"/>
      <w:lvlText w:val="▪"/>
      <w:lvlJc w:val="left"/>
      <w:pPr>
        <w:ind w:left="432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6CAC9A1E">
      <w:start w:val="1"/>
      <w:numFmt w:val="bullet"/>
      <w:lvlText w:val="•"/>
      <w:lvlJc w:val="left"/>
      <w:pPr>
        <w:ind w:left="504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F83015F8">
      <w:start w:val="1"/>
      <w:numFmt w:val="bullet"/>
      <w:lvlText w:val="o"/>
      <w:lvlJc w:val="left"/>
      <w:pPr>
        <w:ind w:left="576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3F609C8A">
      <w:start w:val="1"/>
      <w:numFmt w:val="bullet"/>
      <w:lvlText w:val="▪"/>
      <w:lvlJc w:val="left"/>
      <w:pPr>
        <w:ind w:left="6480" w:hanging="360"/>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55" w15:restartNumberingAfterBreak="0">
    <w:nsid w:val="75906D7A"/>
    <w:multiLevelType w:val="hybridMultilevel"/>
    <w:tmpl w:val="4282CA92"/>
    <w:lvl w:ilvl="0" w:tplc="0410000B">
      <w:start w:val="1"/>
      <w:numFmt w:val="bullet"/>
      <w:lvlText w:val=""/>
      <w:lvlJc w:val="left"/>
      <w:pPr>
        <w:ind w:left="1440" w:hanging="360"/>
      </w:pPr>
      <w:rPr>
        <w:rFonts w:ascii="Wingdings" w:hAnsi="Wingdings" w:hint="default"/>
      </w:rPr>
    </w:lvl>
    <w:lvl w:ilvl="1" w:tplc="04100003">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56" w15:restartNumberingAfterBreak="0">
    <w:nsid w:val="765443F3"/>
    <w:multiLevelType w:val="hybridMultilevel"/>
    <w:tmpl w:val="11AA0BD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408964604">
    <w:abstractNumId w:val="11"/>
  </w:num>
  <w:num w:numId="2" w16cid:durableId="1778207480">
    <w:abstractNumId w:val="14"/>
  </w:num>
  <w:num w:numId="3" w16cid:durableId="2050259435">
    <w:abstractNumId w:val="25"/>
  </w:num>
  <w:num w:numId="4" w16cid:durableId="897085041">
    <w:abstractNumId w:val="45"/>
  </w:num>
  <w:num w:numId="5" w16cid:durableId="383414159">
    <w:abstractNumId w:val="3"/>
  </w:num>
  <w:num w:numId="6" w16cid:durableId="291374544">
    <w:abstractNumId w:val="52"/>
  </w:num>
  <w:num w:numId="7" w16cid:durableId="842553520">
    <w:abstractNumId w:val="28"/>
  </w:num>
  <w:num w:numId="8" w16cid:durableId="1866752841">
    <w:abstractNumId w:val="9"/>
  </w:num>
  <w:num w:numId="9" w16cid:durableId="375392743">
    <w:abstractNumId w:val="44"/>
  </w:num>
  <w:num w:numId="10" w16cid:durableId="1096824306">
    <w:abstractNumId w:val="1"/>
  </w:num>
  <w:num w:numId="11" w16cid:durableId="1299721084">
    <w:abstractNumId w:val="0"/>
  </w:num>
  <w:num w:numId="12" w16cid:durableId="958726898">
    <w:abstractNumId w:val="12"/>
  </w:num>
  <w:num w:numId="13" w16cid:durableId="993292906">
    <w:abstractNumId w:val="19"/>
  </w:num>
  <w:num w:numId="14" w16cid:durableId="2002848711">
    <w:abstractNumId w:val="7"/>
  </w:num>
  <w:num w:numId="15" w16cid:durableId="1630547382">
    <w:abstractNumId w:val="4"/>
  </w:num>
  <w:num w:numId="16" w16cid:durableId="2061635684">
    <w:abstractNumId w:val="54"/>
  </w:num>
  <w:num w:numId="17" w16cid:durableId="1076703589">
    <w:abstractNumId w:val="41"/>
  </w:num>
  <w:num w:numId="18" w16cid:durableId="1770151019">
    <w:abstractNumId w:val="48"/>
  </w:num>
  <w:num w:numId="19" w16cid:durableId="1431662000">
    <w:abstractNumId w:val="2"/>
  </w:num>
  <w:num w:numId="20" w16cid:durableId="559219445">
    <w:abstractNumId w:val="20"/>
  </w:num>
  <w:num w:numId="21" w16cid:durableId="518928533">
    <w:abstractNumId w:val="16"/>
  </w:num>
  <w:num w:numId="22" w16cid:durableId="888877428">
    <w:abstractNumId w:val="30"/>
  </w:num>
  <w:num w:numId="23" w16cid:durableId="692536820">
    <w:abstractNumId w:val="34"/>
  </w:num>
  <w:num w:numId="24" w16cid:durableId="281572520">
    <w:abstractNumId w:val="10"/>
  </w:num>
  <w:num w:numId="25" w16cid:durableId="108477277">
    <w:abstractNumId w:val="27"/>
  </w:num>
  <w:num w:numId="26" w16cid:durableId="1935547585">
    <w:abstractNumId w:val="17"/>
  </w:num>
  <w:num w:numId="27" w16cid:durableId="81492969">
    <w:abstractNumId w:val="56"/>
  </w:num>
  <w:num w:numId="28" w16cid:durableId="575093740">
    <w:abstractNumId w:val="23"/>
  </w:num>
  <w:num w:numId="29" w16cid:durableId="758410403">
    <w:abstractNumId w:val="31"/>
  </w:num>
  <w:num w:numId="30" w16cid:durableId="1967656098">
    <w:abstractNumId w:val="5"/>
  </w:num>
  <w:num w:numId="31" w16cid:durableId="64961433">
    <w:abstractNumId w:val="43"/>
  </w:num>
  <w:num w:numId="32" w16cid:durableId="253055048">
    <w:abstractNumId w:val="15"/>
  </w:num>
  <w:num w:numId="33" w16cid:durableId="1986738200">
    <w:abstractNumId w:val="38"/>
  </w:num>
  <w:num w:numId="34" w16cid:durableId="1096831529">
    <w:abstractNumId w:val="42"/>
  </w:num>
  <w:num w:numId="35" w16cid:durableId="712340865">
    <w:abstractNumId w:val="26"/>
  </w:num>
  <w:num w:numId="36" w16cid:durableId="1291085097">
    <w:abstractNumId w:val="39"/>
  </w:num>
  <w:num w:numId="37" w16cid:durableId="109210302">
    <w:abstractNumId w:val="29"/>
  </w:num>
  <w:num w:numId="38" w16cid:durableId="982540120">
    <w:abstractNumId w:val="13"/>
  </w:num>
  <w:num w:numId="39" w16cid:durableId="146750911">
    <w:abstractNumId w:val="47"/>
  </w:num>
  <w:num w:numId="40" w16cid:durableId="1922713223">
    <w:abstractNumId w:val="37"/>
  </w:num>
  <w:num w:numId="41" w16cid:durableId="1086612012">
    <w:abstractNumId w:val="46"/>
  </w:num>
  <w:num w:numId="42" w16cid:durableId="806357282">
    <w:abstractNumId w:val="36"/>
  </w:num>
  <w:num w:numId="43" w16cid:durableId="99498258">
    <w:abstractNumId w:val="53"/>
  </w:num>
  <w:num w:numId="44" w16cid:durableId="649553329">
    <w:abstractNumId w:val="55"/>
  </w:num>
  <w:num w:numId="45" w16cid:durableId="1340891739">
    <w:abstractNumId w:val="35"/>
  </w:num>
  <w:num w:numId="46" w16cid:durableId="1938368423">
    <w:abstractNumId w:val="49"/>
  </w:num>
  <w:num w:numId="47" w16cid:durableId="1521700179">
    <w:abstractNumId w:val="32"/>
  </w:num>
  <w:num w:numId="48" w16cid:durableId="1814634856">
    <w:abstractNumId w:val="33"/>
  </w:num>
  <w:num w:numId="49" w16cid:durableId="684746193">
    <w:abstractNumId w:val="50"/>
  </w:num>
  <w:num w:numId="50" w16cid:durableId="148254123">
    <w:abstractNumId w:val="51"/>
  </w:num>
  <w:num w:numId="51" w16cid:durableId="2127770220">
    <w:abstractNumId w:val="24"/>
  </w:num>
  <w:num w:numId="52" w16cid:durableId="81339846">
    <w:abstractNumId w:val="22"/>
  </w:num>
  <w:num w:numId="53" w16cid:durableId="1252355768">
    <w:abstractNumId w:val="8"/>
  </w:num>
  <w:num w:numId="54" w16cid:durableId="2106994885">
    <w:abstractNumId w:val="40"/>
  </w:num>
  <w:num w:numId="55" w16cid:durableId="537279006">
    <w:abstractNumId w:val="18"/>
  </w:num>
  <w:num w:numId="56" w16cid:durableId="608514427">
    <w:abstractNumId w:val="21"/>
  </w:num>
  <w:num w:numId="57" w16cid:durableId="1935433087">
    <w:abstractNumId w:val="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hideSpellingErrors/>
  <w:defaultTabStop w:val="720"/>
  <w:hyphenationZone w:val="283"/>
  <w:drawingGridHorizontalSpacing w:val="110"/>
  <w:displayHorizontalDrawingGridEvery w:val="2"/>
  <w:characterSpacingControl w:val="doNotCompress"/>
  <w:savePreviewPicture/>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5BBC"/>
    <w:rsid w:val="0000001A"/>
    <w:rsid w:val="00000379"/>
    <w:rsid w:val="0000125E"/>
    <w:rsid w:val="00002343"/>
    <w:rsid w:val="000026AC"/>
    <w:rsid w:val="000028E6"/>
    <w:rsid w:val="00002ECF"/>
    <w:rsid w:val="00003144"/>
    <w:rsid w:val="0000375A"/>
    <w:rsid w:val="0000378B"/>
    <w:rsid w:val="00003BB8"/>
    <w:rsid w:val="00003CFB"/>
    <w:rsid w:val="0000404E"/>
    <w:rsid w:val="0000472F"/>
    <w:rsid w:val="00005340"/>
    <w:rsid w:val="00005591"/>
    <w:rsid w:val="00005773"/>
    <w:rsid w:val="0000646B"/>
    <w:rsid w:val="000067DF"/>
    <w:rsid w:val="00007E4D"/>
    <w:rsid w:val="00010404"/>
    <w:rsid w:val="00010DC6"/>
    <w:rsid w:val="00011156"/>
    <w:rsid w:val="00011287"/>
    <w:rsid w:val="0001167D"/>
    <w:rsid w:val="00012283"/>
    <w:rsid w:val="00012F4E"/>
    <w:rsid w:val="00013803"/>
    <w:rsid w:val="00013B6B"/>
    <w:rsid w:val="000146B8"/>
    <w:rsid w:val="000148DA"/>
    <w:rsid w:val="00014B7A"/>
    <w:rsid w:val="00015357"/>
    <w:rsid w:val="000155AF"/>
    <w:rsid w:val="00016077"/>
    <w:rsid w:val="00016171"/>
    <w:rsid w:val="00016174"/>
    <w:rsid w:val="000161B9"/>
    <w:rsid w:val="00016900"/>
    <w:rsid w:val="00017667"/>
    <w:rsid w:val="0002083C"/>
    <w:rsid w:val="00020A39"/>
    <w:rsid w:val="00020A3A"/>
    <w:rsid w:val="000210A2"/>
    <w:rsid w:val="000211E6"/>
    <w:rsid w:val="00021D98"/>
    <w:rsid w:val="00022346"/>
    <w:rsid w:val="0002253E"/>
    <w:rsid w:val="00022A96"/>
    <w:rsid w:val="00022BDF"/>
    <w:rsid w:val="00023A2F"/>
    <w:rsid w:val="00024130"/>
    <w:rsid w:val="00024BC1"/>
    <w:rsid w:val="00024D61"/>
    <w:rsid w:val="0002597E"/>
    <w:rsid w:val="0002615D"/>
    <w:rsid w:val="00026357"/>
    <w:rsid w:val="000269F9"/>
    <w:rsid w:val="000279BA"/>
    <w:rsid w:val="00027B10"/>
    <w:rsid w:val="00027D1E"/>
    <w:rsid w:val="00027D23"/>
    <w:rsid w:val="000300FB"/>
    <w:rsid w:val="00030A87"/>
    <w:rsid w:val="00030A95"/>
    <w:rsid w:val="00030B90"/>
    <w:rsid w:val="000312AE"/>
    <w:rsid w:val="00031646"/>
    <w:rsid w:val="00031654"/>
    <w:rsid w:val="000317D0"/>
    <w:rsid w:val="00031877"/>
    <w:rsid w:val="00031CFE"/>
    <w:rsid w:val="00032E9D"/>
    <w:rsid w:val="000331D8"/>
    <w:rsid w:val="00033C90"/>
    <w:rsid w:val="0003447F"/>
    <w:rsid w:val="00034E12"/>
    <w:rsid w:val="00036617"/>
    <w:rsid w:val="00037154"/>
    <w:rsid w:val="00037766"/>
    <w:rsid w:val="000408D5"/>
    <w:rsid w:val="00040AF4"/>
    <w:rsid w:val="000410B7"/>
    <w:rsid w:val="000411F2"/>
    <w:rsid w:val="000418BE"/>
    <w:rsid w:val="00041C37"/>
    <w:rsid w:val="00041CD9"/>
    <w:rsid w:val="000427F5"/>
    <w:rsid w:val="000428F9"/>
    <w:rsid w:val="000430BB"/>
    <w:rsid w:val="000434D7"/>
    <w:rsid w:val="00043797"/>
    <w:rsid w:val="00043B6B"/>
    <w:rsid w:val="00045007"/>
    <w:rsid w:val="0004523D"/>
    <w:rsid w:val="00045EA4"/>
    <w:rsid w:val="00046D5E"/>
    <w:rsid w:val="0004785A"/>
    <w:rsid w:val="0005028A"/>
    <w:rsid w:val="0005072F"/>
    <w:rsid w:val="00050A52"/>
    <w:rsid w:val="00051239"/>
    <w:rsid w:val="00051BE7"/>
    <w:rsid w:val="00051E25"/>
    <w:rsid w:val="00051F13"/>
    <w:rsid w:val="00051F69"/>
    <w:rsid w:val="000529D2"/>
    <w:rsid w:val="00052CF0"/>
    <w:rsid w:val="00052CFE"/>
    <w:rsid w:val="0005344E"/>
    <w:rsid w:val="00053FB2"/>
    <w:rsid w:val="0005414A"/>
    <w:rsid w:val="000563A6"/>
    <w:rsid w:val="00056528"/>
    <w:rsid w:val="00056DF5"/>
    <w:rsid w:val="00057473"/>
    <w:rsid w:val="00057ABD"/>
    <w:rsid w:val="00057B1A"/>
    <w:rsid w:val="00057D54"/>
    <w:rsid w:val="000607AE"/>
    <w:rsid w:val="00060923"/>
    <w:rsid w:val="00060EA8"/>
    <w:rsid w:val="00061309"/>
    <w:rsid w:val="00061876"/>
    <w:rsid w:val="00061A6F"/>
    <w:rsid w:val="00061F8E"/>
    <w:rsid w:val="00062F45"/>
    <w:rsid w:val="000644D7"/>
    <w:rsid w:val="00064C4A"/>
    <w:rsid w:val="00064EBA"/>
    <w:rsid w:val="00065233"/>
    <w:rsid w:val="00065A18"/>
    <w:rsid w:val="00065C99"/>
    <w:rsid w:val="00065D85"/>
    <w:rsid w:val="00066604"/>
    <w:rsid w:val="0006776B"/>
    <w:rsid w:val="0006798F"/>
    <w:rsid w:val="00067CA6"/>
    <w:rsid w:val="00067ECE"/>
    <w:rsid w:val="00070162"/>
    <w:rsid w:val="000720A7"/>
    <w:rsid w:val="0007292E"/>
    <w:rsid w:val="00072B0A"/>
    <w:rsid w:val="00072D74"/>
    <w:rsid w:val="00073217"/>
    <w:rsid w:val="000738D2"/>
    <w:rsid w:val="00073C03"/>
    <w:rsid w:val="0007464B"/>
    <w:rsid w:val="000746D7"/>
    <w:rsid w:val="00074FE9"/>
    <w:rsid w:val="0007591A"/>
    <w:rsid w:val="00076154"/>
    <w:rsid w:val="00076A28"/>
    <w:rsid w:val="00076B4F"/>
    <w:rsid w:val="00077217"/>
    <w:rsid w:val="000776B7"/>
    <w:rsid w:val="00077EC7"/>
    <w:rsid w:val="000804EB"/>
    <w:rsid w:val="000808B5"/>
    <w:rsid w:val="00080B46"/>
    <w:rsid w:val="000810E2"/>
    <w:rsid w:val="0008134D"/>
    <w:rsid w:val="00081498"/>
    <w:rsid w:val="000817EA"/>
    <w:rsid w:val="00081928"/>
    <w:rsid w:val="0008196B"/>
    <w:rsid w:val="00081C65"/>
    <w:rsid w:val="00081CA2"/>
    <w:rsid w:val="00081EC7"/>
    <w:rsid w:val="00082101"/>
    <w:rsid w:val="00082351"/>
    <w:rsid w:val="00082755"/>
    <w:rsid w:val="0008292D"/>
    <w:rsid w:val="00082B99"/>
    <w:rsid w:val="00082E32"/>
    <w:rsid w:val="00082F7E"/>
    <w:rsid w:val="000832C1"/>
    <w:rsid w:val="000841B8"/>
    <w:rsid w:val="00084326"/>
    <w:rsid w:val="00085B24"/>
    <w:rsid w:val="00085C32"/>
    <w:rsid w:val="00086E9D"/>
    <w:rsid w:val="000874E7"/>
    <w:rsid w:val="000875DD"/>
    <w:rsid w:val="00087BDD"/>
    <w:rsid w:val="0009081B"/>
    <w:rsid w:val="0009277C"/>
    <w:rsid w:val="00092B80"/>
    <w:rsid w:val="000937B5"/>
    <w:rsid w:val="00094483"/>
    <w:rsid w:val="0009546C"/>
    <w:rsid w:val="0009556F"/>
    <w:rsid w:val="0009559C"/>
    <w:rsid w:val="0009626D"/>
    <w:rsid w:val="00096813"/>
    <w:rsid w:val="000A0012"/>
    <w:rsid w:val="000A0265"/>
    <w:rsid w:val="000A085C"/>
    <w:rsid w:val="000A1BDC"/>
    <w:rsid w:val="000A1C92"/>
    <w:rsid w:val="000A29B2"/>
    <w:rsid w:val="000A2E21"/>
    <w:rsid w:val="000A3119"/>
    <w:rsid w:val="000A4102"/>
    <w:rsid w:val="000A4D07"/>
    <w:rsid w:val="000A4E50"/>
    <w:rsid w:val="000A5937"/>
    <w:rsid w:val="000A6153"/>
    <w:rsid w:val="000A67DD"/>
    <w:rsid w:val="000B0964"/>
    <w:rsid w:val="000B0B07"/>
    <w:rsid w:val="000B12A9"/>
    <w:rsid w:val="000B1B30"/>
    <w:rsid w:val="000B1E00"/>
    <w:rsid w:val="000B2721"/>
    <w:rsid w:val="000B2B18"/>
    <w:rsid w:val="000B2CC3"/>
    <w:rsid w:val="000B2D49"/>
    <w:rsid w:val="000B35E5"/>
    <w:rsid w:val="000B3705"/>
    <w:rsid w:val="000B411D"/>
    <w:rsid w:val="000B49F6"/>
    <w:rsid w:val="000B4C2E"/>
    <w:rsid w:val="000B4D6A"/>
    <w:rsid w:val="000B524F"/>
    <w:rsid w:val="000B587F"/>
    <w:rsid w:val="000B5930"/>
    <w:rsid w:val="000B5C8D"/>
    <w:rsid w:val="000B702B"/>
    <w:rsid w:val="000B77D5"/>
    <w:rsid w:val="000B7E11"/>
    <w:rsid w:val="000C0897"/>
    <w:rsid w:val="000C0EDD"/>
    <w:rsid w:val="000C1C02"/>
    <w:rsid w:val="000C1D7F"/>
    <w:rsid w:val="000C24F6"/>
    <w:rsid w:val="000C2964"/>
    <w:rsid w:val="000C32BE"/>
    <w:rsid w:val="000C333C"/>
    <w:rsid w:val="000C38D7"/>
    <w:rsid w:val="000C3AF6"/>
    <w:rsid w:val="000C3D75"/>
    <w:rsid w:val="000C3E61"/>
    <w:rsid w:val="000C3F0B"/>
    <w:rsid w:val="000C3F28"/>
    <w:rsid w:val="000C456E"/>
    <w:rsid w:val="000C4725"/>
    <w:rsid w:val="000C4AC4"/>
    <w:rsid w:val="000C5090"/>
    <w:rsid w:val="000C5DA6"/>
    <w:rsid w:val="000C5E82"/>
    <w:rsid w:val="000C7E38"/>
    <w:rsid w:val="000D0A82"/>
    <w:rsid w:val="000D1170"/>
    <w:rsid w:val="000D1547"/>
    <w:rsid w:val="000D2B4D"/>
    <w:rsid w:val="000D2F40"/>
    <w:rsid w:val="000D349B"/>
    <w:rsid w:val="000D522C"/>
    <w:rsid w:val="000D573D"/>
    <w:rsid w:val="000D5A45"/>
    <w:rsid w:val="000D5D70"/>
    <w:rsid w:val="000D736D"/>
    <w:rsid w:val="000E0289"/>
    <w:rsid w:val="000E11C3"/>
    <w:rsid w:val="000E13F3"/>
    <w:rsid w:val="000E14E8"/>
    <w:rsid w:val="000E14F7"/>
    <w:rsid w:val="000E1547"/>
    <w:rsid w:val="000E1585"/>
    <w:rsid w:val="000E1E2F"/>
    <w:rsid w:val="000E2289"/>
    <w:rsid w:val="000E2723"/>
    <w:rsid w:val="000E27D2"/>
    <w:rsid w:val="000E2C91"/>
    <w:rsid w:val="000E2E7C"/>
    <w:rsid w:val="000E3022"/>
    <w:rsid w:val="000E3362"/>
    <w:rsid w:val="000E34A9"/>
    <w:rsid w:val="000E36D8"/>
    <w:rsid w:val="000E397B"/>
    <w:rsid w:val="000E433A"/>
    <w:rsid w:val="000E461F"/>
    <w:rsid w:val="000E4AAB"/>
    <w:rsid w:val="000E5D5E"/>
    <w:rsid w:val="000E64E1"/>
    <w:rsid w:val="000E65D9"/>
    <w:rsid w:val="000E70E8"/>
    <w:rsid w:val="000E76F8"/>
    <w:rsid w:val="000E79F3"/>
    <w:rsid w:val="000F003B"/>
    <w:rsid w:val="000F01BC"/>
    <w:rsid w:val="000F0AD2"/>
    <w:rsid w:val="000F1395"/>
    <w:rsid w:val="000F1539"/>
    <w:rsid w:val="000F272C"/>
    <w:rsid w:val="000F2BC0"/>
    <w:rsid w:val="000F32D1"/>
    <w:rsid w:val="000F3321"/>
    <w:rsid w:val="000F420F"/>
    <w:rsid w:val="000F44C3"/>
    <w:rsid w:val="000F50E5"/>
    <w:rsid w:val="000F7335"/>
    <w:rsid w:val="000F758E"/>
    <w:rsid w:val="000F77CA"/>
    <w:rsid w:val="00100055"/>
    <w:rsid w:val="001000DB"/>
    <w:rsid w:val="00100149"/>
    <w:rsid w:val="001014E5"/>
    <w:rsid w:val="001017B2"/>
    <w:rsid w:val="001019D0"/>
    <w:rsid w:val="00101D0D"/>
    <w:rsid w:val="0010344C"/>
    <w:rsid w:val="001045F3"/>
    <w:rsid w:val="001056EA"/>
    <w:rsid w:val="0010584A"/>
    <w:rsid w:val="00105C9F"/>
    <w:rsid w:val="00106056"/>
    <w:rsid w:val="0010640B"/>
    <w:rsid w:val="0010660B"/>
    <w:rsid w:val="00106E5F"/>
    <w:rsid w:val="00107130"/>
    <w:rsid w:val="00107B99"/>
    <w:rsid w:val="00107DFB"/>
    <w:rsid w:val="0011012D"/>
    <w:rsid w:val="001108E0"/>
    <w:rsid w:val="00111A2B"/>
    <w:rsid w:val="00112077"/>
    <w:rsid w:val="00112291"/>
    <w:rsid w:val="0011245C"/>
    <w:rsid w:val="00113212"/>
    <w:rsid w:val="00113A44"/>
    <w:rsid w:val="00113AEE"/>
    <w:rsid w:val="00113D70"/>
    <w:rsid w:val="00114428"/>
    <w:rsid w:val="00114DC3"/>
    <w:rsid w:val="001150D2"/>
    <w:rsid w:val="00115977"/>
    <w:rsid w:val="00116048"/>
    <w:rsid w:val="00116356"/>
    <w:rsid w:val="00116CD0"/>
    <w:rsid w:val="00117590"/>
    <w:rsid w:val="00117903"/>
    <w:rsid w:val="00117E3B"/>
    <w:rsid w:val="00121908"/>
    <w:rsid w:val="00121A0B"/>
    <w:rsid w:val="00121A23"/>
    <w:rsid w:val="00121A53"/>
    <w:rsid w:val="00121E5A"/>
    <w:rsid w:val="00121F5F"/>
    <w:rsid w:val="0012216F"/>
    <w:rsid w:val="001222D2"/>
    <w:rsid w:val="001227E3"/>
    <w:rsid w:val="001227ED"/>
    <w:rsid w:val="00122D69"/>
    <w:rsid w:val="00123307"/>
    <w:rsid w:val="00123679"/>
    <w:rsid w:val="001236FF"/>
    <w:rsid w:val="001237C4"/>
    <w:rsid w:val="00123B65"/>
    <w:rsid w:val="00123FD1"/>
    <w:rsid w:val="001241F2"/>
    <w:rsid w:val="001244AA"/>
    <w:rsid w:val="00124538"/>
    <w:rsid w:val="00124639"/>
    <w:rsid w:val="00124D94"/>
    <w:rsid w:val="00124ECB"/>
    <w:rsid w:val="00124F3D"/>
    <w:rsid w:val="00125096"/>
    <w:rsid w:val="001250E0"/>
    <w:rsid w:val="001257EA"/>
    <w:rsid w:val="00125EA1"/>
    <w:rsid w:val="0012608E"/>
    <w:rsid w:val="00126C7A"/>
    <w:rsid w:val="00127846"/>
    <w:rsid w:val="00127E38"/>
    <w:rsid w:val="00131347"/>
    <w:rsid w:val="001323DB"/>
    <w:rsid w:val="001327C3"/>
    <w:rsid w:val="00132BD5"/>
    <w:rsid w:val="00132FB9"/>
    <w:rsid w:val="001331FB"/>
    <w:rsid w:val="0013332E"/>
    <w:rsid w:val="00133895"/>
    <w:rsid w:val="001338FE"/>
    <w:rsid w:val="00133B39"/>
    <w:rsid w:val="00134312"/>
    <w:rsid w:val="00134C1C"/>
    <w:rsid w:val="0013581D"/>
    <w:rsid w:val="00136041"/>
    <w:rsid w:val="001369D9"/>
    <w:rsid w:val="00136BE3"/>
    <w:rsid w:val="001375DB"/>
    <w:rsid w:val="00137CC6"/>
    <w:rsid w:val="00140451"/>
    <w:rsid w:val="001404EA"/>
    <w:rsid w:val="00140552"/>
    <w:rsid w:val="00140A04"/>
    <w:rsid w:val="0014166D"/>
    <w:rsid w:val="001418BA"/>
    <w:rsid w:val="00141B5E"/>
    <w:rsid w:val="00141F01"/>
    <w:rsid w:val="00142763"/>
    <w:rsid w:val="0014307E"/>
    <w:rsid w:val="00143C3B"/>
    <w:rsid w:val="00143DF1"/>
    <w:rsid w:val="001447FF"/>
    <w:rsid w:val="001471D4"/>
    <w:rsid w:val="0014755E"/>
    <w:rsid w:val="001508A4"/>
    <w:rsid w:val="00150EE0"/>
    <w:rsid w:val="00151076"/>
    <w:rsid w:val="00151D33"/>
    <w:rsid w:val="00152605"/>
    <w:rsid w:val="001526A2"/>
    <w:rsid w:val="0015463C"/>
    <w:rsid w:val="0015527E"/>
    <w:rsid w:val="001569DA"/>
    <w:rsid w:val="00156E01"/>
    <w:rsid w:val="00157442"/>
    <w:rsid w:val="00162B9A"/>
    <w:rsid w:val="00163540"/>
    <w:rsid w:val="00163BEC"/>
    <w:rsid w:val="00164007"/>
    <w:rsid w:val="001641EE"/>
    <w:rsid w:val="001644B3"/>
    <w:rsid w:val="00164F68"/>
    <w:rsid w:val="00165307"/>
    <w:rsid w:val="001659D7"/>
    <w:rsid w:val="001659FF"/>
    <w:rsid w:val="00165B44"/>
    <w:rsid w:val="00165C66"/>
    <w:rsid w:val="00165E0B"/>
    <w:rsid w:val="00165E85"/>
    <w:rsid w:val="00166329"/>
    <w:rsid w:val="001664B8"/>
    <w:rsid w:val="00166C1B"/>
    <w:rsid w:val="001679CC"/>
    <w:rsid w:val="00167AB4"/>
    <w:rsid w:val="00167EF0"/>
    <w:rsid w:val="00170751"/>
    <w:rsid w:val="001709D1"/>
    <w:rsid w:val="0017124E"/>
    <w:rsid w:val="001721AC"/>
    <w:rsid w:val="001722F3"/>
    <w:rsid w:val="0017269C"/>
    <w:rsid w:val="001727EB"/>
    <w:rsid w:val="00172E89"/>
    <w:rsid w:val="00173536"/>
    <w:rsid w:val="0017447F"/>
    <w:rsid w:val="00174892"/>
    <w:rsid w:val="00174FF1"/>
    <w:rsid w:val="0017622A"/>
    <w:rsid w:val="001767BB"/>
    <w:rsid w:val="00176880"/>
    <w:rsid w:val="00177AAF"/>
    <w:rsid w:val="00177CF0"/>
    <w:rsid w:val="001803A6"/>
    <w:rsid w:val="00180B19"/>
    <w:rsid w:val="0018149B"/>
    <w:rsid w:val="00182D6C"/>
    <w:rsid w:val="0018325E"/>
    <w:rsid w:val="00183B12"/>
    <w:rsid w:val="00183C4A"/>
    <w:rsid w:val="001844CF"/>
    <w:rsid w:val="00184C22"/>
    <w:rsid w:val="0018513B"/>
    <w:rsid w:val="0018545D"/>
    <w:rsid w:val="00185C85"/>
    <w:rsid w:val="001861D6"/>
    <w:rsid w:val="00186647"/>
    <w:rsid w:val="0018676B"/>
    <w:rsid w:val="001868BB"/>
    <w:rsid w:val="001874F7"/>
    <w:rsid w:val="00187747"/>
    <w:rsid w:val="00187DEF"/>
    <w:rsid w:val="00190405"/>
    <w:rsid w:val="001909BE"/>
    <w:rsid w:val="00190C2F"/>
    <w:rsid w:val="00191044"/>
    <w:rsid w:val="00191198"/>
    <w:rsid w:val="00191C62"/>
    <w:rsid w:val="00191C6F"/>
    <w:rsid w:val="00191D4A"/>
    <w:rsid w:val="001925A8"/>
    <w:rsid w:val="00192610"/>
    <w:rsid w:val="001926D5"/>
    <w:rsid w:val="00192E08"/>
    <w:rsid w:val="0019322B"/>
    <w:rsid w:val="0019335A"/>
    <w:rsid w:val="001934A0"/>
    <w:rsid w:val="00193741"/>
    <w:rsid w:val="00194162"/>
    <w:rsid w:val="00194BBE"/>
    <w:rsid w:val="00194DBD"/>
    <w:rsid w:val="001955A3"/>
    <w:rsid w:val="00195DA6"/>
    <w:rsid w:val="00196484"/>
    <w:rsid w:val="001966E6"/>
    <w:rsid w:val="00197311"/>
    <w:rsid w:val="001975BC"/>
    <w:rsid w:val="001979A9"/>
    <w:rsid w:val="001A0836"/>
    <w:rsid w:val="001A0B4C"/>
    <w:rsid w:val="001A0C27"/>
    <w:rsid w:val="001A1490"/>
    <w:rsid w:val="001A1908"/>
    <w:rsid w:val="001A1D97"/>
    <w:rsid w:val="001A23F0"/>
    <w:rsid w:val="001A25EC"/>
    <w:rsid w:val="001A2AA4"/>
    <w:rsid w:val="001A3679"/>
    <w:rsid w:val="001A399D"/>
    <w:rsid w:val="001A4382"/>
    <w:rsid w:val="001A4723"/>
    <w:rsid w:val="001A5112"/>
    <w:rsid w:val="001A5587"/>
    <w:rsid w:val="001A55C9"/>
    <w:rsid w:val="001A5699"/>
    <w:rsid w:val="001A56FE"/>
    <w:rsid w:val="001A60DD"/>
    <w:rsid w:val="001A644A"/>
    <w:rsid w:val="001A6511"/>
    <w:rsid w:val="001A69A6"/>
    <w:rsid w:val="001A6DD0"/>
    <w:rsid w:val="001A7356"/>
    <w:rsid w:val="001B0092"/>
    <w:rsid w:val="001B0461"/>
    <w:rsid w:val="001B0477"/>
    <w:rsid w:val="001B04DA"/>
    <w:rsid w:val="001B0982"/>
    <w:rsid w:val="001B0AE3"/>
    <w:rsid w:val="001B0BBB"/>
    <w:rsid w:val="001B121D"/>
    <w:rsid w:val="001B15B7"/>
    <w:rsid w:val="001B1864"/>
    <w:rsid w:val="001B196F"/>
    <w:rsid w:val="001B2236"/>
    <w:rsid w:val="001B2598"/>
    <w:rsid w:val="001B27C3"/>
    <w:rsid w:val="001B3060"/>
    <w:rsid w:val="001B36C4"/>
    <w:rsid w:val="001B37A2"/>
    <w:rsid w:val="001B4ABD"/>
    <w:rsid w:val="001B4E39"/>
    <w:rsid w:val="001B5D2A"/>
    <w:rsid w:val="001B5F34"/>
    <w:rsid w:val="001B7369"/>
    <w:rsid w:val="001B7692"/>
    <w:rsid w:val="001B78ED"/>
    <w:rsid w:val="001B7A78"/>
    <w:rsid w:val="001C1053"/>
    <w:rsid w:val="001C151D"/>
    <w:rsid w:val="001C1562"/>
    <w:rsid w:val="001C1681"/>
    <w:rsid w:val="001C2F56"/>
    <w:rsid w:val="001C3987"/>
    <w:rsid w:val="001C4109"/>
    <w:rsid w:val="001C44D6"/>
    <w:rsid w:val="001C4AAC"/>
    <w:rsid w:val="001C4DD0"/>
    <w:rsid w:val="001C4F1A"/>
    <w:rsid w:val="001C50D2"/>
    <w:rsid w:val="001C5173"/>
    <w:rsid w:val="001C5ABF"/>
    <w:rsid w:val="001C6230"/>
    <w:rsid w:val="001C6CD4"/>
    <w:rsid w:val="001C71F7"/>
    <w:rsid w:val="001C7307"/>
    <w:rsid w:val="001D1B71"/>
    <w:rsid w:val="001D1C44"/>
    <w:rsid w:val="001D1C53"/>
    <w:rsid w:val="001D1DD1"/>
    <w:rsid w:val="001D1F77"/>
    <w:rsid w:val="001D248F"/>
    <w:rsid w:val="001D257C"/>
    <w:rsid w:val="001D2A7E"/>
    <w:rsid w:val="001D2C3C"/>
    <w:rsid w:val="001D2C8C"/>
    <w:rsid w:val="001D37DF"/>
    <w:rsid w:val="001D3E15"/>
    <w:rsid w:val="001D414C"/>
    <w:rsid w:val="001D4EBB"/>
    <w:rsid w:val="001D4FF3"/>
    <w:rsid w:val="001D5820"/>
    <w:rsid w:val="001D5905"/>
    <w:rsid w:val="001D59E9"/>
    <w:rsid w:val="001D5ABC"/>
    <w:rsid w:val="001D5DDF"/>
    <w:rsid w:val="001D6194"/>
    <w:rsid w:val="001D660E"/>
    <w:rsid w:val="001D6796"/>
    <w:rsid w:val="001D6EB2"/>
    <w:rsid w:val="001D705F"/>
    <w:rsid w:val="001D714F"/>
    <w:rsid w:val="001D71C3"/>
    <w:rsid w:val="001D73FF"/>
    <w:rsid w:val="001D753D"/>
    <w:rsid w:val="001D7590"/>
    <w:rsid w:val="001D7D90"/>
    <w:rsid w:val="001E0294"/>
    <w:rsid w:val="001E0704"/>
    <w:rsid w:val="001E178D"/>
    <w:rsid w:val="001E19F4"/>
    <w:rsid w:val="001E2441"/>
    <w:rsid w:val="001E255C"/>
    <w:rsid w:val="001E2707"/>
    <w:rsid w:val="001E2C2F"/>
    <w:rsid w:val="001E307D"/>
    <w:rsid w:val="001E318F"/>
    <w:rsid w:val="001E37C0"/>
    <w:rsid w:val="001E3C86"/>
    <w:rsid w:val="001E4846"/>
    <w:rsid w:val="001E486C"/>
    <w:rsid w:val="001E4A47"/>
    <w:rsid w:val="001E4DFC"/>
    <w:rsid w:val="001E55C6"/>
    <w:rsid w:val="001E58A7"/>
    <w:rsid w:val="001E58D9"/>
    <w:rsid w:val="001E6144"/>
    <w:rsid w:val="001E6E48"/>
    <w:rsid w:val="001E7662"/>
    <w:rsid w:val="001E7F7F"/>
    <w:rsid w:val="001F006E"/>
    <w:rsid w:val="001F038C"/>
    <w:rsid w:val="001F0834"/>
    <w:rsid w:val="001F11D8"/>
    <w:rsid w:val="001F224E"/>
    <w:rsid w:val="001F30A6"/>
    <w:rsid w:val="001F3880"/>
    <w:rsid w:val="001F574C"/>
    <w:rsid w:val="001F5750"/>
    <w:rsid w:val="001F5A0D"/>
    <w:rsid w:val="001F5CE1"/>
    <w:rsid w:val="001F6CF9"/>
    <w:rsid w:val="001F7E6D"/>
    <w:rsid w:val="001F7FF6"/>
    <w:rsid w:val="002024E5"/>
    <w:rsid w:val="00202CD0"/>
    <w:rsid w:val="00202D3B"/>
    <w:rsid w:val="00203403"/>
    <w:rsid w:val="00203C47"/>
    <w:rsid w:val="00203CD8"/>
    <w:rsid w:val="00203F75"/>
    <w:rsid w:val="002041C1"/>
    <w:rsid w:val="00204971"/>
    <w:rsid w:val="00205B40"/>
    <w:rsid w:val="00205C02"/>
    <w:rsid w:val="00205C77"/>
    <w:rsid w:val="00205F4D"/>
    <w:rsid w:val="00206A0C"/>
    <w:rsid w:val="00206E2E"/>
    <w:rsid w:val="0020758A"/>
    <w:rsid w:val="0020764E"/>
    <w:rsid w:val="0020788D"/>
    <w:rsid w:val="00207BC8"/>
    <w:rsid w:val="00207BE5"/>
    <w:rsid w:val="00210052"/>
    <w:rsid w:val="00210400"/>
    <w:rsid w:val="00210B42"/>
    <w:rsid w:val="00210C18"/>
    <w:rsid w:val="00210E70"/>
    <w:rsid w:val="002111AC"/>
    <w:rsid w:val="00211678"/>
    <w:rsid w:val="002116EB"/>
    <w:rsid w:val="0021205A"/>
    <w:rsid w:val="002125EF"/>
    <w:rsid w:val="002128DD"/>
    <w:rsid w:val="002128FF"/>
    <w:rsid w:val="00213070"/>
    <w:rsid w:val="00213A82"/>
    <w:rsid w:val="00214168"/>
    <w:rsid w:val="00214406"/>
    <w:rsid w:val="00214875"/>
    <w:rsid w:val="002149C0"/>
    <w:rsid w:val="00214B69"/>
    <w:rsid w:val="002150BF"/>
    <w:rsid w:val="0021512C"/>
    <w:rsid w:val="002155F4"/>
    <w:rsid w:val="0021584B"/>
    <w:rsid w:val="00216024"/>
    <w:rsid w:val="00216FCD"/>
    <w:rsid w:val="002170F7"/>
    <w:rsid w:val="002171EF"/>
    <w:rsid w:val="00220A11"/>
    <w:rsid w:val="002212CB"/>
    <w:rsid w:val="00221759"/>
    <w:rsid w:val="00221C5C"/>
    <w:rsid w:val="00221CDE"/>
    <w:rsid w:val="0022234E"/>
    <w:rsid w:val="00223292"/>
    <w:rsid w:val="00223641"/>
    <w:rsid w:val="00223CCA"/>
    <w:rsid w:val="00224A8E"/>
    <w:rsid w:val="00224DFC"/>
    <w:rsid w:val="00225053"/>
    <w:rsid w:val="0022534A"/>
    <w:rsid w:val="0022553A"/>
    <w:rsid w:val="002256E9"/>
    <w:rsid w:val="002257FC"/>
    <w:rsid w:val="002267C9"/>
    <w:rsid w:val="00226846"/>
    <w:rsid w:val="0022694B"/>
    <w:rsid w:val="00226F18"/>
    <w:rsid w:val="00227289"/>
    <w:rsid w:val="00227642"/>
    <w:rsid w:val="00230B0F"/>
    <w:rsid w:val="0023178B"/>
    <w:rsid w:val="00231A40"/>
    <w:rsid w:val="00231B87"/>
    <w:rsid w:val="00231C39"/>
    <w:rsid w:val="00232143"/>
    <w:rsid w:val="0023276B"/>
    <w:rsid w:val="002338BF"/>
    <w:rsid w:val="00233A4B"/>
    <w:rsid w:val="00233E9D"/>
    <w:rsid w:val="00234034"/>
    <w:rsid w:val="00234088"/>
    <w:rsid w:val="002342AA"/>
    <w:rsid w:val="0023447F"/>
    <w:rsid w:val="00234ABA"/>
    <w:rsid w:val="002359B9"/>
    <w:rsid w:val="00235B5F"/>
    <w:rsid w:val="00236B1F"/>
    <w:rsid w:val="00236EEF"/>
    <w:rsid w:val="00237973"/>
    <w:rsid w:val="00237C0D"/>
    <w:rsid w:val="002412E8"/>
    <w:rsid w:val="00241934"/>
    <w:rsid w:val="00241CD2"/>
    <w:rsid w:val="0024294B"/>
    <w:rsid w:val="002429CB"/>
    <w:rsid w:val="002434BC"/>
    <w:rsid w:val="002437AC"/>
    <w:rsid w:val="002438D3"/>
    <w:rsid w:val="00243C18"/>
    <w:rsid w:val="00244086"/>
    <w:rsid w:val="00244C0B"/>
    <w:rsid w:val="0024511C"/>
    <w:rsid w:val="002459CA"/>
    <w:rsid w:val="0024757C"/>
    <w:rsid w:val="00247970"/>
    <w:rsid w:val="00247A10"/>
    <w:rsid w:val="00247FFD"/>
    <w:rsid w:val="00250124"/>
    <w:rsid w:val="0025042E"/>
    <w:rsid w:val="00250E07"/>
    <w:rsid w:val="002511C2"/>
    <w:rsid w:val="00252055"/>
    <w:rsid w:val="00253DF2"/>
    <w:rsid w:val="002549F7"/>
    <w:rsid w:val="0025530B"/>
    <w:rsid w:val="00255A54"/>
    <w:rsid w:val="00256B4A"/>
    <w:rsid w:val="00257CD3"/>
    <w:rsid w:val="00261666"/>
    <w:rsid w:val="00262CC3"/>
    <w:rsid w:val="002630FA"/>
    <w:rsid w:val="00263E3A"/>
    <w:rsid w:val="0026400A"/>
    <w:rsid w:val="002641D6"/>
    <w:rsid w:val="00264943"/>
    <w:rsid w:val="0026534F"/>
    <w:rsid w:val="00265428"/>
    <w:rsid w:val="00266277"/>
    <w:rsid w:val="0026752C"/>
    <w:rsid w:val="002701F7"/>
    <w:rsid w:val="00270C15"/>
    <w:rsid w:val="00270DB7"/>
    <w:rsid w:val="00270DCA"/>
    <w:rsid w:val="00270FD2"/>
    <w:rsid w:val="00272538"/>
    <w:rsid w:val="00272DB3"/>
    <w:rsid w:val="00273347"/>
    <w:rsid w:val="002738A4"/>
    <w:rsid w:val="00274807"/>
    <w:rsid w:val="00276CFF"/>
    <w:rsid w:val="00277E98"/>
    <w:rsid w:val="00280450"/>
    <w:rsid w:val="002806DF"/>
    <w:rsid w:val="00281932"/>
    <w:rsid w:val="002821D8"/>
    <w:rsid w:val="00282834"/>
    <w:rsid w:val="00282F2C"/>
    <w:rsid w:val="002832BE"/>
    <w:rsid w:val="002839F7"/>
    <w:rsid w:val="002842DE"/>
    <w:rsid w:val="002846CD"/>
    <w:rsid w:val="00284925"/>
    <w:rsid w:val="00284D18"/>
    <w:rsid w:val="00285127"/>
    <w:rsid w:val="002851EC"/>
    <w:rsid w:val="0028554C"/>
    <w:rsid w:val="00285670"/>
    <w:rsid w:val="00285897"/>
    <w:rsid w:val="00286290"/>
    <w:rsid w:val="00286979"/>
    <w:rsid w:val="00286E34"/>
    <w:rsid w:val="00290205"/>
    <w:rsid w:val="0029053A"/>
    <w:rsid w:val="00290B2E"/>
    <w:rsid w:val="00290EAE"/>
    <w:rsid w:val="00290FF2"/>
    <w:rsid w:val="00291028"/>
    <w:rsid w:val="00291A26"/>
    <w:rsid w:val="00291B7A"/>
    <w:rsid w:val="002921B3"/>
    <w:rsid w:val="00292415"/>
    <w:rsid w:val="0029253F"/>
    <w:rsid w:val="00292830"/>
    <w:rsid w:val="00292B9B"/>
    <w:rsid w:val="00292E58"/>
    <w:rsid w:val="00293321"/>
    <w:rsid w:val="002941CC"/>
    <w:rsid w:val="002943E1"/>
    <w:rsid w:val="002956C7"/>
    <w:rsid w:val="00296E7F"/>
    <w:rsid w:val="00297A91"/>
    <w:rsid w:val="002A0C19"/>
    <w:rsid w:val="002A1030"/>
    <w:rsid w:val="002A106D"/>
    <w:rsid w:val="002A15AC"/>
    <w:rsid w:val="002A1A89"/>
    <w:rsid w:val="002A1B82"/>
    <w:rsid w:val="002A1F66"/>
    <w:rsid w:val="002A1F87"/>
    <w:rsid w:val="002A2C54"/>
    <w:rsid w:val="002A2E4B"/>
    <w:rsid w:val="002A3058"/>
    <w:rsid w:val="002A31E6"/>
    <w:rsid w:val="002A3B06"/>
    <w:rsid w:val="002A3CC7"/>
    <w:rsid w:val="002A4CED"/>
    <w:rsid w:val="002A4DDB"/>
    <w:rsid w:val="002A5849"/>
    <w:rsid w:val="002A59A7"/>
    <w:rsid w:val="002A6B0C"/>
    <w:rsid w:val="002A6EAC"/>
    <w:rsid w:val="002A718D"/>
    <w:rsid w:val="002A7325"/>
    <w:rsid w:val="002A764A"/>
    <w:rsid w:val="002A77A1"/>
    <w:rsid w:val="002A7907"/>
    <w:rsid w:val="002A79EC"/>
    <w:rsid w:val="002B0253"/>
    <w:rsid w:val="002B078B"/>
    <w:rsid w:val="002B08C8"/>
    <w:rsid w:val="002B135D"/>
    <w:rsid w:val="002B1596"/>
    <w:rsid w:val="002B1A53"/>
    <w:rsid w:val="002B1D74"/>
    <w:rsid w:val="002B2447"/>
    <w:rsid w:val="002B31E2"/>
    <w:rsid w:val="002B3328"/>
    <w:rsid w:val="002B44A5"/>
    <w:rsid w:val="002B4699"/>
    <w:rsid w:val="002B4F9E"/>
    <w:rsid w:val="002B5225"/>
    <w:rsid w:val="002B5A12"/>
    <w:rsid w:val="002B5BC2"/>
    <w:rsid w:val="002B6BCD"/>
    <w:rsid w:val="002B70CF"/>
    <w:rsid w:val="002B7328"/>
    <w:rsid w:val="002B79A4"/>
    <w:rsid w:val="002B7BEA"/>
    <w:rsid w:val="002C02F7"/>
    <w:rsid w:val="002C0476"/>
    <w:rsid w:val="002C063E"/>
    <w:rsid w:val="002C0B9C"/>
    <w:rsid w:val="002C0FA2"/>
    <w:rsid w:val="002C1B7E"/>
    <w:rsid w:val="002C1F50"/>
    <w:rsid w:val="002C1F71"/>
    <w:rsid w:val="002C21C9"/>
    <w:rsid w:val="002C276B"/>
    <w:rsid w:val="002C3085"/>
    <w:rsid w:val="002C52FC"/>
    <w:rsid w:val="002C6260"/>
    <w:rsid w:val="002C69A6"/>
    <w:rsid w:val="002C7585"/>
    <w:rsid w:val="002C781D"/>
    <w:rsid w:val="002D140F"/>
    <w:rsid w:val="002D166D"/>
    <w:rsid w:val="002D1A27"/>
    <w:rsid w:val="002D1B7B"/>
    <w:rsid w:val="002D1EC0"/>
    <w:rsid w:val="002D1EF3"/>
    <w:rsid w:val="002D27A4"/>
    <w:rsid w:val="002D3474"/>
    <w:rsid w:val="002D39CB"/>
    <w:rsid w:val="002D49F5"/>
    <w:rsid w:val="002D571A"/>
    <w:rsid w:val="002D5E59"/>
    <w:rsid w:val="002D66B1"/>
    <w:rsid w:val="002D66FB"/>
    <w:rsid w:val="002D6E9F"/>
    <w:rsid w:val="002D6FDC"/>
    <w:rsid w:val="002D70D0"/>
    <w:rsid w:val="002D7206"/>
    <w:rsid w:val="002D782B"/>
    <w:rsid w:val="002E02F4"/>
    <w:rsid w:val="002E0DAF"/>
    <w:rsid w:val="002E1137"/>
    <w:rsid w:val="002E11C9"/>
    <w:rsid w:val="002E1322"/>
    <w:rsid w:val="002E2176"/>
    <w:rsid w:val="002E27A7"/>
    <w:rsid w:val="002E2C55"/>
    <w:rsid w:val="002E3815"/>
    <w:rsid w:val="002E3926"/>
    <w:rsid w:val="002E3C35"/>
    <w:rsid w:val="002E4225"/>
    <w:rsid w:val="002E450C"/>
    <w:rsid w:val="002E4745"/>
    <w:rsid w:val="002E48A8"/>
    <w:rsid w:val="002E4F86"/>
    <w:rsid w:val="002E5347"/>
    <w:rsid w:val="002E54E2"/>
    <w:rsid w:val="002E6D33"/>
    <w:rsid w:val="002E7397"/>
    <w:rsid w:val="002E73B2"/>
    <w:rsid w:val="002E777A"/>
    <w:rsid w:val="002E7D1D"/>
    <w:rsid w:val="002F009C"/>
    <w:rsid w:val="002F0A81"/>
    <w:rsid w:val="002F0EEB"/>
    <w:rsid w:val="002F13A4"/>
    <w:rsid w:val="002F1705"/>
    <w:rsid w:val="002F2660"/>
    <w:rsid w:val="002F371A"/>
    <w:rsid w:val="002F37D9"/>
    <w:rsid w:val="002F3C31"/>
    <w:rsid w:val="002F40E9"/>
    <w:rsid w:val="002F5269"/>
    <w:rsid w:val="002F5735"/>
    <w:rsid w:val="002F5B55"/>
    <w:rsid w:val="002F5D80"/>
    <w:rsid w:val="002F630E"/>
    <w:rsid w:val="002F6411"/>
    <w:rsid w:val="002F68B0"/>
    <w:rsid w:val="002F6CBB"/>
    <w:rsid w:val="003000A1"/>
    <w:rsid w:val="00300790"/>
    <w:rsid w:val="00301A4D"/>
    <w:rsid w:val="003023A5"/>
    <w:rsid w:val="003026BA"/>
    <w:rsid w:val="00302C92"/>
    <w:rsid w:val="00302CE3"/>
    <w:rsid w:val="00303571"/>
    <w:rsid w:val="003036C5"/>
    <w:rsid w:val="00303FBA"/>
    <w:rsid w:val="00303FBC"/>
    <w:rsid w:val="00305ABC"/>
    <w:rsid w:val="00307167"/>
    <w:rsid w:val="00307293"/>
    <w:rsid w:val="003072CD"/>
    <w:rsid w:val="003077DF"/>
    <w:rsid w:val="00307C2C"/>
    <w:rsid w:val="00310C64"/>
    <w:rsid w:val="003114DF"/>
    <w:rsid w:val="00311795"/>
    <w:rsid w:val="00311C42"/>
    <w:rsid w:val="003128AB"/>
    <w:rsid w:val="003129F3"/>
    <w:rsid w:val="00312B5D"/>
    <w:rsid w:val="00312FB2"/>
    <w:rsid w:val="0031415D"/>
    <w:rsid w:val="00314399"/>
    <w:rsid w:val="003143A1"/>
    <w:rsid w:val="003148EB"/>
    <w:rsid w:val="003149B7"/>
    <w:rsid w:val="00314D34"/>
    <w:rsid w:val="00315622"/>
    <w:rsid w:val="00315758"/>
    <w:rsid w:val="0031593C"/>
    <w:rsid w:val="00315AB3"/>
    <w:rsid w:val="00315AD5"/>
    <w:rsid w:val="0031690D"/>
    <w:rsid w:val="00316A40"/>
    <w:rsid w:val="00316A4D"/>
    <w:rsid w:val="00316DBB"/>
    <w:rsid w:val="00317BAF"/>
    <w:rsid w:val="00320888"/>
    <w:rsid w:val="003218C4"/>
    <w:rsid w:val="00322643"/>
    <w:rsid w:val="00322E1F"/>
    <w:rsid w:val="00323507"/>
    <w:rsid w:val="00323AD5"/>
    <w:rsid w:val="00323B5C"/>
    <w:rsid w:val="00323B63"/>
    <w:rsid w:val="00323FEC"/>
    <w:rsid w:val="00324029"/>
    <w:rsid w:val="0032562E"/>
    <w:rsid w:val="00325878"/>
    <w:rsid w:val="00325FCB"/>
    <w:rsid w:val="00326067"/>
    <w:rsid w:val="00326137"/>
    <w:rsid w:val="00326326"/>
    <w:rsid w:val="00326919"/>
    <w:rsid w:val="00326ED8"/>
    <w:rsid w:val="00327383"/>
    <w:rsid w:val="00327E6F"/>
    <w:rsid w:val="0033005C"/>
    <w:rsid w:val="00330FB4"/>
    <w:rsid w:val="003319A1"/>
    <w:rsid w:val="00331B63"/>
    <w:rsid w:val="00332622"/>
    <w:rsid w:val="00332EF2"/>
    <w:rsid w:val="00333403"/>
    <w:rsid w:val="00333BFD"/>
    <w:rsid w:val="00333D0D"/>
    <w:rsid w:val="00333E6A"/>
    <w:rsid w:val="00333F2F"/>
    <w:rsid w:val="003343FD"/>
    <w:rsid w:val="0033498B"/>
    <w:rsid w:val="00334A14"/>
    <w:rsid w:val="00334EDA"/>
    <w:rsid w:val="00335357"/>
    <w:rsid w:val="0033565D"/>
    <w:rsid w:val="00335B91"/>
    <w:rsid w:val="00335C59"/>
    <w:rsid w:val="0033600B"/>
    <w:rsid w:val="0033605A"/>
    <w:rsid w:val="003364A0"/>
    <w:rsid w:val="003367CB"/>
    <w:rsid w:val="003368C2"/>
    <w:rsid w:val="003369E1"/>
    <w:rsid w:val="003370BC"/>
    <w:rsid w:val="003370C5"/>
    <w:rsid w:val="00337DAC"/>
    <w:rsid w:val="00340476"/>
    <w:rsid w:val="00340A04"/>
    <w:rsid w:val="00340B08"/>
    <w:rsid w:val="0034128B"/>
    <w:rsid w:val="0034130C"/>
    <w:rsid w:val="00341C8D"/>
    <w:rsid w:val="00342161"/>
    <w:rsid w:val="003421EA"/>
    <w:rsid w:val="0034252B"/>
    <w:rsid w:val="00342C96"/>
    <w:rsid w:val="00343463"/>
    <w:rsid w:val="00343BEA"/>
    <w:rsid w:val="00343F58"/>
    <w:rsid w:val="003441F8"/>
    <w:rsid w:val="0034456A"/>
    <w:rsid w:val="00344EF4"/>
    <w:rsid w:val="00345243"/>
    <w:rsid w:val="0034585A"/>
    <w:rsid w:val="00345A1D"/>
    <w:rsid w:val="00345CA7"/>
    <w:rsid w:val="00345FFA"/>
    <w:rsid w:val="0035001A"/>
    <w:rsid w:val="00350151"/>
    <w:rsid w:val="00350264"/>
    <w:rsid w:val="00350290"/>
    <w:rsid w:val="00350878"/>
    <w:rsid w:val="00350984"/>
    <w:rsid w:val="00350F2B"/>
    <w:rsid w:val="00350FB9"/>
    <w:rsid w:val="00352139"/>
    <w:rsid w:val="00353C28"/>
    <w:rsid w:val="00353E4B"/>
    <w:rsid w:val="00353F90"/>
    <w:rsid w:val="00354CF5"/>
    <w:rsid w:val="00354F6F"/>
    <w:rsid w:val="0035523A"/>
    <w:rsid w:val="00355CE7"/>
    <w:rsid w:val="00356006"/>
    <w:rsid w:val="00356200"/>
    <w:rsid w:val="00356F23"/>
    <w:rsid w:val="003575CC"/>
    <w:rsid w:val="003576FF"/>
    <w:rsid w:val="00357987"/>
    <w:rsid w:val="0036070A"/>
    <w:rsid w:val="003626FF"/>
    <w:rsid w:val="003628D7"/>
    <w:rsid w:val="003629F1"/>
    <w:rsid w:val="00362C92"/>
    <w:rsid w:val="00362E08"/>
    <w:rsid w:val="003637C6"/>
    <w:rsid w:val="00364765"/>
    <w:rsid w:val="00364859"/>
    <w:rsid w:val="00364AE0"/>
    <w:rsid w:val="00364D9E"/>
    <w:rsid w:val="003659CB"/>
    <w:rsid w:val="00365BCE"/>
    <w:rsid w:val="00365CDE"/>
    <w:rsid w:val="00365F94"/>
    <w:rsid w:val="00365F98"/>
    <w:rsid w:val="00365FA0"/>
    <w:rsid w:val="0036682D"/>
    <w:rsid w:val="00366FE4"/>
    <w:rsid w:val="00370075"/>
    <w:rsid w:val="0037124D"/>
    <w:rsid w:val="0037166B"/>
    <w:rsid w:val="003719CF"/>
    <w:rsid w:val="0037214E"/>
    <w:rsid w:val="0037215C"/>
    <w:rsid w:val="00373051"/>
    <w:rsid w:val="003731F5"/>
    <w:rsid w:val="0037373C"/>
    <w:rsid w:val="00373BC0"/>
    <w:rsid w:val="00373C68"/>
    <w:rsid w:val="00374568"/>
    <w:rsid w:val="003747FD"/>
    <w:rsid w:val="00374D08"/>
    <w:rsid w:val="00374D24"/>
    <w:rsid w:val="0037579C"/>
    <w:rsid w:val="00376079"/>
    <w:rsid w:val="0037617B"/>
    <w:rsid w:val="00376D65"/>
    <w:rsid w:val="0037786C"/>
    <w:rsid w:val="00377DD2"/>
    <w:rsid w:val="00377F63"/>
    <w:rsid w:val="003809BA"/>
    <w:rsid w:val="00380E00"/>
    <w:rsid w:val="00380FA0"/>
    <w:rsid w:val="00381286"/>
    <w:rsid w:val="0038187C"/>
    <w:rsid w:val="003818B5"/>
    <w:rsid w:val="00381DB1"/>
    <w:rsid w:val="003826E5"/>
    <w:rsid w:val="00382DF1"/>
    <w:rsid w:val="00383249"/>
    <w:rsid w:val="00383AF9"/>
    <w:rsid w:val="00383CAF"/>
    <w:rsid w:val="003840E3"/>
    <w:rsid w:val="003841DD"/>
    <w:rsid w:val="00384587"/>
    <w:rsid w:val="00384D34"/>
    <w:rsid w:val="0038525E"/>
    <w:rsid w:val="0038615C"/>
    <w:rsid w:val="003867AA"/>
    <w:rsid w:val="00386BC0"/>
    <w:rsid w:val="00386D3F"/>
    <w:rsid w:val="0038713A"/>
    <w:rsid w:val="00387B7C"/>
    <w:rsid w:val="003904D1"/>
    <w:rsid w:val="00390926"/>
    <w:rsid w:val="00391A4A"/>
    <w:rsid w:val="003921B4"/>
    <w:rsid w:val="00392829"/>
    <w:rsid w:val="00392E55"/>
    <w:rsid w:val="00393D4D"/>
    <w:rsid w:val="003952A9"/>
    <w:rsid w:val="003956B1"/>
    <w:rsid w:val="003963D4"/>
    <w:rsid w:val="00396E4B"/>
    <w:rsid w:val="00396F1B"/>
    <w:rsid w:val="0039759F"/>
    <w:rsid w:val="0039791B"/>
    <w:rsid w:val="00397992"/>
    <w:rsid w:val="00397B0C"/>
    <w:rsid w:val="00397C62"/>
    <w:rsid w:val="00397DDE"/>
    <w:rsid w:val="003A0DBF"/>
    <w:rsid w:val="003A11BE"/>
    <w:rsid w:val="003A18F4"/>
    <w:rsid w:val="003A20FD"/>
    <w:rsid w:val="003A25F6"/>
    <w:rsid w:val="003A2794"/>
    <w:rsid w:val="003A2EEA"/>
    <w:rsid w:val="003A3038"/>
    <w:rsid w:val="003A30F2"/>
    <w:rsid w:val="003A3F23"/>
    <w:rsid w:val="003A4951"/>
    <w:rsid w:val="003A5185"/>
    <w:rsid w:val="003A51A4"/>
    <w:rsid w:val="003A5418"/>
    <w:rsid w:val="003A5505"/>
    <w:rsid w:val="003A5735"/>
    <w:rsid w:val="003A5BA7"/>
    <w:rsid w:val="003A5C9B"/>
    <w:rsid w:val="003A5EDF"/>
    <w:rsid w:val="003A6703"/>
    <w:rsid w:val="003A6D4D"/>
    <w:rsid w:val="003A6F0E"/>
    <w:rsid w:val="003A72E1"/>
    <w:rsid w:val="003B06E7"/>
    <w:rsid w:val="003B0D96"/>
    <w:rsid w:val="003B1BB3"/>
    <w:rsid w:val="003B1D91"/>
    <w:rsid w:val="003B1E7B"/>
    <w:rsid w:val="003B2A81"/>
    <w:rsid w:val="003B30D6"/>
    <w:rsid w:val="003B395F"/>
    <w:rsid w:val="003B3977"/>
    <w:rsid w:val="003B39F8"/>
    <w:rsid w:val="003B4499"/>
    <w:rsid w:val="003B49BA"/>
    <w:rsid w:val="003B5A78"/>
    <w:rsid w:val="003B6063"/>
    <w:rsid w:val="003B62B5"/>
    <w:rsid w:val="003B62DB"/>
    <w:rsid w:val="003B6491"/>
    <w:rsid w:val="003B6687"/>
    <w:rsid w:val="003B67F1"/>
    <w:rsid w:val="003B6FF7"/>
    <w:rsid w:val="003B722E"/>
    <w:rsid w:val="003B76C5"/>
    <w:rsid w:val="003B776C"/>
    <w:rsid w:val="003B789A"/>
    <w:rsid w:val="003C000C"/>
    <w:rsid w:val="003C111A"/>
    <w:rsid w:val="003C1296"/>
    <w:rsid w:val="003C12C3"/>
    <w:rsid w:val="003C168F"/>
    <w:rsid w:val="003C1E68"/>
    <w:rsid w:val="003C232A"/>
    <w:rsid w:val="003C2E20"/>
    <w:rsid w:val="003C2FA8"/>
    <w:rsid w:val="003C3545"/>
    <w:rsid w:val="003C3F35"/>
    <w:rsid w:val="003C4149"/>
    <w:rsid w:val="003C4AD9"/>
    <w:rsid w:val="003C4CC3"/>
    <w:rsid w:val="003C52BD"/>
    <w:rsid w:val="003C556D"/>
    <w:rsid w:val="003C5ACD"/>
    <w:rsid w:val="003C64A4"/>
    <w:rsid w:val="003C6939"/>
    <w:rsid w:val="003C77CE"/>
    <w:rsid w:val="003D03B3"/>
    <w:rsid w:val="003D23EF"/>
    <w:rsid w:val="003D2CF7"/>
    <w:rsid w:val="003D3C20"/>
    <w:rsid w:val="003D412D"/>
    <w:rsid w:val="003D470E"/>
    <w:rsid w:val="003D4A58"/>
    <w:rsid w:val="003D4C36"/>
    <w:rsid w:val="003D50D1"/>
    <w:rsid w:val="003D6F91"/>
    <w:rsid w:val="003D71E6"/>
    <w:rsid w:val="003D7326"/>
    <w:rsid w:val="003E16B7"/>
    <w:rsid w:val="003E16C0"/>
    <w:rsid w:val="003E19D4"/>
    <w:rsid w:val="003E1A02"/>
    <w:rsid w:val="003E1BE9"/>
    <w:rsid w:val="003E22B3"/>
    <w:rsid w:val="003E3083"/>
    <w:rsid w:val="003E354A"/>
    <w:rsid w:val="003E3D78"/>
    <w:rsid w:val="003E400A"/>
    <w:rsid w:val="003E5A51"/>
    <w:rsid w:val="003E5B1F"/>
    <w:rsid w:val="003E5B2E"/>
    <w:rsid w:val="003E640F"/>
    <w:rsid w:val="003E67B8"/>
    <w:rsid w:val="003E6E29"/>
    <w:rsid w:val="003E7099"/>
    <w:rsid w:val="003E714B"/>
    <w:rsid w:val="003E7680"/>
    <w:rsid w:val="003E7DF9"/>
    <w:rsid w:val="003F0018"/>
    <w:rsid w:val="003F0983"/>
    <w:rsid w:val="003F0A18"/>
    <w:rsid w:val="003F1251"/>
    <w:rsid w:val="003F19C1"/>
    <w:rsid w:val="003F1DF9"/>
    <w:rsid w:val="003F2C09"/>
    <w:rsid w:val="003F2D25"/>
    <w:rsid w:val="003F3431"/>
    <w:rsid w:val="003F359A"/>
    <w:rsid w:val="003F3AE0"/>
    <w:rsid w:val="003F446E"/>
    <w:rsid w:val="003F5446"/>
    <w:rsid w:val="003F5468"/>
    <w:rsid w:val="003F648E"/>
    <w:rsid w:val="003F6494"/>
    <w:rsid w:val="003F6614"/>
    <w:rsid w:val="003F67AA"/>
    <w:rsid w:val="003F73DA"/>
    <w:rsid w:val="003F765F"/>
    <w:rsid w:val="003F767D"/>
    <w:rsid w:val="004008AB"/>
    <w:rsid w:val="00400976"/>
    <w:rsid w:val="00400E5B"/>
    <w:rsid w:val="0040164E"/>
    <w:rsid w:val="004018AE"/>
    <w:rsid w:val="00401FE7"/>
    <w:rsid w:val="00402111"/>
    <w:rsid w:val="00402471"/>
    <w:rsid w:val="00402DC6"/>
    <w:rsid w:val="00403A1B"/>
    <w:rsid w:val="00403BD6"/>
    <w:rsid w:val="00403D8C"/>
    <w:rsid w:val="00403FFF"/>
    <w:rsid w:val="00404F98"/>
    <w:rsid w:val="0040597E"/>
    <w:rsid w:val="00405C07"/>
    <w:rsid w:val="00405C98"/>
    <w:rsid w:val="00405EF2"/>
    <w:rsid w:val="00406731"/>
    <w:rsid w:val="00406AA5"/>
    <w:rsid w:val="00407469"/>
    <w:rsid w:val="004075C1"/>
    <w:rsid w:val="00410477"/>
    <w:rsid w:val="0041062E"/>
    <w:rsid w:val="004108B0"/>
    <w:rsid w:val="00410FEF"/>
    <w:rsid w:val="00412E90"/>
    <w:rsid w:val="004131CB"/>
    <w:rsid w:val="0041334D"/>
    <w:rsid w:val="00414AA1"/>
    <w:rsid w:val="00415426"/>
    <w:rsid w:val="004154C0"/>
    <w:rsid w:val="00415B06"/>
    <w:rsid w:val="00415C67"/>
    <w:rsid w:val="0041600C"/>
    <w:rsid w:val="0041615D"/>
    <w:rsid w:val="00416723"/>
    <w:rsid w:val="00416CDA"/>
    <w:rsid w:val="00416E9E"/>
    <w:rsid w:val="0041728D"/>
    <w:rsid w:val="00417F30"/>
    <w:rsid w:val="0042130E"/>
    <w:rsid w:val="00421334"/>
    <w:rsid w:val="00421EA5"/>
    <w:rsid w:val="00422D45"/>
    <w:rsid w:val="004233E0"/>
    <w:rsid w:val="00423B65"/>
    <w:rsid w:val="0042437A"/>
    <w:rsid w:val="004251C7"/>
    <w:rsid w:val="00425CEF"/>
    <w:rsid w:val="00425D45"/>
    <w:rsid w:val="00425DA0"/>
    <w:rsid w:val="00425E89"/>
    <w:rsid w:val="00426418"/>
    <w:rsid w:val="00426543"/>
    <w:rsid w:val="00426717"/>
    <w:rsid w:val="00426EAF"/>
    <w:rsid w:val="00427706"/>
    <w:rsid w:val="004277FE"/>
    <w:rsid w:val="00427EDD"/>
    <w:rsid w:val="00430189"/>
    <w:rsid w:val="00430221"/>
    <w:rsid w:val="00430516"/>
    <w:rsid w:val="004306C3"/>
    <w:rsid w:val="0043093F"/>
    <w:rsid w:val="00430E51"/>
    <w:rsid w:val="00430EEE"/>
    <w:rsid w:val="00430F78"/>
    <w:rsid w:val="004312AF"/>
    <w:rsid w:val="00431C76"/>
    <w:rsid w:val="00431E85"/>
    <w:rsid w:val="00431F43"/>
    <w:rsid w:val="004320BB"/>
    <w:rsid w:val="0043220D"/>
    <w:rsid w:val="00433D42"/>
    <w:rsid w:val="00434707"/>
    <w:rsid w:val="00434F3D"/>
    <w:rsid w:val="0043535D"/>
    <w:rsid w:val="00435461"/>
    <w:rsid w:val="0043579E"/>
    <w:rsid w:val="00435D3F"/>
    <w:rsid w:val="0043639E"/>
    <w:rsid w:val="004367EA"/>
    <w:rsid w:val="004369C2"/>
    <w:rsid w:val="00436A36"/>
    <w:rsid w:val="00436DDA"/>
    <w:rsid w:val="0043715D"/>
    <w:rsid w:val="0043790F"/>
    <w:rsid w:val="00440576"/>
    <w:rsid w:val="004408D3"/>
    <w:rsid w:val="00441E87"/>
    <w:rsid w:val="00442460"/>
    <w:rsid w:val="004425D7"/>
    <w:rsid w:val="00442605"/>
    <w:rsid w:val="00442C4F"/>
    <w:rsid w:val="00442E4E"/>
    <w:rsid w:val="00442FAF"/>
    <w:rsid w:val="004432AF"/>
    <w:rsid w:val="0044333C"/>
    <w:rsid w:val="004434B3"/>
    <w:rsid w:val="00443600"/>
    <w:rsid w:val="004445C5"/>
    <w:rsid w:val="00444C43"/>
    <w:rsid w:val="00444D43"/>
    <w:rsid w:val="0044619C"/>
    <w:rsid w:val="004466E4"/>
    <w:rsid w:val="00447917"/>
    <w:rsid w:val="0045031A"/>
    <w:rsid w:val="00450B46"/>
    <w:rsid w:val="00451E38"/>
    <w:rsid w:val="00451FFB"/>
    <w:rsid w:val="00452039"/>
    <w:rsid w:val="00452EE6"/>
    <w:rsid w:val="00453874"/>
    <w:rsid w:val="00453EC3"/>
    <w:rsid w:val="004540E5"/>
    <w:rsid w:val="00454817"/>
    <w:rsid w:val="00455A42"/>
    <w:rsid w:val="00455DE3"/>
    <w:rsid w:val="00455EC4"/>
    <w:rsid w:val="0045628F"/>
    <w:rsid w:val="004562F0"/>
    <w:rsid w:val="00456624"/>
    <w:rsid w:val="00456C03"/>
    <w:rsid w:val="00456C33"/>
    <w:rsid w:val="00456FCA"/>
    <w:rsid w:val="00457830"/>
    <w:rsid w:val="00457B17"/>
    <w:rsid w:val="00460B7E"/>
    <w:rsid w:val="00460BDA"/>
    <w:rsid w:val="0046162D"/>
    <w:rsid w:val="004620F0"/>
    <w:rsid w:val="00462142"/>
    <w:rsid w:val="0046261E"/>
    <w:rsid w:val="004630F4"/>
    <w:rsid w:val="0046371A"/>
    <w:rsid w:val="00463ABA"/>
    <w:rsid w:val="00463AC8"/>
    <w:rsid w:val="00463B10"/>
    <w:rsid w:val="00463F76"/>
    <w:rsid w:val="004644BC"/>
    <w:rsid w:val="004645A6"/>
    <w:rsid w:val="00464CB0"/>
    <w:rsid w:val="00465080"/>
    <w:rsid w:val="00465578"/>
    <w:rsid w:val="0046563A"/>
    <w:rsid w:val="004657FD"/>
    <w:rsid w:val="004660F7"/>
    <w:rsid w:val="0046619A"/>
    <w:rsid w:val="004670DC"/>
    <w:rsid w:val="00467139"/>
    <w:rsid w:val="00467155"/>
    <w:rsid w:val="00467608"/>
    <w:rsid w:val="00467870"/>
    <w:rsid w:val="00467B0A"/>
    <w:rsid w:val="00470B3B"/>
    <w:rsid w:val="00471240"/>
    <w:rsid w:val="00471BF0"/>
    <w:rsid w:val="00471E5E"/>
    <w:rsid w:val="00472C8D"/>
    <w:rsid w:val="00473512"/>
    <w:rsid w:val="00473707"/>
    <w:rsid w:val="004738AD"/>
    <w:rsid w:val="00473EDA"/>
    <w:rsid w:val="00473FC2"/>
    <w:rsid w:val="00474059"/>
    <w:rsid w:val="00474461"/>
    <w:rsid w:val="00474962"/>
    <w:rsid w:val="00475243"/>
    <w:rsid w:val="00475F42"/>
    <w:rsid w:val="00477027"/>
    <w:rsid w:val="00477464"/>
    <w:rsid w:val="00481445"/>
    <w:rsid w:val="00482142"/>
    <w:rsid w:val="004821CF"/>
    <w:rsid w:val="0048285D"/>
    <w:rsid w:val="004830EC"/>
    <w:rsid w:val="00483BE7"/>
    <w:rsid w:val="00483FD4"/>
    <w:rsid w:val="00484125"/>
    <w:rsid w:val="004848BD"/>
    <w:rsid w:val="00485B88"/>
    <w:rsid w:val="00485F07"/>
    <w:rsid w:val="004866AE"/>
    <w:rsid w:val="00486F6D"/>
    <w:rsid w:val="00487423"/>
    <w:rsid w:val="0048756E"/>
    <w:rsid w:val="0049072F"/>
    <w:rsid w:val="00490DB9"/>
    <w:rsid w:val="004910B6"/>
    <w:rsid w:val="004910F3"/>
    <w:rsid w:val="00491ACA"/>
    <w:rsid w:val="00491D63"/>
    <w:rsid w:val="004921C8"/>
    <w:rsid w:val="00492690"/>
    <w:rsid w:val="00492C00"/>
    <w:rsid w:val="004941F9"/>
    <w:rsid w:val="004947CE"/>
    <w:rsid w:val="00495C71"/>
    <w:rsid w:val="00495D8A"/>
    <w:rsid w:val="0049606F"/>
    <w:rsid w:val="00497DE3"/>
    <w:rsid w:val="004A0A1A"/>
    <w:rsid w:val="004A0A37"/>
    <w:rsid w:val="004A1695"/>
    <w:rsid w:val="004A1D60"/>
    <w:rsid w:val="004A2054"/>
    <w:rsid w:val="004A23D5"/>
    <w:rsid w:val="004A2D36"/>
    <w:rsid w:val="004A333E"/>
    <w:rsid w:val="004A3F46"/>
    <w:rsid w:val="004A508E"/>
    <w:rsid w:val="004A5ACF"/>
    <w:rsid w:val="004A6629"/>
    <w:rsid w:val="004A667D"/>
    <w:rsid w:val="004A68A1"/>
    <w:rsid w:val="004A798A"/>
    <w:rsid w:val="004A7CC1"/>
    <w:rsid w:val="004B0BE3"/>
    <w:rsid w:val="004B1079"/>
    <w:rsid w:val="004B14B4"/>
    <w:rsid w:val="004B154C"/>
    <w:rsid w:val="004B1817"/>
    <w:rsid w:val="004B1FBA"/>
    <w:rsid w:val="004B22C1"/>
    <w:rsid w:val="004B2FC6"/>
    <w:rsid w:val="004B32E1"/>
    <w:rsid w:val="004B338B"/>
    <w:rsid w:val="004B3418"/>
    <w:rsid w:val="004B344B"/>
    <w:rsid w:val="004B3846"/>
    <w:rsid w:val="004B3B66"/>
    <w:rsid w:val="004B4079"/>
    <w:rsid w:val="004B5842"/>
    <w:rsid w:val="004B6815"/>
    <w:rsid w:val="004B6A50"/>
    <w:rsid w:val="004B6BFD"/>
    <w:rsid w:val="004B7142"/>
    <w:rsid w:val="004B7337"/>
    <w:rsid w:val="004B745E"/>
    <w:rsid w:val="004B7817"/>
    <w:rsid w:val="004B7D32"/>
    <w:rsid w:val="004B7E5A"/>
    <w:rsid w:val="004C03DA"/>
    <w:rsid w:val="004C0945"/>
    <w:rsid w:val="004C10B3"/>
    <w:rsid w:val="004C1890"/>
    <w:rsid w:val="004C261B"/>
    <w:rsid w:val="004C2797"/>
    <w:rsid w:val="004C31AC"/>
    <w:rsid w:val="004C34F2"/>
    <w:rsid w:val="004C36F8"/>
    <w:rsid w:val="004C391D"/>
    <w:rsid w:val="004C3EBC"/>
    <w:rsid w:val="004C408B"/>
    <w:rsid w:val="004C42AA"/>
    <w:rsid w:val="004C4606"/>
    <w:rsid w:val="004C596D"/>
    <w:rsid w:val="004C629F"/>
    <w:rsid w:val="004C638B"/>
    <w:rsid w:val="004C650E"/>
    <w:rsid w:val="004C6A7B"/>
    <w:rsid w:val="004C6AD2"/>
    <w:rsid w:val="004C6C26"/>
    <w:rsid w:val="004C6CB1"/>
    <w:rsid w:val="004C70EA"/>
    <w:rsid w:val="004C7438"/>
    <w:rsid w:val="004C77B5"/>
    <w:rsid w:val="004C787B"/>
    <w:rsid w:val="004C7F0B"/>
    <w:rsid w:val="004D039D"/>
    <w:rsid w:val="004D044E"/>
    <w:rsid w:val="004D0ABE"/>
    <w:rsid w:val="004D221C"/>
    <w:rsid w:val="004D24EF"/>
    <w:rsid w:val="004D2687"/>
    <w:rsid w:val="004D28DA"/>
    <w:rsid w:val="004D2C12"/>
    <w:rsid w:val="004D3D34"/>
    <w:rsid w:val="004D4316"/>
    <w:rsid w:val="004D4342"/>
    <w:rsid w:val="004D4472"/>
    <w:rsid w:val="004D4EB0"/>
    <w:rsid w:val="004D526D"/>
    <w:rsid w:val="004D5368"/>
    <w:rsid w:val="004D59BD"/>
    <w:rsid w:val="004D619D"/>
    <w:rsid w:val="004D6438"/>
    <w:rsid w:val="004D67D4"/>
    <w:rsid w:val="004D7621"/>
    <w:rsid w:val="004D77C6"/>
    <w:rsid w:val="004D7905"/>
    <w:rsid w:val="004E0122"/>
    <w:rsid w:val="004E029B"/>
    <w:rsid w:val="004E076C"/>
    <w:rsid w:val="004E0A3A"/>
    <w:rsid w:val="004E1BDE"/>
    <w:rsid w:val="004E1C9B"/>
    <w:rsid w:val="004E2495"/>
    <w:rsid w:val="004E38DE"/>
    <w:rsid w:val="004E3A0E"/>
    <w:rsid w:val="004E3EE6"/>
    <w:rsid w:val="004E43EC"/>
    <w:rsid w:val="004E44D3"/>
    <w:rsid w:val="004E5F72"/>
    <w:rsid w:val="004E65D1"/>
    <w:rsid w:val="004E6914"/>
    <w:rsid w:val="004E6A0B"/>
    <w:rsid w:val="004E6B6C"/>
    <w:rsid w:val="004E6BD1"/>
    <w:rsid w:val="004F0187"/>
    <w:rsid w:val="004F044C"/>
    <w:rsid w:val="004F0887"/>
    <w:rsid w:val="004F0A87"/>
    <w:rsid w:val="004F0BCA"/>
    <w:rsid w:val="004F0C93"/>
    <w:rsid w:val="004F1200"/>
    <w:rsid w:val="004F1905"/>
    <w:rsid w:val="004F1FA4"/>
    <w:rsid w:val="004F21AA"/>
    <w:rsid w:val="004F2967"/>
    <w:rsid w:val="004F2A8E"/>
    <w:rsid w:val="004F36D8"/>
    <w:rsid w:val="004F41F9"/>
    <w:rsid w:val="004F44E2"/>
    <w:rsid w:val="004F550A"/>
    <w:rsid w:val="004F5B9B"/>
    <w:rsid w:val="004F5CB2"/>
    <w:rsid w:val="004F5E19"/>
    <w:rsid w:val="004F6087"/>
    <w:rsid w:val="004F69CD"/>
    <w:rsid w:val="004F69EA"/>
    <w:rsid w:val="004F72E8"/>
    <w:rsid w:val="004F7722"/>
    <w:rsid w:val="004F7912"/>
    <w:rsid w:val="004F7B73"/>
    <w:rsid w:val="005005AB"/>
    <w:rsid w:val="00500613"/>
    <w:rsid w:val="00500766"/>
    <w:rsid w:val="0050085E"/>
    <w:rsid w:val="00500AA0"/>
    <w:rsid w:val="00502F15"/>
    <w:rsid w:val="005031E8"/>
    <w:rsid w:val="00503BA6"/>
    <w:rsid w:val="0050450C"/>
    <w:rsid w:val="00504665"/>
    <w:rsid w:val="00504F94"/>
    <w:rsid w:val="00505DE3"/>
    <w:rsid w:val="00506026"/>
    <w:rsid w:val="005063AD"/>
    <w:rsid w:val="0050662E"/>
    <w:rsid w:val="00506B64"/>
    <w:rsid w:val="00506E22"/>
    <w:rsid w:val="00507051"/>
    <w:rsid w:val="005109B3"/>
    <w:rsid w:val="00510DB1"/>
    <w:rsid w:val="005112E1"/>
    <w:rsid w:val="0051174B"/>
    <w:rsid w:val="005117F8"/>
    <w:rsid w:val="005118E1"/>
    <w:rsid w:val="00511985"/>
    <w:rsid w:val="00511D6D"/>
    <w:rsid w:val="005123BE"/>
    <w:rsid w:val="005128C2"/>
    <w:rsid w:val="005134CD"/>
    <w:rsid w:val="005139D5"/>
    <w:rsid w:val="005147F1"/>
    <w:rsid w:val="00514C3B"/>
    <w:rsid w:val="00514F7C"/>
    <w:rsid w:val="005153BE"/>
    <w:rsid w:val="00515642"/>
    <w:rsid w:val="00516053"/>
    <w:rsid w:val="005165E8"/>
    <w:rsid w:val="00516F5D"/>
    <w:rsid w:val="005176C5"/>
    <w:rsid w:val="0051786B"/>
    <w:rsid w:val="005179B0"/>
    <w:rsid w:val="00517AF3"/>
    <w:rsid w:val="005201EB"/>
    <w:rsid w:val="00521870"/>
    <w:rsid w:val="00521B70"/>
    <w:rsid w:val="00522C04"/>
    <w:rsid w:val="005233BE"/>
    <w:rsid w:val="005234DE"/>
    <w:rsid w:val="00524106"/>
    <w:rsid w:val="005243DC"/>
    <w:rsid w:val="00524699"/>
    <w:rsid w:val="00524A50"/>
    <w:rsid w:val="00524E47"/>
    <w:rsid w:val="005252DC"/>
    <w:rsid w:val="005259C4"/>
    <w:rsid w:val="0052603F"/>
    <w:rsid w:val="005265FE"/>
    <w:rsid w:val="00526E28"/>
    <w:rsid w:val="00527093"/>
    <w:rsid w:val="00527696"/>
    <w:rsid w:val="00527A7F"/>
    <w:rsid w:val="005302D3"/>
    <w:rsid w:val="005309D4"/>
    <w:rsid w:val="00530CC9"/>
    <w:rsid w:val="00531BFC"/>
    <w:rsid w:val="00531CF8"/>
    <w:rsid w:val="00531EFC"/>
    <w:rsid w:val="00532004"/>
    <w:rsid w:val="005320CF"/>
    <w:rsid w:val="00532285"/>
    <w:rsid w:val="00532DEA"/>
    <w:rsid w:val="005334B5"/>
    <w:rsid w:val="00533EAF"/>
    <w:rsid w:val="005342D3"/>
    <w:rsid w:val="00534AEB"/>
    <w:rsid w:val="00535604"/>
    <w:rsid w:val="005357D3"/>
    <w:rsid w:val="00535A55"/>
    <w:rsid w:val="005361C0"/>
    <w:rsid w:val="00536274"/>
    <w:rsid w:val="005365E9"/>
    <w:rsid w:val="00536602"/>
    <w:rsid w:val="005366E0"/>
    <w:rsid w:val="0053674B"/>
    <w:rsid w:val="00540033"/>
    <w:rsid w:val="00540500"/>
    <w:rsid w:val="00541249"/>
    <w:rsid w:val="00541437"/>
    <w:rsid w:val="005414C3"/>
    <w:rsid w:val="00541A9F"/>
    <w:rsid w:val="00542328"/>
    <w:rsid w:val="0054246F"/>
    <w:rsid w:val="0054292D"/>
    <w:rsid w:val="00542B63"/>
    <w:rsid w:val="00542C42"/>
    <w:rsid w:val="00542C73"/>
    <w:rsid w:val="00542C7C"/>
    <w:rsid w:val="0054477A"/>
    <w:rsid w:val="00544853"/>
    <w:rsid w:val="00544A5B"/>
    <w:rsid w:val="00545BA6"/>
    <w:rsid w:val="00546883"/>
    <w:rsid w:val="005469EB"/>
    <w:rsid w:val="00547F1E"/>
    <w:rsid w:val="0055035C"/>
    <w:rsid w:val="0055089E"/>
    <w:rsid w:val="00550DCC"/>
    <w:rsid w:val="00550F71"/>
    <w:rsid w:val="0055120D"/>
    <w:rsid w:val="00551267"/>
    <w:rsid w:val="005517C4"/>
    <w:rsid w:val="00551E37"/>
    <w:rsid w:val="00552617"/>
    <w:rsid w:val="00552929"/>
    <w:rsid w:val="00552983"/>
    <w:rsid w:val="005529E3"/>
    <w:rsid w:val="00552F02"/>
    <w:rsid w:val="00552FEF"/>
    <w:rsid w:val="0055319B"/>
    <w:rsid w:val="0055343F"/>
    <w:rsid w:val="00553CEA"/>
    <w:rsid w:val="00553DA9"/>
    <w:rsid w:val="005543A7"/>
    <w:rsid w:val="00554463"/>
    <w:rsid w:val="005551BC"/>
    <w:rsid w:val="005556BF"/>
    <w:rsid w:val="00555B6F"/>
    <w:rsid w:val="00555BC5"/>
    <w:rsid w:val="00555CB0"/>
    <w:rsid w:val="00556E49"/>
    <w:rsid w:val="0055718E"/>
    <w:rsid w:val="00557501"/>
    <w:rsid w:val="005575F1"/>
    <w:rsid w:val="00560933"/>
    <w:rsid w:val="00560AF7"/>
    <w:rsid w:val="00561033"/>
    <w:rsid w:val="00561CDA"/>
    <w:rsid w:val="00561D33"/>
    <w:rsid w:val="00562373"/>
    <w:rsid w:val="00562468"/>
    <w:rsid w:val="005628A0"/>
    <w:rsid w:val="00562B68"/>
    <w:rsid w:val="00563D46"/>
    <w:rsid w:val="00563FA4"/>
    <w:rsid w:val="00564A48"/>
    <w:rsid w:val="00564AD5"/>
    <w:rsid w:val="00564F6E"/>
    <w:rsid w:val="00564F8A"/>
    <w:rsid w:val="00565C11"/>
    <w:rsid w:val="00567187"/>
    <w:rsid w:val="0056729F"/>
    <w:rsid w:val="00567582"/>
    <w:rsid w:val="00567756"/>
    <w:rsid w:val="00571AC9"/>
    <w:rsid w:val="00571E4D"/>
    <w:rsid w:val="005720B0"/>
    <w:rsid w:val="00572623"/>
    <w:rsid w:val="00574154"/>
    <w:rsid w:val="00574317"/>
    <w:rsid w:val="0057462E"/>
    <w:rsid w:val="00574ED1"/>
    <w:rsid w:val="005751B0"/>
    <w:rsid w:val="00575BB0"/>
    <w:rsid w:val="00576393"/>
    <w:rsid w:val="005766D5"/>
    <w:rsid w:val="005770DA"/>
    <w:rsid w:val="00577442"/>
    <w:rsid w:val="00580074"/>
    <w:rsid w:val="0058013B"/>
    <w:rsid w:val="00580D1A"/>
    <w:rsid w:val="00581019"/>
    <w:rsid w:val="00581080"/>
    <w:rsid w:val="0058149A"/>
    <w:rsid w:val="00581908"/>
    <w:rsid w:val="00581A5D"/>
    <w:rsid w:val="00582092"/>
    <w:rsid w:val="005824C1"/>
    <w:rsid w:val="00582687"/>
    <w:rsid w:val="00583453"/>
    <w:rsid w:val="00583D56"/>
    <w:rsid w:val="00584334"/>
    <w:rsid w:val="00584423"/>
    <w:rsid w:val="00584794"/>
    <w:rsid w:val="005847F8"/>
    <w:rsid w:val="005848A1"/>
    <w:rsid w:val="00584BF1"/>
    <w:rsid w:val="00584DD3"/>
    <w:rsid w:val="0058569F"/>
    <w:rsid w:val="00585C88"/>
    <w:rsid w:val="00585DE9"/>
    <w:rsid w:val="00585EB7"/>
    <w:rsid w:val="00586820"/>
    <w:rsid w:val="00586871"/>
    <w:rsid w:val="00586A0E"/>
    <w:rsid w:val="00586CDE"/>
    <w:rsid w:val="00586E7C"/>
    <w:rsid w:val="00587B63"/>
    <w:rsid w:val="00587D02"/>
    <w:rsid w:val="005902F2"/>
    <w:rsid w:val="00590B69"/>
    <w:rsid w:val="0059125D"/>
    <w:rsid w:val="00591769"/>
    <w:rsid w:val="0059191E"/>
    <w:rsid w:val="005923E5"/>
    <w:rsid w:val="00592CE9"/>
    <w:rsid w:val="00593F33"/>
    <w:rsid w:val="00593F69"/>
    <w:rsid w:val="00594ECB"/>
    <w:rsid w:val="0059567E"/>
    <w:rsid w:val="005961BA"/>
    <w:rsid w:val="005969EB"/>
    <w:rsid w:val="00597800"/>
    <w:rsid w:val="005A1112"/>
    <w:rsid w:val="005A1A53"/>
    <w:rsid w:val="005A1AC4"/>
    <w:rsid w:val="005A1BCB"/>
    <w:rsid w:val="005A2274"/>
    <w:rsid w:val="005A2BD0"/>
    <w:rsid w:val="005A2ED9"/>
    <w:rsid w:val="005A313E"/>
    <w:rsid w:val="005A5096"/>
    <w:rsid w:val="005A53A6"/>
    <w:rsid w:val="005A57B5"/>
    <w:rsid w:val="005A5CAF"/>
    <w:rsid w:val="005A6556"/>
    <w:rsid w:val="005A6B1C"/>
    <w:rsid w:val="005A6E2C"/>
    <w:rsid w:val="005A720C"/>
    <w:rsid w:val="005A768A"/>
    <w:rsid w:val="005A76FA"/>
    <w:rsid w:val="005A7796"/>
    <w:rsid w:val="005A7799"/>
    <w:rsid w:val="005A7BF7"/>
    <w:rsid w:val="005B0155"/>
    <w:rsid w:val="005B11B6"/>
    <w:rsid w:val="005B13E0"/>
    <w:rsid w:val="005B153E"/>
    <w:rsid w:val="005B1650"/>
    <w:rsid w:val="005B1B9C"/>
    <w:rsid w:val="005B1CD1"/>
    <w:rsid w:val="005B1F0E"/>
    <w:rsid w:val="005B25C7"/>
    <w:rsid w:val="005B27A2"/>
    <w:rsid w:val="005B2946"/>
    <w:rsid w:val="005B2BCF"/>
    <w:rsid w:val="005B4220"/>
    <w:rsid w:val="005B426B"/>
    <w:rsid w:val="005B44B6"/>
    <w:rsid w:val="005B47A4"/>
    <w:rsid w:val="005B4D67"/>
    <w:rsid w:val="005B4E9B"/>
    <w:rsid w:val="005B5C88"/>
    <w:rsid w:val="005B5D85"/>
    <w:rsid w:val="005B5FFB"/>
    <w:rsid w:val="005B6013"/>
    <w:rsid w:val="005B6E13"/>
    <w:rsid w:val="005B6EE9"/>
    <w:rsid w:val="005B713E"/>
    <w:rsid w:val="005B7D8A"/>
    <w:rsid w:val="005B7E45"/>
    <w:rsid w:val="005C0816"/>
    <w:rsid w:val="005C0B91"/>
    <w:rsid w:val="005C0C2F"/>
    <w:rsid w:val="005C0F8E"/>
    <w:rsid w:val="005C12E9"/>
    <w:rsid w:val="005C135A"/>
    <w:rsid w:val="005C13A6"/>
    <w:rsid w:val="005C1D6B"/>
    <w:rsid w:val="005C2581"/>
    <w:rsid w:val="005C2C47"/>
    <w:rsid w:val="005C3C25"/>
    <w:rsid w:val="005C451A"/>
    <w:rsid w:val="005C4FE2"/>
    <w:rsid w:val="005C5C42"/>
    <w:rsid w:val="005C6311"/>
    <w:rsid w:val="005C6338"/>
    <w:rsid w:val="005C633F"/>
    <w:rsid w:val="005C654C"/>
    <w:rsid w:val="005C65B8"/>
    <w:rsid w:val="005C7230"/>
    <w:rsid w:val="005D0DE1"/>
    <w:rsid w:val="005D1439"/>
    <w:rsid w:val="005D160C"/>
    <w:rsid w:val="005D16BC"/>
    <w:rsid w:val="005D188F"/>
    <w:rsid w:val="005D1B9E"/>
    <w:rsid w:val="005D1C5F"/>
    <w:rsid w:val="005D2A8C"/>
    <w:rsid w:val="005D2B36"/>
    <w:rsid w:val="005D360E"/>
    <w:rsid w:val="005D370E"/>
    <w:rsid w:val="005D38A9"/>
    <w:rsid w:val="005D38CB"/>
    <w:rsid w:val="005D3D8C"/>
    <w:rsid w:val="005D3EF9"/>
    <w:rsid w:val="005D3FED"/>
    <w:rsid w:val="005D4201"/>
    <w:rsid w:val="005D4266"/>
    <w:rsid w:val="005D4A5E"/>
    <w:rsid w:val="005D4AC2"/>
    <w:rsid w:val="005D5464"/>
    <w:rsid w:val="005D57ED"/>
    <w:rsid w:val="005D631F"/>
    <w:rsid w:val="005D6F78"/>
    <w:rsid w:val="005D74A6"/>
    <w:rsid w:val="005D762D"/>
    <w:rsid w:val="005D7B15"/>
    <w:rsid w:val="005E0DBC"/>
    <w:rsid w:val="005E1129"/>
    <w:rsid w:val="005E1D5E"/>
    <w:rsid w:val="005E1E15"/>
    <w:rsid w:val="005E240C"/>
    <w:rsid w:val="005E2457"/>
    <w:rsid w:val="005E29CD"/>
    <w:rsid w:val="005E2FFF"/>
    <w:rsid w:val="005E3012"/>
    <w:rsid w:val="005E33AC"/>
    <w:rsid w:val="005E3F28"/>
    <w:rsid w:val="005E40F5"/>
    <w:rsid w:val="005E4140"/>
    <w:rsid w:val="005E481E"/>
    <w:rsid w:val="005E52A0"/>
    <w:rsid w:val="005E58FA"/>
    <w:rsid w:val="005E5CD1"/>
    <w:rsid w:val="005E5DB2"/>
    <w:rsid w:val="005E622F"/>
    <w:rsid w:val="005E62E9"/>
    <w:rsid w:val="005E637B"/>
    <w:rsid w:val="005E6829"/>
    <w:rsid w:val="005E7368"/>
    <w:rsid w:val="005E7857"/>
    <w:rsid w:val="005E7D0B"/>
    <w:rsid w:val="005F06E7"/>
    <w:rsid w:val="005F113A"/>
    <w:rsid w:val="005F1CEC"/>
    <w:rsid w:val="005F3241"/>
    <w:rsid w:val="005F4295"/>
    <w:rsid w:val="005F4685"/>
    <w:rsid w:val="005F4A34"/>
    <w:rsid w:val="005F4AC9"/>
    <w:rsid w:val="005F50EB"/>
    <w:rsid w:val="005F56B9"/>
    <w:rsid w:val="005F69D1"/>
    <w:rsid w:val="005F6A5E"/>
    <w:rsid w:val="005F797A"/>
    <w:rsid w:val="005F79D7"/>
    <w:rsid w:val="005F7CC8"/>
    <w:rsid w:val="006008B9"/>
    <w:rsid w:val="00600C4E"/>
    <w:rsid w:val="00600DDD"/>
    <w:rsid w:val="00601464"/>
    <w:rsid w:val="006018AC"/>
    <w:rsid w:val="00602514"/>
    <w:rsid w:val="00602ECB"/>
    <w:rsid w:val="00602FBF"/>
    <w:rsid w:val="0060336E"/>
    <w:rsid w:val="00603538"/>
    <w:rsid w:val="00603961"/>
    <w:rsid w:val="00604002"/>
    <w:rsid w:val="0060464E"/>
    <w:rsid w:val="00604744"/>
    <w:rsid w:val="00604B94"/>
    <w:rsid w:val="00605105"/>
    <w:rsid w:val="00605500"/>
    <w:rsid w:val="00606170"/>
    <w:rsid w:val="00606C3E"/>
    <w:rsid w:val="00606C42"/>
    <w:rsid w:val="00607AA4"/>
    <w:rsid w:val="00607C5A"/>
    <w:rsid w:val="006104E3"/>
    <w:rsid w:val="0061052C"/>
    <w:rsid w:val="006109B4"/>
    <w:rsid w:val="00610AE9"/>
    <w:rsid w:val="00610B41"/>
    <w:rsid w:val="00611131"/>
    <w:rsid w:val="00611EFC"/>
    <w:rsid w:val="00612179"/>
    <w:rsid w:val="006133F6"/>
    <w:rsid w:val="00613A82"/>
    <w:rsid w:val="00613D0F"/>
    <w:rsid w:val="00613F80"/>
    <w:rsid w:val="00614308"/>
    <w:rsid w:val="006143D1"/>
    <w:rsid w:val="006148F5"/>
    <w:rsid w:val="00615032"/>
    <w:rsid w:val="00615569"/>
    <w:rsid w:val="00615E12"/>
    <w:rsid w:val="0061660C"/>
    <w:rsid w:val="00617764"/>
    <w:rsid w:val="00620076"/>
    <w:rsid w:val="00620C58"/>
    <w:rsid w:val="00621539"/>
    <w:rsid w:val="0062238E"/>
    <w:rsid w:val="00622811"/>
    <w:rsid w:val="00622978"/>
    <w:rsid w:val="00622FFC"/>
    <w:rsid w:val="00623F41"/>
    <w:rsid w:val="00624094"/>
    <w:rsid w:val="00624A46"/>
    <w:rsid w:val="0062571A"/>
    <w:rsid w:val="00625B7E"/>
    <w:rsid w:val="00625EB0"/>
    <w:rsid w:val="006260DF"/>
    <w:rsid w:val="00626251"/>
    <w:rsid w:val="006275AD"/>
    <w:rsid w:val="006303E7"/>
    <w:rsid w:val="006305DF"/>
    <w:rsid w:val="0063068A"/>
    <w:rsid w:val="0063089E"/>
    <w:rsid w:val="00631A4B"/>
    <w:rsid w:val="00631E95"/>
    <w:rsid w:val="00631F6B"/>
    <w:rsid w:val="006329C4"/>
    <w:rsid w:val="00632AE3"/>
    <w:rsid w:val="006337C9"/>
    <w:rsid w:val="00633EB1"/>
    <w:rsid w:val="00633F44"/>
    <w:rsid w:val="00634B02"/>
    <w:rsid w:val="0063696F"/>
    <w:rsid w:val="00636BD9"/>
    <w:rsid w:val="006374FB"/>
    <w:rsid w:val="00637936"/>
    <w:rsid w:val="00637EA9"/>
    <w:rsid w:val="00641870"/>
    <w:rsid w:val="006420EA"/>
    <w:rsid w:val="00642454"/>
    <w:rsid w:val="0064324F"/>
    <w:rsid w:val="006432B1"/>
    <w:rsid w:val="0064374A"/>
    <w:rsid w:val="00643BE0"/>
    <w:rsid w:val="00643DEC"/>
    <w:rsid w:val="00645288"/>
    <w:rsid w:val="006453B1"/>
    <w:rsid w:val="00645B7C"/>
    <w:rsid w:val="00645E55"/>
    <w:rsid w:val="0064606B"/>
    <w:rsid w:val="0064692E"/>
    <w:rsid w:val="00647931"/>
    <w:rsid w:val="00647D32"/>
    <w:rsid w:val="0065012F"/>
    <w:rsid w:val="00650703"/>
    <w:rsid w:val="0065085B"/>
    <w:rsid w:val="0065182A"/>
    <w:rsid w:val="00651E7E"/>
    <w:rsid w:val="00652007"/>
    <w:rsid w:val="0065233A"/>
    <w:rsid w:val="00652734"/>
    <w:rsid w:val="00652927"/>
    <w:rsid w:val="00652A6B"/>
    <w:rsid w:val="00652AEE"/>
    <w:rsid w:val="00652D5D"/>
    <w:rsid w:val="006533C5"/>
    <w:rsid w:val="00653668"/>
    <w:rsid w:val="006536E7"/>
    <w:rsid w:val="00653DF6"/>
    <w:rsid w:val="00653FB6"/>
    <w:rsid w:val="00654227"/>
    <w:rsid w:val="006543DD"/>
    <w:rsid w:val="006548B5"/>
    <w:rsid w:val="00654A8B"/>
    <w:rsid w:val="00654D5A"/>
    <w:rsid w:val="00655C52"/>
    <w:rsid w:val="00656ABA"/>
    <w:rsid w:val="00656AFA"/>
    <w:rsid w:val="00656D57"/>
    <w:rsid w:val="00657319"/>
    <w:rsid w:val="006574E4"/>
    <w:rsid w:val="006600F5"/>
    <w:rsid w:val="00660321"/>
    <w:rsid w:val="006606F1"/>
    <w:rsid w:val="00661983"/>
    <w:rsid w:val="00661DF9"/>
    <w:rsid w:val="006624C6"/>
    <w:rsid w:val="00662757"/>
    <w:rsid w:val="00663061"/>
    <w:rsid w:val="00663191"/>
    <w:rsid w:val="00663272"/>
    <w:rsid w:val="006632EF"/>
    <w:rsid w:val="006634FF"/>
    <w:rsid w:val="00663662"/>
    <w:rsid w:val="00664A61"/>
    <w:rsid w:val="00664B0D"/>
    <w:rsid w:val="006655CB"/>
    <w:rsid w:val="00665682"/>
    <w:rsid w:val="00665B9B"/>
    <w:rsid w:val="00666307"/>
    <w:rsid w:val="00666AFB"/>
    <w:rsid w:val="00667088"/>
    <w:rsid w:val="00667459"/>
    <w:rsid w:val="0066754F"/>
    <w:rsid w:val="006675F1"/>
    <w:rsid w:val="00667E40"/>
    <w:rsid w:val="006709BE"/>
    <w:rsid w:val="0067271E"/>
    <w:rsid w:val="006733C4"/>
    <w:rsid w:val="0067371E"/>
    <w:rsid w:val="006737CA"/>
    <w:rsid w:val="00673814"/>
    <w:rsid w:val="0067394F"/>
    <w:rsid w:val="006741C3"/>
    <w:rsid w:val="006745FF"/>
    <w:rsid w:val="00674991"/>
    <w:rsid w:val="00674AEC"/>
    <w:rsid w:val="00674D33"/>
    <w:rsid w:val="00675CA9"/>
    <w:rsid w:val="0067643D"/>
    <w:rsid w:val="00676CB5"/>
    <w:rsid w:val="006777D5"/>
    <w:rsid w:val="00680CC9"/>
    <w:rsid w:val="00680DE5"/>
    <w:rsid w:val="00681BEF"/>
    <w:rsid w:val="0068202E"/>
    <w:rsid w:val="006823E8"/>
    <w:rsid w:val="006828A0"/>
    <w:rsid w:val="0068343C"/>
    <w:rsid w:val="006834F4"/>
    <w:rsid w:val="00683AB1"/>
    <w:rsid w:val="00683F46"/>
    <w:rsid w:val="00684716"/>
    <w:rsid w:val="00684D08"/>
    <w:rsid w:val="0068501E"/>
    <w:rsid w:val="00685523"/>
    <w:rsid w:val="00685575"/>
    <w:rsid w:val="00685A8A"/>
    <w:rsid w:val="00685B4D"/>
    <w:rsid w:val="00685C76"/>
    <w:rsid w:val="0068631A"/>
    <w:rsid w:val="00686FCE"/>
    <w:rsid w:val="00687078"/>
    <w:rsid w:val="00687BB4"/>
    <w:rsid w:val="00690718"/>
    <w:rsid w:val="00690F74"/>
    <w:rsid w:val="006911D9"/>
    <w:rsid w:val="00691731"/>
    <w:rsid w:val="00691795"/>
    <w:rsid w:val="00691AA6"/>
    <w:rsid w:val="00692119"/>
    <w:rsid w:val="006924B3"/>
    <w:rsid w:val="00692846"/>
    <w:rsid w:val="0069310B"/>
    <w:rsid w:val="00693788"/>
    <w:rsid w:val="006942F2"/>
    <w:rsid w:val="0069468C"/>
    <w:rsid w:val="00694CAF"/>
    <w:rsid w:val="006950D1"/>
    <w:rsid w:val="00695E23"/>
    <w:rsid w:val="00696AD3"/>
    <w:rsid w:val="0069743D"/>
    <w:rsid w:val="00697446"/>
    <w:rsid w:val="006974AE"/>
    <w:rsid w:val="006A1CBF"/>
    <w:rsid w:val="006A2E71"/>
    <w:rsid w:val="006A415F"/>
    <w:rsid w:val="006A50D3"/>
    <w:rsid w:val="006A5106"/>
    <w:rsid w:val="006A555D"/>
    <w:rsid w:val="006A57D5"/>
    <w:rsid w:val="006A581B"/>
    <w:rsid w:val="006A596F"/>
    <w:rsid w:val="006A605E"/>
    <w:rsid w:val="006A6B25"/>
    <w:rsid w:val="006A719D"/>
    <w:rsid w:val="006B03C5"/>
    <w:rsid w:val="006B03C7"/>
    <w:rsid w:val="006B084E"/>
    <w:rsid w:val="006B088C"/>
    <w:rsid w:val="006B0F9D"/>
    <w:rsid w:val="006B1494"/>
    <w:rsid w:val="006B1557"/>
    <w:rsid w:val="006B192A"/>
    <w:rsid w:val="006B197C"/>
    <w:rsid w:val="006B1C17"/>
    <w:rsid w:val="006B263F"/>
    <w:rsid w:val="006B3BE6"/>
    <w:rsid w:val="006B479F"/>
    <w:rsid w:val="006B54A7"/>
    <w:rsid w:val="006B568E"/>
    <w:rsid w:val="006B5995"/>
    <w:rsid w:val="006B5B18"/>
    <w:rsid w:val="006B5BC6"/>
    <w:rsid w:val="006B727B"/>
    <w:rsid w:val="006B744C"/>
    <w:rsid w:val="006C0073"/>
    <w:rsid w:val="006C0EA2"/>
    <w:rsid w:val="006C154E"/>
    <w:rsid w:val="006C173D"/>
    <w:rsid w:val="006C1764"/>
    <w:rsid w:val="006C1953"/>
    <w:rsid w:val="006C1B93"/>
    <w:rsid w:val="006C1D70"/>
    <w:rsid w:val="006C29B3"/>
    <w:rsid w:val="006C2C2C"/>
    <w:rsid w:val="006C38B5"/>
    <w:rsid w:val="006C5A8C"/>
    <w:rsid w:val="006C6309"/>
    <w:rsid w:val="006C6E20"/>
    <w:rsid w:val="006C7A52"/>
    <w:rsid w:val="006D07D1"/>
    <w:rsid w:val="006D0EE6"/>
    <w:rsid w:val="006D1314"/>
    <w:rsid w:val="006D2ABF"/>
    <w:rsid w:val="006D32A8"/>
    <w:rsid w:val="006D4362"/>
    <w:rsid w:val="006D484D"/>
    <w:rsid w:val="006D4E0C"/>
    <w:rsid w:val="006D5217"/>
    <w:rsid w:val="006D5B3C"/>
    <w:rsid w:val="006D5D2C"/>
    <w:rsid w:val="006D6FC0"/>
    <w:rsid w:val="006D71E8"/>
    <w:rsid w:val="006D75D9"/>
    <w:rsid w:val="006E07B7"/>
    <w:rsid w:val="006E088D"/>
    <w:rsid w:val="006E108F"/>
    <w:rsid w:val="006E1091"/>
    <w:rsid w:val="006E117C"/>
    <w:rsid w:val="006E16DE"/>
    <w:rsid w:val="006E21B4"/>
    <w:rsid w:val="006E23C1"/>
    <w:rsid w:val="006E2AC0"/>
    <w:rsid w:val="006E30AB"/>
    <w:rsid w:val="006E3998"/>
    <w:rsid w:val="006E3ADA"/>
    <w:rsid w:val="006E4128"/>
    <w:rsid w:val="006E426C"/>
    <w:rsid w:val="006E43EA"/>
    <w:rsid w:val="006E4425"/>
    <w:rsid w:val="006E45AA"/>
    <w:rsid w:val="006E4C27"/>
    <w:rsid w:val="006E502E"/>
    <w:rsid w:val="006E5040"/>
    <w:rsid w:val="006E5115"/>
    <w:rsid w:val="006E55E2"/>
    <w:rsid w:val="006E59D2"/>
    <w:rsid w:val="006E667D"/>
    <w:rsid w:val="006E6691"/>
    <w:rsid w:val="006E66BE"/>
    <w:rsid w:val="006E6966"/>
    <w:rsid w:val="006E7534"/>
    <w:rsid w:val="006E78A7"/>
    <w:rsid w:val="006E7C6A"/>
    <w:rsid w:val="006F0C48"/>
    <w:rsid w:val="006F22B1"/>
    <w:rsid w:val="006F255E"/>
    <w:rsid w:val="006F287D"/>
    <w:rsid w:val="006F2ED8"/>
    <w:rsid w:val="006F2F9A"/>
    <w:rsid w:val="006F3AD7"/>
    <w:rsid w:val="006F3C71"/>
    <w:rsid w:val="006F3D01"/>
    <w:rsid w:val="006F4756"/>
    <w:rsid w:val="006F4F84"/>
    <w:rsid w:val="006F572C"/>
    <w:rsid w:val="006F625A"/>
    <w:rsid w:val="006F70FC"/>
    <w:rsid w:val="006F71C3"/>
    <w:rsid w:val="006F71C8"/>
    <w:rsid w:val="006F743C"/>
    <w:rsid w:val="007005EC"/>
    <w:rsid w:val="007007BC"/>
    <w:rsid w:val="00700CC2"/>
    <w:rsid w:val="00700FA2"/>
    <w:rsid w:val="00701160"/>
    <w:rsid w:val="00701F12"/>
    <w:rsid w:val="00702DF9"/>
    <w:rsid w:val="00703300"/>
    <w:rsid w:val="00703619"/>
    <w:rsid w:val="00703ADD"/>
    <w:rsid w:val="00704482"/>
    <w:rsid w:val="007045AE"/>
    <w:rsid w:val="00704671"/>
    <w:rsid w:val="00704705"/>
    <w:rsid w:val="007058F2"/>
    <w:rsid w:val="00705B84"/>
    <w:rsid w:val="00706414"/>
    <w:rsid w:val="00706668"/>
    <w:rsid w:val="00706823"/>
    <w:rsid w:val="00706B57"/>
    <w:rsid w:val="007073B2"/>
    <w:rsid w:val="0070749A"/>
    <w:rsid w:val="00710447"/>
    <w:rsid w:val="007125C2"/>
    <w:rsid w:val="007126AA"/>
    <w:rsid w:val="00712822"/>
    <w:rsid w:val="007128B7"/>
    <w:rsid w:val="00712D3E"/>
    <w:rsid w:val="00712D6C"/>
    <w:rsid w:val="00713FBC"/>
    <w:rsid w:val="00716A88"/>
    <w:rsid w:val="00716E5F"/>
    <w:rsid w:val="00717209"/>
    <w:rsid w:val="007208D4"/>
    <w:rsid w:val="00720EA5"/>
    <w:rsid w:val="00721B3C"/>
    <w:rsid w:val="00721C3F"/>
    <w:rsid w:val="00721D63"/>
    <w:rsid w:val="007224ED"/>
    <w:rsid w:val="00723476"/>
    <w:rsid w:val="00723882"/>
    <w:rsid w:val="00723BC9"/>
    <w:rsid w:val="007240DC"/>
    <w:rsid w:val="00724635"/>
    <w:rsid w:val="00724DC6"/>
    <w:rsid w:val="00725A88"/>
    <w:rsid w:val="00725BFC"/>
    <w:rsid w:val="0072659A"/>
    <w:rsid w:val="00726B36"/>
    <w:rsid w:val="00726F5E"/>
    <w:rsid w:val="00727004"/>
    <w:rsid w:val="007277C8"/>
    <w:rsid w:val="00727965"/>
    <w:rsid w:val="00727BD2"/>
    <w:rsid w:val="0073130F"/>
    <w:rsid w:val="007313C0"/>
    <w:rsid w:val="0073146D"/>
    <w:rsid w:val="007320A0"/>
    <w:rsid w:val="0073250E"/>
    <w:rsid w:val="00732563"/>
    <w:rsid w:val="007326DA"/>
    <w:rsid w:val="00732B2F"/>
    <w:rsid w:val="00732FD0"/>
    <w:rsid w:val="00733A15"/>
    <w:rsid w:val="007343F3"/>
    <w:rsid w:val="00735745"/>
    <w:rsid w:val="00736A18"/>
    <w:rsid w:val="00736CBB"/>
    <w:rsid w:val="00736F77"/>
    <w:rsid w:val="00737CB8"/>
    <w:rsid w:val="007403AA"/>
    <w:rsid w:val="007406EF"/>
    <w:rsid w:val="0074079D"/>
    <w:rsid w:val="007411CF"/>
    <w:rsid w:val="0074162D"/>
    <w:rsid w:val="007416A4"/>
    <w:rsid w:val="00741877"/>
    <w:rsid w:val="00741C13"/>
    <w:rsid w:val="007422F7"/>
    <w:rsid w:val="00742948"/>
    <w:rsid w:val="00743608"/>
    <w:rsid w:val="00743A32"/>
    <w:rsid w:val="00743E2A"/>
    <w:rsid w:val="00743F6C"/>
    <w:rsid w:val="00743F9F"/>
    <w:rsid w:val="00744582"/>
    <w:rsid w:val="0074461F"/>
    <w:rsid w:val="00745081"/>
    <w:rsid w:val="00745A6F"/>
    <w:rsid w:val="00745EBB"/>
    <w:rsid w:val="00746064"/>
    <w:rsid w:val="007468AE"/>
    <w:rsid w:val="00746F35"/>
    <w:rsid w:val="00747B18"/>
    <w:rsid w:val="00750B4B"/>
    <w:rsid w:val="0075148A"/>
    <w:rsid w:val="0075190E"/>
    <w:rsid w:val="00752F59"/>
    <w:rsid w:val="007532E0"/>
    <w:rsid w:val="00753598"/>
    <w:rsid w:val="007535CE"/>
    <w:rsid w:val="007539DF"/>
    <w:rsid w:val="00753DAA"/>
    <w:rsid w:val="0075450F"/>
    <w:rsid w:val="0075496F"/>
    <w:rsid w:val="00754999"/>
    <w:rsid w:val="00755502"/>
    <w:rsid w:val="007557A6"/>
    <w:rsid w:val="00755FD2"/>
    <w:rsid w:val="007566AE"/>
    <w:rsid w:val="00756E4F"/>
    <w:rsid w:val="007578E1"/>
    <w:rsid w:val="00757CA8"/>
    <w:rsid w:val="00760051"/>
    <w:rsid w:val="00760749"/>
    <w:rsid w:val="0076075E"/>
    <w:rsid w:val="00761ED1"/>
    <w:rsid w:val="007628C6"/>
    <w:rsid w:val="00763287"/>
    <w:rsid w:val="0076351E"/>
    <w:rsid w:val="00763B49"/>
    <w:rsid w:val="00763F45"/>
    <w:rsid w:val="00764012"/>
    <w:rsid w:val="0076435C"/>
    <w:rsid w:val="007644B3"/>
    <w:rsid w:val="00764EDA"/>
    <w:rsid w:val="0076569F"/>
    <w:rsid w:val="00765FF3"/>
    <w:rsid w:val="0076607B"/>
    <w:rsid w:val="0076632A"/>
    <w:rsid w:val="0076672B"/>
    <w:rsid w:val="00766860"/>
    <w:rsid w:val="00767105"/>
    <w:rsid w:val="00767668"/>
    <w:rsid w:val="00767F8A"/>
    <w:rsid w:val="007705A4"/>
    <w:rsid w:val="00770F55"/>
    <w:rsid w:val="0077187A"/>
    <w:rsid w:val="007718B0"/>
    <w:rsid w:val="00772A53"/>
    <w:rsid w:val="00772ACA"/>
    <w:rsid w:val="00772CB6"/>
    <w:rsid w:val="00773305"/>
    <w:rsid w:val="00773A07"/>
    <w:rsid w:val="00774273"/>
    <w:rsid w:val="007742FF"/>
    <w:rsid w:val="0077444A"/>
    <w:rsid w:val="007749C1"/>
    <w:rsid w:val="00774C30"/>
    <w:rsid w:val="00774DF6"/>
    <w:rsid w:val="00774EBD"/>
    <w:rsid w:val="00776182"/>
    <w:rsid w:val="00776AA7"/>
    <w:rsid w:val="0077783E"/>
    <w:rsid w:val="00777E08"/>
    <w:rsid w:val="00780281"/>
    <w:rsid w:val="007805A7"/>
    <w:rsid w:val="00781A34"/>
    <w:rsid w:val="00781C85"/>
    <w:rsid w:val="00782655"/>
    <w:rsid w:val="00782F11"/>
    <w:rsid w:val="00782F71"/>
    <w:rsid w:val="007831FB"/>
    <w:rsid w:val="0078340A"/>
    <w:rsid w:val="00783643"/>
    <w:rsid w:val="00783687"/>
    <w:rsid w:val="00783EEA"/>
    <w:rsid w:val="00784044"/>
    <w:rsid w:val="007841A1"/>
    <w:rsid w:val="007848A9"/>
    <w:rsid w:val="0078540A"/>
    <w:rsid w:val="0078547B"/>
    <w:rsid w:val="007854CC"/>
    <w:rsid w:val="007855AB"/>
    <w:rsid w:val="00785F5C"/>
    <w:rsid w:val="0078613D"/>
    <w:rsid w:val="00786DEB"/>
    <w:rsid w:val="007871D0"/>
    <w:rsid w:val="00787DA6"/>
    <w:rsid w:val="0079038A"/>
    <w:rsid w:val="007904CF"/>
    <w:rsid w:val="007908D2"/>
    <w:rsid w:val="00791FF7"/>
    <w:rsid w:val="0079223F"/>
    <w:rsid w:val="00792B27"/>
    <w:rsid w:val="00793618"/>
    <w:rsid w:val="00793837"/>
    <w:rsid w:val="00793EE0"/>
    <w:rsid w:val="0079454C"/>
    <w:rsid w:val="00794774"/>
    <w:rsid w:val="00794973"/>
    <w:rsid w:val="00794CC2"/>
    <w:rsid w:val="00796072"/>
    <w:rsid w:val="00796121"/>
    <w:rsid w:val="00796413"/>
    <w:rsid w:val="0079658A"/>
    <w:rsid w:val="00796E3E"/>
    <w:rsid w:val="0079713C"/>
    <w:rsid w:val="00797407"/>
    <w:rsid w:val="0079797E"/>
    <w:rsid w:val="00797A72"/>
    <w:rsid w:val="00797FB8"/>
    <w:rsid w:val="007A0432"/>
    <w:rsid w:val="007A0551"/>
    <w:rsid w:val="007A1373"/>
    <w:rsid w:val="007A1B53"/>
    <w:rsid w:val="007A210C"/>
    <w:rsid w:val="007A2757"/>
    <w:rsid w:val="007A28C2"/>
    <w:rsid w:val="007A2C75"/>
    <w:rsid w:val="007A3661"/>
    <w:rsid w:val="007A3D32"/>
    <w:rsid w:val="007A435B"/>
    <w:rsid w:val="007A46CB"/>
    <w:rsid w:val="007A4CC0"/>
    <w:rsid w:val="007A4CE4"/>
    <w:rsid w:val="007A5239"/>
    <w:rsid w:val="007A5297"/>
    <w:rsid w:val="007A5885"/>
    <w:rsid w:val="007A5969"/>
    <w:rsid w:val="007A5CEE"/>
    <w:rsid w:val="007A6005"/>
    <w:rsid w:val="007A61AE"/>
    <w:rsid w:val="007A664C"/>
    <w:rsid w:val="007A702E"/>
    <w:rsid w:val="007A75DF"/>
    <w:rsid w:val="007A7837"/>
    <w:rsid w:val="007A7B96"/>
    <w:rsid w:val="007B0436"/>
    <w:rsid w:val="007B08DB"/>
    <w:rsid w:val="007B1C1F"/>
    <w:rsid w:val="007B1F40"/>
    <w:rsid w:val="007B1FEB"/>
    <w:rsid w:val="007B22E5"/>
    <w:rsid w:val="007B28ED"/>
    <w:rsid w:val="007B3FDC"/>
    <w:rsid w:val="007B4327"/>
    <w:rsid w:val="007B4A91"/>
    <w:rsid w:val="007B4FC5"/>
    <w:rsid w:val="007B558A"/>
    <w:rsid w:val="007B5BF3"/>
    <w:rsid w:val="007B6083"/>
    <w:rsid w:val="007B6E53"/>
    <w:rsid w:val="007B6EFC"/>
    <w:rsid w:val="007B7949"/>
    <w:rsid w:val="007B799A"/>
    <w:rsid w:val="007B7DBB"/>
    <w:rsid w:val="007C0B77"/>
    <w:rsid w:val="007C0EB7"/>
    <w:rsid w:val="007C1160"/>
    <w:rsid w:val="007C1D22"/>
    <w:rsid w:val="007C1D71"/>
    <w:rsid w:val="007C2B3E"/>
    <w:rsid w:val="007C3133"/>
    <w:rsid w:val="007C40A4"/>
    <w:rsid w:val="007C4D73"/>
    <w:rsid w:val="007C4D7B"/>
    <w:rsid w:val="007C4EAD"/>
    <w:rsid w:val="007C588A"/>
    <w:rsid w:val="007C62EF"/>
    <w:rsid w:val="007C6893"/>
    <w:rsid w:val="007C7B6E"/>
    <w:rsid w:val="007C7D28"/>
    <w:rsid w:val="007D0380"/>
    <w:rsid w:val="007D1030"/>
    <w:rsid w:val="007D1344"/>
    <w:rsid w:val="007D2306"/>
    <w:rsid w:val="007D25B0"/>
    <w:rsid w:val="007D28AA"/>
    <w:rsid w:val="007D2BCC"/>
    <w:rsid w:val="007D2E87"/>
    <w:rsid w:val="007D2F09"/>
    <w:rsid w:val="007D32A6"/>
    <w:rsid w:val="007D3571"/>
    <w:rsid w:val="007D3946"/>
    <w:rsid w:val="007D3D47"/>
    <w:rsid w:val="007D3F14"/>
    <w:rsid w:val="007D41B3"/>
    <w:rsid w:val="007D42C4"/>
    <w:rsid w:val="007D4793"/>
    <w:rsid w:val="007D5273"/>
    <w:rsid w:val="007D5366"/>
    <w:rsid w:val="007D59FD"/>
    <w:rsid w:val="007D62FE"/>
    <w:rsid w:val="007D636F"/>
    <w:rsid w:val="007D63CE"/>
    <w:rsid w:val="007D6721"/>
    <w:rsid w:val="007D684B"/>
    <w:rsid w:val="007E0115"/>
    <w:rsid w:val="007E0BBB"/>
    <w:rsid w:val="007E0EFC"/>
    <w:rsid w:val="007E1152"/>
    <w:rsid w:val="007E1462"/>
    <w:rsid w:val="007E16A8"/>
    <w:rsid w:val="007E1F64"/>
    <w:rsid w:val="007E2619"/>
    <w:rsid w:val="007E2A04"/>
    <w:rsid w:val="007E2DBA"/>
    <w:rsid w:val="007E2E36"/>
    <w:rsid w:val="007E33AF"/>
    <w:rsid w:val="007E3D87"/>
    <w:rsid w:val="007E4844"/>
    <w:rsid w:val="007E485D"/>
    <w:rsid w:val="007E4E98"/>
    <w:rsid w:val="007E5D97"/>
    <w:rsid w:val="007E63A2"/>
    <w:rsid w:val="007E6EF4"/>
    <w:rsid w:val="007E7A66"/>
    <w:rsid w:val="007E7F32"/>
    <w:rsid w:val="007F02B4"/>
    <w:rsid w:val="007F075B"/>
    <w:rsid w:val="007F0887"/>
    <w:rsid w:val="007F1F1B"/>
    <w:rsid w:val="007F2331"/>
    <w:rsid w:val="007F281C"/>
    <w:rsid w:val="007F36AF"/>
    <w:rsid w:val="007F3A8A"/>
    <w:rsid w:val="007F4D87"/>
    <w:rsid w:val="007F500D"/>
    <w:rsid w:val="007F55FD"/>
    <w:rsid w:val="007F5643"/>
    <w:rsid w:val="007F5F3E"/>
    <w:rsid w:val="007F63D8"/>
    <w:rsid w:val="007F684D"/>
    <w:rsid w:val="007F72A4"/>
    <w:rsid w:val="007F7FB9"/>
    <w:rsid w:val="00800547"/>
    <w:rsid w:val="008008AB"/>
    <w:rsid w:val="008012BF"/>
    <w:rsid w:val="008016E7"/>
    <w:rsid w:val="0080181B"/>
    <w:rsid w:val="00801E24"/>
    <w:rsid w:val="0080239C"/>
    <w:rsid w:val="008026EA"/>
    <w:rsid w:val="008026FF"/>
    <w:rsid w:val="00802A76"/>
    <w:rsid w:val="00802F9D"/>
    <w:rsid w:val="008030C1"/>
    <w:rsid w:val="008030FF"/>
    <w:rsid w:val="00803E43"/>
    <w:rsid w:val="00804D68"/>
    <w:rsid w:val="0080510D"/>
    <w:rsid w:val="00805558"/>
    <w:rsid w:val="00805B9A"/>
    <w:rsid w:val="0080603F"/>
    <w:rsid w:val="008063A2"/>
    <w:rsid w:val="00806E5A"/>
    <w:rsid w:val="00807181"/>
    <w:rsid w:val="008073FD"/>
    <w:rsid w:val="00810CE9"/>
    <w:rsid w:val="00811B51"/>
    <w:rsid w:val="00812156"/>
    <w:rsid w:val="008128A2"/>
    <w:rsid w:val="00812B9A"/>
    <w:rsid w:val="00812E2C"/>
    <w:rsid w:val="00812F3E"/>
    <w:rsid w:val="0081310F"/>
    <w:rsid w:val="00814F3C"/>
    <w:rsid w:val="00815399"/>
    <w:rsid w:val="0081615C"/>
    <w:rsid w:val="00816C7D"/>
    <w:rsid w:val="008174ED"/>
    <w:rsid w:val="008175D3"/>
    <w:rsid w:val="00820303"/>
    <w:rsid w:val="0082066A"/>
    <w:rsid w:val="008207E0"/>
    <w:rsid w:val="0082170E"/>
    <w:rsid w:val="00821A3D"/>
    <w:rsid w:val="00821A61"/>
    <w:rsid w:val="00822879"/>
    <w:rsid w:val="008228E5"/>
    <w:rsid w:val="00823E95"/>
    <w:rsid w:val="00823FC5"/>
    <w:rsid w:val="00824577"/>
    <w:rsid w:val="008250C0"/>
    <w:rsid w:val="0082571E"/>
    <w:rsid w:val="008257D2"/>
    <w:rsid w:val="00825BD3"/>
    <w:rsid w:val="0082608D"/>
    <w:rsid w:val="0082635B"/>
    <w:rsid w:val="008267C6"/>
    <w:rsid w:val="0082685B"/>
    <w:rsid w:val="00826875"/>
    <w:rsid w:val="00826C60"/>
    <w:rsid w:val="00826DA8"/>
    <w:rsid w:val="0082732E"/>
    <w:rsid w:val="00827FC2"/>
    <w:rsid w:val="0083075B"/>
    <w:rsid w:val="00830F9C"/>
    <w:rsid w:val="00831105"/>
    <w:rsid w:val="008316CC"/>
    <w:rsid w:val="00831B28"/>
    <w:rsid w:val="00831EFD"/>
    <w:rsid w:val="00832662"/>
    <w:rsid w:val="00832752"/>
    <w:rsid w:val="00832A98"/>
    <w:rsid w:val="00832C80"/>
    <w:rsid w:val="008337E8"/>
    <w:rsid w:val="00833B7C"/>
    <w:rsid w:val="00833C6A"/>
    <w:rsid w:val="00833CE9"/>
    <w:rsid w:val="00833E3C"/>
    <w:rsid w:val="0083416A"/>
    <w:rsid w:val="0083448C"/>
    <w:rsid w:val="008344C3"/>
    <w:rsid w:val="00834B4C"/>
    <w:rsid w:val="00835B59"/>
    <w:rsid w:val="0083674F"/>
    <w:rsid w:val="0083677C"/>
    <w:rsid w:val="008368C5"/>
    <w:rsid w:val="008368F8"/>
    <w:rsid w:val="00836A4E"/>
    <w:rsid w:val="00836F73"/>
    <w:rsid w:val="0083706B"/>
    <w:rsid w:val="00837A8A"/>
    <w:rsid w:val="00837D12"/>
    <w:rsid w:val="00840BA5"/>
    <w:rsid w:val="00840CF2"/>
    <w:rsid w:val="00840ECD"/>
    <w:rsid w:val="00841258"/>
    <w:rsid w:val="00841C53"/>
    <w:rsid w:val="00841C63"/>
    <w:rsid w:val="0084224B"/>
    <w:rsid w:val="00842299"/>
    <w:rsid w:val="008424B1"/>
    <w:rsid w:val="008429C7"/>
    <w:rsid w:val="0084309A"/>
    <w:rsid w:val="00843D3B"/>
    <w:rsid w:val="008444A8"/>
    <w:rsid w:val="008448C8"/>
    <w:rsid w:val="00844F19"/>
    <w:rsid w:val="00845491"/>
    <w:rsid w:val="008456F8"/>
    <w:rsid w:val="00846306"/>
    <w:rsid w:val="00846492"/>
    <w:rsid w:val="0084780A"/>
    <w:rsid w:val="00847D37"/>
    <w:rsid w:val="00850835"/>
    <w:rsid w:val="0085088A"/>
    <w:rsid w:val="008508B3"/>
    <w:rsid w:val="00850A1E"/>
    <w:rsid w:val="00850C47"/>
    <w:rsid w:val="00851443"/>
    <w:rsid w:val="00851DF6"/>
    <w:rsid w:val="00852AF4"/>
    <w:rsid w:val="0085313A"/>
    <w:rsid w:val="00853462"/>
    <w:rsid w:val="00854677"/>
    <w:rsid w:val="00854E01"/>
    <w:rsid w:val="008552F6"/>
    <w:rsid w:val="00855D55"/>
    <w:rsid w:val="00856157"/>
    <w:rsid w:val="0085653D"/>
    <w:rsid w:val="008565DD"/>
    <w:rsid w:val="00856C02"/>
    <w:rsid w:val="00856DE8"/>
    <w:rsid w:val="0085735C"/>
    <w:rsid w:val="00857729"/>
    <w:rsid w:val="00857829"/>
    <w:rsid w:val="008579BC"/>
    <w:rsid w:val="008601B4"/>
    <w:rsid w:val="008604B9"/>
    <w:rsid w:val="0086058F"/>
    <w:rsid w:val="00860BDF"/>
    <w:rsid w:val="00861061"/>
    <w:rsid w:val="00861AA1"/>
    <w:rsid w:val="008623C4"/>
    <w:rsid w:val="00862409"/>
    <w:rsid w:val="00862AFC"/>
    <w:rsid w:val="00864646"/>
    <w:rsid w:val="00865528"/>
    <w:rsid w:val="008665EA"/>
    <w:rsid w:val="008669A4"/>
    <w:rsid w:val="00867B8A"/>
    <w:rsid w:val="00871061"/>
    <w:rsid w:val="00871278"/>
    <w:rsid w:val="00871756"/>
    <w:rsid w:val="008719A8"/>
    <w:rsid w:val="00871FAE"/>
    <w:rsid w:val="008722F4"/>
    <w:rsid w:val="00872DD4"/>
    <w:rsid w:val="00872E85"/>
    <w:rsid w:val="00874BBC"/>
    <w:rsid w:val="00875379"/>
    <w:rsid w:val="00875C3A"/>
    <w:rsid w:val="00875EB6"/>
    <w:rsid w:val="0087637F"/>
    <w:rsid w:val="0087651E"/>
    <w:rsid w:val="00876818"/>
    <w:rsid w:val="00876E88"/>
    <w:rsid w:val="00880936"/>
    <w:rsid w:val="00880ED5"/>
    <w:rsid w:val="0088175F"/>
    <w:rsid w:val="00881985"/>
    <w:rsid w:val="00881C4A"/>
    <w:rsid w:val="008821ED"/>
    <w:rsid w:val="00882494"/>
    <w:rsid w:val="00882B77"/>
    <w:rsid w:val="00882F7C"/>
    <w:rsid w:val="00883278"/>
    <w:rsid w:val="0088332E"/>
    <w:rsid w:val="00883944"/>
    <w:rsid w:val="00883F80"/>
    <w:rsid w:val="00885863"/>
    <w:rsid w:val="00885A94"/>
    <w:rsid w:val="008860DE"/>
    <w:rsid w:val="00886534"/>
    <w:rsid w:val="0088664C"/>
    <w:rsid w:val="0088676C"/>
    <w:rsid w:val="00886C15"/>
    <w:rsid w:val="00887442"/>
    <w:rsid w:val="00887A18"/>
    <w:rsid w:val="00887B16"/>
    <w:rsid w:val="00887B78"/>
    <w:rsid w:val="00887F09"/>
    <w:rsid w:val="008900E6"/>
    <w:rsid w:val="00890DBC"/>
    <w:rsid w:val="00891D1D"/>
    <w:rsid w:val="00892278"/>
    <w:rsid w:val="00892926"/>
    <w:rsid w:val="00892D84"/>
    <w:rsid w:val="00892DC5"/>
    <w:rsid w:val="00893D1D"/>
    <w:rsid w:val="00894782"/>
    <w:rsid w:val="00894873"/>
    <w:rsid w:val="00895976"/>
    <w:rsid w:val="00895AE2"/>
    <w:rsid w:val="00895C1C"/>
    <w:rsid w:val="00895CA0"/>
    <w:rsid w:val="00895DCB"/>
    <w:rsid w:val="00895DEE"/>
    <w:rsid w:val="00895EEC"/>
    <w:rsid w:val="00896481"/>
    <w:rsid w:val="00896697"/>
    <w:rsid w:val="008966FD"/>
    <w:rsid w:val="00897371"/>
    <w:rsid w:val="0089752E"/>
    <w:rsid w:val="00897906"/>
    <w:rsid w:val="00897B6B"/>
    <w:rsid w:val="008A0098"/>
    <w:rsid w:val="008A042E"/>
    <w:rsid w:val="008A05BB"/>
    <w:rsid w:val="008A1473"/>
    <w:rsid w:val="008A16B0"/>
    <w:rsid w:val="008A21E4"/>
    <w:rsid w:val="008A237A"/>
    <w:rsid w:val="008A2904"/>
    <w:rsid w:val="008A2B90"/>
    <w:rsid w:val="008A3060"/>
    <w:rsid w:val="008A3660"/>
    <w:rsid w:val="008A39B9"/>
    <w:rsid w:val="008A3EFD"/>
    <w:rsid w:val="008A4135"/>
    <w:rsid w:val="008A4506"/>
    <w:rsid w:val="008A452F"/>
    <w:rsid w:val="008A473F"/>
    <w:rsid w:val="008A4B52"/>
    <w:rsid w:val="008A4BFB"/>
    <w:rsid w:val="008A4C95"/>
    <w:rsid w:val="008A4E5B"/>
    <w:rsid w:val="008A5103"/>
    <w:rsid w:val="008A5BA0"/>
    <w:rsid w:val="008A6659"/>
    <w:rsid w:val="008A672B"/>
    <w:rsid w:val="008A6B6E"/>
    <w:rsid w:val="008A6F9C"/>
    <w:rsid w:val="008A7003"/>
    <w:rsid w:val="008A7289"/>
    <w:rsid w:val="008A7611"/>
    <w:rsid w:val="008A7956"/>
    <w:rsid w:val="008A7C56"/>
    <w:rsid w:val="008A7FAC"/>
    <w:rsid w:val="008B00C5"/>
    <w:rsid w:val="008B059C"/>
    <w:rsid w:val="008B174D"/>
    <w:rsid w:val="008B24E0"/>
    <w:rsid w:val="008B2C9F"/>
    <w:rsid w:val="008B365F"/>
    <w:rsid w:val="008B3BB3"/>
    <w:rsid w:val="008B429F"/>
    <w:rsid w:val="008B42E0"/>
    <w:rsid w:val="008B448F"/>
    <w:rsid w:val="008B449B"/>
    <w:rsid w:val="008B44A6"/>
    <w:rsid w:val="008B49F1"/>
    <w:rsid w:val="008B57FE"/>
    <w:rsid w:val="008B5B29"/>
    <w:rsid w:val="008B5DA1"/>
    <w:rsid w:val="008B5FF1"/>
    <w:rsid w:val="008B61AB"/>
    <w:rsid w:val="008B6885"/>
    <w:rsid w:val="008C0725"/>
    <w:rsid w:val="008C0BDA"/>
    <w:rsid w:val="008C1B73"/>
    <w:rsid w:val="008C2223"/>
    <w:rsid w:val="008C22F4"/>
    <w:rsid w:val="008C27C3"/>
    <w:rsid w:val="008C2A91"/>
    <w:rsid w:val="008C2E25"/>
    <w:rsid w:val="008C2FF9"/>
    <w:rsid w:val="008C3107"/>
    <w:rsid w:val="008C3185"/>
    <w:rsid w:val="008C342B"/>
    <w:rsid w:val="008C49EC"/>
    <w:rsid w:val="008C4B26"/>
    <w:rsid w:val="008C4C7E"/>
    <w:rsid w:val="008C4D3E"/>
    <w:rsid w:val="008C5063"/>
    <w:rsid w:val="008C537A"/>
    <w:rsid w:val="008C58A0"/>
    <w:rsid w:val="008C5BE8"/>
    <w:rsid w:val="008C5C6D"/>
    <w:rsid w:val="008C6668"/>
    <w:rsid w:val="008D04B2"/>
    <w:rsid w:val="008D1F7C"/>
    <w:rsid w:val="008D23AD"/>
    <w:rsid w:val="008D276E"/>
    <w:rsid w:val="008D3092"/>
    <w:rsid w:val="008D3130"/>
    <w:rsid w:val="008D3B3C"/>
    <w:rsid w:val="008D3E4B"/>
    <w:rsid w:val="008D4088"/>
    <w:rsid w:val="008D4489"/>
    <w:rsid w:val="008D448A"/>
    <w:rsid w:val="008D54BB"/>
    <w:rsid w:val="008D57FE"/>
    <w:rsid w:val="008D5FEF"/>
    <w:rsid w:val="008D6F77"/>
    <w:rsid w:val="008D7F6A"/>
    <w:rsid w:val="008E06AD"/>
    <w:rsid w:val="008E1472"/>
    <w:rsid w:val="008E151E"/>
    <w:rsid w:val="008E158F"/>
    <w:rsid w:val="008E1609"/>
    <w:rsid w:val="008E1A6E"/>
    <w:rsid w:val="008E2CD5"/>
    <w:rsid w:val="008E33EE"/>
    <w:rsid w:val="008E3754"/>
    <w:rsid w:val="008E38E5"/>
    <w:rsid w:val="008E3BA7"/>
    <w:rsid w:val="008E3C3F"/>
    <w:rsid w:val="008E41AB"/>
    <w:rsid w:val="008E4281"/>
    <w:rsid w:val="008E51F4"/>
    <w:rsid w:val="008E5B37"/>
    <w:rsid w:val="008E6ACA"/>
    <w:rsid w:val="008E6B64"/>
    <w:rsid w:val="008E6BDD"/>
    <w:rsid w:val="008E7412"/>
    <w:rsid w:val="008F084F"/>
    <w:rsid w:val="008F0B4A"/>
    <w:rsid w:val="008F0F01"/>
    <w:rsid w:val="008F1C5C"/>
    <w:rsid w:val="008F1D47"/>
    <w:rsid w:val="008F204C"/>
    <w:rsid w:val="008F261E"/>
    <w:rsid w:val="008F30D9"/>
    <w:rsid w:val="008F3276"/>
    <w:rsid w:val="008F3CC8"/>
    <w:rsid w:val="008F3D41"/>
    <w:rsid w:val="008F466F"/>
    <w:rsid w:val="008F52FB"/>
    <w:rsid w:val="008F5534"/>
    <w:rsid w:val="008F5A5E"/>
    <w:rsid w:val="008F6ABA"/>
    <w:rsid w:val="008F7662"/>
    <w:rsid w:val="008F76FA"/>
    <w:rsid w:val="00900043"/>
    <w:rsid w:val="009002AC"/>
    <w:rsid w:val="009004A7"/>
    <w:rsid w:val="00900574"/>
    <w:rsid w:val="00900FA8"/>
    <w:rsid w:val="0090165D"/>
    <w:rsid w:val="00901777"/>
    <w:rsid w:val="00901B03"/>
    <w:rsid w:val="00901DA4"/>
    <w:rsid w:val="00902A03"/>
    <w:rsid w:val="0090314A"/>
    <w:rsid w:val="00903431"/>
    <w:rsid w:val="0090359A"/>
    <w:rsid w:val="00903D22"/>
    <w:rsid w:val="009041F1"/>
    <w:rsid w:val="0090655B"/>
    <w:rsid w:val="00906C69"/>
    <w:rsid w:val="00907454"/>
    <w:rsid w:val="00907940"/>
    <w:rsid w:val="009102C1"/>
    <w:rsid w:val="00910C3E"/>
    <w:rsid w:val="0091111C"/>
    <w:rsid w:val="0091141E"/>
    <w:rsid w:val="00911D7E"/>
    <w:rsid w:val="00913656"/>
    <w:rsid w:val="00913712"/>
    <w:rsid w:val="00913A73"/>
    <w:rsid w:val="00913E76"/>
    <w:rsid w:val="00913F90"/>
    <w:rsid w:val="00914427"/>
    <w:rsid w:val="009146DD"/>
    <w:rsid w:val="00914F54"/>
    <w:rsid w:val="009151F0"/>
    <w:rsid w:val="00915A77"/>
    <w:rsid w:val="00916464"/>
    <w:rsid w:val="00916CEA"/>
    <w:rsid w:val="009173AF"/>
    <w:rsid w:val="00917FD5"/>
    <w:rsid w:val="00920372"/>
    <w:rsid w:val="00920FD1"/>
    <w:rsid w:val="00921253"/>
    <w:rsid w:val="009213E1"/>
    <w:rsid w:val="009219B4"/>
    <w:rsid w:val="00921C11"/>
    <w:rsid w:val="00921CE6"/>
    <w:rsid w:val="00921DD0"/>
    <w:rsid w:val="0092249D"/>
    <w:rsid w:val="00922A78"/>
    <w:rsid w:val="0092320B"/>
    <w:rsid w:val="00923F39"/>
    <w:rsid w:val="00924434"/>
    <w:rsid w:val="00924958"/>
    <w:rsid w:val="00925C50"/>
    <w:rsid w:val="00926088"/>
    <w:rsid w:val="009273DC"/>
    <w:rsid w:val="009279C8"/>
    <w:rsid w:val="00927E75"/>
    <w:rsid w:val="00930591"/>
    <w:rsid w:val="00930A15"/>
    <w:rsid w:val="00930C16"/>
    <w:rsid w:val="00931483"/>
    <w:rsid w:val="009317BA"/>
    <w:rsid w:val="009326D4"/>
    <w:rsid w:val="009327AB"/>
    <w:rsid w:val="009328F4"/>
    <w:rsid w:val="009330AF"/>
    <w:rsid w:val="0093382A"/>
    <w:rsid w:val="00933D94"/>
    <w:rsid w:val="00934969"/>
    <w:rsid w:val="00935653"/>
    <w:rsid w:val="00935865"/>
    <w:rsid w:val="00935AF7"/>
    <w:rsid w:val="009361DB"/>
    <w:rsid w:val="009362C7"/>
    <w:rsid w:val="009363D5"/>
    <w:rsid w:val="00936668"/>
    <w:rsid w:val="00937370"/>
    <w:rsid w:val="009374EC"/>
    <w:rsid w:val="00937946"/>
    <w:rsid w:val="009400AC"/>
    <w:rsid w:val="0094072F"/>
    <w:rsid w:val="00940D2E"/>
    <w:rsid w:val="0094103D"/>
    <w:rsid w:val="009421AF"/>
    <w:rsid w:val="00942C09"/>
    <w:rsid w:val="00943224"/>
    <w:rsid w:val="00943542"/>
    <w:rsid w:val="00943F64"/>
    <w:rsid w:val="00943FE7"/>
    <w:rsid w:val="009448E9"/>
    <w:rsid w:val="009448FE"/>
    <w:rsid w:val="009457A4"/>
    <w:rsid w:val="0094584A"/>
    <w:rsid w:val="00945DC4"/>
    <w:rsid w:val="00946495"/>
    <w:rsid w:val="00946F61"/>
    <w:rsid w:val="009470DB"/>
    <w:rsid w:val="00947B12"/>
    <w:rsid w:val="0095011A"/>
    <w:rsid w:val="009508AC"/>
    <w:rsid w:val="009509C1"/>
    <w:rsid w:val="00950C12"/>
    <w:rsid w:val="00950FDF"/>
    <w:rsid w:val="009511E3"/>
    <w:rsid w:val="009517C2"/>
    <w:rsid w:val="009531C9"/>
    <w:rsid w:val="009532C1"/>
    <w:rsid w:val="009533C1"/>
    <w:rsid w:val="009535D2"/>
    <w:rsid w:val="0095390D"/>
    <w:rsid w:val="009539BB"/>
    <w:rsid w:val="009547B2"/>
    <w:rsid w:val="00954AE8"/>
    <w:rsid w:val="00956515"/>
    <w:rsid w:val="009604C4"/>
    <w:rsid w:val="009615F5"/>
    <w:rsid w:val="009616B9"/>
    <w:rsid w:val="00961952"/>
    <w:rsid w:val="0096215F"/>
    <w:rsid w:val="00962E9C"/>
    <w:rsid w:val="009640E9"/>
    <w:rsid w:val="00964A39"/>
    <w:rsid w:val="00964C20"/>
    <w:rsid w:val="00964CF5"/>
    <w:rsid w:val="009650E6"/>
    <w:rsid w:val="00965418"/>
    <w:rsid w:val="00965FB3"/>
    <w:rsid w:val="0096619C"/>
    <w:rsid w:val="00966A6C"/>
    <w:rsid w:val="00966D8B"/>
    <w:rsid w:val="00966F38"/>
    <w:rsid w:val="009670B3"/>
    <w:rsid w:val="009705B9"/>
    <w:rsid w:val="00970827"/>
    <w:rsid w:val="009709F5"/>
    <w:rsid w:val="00970ADC"/>
    <w:rsid w:val="00970CAC"/>
    <w:rsid w:val="00971EEC"/>
    <w:rsid w:val="0097258A"/>
    <w:rsid w:val="009728CD"/>
    <w:rsid w:val="009733C4"/>
    <w:rsid w:val="00973B79"/>
    <w:rsid w:val="00973C0B"/>
    <w:rsid w:val="0097457A"/>
    <w:rsid w:val="00974F42"/>
    <w:rsid w:val="0097509E"/>
    <w:rsid w:val="009750AD"/>
    <w:rsid w:val="00975241"/>
    <w:rsid w:val="009752F0"/>
    <w:rsid w:val="0097562F"/>
    <w:rsid w:val="0097645A"/>
    <w:rsid w:val="009766A7"/>
    <w:rsid w:val="009767F9"/>
    <w:rsid w:val="00976F4D"/>
    <w:rsid w:val="009805F5"/>
    <w:rsid w:val="009810EB"/>
    <w:rsid w:val="0098128A"/>
    <w:rsid w:val="0098198E"/>
    <w:rsid w:val="009820C8"/>
    <w:rsid w:val="00982BD3"/>
    <w:rsid w:val="00982C8D"/>
    <w:rsid w:val="00984F27"/>
    <w:rsid w:val="00984FE1"/>
    <w:rsid w:val="00986271"/>
    <w:rsid w:val="009866A4"/>
    <w:rsid w:val="009868ED"/>
    <w:rsid w:val="0099026D"/>
    <w:rsid w:val="00990A8F"/>
    <w:rsid w:val="00990C9E"/>
    <w:rsid w:val="00991024"/>
    <w:rsid w:val="00991290"/>
    <w:rsid w:val="00991592"/>
    <w:rsid w:val="00991E83"/>
    <w:rsid w:val="00994615"/>
    <w:rsid w:val="00994941"/>
    <w:rsid w:val="00995A85"/>
    <w:rsid w:val="00995F5E"/>
    <w:rsid w:val="00996A42"/>
    <w:rsid w:val="00997BC3"/>
    <w:rsid w:val="00997CEA"/>
    <w:rsid w:val="009A0E18"/>
    <w:rsid w:val="009A0FBB"/>
    <w:rsid w:val="009A110B"/>
    <w:rsid w:val="009A1482"/>
    <w:rsid w:val="009A185F"/>
    <w:rsid w:val="009A1A6A"/>
    <w:rsid w:val="009A1BE9"/>
    <w:rsid w:val="009A1CD3"/>
    <w:rsid w:val="009A1F03"/>
    <w:rsid w:val="009A2469"/>
    <w:rsid w:val="009A258E"/>
    <w:rsid w:val="009A43C4"/>
    <w:rsid w:val="009A53A4"/>
    <w:rsid w:val="009A557F"/>
    <w:rsid w:val="009A55DE"/>
    <w:rsid w:val="009A564A"/>
    <w:rsid w:val="009A5A3D"/>
    <w:rsid w:val="009A5B03"/>
    <w:rsid w:val="009A628F"/>
    <w:rsid w:val="009A6B5F"/>
    <w:rsid w:val="009B0070"/>
    <w:rsid w:val="009B05B7"/>
    <w:rsid w:val="009B0717"/>
    <w:rsid w:val="009B0951"/>
    <w:rsid w:val="009B11D0"/>
    <w:rsid w:val="009B12DC"/>
    <w:rsid w:val="009B1324"/>
    <w:rsid w:val="009B1336"/>
    <w:rsid w:val="009B2780"/>
    <w:rsid w:val="009B2864"/>
    <w:rsid w:val="009B3498"/>
    <w:rsid w:val="009B378B"/>
    <w:rsid w:val="009B3929"/>
    <w:rsid w:val="009B43B5"/>
    <w:rsid w:val="009B4C59"/>
    <w:rsid w:val="009B4FD7"/>
    <w:rsid w:val="009B51CD"/>
    <w:rsid w:val="009B5BBC"/>
    <w:rsid w:val="009B61C9"/>
    <w:rsid w:val="009B67C3"/>
    <w:rsid w:val="009B6D58"/>
    <w:rsid w:val="009B7069"/>
    <w:rsid w:val="009B72A6"/>
    <w:rsid w:val="009C048E"/>
    <w:rsid w:val="009C060C"/>
    <w:rsid w:val="009C0A25"/>
    <w:rsid w:val="009C0CB1"/>
    <w:rsid w:val="009C0D41"/>
    <w:rsid w:val="009C104B"/>
    <w:rsid w:val="009C2376"/>
    <w:rsid w:val="009C2E3E"/>
    <w:rsid w:val="009C3626"/>
    <w:rsid w:val="009C39AC"/>
    <w:rsid w:val="009C41B7"/>
    <w:rsid w:val="009C481B"/>
    <w:rsid w:val="009C4A3F"/>
    <w:rsid w:val="009C5472"/>
    <w:rsid w:val="009C5A1E"/>
    <w:rsid w:val="009C5B11"/>
    <w:rsid w:val="009C5BE9"/>
    <w:rsid w:val="009C65EE"/>
    <w:rsid w:val="009C6904"/>
    <w:rsid w:val="009C6FBA"/>
    <w:rsid w:val="009C76A7"/>
    <w:rsid w:val="009C7E0A"/>
    <w:rsid w:val="009D0669"/>
    <w:rsid w:val="009D08E6"/>
    <w:rsid w:val="009D1202"/>
    <w:rsid w:val="009D25B9"/>
    <w:rsid w:val="009D2AAB"/>
    <w:rsid w:val="009D2FA5"/>
    <w:rsid w:val="009D40BC"/>
    <w:rsid w:val="009D4241"/>
    <w:rsid w:val="009D453A"/>
    <w:rsid w:val="009D61EC"/>
    <w:rsid w:val="009D6358"/>
    <w:rsid w:val="009D6436"/>
    <w:rsid w:val="009D7FB3"/>
    <w:rsid w:val="009E1385"/>
    <w:rsid w:val="009E2811"/>
    <w:rsid w:val="009E2A60"/>
    <w:rsid w:val="009E3769"/>
    <w:rsid w:val="009E4335"/>
    <w:rsid w:val="009E488E"/>
    <w:rsid w:val="009E4B7E"/>
    <w:rsid w:val="009E4DC0"/>
    <w:rsid w:val="009E5573"/>
    <w:rsid w:val="009E5693"/>
    <w:rsid w:val="009E631D"/>
    <w:rsid w:val="009E666E"/>
    <w:rsid w:val="009E6D5E"/>
    <w:rsid w:val="009E6D6E"/>
    <w:rsid w:val="009E7777"/>
    <w:rsid w:val="009E7EB7"/>
    <w:rsid w:val="009F044E"/>
    <w:rsid w:val="009F0756"/>
    <w:rsid w:val="009F0AC3"/>
    <w:rsid w:val="009F0CF3"/>
    <w:rsid w:val="009F1607"/>
    <w:rsid w:val="009F1699"/>
    <w:rsid w:val="009F1C3E"/>
    <w:rsid w:val="009F1D0A"/>
    <w:rsid w:val="009F1F5D"/>
    <w:rsid w:val="009F2ACC"/>
    <w:rsid w:val="009F2F3B"/>
    <w:rsid w:val="009F345F"/>
    <w:rsid w:val="009F4080"/>
    <w:rsid w:val="009F4C53"/>
    <w:rsid w:val="009F581F"/>
    <w:rsid w:val="009F5BAD"/>
    <w:rsid w:val="009F5E96"/>
    <w:rsid w:val="009F6106"/>
    <w:rsid w:val="009F7291"/>
    <w:rsid w:val="009F774E"/>
    <w:rsid w:val="009F7B33"/>
    <w:rsid w:val="009F7D94"/>
    <w:rsid w:val="009F7DEC"/>
    <w:rsid w:val="00A0147B"/>
    <w:rsid w:val="00A0159C"/>
    <w:rsid w:val="00A02505"/>
    <w:rsid w:val="00A029C9"/>
    <w:rsid w:val="00A02B53"/>
    <w:rsid w:val="00A03658"/>
    <w:rsid w:val="00A03A81"/>
    <w:rsid w:val="00A03CA8"/>
    <w:rsid w:val="00A03CEC"/>
    <w:rsid w:val="00A0443A"/>
    <w:rsid w:val="00A048D5"/>
    <w:rsid w:val="00A04E2B"/>
    <w:rsid w:val="00A04E53"/>
    <w:rsid w:val="00A06318"/>
    <w:rsid w:val="00A06E25"/>
    <w:rsid w:val="00A0715B"/>
    <w:rsid w:val="00A1070D"/>
    <w:rsid w:val="00A1102E"/>
    <w:rsid w:val="00A110A2"/>
    <w:rsid w:val="00A11CDF"/>
    <w:rsid w:val="00A12078"/>
    <w:rsid w:val="00A123A8"/>
    <w:rsid w:val="00A12ABD"/>
    <w:rsid w:val="00A12C90"/>
    <w:rsid w:val="00A13016"/>
    <w:rsid w:val="00A13872"/>
    <w:rsid w:val="00A13DD1"/>
    <w:rsid w:val="00A13E7B"/>
    <w:rsid w:val="00A13F4D"/>
    <w:rsid w:val="00A1528C"/>
    <w:rsid w:val="00A15934"/>
    <w:rsid w:val="00A15ABB"/>
    <w:rsid w:val="00A1611B"/>
    <w:rsid w:val="00A1679C"/>
    <w:rsid w:val="00A175B8"/>
    <w:rsid w:val="00A176FC"/>
    <w:rsid w:val="00A201B4"/>
    <w:rsid w:val="00A21227"/>
    <w:rsid w:val="00A21374"/>
    <w:rsid w:val="00A214F3"/>
    <w:rsid w:val="00A21DDD"/>
    <w:rsid w:val="00A220BB"/>
    <w:rsid w:val="00A222AC"/>
    <w:rsid w:val="00A2305E"/>
    <w:rsid w:val="00A230C4"/>
    <w:rsid w:val="00A231E3"/>
    <w:rsid w:val="00A236E8"/>
    <w:rsid w:val="00A23CC2"/>
    <w:rsid w:val="00A24330"/>
    <w:rsid w:val="00A2469E"/>
    <w:rsid w:val="00A24917"/>
    <w:rsid w:val="00A24E46"/>
    <w:rsid w:val="00A25A75"/>
    <w:rsid w:val="00A25D6E"/>
    <w:rsid w:val="00A265F1"/>
    <w:rsid w:val="00A273B6"/>
    <w:rsid w:val="00A27842"/>
    <w:rsid w:val="00A27B84"/>
    <w:rsid w:val="00A27E11"/>
    <w:rsid w:val="00A27F12"/>
    <w:rsid w:val="00A3002A"/>
    <w:rsid w:val="00A3027E"/>
    <w:rsid w:val="00A30B8E"/>
    <w:rsid w:val="00A315DB"/>
    <w:rsid w:val="00A3214F"/>
    <w:rsid w:val="00A327E3"/>
    <w:rsid w:val="00A327EB"/>
    <w:rsid w:val="00A32A00"/>
    <w:rsid w:val="00A32AD6"/>
    <w:rsid w:val="00A33633"/>
    <w:rsid w:val="00A33CD4"/>
    <w:rsid w:val="00A33D14"/>
    <w:rsid w:val="00A340FD"/>
    <w:rsid w:val="00A3430F"/>
    <w:rsid w:val="00A3497B"/>
    <w:rsid w:val="00A34B09"/>
    <w:rsid w:val="00A35581"/>
    <w:rsid w:val="00A35955"/>
    <w:rsid w:val="00A36880"/>
    <w:rsid w:val="00A368E3"/>
    <w:rsid w:val="00A3721E"/>
    <w:rsid w:val="00A400DE"/>
    <w:rsid w:val="00A4023F"/>
    <w:rsid w:val="00A40425"/>
    <w:rsid w:val="00A404E9"/>
    <w:rsid w:val="00A4060A"/>
    <w:rsid w:val="00A40818"/>
    <w:rsid w:val="00A40A30"/>
    <w:rsid w:val="00A40C92"/>
    <w:rsid w:val="00A41550"/>
    <w:rsid w:val="00A417E0"/>
    <w:rsid w:val="00A4192B"/>
    <w:rsid w:val="00A41F57"/>
    <w:rsid w:val="00A42A91"/>
    <w:rsid w:val="00A43183"/>
    <w:rsid w:val="00A431BE"/>
    <w:rsid w:val="00A446A6"/>
    <w:rsid w:val="00A44BD9"/>
    <w:rsid w:val="00A46038"/>
    <w:rsid w:val="00A4649B"/>
    <w:rsid w:val="00A465E2"/>
    <w:rsid w:val="00A4676F"/>
    <w:rsid w:val="00A4682C"/>
    <w:rsid w:val="00A46B4E"/>
    <w:rsid w:val="00A46EDD"/>
    <w:rsid w:val="00A47503"/>
    <w:rsid w:val="00A50056"/>
    <w:rsid w:val="00A5077B"/>
    <w:rsid w:val="00A512FB"/>
    <w:rsid w:val="00A51873"/>
    <w:rsid w:val="00A521B4"/>
    <w:rsid w:val="00A52596"/>
    <w:rsid w:val="00A531CA"/>
    <w:rsid w:val="00A53FB9"/>
    <w:rsid w:val="00A547DB"/>
    <w:rsid w:val="00A54BAE"/>
    <w:rsid w:val="00A54CEA"/>
    <w:rsid w:val="00A5555B"/>
    <w:rsid w:val="00A55B09"/>
    <w:rsid w:val="00A55C55"/>
    <w:rsid w:val="00A5608A"/>
    <w:rsid w:val="00A56569"/>
    <w:rsid w:val="00A5659B"/>
    <w:rsid w:val="00A565C9"/>
    <w:rsid w:val="00A568D5"/>
    <w:rsid w:val="00A56B85"/>
    <w:rsid w:val="00A57098"/>
    <w:rsid w:val="00A57294"/>
    <w:rsid w:val="00A5734E"/>
    <w:rsid w:val="00A57932"/>
    <w:rsid w:val="00A6055F"/>
    <w:rsid w:val="00A60823"/>
    <w:rsid w:val="00A60851"/>
    <w:rsid w:val="00A62226"/>
    <w:rsid w:val="00A626DE"/>
    <w:rsid w:val="00A62CEF"/>
    <w:rsid w:val="00A62ED1"/>
    <w:rsid w:val="00A630A7"/>
    <w:rsid w:val="00A63143"/>
    <w:rsid w:val="00A6361B"/>
    <w:rsid w:val="00A63D8D"/>
    <w:rsid w:val="00A66A2F"/>
    <w:rsid w:val="00A66C8A"/>
    <w:rsid w:val="00A671EF"/>
    <w:rsid w:val="00A70C23"/>
    <w:rsid w:val="00A70C2B"/>
    <w:rsid w:val="00A70DD1"/>
    <w:rsid w:val="00A710CD"/>
    <w:rsid w:val="00A717AE"/>
    <w:rsid w:val="00A71A60"/>
    <w:rsid w:val="00A71F39"/>
    <w:rsid w:val="00A71FAF"/>
    <w:rsid w:val="00A7228A"/>
    <w:rsid w:val="00A72EF2"/>
    <w:rsid w:val="00A73F17"/>
    <w:rsid w:val="00A754A6"/>
    <w:rsid w:val="00A754DC"/>
    <w:rsid w:val="00A75A57"/>
    <w:rsid w:val="00A75E66"/>
    <w:rsid w:val="00A76C4F"/>
    <w:rsid w:val="00A7706B"/>
    <w:rsid w:val="00A80362"/>
    <w:rsid w:val="00A8061C"/>
    <w:rsid w:val="00A813CA"/>
    <w:rsid w:val="00A813E3"/>
    <w:rsid w:val="00A818F6"/>
    <w:rsid w:val="00A81B2B"/>
    <w:rsid w:val="00A81CC3"/>
    <w:rsid w:val="00A82893"/>
    <w:rsid w:val="00A8342D"/>
    <w:rsid w:val="00A83C7B"/>
    <w:rsid w:val="00A84212"/>
    <w:rsid w:val="00A842E4"/>
    <w:rsid w:val="00A844CD"/>
    <w:rsid w:val="00A8582F"/>
    <w:rsid w:val="00A858D4"/>
    <w:rsid w:val="00A85A16"/>
    <w:rsid w:val="00A85C4E"/>
    <w:rsid w:val="00A85D04"/>
    <w:rsid w:val="00A865D8"/>
    <w:rsid w:val="00A868BF"/>
    <w:rsid w:val="00A87136"/>
    <w:rsid w:val="00A87B3E"/>
    <w:rsid w:val="00A87B56"/>
    <w:rsid w:val="00A87C7C"/>
    <w:rsid w:val="00A87D06"/>
    <w:rsid w:val="00A90232"/>
    <w:rsid w:val="00A905BA"/>
    <w:rsid w:val="00A90A84"/>
    <w:rsid w:val="00A912DF"/>
    <w:rsid w:val="00A92415"/>
    <w:rsid w:val="00A92658"/>
    <w:rsid w:val="00A926F6"/>
    <w:rsid w:val="00A92DB9"/>
    <w:rsid w:val="00A92E16"/>
    <w:rsid w:val="00A92E6F"/>
    <w:rsid w:val="00A932FD"/>
    <w:rsid w:val="00A935A3"/>
    <w:rsid w:val="00A93630"/>
    <w:rsid w:val="00A93EE6"/>
    <w:rsid w:val="00A942D1"/>
    <w:rsid w:val="00A94C35"/>
    <w:rsid w:val="00A95536"/>
    <w:rsid w:val="00A9581B"/>
    <w:rsid w:val="00A95914"/>
    <w:rsid w:val="00A968C6"/>
    <w:rsid w:val="00A96964"/>
    <w:rsid w:val="00A96F5C"/>
    <w:rsid w:val="00A9734C"/>
    <w:rsid w:val="00AA0584"/>
    <w:rsid w:val="00AA13D8"/>
    <w:rsid w:val="00AA147E"/>
    <w:rsid w:val="00AA16C7"/>
    <w:rsid w:val="00AA2858"/>
    <w:rsid w:val="00AA307A"/>
    <w:rsid w:val="00AA3138"/>
    <w:rsid w:val="00AA3386"/>
    <w:rsid w:val="00AA3408"/>
    <w:rsid w:val="00AA35A1"/>
    <w:rsid w:val="00AA3922"/>
    <w:rsid w:val="00AA3D1E"/>
    <w:rsid w:val="00AA45A6"/>
    <w:rsid w:val="00AA490B"/>
    <w:rsid w:val="00AA4C73"/>
    <w:rsid w:val="00AA51F1"/>
    <w:rsid w:val="00AA5458"/>
    <w:rsid w:val="00AA5659"/>
    <w:rsid w:val="00AA67FB"/>
    <w:rsid w:val="00AA683E"/>
    <w:rsid w:val="00AA7133"/>
    <w:rsid w:val="00AA76A8"/>
    <w:rsid w:val="00AB034E"/>
    <w:rsid w:val="00AB0A6F"/>
    <w:rsid w:val="00AB0BC1"/>
    <w:rsid w:val="00AB0DBB"/>
    <w:rsid w:val="00AB18EC"/>
    <w:rsid w:val="00AB3235"/>
    <w:rsid w:val="00AB4514"/>
    <w:rsid w:val="00AB554B"/>
    <w:rsid w:val="00AB5997"/>
    <w:rsid w:val="00AB6374"/>
    <w:rsid w:val="00AB6D09"/>
    <w:rsid w:val="00AB6DDD"/>
    <w:rsid w:val="00AB70DE"/>
    <w:rsid w:val="00AB78D5"/>
    <w:rsid w:val="00AC0EB1"/>
    <w:rsid w:val="00AC145B"/>
    <w:rsid w:val="00AC19BB"/>
    <w:rsid w:val="00AC21AE"/>
    <w:rsid w:val="00AC25C3"/>
    <w:rsid w:val="00AC306B"/>
    <w:rsid w:val="00AC3579"/>
    <w:rsid w:val="00AC400C"/>
    <w:rsid w:val="00AC4573"/>
    <w:rsid w:val="00AC4A47"/>
    <w:rsid w:val="00AC519E"/>
    <w:rsid w:val="00AC5A6A"/>
    <w:rsid w:val="00AC5AF2"/>
    <w:rsid w:val="00AC5B28"/>
    <w:rsid w:val="00AC5DC4"/>
    <w:rsid w:val="00AC6036"/>
    <w:rsid w:val="00AC622C"/>
    <w:rsid w:val="00AC6378"/>
    <w:rsid w:val="00AC6831"/>
    <w:rsid w:val="00AC70F7"/>
    <w:rsid w:val="00AC7393"/>
    <w:rsid w:val="00AC7AE6"/>
    <w:rsid w:val="00AD0210"/>
    <w:rsid w:val="00AD023C"/>
    <w:rsid w:val="00AD06E3"/>
    <w:rsid w:val="00AD0CFB"/>
    <w:rsid w:val="00AD13C3"/>
    <w:rsid w:val="00AD1678"/>
    <w:rsid w:val="00AD190B"/>
    <w:rsid w:val="00AD1A06"/>
    <w:rsid w:val="00AD1D2C"/>
    <w:rsid w:val="00AD27DF"/>
    <w:rsid w:val="00AD2A89"/>
    <w:rsid w:val="00AD2BC6"/>
    <w:rsid w:val="00AD2DE5"/>
    <w:rsid w:val="00AD3559"/>
    <w:rsid w:val="00AD39FE"/>
    <w:rsid w:val="00AD3EAE"/>
    <w:rsid w:val="00AD4551"/>
    <w:rsid w:val="00AD49DF"/>
    <w:rsid w:val="00AD6393"/>
    <w:rsid w:val="00AD6876"/>
    <w:rsid w:val="00AD6F7E"/>
    <w:rsid w:val="00AD705B"/>
    <w:rsid w:val="00AD73F1"/>
    <w:rsid w:val="00AD7A13"/>
    <w:rsid w:val="00AE0297"/>
    <w:rsid w:val="00AE03C5"/>
    <w:rsid w:val="00AE134E"/>
    <w:rsid w:val="00AE1C90"/>
    <w:rsid w:val="00AE1EF7"/>
    <w:rsid w:val="00AE2224"/>
    <w:rsid w:val="00AE22E7"/>
    <w:rsid w:val="00AE27AB"/>
    <w:rsid w:val="00AE2B3D"/>
    <w:rsid w:val="00AE2C85"/>
    <w:rsid w:val="00AE31D6"/>
    <w:rsid w:val="00AE39FA"/>
    <w:rsid w:val="00AE4752"/>
    <w:rsid w:val="00AE478C"/>
    <w:rsid w:val="00AE54FF"/>
    <w:rsid w:val="00AE5874"/>
    <w:rsid w:val="00AE59A0"/>
    <w:rsid w:val="00AE6222"/>
    <w:rsid w:val="00AE6C3A"/>
    <w:rsid w:val="00AE6C9D"/>
    <w:rsid w:val="00AE7300"/>
    <w:rsid w:val="00AE7733"/>
    <w:rsid w:val="00AE7B50"/>
    <w:rsid w:val="00AE7E5E"/>
    <w:rsid w:val="00AF084A"/>
    <w:rsid w:val="00AF0969"/>
    <w:rsid w:val="00AF0BC3"/>
    <w:rsid w:val="00AF154C"/>
    <w:rsid w:val="00AF2231"/>
    <w:rsid w:val="00AF23BA"/>
    <w:rsid w:val="00AF2726"/>
    <w:rsid w:val="00AF3573"/>
    <w:rsid w:val="00AF3578"/>
    <w:rsid w:val="00AF3742"/>
    <w:rsid w:val="00AF3EE9"/>
    <w:rsid w:val="00AF4693"/>
    <w:rsid w:val="00AF51E9"/>
    <w:rsid w:val="00AF5494"/>
    <w:rsid w:val="00AF5C2F"/>
    <w:rsid w:val="00AF5F11"/>
    <w:rsid w:val="00AF63C0"/>
    <w:rsid w:val="00AF6568"/>
    <w:rsid w:val="00AF6D2A"/>
    <w:rsid w:val="00AF70DB"/>
    <w:rsid w:val="00AF7722"/>
    <w:rsid w:val="00B0012A"/>
    <w:rsid w:val="00B00F22"/>
    <w:rsid w:val="00B01777"/>
    <w:rsid w:val="00B01C98"/>
    <w:rsid w:val="00B02999"/>
    <w:rsid w:val="00B0302C"/>
    <w:rsid w:val="00B0421E"/>
    <w:rsid w:val="00B04267"/>
    <w:rsid w:val="00B04594"/>
    <w:rsid w:val="00B04973"/>
    <w:rsid w:val="00B04F4F"/>
    <w:rsid w:val="00B0564E"/>
    <w:rsid w:val="00B056AE"/>
    <w:rsid w:val="00B05B41"/>
    <w:rsid w:val="00B063C7"/>
    <w:rsid w:val="00B0768D"/>
    <w:rsid w:val="00B078E1"/>
    <w:rsid w:val="00B07EF2"/>
    <w:rsid w:val="00B10119"/>
    <w:rsid w:val="00B109BA"/>
    <w:rsid w:val="00B10A3E"/>
    <w:rsid w:val="00B1128C"/>
    <w:rsid w:val="00B115A6"/>
    <w:rsid w:val="00B11706"/>
    <w:rsid w:val="00B1178F"/>
    <w:rsid w:val="00B12491"/>
    <w:rsid w:val="00B1275B"/>
    <w:rsid w:val="00B12A93"/>
    <w:rsid w:val="00B12E63"/>
    <w:rsid w:val="00B134F4"/>
    <w:rsid w:val="00B142AC"/>
    <w:rsid w:val="00B14BDA"/>
    <w:rsid w:val="00B14C5D"/>
    <w:rsid w:val="00B15885"/>
    <w:rsid w:val="00B15C02"/>
    <w:rsid w:val="00B17CBD"/>
    <w:rsid w:val="00B17FAA"/>
    <w:rsid w:val="00B200A7"/>
    <w:rsid w:val="00B20E57"/>
    <w:rsid w:val="00B214FE"/>
    <w:rsid w:val="00B21812"/>
    <w:rsid w:val="00B21B18"/>
    <w:rsid w:val="00B2236D"/>
    <w:rsid w:val="00B2267D"/>
    <w:rsid w:val="00B22ACD"/>
    <w:rsid w:val="00B22C0A"/>
    <w:rsid w:val="00B233B0"/>
    <w:rsid w:val="00B2383C"/>
    <w:rsid w:val="00B238C6"/>
    <w:rsid w:val="00B2393F"/>
    <w:rsid w:val="00B23A04"/>
    <w:rsid w:val="00B246D8"/>
    <w:rsid w:val="00B24C85"/>
    <w:rsid w:val="00B2531F"/>
    <w:rsid w:val="00B253AB"/>
    <w:rsid w:val="00B25494"/>
    <w:rsid w:val="00B2563E"/>
    <w:rsid w:val="00B25842"/>
    <w:rsid w:val="00B25E19"/>
    <w:rsid w:val="00B26E05"/>
    <w:rsid w:val="00B27290"/>
    <w:rsid w:val="00B27B1E"/>
    <w:rsid w:val="00B27D38"/>
    <w:rsid w:val="00B27EA6"/>
    <w:rsid w:val="00B27F9E"/>
    <w:rsid w:val="00B30310"/>
    <w:rsid w:val="00B306BF"/>
    <w:rsid w:val="00B30A89"/>
    <w:rsid w:val="00B3175C"/>
    <w:rsid w:val="00B31A33"/>
    <w:rsid w:val="00B31B01"/>
    <w:rsid w:val="00B31D60"/>
    <w:rsid w:val="00B32073"/>
    <w:rsid w:val="00B3238C"/>
    <w:rsid w:val="00B32F68"/>
    <w:rsid w:val="00B34134"/>
    <w:rsid w:val="00B342C3"/>
    <w:rsid w:val="00B3448C"/>
    <w:rsid w:val="00B346B9"/>
    <w:rsid w:val="00B3475D"/>
    <w:rsid w:val="00B34E9C"/>
    <w:rsid w:val="00B352DF"/>
    <w:rsid w:val="00B352E9"/>
    <w:rsid w:val="00B35A9F"/>
    <w:rsid w:val="00B35B8A"/>
    <w:rsid w:val="00B35D39"/>
    <w:rsid w:val="00B36228"/>
    <w:rsid w:val="00B36E8A"/>
    <w:rsid w:val="00B37B17"/>
    <w:rsid w:val="00B4072F"/>
    <w:rsid w:val="00B408EB"/>
    <w:rsid w:val="00B40B76"/>
    <w:rsid w:val="00B40C2D"/>
    <w:rsid w:val="00B412D2"/>
    <w:rsid w:val="00B41400"/>
    <w:rsid w:val="00B41835"/>
    <w:rsid w:val="00B42472"/>
    <w:rsid w:val="00B42A61"/>
    <w:rsid w:val="00B42AB3"/>
    <w:rsid w:val="00B42CAA"/>
    <w:rsid w:val="00B42ED9"/>
    <w:rsid w:val="00B43258"/>
    <w:rsid w:val="00B43F07"/>
    <w:rsid w:val="00B44A2D"/>
    <w:rsid w:val="00B44D8E"/>
    <w:rsid w:val="00B46AC9"/>
    <w:rsid w:val="00B476DA"/>
    <w:rsid w:val="00B47E0F"/>
    <w:rsid w:val="00B50056"/>
    <w:rsid w:val="00B5020E"/>
    <w:rsid w:val="00B50707"/>
    <w:rsid w:val="00B50958"/>
    <w:rsid w:val="00B50A7B"/>
    <w:rsid w:val="00B51382"/>
    <w:rsid w:val="00B51486"/>
    <w:rsid w:val="00B51816"/>
    <w:rsid w:val="00B5185B"/>
    <w:rsid w:val="00B5194A"/>
    <w:rsid w:val="00B52067"/>
    <w:rsid w:val="00B52478"/>
    <w:rsid w:val="00B5267B"/>
    <w:rsid w:val="00B5333A"/>
    <w:rsid w:val="00B5368F"/>
    <w:rsid w:val="00B53F9B"/>
    <w:rsid w:val="00B541AA"/>
    <w:rsid w:val="00B54A18"/>
    <w:rsid w:val="00B54E68"/>
    <w:rsid w:val="00B55C98"/>
    <w:rsid w:val="00B56180"/>
    <w:rsid w:val="00B5678C"/>
    <w:rsid w:val="00B56ACD"/>
    <w:rsid w:val="00B56CB2"/>
    <w:rsid w:val="00B56D84"/>
    <w:rsid w:val="00B57794"/>
    <w:rsid w:val="00B60427"/>
    <w:rsid w:val="00B61045"/>
    <w:rsid w:val="00B6136A"/>
    <w:rsid w:val="00B61B01"/>
    <w:rsid w:val="00B61CAA"/>
    <w:rsid w:val="00B62035"/>
    <w:rsid w:val="00B620F0"/>
    <w:rsid w:val="00B624CA"/>
    <w:rsid w:val="00B63073"/>
    <w:rsid w:val="00B63670"/>
    <w:rsid w:val="00B639B6"/>
    <w:rsid w:val="00B63B9C"/>
    <w:rsid w:val="00B63BDE"/>
    <w:rsid w:val="00B641A8"/>
    <w:rsid w:val="00B64872"/>
    <w:rsid w:val="00B65CAB"/>
    <w:rsid w:val="00B70361"/>
    <w:rsid w:val="00B70EDE"/>
    <w:rsid w:val="00B7101E"/>
    <w:rsid w:val="00B71878"/>
    <w:rsid w:val="00B718D0"/>
    <w:rsid w:val="00B71C64"/>
    <w:rsid w:val="00B71E0D"/>
    <w:rsid w:val="00B71F1E"/>
    <w:rsid w:val="00B722B8"/>
    <w:rsid w:val="00B72778"/>
    <w:rsid w:val="00B7369A"/>
    <w:rsid w:val="00B73D84"/>
    <w:rsid w:val="00B74D5A"/>
    <w:rsid w:val="00B74F00"/>
    <w:rsid w:val="00B75BD9"/>
    <w:rsid w:val="00B75EB3"/>
    <w:rsid w:val="00B76574"/>
    <w:rsid w:val="00B76664"/>
    <w:rsid w:val="00B76669"/>
    <w:rsid w:val="00B77309"/>
    <w:rsid w:val="00B77481"/>
    <w:rsid w:val="00B77A7F"/>
    <w:rsid w:val="00B77BCC"/>
    <w:rsid w:val="00B8123A"/>
    <w:rsid w:val="00B81EA1"/>
    <w:rsid w:val="00B823B7"/>
    <w:rsid w:val="00B82A45"/>
    <w:rsid w:val="00B82DC6"/>
    <w:rsid w:val="00B8308C"/>
    <w:rsid w:val="00B8308F"/>
    <w:rsid w:val="00B83ED2"/>
    <w:rsid w:val="00B8403B"/>
    <w:rsid w:val="00B84928"/>
    <w:rsid w:val="00B85433"/>
    <w:rsid w:val="00B86226"/>
    <w:rsid w:val="00B873C1"/>
    <w:rsid w:val="00B91A81"/>
    <w:rsid w:val="00B9211E"/>
    <w:rsid w:val="00B92865"/>
    <w:rsid w:val="00B928CB"/>
    <w:rsid w:val="00B92937"/>
    <w:rsid w:val="00B92F05"/>
    <w:rsid w:val="00B939C9"/>
    <w:rsid w:val="00B93CDA"/>
    <w:rsid w:val="00B9425D"/>
    <w:rsid w:val="00B94402"/>
    <w:rsid w:val="00B947E0"/>
    <w:rsid w:val="00B959C1"/>
    <w:rsid w:val="00B95F9C"/>
    <w:rsid w:val="00B9654A"/>
    <w:rsid w:val="00B96DEE"/>
    <w:rsid w:val="00B97835"/>
    <w:rsid w:val="00BA04BC"/>
    <w:rsid w:val="00BA0BFE"/>
    <w:rsid w:val="00BA0E05"/>
    <w:rsid w:val="00BA132B"/>
    <w:rsid w:val="00BA26FA"/>
    <w:rsid w:val="00BA29AD"/>
    <w:rsid w:val="00BA2AD9"/>
    <w:rsid w:val="00BA2F8F"/>
    <w:rsid w:val="00BA3017"/>
    <w:rsid w:val="00BA309F"/>
    <w:rsid w:val="00BA35B1"/>
    <w:rsid w:val="00BA3C05"/>
    <w:rsid w:val="00BA4199"/>
    <w:rsid w:val="00BA41F5"/>
    <w:rsid w:val="00BA4C48"/>
    <w:rsid w:val="00BA4C59"/>
    <w:rsid w:val="00BA4E78"/>
    <w:rsid w:val="00BA563A"/>
    <w:rsid w:val="00BA58FF"/>
    <w:rsid w:val="00BA782B"/>
    <w:rsid w:val="00BA7B2E"/>
    <w:rsid w:val="00BA7BF4"/>
    <w:rsid w:val="00BA7CA3"/>
    <w:rsid w:val="00BB0142"/>
    <w:rsid w:val="00BB0412"/>
    <w:rsid w:val="00BB0496"/>
    <w:rsid w:val="00BB061E"/>
    <w:rsid w:val="00BB09F7"/>
    <w:rsid w:val="00BB0F3A"/>
    <w:rsid w:val="00BB1323"/>
    <w:rsid w:val="00BB2674"/>
    <w:rsid w:val="00BB2ECE"/>
    <w:rsid w:val="00BB37EB"/>
    <w:rsid w:val="00BB3976"/>
    <w:rsid w:val="00BB3D1E"/>
    <w:rsid w:val="00BB3D84"/>
    <w:rsid w:val="00BB44D5"/>
    <w:rsid w:val="00BB49B1"/>
    <w:rsid w:val="00BB4D99"/>
    <w:rsid w:val="00BB6BBD"/>
    <w:rsid w:val="00BB6C8C"/>
    <w:rsid w:val="00BB6CB7"/>
    <w:rsid w:val="00BB725E"/>
    <w:rsid w:val="00BB766B"/>
    <w:rsid w:val="00BB7E28"/>
    <w:rsid w:val="00BC0C7F"/>
    <w:rsid w:val="00BC1700"/>
    <w:rsid w:val="00BC1B30"/>
    <w:rsid w:val="00BC1EE8"/>
    <w:rsid w:val="00BC1F14"/>
    <w:rsid w:val="00BC34F2"/>
    <w:rsid w:val="00BC4147"/>
    <w:rsid w:val="00BC4CAC"/>
    <w:rsid w:val="00BC4E78"/>
    <w:rsid w:val="00BC5634"/>
    <w:rsid w:val="00BC5FA5"/>
    <w:rsid w:val="00BC6594"/>
    <w:rsid w:val="00BC6608"/>
    <w:rsid w:val="00BC7498"/>
    <w:rsid w:val="00BD0667"/>
    <w:rsid w:val="00BD0915"/>
    <w:rsid w:val="00BD13CC"/>
    <w:rsid w:val="00BD2355"/>
    <w:rsid w:val="00BD23FD"/>
    <w:rsid w:val="00BD2B13"/>
    <w:rsid w:val="00BD2B67"/>
    <w:rsid w:val="00BD3127"/>
    <w:rsid w:val="00BD32C8"/>
    <w:rsid w:val="00BD34D3"/>
    <w:rsid w:val="00BD38B8"/>
    <w:rsid w:val="00BD3ACB"/>
    <w:rsid w:val="00BD40AE"/>
    <w:rsid w:val="00BD427D"/>
    <w:rsid w:val="00BD534E"/>
    <w:rsid w:val="00BD54AD"/>
    <w:rsid w:val="00BD5BAD"/>
    <w:rsid w:val="00BD5D5C"/>
    <w:rsid w:val="00BD6B5E"/>
    <w:rsid w:val="00BD7717"/>
    <w:rsid w:val="00BE0434"/>
    <w:rsid w:val="00BE0DC5"/>
    <w:rsid w:val="00BE1722"/>
    <w:rsid w:val="00BE19A4"/>
    <w:rsid w:val="00BE1BFD"/>
    <w:rsid w:val="00BE2716"/>
    <w:rsid w:val="00BE2905"/>
    <w:rsid w:val="00BE2EAA"/>
    <w:rsid w:val="00BE375F"/>
    <w:rsid w:val="00BE38F0"/>
    <w:rsid w:val="00BE397C"/>
    <w:rsid w:val="00BE5C44"/>
    <w:rsid w:val="00BE6106"/>
    <w:rsid w:val="00BE7480"/>
    <w:rsid w:val="00BE7970"/>
    <w:rsid w:val="00BF0380"/>
    <w:rsid w:val="00BF042A"/>
    <w:rsid w:val="00BF0508"/>
    <w:rsid w:val="00BF0E70"/>
    <w:rsid w:val="00BF0F42"/>
    <w:rsid w:val="00BF1778"/>
    <w:rsid w:val="00BF2121"/>
    <w:rsid w:val="00BF2A86"/>
    <w:rsid w:val="00BF320D"/>
    <w:rsid w:val="00BF346A"/>
    <w:rsid w:val="00BF39A9"/>
    <w:rsid w:val="00BF4D87"/>
    <w:rsid w:val="00BF5543"/>
    <w:rsid w:val="00BF6305"/>
    <w:rsid w:val="00BF6591"/>
    <w:rsid w:val="00BF6B35"/>
    <w:rsid w:val="00BF6C9B"/>
    <w:rsid w:val="00BF6CA5"/>
    <w:rsid w:val="00BF6DAB"/>
    <w:rsid w:val="00BF74F6"/>
    <w:rsid w:val="00BF77DC"/>
    <w:rsid w:val="00BF7971"/>
    <w:rsid w:val="00BF7975"/>
    <w:rsid w:val="00BF7FE3"/>
    <w:rsid w:val="00C00B31"/>
    <w:rsid w:val="00C0143F"/>
    <w:rsid w:val="00C01CE8"/>
    <w:rsid w:val="00C01E06"/>
    <w:rsid w:val="00C02B4B"/>
    <w:rsid w:val="00C03741"/>
    <w:rsid w:val="00C03CA9"/>
    <w:rsid w:val="00C03D45"/>
    <w:rsid w:val="00C04828"/>
    <w:rsid w:val="00C049C5"/>
    <w:rsid w:val="00C04B44"/>
    <w:rsid w:val="00C04D31"/>
    <w:rsid w:val="00C052D8"/>
    <w:rsid w:val="00C05D76"/>
    <w:rsid w:val="00C05FA2"/>
    <w:rsid w:val="00C109D3"/>
    <w:rsid w:val="00C10D63"/>
    <w:rsid w:val="00C11197"/>
    <w:rsid w:val="00C11688"/>
    <w:rsid w:val="00C11D42"/>
    <w:rsid w:val="00C12811"/>
    <w:rsid w:val="00C12B5D"/>
    <w:rsid w:val="00C1302A"/>
    <w:rsid w:val="00C1310F"/>
    <w:rsid w:val="00C13160"/>
    <w:rsid w:val="00C131B6"/>
    <w:rsid w:val="00C1324E"/>
    <w:rsid w:val="00C142E0"/>
    <w:rsid w:val="00C1448B"/>
    <w:rsid w:val="00C1520B"/>
    <w:rsid w:val="00C1520F"/>
    <w:rsid w:val="00C154CC"/>
    <w:rsid w:val="00C15764"/>
    <w:rsid w:val="00C16035"/>
    <w:rsid w:val="00C165C3"/>
    <w:rsid w:val="00C16B89"/>
    <w:rsid w:val="00C17C4D"/>
    <w:rsid w:val="00C17FAA"/>
    <w:rsid w:val="00C207B1"/>
    <w:rsid w:val="00C21940"/>
    <w:rsid w:val="00C221B4"/>
    <w:rsid w:val="00C22477"/>
    <w:rsid w:val="00C2309F"/>
    <w:rsid w:val="00C233C9"/>
    <w:rsid w:val="00C2379C"/>
    <w:rsid w:val="00C23D80"/>
    <w:rsid w:val="00C242BC"/>
    <w:rsid w:val="00C248A0"/>
    <w:rsid w:val="00C24F7C"/>
    <w:rsid w:val="00C25E6F"/>
    <w:rsid w:val="00C25F41"/>
    <w:rsid w:val="00C3077D"/>
    <w:rsid w:val="00C31974"/>
    <w:rsid w:val="00C322CD"/>
    <w:rsid w:val="00C32A48"/>
    <w:rsid w:val="00C3361E"/>
    <w:rsid w:val="00C34ED9"/>
    <w:rsid w:val="00C35D58"/>
    <w:rsid w:val="00C3611A"/>
    <w:rsid w:val="00C36276"/>
    <w:rsid w:val="00C3636C"/>
    <w:rsid w:val="00C36A7F"/>
    <w:rsid w:val="00C370F5"/>
    <w:rsid w:val="00C37863"/>
    <w:rsid w:val="00C403EF"/>
    <w:rsid w:val="00C40581"/>
    <w:rsid w:val="00C4070F"/>
    <w:rsid w:val="00C407B2"/>
    <w:rsid w:val="00C4087C"/>
    <w:rsid w:val="00C41225"/>
    <w:rsid w:val="00C4252F"/>
    <w:rsid w:val="00C42729"/>
    <w:rsid w:val="00C42814"/>
    <w:rsid w:val="00C42DCE"/>
    <w:rsid w:val="00C42E85"/>
    <w:rsid w:val="00C4333E"/>
    <w:rsid w:val="00C43491"/>
    <w:rsid w:val="00C44F23"/>
    <w:rsid w:val="00C453FE"/>
    <w:rsid w:val="00C4548F"/>
    <w:rsid w:val="00C45790"/>
    <w:rsid w:val="00C45B08"/>
    <w:rsid w:val="00C45C13"/>
    <w:rsid w:val="00C46D16"/>
    <w:rsid w:val="00C47DAC"/>
    <w:rsid w:val="00C50067"/>
    <w:rsid w:val="00C50819"/>
    <w:rsid w:val="00C513E7"/>
    <w:rsid w:val="00C51752"/>
    <w:rsid w:val="00C517EF"/>
    <w:rsid w:val="00C52049"/>
    <w:rsid w:val="00C520DD"/>
    <w:rsid w:val="00C520EC"/>
    <w:rsid w:val="00C521A6"/>
    <w:rsid w:val="00C52D0B"/>
    <w:rsid w:val="00C53112"/>
    <w:rsid w:val="00C53A9D"/>
    <w:rsid w:val="00C53D5C"/>
    <w:rsid w:val="00C55ACA"/>
    <w:rsid w:val="00C566E9"/>
    <w:rsid w:val="00C5693A"/>
    <w:rsid w:val="00C5730B"/>
    <w:rsid w:val="00C5765A"/>
    <w:rsid w:val="00C57973"/>
    <w:rsid w:val="00C579D3"/>
    <w:rsid w:val="00C579E4"/>
    <w:rsid w:val="00C57CF1"/>
    <w:rsid w:val="00C57E8B"/>
    <w:rsid w:val="00C57FFA"/>
    <w:rsid w:val="00C60096"/>
    <w:rsid w:val="00C6077B"/>
    <w:rsid w:val="00C6084D"/>
    <w:rsid w:val="00C60C01"/>
    <w:rsid w:val="00C6106D"/>
    <w:rsid w:val="00C6160B"/>
    <w:rsid w:val="00C61F20"/>
    <w:rsid w:val="00C61FF2"/>
    <w:rsid w:val="00C6200A"/>
    <w:rsid w:val="00C6234F"/>
    <w:rsid w:val="00C62433"/>
    <w:rsid w:val="00C62678"/>
    <w:rsid w:val="00C63427"/>
    <w:rsid w:val="00C6342B"/>
    <w:rsid w:val="00C6353A"/>
    <w:rsid w:val="00C637E4"/>
    <w:rsid w:val="00C6423A"/>
    <w:rsid w:val="00C64623"/>
    <w:rsid w:val="00C6465F"/>
    <w:rsid w:val="00C65612"/>
    <w:rsid w:val="00C65639"/>
    <w:rsid w:val="00C656C2"/>
    <w:rsid w:val="00C669BC"/>
    <w:rsid w:val="00C66ED4"/>
    <w:rsid w:val="00C67023"/>
    <w:rsid w:val="00C6753F"/>
    <w:rsid w:val="00C67634"/>
    <w:rsid w:val="00C707C6"/>
    <w:rsid w:val="00C70D0A"/>
    <w:rsid w:val="00C71010"/>
    <w:rsid w:val="00C7153C"/>
    <w:rsid w:val="00C71792"/>
    <w:rsid w:val="00C71876"/>
    <w:rsid w:val="00C71B03"/>
    <w:rsid w:val="00C71D7E"/>
    <w:rsid w:val="00C72390"/>
    <w:rsid w:val="00C72734"/>
    <w:rsid w:val="00C72B25"/>
    <w:rsid w:val="00C72BFB"/>
    <w:rsid w:val="00C72F27"/>
    <w:rsid w:val="00C73304"/>
    <w:rsid w:val="00C74292"/>
    <w:rsid w:val="00C7461D"/>
    <w:rsid w:val="00C7503E"/>
    <w:rsid w:val="00C75AC0"/>
    <w:rsid w:val="00C75ED4"/>
    <w:rsid w:val="00C7608E"/>
    <w:rsid w:val="00C7621C"/>
    <w:rsid w:val="00C768FA"/>
    <w:rsid w:val="00C769A7"/>
    <w:rsid w:val="00C76EA0"/>
    <w:rsid w:val="00C774DF"/>
    <w:rsid w:val="00C77701"/>
    <w:rsid w:val="00C77DF6"/>
    <w:rsid w:val="00C80076"/>
    <w:rsid w:val="00C8027A"/>
    <w:rsid w:val="00C80B05"/>
    <w:rsid w:val="00C81556"/>
    <w:rsid w:val="00C81561"/>
    <w:rsid w:val="00C8193A"/>
    <w:rsid w:val="00C84C3F"/>
    <w:rsid w:val="00C8562B"/>
    <w:rsid w:val="00C8595E"/>
    <w:rsid w:val="00C86186"/>
    <w:rsid w:val="00C86A42"/>
    <w:rsid w:val="00C905CA"/>
    <w:rsid w:val="00C9134B"/>
    <w:rsid w:val="00C91EBD"/>
    <w:rsid w:val="00C9228C"/>
    <w:rsid w:val="00C933A4"/>
    <w:rsid w:val="00C93ADC"/>
    <w:rsid w:val="00C93BFA"/>
    <w:rsid w:val="00C93EDF"/>
    <w:rsid w:val="00C9403E"/>
    <w:rsid w:val="00C94DA7"/>
    <w:rsid w:val="00C95070"/>
    <w:rsid w:val="00C95D0C"/>
    <w:rsid w:val="00C96413"/>
    <w:rsid w:val="00C96441"/>
    <w:rsid w:val="00C969D4"/>
    <w:rsid w:val="00C96E23"/>
    <w:rsid w:val="00C97026"/>
    <w:rsid w:val="00CA0C03"/>
    <w:rsid w:val="00CA1A50"/>
    <w:rsid w:val="00CA1FE5"/>
    <w:rsid w:val="00CA2332"/>
    <w:rsid w:val="00CA2B5E"/>
    <w:rsid w:val="00CA3282"/>
    <w:rsid w:val="00CA3F15"/>
    <w:rsid w:val="00CA4069"/>
    <w:rsid w:val="00CA463E"/>
    <w:rsid w:val="00CA4CC9"/>
    <w:rsid w:val="00CA54B9"/>
    <w:rsid w:val="00CA55ED"/>
    <w:rsid w:val="00CA7B84"/>
    <w:rsid w:val="00CB213F"/>
    <w:rsid w:val="00CB29F5"/>
    <w:rsid w:val="00CB3AF2"/>
    <w:rsid w:val="00CB3BAF"/>
    <w:rsid w:val="00CB4678"/>
    <w:rsid w:val="00CB502B"/>
    <w:rsid w:val="00CB62A2"/>
    <w:rsid w:val="00CB6910"/>
    <w:rsid w:val="00CB72F6"/>
    <w:rsid w:val="00CB7937"/>
    <w:rsid w:val="00CC0BC2"/>
    <w:rsid w:val="00CC11BF"/>
    <w:rsid w:val="00CC183B"/>
    <w:rsid w:val="00CC2207"/>
    <w:rsid w:val="00CC2481"/>
    <w:rsid w:val="00CC2CE9"/>
    <w:rsid w:val="00CC2DC1"/>
    <w:rsid w:val="00CC3943"/>
    <w:rsid w:val="00CC3D05"/>
    <w:rsid w:val="00CC3E66"/>
    <w:rsid w:val="00CC3FD6"/>
    <w:rsid w:val="00CC498D"/>
    <w:rsid w:val="00CC4ADE"/>
    <w:rsid w:val="00CC4B07"/>
    <w:rsid w:val="00CC5303"/>
    <w:rsid w:val="00CC5B23"/>
    <w:rsid w:val="00CC616B"/>
    <w:rsid w:val="00CC6355"/>
    <w:rsid w:val="00CC65E6"/>
    <w:rsid w:val="00CC690E"/>
    <w:rsid w:val="00CC6E0C"/>
    <w:rsid w:val="00CC7AD2"/>
    <w:rsid w:val="00CC7B20"/>
    <w:rsid w:val="00CD0A84"/>
    <w:rsid w:val="00CD0C78"/>
    <w:rsid w:val="00CD0EC1"/>
    <w:rsid w:val="00CD0F06"/>
    <w:rsid w:val="00CD1528"/>
    <w:rsid w:val="00CD1C33"/>
    <w:rsid w:val="00CD219F"/>
    <w:rsid w:val="00CD25D3"/>
    <w:rsid w:val="00CD3C59"/>
    <w:rsid w:val="00CD4B88"/>
    <w:rsid w:val="00CD4CF6"/>
    <w:rsid w:val="00CD5717"/>
    <w:rsid w:val="00CD5ABC"/>
    <w:rsid w:val="00CD665E"/>
    <w:rsid w:val="00CD6879"/>
    <w:rsid w:val="00CD6B7B"/>
    <w:rsid w:val="00CD6DDC"/>
    <w:rsid w:val="00CD7164"/>
    <w:rsid w:val="00CD7618"/>
    <w:rsid w:val="00CD79A2"/>
    <w:rsid w:val="00CD7FA3"/>
    <w:rsid w:val="00CE0690"/>
    <w:rsid w:val="00CE0C3F"/>
    <w:rsid w:val="00CE1982"/>
    <w:rsid w:val="00CE2ADF"/>
    <w:rsid w:val="00CE3721"/>
    <w:rsid w:val="00CE3ACD"/>
    <w:rsid w:val="00CE3B7D"/>
    <w:rsid w:val="00CE42A5"/>
    <w:rsid w:val="00CE4A6F"/>
    <w:rsid w:val="00CE5501"/>
    <w:rsid w:val="00CE5C3F"/>
    <w:rsid w:val="00CE5EBE"/>
    <w:rsid w:val="00CE604F"/>
    <w:rsid w:val="00CE60E6"/>
    <w:rsid w:val="00CE6487"/>
    <w:rsid w:val="00CE69DD"/>
    <w:rsid w:val="00CE7CF9"/>
    <w:rsid w:val="00CF02B8"/>
    <w:rsid w:val="00CF036E"/>
    <w:rsid w:val="00CF13DF"/>
    <w:rsid w:val="00CF1703"/>
    <w:rsid w:val="00CF1815"/>
    <w:rsid w:val="00CF1A17"/>
    <w:rsid w:val="00CF1A74"/>
    <w:rsid w:val="00CF1E4E"/>
    <w:rsid w:val="00CF24E0"/>
    <w:rsid w:val="00CF5091"/>
    <w:rsid w:val="00CF52C3"/>
    <w:rsid w:val="00CF64F6"/>
    <w:rsid w:val="00CF6907"/>
    <w:rsid w:val="00CF6D6E"/>
    <w:rsid w:val="00CF6DD0"/>
    <w:rsid w:val="00CF760A"/>
    <w:rsid w:val="00CF7735"/>
    <w:rsid w:val="00CF77E0"/>
    <w:rsid w:val="00CF7A4A"/>
    <w:rsid w:val="00CF7DB3"/>
    <w:rsid w:val="00CF7E55"/>
    <w:rsid w:val="00D0033F"/>
    <w:rsid w:val="00D00F5A"/>
    <w:rsid w:val="00D0133F"/>
    <w:rsid w:val="00D01BC8"/>
    <w:rsid w:val="00D0215F"/>
    <w:rsid w:val="00D02BE2"/>
    <w:rsid w:val="00D02CA2"/>
    <w:rsid w:val="00D03493"/>
    <w:rsid w:val="00D037C9"/>
    <w:rsid w:val="00D038A8"/>
    <w:rsid w:val="00D044D0"/>
    <w:rsid w:val="00D04DEE"/>
    <w:rsid w:val="00D04F14"/>
    <w:rsid w:val="00D061D2"/>
    <w:rsid w:val="00D062AB"/>
    <w:rsid w:val="00D06DFF"/>
    <w:rsid w:val="00D06F5A"/>
    <w:rsid w:val="00D0727F"/>
    <w:rsid w:val="00D1091D"/>
    <w:rsid w:val="00D1166D"/>
    <w:rsid w:val="00D11727"/>
    <w:rsid w:val="00D11896"/>
    <w:rsid w:val="00D11E28"/>
    <w:rsid w:val="00D11F9F"/>
    <w:rsid w:val="00D124D1"/>
    <w:rsid w:val="00D1267A"/>
    <w:rsid w:val="00D127DA"/>
    <w:rsid w:val="00D1299B"/>
    <w:rsid w:val="00D12C9C"/>
    <w:rsid w:val="00D1362A"/>
    <w:rsid w:val="00D13856"/>
    <w:rsid w:val="00D138F4"/>
    <w:rsid w:val="00D13946"/>
    <w:rsid w:val="00D13A6A"/>
    <w:rsid w:val="00D13F69"/>
    <w:rsid w:val="00D14046"/>
    <w:rsid w:val="00D142E4"/>
    <w:rsid w:val="00D14337"/>
    <w:rsid w:val="00D144B7"/>
    <w:rsid w:val="00D14508"/>
    <w:rsid w:val="00D14B2D"/>
    <w:rsid w:val="00D14F26"/>
    <w:rsid w:val="00D15F99"/>
    <w:rsid w:val="00D15F9C"/>
    <w:rsid w:val="00D16492"/>
    <w:rsid w:val="00D165EB"/>
    <w:rsid w:val="00D16B58"/>
    <w:rsid w:val="00D16CE4"/>
    <w:rsid w:val="00D16E63"/>
    <w:rsid w:val="00D2075E"/>
    <w:rsid w:val="00D20AFA"/>
    <w:rsid w:val="00D211FA"/>
    <w:rsid w:val="00D213F3"/>
    <w:rsid w:val="00D21958"/>
    <w:rsid w:val="00D21B60"/>
    <w:rsid w:val="00D21E99"/>
    <w:rsid w:val="00D23B45"/>
    <w:rsid w:val="00D24ACA"/>
    <w:rsid w:val="00D2527C"/>
    <w:rsid w:val="00D25379"/>
    <w:rsid w:val="00D26E95"/>
    <w:rsid w:val="00D26FEF"/>
    <w:rsid w:val="00D2764A"/>
    <w:rsid w:val="00D301DD"/>
    <w:rsid w:val="00D30985"/>
    <w:rsid w:val="00D31029"/>
    <w:rsid w:val="00D31AAD"/>
    <w:rsid w:val="00D31D9A"/>
    <w:rsid w:val="00D3222F"/>
    <w:rsid w:val="00D32882"/>
    <w:rsid w:val="00D329E0"/>
    <w:rsid w:val="00D32A17"/>
    <w:rsid w:val="00D3347F"/>
    <w:rsid w:val="00D334B6"/>
    <w:rsid w:val="00D338F7"/>
    <w:rsid w:val="00D33C1E"/>
    <w:rsid w:val="00D346C1"/>
    <w:rsid w:val="00D348C6"/>
    <w:rsid w:val="00D34C7F"/>
    <w:rsid w:val="00D3508A"/>
    <w:rsid w:val="00D35A43"/>
    <w:rsid w:val="00D35C0C"/>
    <w:rsid w:val="00D3689B"/>
    <w:rsid w:val="00D37056"/>
    <w:rsid w:val="00D40A5E"/>
    <w:rsid w:val="00D40CC5"/>
    <w:rsid w:val="00D40EF6"/>
    <w:rsid w:val="00D417C2"/>
    <w:rsid w:val="00D423C8"/>
    <w:rsid w:val="00D4310D"/>
    <w:rsid w:val="00D43162"/>
    <w:rsid w:val="00D43466"/>
    <w:rsid w:val="00D437B8"/>
    <w:rsid w:val="00D43FA1"/>
    <w:rsid w:val="00D43FEA"/>
    <w:rsid w:val="00D44AEC"/>
    <w:rsid w:val="00D452E9"/>
    <w:rsid w:val="00D45554"/>
    <w:rsid w:val="00D456FA"/>
    <w:rsid w:val="00D468BD"/>
    <w:rsid w:val="00D46BE1"/>
    <w:rsid w:val="00D46D69"/>
    <w:rsid w:val="00D472A1"/>
    <w:rsid w:val="00D47C76"/>
    <w:rsid w:val="00D47EF5"/>
    <w:rsid w:val="00D5092F"/>
    <w:rsid w:val="00D50B50"/>
    <w:rsid w:val="00D51624"/>
    <w:rsid w:val="00D51772"/>
    <w:rsid w:val="00D51975"/>
    <w:rsid w:val="00D525D1"/>
    <w:rsid w:val="00D53050"/>
    <w:rsid w:val="00D53356"/>
    <w:rsid w:val="00D533B0"/>
    <w:rsid w:val="00D53545"/>
    <w:rsid w:val="00D5398F"/>
    <w:rsid w:val="00D5464C"/>
    <w:rsid w:val="00D555B9"/>
    <w:rsid w:val="00D56211"/>
    <w:rsid w:val="00D562E5"/>
    <w:rsid w:val="00D56545"/>
    <w:rsid w:val="00D56724"/>
    <w:rsid w:val="00D567D4"/>
    <w:rsid w:val="00D56E07"/>
    <w:rsid w:val="00D56ED1"/>
    <w:rsid w:val="00D57235"/>
    <w:rsid w:val="00D576E9"/>
    <w:rsid w:val="00D57F38"/>
    <w:rsid w:val="00D60431"/>
    <w:rsid w:val="00D605CF"/>
    <w:rsid w:val="00D60BED"/>
    <w:rsid w:val="00D60C02"/>
    <w:rsid w:val="00D6149A"/>
    <w:rsid w:val="00D6179A"/>
    <w:rsid w:val="00D61DEE"/>
    <w:rsid w:val="00D61F86"/>
    <w:rsid w:val="00D627C4"/>
    <w:rsid w:val="00D6283A"/>
    <w:rsid w:val="00D62AF5"/>
    <w:rsid w:val="00D62CFB"/>
    <w:rsid w:val="00D62E0B"/>
    <w:rsid w:val="00D6497E"/>
    <w:rsid w:val="00D64C92"/>
    <w:rsid w:val="00D66476"/>
    <w:rsid w:val="00D6675B"/>
    <w:rsid w:val="00D66D2E"/>
    <w:rsid w:val="00D67AD5"/>
    <w:rsid w:val="00D67DB4"/>
    <w:rsid w:val="00D67F92"/>
    <w:rsid w:val="00D70435"/>
    <w:rsid w:val="00D70C14"/>
    <w:rsid w:val="00D70EEB"/>
    <w:rsid w:val="00D71110"/>
    <w:rsid w:val="00D7160D"/>
    <w:rsid w:val="00D717C9"/>
    <w:rsid w:val="00D718BE"/>
    <w:rsid w:val="00D71FA1"/>
    <w:rsid w:val="00D72010"/>
    <w:rsid w:val="00D721F9"/>
    <w:rsid w:val="00D73177"/>
    <w:rsid w:val="00D732A2"/>
    <w:rsid w:val="00D73CA2"/>
    <w:rsid w:val="00D73CBE"/>
    <w:rsid w:val="00D73EEB"/>
    <w:rsid w:val="00D7447C"/>
    <w:rsid w:val="00D748C3"/>
    <w:rsid w:val="00D749D5"/>
    <w:rsid w:val="00D754FD"/>
    <w:rsid w:val="00D75670"/>
    <w:rsid w:val="00D75699"/>
    <w:rsid w:val="00D767EE"/>
    <w:rsid w:val="00D769B2"/>
    <w:rsid w:val="00D76EBF"/>
    <w:rsid w:val="00D76F42"/>
    <w:rsid w:val="00D7720E"/>
    <w:rsid w:val="00D7744B"/>
    <w:rsid w:val="00D77568"/>
    <w:rsid w:val="00D800AE"/>
    <w:rsid w:val="00D80C5F"/>
    <w:rsid w:val="00D80CE4"/>
    <w:rsid w:val="00D81BD4"/>
    <w:rsid w:val="00D82184"/>
    <w:rsid w:val="00D8376E"/>
    <w:rsid w:val="00D839BB"/>
    <w:rsid w:val="00D83C1A"/>
    <w:rsid w:val="00D83C3C"/>
    <w:rsid w:val="00D83F2F"/>
    <w:rsid w:val="00D8402F"/>
    <w:rsid w:val="00D84665"/>
    <w:rsid w:val="00D84B72"/>
    <w:rsid w:val="00D84C99"/>
    <w:rsid w:val="00D84F00"/>
    <w:rsid w:val="00D855FE"/>
    <w:rsid w:val="00D85D0D"/>
    <w:rsid w:val="00D867D7"/>
    <w:rsid w:val="00D86921"/>
    <w:rsid w:val="00D86936"/>
    <w:rsid w:val="00D871C3"/>
    <w:rsid w:val="00D87912"/>
    <w:rsid w:val="00D87AE2"/>
    <w:rsid w:val="00D87CB6"/>
    <w:rsid w:val="00D90771"/>
    <w:rsid w:val="00D90BD2"/>
    <w:rsid w:val="00D91553"/>
    <w:rsid w:val="00D9194B"/>
    <w:rsid w:val="00D91FD8"/>
    <w:rsid w:val="00D92702"/>
    <w:rsid w:val="00D92C65"/>
    <w:rsid w:val="00D936A3"/>
    <w:rsid w:val="00D936BB"/>
    <w:rsid w:val="00D93DFA"/>
    <w:rsid w:val="00D9476B"/>
    <w:rsid w:val="00D94B13"/>
    <w:rsid w:val="00D95066"/>
    <w:rsid w:val="00D9563F"/>
    <w:rsid w:val="00D95803"/>
    <w:rsid w:val="00D95D1E"/>
    <w:rsid w:val="00D95D84"/>
    <w:rsid w:val="00D9628F"/>
    <w:rsid w:val="00D9675A"/>
    <w:rsid w:val="00D96928"/>
    <w:rsid w:val="00D97B5E"/>
    <w:rsid w:val="00D97B78"/>
    <w:rsid w:val="00DA0678"/>
    <w:rsid w:val="00DA0860"/>
    <w:rsid w:val="00DA099B"/>
    <w:rsid w:val="00DA0C1D"/>
    <w:rsid w:val="00DA0EC3"/>
    <w:rsid w:val="00DA11BF"/>
    <w:rsid w:val="00DA1B42"/>
    <w:rsid w:val="00DA2182"/>
    <w:rsid w:val="00DA22C2"/>
    <w:rsid w:val="00DA2ACC"/>
    <w:rsid w:val="00DA39D4"/>
    <w:rsid w:val="00DA39F5"/>
    <w:rsid w:val="00DA4A95"/>
    <w:rsid w:val="00DA4D66"/>
    <w:rsid w:val="00DA652D"/>
    <w:rsid w:val="00DA7303"/>
    <w:rsid w:val="00DA7CDF"/>
    <w:rsid w:val="00DA7F29"/>
    <w:rsid w:val="00DB0100"/>
    <w:rsid w:val="00DB0444"/>
    <w:rsid w:val="00DB0644"/>
    <w:rsid w:val="00DB066E"/>
    <w:rsid w:val="00DB161F"/>
    <w:rsid w:val="00DB16AB"/>
    <w:rsid w:val="00DB197C"/>
    <w:rsid w:val="00DB19D3"/>
    <w:rsid w:val="00DB1A7B"/>
    <w:rsid w:val="00DB1AEE"/>
    <w:rsid w:val="00DB1FC0"/>
    <w:rsid w:val="00DB2CD8"/>
    <w:rsid w:val="00DB2D0C"/>
    <w:rsid w:val="00DB376B"/>
    <w:rsid w:val="00DB3C85"/>
    <w:rsid w:val="00DB43BF"/>
    <w:rsid w:val="00DB43C4"/>
    <w:rsid w:val="00DB52FC"/>
    <w:rsid w:val="00DB5FC3"/>
    <w:rsid w:val="00DB6A8A"/>
    <w:rsid w:val="00DB6A95"/>
    <w:rsid w:val="00DB73E8"/>
    <w:rsid w:val="00DB7C14"/>
    <w:rsid w:val="00DB7DD2"/>
    <w:rsid w:val="00DC1BE1"/>
    <w:rsid w:val="00DC20D1"/>
    <w:rsid w:val="00DC21B5"/>
    <w:rsid w:val="00DC229F"/>
    <w:rsid w:val="00DC2479"/>
    <w:rsid w:val="00DC2584"/>
    <w:rsid w:val="00DC2670"/>
    <w:rsid w:val="00DC295A"/>
    <w:rsid w:val="00DC2C58"/>
    <w:rsid w:val="00DC2DA4"/>
    <w:rsid w:val="00DC2DAC"/>
    <w:rsid w:val="00DC32A8"/>
    <w:rsid w:val="00DC33AB"/>
    <w:rsid w:val="00DC3B32"/>
    <w:rsid w:val="00DC4028"/>
    <w:rsid w:val="00DC4B4F"/>
    <w:rsid w:val="00DC4FF5"/>
    <w:rsid w:val="00DC654B"/>
    <w:rsid w:val="00DC74AB"/>
    <w:rsid w:val="00DC762D"/>
    <w:rsid w:val="00DC784A"/>
    <w:rsid w:val="00DC7C91"/>
    <w:rsid w:val="00DD0645"/>
    <w:rsid w:val="00DD0B98"/>
    <w:rsid w:val="00DD0E90"/>
    <w:rsid w:val="00DD1C11"/>
    <w:rsid w:val="00DD2B67"/>
    <w:rsid w:val="00DD2C1C"/>
    <w:rsid w:val="00DD2FA8"/>
    <w:rsid w:val="00DD3617"/>
    <w:rsid w:val="00DD4B57"/>
    <w:rsid w:val="00DD56E7"/>
    <w:rsid w:val="00DD5D10"/>
    <w:rsid w:val="00DD6004"/>
    <w:rsid w:val="00DD6E0A"/>
    <w:rsid w:val="00DD716A"/>
    <w:rsid w:val="00DE03BE"/>
    <w:rsid w:val="00DE0716"/>
    <w:rsid w:val="00DE0D35"/>
    <w:rsid w:val="00DE10DF"/>
    <w:rsid w:val="00DE1BAA"/>
    <w:rsid w:val="00DE2357"/>
    <w:rsid w:val="00DE2BB4"/>
    <w:rsid w:val="00DE4999"/>
    <w:rsid w:val="00DE5029"/>
    <w:rsid w:val="00DE5286"/>
    <w:rsid w:val="00DE5902"/>
    <w:rsid w:val="00DE5A12"/>
    <w:rsid w:val="00DE5D63"/>
    <w:rsid w:val="00DE6AC5"/>
    <w:rsid w:val="00DE78A7"/>
    <w:rsid w:val="00DF04E9"/>
    <w:rsid w:val="00DF060C"/>
    <w:rsid w:val="00DF067A"/>
    <w:rsid w:val="00DF09F1"/>
    <w:rsid w:val="00DF0C8C"/>
    <w:rsid w:val="00DF1475"/>
    <w:rsid w:val="00DF1F08"/>
    <w:rsid w:val="00DF244C"/>
    <w:rsid w:val="00DF26F9"/>
    <w:rsid w:val="00DF2C1C"/>
    <w:rsid w:val="00DF2DFD"/>
    <w:rsid w:val="00DF3E91"/>
    <w:rsid w:val="00DF3F21"/>
    <w:rsid w:val="00DF4103"/>
    <w:rsid w:val="00DF490C"/>
    <w:rsid w:val="00DF5811"/>
    <w:rsid w:val="00DF743D"/>
    <w:rsid w:val="00DF7574"/>
    <w:rsid w:val="00DF7667"/>
    <w:rsid w:val="00DF76E5"/>
    <w:rsid w:val="00DF7869"/>
    <w:rsid w:val="00DF7B39"/>
    <w:rsid w:val="00E00583"/>
    <w:rsid w:val="00E01389"/>
    <w:rsid w:val="00E02154"/>
    <w:rsid w:val="00E02340"/>
    <w:rsid w:val="00E02BB4"/>
    <w:rsid w:val="00E03C71"/>
    <w:rsid w:val="00E03DF2"/>
    <w:rsid w:val="00E044B3"/>
    <w:rsid w:val="00E04C98"/>
    <w:rsid w:val="00E05B8A"/>
    <w:rsid w:val="00E05C07"/>
    <w:rsid w:val="00E05C0A"/>
    <w:rsid w:val="00E065A5"/>
    <w:rsid w:val="00E06B10"/>
    <w:rsid w:val="00E06CD5"/>
    <w:rsid w:val="00E075E2"/>
    <w:rsid w:val="00E107BB"/>
    <w:rsid w:val="00E10B8D"/>
    <w:rsid w:val="00E110B8"/>
    <w:rsid w:val="00E111AC"/>
    <w:rsid w:val="00E11E30"/>
    <w:rsid w:val="00E126E5"/>
    <w:rsid w:val="00E1278E"/>
    <w:rsid w:val="00E13477"/>
    <w:rsid w:val="00E13875"/>
    <w:rsid w:val="00E13C1A"/>
    <w:rsid w:val="00E146E7"/>
    <w:rsid w:val="00E1485E"/>
    <w:rsid w:val="00E14DFB"/>
    <w:rsid w:val="00E150BB"/>
    <w:rsid w:val="00E15B33"/>
    <w:rsid w:val="00E16449"/>
    <w:rsid w:val="00E164D2"/>
    <w:rsid w:val="00E16D30"/>
    <w:rsid w:val="00E16D5E"/>
    <w:rsid w:val="00E16EDE"/>
    <w:rsid w:val="00E17421"/>
    <w:rsid w:val="00E17A4A"/>
    <w:rsid w:val="00E20AE0"/>
    <w:rsid w:val="00E20B19"/>
    <w:rsid w:val="00E21542"/>
    <w:rsid w:val="00E21DB6"/>
    <w:rsid w:val="00E228C6"/>
    <w:rsid w:val="00E22B6C"/>
    <w:rsid w:val="00E22D4A"/>
    <w:rsid w:val="00E23FEC"/>
    <w:rsid w:val="00E241B0"/>
    <w:rsid w:val="00E24213"/>
    <w:rsid w:val="00E24D6C"/>
    <w:rsid w:val="00E25B97"/>
    <w:rsid w:val="00E25D40"/>
    <w:rsid w:val="00E264D7"/>
    <w:rsid w:val="00E26E9A"/>
    <w:rsid w:val="00E2721E"/>
    <w:rsid w:val="00E272FD"/>
    <w:rsid w:val="00E27D46"/>
    <w:rsid w:val="00E30335"/>
    <w:rsid w:val="00E3108A"/>
    <w:rsid w:val="00E313B6"/>
    <w:rsid w:val="00E31833"/>
    <w:rsid w:val="00E31870"/>
    <w:rsid w:val="00E323CD"/>
    <w:rsid w:val="00E32DC7"/>
    <w:rsid w:val="00E32F92"/>
    <w:rsid w:val="00E333C0"/>
    <w:rsid w:val="00E33580"/>
    <w:rsid w:val="00E33697"/>
    <w:rsid w:val="00E34233"/>
    <w:rsid w:val="00E34281"/>
    <w:rsid w:val="00E34E16"/>
    <w:rsid w:val="00E356E4"/>
    <w:rsid w:val="00E3588C"/>
    <w:rsid w:val="00E35EF8"/>
    <w:rsid w:val="00E36D06"/>
    <w:rsid w:val="00E36FE8"/>
    <w:rsid w:val="00E37923"/>
    <w:rsid w:val="00E3794B"/>
    <w:rsid w:val="00E402A8"/>
    <w:rsid w:val="00E407F8"/>
    <w:rsid w:val="00E40AF1"/>
    <w:rsid w:val="00E40C65"/>
    <w:rsid w:val="00E40EBD"/>
    <w:rsid w:val="00E41217"/>
    <w:rsid w:val="00E41572"/>
    <w:rsid w:val="00E41740"/>
    <w:rsid w:val="00E41D9B"/>
    <w:rsid w:val="00E424CA"/>
    <w:rsid w:val="00E42CE4"/>
    <w:rsid w:val="00E42E68"/>
    <w:rsid w:val="00E42F17"/>
    <w:rsid w:val="00E43F92"/>
    <w:rsid w:val="00E44433"/>
    <w:rsid w:val="00E44AB4"/>
    <w:rsid w:val="00E46C71"/>
    <w:rsid w:val="00E47151"/>
    <w:rsid w:val="00E47237"/>
    <w:rsid w:val="00E47C32"/>
    <w:rsid w:val="00E506CD"/>
    <w:rsid w:val="00E50E63"/>
    <w:rsid w:val="00E51021"/>
    <w:rsid w:val="00E5104A"/>
    <w:rsid w:val="00E510D4"/>
    <w:rsid w:val="00E51535"/>
    <w:rsid w:val="00E51885"/>
    <w:rsid w:val="00E51980"/>
    <w:rsid w:val="00E5297C"/>
    <w:rsid w:val="00E5367A"/>
    <w:rsid w:val="00E544E5"/>
    <w:rsid w:val="00E54684"/>
    <w:rsid w:val="00E54BFE"/>
    <w:rsid w:val="00E54C7D"/>
    <w:rsid w:val="00E556D8"/>
    <w:rsid w:val="00E55C7E"/>
    <w:rsid w:val="00E55D38"/>
    <w:rsid w:val="00E56D2E"/>
    <w:rsid w:val="00E5729E"/>
    <w:rsid w:val="00E57418"/>
    <w:rsid w:val="00E57765"/>
    <w:rsid w:val="00E60A66"/>
    <w:rsid w:val="00E60AA1"/>
    <w:rsid w:val="00E61142"/>
    <w:rsid w:val="00E6165B"/>
    <w:rsid w:val="00E62075"/>
    <w:rsid w:val="00E629CC"/>
    <w:rsid w:val="00E633FE"/>
    <w:rsid w:val="00E635AE"/>
    <w:rsid w:val="00E63B51"/>
    <w:rsid w:val="00E63FA4"/>
    <w:rsid w:val="00E64B49"/>
    <w:rsid w:val="00E65F54"/>
    <w:rsid w:val="00E6630F"/>
    <w:rsid w:val="00E66348"/>
    <w:rsid w:val="00E66674"/>
    <w:rsid w:val="00E66D7F"/>
    <w:rsid w:val="00E670EE"/>
    <w:rsid w:val="00E674F8"/>
    <w:rsid w:val="00E67AFC"/>
    <w:rsid w:val="00E7060C"/>
    <w:rsid w:val="00E706EA"/>
    <w:rsid w:val="00E709A4"/>
    <w:rsid w:val="00E71B1E"/>
    <w:rsid w:val="00E71C10"/>
    <w:rsid w:val="00E71FA9"/>
    <w:rsid w:val="00E720FA"/>
    <w:rsid w:val="00E724E5"/>
    <w:rsid w:val="00E746B8"/>
    <w:rsid w:val="00E747C5"/>
    <w:rsid w:val="00E749EC"/>
    <w:rsid w:val="00E74F62"/>
    <w:rsid w:val="00E7530D"/>
    <w:rsid w:val="00E755BB"/>
    <w:rsid w:val="00E75B94"/>
    <w:rsid w:val="00E75F94"/>
    <w:rsid w:val="00E76120"/>
    <w:rsid w:val="00E76693"/>
    <w:rsid w:val="00E76698"/>
    <w:rsid w:val="00E774E1"/>
    <w:rsid w:val="00E775AD"/>
    <w:rsid w:val="00E805B2"/>
    <w:rsid w:val="00E810D9"/>
    <w:rsid w:val="00E819DA"/>
    <w:rsid w:val="00E84521"/>
    <w:rsid w:val="00E85111"/>
    <w:rsid w:val="00E85BF2"/>
    <w:rsid w:val="00E8612F"/>
    <w:rsid w:val="00E866DC"/>
    <w:rsid w:val="00E8697A"/>
    <w:rsid w:val="00E906DF"/>
    <w:rsid w:val="00E90A6D"/>
    <w:rsid w:val="00E90B50"/>
    <w:rsid w:val="00E913DC"/>
    <w:rsid w:val="00E9189D"/>
    <w:rsid w:val="00E91CEC"/>
    <w:rsid w:val="00E91FE7"/>
    <w:rsid w:val="00E92142"/>
    <w:rsid w:val="00E921B6"/>
    <w:rsid w:val="00E93428"/>
    <w:rsid w:val="00E93948"/>
    <w:rsid w:val="00E9398B"/>
    <w:rsid w:val="00E93DFF"/>
    <w:rsid w:val="00E9440E"/>
    <w:rsid w:val="00E94715"/>
    <w:rsid w:val="00E94E3A"/>
    <w:rsid w:val="00E94F17"/>
    <w:rsid w:val="00E96D56"/>
    <w:rsid w:val="00E97F01"/>
    <w:rsid w:val="00EA02CB"/>
    <w:rsid w:val="00EA0555"/>
    <w:rsid w:val="00EA1402"/>
    <w:rsid w:val="00EA2269"/>
    <w:rsid w:val="00EA257B"/>
    <w:rsid w:val="00EA2613"/>
    <w:rsid w:val="00EA2637"/>
    <w:rsid w:val="00EA277A"/>
    <w:rsid w:val="00EA36FC"/>
    <w:rsid w:val="00EA395A"/>
    <w:rsid w:val="00EA3EA3"/>
    <w:rsid w:val="00EA49CD"/>
    <w:rsid w:val="00EA4E47"/>
    <w:rsid w:val="00EA4F76"/>
    <w:rsid w:val="00EA5CFD"/>
    <w:rsid w:val="00EA5D07"/>
    <w:rsid w:val="00EA5DC6"/>
    <w:rsid w:val="00EA6CA2"/>
    <w:rsid w:val="00EA6CE2"/>
    <w:rsid w:val="00EB01B9"/>
    <w:rsid w:val="00EB0501"/>
    <w:rsid w:val="00EB1744"/>
    <w:rsid w:val="00EB3612"/>
    <w:rsid w:val="00EB3881"/>
    <w:rsid w:val="00EB401D"/>
    <w:rsid w:val="00EB43A9"/>
    <w:rsid w:val="00EB46C6"/>
    <w:rsid w:val="00EB47DF"/>
    <w:rsid w:val="00EB4AA6"/>
    <w:rsid w:val="00EB53AB"/>
    <w:rsid w:val="00EB53E3"/>
    <w:rsid w:val="00EB5A2C"/>
    <w:rsid w:val="00EB6298"/>
    <w:rsid w:val="00EB661A"/>
    <w:rsid w:val="00EB67C5"/>
    <w:rsid w:val="00EB6965"/>
    <w:rsid w:val="00EB73CF"/>
    <w:rsid w:val="00EB75DB"/>
    <w:rsid w:val="00EB7CD7"/>
    <w:rsid w:val="00EB7F78"/>
    <w:rsid w:val="00EC0382"/>
    <w:rsid w:val="00EC04F9"/>
    <w:rsid w:val="00EC0854"/>
    <w:rsid w:val="00EC1860"/>
    <w:rsid w:val="00EC1C46"/>
    <w:rsid w:val="00EC2A83"/>
    <w:rsid w:val="00EC315E"/>
    <w:rsid w:val="00EC3299"/>
    <w:rsid w:val="00EC32BD"/>
    <w:rsid w:val="00EC3329"/>
    <w:rsid w:val="00EC3345"/>
    <w:rsid w:val="00EC36B8"/>
    <w:rsid w:val="00EC3A0B"/>
    <w:rsid w:val="00EC4166"/>
    <w:rsid w:val="00EC42BC"/>
    <w:rsid w:val="00EC43A7"/>
    <w:rsid w:val="00EC4AD6"/>
    <w:rsid w:val="00EC52BF"/>
    <w:rsid w:val="00EC55D6"/>
    <w:rsid w:val="00EC61D2"/>
    <w:rsid w:val="00EC690F"/>
    <w:rsid w:val="00EC7020"/>
    <w:rsid w:val="00EC7E78"/>
    <w:rsid w:val="00ED015E"/>
    <w:rsid w:val="00ED05DE"/>
    <w:rsid w:val="00ED1623"/>
    <w:rsid w:val="00ED1FB9"/>
    <w:rsid w:val="00ED2D48"/>
    <w:rsid w:val="00ED2DA4"/>
    <w:rsid w:val="00ED40A3"/>
    <w:rsid w:val="00ED41F9"/>
    <w:rsid w:val="00ED4779"/>
    <w:rsid w:val="00ED4D04"/>
    <w:rsid w:val="00ED587E"/>
    <w:rsid w:val="00ED5BE4"/>
    <w:rsid w:val="00ED6A33"/>
    <w:rsid w:val="00ED6C09"/>
    <w:rsid w:val="00ED71DB"/>
    <w:rsid w:val="00ED75BC"/>
    <w:rsid w:val="00ED75F8"/>
    <w:rsid w:val="00EE0869"/>
    <w:rsid w:val="00EE08CD"/>
    <w:rsid w:val="00EE09F5"/>
    <w:rsid w:val="00EE0AAF"/>
    <w:rsid w:val="00EE11F9"/>
    <w:rsid w:val="00EE1541"/>
    <w:rsid w:val="00EE1AF0"/>
    <w:rsid w:val="00EE1D41"/>
    <w:rsid w:val="00EE1DF0"/>
    <w:rsid w:val="00EE1F22"/>
    <w:rsid w:val="00EE21DF"/>
    <w:rsid w:val="00EE34CB"/>
    <w:rsid w:val="00EE3509"/>
    <w:rsid w:val="00EE3C1F"/>
    <w:rsid w:val="00EE5569"/>
    <w:rsid w:val="00EE61D2"/>
    <w:rsid w:val="00EE6F19"/>
    <w:rsid w:val="00EE79BF"/>
    <w:rsid w:val="00EE7E39"/>
    <w:rsid w:val="00EF017E"/>
    <w:rsid w:val="00EF026D"/>
    <w:rsid w:val="00EF08D9"/>
    <w:rsid w:val="00EF0D6A"/>
    <w:rsid w:val="00EF19E1"/>
    <w:rsid w:val="00EF1CA2"/>
    <w:rsid w:val="00EF2663"/>
    <w:rsid w:val="00EF2810"/>
    <w:rsid w:val="00EF29C3"/>
    <w:rsid w:val="00EF4E0C"/>
    <w:rsid w:val="00EF58B4"/>
    <w:rsid w:val="00EF6382"/>
    <w:rsid w:val="00EF7750"/>
    <w:rsid w:val="00F00EE8"/>
    <w:rsid w:val="00F01E21"/>
    <w:rsid w:val="00F0255A"/>
    <w:rsid w:val="00F028EE"/>
    <w:rsid w:val="00F03030"/>
    <w:rsid w:val="00F033B9"/>
    <w:rsid w:val="00F0368B"/>
    <w:rsid w:val="00F04AD2"/>
    <w:rsid w:val="00F04DC3"/>
    <w:rsid w:val="00F05DF2"/>
    <w:rsid w:val="00F068BC"/>
    <w:rsid w:val="00F06BA9"/>
    <w:rsid w:val="00F074F4"/>
    <w:rsid w:val="00F07FCC"/>
    <w:rsid w:val="00F100DD"/>
    <w:rsid w:val="00F10235"/>
    <w:rsid w:val="00F1049A"/>
    <w:rsid w:val="00F11123"/>
    <w:rsid w:val="00F1138C"/>
    <w:rsid w:val="00F114DC"/>
    <w:rsid w:val="00F121EE"/>
    <w:rsid w:val="00F12234"/>
    <w:rsid w:val="00F123AE"/>
    <w:rsid w:val="00F128AA"/>
    <w:rsid w:val="00F12B24"/>
    <w:rsid w:val="00F12C11"/>
    <w:rsid w:val="00F13C66"/>
    <w:rsid w:val="00F13CA7"/>
    <w:rsid w:val="00F1521F"/>
    <w:rsid w:val="00F15C28"/>
    <w:rsid w:val="00F16A3E"/>
    <w:rsid w:val="00F16E92"/>
    <w:rsid w:val="00F1719D"/>
    <w:rsid w:val="00F17952"/>
    <w:rsid w:val="00F2032E"/>
    <w:rsid w:val="00F20A1F"/>
    <w:rsid w:val="00F21325"/>
    <w:rsid w:val="00F215D5"/>
    <w:rsid w:val="00F2176D"/>
    <w:rsid w:val="00F21B32"/>
    <w:rsid w:val="00F223D0"/>
    <w:rsid w:val="00F2340B"/>
    <w:rsid w:val="00F23DB6"/>
    <w:rsid w:val="00F24213"/>
    <w:rsid w:val="00F2436A"/>
    <w:rsid w:val="00F244D6"/>
    <w:rsid w:val="00F24AB5"/>
    <w:rsid w:val="00F24DD2"/>
    <w:rsid w:val="00F256D4"/>
    <w:rsid w:val="00F2636D"/>
    <w:rsid w:val="00F26E51"/>
    <w:rsid w:val="00F26E69"/>
    <w:rsid w:val="00F27569"/>
    <w:rsid w:val="00F3041B"/>
    <w:rsid w:val="00F304ED"/>
    <w:rsid w:val="00F31512"/>
    <w:rsid w:val="00F31714"/>
    <w:rsid w:val="00F3221D"/>
    <w:rsid w:val="00F3242F"/>
    <w:rsid w:val="00F3261A"/>
    <w:rsid w:val="00F32F85"/>
    <w:rsid w:val="00F33254"/>
    <w:rsid w:val="00F33740"/>
    <w:rsid w:val="00F341C3"/>
    <w:rsid w:val="00F3437B"/>
    <w:rsid w:val="00F34A51"/>
    <w:rsid w:val="00F34CA0"/>
    <w:rsid w:val="00F356F1"/>
    <w:rsid w:val="00F35A3A"/>
    <w:rsid w:val="00F35D84"/>
    <w:rsid w:val="00F36730"/>
    <w:rsid w:val="00F36F11"/>
    <w:rsid w:val="00F37978"/>
    <w:rsid w:val="00F4121A"/>
    <w:rsid w:val="00F41359"/>
    <w:rsid w:val="00F4148C"/>
    <w:rsid w:val="00F41852"/>
    <w:rsid w:val="00F41BD1"/>
    <w:rsid w:val="00F429E4"/>
    <w:rsid w:val="00F42A0A"/>
    <w:rsid w:val="00F42CFF"/>
    <w:rsid w:val="00F437A6"/>
    <w:rsid w:val="00F43949"/>
    <w:rsid w:val="00F43C1F"/>
    <w:rsid w:val="00F44173"/>
    <w:rsid w:val="00F44B5A"/>
    <w:rsid w:val="00F44CE7"/>
    <w:rsid w:val="00F44DF1"/>
    <w:rsid w:val="00F45014"/>
    <w:rsid w:val="00F455C6"/>
    <w:rsid w:val="00F455FF"/>
    <w:rsid w:val="00F45AF3"/>
    <w:rsid w:val="00F46D69"/>
    <w:rsid w:val="00F473A1"/>
    <w:rsid w:val="00F473FF"/>
    <w:rsid w:val="00F47AA5"/>
    <w:rsid w:val="00F47ED9"/>
    <w:rsid w:val="00F50042"/>
    <w:rsid w:val="00F50130"/>
    <w:rsid w:val="00F50175"/>
    <w:rsid w:val="00F503D3"/>
    <w:rsid w:val="00F50BC0"/>
    <w:rsid w:val="00F519A9"/>
    <w:rsid w:val="00F51C69"/>
    <w:rsid w:val="00F52E9B"/>
    <w:rsid w:val="00F53107"/>
    <w:rsid w:val="00F5374D"/>
    <w:rsid w:val="00F53D09"/>
    <w:rsid w:val="00F53EEE"/>
    <w:rsid w:val="00F54255"/>
    <w:rsid w:val="00F54282"/>
    <w:rsid w:val="00F54EFA"/>
    <w:rsid w:val="00F54F38"/>
    <w:rsid w:val="00F55CCD"/>
    <w:rsid w:val="00F561BC"/>
    <w:rsid w:val="00F562F7"/>
    <w:rsid w:val="00F56512"/>
    <w:rsid w:val="00F56962"/>
    <w:rsid w:val="00F5731C"/>
    <w:rsid w:val="00F577C1"/>
    <w:rsid w:val="00F60325"/>
    <w:rsid w:val="00F60807"/>
    <w:rsid w:val="00F60C2B"/>
    <w:rsid w:val="00F619CE"/>
    <w:rsid w:val="00F61A51"/>
    <w:rsid w:val="00F61BA6"/>
    <w:rsid w:val="00F61DEF"/>
    <w:rsid w:val="00F621DC"/>
    <w:rsid w:val="00F6247B"/>
    <w:rsid w:val="00F62902"/>
    <w:rsid w:val="00F62E7C"/>
    <w:rsid w:val="00F62F85"/>
    <w:rsid w:val="00F634EE"/>
    <w:rsid w:val="00F63589"/>
    <w:rsid w:val="00F6379F"/>
    <w:rsid w:val="00F63E7B"/>
    <w:rsid w:val="00F6438E"/>
    <w:rsid w:val="00F64C99"/>
    <w:rsid w:val="00F64F56"/>
    <w:rsid w:val="00F651A1"/>
    <w:rsid w:val="00F65548"/>
    <w:rsid w:val="00F66257"/>
    <w:rsid w:val="00F67454"/>
    <w:rsid w:val="00F67660"/>
    <w:rsid w:val="00F6786D"/>
    <w:rsid w:val="00F67B4D"/>
    <w:rsid w:val="00F72967"/>
    <w:rsid w:val="00F72AE5"/>
    <w:rsid w:val="00F731E2"/>
    <w:rsid w:val="00F7367A"/>
    <w:rsid w:val="00F737AC"/>
    <w:rsid w:val="00F73CBB"/>
    <w:rsid w:val="00F73DBA"/>
    <w:rsid w:val="00F740C5"/>
    <w:rsid w:val="00F74134"/>
    <w:rsid w:val="00F7467D"/>
    <w:rsid w:val="00F74A32"/>
    <w:rsid w:val="00F74FB7"/>
    <w:rsid w:val="00F751C3"/>
    <w:rsid w:val="00F753C0"/>
    <w:rsid w:val="00F755C4"/>
    <w:rsid w:val="00F75752"/>
    <w:rsid w:val="00F758B3"/>
    <w:rsid w:val="00F759F0"/>
    <w:rsid w:val="00F75AD8"/>
    <w:rsid w:val="00F76FF0"/>
    <w:rsid w:val="00F77D26"/>
    <w:rsid w:val="00F77FBB"/>
    <w:rsid w:val="00F8039E"/>
    <w:rsid w:val="00F803BE"/>
    <w:rsid w:val="00F804CB"/>
    <w:rsid w:val="00F80BB6"/>
    <w:rsid w:val="00F80F15"/>
    <w:rsid w:val="00F81835"/>
    <w:rsid w:val="00F81C28"/>
    <w:rsid w:val="00F82121"/>
    <w:rsid w:val="00F8225D"/>
    <w:rsid w:val="00F823CF"/>
    <w:rsid w:val="00F83386"/>
    <w:rsid w:val="00F83691"/>
    <w:rsid w:val="00F83D38"/>
    <w:rsid w:val="00F8440F"/>
    <w:rsid w:val="00F84845"/>
    <w:rsid w:val="00F849AA"/>
    <w:rsid w:val="00F85D2B"/>
    <w:rsid w:val="00F86343"/>
    <w:rsid w:val="00F8638F"/>
    <w:rsid w:val="00F86AE8"/>
    <w:rsid w:val="00F87075"/>
    <w:rsid w:val="00F90E8E"/>
    <w:rsid w:val="00F9107D"/>
    <w:rsid w:val="00F914D0"/>
    <w:rsid w:val="00F916A6"/>
    <w:rsid w:val="00F91E00"/>
    <w:rsid w:val="00F924C4"/>
    <w:rsid w:val="00F926C0"/>
    <w:rsid w:val="00F92F31"/>
    <w:rsid w:val="00F949D8"/>
    <w:rsid w:val="00F95097"/>
    <w:rsid w:val="00F958E7"/>
    <w:rsid w:val="00F95973"/>
    <w:rsid w:val="00F96140"/>
    <w:rsid w:val="00F96BD4"/>
    <w:rsid w:val="00FA02AC"/>
    <w:rsid w:val="00FA038E"/>
    <w:rsid w:val="00FA05D1"/>
    <w:rsid w:val="00FA0A2B"/>
    <w:rsid w:val="00FA17DB"/>
    <w:rsid w:val="00FA1CA9"/>
    <w:rsid w:val="00FA2275"/>
    <w:rsid w:val="00FA2ED6"/>
    <w:rsid w:val="00FA33CE"/>
    <w:rsid w:val="00FA36C5"/>
    <w:rsid w:val="00FA3A90"/>
    <w:rsid w:val="00FA3E94"/>
    <w:rsid w:val="00FA416E"/>
    <w:rsid w:val="00FA5173"/>
    <w:rsid w:val="00FA51BC"/>
    <w:rsid w:val="00FA5362"/>
    <w:rsid w:val="00FA57E6"/>
    <w:rsid w:val="00FA59B5"/>
    <w:rsid w:val="00FA5A64"/>
    <w:rsid w:val="00FA5D4C"/>
    <w:rsid w:val="00FA5F4E"/>
    <w:rsid w:val="00FA6536"/>
    <w:rsid w:val="00FA667B"/>
    <w:rsid w:val="00FB0116"/>
    <w:rsid w:val="00FB0456"/>
    <w:rsid w:val="00FB1067"/>
    <w:rsid w:val="00FB1BCE"/>
    <w:rsid w:val="00FB1FF8"/>
    <w:rsid w:val="00FB2483"/>
    <w:rsid w:val="00FB2C5D"/>
    <w:rsid w:val="00FB300E"/>
    <w:rsid w:val="00FB4100"/>
    <w:rsid w:val="00FB4761"/>
    <w:rsid w:val="00FB5155"/>
    <w:rsid w:val="00FB5171"/>
    <w:rsid w:val="00FB5590"/>
    <w:rsid w:val="00FB5B40"/>
    <w:rsid w:val="00FB6565"/>
    <w:rsid w:val="00FB69B2"/>
    <w:rsid w:val="00FB69CB"/>
    <w:rsid w:val="00FB6CD6"/>
    <w:rsid w:val="00FB6E20"/>
    <w:rsid w:val="00FB6F05"/>
    <w:rsid w:val="00FB72DC"/>
    <w:rsid w:val="00FB7328"/>
    <w:rsid w:val="00FC0657"/>
    <w:rsid w:val="00FC1AC3"/>
    <w:rsid w:val="00FC1DCB"/>
    <w:rsid w:val="00FC30AB"/>
    <w:rsid w:val="00FC33D9"/>
    <w:rsid w:val="00FC3B40"/>
    <w:rsid w:val="00FC5718"/>
    <w:rsid w:val="00FC5E83"/>
    <w:rsid w:val="00FC678F"/>
    <w:rsid w:val="00FC684E"/>
    <w:rsid w:val="00FC77CB"/>
    <w:rsid w:val="00FD0187"/>
    <w:rsid w:val="00FD1488"/>
    <w:rsid w:val="00FD1C42"/>
    <w:rsid w:val="00FD1EAD"/>
    <w:rsid w:val="00FD2039"/>
    <w:rsid w:val="00FD22CB"/>
    <w:rsid w:val="00FD2C0E"/>
    <w:rsid w:val="00FD2C74"/>
    <w:rsid w:val="00FD2EBE"/>
    <w:rsid w:val="00FD348F"/>
    <w:rsid w:val="00FD3852"/>
    <w:rsid w:val="00FD3938"/>
    <w:rsid w:val="00FD45A6"/>
    <w:rsid w:val="00FD4954"/>
    <w:rsid w:val="00FD4EB9"/>
    <w:rsid w:val="00FD529E"/>
    <w:rsid w:val="00FD533B"/>
    <w:rsid w:val="00FD5789"/>
    <w:rsid w:val="00FD5EFD"/>
    <w:rsid w:val="00FD5F21"/>
    <w:rsid w:val="00FD63A0"/>
    <w:rsid w:val="00FD68F7"/>
    <w:rsid w:val="00FD6F55"/>
    <w:rsid w:val="00FD767E"/>
    <w:rsid w:val="00FD7A4A"/>
    <w:rsid w:val="00FD7D8B"/>
    <w:rsid w:val="00FE0112"/>
    <w:rsid w:val="00FE01C2"/>
    <w:rsid w:val="00FE059F"/>
    <w:rsid w:val="00FE096F"/>
    <w:rsid w:val="00FE0CBE"/>
    <w:rsid w:val="00FE0D29"/>
    <w:rsid w:val="00FE1AFD"/>
    <w:rsid w:val="00FE2A29"/>
    <w:rsid w:val="00FE30B1"/>
    <w:rsid w:val="00FE3339"/>
    <w:rsid w:val="00FE3E33"/>
    <w:rsid w:val="00FE43E3"/>
    <w:rsid w:val="00FE45FF"/>
    <w:rsid w:val="00FE4C0F"/>
    <w:rsid w:val="00FE5A06"/>
    <w:rsid w:val="00FE5CA2"/>
    <w:rsid w:val="00FE6AA1"/>
    <w:rsid w:val="00FE6AE7"/>
    <w:rsid w:val="00FE7082"/>
    <w:rsid w:val="00FE7207"/>
    <w:rsid w:val="00FE7885"/>
    <w:rsid w:val="00FE7F81"/>
    <w:rsid w:val="00FF00A2"/>
    <w:rsid w:val="00FF05BA"/>
    <w:rsid w:val="00FF0CEE"/>
    <w:rsid w:val="00FF118D"/>
    <w:rsid w:val="00FF15E9"/>
    <w:rsid w:val="00FF183D"/>
    <w:rsid w:val="00FF1C7B"/>
    <w:rsid w:val="00FF21F1"/>
    <w:rsid w:val="00FF312B"/>
    <w:rsid w:val="00FF3392"/>
    <w:rsid w:val="00FF3437"/>
    <w:rsid w:val="00FF3B1D"/>
    <w:rsid w:val="00FF3F67"/>
    <w:rsid w:val="00FF3F6D"/>
    <w:rsid w:val="00FF410E"/>
    <w:rsid w:val="00FF4BC6"/>
    <w:rsid w:val="00FF4F84"/>
    <w:rsid w:val="00FF55F6"/>
    <w:rsid w:val="00FF570C"/>
    <w:rsid w:val="00FF5AAB"/>
    <w:rsid w:val="00FF631E"/>
    <w:rsid w:val="00FF682B"/>
    <w:rsid w:val="00FF71B0"/>
    <w:rsid w:val="00FF732F"/>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965E273"/>
  <w15:docId w15:val="{BD5531DC-D53D-4AC7-B99D-234F4EA2D7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it-IT" w:eastAsia="it-IT"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uiPriority="0"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iPriority="0" w:unhideWhenUsed="1"/>
    <w:lsdException w:name="annotation text" w:locked="1" w:semiHidden="1" w:uiPriority="0" w:unhideWhenUsed="1"/>
    <w:lsdException w:name="header" w:locked="1" w:semiHidden="1" w:uiPriority="0" w:unhideWhenUsed="1"/>
    <w:lsdException w:name="footer" w:locked="1" w:semiHidden="1" w:uiPriority="0"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iPriority="0"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iPriority="0"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0"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iPriority="0"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locked="1" w:semiHidden="1" w:unhideWhenUsed="1"/>
    <w:lsdException w:name="Hyperlink" w:locked="1" w:semiHidden="1" w:unhideWhenUsed="1"/>
    <w:lsdException w:name="FollowedHyperlink" w:locked="1" w:semiHidden="1" w:uiPriority="0" w:unhideWhenUsed="1"/>
    <w:lsdException w:name="Strong" w:uiPriority="22"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2E68"/>
    <w:rPr>
      <w:rFonts w:asciiTheme="minorHAnsi" w:eastAsiaTheme="minorEastAsia" w:hAnsiTheme="minorHAnsi" w:cstheme="minorBidi"/>
      <w:sz w:val="24"/>
      <w:szCs w:val="24"/>
      <w:lang w:eastAsia="ja-JP"/>
    </w:rPr>
  </w:style>
  <w:style w:type="paragraph" w:styleId="Heading1">
    <w:name w:val="heading 1"/>
    <w:basedOn w:val="Normal"/>
    <w:next w:val="Normal"/>
    <w:link w:val="Heading1Char"/>
    <w:qFormat/>
    <w:rsid w:val="009B5BBC"/>
    <w:pPr>
      <w:keepNext/>
      <w:spacing w:before="120" w:after="60"/>
      <w:ind w:left="709" w:hanging="709"/>
      <w:outlineLvl w:val="0"/>
    </w:pPr>
    <w:rPr>
      <w:rFonts w:ascii="Tahoma" w:eastAsia="Times New Roman" w:hAnsi="Tahoma" w:cs="Times New Roman"/>
      <w:b/>
      <w:noProof/>
      <w:sz w:val="22"/>
      <w:szCs w:val="20"/>
      <w:u w:val="single"/>
      <w:lang w:eastAsia="it-IT"/>
    </w:rPr>
  </w:style>
  <w:style w:type="paragraph" w:styleId="Heading2">
    <w:name w:val="heading 2"/>
    <w:basedOn w:val="Normal"/>
    <w:next w:val="Normal"/>
    <w:link w:val="Heading2Char"/>
    <w:qFormat/>
    <w:rsid w:val="009B5BBC"/>
    <w:pPr>
      <w:keepNext/>
      <w:spacing w:before="240" w:after="60"/>
      <w:jc w:val="center"/>
      <w:outlineLvl w:val="1"/>
    </w:pPr>
    <w:rPr>
      <w:rFonts w:ascii="Tahoma" w:eastAsia="Times New Roman" w:hAnsi="Tahoma" w:cs="Times New Roman"/>
      <w:b/>
      <w:i/>
      <w:noProof/>
      <w:szCs w:val="20"/>
      <w:lang w:eastAsia="it-IT"/>
    </w:rPr>
  </w:style>
  <w:style w:type="paragraph" w:styleId="Heading3">
    <w:name w:val="heading 3"/>
    <w:basedOn w:val="Normal"/>
    <w:next w:val="Normal"/>
    <w:link w:val="Heading3Char"/>
    <w:qFormat/>
    <w:rsid w:val="009B5BBC"/>
    <w:pPr>
      <w:keepNext/>
      <w:spacing w:before="240" w:after="60"/>
      <w:outlineLvl w:val="2"/>
    </w:pPr>
    <w:rPr>
      <w:rFonts w:ascii="Cambria" w:eastAsia="Times New Roman" w:hAnsi="Cambria" w:cs="Times New Roman"/>
      <w:b/>
      <w:bCs/>
      <w:sz w:val="26"/>
      <w:szCs w:val="26"/>
      <w:lang w:eastAsia="it-IT"/>
    </w:rPr>
  </w:style>
  <w:style w:type="paragraph" w:styleId="Heading4">
    <w:name w:val="heading 4"/>
    <w:basedOn w:val="Normal"/>
    <w:next w:val="Normal"/>
    <w:link w:val="Heading4Char"/>
    <w:qFormat/>
    <w:rsid w:val="009B5BBC"/>
    <w:pPr>
      <w:keepNext/>
      <w:spacing w:line="360" w:lineRule="auto"/>
      <w:ind w:left="705"/>
      <w:outlineLvl w:val="3"/>
    </w:pPr>
    <w:rPr>
      <w:rFonts w:ascii="Tahoma" w:eastAsia="Times New Roman" w:hAnsi="Tahoma" w:cs="Times New Roman"/>
      <w:b/>
      <w:sz w:val="20"/>
      <w:lang w:eastAsia="it-IT"/>
    </w:rPr>
  </w:style>
  <w:style w:type="paragraph" w:styleId="Heading5">
    <w:name w:val="heading 5"/>
    <w:basedOn w:val="Normal"/>
    <w:next w:val="Normal"/>
    <w:link w:val="Heading5Char"/>
    <w:qFormat/>
    <w:rsid w:val="00A56569"/>
    <w:pPr>
      <w:tabs>
        <w:tab w:val="num" w:pos="1008"/>
      </w:tabs>
      <w:spacing w:before="240" w:after="60"/>
      <w:ind w:left="1008" w:hanging="1008"/>
      <w:outlineLvl w:val="4"/>
    </w:pPr>
    <w:rPr>
      <w:rFonts w:ascii="Arial" w:eastAsia="Times New Roman" w:hAnsi="Arial" w:cs="Times New Roman"/>
      <w:bCs/>
      <w:i/>
      <w:iCs/>
      <w:sz w:val="20"/>
      <w:szCs w:val="26"/>
      <w:lang w:val="fr-FR" w:eastAsia="fr-FR"/>
    </w:rPr>
  </w:style>
  <w:style w:type="paragraph" w:styleId="Heading6">
    <w:name w:val="heading 6"/>
    <w:basedOn w:val="Normal"/>
    <w:next w:val="Normal"/>
    <w:link w:val="Heading6Char"/>
    <w:qFormat/>
    <w:rsid w:val="00A56569"/>
    <w:pPr>
      <w:tabs>
        <w:tab w:val="num" w:pos="1152"/>
      </w:tabs>
      <w:spacing w:before="240" w:after="60"/>
      <w:ind w:left="1152" w:hanging="1152"/>
      <w:outlineLvl w:val="5"/>
    </w:pPr>
    <w:rPr>
      <w:rFonts w:ascii="Arial" w:eastAsia="Times New Roman" w:hAnsi="Arial" w:cs="Times New Roman"/>
      <w:b/>
      <w:bCs/>
      <w:sz w:val="22"/>
      <w:szCs w:val="22"/>
      <w:lang w:val="fr-FR" w:eastAsia="fr-FR"/>
    </w:rPr>
  </w:style>
  <w:style w:type="paragraph" w:styleId="Heading7">
    <w:name w:val="heading 7"/>
    <w:basedOn w:val="Normal"/>
    <w:next w:val="Normal"/>
    <w:link w:val="Heading7Char"/>
    <w:qFormat/>
    <w:rsid w:val="009B5BBC"/>
    <w:pPr>
      <w:keepNext/>
      <w:spacing w:line="360" w:lineRule="auto"/>
      <w:ind w:left="1065"/>
      <w:outlineLvl w:val="6"/>
    </w:pPr>
    <w:rPr>
      <w:rFonts w:ascii="Tahoma" w:eastAsia="Times New Roman" w:hAnsi="Tahoma" w:cs="Times New Roman"/>
      <w:b/>
      <w:sz w:val="20"/>
      <w:lang w:eastAsia="it-IT"/>
    </w:rPr>
  </w:style>
  <w:style w:type="paragraph" w:styleId="Heading8">
    <w:name w:val="heading 8"/>
    <w:basedOn w:val="Normal"/>
    <w:next w:val="Normal"/>
    <w:link w:val="Heading8Char"/>
    <w:qFormat/>
    <w:rsid w:val="00A56569"/>
    <w:pPr>
      <w:tabs>
        <w:tab w:val="num" w:pos="1440"/>
      </w:tabs>
      <w:spacing w:before="240" w:after="60"/>
      <w:ind w:left="1440" w:hanging="1440"/>
      <w:outlineLvl w:val="7"/>
    </w:pPr>
    <w:rPr>
      <w:rFonts w:ascii="Arial" w:eastAsia="Times New Roman" w:hAnsi="Arial" w:cs="Times New Roman"/>
      <w:i/>
      <w:iCs/>
      <w:lang w:val="fr-FR" w:eastAsia="fr-FR"/>
    </w:rPr>
  </w:style>
  <w:style w:type="paragraph" w:styleId="Heading9">
    <w:name w:val="heading 9"/>
    <w:basedOn w:val="Normal"/>
    <w:next w:val="Normal"/>
    <w:link w:val="Heading9Char"/>
    <w:qFormat/>
    <w:rsid w:val="00A56569"/>
    <w:pPr>
      <w:tabs>
        <w:tab w:val="num" w:pos="1584"/>
      </w:tabs>
      <w:spacing w:before="240" w:after="60"/>
      <w:ind w:left="1584" w:hanging="1584"/>
      <w:outlineLvl w:val="8"/>
    </w:pPr>
    <w:rPr>
      <w:rFonts w:ascii="Arial" w:eastAsia="Times New Roman" w:hAnsi="Arial" w:cs="Times New Roman"/>
      <w:sz w:val="22"/>
      <w:szCs w:val="22"/>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9B5BBC"/>
    <w:rPr>
      <w:rFonts w:ascii="Tahoma" w:hAnsi="Tahoma" w:cs="Times New Roman"/>
      <w:b/>
      <w:noProof/>
      <w:sz w:val="20"/>
      <w:szCs w:val="20"/>
      <w:u w:val="single"/>
      <w:lang w:val="it-IT" w:eastAsia="it-IT"/>
    </w:rPr>
  </w:style>
  <w:style w:type="character" w:customStyle="1" w:styleId="Heading2Char">
    <w:name w:val="Heading 2 Char"/>
    <w:basedOn w:val="DefaultParagraphFont"/>
    <w:link w:val="Heading2"/>
    <w:locked/>
    <w:rsid w:val="009B5BBC"/>
    <w:rPr>
      <w:rFonts w:ascii="Tahoma" w:hAnsi="Tahoma" w:cs="Times New Roman"/>
      <w:b/>
      <w:i/>
      <w:noProof/>
      <w:sz w:val="20"/>
      <w:szCs w:val="20"/>
      <w:lang w:val="it-IT" w:eastAsia="it-IT"/>
    </w:rPr>
  </w:style>
  <w:style w:type="character" w:customStyle="1" w:styleId="Heading3Char">
    <w:name w:val="Heading 3 Char"/>
    <w:basedOn w:val="DefaultParagraphFont"/>
    <w:link w:val="Heading3"/>
    <w:locked/>
    <w:rsid w:val="009B5BBC"/>
    <w:rPr>
      <w:rFonts w:ascii="Cambria" w:hAnsi="Cambria" w:cs="Times New Roman"/>
      <w:b/>
      <w:bCs/>
      <w:sz w:val="26"/>
      <w:szCs w:val="26"/>
      <w:lang w:val="it-IT" w:eastAsia="it-IT"/>
    </w:rPr>
  </w:style>
  <w:style w:type="character" w:customStyle="1" w:styleId="Heading4Char">
    <w:name w:val="Heading 4 Char"/>
    <w:basedOn w:val="DefaultParagraphFont"/>
    <w:link w:val="Heading4"/>
    <w:locked/>
    <w:rsid w:val="009B5BBC"/>
    <w:rPr>
      <w:rFonts w:ascii="Tahoma" w:hAnsi="Tahoma" w:cs="Times New Roman"/>
      <w:b/>
      <w:sz w:val="24"/>
      <w:szCs w:val="24"/>
      <w:lang w:val="it-IT" w:eastAsia="it-IT"/>
    </w:rPr>
  </w:style>
  <w:style w:type="character" w:customStyle="1" w:styleId="Heading7Char">
    <w:name w:val="Heading 7 Char"/>
    <w:basedOn w:val="DefaultParagraphFont"/>
    <w:link w:val="Heading7"/>
    <w:locked/>
    <w:rsid w:val="009B5BBC"/>
    <w:rPr>
      <w:rFonts w:ascii="Tahoma" w:hAnsi="Tahoma" w:cs="Times New Roman"/>
      <w:b/>
      <w:sz w:val="24"/>
      <w:szCs w:val="24"/>
      <w:lang w:val="it-IT" w:eastAsia="it-IT"/>
    </w:rPr>
  </w:style>
  <w:style w:type="paragraph" w:styleId="BalloonText">
    <w:name w:val="Balloon Text"/>
    <w:basedOn w:val="Normal"/>
    <w:link w:val="BalloonTextChar"/>
    <w:uiPriority w:val="99"/>
    <w:rsid w:val="009B5BBC"/>
    <w:rPr>
      <w:rFonts w:ascii="Tahoma" w:eastAsia="Times New Roman" w:hAnsi="Tahoma" w:cs="Tahoma"/>
      <w:sz w:val="16"/>
      <w:szCs w:val="16"/>
      <w:lang w:eastAsia="it-IT"/>
    </w:rPr>
  </w:style>
  <w:style w:type="character" w:customStyle="1" w:styleId="BalloonTextChar">
    <w:name w:val="Balloon Text Char"/>
    <w:basedOn w:val="DefaultParagraphFont"/>
    <w:link w:val="BalloonText"/>
    <w:uiPriority w:val="99"/>
    <w:locked/>
    <w:rsid w:val="009B5BBC"/>
    <w:rPr>
      <w:rFonts w:ascii="Tahoma" w:hAnsi="Tahoma" w:cs="Tahoma"/>
      <w:sz w:val="16"/>
      <w:szCs w:val="16"/>
      <w:lang w:val="it-IT" w:eastAsia="it-IT"/>
    </w:rPr>
  </w:style>
  <w:style w:type="paragraph" w:styleId="BodyTextIndent2">
    <w:name w:val="Body Text Indent 2"/>
    <w:basedOn w:val="Normal"/>
    <w:link w:val="BodyTextIndent2Char"/>
    <w:rsid w:val="009B5BBC"/>
    <w:pPr>
      <w:spacing w:line="360" w:lineRule="auto"/>
      <w:ind w:left="708"/>
    </w:pPr>
    <w:rPr>
      <w:rFonts w:ascii="Tahoma" w:eastAsia="Times New Roman" w:hAnsi="Tahoma" w:cs="Times New Roman"/>
      <w:sz w:val="20"/>
      <w:lang w:eastAsia="it-IT"/>
    </w:rPr>
  </w:style>
  <w:style w:type="character" w:customStyle="1" w:styleId="BodyTextIndent2Char">
    <w:name w:val="Body Text Indent 2 Char"/>
    <w:basedOn w:val="DefaultParagraphFont"/>
    <w:link w:val="BodyTextIndent2"/>
    <w:locked/>
    <w:rsid w:val="009B5BBC"/>
    <w:rPr>
      <w:rFonts w:ascii="Tahoma" w:hAnsi="Tahoma" w:cs="Times New Roman"/>
      <w:sz w:val="24"/>
      <w:szCs w:val="24"/>
      <w:lang w:val="it-IT" w:eastAsia="it-IT"/>
    </w:rPr>
  </w:style>
  <w:style w:type="paragraph" w:styleId="ListParagraph">
    <w:name w:val="List Paragraph"/>
    <w:basedOn w:val="Normal"/>
    <w:link w:val="ListParagraphChar"/>
    <w:uiPriority w:val="34"/>
    <w:qFormat/>
    <w:rsid w:val="009B5BBC"/>
    <w:pPr>
      <w:ind w:left="720"/>
      <w:contextualSpacing/>
    </w:pPr>
    <w:rPr>
      <w:rFonts w:ascii="Times New Roman" w:eastAsia="Times New Roman" w:hAnsi="Times New Roman" w:cs="Times New Roman"/>
      <w:lang w:eastAsia="it-IT"/>
    </w:rPr>
  </w:style>
  <w:style w:type="paragraph" w:customStyle="1" w:styleId="Default">
    <w:name w:val="Default"/>
    <w:rsid w:val="009B5BBC"/>
    <w:pPr>
      <w:autoSpaceDE w:val="0"/>
      <w:autoSpaceDN w:val="0"/>
      <w:adjustRightInd w:val="0"/>
    </w:pPr>
    <w:rPr>
      <w:rFonts w:ascii="Times New Roman" w:eastAsia="Times New Roman" w:hAnsi="Times New Roman"/>
      <w:color w:val="000000"/>
      <w:sz w:val="24"/>
      <w:szCs w:val="24"/>
      <w:lang w:val="en-US" w:eastAsia="en-US"/>
    </w:rPr>
  </w:style>
  <w:style w:type="paragraph" w:customStyle="1" w:styleId="BodyText">
    <w:name w:val="BodyText"/>
    <w:basedOn w:val="Normal"/>
    <w:link w:val="BodyTextChar"/>
    <w:uiPriority w:val="99"/>
    <w:rsid w:val="009B5BBC"/>
    <w:pPr>
      <w:tabs>
        <w:tab w:val="left" w:pos="1337"/>
      </w:tabs>
      <w:spacing w:after="120" w:line="360" w:lineRule="auto"/>
      <w:jc w:val="both"/>
    </w:pPr>
    <w:rPr>
      <w:rFonts w:ascii="Arial" w:eastAsia="Times New Roman" w:hAnsi="Arial" w:cs="Times New Roman"/>
      <w:sz w:val="20"/>
      <w:lang w:val="en-US" w:eastAsia="en-US"/>
    </w:rPr>
  </w:style>
  <w:style w:type="character" w:customStyle="1" w:styleId="BodyTextChar">
    <w:name w:val="BodyText Char"/>
    <w:basedOn w:val="DefaultParagraphFont"/>
    <w:link w:val="BodyText"/>
    <w:uiPriority w:val="99"/>
    <w:locked/>
    <w:rsid w:val="009B5BBC"/>
    <w:rPr>
      <w:rFonts w:ascii="Arial" w:hAnsi="Arial" w:cs="Times New Roman"/>
      <w:sz w:val="24"/>
      <w:szCs w:val="24"/>
    </w:rPr>
  </w:style>
  <w:style w:type="paragraph" w:customStyle="1" w:styleId="Tablefootnote">
    <w:name w:val="Table footnote"/>
    <w:basedOn w:val="BodyText"/>
    <w:link w:val="TablefootnoteChar"/>
    <w:qFormat/>
    <w:rsid w:val="009B5BBC"/>
    <w:pPr>
      <w:tabs>
        <w:tab w:val="clear" w:pos="1337"/>
        <w:tab w:val="left" w:pos="144"/>
      </w:tabs>
      <w:spacing w:before="40" w:after="240"/>
      <w:contextualSpacing/>
    </w:pPr>
    <w:rPr>
      <w:sz w:val="16"/>
    </w:rPr>
  </w:style>
  <w:style w:type="paragraph" w:customStyle="1" w:styleId="Pa22">
    <w:name w:val="Pa22"/>
    <w:basedOn w:val="Default"/>
    <w:next w:val="Default"/>
    <w:uiPriority w:val="99"/>
    <w:rsid w:val="009B5BBC"/>
    <w:pPr>
      <w:spacing w:line="141" w:lineRule="atLeast"/>
    </w:pPr>
    <w:rPr>
      <w:rFonts w:ascii="Gill Sans MT" w:eastAsia="Calibri" w:hAnsi="Gill Sans MT"/>
      <w:color w:val="auto"/>
    </w:rPr>
  </w:style>
  <w:style w:type="paragraph" w:styleId="Caption">
    <w:name w:val="caption"/>
    <w:aliases w:val="Title for tables and figures,Table Caption,Caption-FUSA,Char1,c,Caption TNR,CAT-eCTD-table-figure,Caption Char Char Char Char Char Char Char Char Char Char Char,Caption Char1,Caption Char Char,Caption Char Char Char Char"/>
    <w:basedOn w:val="BodyText"/>
    <w:next w:val="BodyText"/>
    <w:link w:val="CaptionChar"/>
    <w:qFormat/>
    <w:rsid w:val="009B5BBC"/>
    <w:pPr>
      <w:keepNext/>
    </w:pPr>
    <w:rPr>
      <w:rFonts w:ascii="Arial Bold" w:hAnsi="Arial Bold"/>
      <w:b/>
      <w:bCs/>
      <w:color w:val="00355F"/>
      <w:szCs w:val="20"/>
    </w:rPr>
  </w:style>
  <w:style w:type="paragraph" w:customStyle="1" w:styleId="Tabletext">
    <w:name w:val="Table text"/>
    <w:basedOn w:val="BodyText"/>
    <w:link w:val="TabletextChar"/>
    <w:qFormat/>
    <w:rsid w:val="009B5BBC"/>
    <w:pPr>
      <w:spacing w:after="0" w:line="240" w:lineRule="auto"/>
      <w:jc w:val="left"/>
    </w:pPr>
  </w:style>
  <w:style w:type="paragraph" w:styleId="BodyTextIndent3">
    <w:name w:val="Body Text Indent 3"/>
    <w:basedOn w:val="Normal"/>
    <w:link w:val="BodyTextIndent3Char"/>
    <w:rsid w:val="00FD0187"/>
    <w:pPr>
      <w:spacing w:after="120"/>
      <w:ind w:left="283"/>
    </w:pPr>
    <w:rPr>
      <w:rFonts w:ascii="Times New Roman" w:eastAsia="Times New Roman" w:hAnsi="Times New Roman" w:cs="Times New Roman"/>
      <w:sz w:val="16"/>
      <w:szCs w:val="16"/>
      <w:lang w:eastAsia="it-IT"/>
    </w:rPr>
  </w:style>
  <w:style w:type="character" w:customStyle="1" w:styleId="BodyTextIndent3Char">
    <w:name w:val="Body Text Indent 3 Char"/>
    <w:basedOn w:val="DefaultParagraphFont"/>
    <w:link w:val="BodyTextIndent3"/>
    <w:locked/>
    <w:rsid w:val="00FD0187"/>
    <w:rPr>
      <w:rFonts w:ascii="Times New Roman" w:hAnsi="Times New Roman" w:cs="Times New Roman"/>
      <w:sz w:val="16"/>
      <w:szCs w:val="16"/>
      <w:lang w:val="it-IT" w:eastAsia="it-IT"/>
    </w:rPr>
  </w:style>
  <w:style w:type="character" w:styleId="CommentReference">
    <w:name w:val="annotation reference"/>
    <w:basedOn w:val="DefaultParagraphFont"/>
    <w:uiPriority w:val="99"/>
    <w:rsid w:val="00FD0187"/>
    <w:rPr>
      <w:rFonts w:cs="Times New Roman"/>
      <w:sz w:val="16"/>
      <w:szCs w:val="16"/>
    </w:rPr>
  </w:style>
  <w:style w:type="paragraph" w:styleId="CommentText">
    <w:name w:val="annotation text"/>
    <w:basedOn w:val="Normal"/>
    <w:link w:val="CommentTextChar2"/>
    <w:rsid w:val="00FD0187"/>
    <w:rPr>
      <w:rFonts w:ascii="Times New Roman" w:eastAsia="Times New Roman" w:hAnsi="Times New Roman" w:cs="Times New Roman"/>
      <w:sz w:val="20"/>
      <w:szCs w:val="20"/>
      <w:lang w:eastAsia="it-IT"/>
    </w:rPr>
  </w:style>
  <w:style w:type="character" w:customStyle="1" w:styleId="CommentTextChar2">
    <w:name w:val="Comment Text Char2"/>
    <w:basedOn w:val="DefaultParagraphFont"/>
    <w:link w:val="CommentText"/>
    <w:locked/>
    <w:rsid w:val="00FD0187"/>
    <w:rPr>
      <w:rFonts w:ascii="Times New Roman" w:hAnsi="Times New Roman" w:cs="Times New Roman"/>
      <w:sz w:val="20"/>
      <w:szCs w:val="20"/>
      <w:lang w:val="it-IT" w:eastAsia="it-IT"/>
    </w:rPr>
  </w:style>
  <w:style w:type="character" w:styleId="Hyperlink">
    <w:name w:val="Hyperlink"/>
    <w:basedOn w:val="DefaultParagraphFont"/>
    <w:uiPriority w:val="99"/>
    <w:rsid w:val="00FD0187"/>
    <w:rPr>
      <w:rFonts w:cs="Times New Roman"/>
      <w:color w:val="0000FF"/>
      <w:u w:val="single"/>
    </w:rPr>
  </w:style>
  <w:style w:type="paragraph" w:styleId="FootnoteText">
    <w:name w:val="footnote text"/>
    <w:basedOn w:val="Normal"/>
    <w:link w:val="FootnoteTextChar"/>
    <w:autoRedefine/>
    <w:rsid w:val="00777E08"/>
    <w:pPr>
      <w:tabs>
        <w:tab w:val="left" w:pos="0"/>
      </w:tabs>
      <w:jc w:val="both"/>
    </w:pPr>
    <w:rPr>
      <w:rFonts w:cs="Arial"/>
      <w:noProof/>
      <w:sz w:val="20"/>
      <w:szCs w:val="20"/>
      <w:lang w:val="en-US"/>
    </w:rPr>
  </w:style>
  <w:style w:type="character" w:customStyle="1" w:styleId="FootnoteTextChar">
    <w:name w:val="Footnote Text Char"/>
    <w:basedOn w:val="DefaultParagraphFont"/>
    <w:link w:val="FootnoteText"/>
    <w:locked/>
    <w:rsid w:val="00777E08"/>
    <w:rPr>
      <w:rFonts w:asciiTheme="minorHAnsi" w:eastAsiaTheme="minorEastAsia" w:hAnsiTheme="minorHAnsi" w:cs="Arial"/>
      <w:noProof/>
      <w:sz w:val="20"/>
      <w:szCs w:val="20"/>
      <w:lang w:val="en-US" w:eastAsia="ja-JP"/>
    </w:rPr>
  </w:style>
  <w:style w:type="character" w:styleId="FootnoteReference">
    <w:name w:val="footnote reference"/>
    <w:basedOn w:val="DefaultParagraphFont"/>
    <w:rsid w:val="00A95536"/>
    <w:rPr>
      <w:rFonts w:cs="Times New Roman"/>
      <w:vertAlign w:val="superscript"/>
    </w:rPr>
  </w:style>
  <w:style w:type="character" w:customStyle="1" w:styleId="highlight">
    <w:name w:val="highlight"/>
    <w:basedOn w:val="DefaultParagraphFont"/>
    <w:rsid w:val="00A95536"/>
    <w:rPr>
      <w:rFonts w:cs="Times New Roman"/>
    </w:rPr>
  </w:style>
  <w:style w:type="character" w:customStyle="1" w:styleId="jrnl">
    <w:name w:val="jrnl"/>
    <w:basedOn w:val="DefaultParagraphFont"/>
    <w:rsid w:val="00A95536"/>
    <w:rPr>
      <w:rFonts w:cs="Times New Roman"/>
    </w:rPr>
  </w:style>
  <w:style w:type="paragraph" w:styleId="HTMLPreformatted">
    <w:name w:val="HTML Preformatted"/>
    <w:basedOn w:val="Normal"/>
    <w:link w:val="HTMLPreformattedChar"/>
    <w:uiPriority w:val="99"/>
    <w:semiHidden/>
    <w:rsid w:val="00A95536"/>
    <w:rPr>
      <w:rFonts w:ascii="Courier New" w:eastAsia="Times New Roman" w:hAnsi="Courier New" w:cs="Courier New"/>
      <w:sz w:val="20"/>
      <w:szCs w:val="20"/>
      <w:lang w:eastAsia="it-IT"/>
    </w:rPr>
  </w:style>
  <w:style w:type="character" w:customStyle="1" w:styleId="HTMLPreformattedChar">
    <w:name w:val="HTML Preformatted Char"/>
    <w:basedOn w:val="DefaultParagraphFont"/>
    <w:link w:val="HTMLPreformatted"/>
    <w:uiPriority w:val="99"/>
    <w:semiHidden/>
    <w:locked/>
    <w:rsid w:val="00A95536"/>
    <w:rPr>
      <w:rFonts w:ascii="Courier New" w:hAnsi="Courier New" w:cs="Courier New"/>
      <w:sz w:val="20"/>
      <w:szCs w:val="20"/>
      <w:lang w:val="it-IT" w:eastAsia="it-IT"/>
    </w:rPr>
  </w:style>
  <w:style w:type="paragraph" w:customStyle="1" w:styleId="Titolo1">
    <w:name w:val="Titolo1"/>
    <w:basedOn w:val="Normal"/>
    <w:uiPriority w:val="99"/>
    <w:rsid w:val="00C322CD"/>
    <w:pPr>
      <w:spacing w:before="100" w:beforeAutospacing="1" w:after="100" w:afterAutospacing="1"/>
    </w:pPr>
    <w:rPr>
      <w:rFonts w:ascii="Times New Roman" w:eastAsia="Times New Roman" w:hAnsi="Times New Roman" w:cs="Times New Roman"/>
      <w:lang w:val="en-US" w:eastAsia="en-US"/>
    </w:rPr>
  </w:style>
  <w:style w:type="paragraph" w:styleId="PlainText">
    <w:name w:val="Plain Text"/>
    <w:basedOn w:val="Normal"/>
    <w:link w:val="PlainTextChar"/>
    <w:uiPriority w:val="99"/>
    <w:rsid w:val="00AF2726"/>
    <w:rPr>
      <w:rFonts w:ascii="Courier New" w:eastAsia="Batang" w:hAnsi="Courier New" w:cs="Times New Roman"/>
      <w:sz w:val="20"/>
      <w:lang w:val="en-US" w:eastAsia="ko-KR"/>
    </w:rPr>
  </w:style>
  <w:style w:type="character" w:customStyle="1" w:styleId="PlainTextChar">
    <w:name w:val="Plain Text Char"/>
    <w:basedOn w:val="DefaultParagraphFont"/>
    <w:link w:val="PlainText"/>
    <w:uiPriority w:val="99"/>
    <w:locked/>
    <w:rsid w:val="00AF2726"/>
    <w:rPr>
      <w:rFonts w:ascii="Courier New" w:eastAsia="Batang" w:hAnsi="Courier New" w:cs="Times New Roman"/>
      <w:snapToGrid w:val="0"/>
      <w:sz w:val="24"/>
      <w:szCs w:val="24"/>
      <w:lang w:eastAsia="ko-KR"/>
    </w:rPr>
  </w:style>
  <w:style w:type="paragraph" w:styleId="NormalWeb">
    <w:name w:val="Normal (Web)"/>
    <w:basedOn w:val="Normal"/>
    <w:uiPriority w:val="99"/>
    <w:rsid w:val="00910C3E"/>
    <w:pPr>
      <w:spacing w:before="100" w:beforeAutospacing="1" w:after="100" w:afterAutospacing="1"/>
    </w:pPr>
    <w:rPr>
      <w:rFonts w:ascii="Times New Roman" w:eastAsia="Times New Roman" w:hAnsi="Times New Roman" w:cs="Times New Roman"/>
      <w:lang w:val="en-US" w:eastAsia="en-US"/>
    </w:rPr>
  </w:style>
  <w:style w:type="paragraph" w:customStyle="1" w:styleId="title1">
    <w:name w:val="title1"/>
    <w:basedOn w:val="Normal"/>
    <w:uiPriority w:val="99"/>
    <w:rsid w:val="00732FD0"/>
    <w:rPr>
      <w:rFonts w:ascii="Times New Roman" w:eastAsia="Times New Roman" w:hAnsi="Times New Roman" w:cs="Times New Roman"/>
      <w:sz w:val="27"/>
      <w:szCs w:val="27"/>
      <w:lang w:val="en-US" w:eastAsia="en-US"/>
    </w:rPr>
  </w:style>
  <w:style w:type="paragraph" w:customStyle="1" w:styleId="desc2">
    <w:name w:val="desc2"/>
    <w:basedOn w:val="Normal"/>
    <w:uiPriority w:val="99"/>
    <w:rsid w:val="00542C42"/>
    <w:rPr>
      <w:rFonts w:ascii="Times New Roman" w:eastAsia="Times New Roman" w:hAnsi="Times New Roman" w:cs="Times New Roman"/>
      <w:sz w:val="26"/>
      <w:szCs w:val="26"/>
      <w:lang w:val="en-US" w:eastAsia="en-US"/>
    </w:rPr>
  </w:style>
  <w:style w:type="paragraph" w:customStyle="1" w:styleId="TextTi12">
    <w:name w:val="Text:Ti12"/>
    <w:basedOn w:val="Normal"/>
    <w:link w:val="TextTi12Char"/>
    <w:uiPriority w:val="99"/>
    <w:rsid w:val="00F45AF3"/>
    <w:pPr>
      <w:spacing w:after="170" w:line="260" w:lineRule="atLeast"/>
      <w:jc w:val="both"/>
    </w:pPr>
    <w:rPr>
      <w:rFonts w:ascii="Times New Roman" w:eastAsia="PMingLiU" w:hAnsi="Times New Roman" w:cs="Times New Roman"/>
      <w:szCs w:val="20"/>
    </w:rPr>
  </w:style>
  <w:style w:type="character" w:customStyle="1" w:styleId="TextTi12Char">
    <w:name w:val="Text:Ti12 Char"/>
    <w:link w:val="TextTi12"/>
    <w:uiPriority w:val="99"/>
    <w:locked/>
    <w:rsid w:val="00F45AF3"/>
    <w:rPr>
      <w:rFonts w:ascii="Times New Roman" w:eastAsia="PMingLiU" w:hAnsi="Times New Roman"/>
      <w:sz w:val="24"/>
    </w:rPr>
  </w:style>
  <w:style w:type="paragraph" w:styleId="CommentSubject">
    <w:name w:val="annotation subject"/>
    <w:basedOn w:val="CommentText"/>
    <w:next w:val="CommentText"/>
    <w:link w:val="CommentSubjectChar"/>
    <w:rsid w:val="00F50175"/>
    <w:rPr>
      <w:b/>
      <w:bCs/>
    </w:rPr>
  </w:style>
  <w:style w:type="character" w:customStyle="1" w:styleId="CommentSubjectChar">
    <w:name w:val="Comment Subject Char"/>
    <w:basedOn w:val="CommentTextChar2"/>
    <w:link w:val="CommentSubject"/>
    <w:locked/>
    <w:rsid w:val="00F50175"/>
    <w:rPr>
      <w:rFonts w:ascii="Times New Roman" w:hAnsi="Times New Roman" w:cs="Times New Roman"/>
      <w:b/>
      <w:bCs/>
      <w:sz w:val="20"/>
      <w:szCs w:val="20"/>
      <w:lang w:val="it-IT" w:eastAsia="it-IT"/>
    </w:rPr>
  </w:style>
  <w:style w:type="paragraph" w:styleId="Revision">
    <w:name w:val="Revision"/>
    <w:hidden/>
    <w:uiPriority w:val="99"/>
    <w:semiHidden/>
    <w:rsid w:val="009D2FA5"/>
    <w:rPr>
      <w:rFonts w:ascii="Times New Roman" w:eastAsia="Times New Roman" w:hAnsi="Times New Roman"/>
      <w:sz w:val="24"/>
      <w:szCs w:val="24"/>
    </w:rPr>
  </w:style>
  <w:style w:type="paragraph" w:styleId="Header">
    <w:name w:val="header"/>
    <w:basedOn w:val="Normal"/>
    <w:link w:val="HeaderChar"/>
    <w:rsid w:val="00D75699"/>
    <w:pPr>
      <w:tabs>
        <w:tab w:val="center" w:pos="4819"/>
        <w:tab w:val="right" w:pos="9638"/>
      </w:tabs>
    </w:pPr>
    <w:rPr>
      <w:rFonts w:ascii="Times New Roman" w:eastAsia="Times New Roman" w:hAnsi="Times New Roman" w:cs="Times New Roman"/>
      <w:lang w:eastAsia="it-IT"/>
    </w:rPr>
  </w:style>
  <w:style w:type="character" w:customStyle="1" w:styleId="HeaderChar">
    <w:name w:val="Header Char"/>
    <w:basedOn w:val="DefaultParagraphFont"/>
    <w:link w:val="Header"/>
    <w:locked/>
    <w:rsid w:val="00D75699"/>
    <w:rPr>
      <w:rFonts w:ascii="Times New Roman" w:hAnsi="Times New Roman" w:cs="Times New Roman"/>
      <w:sz w:val="24"/>
      <w:szCs w:val="24"/>
      <w:lang w:val="it-IT" w:eastAsia="it-IT"/>
    </w:rPr>
  </w:style>
  <w:style w:type="paragraph" w:styleId="Footer">
    <w:name w:val="footer"/>
    <w:basedOn w:val="Normal"/>
    <w:link w:val="FooterChar"/>
    <w:rsid w:val="00D75699"/>
    <w:pPr>
      <w:tabs>
        <w:tab w:val="center" w:pos="4819"/>
        <w:tab w:val="right" w:pos="9638"/>
      </w:tabs>
    </w:pPr>
    <w:rPr>
      <w:rFonts w:ascii="Times New Roman" w:eastAsia="Times New Roman" w:hAnsi="Times New Roman" w:cs="Times New Roman"/>
      <w:lang w:eastAsia="it-IT"/>
    </w:rPr>
  </w:style>
  <w:style w:type="character" w:customStyle="1" w:styleId="FooterChar">
    <w:name w:val="Footer Char"/>
    <w:basedOn w:val="DefaultParagraphFont"/>
    <w:link w:val="Footer"/>
    <w:locked/>
    <w:rsid w:val="00D75699"/>
    <w:rPr>
      <w:rFonts w:ascii="Times New Roman" w:hAnsi="Times New Roman" w:cs="Times New Roman"/>
      <w:sz w:val="24"/>
      <w:szCs w:val="24"/>
      <w:lang w:val="it-IT" w:eastAsia="it-IT"/>
    </w:rPr>
  </w:style>
  <w:style w:type="table" w:styleId="TableGrid">
    <w:name w:val="Table Grid"/>
    <w:basedOn w:val="TableNormal"/>
    <w:rsid w:val="00930C1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E5573"/>
    <w:rPr>
      <w:rFonts w:cs="Times New Roman"/>
    </w:rPr>
  </w:style>
  <w:style w:type="paragraph" w:customStyle="1" w:styleId="TextTi11">
    <w:name w:val="Text:Ti11"/>
    <w:basedOn w:val="Normal"/>
    <w:link w:val="CarattereCarattere"/>
    <w:uiPriority w:val="99"/>
    <w:rsid w:val="00935653"/>
    <w:pPr>
      <w:spacing w:after="170" w:line="260" w:lineRule="atLeast"/>
      <w:jc w:val="both"/>
    </w:pPr>
    <w:rPr>
      <w:rFonts w:ascii="Courier New" w:eastAsia="Calibri" w:hAnsi="Courier New" w:cs="Times New Roman"/>
      <w:szCs w:val="20"/>
    </w:rPr>
  </w:style>
  <w:style w:type="character" w:customStyle="1" w:styleId="CarattereCarattere">
    <w:name w:val="Carattere Carattere"/>
    <w:link w:val="TextTi11"/>
    <w:uiPriority w:val="99"/>
    <w:locked/>
    <w:rsid w:val="00935653"/>
    <w:rPr>
      <w:rFonts w:ascii="Courier New" w:hAnsi="Courier New"/>
      <w:sz w:val="24"/>
    </w:rPr>
  </w:style>
  <w:style w:type="paragraph" w:customStyle="1" w:styleId="details1">
    <w:name w:val="details1"/>
    <w:basedOn w:val="Normal"/>
    <w:uiPriority w:val="99"/>
    <w:rsid w:val="00E126E5"/>
    <w:rPr>
      <w:rFonts w:ascii="Times New Roman" w:eastAsia="Times New Roman" w:hAnsi="Times New Roman" w:cs="Times New Roman"/>
      <w:sz w:val="22"/>
      <w:szCs w:val="22"/>
      <w:lang w:val="en-US" w:eastAsia="en-US"/>
    </w:rPr>
  </w:style>
  <w:style w:type="paragraph" w:customStyle="1" w:styleId="Pa15">
    <w:name w:val="Pa15"/>
    <w:basedOn w:val="Normal"/>
    <w:next w:val="Normal"/>
    <w:uiPriority w:val="99"/>
    <w:rsid w:val="00D7160D"/>
    <w:pPr>
      <w:autoSpaceDE w:val="0"/>
      <w:autoSpaceDN w:val="0"/>
      <w:adjustRightInd w:val="0"/>
      <w:spacing w:line="191" w:lineRule="atLeast"/>
    </w:pPr>
    <w:rPr>
      <w:rFonts w:ascii="Helvetica 55 Roman" w:eastAsia="Calibri" w:hAnsi="Helvetica 55 Roman" w:cs="Times New Roman"/>
      <w:lang w:eastAsia="en-US"/>
    </w:rPr>
  </w:style>
  <w:style w:type="table" w:styleId="LightShading">
    <w:name w:val="Light Shading"/>
    <w:basedOn w:val="TableNormal"/>
    <w:uiPriority w:val="99"/>
    <w:rsid w:val="00D7160D"/>
    <w:rPr>
      <w:color w:val="000000"/>
      <w:sz w:val="20"/>
      <w:szCs w:val="20"/>
      <w:lang w:eastAsia="en-US"/>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paragraph" w:styleId="BodyText3">
    <w:name w:val="Body Text 3"/>
    <w:basedOn w:val="Normal"/>
    <w:link w:val="BodyText3Char"/>
    <w:locked/>
    <w:rsid w:val="00440576"/>
    <w:pPr>
      <w:spacing w:after="120"/>
    </w:pPr>
    <w:rPr>
      <w:rFonts w:ascii="Times New Roman" w:eastAsia="Times New Roman" w:hAnsi="Times New Roman" w:cs="Times New Roman"/>
      <w:sz w:val="16"/>
      <w:szCs w:val="16"/>
      <w:lang w:eastAsia="it-IT"/>
    </w:rPr>
  </w:style>
  <w:style w:type="character" w:customStyle="1" w:styleId="BodyText3Char">
    <w:name w:val="Body Text 3 Char"/>
    <w:basedOn w:val="DefaultParagraphFont"/>
    <w:link w:val="BodyText3"/>
    <w:locked/>
    <w:rsid w:val="00440576"/>
    <w:rPr>
      <w:rFonts w:ascii="Times New Roman" w:hAnsi="Times New Roman" w:cs="Times New Roman"/>
      <w:sz w:val="16"/>
      <w:szCs w:val="16"/>
    </w:rPr>
  </w:style>
  <w:style w:type="paragraph" w:styleId="BlockText">
    <w:name w:val="Block Text"/>
    <w:basedOn w:val="Normal"/>
    <w:uiPriority w:val="99"/>
    <w:locked/>
    <w:rsid w:val="00BB725E"/>
    <w:pPr>
      <w:spacing w:after="120"/>
      <w:ind w:left="1440" w:right="1440"/>
    </w:pPr>
    <w:rPr>
      <w:rFonts w:ascii="Times New Roman" w:eastAsia="Times New Roman" w:hAnsi="Times New Roman" w:cs="Times New Roman"/>
      <w:lang w:val="en-US" w:eastAsia="en-US"/>
    </w:rPr>
  </w:style>
  <w:style w:type="character" w:customStyle="1" w:styleId="Heading5Char">
    <w:name w:val="Heading 5 Char"/>
    <w:basedOn w:val="DefaultParagraphFont"/>
    <w:link w:val="Heading5"/>
    <w:rsid w:val="00A56569"/>
    <w:rPr>
      <w:rFonts w:ascii="Arial" w:eastAsia="Times New Roman" w:hAnsi="Arial"/>
      <w:bCs/>
      <w:i/>
      <w:iCs/>
      <w:sz w:val="20"/>
      <w:szCs w:val="26"/>
      <w:lang w:val="fr-FR" w:eastAsia="fr-FR"/>
    </w:rPr>
  </w:style>
  <w:style w:type="character" w:customStyle="1" w:styleId="Heading6Char">
    <w:name w:val="Heading 6 Char"/>
    <w:basedOn w:val="DefaultParagraphFont"/>
    <w:link w:val="Heading6"/>
    <w:rsid w:val="00A56569"/>
    <w:rPr>
      <w:rFonts w:ascii="Arial" w:eastAsia="Times New Roman" w:hAnsi="Arial"/>
      <w:b/>
      <w:bCs/>
      <w:lang w:val="fr-FR" w:eastAsia="fr-FR"/>
    </w:rPr>
  </w:style>
  <w:style w:type="character" w:customStyle="1" w:styleId="Heading8Char">
    <w:name w:val="Heading 8 Char"/>
    <w:basedOn w:val="DefaultParagraphFont"/>
    <w:link w:val="Heading8"/>
    <w:rsid w:val="00A56569"/>
    <w:rPr>
      <w:rFonts w:ascii="Arial" w:eastAsia="Times New Roman" w:hAnsi="Arial"/>
      <w:i/>
      <w:iCs/>
      <w:sz w:val="24"/>
      <w:szCs w:val="24"/>
      <w:lang w:val="fr-FR" w:eastAsia="fr-FR"/>
    </w:rPr>
  </w:style>
  <w:style w:type="character" w:customStyle="1" w:styleId="Heading9Char">
    <w:name w:val="Heading 9 Char"/>
    <w:basedOn w:val="DefaultParagraphFont"/>
    <w:link w:val="Heading9"/>
    <w:rsid w:val="00A56569"/>
    <w:rPr>
      <w:rFonts w:ascii="Arial" w:eastAsia="Times New Roman" w:hAnsi="Arial"/>
      <w:lang w:val="fr-FR" w:eastAsia="fr-FR"/>
    </w:rPr>
  </w:style>
  <w:style w:type="paragraph" w:styleId="BodyText0">
    <w:name w:val="Body Text"/>
    <w:basedOn w:val="Normal"/>
    <w:link w:val="BodyTextChar0"/>
    <w:locked/>
    <w:rsid w:val="00A56569"/>
    <w:pPr>
      <w:tabs>
        <w:tab w:val="left" w:pos="567"/>
      </w:tabs>
      <w:spacing w:line="260" w:lineRule="exact"/>
      <w:jc w:val="both"/>
    </w:pPr>
    <w:rPr>
      <w:rFonts w:ascii="Times New Roman" w:eastAsia="Times New Roman" w:hAnsi="Times New Roman" w:cs="Times New Roman"/>
      <w:sz w:val="22"/>
      <w:szCs w:val="22"/>
      <w:lang w:val="en-GB" w:eastAsia="en-US"/>
    </w:rPr>
  </w:style>
  <w:style w:type="character" w:customStyle="1" w:styleId="BodyTextChar0">
    <w:name w:val="Body Text Char"/>
    <w:basedOn w:val="DefaultParagraphFont"/>
    <w:link w:val="BodyText0"/>
    <w:rsid w:val="00A56569"/>
    <w:rPr>
      <w:rFonts w:ascii="Times New Roman" w:eastAsia="Times New Roman" w:hAnsi="Times New Roman"/>
      <w:lang w:val="en-GB" w:eastAsia="en-US"/>
    </w:rPr>
  </w:style>
  <w:style w:type="character" w:customStyle="1" w:styleId="CaptionChar">
    <w:name w:val="Caption Char"/>
    <w:aliases w:val="Title for tables and figures Char,Table Caption Char,Caption-FUSA Char,Char1 Char,c Char,Caption TNR Char,CAT-eCTD-table-figure Char,Caption Char Char Char Char Char Char Char Char Char Char Char Char,Caption Char1 Char"/>
    <w:link w:val="Caption"/>
    <w:qFormat/>
    <w:locked/>
    <w:rsid w:val="00A56569"/>
    <w:rPr>
      <w:rFonts w:ascii="Arial Bold" w:eastAsia="Times New Roman" w:hAnsi="Arial Bold"/>
      <w:b/>
      <w:bCs/>
      <w:color w:val="00355F"/>
      <w:sz w:val="20"/>
      <w:szCs w:val="20"/>
      <w:lang w:val="en-US" w:eastAsia="en-US"/>
    </w:rPr>
  </w:style>
  <w:style w:type="paragraph" w:customStyle="1" w:styleId="C-TableHeader">
    <w:name w:val="C-Table Header"/>
    <w:next w:val="C-TableText"/>
    <w:link w:val="C-TableHeaderChar"/>
    <w:rsid w:val="00A56569"/>
    <w:pPr>
      <w:keepNext/>
      <w:spacing w:before="60" w:after="60"/>
    </w:pPr>
    <w:rPr>
      <w:rFonts w:ascii="Times New Roman" w:eastAsia="Times New Roman" w:hAnsi="Times New Roman"/>
      <w:b/>
      <w:szCs w:val="20"/>
      <w:lang w:val="en-US" w:eastAsia="en-US"/>
    </w:rPr>
  </w:style>
  <w:style w:type="paragraph" w:customStyle="1" w:styleId="C-TableText">
    <w:name w:val="C-Table Text"/>
    <w:link w:val="C-TableTextChar"/>
    <w:rsid w:val="00A56569"/>
    <w:pPr>
      <w:spacing w:before="60" w:after="60"/>
    </w:pPr>
    <w:rPr>
      <w:rFonts w:ascii="Times New Roman" w:eastAsia="Times New Roman" w:hAnsi="Times New Roman"/>
      <w:szCs w:val="20"/>
      <w:lang w:val="en-US" w:eastAsia="en-US"/>
    </w:rPr>
  </w:style>
  <w:style w:type="character" w:customStyle="1" w:styleId="C-TableTextChar">
    <w:name w:val="C-Table Text Char"/>
    <w:link w:val="C-TableText"/>
    <w:locked/>
    <w:rsid w:val="00A56569"/>
    <w:rPr>
      <w:rFonts w:ascii="Times New Roman" w:eastAsia="Times New Roman" w:hAnsi="Times New Roman"/>
      <w:szCs w:val="20"/>
      <w:lang w:val="en-US" w:eastAsia="en-US"/>
    </w:rPr>
  </w:style>
  <w:style w:type="character" w:customStyle="1" w:styleId="C-TableHeaderChar">
    <w:name w:val="C-Table Header Char"/>
    <w:link w:val="C-TableHeader"/>
    <w:locked/>
    <w:rsid w:val="00A56569"/>
    <w:rPr>
      <w:rFonts w:ascii="Times New Roman" w:eastAsia="Times New Roman" w:hAnsi="Times New Roman"/>
      <w:b/>
      <w:szCs w:val="20"/>
      <w:lang w:val="en-US" w:eastAsia="en-US"/>
    </w:rPr>
  </w:style>
  <w:style w:type="paragraph" w:customStyle="1" w:styleId="xl23">
    <w:name w:val="xl23"/>
    <w:basedOn w:val="Normal"/>
    <w:rsid w:val="00A56569"/>
    <w:pPr>
      <w:spacing w:before="100" w:beforeAutospacing="1" w:after="100" w:afterAutospacing="1"/>
    </w:pPr>
    <w:rPr>
      <w:rFonts w:ascii="Comic Sans MS" w:eastAsia="Arial Unicode MS" w:hAnsi="Comic Sans MS" w:cs="Arial Unicode MS"/>
      <w:lang w:val="en-US" w:eastAsia="en-US"/>
    </w:rPr>
  </w:style>
  <w:style w:type="paragraph" w:customStyle="1" w:styleId="C-Bullet">
    <w:name w:val="C-Bullet"/>
    <w:rsid w:val="00A56569"/>
    <w:pPr>
      <w:numPr>
        <w:numId w:val="9"/>
      </w:numPr>
      <w:tabs>
        <w:tab w:val="clear" w:pos="1080"/>
        <w:tab w:val="num" w:pos="615"/>
      </w:tabs>
      <w:spacing w:before="120" w:after="120" w:line="280" w:lineRule="atLeast"/>
      <w:ind w:left="615" w:hanging="615"/>
    </w:pPr>
    <w:rPr>
      <w:rFonts w:ascii="Times New Roman" w:eastAsia="Times New Roman" w:hAnsi="Times New Roman"/>
      <w:sz w:val="24"/>
      <w:szCs w:val="20"/>
      <w:lang w:val="en-US" w:eastAsia="en-US"/>
    </w:rPr>
  </w:style>
  <w:style w:type="paragraph" w:customStyle="1" w:styleId="Titletable">
    <w:name w:val="Title_table"/>
    <w:basedOn w:val="Normal"/>
    <w:next w:val="Normal"/>
    <w:rsid w:val="00A56569"/>
    <w:pPr>
      <w:spacing w:after="60" w:line="280" w:lineRule="exact"/>
      <w:ind w:left="1134" w:hanging="1134"/>
    </w:pPr>
    <w:rPr>
      <w:rFonts w:ascii="Arial" w:eastAsia="Times New Roman" w:hAnsi="Arial" w:cs="Times New Roman"/>
      <w:b/>
      <w:sz w:val="20"/>
      <w:szCs w:val="20"/>
      <w:lang w:val="en-GB" w:eastAsia="en-US"/>
    </w:rPr>
  </w:style>
  <w:style w:type="character" w:customStyle="1" w:styleId="CommentTextChar">
    <w:name w:val="Comment Text Char"/>
    <w:locked/>
    <w:rsid w:val="00A56569"/>
    <w:rPr>
      <w:rFonts w:ascii="Times New Roman" w:hAnsi="Times New Roman" w:cs="Times New Roman"/>
      <w:sz w:val="20"/>
      <w:szCs w:val="20"/>
    </w:rPr>
  </w:style>
  <w:style w:type="paragraph" w:customStyle="1" w:styleId="Paragrafoelenco1">
    <w:name w:val="Paragrafo elenco1"/>
    <w:basedOn w:val="Normal"/>
    <w:qFormat/>
    <w:rsid w:val="00A56569"/>
    <w:pPr>
      <w:ind w:left="720"/>
      <w:contextualSpacing/>
    </w:pPr>
    <w:rPr>
      <w:rFonts w:ascii="Times New Roman" w:eastAsia="Calibri" w:hAnsi="Times New Roman" w:cs="Times New Roman"/>
      <w:lang w:val="en-US" w:eastAsia="en-US"/>
    </w:rPr>
  </w:style>
  <w:style w:type="paragraph" w:customStyle="1" w:styleId="C-BodyText">
    <w:name w:val="C-Body Text"/>
    <w:link w:val="C-BodyTextChar1"/>
    <w:rsid w:val="00A56569"/>
    <w:pPr>
      <w:spacing w:before="120" w:after="120" w:line="280" w:lineRule="atLeast"/>
    </w:pPr>
    <w:rPr>
      <w:rFonts w:ascii="Times New Roman" w:hAnsi="Times New Roman"/>
      <w:sz w:val="24"/>
      <w:szCs w:val="20"/>
      <w:lang w:val="en-US" w:eastAsia="en-US"/>
    </w:rPr>
  </w:style>
  <w:style w:type="character" w:customStyle="1" w:styleId="C-BodyTextChar1">
    <w:name w:val="C-Body Text Char1"/>
    <w:link w:val="C-BodyText"/>
    <w:locked/>
    <w:rsid w:val="00A56569"/>
    <w:rPr>
      <w:rFonts w:ascii="Times New Roman" w:hAnsi="Times New Roman"/>
      <w:sz w:val="24"/>
      <w:szCs w:val="20"/>
      <w:lang w:val="en-US" w:eastAsia="en-US"/>
    </w:rPr>
  </w:style>
  <w:style w:type="paragraph" w:styleId="TOC2">
    <w:name w:val="toc 2"/>
    <w:basedOn w:val="TOC1"/>
    <w:next w:val="C-BodyText"/>
    <w:uiPriority w:val="39"/>
    <w:rsid w:val="00A56569"/>
    <w:pPr>
      <w:numPr>
        <w:numId w:val="3"/>
      </w:numPr>
      <w:tabs>
        <w:tab w:val="right" w:leader="dot" w:pos="9360"/>
      </w:tabs>
      <w:spacing w:before="120"/>
      <w:ind w:left="1152" w:right="792" w:hanging="1152"/>
    </w:pPr>
    <w:rPr>
      <w:rFonts w:eastAsia="Calibri" w:cs="Arial"/>
    </w:rPr>
  </w:style>
  <w:style w:type="paragraph" w:styleId="TOC1">
    <w:name w:val="toc 1"/>
    <w:basedOn w:val="Normal"/>
    <w:next w:val="Normal"/>
    <w:autoRedefine/>
    <w:uiPriority w:val="39"/>
    <w:rsid w:val="00056528"/>
    <w:pPr>
      <w:tabs>
        <w:tab w:val="left" w:pos="709"/>
        <w:tab w:val="right" w:leader="dot" w:pos="9017"/>
      </w:tabs>
      <w:ind w:left="709" w:hanging="709"/>
    </w:pPr>
    <w:rPr>
      <w:rFonts w:eastAsia="Times New Roman" w:cs="Times New Roman"/>
      <w:sz w:val="20"/>
      <w:lang w:val="en-US" w:eastAsia="en-US"/>
    </w:rPr>
  </w:style>
  <w:style w:type="paragraph" w:styleId="TOC3">
    <w:name w:val="toc 3"/>
    <w:basedOn w:val="TOC1"/>
    <w:next w:val="C-BodyText"/>
    <w:uiPriority w:val="39"/>
    <w:rsid w:val="00A56569"/>
    <w:pPr>
      <w:numPr>
        <w:ilvl w:val="1"/>
        <w:numId w:val="3"/>
      </w:numPr>
      <w:tabs>
        <w:tab w:val="right" w:leader="dot" w:pos="9360"/>
      </w:tabs>
      <w:spacing w:before="120"/>
      <w:ind w:left="1152" w:right="792" w:hanging="1152"/>
    </w:pPr>
    <w:rPr>
      <w:rFonts w:eastAsia="Calibri" w:cs="Arial"/>
    </w:rPr>
  </w:style>
  <w:style w:type="paragraph" w:styleId="TOC4">
    <w:name w:val="toc 4"/>
    <w:basedOn w:val="TOC1"/>
    <w:next w:val="C-BodyText"/>
    <w:uiPriority w:val="39"/>
    <w:rsid w:val="00A56569"/>
    <w:pPr>
      <w:numPr>
        <w:ilvl w:val="2"/>
        <w:numId w:val="3"/>
      </w:numPr>
      <w:tabs>
        <w:tab w:val="right" w:leader="dot" w:pos="9360"/>
      </w:tabs>
      <w:spacing w:before="120"/>
      <w:ind w:left="1152" w:right="792" w:hanging="1152"/>
    </w:pPr>
    <w:rPr>
      <w:rFonts w:eastAsia="Calibri" w:cs="Arial"/>
    </w:rPr>
  </w:style>
  <w:style w:type="paragraph" w:customStyle="1" w:styleId="C-Heading2">
    <w:name w:val="C-Heading 2"/>
    <w:next w:val="C-BodyText"/>
    <w:rsid w:val="00A56569"/>
    <w:pPr>
      <w:keepNext/>
      <w:numPr>
        <w:ilvl w:val="4"/>
        <w:numId w:val="3"/>
      </w:numPr>
      <w:spacing w:before="240"/>
      <w:outlineLvl w:val="1"/>
    </w:pPr>
    <w:rPr>
      <w:rFonts w:ascii="Times New Roman" w:hAnsi="Times New Roman"/>
      <w:b/>
      <w:sz w:val="28"/>
      <w:szCs w:val="20"/>
      <w:lang w:val="en-US" w:eastAsia="en-US"/>
    </w:rPr>
  </w:style>
  <w:style w:type="paragraph" w:customStyle="1" w:styleId="C-Heading3">
    <w:name w:val="C-Heading 3"/>
    <w:next w:val="C-BodyText"/>
    <w:rsid w:val="00A56569"/>
    <w:pPr>
      <w:keepNext/>
      <w:numPr>
        <w:ilvl w:val="5"/>
        <w:numId w:val="3"/>
      </w:numPr>
      <w:spacing w:before="240"/>
      <w:outlineLvl w:val="2"/>
    </w:pPr>
    <w:rPr>
      <w:rFonts w:ascii="Times New Roman" w:hAnsi="Times New Roman"/>
      <w:b/>
      <w:sz w:val="24"/>
      <w:szCs w:val="20"/>
      <w:lang w:val="en-US" w:eastAsia="en-US"/>
    </w:rPr>
  </w:style>
  <w:style w:type="paragraph" w:customStyle="1" w:styleId="C-Heading5">
    <w:name w:val="C-Heading 5"/>
    <w:next w:val="C-BodyText"/>
    <w:rsid w:val="00A56569"/>
    <w:pPr>
      <w:keepNext/>
      <w:numPr>
        <w:numId w:val="2"/>
      </w:numPr>
      <w:spacing w:before="240"/>
      <w:ind w:hanging="1080"/>
      <w:outlineLvl w:val="4"/>
    </w:pPr>
    <w:rPr>
      <w:rFonts w:ascii="Times New Roman" w:hAnsi="Times New Roman"/>
      <w:b/>
      <w:sz w:val="24"/>
      <w:szCs w:val="20"/>
      <w:lang w:val="en-US" w:eastAsia="en-US"/>
    </w:rPr>
  </w:style>
  <w:style w:type="paragraph" w:customStyle="1" w:styleId="C-TableFootnote">
    <w:name w:val="C-Table Footnote"/>
    <w:next w:val="C-BodyText"/>
    <w:link w:val="C-TableFootnoteChar"/>
    <w:rsid w:val="00A56569"/>
    <w:pPr>
      <w:tabs>
        <w:tab w:val="left" w:pos="144"/>
      </w:tabs>
      <w:ind w:left="144" w:hanging="144"/>
    </w:pPr>
    <w:rPr>
      <w:rFonts w:ascii="Times New Roman" w:hAnsi="Times New Roman" w:cs="Arial"/>
      <w:sz w:val="20"/>
      <w:szCs w:val="20"/>
      <w:lang w:val="en-US" w:eastAsia="en-US"/>
    </w:rPr>
  </w:style>
  <w:style w:type="character" w:customStyle="1" w:styleId="C-TableFootnoteChar">
    <w:name w:val="C-Table Footnote Char"/>
    <w:link w:val="C-TableFootnote"/>
    <w:locked/>
    <w:rsid w:val="00A56569"/>
    <w:rPr>
      <w:rFonts w:ascii="Times New Roman" w:hAnsi="Times New Roman" w:cs="Arial"/>
      <w:sz w:val="20"/>
      <w:szCs w:val="20"/>
      <w:lang w:val="en-US" w:eastAsia="en-US"/>
    </w:rPr>
  </w:style>
  <w:style w:type="paragraph" w:customStyle="1" w:styleId="C-CaptionContinued">
    <w:name w:val="C-Caption Continued"/>
    <w:next w:val="C-BodyText"/>
    <w:rsid w:val="00A56569"/>
    <w:pPr>
      <w:keepNext/>
      <w:spacing w:before="120" w:after="120" w:line="280" w:lineRule="atLeast"/>
      <w:ind w:left="1440" w:hanging="1440"/>
    </w:pPr>
    <w:rPr>
      <w:rFonts w:ascii="Times New Roman" w:hAnsi="Times New Roman" w:cs="Arial"/>
      <w:b/>
      <w:sz w:val="24"/>
      <w:szCs w:val="20"/>
      <w:lang w:val="en-US" w:eastAsia="en-US"/>
    </w:rPr>
  </w:style>
  <w:style w:type="paragraph" w:customStyle="1" w:styleId="C-Heading4">
    <w:name w:val="C-Heading 4"/>
    <w:next w:val="C-BodyText"/>
    <w:rsid w:val="00A56569"/>
    <w:pPr>
      <w:keepNext/>
      <w:numPr>
        <w:ilvl w:val="3"/>
        <w:numId w:val="3"/>
      </w:numPr>
      <w:spacing w:before="240"/>
      <w:outlineLvl w:val="3"/>
    </w:pPr>
    <w:rPr>
      <w:rFonts w:ascii="Times New Roman" w:hAnsi="Times New Roman"/>
      <w:b/>
      <w:sz w:val="24"/>
      <w:szCs w:val="20"/>
      <w:lang w:val="en-US" w:eastAsia="en-US"/>
    </w:rPr>
  </w:style>
  <w:style w:type="character" w:customStyle="1" w:styleId="CharacterStyle17">
    <w:name w:val="Character Style 17"/>
    <w:rsid w:val="00A56569"/>
    <w:rPr>
      <w:sz w:val="20"/>
    </w:rPr>
  </w:style>
  <w:style w:type="character" w:customStyle="1" w:styleId="shorttext1">
    <w:name w:val="short_text1"/>
    <w:rsid w:val="00A56569"/>
    <w:rPr>
      <w:sz w:val="29"/>
      <w:szCs w:val="29"/>
    </w:rPr>
  </w:style>
  <w:style w:type="character" w:customStyle="1" w:styleId="longtext1">
    <w:name w:val="long_text1"/>
    <w:rsid w:val="00A56569"/>
    <w:rPr>
      <w:sz w:val="20"/>
      <w:szCs w:val="20"/>
    </w:rPr>
  </w:style>
  <w:style w:type="character" w:customStyle="1" w:styleId="CommentTextChar1">
    <w:name w:val="Comment Text Char1"/>
    <w:locked/>
    <w:rsid w:val="00A56569"/>
    <w:rPr>
      <w:rFonts w:cs="Times New Roman"/>
      <w:lang w:val="en-US" w:eastAsia="en-US" w:bidi="ar-SA"/>
    </w:rPr>
  </w:style>
  <w:style w:type="character" w:customStyle="1" w:styleId="name">
    <w:name w:val="name"/>
    <w:basedOn w:val="DefaultParagraphFont"/>
    <w:rsid w:val="00A56569"/>
  </w:style>
  <w:style w:type="character" w:customStyle="1" w:styleId="collab">
    <w:name w:val="collab"/>
    <w:basedOn w:val="DefaultParagraphFont"/>
    <w:rsid w:val="00A56569"/>
  </w:style>
  <w:style w:type="character" w:customStyle="1" w:styleId="slug-doi">
    <w:name w:val="slug-doi"/>
    <w:basedOn w:val="DefaultParagraphFont"/>
    <w:rsid w:val="00A56569"/>
  </w:style>
  <w:style w:type="character" w:customStyle="1" w:styleId="slug-ahead-of-print-date">
    <w:name w:val="slug-ahead-of-print-date"/>
    <w:basedOn w:val="DefaultParagraphFont"/>
    <w:rsid w:val="00A56569"/>
  </w:style>
  <w:style w:type="character" w:customStyle="1" w:styleId="srch-doc-title1">
    <w:name w:val="srch-doc-title1"/>
    <w:rsid w:val="00A56569"/>
    <w:rPr>
      <w:b/>
      <w:bCs/>
    </w:rPr>
  </w:style>
  <w:style w:type="character" w:customStyle="1" w:styleId="srch-jrnl-src1">
    <w:name w:val="srch-jrnl-src1"/>
    <w:rsid w:val="00A56569"/>
    <w:rPr>
      <w:i/>
      <w:iCs/>
    </w:rPr>
  </w:style>
  <w:style w:type="character" w:customStyle="1" w:styleId="srch-vol1">
    <w:name w:val="srch-vol1"/>
    <w:rsid w:val="00A56569"/>
    <w:rPr>
      <w:color w:val="808080"/>
    </w:rPr>
  </w:style>
  <w:style w:type="character" w:customStyle="1" w:styleId="srch-pages1">
    <w:name w:val="srch-pages1"/>
    <w:rsid w:val="00A56569"/>
    <w:rPr>
      <w:color w:val="808080"/>
    </w:rPr>
  </w:style>
  <w:style w:type="character" w:styleId="Strong">
    <w:name w:val="Strong"/>
    <w:uiPriority w:val="22"/>
    <w:qFormat/>
    <w:rsid w:val="00A56569"/>
    <w:rPr>
      <w:b/>
      <w:bCs/>
    </w:rPr>
  </w:style>
  <w:style w:type="character" w:styleId="Emphasis">
    <w:name w:val="Emphasis"/>
    <w:qFormat/>
    <w:rsid w:val="00A56569"/>
    <w:rPr>
      <w:i/>
      <w:iCs/>
    </w:rPr>
  </w:style>
  <w:style w:type="paragraph" w:customStyle="1" w:styleId="Text">
    <w:name w:val="#Text"/>
    <w:qFormat/>
    <w:rsid w:val="00A56569"/>
    <w:pPr>
      <w:spacing w:before="120" w:after="120" w:line="360" w:lineRule="auto"/>
    </w:pPr>
    <w:rPr>
      <w:rFonts w:ascii="Arial" w:eastAsia="Times New Roman" w:hAnsi="Arial" w:cs="Arial"/>
      <w:sz w:val="23"/>
      <w:szCs w:val="23"/>
      <w:lang w:val="en-US" w:eastAsia="en-US"/>
    </w:rPr>
  </w:style>
  <w:style w:type="paragraph" w:customStyle="1" w:styleId="Text-BulletRebecca">
    <w:name w:val="#Text-Bullet_Rebecca"/>
    <w:basedOn w:val="Text"/>
    <w:rsid w:val="00A56569"/>
    <w:pPr>
      <w:numPr>
        <w:numId w:val="5"/>
      </w:numPr>
      <w:jc w:val="both"/>
    </w:pPr>
  </w:style>
  <w:style w:type="paragraph" w:customStyle="1" w:styleId="Table">
    <w:name w:val="#Table"/>
    <w:basedOn w:val="Normal"/>
    <w:link w:val="TableChar"/>
    <w:rsid w:val="00A56569"/>
    <w:pPr>
      <w:keepLines/>
      <w:tabs>
        <w:tab w:val="left" w:pos="284"/>
      </w:tabs>
      <w:spacing w:before="40" w:after="20"/>
    </w:pPr>
    <w:rPr>
      <w:rFonts w:ascii="Arial" w:eastAsia="MS Mincho" w:hAnsi="Arial" w:cs="Times New Roman"/>
      <w:sz w:val="20"/>
      <w:szCs w:val="20"/>
      <w:lang w:val="en-US" w:eastAsia="en-US"/>
    </w:rPr>
  </w:style>
  <w:style w:type="character" w:customStyle="1" w:styleId="TableChar">
    <w:name w:val="#Table Char"/>
    <w:link w:val="Table"/>
    <w:rsid w:val="00A56569"/>
    <w:rPr>
      <w:rFonts w:ascii="Arial" w:eastAsia="MS Mincho" w:hAnsi="Arial"/>
      <w:sz w:val="20"/>
      <w:szCs w:val="20"/>
      <w:lang w:val="en-US" w:eastAsia="en-US"/>
    </w:rPr>
  </w:style>
  <w:style w:type="paragraph" w:customStyle="1" w:styleId="Paragrafoelenco2">
    <w:name w:val="Paragrafo elenco2"/>
    <w:basedOn w:val="Normal"/>
    <w:qFormat/>
    <w:rsid w:val="00A56569"/>
    <w:pPr>
      <w:ind w:left="720"/>
      <w:contextualSpacing/>
    </w:pPr>
    <w:rPr>
      <w:rFonts w:ascii="Times New Roman" w:eastAsia="Calibri" w:hAnsi="Times New Roman" w:cs="Times New Roman"/>
      <w:lang w:val="en-US" w:eastAsia="en-US"/>
    </w:rPr>
  </w:style>
  <w:style w:type="character" w:customStyle="1" w:styleId="hps">
    <w:name w:val="hps"/>
    <w:basedOn w:val="DefaultParagraphFont"/>
    <w:rsid w:val="00A56569"/>
  </w:style>
  <w:style w:type="paragraph" w:styleId="TOCHeading">
    <w:name w:val="TOC Heading"/>
    <w:basedOn w:val="Heading1"/>
    <w:next w:val="Normal"/>
    <w:uiPriority w:val="39"/>
    <w:qFormat/>
    <w:rsid w:val="00A56569"/>
    <w:pPr>
      <w:keepLines/>
      <w:spacing w:before="480" w:after="0" w:line="276" w:lineRule="auto"/>
      <w:ind w:left="0" w:firstLine="0"/>
      <w:outlineLvl w:val="9"/>
    </w:pPr>
    <w:rPr>
      <w:rFonts w:ascii="Cambria" w:hAnsi="Cambria"/>
      <w:bCs/>
      <w:noProof w:val="0"/>
      <w:color w:val="365F91"/>
      <w:sz w:val="28"/>
      <w:szCs w:val="28"/>
      <w:u w:val="none"/>
      <w:lang w:val="en-US" w:eastAsia="en-US"/>
    </w:rPr>
  </w:style>
  <w:style w:type="character" w:customStyle="1" w:styleId="st">
    <w:name w:val="st"/>
    <w:basedOn w:val="DefaultParagraphFont"/>
    <w:rsid w:val="00A56569"/>
  </w:style>
  <w:style w:type="character" w:customStyle="1" w:styleId="hpsatn">
    <w:name w:val="hps atn"/>
    <w:basedOn w:val="DefaultParagraphFont"/>
    <w:rsid w:val="00A56569"/>
  </w:style>
  <w:style w:type="character" w:customStyle="1" w:styleId="longtext">
    <w:name w:val="long_text"/>
    <w:basedOn w:val="DefaultParagraphFont"/>
    <w:rsid w:val="00A56569"/>
  </w:style>
  <w:style w:type="paragraph" w:customStyle="1" w:styleId="TableHeading10pt">
    <w:name w:val="Table Heading 10 pt"/>
    <w:link w:val="TableHeading10ptChar"/>
    <w:qFormat/>
    <w:rsid w:val="00A56569"/>
    <w:pPr>
      <w:keepNext/>
      <w:jc w:val="center"/>
    </w:pPr>
    <w:rPr>
      <w:rFonts w:ascii="Times New Roman" w:hAnsi="Times New Roman"/>
      <w:sz w:val="20"/>
      <w:szCs w:val="20"/>
      <w:lang w:val="en-US" w:eastAsia="en-US"/>
    </w:rPr>
  </w:style>
  <w:style w:type="character" w:customStyle="1" w:styleId="TableHeading10ptChar">
    <w:name w:val="Table Heading 10 pt Char"/>
    <w:link w:val="TableHeading10pt"/>
    <w:rsid w:val="00A56569"/>
    <w:rPr>
      <w:rFonts w:ascii="Times New Roman" w:hAnsi="Times New Roman"/>
      <w:sz w:val="20"/>
      <w:szCs w:val="20"/>
      <w:lang w:val="en-US" w:eastAsia="en-US"/>
    </w:rPr>
  </w:style>
  <w:style w:type="paragraph" w:customStyle="1" w:styleId="TableText10pt">
    <w:name w:val="Table Text 10 pt"/>
    <w:basedOn w:val="Normal"/>
    <w:qFormat/>
    <w:rsid w:val="00A56569"/>
    <w:pPr>
      <w:keepNext/>
      <w:spacing w:before="60" w:after="60"/>
      <w:jc w:val="center"/>
    </w:pPr>
    <w:rPr>
      <w:rFonts w:ascii="Times New Roman" w:eastAsia="Calibri" w:hAnsi="Times New Roman" w:cs="Times New Roman"/>
      <w:sz w:val="20"/>
      <w:szCs w:val="22"/>
      <w:lang w:val="en-US" w:eastAsia="en-US"/>
    </w:rPr>
  </w:style>
  <w:style w:type="paragraph" w:customStyle="1" w:styleId="TableInfo">
    <w:name w:val="Table Info"/>
    <w:qFormat/>
    <w:rsid w:val="00A56569"/>
    <w:pPr>
      <w:keepNext/>
    </w:pPr>
    <w:rPr>
      <w:rFonts w:ascii="Times New Roman" w:hAnsi="Times New Roman"/>
      <w:sz w:val="18"/>
      <w:lang w:val="en-US" w:eastAsia="en-US"/>
    </w:rPr>
  </w:style>
  <w:style w:type="paragraph" w:styleId="BodyText2">
    <w:name w:val="Body Text 2"/>
    <w:basedOn w:val="Normal"/>
    <w:link w:val="BodyText2Char"/>
    <w:locked/>
    <w:rsid w:val="00A56569"/>
    <w:pPr>
      <w:spacing w:after="120"/>
    </w:pPr>
    <w:rPr>
      <w:rFonts w:ascii="Arial" w:eastAsia="Times New Roman" w:hAnsi="Arial" w:cs="Times New Roman"/>
      <w:b/>
      <w:bCs/>
      <w:szCs w:val="20"/>
      <w:lang w:val="fr-FR" w:eastAsia="fr-FR"/>
    </w:rPr>
  </w:style>
  <w:style w:type="character" w:customStyle="1" w:styleId="BodyText2Char">
    <w:name w:val="Body Text 2 Char"/>
    <w:basedOn w:val="DefaultParagraphFont"/>
    <w:link w:val="BodyText2"/>
    <w:rsid w:val="00A56569"/>
    <w:rPr>
      <w:rFonts w:ascii="Arial" w:eastAsia="Times New Roman" w:hAnsi="Arial"/>
      <w:b/>
      <w:bCs/>
      <w:sz w:val="24"/>
      <w:szCs w:val="20"/>
      <w:lang w:val="fr-FR" w:eastAsia="fr-FR"/>
    </w:rPr>
  </w:style>
  <w:style w:type="paragraph" w:styleId="BodyTextIndent">
    <w:name w:val="Body Text Indent"/>
    <w:basedOn w:val="Normal"/>
    <w:link w:val="BodyTextIndentChar"/>
    <w:locked/>
    <w:rsid w:val="00A56569"/>
    <w:pPr>
      <w:spacing w:after="120"/>
      <w:ind w:left="792"/>
    </w:pPr>
    <w:rPr>
      <w:rFonts w:ascii="Arial" w:eastAsia="Times New Roman" w:hAnsi="Arial" w:cs="Times New Roman"/>
      <w:sz w:val="22"/>
      <w:szCs w:val="20"/>
      <w:lang w:val="fr-FR" w:eastAsia="fr-FR"/>
    </w:rPr>
  </w:style>
  <w:style w:type="character" w:customStyle="1" w:styleId="BodyTextIndentChar">
    <w:name w:val="Body Text Indent Char"/>
    <w:basedOn w:val="DefaultParagraphFont"/>
    <w:link w:val="BodyTextIndent"/>
    <w:rsid w:val="00A56569"/>
    <w:rPr>
      <w:rFonts w:ascii="Arial" w:eastAsia="Times New Roman" w:hAnsi="Arial"/>
      <w:szCs w:val="20"/>
      <w:lang w:val="fr-FR" w:eastAsia="fr-FR"/>
    </w:rPr>
  </w:style>
  <w:style w:type="paragraph" w:styleId="Title">
    <w:name w:val="Title"/>
    <w:basedOn w:val="Normal"/>
    <w:link w:val="TitleChar"/>
    <w:qFormat/>
    <w:rsid w:val="00A56569"/>
    <w:pPr>
      <w:spacing w:before="240" w:after="60"/>
      <w:jc w:val="center"/>
      <w:outlineLvl w:val="0"/>
    </w:pPr>
    <w:rPr>
      <w:rFonts w:ascii="Arial" w:eastAsia="Times New Roman" w:hAnsi="Arial" w:cs="Times New Roman"/>
      <w:b/>
      <w:bCs/>
      <w:kern w:val="28"/>
      <w:sz w:val="32"/>
      <w:szCs w:val="32"/>
      <w:lang w:val="fr-FR" w:eastAsia="fr-FR"/>
    </w:rPr>
  </w:style>
  <w:style w:type="character" w:customStyle="1" w:styleId="TitleChar">
    <w:name w:val="Title Char"/>
    <w:basedOn w:val="DefaultParagraphFont"/>
    <w:link w:val="Title"/>
    <w:rsid w:val="00A56569"/>
    <w:rPr>
      <w:rFonts w:ascii="Arial" w:eastAsia="Times New Roman" w:hAnsi="Arial"/>
      <w:b/>
      <w:bCs/>
      <w:kern w:val="28"/>
      <w:sz w:val="32"/>
      <w:szCs w:val="32"/>
      <w:lang w:val="fr-FR" w:eastAsia="fr-FR"/>
    </w:rPr>
  </w:style>
  <w:style w:type="paragraph" w:styleId="TOC9">
    <w:name w:val="toc 9"/>
    <w:basedOn w:val="Normal"/>
    <w:next w:val="Normal"/>
    <w:autoRedefine/>
    <w:uiPriority w:val="39"/>
    <w:rsid w:val="00A56569"/>
    <w:pPr>
      <w:numPr>
        <w:numId w:val="14"/>
      </w:numPr>
      <w:spacing w:after="120"/>
    </w:pPr>
    <w:rPr>
      <w:rFonts w:ascii="Arial" w:eastAsia="Times New Roman" w:hAnsi="Arial" w:cs="Times New Roman"/>
      <w:sz w:val="20"/>
      <w:szCs w:val="21"/>
      <w:lang w:val="fr-FR" w:eastAsia="fr-FR"/>
    </w:rPr>
  </w:style>
  <w:style w:type="paragraph" w:customStyle="1" w:styleId="TableHeader8">
    <w:name w:val="TableHeader8"/>
    <w:basedOn w:val="Normal"/>
    <w:rsid w:val="00A56569"/>
    <w:pPr>
      <w:jc w:val="center"/>
    </w:pPr>
    <w:rPr>
      <w:rFonts w:ascii="Times New Roman" w:eastAsia="Times New Roman" w:hAnsi="Times New Roman" w:cs="Times New Roman"/>
      <w:b/>
      <w:sz w:val="16"/>
      <w:lang w:val="en-US" w:eastAsia="en-US"/>
    </w:rPr>
  </w:style>
  <w:style w:type="paragraph" w:customStyle="1" w:styleId="Body">
    <w:name w:val="Body"/>
    <w:basedOn w:val="Normal"/>
    <w:link w:val="BodyChar"/>
    <w:qFormat/>
    <w:rsid w:val="00A56569"/>
    <w:pPr>
      <w:spacing w:after="120"/>
      <w:jc w:val="both"/>
    </w:pPr>
    <w:rPr>
      <w:rFonts w:ascii="Times New Roman" w:eastAsia="Times New Roman" w:hAnsi="Times New Roman" w:cs="Times New Roman"/>
      <w:bCs/>
      <w:szCs w:val="20"/>
      <w:lang w:val="fr-FR" w:eastAsia="fr-FR" w:bidi="en-US"/>
    </w:rPr>
  </w:style>
  <w:style w:type="character" w:customStyle="1" w:styleId="BodyChar">
    <w:name w:val="Body Char"/>
    <w:link w:val="Body"/>
    <w:rsid w:val="00A56569"/>
    <w:rPr>
      <w:rFonts w:ascii="Times New Roman" w:eastAsia="Times New Roman" w:hAnsi="Times New Roman"/>
      <w:bCs/>
      <w:sz w:val="24"/>
      <w:szCs w:val="20"/>
      <w:lang w:val="fr-FR" w:eastAsia="fr-FR" w:bidi="en-US"/>
    </w:rPr>
  </w:style>
  <w:style w:type="paragraph" w:customStyle="1" w:styleId="TableText0">
    <w:name w:val="Table Text"/>
    <w:basedOn w:val="Normal"/>
    <w:next w:val="Normal"/>
    <w:link w:val="TableTextChar0"/>
    <w:rsid w:val="00A56569"/>
    <w:pPr>
      <w:keepNext/>
      <w:keepLines/>
      <w:spacing w:before="60" w:after="60"/>
      <w:jc w:val="center"/>
    </w:pPr>
    <w:rPr>
      <w:rFonts w:ascii="Times New Roman" w:eastAsia="Times New Roman" w:hAnsi="Times New Roman" w:cs="Times New Roman"/>
      <w:color w:val="000000"/>
      <w:sz w:val="20"/>
      <w:szCs w:val="20"/>
      <w:lang w:val="en-GB" w:eastAsia="en-US" w:bidi="en-US"/>
    </w:rPr>
  </w:style>
  <w:style w:type="character" w:customStyle="1" w:styleId="TableTextChar0">
    <w:name w:val="Table Text Char"/>
    <w:link w:val="TableText0"/>
    <w:rsid w:val="00A56569"/>
    <w:rPr>
      <w:rFonts w:ascii="Times New Roman" w:eastAsia="Times New Roman" w:hAnsi="Times New Roman"/>
      <w:color w:val="000000"/>
      <w:sz w:val="20"/>
      <w:szCs w:val="20"/>
      <w:lang w:val="en-GB" w:eastAsia="en-US" w:bidi="en-US"/>
    </w:rPr>
  </w:style>
  <w:style w:type="paragraph" w:customStyle="1" w:styleId="TableLflush">
    <w:name w:val="Table L flush"/>
    <w:basedOn w:val="TableText0"/>
    <w:link w:val="TableLflushChar"/>
    <w:qFormat/>
    <w:rsid w:val="00A56569"/>
    <w:pPr>
      <w:jc w:val="left"/>
    </w:pPr>
  </w:style>
  <w:style w:type="character" w:customStyle="1" w:styleId="TableLflushChar">
    <w:name w:val="Table L flush Char"/>
    <w:basedOn w:val="TableTextChar0"/>
    <w:link w:val="TableLflush"/>
    <w:rsid w:val="00A56569"/>
    <w:rPr>
      <w:rFonts w:ascii="Times New Roman" w:eastAsia="Times New Roman" w:hAnsi="Times New Roman"/>
      <w:color w:val="000000"/>
      <w:sz w:val="20"/>
      <w:szCs w:val="20"/>
      <w:lang w:val="en-GB" w:eastAsia="en-US" w:bidi="en-US"/>
    </w:rPr>
  </w:style>
  <w:style w:type="paragraph" w:customStyle="1" w:styleId="pvalue">
    <w:name w:val="p value"/>
    <w:basedOn w:val="TableHeading10pt"/>
    <w:link w:val="pvalueChar"/>
    <w:qFormat/>
    <w:rsid w:val="00A56569"/>
    <w:pPr>
      <w:keepLines/>
      <w:spacing w:before="60" w:after="60"/>
    </w:pPr>
    <w:rPr>
      <w:b/>
      <w:bCs/>
      <w:i/>
      <w:sz w:val="22"/>
    </w:rPr>
  </w:style>
  <w:style w:type="character" w:customStyle="1" w:styleId="pvalueChar">
    <w:name w:val="p value Char"/>
    <w:link w:val="pvalue"/>
    <w:rsid w:val="00A56569"/>
    <w:rPr>
      <w:rFonts w:ascii="Times New Roman" w:hAnsi="Times New Roman"/>
      <w:b/>
      <w:bCs/>
      <w:i/>
      <w:szCs w:val="20"/>
      <w:lang w:val="en-US" w:eastAsia="en-US"/>
    </w:rPr>
  </w:style>
  <w:style w:type="paragraph" w:customStyle="1" w:styleId="BlueHyperlink">
    <w:name w:val="Blue Hyperlink"/>
    <w:basedOn w:val="Normal"/>
    <w:link w:val="BlueHyperlinkChar"/>
    <w:qFormat/>
    <w:rsid w:val="00A56569"/>
    <w:pPr>
      <w:spacing w:after="120"/>
      <w:jc w:val="both"/>
    </w:pPr>
    <w:rPr>
      <w:rFonts w:ascii="Times New Roman" w:eastAsia="Times New Roman" w:hAnsi="Times New Roman" w:cs="Times New Roman"/>
      <w:bCs/>
      <w:color w:val="0033CC"/>
      <w:szCs w:val="20"/>
      <w:lang w:val="en-GB" w:eastAsia="en-US" w:bidi="en-US"/>
    </w:rPr>
  </w:style>
  <w:style w:type="character" w:customStyle="1" w:styleId="BlueHyperlinkChar">
    <w:name w:val="Blue Hyperlink Char"/>
    <w:link w:val="BlueHyperlink"/>
    <w:rsid w:val="00A56569"/>
    <w:rPr>
      <w:rFonts w:ascii="Times New Roman" w:eastAsia="Times New Roman" w:hAnsi="Times New Roman"/>
      <w:bCs/>
      <w:color w:val="0033CC"/>
      <w:sz w:val="24"/>
      <w:szCs w:val="20"/>
      <w:lang w:val="en-GB" w:eastAsia="en-US" w:bidi="en-US"/>
    </w:rPr>
  </w:style>
  <w:style w:type="paragraph" w:customStyle="1" w:styleId="TL11Bold">
    <w:name w:val="T L 11 Bold"/>
    <w:basedOn w:val="Normal"/>
    <w:link w:val="TL11BoldChar"/>
    <w:rsid w:val="00A56569"/>
    <w:pPr>
      <w:spacing w:before="40" w:after="40"/>
    </w:pPr>
    <w:rPr>
      <w:rFonts w:ascii="Times New Roman" w:eastAsia="Times New Roman" w:hAnsi="Times New Roman" w:cs="Times New Roman"/>
      <w:b/>
      <w:bCs/>
      <w:sz w:val="22"/>
      <w:szCs w:val="22"/>
      <w:lang w:val="en-GB" w:eastAsia="en-US" w:bidi="en-US"/>
    </w:rPr>
  </w:style>
  <w:style w:type="character" w:customStyle="1" w:styleId="TL11BoldChar">
    <w:name w:val="T L 11 Bold Char"/>
    <w:link w:val="TL11Bold"/>
    <w:rsid w:val="00A56569"/>
    <w:rPr>
      <w:rFonts w:ascii="Times New Roman" w:eastAsia="Times New Roman" w:hAnsi="Times New Roman"/>
      <w:b/>
      <w:bCs/>
      <w:lang w:val="en-GB" w:eastAsia="en-US" w:bidi="en-US"/>
    </w:rPr>
  </w:style>
  <w:style w:type="paragraph" w:customStyle="1" w:styleId="T10L">
    <w:name w:val="T 10 L"/>
    <w:basedOn w:val="Normal"/>
    <w:link w:val="T10LChar"/>
    <w:qFormat/>
    <w:rsid w:val="00A56569"/>
    <w:pPr>
      <w:autoSpaceDE w:val="0"/>
      <w:autoSpaceDN w:val="0"/>
      <w:adjustRightInd w:val="0"/>
      <w:spacing w:before="60" w:after="60"/>
    </w:pPr>
    <w:rPr>
      <w:rFonts w:ascii="Times New Roman" w:eastAsia="Calibri" w:hAnsi="Times New Roman" w:cs="Times New Roman"/>
      <w:b/>
      <w:bCs/>
      <w:sz w:val="20"/>
      <w:szCs w:val="22"/>
      <w:lang w:val="en-US" w:eastAsia="en-US"/>
    </w:rPr>
  </w:style>
  <w:style w:type="character" w:customStyle="1" w:styleId="T10LChar">
    <w:name w:val="T 10 L Char"/>
    <w:link w:val="T10L"/>
    <w:rsid w:val="00A56569"/>
    <w:rPr>
      <w:rFonts w:ascii="Times New Roman" w:hAnsi="Times New Roman"/>
      <w:b/>
      <w:bCs/>
      <w:sz w:val="20"/>
      <w:lang w:val="en-US" w:eastAsia="en-US"/>
    </w:rPr>
  </w:style>
  <w:style w:type="paragraph" w:customStyle="1" w:styleId="T10LB">
    <w:name w:val="T 10 L B"/>
    <w:basedOn w:val="Normal"/>
    <w:link w:val="T10LBChar"/>
    <w:rsid w:val="00A56569"/>
    <w:pPr>
      <w:keepNext/>
      <w:keepLines/>
      <w:autoSpaceDE w:val="0"/>
      <w:autoSpaceDN w:val="0"/>
      <w:adjustRightInd w:val="0"/>
      <w:spacing w:before="60" w:after="60"/>
    </w:pPr>
    <w:rPr>
      <w:rFonts w:ascii="Times New Roman" w:eastAsia="Calibri" w:hAnsi="Times New Roman" w:cs="Times New Roman"/>
      <w:b/>
      <w:bCs/>
      <w:sz w:val="20"/>
      <w:szCs w:val="22"/>
      <w:lang w:val="en-US" w:eastAsia="en-US"/>
    </w:rPr>
  </w:style>
  <w:style w:type="character" w:customStyle="1" w:styleId="T10LBChar">
    <w:name w:val="T 10 L B Char"/>
    <w:link w:val="T10LB"/>
    <w:rsid w:val="00A56569"/>
    <w:rPr>
      <w:rFonts w:ascii="Times New Roman" w:hAnsi="Times New Roman"/>
      <w:b/>
      <w:bCs/>
      <w:sz w:val="20"/>
      <w:lang w:val="en-US" w:eastAsia="en-US"/>
    </w:rPr>
  </w:style>
  <w:style w:type="paragraph" w:customStyle="1" w:styleId="TableTextLeft">
    <w:name w:val="Table Text Left"/>
    <w:basedOn w:val="TableText0"/>
    <w:rsid w:val="00A56569"/>
    <w:pPr>
      <w:widowControl w:val="0"/>
      <w:jc w:val="left"/>
    </w:pPr>
    <w:rPr>
      <w:lang w:val="en-US"/>
    </w:rPr>
  </w:style>
  <w:style w:type="paragraph" w:customStyle="1" w:styleId="TableHeading">
    <w:name w:val="Table Heading"/>
    <w:basedOn w:val="Normal"/>
    <w:rsid w:val="00A56569"/>
    <w:pPr>
      <w:keepNext/>
      <w:keepLines/>
      <w:widowControl w:val="0"/>
      <w:autoSpaceDE w:val="0"/>
      <w:autoSpaceDN w:val="0"/>
      <w:adjustRightInd w:val="0"/>
      <w:spacing w:before="60" w:after="60"/>
      <w:jc w:val="center"/>
    </w:pPr>
    <w:rPr>
      <w:rFonts w:ascii="Times New Roman" w:eastAsia="SimSun" w:hAnsi="Times New Roman" w:cs="Times New Roman"/>
      <w:b/>
      <w:sz w:val="20"/>
      <w:lang w:val="en-US" w:eastAsia="en-US"/>
    </w:rPr>
  </w:style>
  <w:style w:type="paragraph" w:customStyle="1" w:styleId="Bullets15">
    <w:name w:val="Bullets 1.5"/>
    <w:basedOn w:val="Normal"/>
    <w:next w:val="Normal"/>
    <w:link w:val="Bullets15Char"/>
    <w:qFormat/>
    <w:rsid w:val="00A56569"/>
    <w:pPr>
      <w:numPr>
        <w:numId w:val="6"/>
      </w:numPr>
      <w:tabs>
        <w:tab w:val="clear" w:pos="705"/>
        <w:tab w:val="left" w:pos="720"/>
        <w:tab w:val="left" w:pos="1080"/>
      </w:tabs>
      <w:autoSpaceDE w:val="0"/>
      <w:autoSpaceDN w:val="0"/>
      <w:adjustRightInd w:val="0"/>
      <w:spacing w:before="120" w:after="60"/>
    </w:pPr>
    <w:rPr>
      <w:rFonts w:ascii="Times New Roman" w:eastAsia="Calibri" w:hAnsi="Times New Roman" w:cs="Times New Roman"/>
      <w:bCs/>
      <w:sz w:val="22"/>
      <w:szCs w:val="20"/>
      <w:lang w:val="fr-FR" w:eastAsia="fr-FR"/>
    </w:rPr>
  </w:style>
  <w:style w:type="character" w:customStyle="1" w:styleId="Bullets15Char">
    <w:name w:val="Bullets 1.5 Char"/>
    <w:link w:val="Bullets15"/>
    <w:rsid w:val="00A56569"/>
    <w:rPr>
      <w:rFonts w:ascii="Times New Roman" w:hAnsi="Times New Roman"/>
      <w:bCs/>
      <w:szCs w:val="20"/>
      <w:lang w:val="fr-FR" w:eastAsia="fr-FR"/>
    </w:rPr>
  </w:style>
  <w:style w:type="character" w:customStyle="1" w:styleId="atn">
    <w:name w:val="atn"/>
    <w:basedOn w:val="DefaultParagraphFont"/>
    <w:rsid w:val="00A56569"/>
  </w:style>
  <w:style w:type="paragraph" w:customStyle="1" w:styleId="Tablecolumnhead">
    <w:name w:val="#Table column head"/>
    <w:basedOn w:val="Table"/>
    <w:rsid w:val="00A56569"/>
    <w:pPr>
      <w:spacing w:after="120"/>
    </w:pPr>
    <w:rPr>
      <w:rFonts w:ascii="Arial0" w:hAnsi="Arial0" w:cs="Arial0"/>
      <w:b/>
      <w:bCs/>
      <w:snapToGrid w:val="0"/>
      <w:sz w:val="22"/>
      <w:szCs w:val="22"/>
      <w:lang w:eastAsia="ja-JP"/>
    </w:rPr>
  </w:style>
  <w:style w:type="paragraph" w:customStyle="1" w:styleId="ListParagraph1">
    <w:name w:val="List Paragraph1"/>
    <w:basedOn w:val="Normal"/>
    <w:rsid w:val="00A56569"/>
    <w:pPr>
      <w:spacing w:after="200" w:line="276" w:lineRule="auto"/>
      <w:ind w:left="720"/>
    </w:pPr>
    <w:rPr>
      <w:rFonts w:ascii="Arial0" w:eastAsia="Times New Roman" w:hAnsi="Arial0" w:cs="Arial0"/>
      <w:snapToGrid w:val="0"/>
      <w:sz w:val="20"/>
      <w:szCs w:val="20"/>
      <w:lang w:val="en-US"/>
    </w:rPr>
  </w:style>
  <w:style w:type="character" w:customStyle="1" w:styleId="CarattereCarattere21">
    <w:name w:val="Carattere Carattere21"/>
    <w:locked/>
    <w:rsid w:val="00A56569"/>
    <w:rPr>
      <w:rFonts w:ascii="Cambria" w:eastAsia="Times New Roman" w:hAnsi="Cambria" w:cs="Cambria"/>
      <w:b/>
      <w:bCs/>
      <w:kern w:val="32"/>
      <w:sz w:val="32"/>
      <w:szCs w:val="32"/>
      <w:lang w:val="en-US"/>
    </w:rPr>
  </w:style>
  <w:style w:type="character" w:customStyle="1" w:styleId="CarattereCarattere20">
    <w:name w:val="Carattere Carattere20"/>
    <w:locked/>
    <w:rsid w:val="00A56569"/>
    <w:rPr>
      <w:rFonts w:ascii="Arial0" w:eastAsia="Arial0" w:cs="Arial0"/>
      <w:b/>
      <w:bCs/>
      <w:i/>
      <w:iCs/>
      <w:sz w:val="28"/>
      <w:szCs w:val="28"/>
      <w:lang w:val="en-US"/>
    </w:rPr>
  </w:style>
  <w:style w:type="character" w:customStyle="1" w:styleId="CarattereCarattere19">
    <w:name w:val="Carattere Carattere19"/>
    <w:locked/>
    <w:rsid w:val="00A56569"/>
    <w:rPr>
      <w:rFonts w:ascii="Cambria" w:eastAsia="Times New Roman" w:hAnsi="Cambria" w:cs="Cambria"/>
      <w:b/>
      <w:bCs/>
      <w:sz w:val="26"/>
      <w:szCs w:val="26"/>
      <w:lang w:val="en-US"/>
    </w:rPr>
  </w:style>
  <w:style w:type="character" w:customStyle="1" w:styleId="CarattereCarattere18">
    <w:name w:val="Carattere Carattere18"/>
    <w:locked/>
    <w:rsid w:val="00A56569"/>
    <w:rPr>
      <w:rFonts w:ascii="Arial0" w:eastAsia="Arial0" w:cs="Arial0"/>
      <w:sz w:val="28"/>
      <w:szCs w:val="28"/>
      <w:lang w:val="en-GB"/>
    </w:rPr>
  </w:style>
  <w:style w:type="character" w:customStyle="1" w:styleId="CarattereCarattere17">
    <w:name w:val="Carattere Carattere17"/>
    <w:locked/>
    <w:rsid w:val="00A56569"/>
    <w:rPr>
      <w:rFonts w:ascii="Arial0" w:eastAsia="Arial0" w:cs="Arial0"/>
      <w:i/>
      <w:iCs/>
      <w:sz w:val="26"/>
      <w:szCs w:val="26"/>
      <w:lang w:val="fr-FR"/>
    </w:rPr>
  </w:style>
  <w:style w:type="character" w:customStyle="1" w:styleId="CarattereCarattere16">
    <w:name w:val="Carattere Carattere16"/>
    <w:locked/>
    <w:rsid w:val="00A56569"/>
    <w:rPr>
      <w:rFonts w:ascii="Arial0" w:eastAsia="Arial0" w:cs="Arial0"/>
      <w:b/>
      <w:bCs/>
      <w:sz w:val="22"/>
      <w:szCs w:val="22"/>
      <w:lang w:val="fr-FR"/>
    </w:rPr>
  </w:style>
  <w:style w:type="character" w:customStyle="1" w:styleId="CarattereCarattere14">
    <w:name w:val="Carattere Carattere14"/>
    <w:locked/>
    <w:rsid w:val="00A56569"/>
    <w:rPr>
      <w:rFonts w:ascii="Arial0" w:eastAsia="Arial0" w:cs="Arial0"/>
      <w:i/>
      <w:iCs/>
      <w:sz w:val="24"/>
      <w:szCs w:val="24"/>
      <w:lang w:val="fr-FR"/>
    </w:rPr>
  </w:style>
  <w:style w:type="character" w:customStyle="1" w:styleId="CarattereCarattere13">
    <w:name w:val="Carattere Carattere13"/>
    <w:locked/>
    <w:rsid w:val="00A56569"/>
    <w:rPr>
      <w:rFonts w:ascii="Arial0" w:eastAsia="Arial0" w:cs="Arial0"/>
      <w:sz w:val="22"/>
      <w:szCs w:val="22"/>
      <w:lang w:val="fr-FR"/>
    </w:rPr>
  </w:style>
  <w:style w:type="character" w:customStyle="1" w:styleId="CarattereCarattere12">
    <w:name w:val="Carattere Carattere12"/>
    <w:locked/>
    <w:rsid w:val="00A56569"/>
    <w:rPr>
      <w:rFonts w:ascii="Arial0" w:eastAsia="Arial0" w:cs="Arial0"/>
      <w:b/>
      <w:bCs/>
      <w:sz w:val="22"/>
      <w:szCs w:val="22"/>
      <w:lang w:val="en-GB"/>
    </w:rPr>
  </w:style>
  <w:style w:type="character" w:customStyle="1" w:styleId="CarattereCarattere11">
    <w:name w:val="Carattere Carattere11"/>
    <w:locked/>
    <w:rsid w:val="00A56569"/>
    <w:rPr>
      <w:sz w:val="24"/>
      <w:szCs w:val="24"/>
      <w:lang w:val="en-US"/>
    </w:rPr>
  </w:style>
  <w:style w:type="character" w:customStyle="1" w:styleId="CarattereCarattere10">
    <w:name w:val="Carattere Carattere10"/>
    <w:locked/>
    <w:rsid w:val="00A56569"/>
    <w:rPr>
      <w:sz w:val="24"/>
      <w:szCs w:val="24"/>
      <w:lang w:val="en-US"/>
    </w:rPr>
  </w:style>
  <w:style w:type="character" w:customStyle="1" w:styleId="CarattereCarattere9">
    <w:name w:val="Carattere Carattere9"/>
    <w:locked/>
    <w:rsid w:val="00A56569"/>
    <w:rPr>
      <w:rFonts w:ascii="Tahoma" w:hAnsi="Tahoma" w:cs="Tahoma"/>
      <w:sz w:val="16"/>
      <w:szCs w:val="16"/>
      <w:lang w:val="en-US"/>
    </w:rPr>
  </w:style>
  <w:style w:type="character" w:customStyle="1" w:styleId="CarattereCarattere8">
    <w:name w:val="Carattere Carattere8"/>
    <w:locked/>
    <w:rsid w:val="00A56569"/>
    <w:rPr>
      <w:lang w:val="en-US"/>
    </w:rPr>
  </w:style>
  <w:style w:type="character" w:customStyle="1" w:styleId="CarattereCarattere7">
    <w:name w:val="Carattere Carattere7"/>
    <w:locked/>
    <w:rsid w:val="00A56569"/>
    <w:rPr>
      <w:b/>
      <w:bCs/>
      <w:lang w:val="en-US"/>
    </w:rPr>
  </w:style>
  <w:style w:type="character" w:customStyle="1" w:styleId="CarattereCarattere6">
    <w:name w:val="Carattere Carattere6"/>
    <w:locked/>
    <w:rsid w:val="00A56569"/>
    <w:rPr>
      <w:rFonts w:ascii="Arial0" w:eastAsia="Arial0" w:cs="Arial0"/>
      <w:lang w:val="en-GB"/>
    </w:rPr>
  </w:style>
  <w:style w:type="character" w:customStyle="1" w:styleId="st1">
    <w:name w:val="st1"/>
    <w:basedOn w:val="DefaultParagraphFont"/>
    <w:rsid w:val="00A56569"/>
  </w:style>
  <w:style w:type="character" w:customStyle="1" w:styleId="CarattereCarattere5">
    <w:name w:val="Carattere Carattere5"/>
    <w:locked/>
    <w:rsid w:val="00A56569"/>
    <w:rPr>
      <w:rFonts w:ascii="Arial0" w:eastAsia="Arial0" w:cs="Arial0"/>
      <w:sz w:val="24"/>
      <w:szCs w:val="24"/>
      <w:lang w:val="fr-FR"/>
    </w:rPr>
  </w:style>
  <w:style w:type="character" w:customStyle="1" w:styleId="CarattereCarattere4">
    <w:name w:val="Carattere Carattere4"/>
    <w:locked/>
    <w:rsid w:val="00A56569"/>
    <w:rPr>
      <w:rFonts w:ascii="Arial0" w:eastAsia="Arial0" w:cs="Arial0"/>
      <w:b/>
      <w:bCs/>
      <w:sz w:val="24"/>
      <w:szCs w:val="24"/>
      <w:lang w:val="fr-FR"/>
    </w:rPr>
  </w:style>
  <w:style w:type="character" w:customStyle="1" w:styleId="CarattereCarattere3">
    <w:name w:val="Carattere Carattere3"/>
    <w:locked/>
    <w:rsid w:val="00A56569"/>
    <w:rPr>
      <w:rFonts w:ascii="Arial0" w:eastAsia="Arial0" w:cs="Arial0"/>
      <w:b/>
      <w:bCs/>
      <w:sz w:val="24"/>
      <w:szCs w:val="24"/>
      <w:lang w:val="fr-FR"/>
    </w:rPr>
  </w:style>
  <w:style w:type="character" w:customStyle="1" w:styleId="CarattereCarattere2">
    <w:name w:val="Carattere Carattere2"/>
    <w:locked/>
    <w:rsid w:val="00A56569"/>
    <w:rPr>
      <w:snapToGrid w:val="0"/>
      <w:sz w:val="22"/>
      <w:szCs w:val="22"/>
      <w:lang w:val="fr-FR" w:eastAsia="ja-JP" w:bidi="ar-SA"/>
    </w:rPr>
  </w:style>
  <w:style w:type="character" w:customStyle="1" w:styleId="CarattereCarattere1">
    <w:name w:val="Carattere Carattere1"/>
    <w:locked/>
    <w:rsid w:val="00A56569"/>
    <w:rPr>
      <w:rFonts w:ascii="Arial0" w:eastAsia="Arial0" w:cs="Arial0"/>
      <w:sz w:val="22"/>
      <w:szCs w:val="22"/>
      <w:lang w:val="fr-FR"/>
    </w:rPr>
  </w:style>
  <w:style w:type="paragraph" w:styleId="TOC5">
    <w:name w:val="toc 5"/>
    <w:basedOn w:val="Normal"/>
    <w:next w:val="Normal"/>
    <w:autoRedefine/>
    <w:uiPriority w:val="39"/>
    <w:rsid w:val="00A56569"/>
    <w:pPr>
      <w:spacing w:after="120"/>
      <w:ind w:left="800"/>
    </w:pPr>
    <w:rPr>
      <w:rFonts w:ascii="Arial0" w:eastAsia="Arial0" w:hAnsi="Times New Roman" w:cs="Arial0"/>
      <w:snapToGrid w:val="0"/>
      <w:sz w:val="20"/>
      <w:szCs w:val="20"/>
      <w:lang w:val="fr-FR"/>
    </w:rPr>
  </w:style>
  <w:style w:type="paragraph" w:styleId="TOC6">
    <w:name w:val="toc 6"/>
    <w:basedOn w:val="Normal"/>
    <w:next w:val="Normal"/>
    <w:autoRedefine/>
    <w:uiPriority w:val="39"/>
    <w:rsid w:val="00A56569"/>
    <w:pPr>
      <w:spacing w:after="120"/>
      <w:ind w:left="1000"/>
    </w:pPr>
    <w:rPr>
      <w:rFonts w:ascii="Arial0" w:eastAsia="Arial0" w:hAnsi="Times New Roman" w:cs="Arial0"/>
      <w:snapToGrid w:val="0"/>
      <w:sz w:val="20"/>
      <w:szCs w:val="20"/>
      <w:lang w:val="fr-FR"/>
    </w:rPr>
  </w:style>
  <w:style w:type="paragraph" w:styleId="TOC7">
    <w:name w:val="toc 7"/>
    <w:basedOn w:val="Normal"/>
    <w:next w:val="Normal"/>
    <w:autoRedefine/>
    <w:uiPriority w:val="39"/>
    <w:rsid w:val="00A56569"/>
    <w:pPr>
      <w:spacing w:after="120"/>
      <w:ind w:left="1200"/>
    </w:pPr>
    <w:rPr>
      <w:rFonts w:ascii="Arial0" w:eastAsia="Arial0" w:hAnsi="Times New Roman" w:cs="Arial0"/>
      <w:snapToGrid w:val="0"/>
      <w:sz w:val="20"/>
      <w:szCs w:val="20"/>
      <w:lang w:val="fr-FR"/>
    </w:rPr>
  </w:style>
  <w:style w:type="paragraph" w:styleId="TOC8">
    <w:name w:val="toc 8"/>
    <w:basedOn w:val="Normal"/>
    <w:next w:val="Normal"/>
    <w:autoRedefine/>
    <w:uiPriority w:val="39"/>
    <w:rsid w:val="00A56569"/>
    <w:pPr>
      <w:spacing w:after="120"/>
      <w:ind w:left="1400"/>
    </w:pPr>
    <w:rPr>
      <w:rFonts w:ascii="Arial0" w:eastAsia="Arial0" w:hAnsi="Times New Roman" w:cs="Arial0"/>
      <w:snapToGrid w:val="0"/>
      <w:sz w:val="20"/>
      <w:szCs w:val="20"/>
      <w:lang w:val="fr-FR"/>
    </w:rPr>
  </w:style>
  <w:style w:type="character" w:styleId="FollowedHyperlink">
    <w:name w:val="FollowedHyperlink"/>
    <w:locked/>
    <w:rsid w:val="00A56569"/>
    <w:rPr>
      <w:color w:val="800080"/>
      <w:u w:val="single"/>
    </w:rPr>
  </w:style>
  <w:style w:type="paragraph" w:customStyle="1" w:styleId="TableText9">
    <w:name w:val="TableText9"/>
    <w:basedOn w:val="Normal"/>
    <w:rsid w:val="00A56569"/>
    <w:rPr>
      <w:rFonts w:ascii="Times New Roman" w:eastAsia="MS Mincho" w:hAnsi="Times New Roman" w:cs="Times New Roman"/>
      <w:snapToGrid w:val="0"/>
      <w:sz w:val="18"/>
      <w:szCs w:val="18"/>
      <w:lang w:val="en-US"/>
    </w:rPr>
  </w:style>
  <w:style w:type="paragraph" w:customStyle="1" w:styleId="Style1">
    <w:name w:val="Style1"/>
    <w:basedOn w:val="Heading3"/>
    <w:rsid w:val="00A56569"/>
    <w:pPr>
      <w:numPr>
        <w:numId w:val="7"/>
      </w:numPr>
      <w:spacing w:after="120"/>
    </w:pPr>
    <w:rPr>
      <w:rFonts w:ascii="Arial0" w:eastAsia="Arial0" w:hAnsi="Times New Roman" w:cs="Arial0"/>
      <w:b w:val="0"/>
      <w:bCs w:val="0"/>
      <w:snapToGrid w:val="0"/>
      <w:sz w:val="22"/>
      <w:szCs w:val="22"/>
      <w:u w:val="single"/>
      <w:lang w:val="fr-FR" w:eastAsia="ja-JP"/>
    </w:rPr>
  </w:style>
  <w:style w:type="paragraph" w:styleId="ListNumber">
    <w:name w:val="List Number"/>
    <w:basedOn w:val="Normal"/>
    <w:locked/>
    <w:rsid w:val="00A56569"/>
    <w:pPr>
      <w:numPr>
        <w:numId w:val="8"/>
      </w:numPr>
      <w:tabs>
        <w:tab w:val="num" w:pos="992"/>
      </w:tabs>
      <w:spacing w:after="240" w:line="280" w:lineRule="atLeast"/>
      <w:ind w:left="992" w:hanging="992"/>
    </w:pPr>
    <w:rPr>
      <w:rFonts w:ascii="Times New Roman" w:eastAsia="MS Mincho" w:hAnsi="Times New Roman" w:cs="Times New Roman"/>
      <w:snapToGrid w:val="0"/>
      <w:lang w:val="en-GB"/>
    </w:rPr>
  </w:style>
  <w:style w:type="paragraph" w:customStyle="1" w:styleId="TableText10">
    <w:name w:val="TableText10"/>
    <w:basedOn w:val="Normal"/>
    <w:rsid w:val="00A56569"/>
    <w:rPr>
      <w:rFonts w:ascii="Times New Roman" w:eastAsia="MS Mincho" w:hAnsi="Times New Roman" w:cs="Times New Roman"/>
      <w:snapToGrid w:val="0"/>
      <w:sz w:val="20"/>
      <w:szCs w:val="20"/>
      <w:lang w:val="en-US"/>
    </w:rPr>
  </w:style>
  <w:style w:type="paragraph" w:customStyle="1" w:styleId="TableHeader9">
    <w:name w:val="TableHeader9"/>
    <w:basedOn w:val="TableText9"/>
    <w:rsid w:val="00A56569"/>
    <w:pPr>
      <w:jc w:val="center"/>
    </w:pPr>
    <w:rPr>
      <w:b/>
      <w:bCs/>
    </w:rPr>
  </w:style>
  <w:style w:type="paragraph" w:customStyle="1" w:styleId="TableText8">
    <w:name w:val="TableText8"/>
    <w:basedOn w:val="Normal"/>
    <w:rsid w:val="00A56569"/>
    <w:pPr>
      <w:numPr>
        <w:numId w:val="10"/>
      </w:numPr>
      <w:tabs>
        <w:tab w:val="clear" w:pos="360"/>
      </w:tabs>
      <w:ind w:left="0" w:firstLine="0"/>
    </w:pPr>
    <w:rPr>
      <w:rFonts w:ascii="Times New Roman" w:eastAsia="MS Mincho" w:hAnsi="Times New Roman" w:cs="Times New Roman"/>
      <w:snapToGrid w:val="0"/>
      <w:sz w:val="16"/>
      <w:szCs w:val="16"/>
      <w:lang w:val="en-US"/>
    </w:rPr>
  </w:style>
  <w:style w:type="paragraph" w:customStyle="1" w:styleId="TableNotes9">
    <w:name w:val="TableNotes9"/>
    <w:basedOn w:val="TableText10"/>
    <w:next w:val="Normal"/>
    <w:rsid w:val="00A56569"/>
    <w:pPr>
      <w:spacing w:before="120" w:after="120"/>
      <w:ind w:left="576" w:hanging="576"/>
    </w:pPr>
    <w:rPr>
      <w:sz w:val="18"/>
      <w:szCs w:val="18"/>
    </w:rPr>
  </w:style>
  <w:style w:type="paragraph" w:customStyle="1" w:styleId="FigureSource">
    <w:name w:val="FigureSource"/>
    <w:basedOn w:val="Normal"/>
    <w:next w:val="Normal"/>
    <w:rsid w:val="00A56569"/>
    <w:rPr>
      <w:rFonts w:ascii="Times New Roman" w:eastAsia="MS Mincho" w:hAnsi="Times New Roman" w:cs="Times New Roman"/>
      <w:snapToGrid w:val="0"/>
      <w:sz w:val="20"/>
      <w:szCs w:val="20"/>
      <w:lang w:val="en-US"/>
    </w:rPr>
  </w:style>
  <w:style w:type="paragraph" w:customStyle="1" w:styleId="TableHeader10">
    <w:name w:val="TableHeader10"/>
    <w:basedOn w:val="TableText10"/>
    <w:rsid w:val="00A56569"/>
    <w:pPr>
      <w:jc w:val="center"/>
    </w:pPr>
    <w:rPr>
      <w:b/>
      <w:bCs/>
    </w:rPr>
  </w:style>
  <w:style w:type="paragraph" w:customStyle="1" w:styleId="TableSource9">
    <w:name w:val="TableSource9"/>
    <w:basedOn w:val="TableText9"/>
    <w:next w:val="Normal"/>
    <w:rsid w:val="00A56569"/>
    <w:pPr>
      <w:spacing w:before="120" w:after="120"/>
    </w:pPr>
  </w:style>
  <w:style w:type="paragraph" w:customStyle="1" w:styleId="TableNotes8">
    <w:name w:val="TableNotes8"/>
    <w:basedOn w:val="TableText9"/>
    <w:next w:val="Normal"/>
    <w:rsid w:val="00A56569"/>
    <w:pPr>
      <w:spacing w:before="120" w:after="120"/>
      <w:ind w:left="576" w:hanging="576"/>
    </w:pPr>
    <w:rPr>
      <w:sz w:val="16"/>
      <w:szCs w:val="16"/>
    </w:rPr>
  </w:style>
  <w:style w:type="paragraph" w:customStyle="1" w:styleId="TableSource8">
    <w:name w:val="TableSource8"/>
    <w:basedOn w:val="TableText8"/>
    <w:next w:val="Normal"/>
    <w:rsid w:val="00A56569"/>
    <w:pPr>
      <w:spacing w:before="120" w:after="120"/>
    </w:pPr>
  </w:style>
  <w:style w:type="paragraph" w:customStyle="1" w:styleId="TableSource10">
    <w:name w:val="TableSource10"/>
    <w:basedOn w:val="TableText10"/>
    <w:next w:val="Normal"/>
    <w:rsid w:val="00A56569"/>
    <w:pPr>
      <w:spacing w:before="120" w:after="120"/>
    </w:pPr>
  </w:style>
  <w:style w:type="paragraph" w:customStyle="1" w:styleId="List1">
    <w:name w:val="List1"/>
    <w:basedOn w:val="Normal"/>
    <w:rsid w:val="00A56569"/>
    <w:pPr>
      <w:tabs>
        <w:tab w:val="num" w:pos="1008"/>
      </w:tabs>
      <w:spacing w:before="120" w:after="120"/>
      <w:ind w:left="1008" w:hanging="504"/>
    </w:pPr>
    <w:rPr>
      <w:rFonts w:ascii="Times New Roman" w:eastAsia="MS Mincho" w:hAnsi="Times New Roman" w:cs="Times New Roman"/>
      <w:snapToGrid w:val="0"/>
      <w:lang w:val="en-US"/>
    </w:rPr>
  </w:style>
  <w:style w:type="paragraph" w:customStyle="1" w:styleId="List2">
    <w:name w:val="List2"/>
    <w:basedOn w:val="Normal"/>
    <w:rsid w:val="00A56569"/>
    <w:pPr>
      <w:tabs>
        <w:tab w:val="num" w:pos="1512"/>
      </w:tabs>
      <w:spacing w:before="120" w:after="120"/>
      <w:ind w:left="1512" w:hanging="504"/>
    </w:pPr>
    <w:rPr>
      <w:rFonts w:ascii="Times New Roman" w:eastAsia="MS Mincho" w:hAnsi="Times New Roman" w:cs="Times New Roman"/>
      <w:snapToGrid w:val="0"/>
      <w:lang w:val="en-US"/>
    </w:rPr>
  </w:style>
  <w:style w:type="paragraph" w:customStyle="1" w:styleId="List4">
    <w:name w:val="List4"/>
    <w:basedOn w:val="Normal"/>
    <w:rsid w:val="00A56569"/>
    <w:pPr>
      <w:tabs>
        <w:tab w:val="num" w:pos="2520"/>
      </w:tabs>
      <w:spacing w:before="120" w:after="120"/>
      <w:ind w:left="2520" w:hanging="504"/>
    </w:pPr>
    <w:rPr>
      <w:rFonts w:ascii="Times New Roman" w:eastAsia="MS Mincho" w:hAnsi="Times New Roman" w:cs="Times New Roman"/>
      <w:snapToGrid w:val="0"/>
      <w:lang w:val="en-US"/>
    </w:rPr>
  </w:style>
  <w:style w:type="paragraph" w:customStyle="1" w:styleId="List3">
    <w:name w:val="List3"/>
    <w:basedOn w:val="Normal"/>
    <w:rsid w:val="00A56569"/>
    <w:pPr>
      <w:tabs>
        <w:tab w:val="num" w:pos="2016"/>
      </w:tabs>
      <w:spacing w:before="120" w:after="120"/>
      <w:ind w:left="2016" w:hanging="504"/>
    </w:pPr>
    <w:rPr>
      <w:rFonts w:ascii="Times New Roman" w:eastAsia="MS Mincho" w:hAnsi="Times New Roman" w:cs="Times New Roman"/>
      <w:snapToGrid w:val="0"/>
      <w:lang w:val="en-US"/>
    </w:rPr>
  </w:style>
  <w:style w:type="paragraph" w:styleId="TableofFigures">
    <w:name w:val="table of figures"/>
    <w:basedOn w:val="Normal"/>
    <w:next w:val="Normal"/>
    <w:autoRedefine/>
    <w:uiPriority w:val="99"/>
    <w:locked/>
    <w:rsid w:val="00930591"/>
    <w:pPr>
      <w:tabs>
        <w:tab w:val="right" w:leader="dot" w:pos="9345"/>
      </w:tabs>
      <w:spacing w:after="120"/>
      <w:ind w:left="992" w:right="-284" w:hanging="992"/>
    </w:pPr>
    <w:rPr>
      <w:rFonts w:ascii="Arial0" w:eastAsia="Arial0" w:hAnsi="Times New Roman" w:cs="Arial0"/>
      <w:noProof/>
      <w:snapToGrid w:val="0"/>
      <w:sz w:val="18"/>
      <w:szCs w:val="18"/>
    </w:rPr>
  </w:style>
  <w:style w:type="character" w:customStyle="1" w:styleId="illustration1">
    <w:name w:val="illustration1"/>
    <w:rsid w:val="00A56569"/>
    <w:rPr>
      <w:i/>
      <w:iCs/>
      <w:color w:val="auto"/>
    </w:rPr>
  </w:style>
  <w:style w:type="paragraph" w:customStyle="1" w:styleId="TableTextLeftIndent">
    <w:name w:val="Table Text Left Indent"/>
    <w:basedOn w:val="Normal"/>
    <w:rsid w:val="00A56569"/>
    <w:pPr>
      <w:keepNext/>
      <w:keepLines/>
      <w:spacing w:before="60" w:after="60"/>
      <w:ind w:left="288"/>
    </w:pPr>
    <w:rPr>
      <w:rFonts w:ascii="Times New Roman" w:eastAsia="MS Mincho" w:hAnsi="Times New Roman" w:cs="Times New Roman"/>
      <w:snapToGrid w:val="0"/>
      <w:color w:val="000000"/>
      <w:sz w:val="20"/>
      <w:szCs w:val="20"/>
      <w:lang w:val="en-GB"/>
    </w:rPr>
  </w:style>
  <w:style w:type="paragraph" w:customStyle="1" w:styleId="Table0">
    <w:name w:val="Table"/>
    <w:basedOn w:val="Caption"/>
    <w:rsid w:val="00A56569"/>
    <w:pPr>
      <w:keepLines/>
      <w:widowControl w:val="0"/>
      <w:tabs>
        <w:tab w:val="clear" w:pos="1337"/>
        <w:tab w:val="left" w:pos="2000"/>
      </w:tabs>
      <w:spacing w:after="0" w:line="240" w:lineRule="auto"/>
      <w:jc w:val="center"/>
    </w:pPr>
    <w:rPr>
      <w:rFonts w:ascii="Times New Roman" w:eastAsia="MS Mincho" w:hAnsi="Times New Roman"/>
      <w:b w:val="0"/>
      <w:bCs w:val="0"/>
      <w:snapToGrid w:val="0"/>
      <w:color w:val="auto"/>
      <w:lang w:val="en-GB" w:eastAsia="ja-JP"/>
    </w:rPr>
  </w:style>
  <w:style w:type="paragraph" w:customStyle="1" w:styleId="TableHeading10-left">
    <w:name w:val="Table Heading 10 - left"/>
    <w:basedOn w:val="Default"/>
    <w:next w:val="Default"/>
    <w:rsid w:val="00A56569"/>
    <w:rPr>
      <w:rFonts w:ascii="Verdana" w:hAnsi="Verdana" w:cs="Verdana"/>
      <w:snapToGrid w:val="0"/>
      <w:color w:val="auto"/>
      <w:lang w:eastAsia="ja-JP"/>
    </w:rPr>
  </w:style>
  <w:style w:type="paragraph" w:customStyle="1" w:styleId="TableFootnote0">
    <w:name w:val="Table Footnote"/>
    <w:basedOn w:val="Normal"/>
    <w:rsid w:val="00A56569"/>
    <w:pPr>
      <w:keepNext/>
      <w:keepLines/>
      <w:spacing w:before="60" w:after="60"/>
      <w:ind w:left="360" w:hanging="360"/>
    </w:pPr>
    <w:rPr>
      <w:rFonts w:ascii="Times New Roman" w:eastAsia="MS Mincho" w:hAnsi="Times New Roman" w:cs="Times New Roman"/>
      <w:noProof/>
      <w:sz w:val="20"/>
      <w:szCs w:val="20"/>
    </w:rPr>
  </w:style>
  <w:style w:type="paragraph" w:customStyle="1" w:styleId="ListBullet31">
    <w:name w:val="List Bullet 31"/>
    <w:basedOn w:val="ListBullet2"/>
    <w:rsid w:val="00A56569"/>
    <w:pPr>
      <w:spacing w:after="0" w:line="360" w:lineRule="auto"/>
      <w:ind w:left="992" w:hanging="425"/>
    </w:pPr>
    <w:rPr>
      <w:color w:val="000000"/>
      <w:sz w:val="23"/>
      <w:szCs w:val="23"/>
      <w:lang w:val="en-GB"/>
    </w:rPr>
  </w:style>
  <w:style w:type="paragraph" w:styleId="ListBullet2">
    <w:name w:val="List Bullet 2"/>
    <w:basedOn w:val="Normal"/>
    <w:locked/>
    <w:rsid w:val="00A56569"/>
    <w:pPr>
      <w:spacing w:after="120"/>
      <w:ind w:left="360" w:hanging="360"/>
    </w:pPr>
    <w:rPr>
      <w:rFonts w:ascii="Arial0" w:eastAsia="Arial0" w:hAnsi="Times New Roman" w:cs="Arial0"/>
      <w:snapToGrid w:val="0"/>
      <w:sz w:val="20"/>
      <w:szCs w:val="20"/>
      <w:lang w:val="fr-FR"/>
    </w:rPr>
  </w:style>
  <w:style w:type="paragraph" w:customStyle="1" w:styleId="Synopsistext">
    <w:name w:val="Synopsis text"/>
    <w:basedOn w:val="Normal"/>
    <w:rsid w:val="00A56569"/>
    <w:pPr>
      <w:autoSpaceDE w:val="0"/>
      <w:autoSpaceDN w:val="0"/>
      <w:adjustRightInd w:val="0"/>
      <w:spacing w:before="120" w:after="120"/>
    </w:pPr>
    <w:rPr>
      <w:rFonts w:ascii="Times New Roman" w:eastAsia="Times New Roman" w:hAnsi="Times New Roman" w:cs="Times New Roman"/>
      <w:snapToGrid w:val="0"/>
      <w:sz w:val="20"/>
      <w:szCs w:val="20"/>
      <w:lang w:val="en-US"/>
    </w:rPr>
  </w:style>
  <w:style w:type="paragraph" w:customStyle="1" w:styleId="table1">
    <w:name w:val="table"/>
    <w:basedOn w:val="Normal"/>
    <w:rsid w:val="00A56569"/>
    <w:pPr>
      <w:autoSpaceDE w:val="0"/>
      <w:autoSpaceDN w:val="0"/>
      <w:adjustRightInd w:val="0"/>
    </w:pPr>
    <w:rPr>
      <w:rFonts w:ascii="Times New Roman" w:eastAsia="Times New Roman" w:hAnsi="Times New Roman" w:cs="Times New Roman"/>
      <w:snapToGrid w:val="0"/>
      <w:sz w:val="20"/>
      <w:szCs w:val="20"/>
      <w:lang w:val="en-US"/>
    </w:rPr>
  </w:style>
  <w:style w:type="paragraph" w:customStyle="1" w:styleId="table-head">
    <w:name w:val="table-head"/>
    <w:basedOn w:val="Normal"/>
    <w:rsid w:val="00A56569"/>
    <w:pPr>
      <w:numPr>
        <w:numId w:val="11"/>
      </w:numPr>
      <w:tabs>
        <w:tab w:val="clear" w:pos="643"/>
      </w:tabs>
      <w:autoSpaceDE w:val="0"/>
      <w:autoSpaceDN w:val="0"/>
      <w:adjustRightInd w:val="0"/>
      <w:ind w:left="0" w:firstLine="0"/>
      <w:jc w:val="center"/>
    </w:pPr>
    <w:rPr>
      <w:rFonts w:ascii="Times New Roman Bold" w:eastAsia="Times New Roman" w:hAnsi="Times New Roman Bold" w:cs="Times New Roman Bold"/>
      <w:b/>
      <w:bCs/>
      <w:snapToGrid w:val="0"/>
      <w:sz w:val="20"/>
      <w:szCs w:val="20"/>
      <w:lang w:val="en-US"/>
    </w:rPr>
  </w:style>
  <w:style w:type="paragraph" w:customStyle="1" w:styleId="Ref">
    <w:name w:val="Ref"/>
    <w:basedOn w:val="Body"/>
    <w:rsid w:val="00A56569"/>
    <w:rPr>
      <w:rFonts w:eastAsia="MS Mincho"/>
      <w:bCs w:val="0"/>
      <w:noProof/>
      <w:snapToGrid w:val="0"/>
      <w:sz w:val="22"/>
      <w:szCs w:val="22"/>
      <w:lang w:val="it-IT" w:eastAsia="ja-JP" w:bidi="ar-SA"/>
    </w:rPr>
  </w:style>
  <w:style w:type="paragraph" w:customStyle="1" w:styleId="Puntoelenco31">
    <w:name w:val="Punto elenco 31"/>
    <w:basedOn w:val="ListBullet2"/>
    <w:rsid w:val="00A56569"/>
    <w:pPr>
      <w:spacing w:after="0" w:line="360" w:lineRule="auto"/>
      <w:ind w:left="992" w:hanging="425"/>
    </w:pPr>
    <w:rPr>
      <w:color w:val="000000"/>
      <w:sz w:val="23"/>
      <w:szCs w:val="23"/>
      <w:lang w:val="en-GB"/>
    </w:rPr>
  </w:style>
  <w:style w:type="paragraph" w:customStyle="1" w:styleId="Pa6">
    <w:name w:val="Pa6"/>
    <w:basedOn w:val="Default"/>
    <w:next w:val="Default"/>
    <w:rsid w:val="00A56569"/>
    <w:pPr>
      <w:spacing w:line="201" w:lineRule="atLeast"/>
    </w:pPr>
    <w:rPr>
      <w:rFonts w:ascii="Adobe Garamond" w:eastAsia="MS Mincho" w:hAnsi="Adobe Garamond" w:cs="Adobe Garamond"/>
      <w:snapToGrid w:val="0"/>
      <w:color w:val="auto"/>
      <w:lang w:val="it-IT" w:eastAsia="ja-JP"/>
    </w:rPr>
  </w:style>
  <w:style w:type="character" w:customStyle="1" w:styleId="A6">
    <w:name w:val="A6"/>
    <w:rsid w:val="00A56569"/>
    <w:rPr>
      <w:rFonts w:ascii="Garamond Premr Pro" w:hAnsi="Garamond Premr Pro" w:cs="Garamond Premr Pro"/>
      <w:color w:val="000000"/>
      <w:sz w:val="14"/>
      <w:szCs w:val="14"/>
    </w:rPr>
  </w:style>
  <w:style w:type="character" w:customStyle="1" w:styleId="shorttext">
    <w:name w:val="short_text"/>
    <w:basedOn w:val="DefaultParagraphFont"/>
    <w:rsid w:val="00A56569"/>
  </w:style>
  <w:style w:type="character" w:customStyle="1" w:styleId="tw4winMark">
    <w:name w:val="tw4winMark"/>
    <w:rsid w:val="00A56569"/>
    <w:rPr>
      <w:rFonts w:ascii="Courier New" w:hAnsi="Courier New" w:cs="Courier New"/>
      <w:vanish/>
      <w:color w:val="800080"/>
      <w:sz w:val="24"/>
      <w:szCs w:val="24"/>
      <w:vertAlign w:val="subscript"/>
    </w:rPr>
  </w:style>
  <w:style w:type="character" w:customStyle="1" w:styleId="tw4winError">
    <w:name w:val="tw4winError"/>
    <w:rsid w:val="00A56569"/>
    <w:rPr>
      <w:rFonts w:ascii="Courier New" w:hAnsi="Courier New" w:cs="Courier New"/>
      <w:color w:val="00FF00"/>
      <w:sz w:val="40"/>
      <w:szCs w:val="40"/>
    </w:rPr>
  </w:style>
  <w:style w:type="character" w:customStyle="1" w:styleId="tw4winTerm">
    <w:name w:val="tw4winTerm"/>
    <w:rsid w:val="00A56569"/>
    <w:rPr>
      <w:color w:val="0000FF"/>
    </w:rPr>
  </w:style>
  <w:style w:type="character" w:customStyle="1" w:styleId="tw4winPopup">
    <w:name w:val="tw4winPopup"/>
    <w:rsid w:val="00A56569"/>
    <w:rPr>
      <w:rFonts w:ascii="Courier New" w:hAnsi="Courier New" w:cs="Courier New"/>
      <w:noProof/>
      <w:color w:val="008000"/>
    </w:rPr>
  </w:style>
  <w:style w:type="character" w:customStyle="1" w:styleId="tw4winJump">
    <w:name w:val="tw4winJump"/>
    <w:rsid w:val="00A56569"/>
    <w:rPr>
      <w:rFonts w:ascii="Courier New" w:hAnsi="Courier New" w:cs="Courier New"/>
      <w:noProof/>
      <w:color w:val="008080"/>
    </w:rPr>
  </w:style>
  <w:style w:type="character" w:customStyle="1" w:styleId="tw4winExternal">
    <w:name w:val="tw4winExternal"/>
    <w:rsid w:val="00A56569"/>
    <w:rPr>
      <w:rFonts w:ascii="Courier New" w:hAnsi="Courier New" w:cs="Courier New"/>
      <w:noProof/>
      <w:color w:val="808080"/>
    </w:rPr>
  </w:style>
  <w:style w:type="character" w:customStyle="1" w:styleId="tw4winInternal">
    <w:name w:val="tw4winInternal"/>
    <w:rsid w:val="00A56569"/>
    <w:rPr>
      <w:rFonts w:ascii="Courier New" w:hAnsi="Courier New" w:cs="Courier New"/>
      <w:noProof/>
      <w:color w:val="FF0000"/>
    </w:rPr>
  </w:style>
  <w:style w:type="character" w:customStyle="1" w:styleId="DONOTTRANSLATE">
    <w:name w:val="DO_NOT_TRANSLATE"/>
    <w:rsid w:val="00A56569"/>
    <w:rPr>
      <w:rFonts w:ascii="Courier New" w:hAnsi="Courier New" w:cs="Courier New"/>
      <w:noProof/>
      <w:color w:val="800000"/>
    </w:rPr>
  </w:style>
  <w:style w:type="paragraph" w:customStyle="1" w:styleId="Grigliatab31">
    <w:name w:val="Griglia tab. 31"/>
    <w:basedOn w:val="Heading1"/>
    <w:next w:val="Normal"/>
    <w:uiPriority w:val="39"/>
    <w:qFormat/>
    <w:rsid w:val="003731F5"/>
    <w:pPr>
      <w:keepLines/>
      <w:spacing w:before="480" w:after="0" w:line="276" w:lineRule="auto"/>
      <w:ind w:left="0" w:firstLine="0"/>
      <w:outlineLvl w:val="9"/>
    </w:pPr>
    <w:rPr>
      <w:rFonts w:ascii="Cambria" w:hAnsi="Cambria"/>
      <w:bCs/>
      <w:noProof w:val="0"/>
      <w:color w:val="365F91"/>
      <w:sz w:val="28"/>
      <w:szCs w:val="28"/>
      <w:u w:val="none"/>
      <w:lang w:val="en-US" w:eastAsia="en-US"/>
    </w:rPr>
  </w:style>
  <w:style w:type="paragraph" w:customStyle="1" w:styleId="Elencoacolori-Colore11">
    <w:name w:val="Elenco a colori - Colore 11"/>
    <w:basedOn w:val="Normal"/>
    <w:qFormat/>
    <w:rsid w:val="003731F5"/>
    <w:pPr>
      <w:spacing w:after="200" w:line="276" w:lineRule="auto"/>
      <w:ind w:left="720"/>
      <w:contextualSpacing/>
    </w:pPr>
    <w:rPr>
      <w:rFonts w:ascii="Arial" w:eastAsia="Calibri" w:hAnsi="Arial" w:cs="Times New Roman"/>
      <w:sz w:val="20"/>
      <w:szCs w:val="22"/>
      <w:lang w:val="en-US" w:eastAsia="en-US"/>
    </w:rPr>
  </w:style>
  <w:style w:type="paragraph" w:styleId="NoSpacing">
    <w:name w:val="No Spacing"/>
    <w:link w:val="NoSpacingChar"/>
    <w:uiPriority w:val="1"/>
    <w:qFormat/>
    <w:rsid w:val="003731F5"/>
    <w:rPr>
      <w:lang w:eastAsia="en-US"/>
    </w:rPr>
  </w:style>
  <w:style w:type="paragraph" w:customStyle="1" w:styleId="p">
    <w:name w:val="p"/>
    <w:basedOn w:val="Normal"/>
    <w:rsid w:val="00C7503E"/>
    <w:pPr>
      <w:spacing w:before="100" w:beforeAutospacing="1" w:after="100" w:afterAutospacing="1"/>
    </w:pPr>
    <w:rPr>
      <w:rFonts w:ascii="Times" w:hAnsi="Times"/>
      <w:sz w:val="20"/>
      <w:szCs w:val="20"/>
      <w:lang w:eastAsia="it-IT"/>
    </w:rPr>
  </w:style>
  <w:style w:type="paragraph" w:customStyle="1" w:styleId="Corpo">
    <w:name w:val="Corpo"/>
    <w:rsid w:val="00735745"/>
    <w:pPr>
      <w:pBdr>
        <w:top w:val="nil"/>
        <w:left w:val="nil"/>
        <w:bottom w:val="nil"/>
        <w:right w:val="nil"/>
      </w:pBdr>
    </w:pPr>
    <w:rPr>
      <w:rFonts w:ascii="Times New Roman" w:eastAsia="Arial Unicode MS" w:hAnsi="Arial Unicode MS" w:cs="Arial Unicode MS"/>
      <w:color w:val="000000"/>
      <w:sz w:val="24"/>
      <w:szCs w:val="24"/>
      <w:u w:color="000000"/>
    </w:rPr>
  </w:style>
  <w:style w:type="numbering" w:customStyle="1" w:styleId="List0">
    <w:name w:val="List 0"/>
    <w:basedOn w:val="NoList"/>
    <w:rsid w:val="00735745"/>
    <w:pPr>
      <w:numPr>
        <w:numId w:val="12"/>
      </w:numPr>
    </w:pPr>
  </w:style>
  <w:style w:type="table" w:customStyle="1" w:styleId="TableNormal1">
    <w:name w:val="Table Normal1"/>
    <w:rsid w:val="008A4B52"/>
    <w:pPr>
      <w:pBdr>
        <w:top w:val="nil"/>
        <w:left w:val="nil"/>
        <w:bottom w:val="nil"/>
        <w:right w:val="nil"/>
        <w:between w:val="nil"/>
        <w:bar w:val="nil"/>
      </w:pBdr>
    </w:pPr>
    <w:rPr>
      <w:rFonts w:ascii="Times New Roman" w:eastAsia="Arial Unicode MS" w:hAnsi="Times New Roman"/>
      <w:sz w:val="20"/>
      <w:szCs w:val="20"/>
      <w:bdr w:val="nil"/>
    </w:rPr>
    <w:tblPr>
      <w:tblInd w:w="0" w:type="dxa"/>
      <w:tblCellMar>
        <w:top w:w="0" w:type="dxa"/>
        <w:left w:w="0" w:type="dxa"/>
        <w:bottom w:w="0" w:type="dxa"/>
        <w:right w:w="0" w:type="dxa"/>
      </w:tblCellMar>
    </w:tblPr>
  </w:style>
  <w:style w:type="paragraph" w:customStyle="1" w:styleId="Paragrafoelenco3">
    <w:name w:val="Paragrafo elenco3"/>
    <w:basedOn w:val="Normal"/>
    <w:rsid w:val="00CE0690"/>
    <w:pPr>
      <w:ind w:left="720"/>
      <w:contextualSpacing/>
    </w:pPr>
    <w:rPr>
      <w:rFonts w:ascii="Times New Roman" w:eastAsia="Calibri" w:hAnsi="Times New Roman" w:cs="Times New Roman"/>
      <w:lang w:eastAsia="it-IT"/>
    </w:rPr>
  </w:style>
  <w:style w:type="table" w:customStyle="1" w:styleId="Grigliatabella1">
    <w:name w:val="Griglia tabella1"/>
    <w:basedOn w:val="TableNormal"/>
    <w:next w:val="TableGrid"/>
    <w:uiPriority w:val="39"/>
    <w:rsid w:val="00165E85"/>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ont-Title">
    <w:name w:val="Front-Title"/>
    <w:basedOn w:val="Normal"/>
    <w:rsid w:val="00205C02"/>
    <w:pPr>
      <w:keepLines/>
      <w:spacing w:before="1200" w:after="480"/>
      <w:contextualSpacing/>
      <w:jc w:val="center"/>
    </w:pPr>
    <w:rPr>
      <w:rFonts w:ascii="Times New Roman" w:eastAsia="Times New Roman" w:hAnsi="Times New Roman" w:cs="Times New Roman"/>
      <w:b/>
      <w:bCs/>
      <w:caps/>
      <w:sz w:val="40"/>
      <w:szCs w:val="40"/>
      <w:lang w:val="en-US" w:eastAsia="de-DE"/>
    </w:rPr>
  </w:style>
  <w:style w:type="paragraph" w:customStyle="1" w:styleId="Front-Info">
    <w:name w:val="Front-Info"/>
    <w:basedOn w:val="Normal"/>
    <w:rsid w:val="00205C02"/>
    <w:pPr>
      <w:keepLines/>
      <w:spacing w:before="120"/>
      <w:jc w:val="center"/>
    </w:pPr>
    <w:rPr>
      <w:rFonts w:ascii="Times New Roman" w:eastAsia="Times New Roman" w:hAnsi="Times New Roman" w:cs="Times New Roman"/>
      <w:b/>
      <w:lang w:val="en-US" w:eastAsia="de-DE"/>
    </w:rPr>
  </w:style>
  <w:style w:type="table" w:customStyle="1" w:styleId="TableNormal2">
    <w:name w:val="Table Normal2"/>
    <w:rsid w:val="00637936"/>
    <w:pPr>
      <w:pBdr>
        <w:top w:val="nil"/>
        <w:left w:val="nil"/>
        <w:bottom w:val="nil"/>
        <w:right w:val="nil"/>
        <w:between w:val="nil"/>
        <w:bar w:val="nil"/>
      </w:pBdr>
    </w:pPr>
    <w:rPr>
      <w:rFonts w:ascii="Times New Roman" w:eastAsia="Arial Unicode MS" w:hAnsi="Times New Roman"/>
      <w:sz w:val="20"/>
      <w:szCs w:val="20"/>
      <w:bdr w:val="nil"/>
      <w:lang w:val="en-US" w:eastAsia="en-US"/>
    </w:rPr>
    <w:tblPr>
      <w:tblInd w:w="0" w:type="dxa"/>
      <w:tblCellMar>
        <w:top w:w="0" w:type="dxa"/>
        <w:left w:w="0" w:type="dxa"/>
        <w:bottom w:w="0" w:type="dxa"/>
        <w:right w:w="0" w:type="dxa"/>
      </w:tblCellMar>
    </w:tblPr>
  </w:style>
  <w:style w:type="paragraph" w:customStyle="1" w:styleId="Intestazioneepidipagina">
    <w:name w:val="Intestazione e piè di pagina"/>
    <w:rsid w:val="00637936"/>
    <w:pPr>
      <w:pBdr>
        <w:top w:val="nil"/>
        <w:left w:val="nil"/>
        <w:bottom w:val="nil"/>
        <w:right w:val="nil"/>
        <w:between w:val="nil"/>
        <w:bar w:val="nil"/>
      </w:pBdr>
      <w:tabs>
        <w:tab w:val="right" w:pos="9020"/>
      </w:tabs>
    </w:pPr>
    <w:rPr>
      <w:rFonts w:ascii="Helvetica" w:eastAsia="Arial Unicode MS" w:hAnsi="Helvetica" w:cs="Arial Unicode MS"/>
      <w:color w:val="000000"/>
      <w:sz w:val="24"/>
      <w:szCs w:val="24"/>
      <w:bdr w:val="nil"/>
      <w:lang w:val="en-US" w:eastAsia="en-US"/>
    </w:rPr>
  </w:style>
  <w:style w:type="paragraph" w:customStyle="1" w:styleId="CorpoA">
    <w:name w:val="Corpo A"/>
    <w:rsid w:val="00637936"/>
    <w:pPr>
      <w:widowControl w:val="0"/>
      <w:pBdr>
        <w:top w:val="nil"/>
        <w:left w:val="nil"/>
        <w:bottom w:val="nil"/>
        <w:right w:val="nil"/>
        <w:between w:val="nil"/>
        <w:bar w:val="nil"/>
      </w:pBdr>
      <w:spacing w:after="240" w:line="260" w:lineRule="atLeast"/>
      <w:jc w:val="center"/>
    </w:pPr>
    <w:rPr>
      <w:rFonts w:ascii="Helvetica" w:eastAsia="Arial Unicode MS" w:hAnsi="Helvetica" w:cs="Arial Unicode MS"/>
      <w:color w:val="000000"/>
      <w:u w:color="000000"/>
      <w:bdr w:val="nil"/>
      <w:lang w:eastAsia="en-US"/>
    </w:rPr>
  </w:style>
  <w:style w:type="paragraph" w:customStyle="1" w:styleId="Didefault">
    <w:name w:val="Di default"/>
    <w:rsid w:val="00637936"/>
    <w:pPr>
      <w:widowControl w:val="0"/>
      <w:pBdr>
        <w:top w:val="nil"/>
        <w:left w:val="nil"/>
        <w:bottom w:val="nil"/>
        <w:right w:val="nil"/>
        <w:between w:val="nil"/>
        <w:bar w:val="nil"/>
      </w:pBdr>
      <w:spacing w:after="240" w:line="260" w:lineRule="atLeast"/>
      <w:jc w:val="center"/>
    </w:pPr>
    <w:rPr>
      <w:rFonts w:ascii="Helvetica" w:eastAsia="Arial Unicode MS" w:hAnsi="Helvetica" w:cs="Arial Unicode MS"/>
      <w:color w:val="000000"/>
      <w:u w:color="000000"/>
      <w:bdr w:val="nil"/>
      <w:lang w:eastAsia="en-US"/>
    </w:rPr>
  </w:style>
  <w:style w:type="character" w:customStyle="1" w:styleId="Nessuno">
    <w:name w:val="Nessuno"/>
    <w:rsid w:val="00637936"/>
  </w:style>
  <w:style w:type="character" w:customStyle="1" w:styleId="Hyperlink0">
    <w:name w:val="Hyperlink.0"/>
    <w:basedOn w:val="Nessuno"/>
    <w:rsid w:val="00637936"/>
    <w:rPr>
      <w:u w:color="000000"/>
      <w:lang w:val="it-IT"/>
    </w:rPr>
  </w:style>
  <w:style w:type="numbering" w:customStyle="1" w:styleId="Stileimportato1">
    <w:name w:val="Stile importato 1"/>
    <w:rsid w:val="00637936"/>
    <w:pPr>
      <w:numPr>
        <w:numId w:val="15"/>
      </w:numPr>
    </w:pPr>
  </w:style>
  <w:style w:type="paragraph" w:customStyle="1" w:styleId="Stiletabella2">
    <w:name w:val="Stile tabella 2"/>
    <w:rsid w:val="00637936"/>
    <w:pPr>
      <w:widowControl w:val="0"/>
      <w:pBdr>
        <w:top w:val="nil"/>
        <w:left w:val="nil"/>
        <w:bottom w:val="nil"/>
        <w:right w:val="nil"/>
        <w:between w:val="nil"/>
        <w:bar w:val="nil"/>
      </w:pBdr>
      <w:spacing w:after="240" w:line="260" w:lineRule="atLeast"/>
      <w:jc w:val="center"/>
    </w:pPr>
    <w:rPr>
      <w:rFonts w:ascii="Helvetica" w:eastAsia="Arial Unicode MS" w:hAnsi="Helvetica" w:cs="Arial Unicode MS"/>
      <w:color w:val="000000"/>
      <w:sz w:val="20"/>
      <w:szCs w:val="20"/>
      <w:u w:color="000000"/>
      <w:bdr w:val="nil"/>
      <w:lang w:eastAsia="en-US"/>
    </w:rPr>
  </w:style>
  <w:style w:type="numbering" w:customStyle="1" w:styleId="Stileimportato2">
    <w:name w:val="Stile importato 2"/>
    <w:rsid w:val="00637936"/>
    <w:pPr>
      <w:numPr>
        <w:numId w:val="16"/>
      </w:numPr>
    </w:pPr>
  </w:style>
  <w:style w:type="numbering" w:customStyle="1" w:styleId="Stileimportato3">
    <w:name w:val="Stile importato 3"/>
    <w:rsid w:val="00637936"/>
    <w:pPr>
      <w:numPr>
        <w:numId w:val="17"/>
      </w:numPr>
    </w:pPr>
  </w:style>
  <w:style w:type="character" w:customStyle="1" w:styleId="current-selection">
    <w:name w:val="current-selection"/>
    <w:basedOn w:val="DefaultParagraphFont"/>
    <w:rsid w:val="00637936"/>
  </w:style>
  <w:style w:type="character" w:customStyle="1" w:styleId="a">
    <w:name w:val="_"/>
    <w:basedOn w:val="DefaultParagraphFont"/>
    <w:rsid w:val="00637936"/>
  </w:style>
  <w:style w:type="character" w:customStyle="1" w:styleId="NoSpacingChar">
    <w:name w:val="No Spacing Char"/>
    <w:link w:val="NoSpacing"/>
    <w:uiPriority w:val="1"/>
    <w:rsid w:val="005923E5"/>
    <w:rPr>
      <w:lang w:eastAsia="en-US"/>
    </w:rPr>
  </w:style>
  <w:style w:type="paragraph" w:styleId="EndnoteText">
    <w:name w:val="endnote text"/>
    <w:basedOn w:val="Normal"/>
    <w:link w:val="EndnoteTextChar"/>
    <w:uiPriority w:val="99"/>
    <w:semiHidden/>
    <w:unhideWhenUsed/>
    <w:locked/>
    <w:rsid w:val="005923E5"/>
    <w:rPr>
      <w:sz w:val="20"/>
      <w:szCs w:val="20"/>
    </w:rPr>
  </w:style>
  <w:style w:type="character" w:customStyle="1" w:styleId="EndnoteTextChar">
    <w:name w:val="Endnote Text Char"/>
    <w:basedOn w:val="DefaultParagraphFont"/>
    <w:link w:val="EndnoteText"/>
    <w:uiPriority w:val="99"/>
    <w:semiHidden/>
    <w:rsid w:val="005923E5"/>
    <w:rPr>
      <w:rFonts w:asciiTheme="minorHAnsi" w:eastAsiaTheme="minorEastAsia" w:hAnsiTheme="minorHAnsi" w:cstheme="minorBidi"/>
      <w:sz w:val="20"/>
      <w:szCs w:val="20"/>
      <w:lang w:eastAsia="ja-JP"/>
    </w:rPr>
  </w:style>
  <w:style w:type="character" w:styleId="EndnoteReference">
    <w:name w:val="endnote reference"/>
    <w:locked/>
    <w:rsid w:val="005923E5"/>
    <w:rPr>
      <w:vertAlign w:val="superscript"/>
    </w:rPr>
  </w:style>
  <w:style w:type="paragraph" w:styleId="ListBullet">
    <w:name w:val="List Bullet"/>
    <w:basedOn w:val="Normal"/>
    <w:uiPriority w:val="99"/>
    <w:semiHidden/>
    <w:unhideWhenUsed/>
    <w:locked/>
    <w:rsid w:val="00623F41"/>
    <w:pPr>
      <w:numPr>
        <w:numId w:val="19"/>
      </w:numPr>
      <w:contextualSpacing/>
    </w:pPr>
  </w:style>
  <w:style w:type="paragraph" w:customStyle="1" w:styleId="EndNoteBibliography">
    <w:name w:val="EndNote Bibliography"/>
    <w:basedOn w:val="Normal"/>
    <w:link w:val="EndNoteBibliographyChar"/>
    <w:rsid w:val="00F621DC"/>
    <w:pPr>
      <w:spacing w:after="240"/>
    </w:pPr>
    <w:rPr>
      <w:rFonts w:ascii="Arial" w:eastAsia="Times New Roman" w:hAnsi="Arial" w:cs="Arial"/>
      <w:noProof/>
      <w:color w:val="000000"/>
      <w:sz w:val="20"/>
      <w:szCs w:val="20"/>
      <w:lang w:val="en-US" w:eastAsia="en-US" w:bidi="en-US"/>
    </w:rPr>
  </w:style>
  <w:style w:type="character" w:customStyle="1" w:styleId="EndNoteBibliographyChar">
    <w:name w:val="EndNote Bibliography Char"/>
    <w:basedOn w:val="TableTextChar0"/>
    <w:link w:val="EndNoteBibliography"/>
    <w:rsid w:val="00F621DC"/>
    <w:rPr>
      <w:rFonts w:ascii="Arial" w:eastAsia="Times New Roman" w:hAnsi="Arial" w:cs="Arial"/>
      <w:noProof/>
      <w:color w:val="000000"/>
      <w:sz w:val="20"/>
      <w:szCs w:val="20"/>
      <w:lang w:val="en-US" w:eastAsia="en-US" w:bidi="en-US"/>
    </w:rPr>
  </w:style>
  <w:style w:type="paragraph" w:customStyle="1" w:styleId="TabFigTitle">
    <w:name w:val="TabFig Title"/>
    <w:basedOn w:val="Normal"/>
    <w:link w:val="TabFigTitleChar"/>
    <w:qFormat/>
    <w:rsid w:val="000C2964"/>
    <w:pPr>
      <w:keepNext/>
      <w:widowControl w:val="0"/>
      <w:spacing w:before="120" w:line="276" w:lineRule="auto"/>
      <w:jc w:val="both"/>
    </w:pPr>
    <w:rPr>
      <w:rFonts w:ascii="Calibri" w:eastAsia="Times New Roman" w:hAnsi="Calibri" w:cs="Times New Roman"/>
      <w:b/>
      <w:sz w:val="22"/>
      <w:szCs w:val="22"/>
      <w:lang w:eastAsia="it-IT"/>
    </w:rPr>
  </w:style>
  <w:style w:type="character" w:customStyle="1" w:styleId="TabFigTitleChar">
    <w:name w:val="TabFig Title Char"/>
    <w:link w:val="TabFigTitle"/>
    <w:rsid w:val="000C2964"/>
    <w:rPr>
      <w:rFonts w:eastAsia="Times New Roman"/>
      <w:b/>
    </w:rPr>
  </w:style>
  <w:style w:type="paragraph" w:styleId="Subtitle">
    <w:name w:val="Subtitle"/>
    <w:basedOn w:val="Normal"/>
    <w:next w:val="Normal"/>
    <w:link w:val="SubtitleChar"/>
    <w:qFormat/>
    <w:rsid w:val="00100055"/>
    <w:pPr>
      <w:widowControl w:val="0"/>
      <w:spacing w:before="120" w:after="120" w:line="276" w:lineRule="auto"/>
      <w:jc w:val="both"/>
    </w:pPr>
    <w:rPr>
      <w:rFonts w:ascii="Calibri" w:eastAsia="Times New Roman" w:hAnsi="Calibri" w:cs="Times New Roman"/>
      <w:sz w:val="22"/>
      <w:szCs w:val="22"/>
      <w:lang w:val="en-GB" w:eastAsia="it-IT"/>
    </w:rPr>
  </w:style>
  <w:style w:type="character" w:customStyle="1" w:styleId="SubtitleChar">
    <w:name w:val="Subtitle Char"/>
    <w:basedOn w:val="DefaultParagraphFont"/>
    <w:link w:val="Subtitle"/>
    <w:rsid w:val="00100055"/>
    <w:rPr>
      <w:rFonts w:eastAsia="Times New Roman"/>
      <w:lang w:val="en-GB"/>
    </w:rPr>
  </w:style>
  <w:style w:type="paragraph" w:customStyle="1" w:styleId="FooterRight">
    <w:name w:val="Footer Right"/>
    <w:basedOn w:val="Normal"/>
    <w:uiPriority w:val="35"/>
    <w:qFormat/>
    <w:rsid w:val="00C1448B"/>
    <w:pPr>
      <w:widowControl w:val="0"/>
      <w:spacing w:after="120" w:line="276" w:lineRule="auto"/>
      <w:jc w:val="both"/>
    </w:pPr>
    <w:rPr>
      <w:rFonts w:ascii="Calibri" w:eastAsia="Times New Roman" w:hAnsi="Calibri" w:cs="Times New Roman"/>
      <w:sz w:val="18"/>
      <w:szCs w:val="22"/>
      <w:lang w:val="en-US" w:eastAsia="it-IT"/>
    </w:rPr>
  </w:style>
  <w:style w:type="paragraph" w:customStyle="1" w:styleId="baletta">
    <w:name w:val="baletta"/>
    <w:basedOn w:val="Normal"/>
    <w:link w:val="balettaCarattere"/>
    <w:qFormat/>
    <w:rsid w:val="001E7F7F"/>
    <w:pPr>
      <w:widowControl w:val="0"/>
      <w:numPr>
        <w:numId w:val="24"/>
      </w:numPr>
      <w:spacing w:after="120" w:line="276" w:lineRule="auto"/>
      <w:ind w:left="714" w:hanging="357"/>
      <w:jc w:val="both"/>
    </w:pPr>
    <w:rPr>
      <w:rFonts w:ascii="Calibri" w:eastAsia="Times New Roman" w:hAnsi="Calibri" w:cs="Times New Roman"/>
      <w:sz w:val="22"/>
      <w:szCs w:val="22"/>
      <w:lang w:eastAsia="it-IT"/>
    </w:rPr>
  </w:style>
  <w:style w:type="character" w:customStyle="1" w:styleId="balettaCarattere">
    <w:name w:val="baletta Carattere"/>
    <w:link w:val="baletta"/>
    <w:rsid w:val="001E7F7F"/>
    <w:rPr>
      <w:rFonts w:eastAsia="Times New Roman"/>
    </w:rPr>
  </w:style>
  <w:style w:type="numbering" w:customStyle="1" w:styleId="Stile1">
    <w:name w:val="Stile1"/>
    <w:uiPriority w:val="99"/>
    <w:rsid w:val="00816C7D"/>
    <w:pPr>
      <w:numPr>
        <w:numId w:val="42"/>
      </w:numPr>
    </w:pPr>
  </w:style>
  <w:style w:type="table" w:customStyle="1" w:styleId="TableGrid2">
    <w:name w:val="Table Grid2"/>
    <w:basedOn w:val="TableNormal"/>
    <w:next w:val="TableGrid"/>
    <w:uiPriority w:val="59"/>
    <w:rsid w:val="0081615C"/>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1615C"/>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2">
    <w:name w:val="Griglia tabella2"/>
    <w:basedOn w:val="TableNormal"/>
    <w:next w:val="TableGrid"/>
    <w:uiPriority w:val="59"/>
    <w:rsid w:val="00D95D84"/>
    <w:rPr>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gliatabella3">
    <w:name w:val="Griglia tabella3"/>
    <w:basedOn w:val="TableNormal"/>
    <w:next w:val="TableGrid"/>
    <w:uiPriority w:val="59"/>
    <w:rsid w:val="00DB73E8"/>
    <w:rPr>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8D5FEF"/>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D732A2"/>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D732A2"/>
    <w:rPr>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4">
    <w:name w:val="Griglia tabella4"/>
    <w:basedOn w:val="TableNormal"/>
    <w:next w:val="TableGrid"/>
    <w:uiPriority w:val="59"/>
    <w:rsid w:val="0005344E"/>
    <w:rPr>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gliatabella5">
    <w:name w:val="Griglia tabella5"/>
    <w:basedOn w:val="TableNormal"/>
    <w:next w:val="TableGrid"/>
    <w:uiPriority w:val="59"/>
    <w:rsid w:val="008368C5"/>
    <w:rPr>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gliatabella6">
    <w:name w:val="Griglia tabella6"/>
    <w:basedOn w:val="TableNormal"/>
    <w:next w:val="TableGrid"/>
    <w:uiPriority w:val="59"/>
    <w:rsid w:val="00A87B3E"/>
    <w:rPr>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abletextChar">
    <w:name w:val="Table text Char"/>
    <w:link w:val="Tabletext"/>
    <w:rsid w:val="00527093"/>
    <w:rPr>
      <w:rFonts w:ascii="Arial" w:eastAsia="Times New Roman" w:hAnsi="Arial"/>
      <w:sz w:val="20"/>
      <w:szCs w:val="24"/>
      <w:lang w:val="en-US" w:eastAsia="en-US"/>
    </w:rPr>
  </w:style>
  <w:style w:type="character" w:styleId="BookTitle">
    <w:name w:val="Book Title"/>
    <w:basedOn w:val="DefaultParagraphFont"/>
    <w:uiPriority w:val="33"/>
    <w:qFormat/>
    <w:rsid w:val="00E21542"/>
    <w:rPr>
      <w:b/>
      <w:bCs/>
      <w:smallCaps/>
      <w:spacing w:val="5"/>
    </w:rPr>
  </w:style>
  <w:style w:type="character" w:customStyle="1" w:styleId="ListParagraphChar">
    <w:name w:val="List Paragraph Char"/>
    <w:basedOn w:val="DefaultParagraphFont"/>
    <w:link w:val="ListParagraph"/>
    <w:uiPriority w:val="34"/>
    <w:locked/>
    <w:rsid w:val="00AF63C0"/>
    <w:rPr>
      <w:rFonts w:ascii="Times New Roman" w:eastAsia="Times New Roman" w:hAnsi="Times New Roman"/>
      <w:sz w:val="24"/>
      <w:szCs w:val="24"/>
    </w:rPr>
  </w:style>
  <w:style w:type="table" w:customStyle="1" w:styleId="ListTable2-Accent21">
    <w:name w:val="List Table 2 - Accent 21"/>
    <w:basedOn w:val="TableNormal"/>
    <w:uiPriority w:val="47"/>
    <w:rsid w:val="00455A42"/>
    <w:rPr>
      <w:rFonts w:asciiTheme="minorHAnsi" w:eastAsiaTheme="minorHAnsi" w:hAnsiTheme="minorHAnsi" w:cstheme="minorBidi"/>
      <w:sz w:val="24"/>
      <w:szCs w:val="24"/>
      <w:lang w:eastAsia="en-US"/>
    </w:r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TablefootnoteChar">
    <w:name w:val="Table footnote Char"/>
    <w:link w:val="Tablefootnote"/>
    <w:rsid w:val="00D13946"/>
    <w:rPr>
      <w:rFonts w:ascii="Arial" w:eastAsia="Times New Roman" w:hAnsi="Arial"/>
      <w:sz w:val="16"/>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06742">
      <w:bodyDiv w:val="1"/>
      <w:marLeft w:val="0"/>
      <w:marRight w:val="0"/>
      <w:marTop w:val="0"/>
      <w:marBottom w:val="0"/>
      <w:divBdr>
        <w:top w:val="none" w:sz="0" w:space="0" w:color="auto"/>
        <w:left w:val="none" w:sz="0" w:space="0" w:color="auto"/>
        <w:bottom w:val="none" w:sz="0" w:space="0" w:color="auto"/>
        <w:right w:val="none" w:sz="0" w:space="0" w:color="auto"/>
      </w:divBdr>
      <w:divsChild>
        <w:div w:id="1230068355">
          <w:marLeft w:val="0"/>
          <w:marRight w:val="0"/>
          <w:marTop w:val="0"/>
          <w:marBottom w:val="0"/>
          <w:divBdr>
            <w:top w:val="none" w:sz="0" w:space="0" w:color="auto"/>
            <w:left w:val="none" w:sz="0" w:space="0" w:color="auto"/>
            <w:bottom w:val="none" w:sz="0" w:space="0" w:color="auto"/>
            <w:right w:val="none" w:sz="0" w:space="0" w:color="auto"/>
          </w:divBdr>
          <w:divsChild>
            <w:div w:id="2094811600">
              <w:marLeft w:val="0"/>
              <w:marRight w:val="0"/>
              <w:marTop w:val="0"/>
              <w:marBottom w:val="0"/>
              <w:divBdr>
                <w:top w:val="none" w:sz="0" w:space="0" w:color="auto"/>
                <w:left w:val="none" w:sz="0" w:space="0" w:color="auto"/>
                <w:bottom w:val="none" w:sz="0" w:space="0" w:color="auto"/>
                <w:right w:val="none" w:sz="0" w:space="0" w:color="auto"/>
              </w:divBdr>
              <w:divsChild>
                <w:div w:id="155550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14355">
      <w:bodyDiv w:val="1"/>
      <w:marLeft w:val="0"/>
      <w:marRight w:val="0"/>
      <w:marTop w:val="0"/>
      <w:marBottom w:val="0"/>
      <w:divBdr>
        <w:top w:val="none" w:sz="0" w:space="0" w:color="auto"/>
        <w:left w:val="none" w:sz="0" w:space="0" w:color="auto"/>
        <w:bottom w:val="none" w:sz="0" w:space="0" w:color="auto"/>
        <w:right w:val="none" w:sz="0" w:space="0" w:color="auto"/>
      </w:divBdr>
    </w:div>
    <w:div w:id="50621160">
      <w:bodyDiv w:val="1"/>
      <w:marLeft w:val="0"/>
      <w:marRight w:val="0"/>
      <w:marTop w:val="0"/>
      <w:marBottom w:val="0"/>
      <w:divBdr>
        <w:top w:val="none" w:sz="0" w:space="0" w:color="auto"/>
        <w:left w:val="none" w:sz="0" w:space="0" w:color="auto"/>
        <w:bottom w:val="none" w:sz="0" w:space="0" w:color="auto"/>
        <w:right w:val="none" w:sz="0" w:space="0" w:color="auto"/>
      </w:divBdr>
    </w:div>
    <w:div w:id="60713344">
      <w:bodyDiv w:val="1"/>
      <w:marLeft w:val="0"/>
      <w:marRight w:val="0"/>
      <w:marTop w:val="0"/>
      <w:marBottom w:val="0"/>
      <w:divBdr>
        <w:top w:val="none" w:sz="0" w:space="0" w:color="auto"/>
        <w:left w:val="none" w:sz="0" w:space="0" w:color="auto"/>
        <w:bottom w:val="none" w:sz="0" w:space="0" w:color="auto"/>
        <w:right w:val="none" w:sz="0" w:space="0" w:color="auto"/>
      </w:divBdr>
      <w:divsChild>
        <w:div w:id="1597639217">
          <w:marLeft w:val="0"/>
          <w:marRight w:val="0"/>
          <w:marTop w:val="0"/>
          <w:marBottom w:val="0"/>
          <w:divBdr>
            <w:top w:val="none" w:sz="0" w:space="0" w:color="auto"/>
            <w:left w:val="none" w:sz="0" w:space="0" w:color="auto"/>
            <w:bottom w:val="none" w:sz="0" w:space="0" w:color="auto"/>
            <w:right w:val="none" w:sz="0" w:space="0" w:color="auto"/>
          </w:divBdr>
          <w:divsChild>
            <w:div w:id="1237979536">
              <w:marLeft w:val="0"/>
              <w:marRight w:val="0"/>
              <w:marTop w:val="0"/>
              <w:marBottom w:val="0"/>
              <w:divBdr>
                <w:top w:val="none" w:sz="0" w:space="0" w:color="auto"/>
                <w:left w:val="none" w:sz="0" w:space="0" w:color="auto"/>
                <w:bottom w:val="none" w:sz="0" w:space="0" w:color="auto"/>
                <w:right w:val="none" w:sz="0" w:space="0" w:color="auto"/>
              </w:divBdr>
              <w:divsChild>
                <w:div w:id="188490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262312">
          <w:marLeft w:val="0"/>
          <w:marRight w:val="0"/>
          <w:marTop w:val="0"/>
          <w:marBottom w:val="0"/>
          <w:divBdr>
            <w:top w:val="none" w:sz="0" w:space="0" w:color="auto"/>
            <w:left w:val="none" w:sz="0" w:space="0" w:color="auto"/>
            <w:bottom w:val="none" w:sz="0" w:space="0" w:color="auto"/>
            <w:right w:val="none" w:sz="0" w:space="0" w:color="auto"/>
          </w:divBdr>
          <w:divsChild>
            <w:div w:id="868296876">
              <w:marLeft w:val="0"/>
              <w:marRight w:val="0"/>
              <w:marTop w:val="0"/>
              <w:marBottom w:val="0"/>
              <w:divBdr>
                <w:top w:val="none" w:sz="0" w:space="0" w:color="auto"/>
                <w:left w:val="none" w:sz="0" w:space="0" w:color="auto"/>
                <w:bottom w:val="none" w:sz="0" w:space="0" w:color="auto"/>
                <w:right w:val="none" w:sz="0" w:space="0" w:color="auto"/>
              </w:divBdr>
              <w:divsChild>
                <w:div w:id="82453715">
                  <w:marLeft w:val="0"/>
                  <w:marRight w:val="0"/>
                  <w:marTop w:val="0"/>
                  <w:marBottom w:val="0"/>
                  <w:divBdr>
                    <w:top w:val="none" w:sz="0" w:space="0" w:color="auto"/>
                    <w:left w:val="none" w:sz="0" w:space="0" w:color="auto"/>
                    <w:bottom w:val="none" w:sz="0" w:space="0" w:color="auto"/>
                    <w:right w:val="none" w:sz="0" w:space="0" w:color="auto"/>
                  </w:divBdr>
                </w:div>
              </w:divsChild>
            </w:div>
            <w:div w:id="907810860">
              <w:marLeft w:val="0"/>
              <w:marRight w:val="0"/>
              <w:marTop w:val="0"/>
              <w:marBottom w:val="0"/>
              <w:divBdr>
                <w:top w:val="none" w:sz="0" w:space="0" w:color="auto"/>
                <w:left w:val="none" w:sz="0" w:space="0" w:color="auto"/>
                <w:bottom w:val="none" w:sz="0" w:space="0" w:color="auto"/>
                <w:right w:val="none" w:sz="0" w:space="0" w:color="auto"/>
              </w:divBdr>
              <w:divsChild>
                <w:div w:id="174294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65137">
      <w:bodyDiv w:val="1"/>
      <w:marLeft w:val="0"/>
      <w:marRight w:val="0"/>
      <w:marTop w:val="0"/>
      <w:marBottom w:val="0"/>
      <w:divBdr>
        <w:top w:val="none" w:sz="0" w:space="0" w:color="auto"/>
        <w:left w:val="none" w:sz="0" w:space="0" w:color="auto"/>
        <w:bottom w:val="none" w:sz="0" w:space="0" w:color="auto"/>
        <w:right w:val="none" w:sz="0" w:space="0" w:color="auto"/>
      </w:divBdr>
    </w:div>
    <w:div w:id="92630520">
      <w:bodyDiv w:val="1"/>
      <w:marLeft w:val="0"/>
      <w:marRight w:val="0"/>
      <w:marTop w:val="0"/>
      <w:marBottom w:val="0"/>
      <w:divBdr>
        <w:top w:val="none" w:sz="0" w:space="0" w:color="auto"/>
        <w:left w:val="none" w:sz="0" w:space="0" w:color="auto"/>
        <w:bottom w:val="none" w:sz="0" w:space="0" w:color="auto"/>
        <w:right w:val="none" w:sz="0" w:space="0" w:color="auto"/>
      </w:divBdr>
    </w:div>
    <w:div w:id="133988078">
      <w:bodyDiv w:val="1"/>
      <w:marLeft w:val="0"/>
      <w:marRight w:val="0"/>
      <w:marTop w:val="0"/>
      <w:marBottom w:val="0"/>
      <w:divBdr>
        <w:top w:val="none" w:sz="0" w:space="0" w:color="auto"/>
        <w:left w:val="none" w:sz="0" w:space="0" w:color="auto"/>
        <w:bottom w:val="none" w:sz="0" w:space="0" w:color="auto"/>
        <w:right w:val="none" w:sz="0" w:space="0" w:color="auto"/>
      </w:divBdr>
    </w:div>
    <w:div w:id="134572191">
      <w:bodyDiv w:val="1"/>
      <w:marLeft w:val="0"/>
      <w:marRight w:val="0"/>
      <w:marTop w:val="0"/>
      <w:marBottom w:val="0"/>
      <w:divBdr>
        <w:top w:val="none" w:sz="0" w:space="0" w:color="auto"/>
        <w:left w:val="none" w:sz="0" w:space="0" w:color="auto"/>
        <w:bottom w:val="none" w:sz="0" w:space="0" w:color="auto"/>
        <w:right w:val="none" w:sz="0" w:space="0" w:color="auto"/>
      </w:divBdr>
    </w:div>
    <w:div w:id="146898016">
      <w:bodyDiv w:val="1"/>
      <w:marLeft w:val="0"/>
      <w:marRight w:val="0"/>
      <w:marTop w:val="0"/>
      <w:marBottom w:val="0"/>
      <w:divBdr>
        <w:top w:val="none" w:sz="0" w:space="0" w:color="auto"/>
        <w:left w:val="none" w:sz="0" w:space="0" w:color="auto"/>
        <w:bottom w:val="none" w:sz="0" w:space="0" w:color="auto"/>
        <w:right w:val="none" w:sz="0" w:space="0" w:color="auto"/>
      </w:divBdr>
      <w:divsChild>
        <w:div w:id="300230992">
          <w:marLeft w:val="0"/>
          <w:marRight w:val="0"/>
          <w:marTop w:val="0"/>
          <w:marBottom w:val="0"/>
          <w:divBdr>
            <w:top w:val="none" w:sz="0" w:space="0" w:color="auto"/>
            <w:left w:val="none" w:sz="0" w:space="0" w:color="auto"/>
            <w:bottom w:val="none" w:sz="0" w:space="0" w:color="auto"/>
            <w:right w:val="none" w:sz="0" w:space="0" w:color="auto"/>
          </w:divBdr>
          <w:divsChild>
            <w:div w:id="1586306738">
              <w:marLeft w:val="0"/>
              <w:marRight w:val="0"/>
              <w:marTop w:val="0"/>
              <w:marBottom w:val="0"/>
              <w:divBdr>
                <w:top w:val="none" w:sz="0" w:space="0" w:color="auto"/>
                <w:left w:val="none" w:sz="0" w:space="0" w:color="auto"/>
                <w:bottom w:val="none" w:sz="0" w:space="0" w:color="auto"/>
                <w:right w:val="none" w:sz="0" w:space="0" w:color="auto"/>
              </w:divBdr>
              <w:divsChild>
                <w:div w:id="164851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35191">
      <w:bodyDiv w:val="1"/>
      <w:marLeft w:val="0"/>
      <w:marRight w:val="0"/>
      <w:marTop w:val="0"/>
      <w:marBottom w:val="0"/>
      <w:divBdr>
        <w:top w:val="none" w:sz="0" w:space="0" w:color="auto"/>
        <w:left w:val="none" w:sz="0" w:space="0" w:color="auto"/>
        <w:bottom w:val="none" w:sz="0" w:space="0" w:color="auto"/>
        <w:right w:val="none" w:sz="0" w:space="0" w:color="auto"/>
      </w:divBdr>
    </w:div>
    <w:div w:id="183908652">
      <w:marLeft w:val="0"/>
      <w:marRight w:val="0"/>
      <w:marTop w:val="0"/>
      <w:marBottom w:val="0"/>
      <w:divBdr>
        <w:top w:val="none" w:sz="0" w:space="0" w:color="auto"/>
        <w:left w:val="none" w:sz="0" w:space="0" w:color="auto"/>
        <w:bottom w:val="none" w:sz="0" w:space="0" w:color="auto"/>
        <w:right w:val="none" w:sz="0" w:space="0" w:color="auto"/>
      </w:divBdr>
      <w:divsChild>
        <w:div w:id="183908790">
          <w:marLeft w:val="0"/>
          <w:marRight w:val="0"/>
          <w:marTop w:val="0"/>
          <w:marBottom w:val="0"/>
          <w:divBdr>
            <w:top w:val="none" w:sz="0" w:space="0" w:color="auto"/>
            <w:left w:val="none" w:sz="0" w:space="0" w:color="auto"/>
            <w:bottom w:val="none" w:sz="0" w:space="0" w:color="auto"/>
            <w:right w:val="none" w:sz="0" w:space="0" w:color="auto"/>
          </w:divBdr>
          <w:divsChild>
            <w:div w:id="183908781">
              <w:marLeft w:val="0"/>
              <w:marRight w:val="0"/>
              <w:marTop w:val="0"/>
              <w:marBottom w:val="0"/>
              <w:divBdr>
                <w:top w:val="none" w:sz="0" w:space="0" w:color="auto"/>
                <w:left w:val="none" w:sz="0" w:space="0" w:color="auto"/>
                <w:bottom w:val="none" w:sz="0" w:space="0" w:color="auto"/>
                <w:right w:val="none" w:sz="0" w:space="0" w:color="auto"/>
              </w:divBdr>
              <w:divsChild>
                <w:div w:id="183908785">
                  <w:marLeft w:val="0"/>
                  <w:marRight w:val="0"/>
                  <w:marTop w:val="0"/>
                  <w:marBottom w:val="0"/>
                  <w:divBdr>
                    <w:top w:val="none" w:sz="0" w:space="0" w:color="auto"/>
                    <w:left w:val="none" w:sz="0" w:space="0" w:color="auto"/>
                    <w:bottom w:val="none" w:sz="0" w:space="0" w:color="auto"/>
                    <w:right w:val="none" w:sz="0" w:space="0" w:color="auto"/>
                  </w:divBdr>
                  <w:divsChild>
                    <w:div w:id="18390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908654">
      <w:marLeft w:val="0"/>
      <w:marRight w:val="0"/>
      <w:marTop w:val="0"/>
      <w:marBottom w:val="0"/>
      <w:divBdr>
        <w:top w:val="none" w:sz="0" w:space="0" w:color="auto"/>
        <w:left w:val="none" w:sz="0" w:space="0" w:color="auto"/>
        <w:bottom w:val="none" w:sz="0" w:space="0" w:color="auto"/>
        <w:right w:val="none" w:sz="0" w:space="0" w:color="auto"/>
      </w:divBdr>
    </w:div>
    <w:div w:id="183908660">
      <w:marLeft w:val="0"/>
      <w:marRight w:val="0"/>
      <w:marTop w:val="0"/>
      <w:marBottom w:val="0"/>
      <w:divBdr>
        <w:top w:val="none" w:sz="0" w:space="0" w:color="auto"/>
        <w:left w:val="none" w:sz="0" w:space="0" w:color="auto"/>
        <w:bottom w:val="none" w:sz="0" w:space="0" w:color="auto"/>
        <w:right w:val="none" w:sz="0" w:space="0" w:color="auto"/>
      </w:divBdr>
      <w:divsChild>
        <w:div w:id="183908670">
          <w:marLeft w:val="0"/>
          <w:marRight w:val="0"/>
          <w:marTop w:val="0"/>
          <w:marBottom w:val="0"/>
          <w:divBdr>
            <w:top w:val="none" w:sz="0" w:space="0" w:color="auto"/>
            <w:left w:val="none" w:sz="0" w:space="0" w:color="auto"/>
            <w:bottom w:val="none" w:sz="0" w:space="0" w:color="auto"/>
            <w:right w:val="none" w:sz="0" w:space="0" w:color="auto"/>
          </w:divBdr>
          <w:divsChild>
            <w:div w:id="183908684">
              <w:marLeft w:val="0"/>
              <w:marRight w:val="0"/>
              <w:marTop w:val="0"/>
              <w:marBottom w:val="0"/>
              <w:divBdr>
                <w:top w:val="none" w:sz="0" w:space="0" w:color="auto"/>
                <w:left w:val="none" w:sz="0" w:space="0" w:color="auto"/>
                <w:bottom w:val="none" w:sz="0" w:space="0" w:color="auto"/>
                <w:right w:val="none" w:sz="0" w:space="0" w:color="auto"/>
              </w:divBdr>
              <w:divsChild>
                <w:div w:id="18390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08664">
      <w:marLeft w:val="0"/>
      <w:marRight w:val="0"/>
      <w:marTop w:val="0"/>
      <w:marBottom w:val="0"/>
      <w:divBdr>
        <w:top w:val="none" w:sz="0" w:space="0" w:color="auto"/>
        <w:left w:val="none" w:sz="0" w:space="0" w:color="auto"/>
        <w:bottom w:val="none" w:sz="0" w:space="0" w:color="auto"/>
        <w:right w:val="none" w:sz="0" w:space="0" w:color="auto"/>
      </w:divBdr>
      <w:divsChild>
        <w:div w:id="183908661">
          <w:marLeft w:val="806"/>
          <w:marRight w:val="0"/>
          <w:marTop w:val="0"/>
          <w:marBottom w:val="0"/>
          <w:divBdr>
            <w:top w:val="none" w:sz="0" w:space="0" w:color="auto"/>
            <w:left w:val="none" w:sz="0" w:space="0" w:color="auto"/>
            <w:bottom w:val="none" w:sz="0" w:space="0" w:color="auto"/>
            <w:right w:val="none" w:sz="0" w:space="0" w:color="auto"/>
          </w:divBdr>
        </w:div>
        <w:div w:id="183908742">
          <w:marLeft w:val="806"/>
          <w:marRight w:val="0"/>
          <w:marTop w:val="0"/>
          <w:marBottom w:val="0"/>
          <w:divBdr>
            <w:top w:val="none" w:sz="0" w:space="0" w:color="auto"/>
            <w:left w:val="none" w:sz="0" w:space="0" w:color="auto"/>
            <w:bottom w:val="none" w:sz="0" w:space="0" w:color="auto"/>
            <w:right w:val="none" w:sz="0" w:space="0" w:color="auto"/>
          </w:divBdr>
        </w:div>
        <w:div w:id="183908754">
          <w:marLeft w:val="806"/>
          <w:marRight w:val="0"/>
          <w:marTop w:val="0"/>
          <w:marBottom w:val="0"/>
          <w:divBdr>
            <w:top w:val="none" w:sz="0" w:space="0" w:color="auto"/>
            <w:left w:val="none" w:sz="0" w:space="0" w:color="auto"/>
            <w:bottom w:val="none" w:sz="0" w:space="0" w:color="auto"/>
            <w:right w:val="none" w:sz="0" w:space="0" w:color="auto"/>
          </w:divBdr>
        </w:div>
        <w:div w:id="183908759">
          <w:marLeft w:val="806"/>
          <w:marRight w:val="0"/>
          <w:marTop w:val="0"/>
          <w:marBottom w:val="0"/>
          <w:divBdr>
            <w:top w:val="none" w:sz="0" w:space="0" w:color="auto"/>
            <w:left w:val="none" w:sz="0" w:space="0" w:color="auto"/>
            <w:bottom w:val="none" w:sz="0" w:space="0" w:color="auto"/>
            <w:right w:val="none" w:sz="0" w:space="0" w:color="auto"/>
          </w:divBdr>
        </w:div>
      </w:divsChild>
    </w:div>
    <w:div w:id="183908669">
      <w:marLeft w:val="0"/>
      <w:marRight w:val="0"/>
      <w:marTop w:val="0"/>
      <w:marBottom w:val="0"/>
      <w:divBdr>
        <w:top w:val="none" w:sz="0" w:space="0" w:color="auto"/>
        <w:left w:val="none" w:sz="0" w:space="0" w:color="auto"/>
        <w:bottom w:val="none" w:sz="0" w:space="0" w:color="auto"/>
        <w:right w:val="none" w:sz="0" w:space="0" w:color="auto"/>
      </w:divBdr>
      <w:divsChild>
        <w:div w:id="183908674">
          <w:marLeft w:val="1800"/>
          <w:marRight w:val="0"/>
          <w:marTop w:val="96"/>
          <w:marBottom w:val="0"/>
          <w:divBdr>
            <w:top w:val="none" w:sz="0" w:space="0" w:color="auto"/>
            <w:left w:val="none" w:sz="0" w:space="0" w:color="auto"/>
            <w:bottom w:val="none" w:sz="0" w:space="0" w:color="auto"/>
            <w:right w:val="none" w:sz="0" w:space="0" w:color="auto"/>
          </w:divBdr>
        </w:div>
        <w:div w:id="183908685">
          <w:marLeft w:val="1800"/>
          <w:marRight w:val="0"/>
          <w:marTop w:val="96"/>
          <w:marBottom w:val="0"/>
          <w:divBdr>
            <w:top w:val="none" w:sz="0" w:space="0" w:color="auto"/>
            <w:left w:val="none" w:sz="0" w:space="0" w:color="auto"/>
            <w:bottom w:val="none" w:sz="0" w:space="0" w:color="auto"/>
            <w:right w:val="none" w:sz="0" w:space="0" w:color="auto"/>
          </w:divBdr>
        </w:div>
        <w:div w:id="183908687">
          <w:marLeft w:val="1800"/>
          <w:marRight w:val="0"/>
          <w:marTop w:val="96"/>
          <w:marBottom w:val="0"/>
          <w:divBdr>
            <w:top w:val="none" w:sz="0" w:space="0" w:color="auto"/>
            <w:left w:val="none" w:sz="0" w:space="0" w:color="auto"/>
            <w:bottom w:val="none" w:sz="0" w:space="0" w:color="auto"/>
            <w:right w:val="none" w:sz="0" w:space="0" w:color="auto"/>
          </w:divBdr>
        </w:div>
        <w:div w:id="183908731">
          <w:marLeft w:val="1800"/>
          <w:marRight w:val="0"/>
          <w:marTop w:val="96"/>
          <w:marBottom w:val="0"/>
          <w:divBdr>
            <w:top w:val="none" w:sz="0" w:space="0" w:color="auto"/>
            <w:left w:val="none" w:sz="0" w:space="0" w:color="auto"/>
            <w:bottom w:val="none" w:sz="0" w:space="0" w:color="auto"/>
            <w:right w:val="none" w:sz="0" w:space="0" w:color="auto"/>
          </w:divBdr>
        </w:div>
      </w:divsChild>
    </w:div>
    <w:div w:id="183908675">
      <w:marLeft w:val="0"/>
      <w:marRight w:val="0"/>
      <w:marTop w:val="0"/>
      <w:marBottom w:val="0"/>
      <w:divBdr>
        <w:top w:val="none" w:sz="0" w:space="0" w:color="auto"/>
        <w:left w:val="none" w:sz="0" w:space="0" w:color="auto"/>
        <w:bottom w:val="none" w:sz="0" w:space="0" w:color="auto"/>
        <w:right w:val="none" w:sz="0" w:space="0" w:color="auto"/>
      </w:divBdr>
    </w:div>
    <w:div w:id="183908678">
      <w:marLeft w:val="0"/>
      <w:marRight w:val="0"/>
      <w:marTop w:val="0"/>
      <w:marBottom w:val="0"/>
      <w:divBdr>
        <w:top w:val="none" w:sz="0" w:space="0" w:color="auto"/>
        <w:left w:val="none" w:sz="0" w:space="0" w:color="auto"/>
        <w:bottom w:val="none" w:sz="0" w:space="0" w:color="auto"/>
        <w:right w:val="none" w:sz="0" w:space="0" w:color="auto"/>
      </w:divBdr>
    </w:div>
    <w:div w:id="183908679">
      <w:marLeft w:val="0"/>
      <w:marRight w:val="0"/>
      <w:marTop w:val="0"/>
      <w:marBottom w:val="0"/>
      <w:divBdr>
        <w:top w:val="none" w:sz="0" w:space="0" w:color="auto"/>
        <w:left w:val="none" w:sz="0" w:space="0" w:color="auto"/>
        <w:bottom w:val="none" w:sz="0" w:space="0" w:color="auto"/>
        <w:right w:val="none" w:sz="0" w:space="0" w:color="auto"/>
      </w:divBdr>
      <w:divsChild>
        <w:div w:id="183908659">
          <w:marLeft w:val="0"/>
          <w:marRight w:val="0"/>
          <w:marTop w:val="0"/>
          <w:marBottom w:val="0"/>
          <w:divBdr>
            <w:top w:val="none" w:sz="0" w:space="0" w:color="auto"/>
            <w:left w:val="none" w:sz="0" w:space="0" w:color="auto"/>
            <w:bottom w:val="none" w:sz="0" w:space="0" w:color="auto"/>
            <w:right w:val="none" w:sz="0" w:space="0" w:color="auto"/>
          </w:divBdr>
          <w:divsChild>
            <w:div w:id="183908744">
              <w:marLeft w:val="0"/>
              <w:marRight w:val="0"/>
              <w:marTop w:val="0"/>
              <w:marBottom w:val="0"/>
              <w:divBdr>
                <w:top w:val="none" w:sz="0" w:space="0" w:color="auto"/>
                <w:left w:val="none" w:sz="0" w:space="0" w:color="auto"/>
                <w:bottom w:val="none" w:sz="0" w:space="0" w:color="auto"/>
                <w:right w:val="none" w:sz="0" w:space="0" w:color="auto"/>
              </w:divBdr>
              <w:divsChild>
                <w:div w:id="183908716">
                  <w:marLeft w:val="0"/>
                  <w:marRight w:val="0"/>
                  <w:marTop w:val="0"/>
                  <w:marBottom w:val="0"/>
                  <w:divBdr>
                    <w:top w:val="none" w:sz="0" w:space="0" w:color="auto"/>
                    <w:left w:val="none" w:sz="0" w:space="0" w:color="auto"/>
                    <w:bottom w:val="none" w:sz="0" w:space="0" w:color="auto"/>
                    <w:right w:val="none" w:sz="0" w:space="0" w:color="auto"/>
                  </w:divBdr>
                  <w:divsChild>
                    <w:div w:id="183908746">
                      <w:marLeft w:val="0"/>
                      <w:marRight w:val="0"/>
                      <w:marTop w:val="0"/>
                      <w:marBottom w:val="0"/>
                      <w:divBdr>
                        <w:top w:val="none" w:sz="0" w:space="0" w:color="auto"/>
                        <w:left w:val="none" w:sz="0" w:space="0" w:color="auto"/>
                        <w:bottom w:val="none" w:sz="0" w:space="0" w:color="auto"/>
                        <w:right w:val="none" w:sz="0" w:space="0" w:color="auto"/>
                      </w:divBdr>
                      <w:divsChild>
                        <w:div w:id="183908710">
                          <w:marLeft w:val="0"/>
                          <w:marRight w:val="0"/>
                          <w:marTop w:val="0"/>
                          <w:marBottom w:val="0"/>
                          <w:divBdr>
                            <w:top w:val="none" w:sz="0" w:space="0" w:color="auto"/>
                            <w:left w:val="none" w:sz="0" w:space="0" w:color="auto"/>
                            <w:bottom w:val="none" w:sz="0" w:space="0" w:color="auto"/>
                            <w:right w:val="none" w:sz="0" w:space="0" w:color="auto"/>
                          </w:divBdr>
                          <w:divsChild>
                            <w:div w:id="183908665">
                              <w:marLeft w:val="0"/>
                              <w:marRight w:val="0"/>
                              <w:marTop w:val="0"/>
                              <w:marBottom w:val="0"/>
                              <w:divBdr>
                                <w:top w:val="none" w:sz="0" w:space="0" w:color="auto"/>
                                <w:left w:val="none" w:sz="0" w:space="0" w:color="auto"/>
                                <w:bottom w:val="none" w:sz="0" w:space="0" w:color="auto"/>
                                <w:right w:val="none" w:sz="0" w:space="0" w:color="auto"/>
                              </w:divBdr>
                              <w:divsChild>
                                <w:div w:id="183908667">
                                  <w:marLeft w:val="0"/>
                                  <w:marRight w:val="0"/>
                                  <w:marTop w:val="0"/>
                                  <w:marBottom w:val="0"/>
                                  <w:divBdr>
                                    <w:top w:val="none" w:sz="0" w:space="0" w:color="auto"/>
                                    <w:left w:val="none" w:sz="0" w:space="0" w:color="auto"/>
                                    <w:bottom w:val="none" w:sz="0" w:space="0" w:color="auto"/>
                                    <w:right w:val="none" w:sz="0" w:space="0" w:color="auto"/>
                                  </w:divBdr>
                                  <w:divsChild>
                                    <w:div w:id="18390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908680">
      <w:marLeft w:val="0"/>
      <w:marRight w:val="0"/>
      <w:marTop w:val="0"/>
      <w:marBottom w:val="0"/>
      <w:divBdr>
        <w:top w:val="none" w:sz="0" w:space="0" w:color="auto"/>
        <w:left w:val="none" w:sz="0" w:space="0" w:color="auto"/>
        <w:bottom w:val="none" w:sz="0" w:space="0" w:color="auto"/>
        <w:right w:val="none" w:sz="0" w:space="0" w:color="auto"/>
      </w:divBdr>
      <w:divsChild>
        <w:div w:id="183908657">
          <w:marLeft w:val="547"/>
          <w:marRight w:val="0"/>
          <w:marTop w:val="0"/>
          <w:marBottom w:val="0"/>
          <w:divBdr>
            <w:top w:val="none" w:sz="0" w:space="0" w:color="auto"/>
            <w:left w:val="none" w:sz="0" w:space="0" w:color="auto"/>
            <w:bottom w:val="none" w:sz="0" w:space="0" w:color="auto"/>
            <w:right w:val="none" w:sz="0" w:space="0" w:color="auto"/>
          </w:divBdr>
        </w:div>
      </w:divsChild>
    </w:div>
    <w:div w:id="183908681">
      <w:marLeft w:val="0"/>
      <w:marRight w:val="0"/>
      <w:marTop w:val="0"/>
      <w:marBottom w:val="0"/>
      <w:divBdr>
        <w:top w:val="none" w:sz="0" w:space="0" w:color="auto"/>
        <w:left w:val="none" w:sz="0" w:space="0" w:color="auto"/>
        <w:bottom w:val="none" w:sz="0" w:space="0" w:color="auto"/>
        <w:right w:val="none" w:sz="0" w:space="0" w:color="auto"/>
      </w:divBdr>
    </w:div>
    <w:div w:id="183908686">
      <w:marLeft w:val="0"/>
      <w:marRight w:val="0"/>
      <w:marTop w:val="0"/>
      <w:marBottom w:val="0"/>
      <w:divBdr>
        <w:top w:val="none" w:sz="0" w:space="0" w:color="auto"/>
        <w:left w:val="none" w:sz="0" w:space="0" w:color="auto"/>
        <w:bottom w:val="none" w:sz="0" w:space="0" w:color="auto"/>
        <w:right w:val="none" w:sz="0" w:space="0" w:color="auto"/>
      </w:divBdr>
    </w:div>
    <w:div w:id="183908689">
      <w:marLeft w:val="0"/>
      <w:marRight w:val="0"/>
      <w:marTop w:val="0"/>
      <w:marBottom w:val="0"/>
      <w:divBdr>
        <w:top w:val="none" w:sz="0" w:space="0" w:color="auto"/>
        <w:left w:val="none" w:sz="0" w:space="0" w:color="auto"/>
        <w:bottom w:val="none" w:sz="0" w:space="0" w:color="auto"/>
        <w:right w:val="none" w:sz="0" w:space="0" w:color="auto"/>
      </w:divBdr>
    </w:div>
    <w:div w:id="183908690">
      <w:marLeft w:val="0"/>
      <w:marRight w:val="0"/>
      <w:marTop w:val="0"/>
      <w:marBottom w:val="0"/>
      <w:divBdr>
        <w:top w:val="none" w:sz="0" w:space="0" w:color="auto"/>
        <w:left w:val="none" w:sz="0" w:space="0" w:color="auto"/>
        <w:bottom w:val="none" w:sz="0" w:space="0" w:color="auto"/>
        <w:right w:val="none" w:sz="0" w:space="0" w:color="auto"/>
      </w:divBdr>
    </w:div>
    <w:div w:id="183908691">
      <w:marLeft w:val="0"/>
      <w:marRight w:val="0"/>
      <w:marTop w:val="0"/>
      <w:marBottom w:val="0"/>
      <w:divBdr>
        <w:top w:val="none" w:sz="0" w:space="0" w:color="auto"/>
        <w:left w:val="none" w:sz="0" w:space="0" w:color="auto"/>
        <w:bottom w:val="none" w:sz="0" w:space="0" w:color="auto"/>
        <w:right w:val="none" w:sz="0" w:space="0" w:color="auto"/>
      </w:divBdr>
      <w:divsChild>
        <w:div w:id="183908757">
          <w:marLeft w:val="0"/>
          <w:marRight w:val="0"/>
          <w:marTop w:val="0"/>
          <w:marBottom w:val="0"/>
          <w:divBdr>
            <w:top w:val="none" w:sz="0" w:space="0" w:color="auto"/>
            <w:left w:val="none" w:sz="0" w:space="0" w:color="auto"/>
            <w:bottom w:val="none" w:sz="0" w:space="0" w:color="auto"/>
            <w:right w:val="none" w:sz="0" w:space="0" w:color="auto"/>
          </w:divBdr>
          <w:divsChild>
            <w:div w:id="183908706">
              <w:marLeft w:val="0"/>
              <w:marRight w:val="0"/>
              <w:marTop w:val="0"/>
              <w:marBottom w:val="0"/>
              <w:divBdr>
                <w:top w:val="none" w:sz="0" w:space="0" w:color="auto"/>
                <w:left w:val="none" w:sz="0" w:space="0" w:color="auto"/>
                <w:bottom w:val="none" w:sz="0" w:space="0" w:color="auto"/>
                <w:right w:val="none" w:sz="0" w:space="0" w:color="auto"/>
              </w:divBdr>
              <w:divsChild>
                <w:div w:id="183908692">
                  <w:marLeft w:val="0"/>
                  <w:marRight w:val="0"/>
                  <w:marTop w:val="0"/>
                  <w:marBottom w:val="0"/>
                  <w:divBdr>
                    <w:top w:val="none" w:sz="0" w:space="0" w:color="auto"/>
                    <w:left w:val="none" w:sz="0" w:space="0" w:color="auto"/>
                    <w:bottom w:val="none" w:sz="0" w:space="0" w:color="auto"/>
                    <w:right w:val="none" w:sz="0" w:space="0" w:color="auto"/>
                  </w:divBdr>
                  <w:divsChild>
                    <w:div w:id="183908719">
                      <w:marLeft w:val="0"/>
                      <w:marRight w:val="0"/>
                      <w:marTop w:val="0"/>
                      <w:marBottom w:val="0"/>
                      <w:divBdr>
                        <w:top w:val="none" w:sz="0" w:space="0" w:color="auto"/>
                        <w:left w:val="none" w:sz="0" w:space="0" w:color="auto"/>
                        <w:bottom w:val="none" w:sz="0" w:space="0" w:color="auto"/>
                        <w:right w:val="none" w:sz="0" w:space="0" w:color="auto"/>
                      </w:divBdr>
                      <w:divsChild>
                        <w:div w:id="183908663">
                          <w:marLeft w:val="0"/>
                          <w:marRight w:val="0"/>
                          <w:marTop w:val="0"/>
                          <w:marBottom w:val="0"/>
                          <w:divBdr>
                            <w:top w:val="none" w:sz="0" w:space="0" w:color="auto"/>
                            <w:left w:val="none" w:sz="0" w:space="0" w:color="auto"/>
                            <w:bottom w:val="none" w:sz="0" w:space="0" w:color="auto"/>
                            <w:right w:val="none" w:sz="0" w:space="0" w:color="auto"/>
                          </w:divBdr>
                          <w:divsChild>
                            <w:div w:id="183908763">
                              <w:marLeft w:val="0"/>
                              <w:marRight w:val="0"/>
                              <w:marTop w:val="0"/>
                              <w:marBottom w:val="0"/>
                              <w:divBdr>
                                <w:top w:val="none" w:sz="0" w:space="0" w:color="auto"/>
                                <w:left w:val="none" w:sz="0" w:space="0" w:color="auto"/>
                                <w:bottom w:val="none" w:sz="0" w:space="0" w:color="auto"/>
                                <w:right w:val="none" w:sz="0" w:space="0" w:color="auto"/>
                              </w:divBdr>
                              <w:divsChild>
                                <w:div w:id="183908723">
                                  <w:marLeft w:val="0"/>
                                  <w:marRight w:val="0"/>
                                  <w:marTop w:val="0"/>
                                  <w:marBottom w:val="0"/>
                                  <w:divBdr>
                                    <w:top w:val="none" w:sz="0" w:space="0" w:color="auto"/>
                                    <w:left w:val="none" w:sz="0" w:space="0" w:color="auto"/>
                                    <w:bottom w:val="none" w:sz="0" w:space="0" w:color="auto"/>
                                    <w:right w:val="none" w:sz="0" w:space="0" w:color="auto"/>
                                  </w:divBdr>
                                  <w:divsChild>
                                    <w:div w:id="18390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908693">
      <w:marLeft w:val="0"/>
      <w:marRight w:val="0"/>
      <w:marTop w:val="0"/>
      <w:marBottom w:val="0"/>
      <w:divBdr>
        <w:top w:val="none" w:sz="0" w:space="0" w:color="auto"/>
        <w:left w:val="none" w:sz="0" w:space="0" w:color="auto"/>
        <w:bottom w:val="none" w:sz="0" w:space="0" w:color="auto"/>
        <w:right w:val="none" w:sz="0" w:space="0" w:color="auto"/>
      </w:divBdr>
    </w:div>
    <w:div w:id="183908695">
      <w:marLeft w:val="0"/>
      <w:marRight w:val="0"/>
      <w:marTop w:val="0"/>
      <w:marBottom w:val="0"/>
      <w:divBdr>
        <w:top w:val="none" w:sz="0" w:space="0" w:color="auto"/>
        <w:left w:val="none" w:sz="0" w:space="0" w:color="auto"/>
        <w:bottom w:val="none" w:sz="0" w:space="0" w:color="auto"/>
        <w:right w:val="none" w:sz="0" w:space="0" w:color="auto"/>
      </w:divBdr>
    </w:div>
    <w:div w:id="183908698">
      <w:marLeft w:val="0"/>
      <w:marRight w:val="0"/>
      <w:marTop w:val="0"/>
      <w:marBottom w:val="0"/>
      <w:divBdr>
        <w:top w:val="none" w:sz="0" w:space="0" w:color="auto"/>
        <w:left w:val="none" w:sz="0" w:space="0" w:color="auto"/>
        <w:bottom w:val="none" w:sz="0" w:space="0" w:color="auto"/>
        <w:right w:val="none" w:sz="0" w:space="0" w:color="auto"/>
      </w:divBdr>
      <w:divsChild>
        <w:div w:id="183908709">
          <w:marLeft w:val="0"/>
          <w:marRight w:val="0"/>
          <w:marTop w:val="0"/>
          <w:marBottom w:val="0"/>
          <w:divBdr>
            <w:top w:val="none" w:sz="0" w:space="0" w:color="auto"/>
            <w:left w:val="none" w:sz="0" w:space="0" w:color="auto"/>
            <w:bottom w:val="none" w:sz="0" w:space="0" w:color="auto"/>
            <w:right w:val="none" w:sz="0" w:space="0" w:color="auto"/>
          </w:divBdr>
        </w:div>
      </w:divsChild>
    </w:div>
    <w:div w:id="183908702">
      <w:marLeft w:val="0"/>
      <w:marRight w:val="0"/>
      <w:marTop w:val="0"/>
      <w:marBottom w:val="0"/>
      <w:divBdr>
        <w:top w:val="none" w:sz="0" w:space="0" w:color="auto"/>
        <w:left w:val="none" w:sz="0" w:space="0" w:color="auto"/>
        <w:bottom w:val="none" w:sz="0" w:space="0" w:color="auto"/>
        <w:right w:val="none" w:sz="0" w:space="0" w:color="auto"/>
      </w:divBdr>
    </w:div>
    <w:div w:id="183908707">
      <w:marLeft w:val="0"/>
      <w:marRight w:val="0"/>
      <w:marTop w:val="0"/>
      <w:marBottom w:val="0"/>
      <w:divBdr>
        <w:top w:val="none" w:sz="0" w:space="0" w:color="auto"/>
        <w:left w:val="none" w:sz="0" w:space="0" w:color="auto"/>
        <w:bottom w:val="none" w:sz="0" w:space="0" w:color="auto"/>
        <w:right w:val="none" w:sz="0" w:space="0" w:color="auto"/>
      </w:divBdr>
    </w:div>
    <w:div w:id="183908711">
      <w:marLeft w:val="0"/>
      <w:marRight w:val="0"/>
      <w:marTop w:val="0"/>
      <w:marBottom w:val="0"/>
      <w:divBdr>
        <w:top w:val="none" w:sz="0" w:space="0" w:color="auto"/>
        <w:left w:val="none" w:sz="0" w:space="0" w:color="auto"/>
        <w:bottom w:val="none" w:sz="0" w:space="0" w:color="auto"/>
        <w:right w:val="none" w:sz="0" w:space="0" w:color="auto"/>
      </w:divBdr>
    </w:div>
    <w:div w:id="183908713">
      <w:marLeft w:val="0"/>
      <w:marRight w:val="0"/>
      <w:marTop w:val="0"/>
      <w:marBottom w:val="0"/>
      <w:divBdr>
        <w:top w:val="none" w:sz="0" w:space="0" w:color="auto"/>
        <w:left w:val="none" w:sz="0" w:space="0" w:color="auto"/>
        <w:bottom w:val="none" w:sz="0" w:space="0" w:color="auto"/>
        <w:right w:val="none" w:sz="0" w:space="0" w:color="auto"/>
      </w:divBdr>
    </w:div>
    <w:div w:id="183908714">
      <w:marLeft w:val="0"/>
      <w:marRight w:val="0"/>
      <w:marTop w:val="0"/>
      <w:marBottom w:val="0"/>
      <w:divBdr>
        <w:top w:val="none" w:sz="0" w:space="0" w:color="auto"/>
        <w:left w:val="none" w:sz="0" w:space="0" w:color="auto"/>
        <w:bottom w:val="none" w:sz="0" w:space="0" w:color="auto"/>
        <w:right w:val="none" w:sz="0" w:space="0" w:color="auto"/>
      </w:divBdr>
    </w:div>
    <w:div w:id="183908717">
      <w:marLeft w:val="0"/>
      <w:marRight w:val="0"/>
      <w:marTop w:val="0"/>
      <w:marBottom w:val="0"/>
      <w:divBdr>
        <w:top w:val="none" w:sz="0" w:space="0" w:color="auto"/>
        <w:left w:val="none" w:sz="0" w:space="0" w:color="auto"/>
        <w:bottom w:val="none" w:sz="0" w:space="0" w:color="auto"/>
        <w:right w:val="none" w:sz="0" w:space="0" w:color="auto"/>
      </w:divBdr>
    </w:div>
    <w:div w:id="183908721">
      <w:marLeft w:val="0"/>
      <w:marRight w:val="0"/>
      <w:marTop w:val="0"/>
      <w:marBottom w:val="0"/>
      <w:divBdr>
        <w:top w:val="none" w:sz="0" w:space="0" w:color="auto"/>
        <w:left w:val="none" w:sz="0" w:space="0" w:color="auto"/>
        <w:bottom w:val="none" w:sz="0" w:space="0" w:color="auto"/>
        <w:right w:val="none" w:sz="0" w:space="0" w:color="auto"/>
      </w:divBdr>
      <w:divsChild>
        <w:div w:id="183908666">
          <w:marLeft w:val="547"/>
          <w:marRight w:val="0"/>
          <w:marTop w:val="0"/>
          <w:marBottom w:val="0"/>
          <w:divBdr>
            <w:top w:val="none" w:sz="0" w:space="0" w:color="auto"/>
            <w:left w:val="none" w:sz="0" w:space="0" w:color="auto"/>
            <w:bottom w:val="none" w:sz="0" w:space="0" w:color="auto"/>
            <w:right w:val="none" w:sz="0" w:space="0" w:color="auto"/>
          </w:divBdr>
        </w:div>
      </w:divsChild>
    </w:div>
    <w:div w:id="183908726">
      <w:marLeft w:val="0"/>
      <w:marRight w:val="0"/>
      <w:marTop w:val="0"/>
      <w:marBottom w:val="0"/>
      <w:divBdr>
        <w:top w:val="none" w:sz="0" w:space="0" w:color="auto"/>
        <w:left w:val="none" w:sz="0" w:space="0" w:color="auto"/>
        <w:bottom w:val="none" w:sz="0" w:space="0" w:color="auto"/>
        <w:right w:val="none" w:sz="0" w:space="0" w:color="auto"/>
      </w:divBdr>
      <w:divsChild>
        <w:div w:id="183908671">
          <w:marLeft w:val="0"/>
          <w:marRight w:val="0"/>
          <w:marTop w:val="0"/>
          <w:marBottom w:val="0"/>
          <w:divBdr>
            <w:top w:val="none" w:sz="0" w:space="0" w:color="auto"/>
            <w:left w:val="none" w:sz="0" w:space="0" w:color="auto"/>
            <w:bottom w:val="none" w:sz="0" w:space="0" w:color="auto"/>
            <w:right w:val="none" w:sz="0" w:space="0" w:color="auto"/>
          </w:divBdr>
          <w:divsChild>
            <w:div w:id="183908756">
              <w:marLeft w:val="0"/>
              <w:marRight w:val="0"/>
              <w:marTop w:val="0"/>
              <w:marBottom w:val="0"/>
              <w:divBdr>
                <w:top w:val="none" w:sz="0" w:space="0" w:color="auto"/>
                <w:left w:val="none" w:sz="0" w:space="0" w:color="auto"/>
                <w:bottom w:val="none" w:sz="0" w:space="0" w:color="auto"/>
                <w:right w:val="none" w:sz="0" w:space="0" w:color="auto"/>
              </w:divBdr>
              <w:divsChild>
                <w:div w:id="18390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08728">
      <w:marLeft w:val="0"/>
      <w:marRight w:val="0"/>
      <w:marTop w:val="0"/>
      <w:marBottom w:val="0"/>
      <w:divBdr>
        <w:top w:val="none" w:sz="0" w:space="0" w:color="auto"/>
        <w:left w:val="none" w:sz="0" w:space="0" w:color="auto"/>
        <w:bottom w:val="none" w:sz="0" w:space="0" w:color="auto"/>
        <w:right w:val="none" w:sz="0" w:space="0" w:color="auto"/>
      </w:divBdr>
      <w:divsChild>
        <w:div w:id="183908677">
          <w:marLeft w:val="1166"/>
          <w:marRight w:val="0"/>
          <w:marTop w:val="96"/>
          <w:marBottom w:val="0"/>
          <w:divBdr>
            <w:top w:val="none" w:sz="0" w:space="0" w:color="auto"/>
            <w:left w:val="none" w:sz="0" w:space="0" w:color="auto"/>
            <w:bottom w:val="none" w:sz="0" w:space="0" w:color="auto"/>
            <w:right w:val="none" w:sz="0" w:space="0" w:color="auto"/>
          </w:divBdr>
        </w:div>
        <w:div w:id="183908682">
          <w:marLeft w:val="1166"/>
          <w:marRight w:val="0"/>
          <w:marTop w:val="96"/>
          <w:marBottom w:val="0"/>
          <w:divBdr>
            <w:top w:val="none" w:sz="0" w:space="0" w:color="auto"/>
            <w:left w:val="none" w:sz="0" w:space="0" w:color="auto"/>
            <w:bottom w:val="none" w:sz="0" w:space="0" w:color="auto"/>
            <w:right w:val="none" w:sz="0" w:space="0" w:color="auto"/>
          </w:divBdr>
        </w:div>
        <w:div w:id="183908700">
          <w:marLeft w:val="1166"/>
          <w:marRight w:val="0"/>
          <w:marTop w:val="96"/>
          <w:marBottom w:val="0"/>
          <w:divBdr>
            <w:top w:val="none" w:sz="0" w:space="0" w:color="auto"/>
            <w:left w:val="none" w:sz="0" w:space="0" w:color="auto"/>
            <w:bottom w:val="none" w:sz="0" w:space="0" w:color="auto"/>
            <w:right w:val="none" w:sz="0" w:space="0" w:color="auto"/>
          </w:divBdr>
        </w:div>
        <w:div w:id="183908703">
          <w:marLeft w:val="547"/>
          <w:marRight w:val="0"/>
          <w:marTop w:val="115"/>
          <w:marBottom w:val="0"/>
          <w:divBdr>
            <w:top w:val="none" w:sz="0" w:space="0" w:color="auto"/>
            <w:left w:val="none" w:sz="0" w:space="0" w:color="auto"/>
            <w:bottom w:val="none" w:sz="0" w:space="0" w:color="auto"/>
            <w:right w:val="none" w:sz="0" w:space="0" w:color="auto"/>
          </w:divBdr>
        </w:div>
        <w:div w:id="183908720">
          <w:marLeft w:val="1166"/>
          <w:marRight w:val="0"/>
          <w:marTop w:val="96"/>
          <w:marBottom w:val="0"/>
          <w:divBdr>
            <w:top w:val="none" w:sz="0" w:space="0" w:color="auto"/>
            <w:left w:val="none" w:sz="0" w:space="0" w:color="auto"/>
            <w:bottom w:val="none" w:sz="0" w:space="0" w:color="auto"/>
            <w:right w:val="none" w:sz="0" w:space="0" w:color="auto"/>
          </w:divBdr>
        </w:div>
        <w:div w:id="183908725">
          <w:marLeft w:val="1166"/>
          <w:marRight w:val="0"/>
          <w:marTop w:val="96"/>
          <w:marBottom w:val="0"/>
          <w:divBdr>
            <w:top w:val="none" w:sz="0" w:space="0" w:color="auto"/>
            <w:left w:val="none" w:sz="0" w:space="0" w:color="auto"/>
            <w:bottom w:val="none" w:sz="0" w:space="0" w:color="auto"/>
            <w:right w:val="none" w:sz="0" w:space="0" w:color="auto"/>
          </w:divBdr>
        </w:div>
        <w:div w:id="183908758">
          <w:marLeft w:val="1166"/>
          <w:marRight w:val="0"/>
          <w:marTop w:val="96"/>
          <w:marBottom w:val="0"/>
          <w:divBdr>
            <w:top w:val="none" w:sz="0" w:space="0" w:color="auto"/>
            <w:left w:val="none" w:sz="0" w:space="0" w:color="auto"/>
            <w:bottom w:val="none" w:sz="0" w:space="0" w:color="auto"/>
            <w:right w:val="none" w:sz="0" w:space="0" w:color="auto"/>
          </w:divBdr>
        </w:div>
      </w:divsChild>
    </w:div>
    <w:div w:id="183908730">
      <w:marLeft w:val="0"/>
      <w:marRight w:val="0"/>
      <w:marTop w:val="0"/>
      <w:marBottom w:val="0"/>
      <w:divBdr>
        <w:top w:val="none" w:sz="0" w:space="0" w:color="auto"/>
        <w:left w:val="none" w:sz="0" w:space="0" w:color="auto"/>
        <w:bottom w:val="none" w:sz="0" w:space="0" w:color="auto"/>
        <w:right w:val="none" w:sz="0" w:space="0" w:color="auto"/>
      </w:divBdr>
    </w:div>
    <w:div w:id="183908732">
      <w:marLeft w:val="0"/>
      <w:marRight w:val="0"/>
      <w:marTop w:val="0"/>
      <w:marBottom w:val="0"/>
      <w:divBdr>
        <w:top w:val="none" w:sz="0" w:space="0" w:color="auto"/>
        <w:left w:val="none" w:sz="0" w:space="0" w:color="auto"/>
        <w:bottom w:val="none" w:sz="0" w:space="0" w:color="auto"/>
        <w:right w:val="none" w:sz="0" w:space="0" w:color="auto"/>
      </w:divBdr>
    </w:div>
    <w:div w:id="183908736">
      <w:marLeft w:val="0"/>
      <w:marRight w:val="0"/>
      <w:marTop w:val="0"/>
      <w:marBottom w:val="0"/>
      <w:divBdr>
        <w:top w:val="none" w:sz="0" w:space="0" w:color="auto"/>
        <w:left w:val="none" w:sz="0" w:space="0" w:color="auto"/>
        <w:bottom w:val="none" w:sz="0" w:space="0" w:color="auto"/>
        <w:right w:val="none" w:sz="0" w:space="0" w:color="auto"/>
      </w:divBdr>
    </w:div>
    <w:div w:id="183908740">
      <w:marLeft w:val="0"/>
      <w:marRight w:val="0"/>
      <w:marTop w:val="0"/>
      <w:marBottom w:val="0"/>
      <w:divBdr>
        <w:top w:val="none" w:sz="0" w:space="0" w:color="auto"/>
        <w:left w:val="none" w:sz="0" w:space="0" w:color="auto"/>
        <w:bottom w:val="none" w:sz="0" w:space="0" w:color="auto"/>
        <w:right w:val="none" w:sz="0" w:space="0" w:color="auto"/>
      </w:divBdr>
    </w:div>
    <w:div w:id="183908745">
      <w:marLeft w:val="0"/>
      <w:marRight w:val="0"/>
      <w:marTop w:val="0"/>
      <w:marBottom w:val="0"/>
      <w:divBdr>
        <w:top w:val="none" w:sz="0" w:space="0" w:color="auto"/>
        <w:left w:val="none" w:sz="0" w:space="0" w:color="auto"/>
        <w:bottom w:val="none" w:sz="0" w:space="0" w:color="auto"/>
        <w:right w:val="none" w:sz="0" w:space="0" w:color="auto"/>
      </w:divBdr>
    </w:div>
    <w:div w:id="183908747">
      <w:marLeft w:val="0"/>
      <w:marRight w:val="0"/>
      <w:marTop w:val="0"/>
      <w:marBottom w:val="0"/>
      <w:divBdr>
        <w:top w:val="none" w:sz="0" w:space="0" w:color="auto"/>
        <w:left w:val="none" w:sz="0" w:space="0" w:color="auto"/>
        <w:bottom w:val="none" w:sz="0" w:space="0" w:color="auto"/>
        <w:right w:val="none" w:sz="0" w:space="0" w:color="auto"/>
      </w:divBdr>
    </w:div>
    <w:div w:id="183908748">
      <w:marLeft w:val="0"/>
      <w:marRight w:val="0"/>
      <w:marTop w:val="0"/>
      <w:marBottom w:val="0"/>
      <w:divBdr>
        <w:top w:val="none" w:sz="0" w:space="0" w:color="auto"/>
        <w:left w:val="none" w:sz="0" w:space="0" w:color="auto"/>
        <w:bottom w:val="none" w:sz="0" w:space="0" w:color="auto"/>
        <w:right w:val="none" w:sz="0" w:space="0" w:color="auto"/>
      </w:divBdr>
      <w:divsChild>
        <w:div w:id="183908712">
          <w:marLeft w:val="0"/>
          <w:marRight w:val="0"/>
          <w:marTop w:val="0"/>
          <w:marBottom w:val="0"/>
          <w:divBdr>
            <w:top w:val="none" w:sz="0" w:space="0" w:color="auto"/>
            <w:left w:val="none" w:sz="0" w:space="0" w:color="auto"/>
            <w:bottom w:val="none" w:sz="0" w:space="0" w:color="auto"/>
            <w:right w:val="none" w:sz="0" w:space="0" w:color="auto"/>
          </w:divBdr>
          <w:divsChild>
            <w:div w:id="183908658">
              <w:marLeft w:val="0"/>
              <w:marRight w:val="0"/>
              <w:marTop w:val="0"/>
              <w:marBottom w:val="0"/>
              <w:divBdr>
                <w:top w:val="none" w:sz="0" w:space="0" w:color="auto"/>
                <w:left w:val="none" w:sz="0" w:space="0" w:color="auto"/>
                <w:bottom w:val="none" w:sz="0" w:space="0" w:color="auto"/>
                <w:right w:val="none" w:sz="0" w:space="0" w:color="auto"/>
              </w:divBdr>
              <w:divsChild>
                <w:div w:id="18390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8737">
          <w:marLeft w:val="0"/>
          <w:marRight w:val="0"/>
          <w:marTop w:val="0"/>
          <w:marBottom w:val="0"/>
          <w:divBdr>
            <w:top w:val="none" w:sz="0" w:space="0" w:color="auto"/>
            <w:left w:val="none" w:sz="0" w:space="0" w:color="auto"/>
            <w:bottom w:val="none" w:sz="0" w:space="0" w:color="auto"/>
            <w:right w:val="none" w:sz="0" w:space="0" w:color="auto"/>
          </w:divBdr>
          <w:divsChild>
            <w:div w:id="183908668">
              <w:marLeft w:val="0"/>
              <w:marRight w:val="0"/>
              <w:marTop w:val="0"/>
              <w:marBottom w:val="0"/>
              <w:divBdr>
                <w:top w:val="none" w:sz="0" w:space="0" w:color="auto"/>
                <w:left w:val="none" w:sz="0" w:space="0" w:color="auto"/>
                <w:bottom w:val="none" w:sz="0" w:space="0" w:color="auto"/>
                <w:right w:val="none" w:sz="0" w:space="0" w:color="auto"/>
              </w:divBdr>
              <w:divsChild>
                <w:div w:id="183908676">
                  <w:marLeft w:val="0"/>
                  <w:marRight w:val="0"/>
                  <w:marTop w:val="0"/>
                  <w:marBottom w:val="0"/>
                  <w:divBdr>
                    <w:top w:val="none" w:sz="0" w:space="0" w:color="auto"/>
                    <w:left w:val="none" w:sz="0" w:space="0" w:color="auto"/>
                    <w:bottom w:val="none" w:sz="0" w:space="0" w:color="auto"/>
                    <w:right w:val="none" w:sz="0" w:space="0" w:color="auto"/>
                  </w:divBdr>
                </w:div>
              </w:divsChild>
            </w:div>
            <w:div w:id="183908735">
              <w:marLeft w:val="0"/>
              <w:marRight w:val="0"/>
              <w:marTop w:val="0"/>
              <w:marBottom w:val="0"/>
              <w:divBdr>
                <w:top w:val="none" w:sz="0" w:space="0" w:color="auto"/>
                <w:left w:val="none" w:sz="0" w:space="0" w:color="auto"/>
                <w:bottom w:val="none" w:sz="0" w:space="0" w:color="auto"/>
                <w:right w:val="none" w:sz="0" w:space="0" w:color="auto"/>
              </w:divBdr>
              <w:divsChild>
                <w:div w:id="18390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8739">
          <w:marLeft w:val="0"/>
          <w:marRight w:val="0"/>
          <w:marTop w:val="0"/>
          <w:marBottom w:val="0"/>
          <w:divBdr>
            <w:top w:val="none" w:sz="0" w:space="0" w:color="auto"/>
            <w:left w:val="none" w:sz="0" w:space="0" w:color="auto"/>
            <w:bottom w:val="none" w:sz="0" w:space="0" w:color="auto"/>
            <w:right w:val="none" w:sz="0" w:space="0" w:color="auto"/>
          </w:divBdr>
          <w:divsChild>
            <w:div w:id="183908683">
              <w:marLeft w:val="0"/>
              <w:marRight w:val="0"/>
              <w:marTop w:val="0"/>
              <w:marBottom w:val="0"/>
              <w:divBdr>
                <w:top w:val="none" w:sz="0" w:space="0" w:color="auto"/>
                <w:left w:val="none" w:sz="0" w:space="0" w:color="auto"/>
                <w:bottom w:val="none" w:sz="0" w:space="0" w:color="auto"/>
                <w:right w:val="none" w:sz="0" w:space="0" w:color="auto"/>
              </w:divBdr>
              <w:divsChild>
                <w:div w:id="183908699">
                  <w:marLeft w:val="0"/>
                  <w:marRight w:val="0"/>
                  <w:marTop w:val="0"/>
                  <w:marBottom w:val="0"/>
                  <w:divBdr>
                    <w:top w:val="none" w:sz="0" w:space="0" w:color="auto"/>
                    <w:left w:val="none" w:sz="0" w:space="0" w:color="auto"/>
                    <w:bottom w:val="none" w:sz="0" w:space="0" w:color="auto"/>
                    <w:right w:val="none" w:sz="0" w:space="0" w:color="auto"/>
                  </w:divBdr>
                </w:div>
              </w:divsChild>
            </w:div>
            <w:div w:id="183908708">
              <w:marLeft w:val="0"/>
              <w:marRight w:val="0"/>
              <w:marTop w:val="0"/>
              <w:marBottom w:val="0"/>
              <w:divBdr>
                <w:top w:val="none" w:sz="0" w:space="0" w:color="auto"/>
                <w:left w:val="none" w:sz="0" w:space="0" w:color="auto"/>
                <w:bottom w:val="none" w:sz="0" w:space="0" w:color="auto"/>
                <w:right w:val="none" w:sz="0" w:space="0" w:color="auto"/>
              </w:divBdr>
              <w:divsChild>
                <w:div w:id="18390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08750">
      <w:marLeft w:val="0"/>
      <w:marRight w:val="0"/>
      <w:marTop w:val="0"/>
      <w:marBottom w:val="0"/>
      <w:divBdr>
        <w:top w:val="none" w:sz="0" w:space="0" w:color="auto"/>
        <w:left w:val="none" w:sz="0" w:space="0" w:color="auto"/>
        <w:bottom w:val="none" w:sz="0" w:space="0" w:color="auto"/>
        <w:right w:val="none" w:sz="0" w:space="0" w:color="auto"/>
      </w:divBdr>
    </w:div>
    <w:div w:id="183908751">
      <w:marLeft w:val="0"/>
      <w:marRight w:val="0"/>
      <w:marTop w:val="0"/>
      <w:marBottom w:val="0"/>
      <w:divBdr>
        <w:top w:val="none" w:sz="0" w:space="0" w:color="auto"/>
        <w:left w:val="none" w:sz="0" w:space="0" w:color="auto"/>
        <w:bottom w:val="none" w:sz="0" w:space="0" w:color="auto"/>
        <w:right w:val="none" w:sz="0" w:space="0" w:color="auto"/>
      </w:divBdr>
      <w:divsChild>
        <w:div w:id="183908696">
          <w:marLeft w:val="1800"/>
          <w:marRight w:val="0"/>
          <w:marTop w:val="96"/>
          <w:marBottom w:val="0"/>
          <w:divBdr>
            <w:top w:val="none" w:sz="0" w:space="0" w:color="auto"/>
            <w:left w:val="none" w:sz="0" w:space="0" w:color="auto"/>
            <w:bottom w:val="none" w:sz="0" w:space="0" w:color="auto"/>
            <w:right w:val="none" w:sz="0" w:space="0" w:color="auto"/>
          </w:divBdr>
        </w:div>
        <w:div w:id="183908727">
          <w:marLeft w:val="1800"/>
          <w:marRight w:val="0"/>
          <w:marTop w:val="96"/>
          <w:marBottom w:val="0"/>
          <w:divBdr>
            <w:top w:val="none" w:sz="0" w:space="0" w:color="auto"/>
            <w:left w:val="none" w:sz="0" w:space="0" w:color="auto"/>
            <w:bottom w:val="none" w:sz="0" w:space="0" w:color="auto"/>
            <w:right w:val="none" w:sz="0" w:space="0" w:color="auto"/>
          </w:divBdr>
        </w:div>
        <w:div w:id="183908729">
          <w:marLeft w:val="1800"/>
          <w:marRight w:val="0"/>
          <w:marTop w:val="96"/>
          <w:marBottom w:val="0"/>
          <w:divBdr>
            <w:top w:val="none" w:sz="0" w:space="0" w:color="auto"/>
            <w:left w:val="none" w:sz="0" w:space="0" w:color="auto"/>
            <w:bottom w:val="none" w:sz="0" w:space="0" w:color="auto"/>
            <w:right w:val="none" w:sz="0" w:space="0" w:color="auto"/>
          </w:divBdr>
        </w:div>
        <w:div w:id="183908743">
          <w:marLeft w:val="1800"/>
          <w:marRight w:val="0"/>
          <w:marTop w:val="96"/>
          <w:marBottom w:val="0"/>
          <w:divBdr>
            <w:top w:val="none" w:sz="0" w:space="0" w:color="auto"/>
            <w:left w:val="none" w:sz="0" w:space="0" w:color="auto"/>
            <w:bottom w:val="none" w:sz="0" w:space="0" w:color="auto"/>
            <w:right w:val="none" w:sz="0" w:space="0" w:color="auto"/>
          </w:divBdr>
        </w:div>
      </w:divsChild>
    </w:div>
    <w:div w:id="183908753">
      <w:marLeft w:val="0"/>
      <w:marRight w:val="0"/>
      <w:marTop w:val="0"/>
      <w:marBottom w:val="0"/>
      <w:divBdr>
        <w:top w:val="none" w:sz="0" w:space="0" w:color="auto"/>
        <w:left w:val="none" w:sz="0" w:space="0" w:color="auto"/>
        <w:bottom w:val="none" w:sz="0" w:space="0" w:color="auto"/>
        <w:right w:val="none" w:sz="0" w:space="0" w:color="auto"/>
      </w:divBdr>
    </w:div>
    <w:div w:id="183908755">
      <w:marLeft w:val="0"/>
      <w:marRight w:val="0"/>
      <w:marTop w:val="0"/>
      <w:marBottom w:val="0"/>
      <w:divBdr>
        <w:top w:val="none" w:sz="0" w:space="0" w:color="auto"/>
        <w:left w:val="none" w:sz="0" w:space="0" w:color="auto"/>
        <w:bottom w:val="none" w:sz="0" w:space="0" w:color="auto"/>
        <w:right w:val="none" w:sz="0" w:space="0" w:color="auto"/>
      </w:divBdr>
      <w:divsChild>
        <w:div w:id="183908734">
          <w:marLeft w:val="0"/>
          <w:marRight w:val="0"/>
          <w:marTop w:val="0"/>
          <w:marBottom w:val="0"/>
          <w:divBdr>
            <w:top w:val="none" w:sz="0" w:space="0" w:color="auto"/>
            <w:left w:val="none" w:sz="0" w:space="0" w:color="auto"/>
            <w:bottom w:val="none" w:sz="0" w:space="0" w:color="auto"/>
            <w:right w:val="none" w:sz="0" w:space="0" w:color="auto"/>
          </w:divBdr>
          <w:divsChild>
            <w:div w:id="183908694">
              <w:marLeft w:val="0"/>
              <w:marRight w:val="0"/>
              <w:marTop w:val="0"/>
              <w:marBottom w:val="0"/>
              <w:divBdr>
                <w:top w:val="none" w:sz="0" w:space="0" w:color="auto"/>
                <w:left w:val="none" w:sz="0" w:space="0" w:color="auto"/>
                <w:bottom w:val="none" w:sz="0" w:space="0" w:color="auto"/>
                <w:right w:val="none" w:sz="0" w:space="0" w:color="auto"/>
              </w:divBdr>
              <w:divsChild>
                <w:div w:id="18390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8741">
          <w:marLeft w:val="0"/>
          <w:marRight w:val="0"/>
          <w:marTop w:val="0"/>
          <w:marBottom w:val="0"/>
          <w:divBdr>
            <w:top w:val="none" w:sz="0" w:space="0" w:color="auto"/>
            <w:left w:val="none" w:sz="0" w:space="0" w:color="auto"/>
            <w:bottom w:val="none" w:sz="0" w:space="0" w:color="auto"/>
            <w:right w:val="none" w:sz="0" w:space="0" w:color="auto"/>
          </w:divBdr>
          <w:divsChild>
            <w:div w:id="183908701">
              <w:marLeft w:val="0"/>
              <w:marRight w:val="0"/>
              <w:marTop w:val="0"/>
              <w:marBottom w:val="0"/>
              <w:divBdr>
                <w:top w:val="none" w:sz="0" w:space="0" w:color="auto"/>
                <w:left w:val="none" w:sz="0" w:space="0" w:color="auto"/>
                <w:bottom w:val="none" w:sz="0" w:space="0" w:color="auto"/>
                <w:right w:val="none" w:sz="0" w:space="0" w:color="auto"/>
              </w:divBdr>
              <w:divsChild>
                <w:div w:id="183908673">
                  <w:marLeft w:val="0"/>
                  <w:marRight w:val="0"/>
                  <w:marTop w:val="0"/>
                  <w:marBottom w:val="0"/>
                  <w:divBdr>
                    <w:top w:val="none" w:sz="0" w:space="0" w:color="auto"/>
                    <w:left w:val="none" w:sz="0" w:space="0" w:color="auto"/>
                    <w:bottom w:val="none" w:sz="0" w:space="0" w:color="auto"/>
                    <w:right w:val="none" w:sz="0" w:space="0" w:color="auto"/>
                  </w:divBdr>
                </w:div>
              </w:divsChild>
            </w:div>
            <w:div w:id="183908718">
              <w:marLeft w:val="0"/>
              <w:marRight w:val="0"/>
              <w:marTop w:val="0"/>
              <w:marBottom w:val="0"/>
              <w:divBdr>
                <w:top w:val="none" w:sz="0" w:space="0" w:color="auto"/>
                <w:left w:val="none" w:sz="0" w:space="0" w:color="auto"/>
                <w:bottom w:val="none" w:sz="0" w:space="0" w:color="auto"/>
                <w:right w:val="none" w:sz="0" w:space="0" w:color="auto"/>
              </w:divBdr>
              <w:divsChild>
                <w:div w:id="18390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8749">
          <w:marLeft w:val="0"/>
          <w:marRight w:val="0"/>
          <w:marTop w:val="0"/>
          <w:marBottom w:val="0"/>
          <w:divBdr>
            <w:top w:val="none" w:sz="0" w:space="0" w:color="auto"/>
            <w:left w:val="none" w:sz="0" w:space="0" w:color="auto"/>
            <w:bottom w:val="none" w:sz="0" w:space="0" w:color="auto"/>
            <w:right w:val="none" w:sz="0" w:space="0" w:color="auto"/>
          </w:divBdr>
          <w:divsChild>
            <w:div w:id="183908704">
              <w:marLeft w:val="0"/>
              <w:marRight w:val="0"/>
              <w:marTop w:val="0"/>
              <w:marBottom w:val="0"/>
              <w:divBdr>
                <w:top w:val="none" w:sz="0" w:space="0" w:color="auto"/>
                <w:left w:val="none" w:sz="0" w:space="0" w:color="auto"/>
                <w:bottom w:val="none" w:sz="0" w:space="0" w:color="auto"/>
                <w:right w:val="none" w:sz="0" w:space="0" w:color="auto"/>
              </w:divBdr>
              <w:divsChild>
                <w:div w:id="183908724">
                  <w:marLeft w:val="0"/>
                  <w:marRight w:val="0"/>
                  <w:marTop w:val="0"/>
                  <w:marBottom w:val="0"/>
                  <w:divBdr>
                    <w:top w:val="none" w:sz="0" w:space="0" w:color="auto"/>
                    <w:left w:val="none" w:sz="0" w:space="0" w:color="auto"/>
                    <w:bottom w:val="none" w:sz="0" w:space="0" w:color="auto"/>
                    <w:right w:val="none" w:sz="0" w:space="0" w:color="auto"/>
                  </w:divBdr>
                </w:div>
              </w:divsChild>
            </w:div>
            <w:div w:id="183908733">
              <w:marLeft w:val="0"/>
              <w:marRight w:val="0"/>
              <w:marTop w:val="0"/>
              <w:marBottom w:val="0"/>
              <w:divBdr>
                <w:top w:val="none" w:sz="0" w:space="0" w:color="auto"/>
                <w:left w:val="none" w:sz="0" w:space="0" w:color="auto"/>
                <w:bottom w:val="none" w:sz="0" w:space="0" w:color="auto"/>
                <w:right w:val="none" w:sz="0" w:space="0" w:color="auto"/>
              </w:divBdr>
              <w:divsChild>
                <w:div w:id="18390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08760">
      <w:marLeft w:val="0"/>
      <w:marRight w:val="0"/>
      <w:marTop w:val="0"/>
      <w:marBottom w:val="0"/>
      <w:divBdr>
        <w:top w:val="none" w:sz="0" w:space="0" w:color="auto"/>
        <w:left w:val="none" w:sz="0" w:space="0" w:color="auto"/>
        <w:bottom w:val="none" w:sz="0" w:space="0" w:color="auto"/>
        <w:right w:val="none" w:sz="0" w:space="0" w:color="auto"/>
      </w:divBdr>
    </w:div>
    <w:div w:id="183908762">
      <w:marLeft w:val="0"/>
      <w:marRight w:val="0"/>
      <w:marTop w:val="0"/>
      <w:marBottom w:val="0"/>
      <w:divBdr>
        <w:top w:val="none" w:sz="0" w:space="0" w:color="auto"/>
        <w:left w:val="none" w:sz="0" w:space="0" w:color="auto"/>
        <w:bottom w:val="none" w:sz="0" w:space="0" w:color="auto"/>
        <w:right w:val="none" w:sz="0" w:space="0" w:color="auto"/>
      </w:divBdr>
    </w:div>
    <w:div w:id="183908764">
      <w:marLeft w:val="0"/>
      <w:marRight w:val="0"/>
      <w:marTop w:val="0"/>
      <w:marBottom w:val="0"/>
      <w:divBdr>
        <w:top w:val="none" w:sz="0" w:space="0" w:color="auto"/>
        <w:left w:val="none" w:sz="0" w:space="0" w:color="auto"/>
        <w:bottom w:val="none" w:sz="0" w:space="0" w:color="auto"/>
        <w:right w:val="none" w:sz="0" w:space="0" w:color="auto"/>
      </w:divBdr>
    </w:div>
    <w:div w:id="183908765">
      <w:marLeft w:val="0"/>
      <w:marRight w:val="0"/>
      <w:marTop w:val="0"/>
      <w:marBottom w:val="0"/>
      <w:divBdr>
        <w:top w:val="none" w:sz="0" w:space="0" w:color="auto"/>
        <w:left w:val="none" w:sz="0" w:space="0" w:color="auto"/>
        <w:bottom w:val="none" w:sz="0" w:space="0" w:color="auto"/>
        <w:right w:val="none" w:sz="0" w:space="0" w:color="auto"/>
      </w:divBdr>
    </w:div>
    <w:div w:id="183908766">
      <w:marLeft w:val="0"/>
      <w:marRight w:val="0"/>
      <w:marTop w:val="0"/>
      <w:marBottom w:val="0"/>
      <w:divBdr>
        <w:top w:val="none" w:sz="0" w:space="0" w:color="auto"/>
        <w:left w:val="none" w:sz="0" w:space="0" w:color="auto"/>
        <w:bottom w:val="none" w:sz="0" w:space="0" w:color="auto"/>
        <w:right w:val="none" w:sz="0" w:space="0" w:color="auto"/>
      </w:divBdr>
    </w:div>
    <w:div w:id="183908767">
      <w:marLeft w:val="0"/>
      <w:marRight w:val="0"/>
      <w:marTop w:val="0"/>
      <w:marBottom w:val="0"/>
      <w:divBdr>
        <w:top w:val="none" w:sz="0" w:space="0" w:color="auto"/>
        <w:left w:val="none" w:sz="0" w:space="0" w:color="auto"/>
        <w:bottom w:val="none" w:sz="0" w:space="0" w:color="auto"/>
        <w:right w:val="none" w:sz="0" w:space="0" w:color="auto"/>
      </w:divBdr>
    </w:div>
    <w:div w:id="183908768">
      <w:marLeft w:val="0"/>
      <w:marRight w:val="0"/>
      <w:marTop w:val="0"/>
      <w:marBottom w:val="0"/>
      <w:divBdr>
        <w:top w:val="none" w:sz="0" w:space="0" w:color="auto"/>
        <w:left w:val="none" w:sz="0" w:space="0" w:color="auto"/>
        <w:bottom w:val="none" w:sz="0" w:space="0" w:color="auto"/>
        <w:right w:val="none" w:sz="0" w:space="0" w:color="auto"/>
      </w:divBdr>
    </w:div>
    <w:div w:id="183908769">
      <w:marLeft w:val="0"/>
      <w:marRight w:val="0"/>
      <w:marTop w:val="0"/>
      <w:marBottom w:val="0"/>
      <w:divBdr>
        <w:top w:val="none" w:sz="0" w:space="0" w:color="auto"/>
        <w:left w:val="none" w:sz="0" w:space="0" w:color="auto"/>
        <w:bottom w:val="none" w:sz="0" w:space="0" w:color="auto"/>
        <w:right w:val="none" w:sz="0" w:space="0" w:color="auto"/>
      </w:divBdr>
    </w:div>
    <w:div w:id="183908770">
      <w:marLeft w:val="0"/>
      <w:marRight w:val="0"/>
      <w:marTop w:val="0"/>
      <w:marBottom w:val="0"/>
      <w:divBdr>
        <w:top w:val="none" w:sz="0" w:space="0" w:color="auto"/>
        <w:left w:val="none" w:sz="0" w:space="0" w:color="auto"/>
        <w:bottom w:val="none" w:sz="0" w:space="0" w:color="auto"/>
        <w:right w:val="none" w:sz="0" w:space="0" w:color="auto"/>
      </w:divBdr>
    </w:div>
    <w:div w:id="183908771">
      <w:marLeft w:val="0"/>
      <w:marRight w:val="0"/>
      <w:marTop w:val="0"/>
      <w:marBottom w:val="0"/>
      <w:divBdr>
        <w:top w:val="none" w:sz="0" w:space="0" w:color="auto"/>
        <w:left w:val="none" w:sz="0" w:space="0" w:color="auto"/>
        <w:bottom w:val="none" w:sz="0" w:space="0" w:color="auto"/>
        <w:right w:val="none" w:sz="0" w:space="0" w:color="auto"/>
      </w:divBdr>
    </w:div>
    <w:div w:id="183908772">
      <w:marLeft w:val="0"/>
      <w:marRight w:val="0"/>
      <w:marTop w:val="0"/>
      <w:marBottom w:val="0"/>
      <w:divBdr>
        <w:top w:val="none" w:sz="0" w:space="0" w:color="auto"/>
        <w:left w:val="none" w:sz="0" w:space="0" w:color="auto"/>
        <w:bottom w:val="none" w:sz="0" w:space="0" w:color="auto"/>
        <w:right w:val="none" w:sz="0" w:space="0" w:color="auto"/>
      </w:divBdr>
    </w:div>
    <w:div w:id="183908773">
      <w:marLeft w:val="0"/>
      <w:marRight w:val="0"/>
      <w:marTop w:val="0"/>
      <w:marBottom w:val="0"/>
      <w:divBdr>
        <w:top w:val="none" w:sz="0" w:space="0" w:color="auto"/>
        <w:left w:val="none" w:sz="0" w:space="0" w:color="auto"/>
        <w:bottom w:val="none" w:sz="0" w:space="0" w:color="auto"/>
        <w:right w:val="none" w:sz="0" w:space="0" w:color="auto"/>
      </w:divBdr>
    </w:div>
    <w:div w:id="183908774">
      <w:marLeft w:val="0"/>
      <w:marRight w:val="0"/>
      <w:marTop w:val="0"/>
      <w:marBottom w:val="0"/>
      <w:divBdr>
        <w:top w:val="none" w:sz="0" w:space="0" w:color="auto"/>
        <w:left w:val="none" w:sz="0" w:space="0" w:color="auto"/>
        <w:bottom w:val="none" w:sz="0" w:space="0" w:color="auto"/>
        <w:right w:val="none" w:sz="0" w:space="0" w:color="auto"/>
      </w:divBdr>
    </w:div>
    <w:div w:id="183908775">
      <w:marLeft w:val="0"/>
      <w:marRight w:val="0"/>
      <w:marTop w:val="0"/>
      <w:marBottom w:val="0"/>
      <w:divBdr>
        <w:top w:val="none" w:sz="0" w:space="0" w:color="auto"/>
        <w:left w:val="none" w:sz="0" w:space="0" w:color="auto"/>
        <w:bottom w:val="none" w:sz="0" w:space="0" w:color="auto"/>
        <w:right w:val="none" w:sz="0" w:space="0" w:color="auto"/>
      </w:divBdr>
    </w:div>
    <w:div w:id="183908778">
      <w:marLeft w:val="0"/>
      <w:marRight w:val="0"/>
      <w:marTop w:val="0"/>
      <w:marBottom w:val="0"/>
      <w:divBdr>
        <w:top w:val="none" w:sz="0" w:space="0" w:color="auto"/>
        <w:left w:val="none" w:sz="0" w:space="0" w:color="auto"/>
        <w:bottom w:val="none" w:sz="0" w:space="0" w:color="auto"/>
        <w:right w:val="none" w:sz="0" w:space="0" w:color="auto"/>
      </w:divBdr>
    </w:div>
    <w:div w:id="183908780">
      <w:marLeft w:val="0"/>
      <w:marRight w:val="0"/>
      <w:marTop w:val="0"/>
      <w:marBottom w:val="0"/>
      <w:divBdr>
        <w:top w:val="none" w:sz="0" w:space="0" w:color="auto"/>
        <w:left w:val="none" w:sz="0" w:space="0" w:color="auto"/>
        <w:bottom w:val="none" w:sz="0" w:space="0" w:color="auto"/>
        <w:right w:val="none" w:sz="0" w:space="0" w:color="auto"/>
      </w:divBdr>
      <w:divsChild>
        <w:div w:id="183908777">
          <w:marLeft w:val="0"/>
          <w:marRight w:val="0"/>
          <w:marTop w:val="0"/>
          <w:marBottom w:val="0"/>
          <w:divBdr>
            <w:top w:val="none" w:sz="0" w:space="0" w:color="auto"/>
            <w:left w:val="none" w:sz="0" w:space="0" w:color="auto"/>
            <w:bottom w:val="none" w:sz="0" w:space="0" w:color="auto"/>
            <w:right w:val="none" w:sz="0" w:space="0" w:color="auto"/>
          </w:divBdr>
          <w:divsChild>
            <w:div w:id="183908791">
              <w:marLeft w:val="0"/>
              <w:marRight w:val="0"/>
              <w:marTop w:val="0"/>
              <w:marBottom w:val="0"/>
              <w:divBdr>
                <w:top w:val="none" w:sz="0" w:space="0" w:color="auto"/>
                <w:left w:val="none" w:sz="0" w:space="0" w:color="auto"/>
                <w:bottom w:val="none" w:sz="0" w:space="0" w:color="auto"/>
                <w:right w:val="none" w:sz="0" w:space="0" w:color="auto"/>
              </w:divBdr>
              <w:divsChild>
                <w:div w:id="18390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08782">
      <w:marLeft w:val="0"/>
      <w:marRight w:val="0"/>
      <w:marTop w:val="0"/>
      <w:marBottom w:val="0"/>
      <w:divBdr>
        <w:top w:val="none" w:sz="0" w:space="0" w:color="auto"/>
        <w:left w:val="none" w:sz="0" w:space="0" w:color="auto"/>
        <w:bottom w:val="none" w:sz="0" w:space="0" w:color="auto"/>
        <w:right w:val="none" w:sz="0" w:space="0" w:color="auto"/>
      </w:divBdr>
    </w:div>
    <w:div w:id="183908787">
      <w:marLeft w:val="0"/>
      <w:marRight w:val="0"/>
      <w:marTop w:val="0"/>
      <w:marBottom w:val="0"/>
      <w:divBdr>
        <w:top w:val="none" w:sz="0" w:space="0" w:color="auto"/>
        <w:left w:val="none" w:sz="0" w:space="0" w:color="auto"/>
        <w:bottom w:val="none" w:sz="0" w:space="0" w:color="auto"/>
        <w:right w:val="none" w:sz="0" w:space="0" w:color="auto"/>
      </w:divBdr>
      <w:divsChild>
        <w:div w:id="183908776">
          <w:marLeft w:val="0"/>
          <w:marRight w:val="0"/>
          <w:marTop w:val="0"/>
          <w:marBottom w:val="0"/>
          <w:divBdr>
            <w:top w:val="none" w:sz="0" w:space="0" w:color="auto"/>
            <w:left w:val="none" w:sz="0" w:space="0" w:color="auto"/>
            <w:bottom w:val="none" w:sz="0" w:space="0" w:color="auto"/>
            <w:right w:val="none" w:sz="0" w:space="0" w:color="auto"/>
          </w:divBdr>
          <w:divsChild>
            <w:div w:id="183908784">
              <w:marLeft w:val="0"/>
              <w:marRight w:val="0"/>
              <w:marTop w:val="0"/>
              <w:marBottom w:val="0"/>
              <w:divBdr>
                <w:top w:val="none" w:sz="0" w:space="0" w:color="auto"/>
                <w:left w:val="none" w:sz="0" w:space="0" w:color="auto"/>
                <w:bottom w:val="none" w:sz="0" w:space="0" w:color="auto"/>
                <w:right w:val="none" w:sz="0" w:space="0" w:color="auto"/>
              </w:divBdr>
              <w:divsChild>
                <w:div w:id="18390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08788">
      <w:marLeft w:val="0"/>
      <w:marRight w:val="0"/>
      <w:marTop w:val="0"/>
      <w:marBottom w:val="0"/>
      <w:divBdr>
        <w:top w:val="none" w:sz="0" w:space="0" w:color="auto"/>
        <w:left w:val="none" w:sz="0" w:space="0" w:color="auto"/>
        <w:bottom w:val="none" w:sz="0" w:space="0" w:color="auto"/>
        <w:right w:val="none" w:sz="0" w:space="0" w:color="auto"/>
      </w:divBdr>
      <w:divsChild>
        <w:div w:id="183908786">
          <w:marLeft w:val="0"/>
          <w:marRight w:val="0"/>
          <w:marTop w:val="0"/>
          <w:marBottom w:val="0"/>
          <w:divBdr>
            <w:top w:val="none" w:sz="0" w:space="0" w:color="auto"/>
            <w:left w:val="none" w:sz="0" w:space="0" w:color="auto"/>
            <w:bottom w:val="none" w:sz="0" w:space="0" w:color="auto"/>
            <w:right w:val="none" w:sz="0" w:space="0" w:color="auto"/>
          </w:divBdr>
          <w:divsChild>
            <w:div w:id="183908783">
              <w:marLeft w:val="0"/>
              <w:marRight w:val="0"/>
              <w:marTop w:val="0"/>
              <w:marBottom w:val="0"/>
              <w:divBdr>
                <w:top w:val="none" w:sz="0" w:space="0" w:color="auto"/>
                <w:left w:val="none" w:sz="0" w:space="0" w:color="auto"/>
                <w:bottom w:val="none" w:sz="0" w:space="0" w:color="auto"/>
                <w:right w:val="none" w:sz="0" w:space="0" w:color="auto"/>
              </w:divBdr>
              <w:divsChild>
                <w:div w:id="18390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08789">
      <w:marLeft w:val="0"/>
      <w:marRight w:val="0"/>
      <w:marTop w:val="0"/>
      <w:marBottom w:val="0"/>
      <w:divBdr>
        <w:top w:val="none" w:sz="0" w:space="0" w:color="auto"/>
        <w:left w:val="none" w:sz="0" w:space="0" w:color="auto"/>
        <w:bottom w:val="none" w:sz="0" w:space="0" w:color="auto"/>
        <w:right w:val="none" w:sz="0" w:space="0" w:color="auto"/>
      </w:divBdr>
    </w:div>
    <w:div w:id="196090978">
      <w:bodyDiv w:val="1"/>
      <w:marLeft w:val="0"/>
      <w:marRight w:val="0"/>
      <w:marTop w:val="0"/>
      <w:marBottom w:val="0"/>
      <w:divBdr>
        <w:top w:val="none" w:sz="0" w:space="0" w:color="auto"/>
        <w:left w:val="none" w:sz="0" w:space="0" w:color="auto"/>
        <w:bottom w:val="none" w:sz="0" w:space="0" w:color="auto"/>
        <w:right w:val="none" w:sz="0" w:space="0" w:color="auto"/>
      </w:divBdr>
      <w:divsChild>
        <w:div w:id="859439651">
          <w:marLeft w:val="0"/>
          <w:marRight w:val="0"/>
          <w:marTop w:val="0"/>
          <w:marBottom w:val="0"/>
          <w:divBdr>
            <w:top w:val="none" w:sz="0" w:space="0" w:color="auto"/>
            <w:left w:val="none" w:sz="0" w:space="0" w:color="auto"/>
            <w:bottom w:val="none" w:sz="0" w:space="0" w:color="auto"/>
            <w:right w:val="none" w:sz="0" w:space="0" w:color="auto"/>
          </w:divBdr>
          <w:divsChild>
            <w:div w:id="826746383">
              <w:marLeft w:val="0"/>
              <w:marRight w:val="0"/>
              <w:marTop w:val="0"/>
              <w:marBottom w:val="0"/>
              <w:divBdr>
                <w:top w:val="none" w:sz="0" w:space="0" w:color="auto"/>
                <w:left w:val="none" w:sz="0" w:space="0" w:color="auto"/>
                <w:bottom w:val="none" w:sz="0" w:space="0" w:color="auto"/>
                <w:right w:val="none" w:sz="0" w:space="0" w:color="auto"/>
              </w:divBdr>
              <w:divsChild>
                <w:div w:id="63637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36340">
      <w:bodyDiv w:val="1"/>
      <w:marLeft w:val="0"/>
      <w:marRight w:val="0"/>
      <w:marTop w:val="0"/>
      <w:marBottom w:val="0"/>
      <w:divBdr>
        <w:top w:val="none" w:sz="0" w:space="0" w:color="auto"/>
        <w:left w:val="none" w:sz="0" w:space="0" w:color="auto"/>
        <w:bottom w:val="none" w:sz="0" w:space="0" w:color="auto"/>
        <w:right w:val="none" w:sz="0" w:space="0" w:color="auto"/>
      </w:divBdr>
      <w:divsChild>
        <w:div w:id="1663194585">
          <w:marLeft w:val="0"/>
          <w:marRight w:val="0"/>
          <w:marTop w:val="0"/>
          <w:marBottom w:val="0"/>
          <w:divBdr>
            <w:top w:val="none" w:sz="0" w:space="0" w:color="auto"/>
            <w:left w:val="none" w:sz="0" w:space="0" w:color="auto"/>
            <w:bottom w:val="none" w:sz="0" w:space="0" w:color="auto"/>
            <w:right w:val="none" w:sz="0" w:space="0" w:color="auto"/>
          </w:divBdr>
          <w:divsChild>
            <w:div w:id="1984969161">
              <w:marLeft w:val="0"/>
              <w:marRight w:val="0"/>
              <w:marTop w:val="0"/>
              <w:marBottom w:val="0"/>
              <w:divBdr>
                <w:top w:val="none" w:sz="0" w:space="0" w:color="auto"/>
                <w:left w:val="none" w:sz="0" w:space="0" w:color="auto"/>
                <w:bottom w:val="none" w:sz="0" w:space="0" w:color="auto"/>
                <w:right w:val="none" w:sz="0" w:space="0" w:color="auto"/>
              </w:divBdr>
              <w:divsChild>
                <w:div w:id="204513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405192">
      <w:bodyDiv w:val="1"/>
      <w:marLeft w:val="0"/>
      <w:marRight w:val="0"/>
      <w:marTop w:val="0"/>
      <w:marBottom w:val="0"/>
      <w:divBdr>
        <w:top w:val="none" w:sz="0" w:space="0" w:color="auto"/>
        <w:left w:val="none" w:sz="0" w:space="0" w:color="auto"/>
        <w:bottom w:val="none" w:sz="0" w:space="0" w:color="auto"/>
        <w:right w:val="none" w:sz="0" w:space="0" w:color="auto"/>
      </w:divBdr>
      <w:divsChild>
        <w:div w:id="567493273">
          <w:marLeft w:val="0"/>
          <w:marRight w:val="0"/>
          <w:marTop w:val="0"/>
          <w:marBottom w:val="0"/>
          <w:divBdr>
            <w:top w:val="none" w:sz="0" w:space="0" w:color="auto"/>
            <w:left w:val="none" w:sz="0" w:space="0" w:color="auto"/>
            <w:bottom w:val="none" w:sz="0" w:space="0" w:color="auto"/>
            <w:right w:val="none" w:sz="0" w:space="0" w:color="auto"/>
          </w:divBdr>
          <w:divsChild>
            <w:div w:id="607354399">
              <w:marLeft w:val="0"/>
              <w:marRight w:val="0"/>
              <w:marTop w:val="0"/>
              <w:marBottom w:val="0"/>
              <w:divBdr>
                <w:top w:val="none" w:sz="0" w:space="0" w:color="auto"/>
                <w:left w:val="none" w:sz="0" w:space="0" w:color="auto"/>
                <w:bottom w:val="none" w:sz="0" w:space="0" w:color="auto"/>
                <w:right w:val="none" w:sz="0" w:space="0" w:color="auto"/>
              </w:divBdr>
              <w:divsChild>
                <w:div w:id="1487354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24046">
      <w:bodyDiv w:val="1"/>
      <w:marLeft w:val="0"/>
      <w:marRight w:val="0"/>
      <w:marTop w:val="0"/>
      <w:marBottom w:val="0"/>
      <w:divBdr>
        <w:top w:val="none" w:sz="0" w:space="0" w:color="auto"/>
        <w:left w:val="none" w:sz="0" w:space="0" w:color="auto"/>
        <w:bottom w:val="none" w:sz="0" w:space="0" w:color="auto"/>
        <w:right w:val="none" w:sz="0" w:space="0" w:color="auto"/>
      </w:divBdr>
      <w:divsChild>
        <w:div w:id="1304651400">
          <w:marLeft w:val="0"/>
          <w:marRight w:val="0"/>
          <w:marTop w:val="0"/>
          <w:marBottom w:val="0"/>
          <w:divBdr>
            <w:top w:val="none" w:sz="0" w:space="0" w:color="auto"/>
            <w:left w:val="none" w:sz="0" w:space="0" w:color="auto"/>
            <w:bottom w:val="none" w:sz="0" w:space="0" w:color="auto"/>
            <w:right w:val="none" w:sz="0" w:space="0" w:color="auto"/>
          </w:divBdr>
          <w:divsChild>
            <w:div w:id="1038973042">
              <w:marLeft w:val="0"/>
              <w:marRight w:val="0"/>
              <w:marTop w:val="0"/>
              <w:marBottom w:val="0"/>
              <w:divBdr>
                <w:top w:val="none" w:sz="0" w:space="0" w:color="auto"/>
                <w:left w:val="none" w:sz="0" w:space="0" w:color="auto"/>
                <w:bottom w:val="none" w:sz="0" w:space="0" w:color="auto"/>
                <w:right w:val="none" w:sz="0" w:space="0" w:color="auto"/>
              </w:divBdr>
              <w:divsChild>
                <w:div w:id="74211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214006">
      <w:bodyDiv w:val="1"/>
      <w:marLeft w:val="0"/>
      <w:marRight w:val="0"/>
      <w:marTop w:val="0"/>
      <w:marBottom w:val="0"/>
      <w:divBdr>
        <w:top w:val="none" w:sz="0" w:space="0" w:color="auto"/>
        <w:left w:val="none" w:sz="0" w:space="0" w:color="auto"/>
        <w:bottom w:val="none" w:sz="0" w:space="0" w:color="auto"/>
        <w:right w:val="none" w:sz="0" w:space="0" w:color="auto"/>
      </w:divBdr>
      <w:divsChild>
        <w:div w:id="18507757">
          <w:marLeft w:val="0"/>
          <w:marRight w:val="0"/>
          <w:marTop w:val="0"/>
          <w:marBottom w:val="0"/>
          <w:divBdr>
            <w:top w:val="none" w:sz="0" w:space="0" w:color="auto"/>
            <w:left w:val="none" w:sz="0" w:space="0" w:color="auto"/>
            <w:bottom w:val="none" w:sz="0" w:space="0" w:color="auto"/>
            <w:right w:val="none" w:sz="0" w:space="0" w:color="auto"/>
          </w:divBdr>
          <w:divsChild>
            <w:div w:id="325593928">
              <w:marLeft w:val="0"/>
              <w:marRight w:val="0"/>
              <w:marTop w:val="0"/>
              <w:marBottom w:val="0"/>
              <w:divBdr>
                <w:top w:val="none" w:sz="0" w:space="0" w:color="auto"/>
                <w:left w:val="none" w:sz="0" w:space="0" w:color="auto"/>
                <w:bottom w:val="none" w:sz="0" w:space="0" w:color="auto"/>
                <w:right w:val="none" w:sz="0" w:space="0" w:color="auto"/>
              </w:divBdr>
              <w:divsChild>
                <w:div w:id="59409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595548">
      <w:bodyDiv w:val="1"/>
      <w:marLeft w:val="0"/>
      <w:marRight w:val="0"/>
      <w:marTop w:val="0"/>
      <w:marBottom w:val="0"/>
      <w:divBdr>
        <w:top w:val="none" w:sz="0" w:space="0" w:color="auto"/>
        <w:left w:val="none" w:sz="0" w:space="0" w:color="auto"/>
        <w:bottom w:val="none" w:sz="0" w:space="0" w:color="auto"/>
        <w:right w:val="none" w:sz="0" w:space="0" w:color="auto"/>
      </w:divBdr>
    </w:div>
    <w:div w:id="307561650">
      <w:bodyDiv w:val="1"/>
      <w:marLeft w:val="0"/>
      <w:marRight w:val="0"/>
      <w:marTop w:val="0"/>
      <w:marBottom w:val="0"/>
      <w:divBdr>
        <w:top w:val="none" w:sz="0" w:space="0" w:color="auto"/>
        <w:left w:val="none" w:sz="0" w:space="0" w:color="auto"/>
        <w:bottom w:val="none" w:sz="0" w:space="0" w:color="auto"/>
        <w:right w:val="none" w:sz="0" w:space="0" w:color="auto"/>
      </w:divBdr>
      <w:divsChild>
        <w:div w:id="1823890362">
          <w:marLeft w:val="0"/>
          <w:marRight w:val="0"/>
          <w:marTop w:val="0"/>
          <w:marBottom w:val="0"/>
          <w:divBdr>
            <w:top w:val="none" w:sz="0" w:space="0" w:color="auto"/>
            <w:left w:val="none" w:sz="0" w:space="0" w:color="auto"/>
            <w:bottom w:val="none" w:sz="0" w:space="0" w:color="auto"/>
            <w:right w:val="none" w:sz="0" w:space="0" w:color="auto"/>
          </w:divBdr>
          <w:divsChild>
            <w:div w:id="582759951">
              <w:marLeft w:val="0"/>
              <w:marRight w:val="0"/>
              <w:marTop w:val="0"/>
              <w:marBottom w:val="0"/>
              <w:divBdr>
                <w:top w:val="none" w:sz="0" w:space="0" w:color="auto"/>
                <w:left w:val="none" w:sz="0" w:space="0" w:color="auto"/>
                <w:bottom w:val="none" w:sz="0" w:space="0" w:color="auto"/>
                <w:right w:val="none" w:sz="0" w:space="0" w:color="auto"/>
              </w:divBdr>
              <w:divsChild>
                <w:div w:id="152941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463602">
      <w:bodyDiv w:val="1"/>
      <w:marLeft w:val="0"/>
      <w:marRight w:val="0"/>
      <w:marTop w:val="0"/>
      <w:marBottom w:val="0"/>
      <w:divBdr>
        <w:top w:val="none" w:sz="0" w:space="0" w:color="auto"/>
        <w:left w:val="none" w:sz="0" w:space="0" w:color="auto"/>
        <w:bottom w:val="none" w:sz="0" w:space="0" w:color="auto"/>
        <w:right w:val="none" w:sz="0" w:space="0" w:color="auto"/>
      </w:divBdr>
      <w:divsChild>
        <w:div w:id="1526598437">
          <w:marLeft w:val="0"/>
          <w:marRight w:val="0"/>
          <w:marTop w:val="0"/>
          <w:marBottom w:val="0"/>
          <w:divBdr>
            <w:top w:val="none" w:sz="0" w:space="0" w:color="auto"/>
            <w:left w:val="none" w:sz="0" w:space="0" w:color="auto"/>
            <w:bottom w:val="none" w:sz="0" w:space="0" w:color="auto"/>
            <w:right w:val="none" w:sz="0" w:space="0" w:color="auto"/>
          </w:divBdr>
          <w:divsChild>
            <w:div w:id="1211695547">
              <w:marLeft w:val="0"/>
              <w:marRight w:val="0"/>
              <w:marTop w:val="0"/>
              <w:marBottom w:val="0"/>
              <w:divBdr>
                <w:top w:val="none" w:sz="0" w:space="0" w:color="auto"/>
                <w:left w:val="none" w:sz="0" w:space="0" w:color="auto"/>
                <w:bottom w:val="none" w:sz="0" w:space="0" w:color="auto"/>
                <w:right w:val="none" w:sz="0" w:space="0" w:color="auto"/>
              </w:divBdr>
              <w:divsChild>
                <w:div w:id="531770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771263">
      <w:bodyDiv w:val="1"/>
      <w:marLeft w:val="0"/>
      <w:marRight w:val="0"/>
      <w:marTop w:val="0"/>
      <w:marBottom w:val="0"/>
      <w:divBdr>
        <w:top w:val="none" w:sz="0" w:space="0" w:color="auto"/>
        <w:left w:val="none" w:sz="0" w:space="0" w:color="auto"/>
        <w:bottom w:val="none" w:sz="0" w:space="0" w:color="auto"/>
        <w:right w:val="none" w:sz="0" w:space="0" w:color="auto"/>
      </w:divBdr>
    </w:div>
    <w:div w:id="351610685">
      <w:bodyDiv w:val="1"/>
      <w:marLeft w:val="0"/>
      <w:marRight w:val="0"/>
      <w:marTop w:val="0"/>
      <w:marBottom w:val="0"/>
      <w:divBdr>
        <w:top w:val="none" w:sz="0" w:space="0" w:color="auto"/>
        <w:left w:val="none" w:sz="0" w:space="0" w:color="auto"/>
        <w:bottom w:val="none" w:sz="0" w:space="0" w:color="auto"/>
        <w:right w:val="none" w:sz="0" w:space="0" w:color="auto"/>
      </w:divBdr>
      <w:divsChild>
        <w:div w:id="1906526684">
          <w:marLeft w:val="0"/>
          <w:marRight w:val="0"/>
          <w:marTop w:val="0"/>
          <w:marBottom w:val="0"/>
          <w:divBdr>
            <w:top w:val="none" w:sz="0" w:space="0" w:color="auto"/>
            <w:left w:val="none" w:sz="0" w:space="0" w:color="auto"/>
            <w:bottom w:val="none" w:sz="0" w:space="0" w:color="auto"/>
            <w:right w:val="none" w:sz="0" w:space="0" w:color="auto"/>
          </w:divBdr>
          <w:divsChild>
            <w:div w:id="463544101">
              <w:marLeft w:val="0"/>
              <w:marRight w:val="0"/>
              <w:marTop w:val="0"/>
              <w:marBottom w:val="0"/>
              <w:divBdr>
                <w:top w:val="none" w:sz="0" w:space="0" w:color="auto"/>
                <w:left w:val="none" w:sz="0" w:space="0" w:color="auto"/>
                <w:bottom w:val="none" w:sz="0" w:space="0" w:color="auto"/>
                <w:right w:val="none" w:sz="0" w:space="0" w:color="auto"/>
              </w:divBdr>
              <w:divsChild>
                <w:div w:id="141774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127154">
      <w:bodyDiv w:val="1"/>
      <w:marLeft w:val="0"/>
      <w:marRight w:val="0"/>
      <w:marTop w:val="0"/>
      <w:marBottom w:val="0"/>
      <w:divBdr>
        <w:top w:val="none" w:sz="0" w:space="0" w:color="auto"/>
        <w:left w:val="none" w:sz="0" w:space="0" w:color="auto"/>
        <w:bottom w:val="none" w:sz="0" w:space="0" w:color="auto"/>
        <w:right w:val="none" w:sz="0" w:space="0" w:color="auto"/>
      </w:divBdr>
      <w:divsChild>
        <w:div w:id="1477725479">
          <w:marLeft w:val="547"/>
          <w:marRight w:val="0"/>
          <w:marTop w:val="86"/>
          <w:marBottom w:val="0"/>
          <w:divBdr>
            <w:top w:val="none" w:sz="0" w:space="0" w:color="auto"/>
            <w:left w:val="none" w:sz="0" w:space="0" w:color="auto"/>
            <w:bottom w:val="none" w:sz="0" w:space="0" w:color="auto"/>
            <w:right w:val="none" w:sz="0" w:space="0" w:color="auto"/>
          </w:divBdr>
        </w:div>
        <w:div w:id="586770291">
          <w:marLeft w:val="547"/>
          <w:marRight w:val="0"/>
          <w:marTop w:val="86"/>
          <w:marBottom w:val="0"/>
          <w:divBdr>
            <w:top w:val="none" w:sz="0" w:space="0" w:color="auto"/>
            <w:left w:val="none" w:sz="0" w:space="0" w:color="auto"/>
            <w:bottom w:val="none" w:sz="0" w:space="0" w:color="auto"/>
            <w:right w:val="none" w:sz="0" w:space="0" w:color="auto"/>
          </w:divBdr>
        </w:div>
        <w:div w:id="1584147276">
          <w:marLeft w:val="547"/>
          <w:marRight w:val="0"/>
          <w:marTop w:val="86"/>
          <w:marBottom w:val="0"/>
          <w:divBdr>
            <w:top w:val="none" w:sz="0" w:space="0" w:color="auto"/>
            <w:left w:val="none" w:sz="0" w:space="0" w:color="auto"/>
            <w:bottom w:val="none" w:sz="0" w:space="0" w:color="auto"/>
            <w:right w:val="none" w:sz="0" w:space="0" w:color="auto"/>
          </w:divBdr>
        </w:div>
      </w:divsChild>
    </w:div>
    <w:div w:id="380709843">
      <w:bodyDiv w:val="1"/>
      <w:marLeft w:val="0"/>
      <w:marRight w:val="0"/>
      <w:marTop w:val="0"/>
      <w:marBottom w:val="0"/>
      <w:divBdr>
        <w:top w:val="none" w:sz="0" w:space="0" w:color="auto"/>
        <w:left w:val="none" w:sz="0" w:space="0" w:color="auto"/>
        <w:bottom w:val="none" w:sz="0" w:space="0" w:color="auto"/>
        <w:right w:val="none" w:sz="0" w:space="0" w:color="auto"/>
      </w:divBdr>
    </w:div>
    <w:div w:id="412513754">
      <w:bodyDiv w:val="1"/>
      <w:marLeft w:val="0"/>
      <w:marRight w:val="0"/>
      <w:marTop w:val="0"/>
      <w:marBottom w:val="0"/>
      <w:divBdr>
        <w:top w:val="none" w:sz="0" w:space="0" w:color="auto"/>
        <w:left w:val="none" w:sz="0" w:space="0" w:color="auto"/>
        <w:bottom w:val="none" w:sz="0" w:space="0" w:color="auto"/>
        <w:right w:val="none" w:sz="0" w:space="0" w:color="auto"/>
      </w:divBdr>
    </w:div>
    <w:div w:id="428236151">
      <w:bodyDiv w:val="1"/>
      <w:marLeft w:val="0"/>
      <w:marRight w:val="0"/>
      <w:marTop w:val="0"/>
      <w:marBottom w:val="0"/>
      <w:divBdr>
        <w:top w:val="none" w:sz="0" w:space="0" w:color="auto"/>
        <w:left w:val="none" w:sz="0" w:space="0" w:color="auto"/>
        <w:bottom w:val="none" w:sz="0" w:space="0" w:color="auto"/>
        <w:right w:val="none" w:sz="0" w:space="0" w:color="auto"/>
      </w:divBdr>
      <w:divsChild>
        <w:div w:id="2019044716">
          <w:marLeft w:val="0"/>
          <w:marRight w:val="0"/>
          <w:marTop w:val="0"/>
          <w:marBottom w:val="0"/>
          <w:divBdr>
            <w:top w:val="none" w:sz="0" w:space="0" w:color="auto"/>
            <w:left w:val="none" w:sz="0" w:space="0" w:color="auto"/>
            <w:bottom w:val="none" w:sz="0" w:space="0" w:color="auto"/>
            <w:right w:val="none" w:sz="0" w:space="0" w:color="auto"/>
          </w:divBdr>
          <w:divsChild>
            <w:div w:id="2044747048">
              <w:marLeft w:val="0"/>
              <w:marRight w:val="0"/>
              <w:marTop w:val="0"/>
              <w:marBottom w:val="0"/>
              <w:divBdr>
                <w:top w:val="none" w:sz="0" w:space="0" w:color="auto"/>
                <w:left w:val="none" w:sz="0" w:space="0" w:color="auto"/>
                <w:bottom w:val="none" w:sz="0" w:space="0" w:color="auto"/>
                <w:right w:val="none" w:sz="0" w:space="0" w:color="auto"/>
              </w:divBdr>
              <w:divsChild>
                <w:div w:id="88749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094074">
      <w:bodyDiv w:val="1"/>
      <w:marLeft w:val="0"/>
      <w:marRight w:val="0"/>
      <w:marTop w:val="0"/>
      <w:marBottom w:val="0"/>
      <w:divBdr>
        <w:top w:val="none" w:sz="0" w:space="0" w:color="auto"/>
        <w:left w:val="none" w:sz="0" w:space="0" w:color="auto"/>
        <w:bottom w:val="none" w:sz="0" w:space="0" w:color="auto"/>
        <w:right w:val="none" w:sz="0" w:space="0" w:color="auto"/>
      </w:divBdr>
      <w:divsChild>
        <w:div w:id="163591179">
          <w:marLeft w:val="0"/>
          <w:marRight w:val="0"/>
          <w:marTop w:val="0"/>
          <w:marBottom w:val="0"/>
          <w:divBdr>
            <w:top w:val="none" w:sz="0" w:space="0" w:color="auto"/>
            <w:left w:val="none" w:sz="0" w:space="0" w:color="auto"/>
            <w:bottom w:val="none" w:sz="0" w:space="0" w:color="auto"/>
            <w:right w:val="none" w:sz="0" w:space="0" w:color="auto"/>
          </w:divBdr>
          <w:divsChild>
            <w:div w:id="372391757">
              <w:marLeft w:val="0"/>
              <w:marRight w:val="0"/>
              <w:marTop w:val="0"/>
              <w:marBottom w:val="0"/>
              <w:divBdr>
                <w:top w:val="none" w:sz="0" w:space="0" w:color="auto"/>
                <w:left w:val="none" w:sz="0" w:space="0" w:color="auto"/>
                <w:bottom w:val="none" w:sz="0" w:space="0" w:color="auto"/>
                <w:right w:val="none" w:sz="0" w:space="0" w:color="auto"/>
              </w:divBdr>
              <w:divsChild>
                <w:div w:id="160552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613297">
          <w:marLeft w:val="0"/>
          <w:marRight w:val="0"/>
          <w:marTop w:val="0"/>
          <w:marBottom w:val="0"/>
          <w:divBdr>
            <w:top w:val="none" w:sz="0" w:space="0" w:color="auto"/>
            <w:left w:val="none" w:sz="0" w:space="0" w:color="auto"/>
            <w:bottom w:val="none" w:sz="0" w:space="0" w:color="auto"/>
            <w:right w:val="none" w:sz="0" w:space="0" w:color="auto"/>
          </w:divBdr>
          <w:divsChild>
            <w:div w:id="1890990362">
              <w:marLeft w:val="0"/>
              <w:marRight w:val="0"/>
              <w:marTop w:val="0"/>
              <w:marBottom w:val="0"/>
              <w:divBdr>
                <w:top w:val="none" w:sz="0" w:space="0" w:color="auto"/>
                <w:left w:val="none" w:sz="0" w:space="0" w:color="auto"/>
                <w:bottom w:val="none" w:sz="0" w:space="0" w:color="auto"/>
                <w:right w:val="none" w:sz="0" w:space="0" w:color="auto"/>
              </w:divBdr>
              <w:divsChild>
                <w:div w:id="1423526159">
                  <w:marLeft w:val="0"/>
                  <w:marRight w:val="0"/>
                  <w:marTop w:val="0"/>
                  <w:marBottom w:val="0"/>
                  <w:divBdr>
                    <w:top w:val="none" w:sz="0" w:space="0" w:color="auto"/>
                    <w:left w:val="none" w:sz="0" w:space="0" w:color="auto"/>
                    <w:bottom w:val="none" w:sz="0" w:space="0" w:color="auto"/>
                    <w:right w:val="none" w:sz="0" w:space="0" w:color="auto"/>
                  </w:divBdr>
                </w:div>
              </w:divsChild>
            </w:div>
            <w:div w:id="1992127717">
              <w:marLeft w:val="0"/>
              <w:marRight w:val="0"/>
              <w:marTop w:val="0"/>
              <w:marBottom w:val="0"/>
              <w:divBdr>
                <w:top w:val="none" w:sz="0" w:space="0" w:color="auto"/>
                <w:left w:val="none" w:sz="0" w:space="0" w:color="auto"/>
                <w:bottom w:val="none" w:sz="0" w:space="0" w:color="auto"/>
                <w:right w:val="none" w:sz="0" w:space="0" w:color="auto"/>
              </w:divBdr>
              <w:divsChild>
                <w:div w:id="102998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133918">
      <w:bodyDiv w:val="1"/>
      <w:marLeft w:val="0"/>
      <w:marRight w:val="0"/>
      <w:marTop w:val="0"/>
      <w:marBottom w:val="0"/>
      <w:divBdr>
        <w:top w:val="none" w:sz="0" w:space="0" w:color="auto"/>
        <w:left w:val="none" w:sz="0" w:space="0" w:color="auto"/>
        <w:bottom w:val="none" w:sz="0" w:space="0" w:color="auto"/>
        <w:right w:val="none" w:sz="0" w:space="0" w:color="auto"/>
      </w:divBdr>
      <w:divsChild>
        <w:div w:id="377358551">
          <w:marLeft w:val="0"/>
          <w:marRight w:val="0"/>
          <w:marTop w:val="0"/>
          <w:marBottom w:val="0"/>
          <w:divBdr>
            <w:top w:val="none" w:sz="0" w:space="0" w:color="auto"/>
            <w:left w:val="none" w:sz="0" w:space="0" w:color="auto"/>
            <w:bottom w:val="none" w:sz="0" w:space="0" w:color="auto"/>
            <w:right w:val="none" w:sz="0" w:space="0" w:color="auto"/>
          </w:divBdr>
          <w:divsChild>
            <w:div w:id="774902674">
              <w:marLeft w:val="0"/>
              <w:marRight w:val="0"/>
              <w:marTop w:val="0"/>
              <w:marBottom w:val="0"/>
              <w:divBdr>
                <w:top w:val="none" w:sz="0" w:space="0" w:color="auto"/>
                <w:left w:val="none" w:sz="0" w:space="0" w:color="auto"/>
                <w:bottom w:val="none" w:sz="0" w:space="0" w:color="auto"/>
                <w:right w:val="none" w:sz="0" w:space="0" w:color="auto"/>
              </w:divBdr>
              <w:divsChild>
                <w:div w:id="483355360">
                  <w:marLeft w:val="0"/>
                  <w:marRight w:val="0"/>
                  <w:marTop w:val="0"/>
                  <w:marBottom w:val="0"/>
                  <w:divBdr>
                    <w:top w:val="none" w:sz="0" w:space="0" w:color="auto"/>
                    <w:left w:val="none" w:sz="0" w:space="0" w:color="auto"/>
                    <w:bottom w:val="none" w:sz="0" w:space="0" w:color="auto"/>
                    <w:right w:val="none" w:sz="0" w:space="0" w:color="auto"/>
                  </w:divBdr>
                </w:div>
              </w:divsChild>
            </w:div>
            <w:div w:id="227114199">
              <w:marLeft w:val="0"/>
              <w:marRight w:val="0"/>
              <w:marTop w:val="0"/>
              <w:marBottom w:val="0"/>
              <w:divBdr>
                <w:top w:val="none" w:sz="0" w:space="0" w:color="auto"/>
                <w:left w:val="none" w:sz="0" w:space="0" w:color="auto"/>
                <w:bottom w:val="none" w:sz="0" w:space="0" w:color="auto"/>
                <w:right w:val="none" w:sz="0" w:space="0" w:color="auto"/>
              </w:divBdr>
              <w:divsChild>
                <w:div w:id="1585412799">
                  <w:marLeft w:val="0"/>
                  <w:marRight w:val="0"/>
                  <w:marTop w:val="0"/>
                  <w:marBottom w:val="0"/>
                  <w:divBdr>
                    <w:top w:val="none" w:sz="0" w:space="0" w:color="auto"/>
                    <w:left w:val="none" w:sz="0" w:space="0" w:color="auto"/>
                    <w:bottom w:val="none" w:sz="0" w:space="0" w:color="auto"/>
                    <w:right w:val="none" w:sz="0" w:space="0" w:color="auto"/>
                  </w:divBdr>
                </w:div>
              </w:divsChild>
            </w:div>
            <w:div w:id="847716866">
              <w:marLeft w:val="0"/>
              <w:marRight w:val="0"/>
              <w:marTop w:val="0"/>
              <w:marBottom w:val="0"/>
              <w:divBdr>
                <w:top w:val="none" w:sz="0" w:space="0" w:color="auto"/>
                <w:left w:val="none" w:sz="0" w:space="0" w:color="auto"/>
                <w:bottom w:val="none" w:sz="0" w:space="0" w:color="auto"/>
                <w:right w:val="none" w:sz="0" w:space="0" w:color="auto"/>
              </w:divBdr>
              <w:divsChild>
                <w:div w:id="2077891320">
                  <w:marLeft w:val="0"/>
                  <w:marRight w:val="0"/>
                  <w:marTop w:val="0"/>
                  <w:marBottom w:val="0"/>
                  <w:divBdr>
                    <w:top w:val="none" w:sz="0" w:space="0" w:color="auto"/>
                    <w:left w:val="none" w:sz="0" w:space="0" w:color="auto"/>
                    <w:bottom w:val="none" w:sz="0" w:space="0" w:color="auto"/>
                    <w:right w:val="none" w:sz="0" w:space="0" w:color="auto"/>
                  </w:divBdr>
                </w:div>
              </w:divsChild>
            </w:div>
            <w:div w:id="1680885257">
              <w:marLeft w:val="0"/>
              <w:marRight w:val="0"/>
              <w:marTop w:val="0"/>
              <w:marBottom w:val="0"/>
              <w:divBdr>
                <w:top w:val="none" w:sz="0" w:space="0" w:color="auto"/>
                <w:left w:val="none" w:sz="0" w:space="0" w:color="auto"/>
                <w:bottom w:val="none" w:sz="0" w:space="0" w:color="auto"/>
                <w:right w:val="none" w:sz="0" w:space="0" w:color="auto"/>
              </w:divBdr>
              <w:divsChild>
                <w:div w:id="919143383">
                  <w:marLeft w:val="0"/>
                  <w:marRight w:val="0"/>
                  <w:marTop w:val="0"/>
                  <w:marBottom w:val="0"/>
                  <w:divBdr>
                    <w:top w:val="none" w:sz="0" w:space="0" w:color="auto"/>
                    <w:left w:val="none" w:sz="0" w:space="0" w:color="auto"/>
                    <w:bottom w:val="none" w:sz="0" w:space="0" w:color="auto"/>
                    <w:right w:val="none" w:sz="0" w:space="0" w:color="auto"/>
                  </w:divBdr>
                </w:div>
              </w:divsChild>
            </w:div>
            <w:div w:id="1566260192">
              <w:marLeft w:val="0"/>
              <w:marRight w:val="0"/>
              <w:marTop w:val="0"/>
              <w:marBottom w:val="0"/>
              <w:divBdr>
                <w:top w:val="none" w:sz="0" w:space="0" w:color="auto"/>
                <w:left w:val="none" w:sz="0" w:space="0" w:color="auto"/>
                <w:bottom w:val="none" w:sz="0" w:space="0" w:color="auto"/>
                <w:right w:val="none" w:sz="0" w:space="0" w:color="auto"/>
              </w:divBdr>
              <w:divsChild>
                <w:div w:id="1806777287">
                  <w:marLeft w:val="0"/>
                  <w:marRight w:val="0"/>
                  <w:marTop w:val="0"/>
                  <w:marBottom w:val="0"/>
                  <w:divBdr>
                    <w:top w:val="none" w:sz="0" w:space="0" w:color="auto"/>
                    <w:left w:val="none" w:sz="0" w:space="0" w:color="auto"/>
                    <w:bottom w:val="none" w:sz="0" w:space="0" w:color="auto"/>
                    <w:right w:val="none" w:sz="0" w:space="0" w:color="auto"/>
                  </w:divBdr>
                </w:div>
              </w:divsChild>
            </w:div>
            <w:div w:id="498421485">
              <w:marLeft w:val="0"/>
              <w:marRight w:val="0"/>
              <w:marTop w:val="0"/>
              <w:marBottom w:val="0"/>
              <w:divBdr>
                <w:top w:val="none" w:sz="0" w:space="0" w:color="auto"/>
                <w:left w:val="none" w:sz="0" w:space="0" w:color="auto"/>
                <w:bottom w:val="none" w:sz="0" w:space="0" w:color="auto"/>
                <w:right w:val="none" w:sz="0" w:space="0" w:color="auto"/>
              </w:divBdr>
              <w:divsChild>
                <w:div w:id="271013481">
                  <w:marLeft w:val="0"/>
                  <w:marRight w:val="0"/>
                  <w:marTop w:val="0"/>
                  <w:marBottom w:val="0"/>
                  <w:divBdr>
                    <w:top w:val="none" w:sz="0" w:space="0" w:color="auto"/>
                    <w:left w:val="none" w:sz="0" w:space="0" w:color="auto"/>
                    <w:bottom w:val="none" w:sz="0" w:space="0" w:color="auto"/>
                    <w:right w:val="none" w:sz="0" w:space="0" w:color="auto"/>
                  </w:divBdr>
                </w:div>
              </w:divsChild>
            </w:div>
            <w:div w:id="1099058074">
              <w:marLeft w:val="0"/>
              <w:marRight w:val="0"/>
              <w:marTop w:val="0"/>
              <w:marBottom w:val="0"/>
              <w:divBdr>
                <w:top w:val="none" w:sz="0" w:space="0" w:color="auto"/>
                <w:left w:val="none" w:sz="0" w:space="0" w:color="auto"/>
                <w:bottom w:val="none" w:sz="0" w:space="0" w:color="auto"/>
                <w:right w:val="none" w:sz="0" w:space="0" w:color="auto"/>
              </w:divBdr>
              <w:divsChild>
                <w:div w:id="2073960262">
                  <w:marLeft w:val="0"/>
                  <w:marRight w:val="0"/>
                  <w:marTop w:val="0"/>
                  <w:marBottom w:val="0"/>
                  <w:divBdr>
                    <w:top w:val="none" w:sz="0" w:space="0" w:color="auto"/>
                    <w:left w:val="none" w:sz="0" w:space="0" w:color="auto"/>
                    <w:bottom w:val="none" w:sz="0" w:space="0" w:color="auto"/>
                    <w:right w:val="none" w:sz="0" w:space="0" w:color="auto"/>
                  </w:divBdr>
                </w:div>
              </w:divsChild>
            </w:div>
            <w:div w:id="953287427">
              <w:marLeft w:val="0"/>
              <w:marRight w:val="0"/>
              <w:marTop w:val="0"/>
              <w:marBottom w:val="0"/>
              <w:divBdr>
                <w:top w:val="none" w:sz="0" w:space="0" w:color="auto"/>
                <w:left w:val="none" w:sz="0" w:space="0" w:color="auto"/>
                <w:bottom w:val="none" w:sz="0" w:space="0" w:color="auto"/>
                <w:right w:val="none" w:sz="0" w:space="0" w:color="auto"/>
              </w:divBdr>
              <w:divsChild>
                <w:div w:id="194919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490202">
      <w:bodyDiv w:val="1"/>
      <w:marLeft w:val="0"/>
      <w:marRight w:val="0"/>
      <w:marTop w:val="0"/>
      <w:marBottom w:val="0"/>
      <w:divBdr>
        <w:top w:val="none" w:sz="0" w:space="0" w:color="auto"/>
        <w:left w:val="none" w:sz="0" w:space="0" w:color="auto"/>
        <w:bottom w:val="none" w:sz="0" w:space="0" w:color="auto"/>
        <w:right w:val="none" w:sz="0" w:space="0" w:color="auto"/>
      </w:divBdr>
    </w:div>
    <w:div w:id="501824426">
      <w:bodyDiv w:val="1"/>
      <w:marLeft w:val="0"/>
      <w:marRight w:val="0"/>
      <w:marTop w:val="0"/>
      <w:marBottom w:val="0"/>
      <w:divBdr>
        <w:top w:val="none" w:sz="0" w:space="0" w:color="auto"/>
        <w:left w:val="none" w:sz="0" w:space="0" w:color="auto"/>
        <w:bottom w:val="none" w:sz="0" w:space="0" w:color="auto"/>
        <w:right w:val="none" w:sz="0" w:space="0" w:color="auto"/>
      </w:divBdr>
      <w:divsChild>
        <w:div w:id="255869073">
          <w:marLeft w:val="0"/>
          <w:marRight w:val="0"/>
          <w:marTop w:val="0"/>
          <w:marBottom w:val="0"/>
          <w:divBdr>
            <w:top w:val="none" w:sz="0" w:space="0" w:color="auto"/>
            <w:left w:val="none" w:sz="0" w:space="0" w:color="auto"/>
            <w:bottom w:val="none" w:sz="0" w:space="0" w:color="auto"/>
            <w:right w:val="none" w:sz="0" w:space="0" w:color="auto"/>
          </w:divBdr>
          <w:divsChild>
            <w:div w:id="138233704">
              <w:marLeft w:val="0"/>
              <w:marRight w:val="0"/>
              <w:marTop w:val="0"/>
              <w:marBottom w:val="0"/>
              <w:divBdr>
                <w:top w:val="none" w:sz="0" w:space="0" w:color="auto"/>
                <w:left w:val="none" w:sz="0" w:space="0" w:color="auto"/>
                <w:bottom w:val="none" w:sz="0" w:space="0" w:color="auto"/>
                <w:right w:val="none" w:sz="0" w:space="0" w:color="auto"/>
              </w:divBdr>
              <w:divsChild>
                <w:div w:id="1798065561">
                  <w:marLeft w:val="0"/>
                  <w:marRight w:val="0"/>
                  <w:marTop w:val="0"/>
                  <w:marBottom w:val="0"/>
                  <w:divBdr>
                    <w:top w:val="none" w:sz="0" w:space="0" w:color="auto"/>
                    <w:left w:val="none" w:sz="0" w:space="0" w:color="auto"/>
                    <w:bottom w:val="none" w:sz="0" w:space="0" w:color="auto"/>
                    <w:right w:val="none" w:sz="0" w:space="0" w:color="auto"/>
                  </w:divBdr>
                  <w:divsChild>
                    <w:div w:id="1365600392">
                      <w:marLeft w:val="0"/>
                      <w:marRight w:val="0"/>
                      <w:marTop w:val="0"/>
                      <w:marBottom w:val="0"/>
                      <w:divBdr>
                        <w:top w:val="none" w:sz="0" w:space="0" w:color="auto"/>
                        <w:left w:val="none" w:sz="0" w:space="0" w:color="auto"/>
                        <w:bottom w:val="none" w:sz="0" w:space="0" w:color="auto"/>
                        <w:right w:val="none" w:sz="0" w:space="0" w:color="auto"/>
                      </w:divBdr>
                    </w:div>
                    <w:div w:id="1498569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471749">
      <w:bodyDiv w:val="1"/>
      <w:marLeft w:val="0"/>
      <w:marRight w:val="0"/>
      <w:marTop w:val="0"/>
      <w:marBottom w:val="0"/>
      <w:divBdr>
        <w:top w:val="none" w:sz="0" w:space="0" w:color="auto"/>
        <w:left w:val="none" w:sz="0" w:space="0" w:color="auto"/>
        <w:bottom w:val="none" w:sz="0" w:space="0" w:color="auto"/>
        <w:right w:val="none" w:sz="0" w:space="0" w:color="auto"/>
      </w:divBdr>
    </w:div>
    <w:div w:id="556553079">
      <w:bodyDiv w:val="1"/>
      <w:marLeft w:val="0"/>
      <w:marRight w:val="0"/>
      <w:marTop w:val="0"/>
      <w:marBottom w:val="0"/>
      <w:divBdr>
        <w:top w:val="none" w:sz="0" w:space="0" w:color="auto"/>
        <w:left w:val="none" w:sz="0" w:space="0" w:color="auto"/>
        <w:bottom w:val="none" w:sz="0" w:space="0" w:color="auto"/>
        <w:right w:val="none" w:sz="0" w:space="0" w:color="auto"/>
      </w:divBdr>
    </w:div>
    <w:div w:id="560404046">
      <w:bodyDiv w:val="1"/>
      <w:marLeft w:val="0"/>
      <w:marRight w:val="0"/>
      <w:marTop w:val="0"/>
      <w:marBottom w:val="0"/>
      <w:divBdr>
        <w:top w:val="none" w:sz="0" w:space="0" w:color="auto"/>
        <w:left w:val="none" w:sz="0" w:space="0" w:color="auto"/>
        <w:bottom w:val="none" w:sz="0" w:space="0" w:color="auto"/>
        <w:right w:val="none" w:sz="0" w:space="0" w:color="auto"/>
      </w:divBdr>
      <w:divsChild>
        <w:div w:id="191694379">
          <w:marLeft w:val="0"/>
          <w:marRight w:val="0"/>
          <w:marTop w:val="0"/>
          <w:marBottom w:val="0"/>
          <w:divBdr>
            <w:top w:val="none" w:sz="0" w:space="0" w:color="auto"/>
            <w:left w:val="none" w:sz="0" w:space="0" w:color="auto"/>
            <w:bottom w:val="none" w:sz="0" w:space="0" w:color="auto"/>
            <w:right w:val="none" w:sz="0" w:space="0" w:color="auto"/>
          </w:divBdr>
          <w:divsChild>
            <w:div w:id="1599168365">
              <w:marLeft w:val="0"/>
              <w:marRight w:val="0"/>
              <w:marTop w:val="0"/>
              <w:marBottom w:val="0"/>
              <w:divBdr>
                <w:top w:val="none" w:sz="0" w:space="0" w:color="auto"/>
                <w:left w:val="none" w:sz="0" w:space="0" w:color="auto"/>
                <w:bottom w:val="none" w:sz="0" w:space="0" w:color="auto"/>
                <w:right w:val="none" w:sz="0" w:space="0" w:color="auto"/>
              </w:divBdr>
              <w:divsChild>
                <w:div w:id="118694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219392">
      <w:bodyDiv w:val="1"/>
      <w:marLeft w:val="0"/>
      <w:marRight w:val="0"/>
      <w:marTop w:val="0"/>
      <w:marBottom w:val="0"/>
      <w:divBdr>
        <w:top w:val="none" w:sz="0" w:space="0" w:color="auto"/>
        <w:left w:val="none" w:sz="0" w:space="0" w:color="auto"/>
        <w:bottom w:val="none" w:sz="0" w:space="0" w:color="auto"/>
        <w:right w:val="none" w:sz="0" w:space="0" w:color="auto"/>
      </w:divBdr>
      <w:divsChild>
        <w:div w:id="1706634394">
          <w:marLeft w:val="0"/>
          <w:marRight w:val="0"/>
          <w:marTop w:val="0"/>
          <w:marBottom w:val="0"/>
          <w:divBdr>
            <w:top w:val="none" w:sz="0" w:space="0" w:color="auto"/>
            <w:left w:val="none" w:sz="0" w:space="0" w:color="auto"/>
            <w:bottom w:val="none" w:sz="0" w:space="0" w:color="auto"/>
            <w:right w:val="none" w:sz="0" w:space="0" w:color="auto"/>
          </w:divBdr>
          <w:divsChild>
            <w:div w:id="1438673340">
              <w:marLeft w:val="0"/>
              <w:marRight w:val="0"/>
              <w:marTop w:val="0"/>
              <w:marBottom w:val="0"/>
              <w:divBdr>
                <w:top w:val="none" w:sz="0" w:space="0" w:color="auto"/>
                <w:left w:val="none" w:sz="0" w:space="0" w:color="auto"/>
                <w:bottom w:val="none" w:sz="0" w:space="0" w:color="auto"/>
                <w:right w:val="none" w:sz="0" w:space="0" w:color="auto"/>
              </w:divBdr>
              <w:divsChild>
                <w:div w:id="209027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390344">
      <w:bodyDiv w:val="1"/>
      <w:marLeft w:val="0"/>
      <w:marRight w:val="0"/>
      <w:marTop w:val="0"/>
      <w:marBottom w:val="0"/>
      <w:divBdr>
        <w:top w:val="none" w:sz="0" w:space="0" w:color="auto"/>
        <w:left w:val="none" w:sz="0" w:space="0" w:color="auto"/>
        <w:bottom w:val="none" w:sz="0" w:space="0" w:color="auto"/>
        <w:right w:val="none" w:sz="0" w:space="0" w:color="auto"/>
      </w:divBdr>
    </w:div>
    <w:div w:id="586812483">
      <w:bodyDiv w:val="1"/>
      <w:marLeft w:val="0"/>
      <w:marRight w:val="0"/>
      <w:marTop w:val="0"/>
      <w:marBottom w:val="0"/>
      <w:divBdr>
        <w:top w:val="none" w:sz="0" w:space="0" w:color="auto"/>
        <w:left w:val="none" w:sz="0" w:space="0" w:color="auto"/>
        <w:bottom w:val="none" w:sz="0" w:space="0" w:color="auto"/>
        <w:right w:val="none" w:sz="0" w:space="0" w:color="auto"/>
      </w:divBdr>
    </w:div>
    <w:div w:id="596984682">
      <w:bodyDiv w:val="1"/>
      <w:marLeft w:val="0"/>
      <w:marRight w:val="0"/>
      <w:marTop w:val="0"/>
      <w:marBottom w:val="0"/>
      <w:divBdr>
        <w:top w:val="none" w:sz="0" w:space="0" w:color="auto"/>
        <w:left w:val="none" w:sz="0" w:space="0" w:color="auto"/>
        <w:bottom w:val="none" w:sz="0" w:space="0" w:color="auto"/>
        <w:right w:val="none" w:sz="0" w:space="0" w:color="auto"/>
      </w:divBdr>
      <w:divsChild>
        <w:div w:id="915625581">
          <w:marLeft w:val="0"/>
          <w:marRight w:val="0"/>
          <w:marTop w:val="0"/>
          <w:marBottom w:val="0"/>
          <w:divBdr>
            <w:top w:val="none" w:sz="0" w:space="0" w:color="auto"/>
            <w:left w:val="none" w:sz="0" w:space="0" w:color="auto"/>
            <w:bottom w:val="none" w:sz="0" w:space="0" w:color="auto"/>
            <w:right w:val="none" w:sz="0" w:space="0" w:color="auto"/>
          </w:divBdr>
          <w:divsChild>
            <w:div w:id="1589801">
              <w:marLeft w:val="0"/>
              <w:marRight w:val="0"/>
              <w:marTop w:val="0"/>
              <w:marBottom w:val="0"/>
              <w:divBdr>
                <w:top w:val="none" w:sz="0" w:space="0" w:color="auto"/>
                <w:left w:val="none" w:sz="0" w:space="0" w:color="auto"/>
                <w:bottom w:val="none" w:sz="0" w:space="0" w:color="auto"/>
                <w:right w:val="none" w:sz="0" w:space="0" w:color="auto"/>
              </w:divBdr>
              <w:divsChild>
                <w:div w:id="91154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762932">
      <w:bodyDiv w:val="1"/>
      <w:marLeft w:val="0"/>
      <w:marRight w:val="0"/>
      <w:marTop w:val="0"/>
      <w:marBottom w:val="0"/>
      <w:divBdr>
        <w:top w:val="none" w:sz="0" w:space="0" w:color="auto"/>
        <w:left w:val="none" w:sz="0" w:space="0" w:color="auto"/>
        <w:bottom w:val="none" w:sz="0" w:space="0" w:color="auto"/>
        <w:right w:val="none" w:sz="0" w:space="0" w:color="auto"/>
      </w:divBdr>
      <w:divsChild>
        <w:div w:id="557670047">
          <w:marLeft w:val="547"/>
          <w:marRight w:val="0"/>
          <w:marTop w:val="86"/>
          <w:marBottom w:val="0"/>
          <w:divBdr>
            <w:top w:val="none" w:sz="0" w:space="0" w:color="auto"/>
            <w:left w:val="none" w:sz="0" w:space="0" w:color="auto"/>
            <w:bottom w:val="none" w:sz="0" w:space="0" w:color="auto"/>
            <w:right w:val="none" w:sz="0" w:space="0" w:color="auto"/>
          </w:divBdr>
        </w:div>
      </w:divsChild>
    </w:div>
    <w:div w:id="638152668">
      <w:bodyDiv w:val="1"/>
      <w:marLeft w:val="0"/>
      <w:marRight w:val="0"/>
      <w:marTop w:val="0"/>
      <w:marBottom w:val="0"/>
      <w:divBdr>
        <w:top w:val="none" w:sz="0" w:space="0" w:color="auto"/>
        <w:left w:val="none" w:sz="0" w:space="0" w:color="auto"/>
        <w:bottom w:val="none" w:sz="0" w:space="0" w:color="auto"/>
        <w:right w:val="none" w:sz="0" w:space="0" w:color="auto"/>
      </w:divBdr>
      <w:divsChild>
        <w:div w:id="1142380134">
          <w:marLeft w:val="0"/>
          <w:marRight w:val="0"/>
          <w:marTop w:val="0"/>
          <w:marBottom w:val="0"/>
          <w:divBdr>
            <w:top w:val="none" w:sz="0" w:space="0" w:color="auto"/>
            <w:left w:val="none" w:sz="0" w:space="0" w:color="auto"/>
            <w:bottom w:val="none" w:sz="0" w:space="0" w:color="auto"/>
            <w:right w:val="none" w:sz="0" w:space="0" w:color="auto"/>
          </w:divBdr>
          <w:divsChild>
            <w:div w:id="1353603520">
              <w:marLeft w:val="0"/>
              <w:marRight w:val="0"/>
              <w:marTop w:val="0"/>
              <w:marBottom w:val="0"/>
              <w:divBdr>
                <w:top w:val="none" w:sz="0" w:space="0" w:color="auto"/>
                <w:left w:val="none" w:sz="0" w:space="0" w:color="auto"/>
                <w:bottom w:val="none" w:sz="0" w:space="0" w:color="auto"/>
                <w:right w:val="none" w:sz="0" w:space="0" w:color="auto"/>
              </w:divBdr>
              <w:divsChild>
                <w:div w:id="4437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667512">
      <w:bodyDiv w:val="1"/>
      <w:marLeft w:val="0"/>
      <w:marRight w:val="0"/>
      <w:marTop w:val="0"/>
      <w:marBottom w:val="0"/>
      <w:divBdr>
        <w:top w:val="none" w:sz="0" w:space="0" w:color="auto"/>
        <w:left w:val="none" w:sz="0" w:space="0" w:color="auto"/>
        <w:bottom w:val="none" w:sz="0" w:space="0" w:color="auto"/>
        <w:right w:val="none" w:sz="0" w:space="0" w:color="auto"/>
      </w:divBdr>
    </w:div>
    <w:div w:id="670572559">
      <w:bodyDiv w:val="1"/>
      <w:marLeft w:val="0"/>
      <w:marRight w:val="0"/>
      <w:marTop w:val="0"/>
      <w:marBottom w:val="0"/>
      <w:divBdr>
        <w:top w:val="none" w:sz="0" w:space="0" w:color="auto"/>
        <w:left w:val="none" w:sz="0" w:space="0" w:color="auto"/>
        <w:bottom w:val="none" w:sz="0" w:space="0" w:color="auto"/>
        <w:right w:val="none" w:sz="0" w:space="0" w:color="auto"/>
      </w:divBdr>
    </w:div>
    <w:div w:id="689140451">
      <w:bodyDiv w:val="1"/>
      <w:marLeft w:val="0"/>
      <w:marRight w:val="0"/>
      <w:marTop w:val="0"/>
      <w:marBottom w:val="0"/>
      <w:divBdr>
        <w:top w:val="none" w:sz="0" w:space="0" w:color="auto"/>
        <w:left w:val="none" w:sz="0" w:space="0" w:color="auto"/>
        <w:bottom w:val="none" w:sz="0" w:space="0" w:color="auto"/>
        <w:right w:val="none" w:sz="0" w:space="0" w:color="auto"/>
      </w:divBdr>
      <w:divsChild>
        <w:div w:id="1078677724">
          <w:marLeft w:val="0"/>
          <w:marRight w:val="0"/>
          <w:marTop w:val="0"/>
          <w:marBottom w:val="0"/>
          <w:divBdr>
            <w:top w:val="none" w:sz="0" w:space="0" w:color="auto"/>
            <w:left w:val="none" w:sz="0" w:space="0" w:color="auto"/>
            <w:bottom w:val="none" w:sz="0" w:space="0" w:color="auto"/>
            <w:right w:val="none" w:sz="0" w:space="0" w:color="auto"/>
          </w:divBdr>
          <w:divsChild>
            <w:div w:id="619412567">
              <w:marLeft w:val="0"/>
              <w:marRight w:val="0"/>
              <w:marTop w:val="0"/>
              <w:marBottom w:val="0"/>
              <w:divBdr>
                <w:top w:val="none" w:sz="0" w:space="0" w:color="auto"/>
                <w:left w:val="none" w:sz="0" w:space="0" w:color="auto"/>
                <w:bottom w:val="none" w:sz="0" w:space="0" w:color="auto"/>
                <w:right w:val="none" w:sz="0" w:space="0" w:color="auto"/>
              </w:divBdr>
              <w:divsChild>
                <w:div w:id="111459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433478">
      <w:bodyDiv w:val="1"/>
      <w:marLeft w:val="0"/>
      <w:marRight w:val="0"/>
      <w:marTop w:val="0"/>
      <w:marBottom w:val="0"/>
      <w:divBdr>
        <w:top w:val="none" w:sz="0" w:space="0" w:color="auto"/>
        <w:left w:val="none" w:sz="0" w:space="0" w:color="auto"/>
        <w:bottom w:val="none" w:sz="0" w:space="0" w:color="auto"/>
        <w:right w:val="none" w:sz="0" w:space="0" w:color="auto"/>
      </w:divBdr>
    </w:div>
    <w:div w:id="769660181">
      <w:bodyDiv w:val="1"/>
      <w:marLeft w:val="0"/>
      <w:marRight w:val="0"/>
      <w:marTop w:val="0"/>
      <w:marBottom w:val="0"/>
      <w:divBdr>
        <w:top w:val="none" w:sz="0" w:space="0" w:color="auto"/>
        <w:left w:val="none" w:sz="0" w:space="0" w:color="auto"/>
        <w:bottom w:val="none" w:sz="0" w:space="0" w:color="auto"/>
        <w:right w:val="none" w:sz="0" w:space="0" w:color="auto"/>
      </w:divBdr>
      <w:divsChild>
        <w:div w:id="462968692">
          <w:marLeft w:val="547"/>
          <w:marRight w:val="0"/>
          <w:marTop w:val="86"/>
          <w:marBottom w:val="0"/>
          <w:divBdr>
            <w:top w:val="none" w:sz="0" w:space="0" w:color="auto"/>
            <w:left w:val="none" w:sz="0" w:space="0" w:color="auto"/>
            <w:bottom w:val="none" w:sz="0" w:space="0" w:color="auto"/>
            <w:right w:val="none" w:sz="0" w:space="0" w:color="auto"/>
          </w:divBdr>
        </w:div>
      </w:divsChild>
    </w:div>
    <w:div w:id="772476661">
      <w:bodyDiv w:val="1"/>
      <w:marLeft w:val="0"/>
      <w:marRight w:val="0"/>
      <w:marTop w:val="0"/>
      <w:marBottom w:val="0"/>
      <w:divBdr>
        <w:top w:val="none" w:sz="0" w:space="0" w:color="auto"/>
        <w:left w:val="none" w:sz="0" w:space="0" w:color="auto"/>
        <w:bottom w:val="none" w:sz="0" w:space="0" w:color="auto"/>
        <w:right w:val="none" w:sz="0" w:space="0" w:color="auto"/>
      </w:divBdr>
    </w:div>
    <w:div w:id="785386588">
      <w:bodyDiv w:val="1"/>
      <w:marLeft w:val="0"/>
      <w:marRight w:val="0"/>
      <w:marTop w:val="0"/>
      <w:marBottom w:val="0"/>
      <w:divBdr>
        <w:top w:val="none" w:sz="0" w:space="0" w:color="auto"/>
        <w:left w:val="none" w:sz="0" w:space="0" w:color="auto"/>
        <w:bottom w:val="none" w:sz="0" w:space="0" w:color="auto"/>
        <w:right w:val="none" w:sz="0" w:space="0" w:color="auto"/>
      </w:divBdr>
    </w:div>
    <w:div w:id="824979884">
      <w:bodyDiv w:val="1"/>
      <w:marLeft w:val="0"/>
      <w:marRight w:val="0"/>
      <w:marTop w:val="0"/>
      <w:marBottom w:val="0"/>
      <w:divBdr>
        <w:top w:val="none" w:sz="0" w:space="0" w:color="auto"/>
        <w:left w:val="none" w:sz="0" w:space="0" w:color="auto"/>
        <w:bottom w:val="none" w:sz="0" w:space="0" w:color="auto"/>
        <w:right w:val="none" w:sz="0" w:space="0" w:color="auto"/>
      </w:divBdr>
      <w:divsChild>
        <w:div w:id="1691376164">
          <w:marLeft w:val="0"/>
          <w:marRight w:val="0"/>
          <w:marTop w:val="0"/>
          <w:marBottom w:val="0"/>
          <w:divBdr>
            <w:top w:val="none" w:sz="0" w:space="0" w:color="auto"/>
            <w:left w:val="none" w:sz="0" w:space="0" w:color="auto"/>
            <w:bottom w:val="none" w:sz="0" w:space="0" w:color="auto"/>
            <w:right w:val="none" w:sz="0" w:space="0" w:color="auto"/>
          </w:divBdr>
          <w:divsChild>
            <w:div w:id="1762488244">
              <w:marLeft w:val="0"/>
              <w:marRight w:val="0"/>
              <w:marTop w:val="0"/>
              <w:marBottom w:val="0"/>
              <w:divBdr>
                <w:top w:val="none" w:sz="0" w:space="0" w:color="auto"/>
                <w:left w:val="none" w:sz="0" w:space="0" w:color="auto"/>
                <w:bottom w:val="none" w:sz="0" w:space="0" w:color="auto"/>
                <w:right w:val="none" w:sz="0" w:space="0" w:color="auto"/>
              </w:divBdr>
              <w:divsChild>
                <w:div w:id="61001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843490">
      <w:bodyDiv w:val="1"/>
      <w:marLeft w:val="0"/>
      <w:marRight w:val="0"/>
      <w:marTop w:val="0"/>
      <w:marBottom w:val="0"/>
      <w:divBdr>
        <w:top w:val="none" w:sz="0" w:space="0" w:color="auto"/>
        <w:left w:val="none" w:sz="0" w:space="0" w:color="auto"/>
        <w:bottom w:val="none" w:sz="0" w:space="0" w:color="auto"/>
        <w:right w:val="none" w:sz="0" w:space="0" w:color="auto"/>
      </w:divBdr>
    </w:div>
    <w:div w:id="871263718">
      <w:bodyDiv w:val="1"/>
      <w:marLeft w:val="0"/>
      <w:marRight w:val="0"/>
      <w:marTop w:val="0"/>
      <w:marBottom w:val="0"/>
      <w:divBdr>
        <w:top w:val="none" w:sz="0" w:space="0" w:color="auto"/>
        <w:left w:val="none" w:sz="0" w:space="0" w:color="auto"/>
        <w:bottom w:val="none" w:sz="0" w:space="0" w:color="auto"/>
        <w:right w:val="none" w:sz="0" w:space="0" w:color="auto"/>
      </w:divBdr>
    </w:div>
    <w:div w:id="877547223">
      <w:bodyDiv w:val="1"/>
      <w:marLeft w:val="0"/>
      <w:marRight w:val="0"/>
      <w:marTop w:val="0"/>
      <w:marBottom w:val="0"/>
      <w:divBdr>
        <w:top w:val="none" w:sz="0" w:space="0" w:color="auto"/>
        <w:left w:val="none" w:sz="0" w:space="0" w:color="auto"/>
        <w:bottom w:val="none" w:sz="0" w:space="0" w:color="auto"/>
        <w:right w:val="none" w:sz="0" w:space="0" w:color="auto"/>
      </w:divBdr>
      <w:divsChild>
        <w:div w:id="1610163778">
          <w:marLeft w:val="0"/>
          <w:marRight w:val="0"/>
          <w:marTop w:val="0"/>
          <w:marBottom w:val="0"/>
          <w:divBdr>
            <w:top w:val="none" w:sz="0" w:space="0" w:color="auto"/>
            <w:left w:val="none" w:sz="0" w:space="0" w:color="auto"/>
            <w:bottom w:val="none" w:sz="0" w:space="0" w:color="auto"/>
            <w:right w:val="none" w:sz="0" w:space="0" w:color="auto"/>
          </w:divBdr>
          <w:divsChild>
            <w:div w:id="1581594413">
              <w:marLeft w:val="0"/>
              <w:marRight w:val="0"/>
              <w:marTop w:val="0"/>
              <w:marBottom w:val="0"/>
              <w:divBdr>
                <w:top w:val="none" w:sz="0" w:space="0" w:color="auto"/>
                <w:left w:val="none" w:sz="0" w:space="0" w:color="auto"/>
                <w:bottom w:val="none" w:sz="0" w:space="0" w:color="auto"/>
                <w:right w:val="none" w:sz="0" w:space="0" w:color="auto"/>
              </w:divBdr>
              <w:divsChild>
                <w:div w:id="651452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275983">
      <w:bodyDiv w:val="1"/>
      <w:marLeft w:val="0"/>
      <w:marRight w:val="0"/>
      <w:marTop w:val="0"/>
      <w:marBottom w:val="0"/>
      <w:divBdr>
        <w:top w:val="none" w:sz="0" w:space="0" w:color="auto"/>
        <w:left w:val="none" w:sz="0" w:space="0" w:color="auto"/>
        <w:bottom w:val="none" w:sz="0" w:space="0" w:color="auto"/>
        <w:right w:val="none" w:sz="0" w:space="0" w:color="auto"/>
      </w:divBdr>
    </w:div>
    <w:div w:id="943539706">
      <w:bodyDiv w:val="1"/>
      <w:marLeft w:val="0"/>
      <w:marRight w:val="0"/>
      <w:marTop w:val="0"/>
      <w:marBottom w:val="0"/>
      <w:divBdr>
        <w:top w:val="none" w:sz="0" w:space="0" w:color="auto"/>
        <w:left w:val="none" w:sz="0" w:space="0" w:color="auto"/>
        <w:bottom w:val="none" w:sz="0" w:space="0" w:color="auto"/>
        <w:right w:val="none" w:sz="0" w:space="0" w:color="auto"/>
      </w:divBdr>
    </w:div>
    <w:div w:id="962274405">
      <w:bodyDiv w:val="1"/>
      <w:marLeft w:val="0"/>
      <w:marRight w:val="0"/>
      <w:marTop w:val="0"/>
      <w:marBottom w:val="0"/>
      <w:divBdr>
        <w:top w:val="none" w:sz="0" w:space="0" w:color="auto"/>
        <w:left w:val="none" w:sz="0" w:space="0" w:color="auto"/>
        <w:bottom w:val="none" w:sz="0" w:space="0" w:color="auto"/>
        <w:right w:val="none" w:sz="0" w:space="0" w:color="auto"/>
      </w:divBdr>
      <w:divsChild>
        <w:div w:id="469321511">
          <w:marLeft w:val="0"/>
          <w:marRight w:val="0"/>
          <w:marTop w:val="0"/>
          <w:marBottom w:val="0"/>
          <w:divBdr>
            <w:top w:val="none" w:sz="0" w:space="0" w:color="auto"/>
            <w:left w:val="none" w:sz="0" w:space="0" w:color="auto"/>
            <w:bottom w:val="none" w:sz="0" w:space="0" w:color="auto"/>
            <w:right w:val="none" w:sz="0" w:space="0" w:color="auto"/>
          </w:divBdr>
          <w:divsChild>
            <w:div w:id="1456027102">
              <w:marLeft w:val="0"/>
              <w:marRight w:val="0"/>
              <w:marTop w:val="0"/>
              <w:marBottom w:val="0"/>
              <w:divBdr>
                <w:top w:val="none" w:sz="0" w:space="0" w:color="auto"/>
                <w:left w:val="none" w:sz="0" w:space="0" w:color="auto"/>
                <w:bottom w:val="none" w:sz="0" w:space="0" w:color="auto"/>
                <w:right w:val="none" w:sz="0" w:space="0" w:color="auto"/>
              </w:divBdr>
              <w:divsChild>
                <w:div w:id="65576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310870">
      <w:bodyDiv w:val="1"/>
      <w:marLeft w:val="0"/>
      <w:marRight w:val="0"/>
      <w:marTop w:val="0"/>
      <w:marBottom w:val="0"/>
      <w:divBdr>
        <w:top w:val="none" w:sz="0" w:space="0" w:color="auto"/>
        <w:left w:val="none" w:sz="0" w:space="0" w:color="auto"/>
        <w:bottom w:val="none" w:sz="0" w:space="0" w:color="auto"/>
        <w:right w:val="none" w:sz="0" w:space="0" w:color="auto"/>
      </w:divBdr>
    </w:div>
    <w:div w:id="992374850">
      <w:bodyDiv w:val="1"/>
      <w:marLeft w:val="0"/>
      <w:marRight w:val="0"/>
      <w:marTop w:val="0"/>
      <w:marBottom w:val="0"/>
      <w:divBdr>
        <w:top w:val="none" w:sz="0" w:space="0" w:color="auto"/>
        <w:left w:val="none" w:sz="0" w:space="0" w:color="auto"/>
        <w:bottom w:val="none" w:sz="0" w:space="0" w:color="auto"/>
        <w:right w:val="none" w:sz="0" w:space="0" w:color="auto"/>
      </w:divBdr>
      <w:divsChild>
        <w:div w:id="990251404">
          <w:marLeft w:val="432"/>
          <w:marRight w:val="0"/>
          <w:marTop w:val="120"/>
          <w:marBottom w:val="0"/>
          <w:divBdr>
            <w:top w:val="none" w:sz="0" w:space="0" w:color="auto"/>
            <w:left w:val="none" w:sz="0" w:space="0" w:color="auto"/>
            <w:bottom w:val="none" w:sz="0" w:space="0" w:color="auto"/>
            <w:right w:val="none" w:sz="0" w:space="0" w:color="auto"/>
          </w:divBdr>
        </w:div>
      </w:divsChild>
    </w:div>
    <w:div w:id="1006857638">
      <w:bodyDiv w:val="1"/>
      <w:marLeft w:val="0"/>
      <w:marRight w:val="0"/>
      <w:marTop w:val="0"/>
      <w:marBottom w:val="0"/>
      <w:divBdr>
        <w:top w:val="none" w:sz="0" w:space="0" w:color="auto"/>
        <w:left w:val="none" w:sz="0" w:space="0" w:color="auto"/>
        <w:bottom w:val="none" w:sz="0" w:space="0" w:color="auto"/>
        <w:right w:val="none" w:sz="0" w:space="0" w:color="auto"/>
      </w:divBdr>
    </w:div>
    <w:div w:id="1008022154">
      <w:bodyDiv w:val="1"/>
      <w:marLeft w:val="0"/>
      <w:marRight w:val="0"/>
      <w:marTop w:val="0"/>
      <w:marBottom w:val="0"/>
      <w:divBdr>
        <w:top w:val="none" w:sz="0" w:space="0" w:color="auto"/>
        <w:left w:val="none" w:sz="0" w:space="0" w:color="auto"/>
        <w:bottom w:val="none" w:sz="0" w:space="0" w:color="auto"/>
        <w:right w:val="none" w:sz="0" w:space="0" w:color="auto"/>
      </w:divBdr>
    </w:div>
    <w:div w:id="1009062264">
      <w:bodyDiv w:val="1"/>
      <w:marLeft w:val="0"/>
      <w:marRight w:val="0"/>
      <w:marTop w:val="0"/>
      <w:marBottom w:val="0"/>
      <w:divBdr>
        <w:top w:val="none" w:sz="0" w:space="0" w:color="auto"/>
        <w:left w:val="none" w:sz="0" w:space="0" w:color="auto"/>
        <w:bottom w:val="none" w:sz="0" w:space="0" w:color="auto"/>
        <w:right w:val="none" w:sz="0" w:space="0" w:color="auto"/>
      </w:divBdr>
    </w:div>
    <w:div w:id="1063870621">
      <w:bodyDiv w:val="1"/>
      <w:marLeft w:val="0"/>
      <w:marRight w:val="0"/>
      <w:marTop w:val="0"/>
      <w:marBottom w:val="0"/>
      <w:divBdr>
        <w:top w:val="none" w:sz="0" w:space="0" w:color="auto"/>
        <w:left w:val="none" w:sz="0" w:space="0" w:color="auto"/>
        <w:bottom w:val="none" w:sz="0" w:space="0" w:color="auto"/>
        <w:right w:val="none" w:sz="0" w:space="0" w:color="auto"/>
      </w:divBdr>
    </w:div>
    <w:div w:id="1064335289">
      <w:bodyDiv w:val="1"/>
      <w:marLeft w:val="0"/>
      <w:marRight w:val="0"/>
      <w:marTop w:val="0"/>
      <w:marBottom w:val="0"/>
      <w:divBdr>
        <w:top w:val="none" w:sz="0" w:space="0" w:color="auto"/>
        <w:left w:val="none" w:sz="0" w:space="0" w:color="auto"/>
        <w:bottom w:val="none" w:sz="0" w:space="0" w:color="auto"/>
        <w:right w:val="none" w:sz="0" w:space="0" w:color="auto"/>
      </w:divBdr>
      <w:divsChild>
        <w:div w:id="1948539768">
          <w:marLeft w:val="0"/>
          <w:marRight w:val="0"/>
          <w:marTop w:val="0"/>
          <w:marBottom w:val="0"/>
          <w:divBdr>
            <w:top w:val="none" w:sz="0" w:space="0" w:color="auto"/>
            <w:left w:val="none" w:sz="0" w:space="0" w:color="auto"/>
            <w:bottom w:val="none" w:sz="0" w:space="0" w:color="auto"/>
            <w:right w:val="none" w:sz="0" w:space="0" w:color="auto"/>
          </w:divBdr>
          <w:divsChild>
            <w:div w:id="1958903666">
              <w:marLeft w:val="0"/>
              <w:marRight w:val="0"/>
              <w:marTop w:val="0"/>
              <w:marBottom w:val="0"/>
              <w:divBdr>
                <w:top w:val="none" w:sz="0" w:space="0" w:color="auto"/>
                <w:left w:val="none" w:sz="0" w:space="0" w:color="auto"/>
                <w:bottom w:val="none" w:sz="0" w:space="0" w:color="auto"/>
                <w:right w:val="none" w:sz="0" w:space="0" w:color="auto"/>
              </w:divBdr>
              <w:divsChild>
                <w:div w:id="165603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359941">
      <w:bodyDiv w:val="1"/>
      <w:marLeft w:val="0"/>
      <w:marRight w:val="0"/>
      <w:marTop w:val="0"/>
      <w:marBottom w:val="0"/>
      <w:divBdr>
        <w:top w:val="none" w:sz="0" w:space="0" w:color="auto"/>
        <w:left w:val="none" w:sz="0" w:space="0" w:color="auto"/>
        <w:bottom w:val="none" w:sz="0" w:space="0" w:color="auto"/>
        <w:right w:val="none" w:sz="0" w:space="0" w:color="auto"/>
      </w:divBdr>
    </w:div>
    <w:div w:id="1078400838">
      <w:bodyDiv w:val="1"/>
      <w:marLeft w:val="0"/>
      <w:marRight w:val="0"/>
      <w:marTop w:val="0"/>
      <w:marBottom w:val="0"/>
      <w:divBdr>
        <w:top w:val="none" w:sz="0" w:space="0" w:color="auto"/>
        <w:left w:val="none" w:sz="0" w:space="0" w:color="auto"/>
        <w:bottom w:val="none" w:sz="0" w:space="0" w:color="auto"/>
        <w:right w:val="none" w:sz="0" w:space="0" w:color="auto"/>
      </w:divBdr>
    </w:div>
    <w:div w:id="1102529892">
      <w:bodyDiv w:val="1"/>
      <w:marLeft w:val="0"/>
      <w:marRight w:val="0"/>
      <w:marTop w:val="0"/>
      <w:marBottom w:val="0"/>
      <w:divBdr>
        <w:top w:val="none" w:sz="0" w:space="0" w:color="auto"/>
        <w:left w:val="none" w:sz="0" w:space="0" w:color="auto"/>
        <w:bottom w:val="none" w:sz="0" w:space="0" w:color="auto"/>
        <w:right w:val="none" w:sz="0" w:space="0" w:color="auto"/>
      </w:divBdr>
      <w:divsChild>
        <w:div w:id="814571218">
          <w:marLeft w:val="0"/>
          <w:marRight w:val="0"/>
          <w:marTop w:val="0"/>
          <w:marBottom w:val="0"/>
          <w:divBdr>
            <w:top w:val="none" w:sz="0" w:space="0" w:color="auto"/>
            <w:left w:val="none" w:sz="0" w:space="0" w:color="auto"/>
            <w:bottom w:val="none" w:sz="0" w:space="0" w:color="auto"/>
            <w:right w:val="none" w:sz="0" w:space="0" w:color="auto"/>
          </w:divBdr>
          <w:divsChild>
            <w:div w:id="743576585">
              <w:marLeft w:val="0"/>
              <w:marRight w:val="0"/>
              <w:marTop w:val="0"/>
              <w:marBottom w:val="0"/>
              <w:divBdr>
                <w:top w:val="none" w:sz="0" w:space="0" w:color="auto"/>
                <w:left w:val="none" w:sz="0" w:space="0" w:color="auto"/>
                <w:bottom w:val="none" w:sz="0" w:space="0" w:color="auto"/>
                <w:right w:val="none" w:sz="0" w:space="0" w:color="auto"/>
              </w:divBdr>
              <w:divsChild>
                <w:div w:id="86097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206497">
      <w:bodyDiv w:val="1"/>
      <w:marLeft w:val="0"/>
      <w:marRight w:val="0"/>
      <w:marTop w:val="0"/>
      <w:marBottom w:val="0"/>
      <w:divBdr>
        <w:top w:val="none" w:sz="0" w:space="0" w:color="auto"/>
        <w:left w:val="none" w:sz="0" w:space="0" w:color="auto"/>
        <w:bottom w:val="none" w:sz="0" w:space="0" w:color="auto"/>
        <w:right w:val="none" w:sz="0" w:space="0" w:color="auto"/>
      </w:divBdr>
    </w:div>
    <w:div w:id="1117218677">
      <w:bodyDiv w:val="1"/>
      <w:marLeft w:val="0"/>
      <w:marRight w:val="0"/>
      <w:marTop w:val="0"/>
      <w:marBottom w:val="0"/>
      <w:divBdr>
        <w:top w:val="none" w:sz="0" w:space="0" w:color="auto"/>
        <w:left w:val="none" w:sz="0" w:space="0" w:color="auto"/>
        <w:bottom w:val="none" w:sz="0" w:space="0" w:color="auto"/>
        <w:right w:val="none" w:sz="0" w:space="0" w:color="auto"/>
      </w:divBdr>
    </w:div>
    <w:div w:id="1123499135">
      <w:bodyDiv w:val="1"/>
      <w:marLeft w:val="0"/>
      <w:marRight w:val="0"/>
      <w:marTop w:val="0"/>
      <w:marBottom w:val="0"/>
      <w:divBdr>
        <w:top w:val="none" w:sz="0" w:space="0" w:color="auto"/>
        <w:left w:val="none" w:sz="0" w:space="0" w:color="auto"/>
        <w:bottom w:val="none" w:sz="0" w:space="0" w:color="auto"/>
        <w:right w:val="none" w:sz="0" w:space="0" w:color="auto"/>
      </w:divBdr>
      <w:divsChild>
        <w:div w:id="250705019">
          <w:marLeft w:val="0"/>
          <w:marRight w:val="0"/>
          <w:marTop w:val="0"/>
          <w:marBottom w:val="0"/>
          <w:divBdr>
            <w:top w:val="none" w:sz="0" w:space="0" w:color="auto"/>
            <w:left w:val="none" w:sz="0" w:space="0" w:color="auto"/>
            <w:bottom w:val="none" w:sz="0" w:space="0" w:color="auto"/>
            <w:right w:val="none" w:sz="0" w:space="0" w:color="auto"/>
          </w:divBdr>
          <w:divsChild>
            <w:div w:id="142897454">
              <w:marLeft w:val="0"/>
              <w:marRight w:val="0"/>
              <w:marTop w:val="0"/>
              <w:marBottom w:val="0"/>
              <w:divBdr>
                <w:top w:val="none" w:sz="0" w:space="0" w:color="auto"/>
                <w:left w:val="none" w:sz="0" w:space="0" w:color="auto"/>
                <w:bottom w:val="none" w:sz="0" w:space="0" w:color="auto"/>
                <w:right w:val="none" w:sz="0" w:space="0" w:color="auto"/>
              </w:divBdr>
              <w:divsChild>
                <w:div w:id="80721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714841">
      <w:bodyDiv w:val="1"/>
      <w:marLeft w:val="0"/>
      <w:marRight w:val="0"/>
      <w:marTop w:val="0"/>
      <w:marBottom w:val="0"/>
      <w:divBdr>
        <w:top w:val="none" w:sz="0" w:space="0" w:color="auto"/>
        <w:left w:val="none" w:sz="0" w:space="0" w:color="auto"/>
        <w:bottom w:val="none" w:sz="0" w:space="0" w:color="auto"/>
        <w:right w:val="none" w:sz="0" w:space="0" w:color="auto"/>
      </w:divBdr>
    </w:div>
    <w:div w:id="1150293938">
      <w:bodyDiv w:val="1"/>
      <w:marLeft w:val="0"/>
      <w:marRight w:val="0"/>
      <w:marTop w:val="0"/>
      <w:marBottom w:val="0"/>
      <w:divBdr>
        <w:top w:val="none" w:sz="0" w:space="0" w:color="auto"/>
        <w:left w:val="none" w:sz="0" w:space="0" w:color="auto"/>
        <w:bottom w:val="none" w:sz="0" w:space="0" w:color="auto"/>
        <w:right w:val="none" w:sz="0" w:space="0" w:color="auto"/>
      </w:divBdr>
    </w:div>
    <w:div w:id="1162622916">
      <w:bodyDiv w:val="1"/>
      <w:marLeft w:val="0"/>
      <w:marRight w:val="0"/>
      <w:marTop w:val="0"/>
      <w:marBottom w:val="0"/>
      <w:divBdr>
        <w:top w:val="none" w:sz="0" w:space="0" w:color="auto"/>
        <w:left w:val="none" w:sz="0" w:space="0" w:color="auto"/>
        <w:bottom w:val="none" w:sz="0" w:space="0" w:color="auto"/>
        <w:right w:val="none" w:sz="0" w:space="0" w:color="auto"/>
      </w:divBdr>
    </w:div>
    <w:div w:id="1191526907">
      <w:bodyDiv w:val="1"/>
      <w:marLeft w:val="0"/>
      <w:marRight w:val="0"/>
      <w:marTop w:val="0"/>
      <w:marBottom w:val="0"/>
      <w:divBdr>
        <w:top w:val="none" w:sz="0" w:space="0" w:color="auto"/>
        <w:left w:val="none" w:sz="0" w:space="0" w:color="auto"/>
        <w:bottom w:val="none" w:sz="0" w:space="0" w:color="auto"/>
        <w:right w:val="none" w:sz="0" w:space="0" w:color="auto"/>
      </w:divBdr>
    </w:div>
    <w:div w:id="1219777221">
      <w:bodyDiv w:val="1"/>
      <w:marLeft w:val="0"/>
      <w:marRight w:val="0"/>
      <w:marTop w:val="0"/>
      <w:marBottom w:val="0"/>
      <w:divBdr>
        <w:top w:val="none" w:sz="0" w:space="0" w:color="auto"/>
        <w:left w:val="none" w:sz="0" w:space="0" w:color="auto"/>
        <w:bottom w:val="none" w:sz="0" w:space="0" w:color="auto"/>
        <w:right w:val="none" w:sz="0" w:space="0" w:color="auto"/>
      </w:divBdr>
    </w:div>
    <w:div w:id="1251543416">
      <w:bodyDiv w:val="1"/>
      <w:marLeft w:val="0"/>
      <w:marRight w:val="0"/>
      <w:marTop w:val="0"/>
      <w:marBottom w:val="0"/>
      <w:divBdr>
        <w:top w:val="none" w:sz="0" w:space="0" w:color="auto"/>
        <w:left w:val="none" w:sz="0" w:space="0" w:color="auto"/>
        <w:bottom w:val="none" w:sz="0" w:space="0" w:color="auto"/>
        <w:right w:val="none" w:sz="0" w:space="0" w:color="auto"/>
      </w:divBdr>
      <w:divsChild>
        <w:div w:id="1176266354">
          <w:marLeft w:val="0"/>
          <w:marRight w:val="0"/>
          <w:marTop w:val="0"/>
          <w:marBottom w:val="0"/>
          <w:divBdr>
            <w:top w:val="none" w:sz="0" w:space="0" w:color="auto"/>
            <w:left w:val="none" w:sz="0" w:space="0" w:color="auto"/>
            <w:bottom w:val="none" w:sz="0" w:space="0" w:color="auto"/>
            <w:right w:val="none" w:sz="0" w:space="0" w:color="auto"/>
          </w:divBdr>
          <w:divsChild>
            <w:div w:id="1797285497">
              <w:marLeft w:val="0"/>
              <w:marRight w:val="0"/>
              <w:marTop w:val="0"/>
              <w:marBottom w:val="0"/>
              <w:divBdr>
                <w:top w:val="none" w:sz="0" w:space="0" w:color="auto"/>
                <w:left w:val="none" w:sz="0" w:space="0" w:color="auto"/>
                <w:bottom w:val="none" w:sz="0" w:space="0" w:color="auto"/>
                <w:right w:val="none" w:sz="0" w:space="0" w:color="auto"/>
              </w:divBdr>
              <w:divsChild>
                <w:div w:id="80243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521270">
      <w:bodyDiv w:val="1"/>
      <w:marLeft w:val="0"/>
      <w:marRight w:val="0"/>
      <w:marTop w:val="0"/>
      <w:marBottom w:val="0"/>
      <w:divBdr>
        <w:top w:val="none" w:sz="0" w:space="0" w:color="auto"/>
        <w:left w:val="none" w:sz="0" w:space="0" w:color="auto"/>
        <w:bottom w:val="none" w:sz="0" w:space="0" w:color="auto"/>
        <w:right w:val="none" w:sz="0" w:space="0" w:color="auto"/>
      </w:divBdr>
    </w:div>
    <w:div w:id="1293291805">
      <w:bodyDiv w:val="1"/>
      <w:marLeft w:val="0"/>
      <w:marRight w:val="0"/>
      <w:marTop w:val="0"/>
      <w:marBottom w:val="0"/>
      <w:divBdr>
        <w:top w:val="none" w:sz="0" w:space="0" w:color="auto"/>
        <w:left w:val="none" w:sz="0" w:space="0" w:color="auto"/>
        <w:bottom w:val="none" w:sz="0" w:space="0" w:color="auto"/>
        <w:right w:val="none" w:sz="0" w:space="0" w:color="auto"/>
      </w:divBdr>
      <w:divsChild>
        <w:div w:id="1316489779">
          <w:marLeft w:val="547"/>
          <w:marRight w:val="0"/>
          <w:marTop w:val="86"/>
          <w:marBottom w:val="0"/>
          <w:divBdr>
            <w:top w:val="none" w:sz="0" w:space="0" w:color="auto"/>
            <w:left w:val="none" w:sz="0" w:space="0" w:color="auto"/>
            <w:bottom w:val="none" w:sz="0" w:space="0" w:color="auto"/>
            <w:right w:val="none" w:sz="0" w:space="0" w:color="auto"/>
          </w:divBdr>
        </w:div>
      </w:divsChild>
    </w:div>
    <w:div w:id="1297221416">
      <w:bodyDiv w:val="1"/>
      <w:marLeft w:val="0"/>
      <w:marRight w:val="0"/>
      <w:marTop w:val="0"/>
      <w:marBottom w:val="0"/>
      <w:divBdr>
        <w:top w:val="none" w:sz="0" w:space="0" w:color="auto"/>
        <w:left w:val="none" w:sz="0" w:space="0" w:color="auto"/>
        <w:bottom w:val="none" w:sz="0" w:space="0" w:color="auto"/>
        <w:right w:val="none" w:sz="0" w:space="0" w:color="auto"/>
      </w:divBdr>
      <w:divsChild>
        <w:div w:id="1031224243">
          <w:marLeft w:val="0"/>
          <w:marRight w:val="0"/>
          <w:marTop w:val="0"/>
          <w:marBottom w:val="0"/>
          <w:divBdr>
            <w:top w:val="none" w:sz="0" w:space="0" w:color="auto"/>
            <w:left w:val="none" w:sz="0" w:space="0" w:color="auto"/>
            <w:bottom w:val="none" w:sz="0" w:space="0" w:color="auto"/>
            <w:right w:val="none" w:sz="0" w:space="0" w:color="auto"/>
          </w:divBdr>
          <w:divsChild>
            <w:div w:id="532423664">
              <w:marLeft w:val="0"/>
              <w:marRight w:val="0"/>
              <w:marTop w:val="0"/>
              <w:marBottom w:val="0"/>
              <w:divBdr>
                <w:top w:val="none" w:sz="0" w:space="0" w:color="auto"/>
                <w:left w:val="none" w:sz="0" w:space="0" w:color="auto"/>
                <w:bottom w:val="none" w:sz="0" w:space="0" w:color="auto"/>
                <w:right w:val="none" w:sz="0" w:space="0" w:color="auto"/>
              </w:divBdr>
              <w:divsChild>
                <w:div w:id="170821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113048">
      <w:bodyDiv w:val="1"/>
      <w:marLeft w:val="0"/>
      <w:marRight w:val="0"/>
      <w:marTop w:val="0"/>
      <w:marBottom w:val="0"/>
      <w:divBdr>
        <w:top w:val="none" w:sz="0" w:space="0" w:color="auto"/>
        <w:left w:val="none" w:sz="0" w:space="0" w:color="auto"/>
        <w:bottom w:val="none" w:sz="0" w:space="0" w:color="auto"/>
        <w:right w:val="none" w:sz="0" w:space="0" w:color="auto"/>
      </w:divBdr>
    </w:div>
    <w:div w:id="1300453862">
      <w:bodyDiv w:val="1"/>
      <w:marLeft w:val="0"/>
      <w:marRight w:val="0"/>
      <w:marTop w:val="0"/>
      <w:marBottom w:val="0"/>
      <w:divBdr>
        <w:top w:val="none" w:sz="0" w:space="0" w:color="auto"/>
        <w:left w:val="none" w:sz="0" w:space="0" w:color="auto"/>
        <w:bottom w:val="none" w:sz="0" w:space="0" w:color="auto"/>
        <w:right w:val="none" w:sz="0" w:space="0" w:color="auto"/>
      </w:divBdr>
    </w:div>
    <w:div w:id="1301114736">
      <w:bodyDiv w:val="1"/>
      <w:marLeft w:val="0"/>
      <w:marRight w:val="0"/>
      <w:marTop w:val="0"/>
      <w:marBottom w:val="0"/>
      <w:divBdr>
        <w:top w:val="none" w:sz="0" w:space="0" w:color="auto"/>
        <w:left w:val="none" w:sz="0" w:space="0" w:color="auto"/>
        <w:bottom w:val="none" w:sz="0" w:space="0" w:color="auto"/>
        <w:right w:val="none" w:sz="0" w:space="0" w:color="auto"/>
      </w:divBdr>
    </w:div>
    <w:div w:id="1326394106">
      <w:bodyDiv w:val="1"/>
      <w:marLeft w:val="0"/>
      <w:marRight w:val="0"/>
      <w:marTop w:val="0"/>
      <w:marBottom w:val="0"/>
      <w:divBdr>
        <w:top w:val="none" w:sz="0" w:space="0" w:color="auto"/>
        <w:left w:val="none" w:sz="0" w:space="0" w:color="auto"/>
        <w:bottom w:val="none" w:sz="0" w:space="0" w:color="auto"/>
        <w:right w:val="none" w:sz="0" w:space="0" w:color="auto"/>
      </w:divBdr>
    </w:div>
    <w:div w:id="1327175239">
      <w:bodyDiv w:val="1"/>
      <w:marLeft w:val="0"/>
      <w:marRight w:val="0"/>
      <w:marTop w:val="0"/>
      <w:marBottom w:val="0"/>
      <w:divBdr>
        <w:top w:val="none" w:sz="0" w:space="0" w:color="auto"/>
        <w:left w:val="none" w:sz="0" w:space="0" w:color="auto"/>
        <w:bottom w:val="none" w:sz="0" w:space="0" w:color="auto"/>
        <w:right w:val="none" w:sz="0" w:space="0" w:color="auto"/>
      </w:divBdr>
      <w:divsChild>
        <w:div w:id="869142828">
          <w:marLeft w:val="432"/>
          <w:marRight w:val="0"/>
          <w:marTop w:val="120"/>
          <w:marBottom w:val="0"/>
          <w:divBdr>
            <w:top w:val="none" w:sz="0" w:space="0" w:color="auto"/>
            <w:left w:val="none" w:sz="0" w:space="0" w:color="auto"/>
            <w:bottom w:val="none" w:sz="0" w:space="0" w:color="auto"/>
            <w:right w:val="none" w:sz="0" w:space="0" w:color="auto"/>
          </w:divBdr>
        </w:div>
      </w:divsChild>
    </w:div>
    <w:div w:id="1346327214">
      <w:bodyDiv w:val="1"/>
      <w:marLeft w:val="0"/>
      <w:marRight w:val="0"/>
      <w:marTop w:val="0"/>
      <w:marBottom w:val="0"/>
      <w:divBdr>
        <w:top w:val="none" w:sz="0" w:space="0" w:color="auto"/>
        <w:left w:val="none" w:sz="0" w:space="0" w:color="auto"/>
        <w:bottom w:val="none" w:sz="0" w:space="0" w:color="auto"/>
        <w:right w:val="none" w:sz="0" w:space="0" w:color="auto"/>
      </w:divBdr>
    </w:div>
    <w:div w:id="1378504735">
      <w:bodyDiv w:val="1"/>
      <w:marLeft w:val="0"/>
      <w:marRight w:val="0"/>
      <w:marTop w:val="0"/>
      <w:marBottom w:val="0"/>
      <w:divBdr>
        <w:top w:val="none" w:sz="0" w:space="0" w:color="auto"/>
        <w:left w:val="none" w:sz="0" w:space="0" w:color="auto"/>
        <w:bottom w:val="none" w:sz="0" w:space="0" w:color="auto"/>
        <w:right w:val="none" w:sz="0" w:space="0" w:color="auto"/>
      </w:divBdr>
    </w:div>
    <w:div w:id="1395664276">
      <w:bodyDiv w:val="1"/>
      <w:marLeft w:val="0"/>
      <w:marRight w:val="0"/>
      <w:marTop w:val="0"/>
      <w:marBottom w:val="0"/>
      <w:divBdr>
        <w:top w:val="none" w:sz="0" w:space="0" w:color="auto"/>
        <w:left w:val="none" w:sz="0" w:space="0" w:color="auto"/>
        <w:bottom w:val="none" w:sz="0" w:space="0" w:color="auto"/>
        <w:right w:val="none" w:sz="0" w:space="0" w:color="auto"/>
      </w:divBdr>
    </w:div>
    <w:div w:id="1410424389">
      <w:bodyDiv w:val="1"/>
      <w:marLeft w:val="0"/>
      <w:marRight w:val="0"/>
      <w:marTop w:val="0"/>
      <w:marBottom w:val="0"/>
      <w:divBdr>
        <w:top w:val="none" w:sz="0" w:space="0" w:color="auto"/>
        <w:left w:val="none" w:sz="0" w:space="0" w:color="auto"/>
        <w:bottom w:val="none" w:sz="0" w:space="0" w:color="auto"/>
        <w:right w:val="none" w:sz="0" w:space="0" w:color="auto"/>
      </w:divBdr>
    </w:div>
    <w:div w:id="1416973364">
      <w:bodyDiv w:val="1"/>
      <w:marLeft w:val="0"/>
      <w:marRight w:val="0"/>
      <w:marTop w:val="0"/>
      <w:marBottom w:val="0"/>
      <w:divBdr>
        <w:top w:val="none" w:sz="0" w:space="0" w:color="auto"/>
        <w:left w:val="none" w:sz="0" w:space="0" w:color="auto"/>
        <w:bottom w:val="none" w:sz="0" w:space="0" w:color="auto"/>
        <w:right w:val="none" w:sz="0" w:space="0" w:color="auto"/>
      </w:divBdr>
      <w:divsChild>
        <w:div w:id="1280800108">
          <w:marLeft w:val="0"/>
          <w:marRight w:val="0"/>
          <w:marTop w:val="0"/>
          <w:marBottom w:val="0"/>
          <w:divBdr>
            <w:top w:val="none" w:sz="0" w:space="0" w:color="auto"/>
            <w:left w:val="none" w:sz="0" w:space="0" w:color="auto"/>
            <w:bottom w:val="none" w:sz="0" w:space="0" w:color="auto"/>
            <w:right w:val="none" w:sz="0" w:space="0" w:color="auto"/>
          </w:divBdr>
          <w:divsChild>
            <w:div w:id="17856782">
              <w:marLeft w:val="0"/>
              <w:marRight w:val="0"/>
              <w:marTop w:val="0"/>
              <w:marBottom w:val="0"/>
              <w:divBdr>
                <w:top w:val="none" w:sz="0" w:space="0" w:color="auto"/>
                <w:left w:val="none" w:sz="0" w:space="0" w:color="auto"/>
                <w:bottom w:val="none" w:sz="0" w:space="0" w:color="auto"/>
                <w:right w:val="none" w:sz="0" w:space="0" w:color="auto"/>
              </w:divBdr>
              <w:divsChild>
                <w:div w:id="1731730294">
                  <w:marLeft w:val="0"/>
                  <w:marRight w:val="0"/>
                  <w:marTop w:val="0"/>
                  <w:marBottom w:val="0"/>
                  <w:divBdr>
                    <w:top w:val="none" w:sz="0" w:space="0" w:color="auto"/>
                    <w:left w:val="none" w:sz="0" w:space="0" w:color="auto"/>
                    <w:bottom w:val="none" w:sz="0" w:space="0" w:color="auto"/>
                    <w:right w:val="none" w:sz="0" w:space="0" w:color="auto"/>
                  </w:divBdr>
                  <w:divsChild>
                    <w:div w:id="419108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2847935">
      <w:bodyDiv w:val="1"/>
      <w:marLeft w:val="0"/>
      <w:marRight w:val="0"/>
      <w:marTop w:val="0"/>
      <w:marBottom w:val="0"/>
      <w:divBdr>
        <w:top w:val="none" w:sz="0" w:space="0" w:color="auto"/>
        <w:left w:val="none" w:sz="0" w:space="0" w:color="auto"/>
        <w:bottom w:val="none" w:sz="0" w:space="0" w:color="auto"/>
        <w:right w:val="none" w:sz="0" w:space="0" w:color="auto"/>
      </w:divBdr>
      <w:divsChild>
        <w:div w:id="1707943310">
          <w:marLeft w:val="0"/>
          <w:marRight w:val="0"/>
          <w:marTop w:val="0"/>
          <w:marBottom w:val="0"/>
          <w:divBdr>
            <w:top w:val="none" w:sz="0" w:space="0" w:color="auto"/>
            <w:left w:val="none" w:sz="0" w:space="0" w:color="auto"/>
            <w:bottom w:val="none" w:sz="0" w:space="0" w:color="auto"/>
            <w:right w:val="none" w:sz="0" w:space="0" w:color="auto"/>
          </w:divBdr>
          <w:divsChild>
            <w:div w:id="716591005">
              <w:marLeft w:val="0"/>
              <w:marRight w:val="0"/>
              <w:marTop w:val="0"/>
              <w:marBottom w:val="0"/>
              <w:divBdr>
                <w:top w:val="none" w:sz="0" w:space="0" w:color="auto"/>
                <w:left w:val="none" w:sz="0" w:space="0" w:color="auto"/>
                <w:bottom w:val="none" w:sz="0" w:space="0" w:color="auto"/>
                <w:right w:val="none" w:sz="0" w:space="0" w:color="auto"/>
              </w:divBdr>
              <w:divsChild>
                <w:div w:id="1234045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037855">
      <w:bodyDiv w:val="1"/>
      <w:marLeft w:val="0"/>
      <w:marRight w:val="0"/>
      <w:marTop w:val="0"/>
      <w:marBottom w:val="0"/>
      <w:divBdr>
        <w:top w:val="none" w:sz="0" w:space="0" w:color="auto"/>
        <w:left w:val="none" w:sz="0" w:space="0" w:color="auto"/>
        <w:bottom w:val="none" w:sz="0" w:space="0" w:color="auto"/>
        <w:right w:val="none" w:sz="0" w:space="0" w:color="auto"/>
      </w:divBdr>
      <w:divsChild>
        <w:div w:id="152838672">
          <w:marLeft w:val="0"/>
          <w:marRight w:val="0"/>
          <w:marTop w:val="0"/>
          <w:marBottom w:val="0"/>
          <w:divBdr>
            <w:top w:val="none" w:sz="0" w:space="0" w:color="auto"/>
            <w:left w:val="none" w:sz="0" w:space="0" w:color="auto"/>
            <w:bottom w:val="none" w:sz="0" w:space="0" w:color="auto"/>
            <w:right w:val="none" w:sz="0" w:space="0" w:color="auto"/>
          </w:divBdr>
          <w:divsChild>
            <w:div w:id="1934243420">
              <w:marLeft w:val="0"/>
              <w:marRight w:val="0"/>
              <w:marTop w:val="0"/>
              <w:marBottom w:val="0"/>
              <w:divBdr>
                <w:top w:val="none" w:sz="0" w:space="0" w:color="auto"/>
                <w:left w:val="none" w:sz="0" w:space="0" w:color="auto"/>
                <w:bottom w:val="none" w:sz="0" w:space="0" w:color="auto"/>
                <w:right w:val="none" w:sz="0" w:space="0" w:color="auto"/>
              </w:divBdr>
              <w:divsChild>
                <w:div w:id="135865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819357">
      <w:bodyDiv w:val="1"/>
      <w:marLeft w:val="0"/>
      <w:marRight w:val="0"/>
      <w:marTop w:val="0"/>
      <w:marBottom w:val="0"/>
      <w:divBdr>
        <w:top w:val="none" w:sz="0" w:space="0" w:color="auto"/>
        <w:left w:val="none" w:sz="0" w:space="0" w:color="auto"/>
        <w:bottom w:val="none" w:sz="0" w:space="0" w:color="auto"/>
        <w:right w:val="none" w:sz="0" w:space="0" w:color="auto"/>
      </w:divBdr>
    </w:div>
    <w:div w:id="1543395792">
      <w:bodyDiv w:val="1"/>
      <w:marLeft w:val="0"/>
      <w:marRight w:val="0"/>
      <w:marTop w:val="0"/>
      <w:marBottom w:val="0"/>
      <w:divBdr>
        <w:top w:val="none" w:sz="0" w:space="0" w:color="auto"/>
        <w:left w:val="none" w:sz="0" w:space="0" w:color="auto"/>
        <w:bottom w:val="none" w:sz="0" w:space="0" w:color="auto"/>
        <w:right w:val="none" w:sz="0" w:space="0" w:color="auto"/>
      </w:divBdr>
      <w:divsChild>
        <w:div w:id="1228029665">
          <w:marLeft w:val="432"/>
          <w:marRight w:val="0"/>
          <w:marTop w:val="120"/>
          <w:marBottom w:val="0"/>
          <w:divBdr>
            <w:top w:val="none" w:sz="0" w:space="0" w:color="auto"/>
            <w:left w:val="none" w:sz="0" w:space="0" w:color="auto"/>
            <w:bottom w:val="none" w:sz="0" w:space="0" w:color="auto"/>
            <w:right w:val="none" w:sz="0" w:space="0" w:color="auto"/>
          </w:divBdr>
        </w:div>
      </w:divsChild>
    </w:div>
    <w:div w:id="1544247802">
      <w:bodyDiv w:val="1"/>
      <w:marLeft w:val="0"/>
      <w:marRight w:val="0"/>
      <w:marTop w:val="0"/>
      <w:marBottom w:val="0"/>
      <w:divBdr>
        <w:top w:val="none" w:sz="0" w:space="0" w:color="auto"/>
        <w:left w:val="none" w:sz="0" w:space="0" w:color="auto"/>
        <w:bottom w:val="none" w:sz="0" w:space="0" w:color="auto"/>
        <w:right w:val="none" w:sz="0" w:space="0" w:color="auto"/>
      </w:divBdr>
    </w:div>
    <w:div w:id="1548300021">
      <w:bodyDiv w:val="1"/>
      <w:marLeft w:val="0"/>
      <w:marRight w:val="0"/>
      <w:marTop w:val="0"/>
      <w:marBottom w:val="0"/>
      <w:divBdr>
        <w:top w:val="none" w:sz="0" w:space="0" w:color="auto"/>
        <w:left w:val="none" w:sz="0" w:space="0" w:color="auto"/>
        <w:bottom w:val="none" w:sz="0" w:space="0" w:color="auto"/>
        <w:right w:val="none" w:sz="0" w:space="0" w:color="auto"/>
      </w:divBdr>
      <w:divsChild>
        <w:div w:id="1573541950">
          <w:marLeft w:val="432"/>
          <w:marRight w:val="0"/>
          <w:marTop w:val="120"/>
          <w:marBottom w:val="0"/>
          <w:divBdr>
            <w:top w:val="none" w:sz="0" w:space="0" w:color="auto"/>
            <w:left w:val="none" w:sz="0" w:space="0" w:color="auto"/>
            <w:bottom w:val="none" w:sz="0" w:space="0" w:color="auto"/>
            <w:right w:val="none" w:sz="0" w:space="0" w:color="auto"/>
          </w:divBdr>
        </w:div>
      </w:divsChild>
    </w:div>
    <w:div w:id="1552031616">
      <w:bodyDiv w:val="1"/>
      <w:marLeft w:val="0"/>
      <w:marRight w:val="0"/>
      <w:marTop w:val="0"/>
      <w:marBottom w:val="0"/>
      <w:divBdr>
        <w:top w:val="none" w:sz="0" w:space="0" w:color="auto"/>
        <w:left w:val="none" w:sz="0" w:space="0" w:color="auto"/>
        <w:bottom w:val="none" w:sz="0" w:space="0" w:color="auto"/>
        <w:right w:val="none" w:sz="0" w:space="0" w:color="auto"/>
      </w:divBdr>
      <w:divsChild>
        <w:div w:id="766078799">
          <w:marLeft w:val="0"/>
          <w:marRight w:val="0"/>
          <w:marTop w:val="0"/>
          <w:marBottom w:val="0"/>
          <w:divBdr>
            <w:top w:val="none" w:sz="0" w:space="0" w:color="auto"/>
            <w:left w:val="none" w:sz="0" w:space="0" w:color="auto"/>
            <w:bottom w:val="none" w:sz="0" w:space="0" w:color="auto"/>
            <w:right w:val="none" w:sz="0" w:space="0" w:color="auto"/>
          </w:divBdr>
          <w:divsChild>
            <w:div w:id="1927768936">
              <w:marLeft w:val="0"/>
              <w:marRight w:val="0"/>
              <w:marTop w:val="0"/>
              <w:marBottom w:val="0"/>
              <w:divBdr>
                <w:top w:val="none" w:sz="0" w:space="0" w:color="auto"/>
                <w:left w:val="none" w:sz="0" w:space="0" w:color="auto"/>
                <w:bottom w:val="none" w:sz="0" w:space="0" w:color="auto"/>
                <w:right w:val="none" w:sz="0" w:space="0" w:color="auto"/>
              </w:divBdr>
              <w:divsChild>
                <w:div w:id="68367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261770">
      <w:bodyDiv w:val="1"/>
      <w:marLeft w:val="0"/>
      <w:marRight w:val="0"/>
      <w:marTop w:val="0"/>
      <w:marBottom w:val="0"/>
      <w:divBdr>
        <w:top w:val="none" w:sz="0" w:space="0" w:color="auto"/>
        <w:left w:val="none" w:sz="0" w:space="0" w:color="auto"/>
        <w:bottom w:val="none" w:sz="0" w:space="0" w:color="auto"/>
        <w:right w:val="none" w:sz="0" w:space="0" w:color="auto"/>
      </w:divBdr>
      <w:divsChild>
        <w:div w:id="1514957700">
          <w:marLeft w:val="0"/>
          <w:marRight w:val="0"/>
          <w:marTop w:val="0"/>
          <w:marBottom w:val="0"/>
          <w:divBdr>
            <w:top w:val="none" w:sz="0" w:space="0" w:color="auto"/>
            <w:left w:val="none" w:sz="0" w:space="0" w:color="auto"/>
            <w:bottom w:val="none" w:sz="0" w:space="0" w:color="auto"/>
            <w:right w:val="none" w:sz="0" w:space="0" w:color="auto"/>
          </w:divBdr>
          <w:divsChild>
            <w:div w:id="833960356">
              <w:marLeft w:val="0"/>
              <w:marRight w:val="0"/>
              <w:marTop w:val="0"/>
              <w:marBottom w:val="0"/>
              <w:divBdr>
                <w:top w:val="none" w:sz="0" w:space="0" w:color="auto"/>
                <w:left w:val="none" w:sz="0" w:space="0" w:color="auto"/>
                <w:bottom w:val="none" w:sz="0" w:space="0" w:color="auto"/>
                <w:right w:val="none" w:sz="0" w:space="0" w:color="auto"/>
              </w:divBdr>
              <w:divsChild>
                <w:div w:id="25008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481842">
      <w:bodyDiv w:val="1"/>
      <w:marLeft w:val="0"/>
      <w:marRight w:val="0"/>
      <w:marTop w:val="0"/>
      <w:marBottom w:val="0"/>
      <w:divBdr>
        <w:top w:val="none" w:sz="0" w:space="0" w:color="auto"/>
        <w:left w:val="none" w:sz="0" w:space="0" w:color="auto"/>
        <w:bottom w:val="none" w:sz="0" w:space="0" w:color="auto"/>
        <w:right w:val="none" w:sz="0" w:space="0" w:color="auto"/>
      </w:divBdr>
    </w:div>
    <w:div w:id="1606038935">
      <w:bodyDiv w:val="1"/>
      <w:marLeft w:val="0"/>
      <w:marRight w:val="0"/>
      <w:marTop w:val="0"/>
      <w:marBottom w:val="0"/>
      <w:divBdr>
        <w:top w:val="none" w:sz="0" w:space="0" w:color="auto"/>
        <w:left w:val="none" w:sz="0" w:space="0" w:color="auto"/>
        <w:bottom w:val="none" w:sz="0" w:space="0" w:color="auto"/>
        <w:right w:val="none" w:sz="0" w:space="0" w:color="auto"/>
      </w:divBdr>
      <w:divsChild>
        <w:div w:id="767428261">
          <w:marLeft w:val="0"/>
          <w:marRight w:val="0"/>
          <w:marTop w:val="0"/>
          <w:marBottom w:val="0"/>
          <w:divBdr>
            <w:top w:val="none" w:sz="0" w:space="0" w:color="auto"/>
            <w:left w:val="none" w:sz="0" w:space="0" w:color="auto"/>
            <w:bottom w:val="none" w:sz="0" w:space="0" w:color="auto"/>
            <w:right w:val="none" w:sz="0" w:space="0" w:color="auto"/>
          </w:divBdr>
          <w:divsChild>
            <w:div w:id="336271443">
              <w:marLeft w:val="0"/>
              <w:marRight w:val="0"/>
              <w:marTop w:val="0"/>
              <w:marBottom w:val="0"/>
              <w:divBdr>
                <w:top w:val="none" w:sz="0" w:space="0" w:color="auto"/>
                <w:left w:val="none" w:sz="0" w:space="0" w:color="auto"/>
                <w:bottom w:val="none" w:sz="0" w:space="0" w:color="auto"/>
                <w:right w:val="none" w:sz="0" w:space="0" w:color="auto"/>
              </w:divBdr>
              <w:divsChild>
                <w:div w:id="7000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512391">
      <w:bodyDiv w:val="1"/>
      <w:marLeft w:val="0"/>
      <w:marRight w:val="0"/>
      <w:marTop w:val="0"/>
      <w:marBottom w:val="0"/>
      <w:divBdr>
        <w:top w:val="none" w:sz="0" w:space="0" w:color="auto"/>
        <w:left w:val="none" w:sz="0" w:space="0" w:color="auto"/>
        <w:bottom w:val="none" w:sz="0" w:space="0" w:color="auto"/>
        <w:right w:val="none" w:sz="0" w:space="0" w:color="auto"/>
      </w:divBdr>
      <w:divsChild>
        <w:div w:id="1435907508">
          <w:marLeft w:val="0"/>
          <w:marRight w:val="0"/>
          <w:marTop w:val="0"/>
          <w:marBottom w:val="0"/>
          <w:divBdr>
            <w:top w:val="none" w:sz="0" w:space="0" w:color="auto"/>
            <w:left w:val="none" w:sz="0" w:space="0" w:color="auto"/>
            <w:bottom w:val="none" w:sz="0" w:space="0" w:color="auto"/>
            <w:right w:val="none" w:sz="0" w:space="0" w:color="auto"/>
          </w:divBdr>
          <w:divsChild>
            <w:div w:id="644360214">
              <w:marLeft w:val="0"/>
              <w:marRight w:val="0"/>
              <w:marTop w:val="0"/>
              <w:marBottom w:val="0"/>
              <w:divBdr>
                <w:top w:val="none" w:sz="0" w:space="0" w:color="auto"/>
                <w:left w:val="none" w:sz="0" w:space="0" w:color="auto"/>
                <w:bottom w:val="none" w:sz="0" w:space="0" w:color="auto"/>
                <w:right w:val="none" w:sz="0" w:space="0" w:color="auto"/>
              </w:divBdr>
              <w:divsChild>
                <w:div w:id="44939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157861">
      <w:bodyDiv w:val="1"/>
      <w:marLeft w:val="0"/>
      <w:marRight w:val="0"/>
      <w:marTop w:val="0"/>
      <w:marBottom w:val="0"/>
      <w:divBdr>
        <w:top w:val="none" w:sz="0" w:space="0" w:color="auto"/>
        <w:left w:val="none" w:sz="0" w:space="0" w:color="auto"/>
        <w:bottom w:val="none" w:sz="0" w:space="0" w:color="auto"/>
        <w:right w:val="none" w:sz="0" w:space="0" w:color="auto"/>
      </w:divBdr>
    </w:div>
    <w:div w:id="1672177846">
      <w:bodyDiv w:val="1"/>
      <w:marLeft w:val="0"/>
      <w:marRight w:val="0"/>
      <w:marTop w:val="0"/>
      <w:marBottom w:val="0"/>
      <w:divBdr>
        <w:top w:val="none" w:sz="0" w:space="0" w:color="auto"/>
        <w:left w:val="none" w:sz="0" w:space="0" w:color="auto"/>
        <w:bottom w:val="none" w:sz="0" w:space="0" w:color="auto"/>
        <w:right w:val="none" w:sz="0" w:space="0" w:color="auto"/>
      </w:divBdr>
    </w:div>
    <w:div w:id="1714647551">
      <w:bodyDiv w:val="1"/>
      <w:marLeft w:val="0"/>
      <w:marRight w:val="0"/>
      <w:marTop w:val="0"/>
      <w:marBottom w:val="0"/>
      <w:divBdr>
        <w:top w:val="none" w:sz="0" w:space="0" w:color="auto"/>
        <w:left w:val="none" w:sz="0" w:space="0" w:color="auto"/>
        <w:bottom w:val="none" w:sz="0" w:space="0" w:color="auto"/>
        <w:right w:val="none" w:sz="0" w:space="0" w:color="auto"/>
      </w:divBdr>
    </w:div>
    <w:div w:id="1717270249">
      <w:bodyDiv w:val="1"/>
      <w:marLeft w:val="0"/>
      <w:marRight w:val="0"/>
      <w:marTop w:val="0"/>
      <w:marBottom w:val="0"/>
      <w:divBdr>
        <w:top w:val="none" w:sz="0" w:space="0" w:color="auto"/>
        <w:left w:val="none" w:sz="0" w:space="0" w:color="auto"/>
        <w:bottom w:val="none" w:sz="0" w:space="0" w:color="auto"/>
        <w:right w:val="none" w:sz="0" w:space="0" w:color="auto"/>
      </w:divBdr>
    </w:div>
    <w:div w:id="1719933216">
      <w:bodyDiv w:val="1"/>
      <w:marLeft w:val="0"/>
      <w:marRight w:val="0"/>
      <w:marTop w:val="0"/>
      <w:marBottom w:val="0"/>
      <w:divBdr>
        <w:top w:val="none" w:sz="0" w:space="0" w:color="auto"/>
        <w:left w:val="none" w:sz="0" w:space="0" w:color="auto"/>
        <w:bottom w:val="none" w:sz="0" w:space="0" w:color="auto"/>
        <w:right w:val="none" w:sz="0" w:space="0" w:color="auto"/>
      </w:divBdr>
      <w:divsChild>
        <w:div w:id="992640135">
          <w:marLeft w:val="0"/>
          <w:marRight w:val="0"/>
          <w:marTop w:val="0"/>
          <w:marBottom w:val="0"/>
          <w:divBdr>
            <w:top w:val="none" w:sz="0" w:space="0" w:color="auto"/>
            <w:left w:val="none" w:sz="0" w:space="0" w:color="auto"/>
            <w:bottom w:val="none" w:sz="0" w:space="0" w:color="auto"/>
            <w:right w:val="none" w:sz="0" w:space="0" w:color="auto"/>
          </w:divBdr>
          <w:divsChild>
            <w:div w:id="816338965">
              <w:marLeft w:val="0"/>
              <w:marRight w:val="0"/>
              <w:marTop w:val="0"/>
              <w:marBottom w:val="0"/>
              <w:divBdr>
                <w:top w:val="none" w:sz="0" w:space="0" w:color="auto"/>
                <w:left w:val="none" w:sz="0" w:space="0" w:color="auto"/>
                <w:bottom w:val="none" w:sz="0" w:space="0" w:color="auto"/>
                <w:right w:val="none" w:sz="0" w:space="0" w:color="auto"/>
              </w:divBdr>
              <w:divsChild>
                <w:div w:id="1385445995">
                  <w:marLeft w:val="0"/>
                  <w:marRight w:val="0"/>
                  <w:marTop w:val="0"/>
                  <w:marBottom w:val="0"/>
                  <w:divBdr>
                    <w:top w:val="none" w:sz="0" w:space="0" w:color="auto"/>
                    <w:left w:val="none" w:sz="0" w:space="0" w:color="auto"/>
                    <w:bottom w:val="none" w:sz="0" w:space="0" w:color="auto"/>
                    <w:right w:val="none" w:sz="0" w:space="0" w:color="auto"/>
                  </w:divBdr>
                  <w:divsChild>
                    <w:div w:id="175774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690155">
      <w:bodyDiv w:val="1"/>
      <w:marLeft w:val="0"/>
      <w:marRight w:val="0"/>
      <w:marTop w:val="0"/>
      <w:marBottom w:val="0"/>
      <w:divBdr>
        <w:top w:val="none" w:sz="0" w:space="0" w:color="auto"/>
        <w:left w:val="none" w:sz="0" w:space="0" w:color="auto"/>
        <w:bottom w:val="none" w:sz="0" w:space="0" w:color="auto"/>
        <w:right w:val="none" w:sz="0" w:space="0" w:color="auto"/>
      </w:divBdr>
      <w:divsChild>
        <w:div w:id="683899330">
          <w:marLeft w:val="547"/>
          <w:marRight w:val="0"/>
          <w:marTop w:val="86"/>
          <w:marBottom w:val="0"/>
          <w:divBdr>
            <w:top w:val="none" w:sz="0" w:space="0" w:color="auto"/>
            <w:left w:val="none" w:sz="0" w:space="0" w:color="auto"/>
            <w:bottom w:val="none" w:sz="0" w:space="0" w:color="auto"/>
            <w:right w:val="none" w:sz="0" w:space="0" w:color="auto"/>
          </w:divBdr>
        </w:div>
        <w:div w:id="772020007">
          <w:marLeft w:val="547"/>
          <w:marRight w:val="0"/>
          <w:marTop w:val="86"/>
          <w:marBottom w:val="0"/>
          <w:divBdr>
            <w:top w:val="none" w:sz="0" w:space="0" w:color="auto"/>
            <w:left w:val="none" w:sz="0" w:space="0" w:color="auto"/>
            <w:bottom w:val="none" w:sz="0" w:space="0" w:color="auto"/>
            <w:right w:val="none" w:sz="0" w:space="0" w:color="auto"/>
          </w:divBdr>
        </w:div>
        <w:div w:id="186719870">
          <w:marLeft w:val="547"/>
          <w:marRight w:val="0"/>
          <w:marTop w:val="86"/>
          <w:marBottom w:val="0"/>
          <w:divBdr>
            <w:top w:val="none" w:sz="0" w:space="0" w:color="auto"/>
            <w:left w:val="none" w:sz="0" w:space="0" w:color="auto"/>
            <w:bottom w:val="none" w:sz="0" w:space="0" w:color="auto"/>
            <w:right w:val="none" w:sz="0" w:space="0" w:color="auto"/>
          </w:divBdr>
        </w:div>
        <w:div w:id="1283726054">
          <w:marLeft w:val="547"/>
          <w:marRight w:val="0"/>
          <w:marTop w:val="86"/>
          <w:marBottom w:val="0"/>
          <w:divBdr>
            <w:top w:val="none" w:sz="0" w:space="0" w:color="auto"/>
            <w:left w:val="none" w:sz="0" w:space="0" w:color="auto"/>
            <w:bottom w:val="none" w:sz="0" w:space="0" w:color="auto"/>
            <w:right w:val="none" w:sz="0" w:space="0" w:color="auto"/>
          </w:divBdr>
        </w:div>
      </w:divsChild>
    </w:div>
    <w:div w:id="1749843236">
      <w:bodyDiv w:val="1"/>
      <w:marLeft w:val="0"/>
      <w:marRight w:val="0"/>
      <w:marTop w:val="0"/>
      <w:marBottom w:val="0"/>
      <w:divBdr>
        <w:top w:val="none" w:sz="0" w:space="0" w:color="auto"/>
        <w:left w:val="none" w:sz="0" w:space="0" w:color="auto"/>
        <w:bottom w:val="none" w:sz="0" w:space="0" w:color="auto"/>
        <w:right w:val="none" w:sz="0" w:space="0" w:color="auto"/>
      </w:divBdr>
    </w:div>
    <w:div w:id="1769040140">
      <w:bodyDiv w:val="1"/>
      <w:marLeft w:val="0"/>
      <w:marRight w:val="0"/>
      <w:marTop w:val="0"/>
      <w:marBottom w:val="0"/>
      <w:divBdr>
        <w:top w:val="none" w:sz="0" w:space="0" w:color="auto"/>
        <w:left w:val="none" w:sz="0" w:space="0" w:color="auto"/>
        <w:bottom w:val="none" w:sz="0" w:space="0" w:color="auto"/>
        <w:right w:val="none" w:sz="0" w:space="0" w:color="auto"/>
      </w:divBdr>
      <w:divsChild>
        <w:div w:id="1676415584">
          <w:marLeft w:val="0"/>
          <w:marRight w:val="0"/>
          <w:marTop w:val="0"/>
          <w:marBottom w:val="0"/>
          <w:divBdr>
            <w:top w:val="none" w:sz="0" w:space="0" w:color="auto"/>
            <w:left w:val="none" w:sz="0" w:space="0" w:color="auto"/>
            <w:bottom w:val="none" w:sz="0" w:space="0" w:color="auto"/>
            <w:right w:val="none" w:sz="0" w:space="0" w:color="auto"/>
          </w:divBdr>
          <w:divsChild>
            <w:div w:id="1811481109">
              <w:marLeft w:val="0"/>
              <w:marRight w:val="0"/>
              <w:marTop w:val="0"/>
              <w:marBottom w:val="0"/>
              <w:divBdr>
                <w:top w:val="none" w:sz="0" w:space="0" w:color="auto"/>
                <w:left w:val="none" w:sz="0" w:space="0" w:color="auto"/>
                <w:bottom w:val="none" w:sz="0" w:space="0" w:color="auto"/>
                <w:right w:val="none" w:sz="0" w:space="0" w:color="auto"/>
              </w:divBdr>
              <w:divsChild>
                <w:div w:id="41907239">
                  <w:marLeft w:val="0"/>
                  <w:marRight w:val="0"/>
                  <w:marTop w:val="0"/>
                  <w:marBottom w:val="0"/>
                  <w:divBdr>
                    <w:top w:val="none" w:sz="0" w:space="0" w:color="auto"/>
                    <w:left w:val="none" w:sz="0" w:space="0" w:color="auto"/>
                    <w:bottom w:val="none" w:sz="0" w:space="0" w:color="auto"/>
                    <w:right w:val="none" w:sz="0" w:space="0" w:color="auto"/>
                  </w:divBdr>
                </w:div>
                <w:div w:id="553657195">
                  <w:marLeft w:val="0"/>
                  <w:marRight w:val="0"/>
                  <w:marTop w:val="0"/>
                  <w:marBottom w:val="0"/>
                  <w:divBdr>
                    <w:top w:val="none" w:sz="0" w:space="0" w:color="auto"/>
                    <w:left w:val="none" w:sz="0" w:space="0" w:color="auto"/>
                    <w:bottom w:val="none" w:sz="0" w:space="0" w:color="auto"/>
                    <w:right w:val="none" w:sz="0" w:space="0" w:color="auto"/>
                  </w:divBdr>
                </w:div>
                <w:div w:id="163756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534374">
      <w:bodyDiv w:val="1"/>
      <w:marLeft w:val="0"/>
      <w:marRight w:val="0"/>
      <w:marTop w:val="0"/>
      <w:marBottom w:val="0"/>
      <w:divBdr>
        <w:top w:val="none" w:sz="0" w:space="0" w:color="auto"/>
        <w:left w:val="none" w:sz="0" w:space="0" w:color="auto"/>
        <w:bottom w:val="none" w:sz="0" w:space="0" w:color="auto"/>
        <w:right w:val="none" w:sz="0" w:space="0" w:color="auto"/>
      </w:divBdr>
      <w:divsChild>
        <w:div w:id="705637358">
          <w:marLeft w:val="0"/>
          <w:marRight w:val="0"/>
          <w:marTop w:val="0"/>
          <w:marBottom w:val="0"/>
          <w:divBdr>
            <w:top w:val="none" w:sz="0" w:space="0" w:color="auto"/>
            <w:left w:val="none" w:sz="0" w:space="0" w:color="auto"/>
            <w:bottom w:val="none" w:sz="0" w:space="0" w:color="auto"/>
            <w:right w:val="none" w:sz="0" w:space="0" w:color="auto"/>
          </w:divBdr>
          <w:divsChild>
            <w:div w:id="226887204">
              <w:marLeft w:val="0"/>
              <w:marRight w:val="0"/>
              <w:marTop w:val="0"/>
              <w:marBottom w:val="0"/>
              <w:divBdr>
                <w:top w:val="none" w:sz="0" w:space="0" w:color="auto"/>
                <w:left w:val="none" w:sz="0" w:space="0" w:color="auto"/>
                <w:bottom w:val="none" w:sz="0" w:space="0" w:color="auto"/>
                <w:right w:val="none" w:sz="0" w:space="0" w:color="auto"/>
              </w:divBdr>
              <w:divsChild>
                <w:div w:id="89327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308795">
      <w:bodyDiv w:val="1"/>
      <w:marLeft w:val="0"/>
      <w:marRight w:val="0"/>
      <w:marTop w:val="0"/>
      <w:marBottom w:val="0"/>
      <w:divBdr>
        <w:top w:val="none" w:sz="0" w:space="0" w:color="auto"/>
        <w:left w:val="none" w:sz="0" w:space="0" w:color="auto"/>
        <w:bottom w:val="none" w:sz="0" w:space="0" w:color="auto"/>
        <w:right w:val="none" w:sz="0" w:space="0" w:color="auto"/>
      </w:divBdr>
    </w:div>
    <w:div w:id="1828550844">
      <w:bodyDiv w:val="1"/>
      <w:marLeft w:val="0"/>
      <w:marRight w:val="0"/>
      <w:marTop w:val="0"/>
      <w:marBottom w:val="0"/>
      <w:divBdr>
        <w:top w:val="none" w:sz="0" w:space="0" w:color="auto"/>
        <w:left w:val="none" w:sz="0" w:space="0" w:color="auto"/>
        <w:bottom w:val="none" w:sz="0" w:space="0" w:color="auto"/>
        <w:right w:val="none" w:sz="0" w:space="0" w:color="auto"/>
      </w:divBdr>
    </w:div>
    <w:div w:id="1833712842">
      <w:bodyDiv w:val="1"/>
      <w:marLeft w:val="0"/>
      <w:marRight w:val="0"/>
      <w:marTop w:val="0"/>
      <w:marBottom w:val="0"/>
      <w:divBdr>
        <w:top w:val="none" w:sz="0" w:space="0" w:color="auto"/>
        <w:left w:val="none" w:sz="0" w:space="0" w:color="auto"/>
        <w:bottom w:val="none" w:sz="0" w:space="0" w:color="auto"/>
        <w:right w:val="none" w:sz="0" w:space="0" w:color="auto"/>
      </w:divBdr>
      <w:divsChild>
        <w:div w:id="1000894134">
          <w:marLeft w:val="0"/>
          <w:marRight w:val="0"/>
          <w:marTop w:val="0"/>
          <w:marBottom w:val="0"/>
          <w:divBdr>
            <w:top w:val="none" w:sz="0" w:space="0" w:color="auto"/>
            <w:left w:val="none" w:sz="0" w:space="0" w:color="auto"/>
            <w:bottom w:val="none" w:sz="0" w:space="0" w:color="auto"/>
            <w:right w:val="none" w:sz="0" w:space="0" w:color="auto"/>
          </w:divBdr>
          <w:divsChild>
            <w:div w:id="718627328">
              <w:marLeft w:val="0"/>
              <w:marRight w:val="0"/>
              <w:marTop w:val="0"/>
              <w:marBottom w:val="0"/>
              <w:divBdr>
                <w:top w:val="none" w:sz="0" w:space="0" w:color="auto"/>
                <w:left w:val="none" w:sz="0" w:space="0" w:color="auto"/>
                <w:bottom w:val="none" w:sz="0" w:space="0" w:color="auto"/>
                <w:right w:val="none" w:sz="0" w:space="0" w:color="auto"/>
              </w:divBdr>
              <w:divsChild>
                <w:div w:id="70525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797707">
      <w:bodyDiv w:val="1"/>
      <w:marLeft w:val="0"/>
      <w:marRight w:val="0"/>
      <w:marTop w:val="0"/>
      <w:marBottom w:val="0"/>
      <w:divBdr>
        <w:top w:val="none" w:sz="0" w:space="0" w:color="auto"/>
        <w:left w:val="none" w:sz="0" w:space="0" w:color="auto"/>
        <w:bottom w:val="none" w:sz="0" w:space="0" w:color="auto"/>
        <w:right w:val="none" w:sz="0" w:space="0" w:color="auto"/>
      </w:divBdr>
    </w:div>
    <w:div w:id="1889612489">
      <w:bodyDiv w:val="1"/>
      <w:marLeft w:val="0"/>
      <w:marRight w:val="0"/>
      <w:marTop w:val="0"/>
      <w:marBottom w:val="0"/>
      <w:divBdr>
        <w:top w:val="none" w:sz="0" w:space="0" w:color="auto"/>
        <w:left w:val="none" w:sz="0" w:space="0" w:color="auto"/>
        <w:bottom w:val="none" w:sz="0" w:space="0" w:color="auto"/>
        <w:right w:val="none" w:sz="0" w:space="0" w:color="auto"/>
      </w:divBdr>
      <w:divsChild>
        <w:div w:id="1988240129">
          <w:marLeft w:val="0"/>
          <w:marRight w:val="0"/>
          <w:marTop w:val="0"/>
          <w:marBottom w:val="0"/>
          <w:divBdr>
            <w:top w:val="none" w:sz="0" w:space="0" w:color="auto"/>
            <w:left w:val="none" w:sz="0" w:space="0" w:color="auto"/>
            <w:bottom w:val="none" w:sz="0" w:space="0" w:color="auto"/>
            <w:right w:val="none" w:sz="0" w:space="0" w:color="auto"/>
          </w:divBdr>
          <w:divsChild>
            <w:div w:id="1842118551">
              <w:marLeft w:val="0"/>
              <w:marRight w:val="0"/>
              <w:marTop w:val="0"/>
              <w:marBottom w:val="0"/>
              <w:divBdr>
                <w:top w:val="none" w:sz="0" w:space="0" w:color="auto"/>
                <w:left w:val="none" w:sz="0" w:space="0" w:color="auto"/>
                <w:bottom w:val="none" w:sz="0" w:space="0" w:color="auto"/>
                <w:right w:val="none" w:sz="0" w:space="0" w:color="auto"/>
              </w:divBdr>
              <w:divsChild>
                <w:div w:id="1461728499">
                  <w:marLeft w:val="0"/>
                  <w:marRight w:val="0"/>
                  <w:marTop w:val="0"/>
                  <w:marBottom w:val="0"/>
                  <w:divBdr>
                    <w:top w:val="none" w:sz="0" w:space="0" w:color="auto"/>
                    <w:left w:val="none" w:sz="0" w:space="0" w:color="auto"/>
                    <w:bottom w:val="none" w:sz="0" w:space="0" w:color="auto"/>
                    <w:right w:val="none" w:sz="0" w:space="0" w:color="auto"/>
                  </w:divBdr>
                  <w:divsChild>
                    <w:div w:id="45845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0454857">
      <w:bodyDiv w:val="1"/>
      <w:marLeft w:val="0"/>
      <w:marRight w:val="0"/>
      <w:marTop w:val="0"/>
      <w:marBottom w:val="0"/>
      <w:divBdr>
        <w:top w:val="none" w:sz="0" w:space="0" w:color="auto"/>
        <w:left w:val="none" w:sz="0" w:space="0" w:color="auto"/>
        <w:bottom w:val="none" w:sz="0" w:space="0" w:color="auto"/>
        <w:right w:val="none" w:sz="0" w:space="0" w:color="auto"/>
      </w:divBdr>
      <w:divsChild>
        <w:div w:id="1936209993">
          <w:marLeft w:val="0"/>
          <w:marRight w:val="0"/>
          <w:marTop w:val="0"/>
          <w:marBottom w:val="0"/>
          <w:divBdr>
            <w:top w:val="none" w:sz="0" w:space="0" w:color="auto"/>
            <w:left w:val="none" w:sz="0" w:space="0" w:color="auto"/>
            <w:bottom w:val="none" w:sz="0" w:space="0" w:color="auto"/>
            <w:right w:val="none" w:sz="0" w:space="0" w:color="auto"/>
          </w:divBdr>
          <w:divsChild>
            <w:div w:id="1928267933">
              <w:marLeft w:val="0"/>
              <w:marRight w:val="0"/>
              <w:marTop w:val="0"/>
              <w:marBottom w:val="0"/>
              <w:divBdr>
                <w:top w:val="none" w:sz="0" w:space="0" w:color="auto"/>
                <w:left w:val="none" w:sz="0" w:space="0" w:color="auto"/>
                <w:bottom w:val="none" w:sz="0" w:space="0" w:color="auto"/>
                <w:right w:val="none" w:sz="0" w:space="0" w:color="auto"/>
              </w:divBdr>
              <w:divsChild>
                <w:div w:id="108226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545694">
      <w:bodyDiv w:val="1"/>
      <w:marLeft w:val="0"/>
      <w:marRight w:val="0"/>
      <w:marTop w:val="0"/>
      <w:marBottom w:val="0"/>
      <w:divBdr>
        <w:top w:val="none" w:sz="0" w:space="0" w:color="auto"/>
        <w:left w:val="none" w:sz="0" w:space="0" w:color="auto"/>
        <w:bottom w:val="none" w:sz="0" w:space="0" w:color="auto"/>
        <w:right w:val="none" w:sz="0" w:space="0" w:color="auto"/>
      </w:divBdr>
      <w:divsChild>
        <w:div w:id="1032801324">
          <w:marLeft w:val="446"/>
          <w:marRight w:val="0"/>
          <w:marTop w:val="0"/>
          <w:marBottom w:val="0"/>
          <w:divBdr>
            <w:top w:val="none" w:sz="0" w:space="0" w:color="auto"/>
            <w:left w:val="none" w:sz="0" w:space="0" w:color="auto"/>
            <w:bottom w:val="none" w:sz="0" w:space="0" w:color="auto"/>
            <w:right w:val="none" w:sz="0" w:space="0" w:color="auto"/>
          </w:divBdr>
        </w:div>
        <w:div w:id="1722247156">
          <w:marLeft w:val="446"/>
          <w:marRight w:val="0"/>
          <w:marTop w:val="0"/>
          <w:marBottom w:val="0"/>
          <w:divBdr>
            <w:top w:val="none" w:sz="0" w:space="0" w:color="auto"/>
            <w:left w:val="none" w:sz="0" w:space="0" w:color="auto"/>
            <w:bottom w:val="none" w:sz="0" w:space="0" w:color="auto"/>
            <w:right w:val="none" w:sz="0" w:space="0" w:color="auto"/>
          </w:divBdr>
        </w:div>
        <w:div w:id="938365427">
          <w:marLeft w:val="446"/>
          <w:marRight w:val="0"/>
          <w:marTop w:val="0"/>
          <w:marBottom w:val="0"/>
          <w:divBdr>
            <w:top w:val="none" w:sz="0" w:space="0" w:color="auto"/>
            <w:left w:val="none" w:sz="0" w:space="0" w:color="auto"/>
            <w:bottom w:val="none" w:sz="0" w:space="0" w:color="auto"/>
            <w:right w:val="none" w:sz="0" w:space="0" w:color="auto"/>
          </w:divBdr>
        </w:div>
        <w:div w:id="1900364809">
          <w:marLeft w:val="446"/>
          <w:marRight w:val="0"/>
          <w:marTop w:val="0"/>
          <w:marBottom w:val="0"/>
          <w:divBdr>
            <w:top w:val="none" w:sz="0" w:space="0" w:color="auto"/>
            <w:left w:val="none" w:sz="0" w:space="0" w:color="auto"/>
            <w:bottom w:val="none" w:sz="0" w:space="0" w:color="auto"/>
            <w:right w:val="none" w:sz="0" w:space="0" w:color="auto"/>
          </w:divBdr>
        </w:div>
        <w:div w:id="1316958492">
          <w:marLeft w:val="446"/>
          <w:marRight w:val="0"/>
          <w:marTop w:val="0"/>
          <w:marBottom w:val="0"/>
          <w:divBdr>
            <w:top w:val="none" w:sz="0" w:space="0" w:color="auto"/>
            <w:left w:val="none" w:sz="0" w:space="0" w:color="auto"/>
            <w:bottom w:val="none" w:sz="0" w:space="0" w:color="auto"/>
            <w:right w:val="none" w:sz="0" w:space="0" w:color="auto"/>
          </w:divBdr>
        </w:div>
        <w:div w:id="720179850">
          <w:marLeft w:val="446"/>
          <w:marRight w:val="0"/>
          <w:marTop w:val="0"/>
          <w:marBottom w:val="0"/>
          <w:divBdr>
            <w:top w:val="none" w:sz="0" w:space="0" w:color="auto"/>
            <w:left w:val="none" w:sz="0" w:space="0" w:color="auto"/>
            <w:bottom w:val="none" w:sz="0" w:space="0" w:color="auto"/>
            <w:right w:val="none" w:sz="0" w:space="0" w:color="auto"/>
          </w:divBdr>
        </w:div>
        <w:div w:id="1188372509">
          <w:marLeft w:val="446"/>
          <w:marRight w:val="0"/>
          <w:marTop w:val="0"/>
          <w:marBottom w:val="0"/>
          <w:divBdr>
            <w:top w:val="none" w:sz="0" w:space="0" w:color="auto"/>
            <w:left w:val="none" w:sz="0" w:space="0" w:color="auto"/>
            <w:bottom w:val="none" w:sz="0" w:space="0" w:color="auto"/>
            <w:right w:val="none" w:sz="0" w:space="0" w:color="auto"/>
          </w:divBdr>
        </w:div>
        <w:div w:id="1148781961">
          <w:marLeft w:val="446"/>
          <w:marRight w:val="0"/>
          <w:marTop w:val="0"/>
          <w:marBottom w:val="0"/>
          <w:divBdr>
            <w:top w:val="none" w:sz="0" w:space="0" w:color="auto"/>
            <w:left w:val="none" w:sz="0" w:space="0" w:color="auto"/>
            <w:bottom w:val="none" w:sz="0" w:space="0" w:color="auto"/>
            <w:right w:val="none" w:sz="0" w:space="0" w:color="auto"/>
          </w:divBdr>
        </w:div>
        <w:div w:id="1680426240">
          <w:marLeft w:val="446"/>
          <w:marRight w:val="0"/>
          <w:marTop w:val="0"/>
          <w:marBottom w:val="0"/>
          <w:divBdr>
            <w:top w:val="none" w:sz="0" w:space="0" w:color="auto"/>
            <w:left w:val="none" w:sz="0" w:space="0" w:color="auto"/>
            <w:bottom w:val="none" w:sz="0" w:space="0" w:color="auto"/>
            <w:right w:val="none" w:sz="0" w:space="0" w:color="auto"/>
          </w:divBdr>
        </w:div>
        <w:div w:id="1366521457">
          <w:marLeft w:val="446"/>
          <w:marRight w:val="0"/>
          <w:marTop w:val="0"/>
          <w:marBottom w:val="0"/>
          <w:divBdr>
            <w:top w:val="none" w:sz="0" w:space="0" w:color="auto"/>
            <w:left w:val="none" w:sz="0" w:space="0" w:color="auto"/>
            <w:bottom w:val="none" w:sz="0" w:space="0" w:color="auto"/>
            <w:right w:val="none" w:sz="0" w:space="0" w:color="auto"/>
          </w:divBdr>
        </w:div>
        <w:div w:id="1222792620">
          <w:marLeft w:val="446"/>
          <w:marRight w:val="0"/>
          <w:marTop w:val="0"/>
          <w:marBottom w:val="0"/>
          <w:divBdr>
            <w:top w:val="none" w:sz="0" w:space="0" w:color="auto"/>
            <w:left w:val="none" w:sz="0" w:space="0" w:color="auto"/>
            <w:bottom w:val="none" w:sz="0" w:space="0" w:color="auto"/>
            <w:right w:val="none" w:sz="0" w:space="0" w:color="auto"/>
          </w:divBdr>
        </w:div>
        <w:div w:id="1793859277">
          <w:marLeft w:val="446"/>
          <w:marRight w:val="0"/>
          <w:marTop w:val="0"/>
          <w:marBottom w:val="0"/>
          <w:divBdr>
            <w:top w:val="none" w:sz="0" w:space="0" w:color="auto"/>
            <w:left w:val="none" w:sz="0" w:space="0" w:color="auto"/>
            <w:bottom w:val="none" w:sz="0" w:space="0" w:color="auto"/>
            <w:right w:val="none" w:sz="0" w:space="0" w:color="auto"/>
          </w:divBdr>
        </w:div>
        <w:div w:id="1382822301">
          <w:marLeft w:val="446"/>
          <w:marRight w:val="0"/>
          <w:marTop w:val="0"/>
          <w:marBottom w:val="0"/>
          <w:divBdr>
            <w:top w:val="none" w:sz="0" w:space="0" w:color="auto"/>
            <w:left w:val="none" w:sz="0" w:space="0" w:color="auto"/>
            <w:bottom w:val="none" w:sz="0" w:space="0" w:color="auto"/>
            <w:right w:val="none" w:sz="0" w:space="0" w:color="auto"/>
          </w:divBdr>
        </w:div>
        <w:div w:id="1661737504">
          <w:marLeft w:val="446"/>
          <w:marRight w:val="0"/>
          <w:marTop w:val="0"/>
          <w:marBottom w:val="0"/>
          <w:divBdr>
            <w:top w:val="none" w:sz="0" w:space="0" w:color="auto"/>
            <w:left w:val="none" w:sz="0" w:space="0" w:color="auto"/>
            <w:bottom w:val="none" w:sz="0" w:space="0" w:color="auto"/>
            <w:right w:val="none" w:sz="0" w:space="0" w:color="auto"/>
          </w:divBdr>
        </w:div>
        <w:div w:id="1546671740">
          <w:marLeft w:val="446"/>
          <w:marRight w:val="0"/>
          <w:marTop w:val="0"/>
          <w:marBottom w:val="0"/>
          <w:divBdr>
            <w:top w:val="none" w:sz="0" w:space="0" w:color="auto"/>
            <w:left w:val="none" w:sz="0" w:space="0" w:color="auto"/>
            <w:bottom w:val="none" w:sz="0" w:space="0" w:color="auto"/>
            <w:right w:val="none" w:sz="0" w:space="0" w:color="auto"/>
          </w:divBdr>
        </w:div>
      </w:divsChild>
    </w:div>
    <w:div w:id="1950814759">
      <w:bodyDiv w:val="1"/>
      <w:marLeft w:val="0"/>
      <w:marRight w:val="0"/>
      <w:marTop w:val="0"/>
      <w:marBottom w:val="0"/>
      <w:divBdr>
        <w:top w:val="none" w:sz="0" w:space="0" w:color="auto"/>
        <w:left w:val="none" w:sz="0" w:space="0" w:color="auto"/>
        <w:bottom w:val="none" w:sz="0" w:space="0" w:color="auto"/>
        <w:right w:val="none" w:sz="0" w:space="0" w:color="auto"/>
      </w:divBdr>
      <w:divsChild>
        <w:div w:id="1276256084">
          <w:marLeft w:val="0"/>
          <w:marRight w:val="0"/>
          <w:marTop w:val="0"/>
          <w:marBottom w:val="0"/>
          <w:divBdr>
            <w:top w:val="none" w:sz="0" w:space="0" w:color="auto"/>
            <w:left w:val="none" w:sz="0" w:space="0" w:color="auto"/>
            <w:bottom w:val="none" w:sz="0" w:space="0" w:color="auto"/>
            <w:right w:val="none" w:sz="0" w:space="0" w:color="auto"/>
          </w:divBdr>
          <w:divsChild>
            <w:div w:id="1067728412">
              <w:marLeft w:val="0"/>
              <w:marRight w:val="0"/>
              <w:marTop w:val="0"/>
              <w:marBottom w:val="0"/>
              <w:divBdr>
                <w:top w:val="none" w:sz="0" w:space="0" w:color="auto"/>
                <w:left w:val="none" w:sz="0" w:space="0" w:color="auto"/>
                <w:bottom w:val="none" w:sz="0" w:space="0" w:color="auto"/>
                <w:right w:val="none" w:sz="0" w:space="0" w:color="auto"/>
              </w:divBdr>
              <w:divsChild>
                <w:div w:id="289753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361572">
      <w:bodyDiv w:val="1"/>
      <w:marLeft w:val="0"/>
      <w:marRight w:val="0"/>
      <w:marTop w:val="0"/>
      <w:marBottom w:val="0"/>
      <w:divBdr>
        <w:top w:val="none" w:sz="0" w:space="0" w:color="auto"/>
        <w:left w:val="none" w:sz="0" w:space="0" w:color="auto"/>
        <w:bottom w:val="none" w:sz="0" w:space="0" w:color="auto"/>
        <w:right w:val="none" w:sz="0" w:space="0" w:color="auto"/>
      </w:divBdr>
    </w:div>
    <w:div w:id="2013560523">
      <w:bodyDiv w:val="1"/>
      <w:marLeft w:val="0"/>
      <w:marRight w:val="0"/>
      <w:marTop w:val="0"/>
      <w:marBottom w:val="0"/>
      <w:divBdr>
        <w:top w:val="none" w:sz="0" w:space="0" w:color="auto"/>
        <w:left w:val="none" w:sz="0" w:space="0" w:color="auto"/>
        <w:bottom w:val="none" w:sz="0" w:space="0" w:color="auto"/>
        <w:right w:val="none" w:sz="0" w:space="0" w:color="auto"/>
      </w:divBdr>
    </w:div>
    <w:div w:id="2038044566">
      <w:bodyDiv w:val="1"/>
      <w:marLeft w:val="0"/>
      <w:marRight w:val="0"/>
      <w:marTop w:val="0"/>
      <w:marBottom w:val="0"/>
      <w:divBdr>
        <w:top w:val="none" w:sz="0" w:space="0" w:color="auto"/>
        <w:left w:val="none" w:sz="0" w:space="0" w:color="auto"/>
        <w:bottom w:val="none" w:sz="0" w:space="0" w:color="auto"/>
        <w:right w:val="none" w:sz="0" w:space="0" w:color="auto"/>
      </w:divBdr>
      <w:divsChild>
        <w:div w:id="662782353">
          <w:marLeft w:val="0"/>
          <w:marRight w:val="0"/>
          <w:marTop w:val="0"/>
          <w:marBottom w:val="0"/>
          <w:divBdr>
            <w:top w:val="none" w:sz="0" w:space="0" w:color="auto"/>
            <w:left w:val="none" w:sz="0" w:space="0" w:color="auto"/>
            <w:bottom w:val="none" w:sz="0" w:space="0" w:color="auto"/>
            <w:right w:val="none" w:sz="0" w:space="0" w:color="auto"/>
          </w:divBdr>
          <w:divsChild>
            <w:div w:id="340470277">
              <w:marLeft w:val="0"/>
              <w:marRight w:val="0"/>
              <w:marTop w:val="0"/>
              <w:marBottom w:val="0"/>
              <w:divBdr>
                <w:top w:val="none" w:sz="0" w:space="0" w:color="auto"/>
                <w:left w:val="none" w:sz="0" w:space="0" w:color="auto"/>
                <w:bottom w:val="none" w:sz="0" w:space="0" w:color="auto"/>
                <w:right w:val="none" w:sz="0" w:space="0" w:color="auto"/>
              </w:divBdr>
              <w:divsChild>
                <w:div w:id="118240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277">
      <w:bodyDiv w:val="1"/>
      <w:marLeft w:val="0"/>
      <w:marRight w:val="0"/>
      <w:marTop w:val="0"/>
      <w:marBottom w:val="0"/>
      <w:divBdr>
        <w:top w:val="none" w:sz="0" w:space="0" w:color="auto"/>
        <w:left w:val="none" w:sz="0" w:space="0" w:color="auto"/>
        <w:bottom w:val="none" w:sz="0" w:space="0" w:color="auto"/>
        <w:right w:val="none" w:sz="0" w:space="0" w:color="auto"/>
      </w:divBdr>
      <w:divsChild>
        <w:div w:id="144974248">
          <w:marLeft w:val="547"/>
          <w:marRight w:val="0"/>
          <w:marTop w:val="96"/>
          <w:marBottom w:val="0"/>
          <w:divBdr>
            <w:top w:val="none" w:sz="0" w:space="0" w:color="auto"/>
            <w:left w:val="none" w:sz="0" w:space="0" w:color="auto"/>
            <w:bottom w:val="none" w:sz="0" w:space="0" w:color="auto"/>
            <w:right w:val="none" w:sz="0" w:space="0" w:color="auto"/>
          </w:divBdr>
        </w:div>
        <w:div w:id="410660140">
          <w:marLeft w:val="547"/>
          <w:marRight w:val="0"/>
          <w:marTop w:val="96"/>
          <w:marBottom w:val="0"/>
          <w:divBdr>
            <w:top w:val="none" w:sz="0" w:space="0" w:color="auto"/>
            <w:left w:val="none" w:sz="0" w:space="0" w:color="auto"/>
            <w:bottom w:val="none" w:sz="0" w:space="0" w:color="auto"/>
            <w:right w:val="none" w:sz="0" w:space="0" w:color="auto"/>
          </w:divBdr>
        </w:div>
        <w:div w:id="1929381174">
          <w:marLeft w:val="547"/>
          <w:marRight w:val="0"/>
          <w:marTop w:val="96"/>
          <w:marBottom w:val="0"/>
          <w:divBdr>
            <w:top w:val="none" w:sz="0" w:space="0" w:color="auto"/>
            <w:left w:val="none" w:sz="0" w:space="0" w:color="auto"/>
            <w:bottom w:val="none" w:sz="0" w:space="0" w:color="auto"/>
            <w:right w:val="none" w:sz="0" w:space="0" w:color="auto"/>
          </w:divBdr>
        </w:div>
      </w:divsChild>
    </w:div>
    <w:div w:id="2059670552">
      <w:bodyDiv w:val="1"/>
      <w:marLeft w:val="0"/>
      <w:marRight w:val="0"/>
      <w:marTop w:val="0"/>
      <w:marBottom w:val="0"/>
      <w:divBdr>
        <w:top w:val="none" w:sz="0" w:space="0" w:color="auto"/>
        <w:left w:val="none" w:sz="0" w:space="0" w:color="auto"/>
        <w:bottom w:val="none" w:sz="0" w:space="0" w:color="auto"/>
        <w:right w:val="none" w:sz="0" w:space="0" w:color="auto"/>
      </w:divBdr>
    </w:div>
    <w:div w:id="2061706530">
      <w:bodyDiv w:val="1"/>
      <w:marLeft w:val="0"/>
      <w:marRight w:val="0"/>
      <w:marTop w:val="0"/>
      <w:marBottom w:val="0"/>
      <w:divBdr>
        <w:top w:val="none" w:sz="0" w:space="0" w:color="auto"/>
        <w:left w:val="none" w:sz="0" w:space="0" w:color="auto"/>
        <w:bottom w:val="none" w:sz="0" w:space="0" w:color="auto"/>
        <w:right w:val="none" w:sz="0" w:space="0" w:color="auto"/>
      </w:divBdr>
    </w:div>
    <w:div w:id="2067678274">
      <w:bodyDiv w:val="1"/>
      <w:marLeft w:val="0"/>
      <w:marRight w:val="0"/>
      <w:marTop w:val="0"/>
      <w:marBottom w:val="0"/>
      <w:divBdr>
        <w:top w:val="none" w:sz="0" w:space="0" w:color="auto"/>
        <w:left w:val="none" w:sz="0" w:space="0" w:color="auto"/>
        <w:bottom w:val="none" w:sz="0" w:space="0" w:color="auto"/>
        <w:right w:val="none" w:sz="0" w:space="0" w:color="auto"/>
      </w:divBdr>
    </w:div>
    <w:div w:id="2081754334">
      <w:bodyDiv w:val="1"/>
      <w:marLeft w:val="0"/>
      <w:marRight w:val="0"/>
      <w:marTop w:val="0"/>
      <w:marBottom w:val="0"/>
      <w:divBdr>
        <w:top w:val="none" w:sz="0" w:space="0" w:color="auto"/>
        <w:left w:val="none" w:sz="0" w:space="0" w:color="auto"/>
        <w:bottom w:val="none" w:sz="0" w:space="0" w:color="auto"/>
        <w:right w:val="none" w:sz="0" w:space="0" w:color="auto"/>
      </w:divBdr>
      <w:divsChild>
        <w:div w:id="286279924">
          <w:marLeft w:val="0"/>
          <w:marRight w:val="0"/>
          <w:marTop w:val="0"/>
          <w:marBottom w:val="0"/>
          <w:divBdr>
            <w:top w:val="none" w:sz="0" w:space="0" w:color="auto"/>
            <w:left w:val="none" w:sz="0" w:space="0" w:color="auto"/>
            <w:bottom w:val="none" w:sz="0" w:space="0" w:color="auto"/>
            <w:right w:val="none" w:sz="0" w:space="0" w:color="auto"/>
          </w:divBdr>
          <w:divsChild>
            <w:div w:id="424228535">
              <w:marLeft w:val="0"/>
              <w:marRight w:val="0"/>
              <w:marTop w:val="0"/>
              <w:marBottom w:val="0"/>
              <w:divBdr>
                <w:top w:val="none" w:sz="0" w:space="0" w:color="auto"/>
                <w:left w:val="none" w:sz="0" w:space="0" w:color="auto"/>
                <w:bottom w:val="none" w:sz="0" w:space="0" w:color="auto"/>
                <w:right w:val="none" w:sz="0" w:space="0" w:color="auto"/>
              </w:divBdr>
              <w:divsChild>
                <w:div w:id="1431438076">
                  <w:marLeft w:val="0"/>
                  <w:marRight w:val="0"/>
                  <w:marTop w:val="0"/>
                  <w:marBottom w:val="0"/>
                  <w:divBdr>
                    <w:top w:val="none" w:sz="0" w:space="0" w:color="auto"/>
                    <w:left w:val="none" w:sz="0" w:space="0" w:color="auto"/>
                    <w:bottom w:val="none" w:sz="0" w:space="0" w:color="auto"/>
                    <w:right w:val="none" w:sz="0" w:space="0" w:color="auto"/>
                  </w:divBdr>
                </w:div>
              </w:divsChild>
            </w:div>
            <w:div w:id="1388988563">
              <w:marLeft w:val="0"/>
              <w:marRight w:val="0"/>
              <w:marTop w:val="0"/>
              <w:marBottom w:val="0"/>
              <w:divBdr>
                <w:top w:val="none" w:sz="0" w:space="0" w:color="auto"/>
                <w:left w:val="none" w:sz="0" w:space="0" w:color="auto"/>
                <w:bottom w:val="none" w:sz="0" w:space="0" w:color="auto"/>
                <w:right w:val="none" w:sz="0" w:space="0" w:color="auto"/>
              </w:divBdr>
              <w:divsChild>
                <w:div w:id="207496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276447">
          <w:marLeft w:val="0"/>
          <w:marRight w:val="0"/>
          <w:marTop w:val="0"/>
          <w:marBottom w:val="0"/>
          <w:divBdr>
            <w:top w:val="none" w:sz="0" w:space="0" w:color="auto"/>
            <w:left w:val="none" w:sz="0" w:space="0" w:color="auto"/>
            <w:bottom w:val="none" w:sz="0" w:space="0" w:color="auto"/>
            <w:right w:val="none" w:sz="0" w:space="0" w:color="auto"/>
          </w:divBdr>
          <w:divsChild>
            <w:div w:id="1590692892">
              <w:marLeft w:val="0"/>
              <w:marRight w:val="0"/>
              <w:marTop w:val="0"/>
              <w:marBottom w:val="0"/>
              <w:divBdr>
                <w:top w:val="none" w:sz="0" w:space="0" w:color="auto"/>
                <w:left w:val="none" w:sz="0" w:space="0" w:color="auto"/>
                <w:bottom w:val="none" w:sz="0" w:space="0" w:color="auto"/>
                <w:right w:val="none" w:sz="0" w:space="0" w:color="auto"/>
              </w:divBdr>
              <w:divsChild>
                <w:div w:id="115279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683057">
      <w:bodyDiv w:val="1"/>
      <w:marLeft w:val="0"/>
      <w:marRight w:val="0"/>
      <w:marTop w:val="0"/>
      <w:marBottom w:val="0"/>
      <w:divBdr>
        <w:top w:val="none" w:sz="0" w:space="0" w:color="auto"/>
        <w:left w:val="none" w:sz="0" w:space="0" w:color="auto"/>
        <w:bottom w:val="none" w:sz="0" w:space="0" w:color="auto"/>
        <w:right w:val="none" w:sz="0" w:space="0" w:color="auto"/>
      </w:divBdr>
    </w:div>
    <w:div w:id="2091386154">
      <w:bodyDiv w:val="1"/>
      <w:marLeft w:val="0"/>
      <w:marRight w:val="0"/>
      <w:marTop w:val="0"/>
      <w:marBottom w:val="0"/>
      <w:divBdr>
        <w:top w:val="none" w:sz="0" w:space="0" w:color="auto"/>
        <w:left w:val="none" w:sz="0" w:space="0" w:color="auto"/>
        <w:bottom w:val="none" w:sz="0" w:space="0" w:color="auto"/>
        <w:right w:val="none" w:sz="0" w:space="0" w:color="auto"/>
      </w:divBdr>
      <w:divsChild>
        <w:div w:id="1939479303">
          <w:marLeft w:val="0"/>
          <w:marRight w:val="0"/>
          <w:marTop w:val="0"/>
          <w:marBottom w:val="0"/>
          <w:divBdr>
            <w:top w:val="none" w:sz="0" w:space="0" w:color="auto"/>
            <w:left w:val="none" w:sz="0" w:space="0" w:color="auto"/>
            <w:bottom w:val="none" w:sz="0" w:space="0" w:color="auto"/>
            <w:right w:val="none" w:sz="0" w:space="0" w:color="auto"/>
          </w:divBdr>
          <w:divsChild>
            <w:div w:id="553858285">
              <w:marLeft w:val="0"/>
              <w:marRight w:val="0"/>
              <w:marTop w:val="0"/>
              <w:marBottom w:val="0"/>
              <w:divBdr>
                <w:top w:val="none" w:sz="0" w:space="0" w:color="auto"/>
                <w:left w:val="none" w:sz="0" w:space="0" w:color="auto"/>
                <w:bottom w:val="none" w:sz="0" w:space="0" w:color="auto"/>
                <w:right w:val="none" w:sz="0" w:space="0" w:color="auto"/>
              </w:divBdr>
              <w:divsChild>
                <w:div w:id="214711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770401">
      <w:bodyDiv w:val="1"/>
      <w:marLeft w:val="0"/>
      <w:marRight w:val="0"/>
      <w:marTop w:val="0"/>
      <w:marBottom w:val="0"/>
      <w:divBdr>
        <w:top w:val="none" w:sz="0" w:space="0" w:color="auto"/>
        <w:left w:val="none" w:sz="0" w:space="0" w:color="auto"/>
        <w:bottom w:val="none" w:sz="0" w:space="0" w:color="auto"/>
        <w:right w:val="none" w:sz="0" w:space="0" w:color="auto"/>
      </w:divBdr>
      <w:divsChild>
        <w:div w:id="1959294025">
          <w:marLeft w:val="547"/>
          <w:marRight w:val="0"/>
          <w:marTop w:val="130"/>
          <w:marBottom w:val="0"/>
          <w:divBdr>
            <w:top w:val="none" w:sz="0" w:space="0" w:color="auto"/>
            <w:left w:val="none" w:sz="0" w:space="0" w:color="auto"/>
            <w:bottom w:val="none" w:sz="0" w:space="0" w:color="auto"/>
            <w:right w:val="none" w:sz="0" w:space="0" w:color="auto"/>
          </w:divBdr>
        </w:div>
        <w:div w:id="2028288351">
          <w:marLeft w:val="547"/>
          <w:marRight w:val="0"/>
          <w:marTop w:val="130"/>
          <w:marBottom w:val="0"/>
          <w:divBdr>
            <w:top w:val="none" w:sz="0" w:space="0" w:color="auto"/>
            <w:left w:val="none" w:sz="0" w:space="0" w:color="auto"/>
            <w:bottom w:val="none" w:sz="0" w:space="0" w:color="auto"/>
            <w:right w:val="none" w:sz="0" w:space="0" w:color="auto"/>
          </w:divBdr>
        </w:div>
      </w:divsChild>
    </w:div>
    <w:div w:id="2119330458">
      <w:bodyDiv w:val="1"/>
      <w:marLeft w:val="0"/>
      <w:marRight w:val="0"/>
      <w:marTop w:val="0"/>
      <w:marBottom w:val="0"/>
      <w:divBdr>
        <w:top w:val="none" w:sz="0" w:space="0" w:color="auto"/>
        <w:left w:val="none" w:sz="0" w:space="0" w:color="auto"/>
        <w:bottom w:val="none" w:sz="0" w:space="0" w:color="auto"/>
        <w:right w:val="none" w:sz="0" w:space="0" w:color="auto"/>
      </w:divBdr>
      <w:divsChild>
        <w:div w:id="1209679419">
          <w:marLeft w:val="0"/>
          <w:marRight w:val="0"/>
          <w:marTop w:val="0"/>
          <w:marBottom w:val="0"/>
          <w:divBdr>
            <w:top w:val="none" w:sz="0" w:space="0" w:color="auto"/>
            <w:left w:val="none" w:sz="0" w:space="0" w:color="auto"/>
            <w:bottom w:val="none" w:sz="0" w:space="0" w:color="auto"/>
            <w:right w:val="none" w:sz="0" w:space="0" w:color="auto"/>
          </w:divBdr>
          <w:divsChild>
            <w:div w:id="1044256785">
              <w:marLeft w:val="0"/>
              <w:marRight w:val="0"/>
              <w:marTop w:val="0"/>
              <w:marBottom w:val="0"/>
              <w:divBdr>
                <w:top w:val="none" w:sz="0" w:space="0" w:color="auto"/>
                <w:left w:val="none" w:sz="0" w:space="0" w:color="auto"/>
                <w:bottom w:val="none" w:sz="0" w:space="0" w:color="auto"/>
                <w:right w:val="none" w:sz="0" w:space="0" w:color="auto"/>
              </w:divBdr>
              <w:divsChild>
                <w:div w:id="135360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098509">
      <w:bodyDiv w:val="1"/>
      <w:marLeft w:val="0"/>
      <w:marRight w:val="0"/>
      <w:marTop w:val="0"/>
      <w:marBottom w:val="0"/>
      <w:divBdr>
        <w:top w:val="none" w:sz="0" w:space="0" w:color="auto"/>
        <w:left w:val="none" w:sz="0" w:space="0" w:color="auto"/>
        <w:bottom w:val="none" w:sz="0" w:space="0" w:color="auto"/>
        <w:right w:val="none" w:sz="0" w:space="0" w:color="auto"/>
      </w:divBdr>
    </w:div>
    <w:div w:id="2130926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cid:image001.png@01D270BD.D3BE4E40" TargetMode="External"/><Relationship Id="rId84" Type="http://schemas.openxmlformats.org/officeDocument/2006/relationships/image" Target="media/image66.emf"/><Relationship Id="rId89" Type="http://schemas.openxmlformats.org/officeDocument/2006/relationships/image" Target="media/image71.emf"/><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4.emf"/><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png"/><Relationship Id="rId107" Type="http://schemas.openxmlformats.org/officeDocument/2006/relationships/theme" Target="theme/theme1.xml"/><Relationship Id="rId11" Type="http://schemas.openxmlformats.org/officeDocument/2006/relationships/image" Target="media/image2.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hyperlink" Target="http://www.agenziafarmaco.gov.it/it/responsabili" TargetMode="External"/><Relationship Id="rId74" Type="http://schemas.openxmlformats.org/officeDocument/2006/relationships/hyperlink" Target="http://www.ema.europa.eu/docs/en_GB/document_library/EPAR_-_Product_Information/human/003932/WC500203066.pdf" TargetMode="External"/><Relationship Id="rId79" Type="http://schemas.openxmlformats.org/officeDocument/2006/relationships/image" Target="media/image61.emf"/><Relationship Id="rId87" Type="http://schemas.openxmlformats.org/officeDocument/2006/relationships/image" Target="media/image69.emf"/><Relationship Id="rId102" Type="http://schemas.openxmlformats.org/officeDocument/2006/relationships/image" Target="media/image84.emf"/><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64.emf"/><Relationship Id="rId90" Type="http://schemas.openxmlformats.org/officeDocument/2006/relationships/image" Target="media/image72.emf"/><Relationship Id="rId95" Type="http://schemas.openxmlformats.org/officeDocument/2006/relationships/image" Target="media/image77.emf"/><Relationship Id="rId19" Type="http://schemas.openxmlformats.org/officeDocument/2006/relationships/image" Target="media/image10.jpeg"/><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58.emf"/><Relationship Id="rId77" Type="http://schemas.openxmlformats.org/officeDocument/2006/relationships/hyperlink" Target="http://cks.nice.org.uk/gout" TargetMode="External"/><Relationship Id="rId100" Type="http://schemas.openxmlformats.org/officeDocument/2006/relationships/image" Target="media/image82.emf"/><Relationship Id="rId105" Type="http://schemas.openxmlformats.org/officeDocument/2006/relationships/header" Target="header2.xml"/><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chart" Target="charts/chart1.xml"/><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image" Target="media/image75.emf"/><Relationship Id="rId98" Type="http://schemas.openxmlformats.org/officeDocument/2006/relationships/image" Target="media/image80.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7.gif"/><Relationship Id="rId103" Type="http://schemas.openxmlformats.org/officeDocument/2006/relationships/image" Target="media/image85.emf"/><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59.emf"/><Relationship Id="rId75" Type="http://schemas.openxmlformats.org/officeDocument/2006/relationships/hyperlink" Target="http://www.ema.europa.eu/docs/en_GB/document_library/EPAR_-_Public_assessment_report/human/003932/WC500203069.pdf" TargetMode="External"/><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image" Target="media/image7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chart" Target="charts/chart2.xml"/><Relationship Id="rId78" Type="http://schemas.openxmlformats.org/officeDocument/2006/relationships/hyperlink" Target="http://www.fda.gov/downloads/drugs/guidancecomplianceregulatoryinformation/guidances/ucm072053.pdf" TargetMode="External"/><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image" Target="media/image76.emf"/><Relationship Id="rId99" Type="http://schemas.openxmlformats.org/officeDocument/2006/relationships/image" Target="media/image81.emf"/><Relationship Id="rId101" Type="http://schemas.openxmlformats.org/officeDocument/2006/relationships/image" Target="media/image83.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hyperlink" Target="http://demo.istat.it/" TargetMode="External"/><Relationship Id="rId97" Type="http://schemas.openxmlformats.org/officeDocument/2006/relationships/image" Target="media/image79.emf"/><Relationship Id="rId104" Type="http://schemas.openxmlformats.org/officeDocument/2006/relationships/image" Target="media/image86.em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Users\michelebasile\Desktop\ZURAMPIC_2\MODELLO%20E%20BUDGET%20IMPACT\Modello\Cartella%20di%20lavoro1.xlsm"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michelebasile\Desktop\ZURAMPIC_2\MODELLO%20E%20BUDGET%20IMPACT\Modello\Cartella%20di%20lavoro1.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75004795489401"/>
          <c:y val="7.8337517502575296E-2"/>
          <c:w val="0.63832571855084597"/>
          <c:h val="0.77499883242732603"/>
        </c:manualLayout>
      </c:layout>
      <c:scatterChart>
        <c:scatterStyle val="lineMarker"/>
        <c:varyColors val="0"/>
        <c:ser>
          <c:idx val="0"/>
          <c:order val="0"/>
          <c:tx>
            <c:v>PSA runs</c:v>
          </c:tx>
          <c:spPr>
            <a:ln w="31750" cap="rnd">
              <a:noFill/>
              <a:round/>
            </a:ln>
            <a:effectLst/>
          </c:spPr>
          <c:marker>
            <c:symbol val="circle"/>
            <c:size val="6"/>
            <c:spPr>
              <a:solidFill>
                <a:schemeClr val="accent1"/>
              </a:solidFill>
              <a:ln w="9525">
                <a:solidFill>
                  <a:schemeClr val="accent1">
                    <a:lumMod val="75000"/>
                  </a:schemeClr>
                </a:solidFill>
              </a:ln>
              <a:effectLst/>
            </c:spPr>
          </c:marker>
          <c:xVal>
            <c:numRef>
              <c:f>Foglio1!$D$3:$D$1002</c:f>
              <c:numCache>
                <c:formatCode>General</c:formatCode>
                <c:ptCount val="1000"/>
                <c:pt idx="0">
                  <c:v>0.230718725873965</c:v>
                </c:pt>
                <c:pt idx="1">
                  <c:v>0.158330492947235</c:v>
                </c:pt>
                <c:pt idx="2">
                  <c:v>0.14469544130700601</c:v>
                </c:pt>
                <c:pt idx="3">
                  <c:v>0.137031692758882</c:v>
                </c:pt>
                <c:pt idx="4">
                  <c:v>0.22064339520538101</c:v>
                </c:pt>
                <c:pt idx="5">
                  <c:v>0.17308269905352699</c:v>
                </c:pt>
                <c:pt idx="6">
                  <c:v>0.13526806409370601</c:v>
                </c:pt>
                <c:pt idx="7">
                  <c:v>0.18400123833583201</c:v>
                </c:pt>
                <c:pt idx="8">
                  <c:v>0.161643738064118</c:v>
                </c:pt>
                <c:pt idx="9">
                  <c:v>0.163646846446344</c:v>
                </c:pt>
                <c:pt idx="10">
                  <c:v>0.18546156818939</c:v>
                </c:pt>
                <c:pt idx="11">
                  <c:v>0.13459924710684401</c:v>
                </c:pt>
                <c:pt idx="12">
                  <c:v>0.15893260355865901</c:v>
                </c:pt>
                <c:pt idx="13">
                  <c:v>0.201762395956641</c:v>
                </c:pt>
                <c:pt idx="14">
                  <c:v>9.6302020350512399E-2</c:v>
                </c:pt>
                <c:pt idx="15">
                  <c:v>0.157395763741213</c:v>
                </c:pt>
                <c:pt idx="16">
                  <c:v>0.145354684314149</c:v>
                </c:pt>
                <c:pt idx="17">
                  <c:v>0.199904038914958</c:v>
                </c:pt>
                <c:pt idx="18">
                  <c:v>0.168582724985882</c:v>
                </c:pt>
                <c:pt idx="19">
                  <c:v>0.21934596531306</c:v>
                </c:pt>
                <c:pt idx="20">
                  <c:v>0.11964931918011899</c:v>
                </c:pt>
                <c:pt idx="21">
                  <c:v>0.17371242991215699</c:v>
                </c:pt>
                <c:pt idx="22">
                  <c:v>0.16657232553179199</c:v>
                </c:pt>
                <c:pt idx="23">
                  <c:v>0.12197400474853901</c:v>
                </c:pt>
                <c:pt idx="24">
                  <c:v>0.13928530551764701</c:v>
                </c:pt>
                <c:pt idx="25">
                  <c:v>0.195632894545508</c:v>
                </c:pt>
                <c:pt idx="26">
                  <c:v>0.205836437156213</c:v>
                </c:pt>
                <c:pt idx="27">
                  <c:v>0.20017424508312201</c:v>
                </c:pt>
                <c:pt idx="28">
                  <c:v>0.202242293921648</c:v>
                </c:pt>
                <c:pt idx="29">
                  <c:v>0.19316409117662001</c:v>
                </c:pt>
                <c:pt idx="30">
                  <c:v>0.14234212074074901</c:v>
                </c:pt>
                <c:pt idx="31">
                  <c:v>0.13853309390809701</c:v>
                </c:pt>
                <c:pt idx="32">
                  <c:v>0.15187614830233601</c:v>
                </c:pt>
                <c:pt idx="33">
                  <c:v>0.20028219775900699</c:v>
                </c:pt>
                <c:pt idx="34">
                  <c:v>0.19597954665782699</c:v>
                </c:pt>
                <c:pt idx="35">
                  <c:v>0.14451807641446399</c:v>
                </c:pt>
                <c:pt idx="36">
                  <c:v>0.125421701907977</c:v>
                </c:pt>
                <c:pt idx="37">
                  <c:v>0.15218488483801301</c:v>
                </c:pt>
                <c:pt idx="38">
                  <c:v>0.124790617003274</c:v>
                </c:pt>
                <c:pt idx="39">
                  <c:v>0.12025574974486</c:v>
                </c:pt>
                <c:pt idx="40">
                  <c:v>0.14980496810131799</c:v>
                </c:pt>
                <c:pt idx="41">
                  <c:v>7.4036590133675501E-2</c:v>
                </c:pt>
                <c:pt idx="42">
                  <c:v>0.13476294787884999</c:v>
                </c:pt>
                <c:pt idx="43">
                  <c:v>0.14067632229598101</c:v>
                </c:pt>
                <c:pt idx="44">
                  <c:v>0.14908830506338999</c:v>
                </c:pt>
                <c:pt idx="45">
                  <c:v>0.12538595688708401</c:v>
                </c:pt>
                <c:pt idx="46">
                  <c:v>0.18317085299139799</c:v>
                </c:pt>
                <c:pt idx="47">
                  <c:v>0.15603015742635901</c:v>
                </c:pt>
                <c:pt idx="48">
                  <c:v>0.159086682419462</c:v>
                </c:pt>
                <c:pt idx="49">
                  <c:v>9.6628065662802701E-2</c:v>
                </c:pt>
                <c:pt idx="50">
                  <c:v>0.18591740389566699</c:v>
                </c:pt>
                <c:pt idx="51">
                  <c:v>0.18850302631317301</c:v>
                </c:pt>
                <c:pt idx="52">
                  <c:v>0.151985260690369</c:v>
                </c:pt>
                <c:pt idx="53">
                  <c:v>0.16817131222331799</c:v>
                </c:pt>
                <c:pt idx="54">
                  <c:v>0.13666559849707999</c:v>
                </c:pt>
                <c:pt idx="55">
                  <c:v>0.188738377168508</c:v>
                </c:pt>
                <c:pt idx="56">
                  <c:v>0.15626466439058501</c:v>
                </c:pt>
                <c:pt idx="57">
                  <c:v>0.14953994864016601</c:v>
                </c:pt>
                <c:pt idx="58">
                  <c:v>0.15184966393962501</c:v>
                </c:pt>
                <c:pt idx="59">
                  <c:v>0.16640440176191401</c:v>
                </c:pt>
                <c:pt idx="60">
                  <c:v>0.18951016503293899</c:v>
                </c:pt>
                <c:pt idx="61">
                  <c:v>0.199799910206441</c:v>
                </c:pt>
                <c:pt idx="62">
                  <c:v>0.16928262815844999</c:v>
                </c:pt>
                <c:pt idx="63">
                  <c:v>0.11578403046126901</c:v>
                </c:pt>
                <c:pt idx="64">
                  <c:v>0.153983953442168</c:v>
                </c:pt>
                <c:pt idx="65">
                  <c:v>0.18470993708450301</c:v>
                </c:pt>
                <c:pt idx="66">
                  <c:v>0.15418152790645301</c:v>
                </c:pt>
                <c:pt idx="67">
                  <c:v>0.17878354456172901</c:v>
                </c:pt>
                <c:pt idx="68">
                  <c:v>0.11320837044672701</c:v>
                </c:pt>
                <c:pt idx="69">
                  <c:v>0.21391690943671501</c:v>
                </c:pt>
                <c:pt idx="70">
                  <c:v>0.115299015561398</c:v>
                </c:pt>
                <c:pt idx="71">
                  <c:v>0.120029232319229</c:v>
                </c:pt>
                <c:pt idx="72">
                  <c:v>0.14470679323952901</c:v>
                </c:pt>
                <c:pt idx="73">
                  <c:v>0.15659828255624</c:v>
                </c:pt>
                <c:pt idx="74">
                  <c:v>0.16715766035563401</c:v>
                </c:pt>
                <c:pt idx="75">
                  <c:v>0.16872997086605401</c:v>
                </c:pt>
                <c:pt idx="76">
                  <c:v>0.14299439002421099</c:v>
                </c:pt>
                <c:pt idx="77">
                  <c:v>0.114896885951595</c:v>
                </c:pt>
                <c:pt idx="78">
                  <c:v>0.199295055670037</c:v>
                </c:pt>
                <c:pt idx="79">
                  <c:v>0.18104427160222</c:v>
                </c:pt>
                <c:pt idx="80">
                  <c:v>0.14711857203100301</c:v>
                </c:pt>
                <c:pt idx="81">
                  <c:v>0.16219739433425201</c:v>
                </c:pt>
                <c:pt idx="82">
                  <c:v>0.23373076650414801</c:v>
                </c:pt>
                <c:pt idx="83">
                  <c:v>0.15658867885698699</c:v>
                </c:pt>
                <c:pt idx="84">
                  <c:v>0.13719373226267401</c:v>
                </c:pt>
                <c:pt idx="85">
                  <c:v>0.17610103526072901</c:v>
                </c:pt>
                <c:pt idx="86">
                  <c:v>0.156706602925513</c:v>
                </c:pt>
                <c:pt idx="87">
                  <c:v>0.115943730524819</c:v>
                </c:pt>
                <c:pt idx="88">
                  <c:v>0.193861388699784</c:v>
                </c:pt>
                <c:pt idx="89">
                  <c:v>0.123319686403905</c:v>
                </c:pt>
                <c:pt idx="90">
                  <c:v>0.23308953768391699</c:v>
                </c:pt>
                <c:pt idx="91">
                  <c:v>0.142929320544705</c:v>
                </c:pt>
                <c:pt idx="92">
                  <c:v>0.12302907663695101</c:v>
                </c:pt>
                <c:pt idx="93">
                  <c:v>0.15735567448285301</c:v>
                </c:pt>
                <c:pt idx="94">
                  <c:v>0.18080815374390299</c:v>
                </c:pt>
                <c:pt idx="95">
                  <c:v>0.18021330702730701</c:v>
                </c:pt>
                <c:pt idx="96">
                  <c:v>0.183665662724463</c:v>
                </c:pt>
                <c:pt idx="97">
                  <c:v>0.19177418919289299</c:v>
                </c:pt>
                <c:pt idx="98">
                  <c:v>0.15784659273813301</c:v>
                </c:pt>
                <c:pt idx="99">
                  <c:v>0.12813401478813499</c:v>
                </c:pt>
                <c:pt idx="100">
                  <c:v>0.17215970953062701</c:v>
                </c:pt>
                <c:pt idx="101">
                  <c:v>0.18847435037632501</c:v>
                </c:pt>
                <c:pt idx="102">
                  <c:v>0.12813888150908401</c:v>
                </c:pt>
                <c:pt idx="103">
                  <c:v>0.18820817765877099</c:v>
                </c:pt>
                <c:pt idx="104">
                  <c:v>0.107805485438261</c:v>
                </c:pt>
                <c:pt idx="105">
                  <c:v>0.13476332687602499</c:v>
                </c:pt>
                <c:pt idx="106">
                  <c:v>0.12900943166440201</c:v>
                </c:pt>
                <c:pt idx="107">
                  <c:v>0.168976914821236</c:v>
                </c:pt>
                <c:pt idx="108">
                  <c:v>0.1209040843976</c:v>
                </c:pt>
                <c:pt idx="109">
                  <c:v>0.18649072647558201</c:v>
                </c:pt>
                <c:pt idx="110">
                  <c:v>0.14487786917557899</c:v>
                </c:pt>
                <c:pt idx="111">
                  <c:v>0.191568418173126</c:v>
                </c:pt>
                <c:pt idx="112">
                  <c:v>0.109476819637881</c:v>
                </c:pt>
                <c:pt idx="113">
                  <c:v>0.124902987500649</c:v>
                </c:pt>
                <c:pt idx="114">
                  <c:v>0.19332112114484901</c:v>
                </c:pt>
                <c:pt idx="115">
                  <c:v>0.15325071960579401</c:v>
                </c:pt>
                <c:pt idx="116">
                  <c:v>0.15467038777110301</c:v>
                </c:pt>
                <c:pt idx="117">
                  <c:v>0.174649168838131</c:v>
                </c:pt>
                <c:pt idx="118">
                  <c:v>0.14265222588381199</c:v>
                </c:pt>
                <c:pt idx="119">
                  <c:v>0.213223950163344</c:v>
                </c:pt>
                <c:pt idx="120">
                  <c:v>0.136039553994728</c:v>
                </c:pt>
                <c:pt idx="121">
                  <c:v>0.16619674462155901</c:v>
                </c:pt>
                <c:pt idx="122">
                  <c:v>0.14472115902303101</c:v>
                </c:pt>
                <c:pt idx="123">
                  <c:v>0.21766202803221199</c:v>
                </c:pt>
                <c:pt idx="124">
                  <c:v>0.163570195747479</c:v>
                </c:pt>
                <c:pt idx="125">
                  <c:v>0.16247752607863</c:v>
                </c:pt>
                <c:pt idx="126">
                  <c:v>9.4236040300803098E-2</c:v>
                </c:pt>
                <c:pt idx="127">
                  <c:v>0.14474621850473199</c:v>
                </c:pt>
                <c:pt idx="128">
                  <c:v>0.14248400254288299</c:v>
                </c:pt>
                <c:pt idx="129">
                  <c:v>0.14573392292938001</c:v>
                </c:pt>
                <c:pt idx="130">
                  <c:v>0.13728418955374899</c:v>
                </c:pt>
                <c:pt idx="131">
                  <c:v>0.109062903738985</c:v>
                </c:pt>
                <c:pt idx="132">
                  <c:v>0.19989675273229299</c:v>
                </c:pt>
                <c:pt idx="133">
                  <c:v>0.164923146717771</c:v>
                </c:pt>
                <c:pt idx="134">
                  <c:v>0.15883431851273999</c:v>
                </c:pt>
                <c:pt idx="135">
                  <c:v>0.124671489351956</c:v>
                </c:pt>
                <c:pt idx="136">
                  <c:v>0.15496871848944899</c:v>
                </c:pt>
                <c:pt idx="137">
                  <c:v>0.11759815963132</c:v>
                </c:pt>
                <c:pt idx="138">
                  <c:v>9.8970224534892307E-2</c:v>
                </c:pt>
                <c:pt idx="139">
                  <c:v>9.9432350427076904E-2</c:v>
                </c:pt>
                <c:pt idx="140">
                  <c:v>7.7177939768071899E-2</c:v>
                </c:pt>
                <c:pt idx="141">
                  <c:v>0.16903980706077501</c:v>
                </c:pt>
                <c:pt idx="142">
                  <c:v>0.137928030445331</c:v>
                </c:pt>
                <c:pt idx="143">
                  <c:v>0.146697098476094</c:v>
                </c:pt>
                <c:pt idx="144">
                  <c:v>0.14928942636961701</c:v>
                </c:pt>
                <c:pt idx="145">
                  <c:v>0.18557752328077601</c:v>
                </c:pt>
                <c:pt idx="146">
                  <c:v>0.11151571625277</c:v>
                </c:pt>
                <c:pt idx="147">
                  <c:v>0.14873083303842599</c:v>
                </c:pt>
                <c:pt idx="148">
                  <c:v>0.149002218333388</c:v>
                </c:pt>
                <c:pt idx="149">
                  <c:v>0.21790986891182801</c:v>
                </c:pt>
                <c:pt idx="150">
                  <c:v>0.19189822530064399</c:v>
                </c:pt>
                <c:pt idx="151">
                  <c:v>0.18244095468906099</c:v>
                </c:pt>
                <c:pt idx="152">
                  <c:v>0.16695557183717499</c:v>
                </c:pt>
                <c:pt idx="153">
                  <c:v>0.12600895105550899</c:v>
                </c:pt>
                <c:pt idx="154">
                  <c:v>0.174032132727965</c:v>
                </c:pt>
                <c:pt idx="155">
                  <c:v>0.19007207002058499</c:v>
                </c:pt>
                <c:pt idx="156">
                  <c:v>0.19697388919500999</c:v>
                </c:pt>
                <c:pt idx="157">
                  <c:v>0.18742692611745901</c:v>
                </c:pt>
                <c:pt idx="158">
                  <c:v>0.20169385705510101</c:v>
                </c:pt>
                <c:pt idx="159">
                  <c:v>0.14132538215093399</c:v>
                </c:pt>
                <c:pt idx="160">
                  <c:v>0.16771818608467801</c:v>
                </c:pt>
                <c:pt idx="161">
                  <c:v>0.213120509535554</c:v>
                </c:pt>
                <c:pt idx="162">
                  <c:v>0.159020719202594</c:v>
                </c:pt>
                <c:pt idx="163">
                  <c:v>0.14059561543016399</c:v>
                </c:pt>
                <c:pt idx="164">
                  <c:v>0.139357896055542</c:v>
                </c:pt>
                <c:pt idx="165">
                  <c:v>0.22095205872818699</c:v>
                </c:pt>
                <c:pt idx="166">
                  <c:v>0.121236127441005</c:v>
                </c:pt>
                <c:pt idx="167">
                  <c:v>0.14832441304300401</c:v>
                </c:pt>
                <c:pt idx="168">
                  <c:v>0.15620064461437799</c:v>
                </c:pt>
                <c:pt idx="169">
                  <c:v>8.9526503941275704E-2</c:v>
                </c:pt>
                <c:pt idx="170">
                  <c:v>0.13181575250413199</c:v>
                </c:pt>
                <c:pt idx="171">
                  <c:v>0.13198042499726201</c:v>
                </c:pt>
                <c:pt idx="172">
                  <c:v>9.8487534748067804E-2</c:v>
                </c:pt>
                <c:pt idx="173">
                  <c:v>0.146394690644157</c:v>
                </c:pt>
                <c:pt idx="174">
                  <c:v>0.154394399195353</c:v>
                </c:pt>
                <c:pt idx="175">
                  <c:v>0.128705045102539</c:v>
                </c:pt>
                <c:pt idx="176">
                  <c:v>0.13951834831264001</c:v>
                </c:pt>
                <c:pt idx="177">
                  <c:v>0.145534434073715</c:v>
                </c:pt>
                <c:pt idx="178">
                  <c:v>0.157088470775749</c:v>
                </c:pt>
                <c:pt idx="179">
                  <c:v>0.179634324775515</c:v>
                </c:pt>
                <c:pt idx="180">
                  <c:v>0.162985031226794</c:v>
                </c:pt>
                <c:pt idx="181">
                  <c:v>0.12133614311948999</c:v>
                </c:pt>
                <c:pt idx="182">
                  <c:v>0.14883875425705001</c:v>
                </c:pt>
                <c:pt idx="183">
                  <c:v>0.14944188687368101</c:v>
                </c:pt>
                <c:pt idx="184">
                  <c:v>0.15933941691822201</c:v>
                </c:pt>
                <c:pt idx="185">
                  <c:v>0.182479139111938</c:v>
                </c:pt>
                <c:pt idx="186">
                  <c:v>0.12853818799314601</c:v>
                </c:pt>
                <c:pt idx="187">
                  <c:v>0.18478482692603501</c:v>
                </c:pt>
                <c:pt idx="188">
                  <c:v>0.157005064245854</c:v>
                </c:pt>
                <c:pt idx="189">
                  <c:v>0.114826541487976</c:v>
                </c:pt>
                <c:pt idx="190">
                  <c:v>0.21063669482939601</c:v>
                </c:pt>
                <c:pt idx="191">
                  <c:v>0.17643065621470599</c:v>
                </c:pt>
                <c:pt idx="192">
                  <c:v>0.16742039802733499</c:v>
                </c:pt>
                <c:pt idx="193">
                  <c:v>0.157552246638651</c:v>
                </c:pt>
                <c:pt idx="194">
                  <c:v>0.18313797748844099</c:v>
                </c:pt>
                <c:pt idx="195">
                  <c:v>0.144962651994965</c:v>
                </c:pt>
                <c:pt idx="196">
                  <c:v>0.16001721856326601</c:v>
                </c:pt>
                <c:pt idx="197">
                  <c:v>0.17309770544724401</c:v>
                </c:pt>
                <c:pt idx="198">
                  <c:v>0.17470206306466601</c:v>
                </c:pt>
                <c:pt idx="199">
                  <c:v>0.17842789258636599</c:v>
                </c:pt>
                <c:pt idx="200">
                  <c:v>0.15923844961603201</c:v>
                </c:pt>
                <c:pt idx="201">
                  <c:v>0.13835419678273</c:v>
                </c:pt>
                <c:pt idx="202">
                  <c:v>0.19401519464209899</c:v>
                </c:pt>
                <c:pt idx="203">
                  <c:v>0.17780458737212601</c:v>
                </c:pt>
                <c:pt idx="204">
                  <c:v>0.161543982651003</c:v>
                </c:pt>
                <c:pt idx="205">
                  <c:v>0.21175694581489499</c:v>
                </c:pt>
                <c:pt idx="206">
                  <c:v>0.16753591004312099</c:v>
                </c:pt>
                <c:pt idx="207">
                  <c:v>0.18389827027897701</c:v>
                </c:pt>
                <c:pt idx="208">
                  <c:v>0.17019969910640001</c:v>
                </c:pt>
                <c:pt idx="209">
                  <c:v>0.17966447030374499</c:v>
                </c:pt>
                <c:pt idx="210">
                  <c:v>0.22030993906454199</c:v>
                </c:pt>
                <c:pt idx="211">
                  <c:v>0.15954517318181299</c:v>
                </c:pt>
                <c:pt idx="212">
                  <c:v>0.160887241496842</c:v>
                </c:pt>
                <c:pt idx="213">
                  <c:v>0.11485646872686001</c:v>
                </c:pt>
                <c:pt idx="214">
                  <c:v>0.128651308894803</c:v>
                </c:pt>
                <c:pt idx="215">
                  <c:v>0.19070985141452501</c:v>
                </c:pt>
                <c:pt idx="216">
                  <c:v>0.13885394759109199</c:v>
                </c:pt>
                <c:pt idx="217">
                  <c:v>0.14275537390646401</c:v>
                </c:pt>
                <c:pt idx="218">
                  <c:v>0.126359160904436</c:v>
                </c:pt>
                <c:pt idx="219">
                  <c:v>0.20939914885094699</c:v>
                </c:pt>
                <c:pt idx="220">
                  <c:v>0.14246563742372401</c:v>
                </c:pt>
                <c:pt idx="221">
                  <c:v>0.18160356427272301</c:v>
                </c:pt>
                <c:pt idx="222">
                  <c:v>0.13765805531661099</c:v>
                </c:pt>
                <c:pt idx="223">
                  <c:v>0.14695901674704701</c:v>
                </c:pt>
                <c:pt idx="224">
                  <c:v>0.16514212362468</c:v>
                </c:pt>
                <c:pt idx="225">
                  <c:v>0.168325373076572</c:v>
                </c:pt>
                <c:pt idx="226">
                  <c:v>0.16897616198454399</c:v>
                </c:pt>
                <c:pt idx="227">
                  <c:v>0.15896558477415401</c:v>
                </c:pt>
                <c:pt idx="228">
                  <c:v>5.4339715807676603E-2</c:v>
                </c:pt>
                <c:pt idx="229">
                  <c:v>0.15858183103572801</c:v>
                </c:pt>
                <c:pt idx="230">
                  <c:v>0.19142951800222799</c:v>
                </c:pt>
                <c:pt idx="231">
                  <c:v>0.17328925773989501</c:v>
                </c:pt>
                <c:pt idx="232">
                  <c:v>0.201542025994008</c:v>
                </c:pt>
                <c:pt idx="233">
                  <c:v>0.15051072069791499</c:v>
                </c:pt>
                <c:pt idx="234">
                  <c:v>0.15291083389364299</c:v>
                </c:pt>
                <c:pt idx="235">
                  <c:v>0.15702460834466</c:v>
                </c:pt>
                <c:pt idx="236">
                  <c:v>0.16888910941612201</c:v>
                </c:pt>
                <c:pt idx="237">
                  <c:v>0.15966023709119101</c:v>
                </c:pt>
                <c:pt idx="238">
                  <c:v>0.15536289665643199</c:v>
                </c:pt>
                <c:pt idx="239">
                  <c:v>0.183161734959604</c:v>
                </c:pt>
                <c:pt idx="240">
                  <c:v>0.15048312500890201</c:v>
                </c:pt>
                <c:pt idx="241">
                  <c:v>0.20395344923613801</c:v>
                </c:pt>
                <c:pt idx="242">
                  <c:v>0.174027353873621</c:v>
                </c:pt>
                <c:pt idx="243">
                  <c:v>0.17125408976755299</c:v>
                </c:pt>
                <c:pt idx="244">
                  <c:v>0.13675673856788101</c:v>
                </c:pt>
                <c:pt idx="245">
                  <c:v>0.17164100359723</c:v>
                </c:pt>
                <c:pt idx="246">
                  <c:v>0.16877494231971901</c:v>
                </c:pt>
                <c:pt idx="247">
                  <c:v>0.13285957429475001</c:v>
                </c:pt>
                <c:pt idx="248">
                  <c:v>0.133248104270523</c:v>
                </c:pt>
                <c:pt idx="249">
                  <c:v>0.15666514754611799</c:v>
                </c:pt>
                <c:pt idx="250">
                  <c:v>0.18100130222523</c:v>
                </c:pt>
                <c:pt idx="251">
                  <c:v>0.14737914942994501</c:v>
                </c:pt>
                <c:pt idx="252">
                  <c:v>0.22117603047685699</c:v>
                </c:pt>
                <c:pt idx="253">
                  <c:v>0.25516452777635301</c:v>
                </c:pt>
                <c:pt idx="254">
                  <c:v>0.15738118870690601</c:v>
                </c:pt>
                <c:pt idx="255">
                  <c:v>0.104778689837879</c:v>
                </c:pt>
                <c:pt idx="256">
                  <c:v>0.22387546497166</c:v>
                </c:pt>
                <c:pt idx="257">
                  <c:v>0.18676388475018199</c:v>
                </c:pt>
                <c:pt idx="258">
                  <c:v>0.147203797649544</c:v>
                </c:pt>
                <c:pt idx="259">
                  <c:v>0.14155824239331599</c:v>
                </c:pt>
                <c:pt idx="260">
                  <c:v>0.141851936022141</c:v>
                </c:pt>
                <c:pt idx="261">
                  <c:v>0.21580151812446699</c:v>
                </c:pt>
                <c:pt idx="262">
                  <c:v>9.7975812394916498E-2</c:v>
                </c:pt>
                <c:pt idx="263">
                  <c:v>0.17264241674950101</c:v>
                </c:pt>
                <c:pt idx="264">
                  <c:v>0.155951954874223</c:v>
                </c:pt>
                <c:pt idx="265">
                  <c:v>0.17828173083934101</c:v>
                </c:pt>
                <c:pt idx="266">
                  <c:v>0.13905419800176799</c:v>
                </c:pt>
                <c:pt idx="267">
                  <c:v>0.15832720999111199</c:v>
                </c:pt>
                <c:pt idx="268">
                  <c:v>0.16746164794417601</c:v>
                </c:pt>
                <c:pt idx="269">
                  <c:v>0.165344375156604</c:v>
                </c:pt>
                <c:pt idx="270">
                  <c:v>0.24145278745870799</c:v>
                </c:pt>
                <c:pt idx="271">
                  <c:v>0.143046926970092</c:v>
                </c:pt>
                <c:pt idx="272">
                  <c:v>0.20028023516203899</c:v>
                </c:pt>
                <c:pt idx="273">
                  <c:v>0.114327551433709</c:v>
                </c:pt>
                <c:pt idx="274">
                  <c:v>0.14705466822081101</c:v>
                </c:pt>
                <c:pt idx="275">
                  <c:v>0.13554633464776999</c:v>
                </c:pt>
                <c:pt idx="276">
                  <c:v>0.159152045802191</c:v>
                </c:pt>
                <c:pt idx="277">
                  <c:v>0.14490026831501701</c:v>
                </c:pt>
                <c:pt idx="278">
                  <c:v>0.201102854383754</c:v>
                </c:pt>
                <c:pt idx="279">
                  <c:v>0.11324260044105</c:v>
                </c:pt>
                <c:pt idx="280">
                  <c:v>0.14692518041414601</c:v>
                </c:pt>
                <c:pt idx="281">
                  <c:v>0.127656877124663</c:v>
                </c:pt>
                <c:pt idx="282">
                  <c:v>0.158112722367442</c:v>
                </c:pt>
                <c:pt idx="283">
                  <c:v>0.122388513575806</c:v>
                </c:pt>
                <c:pt idx="284">
                  <c:v>0.15105297105455101</c:v>
                </c:pt>
                <c:pt idx="285">
                  <c:v>0.201451682641026</c:v>
                </c:pt>
                <c:pt idx="286">
                  <c:v>0.165497163328611</c:v>
                </c:pt>
                <c:pt idx="287">
                  <c:v>0.196024844316464</c:v>
                </c:pt>
                <c:pt idx="288">
                  <c:v>0.118225780106469</c:v>
                </c:pt>
                <c:pt idx="289">
                  <c:v>0.148914149435703</c:v>
                </c:pt>
                <c:pt idx="290">
                  <c:v>0.118261949308698</c:v>
                </c:pt>
                <c:pt idx="291">
                  <c:v>0.14944296240324001</c:v>
                </c:pt>
                <c:pt idx="292">
                  <c:v>0.14391189536704299</c:v>
                </c:pt>
                <c:pt idx="293">
                  <c:v>0.114555230221653</c:v>
                </c:pt>
                <c:pt idx="294">
                  <c:v>0.13186240020495099</c:v>
                </c:pt>
                <c:pt idx="295">
                  <c:v>0.164511655692928</c:v>
                </c:pt>
                <c:pt idx="296">
                  <c:v>0.16826723978587599</c:v>
                </c:pt>
                <c:pt idx="297">
                  <c:v>0.15962040842472</c:v>
                </c:pt>
                <c:pt idx="298">
                  <c:v>0.15968244089084699</c:v>
                </c:pt>
                <c:pt idx="299">
                  <c:v>0.169988248115825</c:v>
                </c:pt>
                <c:pt idx="300">
                  <c:v>0.136758589766416</c:v>
                </c:pt>
                <c:pt idx="301">
                  <c:v>0.117026983637553</c:v>
                </c:pt>
                <c:pt idx="302">
                  <c:v>0.12733771308648401</c:v>
                </c:pt>
                <c:pt idx="303">
                  <c:v>0.16407604446256699</c:v>
                </c:pt>
                <c:pt idx="304">
                  <c:v>0.14867272802661999</c:v>
                </c:pt>
                <c:pt idx="305">
                  <c:v>0.14515835184777701</c:v>
                </c:pt>
                <c:pt idx="306">
                  <c:v>0.15686306678859399</c:v>
                </c:pt>
                <c:pt idx="307">
                  <c:v>0.170547702120595</c:v>
                </c:pt>
                <c:pt idx="308">
                  <c:v>0.18572656794967099</c:v>
                </c:pt>
                <c:pt idx="309">
                  <c:v>0.19306711192113499</c:v>
                </c:pt>
                <c:pt idx="310">
                  <c:v>0.13462701740425301</c:v>
                </c:pt>
                <c:pt idx="311">
                  <c:v>0.14102763685856001</c:v>
                </c:pt>
                <c:pt idx="312">
                  <c:v>0.16149078028778499</c:v>
                </c:pt>
                <c:pt idx="313">
                  <c:v>0.162344719607385</c:v>
                </c:pt>
                <c:pt idx="314">
                  <c:v>0.213169135128145</c:v>
                </c:pt>
                <c:pt idx="315">
                  <c:v>0.20782935895470001</c:v>
                </c:pt>
                <c:pt idx="316">
                  <c:v>0.174219536395922</c:v>
                </c:pt>
                <c:pt idx="317">
                  <c:v>0.15913060912332</c:v>
                </c:pt>
                <c:pt idx="318">
                  <c:v>0.15909550924952201</c:v>
                </c:pt>
                <c:pt idx="319">
                  <c:v>0.164870623934458</c:v>
                </c:pt>
                <c:pt idx="320">
                  <c:v>0.16978910539436701</c:v>
                </c:pt>
                <c:pt idx="321">
                  <c:v>0.220263604195723</c:v>
                </c:pt>
                <c:pt idx="322">
                  <c:v>0.21221912304618301</c:v>
                </c:pt>
                <c:pt idx="323">
                  <c:v>0.13367599450491899</c:v>
                </c:pt>
                <c:pt idx="324">
                  <c:v>0.10940189763220801</c:v>
                </c:pt>
                <c:pt idx="325">
                  <c:v>0.13290538173771299</c:v>
                </c:pt>
                <c:pt idx="326">
                  <c:v>0.18076151417400299</c:v>
                </c:pt>
                <c:pt idx="327">
                  <c:v>0.17165229371212301</c:v>
                </c:pt>
                <c:pt idx="328">
                  <c:v>0.11266281158668399</c:v>
                </c:pt>
                <c:pt idx="329">
                  <c:v>0.18203228923301501</c:v>
                </c:pt>
                <c:pt idx="330">
                  <c:v>0.18512214198114901</c:v>
                </c:pt>
                <c:pt idx="331">
                  <c:v>0.15031711342909099</c:v>
                </c:pt>
                <c:pt idx="332">
                  <c:v>0.12160283946875</c:v>
                </c:pt>
                <c:pt idx="333">
                  <c:v>0.14824545656721499</c:v>
                </c:pt>
                <c:pt idx="334">
                  <c:v>0.14075832172403399</c:v>
                </c:pt>
                <c:pt idx="335">
                  <c:v>0.205781895004676</c:v>
                </c:pt>
                <c:pt idx="336">
                  <c:v>0.15138201996109399</c:v>
                </c:pt>
                <c:pt idx="337">
                  <c:v>0.15565619486716201</c:v>
                </c:pt>
                <c:pt idx="338">
                  <c:v>0.160910523726121</c:v>
                </c:pt>
                <c:pt idx="339">
                  <c:v>0.14116537840562901</c:v>
                </c:pt>
                <c:pt idx="340">
                  <c:v>0.168072164442435</c:v>
                </c:pt>
                <c:pt idx="341">
                  <c:v>0.14482262466078399</c:v>
                </c:pt>
                <c:pt idx="342">
                  <c:v>0.162643849819811</c:v>
                </c:pt>
                <c:pt idx="343">
                  <c:v>0.14261660333929099</c:v>
                </c:pt>
                <c:pt idx="344">
                  <c:v>0.163400971802381</c:v>
                </c:pt>
                <c:pt idx="345">
                  <c:v>0.11468820331098099</c:v>
                </c:pt>
                <c:pt idx="346">
                  <c:v>0.16593047241714601</c:v>
                </c:pt>
                <c:pt idx="347">
                  <c:v>0.12971136213244799</c:v>
                </c:pt>
                <c:pt idx="348">
                  <c:v>0.141446193156126</c:v>
                </c:pt>
                <c:pt idx="349">
                  <c:v>0.19390414735956599</c:v>
                </c:pt>
                <c:pt idx="350">
                  <c:v>0.191046416773413</c:v>
                </c:pt>
                <c:pt idx="351">
                  <c:v>0.12839905616348801</c:v>
                </c:pt>
                <c:pt idx="352">
                  <c:v>0.15341346641287501</c:v>
                </c:pt>
                <c:pt idx="353">
                  <c:v>0.14654896244736901</c:v>
                </c:pt>
                <c:pt idx="354">
                  <c:v>9.9722753901369393E-2</c:v>
                </c:pt>
                <c:pt idx="355">
                  <c:v>0.22198505387159101</c:v>
                </c:pt>
                <c:pt idx="356">
                  <c:v>0.17666152629958101</c:v>
                </c:pt>
                <c:pt idx="357">
                  <c:v>0.193520731680455</c:v>
                </c:pt>
                <c:pt idx="358">
                  <c:v>0.18056817547312001</c:v>
                </c:pt>
                <c:pt idx="359">
                  <c:v>9.9263286252288002E-2</c:v>
                </c:pt>
                <c:pt idx="360">
                  <c:v>0.12501680746569899</c:v>
                </c:pt>
                <c:pt idx="361">
                  <c:v>0.10550422416477501</c:v>
                </c:pt>
                <c:pt idx="362">
                  <c:v>0.122762584995767</c:v>
                </c:pt>
                <c:pt idx="363">
                  <c:v>0.15136098523424699</c:v>
                </c:pt>
                <c:pt idx="364">
                  <c:v>0.199490841954997</c:v>
                </c:pt>
                <c:pt idx="365">
                  <c:v>0.13516507617387599</c:v>
                </c:pt>
                <c:pt idx="366">
                  <c:v>0.15459566348498399</c:v>
                </c:pt>
                <c:pt idx="367">
                  <c:v>0.14044597066237199</c:v>
                </c:pt>
                <c:pt idx="368">
                  <c:v>0.130593444529613</c:v>
                </c:pt>
                <c:pt idx="369">
                  <c:v>0.230922814005037</c:v>
                </c:pt>
                <c:pt idx="370">
                  <c:v>0.143667561001805</c:v>
                </c:pt>
                <c:pt idx="371">
                  <c:v>0.14531797391442</c:v>
                </c:pt>
                <c:pt idx="372">
                  <c:v>0.138795505422909</c:v>
                </c:pt>
                <c:pt idx="373">
                  <c:v>0.117771014413634</c:v>
                </c:pt>
                <c:pt idx="374">
                  <c:v>0.17936294505659001</c:v>
                </c:pt>
                <c:pt idx="375">
                  <c:v>0.105386295630589</c:v>
                </c:pt>
                <c:pt idx="376">
                  <c:v>0.16877220506913701</c:v>
                </c:pt>
                <c:pt idx="377">
                  <c:v>0.150471695987588</c:v>
                </c:pt>
                <c:pt idx="378">
                  <c:v>0.12733699257338901</c:v>
                </c:pt>
                <c:pt idx="379">
                  <c:v>0.17557877990581999</c:v>
                </c:pt>
                <c:pt idx="380">
                  <c:v>0.20542552877783399</c:v>
                </c:pt>
                <c:pt idx="381">
                  <c:v>0.19117557737947799</c:v>
                </c:pt>
                <c:pt idx="382">
                  <c:v>0.13740986811595701</c:v>
                </c:pt>
                <c:pt idx="383">
                  <c:v>0.16272332212231999</c:v>
                </c:pt>
                <c:pt idx="384">
                  <c:v>0.137656573373825</c:v>
                </c:pt>
                <c:pt idx="385">
                  <c:v>0.14729382365278701</c:v>
                </c:pt>
                <c:pt idx="386">
                  <c:v>0.119750203627274</c:v>
                </c:pt>
                <c:pt idx="387">
                  <c:v>0.14039722390013601</c:v>
                </c:pt>
                <c:pt idx="388">
                  <c:v>0.20839297593056599</c:v>
                </c:pt>
                <c:pt idx="389">
                  <c:v>0.156978726634695</c:v>
                </c:pt>
                <c:pt idx="390">
                  <c:v>0.14490597052437801</c:v>
                </c:pt>
                <c:pt idx="391">
                  <c:v>0.21454740377994</c:v>
                </c:pt>
                <c:pt idx="392">
                  <c:v>0.171629573376267</c:v>
                </c:pt>
                <c:pt idx="393">
                  <c:v>0.17226357741029399</c:v>
                </c:pt>
                <c:pt idx="394">
                  <c:v>0.139552980310157</c:v>
                </c:pt>
                <c:pt idx="395">
                  <c:v>0.12435291348713499</c:v>
                </c:pt>
                <c:pt idx="396">
                  <c:v>0.16794731225168699</c:v>
                </c:pt>
                <c:pt idx="397">
                  <c:v>0.17710280410307899</c:v>
                </c:pt>
                <c:pt idx="398">
                  <c:v>0.17745061520649899</c:v>
                </c:pt>
                <c:pt idx="399">
                  <c:v>0.160461896095731</c:v>
                </c:pt>
                <c:pt idx="400">
                  <c:v>0.14184287995731401</c:v>
                </c:pt>
                <c:pt idx="401">
                  <c:v>0.18665363931176801</c:v>
                </c:pt>
                <c:pt idx="402">
                  <c:v>0.153609776479157</c:v>
                </c:pt>
                <c:pt idx="403">
                  <c:v>0.116729639336037</c:v>
                </c:pt>
                <c:pt idx="404">
                  <c:v>0.13730272378559599</c:v>
                </c:pt>
                <c:pt idx="405">
                  <c:v>0.19655157890208499</c:v>
                </c:pt>
                <c:pt idx="406">
                  <c:v>0.162118676318383</c:v>
                </c:pt>
                <c:pt idx="407">
                  <c:v>0.182061825716401</c:v>
                </c:pt>
                <c:pt idx="408">
                  <c:v>0.144635398804176</c:v>
                </c:pt>
                <c:pt idx="409">
                  <c:v>0.17464876562050499</c:v>
                </c:pt>
                <c:pt idx="410">
                  <c:v>0.13268282501409501</c:v>
                </c:pt>
                <c:pt idx="411">
                  <c:v>0.15672554765350599</c:v>
                </c:pt>
                <c:pt idx="412">
                  <c:v>0.13473489808654099</c:v>
                </c:pt>
                <c:pt idx="413">
                  <c:v>0.131980308805309</c:v>
                </c:pt>
                <c:pt idx="414">
                  <c:v>0.175488443368782</c:v>
                </c:pt>
                <c:pt idx="415">
                  <c:v>0.18736382121593501</c:v>
                </c:pt>
                <c:pt idx="416">
                  <c:v>0.19858311019663</c:v>
                </c:pt>
                <c:pt idx="417">
                  <c:v>0.160348014400925</c:v>
                </c:pt>
                <c:pt idx="418">
                  <c:v>0.137076793761055</c:v>
                </c:pt>
                <c:pt idx="419">
                  <c:v>0.16737610987975299</c:v>
                </c:pt>
                <c:pt idx="420">
                  <c:v>0.14909155733180399</c:v>
                </c:pt>
                <c:pt idx="421">
                  <c:v>0.209071668164999</c:v>
                </c:pt>
                <c:pt idx="422">
                  <c:v>0.156439676333225</c:v>
                </c:pt>
                <c:pt idx="423">
                  <c:v>0.15982723503690099</c:v>
                </c:pt>
                <c:pt idx="424">
                  <c:v>0.21150447094917599</c:v>
                </c:pt>
                <c:pt idx="425">
                  <c:v>0.18372180170281499</c:v>
                </c:pt>
                <c:pt idx="426">
                  <c:v>0.20519401727588599</c:v>
                </c:pt>
                <c:pt idx="427">
                  <c:v>0.108913818135372</c:v>
                </c:pt>
                <c:pt idx="428">
                  <c:v>0.121477470528133</c:v>
                </c:pt>
                <c:pt idx="429">
                  <c:v>0.16635323026504201</c:v>
                </c:pt>
                <c:pt idx="430">
                  <c:v>0.14263988042255199</c:v>
                </c:pt>
                <c:pt idx="431">
                  <c:v>0.163551829614005</c:v>
                </c:pt>
                <c:pt idx="432">
                  <c:v>0.139639690666438</c:v>
                </c:pt>
                <c:pt idx="433">
                  <c:v>0.203277052098009</c:v>
                </c:pt>
                <c:pt idx="434">
                  <c:v>0.18921894432735101</c:v>
                </c:pt>
                <c:pt idx="435">
                  <c:v>0.10053665580018301</c:v>
                </c:pt>
                <c:pt idx="436">
                  <c:v>0.13284385899519099</c:v>
                </c:pt>
                <c:pt idx="437">
                  <c:v>0.177253123353869</c:v>
                </c:pt>
                <c:pt idx="438">
                  <c:v>0.15231035676367699</c:v>
                </c:pt>
                <c:pt idx="439">
                  <c:v>0.12899127858508999</c:v>
                </c:pt>
                <c:pt idx="440">
                  <c:v>0.171402700916852</c:v>
                </c:pt>
                <c:pt idx="441">
                  <c:v>0.122255772215321</c:v>
                </c:pt>
                <c:pt idx="442">
                  <c:v>0.15092195501865399</c:v>
                </c:pt>
                <c:pt idx="443">
                  <c:v>0.11938529555895599</c:v>
                </c:pt>
                <c:pt idx="444">
                  <c:v>0.171505610456267</c:v>
                </c:pt>
                <c:pt idx="445">
                  <c:v>0.194643978180597</c:v>
                </c:pt>
                <c:pt idx="446">
                  <c:v>0.17150304009794701</c:v>
                </c:pt>
                <c:pt idx="447">
                  <c:v>0.19286421693424499</c:v>
                </c:pt>
                <c:pt idx="448">
                  <c:v>0.17097440115141199</c:v>
                </c:pt>
                <c:pt idx="449">
                  <c:v>0.102906445197671</c:v>
                </c:pt>
                <c:pt idx="450">
                  <c:v>0.159261630927892</c:v>
                </c:pt>
                <c:pt idx="451">
                  <c:v>0.15772698778046099</c:v>
                </c:pt>
                <c:pt idx="452">
                  <c:v>0.14797200925547899</c:v>
                </c:pt>
                <c:pt idx="453">
                  <c:v>0.16633743123289199</c:v>
                </c:pt>
                <c:pt idx="454">
                  <c:v>0.19511398086603199</c:v>
                </c:pt>
                <c:pt idx="455">
                  <c:v>0.138586720810293</c:v>
                </c:pt>
                <c:pt idx="456">
                  <c:v>0.177000604435916</c:v>
                </c:pt>
                <c:pt idx="457">
                  <c:v>0.11044439597099601</c:v>
                </c:pt>
                <c:pt idx="458">
                  <c:v>0.18639535715782199</c:v>
                </c:pt>
                <c:pt idx="459">
                  <c:v>0.235065275731763</c:v>
                </c:pt>
                <c:pt idx="460">
                  <c:v>0.142919473893899</c:v>
                </c:pt>
                <c:pt idx="461">
                  <c:v>0.12263441121810099</c:v>
                </c:pt>
                <c:pt idx="462">
                  <c:v>0.142466815013642</c:v>
                </c:pt>
                <c:pt idx="463">
                  <c:v>0.165688679123288</c:v>
                </c:pt>
                <c:pt idx="464">
                  <c:v>0.18715013736470601</c:v>
                </c:pt>
                <c:pt idx="465">
                  <c:v>0.15187270347143</c:v>
                </c:pt>
                <c:pt idx="466">
                  <c:v>0.105608250359449</c:v>
                </c:pt>
                <c:pt idx="467">
                  <c:v>0.19641174383846</c:v>
                </c:pt>
                <c:pt idx="468">
                  <c:v>0.20694453912687699</c:v>
                </c:pt>
                <c:pt idx="469">
                  <c:v>0.17865384843820301</c:v>
                </c:pt>
                <c:pt idx="470">
                  <c:v>0.20782086681886</c:v>
                </c:pt>
                <c:pt idx="471">
                  <c:v>0.147912714644584</c:v>
                </c:pt>
                <c:pt idx="472">
                  <c:v>0.168366070699558</c:v>
                </c:pt>
                <c:pt idx="473">
                  <c:v>0.159103801320511</c:v>
                </c:pt>
                <c:pt idx="474">
                  <c:v>0.19685726940894099</c:v>
                </c:pt>
                <c:pt idx="475">
                  <c:v>0.13923880836434099</c:v>
                </c:pt>
                <c:pt idx="476">
                  <c:v>9.0460728410679203E-2</c:v>
                </c:pt>
                <c:pt idx="477">
                  <c:v>0.17145436835561501</c:v>
                </c:pt>
                <c:pt idx="478">
                  <c:v>0.14494133741024601</c:v>
                </c:pt>
                <c:pt idx="479">
                  <c:v>0.162909484276411</c:v>
                </c:pt>
                <c:pt idx="480">
                  <c:v>0.172637484930279</c:v>
                </c:pt>
                <c:pt idx="481">
                  <c:v>0.14718653366165699</c:v>
                </c:pt>
                <c:pt idx="482">
                  <c:v>0.136836529006755</c:v>
                </c:pt>
                <c:pt idx="483">
                  <c:v>0.13451864474092601</c:v>
                </c:pt>
                <c:pt idx="484">
                  <c:v>0.16482977253178499</c:v>
                </c:pt>
                <c:pt idx="485">
                  <c:v>0.16256219014846801</c:v>
                </c:pt>
                <c:pt idx="486">
                  <c:v>9.2480083645544206E-2</c:v>
                </c:pt>
                <c:pt idx="487">
                  <c:v>0.170565330874756</c:v>
                </c:pt>
                <c:pt idx="488">
                  <c:v>0.191267161692045</c:v>
                </c:pt>
                <c:pt idx="489">
                  <c:v>0.17891682750159699</c:v>
                </c:pt>
                <c:pt idx="490">
                  <c:v>0.17983063603622601</c:v>
                </c:pt>
                <c:pt idx="491">
                  <c:v>0.12320226304319</c:v>
                </c:pt>
                <c:pt idx="492">
                  <c:v>0.176018503903038</c:v>
                </c:pt>
                <c:pt idx="493">
                  <c:v>0.14109388715991</c:v>
                </c:pt>
                <c:pt idx="494">
                  <c:v>0.13758499932956</c:v>
                </c:pt>
                <c:pt idx="495">
                  <c:v>0.15976804239282399</c:v>
                </c:pt>
                <c:pt idx="496">
                  <c:v>0.191765952158405</c:v>
                </c:pt>
                <c:pt idx="497">
                  <c:v>0.111856925846458</c:v>
                </c:pt>
                <c:pt idx="498">
                  <c:v>0.13363671978268599</c:v>
                </c:pt>
                <c:pt idx="499">
                  <c:v>0.17820207012449099</c:v>
                </c:pt>
                <c:pt idx="500">
                  <c:v>0.15310328234771201</c:v>
                </c:pt>
                <c:pt idx="501">
                  <c:v>0.149956017233603</c:v>
                </c:pt>
                <c:pt idx="502">
                  <c:v>0.19617744760119599</c:v>
                </c:pt>
                <c:pt idx="503">
                  <c:v>0.158646089408609</c:v>
                </c:pt>
                <c:pt idx="504">
                  <c:v>0.155140573228045</c:v>
                </c:pt>
                <c:pt idx="505">
                  <c:v>0.161306152219892</c:v>
                </c:pt>
                <c:pt idx="506">
                  <c:v>0.141720445024582</c:v>
                </c:pt>
                <c:pt idx="507">
                  <c:v>0.16856039720541999</c:v>
                </c:pt>
                <c:pt idx="508">
                  <c:v>0.19515931387653801</c:v>
                </c:pt>
                <c:pt idx="509">
                  <c:v>0.1297153086309</c:v>
                </c:pt>
                <c:pt idx="510">
                  <c:v>0.16340867925387301</c:v>
                </c:pt>
                <c:pt idx="511">
                  <c:v>0.119733836517763</c:v>
                </c:pt>
                <c:pt idx="512">
                  <c:v>0.13896447352664601</c:v>
                </c:pt>
                <c:pt idx="513">
                  <c:v>0.205257081757513</c:v>
                </c:pt>
                <c:pt idx="514">
                  <c:v>0.18518534357390301</c:v>
                </c:pt>
                <c:pt idx="515">
                  <c:v>0.13783543283514199</c:v>
                </c:pt>
                <c:pt idx="516">
                  <c:v>0.20438933879662299</c:v>
                </c:pt>
                <c:pt idx="517">
                  <c:v>0.17000167014607501</c:v>
                </c:pt>
                <c:pt idx="518">
                  <c:v>0.13440855114265199</c:v>
                </c:pt>
                <c:pt idx="519">
                  <c:v>0.24466693116677801</c:v>
                </c:pt>
                <c:pt idx="520">
                  <c:v>0.16104854334377899</c:v>
                </c:pt>
                <c:pt idx="521">
                  <c:v>0.16260299237845</c:v>
                </c:pt>
                <c:pt idx="522">
                  <c:v>0.15000401143702499</c:v>
                </c:pt>
                <c:pt idx="523">
                  <c:v>0.14210107993450399</c:v>
                </c:pt>
                <c:pt idx="524">
                  <c:v>9.7016373752827803E-2</c:v>
                </c:pt>
                <c:pt idx="525">
                  <c:v>0.15145433115954399</c:v>
                </c:pt>
                <c:pt idx="526">
                  <c:v>0.19831649539104501</c:v>
                </c:pt>
                <c:pt idx="527">
                  <c:v>0.126929452212733</c:v>
                </c:pt>
                <c:pt idx="528">
                  <c:v>0.18406291966732699</c:v>
                </c:pt>
                <c:pt idx="529">
                  <c:v>0.213990081648266</c:v>
                </c:pt>
                <c:pt idx="530">
                  <c:v>0.18840001031822401</c:v>
                </c:pt>
                <c:pt idx="531">
                  <c:v>0.152779417158353</c:v>
                </c:pt>
                <c:pt idx="532">
                  <c:v>0.13434925264251599</c:v>
                </c:pt>
                <c:pt idx="533">
                  <c:v>0.187268860640635</c:v>
                </c:pt>
                <c:pt idx="534">
                  <c:v>0.128045551386433</c:v>
                </c:pt>
                <c:pt idx="535">
                  <c:v>0.15865728152969899</c:v>
                </c:pt>
                <c:pt idx="536">
                  <c:v>0.12675232174998499</c:v>
                </c:pt>
                <c:pt idx="537">
                  <c:v>0.12170338370306499</c:v>
                </c:pt>
                <c:pt idx="538">
                  <c:v>0.21840592319288801</c:v>
                </c:pt>
                <c:pt idx="539">
                  <c:v>0.119689740598367</c:v>
                </c:pt>
                <c:pt idx="540">
                  <c:v>0.15983118059301599</c:v>
                </c:pt>
                <c:pt idx="541">
                  <c:v>0.119773889582261</c:v>
                </c:pt>
                <c:pt idx="542">
                  <c:v>0.230807065172392</c:v>
                </c:pt>
                <c:pt idx="543">
                  <c:v>0.15246668794172699</c:v>
                </c:pt>
                <c:pt idx="544">
                  <c:v>0.15780903231401899</c:v>
                </c:pt>
                <c:pt idx="545">
                  <c:v>0.11372295006829</c:v>
                </c:pt>
                <c:pt idx="546">
                  <c:v>0.186613891117279</c:v>
                </c:pt>
                <c:pt idx="547">
                  <c:v>0.188114585030659</c:v>
                </c:pt>
                <c:pt idx="548">
                  <c:v>0.157448340575012</c:v>
                </c:pt>
                <c:pt idx="549">
                  <c:v>0.140150431093787</c:v>
                </c:pt>
                <c:pt idx="550">
                  <c:v>0.23895746434762</c:v>
                </c:pt>
                <c:pt idx="551">
                  <c:v>0.185006016843343</c:v>
                </c:pt>
                <c:pt idx="552">
                  <c:v>0.15539888423079401</c:v>
                </c:pt>
                <c:pt idx="553">
                  <c:v>0.17900153483575401</c:v>
                </c:pt>
                <c:pt idx="554">
                  <c:v>0.22559379892965101</c:v>
                </c:pt>
                <c:pt idx="555">
                  <c:v>0.176395753752361</c:v>
                </c:pt>
                <c:pt idx="556">
                  <c:v>0.14973638382915</c:v>
                </c:pt>
                <c:pt idx="557">
                  <c:v>0.17013410112462099</c:v>
                </c:pt>
                <c:pt idx="558">
                  <c:v>0.16522327910072099</c:v>
                </c:pt>
                <c:pt idx="559">
                  <c:v>0.192315427928785</c:v>
                </c:pt>
                <c:pt idx="560">
                  <c:v>0.130181960512604</c:v>
                </c:pt>
                <c:pt idx="561">
                  <c:v>0.21453466223559201</c:v>
                </c:pt>
                <c:pt idx="562">
                  <c:v>0.12790228218128699</c:v>
                </c:pt>
                <c:pt idx="563">
                  <c:v>0.19009115401931001</c:v>
                </c:pt>
                <c:pt idx="564">
                  <c:v>0.17694506037261401</c:v>
                </c:pt>
                <c:pt idx="565">
                  <c:v>0.150654209848436</c:v>
                </c:pt>
                <c:pt idx="566">
                  <c:v>0.132046729662506</c:v>
                </c:pt>
                <c:pt idx="567">
                  <c:v>0.17415692232525101</c:v>
                </c:pt>
                <c:pt idx="568">
                  <c:v>0.16176451917734999</c:v>
                </c:pt>
                <c:pt idx="569">
                  <c:v>0.20779653948785901</c:v>
                </c:pt>
                <c:pt idx="570">
                  <c:v>0.20157648359706201</c:v>
                </c:pt>
                <c:pt idx="571">
                  <c:v>0.160659313937385</c:v>
                </c:pt>
                <c:pt idx="572">
                  <c:v>0.13595957638693601</c:v>
                </c:pt>
                <c:pt idx="573">
                  <c:v>0.17496108144334399</c:v>
                </c:pt>
                <c:pt idx="574">
                  <c:v>0.17504068172703699</c:v>
                </c:pt>
                <c:pt idx="575">
                  <c:v>0.192837196773852</c:v>
                </c:pt>
                <c:pt idx="576">
                  <c:v>0.19008065600969601</c:v>
                </c:pt>
                <c:pt idx="577">
                  <c:v>0.123564986954106</c:v>
                </c:pt>
                <c:pt idx="578">
                  <c:v>0.12333084013218</c:v>
                </c:pt>
                <c:pt idx="579">
                  <c:v>0.18320173331088899</c:v>
                </c:pt>
                <c:pt idx="580">
                  <c:v>9.64968016347139E-2</c:v>
                </c:pt>
                <c:pt idx="581">
                  <c:v>0.13437666522670999</c:v>
                </c:pt>
                <c:pt idx="582">
                  <c:v>0.15399678822250301</c:v>
                </c:pt>
                <c:pt idx="583">
                  <c:v>0.17067614496010899</c:v>
                </c:pt>
                <c:pt idx="584">
                  <c:v>0.15374920468361</c:v>
                </c:pt>
                <c:pt idx="585">
                  <c:v>0.18677919040580901</c:v>
                </c:pt>
                <c:pt idx="586">
                  <c:v>0.14458729807326701</c:v>
                </c:pt>
                <c:pt idx="587">
                  <c:v>0.1804554221662</c:v>
                </c:pt>
                <c:pt idx="588">
                  <c:v>0.101005055884708</c:v>
                </c:pt>
                <c:pt idx="589">
                  <c:v>0.180925647051801</c:v>
                </c:pt>
                <c:pt idx="590">
                  <c:v>0.15506303856947301</c:v>
                </c:pt>
                <c:pt idx="591">
                  <c:v>0.13436898292656799</c:v>
                </c:pt>
                <c:pt idx="592">
                  <c:v>0.177187416929034</c:v>
                </c:pt>
                <c:pt idx="593">
                  <c:v>0.185151613110179</c:v>
                </c:pt>
                <c:pt idx="594">
                  <c:v>0.15315317699818601</c:v>
                </c:pt>
                <c:pt idx="595">
                  <c:v>9.78227579267337E-2</c:v>
                </c:pt>
                <c:pt idx="596">
                  <c:v>0.181454192310155</c:v>
                </c:pt>
                <c:pt idx="597">
                  <c:v>0.143786898030661</c:v>
                </c:pt>
                <c:pt idx="598">
                  <c:v>0.18547385659659599</c:v>
                </c:pt>
                <c:pt idx="599">
                  <c:v>0.22214597299212099</c:v>
                </c:pt>
                <c:pt idx="600">
                  <c:v>0.15345913104922199</c:v>
                </c:pt>
                <c:pt idx="601">
                  <c:v>0.16343627892153201</c:v>
                </c:pt>
                <c:pt idx="602">
                  <c:v>0.160513174713873</c:v>
                </c:pt>
                <c:pt idx="603">
                  <c:v>0.193734604068903</c:v>
                </c:pt>
                <c:pt idx="604">
                  <c:v>0.205356821382706</c:v>
                </c:pt>
                <c:pt idx="605">
                  <c:v>0.173503629666209</c:v>
                </c:pt>
                <c:pt idx="606">
                  <c:v>0.13272998408791301</c:v>
                </c:pt>
                <c:pt idx="607">
                  <c:v>0.152088880605217</c:v>
                </c:pt>
                <c:pt idx="608">
                  <c:v>0.17467065706076701</c:v>
                </c:pt>
                <c:pt idx="609">
                  <c:v>0.19958175287433999</c:v>
                </c:pt>
                <c:pt idx="610">
                  <c:v>0.114580274245785</c:v>
                </c:pt>
                <c:pt idx="611">
                  <c:v>0.152562105023866</c:v>
                </c:pt>
                <c:pt idx="612">
                  <c:v>0.20133124898530599</c:v>
                </c:pt>
                <c:pt idx="613">
                  <c:v>0.187083766333701</c:v>
                </c:pt>
                <c:pt idx="614">
                  <c:v>0.18480611722561899</c:v>
                </c:pt>
                <c:pt idx="615">
                  <c:v>0.158818765464602</c:v>
                </c:pt>
                <c:pt idx="616">
                  <c:v>0.14850653114968801</c:v>
                </c:pt>
                <c:pt idx="617">
                  <c:v>0.17015889025905301</c:v>
                </c:pt>
                <c:pt idx="618">
                  <c:v>0.12272034722438099</c:v>
                </c:pt>
                <c:pt idx="619">
                  <c:v>0.14340079185607599</c:v>
                </c:pt>
                <c:pt idx="620">
                  <c:v>0.16079995941771599</c:v>
                </c:pt>
                <c:pt idx="621">
                  <c:v>0.18182071334973399</c:v>
                </c:pt>
                <c:pt idx="622">
                  <c:v>0.18741138960461401</c:v>
                </c:pt>
                <c:pt idx="623">
                  <c:v>0.15468080125182099</c:v>
                </c:pt>
                <c:pt idx="624">
                  <c:v>0.178956484001389</c:v>
                </c:pt>
                <c:pt idx="625">
                  <c:v>0.19135407092619999</c:v>
                </c:pt>
                <c:pt idx="626">
                  <c:v>0.19279654277390801</c:v>
                </c:pt>
                <c:pt idx="627">
                  <c:v>0.16388794351276101</c:v>
                </c:pt>
                <c:pt idx="628">
                  <c:v>0.17275219911197201</c:v>
                </c:pt>
                <c:pt idx="629">
                  <c:v>0.113576100937453</c:v>
                </c:pt>
                <c:pt idx="630">
                  <c:v>0.11356194223587</c:v>
                </c:pt>
                <c:pt idx="631">
                  <c:v>0.15651283335320099</c:v>
                </c:pt>
                <c:pt idx="632">
                  <c:v>0.14093805941924201</c:v>
                </c:pt>
                <c:pt idx="633">
                  <c:v>0.24096097684114101</c:v>
                </c:pt>
                <c:pt idx="634">
                  <c:v>0.11947876617688501</c:v>
                </c:pt>
                <c:pt idx="635">
                  <c:v>0.12619027877904099</c:v>
                </c:pt>
                <c:pt idx="636">
                  <c:v>0.21391409791277299</c:v>
                </c:pt>
                <c:pt idx="637">
                  <c:v>8.8407162058703206E-2</c:v>
                </c:pt>
                <c:pt idx="638">
                  <c:v>0.14592639060757401</c:v>
                </c:pt>
                <c:pt idx="639">
                  <c:v>9.6376845078608206E-2</c:v>
                </c:pt>
                <c:pt idx="640">
                  <c:v>9.94110437855346E-2</c:v>
                </c:pt>
                <c:pt idx="641">
                  <c:v>0.19600689550320499</c:v>
                </c:pt>
                <c:pt idx="642">
                  <c:v>0.13825211760452</c:v>
                </c:pt>
                <c:pt idx="643">
                  <c:v>0.194093845867649</c:v>
                </c:pt>
                <c:pt idx="644">
                  <c:v>0.110639728564861</c:v>
                </c:pt>
                <c:pt idx="645">
                  <c:v>0.12631745773796699</c:v>
                </c:pt>
                <c:pt idx="646">
                  <c:v>0.167475297294639</c:v>
                </c:pt>
                <c:pt idx="647">
                  <c:v>0.149802615494839</c:v>
                </c:pt>
                <c:pt idx="648">
                  <c:v>0.14747120277258399</c:v>
                </c:pt>
                <c:pt idx="649">
                  <c:v>0.183927288812684</c:v>
                </c:pt>
                <c:pt idx="650">
                  <c:v>0.167308286272356</c:v>
                </c:pt>
                <c:pt idx="651">
                  <c:v>0.18723584526147699</c:v>
                </c:pt>
                <c:pt idx="652">
                  <c:v>0.125116494038467</c:v>
                </c:pt>
                <c:pt idx="653">
                  <c:v>0.13769333199629999</c:v>
                </c:pt>
                <c:pt idx="654">
                  <c:v>0.124555094803802</c:v>
                </c:pt>
                <c:pt idx="655">
                  <c:v>0.16806307677472501</c:v>
                </c:pt>
                <c:pt idx="656">
                  <c:v>0.176547960307188</c:v>
                </c:pt>
                <c:pt idx="657">
                  <c:v>0.139908130012389</c:v>
                </c:pt>
                <c:pt idx="658">
                  <c:v>0.169872213685515</c:v>
                </c:pt>
                <c:pt idx="659">
                  <c:v>0.11978448874909201</c:v>
                </c:pt>
                <c:pt idx="660">
                  <c:v>0.12069812810665401</c:v>
                </c:pt>
                <c:pt idx="661">
                  <c:v>0.17429917173086401</c:v>
                </c:pt>
                <c:pt idx="662">
                  <c:v>0.20164855244072399</c:v>
                </c:pt>
                <c:pt idx="663">
                  <c:v>0.25340138520490002</c:v>
                </c:pt>
                <c:pt idx="664">
                  <c:v>0.15076350536274299</c:v>
                </c:pt>
                <c:pt idx="665">
                  <c:v>0.22138303546489099</c:v>
                </c:pt>
                <c:pt idx="666">
                  <c:v>0.18368221927984199</c:v>
                </c:pt>
                <c:pt idx="667">
                  <c:v>0.17949577281571799</c:v>
                </c:pt>
                <c:pt idx="668">
                  <c:v>0.18812016257817801</c:v>
                </c:pt>
                <c:pt idx="669">
                  <c:v>0.118140670597458</c:v>
                </c:pt>
                <c:pt idx="670">
                  <c:v>0.13088923247766701</c:v>
                </c:pt>
                <c:pt idx="671">
                  <c:v>0.16819731983752201</c:v>
                </c:pt>
                <c:pt idx="672">
                  <c:v>0.11785541964252701</c:v>
                </c:pt>
                <c:pt idx="673">
                  <c:v>0.14219810442762701</c:v>
                </c:pt>
                <c:pt idx="674">
                  <c:v>0.100427750069447</c:v>
                </c:pt>
                <c:pt idx="675">
                  <c:v>0.194412633239293</c:v>
                </c:pt>
                <c:pt idx="676">
                  <c:v>0.17839533952086001</c:v>
                </c:pt>
                <c:pt idx="677">
                  <c:v>0.16452090216274501</c:v>
                </c:pt>
                <c:pt idx="678">
                  <c:v>0.17572712555129699</c:v>
                </c:pt>
                <c:pt idx="679">
                  <c:v>0.193765966806904</c:v>
                </c:pt>
                <c:pt idx="680">
                  <c:v>0.165563164260107</c:v>
                </c:pt>
                <c:pt idx="681">
                  <c:v>0.13988691158904501</c:v>
                </c:pt>
                <c:pt idx="682">
                  <c:v>0.17262534904294999</c:v>
                </c:pt>
                <c:pt idx="683">
                  <c:v>0.21030902769145399</c:v>
                </c:pt>
                <c:pt idx="684">
                  <c:v>0.15701056783311801</c:v>
                </c:pt>
                <c:pt idx="685">
                  <c:v>0.18404872478539899</c:v>
                </c:pt>
                <c:pt idx="686">
                  <c:v>0.170441452657771</c:v>
                </c:pt>
                <c:pt idx="687">
                  <c:v>0.18991514503898299</c:v>
                </c:pt>
                <c:pt idx="688">
                  <c:v>0.149742369872189</c:v>
                </c:pt>
                <c:pt idx="689">
                  <c:v>0.126948921650716</c:v>
                </c:pt>
                <c:pt idx="690">
                  <c:v>0.175092672212248</c:v>
                </c:pt>
                <c:pt idx="691">
                  <c:v>0.15985170214672301</c:v>
                </c:pt>
                <c:pt idx="692">
                  <c:v>0.20848623808771199</c:v>
                </c:pt>
                <c:pt idx="693">
                  <c:v>0.17304415815138</c:v>
                </c:pt>
                <c:pt idx="694">
                  <c:v>0.126720711740511</c:v>
                </c:pt>
                <c:pt idx="695">
                  <c:v>0.14210497584558601</c:v>
                </c:pt>
                <c:pt idx="696">
                  <c:v>0.12510040327464</c:v>
                </c:pt>
                <c:pt idx="697">
                  <c:v>0.16465355384791999</c:v>
                </c:pt>
                <c:pt idx="698">
                  <c:v>0.17533966775905899</c:v>
                </c:pt>
                <c:pt idx="699">
                  <c:v>0.12744053294827101</c:v>
                </c:pt>
                <c:pt idx="700">
                  <c:v>0.12619988599052001</c:v>
                </c:pt>
                <c:pt idx="701">
                  <c:v>0.20664704005578799</c:v>
                </c:pt>
                <c:pt idx="702">
                  <c:v>0.198035833959576</c:v>
                </c:pt>
                <c:pt idx="703">
                  <c:v>0.18174213116552501</c:v>
                </c:pt>
                <c:pt idx="704">
                  <c:v>0.152158714117269</c:v>
                </c:pt>
                <c:pt idx="705">
                  <c:v>0.21461836176750801</c:v>
                </c:pt>
                <c:pt idx="706">
                  <c:v>0.20014717384658601</c:v>
                </c:pt>
                <c:pt idx="707">
                  <c:v>0.16375962634132701</c:v>
                </c:pt>
                <c:pt idx="708">
                  <c:v>0.15301240258488399</c:v>
                </c:pt>
                <c:pt idx="709">
                  <c:v>0.145351772614492</c:v>
                </c:pt>
                <c:pt idx="710">
                  <c:v>9.3070363944610504E-2</c:v>
                </c:pt>
                <c:pt idx="711">
                  <c:v>0.190045284888161</c:v>
                </c:pt>
                <c:pt idx="712">
                  <c:v>0.14226604614687599</c:v>
                </c:pt>
                <c:pt idx="713">
                  <c:v>0.16367825994444499</c:v>
                </c:pt>
                <c:pt idx="714">
                  <c:v>0.169998669261822</c:v>
                </c:pt>
                <c:pt idx="715">
                  <c:v>0.183052264218935</c:v>
                </c:pt>
                <c:pt idx="716">
                  <c:v>0.114332791184222</c:v>
                </c:pt>
                <c:pt idx="717">
                  <c:v>0.19150205679260901</c:v>
                </c:pt>
                <c:pt idx="718">
                  <c:v>0.18152358200990201</c:v>
                </c:pt>
                <c:pt idx="719">
                  <c:v>0.15663869449015999</c:v>
                </c:pt>
                <c:pt idx="720">
                  <c:v>0.14559462324023301</c:v>
                </c:pt>
                <c:pt idx="721">
                  <c:v>0.19720951923476701</c:v>
                </c:pt>
                <c:pt idx="722">
                  <c:v>0.19398519940280101</c:v>
                </c:pt>
                <c:pt idx="723">
                  <c:v>0.17683169380327199</c:v>
                </c:pt>
                <c:pt idx="724">
                  <c:v>0.18993772883142401</c:v>
                </c:pt>
                <c:pt idx="725">
                  <c:v>0.13049041081271401</c:v>
                </c:pt>
                <c:pt idx="726">
                  <c:v>0.152616897358299</c:v>
                </c:pt>
                <c:pt idx="727">
                  <c:v>0.132618504665205</c:v>
                </c:pt>
                <c:pt idx="728">
                  <c:v>0.114026244415862</c:v>
                </c:pt>
                <c:pt idx="729">
                  <c:v>0.143806115041721</c:v>
                </c:pt>
                <c:pt idx="730">
                  <c:v>0.17083189362915199</c:v>
                </c:pt>
                <c:pt idx="731">
                  <c:v>0.176629523772971</c:v>
                </c:pt>
                <c:pt idx="732">
                  <c:v>0.14772338728609699</c:v>
                </c:pt>
                <c:pt idx="733">
                  <c:v>0.15638976337715599</c:v>
                </c:pt>
                <c:pt idx="734">
                  <c:v>0.21493223731258099</c:v>
                </c:pt>
                <c:pt idx="735">
                  <c:v>0.12665216887047701</c:v>
                </c:pt>
                <c:pt idx="736">
                  <c:v>0.184618656406563</c:v>
                </c:pt>
                <c:pt idx="737">
                  <c:v>0.11530762361231001</c:v>
                </c:pt>
                <c:pt idx="738">
                  <c:v>0.168518810602205</c:v>
                </c:pt>
                <c:pt idx="739">
                  <c:v>0.169206292556909</c:v>
                </c:pt>
                <c:pt idx="740">
                  <c:v>0.16551148975652799</c:v>
                </c:pt>
                <c:pt idx="741">
                  <c:v>0.16204338722435499</c:v>
                </c:pt>
                <c:pt idx="742">
                  <c:v>0.143381659187858</c:v>
                </c:pt>
                <c:pt idx="743">
                  <c:v>0.24245136863515501</c:v>
                </c:pt>
                <c:pt idx="744">
                  <c:v>0.22478153296463799</c:v>
                </c:pt>
                <c:pt idx="745">
                  <c:v>0.17213025141985999</c:v>
                </c:pt>
                <c:pt idx="746">
                  <c:v>0.15684807633450701</c:v>
                </c:pt>
                <c:pt idx="747">
                  <c:v>0.17985330732464899</c:v>
                </c:pt>
                <c:pt idx="748">
                  <c:v>0.123649337141813</c:v>
                </c:pt>
                <c:pt idx="749">
                  <c:v>0.188371327023198</c:v>
                </c:pt>
                <c:pt idx="750">
                  <c:v>0.22631837510541999</c:v>
                </c:pt>
                <c:pt idx="751">
                  <c:v>0.16594182723113701</c:v>
                </c:pt>
                <c:pt idx="752">
                  <c:v>0.12444433402937</c:v>
                </c:pt>
                <c:pt idx="753">
                  <c:v>0.186703573270003</c:v>
                </c:pt>
                <c:pt idx="754">
                  <c:v>0.13033397505236299</c:v>
                </c:pt>
                <c:pt idx="755">
                  <c:v>0.18829096605936199</c:v>
                </c:pt>
                <c:pt idx="756">
                  <c:v>0.10799976999562499</c:v>
                </c:pt>
                <c:pt idx="757">
                  <c:v>0.17144926316917899</c:v>
                </c:pt>
                <c:pt idx="758">
                  <c:v>0.19064760538359399</c:v>
                </c:pt>
                <c:pt idx="759">
                  <c:v>0.15850640398581201</c:v>
                </c:pt>
                <c:pt idx="760">
                  <c:v>0.190529869588935</c:v>
                </c:pt>
                <c:pt idx="761">
                  <c:v>0.15079348311187599</c:v>
                </c:pt>
                <c:pt idx="762">
                  <c:v>0.165140303208202</c:v>
                </c:pt>
                <c:pt idx="763">
                  <c:v>0.114689297145584</c:v>
                </c:pt>
                <c:pt idx="764">
                  <c:v>0.19826710656725299</c:v>
                </c:pt>
                <c:pt idx="765">
                  <c:v>0.20003601229315299</c:v>
                </c:pt>
                <c:pt idx="766">
                  <c:v>0.15657154944554499</c:v>
                </c:pt>
                <c:pt idx="767">
                  <c:v>0.18387015105910301</c:v>
                </c:pt>
                <c:pt idx="768">
                  <c:v>0.15104179244978</c:v>
                </c:pt>
                <c:pt idx="769">
                  <c:v>0.19020268073056101</c:v>
                </c:pt>
                <c:pt idx="770">
                  <c:v>0.123488108322657</c:v>
                </c:pt>
                <c:pt idx="771">
                  <c:v>0.12534442676691601</c:v>
                </c:pt>
                <c:pt idx="772">
                  <c:v>0.193332283265958</c:v>
                </c:pt>
                <c:pt idx="773">
                  <c:v>0.13705260832433999</c:v>
                </c:pt>
                <c:pt idx="774">
                  <c:v>0.187247082597431</c:v>
                </c:pt>
                <c:pt idx="775">
                  <c:v>0.126209128333576</c:v>
                </c:pt>
                <c:pt idx="776">
                  <c:v>0.13210899395339701</c:v>
                </c:pt>
                <c:pt idx="777">
                  <c:v>0.15474595594485599</c:v>
                </c:pt>
                <c:pt idx="778">
                  <c:v>0.112677252086401</c:v>
                </c:pt>
                <c:pt idx="779">
                  <c:v>0.148979488562267</c:v>
                </c:pt>
                <c:pt idx="780">
                  <c:v>0.132291032522076</c:v>
                </c:pt>
                <c:pt idx="781">
                  <c:v>0.10448324937671601</c:v>
                </c:pt>
                <c:pt idx="782">
                  <c:v>0.16458070751810999</c:v>
                </c:pt>
                <c:pt idx="783">
                  <c:v>0.14626580046898799</c:v>
                </c:pt>
                <c:pt idx="784">
                  <c:v>0.121002814994528</c:v>
                </c:pt>
                <c:pt idx="785">
                  <c:v>0.19959164811829799</c:v>
                </c:pt>
                <c:pt idx="786">
                  <c:v>0.183266813475292</c:v>
                </c:pt>
                <c:pt idx="787">
                  <c:v>0.207753604567808</c:v>
                </c:pt>
                <c:pt idx="788">
                  <c:v>0.20405865946405299</c:v>
                </c:pt>
                <c:pt idx="789">
                  <c:v>0.204087383187083</c:v>
                </c:pt>
                <c:pt idx="790">
                  <c:v>0.20282878781966601</c:v>
                </c:pt>
                <c:pt idx="791">
                  <c:v>0.107780380771147</c:v>
                </c:pt>
                <c:pt idx="792">
                  <c:v>0.18859927792169501</c:v>
                </c:pt>
                <c:pt idx="793">
                  <c:v>0.115511696284735</c:v>
                </c:pt>
                <c:pt idx="794">
                  <c:v>0.14351971519645801</c:v>
                </c:pt>
                <c:pt idx="795">
                  <c:v>0.21874147802112401</c:v>
                </c:pt>
                <c:pt idx="796">
                  <c:v>0.13094232831538399</c:v>
                </c:pt>
                <c:pt idx="797">
                  <c:v>0.15197207923390399</c:v>
                </c:pt>
                <c:pt idx="798">
                  <c:v>0.15398980067763199</c:v>
                </c:pt>
                <c:pt idx="799">
                  <c:v>0.13652014869277701</c:v>
                </c:pt>
                <c:pt idx="800">
                  <c:v>0.12701384060811299</c:v>
                </c:pt>
                <c:pt idx="801">
                  <c:v>0.166304674251294</c:v>
                </c:pt>
                <c:pt idx="802">
                  <c:v>0.168544998675317</c:v>
                </c:pt>
                <c:pt idx="803">
                  <c:v>0.15636901960327901</c:v>
                </c:pt>
                <c:pt idx="804">
                  <c:v>0.115745644239895</c:v>
                </c:pt>
                <c:pt idx="805">
                  <c:v>0.11966606771332</c:v>
                </c:pt>
                <c:pt idx="806">
                  <c:v>0.19966339589960899</c:v>
                </c:pt>
                <c:pt idx="807">
                  <c:v>0.121270253096942</c:v>
                </c:pt>
                <c:pt idx="808">
                  <c:v>0.18315950976490999</c:v>
                </c:pt>
                <c:pt idx="809">
                  <c:v>0.12670009999246601</c:v>
                </c:pt>
                <c:pt idx="810">
                  <c:v>0.15241749885380099</c:v>
                </c:pt>
                <c:pt idx="811">
                  <c:v>0.126004163747021</c:v>
                </c:pt>
                <c:pt idx="812">
                  <c:v>0.19981902840089699</c:v>
                </c:pt>
                <c:pt idx="813">
                  <c:v>0.13379731043718401</c:v>
                </c:pt>
                <c:pt idx="814">
                  <c:v>0.17460112470313599</c:v>
                </c:pt>
                <c:pt idx="815">
                  <c:v>0.128226659335992</c:v>
                </c:pt>
                <c:pt idx="816">
                  <c:v>0.14759237587377799</c:v>
                </c:pt>
                <c:pt idx="817">
                  <c:v>0.200200947325296</c:v>
                </c:pt>
                <c:pt idx="818">
                  <c:v>0.16970091142687099</c:v>
                </c:pt>
                <c:pt idx="819">
                  <c:v>0.16378819470998901</c:v>
                </c:pt>
                <c:pt idx="820">
                  <c:v>0.13881604236914599</c:v>
                </c:pt>
                <c:pt idx="821">
                  <c:v>0.20861729510361801</c:v>
                </c:pt>
                <c:pt idx="822">
                  <c:v>9.0119310131343805E-2</c:v>
                </c:pt>
                <c:pt idx="823">
                  <c:v>9.2025454961694703E-2</c:v>
                </c:pt>
                <c:pt idx="824">
                  <c:v>0.102702779383795</c:v>
                </c:pt>
                <c:pt idx="825">
                  <c:v>0.13244260703407401</c:v>
                </c:pt>
                <c:pt idx="826">
                  <c:v>0.15181741032881199</c:v>
                </c:pt>
                <c:pt idx="827">
                  <c:v>0.144279483744092</c:v>
                </c:pt>
                <c:pt idx="828">
                  <c:v>0.18128650273349101</c:v>
                </c:pt>
                <c:pt idx="829">
                  <c:v>0.15510451136313499</c:v>
                </c:pt>
                <c:pt idx="830">
                  <c:v>0.158294512849425</c:v>
                </c:pt>
                <c:pt idx="831">
                  <c:v>0.163990009700651</c:v>
                </c:pt>
                <c:pt idx="832">
                  <c:v>0.135642921266873</c:v>
                </c:pt>
                <c:pt idx="833">
                  <c:v>0.108947787741458</c:v>
                </c:pt>
                <c:pt idx="834">
                  <c:v>0.110477743115813</c:v>
                </c:pt>
                <c:pt idx="835">
                  <c:v>0.14223911815161699</c:v>
                </c:pt>
                <c:pt idx="836">
                  <c:v>0.130294797397697</c:v>
                </c:pt>
                <c:pt idx="837">
                  <c:v>0.15748733905707499</c:v>
                </c:pt>
                <c:pt idx="838">
                  <c:v>0.143144351643478</c:v>
                </c:pt>
                <c:pt idx="839">
                  <c:v>0.1165338942777</c:v>
                </c:pt>
                <c:pt idx="840">
                  <c:v>6.3451047958402104E-2</c:v>
                </c:pt>
                <c:pt idx="841">
                  <c:v>0.18004378727120901</c:v>
                </c:pt>
                <c:pt idx="842">
                  <c:v>0.135003019884117</c:v>
                </c:pt>
                <c:pt idx="843">
                  <c:v>0.15835576169878701</c:v>
                </c:pt>
                <c:pt idx="844">
                  <c:v>0.119674227439485</c:v>
                </c:pt>
                <c:pt idx="845">
                  <c:v>0.153267262111563</c:v>
                </c:pt>
                <c:pt idx="846">
                  <c:v>0.18693655822986399</c:v>
                </c:pt>
                <c:pt idx="847">
                  <c:v>0.10681566170838799</c:v>
                </c:pt>
                <c:pt idx="848">
                  <c:v>0.163690452729223</c:v>
                </c:pt>
                <c:pt idx="849">
                  <c:v>0.13072207388339199</c:v>
                </c:pt>
                <c:pt idx="850">
                  <c:v>0.13822120533127299</c:v>
                </c:pt>
                <c:pt idx="851">
                  <c:v>0.16997913475920401</c:v>
                </c:pt>
                <c:pt idx="852">
                  <c:v>0.136158510935451</c:v>
                </c:pt>
                <c:pt idx="853">
                  <c:v>8.8780035362272705E-2</c:v>
                </c:pt>
                <c:pt idx="854">
                  <c:v>0.15420733493747399</c:v>
                </c:pt>
                <c:pt idx="855">
                  <c:v>0.12364982323983401</c:v>
                </c:pt>
                <c:pt idx="856">
                  <c:v>0.19014611665136799</c:v>
                </c:pt>
                <c:pt idx="857">
                  <c:v>0.109082021001698</c:v>
                </c:pt>
                <c:pt idx="858">
                  <c:v>0.17844244896345399</c:v>
                </c:pt>
                <c:pt idx="859">
                  <c:v>0.122493733124443</c:v>
                </c:pt>
                <c:pt idx="860">
                  <c:v>0.113991924647271</c:v>
                </c:pt>
                <c:pt idx="861">
                  <c:v>0.14794090087391401</c:v>
                </c:pt>
                <c:pt idx="862">
                  <c:v>0.13597925912040701</c:v>
                </c:pt>
                <c:pt idx="863">
                  <c:v>0.17111465089686501</c:v>
                </c:pt>
                <c:pt idx="864">
                  <c:v>0.183503061777851</c:v>
                </c:pt>
                <c:pt idx="865">
                  <c:v>0.14722668477480999</c:v>
                </c:pt>
                <c:pt idx="866">
                  <c:v>0.14058709969987401</c:v>
                </c:pt>
                <c:pt idx="867">
                  <c:v>0.17572921942568501</c:v>
                </c:pt>
                <c:pt idx="868">
                  <c:v>0.13642523512771401</c:v>
                </c:pt>
                <c:pt idx="869">
                  <c:v>0.150669179984254</c:v>
                </c:pt>
                <c:pt idx="870">
                  <c:v>0.16558799924919301</c:v>
                </c:pt>
                <c:pt idx="871">
                  <c:v>0.129068800262016</c:v>
                </c:pt>
                <c:pt idx="872">
                  <c:v>0.20043779459358099</c:v>
                </c:pt>
                <c:pt idx="873">
                  <c:v>0.14772474817129799</c:v>
                </c:pt>
                <c:pt idx="874">
                  <c:v>0.110139481134175</c:v>
                </c:pt>
                <c:pt idx="875">
                  <c:v>0.18093500570502</c:v>
                </c:pt>
                <c:pt idx="876">
                  <c:v>0.15564676153826801</c:v>
                </c:pt>
                <c:pt idx="877">
                  <c:v>0.16257153426082799</c:v>
                </c:pt>
                <c:pt idx="878">
                  <c:v>0.16270343046106001</c:v>
                </c:pt>
                <c:pt idx="879">
                  <c:v>0.12502380790321199</c:v>
                </c:pt>
                <c:pt idx="880">
                  <c:v>0.14159649206709199</c:v>
                </c:pt>
                <c:pt idx="881">
                  <c:v>9.5852415292562401E-2</c:v>
                </c:pt>
                <c:pt idx="882">
                  <c:v>0.16050565622173699</c:v>
                </c:pt>
                <c:pt idx="883">
                  <c:v>8.4999877390190104E-2</c:v>
                </c:pt>
                <c:pt idx="884">
                  <c:v>0.15396421675536301</c:v>
                </c:pt>
                <c:pt idx="885">
                  <c:v>0.12963200815267001</c:v>
                </c:pt>
                <c:pt idx="886">
                  <c:v>0.121287138152935</c:v>
                </c:pt>
                <c:pt idx="887">
                  <c:v>7.2440256030080599E-2</c:v>
                </c:pt>
                <c:pt idx="888">
                  <c:v>0.16418764508341799</c:v>
                </c:pt>
                <c:pt idx="889">
                  <c:v>0.14593399010469199</c:v>
                </c:pt>
                <c:pt idx="890">
                  <c:v>0.120188086694761</c:v>
                </c:pt>
                <c:pt idx="891">
                  <c:v>0.127857282092006</c:v>
                </c:pt>
                <c:pt idx="892">
                  <c:v>0.19281007105988399</c:v>
                </c:pt>
                <c:pt idx="893">
                  <c:v>0.18593860123602299</c:v>
                </c:pt>
                <c:pt idx="894">
                  <c:v>0.22209874898926599</c:v>
                </c:pt>
                <c:pt idx="895">
                  <c:v>9.6807637493311102E-2</c:v>
                </c:pt>
                <c:pt idx="896">
                  <c:v>0.116338721732405</c:v>
                </c:pt>
                <c:pt idx="897">
                  <c:v>0.150803866634793</c:v>
                </c:pt>
                <c:pt idx="898">
                  <c:v>0.126218984416581</c:v>
                </c:pt>
                <c:pt idx="899">
                  <c:v>0.18418563491524001</c:v>
                </c:pt>
                <c:pt idx="900">
                  <c:v>0.206387601566626</c:v>
                </c:pt>
                <c:pt idx="901">
                  <c:v>0.20245793454195099</c:v>
                </c:pt>
                <c:pt idx="902">
                  <c:v>0.15832764689651499</c:v>
                </c:pt>
                <c:pt idx="903">
                  <c:v>0.16358152884416399</c:v>
                </c:pt>
                <c:pt idx="904">
                  <c:v>0.21263876337738599</c:v>
                </c:pt>
                <c:pt idx="905">
                  <c:v>0.145435163869543</c:v>
                </c:pt>
                <c:pt idx="906">
                  <c:v>0.19322708992036999</c:v>
                </c:pt>
                <c:pt idx="907">
                  <c:v>0.155863483442091</c:v>
                </c:pt>
                <c:pt idx="908">
                  <c:v>0.19697664589401201</c:v>
                </c:pt>
                <c:pt idx="909">
                  <c:v>0.1934758729454</c:v>
                </c:pt>
                <c:pt idx="910">
                  <c:v>0.10094795205709001</c:v>
                </c:pt>
                <c:pt idx="911">
                  <c:v>0.133209465434731</c:v>
                </c:pt>
                <c:pt idx="912">
                  <c:v>0.23212562766709799</c:v>
                </c:pt>
                <c:pt idx="913">
                  <c:v>0.106888256118247</c:v>
                </c:pt>
                <c:pt idx="914">
                  <c:v>0.190696650898381</c:v>
                </c:pt>
                <c:pt idx="915">
                  <c:v>0.15042835456360801</c:v>
                </c:pt>
                <c:pt idx="916">
                  <c:v>0.17383775449078601</c:v>
                </c:pt>
                <c:pt idx="917">
                  <c:v>0.15095143515652601</c:v>
                </c:pt>
                <c:pt idx="918">
                  <c:v>0.125830096510165</c:v>
                </c:pt>
                <c:pt idx="919">
                  <c:v>0.12651367600497401</c:v>
                </c:pt>
                <c:pt idx="920">
                  <c:v>0.119245615901528</c:v>
                </c:pt>
                <c:pt idx="921">
                  <c:v>0.13122160192393401</c:v>
                </c:pt>
                <c:pt idx="922">
                  <c:v>0.14325380289706699</c:v>
                </c:pt>
                <c:pt idx="923">
                  <c:v>0.12265982171126399</c:v>
                </c:pt>
                <c:pt idx="924">
                  <c:v>0.17077912944677101</c:v>
                </c:pt>
                <c:pt idx="925">
                  <c:v>0.129672322849993</c:v>
                </c:pt>
                <c:pt idx="926">
                  <c:v>0.15199908065534901</c:v>
                </c:pt>
                <c:pt idx="927">
                  <c:v>0.226237016789225</c:v>
                </c:pt>
                <c:pt idx="928">
                  <c:v>0.110614772646784</c:v>
                </c:pt>
                <c:pt idx="929">
                  <c:v>0.172993893794085</c:v>
                </c:pt>
                <c:pt idx="930">
                  <c:v>0.15334429037401001</c:v>
                </c:pt>
                <c:pt idx="931">
                  <c:v>0.18035311242928601</c:v>
                </c:pt>
                <c:pt idx="932">
                  <c:v>0.11509489701344799</c:v>
                </c:pt>
                <c:pt idx="933">
                  <c:v>0.15383112856638401</c:v>
                </c:pt>
                <c:pt idx="934">
                  <c:v>0.20831704054987399</c:v>
                </c:pt>
                <c:pt idx="935">
                  <c:v>0.20173869624708199</c:v>
                </c:pt>
                <c:pt idx="936">
                  <c:v>0.12008812003623399</c:v>
                </c:pt>
                <c:pt idx="937">
                  <c:v>0.13785322237687</c:v>
                </c:pt>
                <c:pt idx="938">
                  <c:v>0.147698642404056</c:v>
                </c:pt>
                <c:pt idx="939">
                  <c:v>0.14979115726842801</c:v>
                </c:pt>
                <c:pt idx="940">
                  <c:v>0.217663034532524</c:v>
                </c:pt>
                <c:pt idx="941">
                  <c:v>0.15902256813907001</c:v>
                </c:pt>
                <c:pt idx="942">
                  <c:v>0.12832714844806001</c:v>
                </c:pt>
                <c:pt idx="943">
                  <c:v>0.216948655819414</c:v>
                </c:pt>
                <c:pt idx="944">
                  <c:v>0.14892281509169999</c:v>
                </c:pt>
                <c:pt idx="945">
                  <c:v>0.145961947076483</c:v>
                </c:pt>
                <c:pt idx="946">
                  <c:v>0.12635704329057301</c:v>
                </c:pt>
                <c:pt idx="947">
                  <c:v>0.15551436498895499</c:v>
                </c:pt>
                <c:pt idx="948">
                  <c:v>0.16691265276771799</c:v>
                </c:pt>
                <c:pt idx="949">
                  <c:v>0.15370088485019301</c:v>
                </c:pt>
                <c:pt idx="950">
                  <c:v>0.14661708977584201</c:v>
                </c:pt>
                <c:pt idx="951">
                  <c:v>0.164509309265294</c:v>
                </c:pt>
                <c:pt idx="952">
                  <c:v>0.181799166766689</c:v>
                </c:pt>
                <c:pt idx="953">
                  <c:v>0.116771360926628</c:v>
                </c:pt>
                <c:pt idx="954">
                  <c:v>0.192478724867338</c:v>
                </c:pt>
                <c:pt idx="955">
                  <c:v>0.136674985470191</c:v>
                </c:pt>
                <c:pt idx="956">
                  <c:v>0.17455449939651799</c:v>
                </c:pt>
                <c:pt idx="957">
                  <c:v>0.15070014619320701</c:v>
                </c:pt>
                <c:pt idx="958">
                  <c:v>0.158979795301085</c:v>
                </c:pt>
                <c:pt idx="959">
                  <c:v>0.16818212322689199</c:v>
                </c:pt>
                <c:pt idx="960">
                  <c:v>0.157692202038405</c:v>
                </c:pt>
                <c:pt idx="961">
                  <c:v>0.20307505208802201</c:v>
                </c:pt>
                <c:pt idx="962">
                  <c:v>0.117084468943601</c:v>
                </c:pt>
                <c:pt idx="963">
                  <c:v>0.132595653368108</c:v>
                </c:pt>
                <c:pt idx="964">
                  <c:v>0.187650468594592</c:v>
                </c:pt>
                <c:pt idx="965">
                  <c:v>0.21297555970678</c:v>
                </c:pt>
                <c:pt idx="966">
                  <c:v>0.149119941869924</c:v>
                </c:pt>
                <c:pt idx="967">
                  <c:v>0.18641605064916</c:v>
                </c:pt>
                <c:pt idx="968">
                  <c:v>0.14080309028975499</c:v>
                </c:pt>
                <c:pt idx="969">
                  <c:v>0.17730023910631801</c:v>
                </c:pt>
                <c:pt idx="970">
                  <c:v>0.212205352571707</c:v>
                </c:pt>
                <c:pt idx="971">
                  <c:v>0.153782636969442</c:v>
                </c:pt>
                <c:pt idx="972">
                  <c:v>0.15708813681519501</c:v>
                </c:pt>
                <c:pt idx="973">
                  <c:v>8.4064450122356998E-2</c:v>
                </c:pt>
                <c:pt idx="974">
                  <c:v>0.16705047581948701</c:v>
                </c:pt>
                <c:pt idx="975">
                  <c:v>0.115529622662484</c:v>
                </c:pt>
                <c:pt idx="976">
                  <c:v>0.13801781505267799</c:v>
                </c:pt>
                <c:pt idx="977">
                  <c:v>0.15125057304183501</c:v>
                </c:pt>
                <c:pt idx="978">
                  <c:v>0.128123475266433</c:v>
                </c:pt>
                <c:pt idx="979">
                  <c:v>0.16096485790546899</c:v>
                </c:pt>
                <c:pt idx="980">
                  <c:v>0.152263313607887</c:v>
                </c:pt>
                <c:pt idx="981">
                  <c:v>0.16479830681087099</c:v>
                </c:pt>
                <c:pt idx="982">
                  <c:v>0.23357860244456799</c:v>
                </c:pt>
                <c:pt idx="983">
                  <c:v>0.14782989464482099</c:v>
                </c:pt>
                <c:pt idx="984">
                  <c:v>0.16508830017654999</c:v>
                </c:pt>
                <c:pt idx="985">
                  <c:v>0.126304769531464</c:v>
                </c:pt>
                <c:pt idx="986">
                  <c:v>0.19849978066483401</c:v>
                </c:pt>
                <c:pt idx="987">
                  <c:v>0.16560128801306301</c:v>
                </c:pt>
                <c:pt idx="988">
                  <c:v>0.14810373736798799</c:v>
                </c:pt>
                <c:pt idx="989">
                  <c:v>0.195096332502605</c:v>
                </c:pt>
                <c:pt idx="990">
                  <c:v>0.184667041321111</c:v>
                </c:pt>
                <c:pt idx="991">
                  <c:v>0.15478103257344999</c:v>
                </c:pt>
                <c:pt idx="992">
                  <c:v>0.166131233763537</c:v>
                </c:pt>
                <c:pt idx="993">
                  <c:v>0.21179446604461799</c:v>
                </c:pt>
                <c:pt idx="994">
                  <c:v>0.13645331386332599</c:v>
                </c:pt>
                <c:pt idx="995">
                  <c:v>0.20110335633236501</c:v>
                </c:pt>
                <c:pt idx="996">
                  <c:v>0.17201935102597599</c:v>
                </c:pt>
                <c:pt idx="997">
                  <c:v>0.219120749053167</c:v>
                </c:pt>
                <c:pt idx="998">
                  <c:v>0.18993336610447201</c:v>
                </c:pt>
                <c:pt idx="999">
                  <c:v>0.193466096831163</c:v>
                </c:pt>
              </c:numCache>
            </c:numRef>
          </c:xVal>
          <c:yVal>
            <c:numRef>
              <c:f>Foglio1!$E$3:$E$1002</c:f>
              <c:numCache>
                <c:formatCode>_("€"* #,##0.00_);_("€"* \(#,##0.00\);_("€"* "-"??_);_(@_)</c:formatCode>
                <c:ptCount val="1000"/>
                <c:pt idx="0">
                  <c:v>247.5383374020721</c:v>
                </c:pt>
                <c:pt idx="1">
                  <c:v>198.95195485312939</c:v>
                </c:pt>
                <c:pt idx="2">
                  <c:v>206.59212023631139</c:v>
                </c:pt>
                <c:pt idx="3">
                  <c:v>249.7260791417134</c:v>
                </c:pt>
                <c:pt idx="4">
                  <c:v>271.08267933674938</c:v>
                </c:pt>
                <c:pt idx="5">
                  <c:v>199.49804496942929</c:v>
                </c:pt>
                <c:pt idx="6">
                  <c:v>210.8402152382846</c:v>
                </c:pt>
                <c:pt idx="7">
                  <c:v>252.84928924696851</c:v>
                </c:pt>
                <c:pt idx="8">
                  <c:v>337.66455205292289</c:v>
                </c:pt>
                <c:pt idx="9">
                  <c:v>319.5678119176722</c:v>
                </c:pt>
                <c:pt idx="10">
                  <c:v>231.37231415820011</c:v>
                </c:pt>
                <c:pt idx="11">
                  <c:v>193.77137688054339</c:v>
                </c:pt>
                <c:pt idx="12">
                  <c:v>229.74266635296499</c:v>
                </c:pt>
                <c:pt idx="13">
                  <c:v>225.04125467053191</c:v>
                </c:pt>
                <c:pt idx="14">
                  <c:v>234.46166008491181</c:v>
                </c:pt>
                <c:pt idx="15">
                  <c:v>256.19073399988417</c:v>
                </c:pt>
                <c:pt idx="16">
                  <c:v>314.48047055086829</c:v>
                </c:pt>
                <c:pt idx="17">
                  <c:v>314.96056555692502</c:v>
                </c:pt>
                <c:pt idx="18">
                  <c:v>245.92973025717399</c:v>
                </c:pt>
                <c:pt idx="19">
                  <c:v>253.7437309612987</c:v>
                </c:pt>
                <c:pt idx="20">
                  <c:v>196.7910956477746</c:v>
                </c:pt>
                <c:pt idx="21">
                  <c:v>333.2364744532149</c:v>
                </c:pt>
                <c:pt idx="22">
                  <c:v>171.67066085377161</c:v>
                </c:pt>
                <c:pt idx="23">
                  <c:v>316.87366303017637</c:v>
                </c:pt>
                <c:pt idx="24">
                  <c:v>209.83358100910331</c:v>
                </c:pt>
                <c:pt idx="25">
                  <c:v>239.56989360889011</c:v>
                </c:pt>
                <c:pt idx="26">
                  <c:v>254.07459158027191</c:v>
                </c:pt>
                <c:pt idx="27">
                  <c:v>225.8180838267638</c:v>
                </c:pt>
                <c:pt idx="28">
                  <c:v>251.5866751114047</c:v>
                </c:pt>
                <c:pt idx="29">
                  <c:v>326.61163878843809</c:v>
                </c:pt>
                <c:pt idx="30">
                  <c:v>220.30322357942421</c:v>
                </c:pt>
                <c:pt idx="31">
                  <c:v>244.49560270994891</c:v>
                </c:pt>
                <c:pt idx="32">
                  <c:v>296.81828883585081</c:v>
                </c:pt>
                <c:pt idx="33">
                  <c:v>285.1999386810138</c:v>
                </c:pt>
                <c:pt idx="34">
                  <c:v>267.07874430034582</c:v>
                </c:pt>
                <c:pt idx="35">
                  <c:v>247.52125736071051</c:v>
                </c:pt>
                <c:pt idx="36">
                  <c:v>333.5320479886546</c:v>
                </c:pt>
                <c:pt idx="37">
                  <c:v>281.51040395761481</c:v>
                </c:pt>
                <c:pt idx="38">
                  <c:v>209.6239241992908</c:v>
                </c:pt>
                <c:pt idx="39">
                  <c:v>256.33348670724081</c:v>
                </c:pt>
                <c:pt idx="40">
                  <c:v>285.91799707891818</c:v>
                </c:pt>
                <c:pt idx="41">
                  <c:v>253.51619268853111</c:v>
                </c:pt>
                <c:pt idx="42">
                  <c:v>277.41224468604281</c:v>
                </c:pt>
                <c:pt idx="43">
                  <c:v>234.03169438561599</c:v>
                </c:pt>
                <c:pt idx="44">
                  <c:v>286.5822148031462</c:v>
                </c:pt>
                <c:pt idx="45">
                  <c:v>251.45148647304401</c:v>
                </c:pt>
                <c:pt idx="46">
                  <c:v>191.155044132445</c:v>
                </c:pt>
                <c:pt idx="47">
                  <c:v>271.51123186253682</c:v>
                </c:pt>
                <c:pt idx="48">
                  <c:v>152.38024692305629</c:v>
                </c:pt>
                <c:pt idx="49">
                  <c:v>226.06807697600769</c:v>
                </c:pt>
                <c:pt idx="50">
                  <c:v>172.16246733466531</c:v>
                </c:pt>
                <c:pt idx="51">
                  <c:v>268.04259953270162</c:v>
                </c:pt>
                <c:pt idx="52">
                  <c:v>266.9622517080939</c:v>
                </c:pt>
                <c:pt idx="53">
                  <c:v>292.73464601585499</c:v>
                </c:pt>
                <c:pt idx="54">
                  <c:v>237.1625990077045</c:v>
                </c:pt>
                <c:pt idx="55">
                  <c:v>231.80006031285501</c:v>
                </c:pt>
                <c:pt idx="56">
                  <c:v>224.20711755821949</c:v>
                </c:pt>
                <c:pt idx="57">
                  <c:v>161.88022375174671</c:v>
                </c:pt>
                <c:pt idx="58">
                  <c:v>238.6769440359607</c:v>
                </c:pt>
                <c:pt idx="59">
                  <c:v>249.15306202311979</c:v>
                </c:pt>
                <c:pt idx="60">
                  <c:v>201.40938962343839</c:v>
                </c:pt>
                <c:pt idx="61">
                  <c:v>219.59323690825741</c:v>
                </c:pt>
                <c:pt idx="62">
                  <c:v>320.56242866384599</c:v>
                </c:pt>
                <c:pt idx="63">
                  <c:v>347.19177978398892</c:v>
                </c:pt>
                <c:pt idx="64">
                  <c:v>202.60654388593241</c:v>
                </c:pt>
                <c:pt idx="65">
                  <c:v>257.8880027186276</c:v>
                </c:pt>
                <c:pt idx="66">
                  <c:v>220.52961493759889</c:v>
                </c:pt>
                <c:pt idx="67">
                  <c:v>196.3489157267997</c:v>
                </c:pt>
                <c:pt idx="68">
                  <c:v>225.58629410071919</c:v>
                </c:pt>
                <c:pt idx="69">
                  <c:v>284.56639865958408</c:v>
                </c:pt>
                <c:pt idx="70">
                  <c:v>202.59720810591509</c:v>
                </c:pt>
                <c:pt idx="71">
                  <c:v>287.55039240839051</c:v>
                </c:pt>
                <c:pt idx="72">
                  <c:v>266.03171307267098</c:v>
                </c:pt>
                <c:pt idx="73">
                  <c:v>150.882575846528</c:v>
                </c:pt>
                <c:pt idx="74">
                  <c:v>306.80794566848408</c:v>
                </c:pt>
                <c:pt idx="75">
                  <c:v>302.69067791479603</c:v>
                </c:pt>
                <c:pt idx="76">
                  <c:v>175.71604252647839</c:v>
                </c:pt>
                <c:pt idx="77">
                  <c:v>223.21992238372121</c:v>
                </c:pt>
                <c:pt idx="78">
                  <c:v>214.7059158596025</c:v>
                </c:pt>
                <c:pt idx="79">
                  <c:v>297.19178645211178</c:v>
                </c:pt>
                <c:pt idx="80">
                  <c:v>261.13884299769211</c:v>
                </c:pt>
                <c:pt idx="81">
                  <c:v>363.78534411029352</c:v>
                </c:pt>
                <c:pt idx="82">
                  <c:v>250.10385285725189</c:v>
                </c:pt>
                <c:pt idx="83">
                  <c:v>297.82195388394229</c:v>
                </c:pt>
                <c:pt idx="84">
                  <c:v>232.31000257255579</c:v>
                </c:pt>
                <c:pt idx="85">
                  <c:v>325.64378133595568</c:v>
                </c:pt>
                <c:pt idx="86">
                  <c:v>252.5264124895757</c:v>
                </c:pt>
                <c:pt idx="87">
                  <c:v>209.27496992883309</c:v>
                </c:pt>
                <c:pt idx="88">
                  <c:v>234.60841486186709</c:v>
                </c:pt>
                <c:pt idx="89">
                  <c:v>177.75309318838671</c:v>
                </c:pt>
                <c:pt idx="90">
                  <c:v>202.1041039147313</c:v>
                </c:pt>
                <c:pt idx="91">
                  <c:v>190.8934314655215</c:v>
                </c:pt>
                <c:pt idx="92">
                  <c:v>243.43164047326749</c:v>
                </c:pt>
                <c:pt idx="93">
                  <c:v>271.27352271493771</c:v>
                </c:pt>
                <c:pt idx="94">
                  <c:v>297.13009361815568</c:v>
                </c:pt>
                <c:pt idx="95">
                  <c:v>236.70701835924751</c:v>
                </c:pt>
                <c:pt idx="96">
                  <c:v>117.4719303177978</c:v>
                </c:pt>
                <c:pt idx="97">
                  <c:v>263.593012256664</c:v>
                </c:pt>
                <c:pt idx="98">
                  <c:v>221.920435540207</c:v>
                </c:pt>
                <c:pt idx="99">
                  <c:v>246.96341659598411</c:v>
                </c:pt>
                <c:pt idx="100">
                  <c:v>326.42359949036711</c:v>
                </c:pt>
                <c:pt idx="101">
                  <c:v>258.21203501682152</c:v>
                </c:pt>
                <c:pt idx="102">
                  <c:v>211.0811423486652</c:v>
                </c:pt>
                <c:pt idx="103">
                  <c:v>211.29921063153611</c:v>
                </c:pt>
                <c:pt idx="104">
                  <c:v>236.53016222036749</c:v>
                </c:pt>
                <c:pt idx="105">
                  <c:v>253.812421309656</c:v>
                </c:pt>
                <c:pt idx="106">
                  <c:v>243.94745690145501</c:v>
                </c:pt>
                <c:pt idx="107">
                  <c:v>268.20482388988131</c:v>
                </c:pt>
                <c:pt idx="108">
                  <c:v>194.98196373821509</c:v>
                </c:pt>
                <c:pt idx="109">
                  <c:v>331.10809102880239</c:v>
                </c:pt>
                <c:pt idx="110">
                  <c:v>302.15233477535429</c:v>
                </c:pt>
                <c:pt idx="111">
                  <c:v>283.09153512756882</c:v>
                </c:pt>
                <c:pt idx="112">
                  <c:v>249.9036258500353</c:v>
                </c:pt>
                <c:pt idx="113">
                  <c:v>136.78093119156739</c:v>
                </c:pt>
                <c:pt idx="114">
                  <c:v>225.1013909761526</c:v>
                </c:pt>
                <c:pt idx="115">
                  <c:v>214.16140149247221</c:v>
                </c:pt>
                <c:pt idx="116">
                  <c:v>190.9797302530414</c:v>
                </c:pt>
                <c:pt idx="117">
                  <c:v>254.96039155006801</c:v>
                </c:pt>
                <c:pt idx="118">
                  <c:v>200.98556546102071</c:v>
                </c:pt>
                <c:pt idx="119">
                  <c:v>245.30084664564359</c:v>
                </c:pt>
                <c:pt idx="120">
                  <c:v>249.17827377761949</c:v>
                </c:pt>
                <c:pt idx="121">
                  <c:v>142.49628415139841</c:v>
                </c:pt>
                <c:pt idx="122">
                  <c:v>228.0500972348338</c:v>
                </c:pt>
                <c:pt idx="123">
                  <c:v>240.90343935613251</c:v>
                </c:pt>
                <c:pt idx="124">
                  <c:v>313.43031845584812</c:v>
                </c:pt>
                <c:pt idx="125">
                  <c:v>321.96370977254321</c:v>
                </c:pt>
                <c:pt idx="126">
                  <c:v>312.0393157531048</c:v>
                </c:pt>
                <c:pt idx="127">
                  <c:v>264.53647313361409</c:v>
                </c:pt>
                <c:pt idx="128">
                  <c:v>281.71270522647819</c:v>
                </c:pt>
                <c:pt idx="129">
                  <c:v>227.25892901433909</c:v>
                </c:pt>
                <c:pt idx="130">
                  <c:v>231.67917428284571</c:v>
                </c:pt>
                <c:pt idx="131">
                  <c:v>216.5288749824125</c:v>
                </c:pt>
                <c:pt idx="132">
                  <c:v>222.6647968942718</c:v>
                </c:pt>
                <c:pt idx="133">
                  <c:v>304.89046516814147</c:v>
                </c:pt>
                <c:pt idx="134">
                  <c:v>158.6480006546708</c:v>
                </c:pt>
                <c:pt idx="135">
                  <c:v>194.54134910124699</c:v>
                </c:pt>
                <c:pt idx="136">
                  <c:v>233.97559440293739</c:v>
                </c:pt>
                <c:pt idx="137">
                  <c:v>248.81010719697349</c:v>
                </c:pt>
                <c:pt idx="138">
                  <c:v>244.92010183321909</c:v>
                </c:pt>
                <c:pt idx="139">
                  <c:v>257.19362933790097</c:v>
                </c:pt>
                <c:pt idx="140">
                  <c:v>232.43071025353501</c:v>
                </c:pt>
                <c:pt idx="141">
                  <c:v>284.11324834728822</c:v>
                </c:pt>
                <c:pt idx="142">
                  <c:v>159.22117609043099</c:v>
                </c:pt>
                <c:pt idx="143">
                  <c:v>204.21871293129149</c:v>
                </c:pt>
                <c:pt idx="144">
                  <c:v>183.42341638719299</c:v>
                </c:pt>
                <c:pt idx="145">
                  <c:v>288.00387700799422</c:v>
                </c:pt>
                <c:pt idx="146">
                  <c:v>248.53776823972061</c:v>
                </c:pt>
                <c:pt idx="147">
                  <c:v>199.0889964782221</c:v>
                </c:pt>
                <c:pt idx="148">
                  <c:v>231.57282917264169</c:v>
                </c:pt>
                <c:pt idx="149">
                  <c:v>263.26425759064063</c:v>
                </c:pt>
                <c:pt idx="150">
                  <c:v>179.11408742950721</c:v>
                </c:pt>
                <c:pt idx="151">
                  <c:v>258.52817122869118</c:v>
                </c:pt>
                <c:pt idx="152">
                  <c:v>202.96259248876601</c:v>
                </c:pt>
                <c:pt idx="153">
                  <c:v>230.71413721386779</c:v>
                </c:pt>
                <c:pt idx="154">
                  <c:v>247.91377355564501</c:v>
                </c:pt>
                <c:pt idx="155">
                  <c:v>289.67745268988551</c:v>
                </c:pt>
                <c:pt idx="156">
                  <c:v>190.03300074806029</c:v>
                </c:pt>
                <c:pt idx="157">
                  <c:v>278.66117963882289</c:v>
                </c:pt>
                <c:pt idx="158">
                  <c:v>295.1562519607395</c:v>
                </c:pt>
                <c:pt idx="159">
                  <c:v>125.5824296377974</c:v>
                </c:pt>
                <c:pt idx="160">
                  <c:v>259.03050237070232</c:v>
                </c:pt>
                <c:pt idx="161">
                  <c:v>286.27581311645002</c:v>
                </c:pt>
                <c:pt idx="162">
                  <c:v>248.1815884705496</c:v>
                </c:pt>
                <c:pt idx="163">
                  <c:v>264.55676405170158</c:v>
                </c:pt>
                <c:pt idx="164">
                  <c:v>171.14806326827019</c:v>
                </c:pt>
                <c:pt idx="165">
                  <c:v>186.7691096891603</c:v>
                </c:pt>
                <c:pt idx="166">
                  <c:v>200.05495555782679</c:v>
                </c:pt>
                <c:pt idx="167">
                  <c:v>288.75913271774527</c:v>
                </c:pt>
                <c:pt idx="168">
                  <c:v>212.33223902013319</c:v>
                </c:pt>
                <c:pt idx="169">
                  <c:v>311.61577371107762</c:v>
                </c:pt>
                <c:pt idx="170">
                  <c:v>280.80589531538698</c:v>
                </c:pt>
                <c:pt idx="171">
                  <c:v>210.10319244338689</c:v>
                </c:pt>
                <c:pt idx="172">
                  <c:v>227.92674504433319</c:v>
                </c:pt>
                <c:pt idx="173">
                  <c:v>184.05047171208781</c:v>
                </c:pt>
                <c:pt idx="174">
                  <c:v>256.32557355957761</c:v>
                </c:pt>
                <c:pt idx="175">
                  <c:v>247.76912851452889</c:v>
                </c:pt>
                <c:pt idx="176">
                  <c:v>200.50371764114249</c:v>
                </c:pt>
                <c:pt idx="177">
                  <c:v>235.66832404227921</c:v>
                </c:pt>
                <c:pt idx="178">
                  <c:v>223.11459720680671</c:v>
                </c:pt>
                <c:pt idx="179">
                  <c:v>263.99785260245881</c:v>
                </c:pt>
                <c:pt idx="180">
                  <c:v>257.72734627534612</c:v>
                </c:pt>
                <c:pt idx="181">
                  <c:v>283.45486409607099</c:v>
                </c:pt>
                <c:pt idx="182">
                  <c:v>162.8804808801583</c:v>
                </c:pt>
                <c:pt idx="183">
                  <c:v>229.82331843966099</c:v>
                </c:pt>
                <c:pt idx="184">
                  <c:v>206.87713892894411</c:v>
                </c:pt>
                <c:pt idx="185">
                  <c:v>197.1155010815599</c:v>
                </c:pt>
                <c:pt idx="186">
                  <c:v>210.43526078515819</c:v>
                </c:pt>
                <c:pt idx="187">
                  <c:v>184.65151705617461</c:v>
                </c:pt>
                <c:pt idx="188">
                  <c:v>295.30425176732729</c:v>
                </c:pt>
                <c:pt idx="189">
                  <c:v>287.91733903131791</c:v>
                </c:pt>
                <c:pt idx="190">
                  <c:v>243.41008448096861</c:v>
                </c:pt>
                <c:pt idx="191">
                  <c:v>305.33155691432512</c:v>
                </c:pt>
                <c:pt idx="192">
                  <c:v>296.21455173858197</c:v>
                </c:pt>
                <c:pt idx="193">
                  <c:v>289.73732056591189</c:v>
                </c:pt>
                <c:pt idx="194">
                  <c:v>238.30013617737029</c:v>
                </c:pt>
                <c:pt idx="195">
                  <c:v>180.6626970287648</c:v>
                </c:pt>
                <c:pt idx="196">
                  <c:v>199.00094466509421</c:v>
                </c:pt>
                <c:pt idx="197">
                  <c:v>188.1303056671743</c:v>
                </c:pt>
                <c:pt idx="198">
                  <c:v>196.96730478336519</c:v>
                </c:pt>
                <c:pt idx="199">
                  <c:v>163.21252856778381</c:v>
                </c:pt>
                <c:pt idx="200">
                  <c:v>243.1452733880069</c:v>
                </c:pt>
                <c:pt idx="201">
                  <c:v>166.842330293939</c:v>
                </c:pt>
                <c:pt idx="202">
                  <c:v>267.3302516222617</c:v>
                </c:pt>
                <c:pt idx="203">
                  <c:v>168.47407346084111</c:v>
                </c:pt>
                <c:pt idx="204">
                  <c:v>213.37285773524451</c:v>
                </c:pt>
                <c:pt idx="205">
                  <c:v>291.25325724300092</c:v>
                </c:pt>
                <c:pt idx="206">
                  <c:v>250.30277623995821</c:v>
                </c:pt>
                <c:pt idx="207">
                  <c:v>233.86049433775071</c:v>
                </c:pt>
                <c:pt idx="208">
                  <c:v>267.24046518762668</c:v>
                </c:pt>
                <c:pt idx="209">
                  <c:v>324.2533197278994</c:v>
                </c:pt>
                <c:pt idx="210">
                  <c:v>209.6746661781477</c:v>
                </c:pt>
                <c:pt idx="211">
                  <c:v>185.26816169711469</c:v>
                </c:pt>
                <c:pt idx="212">
                  <c:v>311.1070288831711</c:v>
                </c:pt>
                <c:pt idx="213">
                  <c:v>367.81217268055161</c:v>
                </c:pt>
                <c:pt idx="214">
                  <c:v>236.1900107778873</c:v>
                </c:pt>
                <c:pt idx="215">
                  <c:v>224.53259794029509</c:v>
                </c:pt>
                <c:pt idx="216">
                  <c:v>224.65955380695959</c:v>
                </c:pt>
                <c:pt idx="217">
                  <c:v>225.53693038064571</c:v>
                </c:pt>
                <c:pt idx="218">
                  <c:v>295.27642866547359</c:v>
                </c:pt>
                <c:pt idx="219">
                  <c:v>219.81323173429999</c:v>
                </c:pt>
                <c:pt idx="220">
                  <c:v>208.19560487806839</c:v>
                </c:pt>
                <c:pt idx="221">
                  <c:v>288.72751103895632</c:v>
                </c:pt>
                <c:pt idx="222">
                  <c:v>309.27234777492401</c:v>
                </c:pt>
                <c:pt idx="223">
                  <c:v>239.723546873066</c:v>
                </c:pt>
                <c:pt idx="224">
                  <c:v>303.31031512513289</c:v>
                </c:pt>
                <c:pt idx="225">
                  <c:v>217.461539046268</c:v>
                </c:pt>
                <c:pt idx="226">
                  <c:v>266.02350546719418</c:v>
                </c:pt>
                <c:pt idx="227">
                  <c:v>264.48732168326359</c:v>
                </c:pt>
                <c:pt idx="228">
                  <c:v>297.88818722805217</c:v>
                </c:pt>
                <c:pt idx="229">
                  <c:v>280.59098290501908</c:v>
                </c:pt>
                <c:pt idx="230">
                  <c:v>235.06282375560039</c:v>
                </c:pt>
                <c:pt idx="231">
                  <c:v>215.9027024857626</c:v>
                </c:pt>
                <c:pt idx="232">
                  <c:v>295.85052153345868</c:v>
                </c:pt>
                <c:pt idx="233">
                  <c:v>167.48363874673501</c:v>
                </c:pt>
                <c:pt idx="234">
                  <c:v>256.71147156066138</c:v>
                </c:pt>
                <c:pt idx="235">
                  <c:v>218.7453332361421</c:v>
                </c:pt>
                <c:pt idx="236">
                  <c:v>249.86505253971129</c:v>
                </c:pt>
                <c:pt idx="237">
                  <c:v>265.52111570056752</c:v>
                </c:pt>
                <c:pt idx="238">
                  <c:v>278.60621145792862</c:v>
                </c:pt>
                <c:pt idx="239">
                  <c:v>319.31351360780832</c:v>
                </c:pt>
                <c:pt idx="240">
                  <c:v>255.2482503109573</c:v>
                </c:pt>
                <c:pt idx="241">
                  <c:v>196.5995110517521</c:v>
                </c:pt>
                <c:pt idx="242">
                  <c:v>176.48178143107609</c:v>
                </c:pt>
                <c:pt idx="243">
                  <c:v>247.29156301114591</c:v>
                </c:pt>
                <c:pt idx="244">
                  <c:v>171.7165301437598</c:v>
                </c:pt>
                <c:pt idx="245">
                  <c:v>229.88980872864141</c:v>
                </c:pt>
                <c:pt idx="246">
                  <c:v>204.5237346801845</c:v>
                </c:pt>
                <c:pt idx="247">
                  <c:v>240.96910375885929</c:v>
                </c:pt>
                <c:pt idx="248">
                  <c:v>302.29955040304122</c:v>
                </c:pt>
                <c:pt idx="249">
                  <c:v>247.5706863891991</c:v>
                </c:pt>
                <c:pt idx="250">
                  <c:v>178.32588078310269</c:v>
                </c:pt>
                <c:pt idx="251">
                  <c:v>289.1152420041617</c:v>
                </c:pt>
                <c:pt idx="252">
                  <c:v>267.0694086439488</c:v>
                </c:pt>
                <c:pt idx="253">
                  <c:v>281.98087699926418</c:v>
                </c:pt>
                <c:pt idx="254">
                  <c:v>240.57411549345349</c:v>
                </c:pt>
                <c:pt idx="255">
                  <c:v>222.861080990657</c:v>
                </c:pt>
                <c:pt idx="256">
                  <c:v>246.70765763386251</c:v>
                </c:pt>
                <c:pt idx="257">
                  <c:v>166.44062743911729</c:v>
                </c:pt>
                <c:pt idx="258">
                  <c:v>296.09110764647579</c:v>
                </c:pt>
                <c:pt idx="259">
                  <c:v>280.53668519500502</c:v>
                </c:pt>
                <c:pt idx="260">
                  <c:v>279.14584852292211</c:v>
                </c:pt>
                <c:pt idx="261">
                  <c:v>233.62091584595669</c:v>
                </c:pt>
                <c:pt idx="262">
                  <c:v>335.13315643332231</c:v>
                </c:pt>
                <c:pt idx="263">
                  <c:v>231.8031455127595</c:v>
                </c:pt>
                <c:pt idx="264">
                  <c:v>211.5253889528303</c:v>
                </c:pt>
                <c:pt idx="265">
                  <c:v>271.81291993239557</c:v>
                </c:pt>
                <c:pt idx="266">
                  <c:v>178.0004260100194</c:v>
                </c:pt>
                <c:pt idx="267">
                  <c:v>272.52383773010263</c:v>
                </c:pt>
                <c:pt idx="268">
                  <c:v>226.9180349409377</c:v>
                </c:pt>
                <c:pt idx="269">
                  <c:v>230.93992548671599</c:v>
                </c:pt>
                <c:pt idx="270">
                  <c:v>239.22561060246741</c:v>
                </c:pt>
                <c:pt idx="271">
                  <c:v>309.54519664638019</c:v>
                </c:pt>
                <c:pt idx="272">
                  <c:v>271.49933094266783</c:v>
                </c:pt>
                <c:pt idx="273">
                  <c:v>260.38418977930939</c:v>
                </c:pt>
                <c:pt idx="274">
                  <c:v>240.72432319941919</c:v>
                </c:pt>
                <c:pt idx="275">
                  <c:v>182.54213940459701</c:v>
                </c:pt>
                <c:pt idx="276">
                  <c:v>238.82419613278299</c:v>
                </c:pt>
                <c:pt idx="277">
                  <c:v>203.5174095185628</c:v>
                </c:pt>
                <c:pt idx="278">
                  <c:v>237.45897892439419</c:v>
                </c:pt>
                <c:pt idx="279">
                  <c:v>208.93146941403</c:v>
                </c:pt>
                <c:pt idx="280">
                  <c:v>255.5091407602103</c:v>
                </c:pt>
                <c:pt idx="281">
                  <c:v>180.40733784428721</c:v>
                </c:pt>
                <c:pt idx="282">
                  <c:v>198.26380561512661</c:v>
                </c:pt>
                <c:pt idx="283">
                  <c:v>184.96394877639449</c:v>
                </c:pt>
                <c:pt idx="284">
                  <c:v>283.18399965977989</c:v>
                </c:pt>
                <c:pt idx="285">
                  <c:v>324.60994940893607</c:v>
                </c:pt>
                <c:pt idx="286">
                  <c:v>249.89798082683549</c:v>
                </c:pt>
                <c:pt idx="287">
                  <c:v>196.26817530848251</c:v>
                </c:pt>
                <c:pt idx="288">
                  <c:v>223.91775608707951</c:v>
                </c:pt>
                <c:pt idx="289">
                  <c:v>228.04320229901771</c:v>
                </c:pt>
                <c:pt idx="290">
                  <c:v>250.33207044209399</c:v>
                </c:pt>
                <c:pt idx="291">
                  <c:v>280.53677913998462</c:v>
                </c:pt>
                <c:pt idx="292">
                  <c:v>297.27306685376419</c:v>
                </c:pt>
                <c:pt idx="293">
                  <c:v>264.85461537723569</c:v>
                </c:pt>
                <c:pt idx="294">
                  <c:v>206.329957449246</c:v>
                </c:pt>
                <c:pt idx="295">
                  <c:v>261.60520636238402</c:v>
                </c:pt>
                <c:pt idx="296">
                  <c:v>206.36406396469181</c:v>
                </c:pt>
                <c:pt idx="297">
                  <c:v>206.1141929569755</c:v>
                </c:pt>
                <c:pt idx="298">
                  <c:v>285.72559211954302</c:v>
                </c:pt>
                <c:pt idx="299">
                  <c:v>248.32958584151169</c:v>
                </c:pt>
                <c:pt idx="300">
                  <c:v>278.42143481511118</c:v>
                </c:pt>
                <c:pt idx="301">
                  <c:v>165.15543996237369</c:v>
                </c:pt>
                <c:pt idx="302">
                  <c:v>129.86285186401889</c:v>
                </c:pt>
                <c:pt idx="303">
                  <c:v>301.84609726021358</c:v>
                </c:pt>
                <c:pt idx="304">
                  <c:v>284.78111045416711</c:v>
                </c:pt>
                <c:pt idx="305">
                  <c:v>266.82919228461611</c:v>
                </c:pt>
                <c:pt idx="306">
                  <c:v>310.7921809294636</c:v>
                </c:pt>
                <c:pt idx="307">
                  <c:v>294.76081153069111</c:v>
                </c:pt>
                <c:pt idx="308">
                  <c:v>258.56218635362842</c:v>
                </c:pt>
                <c:pt idx="309">
                  <c:v>156.20413880408319</c:v>
                </c:pt>
                <c:pt idx="310">
                  <c:v>218.49965005192749</c:v>
                </c:pt>
                <c:pt idx="311">
                  <c:v>190.6110875851748</c:v>
                </c:pt>
                <c:pt idx="312">
                  <c:v>191.26827874840521</c:v>
                </c:pt>
                <c:pt idx="313">
                  <c:v>183.6756236740913</c:v>
                </c:pt>
                <c:pt idx="314">
                  <c:v>258.90590482344402</c:v>
                </c:pt>
                <c:pt idx="315">
                  <c:v>238.10826405280039</c:v>
                </c:pt>
                <c:pt idx="316">
                  <c:v>120.463325950965</c:v>
                </c:pt>
                <c:pt idx="317">
                  <c:v>284.81904337668738</c:v>
                </c:pt>
                <c:pt idx="318">
                  <c:v>299.14200881637379</c:v>
                </c:pt>
                <c:pt idx="319">
                  <c:v>263.55502876358241</c:v>
                </c:pt>
                <c:pt idx="320">
                  <c:v>257.83881002495502</c:v>
                </c:pt>
                <c:pt idx="321">
                  <c:v>307.5459616766413</c:v>
                </c:pt>
                <c:pt idx="322">
                  <c:v>375.45168584717618</c:v>
                </c:pt>
                <c:pt idx="323">
                  <c:v>204.34570314633461</c:v>
                </c:pt>
                <c:pt idx="324">
                  <c:v>207.421541370894</c:v>
                </c:pt>
                <c:pt idx="325">
                  <c:v>274.41309699003511</c:v>
                </c:pt>
                <c:pt idx="326">
                  <c:v>271.64999752197048</c:v>
                </c:pt>
                <c:pt idx="327">
                  <c:v>211.46968315487669</c:v>
                </c:pt>
                <c:pt idx="328">
                  <c:v>178.80383424983029</c:v>
                </c:pt>
                <c:pt idx="329">
                  <c:v>219.9631912129056</c:v>
                </c:pt>
                <c:pt idx="330">
                  <c:v>214.6464758006002</c:v>
                </c:pt>
                <c:pt idx="331">
                  <c:v>233.55524500691541</c:v>
                </c:pt>
                <c:pt idx="332">
                  <c:v>226.27776562806909</c:v>
                </c:pt>
                <c:pt idx="333">
                  <c:v>280.74631165103722</c:v>
                </c:pt>
                <c:pt idx="334">
                  <c:v>220.90442781753171</c:v>
                </c:pt>
                <c:pt idx="335">
                  <c:v>204.00138379072169</c:v>
                </c:pt>
                <c:pt idx="336">
                  <c:v>202.26935248852371</c:v>
                </c:pt>
                <c:pt idx="337">
                  <c:v>200.08855830892401</c:v>
                </c:pt>
                <c:pt idx="338">
                  <c:v>211.40985461115659</c:v>
                </c:pt>
                <c:pt idx="339">
                  <c:v>219.28511849845739</c:v>
                </c:pt>
                <c:pt idx="340">
                  <c:v>226.83127249782021</c:v>
                </c:pt>
                <c:pt idx="341">
                  <c:v>270.95885501286739</c:v>
                </c:pt>
                <c:pt idx="342">
                  <c:v>165.58286174530701</c:v>
                </c:pt>
                <c:pt idx="343">
                  <c:v>153.38709502457939</c:v>
                </c:pt>
                <c:pt idx="344">
                  <c:v>220.3302054468767</c:v>
                </c:pt>
                <c:pt idx="345">
                  <c:v>238.42915762633021</c:v>
                </c:pt>
                <c:pt idx="346">
                  <c:v>278.77186787319022</c:v>
                </c:pt>
                <c:pt idx="347">
                  <c:v>197.835439584966</c:v>
                </c:pt>
                <c:pt idx="348">
                  <c:v>213.92834522227921</c:v>
                </c:pt>
                <c:pt idx="349">
                  <c:v>235.95683635161001</c:v>
                </c:pt>
                <c:pt idx="350">
                  <c:v>179.12580922019561</c:v>
                </c:pt>
                <c:pt idx="351">
                  <c:v>208.6230972357192</c:v>
                </c:pt>
                <c:pt idx="352">
                  <c:v>205.23222741040951</c:v>
                </c:pt>
                <c:pt idx="353">
                  <c:v>233.90515847617479</c:v>
                </c:pt>
                <c:pt idx="354">
                  <c:v>206.69957885023581</c:v>
                </c:pt>
                <c:pt idx="355">
                  <c:v>163.70016572490201</c:v>
                </c:pt>
                <c:pt idx="356">
                  <c:v>312.03876113789698</c:v>
                </c:pt>
                <c:pt idx="357">
                  <c:v>199.64430452031311</c:v>
                </c:pt>
                <c:pt idx="358">
                  <c:v>360.11067348494498</c:v>
                </c:pt>
                <c:pt idx="359">
                  <c:v>254.14246696692601</c:v>
                </c:pt>
                <c:pt idx="360">
                  <c:v>199.01125088217029</c:v>
                </c:pt>
                <c:pt idx="361">
                  <c:v>257.4361218513057</c:v>
                </c:pt>
                <c:pt idx="362">
                  <c:v>221.0640620101064</c:v>
                </c:pt>
                <c:pt idx="363">
                  <c:v>201.55125492168881</c:v>
                </c:pt>
                <c:pt idx="364">
                  <c:v>207.81697209081881</c:v>
                </c:pt>
                <c:pt idx="365">
                  <c:v>202.77417675340911</c:v>
                </c:pt>
                <c:pt idx="366">
                  <c:v>260.25804766138913</c:v>
                </c:pt>
                <c:pt idx="367">
                  <c:v>261.16492946076062</c:v>
                </c:pt>
                <c:pt idx="368">
                  <c:v>262.69839031305997</c:v>
                </c:pt>
                <c:pt idx="369">
                  <c:v>209.22302065731941</c:v>
                </c:pt>
                <c:pt idx="370">
                  <c:v>224.00523429674499</c:v>
                </c:pt>
                <c:pt idx="371">
                  <c:v>231.75425602263039</c:v>
                </c:pt>
                <c:pt idx="372">
                  <c:v>239.28846582012761</c:v>
                </c:pt>
                <c:pt idx="373">
                  <c:v>302.89907865597462</c:v>
                </c:pt>
                <c:pt idx="374">
                  <c:v>221.32539716979039</c:v>
                </c:pt>
                <c:pt idx="375">
                  <c:v>331.58912018458602</c:v>
                </c:pt>
                <c:pt idx="376">
                  <c:v>169.05187548892101</c:v>
                </c:pt>
                <c:pt idx="377">
                  <c:v>310.70808083028521</c:v>
                </c:pt>
                <c:pt idx="378">
                  <c:v>259.50383373913508</c:v>
                </c:pt>
                <c:pt idx="379">
                  <c:v>262.35608588497621</c:v>
                </c:pt>
                <c:pt idx="380">
                  <c:v>241.97275149902791</c:v>
                </c:pt>
                <c:pt idx="381">
                  <c:v>288.29885707403997</c:v>
                </c:pt>
                <c:pt idx="382">
                  <c:v>315.48310113037218</c:v>
                </c:pt>
                <c:pt idx="383">
                  <c:v>310.28041471265237</c:v>
                </c:pt>
                <c:pt idx="384">
                  <c:v>242.39670196493779</c:v>
                </c:pt>
                <c:pt idx="385">
                  <c:v>296.08409226436839</c:v>
                </c:pt>
                <c:pt idx="386">
                  <c:v>365.02272463260749</c:v>
                </c:pt>
                <c:pt idx="387">
                  <c:v>225.5483208024686</c:v>
                </c:pt>
                <c:pt idx="388">
                  <c:v>346.36950180685</c:v>
                </c:pt>
                <c:pt idx="389">
                  <c:v>219.1719114606534</c:v>
                </c:pt>
                <c:pt idx="390">
                  <c:v>232.54908644811789</c:v>
                </c:pt>
                <c:pt idx="391">
                  <c:v>268.50384289726219</c:v>
                </c:pt>
                <c:pt idx="392">
                  <c:v>234.21227283691201</c:v>
                </c:pt>
                <c:pt idx="393">
                  <c:v>216.35343161517611</c:v>
                </c:pt>
                <c:pt idx="394">
                  <c:v>203.04627139524061</c:v>
                </c:pt>
                <c:pt idx="395">
                  <c:v>200.9792022324618</c:v>
                </c:pt>
                <c:pt idx="396">
                  <c:v>248.7436421879618</c:v>
                </c:pt>
                <c:pt idx="397">
                  <c:v>232.7543979361441</c:v>
                </c:pt>
                <c:pt idx="398">
                  <c:v>189.12428976769749</c:v>
                </c:pt>
                <c:pt idx="399">
                  <c:v>271.55775098268862</c:v>
                </c:pt>
                <c:pt idx="400">
                  <c:v>250.41756541565431</c:v>
                </c:pt>
                <c:pt idx="401">
                  <c:v>260.13792129343051</c:v>
                </c:pt>
                <c:pt idx="402">
                  <c:v>210.8660597130077</c:v>
                </c:pt>
                <c:pt idx="403">
                  <c:v>235.45914044089949</c:v>
                </c:pt>
                <c:pt idx="404">
                  <c:v>156.28100429607349</c:v>
                </c:pt>
                <c:pt idx="405">
                  <c:v>178.1650001605345</c:v>
                </c:pt>
                <c:pt idx="406">
                  <c:v>302.38389614124202</c:v>
                </c:pt>
                <c:pt idx="407">
                  <c:v>310.54423092968563</c:v>
                </c:pt>
                <c:pt idx="408">
                  <c:v>186.92292874182749</c:v>
                </c:pt>
                <c:pt idx="409">
                  <c:v>232.75736771575549</c:v>
                </c:pt>
                <c:pt idx="410">
                  <c:v>347.86422007848051</c:v>
                </c:pt>
                <c:pt idx="411">
                  <c:v>206.43721936281131</c:v>
                </c:pt>
                <c:pt idx="412">
                  <c:v>190.422766558512</c:v>
                </c:pt>
                <c:pt idx="413">
                  <c:v>272.05388759158052</c:v>
                </c:pt>
                <c:pt idx="414">
                  <c:v>222.25326567205121</c:v>
                </c:pt>
                <c:pt idx="415">
                  <c:v>126.47312412999941</c:v>
                </c:pt>
                <c:pt idx="416">
                  <c:v>266.11841248718548</c:v>
                </c:pt>
                <c:pt idx="417">
                  <c:v>251.90286925685399</c:v>
                </c:pt>
                <c:pt idx="418">
                  <c:v>248.6797429067561</c:v>
                </c:pt>
                <c:pt idx="419">
                  <c:v>260.47229257290411</c:v>
                </c:pt>
                <c:pt idx="420">
                  <c:v>173.00494758615321</c:v>
                </c:pt>
                <c:pt idx="421">
                  <c:v>172.0897944126975</c:v>
                </c:pt>
                <c:pt idx="422">
                  <c:v>229.2990516724503</c:v>
                </c:pt>
                <c:pt idx="423">
                  <c:v>267.70795983201901</c:v>
                </c:pt>
                <c:pt idx="424">
                  <c:v>284.24927301927988</c:v>
                </c:pt>
                <c:pt idx="425">
                  <c:v>197.11925140152451</c:v>
                </c:pt>
                <c:pt idx="426">
                  <c:v>292.64579438687929</c:v>
                </c:pt>
                <c:pt idx="427">
                  <c:v>252.00054018816849</c:v>
                </c:pt>
                <c:pt idx="428">
                  <c:v>248.8643235009842</c:v>
                </c:pt>
                <c:pt idx="429">
                  <c:v>245.32806571289501</c:v>
                </c:pt>
                <c:pt idx="430">
                  <c:v>213.8902051355328</c:v>
                </c:pt>
                <c:pt idx="431">
                  <c:v>277.14088079622672</c:v>
                </c:pt>
                <c:pt idx="432">
                  <c:v>168.38164542340971</c:v>
                </c:pt>
                <c:pt idx="433">
                  <c:v>223.3419759212068</c:v>
                </c:pt>
                <c:pt idx="434">
                  <c:v>186.35855722985869</c:v>
                </c:pt>
                <c:pt idx="435">
                  <c:v>306.36607194073918</c:v>
                </c:pt>
                <c:pt idx="436">
                  <c:v>218.51258609441871</c:v>
                </c:pt>
                <c:pt idx="437">
                  <c:v>279.26520334120141</c:v>
                </c:pt>
                <c:pt idx="438">
                  <c:v>212.52799366306621</c:v>
                </c:pt>
                <c:pt idx="439">
                  <c:v>288.45969484164698</c:v>
                </c:pt>
                <c:pt idx="440">
                  <c:v>202.64813745119559</c:v>
                </c:pt>
                <c:pt idx="441">
                  <c:v>277.95086143898561</c:v>
                </c:pt>
                <c:pt idx="442">
                  <c:v>272.92812598714619</c:v>
                </c:pt>
                <c:pt idx="443">
                  <c:v>283.42908844071189</c:v>
                </c:pt>
                <c:pt idx="444">
                  <c:v>285.76586105763272</c:v>
                </c:pt>
                <c:pt idx="445">
                  <c:v>267.643426893862</c:v>
                </c:pt>
                <c:pt idx="446">
                  <c:v>277.55476061496398</c:v>
                </c:pt>
                <c:pt idx="447">
                  <c:v>216.65205543079119</c:v>
                </c:pt>
                <c:pt idx="448">
                  <c:v>247.8562499464503</c:v>
                </c:pt>
                <c:pt idx="449">
                  <c:v>287.37310079804331</c:v>
                </c:pt>
                <c:pt idx="450">
                  <c:v>175.13335484648809</c:v>
                </c:pt>
                <c:pt idx="451">
                  <c:v>201.03531288582499</c:v>
                </c:pt>
                <c:pt idx="452">
                  <c:v>206.59817958320039</c:v>
                </c:pt>
                <c:pt idx="453">
                  <c:v>356.04663844904951</c:v>
                </c:pt>
                <c:pt idx="454">
                  <c:v>276.74127907115383</c:v>
                </c:pt>
                <c:pt idx="455">
                  <c:v>232.40004658416379</c:v>
                </c:pt>
                <c:pt idx="456">
                  <c:v>210.62706371914791</c:v>
                </c:pt>
                <c:pt idx="457">
                  <c:v>327.26332090630763</c:v>
                </c:pt>
                <c:pt idx="458">
                  <c:v>298.94961610097363</c:v>
                </c:pt>
                <c:pt idx="459">
                  <c:v>219.0344032250504</c:v>
                </c:pt>
                <c:pt idx="460">
                  <c:v>269.21835609233972</c:v>
                </c:pt>
                <c:pt idx="461">
                  <c:v>292.41300280327312</c:v>
                </c:pt>
                <c:pt idx="462">
                  <c:v>262.38566886947501</c:v>
                </c:pt>
                <c:pt idx="463">
                  <c:v>281.38637068419689</c:v>
                </c:pt>
                <c:pt idx="464">
                  <c:v>258.77799991522949</c:v>
                </c:pt>
                <c:pt idx="465">
                  <c:v>285.72151759533961</c:v>
                </c:pt>
                <c:pt idx="466">
                  <c:v>222.17415226988919</c:v>
                </c:pt>
                <c:pt idx="467">
                  <c:v>304.59503830383841</c:v>
                </c:pt>
                <c:pt idx="468">
                  <c:v>389.19026848399932</c:v>
                </c:pt>
                <c:pt idx="469">
                  <c:v>312.18272739611899</c:v>
                </c:pt>
                <c:pt idx="470">
                  <c:v>215.19799181990001</c:v>
                </c:pt>
                <c:pt idx="471">
                  <c:v>383.42550380524358</c:v>
                </c:pt>
                <c:pt idx="472">
                  <c:v>251.68057614619289</c:v>
                </c:pt>
                <c:pt idx="473">
                  <c:v>256.75086477760061</c:v>
                </c:pt>
                <c:pt idx="474">
                  <c:v>309.45110386947442</c:v>
                </c:pt>
                <c:pt idx="475">
                  <c:v>257.89502829423748</c:v>
                </c:pt>
                <c:pt idx="476">
                  <c:v>328.27532429036398</c:v>
                </c:pt>
                <c:pt idx="477">
                  <c:v>170.26766260877321</c:v>
                </c:pt>
                <c:pt idx="478">
                  <c:v>266.01090623865809</c:v>
                </c:pt>
                <c:pt idx="479">
                  <c:v>236.2508915066872</c:v>
                </c:pt>
                <c:pt idx="480">
                  <c:v>249.28316474147491</c:v>
                </c:pt>
                <c:pt idx="481">
                  <c:v>182.27497671620111</c:v>
                </c:pt>
                <c:pt idx="482">
                  <c:v>181.57999166946641</c:v>
                </c:pt>
                <c:pt idx="483">
                  <c:v>279.93962959095899</c:v>
                </c:pt>
                <c:pt idx="484">
                  <c:v>207.88306780938461</c:v>
                </c:pt>
                <c:pt idx="485">
                  <c:v>259.84764213701868</c:v>
                </c:pt>
                <c:pt idx="486">
                  <c:v>152.3993282914679</c:v>
                </c:pt>
                <c:pt idx="487">
                  <c:v>387.0596047173571</c:v>
                </c:pt>
                <c:pt idx="488">
                  <c:v>220.63802832604279</c:v>
                </c:pt>
                <c:pt idx="489">
                  <c:v>273.13958833750269</c:v>
                </c:pt>
                <c:pt idx="490">
                  <c:v>246.7538239888533</c:v>
                </c:pt>
                <c:pt idx="491">
                  <c:v>210.30861536531651</c:v>
                </c:pt>
                <c:pt idx="492">
                  <c:v>279.92103352973021</c:v>
                </c:pt>
                <c:pt idx="493">
                  <c:v>209.5644864222435</c:v>
                </c:pt>
                <c:pt idx="494">
                  <c:v>198.70923446707599</c:v>
                </c:pt>
                <c:pt idx="495">
                  <c:v>266.28947403279318</c:v>
                </c:pt>
                <c:pt idx="496">
                  <c:v>242.22452716587549</c:v>
                </c:pt>
                <c:pt idx="497">
                  <c:v>298.33498279655532</c:v>
                </c:pt>
                <c:pt idx="498">
                  <c:v>252.83682834193479</c:v>
                </c:pt>
                <c:pt idx="499">
                  <c:v>194.97350813688081</c:v>
                </c:pt>
                <c:pt idx="500">
                  <c:v>270.40012137357832</c:v>
                </c:pt>
                <c:pt idx="501">
                  <c:v>246.54522136091029</c:v>
                </c:pt>
                <c:pt idx="502">
                  <c:v>214.720133343751</c:v>
                </c:pt>
                <c:pt idx="503">
                  <c:v>272.04599320639329</c:v>
                </c:pt>
                <c:pt idx="504">
                  <c:v>151.69395456873241</c:v>
                </c:pt>
                <c:pt idx="505">
                  <c:v>311.79062656764222</c:v>
                </c:pt>
                <c:pt idx="506">
                  <c:v>321.37858968906312</c:v>
                </c:pt>
                <c:pt idx="507">
                  <c:v>231.22019139188939</c:v>
                </c:pt>
                <c:pt idx="508">
                  <c:v>198.82873375428079</c:v>
                </c:pt>
                <c:pt idx="509">
                  <c:v>176.6261995079166</c:v>
                </c:pt>
                <c:pt idx="510">
                  <c:v>239.14611443828051</c:v>
                </c:pt>
                <c:pt idx="511">
                  <c:v>227.15012051717679</c:v>
                </c:pt>
                <c:pt idx="512">
                  <c:v>318.88012999108042</c:v>
                </c:pt>
                <c:pt idx="513">
                  <c:v>150.69533310356169</c:v>
                </c:pt>
                <c:pt idx="514">
                  <c:v>155.90131590961619</c:v>
                </c:pt>
                <c:pt idx="515">
                  <c:v>218.41108589384899</c:v>
                </c:pt>
                <c:pt idx="516">
                  <c:v>193.44904741483799</c:v>
                </c:pt>
                <c:pt idx="517">
                  <c:v>308.11125051838388</c:v>
                </c:pt>
                <c:pt idx="518">
                  <c:v>273.13447420118291</c:v>
                </c:pt>
                <c:pt idx="519">
                  <c:v>272.24876142151658</c:v>
                </c:pt>
                <c:pt idx="520">
                  <c:v>335.09252057891717</c:v>
                </c:pt>
                <c:pt idx="521">
                  <c:v>239.83858899018051</c:v>
                </c:pt>
                <c:pt idx="522">
                  <c:v>253.81363693996209</c:v>
                </c:pt>
                <c:pt idx="523">
                  <c:v>142.7226690778048</c:v>
                </c:pt>
                <c:pt idx="524">
                  <c:v>289.26577439238542</c:v>
                </c:pt>
                <c:pt idx="525">
                  <c:v>259.17230973562698</c:v>
                </c:pt>
                <c:pt idx="526">
                  <c:v>203.21180506963</c:v>
                </c:pt>
                <c:pt idx="527">
                  <c:v>259.38629198590672</c:v>
                </c:pt>
                <c:pt idx="528">
                  <c:v>198.14701743441381</c:v>
                </c:pt>
                <c:pt idx="529">
                  <c:v>216.65816417515879</c:v>
                </c:pt>
                <c:pt idx="530">
                  <c:v>263.09488904796541</c:v>
                </c:pt>
                <c:pt idx="531">
                  <c:v>250.55500034797859</c:v>
                </c:pt>
                <c:pt idx="532">
                  <c:v>170.17556367310911</c:v>
                </c:pt>
                <c:pt idx="533">
                  <c:v>249.1556717957279</c:v>
                </c:pt>
                <c:pt idx="534">
                  <c:v>220.81341260987099</c:v>
                </c:pt>
                <c:pt idx="535">
                  <c:v>300.5678157308887</c:v>
                </c:pt>
                <c:pt idx="536">
                  <c:v>216.90791888764579</c:v>
                </c:pt>
                <c:pt idx="537">
                  <c:v>282.38563313467472</c:v>
                </c:pt>
                <c:pt idx="538">
                  <c:v>313.48569738003988</c:v>
                </c:pt>
                <c:pt idx="539">
                  <c:v>212.97402619605231</c:v>
                </c:pt>
                <c:pt idx="540">
                  <c:v>243.73455016697429</c:v>
                </c:pt>
                <c:pt idx="541">
                  <c:v>229.57395416946929</c:v>
                </c:pt>
                <c:pt idx="542">
                  <c:v>301.33283905888618</c:v>
                </c:pt>
                <c:pt idx="543">
                  <c:v>333.03090703761302</c:v>
                </c:pt>
                <c:pt idx="544">
                  <c:v>334.93246124121691</c:v>
                </c:pt>
                <c:pt idx="545">
                  <c:v>255.59809373373031</c:v>
                </c:pt>
                <c:pt idx="546">
                  <c:v>267.73068752047618</c:v>
                </c:pt>
                <c:pt idx="547">
                  <c:v>261.89903366236251</c:v>
                </c:pt>
                <c:pt idx="548">
                  <c:v>178.03301003194079</c:v>
                </c:pt>
                <c:pt idx="549">
                  <c:v>263.58174135133521</c:v>
                </c:pt>
                <c:pt idx="550">
                  <c:v>211.16499283445461</c:v>
                </c:pt>
                <c:pt idx="551">
                  <c:v>286.81750241885982</c:v>
                </c:pt>
                <c:pt idx="552">
                  <c:v>234.69147943582669</c:v>
                </c:pt>
                <c:pt idx="553">
                  <c:v>301.39961321580699</c:v>
                </c:pt>
                <c:pt idx="554">
                  <c:v>241.96806948460741</c:v>
                </c:pt>
                <c:pt idx="555">
                  <c:v>213.27557907903369</c:v>
                </c:pt>
                <c:pt idx="556">
                  <c:v>246.24784114757139</c:v>
                </c:pt>
                <c:pt idx="557">
                  <c:v>184.4061301074687</c:v>
                </c:pt>
                <c:pt idx="558">
                  <c:v>184.77558000569761</c:v>
                </c:pt>
                <c:pt idx="559">
                  <c:v>193.1997942216351</c:v>
                </c:pt>
                <c:pt idx="560">
                  <c:v>241.39827735125951</c:v>
                </c:pt>
                <c:pt idx="561">
                  <c:v>288.91774629665122</c:v>
                </c:pt>
                <c:pt idx="562">
                  <c:v>257.93374116447342</c:v>
                </c:pt>
                <c:pt idx="563">
                  <c:v>247.470456554463</c:v>
                </c:pt>
                <c:pt idx="564">
                  <c:v>225.93675439146071</c:v>
                </c:pt>
                <c:pt idx="565">
                  <c:v>244.3072528869713</c:v>
                </c:pt>
                <c:pt idx="566">
                  <c:v>194.4499183522471</c:v>
                </c:pt>
                <c:pt idx="567">
                  <c:v>351.12151546245332</c:v>
                </c:pt>
                <c:pt idx="568">
                  <c:v>185.31275987816929</c:v>
                </c:pt>
                <c:pt idx="569">
                  <c:v>203.33329874893579</c:v>
                </c:pt>
                <c:pt idx="570">
                  <c:v>192.45110755327499</c:v>
                </c:pt>
                <c:pt idx="571">
                  <c:v>258.23980335998613</c:v>
                </c:pt>
                <c:pt idx="572">
                  <c:v>180.6406185289174</c:v>
                </c:pt>
                <c:pt idx="573">
                  <c:v>229.12060236560919</c:v>
                </c:pt>
                <c:pt idx="574">
                  <c:v>222.2189498118112</c:v>
                </c:pt>
                <c:pt idx="575">
                  <c:v>128.39267356455429</c:v>
                </c:pt>
                <c:pt idx="576">
                  <c:v>293.05898592729619</c:v>
                </c:pt>
                <c:pt idx="577">
                  <c:v>259.04351951752562</c:v>
                </c:pt>
                <c:pt idx="578">
                  <c:v>175.07829196562659</c:v>
                </c:pt>
                <c:pt idx="579">
                  <c:v>140.37453085068469</c:v>
                </c:pt>
                <c:pt idx="580">
                  <c:v>218.97902436613941</c:v>
                </c:pt>
                <c:pt idx="581">
                  <c:v>204.41341196150191</c:v>
                </c:pt>
                <c:pt idx="582">
                  <c:v>202.045427683279</c:v>
                </c:pt>
                <c:pt idx="583">
                  <c:v>221.97290537811651</c:v>
                </c:pt>
                <c:pt idx="584">
                  <c:v>289.0756412722962</c:v>
                </c:pt>
                <c:pt idx="585">
                  <c:v>261.73820745984119</c:v>
                </c:pt>
                <c:pt idx="586">
                  <c:v>259.93325699108141</c:v>
                </c:pt>
                <c:pt idx="587">
                  <c:v>224.64089614469819</c:v>
                </c:pt>
                <c:pt idx="588">
                  <c:v>258.68642016897451</c:v>
                </c:pt>
                <c:pt idx="589">
                  <c:v>246.31935296032771</c:v>
                </c:pt>
                <c:pt idx="590">
                  <c:v>177.5954181772932</c:v>
                </c:pt>
                <c:pt idx="591">
                  <c:v>204.023238013021</c:v>
                </c:pt>
                <c:pt idx="592">
                  <c:v>270.03971054654011</c:v>
                </c:pt>
                <c:pt idx="593">
                  <c:v>260.04785947772422</c:v>
                </c:pt>
                <c:pt idx="594">
                  <c:v>309.72886130211748</c:v>
                </c:pt>
                <c:pt idx="595">
                  <c:v>309.49728297917687</c:v>
                </c:pt>
                <c:pt idx="596">
                  <c:v>241.09996547125681</c:v>
                </c:pt>
                <c:pt idx="597">
                  <c:v>313.41514971438443</c:v>
                </c:pt>
                <c:pt idx="598">
                  <c:v>256.40103607624621</c:v>
                </c:pt>
                <c:pt idx="599">
                  <c:v>256.47409854284189</c:v>
                </c:pt>
                <c:pt idx="600">
                  <c:v>193.02614508458001</c:v>
                </c:pt>
                <c:pt idx="601">
                  <c:v>349.03539880670462</c:v>
                </c:pt>
                <c:pt idx="602">
                  <c:v>238.41722594053729</c:v>
                </c:pt>
                <c:pt idx="603">
                  <c:v>214.09936712277531</c:v>
                </c:pt>
                <c:pt idx="604">
                  <c:v>240.75049333648059</c:v>
                </c:pt>
                <c:pt idx="605">
                  <c:v>231.13727632822719</c:v>
                </c:pt>
                <c:pt idx="606">
                  <c:v>214.454013674496</c:v>
                </c:pt>
                <c:pt idx="607">
                  <c:v>220.37015201806349</c:v>
                </c:pt>
                <c:pt idx="608">
                  <c:v>168.77412404589259</c:v>
                </c:pt>
                <c:pt idx="609">
                  <c:v>253.16266661600321</c:v>
                </c:pt>
                <c:pt idx="610">
                  <c:v>233.84016144150371</c:v>
                </c:pt>
                <c:pt idx="611">
                  <c:v>232.2210536621235</c:v>
                </c:pt>
                <c:pt idx="612">
                  <c:v>305.95315508083388</c:v>
                </c:pt>
                <c:pt idx="613">
                  <c:v>283.48446295673602</c:v>
                </c:pt>
                <c:pt idx="614">
                  <c:v>214.36693444048529</c:v>
                </c:pt>
                <c:pt idx="615">
                  <c:v>264.51082958715313</c:v>
                </c:pt>
                <c:pt idx="616">
                  <c:v>262.56293298507848</c:v>
                </c:pt>
                <c:pt idx="617">
                  <c:v>192.46587811628419</c:v>
                </c:pt>
                <c:pt idx="618">
                  <c:v>294.5858672230413</c:v>
                </c:pt>
                <c:pt idx="619">
                  <c:v>276.50218357109719</c:v>
                </c:pt>
                <c:pt idx="620">
                  <c:v>291.43884386814108</c:v>
                </c:pt>
                <c:pt idx="621">
                  <c:v>242.75839044980069</c:v>
                </c:pt>
                <c:pt idx="622">
                  <c:v>360.23007131416648</c:v>
                </c:pt>
                <c:pt idx="623">
                  <c:v>194.5381691904017</c:v>
                </c:pt>
                <c:pt idx="624">
                  <c:v>268.9013178225963</c:v>
                </c:pt>
                <c:pt idx="625">
                  <c:v>257.04175684299821</c:v>
                </c:pt>
                <c:pt idx="626">
                  <c:v>290.54957027132423</c:v>
                </c:pt>
                <c:pt idx="627">
                  <c:v>306.77034177120561</c:v>
                </c:pt>
                <c:pt idx="628">
                  <c:v>240.97311162997909</c:v>
                </c:pt>
                <c:pt idx="629">
                  <c:v>193.85347422518191</c:v>
                </c:pt>
                <c:pt idx="630">
                  <c:v>243.74330218797701</c:v>
                </c:pt>
                <c:pt idx="631">
                  <c:v>231.08940304379351</c:v>
                </c:pt>
                <c:pt idx="632">
                  <c:v>279.21939421652411</c:v>
                </c:pt>
                <c:pt idx="633">
                  <c:v>296.79574733110297</c:v>
                </c:pt>
                <c:pt idx="634">
                  <c:v>178.9640036630947</c:v>
                </c:pt>
                <c:pt idx="635">
                  <c:v>286.24246163519672</c:v>
                </c:pt>
                <c:pt idx="636">
                  <c:v>193.50109120337211</c:v>
                </c:pt>
                <c:pt idx="637">
                  <c:v>174.83002648424599</c:v>
                </c:pt>
                <c:pt idx="638">
                  <c:v>300.96222893365422</c:v>
                </c:pt>
                <c:pt idx="639">
                  <c:v>238.0272682110766</c:v>
                </c:pt>
                <c:pt idx="640">
                  <c:v>318.61070657818948</c:v>
                </c:pt>
                <c:pt idx="641">
                  <c:v>155.22053041731749</c:v>
                </c:pt>
                <c:pt idx="642">
                  <c:v>306.8848729327882</c:v>
                </c:pt>
                <c:pt idx="643">
                  <c:v>288.4522358058955</c:v>
                </c:pt>
                <c:pt idx="644">
                  <c:v>189.33016898417159</c:v>
                </c:pt>
                <c:pt idx="645">
                  <c:v>182.13819532425859</c:v>
                </c:pt>
                <c:pt idx="646">
                  <c:v>297.37432283146433</c:v>
                </c:pt>
                <c:pt idx="647">
                  <c:v>202.27299859606299</c:v>
                </c:pt>
                <c:pt idx="648">
                  <c:v>187.3146137265179</c:v>
                </c:pt>
                <c:pt idx="649">
                  <c:v>247.05911801991559</c:v>
                </c:pt>
                <c:pt idx="650">
                  <c:v>324.93891111183382</c:v>
                </c:pt>
                <c:pt idx="651">
                  <c:v>302.82237819807881</c:v>
                </c:pt>
                <c:pt idx="652">
                  <c:v>179.6233057086958</c:v>
                </c:pt>
                <c:pt idx="653">
                  <c:v>272.99742729081203</c:v>
                </c:pt>
                <c:pt idx="654">
                  <c:v>291.02255683320482</c:v>
                </c:pt>
                <c:pt idx="655">
                  <c:v>251.62111737002999</c:v>
                </c:pt>
                <c:pt idx="656">
                  <c:v>228.24126514472701</c:v>
                </c:pt>
                <c:pt idx="657">
                  <c:v>118.5613623205968</c:v>
                </c:pt>
                <c:pt idx="658">
                  <c:v>230.64630211058699</c:v>
                </c:pt>
                <c:pt idx="659">
                  <c:v>281.66225034138381</c:v>
                </c:pt>
                <c:pt idx="660">
                  <c:v>341.99765023378882</c:v>
                </c:pt>
                <c:pt idx="661">
                  <c:v>157.78555100228971</c:v>
                </c:pt>
                <c:pt idx="662">
                  <c:v>189.17374155788451</c:v>
                </c:pt>
                <c:pt idx="663">
                  <c:v>219.86492027132459</c:v>
                </c:pt>
                <c:pt idx="664">
                  <c:v>218.3136401743532</c:v>
                </c:pt>
                <c:pt idx="665">
                  <c:v>161.6286760694704</c:v>
                </c:pt>
                <c:pt idx="666">
                  <c:v>239.16721639858179</c:v>
                </c:pt>
                <c:pt idx="667">
                  <c:v>327.85081820971658</c:v>
                </c:pt>
                <c:pt idx="668">
                  <c:v>274.85553917297221</c:v>
                </c:pt>
                <c:pt idx="669">
                  <c:v>304.2353025836847</c:v>
                </c:pt>
                <c:pt idx="670">
                  <c:v>248.9759130060736</c:v>
                </c:pt>
                <c:pt idx="671">
                  <c:v>112.2173794551052</c:v>
                </c:pt>
                <c:pt idx="672">
                  <c:v>163.4555573466595</c:v>
                </c:pt>
                <c:pt idx="673">
                  <c:v>298.3126455287225</c:v>
                </c:pt>
                <c:pt idx="674">
                  <c:v>244.29357596311101</c:v>
                </c:pt>
                <c:pt idx="675">
                  <c:v>256.70168502777852</c:v>
                </c:pt>
                <c:pt idx="676">
                  <c:v>233.01477308991099</c:v>
                </c:pt>
                <c:pt idx="677">
                  <c:v>247.30945874444859</c:v>
                </c:pt>
                <c:pt idx="678">
                  <c:v>264.69187294755022</c:v>
                </c:pt>
                <c:pt idx="679">
                  <c:v>227.46046705582501</c:v>
                </c:pt>
                <c:pt idx="680">
                  <c:v>255.17691236232051</c:v>
                </c:pt>
                <c:pt idx="681">
                  <c:v>209.5739654507552</c:v>
                </c:pt>
                <c:pt idx="682">
                  <c:v>272.44087046797881</c:v>
                </c:pt>
                <c:pt idx="683">
                  <c:v>260.9506651523497</c:v>
                </c:pt>
                <c:pt idx="684">
                  <c:v>254.82511270047951</c:v>
                </c:pt>
                <c:pt idx="685">
                  <c:v>226.88661951945201</c:v>
                </c:pt>
                <c:pt idx="686">
                  <c:v>296.46778307761741</c:v>
                </c:pt>
                <c:pt idx="687">
                  <c:v>268.15295645099218</c:v>
                </c:pt>
                <c:pt idx="688">
                  <c:v>259.33831441495818</c:v>
                </c:pt>
                <c:pt idx="689">
                  <c:v>199.2941868058748</c:v>
                </c:pt>
                <c:pt idx="690">
                  <c:v>226.53761828438721</c:v>
                </c:pt>
                <c:pt idx="691">
                  <c:v>194.87956104404751</c:v>
                </c:pt>
                <c:pt idx="692">
                  <c:v>160.22437158132709</c:v>
                </c:pt>
                <c:pt idx="693">
                  <c:v>247.6608919844362</c:v>
                </c:pt>
                <c:pt idx="694">
                  <c:v>324.92564967331339</c:v>
                </c:pt>
                <c:pt idx="695">
                  <c:v>195.22421098888</c:v>
                </c:pt>
                <c:pt idx="696">
                  <c:v>298.01494626962773</c:v>
                </c:pt>
                <c:pt idx="697">
                  <c:v>133.8427790219113</c:v>
                </c:pt>
                <c:pt idx="698">
                  <c:v>266.19856538329788</c:v>
                </c:pt>
                <c:pt idx="699">
                  <c:v>221.7717379407986</c:v>
                </c:pt>
                <c:pt idx="700">
                  <c:v>246.54126228944961</c:v>
                </c:pt>
                <c:pt idx="701">
                  <c:v>269.92143219203922</c:v>
                </c:pt>
                <c:pt idx="702">
                  <c:v>185.49094771755969</c:v>
                </c:pt>
                <c:pt idx="703">
                  <c:v>272.77975703465938</c:v>
                </c:pt>
                <c:pt idx="704">
                  <c:v>258.51057738396679</c:v>
                </c:pt>
                <c:pt idx="705">
                  <c:v>224.67865924474211</c:v>
                </c:pt>
                <c:pt idx="706">
                  <c:v>227.48009926766659</c:v>
                </c:pt>
                <c:pt idx="707">
                  <c:v>244.26027339661931</c:v>
                </c:pt>
                <c:pt idx="708">
                  <c:v>272.66752003442411</c:v>
                </c:pt>
                <c:pt idx="709">
                  <c:v>281.61714714913808</c:v>
                </c:pt>
                <c:pt idx="710">
                  <c:v>275.14566415076428</c:v>
                </c:pt>
                <c:pt idx="711">
                  <c:v>279.27822643605759</c:v>
                </c:pt>
                <c:pt idx="712">
                  <c:v>256.40550487914783</c:v>
                </c:pt>
                <c:pt idx="713">
                  <c:v>255.3994390933006</c:v>
                </c:pt>
                <c:pt idx="714">
                  <c:v>178.12412465224509</c:v>
                </c:pt>
                <c:pt idx="715">
                  <c:v>197.2408416455346</c:v>
                </c:pt>
                <c:pt idx="716">
                  <c:v>191.08890751150071</c:v>
                </c:pt>
                <c:pt idx="717">
                  <c:v>245.35659025303801</c:v>
                </c:pt>
                <c:pt idx="718">
                  <c:v>208.22198526611129</c:v>
                </c:pt>
                <c:pt idx="719">
                  <c:v>227.69916888083841</c:v>
                </c:pt>
                <c:pt idx="720">
                  <c:v>262.345271579403</c:v>
                </c:pt>
                <c:pt idx="721">
                  <c:v>178.67995020125409</c:v>
                </c:pt>
                <c:pt idx="722">
                  <c:v>267.52251378111521</c:v>
                </c:pt>
                <c:pt idx="723">
                  <c:v>280.29062178150377</c:v>
                </c:pt>
                <c:pt idx="724">
                  <c:v>230.75006225642039</c:v>
                </c:pt>
                <c:pt idx="725">
                  <c:v>369.35741293971051</c:v>
                </c:pt>
                <c:pt idx="726">
                  <c:v>235.10736944527679</c:v>
                </c:pt>
                <c:pt idx="727">
                  <c:v>266.40388995636721</c:v>
                </c:pt>
                <c:pt idx="728">
                  <c:v>220.1215853574125</c:v>
                </c:pt>
                <c:pt idx="729">
                  <c:v>238.12270034571861</c:v>
                </c:pt>
                <c:pt idx="730">
                  <c:v>248.47495249755741</c:v>
                </c:pt>
                <c:pt idx="731">
                  <c:v>274.19279922401921</c:v>
                </c:pt>
                <c:pt idx="732">
                  <c:v>266.01261987440068</c:v>
                </c:pt>
                <c:pt idx="733">
                  <c:v>227.79329379999271</c:v>
                </c:pt>
                <c:pt idx="734">
                  <c:v>241.1671414818523</c:v>
                </c:pt>
                <c:pt idx="735">
                  <c:v>237.95494182034111</c:v>
                </c:pt>
                <c:pt idx="736">
                  <c:v>213.8400328990873</c:v>
                </c:pt>
                <c:pt idx="737">
                  <c:v>259.24740533041899</c:v>
                </c:pt>
                <c:pt idx="738">
                  <c:v>280.19114172769929</c:v>
                </c:pt>
                <c:pt idx="739">
                  <c:v>361.9327399050332</c:v>
                </c:pt>
                <c:pt idx="740">
                  <c:v>144.33859719286971</c:v>
                </c:pt>
                <c:pt idx="741">
                  <c:v>279.04407333203602</c:v>
                </c:pt>
                <c:pt idx="742">
                  <c:v>243.2441294677287</c:v>
                </c:pt>
                <c:pt idx="743">
                  <c:v>170.0980553286272</c:v>
                </c:pt>
                <c:pt idx="744">
                  <c:v>256.84362320175251</c:v>
                </c:pt>
                <c:pt idx="745">
                  <c:v>308.39991214339898</c:v>
                </c:pt>
                <c:pt idx="746">
                  <c:v>212.3266017234221</c:v>
                </c:pt>
                <c:pt idx="747">
                  <c:v>176.44969397771999</c:v>
                </c:pt>
                <c:pt idx="748">
                  <c:v>241.92681807982871</c:v>
                </c:pt>
                <c:pt idx="749">
                  <c:v>323.60139300640418</c:v>
                </c:pt>
                <c:pt idx="750">
                  <c:v>242.92256882926</c:v>
                </c:pt>
                <c:pt idx="751">
                  <c:v>275.14735649639022</c:v>
                </c:pt>
                <c:pt idx="752">
                  <c:v>177.94025893833501</c:v>
                </c:pt>
                <c:pt idx="753">
                  <c:v>147.73982568260439</c:v>
                </c:pt>
                <c:pt idx="754">
                  <c:v>135.56593918614979</c:v>
                </c:pt>
                <c:pt idx="755">
                  <c:v>281.42182631346037</c:v>
                </c:pt>
                <c:pt idx="756">
                  <c:v>205.42667060536979</c:v>
                </c:pt>
                <c:pt idx="757">
                  <c:v>232.90757246582609</c:v>
                </c:pt>
                <c:pt idx="758">
                  <c:v>270.52075865252561</c:v>
                </c:pt>
                <c:pt idx="759">
                  <c:v>355.98478345076347</c:v>
                </c:pt>
                <c:pt idx="760">
                  <c:v>161.29731029669861</c:v>
                </c:pt>
                <c:pt idx="761">
                  <c:v>290.61180282597422</c:v>
                </c:pt>
                <c:pt idx="762">
                  <c:v>218.6918784154164</c:v>
                </c:pt>
                <c:pt idx="763">
                  <c:v>185.15467830530159</c:v>
                </c:pt>
                <c:pt idx="764">
                  <c:v>231.30824238853771</c:v>
                </c:pt>
                <c:pt idx="765">
                  <c:v>280.61155977079949</c:v>
                </c:pt>
                <c:pt idx="766">
                  <c:v>291.89259180122451</c:v>
                </c:pt>
                <c:pt idx="767">
                  <c:v>212.33039058049101</c:v>
                </c:pt>
                <c:pt idx="768">
                  <c:v>269.23251662580361</c:v>
                </c:pt>
                <c:pt idx="769">
                  <c:v>261.70144485774222</c:v>
                </c:pt>
                <c:pt idx="770">
                  <c:v>240.3862582314257</c:v>
                </c:pt>
                <c:pt idx="771">
                  <c:v>321.04927456561268</c:v>
                </c:pt>
                <c:pt idx="772">
                  <c:v>165.9379464429505</c:v>
                </c:pt>
                <c:pt idx="773">
                  <c:v>258.97797222854098</c:v>
                </c:pt>
                <c:pt idx="774">
                  <c:v>286.77693766816691</c:v>
                </c:pt>
                <c:pt idx="775">
                  <c:v>199.92726647235159</c:v>
                </c:pt>
                <c:pt idx="776">
                  <c:v>128.58305349550179</c:v>
                </c:pt>
                <c:pt idx="777">
                  <c:v>121.5807902559465</c:v>
                </c:pt>
                <c:pt idx="778">
                  <c:v>219.3760595915146</c:v>
                </c:pt>
                <c:pt idx="779">
                  <c:v>140.026534436091</c:v>
                </c:pt>
                <c:pt idx="780">
                  <c:v>249.23832606919069</c:v>
                </c:pt>
                <c:pt idx="781">
                  <c:v>300.72384586687411</c:v>
                </c:pt>
                <c:pt idx="782">
                  <c:v>205.40362947129071</c:v>
                </c:pt>
                <c:pt idx="783">
                  <c:v>197.933468362307</c:v>
                </c:pt>
                <c:pt idx="784">
                  <c:v>274.54098681889963</c:v>
                </c:pt>
                <c:pt idx="785">
                  <c:v>249.9256725467248</c:v>
                </c:pt>
                <c:pt idx="786">
                  <c:v>325.96105102665541</c:v>
                </c:pt>
                <c:pt idx="787">
                  <c:v>211.1332939213921</c:v>
                </c:pt>
                <c:pt idx="788">
                  <c:v>223.31371346188519</c:v>
                </c:pt>
                <c:pt idx="789">
                  <c:v>273.8424721943893</c:v>
                </c:pt>
                <c:pt idx="790">
                  <c:v>244.45015897338229</c:v>
                </c:pt>
                <c:pt idx="791">
                  <c:v>238.85067998097671</c:v>
                </c:pt>
                <c:pt idx="792">
                  <c:v>258.36634762645139</c:v>
                </c:pt>
                <c:pt idx="793">
                  <c:v>260.247124721445</c:v>
                </c:pt>
                <c:pt idx="794">
                  <c:v>227.00969902944689</c:v>
                </c:pt>
                <c:pt idx="795">
                  <c:v>231.17659349089411</c:v>
                </c:pt>
                <c:pt idx="796">
                  <c:v>275.89146825082997</c:v>
                </c:pt>
                <c:pt idx="797">
                  <c:v>358.93551727712781</c:v>
                </c:pt>
                <c:pt idx="798">
                  <c:v>257.41216615597659</c:v>
                </c:pt>
                <c:pt idx="799">
                  <c:v>175.61517549859519</c:v>
                </c:pt>
                <c:pt idx="800">
                  <c:v>277.98123955713908</c:v>
                </c:pt>
                <c:pt idx="801">
                  <c:v>262.45059168104922</c:v>
                </c:pt>
                <c:pt idx="802">
                  <c:v>195.133049643314</c:v>
                </c:pt>
                <c:pt idx="803">
                  <c:v>241.3249785751</c:v>
                </c:pt>
                <c:pt idx="804">
                  <c:v>272.58198750809612</c:v>
                </c:pt>
                <c:pt idx="805">
                  <c:v>179.94918899133671</c:v>
                </c:pt>
                <c:pt idx="806">
                  <c:v>233.744806615675</c:v>
                </c:pt>
                <c:pt idx="807">
                  <c:v>184.97944212566429</c:v>
                </c:pt>
                <c:pt idx="808">
                  <c:v>210.65961863206081</c:v>
                </c:pt>
                <c:pt idx="809">
                  <c:v>250.2350368818089</c:v>
                </c:pt>
                <c:pt idx="810">
                  <c:v>232.66577095844369</c:v>
                </c:pt>
                <c:pt idx="811">
                  <c:v>210.54871144592059</c:v>
                </c:pt>
                <c:pt idx="812">
                  <c:v>270.10659198723522</c:v>
                </c:pt>
                <c:pt idx="813">
                  <c:v>248.9008577146686</c:v>
                </c:pt>
                <c:pt idx="814">
                  <c:v>285.89337596987662</c:v>
                </c:pt>
                <c:pt idx="815">
                  <c:v>266.08366320211962</c:v>
                </c:pt>
                <c:pt idx="816">
                  <c:v>325.89974791151639</c:v>
                </c:pt>
                <c:pt idx="817">
                  <c:v>190.58967009054439</c:v>
                </c:pt>
                <c:pt idx="818">
                  <c:v>265.39407075546001</c:v>
                </c:pt>
                <c:pt idx="819">
                  <c:v>203.4380343423262</c:v>
                </c:pt>
                <c:pt idx="820">
                  <c:v>147.93311002553401</c:v>
                </c:pt>
                <c:pt idx="821">
                  <c:v>226.38716954714911</c:v>
                </c:pt>
                <c:pt idx="822">
                  <c:v>245.45403383679351</c:v>
                </c:pt>
                <c:pt idx="823">
                  <c:v>299.18685315244369</c:v>
                </c:pt>
                <c:pt idx="824">
                  <c:v>187.2367741426653</c:v>
                </c:pt>
                <c:pt idx="825">
                  <c:v>225.66949408659639</c:v>
                </c:pt>
                <c:pt idx="826">
                  <c:v>273.15894933964131</c:v>
                </c:pt>
                <c:pt idx="827">
                  <c:v>245.1065895105491</c:v>
                </c:pt>
                <c:pt idx="828">
                  <c:v>313.81737003378549</c:v>
                </c:pt>
                <c:pt idx="829">
                  <c:v>263.79261195563657</c:v>
                </c:pt>
                <c:pt idx="830">
                  <c:v>266.09585824464921</c:v>
                </c:pt>
                <c:pt idx="831">
                  <c:v>222.35856609385161</c:v>
                </c:pt>
                <c:pt idx="832">
                  <c:v>287.19966430610617</c:v>
                </c:pt>
                <c:pt idx="833">
                  <c:v>274.42663272080063</c:v>
                </c:pt>
                <c:pt idx="834">
                  <c:v>120.02303864937051</c:v>
                </c:pt>
                <c:pt idx="835">
                  <c:v>301.00305243710523</c:v>
                </c:pt>
                <c:pt idx="836">
                  <c:v>303.98613083988693</c:v>
                </c:pt>
                <c:pt idx="837">
                  <c:v>260.75924686108459</c:v>
                </c:pt>
                <c:pt idx="838">
                  <c:v>264.53896064458081</c:v>
                </c:pt>
                <c:pt idx="839">
                  <c:v>265.28613489625297</c:v>
                </c:pt>
                <c:pt idx="840">
                  <c:v>346.04728319977397</c:v>
                </c:pt>
                <c:pt idx="841">
                  <c:v>378.19008562468298</c:v>
                </c:pt>
                <c:pt idx="842">
                  <c:v>300.77387725467122</c:v>
                </c:pt>
                <c:pt idx="843">
                  <c:v>148.1248053335527</c:v>
                </c:pt>
                <c:pt idx="844">
                  <c:v>232.074710327335</c:v>
                </c:pt>
                <c:pt idx="845">
                  <c:v>140.1181594672552</c:v>
                </c:pt>
                <c:pt idx="846">
                  <c:v>277.6610770406582</c:v>
                </c:pt>
                <c:pt idx="847">
                  <c:v>251.47019936114259</c:v>
                </c:pt>
                <c:pt idx="848">
                  <c:v>249.3153052727838</c:v>
                </c:pt>
                <c:pt idx="849">
                  <c:v>339.40771733018619</c:v>
                </c:pt>
                <c:pt idx="850">
                  <c:v>277.80591014670739</c:v>
                </c:pt>
                <c:pt idx="851">
                  <c:v>226.161399042304</c:v>
                </c:pt>
                <c:pt idx="852">
                  <c:v>269.44078855265462</c:v>
                </c:pt>
                <c:pt idx="853">
                  <c:v>197.81908050256371</c:v>
                </c:pt>
                <c:pt idx="854">
                  <c:v>244.44642828400339</c:v>
                </c:pt>
                <c:pt idx="855">
                  <c:v>217.31158936480321</c:v>
                </c:pt>
                <c:pt idx="856">
                  <c:v>183.23003215211219</c:v>
                </c:pt>
                <c:pt idx="857">
                  <c:v>245.58499219717251</c:v>
                </c:pt>
                <c:pt idx="858">
                  <c:v>250.68676166055931</c:v>
                </c:pt>
                <c:pt idx="859">
                  <c:v>229.8638087216722</c:v>
                </c:pt>
                <c:pt idx="860">
                  <c:v>295.71208281100468</c:v>
                </c:pt>
                <c:pt idx="861">
                  <c:v>263.10684639156</c:v>
                </c:pt>
                <c:pt idx="862">
                  <c:v>230.86564098233319</c:v>
                </c:pt>
                <c:pt idx="863">
                  <c:v>193.9754136459284</c:v>
                </c:pt>
                <c:pt idx="864">
                  <c:v>277.07473827174459</c:v>
                </c:pt>
                <c:pt idx="865">
                  <c:v>152.64348410879131</c:v>
                </c:pt>
                <c:pt idx="866">
                  <c:v>239.27345458573859</c:v>
                </c:pt>
                <c:pt idx="867">
                  <c:v>210.7462183687515</c:v>
                </c:pt>
                <c:pt idx="868">
                  <c:v>170.19074845818059</c:v>
                </c:pt>
                <c:pt idx="869">
                  <c:v>246.1478667446998</c:v>
                </c:pt>
                <c:pt idx="870">
                  <c:v>238.40056488012459</c:v>
                </c:pt>
                <c:pt idx="871">
                  <c:v>258.98198433841492</c:v>
                </c:pt>
                <c:pt idx="872">
                  <c:v>227.82385277703349</c:v>
                </c:pt>
                <c:pt idx="873">
                  <c:v>208.13264905866001</c:v>
                </c:pt>
                <c:pt idx="874">
                  <c:v>364.85424823977451</c:v>
                </c:pt>
                <c:pt idx="875">
                  <c:v>249.6160479580935</c:v>
                </c:pt>
                <c:pt idx="876">
                  <c:v>267.08491552695301</c:v>
                </c:pt>
                <c:pt idx="877">
                  <c:v>240.15217392683331</c:v>
                </c:pt>
                <c:pt idx="878">
                  <c:v>301.0260795795777</c:v>
                </c:pt>
                <c:pt idx="879">
                  <c:v>184.47032914652621</c:v>
                </c:pt>
                <c:pt idx="880">
                  <c:v>204.7792353153028</c:v>
                </c:pt>
                <c:pt idx="881">
                  <c:v>243.4307879573376</c:v>
                </c:pt>
                <c:pt idx="882">
                  <c:v>272.40791379057379</c:v>
                </c:pt>
                <c:pt idx="883">
                  <c:v>130.8436550616573</c:v>
                </c:pt>
                <c:pt idx="884">
                  <c:v>272.1433035743301</c:v>
                </c:pt>
                <c:pt idx="885">
                  <c:v>283.45824793075877</c:v>
                </c:pt>
                <c:pt idx="886">
                  <c:v>238.57354493515541</c:v>
                </c:pt>
                <c:pt idx="887">
                  <c:v>207.0378298182365</c:v>
                </c:pt>
                <c:pt idx="888">
                  <c:v>230.76269043074211</c:v>
                </c:pt>
                <c:pt idx="889">
                  <c:v>256.47869785542508</c:v>
                </c:pt>
                <c:pt idx="890">
                  <c:v>270.42062406561882</c:v>
                </c:pt>
                <c:pt idx="891">
                  <c:v>292.04034290224962</c:v>
                </c:pt>
                <c:pt idx="892">
                  <c:v>192.45922330372471</c:v>
                </c:pt>
                <c:pt idx="893">
                  <c:v>240.40659351202081</c:v>
                </c:pt>
                <c:pt idx="894">
                  <c:v>256.18539065324637</c:v>
                </c:pt>
                <c:pt idx="895">
                  <c:v>254.4781156086884</c:v>
                </c:pt>
                <c:pt idx="896">
                  <c:v>228.45937249968199</c:v>
                </c:pt>
                <c:pt idx="897">
                  <c:v>154.65503817586239</c:v>
                </c:pt>
                <c:pt idx="898">
                  <c:v>213.8249895679125</c:v>
                </c:pt>
                <c:pt idx="899">
                  <c:v>222.63182906379859</c:v>
                </c:pt>
                <c:pt idx="900">
                  <c:v>216.30420651032881</c:v>
                </c:pt>
                <c:pt idx="901">
                  <c:v>213.0439149316901</c:v>
                </c:pt>
                <c:pt idx="902">
                  <c:v>315.80270775088002</c:v>
                </c:pt>
                <c:pt idx="903">
                  <c:v>207.59333397520729</c:v>
                </c:pt>
                <c:pt idx="904">
                  <c:v>246.33392097528329</c:v>
                </c:pt>
                <c:pt idx="905">
                  <c:v>315.38576971039339</c:v>
                </c:pt>
                <c:pt idx="906">
                  <c:v>278.3624475944145</c:v>
                </c:pt>
                <c:pt idx="907">
                  <c:v>282.12153550121991</c:v>
                </c:pt>
                <c:pt idx="908">
                  <c:v>164.93181276684959</c:v>
                </c:pt>
                <c:pt idx="909">
                  <c:v>234.5781427367678</c:v>
                </c:pt>
                <c:pt idx="910">
                  <c:v>249.8615337016515</c:v>
                </c:pt>
                <c:pt idx="911">
                  <c:v>277.44086432172031</c:v>
                </c:pt>
                <c:pt idx="912">
                  <c:v>237.36115901836769</c:v>
                </c:pt>
                <c:pt idx="913">
                  <c:v>315.50690977066262</c:v>
                </c:pt>
                <c:pt idx="914">
                  <c:v>249.37190464164499</c:v>
                </c:pt>
                <c:pt idx="915">
                  <c:v>291.53377030436229</c:v>
                </c:pt>
                <c:pt idx="916">
                  <c:v>195.52110602710709</c:v>
                </c:pt>
                <c:pt idx="917">
                  <c:v>282.91926558428179</c:v>
                </c:pt>
                <c:pt idx="918">
                  <c:v>273.24554285143961</c:v>
                </c:pt>
                <c:pt idx="919">
                  <c:v>257.25815774310428</c:v>
                </c:pt>
                <c:pt idx="920">
                  <c:v>248.41270394476169</c:v>
                </c:pt>
                <c:pt idx="921">
                  <c:v>233.92975614868621</c:v>
                </c:pt>
                <c:pt idx="922">
                  <c:v>158.08086240269461</c:v>
                </c:pt>
                <c:pt idx="923">
                  <c:v>255.75391460123629</c:v>
                </c:pt>
                <c:pt idx="924">
                  <c:v>187.09627756545231</c:v>
                </c:pt>
                <c:pt idx="925">
                  <c:v>255.1928640191492</c:v>
                </c:pt>
                <c:pt idx="926">
                  <c:v>275.34041252709898</c:v>
                </c:pt>
                <c:pt idx="927">
                  <c:v>279.59838288802371</c:v>
                </c:pt>
                <c:pt idx="928">
                  <c:v>214.12704006491001</c:v>
                </c:pt>
                <c:pt idx="929">
                  <c:v>221.4423327302197</c:v>
                </c:pt>
                <c:pt idx="930">
                  <c:v>186.83631839256111</c:v>
                </c:pt>
                <c:pt idx="931">
                  <c:v>231.03782053620239</c:v>
                </c:pt>
                <c:pt idx="932">
                  <c:v>246.8986278437047</c:v>
                </c:pt>
                <c:pt idx="933">
                  <c:v>240.9001404427361</c:v>
                </c:pt>
                <c:pt idx="934">
                  <c:v>235.44838629798809</c:v>
                </c:pt>
                <c:pt idx="935">
                  <c:v>261.04323268751608</c:v>
                </c:pt>
                <c:pt idx="936">
                  <c:v>313.12895022885277</c:v>
                </c:pt>
                <c:pt idx="937">
                  <c:v>198.6827446931118</c:v>
                </c:pt>
                <c:pt idx="938">
                  <c:v>221.79769402378199</c:v>
                </c:pt>
                <c:pt idx="939">
                  <c:v>145.33123297792099</c:v>
                </c:pt>
                <c:pt idx="940">
                  <c:v>318.46662813328368</c:v>
                </c:pt>
                <c:pt idx="941">
                  <c:v>295.23005328980832</c:v>
                </c:pt>
                <c:pt idx="942">
                  <c:v>323.18328085213932</c:v>
                </c:pt>
                <c:pt idx="943">
                  <c:v>201.00758481118541</c:v>
                </c:pt>
                <c:pt idx="944">
                  <c:v>209.8165731459018</c:v>
                </c:pt>
                <c:pt idx="945">
                  <c:v>171.08549353133949</c:v>
                </c:pt>
                <c:pt idx="946">
                  <c:v>134.7448309690848</c:v>
                </c:pt>
                <c:pt idx="947">
                  <c:v>306.34446088030199</c:v>
                </c:pt>
                <c:pt idx="948">
                  <c:v>306.43523077208857</c:v>
                </c:pt>
                <c:pt idx="949">
                  <c:v>249.50546723419021</c:v>
                </c:pt>
                <c:pt idx="950">
                  <c:v>317.13068971844461</c:v>
                </c:pt>
                <c:pt idx="951">
                  <c:v>163.2814844965838</c:v>
                </c:pt>
                <c:pt idx="952">
                  <c:v>183.63780777162111</c:v>
                </c:pt>
                <c:pt idx="953">
                  <c:v>209.43129585718049</c:v>
                </c:pt>
                <c:pt idx="954">
                  <c:v>279.11377952949721</c:v>
                </c:pt>
                <c:pt idx="955">
                  <c:v>172.5788863961688</c:v>
                </c:pt>
                <c:pt idx="956">
                  <c:v>257.58554352640567</c:v>
                </c:pt>
                <c:pt idx="957">
                  <c:v>301.89998908044981</c:v>
                </c:pt>
                <c:pt idx="958">
                  <c:v>368.72740201648958</c:v>
                </c:pt>
                <c:pt idx="959">
                  <c:v>226.20737888265501</c:v>
                </c:pt>
                <c:pt idx="960">
                  <c:v>212.2656758177155</c:v>
                </c:pt>
                <c:pt idx="961">
                  <c:v>261.31376171509669</c:v>
                </c:pt>
                <c:pt idx="962">
                  <c:v>224.95461205982849</c:v>
                </c:pt>
                <c:pt idx="963">
                  <c:v>308.70191667110561</c:v>
                </c:pt>
                <c:pt idx="964">
                  <c:v>274.75541271700013</c:v>
                </c:pt>
                <c:pt idx="965">
                  <c:v>348.752487704261</c:v>
                </c:pt>
                <c:pt idx="966">
                  <c:v>221.45761994980941</c:v>
                </c:pt>
                <c:pt idx="967">
                  <c:v>252.50437834599481</c:v>
                </c:pt>
                <c:pt idx="968">
                  <c:v>159.88601973552511</c:v>
                </c:pt>
                <c:pt idx="969">
                  <c:v>316.55163927344262</c:v>
                </c:pt>
                <c:pt idx="970">
                  <c:v>266.35011852566112</c:v>
                </c:pt>
                <c:pt idx="971">
                  <c:v>146.79456683128549</c:v>
                </c:pt>
                <c:pt idx="972">
                  <c:v>220.55877227021099</c:v>
                </c:pt>
                <c:pt idx="973">
                  <c:v>288.60574607949638</c:v>
                </c:pt>
                <c:pt idx="974">
                  <c:v>284.49530777355722</c:v>
                </c:pt>
                <c:pt idx="975">
                  <c:v>284.30745788428112</c:v>
                </c:pt>
                <c:pt idx="976">
                  <c:v>203.74555981918249</c:v>
                </c:pt>
                <c:pt idx="977">
                  <c:v>207.28911987733599</c:v>
                </c:pt>
                <c:pt idx="978">
                  <c:v>222.74812156928701</c:v>
                </c:pt>
                <c:pt idx="979">
                  <c:v>293.3156822277071</c:v>
                </c:pt>
                <c:pt idx="980">
                  <c:v>215.1830814418405</c:v>
                </c:pt>
                <c:pt idx="981">
                  <c:v>213.17377424890751</c:v>
                </c:pt>
                <c:pt idx="982">
                  <c:v>273.86032024061137</c:v>
                </c:pt>
                <c:pt idx="983">
                  <c:v>230.29291939151821</c:v>
                </c:pt>
                <c:pt idx="984">
                  <c:v>317.79252656970641</c:v>
                </c:pt>
                <c:pt idx="985">
                  <c:v>183.79957167654749</c:v>
                </c:pt>
                <c:pt idx="986">
                  <c:v>302.24549074806009</c:v>
                </c:pt>
                <c:pt idx="987">
                  <c:v>301.00667836781332</c:v>
                </c:pt>
                <c:pt idx="988">
                  <c:v>278.3880248351212</c:v>
                </c:pt>
                <c:pt idx="989">
                  <c:v>271.67297740051708</c:v>
                </c:pt>
                <c:pt idx="990">
                  <c:v>258.26353898542891</c:v>
                </c:pt>
                <c:pt idx="991">
                  <c:v>224.67484921635921</c:v>
                </c:pt>
                <c:pt idx="992">
                  <c:v>226.23756176038361</c:v>
                </c:pt>
                <c:pt idx="993">
                  <c:v>209.64722172951929</c:v>
                </c:pt>
                <c:pt idx="994">
                  <c:v>195.89510081537151</c:v>
                </c:pt>
                <c:pt idx="995">
                  <c:v>245.56450002487671</c:v>
                </c:pt>
                <c:pt idx="996">
                  <c:v>356.03248265875101</c:v>
                </c:pt>
                <c:pt idx="997">
                  <c:v>274.36951644697012</c:v>
                </c:pt>
                <c:pt idx="998">
                  <c:v>263.40146108054768</c:v>
                </c:pt>
                <c:pt idx="999">
                  <c:v>296.97368390457461</c:v>
                </c:pt>
              </c:numCache>
            </c:numRef>
          </c:yVal>
          <c:smooth val="0"/>
          <c:extLst>
            <c:ext xmlns:c16="http://schemas.microsoft.com/office/drawing/2014/chart" uri="{C3380CC4-5D6E-409C-BE32-E72D297353CC}">
              <c16:uniqueId val="{00000000-A21F-4303-8DD2-9EE630C2BB44}"/>
            </c:ext>
          </c:extLst>
        </c:ser>
        <c:ser>
          <c:idx val="2"/>
          <c:order val="1"/>
          <c:tx>
            <c:v>Base-Case</c:v>
          </c:tx>
          <c:spPr>
            <a:ln w="25400" cap="rnd">
              <a:noFill/>
              <a:round/>
            </a:ln>
            <a:effectLst/>
          </c:spPr>
          <c:marker>
            <c:symbol val="circle"/>
            <c:size val="12"/>
            <c:spPr>
              <a:solidFill>
                <a:srgbClr val="FF0000"/>
              </a:solidFill>
              <a:ln w="9525">
                <a:solidFill>
                  <a:srgbClr val="C00000"/>
                </a:solidFill>
              </a:ln>
              <a:effectLst/>
            </c:spPr>
          </c:marker>
          <c:xVal>
            <c:numRef>
              <c:f>Foglio1!$A$1</c:f>
              <c:numCache>
                <c:formatCode>0.00</c:formatCode>
                <c:ptCount val="1"/>
                <c:pt idx="0">
                  <c:v>0.15862329719986501</c:v>
                </c:pt>
              </c:numCache>
            </c:numRef>
          </c:xVal>
          <c:yVal>
            <c:numRef>
              <c:f>Foglio1!$B$1</c:f>
              <c:numCache>
                <c:formatCode>[$€-2]\ #,##0.00;[Red]\-[$€-2]\ #,##0.00</c:formatCode>
                <c:ptCount val="1"/>
                <c:pt idx="0">
                  <c:v>240.04</c:v>
                </c:pt>
              </c:numCache>
            </c:numRef>
          </c:yVal>
          <c:smooth val="0"/>
          <c:extLst>
            <c:ext xmlns:c16="http://schemas.microsoft.com/office/drawing/2014/chart" uri="{C3380CC4-5D6E-409C-BE32-E72D297353CC}">
              <c16:uniqueId val="{00000001-A21F-4303-8DD2-9EE630C2BB44}"/>
            </c:ext>
          </c:extLst>
        </c:ser>
        <c:ser>
          <c:idx val="1"/>
          <c:order val="2"/>
          <c:tx>
            <c:v>Threshold</c:v>
          </c:tx>
          <c:spPr>
            <a:ln w="25400" cap="rnd">
              <a:solidFill>
                <a:srgbClr val="FF0000"/>
              </a:solidFill>
              <a:prstDash val="dash"/>
              <a:round/>
            </a:ln>
            <a:effectLst/>
          </c:spPr>
          <c:marker>
            <c:symbol val="none"/>
          </c:marker>
          <c:xVal>
            <c:numRef>
              <c:f>Foglio1!$G$3:$G$4</c:f>
              <c:numCache>
                <c:formatCode>General</c:formatCode>
                <c:ptCount val="2"/>
                <c:pt idx="0">
                  <c:v>0</c:v>
                </c:pt>
                <c:pt idx="1">
                  <c:v>0.3</c:v>
                </c:pt>
              </c:numCache>
            </c:numRef>
          </c:xVal>
          <c:yVal>
            <c:numRef>
              <c:f>Foglio1!$H$3:$H$4</c:f>
              <c:numCache>
                <c:formatCode>General</c:formatCode>
                <c:ptCount val="2"/>
                <c:pt idx="0">
                  <c:v>0</c:v>
                </c:pt>
                <c:pt idx="1">
                  <c:v>9000</c:v>
                </c:pt>
              </c:numCache>
            </c:numRef>
          </c:yVal>
          <c:smooth val="0"/>
          <c:extLst>
            <c:ext xmlns:c16="http://schemas.microsoft.com/office/drawing/2014/chart" uri="{C3380CC4-5D6E-409C-BE32-E72D297353CC}">
              <c16:uniqueId val="{00000002-A21F-4303-8DD2-9EE630C2BB44}"/>
            </c:ext>
          </c:extLst>
        </c:ser>
        <c:dLbls>
          <c:showLegendKey val="0"/>
          <c:showVal val="0"/>
          <c:showCatName val="0"/>
          <c:showSerName val="0"/>
          <c:showPercent val="0"/>
          <c:showBubbleSize val="0"/>
        </c:dLbls>
        <c:axId val="43881984"/>
        <c:axId val="45305856"/>
      </c:scatterChart>
      <c:valAx>
        <c:axId val="43881984"/>
        <c:scaling>
          <c:orientation val="minMax"/>
          <c:max val="0.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300" b="0" i="0" u="none" strike="noStrike" kern="1200" baseline="0">
                    <a:solidFill>
                      <a:schemeClr val="tx1"/>
                    </a:solidFill>
                    <a:latin typeface="+mn-lt"/>
                    <a:ea typeface="+mn-ea"/>
                    <a:cs typeface="+mn-cs"/>
                  </a:defRPr>
                </a:pPr>
                <a:r>
                  <a:rPr lang="it-IT" sz="1300">
                    <a:solidFill>
                      <a:schemeClr val="tx1"/>
                    </a:solidFill>
                  </a:rPr>
                  <a:t>INCREMENTAL</a:t>
                </a:r>
                <a:r>
                  <a:rPr lang="it-IT" sz="1300" baseline="0">
                    <a:solidFill>
                      <a:schemeClr val="tx1"/>
                    </a:solidFill>
                  </a:rPr>
                  <a:t> EFFECTIVENESS</a:t>
                </a:r>
                <a:endParaRPr lang="it-IT" sz="1300">
                  <a:solidFill>
                    <a:schemeClr val="tx1"/>
                  </a:solidFill>
                </a:endParaRPr>
              </a:p>
            </c:rich>
          </c:tx>
          <c:layout>
            <c:manualLayout>
              <c:xMode val="edge"/>
              <c:yMode val="edge"/>
              <c:x val="0.35063212763546597"/>
              <c:y val="0.9192284239178799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5305856"/>
        <c:crosses val="autoZero"/>
        <c:crossBetween val="midCat"/>
      </c:valAx>
      <c:valAx>
        <c:axId val="45305856"/>
        <c:scaling>
          <c:orientation val="minMax"/>
          <c:max val="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300" b="0" i="0" u="none" strike="noStrike" kern="1200" baseline="0">
                    <a:solidFill>
                      <a:schemeClr val="tx1"/>
                    </a:solidFill>
                    <a:latin typeface="+mn-lt"/>
                    <a:ea typeface="+mn-ea"/>
                    <a:cs typeface="+mn-cs"/>
                  </a:defRPr>
                </a:pPr>
                <a:r>
                  <a:rPr lang="it-IT" sz="1300">
                    <a:solidFill>
                      <a:schemeClr val="tx1"/>
                    </a:solidFill>
                  </a:rPr>
                  <a:t>INCREMENTAL</a:t>
                </a:r>
                <a:r>
                  <a:rPr lang="it-IT" sz="1300" baseline="0">
                    <a:solidFill>
                      <a:schemeClr val="tx1"/>
                    </a:solidFill>
                  </a:rPr>
                  <a:t> COSTS</a:t>
                </a:r>
                <a:endParaRPr lang="it-IT" sz="1300">
                  <a:solidFill>
                    <a:schemeClr val="tx1"/>
                  </a:solidFill>
                </a:endParaRPr>
              </a:p>
            </c:rich>
          </c:tx>
          <c:overlay val="0"/>
          <c:spPr>
            <a:noFill/>
            <a:ln>
              <a:noFill/>
            </a:ln>
            <a:effectLst/>
          </c:spPr>
        </c:title>
        <c:numFmt formatCode="_(&quot;€&quot;* #,##0.00_);_(&quot;€&quot;* \(#,##0.00\);_(&quot;€&quot;* &quot;-&quot;??_);_(@_)"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43881984"/>
        <c:crosses val="autoZero"/>
        <c:crossBetween val="midCat"/>
      </c:valAx>
      <c:spPr>
        <a:noFill/>
        <a:ln>
          <a:noFill/>
        </a:ln>
        <a:effectLst/>
      </c:spPr>
    </c:plotArea>
    <c:legend>
      <c:legendPos val="r"/>
      <c:overlay val="0"/>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31750" cap="rnd">
              <a:solidFill>
                <a:schemeClr val="accent1"/>
              </a:solidFill>
              <a:round/>
            </a:ln>
            <a:effectLst/>
          </c:spPr>
          <c:marker>
            <c:symbol val="none"/>
          </c:marker>
          <c:xVal>
            <c:numRef>
              <c:f>Foglio2!$B$4:$B$1003</c:f>
              <c:numCache>
                <c:formatCode>_("€"* #,##0.00_);_("€"* \(#,##0.00\);_("€"* "-"??_);_(@_)</c:formatCode>
                <c:ptCount val="1000"/>
                <c:pt idx="0">
                  <c:v>639.59658313503326</c:v>
                </c:pt>
                <c:pt idx="1">
                  <c:v>665.80864953728496</c:v>
                </c:pt>
                <c:pt idx="2">
                  <c:v>667.17697739480502</c:v>
                </c:pt>
                <c:pt idx="3">
                  <c:v>675.01358218052155</c:v>
                </c:pt>
                <c:pt idx="4">
                  <c:v>691.44556599672296</c:v>
                </c:pt>
                <c:pt idx="5">
                  <c:v>701.57597495188395</c:v>
                </c:pt>
                <c:pt idx="6">
                  <c:v>730.08609593801907</c:v>
                </c:pt>
                <c:pt idx="7">
                  <c:v>734.17848394429802</c:v>
                </c:pt>
                <c:pt idx="8">
                  <c:v>737.43778182289543</c:v>
                </c:pt>
                <c:pt idx="9">
                  <c:v>766.22927258265963</c:v>
                </c:pt>
                <c:pt idx="10">
                  <c:v>768.51293903590465</c:v>
                </c:pt>
                <c:pt idx="11">
                  <c:v>785.67991979882436</c:v>
                </c:pt>
                <c:pt idx="12">
                  <c:v>791.30689946115444</c:v>
                </c:pt>
                <c:pt idx="13">
                  <c:v>791.91362129798006</c:v>
                </c:pt>
                <c:pt idx="14">
                  <c:v>809.06653261530244</c:v>
                </c:pt>
                <c:pt idx="15">
                  <c:v>812.87513019933385</c:v>
                </c:pt>
                <c:pt idx="16">
                  <c:v>823.11389162918101</c:v>
                </c:pt>
                <c:pt idx="17">
                  <c:v>837.31658653379282</c:v>
                </c:pt>
                <c:pt idx="18">
                  <c:v>841.86638586438642</c:v>
                </c:pt>
                <c:pt idx="19">
                  <c:v>845.29246192234882</c:v>
                </c:pt>
                <c:pt idx="20">
                  <c:v>846.5723019949304</c:v>
                </c:pt>
                <c:pt idx="21">
                  <c:v>847.42296469903738</c:v>
                </c:pt>
                <c:pt idx="22">
                  <c:v>857.39515822570411</c:v>
                </c:pt>
                <c:pt idx="23">
                  <c:v>858.30438476060147</c:v>
                </c:pt>
                <c:pt idx="24">
                  <c:v>867.06638969268602</c:v>
                </c:pt>
                <c:pt idx="25">
                  <c:v>867.65476871226178</c:v>
                </c:pt>
                <c:pt idx="26">
                  <c:v>872.0759954804065</c:v>
                </c:pt>
                <c:pt idx="27">
                  <c:v>883.69280872208128</c:v>
                </c:pt>
                <c:pt idx="28">
                  <c:v>888.60491814326986</c:v>
                </c:pt>
                <c:pt idx="29">
                  <c:v>891.18208084903915</c:v>
                </c:pt>
                <c:pt idx="30">
                  <c:v>904.57381299981296</c:v>
                </c:pt>
                <c:pt idx="31">
                  <c:v>905.25703269506312</c:v>
                </c:pt>
                <c:pt idx="32">
                  <c:v>906.03010169777031</c:v>
                </c:pt>
                <c:pt idx="33">
                  <c:v>906.04120376433559</c:v>
                </c:pt>
                <c:pt idx="34">
                  <c:v>906.4541793850974</c:v>
                </c:pt>
                <c:pt idx="35">
                  <c:v>914.20801505062354</c:v>
                </c:pt>
                <c:pt idx="36">
                  <c:v>914.72541765734775</c:v>
                </c:pt>
                <c:pt idx="37">
                  <c:v>926.01587440022115</c:v>
                </c:pt>
                <c:pt idx="38">
                  <c:v>926.52145758627137</c:v>
                </c:pt>
                <c:pt idx="39">
                  <c:v>931.80246441415875</c:v>
                </c:pt>
                <c:pt idx="40">
                  <c:v>933.38063522417497</c:v>
                </c:pt>
                <c:pt idx="41">
                  <c:v>935.39258530614757</c:v>
                </c:pt>
                <c:pt idx="42">
                  <c:v>936.65345310900943</c:v>
                </c:pt>
                <c:pt idx="43">
                  <c:v>937.60360568627755</c:v>
                </c:pt>
                <c:pt idx="44">
                  <c:v>938.13587684193112</c:v>
                </c:pt>
                <c:pt idx="45">
                  <c:v>939.90478680940021</c:v>
                </c:pt>
                <c:pt idx="46">
                  <c:v>946.47327768562843</c:v>
                </c:pt>
                <c:pt idx="47">
                  <c:v>947.52377287231195</c:v>
                </c:pt>
                <c:pt idx="48">
                  <c:v>951.72585979755536</c:v>
                </c:pt>
                <c:pt idx="49">
                  <c:v>951.99184937354664</c:v>
                </c:pt>
                <c:pt idx="50">
                  <c:v>954.55878325493245</c:v>
                </c:pt>
                <c:pt idx="51">
                  <c:v>954.72995718077721</c:v>
                </c:pt>
                <c:pt idx="52">
                  <c:v>957.84414261199288</c:v>
                </c:pt>
                <c:pt idx="53">
                  <c:v>963.50083400398159</c:v>
                </c:pt>
                <c:pt idx="54">
                  <c:v>963.62752697213182</c:v>
                </c:pt>
                <c:pt idx="55">
                  <c:v>963.94305557504106</c:v>
                </c:pt>
                <c:pt idx="56">
                  <c:v>964.76239325264999</c:v>
                </c:pt>
                <c:pt idx="57">
                  <c:v>966.24199442484007</c:v>
                </c:pt>
                <c:pt idx="58">
                  <c:v>970.22571711282842</c:v>
                </c:pt>
                <c:pt idx="59">
                  <c:v>973.31036780781858</c:v>
                </c:pt>
                <c:pt idx="60">
                  <c:v>977.78389890150299</c:v>
                </c:pt>
                <c:pt idx="61">
                  <c:v>978.5211016991766</c:v>
                </c:pt>
                <c:pt idx="62">
                  <c:v>981.07561435728746</c:v>
                </c:pt>
                <c:pt idx="63">
                  <c:v>984.88318858526304</c:v>
                </c:pt>
                <c:pt idx="64">
                  <c:v>985.21877241082802</c:v>
                </c:pt>
                <c:pt idx="65">
                  <c:v>989.86165996118939</c:v>
                </c:pt>
                <c:pt idx="66">
                  <c:v>990.77593230675996</c:v>
                </c:pt>
                <c:pt idx="67">
                  <c:v>991.34758082622159</c:v>
                </c:pt>
                <c:pt idx="68">
                  <c:v>992.53644201538339</c:v>
                </c:pt>
                <c:pt idx="69">
                  <c:v>993.07859135802198</c:v>
                </c:pt>
                <c:pt idx="70">
                  <c:v>998.18034527848874</c:v>
                </c:pt>
                <c:pt idx="71">
                  <c:v>998.82696724603636</c:v>
                </c:pt>
                <c:pt idx="72">
                  <c:v>999.27856701181474</c:v>
                </c:pt>
                <c:pt idx="73">
                  <c:v>1001.241327306582</c:v>
                </c:pt>
                <c:pt idx="74">
                  <c:v>1001.657088142385</c:v>
                </c:pt>
                <c:pt idx="75">
                  <c:v>1004.3742745909281</c:v>
                </c:pt>
                <c:pt idx="76">
                  <c:v>1004.598519746306</c:v>
                </c:pt>
                <c:pt idx="77">
                  <c:v>1010.11358323381</c:v>
                </c:pt>
                <c:pt idx="78">
                  <c:v>1012.468253230904</c:v>
                </c:pt>
                <c:pt idx="79">
                  <c:v>1014.103688315789</c:v>
                </c:pt>
                <c:pt idx="80">
                  <c:v>1016.26777720952</c:v>
                </c:pt>
                <c:pt idx="81">
                  <c:v>1018.070230929431</c:v>
                </c:pt>
                <c:pt idx="82">
                  <c:v>1018.80217656465</c:v>
                </c:pt>
                <c:pt idx="83">
                  <c:v>1019.830250727214</c:v>
                </c:pt>
                <c:pt idx="84">
                  <c:v>1022.554732124531</c:v>
                </c:pt>
                <c:pt idx="85">
                  <c:v>1024.6843293036829</c:v>
                </c:pt>
                <c:pt idx="86">
                  <c:v>1025.5376180134449</c:v>
                </c:pt>
                <c:pt idx="87">
                  <c:v>1030.607337117392</c:v>
                </c:pt>
                <c:pt idx="88">
                  <c:v>1031.6429810216359</c:v>
                </c:pt>
                <c:pt idx="89">
                  <c:v>1035.4975181942141</c:v>
                </c:pt>
                <c:pt idx="90">
                  <c:v>1036.7922387321751</c:v>
                </c:pt>
                <c:pt idx="91">
                  <c:v>1040.1427496681879</c:v>
                </c:pt>
                <c:pt idx="92">
                  <c:v>1041.7369040815429</c:v>
                </c:pt>
                <c:pt idx="93">
                  <c:v>1043.5887643184219</c:v>
                </c:pt>
                <c:pt idx="94">
                  <c:v>1046.8752878103351</c:v>
                </c:pt>
                <c:pt idx="95">
                  <c:v>1047.7971705643699</c:v>
                </c:pt>
                <c:pt idx="96">
                  <c:v>1048.048452854865</c:v>
                </c:pt>
                <c:pt idx="97">
                  <c:v>1049.7331672096041</c:v>
                </c:pt>
                <c:pt idx="98">
                  <c:v>1052.287308045934</c:v>
                </c:pt>
                <c:pt idx="99">
                  <c:v>1056.848456827968</c:v>
                </c:pt>
                <c:pt idx="100">
                  <c:v>1062.789373796551</c:v>
                </c:pt>
                <c:pt idx="101">
                  <c:v>1065.6773345557849</c:v>
                </c:pt>
                <c:pt idx="102">
                  <c:v>1065.7854837393161</c:v>
                </c:pt>
                <c:pt idx="103">
                  <c:v>1066.3816393615939</c:v>
                </c:pt>
                <c:pt idx="104">
                  <c:v>1070.0510531753771</c:v>
                </c:pt>
                <c:pt idx="105">
                  <c:v>1072.5829815918951</c:v>
                </c:pt>
                <c:pt idx="106">
                  <c:v>1072.9009379901629</c:v>
                </c:pt>
                <c:pt idx="107">
                  <c:v>1072.92248157016</c:v>
                </c:pt>
                <c:pt idx="108">
                  <c:v>1073.3665294128509</c:v>
                </c:pt>
                <c:pt idx="109">
                  <c:v>1075.5206016207339</c:v>
                </c:pt>
                <c:pt idx="110">
                  <c:v>1076.5178439663059</c:v>
                </c:pt>
                <c:pt idx="111">
                  <c:v>1077.3268565933729</c:v>
                </c:pt>
                <c:pt idx="112">
                  <c:v>1077.511073065067</c:v>
                </c:pt>
                <c:pt idx="113">
                  <c:v>1080.208411990827</c:v>
                </c:pt>
                <c:pt idx="114">
                  <c:v>1082.521595224526</c:v>
                </c:pt>
                <c:pt idx="115">
                  <c:v>1082.573087883525</c:v>
                </c:pt>
                <c:pt idx="116">
                  <c:v>1083.8869391174781</c:v>
                </c:pt>
                <c:pt idx="117">
                  <c:v>1085.179296542527</c:v>
                </c:pt>
                <c:pt idx="118">
                  <c:v>1086.4001677111639</c:v>
                </c:pt>
                <c:pt idx="119">
                  <c:v>1086.844595548449</c:v>
                </c:pt>
                <c:pt idx="120">
                  <c:v>1094.114720444458</c:v>
                </c:pt>
                <c:pt idx="121">
                  <c:v>1094.3418714648601</c:v>
                </c:pt>
                <c:pt idx="122">
                  <c:v>1094.36038660846</c:v>
                </c:pt>
                <c:pt idx="123">
                  <c:v>1094.5199663329799</c:v>
                </c:pt>
                <c:pt idx="124">
                  <c:v>1095.0973545837501</c:v>
                </c:pt>
                <c:pt idx="125">
                  <c:v>1095.5453290547871</c:v>
                </c:pt>
                <c:pt idx="126">
                  <c:v>1098.249373051256</c:v>
                </c:pt>
                <c:pt idx="127">
                  <c:v>1098.707274707642</c:v>
                </c:pt>
                <c:pt idx="128">
                  <c:v>1099.0657437301379</c:v>
                </c:pt>
                <c:pt idx="129">
                  <c:v>1099.6581777175311</c:v>
                </c:pt>
                <c:pt idx="130">
                  <c:v>1101.9861317321779</c:v>
                </c:pt>
                <c:pt idx="131">
                  <c:v>1103.5020307019799</c:v>
                </c:pt>
                <c:pt idx="132">
                  <c:v>1105.094346211067</c:v>
                </c:pt>
                <c:pt idx="133">
                  <c:v>1105.116807354814</c:v>
                </c:pt>
                <c:pt idx="134">
                  <c:v>1106.777518954668</c:v>
                </c:pt>
                <c:pt idx="135">
                  <c:v>1112.7321543749499</c:v>
                </c:pt>
                <c:pt idx="136">
                  <c:v>1112.7688311511399</c:v>
                </c:pt>
                <c:pt idx="137">
                  <c:v>1113.8990196227451</c:v>
                </c:pt>
                <c:pt idx="138">
                  <c:v>1115.3775885913519</c:v>
                </c:pt>
                <c:pt idx="139">
                  <c:v>1118.338656703801</c:v>
                </c:pt>
                <c:pt idx="140">
                  <c:v>1122.061280789243</c:v>
                </c:pt>
                <c:pt idx="141">
                  <c:v>1122.6887867467181</c:v>
                </c:pt>
                <c:pt idx="142">
                  <c:v>1123.3398236058281</c:v>
                </c:pt>
                <c:pt idx="143">
                  <c:v>1124.7332698229879</c:v>
                </c:pt>
                <c:pt idx="144">
                  <c:v>1127.4469306665101</c:v>
                </c:pt>
                <c:pt idx="145">
                  <c:v>1128.1075831358501</c:v>
                </c:pt>
                <c:pt idx="146">
                  <c:v>1130.2406451075649</c:v>
                </c:pt>
                <c:pt idx="147">
                  <c:v>1130.7391959912211</c:v>
                </c:pt>
                <c:pt idx="148">
                  <c:v>1131.095047830124</c:v>
                </c:pt>
                <c:pt idx="149">
                  <c:v>1131.3926570466431</c:v>
                </c:pt>
                <c:pt idx="150">
                  <c:v>1133.5990964493301</c:v>
                </c:pt>
                <c:pt idx="151">
                  <c:v>1135.5291947534629</c:v>
                </c:pt>
                <c:pt idx="152">
                  <c:v>1136.5641337610459</c:v>
                </c:pt>
                <c:pt idx="153">
                  <c:v>1136.631208894423</c:v>
                </c:pt>
                <c:pt idx="154">
                  <c:v>1138.2221705966531</c:v>
                </c:pt>
                <c:pt idx="155">
                  <c:v>1142.636673992957</c:v>
                </c:pt>
                <c:pt idx="156">
                  <c:v>1145.3110929315719</c:v>
                </c:pt>
                <c:pt idx="157">
                  <c:v>1145.571110528891</c:v>
                </c:pt>
                <c:pt idx="158">
                  <c:v>1145.6911826625069</c:v>
                </c:pt>
                <c:pt idx="159">
                  <c:v>1147.079530717682</c:v>
                </c:pt>
                <c:pt idx="160">
                  <c:v>1150.142948637764</c:v>
                </c:pt>
                <c:pt idx="161">
                  <c:v>1150.43758666757</c:v>
                </c:pt>
                <c:pt idx="162">
                  <c:v>1152.6169054466441</c:v>
                </c:pt>
                <c:pt idx="163">
                  <c:v>1153.4751628233071</c:v>
                </c:pt>
                <c:pt idx="164">
                  <c:v>1153.559379321405</c:v>
                </c:pt>
                <c:pt idx="165">
                  <c:v>1154.3786681818769</c:v>
                </c:pt>
                <c:pt idx="166">
                  <c:v>1154.52958740755</c:v>
                </c:pt>
                <c:pt idx="167">
                  <c:v>1154.784446292427</c:v>
                </c:pt>
                <c:pt idx="168">
                  <c:v>1155.592023878449</c:v>
                </c:pt>
                <c:pt idx="169">
                  <c:v>1156.8196871054599</c:v>
                </c:pt>
                <c:pt idx="170">
                  <c:v>1157.750459384534</c:v>
                </c:pt>
                <c:pt idx="171">
                  <c:v>1158.2796509371919</c:v>
                </c:pt>
                <c:pt idx="172">
                  <c:v>1158.4619711980531</c:v>
                </c:pt>
                <c:pt idx="173">
                  <c:v>1159.485696867411</c:v>
                </c:pt>
                <c:pt idx="174">
                  <c:v>1159.9558372777101</c:v>
                </c:pt>
                <c:pt idx="175">
                  <c:v>1160.393993344167</c:v>
                </c:pt>
                <c:pt idx="176">
                  <c:v>1161.2269929720071</c:v>
                </c:pt>
                <c:pt idx="177">
                  <c:v>1164.3910900324829</c:v>
                </c:pt>
                <c:pt idx="178">
                  <c:v>1166.6496091729509</c:v>
                </c:pt>
                <c:pt idx="179">
                  <c:v>1170.6943356467921</c:v>
                </c:pt>
                <c:pt idx="180">
                  <c:v>1172.1239470839071</c:v>
                </c:pt>
                <c:pt idx="181">
                  <c:v>1172.352063668802</c:v>
                </c:pt>
                <c:pt idx="182">
                  <c:v>1172.45465712384</c:v>
                </c:pt>
                <c:pt idx="183">
                  <c:v>1173.8927676731771</c:v>
                </c:pt>
                <c:pt idx="184">
                  <c:v>1177.351858201876</c:v>
                </c:pt>
                <c:pt idx="185">
                  <c:v>1177.9098388531829</c:v>
                </c:pt>
                <c:pt idx="186">
                  <c:v>1180.7837320462061</c:v>
                </c:pt>
                <c:pt idx="187">
                  <c:v>1182.2925564603599</c:v>
                </c:pt>
                <c:pt idx="188">
                  <c:v>1184.391321953826</c:v>
                </c:pt>
                <c:pt idx="189">
                  <c:v>1189.979347191475</c:v>
                </c:pt>
                <c:pt idx="190">
                  <c:v>1199.266798415817</c:v>
                </c:pt>
                <c:pt idx="191">
                  <c:v>1205.2044564340699</c:v>
                </c:pt>
                <c:pt idx="192">
                  <c:v>1205.8294072394399</c:v>
                </c:pt>
                <c:pt idx="193">
                  <c:v>1205.907259582063</c:v>
                </c:pt>
                <c:pt idx="194">
                  <c:v>1207.497069497744</c:v>
                </c:pt>
                <c:pt idx="195">
                  <c:v>1208.1337064048471</c:v>
                </c:pt>
                <c:pt idx="196">
                  <c:v>1208.3745809038071</c:v>
                </c:pt>
                <c:pt idx="197">
                  <c:v>1208.736116506868</c:v>
                </c:pt>
                <c:pt idx="198">
                  <c:v>1209.0743373474161</c:v>
                </c:pt>
                <c:pt idx="199">
                  <c:v>1210.186393666992</c:v>
                </c:pt>
                <c:pt idx="200">
                  <c:v>1211.8133881079591</c:v>
                </c:pt>
                <c:pt idx="201">
                  <c:v>1212.441319765833</c:v>
                </c:pt>
                <c:pt idx="202">
                  <c:v>1214.556247403287</c:v>
                </c:pt>
                <c:pt idx="203">
                  <c:v>1214.872177718933</c:v>
                </c:pt>
                <c:pt idx="204">
                  <c:v>1215.668277826074</c:v>
                </c:pt>
                <c:pt idx="205">
                  <c:v>1216.8735922603239</c:v>
                </c:pt>
                <c:pt idx="206">
                  <c:v>1218.41066228722</c:v>
                </c:pt>
                <c:pt idx="207">
                  <c:v>1219.1272187090849</c:v>
                </c:pt>
                <c:pt idx="208">
                  <c:v>1221.086035078551</c:v>
                </c:pt>
                <c:pt idx="209">
                  <c:v>1224.589014876339</c:v>
                </c:pt>
                <c:pt idx="210">
                  <c:v>1226.4066625642349</c:v>
                </c:pt>
                <c:pt idx="211">
                  <c:v>1227.93405222315</c:v>
                </c:pt>
                <c:pt idx="212">
                  <c:v>1228.118880325648</c:v>
                </c:pt>
                <c:pt idx="213">
                  <c:v>1228.155416987089</c:v>
                </c:pt>
                <c:pt idx="214">
                  <c:v>1228.60092451178</c:v>
                </c:pt>
                <c:pt idx="215">
                  <c:v>1228.6430516054461</c:v>
                </c:pt>
                <c:pt idx="216">
                  <c:v>1228.831721976836</c:v>
                </c:pt>
                <c:pt idx="217">
                  <c:v>1231.7170656507269</c:v>
                </c:pt>
                <c:pt idx="218">
                  <c:v>1231.9653794404351</c:v>
                </c:pt>
                <c:pt idx="219">
                  <c:v>1232.7530102911719</c:v>
                </c:pt>
                <c:pt idx="220">
                  <c:v>1233.9527381196849</c:v>
                </c:pt>
                <c:pt idx="221">
                  <c:v>1234.3518722462641</c:v>
                </c:pt>
                <c:pt idx="222">
                  <c:v>1234.75303194864</c:v>
                </c:pt>
                <c:pt idx="223">
                  <c:v>1235.8648768274429</c:v>
                </c:pt>
                <c:pt idx="224">
                  <c:v>1238.3943841982391</c:v>
                </c:pt>
                <c:pt idx="225">
                  <c:v>1240.796308255452</c:v>
                </c:pt>
                <c:pt idx="226">
                  <c:v>1242.0799600517209</c:v>
                </c:pt>
                <c:pt idx="227">
                  <c:v>1243.622070498712</c:v>
                </c:pt>
                <c:pt idx="228">
                  <c:v>1243.9864591769019</c:v>
                </c:pt>
                <c:pt idx="229">
                  <c:v>1244.8553412698391</c:v>
                </c:pt>
                <c:pt idx="230">
                  <c:v>1245.9093269926159</c:v>
                </c:pt>
                <c:pt idx="231">
                  <c:v>1246.2706396613071</c:v>
                </c:pt>
                <c:pt idx="232">
                  <c:v>1247.501961780433</c:v>
                </c:pt>
                <c:pt idx="233">
                  <c:v>1247.5485698574901</c:v>
                </c:pt>
                <c:pt idx="234">
                  <c:v>1248.0419641450881</c:v>
                </c:pt>
                <c:pt idx="235">
                  <c:v>1251.489592354445</c:v>
                </c:pt>
                <c:pt idx="236">
                  <c:v>1252.1384562280671</c:v>
                </c:pt>
                <c:pt idx="237">
                  <c:v>1252.1850232861109</c:v>
                </c:pt>
                <c:pt idx="238">
                  <c:v>1253.939611224808</c:v>
                </c:pt>
                <c:pt idx="239">
                  <c:v>1255.152687233267</c:v>
                </c:pt>
                <c:pt idx="240">
                  <c:v>1255.6348735863289</c:v>
                </c:pt>
                <c:pt idx="241">
                  <c:v>1255.9441459866421</c:v>
                </c:pt>
                <c:pt idx="242">
                  <c:v>1256.5612040343451</c:v>
                </c:pt>
                <c:pt idx="243">
                  <c:v>1257.22094771498</c:v>
                </c:pt>
                <c:pt idx="244">
                  <c:v>1257.674951358008</c:v>
                </c:pt>
                <c:pt idx="245">
                  <c:v>1257.834211394475</c:v>
                </c:pt>
                <c:pt idx="246">
                  <c:v>1261.198536018713</c:v>
                </c:pt>
                <c:pt idx="247">
                  <c:v>1262.6954801016459</c:v>
                </c:pt>
                <c:pt idx="248">
                  <c:v>1263.125828331556</c:v>
                </c:pt>
                <c:pt idx="249">
                  <c:v>1266.48377184015</c:v>
                </c:pt>
                <c:pt idx="250">
                  <c:v>1266.6655029776909</c:v>
                </c:pt>
                <c:pt idx="251">
                  <c:v>1268.465994360708</c:v>
                </c:pt>
                <c:pt idx="252">
                  <c:v>1269.051190816117</c:v>
                </c:pt>
                <c:pt idx="253">
                  <c:v>1269.5274471013829</c:v>
                </c:pt>
                <c:pt idx="254">
                  <c:v>1270.1775682631171</c:v>
                </c:pt>
                <c:pt idx="255">
                  <c:v>1271.6840347817299</c:v>
                </c:pt>
                <c:pt idx="256">
                  <c:v>1274.577773371574</c:v>
                </c:pt>
                <c:pt idx="257">
                  <c:v>1276.875171963992</c:v>
                </c:pt>
                <c:pt idx="258">
                  <c:v>1280.0586649249169</c:v>
                </c:pt>
                <c:pt idx="259">
                  <c:v>1280.079483884092</c:v>
                </c:pt>
                <c:pt idx="260">
                  <c:v>1281.0304043230169</c:v>
                </c:pt>
                <c:pt idx="261">
                  <c:v>1281.221697366683</c:v>
                </c:pt>
                <c:pt idx="262">
                  <c:v>1285.451944136762</c:v>
                </c:pt>
                <c:pt idx="263">
                  <c:v>1286.368182134036</c:v>
                </c:pt>
                <c:pt idx="264">
                  <c:v>1286.7841668795029</c:v>
                </c:pt>
                <c:pt idx="265">
                  <c:v>1291.277193130242</c:v>
                </c:pt>
                <c:pt idx="266">
                  <c:v>1291.9118197786131</c:v>
                </c:pt>
                <c:pt idx="267">
                  <c:v>1292.373307553192</c:v>
                </c:pt>
                <c:pt idx="268">
                  <c:v>1292.8003515169139</c:v>
                </c:pt>
                <c:pt idx="269">
                  <c:v>1292.935366373217</c:v>
                </c:pt>
                <c:pt idx="270">
                  <c:v>1293.5434736811619</c:v>
                </c:pt>
                <c:pt idx="271">
                  <c:v>1293.815528783394</c:v>
                </c:pt>
                <c:pt idx="272">
                  <c:v>1293.967084866061</c:v>
                </c:pt>
                <c:pt idx="273">
                  <c:v>1298.3425126697939</c:v>
                </c:pt>
                <c:pt idx="274">
                  <c:v>1300.550263951634</c:v>
                </c:pt>
                <c:pt idx="275">
                  <c:v>1301.2054596508301</c:v>
                </c:pt>
                <c:pt idx="276">
                  <c:v>1301.8515134550901</c:v>
                </c:pt>
                <c:pt idx="277">
                  <c:v>1302.070594183137</c:v>
                </c:pt>
                <c:pt idx="278">
                  <c:v>1305.5615902997499</c:v>
                </c:pt>
                <c:pt idx="279">
                  <c:v>1306.1707425527479</c:v>
                </c:pt>
                <c:pt idx="280">
                  <c:v>1306.195492174335</c:v>
                </c:pt>
                <c:pt idx="281">
                  <c:v>1307.6889576552171</c:v>
                </c:pt>
                <c:pt idx="282">
                  <c:v>1309.551818470002</c:v>
                </c:pt>
                <c:pt idx="283">
                  <c:v>1312.0106595427981</c:v>
                </c:pt>
                <c:pt idx="284">
                  <c:v>1313.4824628870499</c:v>
                </c:pt>
                <c:pt idx="285">
                  <c:v>1313.8348550215931</c:v>
                </c:pt>
                <c:pt idx="286">
                  <c:v>1314.233273238711</c:v>
                </c:pt>
                <c:pt idx="287">
                  <c:v>1315.7640088908679</c:v>
                </c:pt>
                <c:pt idx="288">
                  <c:v>1317.1893316283699</c:v>
                </c:pt>
                <c:pt idx="289">
                  <c:v>1320.396111871067</c:v>
                </c:pt>
                <c:pt idx="290">
                  <c:v>1320.8344516069769</c:v>
                </c:pt>
                <c:pt idx="291">
                  <c:v>1324.2792593138099</c:v>
                </c:pt>
                <c:pt idx="292">
                  <c:v>1326.984782407791</c:v>
                </c:pt>
                <c:pt idx="293">
                  <c:v>1328.6347554865911</c:v>
                </c:pt>
                <c:pt idx="294">
                  <c:v>1328.709810458115</c:v>
                </c:pt>
                <c:pt idx="295">
                  <c:v>1330.2660337086149</c:v>
                </c:pt>
                <c:pt idx="296">
                  <c:v>1330.470377954895</c:v>
                </c:pt>
                <c:pt idx="297">
                  <c:v>1330.524475034473</c:v>
                </c:pt>
                <c:pt idx="298">
                  <c:v>1331.593175148585</c:v>
                </c:pt>
                <c:pt idx="299">
                  <c:v>1332.1754523112611</c:v>
                </c:pt>
                <c:pt idx="300">
                  <c:v>1332.716935552324</c:v>
                </c:pt>
                <c:pt idx="301">
                  <c:v>1335.1525575793571</c:v>
                </c:pt>
                <c:pt idx="302">
                  <c:v>1335.579227117463</c:v>
                </c:pt>
                <c:pt idx="303">
                  <c:v>1336.1517605625029</c:v>
                </c:pt>
                <c:pt idx="304">
                  <c:v>1337.7719193051601</c:v>
                </c:pt>
                <c:pt idx="305">
                  <c:v>1338.585903212047</c:v>
                </c:pt>
                <c:pt idx="306">
                  <c:v>1339.3641607229049</c:v>
                </c:pt>
                <c:pt idx="307">
                  <c:v>1340.0858321922949</c:v>
                </c:pt>
                <c:pt idx="308">
                  <c:v>1341.7903052995821</c:v>
                </c:pt>
                <c:pt idx="309">
                  <c:v>1342.677830148187</c:v>
                </c:pt>
                <c:pt idx="310">
                  <c:v>1343.2434067547581</c:v>
                </c:pt>
                <c:pt idx="311">
                  <c:v>1343.257923605385</c:v>
                </c:pt>
                <c:pt idx="312">
                  <c:v>1343.27822553685</c:v>
                </c:pt>
                <c:pt idx="313">
                  <c:v>1343.9397840794761</c:v>
                </c:pt>
                <c:pt idx="314">
                  <c:v>1345.0144078481021</c:v>
                </c:pt>
                <c:pt idx="315">
                  <c:v>1346.0759192519799</c:v>
                </c:pt>
                <c:pt idx="316">
                  <c:v>1346.7139475143349</c:v>
                </c:pt>
                <c:pt idx="317">
                  <c:v>1346.7182565555529</c:v>
                </c:pt>
                <c:pt idx="318">
                  <c:v>1348.4020505909</c:v>
                </c:pt>
                <c:pt idx="319">
                  <c:v>1349.6064220408721</c:v>
                </c:pt>
                <c:pt idx="320">
                  <c:v>1350.2634645456569</c:v>
                </c:pt>
                <c:pt idx="321">
                  <c:v>1351.58676576523</c:v>
                </c:pt>
                <c:pt idx="322">
                  <c:v>1351.756107257816</c:v>
                </c:pt>
                <c:pt idx="323">
                  <c:v>1353.2450355971871</c:v>
                </c:pt>
                <c:pt idx="324">
                  <c:v>1353.708675843734</c:v>
                </c:pt>
                <c:pt idx="325">
                  <c:v>1354.5205869703509</c:v>
                </c:pt>
                <c:pt idx="326">
                  <c:v>1355.0447981772061</c:v>
                </c:pt>
                <c:pt idx="327">
                  <c:v>1355.5972246737631</c:v>
                </c:pt>
                <c:pt idx="328">
                  <c:v>1355.927513509798</c:v>
                </c:pt>
                <c:pt idx="329">
                  <c:v>1356.3497111878301</c:v>
                </c:pt>
                <c:pt idx="330">
                  <c:v>1357.7635630132129</c:v>
                </c:pt>
                <c:pt idx="331">
                  <c:v>1358.4635370290439</c:v>
                </c:pt>
                <c:pt idx="332">
                  <c:v>1359.3557154922801</c:v>
                </c:pt>
                <c:pt idx="333">
                  <c:v>1361.439668582773</c:v>
                </c:pt>
                <c:pt idx="334">
                  <c:v>1361.6449852538231</c:v>
                </c:pt>
                <c:pt idx="335">
                  <c:v>1361.8002866480799</c:v>
                </c:pt>
                <c:pt idx="336">
                  <c:v>1362.7888667721811</c:v>
                </c:pt>
                <c:pt idx="337">
                  <c:v>1364.6382044162251</c:v>
                </c:pt>
                <c:pt idx="338">
                  <c:v>1369.9222524792649</c:v>
                </c:pt>
                <c:pt idx="339">
                  <c:v>1370.0115400384821</c:v>
                </c:pt>
                <c:pt idx="340">
                  <c:v>1370.501385274099</c:v>
                </c:pt>
                <c:pt idx="341">
                  <c:v>1371.734969929551</c:v>
                </c:pt>
                <c:pt idx="342">
                  <c:v>1372.14564452269</c:v>
                </c:pt>
                <c:pt idx="343">
                  <c:v>1372.7385362195289</c:v>
                </c:pt>
                <c:pt idx="344">
                  <c:v>1373.80278084713</c:v>
                </c:pt>
                <c:pt idx="345">
                  <c:v>1374.171671526894</c:v>
                </c:pt>
                <c:pt idx="346">
                  <c:v>1374.496815061663</c:v>
                </c:pt>
                <c:pt idx="347">
                  <c:v>1375.040879227892</c:v>
                </c:pt>
                <c:pt idx="348">
                  <c:v>1375.4130053311039</c:v>
                </c:pt>
                <c:pt idx="349">
                  <c:v>1375.90828821422</c:v>
                </c:pt>
                <c:pt idx="350">
                  <c:v>1377.883067949432</c:v>
                </c:pt>
                <c:pt idx="351">
                  <c:v>1379.0872427623569</c:v>
                </c:pt>
                <c:pt idx="352">
                  <c:v>1379.5895768508431</c:v>
                </c:pt>
                <c:pt idx="353">
                  <c:v>1382.4106576589741</c:v>
                </c:pt>
                <c:pt idx="354">
                  <c:v>1382.729414784988</c:v>
                </c:pt>
                <c:pt idx="355">
                  <c:v>1386.809840118691</c:v>
                </c:pt>
                <c:pt idx="356">
                  <c:v>1386.9159164885609</c:v>
                </c:pt>
                <c:pt idx="357">
                  <c:v>1392.111466775681</c:v>
                </c:pt>
                <c:pt idx="358">
                  <c:v>1392.1658554725159</c:v>
                </c:pt>
                <c:pt idx="359">
                  <c:v>1392.2314084241671</c:v>
                </c:pt>
                <c:pt idx="360">
                  <c:v>1392.5068396500451</c:v>
                </c:pt>
                <c:pt idx="361">
                  <c:v>1393.0640269836481</c:v>
                </c:pt>
                <c:pt idx="362">
                  <c:v>1393.6932719480569</c:v>
                </c:pt>
                <c:pt idx="363">
                  <c:v>1394.9061885677529</c:v>
                </c:pt>
                <c:pt idx="364">
                  <c:v>1395.361406662731</c:v>
                </c:pt>
                <c:pt idx="365">
                  <c:v>1396.178282496227</c:v>
                </c:pt>
                <c:pt idx="366">
                  <c:v>1396.1886184150801</c:v>
                </c:pt>
                <c:pt idx="367">
                  <c:v>1396.197704029963</c:v>
                </c:pt>
                <c:pt idx="368">
                  <c:v>1396.2631856480521</c:v>
                </c:pt>
                <c:pt idx="369">
                  <c:v>1396.4696106097599</c:v>
                </c:pt>
                <c:pt idx="370">
                  <c:v>1396.7207851369849</c:v>
                </c:pt>
                <c:pt idx="371">
                  <c:v>1397.4577218518709</c:v>
                </c:pt>
                <c:pt idx="372">
                  <c:v>1398.536182405951</c:v>
                </c:pt>
                <c:pt idx="373">
                  <c:v>1401.32424223047</c:v>
                </c:pt>
                <c:pt idx="374">
                  <c:v>1402.8052076921199</c:v>
                </c:pt>
                <c:pt idx="375">
                  <c:v>1404.0447403719991</c:v>
                </c:pt>
                <c:pt idx="376">
                  <c:v>1404.5130642365839</c:v>
                </c:pt>
                <c:pt idx="377">
                  <c:v>1404.534386893687</c:v>
                </c:pt>
                <c:pt idx="378">
                  <c:v>1404.8605761508099</c:v>
                </c:pt>
                <c:pt idx="379">
                  <c:v>1405.4814557666641</c:v>
                </c:pt>
                <c:pt idx="380">
                  <c:v>1405.9247760157371</c:v>
                </c:pt>
                <c:pt idx="381">
                  <c:v>1408.894755425524</c:v>
                </c:pt>
                <c:pt idx="382">
                  <c:v>1408.9199394948159</c:v>
                </c:pt>
                <c:pt idx="383">
                  <c:v>1408.9220095830769</c:v>
                </c:pt>
                <c:pt idx="384">
                  <c:v>1411.2594790435701</c:v>
                </c:pt>
                <c:pt idx="385">
                  <c:v>1411.961939085744</c:v>
                </c:pt>
                <c:pt idx="386">
                  <c:v>1413.2206733219</c:v>
                </c:pt>
                <c:pt idx="387">
                  <c:v>1413.229991802142</c:v>
                </c:pt>
                <c:pt idx="388">
                  <c:v>1413.3143622241239</c:v>
                </c:pt>
                <c:pt idx="389">
                  <c:v>1417.0511860635049</c:v>
                </c:pt>
                <c:pt idx="390">
                  <c:v>1418.3569923734351</c:v>
                </c:pt>
                <c:pt idx="391">
                  <c:v>1418.9570233951899</c:v>
                </c:pt>
                <c:pt idx="392">
                  <c:v>1419.582415703861</c:v>
                </c:pt>
                <c:pt idx="393">
                  <c:v>1420.3117269205179</c:v>
                </c:pt>
                <c:pt idx="394">
                  <c:v>1421.953826287031</c:v>
                </c:pt>
                <c:pt idx="395">
                  <c:v>1423.990458823436</c:v>
                </c:pt>
                <c:pt idx="396">
                  <c:v>1424.5287331114141</c:v>
                </c:pt>
                <c:pt idx="397">
                  <c:v>1426.190676862735</c:v>
                </c:pt>
                <c:pt idx="398">
                  <c:v>1427.7721424407339</c:v>
                </c:pt>
                <c:pt idx="399">
                  <c:v>1429.878349434053</c:v>
                </c:pt>
                <c:pt idx="400">
                  <c:v>1430.324487842674</c:v>
                </c:pt>
                <c:pt idx="401">
                  <c:v>1431.200536499945</c:v>
                </c:pt>
                <c:pt idx="402">
                  <c:v>1434.6771610491669</c:v>
                </c:pt>
                <c:pt idx="403">
                  <c:v>1434.790894234488</c:v>
                </c:pt>
                <c:pt idx="404">
                  <c:v>1435.33514474871</c:v>
                </c:pt>
                <c:pt idx="405">
                  <c:v>1435.619958717773</c:v>
                </c:pt>
                <c:pt idx="406">
                  <c:v>1435.6484897464429</c:v>
                </c:pt>
                <c:pt idx="407">
                  <c:v>1437.1136131273811</c:v>
                </c:pt>
                <c:pt idx="408">
                  <c:v>1439.617093301636</c:v>
                </c:pt>
                <c:pt idx="409">
                  <c:v>1439.7212718378</c:v>
                </c:pt>
                <c:pt idx="410">
                  <c:v>1440.597421971881</c:v>
                </c:pt>
                <c:pt idx="411">
                  <c:v>1441.2629698995579</c:v>
                </c:pt>
                <c:pt idx="412">
                  <c:v>1441.400788242333</c:v>
                </c:pt>
                <c:pt idx="413">
                  <c:v>1441.90833623399</c:v>
                </c:pt>
                <c:pt idx="414">
                  <c:v>1443.96893202047</c:v>
                </c:pt>
                <c:pt idx="415">
                  <c:v>1444.0038386633589</c:v>
                </c:pt>
                <c:pt idx="416">
                  <c:v>1444.2652573708569</c:v>
                </c:pt>
                <c:pt idx="417">
                  <c:v>1445.5351589843619</c:v>
                </c:pt>
                <c:pt idx="418">
                  <c:v>1446.2168682701099</c:v>
                </c:pt>
                <c:pt idx="419">
                  <c:v>1448.0536231170911</c:v>
                </c:pt>
                <c:pt idx="420">
                  <c:v>1448.9563677576571</c:v>
                </c:pt>
                <c:pt idx="421">
                  <c:v>1449.6687707474559</c:v>
                </c:pt>
                <c:pt idx="422">
                  <c:v>1450.1019773581261</c:v>
                </c:pt>
                <c:pt idx="423">
                  <c:v>1450.1972832093511</c:v>
                </c:pt>
                <c:pt idx="424">
                  <c:v>1451.565773149508</c:v>
                </c:pt>
                <c:pt idx="425">
                  <c:v>1453.658494933012</c:v>
                </c:pt>
                <c:pt idx="426">
                  <c:v>1454.4997846652459</c:v>
                </c:pt>
                <c:pt idx="427">
                  <c:v>1454.976245895783</c:v>
                </c:pt>
                <c:pt idx="428">
                  <c:v>1455.20689644868</c:v>
                </c:pt>
                <c:pt idx="429">
                  <c:v>1456.5741956565089</c:v>
                </c:pt>
                <c:pt idx="430">
                  <c:v>1458.807420972523</c:v>
                </c:pt>
                <c:pt idx="431">
                  <c:v>1459.843142948888</c:v>
                </c:pt>
                <c:pt idx="432">
                  <c:v>1460.8632572782749</c:v>
                </c:pt>
                <c:pt idx="433">
                  <c:v>1461.0636914517299</c:v>
                </c:pt>
                <c:pt idx="434">
                  <c:v>1461.37418568415</c:v>
                </c:pt>
                <c:pt idx="435">
                  <c:v>1463.1176525552701</c:v>
                </c:pt>
                <c:pt idx="436">
                  <c:v>1463.387414323209</c:v>
                </c:pt>
                <c:pt idx="437">
                  <c:v>1463.484776513867</c:v>
                </c:pt>
                <c:pt idx="438">
                  <c:v>1464.1871921492109</c:v>
                </c:pt>
                <c:pt idx="439">
                  <c:v>1465.7346336106641</c:v>
                </c:pt>
                <c:pt idx="440">
                  <c:v>1467.934640799205</c:v>
                </c:pt>
                <c:pt idx="441">
                  <c:v>1469.535151058383</c:v>
                </c:pt>
                <c:pt idx="442">
                  <c:v>1469.6403537150859</c:v>
                </c:pt>
                <c:pt idx="443">
                  <c:v>1472.584128734092</c:v>
                </c:pt>
                <c:pt idx="444">
                  <c:v>1474.7418208953709</c:v>
                </c:pt>
                <c:pt idx="445">
                  <c:v>1474.994927719222</c:v>
                </c:pt>
                <c:pt idx="446">
                  <c:v>1475.4816081856641</c:v>
                </c:pt>
                <c:pt idx="447">
                  <c:v>1475.674041155909</c:v>
                </c:pt>
                <c:pt idx="448">
                  <c:v>1476.226527288655</c:v>
                </c:pt>
                <c:pt idx="449">
                  <c:v>1476.488528722092</c:v>
                </c:pt>
                <c:pt idx="450">
                  <c:v>1477.209248339479</c:v>
                </c:pt>
                <c:pt idx="451">
                  <c:v>1477.75681308665</c:v>
                </c:pt>
                <c:pt idx="452">
                  <c:v>1479.4621950671501</c:v>
                </c:pt>
                <c:pt idx="453">
                  <c:v>1481.0814109081559</c:v>
                </c:pt>
                <c:pt idx="454">
                  <c:v>1485.097279228994</c:v>
                </c:pt>
                <c:pt idx="455">
                  <c:v>1485.283952696909</c:v>
                </c:pt>
                <c:pt idx="456">
                  <c:v>1485.3225055060409</c:v>
                </c:pt>
                <c:pt idx="457">
                  <c:v>1485.3436570894171</c:v>
                </c:pt>
                <c:pt idx="458">
                  <c:v>1486.148283148495</c:v>
                </c:pt>
                <c:pt idx="459">
                  <c:v>1486.7723939738951</c:v>
                </c:pt>
                <c:pt idx="460">
                  <c:v>1491.578106605491</c:v>
                </c:pt>
                <c:pt idx="461">
                  <c:v>1494.024631349389</c:v>
                </c:pt>
                <c:pt idx="462">
                  <c:v>1494.235727265577</c:v>
                </c:pt>
                <c:pt idx="463">
                  <c:v>1494.611410218889</c:v>
                </c:pt>
                <c:pt idx="464">
                  <c:v>1494.841419654593</c:v>
                </c:pt>
                <c:pt idx="465">
                  <c:v>1497.182618567118</c:v>
                </c:pt>
                <c:pt idx="466">
                  <c:v>1497.274467412225</c:v>
                </c:pt>
                <c:pt idx="467">
                  <c:v>1497.872880593223</c:v>
                </c:pt>
                <c:pt idx="468">
                  <c:v>1498.167077034592</c:v>
                </c:pt>
                <c:pt idx="469">
                  <c:v>1499.5119492663041</c:v>
                </c:pt>
                <c:pt idx="470">
                  <c:v>1500.1965189037551</c:v>
                </c:pt>
                <c:pt idx="471">
                  <c:v>1500.6039974479249</c:v>
                </c:pt>
                <c:pt idx="472">
                  <c:v>1500.916464912696</c:v>
                </c:pt>
                <c:pt idx="473">
                  <c:v>1501.6908105154739</c:v>
                </c:pt>
                <c:pt idx="474">
                  <c:v>1502.6072920638569</c:v>
                </c:pt>
                <c:pt idx="475">
                  <c:v>1502.808818366487</c:v>
                </c:pt>
                <c:pt idx="476">
                  <c:v>1503.2099599101959</c:v>
                </c:pt>
                <c:pt idx="477">
                  <c:v>1503.761195048495</c:v>
                </c:pt>
                <c:pt idx="478">
                  <c:v>1506.266446441608</c:v>
                </c:pt>
                <c:pt idx="479">
                  <c:v>1506.5019258798829</c:v>
                </c:pt>
                <c:pt idx="480">
                  <c:v>1507.0268693150331</c:v>
                </c:pt>
                <c:pt idx="481">
                  <c:v>1508.0318366282499</c:v>
                </c:pt>
                <c:pt idx="482">
                  <c:v>1509.8246709632999</c:v>
                </c:pt>
                <c:pt idx="483">
                  <c:v>1509.9188841174339</c:v>
                </c:pt>
                <c:pt idx="484">
                  <c:v>1509.98346920689</c:v>
                </c:pt>
                <c:pt idx="485">
                  <c:v>1510.2520239931</c:v>
                </c:pt>
                <c:pt idx="486">
                  <c:v>1511.285196399004</c:v>
                </c:pt>
                <c:pt idx="487">
                  <c:v>1512.436216548781</c:v>
                </c:pt>
                <c:pt idx="488">
                  <c:v>1515.280927427367</c:v>
                </c:pt>
                <c:pt idx="489">
                  <c:v>1518.187919399342</c:v>
                </c:pt>
                <c:pt idx="490">
                  <c:v>1518.380459309712</c:v>
                </c:pt>
                <c:pt idx="491">
                  <c:v>1518.5827702317879</c:v>
                </c:pt>
                <c:pt idx="492">
                  <c:v>1519.65060874958</c:v>
                </c:pt>
                <c:pt idx="493">
                  <c:v>1521.197237754272</c:v>
                </c:pt>
                <c:pt idx="494">
                  <c:v>1522.141121648765</c:v>
                </c:pt>
                <c:pt idx="495">
                  <c:v>1522.6489910253349</c:v>
                </c:pt>
                <c:pt idx="496">
                  <c:v>1523.09008323901</c:v>
                </c:pt>
                <c:pt idx="497">
                  <c:v>1524.034354283152</c:v>
                </c:pt>
                <c:pt idx="498">
                  <c:v>1524.040079420997</c:v>
                </c:pt>
                <c:pt idx="499">
                  <c:v>1524.6257631262299</c:v>
                </c:pt>
                <c:pt idx="500">
                  <c:v>1524.949945703047</c:v>
                </c:pt>
                <c:pt idx="501">
                  <c:v>1525.19745635665</c:v>
                </c:pt>
                <c:pt idx="502">
                  <c:v>1525.34885845248</c:v>
                </c:pt>
                <c:pt idx="503">
                  <c:v>1526.50301119045</c:v>
                </c:pt>
                <c:pt idx="504">
                  <c:v>1526.6288372739241</c:v>
                </c:pt>
                <c:pt idx="505">
                  <c:v>1526.925651275162</c:v>
                </c:pt>
                <c:pt idx="506">
                  <c:v>1528.6078181902619</c:v>
                </c:pt>
                <c:pt idx="507">
                  <c:v>1528.664169682422</c:v>
                </c:pt>
                <c:pt idx="508">
                  <c:v>1531.37363483032</c:v>
                </c:pt>
                <c:pt idx="509">
                  <c:v>1531.542888092516</c:v>
                </c:pt>
                <c:pt idx="510">
                  <c:v>1535.016670976426</c:v>
                </c:pt>
                <c:pt idx="511">
                  <c:v>1537.8775204700439</c:v>
                </c:pt>
                <c:pt idx="512">
                  <c:v>1539.339338820721</c:v>
                </c:pt>
                <c:pt idx="513">
                  <c:v>1540.506808320936</c:v>
                </c:pt>
                <c:pt idx="514">
                  <c:v>1541.2662200719101</c:v>
                </c:pt>
                <c:pt idx="515">
                  <c:v>1541.7612295716581</c:v>
                </c:pt>
                <c:pt idx="516">
                  <c:v>1543.3042887098841</c:v>
                </c:pt>
                <c:pt idx="517">
                  <c:v>1544.438968830262</c:v>
                </c:pt>
                <c:pt idx="518">
                  <c:v>1547.70227135134</c:v>
                </c:pt>
                <c:pt idx="519">
                  <c:v>1550.314456322398</c:v>
                </c:pt>
                <c:pt idx="520">
                  <c:v>1550.7985029365379</c:v>
                </c:pt>
                <c:pt idx="521">
                  <c:v>1551.9329707415509</c:v>
                </c:pt>
                <c:pt idx="522">
                  <c:v>1552.361085321442</c:v>
                </c:pt>
                <c:pt idx="523">
                  <c:v>1553.391638765394</c:v>
                </c:pt>
                <c:pt idx="524">
                  <c:v>1553.7501996876069</c:v>
                </c:pt>
                <c:pt idx="525">
                  <c:v>1554.156923049997</c:v>
                </c:pt>
                <c:pt idx="526">
                  <c:v>1556.209501822176</c:v>
                </c:pt>
                <c:pt idx="527">
                  <c:v>1557.8237402172531</c:v>
                </c:pt>
                <c:pt idx="528">
                  <c:v>1558.6843550316989</c:v>
                </c:pt>
                <c:pt idx="529">
                  <c:v>1559.19146072182</c:v>
                </c:pt>
                <c:pt idx="530">
                  <c:v>1559.409946882884</c:v>
                </c:pt>
                <c:pt idx="531">
                  <c:v>1560.374842572176</c:v>
                </c:pt>
                <c:pt idx="532">
                  <c:v>1560.4317403479711</c:v>
                </c:pt>
                <c:pt idx="533">
                  <c:v>1560.6871212446461</c:v>
                </c:pt>
                <c:pt idx="534">
                  <c:v>1563.893019336112</c:v>
                </c:pt>
                <c:pt idx="535">
                  <c:v>1564.736855453498</c:v>
                </c:pt>
                <c:pt idx="536">
                  <c:v>1566.0038555771121</c:v>
                </c:pt>
                <c:pt idx="537">
                  <c:v>1569.3880483359981</c:v>
                </c:pt>
                <c:pt idx="538">
                  <c:v>1569.8769569245139</c:v>
                </c:pt>
                <c:pt idx="539">
                  <c:v>1570.158270494723</c:v>
                </c:pt>
                <c:pt idx="540">
                  <c:v>1570.9759188349581</c:v>
                </c:pt>
                <c:pt idx="541">
                  <c:v>1571.7976440886771</c:v>
                </c:pt>
                <c:pt idx="542">
                  <c:v>1571.956701414143</c:v>
                </c:pt>
                <c:pt idx="543">
                  <c:v>1574.32564654609</c:v>
                </c:pt>
                <c:pt idx="544">
                  <c:v>1575.5164030801</c:v>
                </c:pt>
                <c:pt idx="545">
                  <c:v>1575.558789439533</c:v>
                </c:pt>
                <c:pt idx="546">
                  <c:v>1575.789599629604</c:v>
                </c:pt>
                <c:pt idx="547">
                  <c:v>1578.131179190277</c:v>
                </c:pt>
                <c:pt idx="548">
                  <c:v>1578.22053353354</c:v>
                </c:pt>
                <c:pt idx="549">
                  <c:v>1579.883994618802</c:v>
                </c:pt>
                <c:pt idx="550">
                  <c:v>1580.253746713644</c:v>
                </c:pt>
                <c:pt idx="551">
                  <c:v>1581.294578621264</c:v>
                </c:pt>
                <c:pt idx="552">
                  <c:v>1581.731810982928</c:v>
                </c:pt>
                <c:pt idx="553">
                  <c:v>1584.095137270381</c:v>
                </c:pt>
                <c:pt idx="554">
                  <c:v>1584.5786631299641</c:v>
                </c:pt>
                <c:pt idx="555">
                  <c:v>1585.070050244115</c:v>
                </c:pt>
                <c:pt idx="556">
                  <c:v>1585.1802923843959</c:v>
                </c:pt>
                <c:pt idx="557">
                  <c:v>1587.0705846201699</c:v>
                </c:pt>
                <c:pt idx="558">
                  <c:v>1587.2276054609031</c:v>
                </c:pt>
                <c:pt idx="559">
                  <c:v>1589.8779971375479</c:v>
                </c:pt>
                <c:pt idx="560">
                  <c:v>1590.192532319335</c:v>
                </c:pt>
                <c:pt idx="561">
                  <c:v>1590.2932210123099</c:v>
                </c:pt>
                <c:pt idx="562">
                  <c:v>1591.875963852083</c:v>
                </c:pt>
                <c:pt idx="563">
                  <c:v>1591.926927404161</c:v>
                </c:pt>
                <c:pt idx="564">
                  <c:v>1594.8079221027001</c:v>
                </c:pt>
                <c:pt idx="565">
                  <c:v>1596.0888058841001</c:v>
                </c:pt>
                <c:pt idx="566">
                  <c:v>1598.4506723223881</c:v>
                </c:pt>
                <c:pt idx="567">
                  <c:v>1598.5566286711901</c:v>
                </c:pt>
                <c:pt idx="568">
                  <c:v>1603.8469018724099</c:v>
                </c:pt>
                <c:pt idx="569">
                  <c:v>1604.8275002512451</c:v>
                </c:pt>
                <c:pt idx="570">
                  <c:v>1606.5012863993661</c:v>
                </c:pt>
                <c:pt idx="571">
                  <c:v>1607.37524038371</c:v>
                </c:pt>
                <c:pt idx="572">
                  <c:v>1611.3538748016831</c:v>
                </c:pt>
                <c:pt idx="573">
                  <c:v>1611.4599370749449</c:v>
                </c:pt>
                <c:pt idx="574">
                  <c:v>1612.699560231616</c:v>
                </c:pt>
                <c:pt idx="575">
                  <c:v>1613.7318068245379</c:v>
                </c:pt>
                <c:pt idx="576">
                  <c:v>1614.4024151640861</c:v>
                </c:pt>
                <c:pt idx="577">
                  <c:v>1615.716412144327</c:v>
                </c:pt>
                <c:pt idx="578">
                  <c:v>1616.2001886128221</c:v>
                </c:pt>
                <c:pt idx="579">
                  <c:v>1617.3312208203749</c:v>
                </c:pt>
                <c:pt idx="580">
                  <c:v>1617.9558284403611</c:v>
                </c:pt>
                <c:pt idx="581">
                  <c:v>1618.3664176241409</c:v>
                </c:pt>
                <c:pt idx="582">
                  <c:v>1619.330336097026</c:v>
                </c:pt>
                <c:pt idx="583">
                  <c:v>1621.6423897663039</c:v>
                </c:pt>
                <c:pt idx="584">
                  <c:v>1622.980645298506</c:v>
                </c:pt>
                <c:pt idx="585">
                  <c:v>1623.0000059781819</c:v>
                </c:pt>
                <c:pt idx="586">
                  <c:v>1623.31835289936</c:v>
                </c:pt>
                <c:pt idx="587">
                  <c:v>1624.8024204327819</c:v>
                </c:pt>
                <c:pt idx="588">
                  <c:v>1627.6850654068901</c:v>
                </c:pt>
                <c:pt idx="589">
                  <c:v>1631.22721000298</c:v>
                </c:pt>
                <c:pt idx="590">
                  <c:v>1633.6975270617679</c:v>
                </c:pt>
                <c:pt idx="591">
                  <c:v>1636.9716521882699</c:v>
                </c:pt>
                <c:pt idx="592">
                  <c:v>1637.1419581267121</c:v>
                </c:pt>
                <c:pt idx="593">
                  <c:v>1637.4085588278069</c:v>
                </c:pt>
                <c:pt idx="594">
                  <c:v>1637.5235176487679</c:v>
                </c:pt>
                <c:pt idx="595">
                  <c:v>1639.9787681365681</c:v>
                </c:pt>
                <c:pt idx="596">
                  <c:v>1641.5420594200521</c:v>
                </c:pt>
                <c:pt idx="597">
                  <c:v>1643.3445476082379</c:v>
                </c:pt>
                <c:pt idx="598">
                  <c:v>1644.1168944680569</c:v>
                </c:pt>
                <c:pt idx="599">
                  <c:v>1644.5424608927451</c:v>
                </c:pt>
                <c:pt idx="600">
                  <c:v>1644.7322642223121</c:v>
                </c:pt>
                <c:pt idx="601">
                  <c:v>1644.882855310073</c:v>
                </c:pt>
                <c:pt idx="602">
                  <c:v>1647.284101927341</c:v>
                </c:pt>
                <c:pt idx="603">
                  <c:v>1647.9151216556079</c:v>
                </c:pt>
                <c:pt idx="604">
                  <c:v>1650.1265734933399</c:v>
                </c:pt>
                <c:pt idx="605">
                  <c:v>1655.747366247535</c:v>
                </c:pt>
                <c:pt idx="606">
                  <c:v>1655.8593511592669</c:v>
                </c:pt>
                <c:pt idx="607">
                  <c:v>1658.0952559546231</c:v>
                </c:pt>
                <c:pt idx="608">
                  <c:v>1660.199948284738</c:v>
                </c:pt>
                <c:pt idx="609">
                  <c:v>1662.09777589748</c:v>
                </c:pt>
                <c:pt idx="610">
                  <c:v>1662.669827341123</c:v>
                </c:pt>
                <c:pt idx="611">
                  <c:v>1663.0384655442631</c:v>
                </c:pt>
                <c:pt idx="612">
                  <c:v>1663.6182306018529</c:v>
                </c:pt>
                <c:pt idx="613">
                  <c:v>1663.8024013752879</c:v>
                </c:pt>
                <c:pt idx="614">
                  <c:v>1665.4885133590039</c:v>
                </c:pt>
                <c:pt idx="615">
                  <c:v>1666.2187335877311</c:v>
                </c:pt>
                <c:pt idx="616">
                  <c:v>1666.7255231059451</c:v>
                </c:pt>
                <c:pt idx="617">
                  <c:v>1670.9663013092099</c:v>
                </c:pt>
                <c:pt idx="618">
                  <c:v>1671.339477784667</c:v>
                </c:pt>
                <c:pt idx="619">
                  <c:v>1671.6182826605029</c:v>
                </c:pt>
                <c:pt idx="620">
                  <c:v>1674.9833641945329</c:v>
                </c:pt>
                <c:pt idx="621">
                  <c:v>1676.928678486373</c:v>
                </c:pt>
                <c:pt idx="622">
                  <c:v>1678.831152926786</c:v>
                </c:pt>
                <c:pt idx="623">
                  <c:v>1679.8051747255311</c:v>
                </c:pt>
                <c:pt idx="624">
                  <c:v>1680.0522761868799</c:v>
                </c:pt>
                <c:pt idx="625">
                  <c:v>1680.747590093624</c:v>
                </c:pt>
                <c:pt idx="626">
                  <c:v>1681.017575749881</c:v>
                </c:pt>
                <c:pt idx="627">
                  <c:v>1683.4757314306401</c:v>
                </c:pt>
                <c:pt idx="628">
                  <c:v>1683.7822842824301</c:v>
                </c:pt>
                <c:pt idx="629">
                  <c:v>1687.5881704654701</c:v>
                </c:pt>
                <c:pt idx="630">
                  <c:v>1690.8507000392769</c:v>
                </c:pt>
                <c:pt idx="631">
                  <c:v>1692.0456627022841</c:v>
                </c:pt>
                <c:pt idx="632">
                  <c:v>1692.350380932048</c:v>
                </c:pt>
                <c:pt idx="633">
                  <c:v>1693.298948437159</c:v>
                </c:pt>
                <c:pt idx="634">
                  <c:v>1694.0794647989781</c:v>
                </c:pt>
                <c:pt idx="635">
                  <c:v>1694.514096542368</c:v>
                </c:pt>
                <c:pt idx="636">
                  <c:v>1696.1918507198541</c:v>
                </c:pt>
                <c:pt idx="637">
                  <c:v>1696.4800857063019</c:v>
                </c:pt>
                <c:pt idx="638">
                  <c:v>1697.18575782928</c:v>
                </c:pt>
                <c:pt idx="639">
                  <c:v>1697.800403353466</c:v>
                </c:pt>
                <c:pt idx="640">
                  <c:v>1698.2836254902979</c:v>
                </c:pt>
                <c:pt idx="641">
                  <c:v>1698.831900073146</c:v>
                </c:pt>
                <c:pt idx="642">
                  <c:v>1698.9534834313361</c:v>
                </c:pt>
                <c:pt idx="643">
                  <c:v>1700.741065732373</c:v>
                </c:pt>
                <c:pt idx="644">
                  <c:v>1701.958821944123</c:v>
                </c:pt>
                <c:pt idx="645">
                  <c:v>1703.049969644977</c:v>
                </c:pt>
                <c:pt idx="646">
                  <c:v>1703.904046743344</c:v>
                </c:pt>
                <c:pt idx="647">
                  <c:v>1705.7075513096399</c:v>
                </c:pt>
                <c:pt idx="648">
                  <c:v>1706.81571761244</c:v>
                </c:pt>
                <c:pt idx="649">
                  <c:v>1707.019093404077</c:v>
                </c:pt>
                <c:pt idx="650">
                  <c:v>1711.2241541815711</c:v>
                </c:pt>
                <c:pt idx="651">
                  <c:v>1711.2313220578801</c:v>
                </c:pt>
                <c:pt idx="652">
                  <c:v>1711.2737336321909</c:v>
                </c:pt>
                <c:pt idx="653">
                  <c:v>1712.735621050226</c:v>
                </c:pt>
                <c:pt idx="654">
                  <c:v>1714.797977186264</c:v>
                </c:pt>
                <c:pt idx="655">
                  <c:v>1715.968343236535</c:v>
                </c:pt>
                <c:pt idx="656">
                  <c:v>1717.890923848257</c:v>
                </c:pt>
                <c:pt idx="657">
                  <c:v>1721.2697536033249</c:v>
                </c:pt>
                <c:pt idx="658">
                  <c:v>1722.0330808420449</c:v>
                </c:pt>
                <c:pt idx="659">
                  <c:v>1723.951319877553</c:v>
                </c:pt>
                <c:pt idx="660">
                  <c:v>1724.036128482817</c:v>
                </c:pt>
                <c:pt idx="661">
                  <c:v>1724.4910910139361</c:v>
                </c:pt>
                <c:pt idx="662">
                  <c:v>1728.31886836132</c:v>
                </c:pt>
                <c:pt idx="663">
                  <c:v>1730.6037593758899</c:v>
                </c:pt>
                <c:pt idx="664">
                  <c:v>1731.0575542136601</c:v>
                </c:pt>
                <c:pt idx="665">
                  <c:v>1731.89668786672</c:v>
                </c:pt>
                <c:pt idx="666">
                  <c:v>1735.3496535762911</c:v>
                </c:pt>
                <c:pt idx="667">
                  <c:v>1738.542613725404</c:v>
                </c:pt>
                <c:pt idx="668">
                  <c:v>1739.042552406557</c:v>
                </c:pt>
                <c:pt idx="669">
                  <c:v>1739.41126677026</c:v>
                </c:pt>
                <c:pt idx="670">
                  <c:v>1740.1202199688919</c:v>
                </c:pt>
                <c:pt idx="671">
                  <c:v>1740.1978225469129</c:v>
                </c:pt>
                <c:pt idx="672">
                  <c:v>1740.6931190923119</c:v>
                </c:pt>
                <c:pt idx="673">
                  <c:v>1743.341826709777</c:v>
                </c:pt>
                <c:pt idx="674">
                  <c:v>1747.4167510256771</c:v>
                </c:pt>
                <c:pt idx="675">
                  <c:v>1756.5009297313511</c:v>
                </c:pt>
                <c:pt idx="676">
                  <c:v>1757.1460356314201</c:v>
                </c:pt>
                <c:pt idx="677">
                  <c:v>1757.4759402874381</c:v>
                </c:pt>
                <c:pt idx="678">
                  <c:v>1757.49801448881</c:v>
                </c:pt>
                <c:pt idx="679">
                  <c:v>1760.879963986006</c:v>
                </c:pt>
                <c:pt idx="680">
                  <c:v>1764.8894990546221</c:v>
                </c:pt>
                <c:pt idx="681">
                  <c:v>1765.4574236719841</c:v>
                </c:pt>
                <c:pt idx="682">
                  <c:v>1766.1288329500001</c:v>
                </c:pt>
                <c:pt idx="683">
                  <c:v>1766.308531766811</c:v>
                </c:pt>
                <c:pt idx="684">
                  <c:v>1767.5750204136341</c:v>
                </c:pt>
                <c:pt idx="685">
                  <c:v>1768.0227997543579</c:v>
                </c:pt>
                <c:pt idx="686">
                  <c:v>1769.169905416443</c:v>
                </c:pt>
                <c:pt idx="687">
                  <c:v>1769.2859127608799</c:v>
                </c:pt>
                <c:pt idx="688">
                  <c:v>1769.376611888177</c:v>
                </c:pt>
                <c:pt idx="689">
                  <c:v>1775.0229586422381</c:v>
                </c:pt>
                <c:pt idx="690">
                  <c:v>1775.466787471365</c:v>
                </c:pt>
                <c:pt idx="691">
                  <c:v>1775.630959521716</c:v>
                </c:pt>
                <c:pt idx="692">
                  <c:v>1778.4591335955099</c:v>
                </c:pt>
                <c:pt idx="693">
                  <c:v>1778.6147139542061</c:v>
                </c:pt>
                <c:pt idx="694">
                  <c:v>1779.3841404562179</c:v>
                </c:pt>
                <c:pt idx="695">
                  <c:v>1781.9962004920601</c:v>
                </c:pt>
                <c:pt idx="696">
                  <c:v>1782.5034532433899</c:v>
                </c:pt>
                <c:pt idx="697">
                  <c:v>1782.70766946047</c:v>
                </c:pt>
                <c:pt idx="698">
                  <c:v>1785.398828952636</c:v>
                </c:pt>
                <c:pt idx="699">
                  <c:v>1789.336326057632</c:v>
                </c:pt>
                <c:pt idx="700">
                  <c:v>1789.8444865246711</c:v>
                </c:pt>
                <c:pt idx="701">
                  <c:v>1791.665959931413</c:v>
                </c:pt>
                <c:pt idx="702">
                  <c:v>1793.260922999104</c:v>
                </c:pt>
                <c:pt idx="703">
                  <c:v>1793.5159288652501</c:v>
                </c:pt>
                <c:pt idx="704">
                  <c:v>1793.9354600795</c:v>
                </c:pt>
                <c:pt idx="705">
                  <c:v>1797.759972382667</c:v>
                </c:pt>
                <c:pt idx="706">
                  <c:v>1799.2597077504099</c:v>
                </c:pt>
                <c:pt idx="707">
                  <c:v>1800.7445999750521</c:v>
                </c:pt>
                <c:pt idx="708">
                  <c:v>1800.7481737418641</c:v>
                </c:pt>
                <c:pt idx="709">
                  <c:v>1801.8884608570279</c:v>
                </c:pt>
                <c:pt idx="710">
                  <c:v>1802.295852198167</c:v>
                </c:pt>
                <c:pt idx="711">
                  <c:v>1804.771523160417</c:v>
                </c:pt>
                <c:pt idx="712">
                  <c:v>1804.9701262979031</c:v>
                </c:pt>
                <c:pt idx="713">
                  <c:v>1808.405715082426</c:v>
                </c:pt>
                <c:pt idx="714">
                  <c:v>1810.0553719886429</c:v>
                </c:pt>
                <c:pt idx="715">
                  <c:v>1811.46103871129</c:v>
                </c:pt>
                <c:pt idx="716">
                  <c:v>1812.401314961422</c:v>
                </c:pt>
                <c:pt idx="717">
                  <c:v>1812.431078487155</c:v>
                </c:pt>
                <c:pt idx="718">
                  <c:v>1813.7127492540931</c:v>
                </c:pt>
                <c:pt idx="719">
                  <c:v>1814.1636967395209</c:v>
                </c:pt>
                <c:pt idx="720">
                  <c:v>1817.659041058115</c:v>
                </c:pt>
                <c:pt idx="721">
                  <c:v>1822.234281721072</c:v>
                </c:pt>
                <c:pt idx="722">
                  <c:v>1822.396513638103</c:v>
                </c:pt>
                <c:pt idx="723">
                  <c:v>1823.093544946536</c:v>
                </c:pt>
                <c:pt idx="724">
                  <c:v>1826.5099677099879</c:v>
                </c:pt>
                <c:pt idx="725">
                  <c:v>1827.588146110809</c:v>
                </c:pt>
                <c:pt idx="726">
                  <c:v>1830.934511249392</c:v>
                </c:pt>
                <c:pt idx="727">
                  <c:v>1831.6604727127849</c:v>
                </c:pt>
                <c:pt idx="728">
                  <c:v>1835.300480812683</c:v>
                </c:pt>
                <c:pt idx="729">
                  <c:v>1835.440535693903</c:v>
                </c:pt>
                <c:pt idx="730">
                  <c:v>1835.892792750504</c:v>
                </c:pt>
                <c:pt idx="731">
                  <c:v>1835.9017467569399</c:v>
                </c:pt>
                <c:pt idx="732">
                  <c:v>1836.6623152701429</c:v>
                </c:pt>
                <c:pt idx="733">
                  <c:v>1838.1938682000921</c:v>
                </c:pt>
                <c:pt idx="734">
                  <c:v>1838.418965116007</c:v>
                </c:pt>
                <c:pt idx="735">
                  <c:v>1838.991996289526</c:v>
                </c:pt>
                <c:pt idx="736">
                  <c:v>1839.671953629273</c:v>
                </c:pt>
                <c:pt idx="737">
                  <c:v>1841.731836598924</c:v>
                </c:pt>
                <c:pt idx="738">
                  <c:v>1844.990035554622</c:v>
                </c:pt>
                <c:pt idx="739">
                  <c:v>1848.057276499841</c:v>
                </c:pt>
                <c:pt idx="740">
                  <c:v>1848.682075475388</c:v>
                </c:pt>
                <c:pt idx="741">
                  <c:v>1849.1872058209019</c:v>
                </c:pt>
                <c:pt idx="742">
                  <c:v>1849.7921410346221</c:v>
                </c:pt>
                <c:pt idx="743">
                  <c:v>1850.152014168033</c:v>
                </c:pt>
                <c:pt idx="744">
                  <c:v>1852.177789538478</c:v>
                </c:pt>
                <c:pt idx="745">
                  <c:v>1854.314348936912</c:v>
                </c:pt>
                <c:pt idx="746">
                  <c:v>1856.5292759680599</c:v>
                </c:pt>
                <c:pt idx="747">
                  <c:v>1859.5402077329329</c:v>
                </c:pt>
                <c:pt idx="748">
                  <c:v>1860.2829675827061</c:v>
                </c:pt>
                <c:pt idx="749">
                  <c:v>1860.793437197817</c:v>
                </c:pt>
                <c:pt idx="750">
                  <c:v>1864.276063147365</c:v>
                </c:pt>
                <c:pt idx="751">
                  <c:v>1865.200870178541</c:v>
                </c:pt>
                <c:pt idx="752">
                  <c:v>1870.970476108484</c:v>
                </c:pt>
                <c:pt idx="753">
                  <c:v>1871.8298319932201</c:v>
                </c:pt>
                <c:pt idx="754">
                  <c:v>1874.2403163700551</c:v>
                </c:pt>
                <c:pt idx="755">
                  <c:v>1874.733066703538</c:v>
                </c:pt>
                <c:pt idx="756">
                  <c:v>1876.535254976272</c:v>
                </c:pt>
                <c:pt idx="757">
                  <c:v>1877.21639499501</c:v>
                </c:pt>
                <c:pt idx="758">
                  <c:v>1878.8066871850449</c:v>
                </c:pt>
                <c:pt idx="759">
                  <c:v>1879.682645303001</c:v>
                </c:pt>
                <c:pt idx="760">
                  <c:v>1880.1764982600459</c:v>
                </c:pt>
                <c:pt idx="761">
                  <c:v>1880.26682982739</c:v>
                </c:pt>
                <c:pt idx="762">
                  <c:v>1880.650101355842</c:v>
                </c:pt>
                <c:pt idx="763">
                  <c:v>1880.70589076497</c:v>
                </c:pt>
                <c:pt idx="764">
                  <c:v>1880.8581314607211</c:v>
                </c:pt>
                <c:pt idx="765">
                  <c:v>1881.3223908211301</c:v>
                </c:pt>
                <c:pt idx="766">
                  <c:v>1881.6857356630139</c:v>
                </c:pt>
                <c:pt idx="767">
                  <c:v>1883.39385197242</c:v>
                </c:pt>
                <c:pt idx="768">
                  <c:v>1883.706598949575</c:v>
                </c:pt>
                <c:pt idx="769">
                  <c:v>1884.0152753936611</c:v>
                </c:pt>
                <c:pt idx="770">
                  <c:v>1889.624541954438</c:v>
                </c:pt>
                <c:pt idx="771">
                  <c:v>1890.927304726426</c:v>
                </c:pt>
                <c:pt idx="772">
                  <c:v>1891.971224324323</c:v>
                </c:pt>
                <c:pt idx="773">
                  <c:v>1893.652243889999</c:v>
                </c:pt>
                <c:pt idx="774">
                  <c:v>1893.7936996655631</c:v>
                </c:pt>
                <c:pt idx="775">
                  <c:v>1893.984170672657</c:v>
                </c:pt>
                <c:pt idx="776">
                  <c:v>1894.447029679041</c:v>
                </c:pt>
                <c:pt idx="777">
                  <c:v>1895.9592645112309</c:v>
                </c:pt>
                <c:pt idx="778">
                  <c:v>1896.0510585218899</c:v>
                </c:pt>
                <c:pt idx="779">
                  <c:v>1897.1255504994849</c:v>
                </c:pt>
                <c:pt idx="780">
                  <c:v>1901.9379693211711</c:v>
                </c:pt>
                <c:pt idx="781">
                  <c:v>1902.1028527532139</c:v>
                </c:pt>
                <c:pt idx="782">
                  <c:v>1902.1878904252551</c:v>
                </c:pt>
                <c:pt idx="783">
                  <c:v>1906.797444065287</c:v>
                </c:pt>
                <c:pt idx="784">
                  <c:v>1908.6015684442571</c:v>
                </c:pt>
                <c:pt idx="785">
                  <c:v>1915.48991018162</c:v>
                </c:pt>
                <c:pt idx="786">
                  <c:v>1916.1823278595621</c:v>
                </c:pt>
                <c:pt idx="787">
                  <c:v>1916.7278859370831</c:v>
                </c:pt>
                <c:pt idx="788">
                  <c:v>1918.3225669097301</c:v>
                </c:pt>
                <c:pt idx="789">
                  <c:v>1921.301895029206</c:v>
                </c:pt>
                <c:pt idx="790">
                  <c:v>1922.135426636298</c:v>
                </c:pt>
                <c:pt idx="791">
                  <c:v>1922.231355982588</c:v>
                </c:pt>
                <c:pt idx="792">
                  <c:v>1924.9851517633299</c:v>
                </c:pt>
                <c:pt idx="793">
                  <c:v>1925.092589160992</c:v>
                </c:pt>
                <c:pt idx="794">
                  <c:v>1927.2172565333319</c:v>
                </c:pt>
                <c:pt idx="795">
                  <c:v>1927.3837396286201</c:v>
                </c:pt>
                <c:pt idx="796">
                  <c:v>1928.177522538431</c:v>
                </c:pt>
                <c:pt idx="797">
                  <c:v>1930.446683437315</c:v>
                </c:pt>
                <c:pt idx="798">
                  <c:v>1932.9121814437119</c:v>
                </c:pt>
                <c:pt idx="799">
                  <c:v>1933.6960842185681</c:v>
                </c:pt>
                <c:pt idx="800">
                  <c:v>1935.7906267064579</c:v>
                </c:pt>
                <c:pt idx="801">
                  <c:v>1937.486843700593</c:v>
                </c:pt>
                <c:pt idx="802">
                  <c:v>1938.0240590286401</c:v>
                </c:pt>
                <c:pt idx="803">
                  <c:v>1939.2204595152909</c:v>
                </c:pt>
                <c:pt idx="804">
                  <c:v>1942.156711729604</c:v>
                </c:pt>
                <c:pt idx="805">
                  <c:v>1942.784789465584</c:v>
                </c:pt>
                <c:pt idx="806">
                  <c:v>1946.634874374543</c:v>
                </c:pt>
                <c:pt idx="807">
                  <c:v>1946.807857139642</c:v>
                </c:pt>
                <c:pt idx="808">
                  <c:v>1946.941867408136</c:v>
                </c:pt>
                <c:pt idx="809">
                  <c:v>1952.7893073237481</c:v>
                </c:pt>
                <c:pt idx="810">
                  <c:v>1953.577535782948</c:v>
                </c:pt>
                <c:pt idx="811">
                  <c:v>1954.3443269642471</c:v>
                </c:pt>
                <c:pt idx="812">
                  <c:v>1956.5557217857361</c:v>
                </c:pt>
                <c:pt idx="813">
                  <c:v>1961.710615934787</c:v>
                </c:pt>
                <c:pt idx="814">
                  <c:v>1963.7431896937139</c:v>
                </c:pt>
                <c:pt idx="815">
                  <c:v>1967.0143806536951</c:v>
                </c:pt>
                <c:pt idx="816">
                  <c:v>1967.8677383673639</c:v>
                </c:pt>
                <c:pt idx="817">
                  <c:v>1967.9825147758099</c:v>
                </c:pt>
                <c:pt idx="818">
                  <c:v>1969.87886554441</c:v>
                </c:pt>
                <c:pt idx="819">
                  <c:v>1975.0184640476839</c:v>
                </c:pt>
                <c:pt idx="820">
                  <c:v>1977.1532256169751</c:v>
                </c:pt>
                <c:pt idx="821">
                  <c:v>1977.555012660142</c:v>
                </c:pt>
                <c:pt idx="822">
                  <c:v>1978.65128413192</c:v>
                </c:pt>
                <c:pt idx="823">
                  <c:v>1978.8758462582571</c:v>
                </c:pt>
                <c:pt idx="824">
                  <c:v>1981.14970056415</c:v>
                </c:pt>
                <c:pt idx="825">
                  <c:v>1981.296090228305</c:v>
                </c:pt>
                <c:pt idx="826">
                  <c:v>1981.589192936942</c:v>
                </c:pt>
                <c:pt idx="827">
                  <c:v>1981.775702014877</c:v>
                </c:pt>
                <c:pt idx="828">
                  <c:v>1982.648130689063</c:v>
                </c:pt>
                <c:pt idx="829">
                  <c:v>1985.357693213637</c:v>
                </c:pt>
                <c:pt idx="830">
                  <c:v>1992.6644400104151</c:v>
                </c:pt>
                <c:pt idx="831">
                  <c:v>1994.319721852386</c:v>
                </c:pt>
                <c:pt idx="832">
                  <c:v>1994.6150526527611</c:v>
                </c:pt>
                <c:pt idx="833">
                  <c:v>2003.3158341690939</c:v>
                </c:pt>
                <c:pt idx="834">
                  <c:v>2005.4198469728769</c:v>
                </c:pt>
                <c:pt idx="835">
                  <c:v>2006.5421218192851</c:v>
                </c:pt>
                <c:pt idx="836">
                  <c:v>2008.7987768290971</c:v>
                </c:pt>
                <c:pt idx="837">
                  <c:v>2009.8646186805679</c:v>
                </c:pt>
                <c:pt idx="838">
                  <c:v>2010.1595906853599</c:v>
                </c:pt>
                <c:pt idx="839">
                  <c:v>2011.43660947794</c:v>
                </c:pt>
                <c:pt idx="840">
                  <c:v>2011.574097453966</c:v>
                </c:pt>
                <c:pt idx="841">
                  <c:v>2016.1214999350309</c:v>
                </c:pt>
                <c:pt idx="842">
                  <c:v>2016.6469023506741</c:v>
                </c:pt>
                <c:pt idx="843">
                  <c:v>2017.132424808304</c:v>
                </c:pt>
                <c:pt idx="844">
                  <c:v>2022.346955987641</c:v>
                </c:pt>
                <c:pt idx="845">
                  <c:v>2032.1212592441209</c:v>
                </c:pt>
                <c:pt idx="846">
                  <c:v>2033.441489226743</c:v>
                </c:pt>
                <c:pt idx="847">
                  <c:v>2035.8606745700999</c:v>
                </c:pt>
                <c:pt idx="848">
                  <c:v>2037.92965810445</c:v>
                </c:pt>
                <c:pt idx="849">
                  <c:v>2040.841348833706</c:v>
                </c:pt>
                <c:pt idx="850">
                  <c:v>2043.5469267698149</c:v>
                </c:pt>
                <c:pt idx="851">
                  <c:v>2048.6459128513761</c:v>
                </c:pt>
                <c:pt idx="852">
                  <c:v>2058.5201574503408</c:v>
                </c:pt>
                <c:pt idx="853">
                  <c:v>2061.3217990942921</c:v>
                </c:pt>
                <c:pt idx="854">
                  <c:v>2062.4249505560879</c:v>
                </c:pt>
                <c:pt idx="855">
                  <c:v>2064.7252459015158</c:v>
                </c:pt>
                <c:pt idx="856">
                  <c:v>2064.8938578848379</c:v>
                </c:pt>
                <c:pt idx="857">
                  <c:v>2065.6601464081741</c:v>
                </c:pt>
                <c:pt idx="858">
                  <c:v>2069.7234382949568</c:v>
                </c:pt>
                <c:pt idx="859">
                  <c:v>2072.7423859019341</c:v>
                </c:pt>
                <c:pt idx="860">
                  <c:v>2075.1040741450029</c:v>
                </c:pt>
                <c:pt idx="861">
                  <c:v>2078.933584649692</c:v>
                </c:pt>
                <c:pt idx="862">
                  <c:v>2080.6926509333161</c:v>
                </c:pt>
                <c:pt idx="863">
                  <c:v>2081.0470558196971</c:v>
                </c:pt>
                <c:pt idx="864">
                  <c:v>2082.7413683876548</c:v>
                </c:pt>
                <c:pt idx="865">
                  <c:v>2083.2019866449259</c:v>
                </c:pt>
                <c:pt idx="866">
                  <c:v>2085.0667401365599</c:v>
                </c:pt>
                <c:pt idx="867">
                  <c:v>2085.5658389700102</c:v>
                </c:pt>
                <c:pt idx="868">
                  <c:v>2088.94298100792</c:v>
                </c:pt>
                <c:pt idx="869">
                  <c:v>2096.4152216819998</c:v>
                </c:pt>
                <c:pt idx="870">
                  <c:v>2097.86654139649</c:v>
                </c:pt>
                <c:pt idx="871">
                  <c:v>2100.545047161203</c:v>
                </c:pt>
                <c:pt idx="872">
                  <c:v>2103.757533276947</c:v>
                </c:pt>
                <c:pt idx="873">
                  <c:v>2106.9693184798539</c:v>
                </c:pt>
                <c:pt idx="874">
                  <c:v>2115.765314499934</c:v>
                </c:pt>
                <c:pt idx="875">
                  <c:v>2116.1763117531259</c:v>
                </c:pt>
                <c:pt idx="876">
                  <c:v>2116.7592104257851</c:v>
                </c:pt>
                <c:pt idx="877">
                  <c:v>2117.3214320638958</c:v>
                </c:pt>
                <c:pt idx="878">
                  <c:v>2122.390945118696</c:v>
                </c:pt>
                <c:pt idx="879">
                  <c:v>2126.9695329793049</c:v>
                </c:pt>
                <c:pt idx="880">
                  <c:v>2130.290879358939</c:v>
                </c:pt>
                <c:pt idx="881">
                  <c:v>2131.5694862914211</c:v>
                </c:pt>
                <c:pt idx="882">
                  <c:v>2135.6053937955958</c:v>
                </c:pt>
                <c:pt idx="883">
                  <c:v>2139.0028375174352</c:v>
                </c:pt>
                <c:pt idx="884">
                  <c:v>2140.5082176034198</c:v>
                </c:pt>
                <c:pt idx="885">
                  <c:v>2145.1744104246181</c:v>
                </c:pt>
                <c:pt idx="886">
                  <c:v>2146.3467195877911</c:v>
                </c:pt>
                <c:pt idx="887">
                  <c:v>2162.9858443057101</c:v>
                </c:pt>
                <c:pt idx="888">
                  <c:v>2163.5386023830802</c:v>
                </c:pt>
                <c:pt idx="889">
                  <c:v>2163.9416043596561</c:v>
                </c:pt>
                <c:pt idx="890">
                  <c:v>2168.566124718619</c:v>
                </c:pt>
                <c:pt idx="891">
                  <c:v>2171.543616589111</c:v>
                </c:pt>
                <c:pt idx="892">
                  <c:v>2179.719807624972</c:v>
                </c:pt>
                <c:pt idx="893">
                  <c:v>2184.28636139127</c:v>
                </c:pt>
                <c:pt idx="894">
                  <c:v>2186.6377908527352</c:v>
                </c:pt>
                <c:pt idx="895">
                  <c:v>2188.5901428240409</c:v>
                </c:pt>
                <c:pt idx="896">
                  <c:v>2194.0457042496841</c:v>
                </c:pt>
                <c:pt idx="897">
                  <c:v>2208.10692952207</c:v>
                </c:pt>
                <c:pt idx="898">
                  <c:v>2216.086807933385</c:v>
                </c:pt>
                <c:pt idx="899">
                  <c:v>2219.7480823451351</c:v>
                </c:pt>
                <c:pt idx="900">
                  <c:v>2227.9048091875902</c:v>
                </c:pt>
                <c:pt idx="901">
                  <c:v>2228.1933060214478</c:v>
                </c:pt>
                <c:pt idx="902">
                  <c:v>2228.7241349584042</c:v>
                </c:pt>
                <c:pt idx="903">
                  <c:v>2236.272855078053</c:v>
                </c:pt>
                <c:pt idx="904">
                  <c:v>2242.855661174282</c:v>
                </c:pt>
                <c:pt idx="905">
                  <c:v>2245.8700374189798</c:v>
                </c:pt>
                <c:pt idx="906">
                  <c:v>2246.6709054083558</c:v>
                </c:pt>
                <c:pt idx="907">
                  <c:v>2247.5506797901739</c:v>
                </c:pt>
                <c:pt idx="908">
                  <c:v>2248.3110587905931</c:v>
                </c:pt>
                <c:pt idx="909">
                  <c:v>2249.978608548789</c:v>
                </c:pt>
                <c:pt idx="910">
                  <c:v>2251.3791910158161</c:v>
                </c:pt>
                <c:pt idx="911">
                  <c:v>2252.9937061952478</c:v>
                </c:pt>
                <c:pt idx="912">
                  <c:v>2267.6939070669559</c:v>
                </c:pt>
                <c:pt idx="913">
                  <c:v>2268.3400370040158</c:v>
                </c:pt>
                <c:pt idx="914">
                  <c:v>2268.6968198009572</c:v>
                </c:pt>
                <c:pt idx="915">
                  <c:v>2268.8809911679641</c:v>
                </c:pt>
                <c:pt idx="916">
                  <c:v>2269.2747859854999</c:v>
                </c:pt>
                <c:pt idx="917">
                  <c:v>2269.2879002879158</c:v>
                </c:pt>
                <c:pt idx="918">
                  <c:v>2273.51933084558</c:v>
                </c:pt>
                <c:pt idx="919">
                  <c:v>2276.4718929247961</c:v>
                </c:pt>
                <c:pt idx="920">
                  <c:v>2277.5279144353071</c:v>
                </c:pt>
                <c:pt idx="921">
                  <c:v>2282.708126493334</c:v>
                </c:pt>
                <c:pt idx="922">
                  <c:v>2284.1119263906921</c:v>
                </c:pt>
                <c:pt idx="923">
                  <c:v>2294.6881450958481</c:v>
                </c:pt>
                <c:pt idx="924">
                  <c:v>2295.9275447680679</c:v>
                </c:pt>
                <c:pt idx="925">
                  <c:v>2312.0255169909601</c:v>
                </c:pt>
                <c:pt idx="926">
                  <c:v>2313.760957998461</c:v>
                </c:pt>
                <c:pt idx="927">
                  <c:v>2314.26997972253</c:v>
                </c:pt>
                <c:pt idx="928">
                  <c:v>2319.3349904506581</c:v>
                </c:pt>
                <c:pt idx="929">
                  <c:v>2320.2775842588421</c:v>
                </c:pt>
                <c:pt idx="930">
                  <c:v>2328.1450698394901</c:v>
                </c:pt>
                <c:pt idx="931">
                  <c:v>2333.064227515049</c:v>
                </c:pt>
                <c:pt idx="932">
                  <c:v>2336.112363625472</c:v>
                </c:pt>
                <c:pt idx="933">
                  <c:v>2336.4966105290268</c:v>
                </c:pt>
                <c:pt idx="934">
                  <c:v>2336.8027023287109</c:v>
                </c:pt>
                <c:pt idx="935">
                  <c:v>2339.5695176689578</c:v>
                </c:pt>
                <c:pt idx="936">
                  <c:v>2351.408377518484</c:v>
                </c:pt>
                <c:pt idx="937">
                  <c:v>2354.2446429594661</c:v>
                </c:pt>
                <c:pt idx="938">
                  <c:v>2355.008599227644</c:v>
                </c:pt>
                <c:pt idx="939">
                  <c:v>2361.8517235964209</c:v>
                </c:pt>
                <c:pt idx="940">
                  <c:v>2374.070333483784</c:v>
                </c:pt>
                <c:pt idx="941">
                  <c:v>2382.206119794665</c:v>
                </c:pt>
                <c:pt idx="942">
                  <c:v>2384.428643631074</c:v>
                </c:pt>
                <c:pt idx="943">
                  <c:v>2395.669678563153</c:v>
                </c:pt>
                <c:pt idx="944">
                  <c:v>2400.4647467662571</c:v>
                </c:pt>
                <c:pt idx="945">
                  <c:v>2432.5306082649399</c:v>
                </c:pt>
                <c:pt idx="946">
                  <c:v>2434.649441741064</c:v>
                </c:pt>
                <c:pt idx="947">
                  <c:v>2440.0551152269072</c:v>
                </c:pt>
                <c:pt idx="948">
                  <c:v>2460.905275479658</c:v>
                </c:pt>
                <c:pt idx="949">
                  <c:v>2469.7557594558461</c:v>
                </c:pt>
                <c:pt idx="950">
                  <c:v>2474.6847143594332</c:v>
                </c:pt>
                <c:pt idx="951">
                  <c:v>2475.1520819396742</c:v>
                </c:pt>
                <c:pt idx="952">
                  <c:v>2507.4110506190541</c:v>
                </c:pt>
                <c:pt idx="953">
                  <c:v>2518.4326524869798</c:v>
                </c:pt>
                <c:pt idx="954">
                  <c:v>2518.8821031596981</c:v>
                </c:pt>
                <c:pt idx="955">
                  <c:v>2539.641669063149</c:v>
                </c:pt>
                <c:pt idx="956">
                  <c:v>2560.286653425881</c:v>
                </c:pt>
                <c:pt idx="957">
                  <c:v>2561.1234794449479</c:v>
                </c:pt>
                <c:pt idx="958">
                  <c:v>2561.336653305058</c:v>
                </c:pt>
                <c:pt idx="959">
                  <c:v>2564.1084650682028</c:v>
                </c:pt>
                <c:pt idx="960">
                  <c:v>2571.9323227711729</c:v>
                </c:pt>
                <c:pt idx="961">
                  <c:v>2575.1953247354631</c:v>
                </c:pt>
                <c:pt idx="962">
                  <c:v>2586.6192263706498</c:v>
                </c:pt>
                <c:pt idx="963">
                  <c:v>2592.2416793347852</c:v>
                </c:pt>
                <c:pt idx="964">
                  <c:v>2594.149398968711</c:v>
                </c:pt>
                <c:pt idx="965">
                  <c:v>2596.4070737811981</c:v>
                </c:pt>
                <c:pt idx="966">
                  <c:v>2597.8786519590199</c:v>
                </c:pt>
                <c:pt idx="967">
                  <c:v>2607.4931486509458</c:v>
                </c:pt>
                <c:pt idx="968">
                  <c:v>2621.7727881625042</c:v>
                </c:pt>
                <c:pt idx="969">
                  <c:v>2628.6987493757561</c:v>
                </c:pt>
                <c:pt idx="970">
                  <c:v>2659.284979511528</c:v>
                </c:pt>
                <c:pt idx="971">
                  <c:v>2667.1123002796398</c:v>
                </c:pt>
                <c:pt idx="972">
                  <c:v>2723.656378184186</c:v>
                </c:pt>
                <c:pt idx="973">
                  <c:v>2792.5665904213588</c:v>
                </c:pt>
                <c:pt idx="974">
                  <c:v>2830.5329919593019</c:v>
                </c:pt>
                <c:pt idx="975">
                  <c:v>2833.4958925923552</c:v>
                </c:pt>
                <c:pt idx="976">
                  <c:v>2858.0493935894501</c:v>
                </c:pt>
                <c:pt idx="977">
                  <c:v>2878.2015075221229</c:v>
                </c:pt>
                <c:pt idx="978">
                  <c:v>2951.7453200997738</c:v>
                </c:pt>
                <c:pt idx="979">
                  <c:v>2956.318773122166</c:v>
                </c:pt>
                <c:pt idx="980">
                  <c:v>2963.150081351796</c:v>
                </c:pt>
                <c:pt idx="981">
                  <c:v>2981.6180836583171</c:v>
                </c:pt>
                <c:pt idx="982">
                  <c:v>2998.615425640498</c:v>
                </c:pt>
                <c:pt idx="983">
                  <c:v>3011.6210791842109</c:v>
                </c:pt>
                <c:pt idx="984">
                  <c:v>3047.307168736957</c:v>
                </c:pt>
                <c:pt idx="985">
                  <c:v>3048.2012854754821</c:v>
                </c:pt>
                <c:pt idx="986">
                  <c:v>3146.4159376747298</c:v>
                </c:pt>
                <c:pt idx="987">
                  <c:v>3163.8576701239699</c:v>
                </c:pt>
                <c:pt idx="988">
                  <c:v>3202.3635826315221</c:v>
                </c:pt>
                <c:pt idx="989">
                  <c:v>3204.9830124060231</c:v>
                </c:pt>
                <c:pt idx="990">
                  <c:v>3251.1314752747398</c:v>
                </c:pt>
                <c:pt idx="991">
                  <c:v>3311.2524121033748</c:v>
                </c:pt>
                <c:pt idx="992">
                  <c:v>3312.6563198105082</c:v>
                </c:pt>
                <c:pt idx="993">
                  <c:v>3420.5703248724531</c:v>
                </c:pt>
                <c:pt idx="994">
                  <c:v>3424.2013608514271</c:v>
                </c:pt>
                <c:pt idx="995">
                  <c:v>3433.1485623164908</c:v>
                </c:pt>
                <c:pt idx="996">
                  <c:v>3480.709733907177</c:v>
                </c:pt>
                <c:pt idx="997">
                  <c:v>3628.926386708265</c:v>
                </c:pt>
                <c:pt idx="998">
                  <c:v>5453.7678152556109</c:v>
                </c:pt>
                <c:pt idx="999">
                  <c:v>5481.9607132720612</c:v>
                </c:pt>
              </c:numCache>
            </c:numRef>
          </c:xVal>
          <c:yVal>
            <c:numRef>
              <c:f>Foglio2!$C$4:$C$1003</c:f>
              <c:numCache>
                <c:formatCode>General</c:formatCode>
                <c:ptCount val="1000"/>
                <c:pt idx="0">
                  <c:v>1E-3</c:v>
                </c:pt>
                <c:pt idx="1">
                  <c:v>2E-3</c:v>
                </c:pt>
                <c:pt idx="2">
                  <c:v>3.0000000000000001E-3</c:v>
                </c:pt>
                <c:pt idx="3">
                  <c:v>4.0000000000000001E-3</c:v>
                </c:pt>
                <c:pt idx="4">
                  <c:v>5.0000000000000001E-3</c:v>
                </c:pt>
                <c:pt idx="5">
                  <c:v>6.0000000000000001E-3</c:v>
                </c:pt>
                <c:pt idx="6">
                  <c:v>7.0000000000000001E-3</c:v>
                </c:pt>
                <c:pt idx="7">
                  <c:v>8.0000000000000002E-3</c:v>
                </c:pt>
                <c:pt idx="8">
                  <c:v>8.9999999999999993E-3</c:v>
                </c:pt>
                <c:pt idx="9">
                  <c:v>0.01</c:v>
                </c:pt>
                <c:pt idx="10">
                  <c:v>1.0999999999999999E-2</c:v>
                </c:pt>
                <c:pt idx="11">
                  <c:v>1.2E-2</c:v>
                </c:pt>
                <c:pt idx="12">
                  <c:v>1.2999999999999999E-2</c:v>
                </c:pt>
                <c:pt idx="13">
                  <c:v>1.4E-2</c:v>
                </c:pt>
                <c:pt idx="14">
                  <c:v>1.4999999999999999E-2</c:v>
                </c:pt>
                <c:pt idx="15">
                  <c:v>1.6E-2</c:v>
                </c:pt>
                <c:pt idx="16">
                  <c:v>1.7000000000000001E-2</c:v>
                </c:pt>
                <c:pt idx="17">
                  <c:v>1.7999999999999999E-2</c:v>
                </c:pt>
                <c:pt idx="18">
                  <c:v>1.9E-2</c:v>
                </c:pt>
                <c:pt idx="19">
                  <c:v>0.02</c:v>
                </c:pt>
                <c:pt idx="20">
                  <c:v>2.1000000000000001E-2</c:v>
                </c:pt>
                <c:pt idx="21">
                  <c:v>2.1999999999999999E-2</c:v>
                </c:pt>
                <c:pt idx="22">
                  <c:v>2.3E-2</c:v>
                </c:pt>
                <c:pt idx="23">
                  <c:v>2.4E-2</c:v>
                </c:pt>
                <c:pt idx="24">
                  <c:v>2.5000000000000001E-2</c:v>
                </c:pt>
                <c:pt idx="25">
                  <c:v>2.5999999999999999E-2</c:v>
                </c:pt>
                <c:pt idx="26">
                  <c:v>2.7E-2</c:v>
                </c:pt>
                <c:pt idx="27">
                  <c:v>2.8000000000000001E-2</c:v>
                </c:pt>
                <c:pt idx="28">
                  <c:v>2.9000000000000001E-2</c:v>
                </c:pt>
                <c:pt idx="29">
                  <c:v>0.03</c:v>
                </c:pt>
                <c:pt idx="30">
                  <c:v>3.1E-2</c:v>
                </c:pt>
                <c:pt idx="31">
                  <c:v>3.2000000000000001E-2</c:v>
                </c:pt>
                <c:pt idx="32">
                  <c:v>3.3000000000000002E-2</c:v>
                </c:pt>
                <c:pt idx="33">
                  <c:v>3.4000000000000002E-2</c:v>
                </c:pt>
                <c:pt idx="34">
                  <c:v>3.5000000000000003E-2</c:v>
                </c:pt>
                <c:pt idx="35">
                  <c:v>3.5999999999999997E-2</c:v>
                </c:pt>
                <c:pt idx="36">
                  <c:v>3.6999999999999998E-2</c:v>
                </c:pt>
                <c:pt idx="37">
                  <c:v>3.7999999999999999E-2</c:v>
                </c:pt>
                <c:pt idx="38">
                  <c:v>3.9E-2</c:v>
                </c:pt>
                <c:pt idx="39">
                  <c:v>0.04</c:v>
                </c:pt>
                <c:pt idx="40">
                  <c:v>4.1000000000000002E-2</c:v>
                </c:pt>
                <c:pt idx="41">
                  <c:v>4.2000000000000003E-2</c:v>
                </c:pt>
                <c:pt idx="42">
                  <c:v>4.2999999999999997E-2</c:v>
                </c:pt>
                <c:pt idx="43">
                  <c:v>4.3999999999999997E-2</c:v>
                </c:pt>
                <c:pt idx="44">
                  <c:v>4.4999999999999998E-2</c:v>
                </c:pt>
                <c:pt idx="45">
                  <c:v>4.5999999999999999E-2</c:v>
                </c:pt>
                <c:pt idx="46">
                  <c:v>4.7E-2</c:v>
                </c:pt>
                <c:pt idx="47">
                  <c:v>4.8000000000000001E-2</c:v>
                </c:pt>
                <c:pt idx="48">
                  <c:v>4.9000000000000002E-2</c:v>
                </c:pt>
                <c:pt idx="49">
                  <c:v>0.05</c:v>
                </c:pt>
                <c:pt idx="50">
                  <c:v>5.0999999999999997E-2</c:v>
                </c:pt>
                <c:pt idx="51">
                  <c:v>5.1999999999999998E-2</c:v>
                </c:pt>
                <c:pt idx="52">
                  <c:v>5.2999999999999999E-2</c:v>
                </c:pt>
                <c:pt idx="53">
                  <c:v>5.3999999999999999E-2</c:v>
                </c:pt>
                <c:pt idx="54">
                  <c:v>5.5E-2</c:v>
                </c:pt>
                <c:pt idx="55">
                  <c:v>5.6000000000000001E-2</c:v>
                </c:pt>
                <c:pt idx="56">
                  <c:v>5.7000000000000002E-2</c:v>
                </c:pt>
                <c:pt idx="57">
                  <c:v>5.8000000000000003E-2</c:v>
                </c:pt>
                <c:pt idx="58">
                  <c:v>5.8999999999999997E-2</c:v>
                </c:pt>
                <c:pt idx="59">
                  <c:v>0.06</c:v>
                </c:pt>
                <c:pt idx="60">
                  <c:v>6.0999999999999999E-2</c:v>
                </c:pt>
                <c:pt idx="61">
                  <c:v>6.2E-2</c:v>
                </c:pt>
                <c:pt idx="62">
                  <c:v>6.3E-2</c:v>
                </c:pt>
                <c:pt idx="63">
                  <c:v>6.4000000000000001E-2</c:v>
                </c:pt>
                <c:pt idx="64">
                  <c:v>6.5000000000000002E-2</c:v>
                </c:pt>
                <c:pt idx="65">
                  <c:v>6.6000000000000003E-2</c:v>
                </c:pt>
                <c:pt idx="66">
                  <c:v>6.7000000000000004E-2</c:v>
                </c:pt>
                <c:pt idx="67">
                  <c:v>6.8000000000000005E-2</c:v>
                </c:pt>
                <c:pt idx="68">
                  <c:v>6.9000000000000006E-2</c:v>
                </c:pt>
                <c:pt idx="69">
                  <c:v>7.0000000000000007E-2</c:v>
                </c:pt>
                <c:pt idx="70">
                  <c:v>7.0999999999999994E-2</c:v>
                </c:pt>
                <c:pt idx="71">
                  <c:v>7.1999999999999995E-2</c:v>
                </c:pt>
                <c:pt idx="72">
                  <c:v>7.2999999999999995E-2</c:v>
                </c:pt>
                <c:pt idx="73">
                  <c:v>7.3999999999999996E-2</c:v>
                </c:pt>
                <c:pt idx="74">
                  <c:v>7.4999999999999997E-2</c:v>
                </c:pt>
                <c:pt idx="75">
                  <c:v>7.5999999999999998E-2</c:v>
                </c:pt>
                <c:pt idx="76">
                  <c:v>7.6999999999999999E-2</c:v>
                </c:pt>
                <c:pt idx="77">
                  <c:v>7.8E-2</c:v>
                </c:pt>
                <c:pt idx="78">
                  <c:v>7.9000000000000001E-2</c:v>
                </c:pt>
                <c:pt idx="79">
                  <c:v>0.08</c:v>
                </c:pt>
                <c:pt idx="80">
                  <c:v>8.1000000000000003E-2</c:v>
                </c:pt>
                <c:pt idx="81">
                  <c:v>8.2000000000000003E-2</c:v>
                </c:pt>
                <c:pt idx="82">
                  <c:v>8.3000000000000004E-2</c:v>
                </c:pt>
                <c:pt idx="83">
                  <c:v>8.4000000000000005E-2</c:v>
                </c:pt>
                <c:pt idx="84">
                  <c:v>8.5000000000000006E-2</c:v>
                </c:pt>
                <c:pt idx="85">
                  <c:v>8.5999999999999993E-2</c:v>
                </c:pt>
                <c:pt idx="86">
                  <c:v>8.6999999999999994E-2</c:v>
                </c:pt>
                <c:pt idx="87">
                  <c:v>8.7999999999999995E-2</c:v>
                </c:pt>
                <c:pt idx="88">
                  <c:v>8.8999999999999996E-2</c:v>
                </c:pt>
                <c:pt idx="89">
                  <c:v>0.09</c:v>
                </c:pt>
                <c:pt idx="90">
                  <c:v>9.0999999999999998E-2</c:v>
                </c:pt>
                <c:pt idx="91">
                  <c:v>9.1999999999999998E-2</c:v>
                </c:pt>
                <c:pt idx="92">
                  <c:v>9.2999999999999999E-2</c:v>
                </c:pt>
                <c:pt idx="93">
                  <c:v>9.4E-2</c:v>
                </c:pt>
                <c:pt idx="94">
                  <c:v>9.5000000000000001E-2</c:v>
                </c:pt>
                <c:pt idx="95">
                  <c:v>9.6000000000000002E-2</c:v>
                </c:pt>
                <c:pt idx="96">
                  <c:v>9.7000000000000003E-2</c:v>
                </c:pt>
                <c:pt idx="97">
                  <c:v>9.8000000000000004E-2</c:v>
                </c:pt>
                <c:pt idx="98">
                  <c:v>9.9000000000000005E-2</c:v>
                </c:pt>
                <c:pt idx="99">
                  <c:v>0.1</c:v>
                </c:pt>
                <c:pt idx="100">
                  <c:v>0.10100000000000001</c:v>
                </c:pt>
                <c:pt idx="101">
                  <c:v>0.10199999999999999</c:v>
                </c:pt>
                <c:pt idx="102">
                  <c:v>0.10299999999999999</c:v>
                </c:pt>
                <c:pt idx="103">
                  <c:v>0.104</c:v>
                </c:pt>
                <c:pt idx="104">
                  <c:v>0.105</c:v>
                </c:pt>
                <c:pt idx="105">
                  <c:v>0.106</c:v>
                </c:pt>
                <c:pt idx="106">
                  <c:v>0.107</c:v>
                </c:pt>
                <c:pt idx="107">
                  <c:v>0.108</c:v>
                </c:pt>
                <c:pt idx="108">
                  <c:v>0.109</c:v>
                </c:pt>
                <c:pt idx="109">
                  <c:v>0.11</c:v>
                </c:pt>
                <c:pt idx="110">
                  <c:v>0.111</c:v>
                </c:pt>
                <c:pt idx="111">
                  <c:v>0.112</c:v>
                </c:pt>
                <c:pt idx="112">
                  <c:v>0.113</c:v>
                </c:pt>
                <c:pt idx="113">
                  <c:v>0.114</c:v>
                </c:pt>
                <c:pt idx="114">
                  <c:v>0.115</c:v>
                </c:pt>
                <c:pt idx="115">
                  <c:v>0.11600000000000001</c:v>
                </c:pt>
                <c:pt idx="116">
                  <c:v>0.11700000000000001</c:v>
                </c:pt>
                <c:pt idx="117">
                  <c:v>0.11799999999999999</c:v>
                </c:pt>
                <c:pt idx="118">
                  <c:v>0.11899999999999999</c:v>
                </c:pt>
                <c:pt idx="119">
                  <c:v>0.12</c:v>
                </c:pt>
                <c:pt idx="120">
                  <c:v>0.121</c:v>
                </c:pt>
                <c:pt idx="121">
                  <c:v>0.122</c:v>
                </c:pt>
                <c:pt idx="122">
                  <c:v>0.123</c:v>
                </c:pt>
                <c:pt idx="123">
                  <c:v>0.124</c:v>
                </c:pt>
                <c:pt idx="124">
                  <c:v>0.125</c:v>
                </c:pt>
                <c:pt idx="125">
                  <c:v>0.126</c:v>
                </c:pt>
                <c:pt idx="126">
                  <c:v>0.127</c:v>
                </c:pt>
                <c:pt idx="127">
                  <c:v>0.128</c:v>
                </c:pt>
                <c:pt idx="128">
                  <c:v>0.129</c:v>
                </c:pt>
                <c:pt idx="129">
                  <c:v>0.13</c:v>
                </c:pt>
                <c:pt idx="130">
                  <c:v>0.13100000000000001</c:v>
                </c:pt>
                <c:pt idx="131">
                  <c:v>0.13200000000000001</c:v>
                </c:pt>
                <c:pt idx="132">
                  <c:v>0.13300000000000001</c:v>
                </c:pt>
                <c:pt idx="133">
                  <c:v>0.13400000000000001</c:v>
                </c:pt>
                <c:pt idx="134">
                  <c:v>0.13500000000000001</c:v>
                </c:pt>
                <c:pt idx="135">
                  <c:v>0.13600000000000001</c:v>
                </c:pt>
                <c:pt idx="136">
                  <c:v>0.13700000000000001</c:v>
                </c:pt>
                <c:pt idx="137">
                  <c:v>0.13800000000000001</c:v>
                </c:pt>
                <c:pt idx="138">
                  <c:v>0.13900000000000001</c:v>
                </c:pt>
                <c:pt idx="139">
                  <c:v>0.14000000000000001</c:v>
                </c:pt>
                <c:pt idx="140">
                  <c:v>0.14099999999999999</c:v>
                </c:pt>
                <c:pt idx="141">
                  <c:v>0.14199999999999999</c:v>
                </c:pt>
                <c:pt idx="142">
                  <c:v>0.14299999999999999</c:v>
                </c:pt>
                <c:pt idx="143">
                  <c:v>0.14399999999999999</c:v>
                </c:pt>
                <c:pt idx="144">
                  <c:v>0.14499999999999999</c:v>
                </c:pt>
                <c:pt idx="145">
                  <c:v>0.14599999999999999</c:v>
                </c:pt>
                <c:pt idx="146">
                  <c:v>0.14699999999999999</c:v>
                </c:pt>
                <c:pt idx="147">
                  <c:v>0.14799999999999999</c:v>
                </c:pt>
                <c:pt idx="148">
                  <c:v>0.14899999999999999</c:v>
                </c:pt>
                <c:pt idx="149">
                  <c:v>0.15</c:v>
                </c:pt>
                <c:pt idx="150">
                  <c:v>0.151</c:v>
                </c:pt>
                <c:pt idx="151">
                  <c:v>0.152</c:v>
                </c:pt>
                <c:pt idx="152">
                  <c:v>0.153</c:v>
                </c:pt>
                <c:pt idx="153">
                  <c:v>0.154</c:v>
                </c:pt>
                <c:pt idx="154">
                  <c:v>0.155</c:v>
                </c:pt>
                <c:pt idx="155">
                  <c:v>0.156</c:v>
                </c:pt>
                <c:pt idx="156">
                  <c:v>0.157</c:v>
                </c:pt>
                <c:pt idx="157">
                  <c:v>0.158</c:v>
                </c:pt>
                <c:pt idx="158">
                  <c:v>0.159</c:v>
                </c:pt>
                <c:pt idx="159">
                  <c:v>0.16</c:v>
                </c:pt>
                <c:pt idx="160">
                  <c:v>0.161</c:v>
                </c:pt>
                <c:pt idx="161">
                  <c:v>0.16200000000000001</c:v>
                </c:pt>
                <c:pt idx="162">
                  <c:v>0.16300000000000001</c:v>
                </c:pt>
                <c:pt idx="163">
                  <c:v>0.16400000000000001</c:v>
                </c:pt>
                <c:pt idx="164">
                  <c:v>0.16500000000000001</c:v>
                </c:pt>
                <c:pt idx="165">
                  <c:v>0.16600000000000001</c:v>
                </c:pt>
                <c:pt idx="166">
                  <c:v>0.16700000000000001</c:v>
                </c:pt>
                <c:pt idx="167">
                  <c:v>0.16800000000000001</c:v>
                </c:pt>
                <c:pt idx="168">
                  <c:v>0.16900000000000001</c:v>
                </c:pt>
                <c:pt idx="169">
                  <c:v>0.17</c:v>
                </c:pt>
                <c:pt idx="170">
                  <c:v>0.17100000000000001</c:v>
                </c:pt>
                <c:pt idx="171">
                  <c:v>0.17199999999999999</c:v>
                </c:pt>
                <c:pt idx="172">
                  <c:v>0.17299999999999999</c:v>
                </c:pt>
                <c:pt idx="173">
                  <c:v>0.17399999999999999</c:v>
                </c:pt>
                <c:pt idx="174">
                  <c:v>0.17499999999999999</c:v>
                </c:pt>
                <c:pt idx="175">
                  <c:v>0.17599999999999999</c:v>
                </c:pt>
                <c:pt idx="176">
                  <c:v>0.17699999999999999</c:v>
                </c:pt>
                <c:pt idx="177">
                  <c:v>0.17799999999999999</c:v>
                </c:pt>
                <c:pt idx="178">
                  <c:v>0.17899999999999999</c:v>
                </c:pt>
                <c:pt idx="179">
                  <c:v>0.18</c:v>
                </c:pt>
                <c:pt idx="180">
                  <c:v>0.18099999999999999</c:v>
                </c:pt>
                <c:pt idx="181">
                  <c:v>0.182</c:v>
                </c:pt>
                <c:pt idx="182">
                  <c:v>0.183</c:v>
                </c:pt>
                <c:pt idx="183">
                  <c:v>0.184</c:v>
                </c:pt>
                <c:pt idx="184">
                  <c:v>0.185</c:v>
                </c:pt>
                <c:pt idx="185">
                  <c:v>0.186</c:v>
                </c:pt>
                <c:pt idx="186">
                  <c:v>0.187</c:v>
                </c:pt>
                <c:pt idx="187">
                  <c:v>0.188</c:v>
                </c:pt>
                <c:pt idx="188">
                  <c:v>0.189</c:v>
                </c:pt>
                <c:pt idx="189">
                  <c:v>0.19</c:v>
                </c:pt>
                <c:pt idx="190">
                  <c:v>0.191</c:v>
                </c:pt>
                <c:pt idx="191">
                  <c:v>0.192</c:v>
                </c:pt>
                <c:pt idx="192">
                  <c:v>0.193</c:v>
                </c:pt>
                <c:pt idx="193">
                  <c:v>0.19400000000000001</c:v>
                </c:pt>
                <c:pt idx="194">
                  <c:v>0.19500000000000001</c:v>
                </c:pt>
                <c:pt idx="195">
                  <c:v>0.19600000000000001</c:v>
                </c:pt>
                <c:pt idx="196">
                  <c:v>0.19700000000000001</c:v>
                </c:pt>
                <c:pt idx="197">
                  <c:v>0.19800000000000001</c:v>
                </c:pt>
                <c:pt idx="198">
                  <c:v>0.19900000000000001</c:v>
                </c:pt>
                <c:pt idx="199">
                  <c:v>0.2</c:v>
                </c:pt>
                <c:pt idx="200">
                  <c:v>0.20100000000000001</c:v>
                </c:pt>
                <c:pt idx="201">
                  <c:v>0.20200000000000001</c:v>
                </c:pt>
                <c:pt idx="202">
                  <c:v>0.20300000000000001</c:v>
                </c:pt>
                <c:pt idx="203">
                  <c:v>0.20399999999999999</c:v>
                </c:pt>
                <c:pt idx="204">
                  <c:v>0.20499999999999999</c:v>
                </c:pt>
                <c:pt idx="205">
                  <c:v>0.20599999999999999</c:v>
                </c:pt>
                <c:pt idx="206">
                  <c:v>0.20699999999999999</c:v>
                </c:pt>
                <c:pt idx="207">
                  <c:v>0.20799999999999999</c:v>
                </c:pt>
                <c:pt idx="208">
                  <c:v>0.20899999999999999</c:v>
                </c:pt>
                <c:pt idx="209">
                  <c:v>0.21</c:v>
                </c:pt>
                <c:pt idx="210">
                  <c:v>0.21099999999999999</c:v>
                </c:pt>
                <c:pt idx="211">
                  <c:v>0.21199999999999999</c:v>
                </c:pt>
                <c:pt idx="212">
                  <c:v>0.21299999999999999</c:v>
                </c:pt>
                <c:pt idx="213">
                  <c:v>0.214</c:v>
                </c:pt>
                <c:pt idx="214">
                  <c:v>0.215</c:v>
                </c:pt>
                <c:pt idx="215">
                  <c:v>0.216</c:v>
                </c:pt>
                <c:pt idx="216">
                  <c:v>0.217</c:v>
                </c:pt>
                <c:pt idx="217">
                  <c:v>0.218</c:v>
                </c:pt>
                <c:pt idx="218">
                  <c:v>0.219</c:v>
                </c:pt>
                <c:pt idx="219">
                  <c:v>0.22</c:v>
                </c:pt>
                <c:pt idx="220">
                  <c:v>0.221</c:v>
                </c:pt>
                <c:pt idx="221">
                  <c:v>0.222</c:v>
                </c:pt>
                <c:pt idx="222">
                  <c:v>0.223</c:v>
                </c:pt>
                <c:pt idx="223">
                  <c:v>0.224</c:v>
                </c:pt>
                <c:pt idx="224">
                  <c:v>0.22500000000000001</c:v>
                </c:pt>
                <c:pt idx="225">
                  <c:v>0.22600000000000001</c:v>
                </c:pt>
                <c:pt idx="226">
                  <c:v>0.22700000000000001</c:v>
                </c:pt>
                <c:pt idx="227">
                  <c:v>0.22800000000000001</c:v>
                </c:pt>
                <c:pt idx="228">
                  <c:v>0.22900000000000001</c:v>
                </c:pt>
                <c:pt idx="229">
                  <c:v>0.23</c:v>
                </c:pt>
                <c:pt idx="230">
                  <c:v>0.23100000000000001</c:v>
                </c:pt>
                <c:pt idx="231">
                  <c:v>0.23200000000000001</c:v>
                </c:pt>
                <c:pt idx="232">
                  <c:v>0.23300000000000001</c:v>
                </c:pt>
                <c:pt idx="233">
                  <c:v>0.23400000000000001</c:v>
                </c:pt>
                <c:pt idx="234">
                  <c:v>0.23499999999999999</c:v>
                </c:pt>
                <c:pt idx="235">
                  <c:v>0.23599999999999999</c:v>
                </c:pt>
                <c:pt idx="236">
                  <c:v>0.23699999999999999</c:v>
                </c:pt>
                <c:pt idx="237">
                  <c:v>0.23799999999999999</c:v>
                </c:pt>
                <c:pt idx="238">
                  <c:v>0.23899999999999999</c:v>
                </c:pt>
                <c:pt idx="239">
                  <c:v>0.24</c:v>
                </c:pt>
                <c:pt idx="240">
                  <c:v>0.24099999999999999</c:v>
                </c:pt>
                <c:pt idx="241">
                  <c:v>0.24199999999999999</c:v>
                </c:pt>
                <c:pt idx="242">
                  <c:v>0.24299999999999999</c:v>
                </c:pt>
                <c:pt idx="243">
                  <c:v>0.24399999999999999</c:v>
                </c:pt>
                <c:pt idx="244">
                  <c:v>0.245</c:v>
                </c:pt>
                <c:pt idx="245">
                  <c:v>0.246</c:v>
                </c:pt>
                <c:pt idx="246">
                  <c:v>0.247</c:v>
                </c:pt>
                <c:pt idx="247">
                  <c:v>0.248</c:v>
                </c:pt>
                <c:pt idx="248">
                  <c:v>0.249</c:v>
                </c:pt>
                <c:pt idx="249">
                  <c:v>0.25</c:v>
                </c:pt>
                <c:pt idx="250">
                  <c:v>0.251</c:v>
                </c:pt>
                <c:pt idx="251">
                  <c:v>0.252</c:v>
                </c:pt>
                <c:pt idx="252">
                  <c:v>0.253</c:v>
                </c:pt>
                <c:pt idx="253">
                  <c:v>0.254</c:v>
                </c:pt>
                <c:pt idx="254">
                  <c:v>0.255</c:v>
                </c:pt>
                <c:pt idx="255">
                  <c:v>0.25600000000000001</c:v>
                </c:pt>
                <c:pt idx="256">
                  <c:v>0.25700000000000001</c:v>
                </c:pt>
                <c:pt idx="257">
                  <c:v>0.25800000000000001</c:v>
                </c:pt>
                <c:pt idx="258">
                  <c:v>0.25900000000000001</c:v>
                </c:pt>
                <c:pt idx="259">
                  <c:v>0.26</c:v>
                </c:pt>
                <c:pt idx="260">
                  <c:v>0.26100000000000001</c:v>
                </c:pt>
                <c:pt idx="261">
                  <c:v>0.26200000000000001</c:v>
                </c:pt>
                <c:pt idx="262">
                  <c:v>0.26300000000000001</c:v>
                </c:pt>
                <c:pt idx="263">
                  <c:v>0.26400000000000001</c:v>
                </c:pt>
                <c:pt idx="264">
                  <c:v>0.26500000000000001</c:v>
                </c:pt>
                <c:pt idx="265">
                  <c:v>0.26600000000000001</c:v>
                </c:pt>
                <c:pt idx="266">
                  <c:v>0.26700000000000002</c:v>
                </c:pt>
                <c:pt idx="267">
                  <c:v>0.26800000000000002</c:v>
                </c:pt>
                <c:pt idx="268">
                  <c:v>0.26900000000000002</c:v>
                </c:pt>
                <c:pt idx="269">
                  <c:v>0.27</c:v>
                </c:pt>
                <c:pt idx="270">
                  <c:v>0.27100000000000002</c:v>
                </c:pt>
                <c:pt idx="271">
                  <c:v>0.27200000000000002</c:v>
                </c:pt>
                <c:pt idx="272">
                  <c:v>0.27300000000000002</c:v>
                </c:pt>
                <c:pt idx="273">
                  <c:v>0.27400000000000002</c:v>
                </c:pt>
                <c:pt idx="274">
                  <c:v>0.27500000000000002</c:v>
                </c:pt>
                <c:pt idx="275">
                  <c:v>0.27600000000000002</c:v>
                </c:pt>
                <c:pt idx="276">
                  <c:v>0.27700000000000002</c:v>
                </c:pt>
                <c:pt idx="277">
                  <c:v>0.27800000000000002</c:v>
                </c:pt>
                <c:pt idx="278">
                  <c:v>0.27900000000000003</c:v>
                </c:pt>
                <c:pt idx="279">
                  <c:v>0.28000000000000003</c:v>
                </c:pt>
                <c:pt idx="280">
                  <c:v>0.28100000000000003</c:v>
                </c:pt>
                <c:pt idx="281">
                  <c:v>0.28199999999999997</c:v>
                </c:pt>
                <c:pt idx="282">
                  <c:v>0.28299999999999997</c:v>
                </c:pt>
                <c:pt idx="283">
                  <c:v>0.28399999999999997</c:v>
                </c:pt>
                <c:pt idx="284">
                  <c:v>0.28499999999999998</c:v>
                </c:pt>
                <c:pt idx="285">
                  <c:v>0.28599999999999998</c:v>
                </c:pt>
                <c:pt idx="286">
                  <c:v>0.28699999999999998</c:v>
                </c:pt>
                <c:pt idx="287">
                  <c:v>0.28799999999999998</c:v>
                </c:pt>
                <c:pt idx="288">
                  <c:v>0.28899999999999998</c:v>
                </c:pt>
                <c:pt idx="289">
                  <c:v>0.28999999999999998</c:v>
                </c:pt>
                <c:pt idx="290">
                  <c:v>0.29099999999999998</c:v>
                </c:pt>
                <c:pt idx="291">
                  <c:v>0.29199999999999998</c:v>
                </c:pt>
                <c:pt idx="292">
                  <c:v>0.29299999999999998</c:v>
                </c:pt>
                <c:pt idx="293">
                  <c:v>0.29399999999999998</c:v>
                </c:pt>
                <c:pt idx="294">
                  <c:v>0.29499999999999998</c:v>
                </c:pt>
                <c:pt idx="295">
                  <c:v>0.29599999999999999</c:v>
                </c:pt>
                <c:pt idx="296">
                  <c:v>0.29699999999999999</c:v>
                </c:pt>
                <c:pt idx="297">
                  <c:v>0.29799999999999999</c:v>
                </c:pt>
                <c:pt idx="298">
                  <c:v>0.29899999999999999</c:v>
                </c:pt>
                <c:pt idx="299">
                  <c:v>0.3</c:v>
                </c:pt>
                <c:pt idx="300">
                  <c:v>0.30099999999999999</c:v>
                </c:pt>
                <c:pt idx="301">
                  <c:v>0.30199999999999999</c:v>
                </c:pt>
                <c:pt idx="302">
                  <c:v>0.30299999999999999</c:v>
                </c:pt>
                <c:pt idx="303">
                  <c:v>0.30399999999999999</c:v>
                </c:pt>
                <c:pt idx="304">
                  <c:v>0.30499999999999999</c:v>
                </c:pt>
                <c:pt idx="305">
                  <c:v>0.30599999999999999</c:v>
                </c:pt>
                <c:pt idx="306">
                  <c:v>0.307</c:v>
                </c:pt>
                <c:pt idx="307">
                  <c:v>0.308</c:v>
                </c:pt>
                <c:pt idx="308">
                  <c:v>0.309</c:v>
                </c:pt>
                <c:pt idx="309">
                  <c:v>0.31</c:v>
                </c:pt>
                <c:pt idx="310">
                  <c:v>0.311</c:v>
                </c:pt>
                <c:pt idx="311">
                  <c:v>0.312</c:v>
                </c:pt>
                <c:pt idx="312">
                  <c:v>0.313</c:v>
                </c:pt>
                <c:pt idx="313">
                  <c:v>0.314</c:v>
                </c:pt>
                <c:pt idx="314">
                  <c:v>0.315</c:v>
                </c:pt>
                <c:pt idx="315">
                  <c:v>0.316</c:v>
                </c:pt>
                <c:pt idx="316">
                  <c:v>0.317</c:v>
                </c:pt>
                <c:pt idx="317">
                  <c:v>0.318</c:v>
                </c:pt>
                <c:pt idx="318">
                  <c:v>0.31900000000000001</c:v>
                </c:pt>
                <c:pt idx="319">
                  <c:v>0.32</c:v>
                </c:pt>
                <c:pt idx="320">
                  <c:v>0.32100000000000001</c:v>
                </c:pt>
                <c:pt idx="321">
                  <c:v>0.32200000000000001</c:v>
                </c:pt>
                <c:pt idx="322">
                  <c:v>0.32300000000000001</c:v>
                </c:pt>
                <c:pt idx="323">
                  <c:v>0.32400000000000001</c:v>
                </c:pt>
                <c:pt idx="324">
                  <c:v>0.32500000000000001</c:v>
                </c:pt>
                <c:pt idx="325">
                  <c:v>0.32600000000000001</c:v>
                </c:pt>
                <c:pt idx="326">
                  <c:v>0.32700000000000001</c:v>
                </c:pt>
                <c:pt idx="327">
                  <c:v>0.32800000000000001</c:v>
                </c:pt>
                <c:pt idx="328">
                  <c:v>0.32900000000000001</c:v>
                </c:pt>
                <c:pt idx="329">
                  <c:v>0.33</c:v>
                </c:pt>
                <c:pt idx="330">
                  <c:v>0.33100000000000002</c:v>
                </c:pt>
                <c:pt idx="331">
                  <c:v>0.33200000000000002</c:v>
                </c:pt>
                <c:pt idx="332">
                  <c:v>0.33300000000000002</c:v>
                </c:pt>
                <c:pt idx="333">
                  <c:v>0.33400000000000002</c:v>
                </c:pt>
                <c:pt idx="334">
                  <c:v>0.33500000000000002</c:v>
                </c:pt>
                <c:pt idx="335">
                  <c:v>0.33600000000000002</c:v>
                </c:pt>
                <c:pt idx="336">
                  <c:v>0.33700000000000002</c:v>
                </c:pt>
                <c:pt idx="337">
                  <c:v>0.33800000000000002</c:v>
                </c:pt>
                <c:pt idx="338">
                  <c:v>0.33900000000000002</c:v>
                </c:pt>
                <c:pt idx="339">
                  <c:v>0.34</c:v>
                </c:pt>
                <c:pt idx="340">
                  <c:v>0.34100000000000003</c:v>
                </c:pt>
                <c:pt idx="341">
                  <c:v>0.34200000000000003</c:v>
                </c:pt>
                <c:pt idx="342">
                  <c:v>0.34300000000000003</c:v>
                </c:pt>
                <c:pt idx="343">
                  <c:v>0.34399999999999997</c:v>
                </c:pt>
                <c:pt idx="344">
                  <c:v>0.34499999999999997</c:v>
                </c:pt>
                <c:pt idx="345">
                  <c:v>0.34599999999999997</c:v>
                </c:pt>
                <c:pt idx="346">
                  <c:v>0.34699999999999998</c:v>
                </c:pt>
                <c:pt idx="347">
                  <c:v>0.34799999999999998</c:v>
                </c:pt>
                <c:pt idx="348">
                  <c:v>0.34899999999999998</c:v>
                </c:pt>
                <c:pt idx="349">
                  <c:v>0.35</c:v>
                </c:pt>
                <c:pt idx="350">
                  <c:v>0.35099999999999998</c:v>
                </c:pt>
                <c:pt idx="351">
                  <c:v>0.35199999999999998</c:v>
                </c:pt>
                <c:pt idx="352">
                  <c:v>0.35299999999999998</c:v>
                </c:pt>
                <c:pt idx="353">
                  <c:v>0.35399999999999998</c:v>
                </c:pt>
                <c:pt idx="354">
                  <c:v>0.35499999999999998</c:v>
                </c:pt>
                <c:pt idx="355">
                  <c:v>0.35599999999999998</c:v>
                </c:pt>
                <c:pt idx="356">
                  <c:v>0.35699999999999998</c:v>
                </c:pt>
                <c:pt idx="357">
                  <c:v>0.35799999999999998</c:v>
                </c:pt>
                <c:pt idx="358">
                  <c:v>0.35899999999999999</c:v>
                </c:pt>
                <c:pt idx="359">
                  <c:v>0.36</c:v>
                </c:pt>
                <c:pt idx="360">
                  <c:v>0.36099999999999999</c:v>
                </c:pt>
                <c:pt idx="361">
                  <c:v>0.36199999999999999</c:v>
                </c:pt>
                <c:pt idx="362">
                  <c:v>0.36299999999999999</c:v>
                </c:pt>
                <c:pt idx="363">
                  <c:v>0.36399999999999999</c:v>
                </c:pt>
                <c:pt idx="364">
                  <c:v>0.36499999999999999</c:v>
                </c:pt>
                <c:pt idx="365">
                  <c:v>0.36599999999999999</c:v>
                </c:pt>
                <c:pt idx="366">
                  <c:v>0.36699999999999999</c:v>
                </c:pt>
                <c:pt idx="367">
                  <c:v>0.36799999999999999</c:v>
                </c:pt>
                <c:pt idx="368">
                  <c:v>0.36899999999999999</c:v>
                </c:pt>
                <c:pt idx="369">
                  <c:v>0.37</c:v>
                </c:pt>
                <c:pt idx="370">
                  <c:v>0.371</c:v>
                </c:pt>
                <c:pt idx="371">
                  <c:v>0.372</c:v>
                </c:pt>
                <c:pt idx="372">
                  <c:v>0.373</c:v>
                </c:pt>
                <c:pt idx="373">
                  <c:v>0.374</c:v>
                </c:pt>
                <c:pt idx="374">
                  <c:v>0.375</c:v>
                </c:pt>
                <c:pt idx="375">
                  <c:v>0.376</c:v>
                </c:pt>
                <c:pt idx="376">
                  <c:v>0.377</c:v>
                </c:pt>
                <c:pt idx="377">
                  <c:v>0.378</c:v>
                </c:pt>
                <c:pt idx="378">
                  <c:v>0.379</c:v>
                </c:pt>
                <c:pt idx="379">
                  <c:v>0.38</c:v>
                </c:pt>
                <c:pt idx="380">
                  <c:v>0.38100000000000001</c:v>
                </c:pt>
                <c:pt idx="381">
                  <c:v>0.38200000000000001</c:v>
                </c:pt>
                <c:pt idx="382">
                  <c:v>0.38300000000000001</c:v>
                </c:pt>
                <c:pt idx="383">
                  <c:v>0.38400000000000001</c:v>
                </c:pt>
                <c:pt idx="384">
                  <c:v>0.38500000000000001</c:v>
                </c:pt>
                <c:pt idx="385">
                  <c:v>0.38600000000000001</c:v>
                </c:pt>
                <c:pt idx="386">
                  <c:v>0.38700000000000001</c:v>
                </c:pt>
                <c:pt idx="387">
                  <c:v>0.38800000000000001</c:v>
                </c:pt>
                <c:pt idx="388">
                  <c:v>0.38900000000000001</c:v>
                </c:pt>
                <c:pt idx="389">
                  <c:v>0.39</c:v>
                </c:pt>
                <c:pt idx="390">
                  <c:v>0.39100000000000001</c:v>
                </c:pt>
                <c:pt idx="391">
                  <c:v>0.39200000000000002</c:v>
                </c:pt>
                <c:pt idx="392">
                  <c:v>0.39300000000000002</c:v>
                </c:pt>
                <c:pt idx="393">
                  <c:v>0.39400000000000002</c:v>
                </c:pt>
                <c:pt idx="394">
                  <c:v>0.39500000000000002</c:v>
                </c:pt>
                <c:pt idx="395">
                  <c:v>0.39600000000000002</c:v>
                </c:pt>
                <c:pt idx="396">
                  <c:v>0.39700000000000002</c:v>
                </c:pt>
                <c:pt idx="397">
                  <c:v>0.39800000000000002</c:v>
                </c:pt>
                <c:pt idx="398">
                  <c:v>0.39900000000000002</c:v>
                </c:pt>
                <c:pt idx="399">
                  <c:v>0.4</c:v>
                </c:pt>
                <c:pt idx="400">
                  <c:v>0.40100000000000002</c:v>
                </c:pt>
                <c:pt idx="401">
                  <c:v>0.40200000000000002</c:v>
                </c:pt>
                <c:pt idx="402">
                  <c:v>0.40300000000000002</c:v>
                </c:pt>
                <c:pt idx="403">
                  <c:v>0.40400000000000003</c:v>
                </c:pt>
                <c:pt idx="404">
                  <c:v>0.40500000000000003</c:v>
                </c:pt>
                <c:pt idx="405">
                  <c:v>0.40600000000000003</c:v>
                </c:pt>
                <c:pt idx="406">
                  <c:v>0.40699999999999997</c:v>
                </c:pt>
                <c:pt idx="407">
                  <c:v>0.40799999999999997</c:v>
                </c:pt>
                <c:pt idx="408">
                  <c:v>0.40899999999999997</c:v>
                </c:pt>
                <c:pt idx="409">
                  <c:v>0.41</c:v>
                </c:pt>
                <c:pt idx="410">
                  <c:v>0.41099999999999998</c:v>
                </c:pt>
                <c:pt idx="411">
                  <c:v>0.41199999999999998</c:v>
                </c:pt>
                <c:pt idx="412">
                  <c:v>0.41299999999999998</c:v>
                </c:pt>
                <c:pt idx="413">
                  <c:v>0.41399999999999998</c:v>
                </c:pt>
                <c:pt idx="414">
                  <c:v>0.41499999999999998</c:v>
                </c:pt>
                <c:pt idx="415">
                  <c:v>0.41599999999999998</c:v>
                </c:pt>
                <c:pt idx="416">
                  <c:v>0.41699999999999998</c:v>
                </c:pt>
                <c:pt idx="417">
                  <c:v>0.41799999999999998</c:v>
                </c:pt>
                <c:pt idx="418">
                  <c:v>0.41899999999999998</c:v>
                </c:pt>
                <c:pt idx="419">
                  <c:v>0.42</c:v>
                </c:pt>
                <c:pt idx="420">
                  <c:v>0.42099999999999999</c:v>
                </c:pt>
                <c:pt idx="421">
                  <c:v>0.42199999999999999</c:v>
                </c:pt>
                <c:pt idx="422">
                  <c:v>0.42299999999999999</c:v>
                </c:pt>
                <c:pt idx="423">
                  <c:v>0.42399999999999999</c:v>
                </c:pt>
                <c:pt idx="424">
                  <c:v>0.42499999999999999</c:v>
                </c:pt>
                <c:pt idx="425">
                  <c:v>0.42599999999999999</c:v>
                </c:pt>
                <c:pt idx="426">
                  <c:v>0.42699999999999999</c:v>
                </c:pt>
                <c:pt idx="427">
                  <c:v>0.42799999999999999</c:v>
                </c:pt>
                <c:pt idx="428">
                  <c:v>0.42899999999999999</c:v>
                </c:pt>
                <c:pt idx="429">
                  <c:v>0.43</c:v>
                </c:pt>
                <c:pt idx="430">
                  <c:v>0.43099999999999999</c:v>
                </c:pt>
                <c:pt idx="431">
                  <c:v>0.432</c:v>
                </c:pt>
                <c:pt idx="432">
                  <c:v>0.433</c:v>
                </c:pt>
                <c:pt idx="433">
                  <c:v>0.434</c:v>
                </c:pt>
                <c:pt idx="434">
                  <c:v>0.435</c:v>
                </c:pt>
                <c:pt idx="435">
                  <c:v>0.436</c:v>
                </c:pt>
                <c:pt idx="436">
                  <c:v>0.437</c:v>
                </c:pt>
                <c:pt idx="437">
                  <c:v>0.438</c:v>
                </c:pt>
                <c:pt idx="438">
                  <c:v>0.439</c:v>
                </c:pt>
                <c:pt idx="439">
                  <c:v>0.44</c:v>
                </c:pt>
                <c:pt idx="440">
                  <c:v>0.441</c:v>
                </c:pt>
                <c:pt idx="441">
                  <c:v>0.442</c:v>
                </c:pt>
                <c:pt idx="442">
                  <c:v>0.443</c:v>
                </c:pt>
                <c:pt idx="443">
                  <c:v>0.44400000000000001</c:v>
                </c:pt>
                <c:pt idx="444">
                  <c:v>0.44500000000000001</c:v>
                </c:pt>
                <c:pt idx="445">
                  <c:v>0.44600000000000001</c:v>
                </c:pt>
                <c:pt idx="446">
                  <c:v>0.44700000000000001</c:v>
                </c:pt>
                <c:pt idx="447">
                  <c:v>0.44800000000000001</c:v>
                </c:pt>
                <c:pt idx="448">
                  <c:v>0.44900000000000001</c:v>
                </c:pt>
                <c:pt idx="449">
                  <c:v>0.45</c:v>
                </c:pt>
                <c:pt idx="450">
                  <c:v>0.45100000000000001</c:v>
                </c:pt>
                <c:pt idx="451">
                  <c:v>0.45200000000000001</c:v>
                </c:pt>
                <c:pt idx="452">
                  <c:v>0.45300000000000001</c:v>
                </c:pt>
                <c:pt idx="453">
                  <c:v>0.45400000000000001</c:v>
                </c:pt>
                <c:pt idx="454">
                  <c:v>0.45500000000000002</c:v>
                </c:pt>
                <c:pt idx="455">
                  <c:v>0.45600000000000002</c:v>
                </c:pt>
                <c:pt idx="456">
                  <c:v>0.45700000000000002</c:v>
                </c:pt>
                <c:pt idx="457">
                  <c:v>0.45800000000000002</c:v>
                </c:pt>
                <c:pt idx="458">
                  <c:v>0.45900000000000002</c:v>
                </c:pt>
                <c:pt idx="459">
                  <c:v>0.46</c:v>
                </c:pt>
                <c:pt idx="460">
                  <c:v>0.46100000000000002</c:v>
                </c:pt>
                <c:pt idx="461">
                  <c:v>0.46200000000000002</c:v>
                </c:pt>
                <c:pt idx="462">
                  <c:v>0.46300000000000002</c:v>
                </c:pt>
                <c:pt idx="463">
                  <c:v>0.46400000000000002</c:v>
                </c:pt>
                <c:pt idx="464">
                  <c:v>0.46500000000000002</c:v>
                </c:pt>
                <c:pt idx="465">
                  <c:v>0.46600000000000003</c:v>
                </c:pt>
                <c:pt idx="466">
                  <c:v>0.46700000000000003</c:v>
                </c:pt>
                <c:pt idx="467">
                  <c:v>0.46800000000000003</c:v>
                </c:pt>
                <c:pt idx="468">
                  <c:v>0.46899999999999997</c:v>
                </c:pt>
                <c:pt idx="469">
                  <c:v>0.47</c:v>
                </c:pt>
                <c:pt idx="470">
                  <c:v>0.47099999999999997</c:v>
                </c:pt>
                <c:pt idx="471">
                  <c:v>0.47199999999999998</c:v>
                </c:pt>
                <c:pt idx="472">
                  <c:v>0.47299999999999998</c:v>
                </c:pt>
                <c:pt idx="473">
                  <c:v>0.47399999999999998</c:v>
                </c:pt>
                <c:pt idx="474">
                  <c:v>0.47499999999999998</c:v>
                </c:pt>
                <c:pt idx="475">
                  <c:v>0.47599999999999998</c:v>
                </c:pt>
                <c:pt idx="476">
                  <c:v>0.47699999999999998</c:v>
                </c:pt>
                <c:pt idx="477">
                  <c:v>0.47799999999999998</c:v>
                </c:pt>
                <c:pt idx="478">
                  <c:v>0.47899999999999998</c:v>
                </c:pt>
                <c:pt idx="479">
                  <c:v>0.48</c:v>
                </c:pt>
                <c:pt idx="480">
                  <c:v>0.48099999999999998</c:v>
                </c:pt>
                <c:pt idx="481">
                  <c:v>0.48199999999999998</c:v>
                </c:pt>
                <c:pt idx="482">
                  <c:v>0.48299999999999998</c:v>
                </c:pt>
                <c:pt idx="483">
                  <c:v>0.48399999999999999</c:v>
                </c:pt>
                <c:pt idx="484">
                  <c:v>0.48499999999999999</c:v>
                </c:pt>
                <c:pt idx="485">
                  <c:v>0.48599999999999999</c:v>
                </c:pt>
                <c:pt idx="486">
                  <c:v>0.48699999999999999</c:v>
                </c:pt>
                <c:pt idx="487">
                  <c:v>0.48799999999999999</c:v>
                </c:pt>
                <c:pt idx="488">
                  <c:v>0.48899999999999999</c:v>
                </c:pt>
                <c:pt idx="489">
                  <c:v>0.49</c:v>
                </c:pt>
                <c:pt idx="490">
                  <c:v>0.49099999999999999</c:v>
                </c:pt>
                <c:pt idx="491">
                  <c:v>0.49199999999999999</c:v>
                </c:pt>
                <c:pt idx="492">
                  <c:v>0.49299999999999999</c:v>
                </c:pt>
                <c:pt idx="493">
                  <c:v>0.49399999999999999</c:v>
                </c:pt>
                <c:pt idx="494">
                  <c:v>0.495</c:v>
                </c:pt>
                <c:pt idx="495">
                  <c:v>0.496</c:v>
                </c:pt>
                <c:pt idx="496">
                  <c:v>0.497</c:v>
                </c:pt>
                <c:pt idx="497">
                  <c:v>0.498</c:v>
                </c:pt>
                <c:pt idx="498">
                  <c:v>0.499</c:v>
                </c:pt>
                <c:pt idx="499">
                  <c:v>0.5</c:v>
                </c:pt>
                <c:pt idx="500">
                  <c:v>0.501</c:v>
                </c:pt>
                <c:pt idx="501">
                  <c:v>0.502</c:v>
                </c:pt>
                <c:pt idx="502">
                  <c:v>0.503</c:v>
                </c:pt>
                <c:pt idx="503">
                  <c:v>0.504</c:v>
                </c:pt>
                <c:pt idx="504">
                  <c:v>0.505</c:v>
                </c:pt>
                <c:pt idx="505">
                  <c:v>0.50600000000000001</c:v>
                </c:pt>
                <c:pt idx="506">
                  <c:v>0.50700000000000001</c:v>
                </c:pt>
                <c:pt idx="507">
                  <c:v>0.50800000000000001</c:v>
                </c:pt>
                <c:pt idx="508">
                  <c:v>0.50900000000000001</c:v>
                </c:pt>
                <c:pt idx="509">
                  <c:v>0.51</c:v>
                </c:pt>
                <c:pt idx="510">
                  <c:v>0.51100000000000001</c:v>
                </c:pt>
                <c:pt idx="511">
                  <c:v>0.51200000000000001</c:v>
                </c:pt>
                <c:pt idx="512">
                  <c:v>0.51300000000000001</c:v>
                </c:pt>
                <c:pt idx="513">
                  <c:v>0.51400000000000001</c:v>
                </c:pt>
                <c:pt idx="514">
                  <c:v>0.51500000000000001</c:v>
                </c:pt>
                <c:pt idx="515">
                  <c:v>0.51600000000000001</c:v>
                </c:pt>
                <c:pt idx="516">
                  <c:v>0.51700000000000002</c:v>
                </c:pt>
                <c:pt idx="517">
                  <c:v>0.51800000000000002</c:v>
                </c:pt>
                <c:pt idx="518">
                  <c:v>0.51900000000000002</c:v>
                </c:pt>
                <c:pt idx="519">
                  <c:v>0.52</c:v>
                </c:pt>
                <c:pt idx="520">
                  <c:v>0.52100000000000002</c:v>
                </c:pt>
                <c:pt idx="521">
                  <c:v>0.52200000000000002</c:v>
                </c:pt>
                <c:pt idx="522">
                  <c:v>0.52300000000000002</c:v>
                </c:pt>
                <c:pt idx="523">
                  <c:v>0.52400000000000002</c:v>
                </c:pt>
                <c:pt idx="524">
                  <c:v>0.52500000000000002</c:v>
                </c:pt>
                <c:pt idx="525">
                  <c:v>0.52600000000000002</c:v>
                </c:pt>
                <c:pt idx="526">
                  <c:v>0.52700000000000002</c:v>
                </c:pt>
                <c:pt idx="527">
                  <c:v>0.52800000000000002</c:v>
                </c:pt>
                <c:pt idx="528">
                  <c:v>0.52900000000000003</c:v>
                </c:pt>
                <c:pt idx="529">
                  <c:v>0.53</c:v>
                </c:pt>
                <c:pt idx="530">
                  <c:v>0.53100000000000003</c:v>
                </c:pt>
                <c:pt idx="531">
                  <c:v>0.53200000000000003</c:v>
                </c:pt>
                <c:pt idx="532">
                  <c:v>0.53300000000000003</c:v>
                </c:pt>
                <c:pt idx="533">
                  <c:v>0.53400000000000003</c:v>
                </c:pt>
                <c:pt idx="534">
                  <c:v>0.53500000000000003</c:v>
                </c:pt>
                <c:pt idx="535">
                  <c:v>0.53600000000000003</c:v>
                </c:pt>
                <c:pt idx="536">
                  <c:v>0.53700000000000003</c:v>
                </c:pt>
                <c:pt idx="537">
                  <c:v>0.53800000000000003</c:v>
                </c:pt>
                <c:pt idx="538">
                  <c:v>0.53900000000000003</c:v>
                </c:pt>
                <c:pt idx="539">
                  <c:v>0.54</c:v>
                </c:pt>
                <c:pt idx="540">
                  <c:v>0.54100000000000004</c:v>
                </c:pt>
                <c:pt idx="541">
                  <c:v>0.54200000000000004</c:v>
                </c:pt>
                <c:pt idx="542">
                  <c:v>0.54300000000000004</c:v>
                </c:pt>
                <c:pt idx="543">
                  <c:v>0.54400000000000004</c:v>
                </c:pt>
                <c:pt idx="544">
                  <c:v>0.54500000000000004</c:v>
                </c:pt>
                <c:pt idx="545">
                  <c:v>0.54600000000000004</c:v>
                </c:pt>
                <c:pt idx="546">
                  <c:v>0.54700000000000004</c:v>
                </c:pt>
                <c:pt idx="547">
                  <c:v>0.54800000000000004</c:v>
                </c:pt>
                <c:pt idx="548">
                  <c:v>0.54900000000000004</c:v>
                </c:pt>
                <c:pt idx="549">
                  <c:v>0.55000000000000004</c:v>
                </c:pt>
                <c:pt idx="550">
                  <c:v>0.55100000000000005</c:v>
                </c:pt>
                <c:pt idx="551">
                  <c:v>0.55200000000000005</c:v>
                </c:pt>
                <c:pt idx="552">
                  <c:v>0.55300000000000005</c:v>
                </c:pt>
                <c:pt idx="553">
                  <c:v>0.55400000000000005</c:v>
                </c:pt>
                <c:pt idx="554">
                  <c:v>0.55500000000000005</c:v>
                </c:pt>
                <c:pt idx="555">
                  <c:v>0.55600000000000005</c:v>
                </c:pt>
                <c:pt idx="556">
                  <c:v>0.55700000000000005</c:v>
                </c:pt>
                <c:pt idx="557">
                  <c:v>0.55800000000000005</c:v>
                </c:pt>
                <c:pt idx="558">
                  <c:v>0.55900000000000005</c:v>
                </c:pt>
                <c:pt idx="559">
                  <c:v>0.56000000000000005</c:v>
                </c:pt>
                <c:pt idx="560">
                  <c:v>0.56100000000000005</c:v>
                </c:pt>
                <c:pt idx="561">
                  <c:v>0.56200000000000006</c:v>
                </c:pt>
                <c:pt idx="562">
                  <c:v>0.56299999999999994</c:v>
                </c:pt>
                <c:pt idx="563">
                  <c:v>0.56399999999999995</c:v>
                </c:pt>
                <c:pt idx="564">
                  <c:v>0.56499999999999995</c:v>
                </c:pt>
                <c:pt idx="565">
                  <c:v>0.56599999999999995</c:v>
                </c:pt>
                <c:pt idx="566">
                  <c:v>0.56699999999999995</c:v>
                </c:pt>
                <c:pt idx="567">
                  <c:v>0.56799999999999995</c:v>
                </c:pt>
                <c:pt idx="568">
                  <c:v>0.56899999999999995</c:v>
                </c:pt>
                <c:pt idx="569">
                  <c:v>0.56999999999999995</c:v>
                </c:pt>
                <c:pt idx="570">
                  <c:v>0.57099999999999995</c:v>
                </c:pt>
                <c:pt idx="571">
                  <c:v>0.57199999999999995</c:v>
                </c:pt>
                <c:pt idx="572">
                  <c:v>0.57299999999999995</c:v>
                </c:pt>
                <c:pt idx="573">
                  <c:v>0.57399999999999995</c:v>
                </c:pt>
                <c:pt idx="574">
                  <c:v>0.57499999999999996</c:v>
                </c:pt>
                <c:pt idx="575">
                  <c:v>0.57599999999999996</c:v>
                </c:pt>
                <c:pt idx="576">
                  <c:v>0.57699999999999996</c:v>
                </c:pt>
                <c:pt idx="577">
                  <c:v>0.57799999999999996</c:v>
                </c:pt>
                <c:pt idx="578">
                  <c:v>0.57899999999999996</c:v>
                </c:pt>
                <c:pt idx="579">
                  <c:v>0.57999999999999996</c:v>
                </c:pt>
                <c:pt idx="580">
                  <c:v>0.58099999999999996</c:v>
                </c:pt>
                <c:pt idx="581">
                  <c:v>0.58199999999999996</c:v>
                </c:pt>
                <c:pt idx="582">
                  <c:v>0.58299999999999996</c:v>
                </c:pt>
                <c:pt idx="583">
                  <c:v>0.58399999999999996</c:v>
                </c:pt>
                <c:pt idx="584">
                  <c:v>0.58499999999999996</c:v>
                </c:pt>
                <c:pt idx="585">
                  <c:v>0.58599999999999997</c:v>
                </c:pt>
                <c:pt idx="586">
                  <c:v>0.58699999999999997</c:v>
                </c:pt>
                <c:pt idx="587">
                  <c:v>0.58799999999999997</c:v>
                </c:pt>
                <c:pt idx="588">
                  <c:v>0.58899999999999997</c:v>
                </c:pt>
                <c:pt idx="589">
                  <c:v>0.59</c:v>
                </c:pt>
                <c:pt idx="590">
                  <c:v>0.59099999999999997</c:v>
                </c:pt>
                <c:pt idx="591">
                  <c:v>0.59199999999999997</c:v>
                </c:pt>
                <c:pt idx="592">
                  <c:v>0.59299999999999997</c:v>
                </c:pt>
                <c:pt idx="593">
                  <c:v>0.59399999999999997</c:v>
                </c:pt>
                <c:pt idx="594">
                  <c:v>0.59499999999999997</c:v>
                </c:pt>
                <c:pt idx="595">
                  <c:v>0.59599999999999997</c:v>
                </c:pt>
                <c:pt idx="596">
                  <c:v>0.59699999999999998</c:v>
                </c:pt>
                <c:pt idx="597">
                  <c:v>0.59799999999999998</c:v>
                </c:pt>
                <c:pt idx="598">
                  <c:v>0.59899999999999998</c:v>
                </c:pt>
                <c:pt idx="599">
                  <c:v>0.6</c:v>
                </c:pt>
                <c:pt idx="600">
                  <c:v>0.60099999999999998</c:v>
                </c:pt>
                <c:pt idx="601">
                  <c:v>0.60199999999999998</c:v>
                </c:pt>
                <c:pt idx="602">
                  <c:v>0.60299999999999998</c:v>
                </c:pt>
                <c:pt idx="603">
                  <c:v>0.60399999999999998</c:v>
                </c:pt>
                <c:pt idx="604">
                  <c:v>0.60499999999999998</c:v>
                </c:pt>
                <c:pt idx="605">
                  <c:v>0.60599999999999998</c:v>
                </c:pt>
                <c:pt idx="606">
                  <c:v>0.60699999999999998</c:v>
                </c:pt>
                <c:pt idx="607">
                  <c:v>0.60799999999999998</c:v>
                </c:pt>
                <c:pt idx="608">
                  <c:v>0.60899999999999999</c:v>
                </c:pt>
                <c:pt idx="609">
                  <c:v>0.61</c:v>
                </c:pt>
                <c:pt idx="610">
                  <c:v>0.61099999999999999</c:v>
                </c:pt>
                <c:pt idx="611">
                  <c:v>0.61199999999999999</c:v>
                </c:pt>
                <c:pt idx="612">
                  <c:v>0.61299999999999999</c:v>
                </c:pt>
                <c:pt idx="613">
                  <c:v>0.61399999999999999</c:v>
                </c:pt>
                <c:pt idx="614">
                  <c:v>0.61499999999999999</c:v>
                </c:pt>
                <c:pt idx="615">
                  <c:v>0.61599999999999999</c:v>
                </c:pt>
                <c:pt idx="616">
                  <c:v>0.61699999999999999</c:v>
                </c:pt>
                <c:pt idx="617">
                  <c:v>0.61799999999999999</c:v>
                </c:pt>
                <c:pt idx="618">
                  <c:v>0.61899999999999999</c:v>
                </c:pt>
                <c:pt idx="619">
                  <c:v>0.62</c:v>
                </c:pt>
                <c:pt idx="620">
                  <c:v>0.621</c:v>
                </c:pt>
                <c:pt idx="621">
                  <c:v>0.622</c:v>
                </c:pt>
                <c:pt idx="622">
                  <c:v>0.623</c:v>
                </c:pt>
                <c:pt idx="623">
                  <c:v>0.624</c:v>
                </c:pt>
                <c:pt idx="624">
                  <c:v>0.625</c:v>
                </c:pt>
                <c:pt idx="625">
                  <c:v>0.626</c:v>
                </c:pt>
                <c:pt idx="626">
                  <c:v>0.627</c:v>
                </c:pt>
                <c:pt idx="627">
                  <c:v>0.628</c:v>
                </c:pt>
                <c:pt idx="628">
                  <c:v>0.629</c:v>
                </c:pt>
                <c:pt idx="629">
                  <c:v>0.63</c:v>
                </c:pt>
                <c:pt idx="630">
                  <c:v>0.63100000000000001</c:v>
                </c:pt>
                <c:pt idx="631">
                  <c:v>0.63200000000000001</c:v>
                </c:pt>
                <c:pt idx="632">
                  <c:v>0.63300000000000001</c:v>
                </c:pt>
                <c:pt idx="633">
                  <c:v>0.63400000000000001</c:v>
                </c:pt>
                <c:pt idx="634">
                  <c:v>0.63500000000000001</c:v>
                </c:pt>
                <c:pt idx="635">
                  <c:v>0.63600000000000001</c:v>
                </c:pt>
                <c:pt idx="636">
                  <c:v>0.63700000000000001</c:v>
                </c:pt>
                <c:pt idx="637">
                  <c:v>0.63800000000000001</c:v>
                </c:pt>
                <c:pt idx="638">
                  <c:v>0.63900000000000001</c:v>
                </c:pt>
                <c:pt idx="639">
                  <c:v>0.64</c:v>
                </c:pt>
                <c:pt idx="640">
                  <c:v>0.64100000000000001</c:v>
                </c:pt>
                <c:pt idx="641">
                  <c:v>0.64200000000000002</c:v>
                </c:pt>
                <c:pt idx="642">
                  <c:v>0.64300000000000002</c:v>
                </c:pt>
                <c:pt idx="643">
                  <c:v>0.64400000000000002</c:v>
                </c:pt>
                <c:pt idx="644">
                  <c:v>0.64500000000000002</c:v>
                </c:pt>
                <c:pt idx="645">
                  <c:v>0.64600000000000002</c:v>
                </c:pt>
                <c:pt idx="646">
                  <c:v>0.64700000000000002</c:v>
                </c:pt>
                <c:pt idx="647">
                  <c:v>0.64800000000000002</c:v>
                </c:pt>
                <c:pt idx="648">
                  <c:v>0.64900000000000002</c:v>
                </c:pt>
                <c:pt idx="649">
                  <c:v>0.65</c:v>
                </c:pt>
                <c:pt idx="650">
                  <c:v>0.65100000000000002</c:v>
                </c:pt>
                <c:pt idx="651">
                  <c:v>0.65200000000000002</c:v>
                </c:pt>
                <c:pt idx="652">
                  <c:v>0.65300000000000002</c:v>
                </c:pt>
                <c:pt idx="653">
                  <c:v>0.65400000000000003</c:v>
                </c:pt>
                <c:pt idx="654">
                  <c:v>0.65500000000000003</c:v>
                </c:pt>
                <c:pt idx="655">
                  <c:v>0.65600000000000003</c:v>
                </c:pt>
                <c:pt idx="656">
                  <c:v>0.65700000000000003</c:v>
                </c:pt>
                <c:pt idx="657">
                  <c:v>0.65800000000000003</c:v>
                </c:pt>
                <c:pt idx="658">
                  <c:v>0.65900000000000003</c:v>
                </c:pt>
                <c:pt idx="659">
                  <c:v>0.66</c:v>
                </c:pt>
                <c:pt idx="660">
                  <c:v>0.66100000000000003</c:v>
                </c:pt>
                <c:pt idx="661">
                  <c:v>0.66200000000000003</c:v>
                </c:pt>
                <c:pt idx="662">
                  <c:v>0.66300000000000003</c:v>
                </c:pt>
                <c:pt idx="663">
                  <c:v>0.66400000000000003</c:v>
                </c:pt>
                <c:pt idx="664">
                  <c:v>0.66500000000000004</c:v>
                </c:pt>
                <c:pt idx="665">
                  <c:v>0.66600000000000004</c:v>
                </c:pt>
                <c:pt idx="666">
                  <c:v>0.66700000000000004</c:v>
                </c:pt>
                <c:pt idx="667">
                  <c:v>0.66800000000000004</c:v>
                </c:pt>
                <c:pt idx="668">
                  <c:v>0.66900000000000004</c:v>
                </c:pt>
                <c:pt idx="669">
                  <c:v>0.67</c:v>
                </c:pt>
                <c:pt idx="670">
                  <c:v>0.67100000000000004</c:v>
                </c:pt>
                <c:pt idx="671">
                  <c:v>0.67200000000000004</c:v>
                </c:pt>
                <c:pt idx="672">
                  <c:v>0.67300000000000004</c:v>
                </c:pt>
                <c:pt idx="673">
                  <c:v>0.67400000000000004</c:v>
                </c:pt>
                <c:pt idx="674">
                  <c:v>0.67500000000000004</c:v>
                </c:pt>
                <c:pt idx="675">
                  <c:v>0.67600000000000005</c:v>
                </c:pt>
                <c:pt idx="676">
                  <c:v>0.67700000000000005</c:v>
                </c:pt>
                <c:pt idx="677">
                  <c:v>0.67800000000000005</c:v>
                </c:pt>
                <c:pt idx="678">
                  <c:v>0.67900000000000005</c:v>
                </c:pt>
                <c:pt idx="679">
                  <c:v>0.68</c:v>
                </c:pt>
                <c:pt idx="680">
                  <c:v>0.68100000000000005</c:v>
                </c:pt>
                <c:pt idx="681">
                  <c:v>0.68200000000000005</c:v>
                </c:pt>
                <c:pt idx="682">
                  <c:v>0.68300000000000005</c:v>
                </c:pt>
                <c:pt idx="683">
                  <c:v>0.68400000000000005</c:v>
                </c:pt>
                <c:pt idx="684">
                  <c:v>0.68500000000000005</c:v>
                </c:pt>
                <c:pt idx="685">
                  <c:v>0.68600000000000005</c:v>
                </c:pt>
                <c:pt idx="686">
                  <c:v>0.68700000000000006</c:v>
                </c:pt>
                <c:pt idx="687">
                  <c:v>0.68799999999999994</c:v>
                </c:pt>
                <c:pt idx="688">
                  <c:v>0.68899999999999995</c:v>
                </c:pt>
                <c:pt idx="689">
                  <c:v>0.69</c:v>
                </c:pt>
                <c:pt idx="690">
                  <c:v>0.69099999999999995</c:v>
                </c:pt>
                <c:pt idx="691">
                  <c:v>0.69199999999999995</c:v>
                </c:pt>
                <c:pt idx="692">
                  <c:v>0.69299999999999995</c:v>
                </c:pt>
                <c:pt idx="693">
                  <c:v>0.69399999999999995</c:v>
                </c:pt>
                <c:pt idx="694">
                  <c:v>0.69499999999999995</c:v>
                </c:pt>
                <c:pt idx="695">
                  <c:v>0.69599999999999995</c:v>
                </c:pt>
                <c:pt idx="696">
                  <c:v>0.69699999999999995</c:v>
                </c:pt>
                <c:pt idx="697">
                  <c:v>0.69799999999999995</c:v>
                </c:pt>
                <c:pt idx="698">
                  <c:v>0.69899999999999995</c:v>
                </c:pt>
                <c:pt idx="699">
                  <c:v>0.7</c:v>
                </c:pt>
                <c:pt idx="700">
                  <c:v>0.70099999999999996</c:v>
                </c:pt>
                <c:pt idx="701">
                  <c:v>0.70199999999999996</c:v>
                </c:pt>
                <c:pt idx="702">
                  <c:v>0.70299999999999996</c:v>
                </c:pt>
                <c:pt idx="703">
                  <c:v>0.70399999999999996</c:v>
                </c:pt>
                <c:pt idx="704">
                  <c:v>0.70499999999999996</c:v>
                </c:pt>
                <c:pt idx="705">
                  <c:v>0.70599999999999996</c:v>
                </c:pt>
                <c:pt idx="706">
                  <c:v>0.70699999999999996</c:v>
                </c:pt>
                <c:pt idx="707">
                  <c:v>0.70799999999999996</c:v>
                </c:pt>
                <c:pt idx="708">
                  <c:v>0.70899999999999996</c:v>
                </c:pt>
                <c:pt idx="709">
                  <c:v>0.71</c:v>
                </c:pt>
                <c:pt idx="710">
                  <c:v>0.71099999999999997</c:v>
                </c:pt>
                <c:pt idx="711">
                  <c:v>0.71199999999999997</c:v>
                </c:pt>
                <c:pt idx="712">
                  <c:v>0.71299999999999997</c:v>
                </c:pt>
                <c:pt idx="713">
                  <c:v>0.71399999999999997</c:v>
                </c:pt>
                <c:pt idx="714">
                  <c:v>0.71499999999999997</c:v>
                </c:pt>
                <c:pt idx="715">
                  <c:v>0.71599999999999997</c:v>
                </c:pt>
                <c:pt idx="716">
                  <c:v>0.71699999999999997</c:v>
                </c:pt>
                <c:pt idx="717">
                  <c:v>0.71799999999999997</c:v>
                </c:pt>
                <c:pt idx="718">
                  <c:v>0.71899999999999997</c:v>
                </c:pt>
                <c:pt idx="719">
                  <c:v>0.72</c:v>
                </c:pt>
                <c:pt idx="720">
                  <c:v>0.72099999999999997</c:v>
                </c:pt>
                <c:pt idx="721">
                  <c:v>0.72199999999999998</c:v>
                </c:pt>
                <c:pt idx="722">
                  <c:v>0.72299999999999998</c:v>
                </c:pt>
                <c:pt idx="723">
                  <c:v>0.72399999999999998</c:v>
                </c:pt>
                <c:pt idx="724">
                  <c:v>0.72499999999999998</c:v>
                </c:pt>
                <c:pt idx="725">
                  <c:v>0.72599999999999998</c:v>
                </c:pt>
                <c:pt idx="726">
                  <c:v>0.72699999999999998</c:v>
                </c:pt>
                <c:pt idx="727">
                  <c:v>0.72799999999999998</c:v>
                </c:pt>
                <c:pt idx="728">
                  <c:v>0.72899999999999998</c:v>
                </c:pt>
                <c:pt idx="729">
                  <c:v>0.73</c:v>
                </c:pt>
                <c:pt idx="730">
                  <c:v>0.73099999999999998</c:v>
                </c:pt>
                <c:pt idx="731">
                  <c:v>0.73199999999999998</c:v>
                </c:pt>
                <c:pt idx="732">
                  <c:v>0.73299999999999998</c:v>
                </c:pt>
                <c:pt idx="733">
                  <c:v>0.73399999999999999</c:v>
                </c:pt>
                <c:pt idx="734">
                  <c:v>0.73499999999999999</c:v>
                </c:pt>
                <c:pt idx="735">
                  <c:v>0.73599999999999999</c:v>
                </c:pt>
                <c:pt idx="736">
                  <c:v>0.73699999999999999</c:v>
                </c:pt>
                <c:pt idx="737">
                  <c:v>0.73799999999999999</c:v>
                </c:pt>
                <c:pt idx="738">
                  <c:v>0.73899999999999999</c:v>
                </c:pt>
                <c:pt idx="739">
                  <c:v>0.74</c:v>
                </c:pt>
                <c:pt idx="740">
                  <c:v>0.74099999999999999</c:v>
                </c:pt>
                <c:pt idx="741">
                  <c:v>0.74199999999999999</c:v>
                </c:pt>
                <c:pt idx="742">
                  <c:v>0.74299999999999999</c:v>
                </c:pt>
                <c:pt idx="743">
                  <c:v>0.74399999999999999</c:v>
                </c:pt>
                <c:pt idx="744">
                  <c:v>0.745</c:v>
                </c:pt>
                <c:pt idx="745">
                  <c:v>0.746</c:v>
                </c:pt>
                <c:pt idx="746">
                  <c:v>0.747</c:v>
                </c:pt>
                <c:pt idx="747">
                  <c:v>0.748</c:v>
                </c:pt>
                <c:pt idx="748">
                  <c:v>0.749</c:v>
                </c:pt>
                <c:pt idx="749">
                  <c:v>0.75</c:v>
                </c:pt>
                <c:pt idx="750">
                  <c:v>0.751</c:v>
                </c:pt>
                <c:pt idx="751">
                  <c:v>0.752</c:v>
                </c:pt>
                <c:pt idx="752">
                  <c:v>0.753</c:v>
                </c:pt>
                <c:pt idx="753">
                  <c:v>0.754</c:v>
                </c:pt>
                <c:pt idx="754">
                  <c:v>0.755</c:v>
                </c:pt>
                <c:pt idx="755">
                  <c:v>0.75600000000000001</c:v>
                </c:pt>
                <c:pt idx="756">
                  <c:v>0.75700000000000001</c:v>
                </c:pt>
                <c:pt idx="757">
                  <c:v>0.75800000000000001</c:v>
                </c:pt>
                <c:pt idx="758">
                  <c:v>0.75900000000000001</c:v>
                </c:pt>
                <c:pt idx="759">
                  <c:v>0.76</c:v>
                </c:pt>
                <c:pt idx="760">
                  <c:v>0.76100000000000001</c:v>
                </c:pt>
                <c:pt idx="761">
                  <c:v>0.76200000000000001</c:v>
                </c:pt>
                <c:pt idx="762">
                  <c:v>0.76300000000000001</c:v>
                </c:pt>
                <c:pt idx="763">
                  <c:v>0.76400000000000001</c:v>
                </c:pt>
                <c:pt idx="764">
                  <c:v>0.76500000000000001</c:v>
                </c:pt>
                <c:pt idx="765">
                  <c:v>0.76600000000000001</c:v>
                </c:pt>
                <c:pt idx="766">
                  <c:v>0.76700000000000002</c:v>
                </c:pt>
                <c:pt idx="767">
                  <c:v>0.76800000000000002</c:v>
                </c:pt>
                <c:pt idx="768">
                  <c:v>0.76900000000000002</c:v>
                </c:pt>
                <c:pt idx="769">
                  <c:v>0.77</c:v>
                </c:pt>
                <c:pt idx="770">
                  <c:v>0.77100000000000002</c:v>
                </c:pt>
                <c:pt idx="771">
                  <c:v>0.77200000000000002</c:v>
                </c:pt>
                <c:pt idx="772">
                  <c:v>0.77300000000000002</c:v>
                </c:pt>
                <c:pt idx="773">
                  <c:v>0.77400000000000002</c:v>
                </c:pt>
                <c:pt idx="774">
                  <c:v>0.77500000000000002</c:v>
                </c:pt>
                <c:pt idx="775">
                  <c:v>0.77600000000000002</c:v>
                </c:pt>
                <c:pt idx="776">
                  <c:v>0.77700000000000002</c:v>
                </c:pt>
                <c:pt idx="777">
                  <c:v>0.77800000000000002</c:v>
                </c:pt>
                <c:pt idx="778">
                  <c:v>0.77900000000000003</c:v>
                </c:pt>
                <c:pt idx="779">
                  <c:v>0.78</c:v>
                </c:pt>
                <c:pt idx="780">
                  <c:v>0.78100000000000003</c:v>
                </c:pt>
                <c:pt idx="781">
                  <c:v>0.78200000000000003</c:v>
                </c:pt>
                <c:pt idx="782">
                  <c:v>0.78300000000000003</c:v>
                </c:pt>
                <c:pt idx="783">
                  <c:v>0.78400000000000003</c:v>
                </c:pt>
                <c:pt idx="784">
                  <c:v>0.78500000000000003</c:v>
                </c:pt>
                <c:pt idx="785">
                  <c:v>0.78600000000000003</c:v>
                </c:pt>
                <c:pt idx="786">
                  <c:v>0.78700000000000003</c:v>
                </c:pt>
                <c:pt idx="787">
                  <c:v>0.78800000000000003</c:v>
                </c:pt>
                <c:pt idx="788">
                  <c:v>0.78900000000000003</c:v>
                </c:pt>
                <c:pt idx="789">
                  <c:v>0.79</c:v>
                </c:pt>
                <c:pt idx="790">
                  <c:v>0.79100000000000004</c:v>
                </c:pt>
                <c:pt idx="791">
                  <c:v>0.79200000000000004</c:v>
                </c:pt>
                <c:pt idx="792">
                  <c:v>0.79300000000000004</c:v>
                </c:pt>
                <c:pt idx="793">
                  <c:v>0.79400000000000004</c:v>
                </c:pt>
                <c:pt idx="794">
                  <c:v>0.79500000000000004</c:v>
                </c:pt>
                <c:pt idx="795">
                  <c:v>0.79600000000000004</c:v>
                </c:pt>
                <c:pt idx="796">
                  <c:v>0.79700000000000004</c:v>
                </c:pt>
                <c:pt idx="797">
                  <c:v>0.79800000000000004</c:v>
                </c:pt>
                <c:pt idx="798">
                  <c:v>0.79900000000000004</c:v>
                </c:pt>
                <c:pt idx="799">
                  <c:v>0.8</c:v>
                </c:pt>
                <c:pt idx="800">
                  <c:v>0.80100000000000005</c:v>
                </c:pt>
                <c:pt idx="801">
                  <c:v>0.80200000000000005</c:v>
                </c:pt>
                <c:pt idx="802">
                  <c:v>0.80300000000000005</c:v>
                </c:pt>
                <c:pt idx="803">
                  <c:v>0.80400000000000005</c:v>
                </c:pt>
                <c:pt idx="804">
                  <c:v>0.80500000000000005</c:v>
                </c:pt>
                <c:pt idx="805">
                  <c:v>0.80600000000000005</c:v>
                </c:pt>
                <c:pt idx="806">
                  <c:v>0.80700000000000005</c:v>
                </c:pt>
                <c:pt idx="807">
                  <c:v>0.80800000000000005</c:v>
                </c:pt>
                <c:pt idx="808">
                  <c:v>0.80900000000000005</c:v>
                </c:pt>
                <c:pt idx="809">
                  <c:v>0.81</c:v>
                </c:pt>
                <c:pt idx="810">
                  <c:v>0.81100000000000005</c:v>
                </c:pt>
                <c:pt idx="811">
                  <c:v>0.81200000000000006</c:v>
                </c:pt>
                <c:pt idx="812">
                  <c:v>0.81299999999999994</c:v>
                </c:pt>
                <c:pt idx="813">
                  <c:v>0.81399999999999995</c:v>
                </c:pt>
                <c:pt idx="814">
                  <c:v>0.81499999999999995</c:v>
                </c:pt>
                <c:pt idx="815">
                  <c:v>0.81599999999999995</c:v>
                </c:pt>
                <c:pt idx="816">
                  <c:v>0.81699999999999995</c:v>
                </c:pt>
                <c:pt idx="817">
                  <c:v>0.81799999999999995</c:v>
                </c:pt>
                <c:pt idx="818">
                  <c:v>0.81899999999999995</c:v>
                </c:pt>
                <c:pt idx="819">
                  <c:v>0.82</c:v>
                </c:pt>
                <c:pt idx="820">
                  <c:v>0.82099999999999995</c:v>
                </c:pt>
                <c:pt idx="821">
                  <c:v>0.82199999999999995</c:v>
                </c:pt>
                <c:pt idx="822">
                  <c:v>0.82299999999999995</c:v>
                </c:pt>
                <c:pt idx="823">
                  <c:v>0.82399999999999995</c:v>
                </c:pt>
                <c:pt idx="824">
                  <c:v>0.82499999999999996</c:v>
                </c:pt>
                <c:pt idx="825">
                  <c:v>0.82599999999999996</c:v>
                </c:pt>
                <c:pt idx="826">
                  <c:v>0.82699999999999996</c:v>
                </c:pt>
                <c:pt idx="827">
                  <c:v>0.82799999999999996</c:v>
                </c:pt>
                <c:pt idx="828">
                  <c:v>0.82899999999999996</c:v>
                </c:pt>
                <c:pt idx="829">
                  <c:v>0.83</c:v>
                </c:pt>
                <c:pt idx="830">
                  <c:v>0.83099999999999996</c:v>
                </c:pt>
                <c:pt idx="831">
                  <c:v>0.83199999999999996</c:v>
                </c:pt>
                <c:pt idx="832">
                  <c:v>0.83299999999999996</c:v>
                </c:pt>
                <c:pt idx="833">
                  <c:v>0.83399999999999996</c:v>
                </c:pt>
                <c:pt idx="834">
                  <c:v>0.83499999999999996</c:v>
                </c:pt>
                <c:pt idx="835">
                  <c:v>0.83599999999999997</c:v>
                </c:pt>
                <c:pt idx="836">
                  <c:v>0.83699999999999997</c:v>
                </c:pt>
                <c:pt idx="837">
                  <c:v>0.83799999999999997</c:v>
                </c:pt>
                <c:pt idx="838">
                  <c:v>0.83899999999999997</c:v>
                </c:pt>
                <c:pt idx="839">
                  <c:v>0.84</c:v>
                </c:pt>
                <c:pt idx="840">
                  <c:v>0.84099999999999997</c:v>
                </c:pt>
                <c:pt idx="841">
                  <c:v>0.84199999999999997</c:v>
                </c:pt>
                <c:pt idx="842">
                  <c:v>0.84299999999999997</c:v>
                </c:pt>
                <c:pt idx="843">
                  <c:v>0.84399999999999997</c:v>
                </c:pt>
                <c:pt idx="844">
                  <c:v>0.84499999999999997</c:v>
                </c:pt>
                <c:pt idx="845">
                  <c:v>0.84599999999999997</c:v>
                </c:pt>
                <c:pt idx="846">
                  <c:v>0.84699999999999998</c:v>
                </c:pt>
                <c:pt idx="847">
                  <c:v>0.84799999999999998</c:v>
                </c:pt>
                <c:pt idx="848">
                  <c:v>0.84899999999999998</c:v>
                </c:pt>
                <c:pt idx="849">
                  <c:v>0.85</c:v>
                </c:pt>
                <c:pt idx="850">
                  <c:v>0.85099999999999998</c:v>
                </c:pt>
                <c:pt idx="851">
                  <c:v>0.85199999999999998</c:v>
                </c:pt>
                <c:pt idx="852">
                  <c:v>0.85299999999999998</c:v>
                </c:pt>
                <c:pt idx="853">
                  <c:v>0.85399999999999998</c:v>
                </c:pt>
                <c:pt idx="854">
                  <c:v>0.85499999999999998</c:v>
                </c:pt>
                <c:pt idx="855">
                  <c:v>0.85599999999999998</c:v>
                </c:pt>
                <c:pt idx="856">
                  <c:v>0.85699999999999998</c:v>
                </c:pt>
                <c:pt idx="857">
                  <c:v>0.85799999999999998</c:v>
                </c:pt>
                <c:pt idx="858">
                  <c:v>0.85899999999999999</c:v>
                </c:pt>
                <c:pt idx="859">
                  <c:v>0.86</c:v>
                </c:pt>
                <c:pt idx="860">
                  <c:v>0.86099999999999999</c:v>
                </c:pt>
                <c:pt idx="861">
                  <c:v>0.86199999999999999</c:v>
                </c:pt>
                <c:pt idx="862">
                  <c:v>0.86299999999999999</c:v>
                </c:pt>
                <c:pt idx="863">
                  <c:v>0.86399999999999999</c:v>
                </c:pt>
                <c:pt idx="864">
                  <c:v>0.86499999999999999</c:v>
                </c:pt>
                <c:pt idx="865">
                  <c:v>0.86599999999999999</c:v>
                </c:pt>
                <c:pt idx="866">
                  <c:v>0.86699999999999999</c:v>
                </c:pt>
                <c:pt idx="867">
                  <c:v>0.86799999999999999</c:v>
                </c:pt>
                <c:pt idx="868">
                  <c:v>0.86899999999999999</c:v>
                </c:pt>
                <c:pt idx="869">
                  <c:v>0.87</c:v>
                </c:pt>
                <c:pt idx="870">
                  <c:v>0.871</c:v>
                </c:pt>
                <c:pt idx="871">
                  <c:v>0.872</c:v>
                </c:pt>
                <c:pt idx="872">
                  <c:v>0.873</c:v>
                </c:pt>
                <c:pt idx="873">
                  <c:v>0.874</c:v>
                </c:pt>
                <c:pt idx="874">
                  <c:v>0.875</c:v>
                </c:pt>
                <c:pt idx="875">
                  <c:v>0.876</c:v>
                </c:pt>
                <c:pt idx="876">
                  <c:v>0.877</c:v>
                </c:pt>
                <c:pt idx="877">
                  <c:v>0.878</c:v>
                </c:pt>
                <c:pt idx="878">
                  <c:v>0.879</c:v>
                </c:pt>
                <c:pt idx="879">
                  <c:v>0.88</c:v>
                </c:pt>
                <c:pt idx="880">
                  <c:v>0.88100000000000001</c:v>
                </c:pt>
                <c:pt idx="881">
                  <c:v>0.88200000000000001</c:v>
                </c:pt>
                <c:pt idx="882">
                  <c:v>0.88300000000000001</c:v>
                </c:pt>
                <c:pt idx="883">
                  <c:v>0.88400000000000001</c:v>
                </c:pt>
                <c:pt idx="884">
                  <c:v>0.88500000000000001</c:v>
                </c:pt>
                <c:pt idx="885">
                  <c:v>0.88600000000000001</c:v>
                </c:pt>
                <c:pt idx="886">
                  <c:v>0.88700000000000001</c:v>
                </c:pt>
                <c:pt idx="887">
                  <c:v>0.88800000000000001</c:v>
                </c:pt>
                <c:pt idx="888">
                  <c:v>0.88900000000000001</c:v>
                </c:pt>
                <c:pt idx="889">
                  <c:v>0.89</c:v>
                </c:pt>
                <c:pt idx="890">
                  <c:v>0.89100000000000001</c:v>
                </c:pt>
                <c:pt idx="891">
                  <c:v>0.89200000000000002</c:v>
                </c:pt>
                <c:pt idx="892">
                  <c:v>0.89300000000000002</c:v>
                </c:pt>
                <c:pt idx="893">
                  <c:v>0.89400000000000002</c:v>
                </c:pt>
                <c:pt idx="894">
                  <c:v>0.89500000000000002</c:v>
                </c:pt>
                <c:pt idx="895">
                  <c:v>0.89600000000000002</c:v>
                </c:pt>
                <c:pt idx="896">
                  <c:v>0.89700000000000002</c:v>
                </c:pt>
                <c:pt idx="897">
                  <c:v>0.89800000000000002</c:v>
                </c:pt>
                <c:pt idx="898">
                  <c:v>0.89900000000000002</c:v>
                </c:pt>
                <c:pt idx="899">
                  <c:v>0.9</c:v>
                </c:pt>
                <c:pt idx="900">
                  <c:v>0.90100000000000002</c:v>
                </c:pt>
                <c:pt idx="901">
                  <c:v>0.90200000000000002</c:v>
                </c:pt>
                <c:pt idx="902">
                  <c:v>0.90300000000000002</c:v>
                </c:pt>
                <c:pt idx="903">
                  <c:v>0.90400000000000003</c:v>
                </c:pt>
                <c:pt idx="904">
                  <c:v>0.90500000000000003</c:v>
                </c:pt>
                <c:pt idx="905">
                  <c:v>0.90600000000000003</c:v>
                </c:pt>
                <c:pt idx="906">
                  <c:v>0.90700000000000003</c:v>
                </c:pt>
                <c:pt idx="907">
                  <c:v>0.90800000000000003</c:v>
                </c:pt>
                <c:pt idx="908">
                  <c:v>0.90900000000000003</c:v>
                </c:pt>
                <c:pt idx="909">
                  <c:v>0.91</c:v>
                </c:pt>
                <c:pt idx="910">
                  <c:v>0.91100000000000003</c:v>
                </c:pt>
                <c:pt idx="911">
                  <c:v>0.91200000000000003</c:v>
                </c:pt>
                <c:pt idx="912">
                  <c:v>0.91300000000000003</c:v>
                </c:pt>
                <c:pt idx="913">
                  <c:v>0.91400000000000003</c:v>
                </c:pt>
                <c:pt idx="914">
                  <c:v>0.91500000000000004</c:v>
                </c:pt>
                <c:pt idx="915">
                  <c:v>0.91600000000000004</c:v>
                </c:pt>
                <c:pt idx="916">
                  <c:v>0.91700000000000004</c:v>
                </c:pt>
                <c:pt idx="917">
                  <c:v>0.91800000000000004</c:v>
                </c:pt>
                <c:pt idx="918">
                  <c:v>0.91900000000000004</c:v>
                </c:pt>
                <c:pt idx="919">
                  <c:v>0.92</c:v>
                </c:pt>
                <c:pt idx="920">
                  <c:v>0.92100000000000004</c:v>
                </c:pt>
                <c:pt idx="921">
                  <c:v>0.92200000000000004</c:v>
                </c:pt>
                <c:pt idx="922">
                  <c:v>0.92300000000000004</c:v>
                </c:pt>
                <c:pt idx="923">
                  <c:v>0.92400000000000004</c:v>
                </c:pt>
                <c:pt idx="924">
                  <c:v>0.92500000000000004</c:v>
                </c:pt>
                <c:pt idx="925">
                  <c:v>0.92600000000000005</c:v>
                </c:pt>
                <c:pt idx="926">
                  <c:v>0.92700000000000005</c:v>
                </c:pt>
                <c:pt idx="927">
                  <c:v>0.92800000000000005</c:v>
                </c:pt>
                <c:pt idx="928">
                  <c:v>0.92900000000000005</c:v>
                </c:pt>
                <c:pt idx="929">
                  <c:v>0.93</c:v>
                </c:pt>
                <c:pt idx="930">
                  <c:v>0.93100000000000005</c:v>
                </c:pt>
                <c:pt idx="931">
                  <c:v>0.93200000000000005</c:v>
                </c:pt>
                <c:pt idx="932">
                  <c:v>0.93300000000000005</c:v>
                </c:pt>
                <c:pt idx="933">
                  <c:v>0.93400000000000005</c:v>
                </c:pt>
                <c:pt idx="934">
                  <c:v>0.93500000000000005</c:v>
                </c:pt>
                <c:pt idx="935">
                  <c:v>0.93600000000000005</c:v>
                </c:pt>
                <c:pt idx="936">
                  <c:v>0.93700000000000006</c:v>
                </c:pt>
                <c:pt idx="937">
                  <c:v>0.93799999999999994</c:v>
                </c:pt>
                <c:pt idx="938">
                  <c:v>0.93899999999999995</c:v>
                </c:pt>
                <c:pt idx="939">
                  <c:v>0.94</c:v>
                </c:pt>
                <c:pt idx="940">
                  <c:v>0.94099999999999995</c:v>
                </c:pt>
                <c:pt idx="941">
                  <c:v>0.94199999999999995</c:v>
                </c:pt>
                <c:pt idx="942">
                  <c:v>0.94299999999999995</c:v>
                </c:pt>
                <c:pt idx="943">
                  <c:v>0.94399999999999995</c:v>
                </c:pt>
                <c:pt idx="944">
                  <c:v>0.94499999999999995</c:v>
                </c:pt>
                <c:pt idx="945">
                  <c:v>0.94599999999999995</c:v>
                </c:pt>
                <c:pt idx="946">
                  <c:v>0.94699999999999995</c:v>
                </c:pt>
                <c:pt idx="947">
                  <c:v>0.94799999999999995</c:v>
                </c:pt>
                <c:pt idx="948">
                  <c:v>0.94899999999999995</c:v>
                </c:pt>
                <c:pt idx="949">
                  <c:v>0.95</c:v>
                </c:pt>
                <c:pt idx="950">
                  <c:v>0.95099999999999996</c:v>
                </c:pt>
                <c:pt idx="951">
                  <c:v>0.95199999999999996</c:v>
                </c:pt>
                <c:pt idx="952">
                  <c:v>0.95299999999999996</c:v>
                </c:pt>
                <c:pt idx="953">
                  <c:v>0.95399999999999996</c:v>
                </c:pt>
                <c:pt idx="954">
                  <c:v>0.95499999999999996</c:v>
                </c:pt>
                <c:pt idx="955">
                  <c:v>0.95599999999999996</c:v>
                </c:pt>
                <c:pt idx="956">
                  <c:v>0.95699999999999996</c:v>
                </c:pt>
                <c:pt idx="957">
                  <c:v>0.95799999999999996</c:v>
                </c:pt>
                <c:pt idx="958">
                  <c:v>0.95899999999999996</c:v>
                </c:pt>
                <c:pt idx="959">
                  <c:v>0.96</c:v>
                </c:pt>
                <c:pt idx="960">
                  <c:v>0.96099999999999997</c:v>
                </c:pt>
                <c:pt idx="961">
                  <c:v>0.96199999999999997</c:v>
                </c:pt>
                <c:pt idx="962">
                  <c:v>0.96299999999999997</c:v>
                </c:pt>
                <c:pt idx="963">
                  <c:v>0.96399999999999997</c:v>
                </c:pt>
                <c:pt idx="964">
                  <c:v>0.96499999999999997</c:v>
                </c:pt>
                <c:pt idx="965">
                  <c:v>0.96599999999999997</c:v>
                </c:pt>
                <c:pt idx="966">
                  <c:v>0.96699999999999997</c:v>
                </c:pt>
                <c:pt idx="967">
                  <c:v>0.96799999999999997</c:v>
                </c:pt>
                <c:pt idx="968">
                  <c:v>0.96899999999999997</c:v>
                </c:pt>
                <c:pt idx="969">
                  <c:v>0.97</c:v>
                </c:pt>
                <c:pt idx="970">
                  <c:v>0.97099999999999997</c:v>
                </c:pt>
                <c:pt idx="971">
                  <c:v>0.97199999999999998</c:v>
                </c:pt>
                <c:pt idx="972">
                  <c:v>0.97299999999999998</c:v>
                </c:pt>
                <c:pt idx="973">
                  <c:v>0.97399999999999998</c:v>
                </c:pt>
                <c:pt idx="974">
                  <c:v>0.97499999999999998</c:v>
                </c:pt>
                <c:pt idx="975">
                  <c:v>0.97599999999999998</c:v>
                </c:pt>
                <c:pt idx="976">
                  <c:v>0.97699999999999998</c:v>
                </c:pt>
                <c:pt idx="977">
                  <c:v>0.97799999999999998</c:v>
                </c:pt>
                <c:pt idx="978">
                  <c:v>0.97899999999999998</c:v>
                </c:pt>
                <c:pt idx="979">
                  <c:v>0.98</c:v>
                </c:pt>
                <c:pt idx="980">
                  <c:v>0.98099999999999998</c:v>
                </c:pt>
                <c:pt idx="981">
                  <c:v>0.98199999999999998</c:v>
                </c:pt>
                <c:pt idx="982">
                  <c:v>0.98299999999999998</c:v>
                </c:pt>
                <c:pt idx="983">
                  <c:v>0.98399999999999999</c:v>
                </c:pt>
                <c:pt idx="984">
                  <c:v>0.98499999999999999</c:v>
                </c:pt>
                <c:pt idx="985">
                  <c:v>0.98599999999999999</c:v>
                </c:pt>
                <c:pt idx="986">
                  <c:v>0.98699999999999999</c:v>
                </c:pt>
                <c:pt idx="987">
                  <c:v>0.98799999999999999</c:v>
                </c:pt>
                <c:pt idx="988">
                  <c:v>0.98899999999999999</c:v>
                </c:pt>
                <c:pt idx="989">
                  <c:v>0.99</c:v>
                </c:pt>
                <c:pt idx="990">
                  <c:v>0.99099999999999999</c:v>
                </c:pt>
                <c:pt idx="991">
                  <c:v>0.99199999999999999</c:v>
                </c:pt>
                <c:pt idx="992">
                  <c:v>0.99299999999999999</c:v>
                </c:pt>
                <c:pt idx="993">
                  <c:v>0.99399999999999999</c:v>
                </c:pt>
                <c:pt idx="994">
                  <c:v>0.995</c:v>
                </c:pt>
                <c:pt idx="995">
                  <c:v>0.996</c:v>
                </c:pt>
                <c:pt idx="996">
                  <c:v>0.997</c:v>
                </c:pt>
                <c:pt idx="997">
                  <c:v>0.998</c:v>
                </c:pt>
                <c:pt idx="998">
                  <c:v>0.999</c:v>
                </c:pt>
                <c:pt idx="999">
                  <c:v>1</c:v>
                </c:pt>
              </c:numCache>
            </c:numRef>
          </c:yVal>
          <c:smooth val="0"/>
          <c:extLst>
            <c:ext xmlns:c16="http://schemas.microsoft.com/office/drawing/2014/chart" uri="{C3380CC4-5D6E-409C-BE32-E72D297353CC}">
              <c16:uniqueId val="{00000000-B68D-41AB-96BB-76F7268477F7}"/>
            </c:ext>
          </c:extLst>
        </c:ser>
        <c:dLbls>
          <c:showLegendKey val="0"/>
          <c:showVal val="0"/>
          <c:showCatName val="0"/>
          <c:showSerName val="0"/>
          <c:showPercent val="0"/>
          <c:showBubbleSize val="0"/>
        </c:dLbls>
        <c:axId val="133799296"/>
        <c:axId val="134739456"/>
      </c:scatterChart>
      <c:valAx>
        <c:axId val="133799296"/>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solidFill>
                    <a:latin typeface="+mn-lt"/>
                    <a:ea typeface="+mn-ea"/>
                    <a:cs typeface="+mn-cs"/>
                  </a:defRPr>
                </a:pPr>
                <a:r>
                  <a:rPr lang="it-IT" sz="1400" dirty="0">
                    <a:solidFill>
                      <a:schemeClr val="tx1"/>
                    </a:solidFill>
                  </a:rPr>
                  <a:t>WILLINGNESS-TO-PAY</a:t>
                </a:r>
              </a:p>
            </c:rich>
          </c:tx>
          <c:overlay val="0"/>
          <c:spPr>
            <a:noFill/>
            <a:ln>
              <a:noFill/>
            </a:ln>
            <a:effectLst/>
          </c:spPr>
        </c:title>
        <c:numFmt formatCode="#,##0.00\ &quot;€&quot;"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n-US"/>
          </a:p>
        </c:txPr>
        <c:crossAx val="134739456"/>
        <c:crosses val="autoZero"/>
        <c:crossBetween val="midCat"/>
      </c:valAx>
      <c:valAx>
        <c:axId val="134739456"/>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mn-lt"/>
                    <a:ea typeface="+mn-ea"/>
                    <a:cs typeface="+mn-cs"/>
                  </a:defRPr>
                </a:pPr>
                <a:r>
                  <a:rPr lang="it-IT" sz="1400" dirty="0">
                    <a:solidFill>
                      <a:schemeClr val="tx1"/>
                    </a:solidFill>
                  </a:rPr>
                  <a:t>PROBABILITY</a:t>
                </a:r>
                <a:r>
                  <a:rPr lang="it-IT" sz="1400" baseline="0" dirty="0">
                    <a:solidFill>
                      <a:schemeClr val="tx1"/>
                    </a:solidFill>
                  </a:rPr>
                  <a:t> OF COST-EFFECTIVENESS</a:t>
                </a:r>
                <a:endParaRPr lang="it-IT" sz="1400" dirty="0">
                  <a:solidFill>
                    <a:schemeClr val="tx1"/>
                  </a:solidFill>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n-US"/>
          </a:p>
        </c:txPr>
        <c:crossAx val="133799296"/>
        <c:crosses val="autoZero"/>
        <c:crossBetween val="midCat"/>
        <c:majorUnit val="0.1"/>
      </c:valAx>
      <c:spPr>
        <a:noFill/>
        <a:ln>
          <a:noFill/>
        </a:ln>
        <a:effectLst/>
      </c:spPr>
    </c:plotArea>
    <c:plotVisOnly val="1"/>
    <c:dispBlanksAs val="gap"/>
    <c:showDLblsOverMax val="0"/>
  </c:chart>
  <c:spPr>
    <a:noFill/>
    <a:ln>
      <a:noFill/>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AED6BA-1E36-4A51-BA5B-0E9B926EF9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178</Pages>
  <Words>47964</Words>
  <Characters>273399</Characters>
  <Application>Microsoft Office Word</Application>
  <DocSecurity>0</DocSecurity>
  <Lines>2278</Lines>
  <Paragraphs>641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Dossier a supporto della domanda di rimborsabilità e prezzo</vt:lpstr>
      <vt:lpstr>Dossier a supporto della domanda di rimborsabilità e prezzo</vt:lpstr>
    </vt:vector>
  </TitlesOfParts>
  <Company>Intexo</Company>
  <LinksUpToDate>false</LinksUpToDate>
  <CharactersWithSpaces>320722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 a supporto della domanda di rimborsabilità e prezzo</dc:title>
  <dc:creator>Mariangela Prada</dc:creator>
  <cp:lastModifiedBy>David Kennard</cp:lastModifiedBy>
  <cp:revision>2</cp:revision>
  <cp:lastPrinted>2017-01-25T12:54:00Z</cp:lastPrinted>
  <dcterms:created xsi:type="dcterms:W3CDTF">2024-03-07T12:16:00Z</dcterms:created>
  <dcterms:modified xsi:type="dcterms:W3CDTF">2024-03-07T12:16:00Z</dcterms:modified>
</cp:coreProperties>
</file>