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BF55" w14:textId="4A9EBB95" w:rsidR="0089122A" w:rsidRPr="00705274" w:rsidRDefault="00077FE8" w:rsidP="0089122A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PRODUCT CHARACTERISTICS</w:t>
      </w:r>
    </w:p>
    <w:p w14:paraId="2B3DFFFE" w14:textId="1C02F3A7" w:rsidR="0089122A" w:rsidRDefault="0089122A" w:rsidP="00214A81">
      <w:pPr>
        <w:tabs>
          <w:tab w:val="left" w:pos="709"/>
        </w:tabs>
        <w:jc w:val="both"/>
        <w:rPr>
          <w:rFonts w:asciiTheme="minorHAnsi" w:hAnsiTheme="minorHAnsi"/>
          <w:iCs/>
          <w:sz w:val="22"/>
          <w:szCs w:val="22"/>
        </w:rPr>
      </w:pPr>
      <w:r w:rsidRPr="00705274">
        <w:rPr>
          <w:rFonts w:asciiTheme="minorHAnsi" w:hAnsiTheme="minorHAnsi"/>
          <w:b/>
          <w:sz w:val="22"/>
          <w:szCs w:val="22"/>
        </w:rPr>
        <w:t xml:space="preserve">4.1 </w:t>
      </w:r>
      <w:r w:rsidRPr="00705274">
        <w:rPr>
          <w:rFonts w:asciiTheme="minorHAnsi" w:hAnsiTheme="minorHAnsi"/>
          <w:b/>
          <w:sz w:val="22"/>
          <w:szCs w:val="22"/>
        </w:rPr>
        <w:tab/>
      </w:r>
      <w:r w:rsidR="00CD1CAE">
        <w:rPr>
          <w:rFonts w:asciiTheme="minorHAnsi" w:hAnsiTheme="minorHAnsi"/>
          <w:b/>
          <w:sz w:val="22"/>
          <w:szCs w:val="22"/>
        </w:rPr>
        <w:t xml:space="preserve">Therapeutic </w:t>
      </w:r>
      <w:r w:rsidR="0057540E">
        <w:rPr>
          <w:rFonts w:asciiTheme="minorHAnsi" w:hAnsiTheme="minorHAnsi"/>
          <w:b/>
          <w:sz w:val="22"/>
          <w:szCs w:val="22"/>
        </w:rPr>
        <w:t>Indications</w:t>
      </w:r>
    </w:p>
    <w:p w14:paraId="35EA419D" w14:textId="0DB2231F" w:rsidR="0089122A" w:rsidRDefault="00870CED" w:rsidP="0089122A">
      <w:pPr>
        <w:ind w:left="709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Anxiety</w:t>
      </w:r>
      <w:r w:rsidR="004D71C2">
        <w:rPr>
          <w:rFonts w:asciiTheme="minorHAnsi" w:hAnsiTheme="minorHAnsi"/>
          <w:iCs/>
          <w:sz w:val="22"/>
          <w:szCs w:val="22"/>
        </w:rPr>
        <w:t xml:space="preserve">, tension and other somatic symptoms or mental </w:t>
      </w:r>
      <w:r w:rsidR="00E51DEB">
        <w:rPr>
          <w:rFonts w:asciiTheme="minorHAnsi" w:hAnsiTheme="minorHAnsi"/>
          <w:iCs/>
          <w:sz w:val="22"/>
          <w:szCs w:val="22"/>
        </w:rPr>
        <w:t>health conditions</w:t>
      </w:r>
      <w:r w:rsidR="004D71C2">
        <w:rPr>
          <w:rFonts w:asciiTheme="minorHAnsi" w:hAnsiTheme="minorHAnsi"/>
          <w:iCs/>
          <w:sz w:val="22"/>
          <w:szCs w:val="22"/>
        </w:rPr>
        <w:t xml:space="preserve"> associated with </w:t>
      </w:r>
      <w:r w:rsidR="00C0581E">
        <w:rPr>
          <w:rFonts w:asciiTheme="minorHAnsi" w:hAnsiTheme="minorHAnsi"/>
          <w:iCs/>
          <w:sz w:val="22"/>
          <w:szCs w:val="22"/>
        </w:rPr>
        <w:t>anxiety disorder.</w:t>
      </w:r>
    </w:p>
    <w:p w14:paraId="3C557F7E" w14:textId="7D7896E6" w:rsidR="00EB296C" w:rsidRDefault="00EB296C" w:rsidP="0089122A">
      <w:pPr>
        <w:ind w:left="709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Panic attacks with or without </w:t>
      </w:r>
      <w:r w:rsidR="00822A56">
        <w:rPr>
          <w:rFonts w:asciiTheme="minorHAnsi" w:hAnsiTheme="minorHAnsi"/>
          <w:iCs/>
          <w:sz w:val="22"/>
          <w:szCs w:val="22"/>
        </w:rPr>
        <w:t>agoraphobia.</w:t>
      </w:r>
    </w:p>
    <w:p w14:paraId="16420379" w14:textId="0CDE30BC" w:rsidR="00822A56" w:rsidRPr="0089122A" w:rsidRDefault="00822A56" w:rsidP="0089122A">
      <w:pPr>
        <w:ind w:left="709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Benzo</w:t>
      </w:r>
      <w:r w:rsidR="00485A7C">
        <w:rPr>
          <w:rFonts w:asciiTheme="minorHAnsi" w:hAnsiTheme="minorHAnsi"/>
          <w:iCs/>
          <w:sz w:val="22"/>
          <w:szCs w:val="22"/>
        </w:rPr>
        <w:t xml:space="preserve">diazepines </w:t>
      </w:r>
      <w:r w:rsidR="007B018B">
        <w:rPr>
          <w:rFonts w:asciiTheme="minorHAnsi" w:hAnsiTheme="minorHAnsi"/>
          <w:iCs/>
          <w:sz w:val="22"/>
          <w:szCs w:val="22"/>
        </w:rPr>
        <w:t xml:space="preserve">are </w:t>
      </w:r>
      <w:r w:rsidR="00ED7D5F">
        <w:rPr>
          <w:rFonts w:asciiTheme="minorHAnsi" w:hAnsiTheme="minorHAnsi"/>
          <w:iCs/>
          <w:sz w:val="22"/>
          <w:szCs w:val="22"/>
        </w:rPr>
        <w:t xml:space="preserve">only </w:t>
      </w:r>
      <w:r w:rsidR="007B018B">
        <w:rPr>
          <w:rFonts w:asciiTheme="minorHAnsi" w:hAnsiTheme="minorHAnsi"/>
          <w:iCs/>
          <w:sz w:val="22"/>
          <w:szCs w:val="22"/>
        </w:rPr>
        <w:t>recommended</w:t>
      </w:r>
      <w:r w:rsidR="00ED7D5F">
        <w:rPr>
          <w:rFonts w:asciiTheme="minorHAnsi" w:hAnsiTheme="minorHAnsi"/>
          <w:iCs/>
          <w:sz w:val="22"/>
          <w:szCs w:val="22"/>
        </w:rPr>
        <w:t xml:space="preserve"> when the condition </w:t>
      </w:r>
      <w:r w:rsidR="005C2361">
        <w:rPr>
          <w:rFonts w:asciiTheme="minorHAnsi" w:hAnsiTheme="minorHAnsi"/>
          <w:iCs/>
          <w:sz w:val="22"/>
          <w:szCs w:val="22"/>
        </w:rPr>
        <w:t>is serious or di</w:t>
      </w:r>
      <w:r w:rsidR="00642635">
        <w:rPr>
          <w:rFonts w:asciiTheme="minorHAnsi" w:hAnsiTheme="minorHAnsi"/>
          <w:iCs/>
          <w:sz w:val="22"/>
          <w:szCs w:val="22"/>
        </w:rPr>
        <w:t xml:space="preserve">sabling and </w:t>
      </w:r>
      <w:r w:rsidR="00B11AA3">
        <w:rPr>
          <w:rFonts w:asciiTheme="minorHAnsi" w:hAnsiTheme="minorHAnsi"/>
          <w:iCs/>
          <w:sz w:val="22"/>
          <w:szCs w:val="22"/>
        </w:rPr>
        <w:t xml:space="preserve">puts the subject </w:t>
      </w:r>
      <w:r w:rsidR="00211B7D">
        <w:rPr>
          <w:rFonts w:asciiTheme="minorHAnsi" w:hAnsiTheme="minorHAnsi"/>
          <w:iCs/>
          <w:sz w:val="22"/>
          <w:szCs w:val="22"/>
        </w:rPr>
        <w:t>at great risk.</w:t>
      </w:r>
    </w:p>
    <w:p w14:paraId="0056141D" w14:textId="77777777" w:rsidR="002120A3" w:rsidRDefault="002120A3" w:rsidP="00EC21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54AA070" w14:textId="363DEA66" w:rsidR="0089122A" w:rsidRDefault="0089122A" w:rsidP="00EC21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  <w:r w:rsidRPr="00705274">
        <w:rPr>
          <w:rFonts w:asciiTheme="minorHAnsi" w:hAnsiTheme="minorHAnsi"/>
          <w:b/>
          <w:sz w:val="22"/>
          <w:szCs w:val="22"/>
        </w:rPr>
        <w:t>4.2</w:t>
      </w:r>
      <w:r w:rsidRPr="00705274">
        <w:rPr>
          <w:rFonts w:asciiTheme="minorHAnsi" w:hAnsiTheme="minorHAnsi"/>
          <w:b/>
          <w:sz w:val="22"/>
          <w:szCs w:val="22"/>
        </w:rPr>
        <w:tab/>
      </w:r>
      <w:r w:rsidR="0057540E">
        <w:rPr>
          <w:rFonts w:asciiTheme="minorHAnsi" w:hAnsiTheme="minorHAnsi"/>
          <w:b/>
          <w:sz w:val="22"/>
          <w:szCs w:val="22"/>
        </w:rPr>
        <w:t>Posology and method of administration</w:t>
      </w:r>
    </w:p>
    <w:p w14:paraId="7D68D774" w14:textId="5034C614" w:rsidR="00211B7D" w:rsidRDefault="002120A3" w:rsidP="002120A3">
      <w:pPr>
        <w:tabs>
          <w:tab w:val="left" w:pos="709"/>
        </w:tabs>
        <w:ind w:firstLine="72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Agora</w:t>
      </w:r>
      <w:r w:rsidR="008811F4">
        <w:rPr>
          <w:rFonts w:asciiTheme="minorHAnsi" w:hAnsiTheme="minorHAnsi"/>
          <w:i/>
          <w:sz w:val="22"/>
          <w:szCs w:val="22"/>
        </w:rPr>
        <w:t>phobia and panic disorder</w:t>
      </w:r>
    </w:p>
    <w:p w14:paraId="0A364EF6" w14:textId="56134047" w:rsidR="00A10225" w:rsidRDefault="005C5CD4" w:rsidP="002120A3">
      <w:pPr>
        <w:tabs>
          <w:tab w:val="left" w:pos="709"/>
        </w:tabs>
        <w:ind w:firstLine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For</w:t>
      </w:r>
      <w:r w:rsidR="00A9255B">
        <w:rPr>
          <w:rFonts w:asciiTheme="minorHAnsi" w:hAnsiTheme="minorHAnsi"/>
          <w:iCs/>
          <w:sz w:val="22"/>
          <w:szCs w:val="22"/>
        </w:rPr>
        <w:t xml:space="preserve"> patients with </w:t>
      </w:r>
      <w:r w:rsidR="00670674">
        <w:rPr>
          <w:rFonts w:asciiTheme="minorHAnsi" w:hAnsiTheme="minorHAnsi"/>
          <w:iCs/>
          <w:sz w:val="22"/>
          <w:szCs w:val="22"/>
        </w:rPr>
        <w:t xml:space="preserve">agoraphobia </w:t>
      </w:r>
      <w:r>
        <w:rPr>
          <w:rFonts w:asciiTheme="minorHAnsi" w:hAnsiTheme="minorHAnsi"/>
          <w:iCs/>
          <w:sz w:val="22"/>
          <w:szCs w:val="22"/>
        </w:rPr>
        <w:t>in association</w:t>
      </w:r>
      <w:r w:rsidR="00670674">
        <w:rPr>
          <w:rFonts w:asciiTheme="minorHAnsi" w:hAnsiTheme="minorHAnsi"/>
          <w:iCs/>
          <w:sz w:val="22"/>
          <w:szCs w:val="22"/>
        </w:rPr>
        <w:t xml:space="preserve"> with panic </w:t>
      </w:r>
      <w:r w:rsidR="00C954AA">
        <w:rPr>
          <w:rFonts w:asciiTheme="minorHAnsi" w:hAnsiTheme="minorHAnsi"/>
          <w:iCs/>
          <w:sz w:val="22"/>
          <w:szCs w:val="22"/>
        </w:rPr>
        <w:t>attacks</w:t>
      </w:r>
      <w:r w:rsidR="009D4AD5">
        <w:rPr>
          <w:rFonts w:asciiTheme="minorHAnsi" w:hAnsiTheme="minorHAnsi"/>
          <w:iCs/>
          <w:sz w:val="22"/>
          <w:szCs w:val="22"/>
        </w:rPr>
        <w:t xml:space="preserve"> or </w:t>
      </w:r>
      <w:r w:rsidR="00D87458">
        <w:rPr>
          <w:rFonts w:asciiTheme="minorHAnsi" w:hAnsiTheme="minorHAnsi"/>
          <w:iCs/>
          <w:sz w:val="22"/>
          <w:szCs w:val="22"/>
        </w:rPr>
        <w:t xml:space="preserve">in patients </w:t>
      </w:r>
      <w:r w:rsidR="00334AE9">
        <w:rPr>
          <w:rFonts w:asciiTheme="minorHAnsi" w:hAnsiTheme="minorHAnsi"/>
          <w:iCs/>
          <w:sz w:val="22"/>
          <w:szCs w:val="22"/>
        </w:rPr>
        <w:t xml:space="preserve">with </w:t>
      </w:r>
      <w:r w:rsidR="00A10225">
        <w:rPr>
          <w:rFonts w:asciiTheme="minorHAnsi" w:hAnsiTheme="minorHAnsi"/>
          <w:iCs/>
          <w:sz w:val="22"/>
          <w:szCs w:val="22"/>
        </w:rPr>
        <w:t xml:space="preserve">a </w:t>
      </w:r>
      <w:r w:rsidR="00A53772">
        <w:rPr>
          <w:rFonts w:asciiTheme="minorHAnsi" w:hAnsiTheme="minorHAnsi"/>
          <w:iCs/>
          <w:sz w:val="22"/>
          <w:szCs w:val="22"/>
        </w:rPr>
        <w:t xml:space="preserve">panic </w:t>
      </w:r>
    </w:p>
    <w:p w14:paraId="7B155CB1" w14:textId="7EDD1060" w:rsidR="00042E41" w:rsidRDefault="00A10225" w:rsidP="00A10225">
      <w:pPr>
        <w:tabs>
          <w:tab w:val="left" w:pos="709"/>
        </w:tabs>
        <w:ind w:firstLine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</w:t>
      </w:r>
      <w:r w:rsidR="00A53772">
        <w:rPr>
          <w:rFonts w:asciiTheme="minorHAnsi" w:hAnsiTheme="minorHAnsi"/>
          <w:iCs/>
          <w:sz w:val="22"/>
          <w:szCs w:val="22"/>
        </w:rPr>
        <w:t>iso</w:t>
      </w:r>
      <w:r w:rsidR="003C128D">
        <w:rPr>
          <w:rFonts w:asciiTheme="minorHAnsi" w:hAnsiTheme="minorHAnsi"/>
          <w:iCs/>
          <w:sz w:val="22"/>
          <w:szCs w:val="22"/>
        </w:rPr>
        <w:t>r</w:t>
      </w:r>
      <w:r w:rsidR="00A53772">
        <w:rPr>
          <w:rFonts w:asciiTheme="minorHAnsi" w:hAnsiTheme="minorHAnsi"/>
          <w:iCs/>
          <w:sz w:val="22"/>
          <w:szCs w:val="22"/>
        </w:rPr>
        <w:t>der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="003C128D">
        <w:rPr>
          <w:rFonts w:asciiTheme="minorHAnsi" w:hAnsiTheme="minorHAnsi"/>
          <w:iCs/>
          <w:sz w:val="22"/>
          <w:szCs w:val="22"/>
        </w:rPr>
        <w:t>with or without</w:t>
      </w:r>
      <w:r w:rsidR="00C5775F" w:rsidRPr="00C5775F">
        <w:rPr>
          <w:rFonts w:asciiTheme="minorHAnsi" w:hAnsiTheme="minorHAnsi"/>
          <w:iCs/>
          <w:color w:val="FF0000"/>
          <w:sz w:val="22"/>
          <w:szCs w:val="22"/>
        </w:rPr>
        <w:t xml:space="preserve"> </w:t>
      </w:r>
      <w:r w:rsidR="00C5775F" w:rsidRPr="00A10225">
        <w:rPr>
          <w:rFonts w:asciiTheme="minorHAnsi" w:hAnsiTheme="minorHAnsi"/>
          <w:iCs/>
          <w:sz w:val="22"/>
          <w:szCs w:val="22"/>
        </w:rPr>
        <w:t>agoraphobia,</w:t>
      </w:r>
      <w:r w:rsidR="00C5775F">
        <w:rPr>
          <w:rFonts w:asciiTheme="minorHAnsi" w:hAnsiTheme="minorHAnsi"/>
          <w:iCs/>
          <w:sz w:val="22"/>
          <w:szCs w:val="22"/>
        </w:rPr>
        <w:t xml:space="preserve"> </w:t>
      </w:r>
      <w:r w:rsidR="00557683">
        <w:rPr>
          <w:rFonts w:asciiTheme="minorHAnsi" w:hAnsiTheme="minorHAnsi"/>
          <w:iCs/>
          <w:sz w:val="22"/>
          <w:szCs w:val="22"/>
        </w:rPr>
        <w:t xml:space="preserve">the initial dose is </w:t>
      </w:r>
      <w:r w:rsidR="00116D36">
        <w:rPr>
          <w:rFonts w:asciiTheme="minorHAnsi" w:hAnsiTheme="minorHAnsi"/>
          <w:iCs/>
          <w:sz w:val="22"/>
          <w:szCs w:val="22"/>
        </w:rPr>
        <w:t>0.5</w:t>
      </w:r>
      <w:r w:rsidR="0041528B">
        <w:rPr>
          <w:rFonts w:asciiTheme="minorHAnsi" w:hAnsiTheme="minorHAnsi"/>
          <w:iCs/>
          <w:sz w:val="22"/>
          <w:szCs w:val="22"/>
        </w:rPr>
        <w:t>-</w:t>
      </w:r>
      <w:r w:rsidR="00116D36">
        <w:rPr>
          <w:rFonts w:asciiTheme="minorHAnsi" w:hAnsiTheme="minorHAnsi"/>
          <w:iCs/>
          <w:sz w:val="22"/>
          <w:szCs w:val="22"/>
        </w:rPr>
        <w:t>1</w:t>
      </w:r>
      <w:r w:rsidR="0041528B">
        <w:rPr>
          <w:rFonts w:asciiTheme="minorHAnsi" w:hAnsiTheme="minorHAnsi"/>
          <w:iCs/>
          <w:sz w:val="22"/>
          <w:szCs w:val="22"/>
        </w:rPr>
        <w:t xml:space="preserve"> </w:t>
      </w:r>
      <w:r w:rsidR="00116D36">
        <w:rPr>
          <w:rFonts w:asciiTheme="minorHAnsi" w:hAnsiTheme="minorHAnsi"/>
          <w:iCs/>
          <w:sz w:val="22"/>
          <w:szCs w:val="22"/>
        </w:rPr>
        <w:t>mg</w:t>
      </w:r>
      <w:r w:rsidR="00D30331">
        <w:rPr>
          <w:rFonts w:asciiTheme="minorHAnsi" w:hAnsiTheme="minorHAnsi"/>
          <w:iCs/>
          <w:sz w:val="22"/>
          <w:szCs w:val="22"/>
        </w:rPr>
        <w:t xml:space="preserve"> to be taken </w:t>
      </w:r>
      <w:r w:rsidR="00042E41">
        <w:rPr>
          <w:rFonts w:asciiTheme="minorHAnsi" w:hAnsiTheme="minorHAnsi"/>
          <w:iCs/>
          <w:sz w:val="22"/>
          <w:szCs w:val="22"/>
        </w:rPr>
        <w:t xml:space="preserve">at </w:t>
      </w:r>
    </w:p>
    <w:p w14:paraId="74692871" w14:textId="77777777" w:rsidR="00290A8C" w:rsidRDefault="002074FB" w:rsidP="00290A8C">
      <w:pPr>
        <w:tabs>
          <w:tab w:val="left" w:pos="709"/>
        </w:tabs>
        <w:ind w:firstLine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bedtime</w:t>
      </w:r>
      <w:r w:rsidR="00042E41">
        <w:rPr>
          <w:rFonts w:asciiTheme="minorHAnsi" w:hAnsiTheme="minorHAnsi"/>
          <w:iCs/>
          <w:sz w:val="22"/>
          <w:szCs w:val="22"/>
        </w:rPr>
        <w:t xml:space="preserve"> </w:t>
      </w:r>
      <w:r w:rsidR="009A0D34">
        <w:rPr>
          <w:rFonts w:asciiTheme="minorHAnsi" w:hAnsiTheme="minorHAnsi"/>
          <w:iCs/>
          <w:sz w:val="22"/>
          <w:szCs w:val="22"/>
        </w:rPr>
        <w:t xml:space="preserve">for 1-2 days. </w:t>
      </w:r>
      <w:r w:rsidR="004C51EF">
        <w:rPr>
          <w:rFonts w:asciiTheme="minorHAnsi" w:hAnsiTheme="minorHAnsi"/>
          <w:iCs/>
          <w:sz w:val="22"/>
          <w:szCs w:val="22"/>
        </w:rPr>
        <w:t xml:space="preserve">The dose should </w:t>
      </w:r>
      <w:r w:rsidR="00721780">
        <w:rPr>
          <w:rFonts w:asciiTheme="minorHAnsi" w:hAnsiTheme="minorHAnsi"/>
          <w:iCs/>
          <w:sz w:val="22"/>
          <w:szCs w:val="22"/>
        </w:rPr>
        <w:t xml:space="preserve">then be </w:t>
      </w:r>
      <w:r w:rsidR="00607C73">
        <w:rPr>
          <w:rFonts w:asciiTheme="minorHAnsi" w:hAnsiTheme="minorHAnsi"/>
          <w:iCs/>
          <w:sz w:val="22"/>
          <w:szCs w:val="22"/>
        </w:rPr>
        <w:t xml:space="preserve">adapted according to the </w:t>
      </w:r>
      <w:r w:rsidR="00CF495F">
        <w:rPr>
          <w:rFonts w:asciiTheme="minorHAnsi" w:hAnsiTheme="minorHAnsi"/>
          <w:iCs/>
          <w:sz w:val="22"/>
          <w:szCs w:val="22"/>
        </w:rPr>
        <w:t>individual patient</w:t>
      </w:r>
      <w:r w:rsidR="00290A8C">
        <w:rPr>
          <w:rFonts w:asciiTheme="minorHAnsi" w:hAnsiTheme="minorHAnsi"/>
          <w:iCs/>
          <w:sz w:val="22"/>
          <w:szCs w:val="22"/>
        </w:rPr>
        <w:t xml:space="preserve">’s </w:t>
      </w:r>
    </w:p>
    <w:p w14:paraId="274EF8C7" w14:textId="55608F60" w:rsidR="003B6613" w:rsidRDefault="00290A8C" w:rsidP="00290A8C">
      <w:pPr>
        <w:tabs>
          <w:tab w:val="left" w:pos="709"/>
        </w:tabs>
        <w:ind w:firstLine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needs</w:t>
      </w:r>
      <w:r w:rsidR="00CF495F">
        <w:rPr>
          <w:rFonts w:asciiTheme="minorHAnsi" w:hAnsiTheme="minorHAnsi"/>
          <w:iCs/>
          <w:sz w:val="22"/>
          <w:szCs w:val="22"/>
        </w:rPr>
        <w:t xml:space="preserve">. </w:t>
      </w:r>
      <w:r w:rsidR="00BC6B33">
        <w:rPr>
          <w:rFonts w:asciiTheme="minorHAnsi" w:hAnsiTheme="minorHAnsi"/>
          <w:iCs/>
          <w:sz w:val="22"/>
          <w:szCs w:val="22"/>
        </w:rPr>
        <w:t>Increases in dose</w:t>
      </w:r>
      <w:r w:rsidR="0041528B">
        <w:rPr>
          <w:rFonts w:asciiTheme="minorHAnsi" w:hAnsiTheme="minorHAnsi"/>
          <w:iCs/>
          <w:sz w:val="22"/>
          <w:szCs w:val="22"/>
        </w:rPr>
        <w:t xml:space="preserve"> should not exceed 1 mg</w:t>
      </w:r>
      <w:r w:rsidR="00EE33EE">
        <w:rPr>
          <w:rFonts w:asciiTheme="minorHAnsi" w:hAnsiTheme="minorHAnsi"/>
          <w:iCs/>
          <w:sz w:val="22"/>
          <w:szCs w:val="22"/>
        </w:rPr>
        <w:t xml:space="preserve"> every 3-4 days. </w:t>
      </w:r>
      <w:r w:rsidR="003B6613">
        <w:rPr>
          <w:rFonts w:asciiTheme="minorHAnsi" w:hAnsiTheme="minorHAnsi"/>
          <w:iCs/>
          <w:sz w:val="22"/>
          <w:szCs w:val="22"/>
        </w:rPr>
        <w:t>Initial d</w:t>
      </w:r>
      <w:r w:rsidR="008D415C">
        <w:rPr>
          <w:rFonts w:asciiTheme="minorHAnsi" w:hAnsiTheme="minorHAnsi"/>
          <w:iCs/>
          <w:sz w:val="22"/>
          <w:szCs w:val="22"/>
        </w:rPr>
        <w:t xml:space="preserve">oses can be </w:t>
      </w:r>
    </w:p>
    <w:p w14:paraId="7F3934C8" w14:textId="50AAD8D0" w:rsidR="003B6613" w:rsidRDefault="008D415C" w:rsidP="003B6613">
      <w:pPr>
        <w:tabs>
          <w:tab w:val="left" w:pos="709"/>
        </w:tabs>
        <w:ind w:firstLine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increased </w:t>
      </w:r>
      <w:r w:rsidR="0025250D">
        <w:rPr>
          <w:rFonts w:asciiTheme="minorHAnsi" w:hAnsiTheme="minorHAnsi"/>
          <w:iCs/>
          <w:sz w:val="22"/>
          <w:szCs w:val="22"/>
        </w:rPr>
        <w:t xml:space="preserve">at mid-day, then </w:t>
      </w:r>
      <w:r w:rsidR="006E36A7">
        <w:rPr>
          <w:rFonts w:asciiTheme="minorHAnsi" w:hAnsiTheme="minorHAnsi"/>
          <w:iCs/>
          <w:sz w:val="22"/>
          <w:szCs w:val="22"/>
        </w:rPr>
        <w:t xml:space="preserve">in the morning and </w:t>
      </w:r>
      <w:r w:rsidR="008F455C">
        <w:rPr>
          <w:rFonts w:asciiTheme="minorHAnsi" w:hAnsiTheme="minorHAnsi"/>
          <w:iCs/>
          <w:sz w:val="22"/>
          <w:szCs w:val="22"/>
        </w:rPr>
        <w:t xml:space="preserve">finally in the afternoon or evening </w:t>
      </w:r>
      <w:r w:rsidR="00647426">
        <w:rPr>
          <w:rFonts w:asciiTheme="minorHAnsi" w:hAnsiTheme="minorHAnsi"/>
          <w:iCs/>
          <w:sz w:val="22"/>
          <w:szCs w:val="22"/>
        </w:rPr>
        <w:t xml:space="preserve">until a </w:t>
      </w:r>
    </w:p>
    <w:p w14:paraId="40D097AF" w14:textId="7B90EAD6" w:rsidR="00042E41" w:rsidRPr="00A9255B" w:rsidRDefault="00A02A65" w:rsidP="003B6613">
      <w:pPr>
        <w:tabs>
          <w:tab w:val="left" w:pos="709"/>
        </w:tabs>
        <w:ind w:firstLine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dosage plan of </w:t>
      </w:r>
      <w:r w:rsidR="007D0847">
        <w:rPr>
          <w:rFonts w:asciiTheme="minorHAnsi" w:hAnsiTheme="minorHAnsi"/>
          <w:iCs/>
          <w:sz w:val="22"/>
          <w:szCs w:val="22"/>
        </w:rPr>
        <w:t xml:space="preserve">3-4 </w:t>
      </w:r>
      <w:r w:rsidR="00FC0AED">
        <w:rPr>
          <w:rFonts w:asciiTheme="minorHAnsi" w:hAnsiTheme="minorHAnsi"/>
          <w:iCs/>
          <w:sz w:val="22"/>
          <w:szCs w:val="22"/>
        </w:rPr>
        <w:t>times da</w:t>
      </w:r>
      <w:r w:rsidR="00346F89">
        <w:rPr>
          <w:rFonts w:asciiTheme="minorHAnsi" w:hAnsiTheme="minorHAnsi"/>
          <w:iCs/>
          <w:sz w:val="22"/>
          <w:szCs w:val="22"/>
        </w:rPr>
        <w:t>ily</w:t>
      </w:r>
      <w:r w:rsidR="00F969B1">
        <w:rPr>
          <w:rFonts w:asciiTheme="minorHAnsi" w:hAnsiTheme="minorHAnsi"/>
          <w:iCs/>
          <w:sz w:val="22"/>
          <w:szCs w:val="22"/>
        </w:rPr>
        <w:t xml:space="preserve"> is achieved</w:t>
      </w:r>
      <w:r w:rsidR="00FC0AED">
        <w:rPr>
          <w:rFonts w:asciiTheme="minorHAnsi" w:hAnsiTheme="minorHAnsi"/>
          <w:iCs/>
          <w:sz w:val="22"/>
          <w:szCs w:val="22"/>
        </w:rPr>
        <w:t xml:space="preserve">, for </w:t>
      </w:r>
      <w:r w:rsidR="00126F54">
        <w:rPr>
          <w:rFonts w:asciiTheme="minorHAnsi" w:hAnsiTheme="minorHAnsi"/>
          <w:iCs/>
          <w:sz w:val="22"/>
          <w:szCs w:val="22"/>
        </w:rPr>
        <w:t xml:space="preserve">a period of no more than </w:t>
      </w:r>
      <w:r w:rsidR="00F969B1">
        <w:rPr>
          <w:rFonts w:asciiTheme="minorHAnsi" w:hAnsiTheme="minorHAnsi"/>
          <w:iCs/>
          <w:sz w:val="22"/>
          <w:szCs w:val="22"/>
        </w:rPr>
        <w:t>8 months.</w:t>
      </w:r>
    </w:p>
    <w:p w14:paraId="1DF761AB" w14:textId="366AABB9" w:rsidR="0089122A" w:rsidRPr="00705274" w:rsidRDefault="0089122A" w:rsidP="0089122A">
      <w:pPr>
        <w:ind w:left="709"/>
        <w:jc w:val="both"/>
        <w:rPr>
          <w:rFonts w:asciiTheme="minorHAnsi" w:hAnsiTheme="minorHAnsi"/>
          <w:iCs/>
          <w:sz w:val="22"/>
          <w:szCs w:val="22"/>
        </w:rPr>
      </w:pPr>
    </w:p>
    <w:p w14:paraId="24F7C720" w14:textId="00342C4E" w:rsidR="0089122A" w:rsidRPr="00705274" w:rsidRDefault="0089122A" w:rsidP="0089122A">
      <w:pPr>
        <w:numPr>
          <w:ilvl w:val="1"/>
          <w:numId w:val="1"/>
        </w:num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  <w:r w:rsidRPr="00705274">
        <w:rPr>
          <w:rFonts w:asciiTheme="minorHAnsi" w:hAnsiTheme="minorHAnsi"/>
          <w:b/>
          <w:sz w:val="22"/>
          <w:szCs w:val="22"/>
        </w:rPr>
        <w:t>Contr</w:t>
      </w:r>
      <w:r w:rsidR="00BC4BC9">
        <w:rPr>
          <w:rFonts w:asciiTheme="minorHAnsi" w:hAnsiTheme="minorHAnsi"/>
          <w:b/>
          <w:sz w:val="22"/>
          <w:szCs w:val="22"/>
        </w:rPr>
        <w:t>a</w:t>
      </w:r>
      <w:r w:rsidR="00902A11">
        <w:rPr>
          <w:rFonts w:asciiTheme="minorHAnsi" w:hAnsiTheme="minorHAnsi"/>
          <w:b/>
          <w:sz w:val="22"/>
          <w:szCs w:val="22"/>
        </w:rPr>
        <w:t xml:space="preserve">indications </w:t>
      </w:r>
    </w:p>
    <w:p w14:paraId="509ED677" w14:textId="5A7E9018" w:rsidR="0089122A" w:rsidRPr="00705274" w:rsidRDefault="00340A97" w:rsidP="0089122A">
      <w:pPr>
        <w:pStyle w:val="Corpodeltesto21"/>
        <w:tabs>
          <w:tab w:val="left" w:pos="-720"/>
        </w:tabs>
        <w:suppressAutoHyphens/>
        <w:ind w:left="70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XXXX</w:t>
      </w:r>
      <w:r w:rsidR="00902A11">
        <w:rPr>
          <w:rFonts w:asciiTheme="minorHAnsi" w:hAnsiTheme="minorHAnsi"/>
          <w:szCs w:val="22"/>
        </w:rPr>
        <w:t xml:space="preserve"> is not recommended</w:t>
      </w:r>
      <w:r w:rsidR="00BD31B5">
        <w:rPr>
          <w:rFonts w:asciiTheme="minorHAnsi" w:hAnsiTheme="minorHAnsi"/>
          <w:szCs w:val="22"/>
        </w:rPr>
        <w:t xml:space="preserve"> in patients with a known </w:t>
      </w:r>
      <w:r w:rsidR="00233F52">
        <w:rPr>
          <w:rFonts w:asciiTheme="minorHAnsi" w:hAnsiTheme="minorHAnsi"/>
          <w:szCs w:val="22"/>
        </w:rPr>
        <w:t xml:space="preserve">hypersensitivity to benzodiazepines, </w:t>
      </w:r>
      <w:r w:rsidR="00496D09">
        <w:rPr>
          <w:rFonts w:asciiTheme="minorHAnsi" w:hAnsiTheme="minorHAnsi"/>
          <w:szCs w:val="22"/>
        </w:rPr>
        <w:t xml:space="preserve">alprazolam or </w:t>
      </w:r>
      <w:r w:rsidR="00D50651">
        <w:rPr>
          <w:rFonts w:asciiTheme="minorHAnsi" w:hAnsiTheme="minorHAnsi"/>
          <w:szCs w:val="22"/>
        </w:rPr>
        <w:t>an</w:t>
      </w:r>
      <w:r w:rsidR="00536E37">
        <w:rPr>
          <w:rFonts w:asciiTheme="minorHAnsi" w:hAnsiTheme="minorHAnsi"/>
          <w:szCs w:val="22"/>
        </w:rPr>
        <w:t>y other</w:t>
      </w:r>
      <w:r w:rsidR="008105AA">
        <w:rPr>
          <w:rFonts w:asciiTheme="minorHAnsi" w:hAnsiTheme="minorHAnsi"/>
          <w:szCs w:val="22"/>
        </w:rPr>
        <w:t xml:space="preserve"> excipients mentioned in paragraph 6.1. </w:t>
      </w:r>
      <w:r w:rsidR="00C64E75">
        <w:rPr>
          <w:rFonts w:asciiTheme="minorHAnsi" w:hAnsiTheme="minorHAnsi"/>
          <w:szCs w:val="22"/>
        </w:rPr>
        <w:t>Furthermore</w:t>
      </w:r>
      <w:r w:rsidR="005C5D2E">
        <w:rPr>
          <w:rFonts w:asciiTheme="minorHAnsi" w:hAnsiTheme="minorHAnsi"/>
          <w:szCs w:val="22"/>
        </w:rPr>
        <w:t xml:space="preserve">, alprazolam is not recommended </w:t>
      </w:r>
      <w:r w:rsidR="00604C0A">
        <w:rPr>
          <w:rFonts w:asciiTheme="minorHAnsi" w:hAnsiTheme="minorHAnsi"/>
          <w:szCs w:val="22"/>
        </w:rPr>
        <w:t xml:space="preserve">in patients </w:t>
      </w:r>
      <w:r w:rsidR="00707FED">
        <w:rPr>
          <w:rFonts w:asciiTheme="minorHAnsi" w:hAnsiTheme="minorHAnsi"/>
          <w:szCs w:val="22"/>
        </w:rPr>
        <w:t>with</w:t>
      </w:r>
      <w:r w:rsidR="001741E2">
        <w:rPr>
          <w:rFonts w:asciiTheme="minorHAnsi" w:hAnsiTheme="minorHAnsi"/>
          <w:szCs w:val="22"/>
        </w:rPr>
        <w:t xml:space="preserve"> </w:t>
      </w:r>
      <w:r w:rsidR="001034A3">
        <w:rPr>
          <w:rFonts w:asciiTheme="minorHAnsi" w:hAnsiTheme="minorHAnsi"/>
          <w:szCs w:val="22"/>
        </w:rPr>
        <w:t>acute closed-angle glaucoma</w:t>
      </w:r>
      <w:r w:rsidR="002F1B4C">
        <w:rPr>
          <w:rFonts w:asciiTheme="minorHAnsi" w:hAnsiTheme="minorHAnsi"/>
          <w:szCs w:val="22"/>
        </w:rPr>
        <w:t xml:space="preserve">. </w:t>
      </w:r>
      <w:r w:rsidR="00875E7F">
        <w:rPr>
          <w:rFonts w:asciiTheme="minorHAnsi" w:hAnsiTheme="minorHAnsi"/>
          <w:szCs w:val="22"/>
        </w:rPr>
        <w:t xml:space="preserve">It can be used </w:t>
      </w:r>
      <w:r w:rsidR="00056656">
        <w:rPr>
          <w:rFonts w:asciiTheme="minorHAnsi" w:hAnsiTheme="minorHAnsi"/>
          <w:szCs w:val="22"/>
        </w:rPr>
        <w:t xml:space="preserve">in patients with </w:t>
      </w:r>
      <w:r w:rsidR="002A56A2">
        <w:rPr>
          <w:rFonts w:asciiTheme="minorHAnsi" w:hAnsiTheme="minorHAnsi"/>
          <w:szCs w:val="22"/>
        </w:rPr>
        <w:t>chronic open angle glaucoma</w:t>
      </w:r>
      <w:r w:rsidR="006F794E">
        <w:rPr>
          <w:rFonts w:asciiTheme="minorHAnsi" w:hAnsiTheme="minorHAnsi"/>
          <w:szCs w:val="22"/>
        </w:rPr>
        <w:t xml:space="preserve"> provided that </w:t>
      </w:r>
      <w:r w:rsidR="00E67D22">
        <w:rPr>
          <w:rFonts w:asciiTheme="minorHAnsi" w:hAnsiTheme="minorHAnsi"/>
          <w:szCs w:val="22"/>
        </w:rPr>
        <w:t>they receive a</w:t>
      </w:r>
      <w:r w:rsidR="00AD2468">
        <w:rPr>
          <w:rFonts w:asciiTheme="minorHAnsi" w:hAnsiTheme="minorHAnsi"/>
          <w:szCs w:val="22"/>
        </w:rPr>
        <w:t xml:space="preserve">ppropriate treatment. </w:t>
      </w:r>
      <w:r w:rsidR="001063FC">
        <w:rPr>
          <w:rFonts w:asciiTheme="minorHAnsi" w:hAnsiTheme="minorHAnsi"/>
          <w:szCs w:val="22"/>
        </w:rPr>
        <w:t>Benzodia</w:t>
      </w:r>
      <w:r w:rsidR="0035749B">
        <w:rPr>
          <w:rFonts w:asciiTheme="minorHAnsi" w:hAnsiTheme="minorHAnsi"/>
          <w:szCs w:val="22"/>
        </w:rPr>
        <w:t xml:space="preserve">zepines are also not recommended in patients with </w:t>
      </w:r>
      <w:r w:rsidR="00A50B03">
        <w:rPr>
          <w:rFonts w:asciiTheme="minorHAnsi" w:hAnsiTheme="minorHAnsi"/>
          <w:szCs w:val="22"/>
        </w:rPr>
        <w:t xml:space="preserve">myasthenia gravis, </w:t>
      </w:r>
      <w:r w:rsidR="00F23999">
        <w:rPr>
          <w:rFonts w:asciiTheme="minorHAnsi" w:hAnsiTheme="minorHAnsi"/>
          <w:szCs w:val="22"/>
        </w:rPr>
        <w:t>acute</w:t>
      </w:r>
      <w:r w:rsidR="00A50B03">
        <w:rPr>
          <w:rFonts w:asciiTheme="minorHAnsi" w:hAnsiTheme="minorHAnsi"/>
          <w:szCs w:val="22"/>
        </w:rPr>
        <w:t xml:space="preserve"> </w:t>
      </w:r>
      <w:r w:rsidR="00DA6454">
        <w:rPr>
          <w:rFonts w:asciiTheme="minorHAnsi" w:hAnsiTheme="minorHAnsi"/>
          <w:szCs w:val="22"/>
        </w:rPr>
        <w:t>pulmonary insufficiency</w:t>
      </w:r>
      <w:r w:rsidR="00FA090B">
        <w:rPr>
          <w:rFonts w:asciiTheme="minorHAnsi" w:hAnsiTheme="minorHAnsi"/>
          <w:szCs w:val="22"/>
        </w:rPr>
        <w:t xml:space="preserve">, </w:t>
      </w:r>
      <w:r w:rsidR="00B12528">
        <w:rPr>
          <w:rFonts w:asciiTheme="minorHAnsi" w:hAnsiTheme="minorHAnsi"/>
          <w:szCs w:val="22"/>
        </w:rPr>
        <w:t>severe hepatic impairment</w:t>
      </w:r>
      <w:r w:rsidR="003C67FD">
        <w:rPr>
          <w:rFonts w:asciiTheme="minorHAnsi" w:hAnsiTheme="minorHAnsi"/>
          <w:szCs w:val="22"/>
        </w:rPr>
        <w:t xml:space="preserve"> or </w:t>
      </w:r>
      <w:r w:rsidR="00085C9C">
        <w:rPr>
          <w:rFonts w:asciiTheme="minorHAnsi" w:hAnsiTheme="minorHAnsi"/>
          <w:szCs w:val="22"/>
        </w:rPr>
        <w:t>sleep apnoea syndrome.</w:t>
      </w:r>
    </w:p>
    <w:p w14:paraId="31088F39" w14:textId="77777777" w:rsidR="0089122A" w:rsidRDefault="0089122A" w:rsidP="00F23999">
      <w:pPr>
        <w:pStyle w:val="Corpodeltesto21"/>
        <w:tabs>
          <w:tab w:val="left" w:pos="-720"/>
        </w:tabs>
        <w:suppressAutoHyphens/>
        <w:ind w:left="0"/>
        <w:rPr>
          <w:rFonts w:asciiTheme="minorHAnsi" w:hAnsiTheme="minorHAnsi"/>
          <w:szCs w:val="22"/>
        </w:rPr>
      </w:pPr>
    </w:p>
    <w:p w14:paraId="306B46EA" w14:textId="49531F0D" w:rsidR="0089122A" w:rsidRPr="00705274" w:rsidRDefault="0089122A" w:rsidP="0089122A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  <w:r w:rsidRPr="00705274">
        <w:rPr>
          <w:rFonts w:asciiTheme="minorHAnsi" w:hAnsiTheme="minorHAnsi"/>
          <w:b/>
          <w:sz w:val="22"/>
          <w:szCs w:val="22"/>
        </w:rPr>
        <w:t>P</w:t>
      </w:r>
      <w:r w:rsidR="008B1F8A">
        <w:rPr>
          <w:rFonts w:asciiTheme="minorHAnsi" w:hAnsiTheme="minorHAnsi"/>
          <w:b/>
          <w:sz w:val="22"/>
          <w:szCs w:val="22"/>
        </w:rPr>
        <w:t>HARMACOLOGICAL PROPERTIES</w:t>
      </w:r>
    </w:p>
    <w:p w14:paraId="1E8C4FBF" w14:textId="77777777" w:rsidR="0089122A" w:rsidRPr="00705274" w:rsidRDefault="0089122A" w:rsidP="0089122A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14:paraId="07DC0E39" w14:textId="77A3F2F7" w:rsidR="0089122A" w:rsidRPr="00705274" w:rsidRDefault="0089122A" w:rsidP="0089122A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  <w:r w:rsidRPr="00705274">
        <w:rPr>
          <w:rFonts w:asciiTheme="minorHAnsi" w:hAnsiTheme="minorHAnsi"/>
          <w:b/>
          <w:sz w:val="22"/>
          <w:szCs w:val="22"/>
        </w:rPr>
        <w:t>5.1</w:t>
      </w:r>
      <w:r w:rsidRPr="00705274">
        <w:rPr>
          <w:rFonts w:asciiTheme="minorHAnsi" w:hAnsiTheme="minorHAnsi"/>
          <w:b/>
          <w:sz w:val="22"/>
          <w:szCs w:val="22"/>
        </w:rPr>
        <w:tab/>
        <w:t>P</w:t>
      </w:r>
      <w:r w:rsidR="00AD36EF">
        <w:rPr>
          <w:rFonts w:asciiTheme="minorHAnsi" w:hAnsiTheme="minorHAnsi"/>
          <w:b/>
          <w:sz w:val="22"/>
          <w:szCs w:val="22"/>
        </w:rPr>
        <w:t>harmacodynamic properties</w:t>
      </w:r>
    </w:p>
    <w:p w14:paraId="201A428A" w14:textId="6FBF5841" w:rsidR="0089122A" w:rsidRPr="00705274" w:rsidRDefault="00C57AF2" w:rsidP="0089122A">
      <w:pPr>
        <w:pStyle w:val="Heading4"/>
        <w:spacing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Pharmacodynamic</w:t>
      </w:r>
      <w:r w:rsidR="00737BC4">
        <w:rPr>
          <w:rFonts w:asciiTheme="minorHAnsi" w:hAnsiTheme="minorHAnsi"/>
          <w:szCs w:val="22"/>
        </w:rPr>
        <w:t xml:space="preserve"> group</w:t>
      </w:r>
      <w:r w:rsidR="0089122A" w:rsidRPr="00705274">
        <w:rPr>
          <w:rFonts w:asciiTheme="minorHAnsi" w:hAnsiTheme="minorHAnsi"/>
          <w:szCs w:val="22"/>
        </w:rPr>
        <w:t xml:space="preserve">: </w:t>
      </w:r>
      <w:r w:rsidR="001D33A6">
        <w:rPr>
          <w:rFonts w:asciiTheme="minorHAnsi" w:hAnsiTheme="minorHAnsi"/>
          <w:szCs w:val="22"/>
        </w:rPr>
        <w:t>benzodiazepine derivatives</w:t>
      </w:r>
      <w:r w:rsidR="0089122A" w:rsidRPr="00705274">
        <w:rPr>
          <w:rFonts w:asciiTheme="minorHAnsi" w:hAnsiTheme="minorHAnsi"/>
          <w:szCs w:val="22"/>
        </w:rPr>
        <w:t>:</w:t>
      </w:r>
      <w:r w:rsidR="002A1F77">
        <w:rPr>
          <w:rFonts w:asciiTheme="minorHAnsi" w:hAnsiTheme="minorHAnsi"/>
          <w:szCs w:val="22"/>
        </w:rPr>
        <w:t xml:space="preserve"> </w:t>
      </w:r>
      <w:r w:rsidR="0089122A" w:rsidRPr="00705274">
        <w:rPr>
          <w:rFonts w:asciiTheme="minorHAnsi" w:hAnsiTheme="minorHAnsi"/>
          <w:szCs w:val="22"/>
        </w:rPr>
        <w:t>ATC</w:t>
      </w:r>
      <w:r w:rsidR="002A1F77">
        <w:rPr>
          <w:rFonts w:asciiTheme="minorHAnsi" w:hAnsiTheme="minorHAnsi"/>
          <w:szCs w:val="22"/>
        </w:rPr>
        <w:t xml:space="preserve"> code</w:t>
      </w:r>
      <w:r w:rsidR="0089122A" w:rsidRPr="00705274">
        <w:rPr>
          <w:rFonts w:asciiTheme="minorHAnsi" w:hAnsiTheme="minorHAnsi"/>
          <w:szCs w:val="22"/>
        </w:rPr>
        <w:t>: N05BA12</w:t>
      </w:r>
    </w:p>
    <w:p w14:paraId="2A776F34" w14:textId="3B1932AA" w:rsidR="0089122A" w:rsidRPr="00705274" w:rsidRDefault="0089122A" w:rsidP="0089122A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XXXX</w:t>
      </w:r>
      <w:r w:rsidRPr="00705274">
        <w:rPr>
          <w:rFonts w:asciiTheme="minorHAnsi" w:hAnsiTheme="minorHAnsi"/>
          <w:sz w:val="22"/>
          <w:szCs w:val="22"/>
        </w:rPr>
        <w:t xml:space="preserve"> </w:t>
      </w:r>
      <w:r w:rsidR="0034426F">
        <w:rPr>
          <w:rFonts w:asciiTheme="minorHAnsi" w:hAnsiTheme="minorHAnsi"/>
          <w:sz w:val="22"/>
          <w:szCs w:val="22"/>
        </w:rPr>
        <w:t>contains</w:t>
      </w:r>
      <w:r w:rsidR="00587A5B">
        <w:rPr>
          <w:rFonts w:asciiTheme="minorHAnsi" w:hAnsiTheme="minorHAnsi"/>
          <w:sz w:val="22"/>
          <w:szCs w:val="22"/>
        </w:rPr>
        <w:t xml:space="preserve"> an active ingredient of </w:t>
      </w:r>
      <w:r w:rsidR="003C47A4">
        <w:rPr>
          <w:rFonts w:asciiTheme="minorHAnsi" w:hAnsiTheme="minorHAnsi"/>
          <w:sz w:val="22"/>
          <w:szCs w:val="22"/>
        </w:rPr>
        <w:t>alprazolam</w:t>
      </w:r>
      <w:r w:rsidRPr="00705274">
        <w:rPr>
          <w:rFonts w:asciiTheme="minorHAnsi" w:hAnsiTheme="minorHAnsi"/>
          <w:sz w:val="22"/>
          <w:szCs w:val="22"/>
        </w:rPr>
        <w:t xml:space="preserve">, </w:t>
      </w:r>
      <w:r w:rsidR="002C3DF3">
        <w:rPr>
          <w:rFonts w:asciiTheme="minorHAnsi" w:hAnsiTheme="minorHAnsi"/>
          <w:sz w:val="22"/>
          <w:szCs w:val="22"/>
        </w:rPr>
        <w:t xml:space="preserve">a </w:t>
      </w:r>
      <w:r w:rsidR="00A73750">
        <w:rPr>
          <w:rFonts w:asciiTheme="minorHAnsi" w:hAnsiTheme="minorHAnsi"/>
          <w:sz w:val="22"/>
          <w:szCs w:val="22"/>
        </w:rPr>
        <w:t>triazolo</w:t>
      </w:r>
      <w:r w:rsidR="00A73750" w:rsidRPr="00705274">
        <w:rPr>
          <w:rFonts w:asciiTheme="minorHAnsi" w:hAnsiTheme="minorHAnsi"/>
          <w:sz w:val="22"/>
          <w:szCs w:val="22"/>
        </w:rPr>
        <w:t>benzodiazepi</w:t>
      </w:r>
      <w:r w:rsidR="00A73750">
        <w:rPr>
          <w:rFonts w:asciiTheme="minorHAnsi" w:hAnsiTheme="minorHAnsi"/>
          <w:sz w:val="22"/>
          <w:szCs w:val="22"/>
        </w:rPr>
        <w:t>ne</w:t>
      </w:r>
      <w:r w:rsidRPr="00705274">
        <w:rPr>
          <w:rFonts w:asciiTheme="minorHAnsi" w:hAnsiTheme="minorHAnsi"/>
          <w:sz w:val="22"/>
          <w:szCs w:val="22"/>
        </w:rPr>
        <w:t>.</w:t>
      </w:r>
    </w:p>
    <w:p w14:paraId="15921582" w14:textId="11D4DF7B" w:rsidR="00FD40B7" w:rsidRDefault="0089122A" w:rsidP="0029545A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705274">
        <w:rPr>
          <w:rFonts w:asciiTheme="minorHAnsi" w:hAnsiTheme="minorHAnsi"/>
          <w:sz w:val="22"/>
          <w:szCs w:val="22"/>
        </w:rPr>
        <w:t xml:space="preserve">Alprazolam </w:t>
      </w:r>
      <w:r w:rsidR="00FA3630">
        <w:rPr>
          <w:rFonts w:asciiTheme="minorHAnsi" w:hAnsiTheme="minorHAnsi"/>
          <w:sz w:val="22"/>
          <w:szCs w:val="22"/>
        </w:rPr>
        <w:t xml:space="preserve">is effective in </w:t>
      </w:r>
      <w:r w:rsidR="002D3FBD">
        <w:rPr>
          <w:rFonts w:asciiTheme="minorHAnsi" w:hAnsiTheme="minorHAnsi"/>
          <w:sz w:val="22"/>
          <w:szCs w:val="22"/>
        </w:rPr>
        <w:t>anxiety disorders</w:t>
      </w:r>
      <w:r w:rsidR="0029545A">
        <w:rPr>
          <w:rFonts w:asciiTheme="minorHAnsi" w:hAnsiTheme="minorHAnsi"/>
          <w:sz w:val="22"/>
          <w:szCs w:val="22"/>
        </w:rPr>
        <w:t xml:space="preserve"> and</w:t>
      </w:r>
      <w:r w:rsidR="002D3FBD">
        <w:rPr>
          <w:rFonts w:asciiTheme="minorHAnsi" w:hAnsiTheme="minorHAnsi"/>
          <w:sz w:val="22"/>
          <w:szCs w:val="22"/>
        </w:rPr>
        <w:t xml:space="preserve"> panic disorders</w:t>
      </w:r>
      <w:r w:rsidR="0029545A">
        <w:rPr>
          <w:rFonts w:asciiTheme="minorHAnsi" w:hAnsiTheme="minorHAnsi"/>
          <w:sz w:val="22"/>
          <w:szCs w:val="22"/>
        </w:rPr>
        <w:t xml:space="preserve">. </w:t>
      </w:r>
      <w:r w:rsidRPr="00705274">
        <w:rPr>
          <w:rFonts w:asciiTheme="minorHAnsi" w:hAnsiTheme="minorHAnsi"/>
          <w:sz w:val="22"/>
          <w:szCs w:val="22"/>
        </w:rPr>
        <w:t xml:space="preserve">Alprazolam </w:t>
      </w:r>
      <w:r w:rsidR="00F0281F">
        <w:rPr>
          <w:rFonts w:asciiTheme="minorHAnsi" w:hAnsiTheme="minorHAnsi"/>
          <w:sz w:val="22"/>
          <w:szCs w:val="22"/>
        </w:rPr>
        <w:t xml:space="preserve">binds to </w:t>
      </w:r>
      <w:r w:rsidR="007F2D0F">
        <w:rPr>
          <w:rFonts w:asciiTheme="minorHAnsi" w:hAnsiTheme="minorHAnsi"/>
          <w:sz w:val="22"/>
          <w:szCs w:val="22"/>
        </w:rPr>
        <w:t>the GABA receptor of benzodiazepines</w:t>
      </w:r>
      <w:r w:rsidR="00155EE7">
        <w:rPr>
          <w:rFonts w:asciiTheme="minorHAnsi" w:hAnsiTheme="minorHAnsi"/>
          <w:sz w:val="22"/>
          <w:szCs w:val="22"/>
        </w:rPr>
        <w:t xml:space="preserve">, </w:t>
      </w:r>
      <w:r w:rsidR="004B35DE">
        <w:rPr>
          <w:rFonts w:asciiTheme="minorHAnsi" w:hAnsiTheme="minorHAnsi"/>
          <w:sz w:val="22"/>
          <w:szCs w:val="22"/>
        </w:rPr>
        <w:t xml:space="preserve">creating a synergy with </w:t>
      </w:r>
      <w:r w:rsidR="00C1287C">
        <w:rPr>
          <w:rFonts w:asciiTheme="minorHAnsi" w:hAnsiTheme="minorHAnsi"/>
          <w:sz w:val="22"/>
          <w:szCs w:val="22"/>
        </w:rPr>
        <w:t>the GABA</w:t>
      </w:r>
      <w:r w:rsidR="009E2B1A">
        <w:rPr>
          <w:rFonts w:asciiTheme="minorHAnsi" w:hAnsiTheme="minorHAnsi"/>
          <w:sz w:val="22"/>
          <w:szCs w:val="22"/>
        </w:rPr>
        <w:t xml:space="preserve"> receptor</w:t>
      </w:r>
      <w:r w:rsidR="00DB7C07">
        <w:rPr>
          <w:rFonts w:asciiTheme="minorHAnsi" w:hAnsiTheme="minorHAnsi"/>
          <w:sz w:val="22"/>
          <w:szCs w:val="22"/>
        </w:rPr>
        <w:t xml:space="preserve"> and its</w:t>
      </w:r>
      <w:r w:rsidR="00FA3552">
        <w:rPr>
          <w:rFonts w:asciiTheme="minorHAnsi" w:hAnsiTheme="minorHAnsi"/>
          <w:sz w:val="22"/>
          <w:szCs w:val="22"/>
        </w:rPr>
        <w:t xml:space="preserve"> inhibitory </w:t>
      </w:r>
      <w:r w:rsidR="00AC4C07">
        <w:rPr>
          <w:rFonts w:asciiTheme="minorHAnsi" w:hAnsiTheme="minorHAnsi"/>
          <w:sz w:val="22"/>
          <w:szCs w:val="22"/>
        </w:rPr>
        <w:t>neurotransmitter, thus</w:t>
      </w:r>
      <w:r w:rsidR="009A72A8">
        <w:rPr>
          <w:rFonts w:asciiTheme="minorHAnsi" w:hAnsiTheme="minorHAnsi"/>
          <w:sz w:val="22"/>
          <w:szCs w:val="22"/>
        </w:rPr>
        <w:t xml:space="preserve"> causing a reduction in the neuron’s electrical excitability</w:t>
      </w:r>
      <w:r w:rsidR="008F4A2B">
        <w:rPr>
          <w:rFonts w:asciiTheme="minorHAnsi" w:hAnsiTheme="minorHAnsi"/>
          <w:sz w:val="22"/>
          <w:szCs w:val="22"/>
        </w:rPr>
        <w:t xml:space="preserve">. </w:t>
      </w:r>
      <w:r w:rsidR="005E3754">
        <w:rPr>
          <w:rFonts w:asciiTheme="minorHAnsi" w:hAnsiTheme="minorHAnsi"/>
          <w:sz w:val="22"/>
          <w:szCs w:val="22"/>
        </w:rPr>
        <w:t>This characteristic</w:t>
      </w:r>
      <w:r w:rsidR="00A80239">
        <w:rPr>
          <w:rFonts w:asciiTheme="minorHAnsi" w:hAnsiTheme="minorHAnsi"/>
          <w:sz w:val="22"/>
          <w:szCs w:val="22"/>
        </w:rPr>
        <w:t xml:space="preserve"> grants </w:t>
      </w:r>
      <w:r w:rsidR="00DE121B">
        <w:rPr>
          <w:rFonts w:asciiTheme="minorHAnsi" w:hAnsiTheme="minorHAnsi"/>
          <w:sz w:val="22"/>
          <w:szCs w:val="22"/>
        </w:rPr>
        <w:t>the molecule</w:t>
      </w:r>
      <w:r w:rsidR="00D53CB5">
        <w:rPr>
          <w:rFonts w:asciiTheme="minorHAnsi" w:hAnsiTheme="minorHAnsi"/>
          <w:sz w:val="22"/>
          <w:szCs w:val="22"/>
        </w:rPr>
        <w:t xml:space="preserve"> </w:t>
      </w:r>
      <w:r w:rsidR="00F75E31">
        <w:rPr>
          <w:rFonts w:asciiTheme="minorHAnsi" w:hAnsiTheme="minorHAnsi"/>
          <w:sz w:val="22"/>
          <w:szCs w:val="22"/>
        </w:rPr>
        <w:t>anxiolytic</w:t>
      </w:r>
      <w:r w:rsidR="009042B3">
        <w:rPr>
          <w:rFonts w:asciiTheme="minorHAnsi" w:hAnsiTheme="minorHAnsi"/>
          <w:sz w:val="22"/>
          <w:szCs w:val="22"/>
        </w:rPr>
        <w:t xml:space="preserve">, </w:t>
      </w:r>
      <w:r w:rsidR="009A5FC9">
        <w:rPr>
          <w:rFonts w:asciiTheme="minorHAnsi" w:hAnsiTheme="minorHAnsi"/>
          <w:sz w:val="22"/>
          <w:szCs w:val="22"/>
        </w:rPr>
        <w:t xml:space="preserve">hypnotic and </w:t>
      </w:r>
      <w:r w:rsidR="002771E7">
        <w:rPr>
          <w:rFonts w:asciiTheme="minorHAnsi" w:hAnsiTheme="minorHAnsi"/>
          <w:sz w:val="22"/>
          <w:szCs w:val="22"/>
        </w:rPr>
        <w:t>sed</w:t>
      </w:r>
      <w:r w:rsidR="00982A0B">
        <w:rPr>
          <w:rFonts w:asciiTheme="minorHAnsi" w:hAnsiTheme="minorHAnsi"/>
          <w:sz w:val="22"/>
          <w:szCs w:val="22"/>
        </w:rPr>
        <w:t>ative</w:t>
      </w:r>
      <w:r w:rsidR="00F75E31">
        <w:rPr>
          <w:rFonts w:asciiTheme="minorHAnsi" w:hAnsiTheme="minorHAnsi"/>
          <w:sz w:val="22"/>
          <w:szCs w:val="22"/>
        </w:rPr>
        <w:t xml:space="preserve"> properties</w:t>
      </w:r>
      <w:r w:rsidR="00982A0B">
        <w:rPr>
          <w:rFonts w:asciiTheme="minorHAnsi" w:hAnsiTheme="minorHAnsi"/>
          <w:sz w:val="22"/>
          <w:szCs w:val="22"/>
        </w:rPr>
        <w:t xml:space="preserve">. </w:t>
      </w:r>
    </w:p>
    <w:p w14:paraId="525F9E7A" w14:textId="77777777" w:rsidR="000C01A3" w:rsidRDefault="000C01A3" w:rsidP="0029545A">
      <w:pPr>
        <w:ind w:left="709"/>
        <w:jc w:val="both"/>
        <w:rPr>
          <w:rFonts w:asciiTheme="minorHAnsi" w:hAnsiTheme="minorHAnsi"/>
          <w:sz w:val="22"/>
          <w:szCs w:val="22"/>
        </w:rPr>
      </w:pPr>
    </w:p>
    <w:p w14:paraId="786F4BFB" w14:textId="2FCD814F" w:rsidR="0089122A" w:rsidRPr="00705274" w:rsidRDefault="000C01A3" w:rsidP="007F525C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Clinical studies </w:t>
      </w:r>
      <w:r w:rsidR="007368A8">
        <w:rPr>
          <w:rFonts w:asciiTheme="minorHAnsi" w:hAnsiTheme="minorHAnsi"/>
          <w:sz w:val="22"/>
          <w:szCs w:val="22"/>
        </w:rPr>
        <w:t xml:space="preserve">on healthy </w:t>
      </w:r>
      <w:r w:rsidR="00E60DCD">
        <w:rPr>
          <w:rFonts w:asciiTheme="minorHAnsi" w:hAnsiTheme="minorHAnsi"/>
          <w:sz w:val="22"/>
          <w:szCs w:val="22"/>
        </w:rPr>
        <w:t xml:space="preserve">volunteers </w:t>
      </w:r>
      <w:r w:rsidR="00C53EB5">
        <w:rPr>
          <w:rFonts w:asciiTheme="minorHAnsi" w:hAnsiTheme="minorHAnsi"/>
          <w:sz w:val="22"/>
          <w:szCs w:val="22"/>
        </w:rPr>
        <w:t xml:space="preserve">have </w:t>
      </w:r>
      <w:r w:rsidR="008A3C63">
        <w:rPr>
          <w:rFonts w:asciiTheme="minorHAnsi" w:hAnsiTheme="minorHAnsi"/>
          <w:sz w:val="22"/>
          <w:szCs w:val="22"/>
        </w:rPr>
        <w:t>revealed that</w:t>
      </w:r>
      <w:r w:rsidR="001D7022">
        <w:rPr>
          <w:rFonts w:asciiTheme="minorHAnsi" w:hAnsiTheme="minorHAnsi"/>
          <w:sz w:val="22"/>
          <w:szCs w:val="22"/>
        </w:rPr>
        <w:t xml:space="preserve"> single doses up to 4 mg</w:t>
      </w:r>
      <w:r w:rsidR="00AC22A6">
        <w:rPr>
          <w:rFonts w:asciiTheme="minorHAnsi" w:hAnsiTheme="minorHAnsi"/>
          <w:sz w:val="22"/>
          <w:szCs w:val="22"/>
        </w:rPr>
        <w:t xml:space="preserve"> </w:t>
      </w:r>
      <w:r w:rsidR="00A373DA">
        <w:rPr>
          <w:rFonts w:asciiTheme="minorHAnsi" w:hAnsiTheme="minorHAnsi"/>
          <w:sz w:val="22"/>
          <w:szCs w:val="22"/>
        </w:rPr>
        <w:t xml:space="preserve">produce effects </w:t>
      </w:r>
      <w:r w:rsidR="0087300A">
        <w:rPr>
          <w:rFonts w:asciiTheme="minorHAnsi" w:hAnsiTheme="minorHAnsi"/>
          <w:sz w:val="22"/>
          <w:szCs w:val="22"/>
        </w:rPr>
        <w:t>that can be considered extensions of its</w:t>
      </w:r>
      <w:r w:rsidR="003B2A16">
        <w:rPr>
          <w:rFonts w:asciiTheme="minorHAnsi" w:hAnsiTheme="minorHAnsi"/>
          <w:sz w:val="22"/>
          <w:szCs w:val="22"/>
        </w:rPr>
        <w:t xml:space="preserve"> </w:t>
      </w:r>
      <w:r w:rsidR="008E2A54">
        <w:rPr>
          <w:rFonts w:asciiTheme="minorHAnsi" w:hAnsiTheme="minorHAnsi"/>
          <w:sz w:val="22"/>
          <w:szCs w:val="22"/>
        </w:rPr>
        <w:t xml:space="preserve">pharmacological properties. </w:t>
      </w:r>
      <w:r w:rsidR="000C4973">
        <w:rPr>
          <w:rFonts w:asciiTheme="minorHAnsi" w:hAnsiTheme="minorHAnsi"/>
          <w:sz w:val="22"/>
          <w:szCs w:val="22"/>
        </w:rPr>
        <w:t xml:space="preserve">No significant effects </w:t>
      </w:r>
      <w:r w:rsidR="00F43DBE">
        <w:rPr>
          <w:rFonts w:asciiTheme="minorHAnsi" w:hAnsiTheme="minorHAnsi"/>
          <w:sz w:val="22"/>
          <w:szCs w:val="22"/>
        </w:rPr>
        <w:t xml:space="preserve">on the cardiovascular system or </w:t>
      </w:r>
      <w:r w:rsidR="00E94697">
        <w:rPr>
          <w:rFonts w:asciiTheme="minorHAnsi" w:hAnsiTheme="minorHAnsi"/>
          <w:sz w:val="22"/>
          <w:szCs w:val="22"/>
        </w:rPr>
        <w:t xml:space="preserve">respiratory system have been </w:t>
      </w:r>
      <w:r w:rsidR="007F525C">
        <w:rPr>
          <w:rFonts w:asciiTheme="minorHAnsi" w:hAnsiTheme="minorHAnsi"/>
          <w:sz w:val="22"/>
          <w:szCs w:val="22"/>
        </w:rPr>
        <w:t>noted.</w:t>
      </w:r>
      <w:r w:rsidR="0087300A">
        <w:rPr>
          <w:rFonts w:asciiTheme="minorHAnsi" w:hAnsiTheme="minorHAnsi"/>
          <w:sz w:val="22"/>
          <w:szCs w:val="22"/>
        </w:rPr>
        <w:t xml:space="preserve"> </w:t>
      </w:r>
      <w:r w:rsidR="009A4772">
        <w:rPr>
          <w:rFonts w:asciiTheme="minorHAnsi" w:hAnsiTheme="minorHAnsi"/>
          <w:sz w:val="22"/>
          <w:szCs w:val="22"/>
        </w:rPr>
        <w:t xml:space="preserve"> </w:t>
      </w:r>
    </w:p>
    <w:p w14:paraId="2F4E2B20" w14:textId="72EA7DDA" w:rsidR="0089122A" w:rsidRDefault="0089122A" w:rsidP="007F525C">
      <w:pPr>
        <w:spacing w:line="120" w:lineRule="exact"/>
        <w:jc w:val="both"/>
        <w:rPr>
          <w:rFonts w:asciiTheme="minorHAnsi" w:hAnsiTheme="minorHAnsi"/>
          <w:sz w:val="22"/>
          <w:szCs w:val="22"/>
        </w:rPr>
      </w:pPr>
    </w:p>
    <w:p w14:paraId="28EB0F9B" w14:textId="77777777" w:rsidR="00670F98" w:rsidRPr="00705274" w:rsidRDefault="00670F98" w:rsidP="007F525C">
      <w:pPr>
        <w:spacing w:line="120" w:lineRule="exact"/>
        <w:jc w:val="both"/>
        <w:rPr>
          <w:rFonts w:asciiTheme="minorHAnsi" w:hAnsiTheme="minorHAnsi"/>
          <w:sz w:val="22"/>
          <w:szCs w:val="22"/>
        </w:rPr>
      </w:pPr>
    </w:p>
    <w:p w14:paraId="64D92405" w14:textId="1F8D2B77" w:rsidR="0089122A" w:rsidRPr="00705274" w:rsidRDefault="0089122A" w:rsidP="0089122A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  <w:r w:rsidRPr="00705274">
        <w:rPr>
          <w:rFonts w:asciiTheme="minorHAnsi" w:hAnsiTheme="minorHAnsi"/>
          <w:b/>
          <w:sz w:val="22"/>
          <w:szCs w:val="22"/>
        </w:rPr>
        <w:t>5.2</w:t>
      </w:r>
      <w:r w:rsidRPr="00705274">
        <w:rPr>
          <w:rFonts w:asciiTheme="minorHAnsi" w:hAnsiTheme="minorHAnsi"/>
          <w:b/>
          <w:sz w:val="22"/>
          <w:szCs w:val="22"/>
        </w:rPr>
        <w:tab/>
        <w:t>P</w:t>
      </w:r>
      <w:r w:rsidR="00AD36EF">
        <w:rPr>
          <w:rFonts w:asciiTheme="minorHAnsi" w:hAnsiTheme="minorHAnsi"/>
          <w:b/>
          <w:sz w:val="22"/>
          <w:szCs w:val="22"/>
        </w:rPr>
        <w:t xml:space="preserve">harmacokinetic </w:t>
      </w:r>
      <w:r w:rsidR="00182514">
        <w:rPr>
          <w:rFonts w:asciiTheme="minorHAnsi" w:hAnsiTheme="minorHAnsi"/>
          <w:b/>
          <w:sz w:val="22"/>
          <w:szCs w:val="22"/>
        </w:rPr>
        <w:t>properties</w:t>
      </w:r>
    </w:p>
    <w:p w14:paraId="799BDCF8" w14:textId="003EE85C" w:rsidR="009C0116" w:rsidRDefault="00F7484A" w:rsidP="0089122A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Following oral </w:t>
      </w:r>
      <w:r w:rsidR="00740C54">
        <w:rPr>
          <w:rFonts w:asciiTheme="minorHAnsi" w:hAnsiTheme="minorHAnsi"/>
          <w:sz w:val="22"/>
          <w:szCs w:val="22"/>
        </w:rPr>
        <w:t>administration,</w:t>
      </w:r>
      <w:r>
        <w:rPr>
          <w:rFonts w:asciiTheme="minorHAnsi" w:hAnsiTheme="minorHAnsi"/>
          <w:sz w:val="22"/>
          <w:szCs w:val="22"/>
        </w:rPr>
        <w:t xml:space="preserve"> </w:t>
      </w:r>
      <w:r w:rsidR="00365464">
        <w:rPr>
          <w:rFonts w:asciiTheme="minorHAnsi" w:hAnsiTheme="minorHAnsi"/>
          <w:sz w:val="22"/>
          <w:szCs w:val="22"/>
        </w:rPr>
        <w:t>the a</w:t>
      </w:r>
      <w:r w:rsidR="003F1E58">
        <w:rPr>
          <w:rFonts w:asciiTheme="minorHAnsi" w:hAnsiTheme="minorHAnsi"/>
          <w:sz w:val="22"/>
          <w:szCs w:val="22"/>
        </w:rPr>
        <w:t xml:space="preserve">lprazolam is quickly </w:t>
      </w:r>
      <w:r w:rsidR="003671DF">
        <w:rPr>
          <w:rFonts w:asciiTheme="minorHAnsi" w:hAnsiTheme="minorHAnsi"/>
          <w:sz w:val="22"/>
          <w:szCs w:val="22"/>
        </w:rPr>
        <w:t xml:space="preserve">absorbed. </w:t>
      </w:r>
      <w:r w:rsidR="008F2BA0">
        <w:rPr>
          <w:rFonts w:asciiTheme="minorHAnsi" w:hAnsiTheme="minorHAnsi"/>
          <w:sz w:val="22"/>
          <w:szCs w:val="22"/>
        </w:rPr>
        <w:t xml:space="preserve">Maximum plasma levels </w:t>
      </w:r>
      <w:r w:rsidR="00232168">
        <w:rPr>
          <w:rFonts w:asciiTheme="minorHAnsi" w:hAnsiTheme="minorHAnsi"/>
          <w:sz w:val="22"/>
          <w:szCs w:val="22"/>
        </w:rPr>
        <w:t xml:space="preserve">are obtained </w:t>
      </w:r>
      <w:r w:rsidR="00F554E7">
        <w:rPr>
          <w:rFonts w:asciiTheme="minorHAnsi" w:hAnsiTheme="minorHAnsi"/>
          <w:sz w:val="22"/>
          <w:szCs w:val="22"/>
        </w:rPr>
        <w:t xml:space="preserve">1-2 hours after administration of the drug. </w:t>
      </w:r>
      <w:r w:rsidR="004F5CA8">
        <w:rPr>
          <w:rFonts w:asciiTheme="minorHAnsi" w:hAnsiTheme="minorHAnsi"/>
          <w:sz w:val="22"/>
          <w:szCs w:val="22"/>
        </w:rPr>
        <w:t xml:space="preserve">Plasma levels are proportionate </w:t>
      </w:r>
      <w:r w:rsidR="00D65240">
        <w:rPr>
          <w:rFonts w:asciiTheme="minorHAnsi" w:hAnsiTheme="minorHAnsi"/>
          <w:sz w:val="22"/>
          <w:szCs w:val="22"/>
        </w:rPr>
        <w:t xml:space="preserve">to the </w:t>
      </w:r>
      <w:r w:rsidR="00115AA3">
        <w:rPr>
          <w:rFonts w:asciiTheme="minorHAnsi" w:hAnsiTheme="minorHAnsi"/>
          <w:sz w:val="22"/>
          <w:szCs w:val="22"/>
        </w:rPr>
        <w:t xml:space="preserve">dose: </w:t>
      </w:r>
      <w:r w:rsidR="00214C99">
        <w:rPr>
          <w:rFonts w:asciiTheme="minorHAnsi" w:hAnsiTheme="minorHAnsi"/>
          <w:sz w:val="22"/>
          <w:szCs w:val="22"/>
        </w:rPr>
        <w:t xml:space="preserve">over the dose range of </w:t>
      </w:r>
      <w:r w:rsidR="009B7F04">
        <w:rPr>
          <w:rFonts w:asciiTheme="minorHAnsi" w:hAnsiTheme="minorHAnsi"/>
          <w:sz w:val="22"/>
          <w:szCs w:val="22"/>
        </w:rPr>
        <w:t>0.5 to 3</w:t>
      </w:r>
      <w:r w:rsidR="005D1C5A">
        <w:rPr>
          <w:rFonts w:asciiTheme="minorHAnsi" w:hAnsiTheme="minorHAnsi"/>
          <w:sz w:val="22"/>
          <w:szCs w:val="22"/>
        </w:rPr>
        <w:t>.0</w:t>
      </w:r>
      <w:r w:rsidR="009B7F04">
        <w:rPr>
          <w:rFonts w:asciiTheme="minorHAnsi" w:hAnsiTheme="minorHAnsi"/>
          <w:sz w:val="22"/>
          <w:szCs w:val="22"/>
        </w:rPr>
        <w:t xml:space="preserve"> mg</w:t>
      </w:r>
      <w:r w:rsidR="00764E24">
        <w:rPr>
          <w:rFonts w:asciiTheme="minorHAnsi" w:hAnsiTheme="minorHAnsi"/>
          <w:sz w:val="22"/>
          <w:szCs w:val="22"/>
        </w:rPr>
        <w:t>, peak levels of 8.0</w:t>
      </w:r>
      <w:r w:rsidR="00C74D1D">
        <w:rPr>
          <w:rFonts w:asciiTheme="minorHAnsi" w:hAnsiTheme="minorHAnsi"/>
          <w:sz w:val="22"/>
          <w:szCs w:val="22"/>
        </w:rPr>
        <w:t xml:space="preserve"> -</w:t>
      </w:r>
      <w:r w:rsidR="002A5209">
        <w:rPr>
          <w:rFonts w:asciiTheme="minorHAnsi" w:hAnsiTheme="minorHAnsi"/>
          <w:sz w:val="22"/>
          <w:szCs w:val="22"/>
        </w:rPr>
        <w:t xml:space="preserve"> </w:t>
      </w:r>
      <w:r w:rsidR="000B6833">
        <w:rPr>
          <w:rFonts w:asciiTheme="minorHAnsi" w:hAnsiTheme="minorHAnsi"/>
          <w:sz w:val="22"/>
          <w:szCs w:val="22"/>
        </w:rPr>
        <w:t>37.0 ng</w:t>
      </w:r>
      <w:r w:rsidR="002A5209">
        <w:rPr>
          <w:rFonts w:asciiTheme="minorHAnsi" w:hAnsiTheme="minorHAnsi"/>
          <w:sz w:val="22"/>
          <w:szCs w:val="22"/>
        </w:rPr>
        <w:t>/</w:t>
      </w:r>
      <w:r w:rsidR="009B7F04">
        <w:rPr>
          <w:rFonts w:asciiTheme="minorHAnsi" w:hAnsiTheme="minorHAnsi"/>
          <w:sz w:val="22"/>
          <w:szCs w:val="22"/>
        </w:rPr>
        <w:t>m</w:t>
      </w:r>
      <w:r w:rsidR="002A5209">
        <w:rPr>
          <w:rFonts w:asciiTheme="minorHAnsi" w:hAnsiTheme="minorHAnsi"/>
          <w:sz w:val="22"/>
          <w:szCs w:val="22"/>
        </w:rPr>
        <w:t xml:space="preserve">L </w:t>
      </w:r>
      <w:r w:rsidR="000B6833">
        <w:rPr>
          <w:rFonts w:asciiTheme="minorHAnsi" w:hAnsiTheme="minorHAnsi"/>
          <w:sz w:val="22"/>
          <w:szCs w:val="22"/>
        </w:rPr>
        <w:t xml:space="preserve">were observed. </w:t>
      </w:r>
    </w:p>
    <w:p w14:paraId="13B290D6" w14:textId="2E67BBDB" w:rsidR="0089122A" w:rsidRPr="00705274" w:rsidRDefault="003B67DE" w:rsidP="00F52EC9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average half life </w:t>
      </w:r>
      <w:r w:rsidR="00365464">
        <w:rPr>
          <w:rFonts w:asciiTheme="minorHAnsi" w:hAnsiTheme="minorHAnsi"/>
          <w:sz w:val="22"/>
          <w:szCs w:val="22"/>
        </w:rPr>
        <w:t>of alprazolam</w:t>
      </w:r>
      <w:r w:rsidR="00740C54">
        <w:rPr>
          <w:rFonts w:asciiTheme="minorHAnsi" w:hAnsiTheme="minorHAnsi"/>
          <w:sz w:val="22"/>
          <w:szCs w:val="22"/>
        </w:rPr>
        <w:t xml:space="preserve"> in a hea</w:t>
      </w:r>
      <w:r w:rsidR="00FE407E">
        <w:rPr>
          <w:rFonts w:asciiTheme="minorHAnsi" w:hAnsiTheme="minorHAnsi"/>
          <w:sz w:val="22"/>
          <w:szCs w:val="22"/>
        </w:rPr>
        <w:t>lthy adult is 11.2 hours</w:t>
      </w:r>
      <w:r w:rsidR="00940BC0">
        <w:rPr>
          <w:rFonts w:asciiTheme="minorHAnsi" w:hAnsiTheme="minorHAnsi"/>
          <w:sz w:val="22"/>
          <w:szCs w:val="22"/>
        </w:rPr>
        <w:t xml:space="preserve"> (range: </w:t>
      </w:r>
      <w:r w:rsidR="00406B81">
        <w:rPr>
          <w:rFonts w:asciiTheme="minorHAnsi" w:hAnsiTheme="minorHAnsi"/>
          <w:sz w:val="22"/>
          <w:szCs w:val="22"/>
        </w:rPr>
        <w:t xml:space="preserve">6.3 to 26.9 hours). </w:t>
      </w:r>
      <w:r w:rsidR="00E8792A">
        <w:rPr>
          <w:rFonts w:asciiTheme="minorHAnsi" w:hAnsiTheme="minorHAnsi"/>
          <w:sz w:val="22"/>
          <w:szCs w:val="22"/>
        </w:rPr>
        <w:t>It</w:t>
      </w:r>
      <w:r w:rsidR="00772B7D">
        <w:rPr>
          <w:rFonts w:asciiTheme="minorHAnsi" w:hAnsiTheme="minorHAnsi"/>
          <w:sz w:val="22"/>
          <w:szCs w:val="22"/>
        </w:rPr>
        <w:t xml:space="preserve">s principle metabolites are </w:t>
      </w:r>
      <w:r w:rsidR="00736F54">
        <w:rPr>
          <w:rFonts w:asciiTheme="minorHAnsi" w:hAnsiTheme="minorHAnsi"/>
          <w:sz w:val="22"/>
          <w:szCs w:val="22"/>
        </w:rPr>
        <w:t>alpha</w:t>
      </w:r>
      <w:r w:rsidR="00137765">
        <w:rPr>
          <w:rFonts w:asciiTheme="minorHAnsi" w:hAnsiTheme="minorHAnsi"/>
          <w:sz w:val="22"/>
          <w:szCs w:val="22"/>
        </w:rPr>
        <w:t>-</w:t>
      </w:r>
      <w:r w:rsidR="0093055C">
        <w:rPr>
          <w:rFonts w:asciiTheme="minorHAnsi" w:hAnsiTheme="minorHAnsi"/>
          <w:sz w:val="22"/>
          <w:szCs w:val="22"/>
        </w:rPr>
        <w:t>h</w:t>
      </w:r>
      <w:r w:rsidR="00137765">
        <w:rPr>
          <w:rFonts w:asciiTheme="minorHAnsi" w:hAnsiTheme="minorHAnsi"/>
          <w:sz w:val="22"/>
          <w:szCs w:val="22"/>
        </w:rPr>
        <w:t>ydroxyalprazolam</w:t>
      </w:r>
      <w:r w:rsidR="00C13511">
        <w:rPr>
          <w:rFonts w:asciiTheme="minorHAnsi" w:hAnsiTheme="minorHAnsi"/>
          <w:sz w:val="22"/>
          <w:szCs w:val="22"/>
        </w:rPr>
        <w:t xml:space="preserve"> and </w:t>
      </w:r>
      <w:r w:rsidR="00C6015A">
        <w:rPr>
          <w:rFonts w:asciiTheme="minorHAnsi" w:hAnsiTheme="minorHAnsi"/>
          <w:sz w:val="22"/>
          <w:szCs w:val="22"/>
        </w:rPr>
        <w:t xml:space="preserve">a </w:t>
      </w:r>
      <w:r w:rsidR="009F3E07">
        <w:rPr>
          <w:rFonts w:asciiTheme="minorHAnsi" w:hAnsiTheme="minorHAnsi"/>
          <w:sz w:val="22"/>
          <w:szCs w:val="22"/>
        </w:rPr>
        <w:t>benzophenone.</w:t>
      </w:r>
      <w:r w:rsidR="002369C5">
        <w:rPr>
          <w:rFonts w:asciiTheme="minorHAnsi" w:hAnsiTheme="minorHAnsi"/>
          <w:sz w:val="22"/>
          <w:szCs w:val="22"/>
        </w:rPr>
        <w:t xml:space="preserve"> The biological activity of </w:t>
      </w:r>
      <w:r w:rsidR="008363A9">
        <w:rPr>
          <w:rFonts w:asciiTheme="minorHAnsi" w:hAnsiTheme="minorHAnsi"/>
          <w:sz w:val="22"/>
          <w:szCs w:val="22"/>
        </w:rPr>
        <w:t>the</w:t>
      </w:r>
      <w:r w:rsidR="00F059A1">
        <w:rPr>
          <w:rFonts w:asciiTheme="minorHAnsi" w:hAnsiTheme="minorHAnsi"/>
          <w:sz w:val="22"/>
          <w:szCs w:val="22"/>
        </w:rPr>
        <w:t xml:space="preserve"> </w:t>
      </w:r>
      <w:r w:rsidR="0093055C">
        <w:rPr>
          <w:rFonts w:asciiTheme="minorHAnsi" w:hAnsiTheme="minorHAnsi"/>
          <w:sz w:val="22"/>
          <w:szCs w:val="22"/>
        </w:rPr>
        <w:t>h</w:t>
      </w:r>
      <w:r w:rsidR="00F059A1">
        <w:rPr>
          <w:rFonts w:asciiTheme="minorHAnsi" w:hAnsiTheme="minorHAnsi"/>
          <w:sz w:val="22"/>
          <w:szCs w:val="22"/>
        </w:rPr>
        <w:t xml:space="preserve">ydroxyalprazolam </w:t>
      </w:r>
      <w:r w:rsidR="003076BF">
        <w:rPr>
          <w:rFonts w:asciiTheme="minorHAnsi" w:hAnsiTheme="minorHAnsi"/>
          <w:sz w:val="22"/>
          <w:szCs w:val="22"/>
        </w:rPr>
        <w:t xml:space="preserve">is </w:t>
      </w:r>
      <w:r w:rsidR="00EB683A">
        <w:rPr>
          <w:rFonts w:asciiTheme="minorHAnsi" w:hAnsiTheme="minorHAnsi"/>
          <w:sz w:val="22"/>
          <w:szCs w:val="22"/>
        </w:rPr>
        <w:t xml:space="preserve">around half that of </w:t>
      </w:r>
      <w:r w:rsidR="005374E5">
        <w:rPr>
          <w:rFonts w:asciiTheme="minorHAnsi" w:hAnsiTheme="minorHAnsi"/>
          <w:sz w:val="22"/>
          <w:szCs w:val="22"/>
        </w:rPr>
        <w:t>alprazolam. The benzophenone is inactive.</w:t>
      </w:r>
    </w:p>
    <w:p w14:paraId="0878762C" w14:textId="77777777" w:rsidR="004F7419" w:rsidRDefault="00E75708" w:rsidP="0089122A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plasma levels of these metabolites are extremely low</w:t>
      </w:r>
      <w:r w:rsidR="00C01A13">
        <w:rPr>
          <w:rFonts w:asciiTheme="minorHAnsi" w:hAnsiTheme="minorHAnsi"/>
          <w:sz w:val="22"/>
          <w:szCs w:val="22"/>
        </w:rPr>
        <w:t>;</w:t>
      </w:r>
      <w:r w:rsidR="00497EAE">
        <w:rPr>
          <w:rFonts w:asciiTheme="minorHAnsi" w:hAnsiTheme="minorHAnsi"/>
          <w:sz w:val="22"/>
          <w:szCs w:val="22"/>
        </w:rPr>
        <w:t xml:space="preserve"> </w:t>
      </w:r>
      <w:r w:rsidR="001E2249">
        <w:rPr>
          <w:rFonts w:asciiTheme="minorHAnsi" w:hAnsiTheme="minorHAnsi"/>
          <w:sz w:val="22"/>
          <w:szCs w:val="22"/>
        </w:rPr>
        <w:t>their half-</w:t>
      </w:r>
      <w:r w:rsidR="004F5DB6">
        <w:rPr>
          <w:rFonts w:asciiTheme="minorHAnsi" w:hAnsiTheme="minorHAnsi"/>
          <w:sz w:val="22"/>
          <w:szCs w:val="22"/>
        </w:rPr>
        <w:t xml:space="preserve">lives </w:t>
      </w:r>
      <w:r w:rsidR="00C01A13">
        <w:rPr>
          <w:rFonts w:asciiTheme="minorHAnsi" w:hAnsiTheme="minorHAnsi"/>
          <w:sz w:val="22"/>
          <w:szCs w:val="22"/>
        </w:rPr>
        <w:t xml:space="preserve">however </w:t>
      </w:r>
      <w:r w:rsidR="00CB0ADD">
        <w:rPr>
          <w:rFonts w:asciiTheme="minorHAnsi" w:hAnsiTheme="minorHAnsi"/>
          <w:sz w:val="22"/>
          <w:szCs w:val="22"/>
        </w:rPr>
        <w:t xml:space="preserve">are </w:t>
      </w:r>
      <w:r w:rsidR="003A0644">
        <w:rPr>
          <w:rFonts w:asciiTheme="minorHAnsi" w:hAnsiTheme="minorHAnsi"/>
          <w:sz w:val="22"/>
          <w:szCs w:val="22"/>
        </w:rPr>
        <w:t>of the same order of magnitude as alprazolam</w:t>
      </w:r>
      <w:r w:rsidR="002F3539">
        <w:rPr>
          <w:rFonts w:asciiTheme="minorHAnsi" w:hAnsiTheme="minorHAnsi"/>
          <w:sz w:val="22"/>
          <w:szCs w:val="22"/>
        </w:rPr>
        <w:t xml:space="preserve">. </w:t>
      </w:r>
    </w:p>
    <w:p w14:paraId="77D4D994" w14:textId="3FDD64B7" w:rsidR="00893D2E" w:rsidRDefault="004F7419" w:rsidP="0089122A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Alprazolam and its metabolites </w:t>
      </w:r>
      <w:r w:rsidR="00153947">
        <w:rPr>
          <w:rFonts w:asciiTheme="minorHAnsi" w:hAnsiTheme="minorHAnsi"/>
          <w:sz w:val="22"/>
          <w:szCs w:val="22"/>
        </w:rPr>
        <w:t xml:space="preserve">are </w:t>
      </w:r>
      <w:r w:rsidR="006C7BA4">
        <w:rPr>
          <w:rFonts w:asciiTheme="minorHAnsi" w:hAnsiTheme="minorHAnsi"/>
          <w:sz w:val="22"/>
          <w:szCs w:val="22"/>
        </w:rPr>
        <w:t>primarily</w:t>
      </w:r>
      <w:r w:rsidR="00153947">
        <w:rPr>
          <w:rFonts w:asciiTheme="minorHAnsi" w:hAnsiTheme="minorHAnsi"/>
          <w:sz w:val="22"/>
          <w:szCs w:val="22"/>
        </w:rPr>
        <w:t xml:space="preserve"> </w:t>
      </w:r>
      <w:r w:rsidR="00AB315D">
        <w:rPr>
          <w:rFonts w:asciiTheme="minorHAnsi" w:hAnsiTheme="minorHAnsi"/>
          <w:sz w:val="22"/>
          <w:szCs w:val="22"/>
        </w:rPr>
        <w:t xml:space="preserve">excreted </w:t>
      </w:r>
      <w:r w:rsidR="006C7BA4">
        <w:rPr>
          <w:rFonts w:asciiTheme="minorHAnsi" w:hAnsiTheme="minorHAnsi"/>
          <w:sz w:val="22"/>
          <w:szCs w:val="22"/>
        </w:rPr>
        <w:t>in</w:t>
      </w:r>
      <w:r w:rsidR="00AB315D">
        <w:rPr>
          <w:rFonts w:asciiTheme="minorHAnsi" w:hAnsiTheme="minorHAnsi"/>
          <w:sz w:val="22"/>
          <w:szCs w:val="22"/>
        </w:rPr>
        <w:t xml:space="preserve"> urine. </w:t>
      </w:r>
      <w:r w:rsidR="00805B30">
        <w:rPr>
          <w:rFonts w:asciiTheme="minorHAnsi" w:hAnsiTheme="minorHAnsi"/>
          <w:sz w:val="22"/>
          <w:szCs w:val="22"/>
        </w:rPr>
        <w:t xml:space="preserve">Alprazolam </w:t>
      </w:r>
      <w:r w:rsidR="009946F1">
        <w:rPr>
          <w:rFonts w:asciiTheme="minorHAnsi" w:hAnsiTheme="minorHAnsi"/>
          <w:sz w:val="22"/>
          <w:szCs w:val="22"/>
        </w:rPr>
        <w:t xml:space="preserve">doesn’t affect </w:t>
      </w:r>
      <w:r w:rsidR="00473FA3">
        <w:rPr>
          <w:rFonts w:asciiTheme="minorHAnsi" w:hAnsiTheme="minorHAnsi"/>
          <w:sz w:val="22"/>
          <w:szCs w:val="22"/>
        </w:rPr>
        <w:t xml:space="preserve">the prothrombin time or </w:t>
      </w:r>
      <w:r w:rsidR="00F05F02">
        <w:rPr>
          <w:rFonts w:asciiTheme="minorHAnsi" w:hAnsiTheme="minorHAnsi"/>
          <w:sz w:val="22"/>
          <w:szCs w:val="22"/>
        </w:rPr>
        <w:t>the plasma concentrations of warfa</w:t>
      </w:r>
      <w:r w:rsidR="00284834">
        <w:rPr>
          <w:rFonts w:asciiTheme="minorHAnsi" w:hAnsiTheme="minorHAnsi"/>
          <w:sz w:val="22"/>
          <w:szCs w:val="22"/>
        </w:rPr>
        <w:t xml:space="preserve">rin in volunteers who </w:t>
      </w:r>
      <w:r w:rsidR="00907265">
        <w:rPr>
          <w:rFonts w:asciiTheme="minorHAnsi" w:hAnsiTheme="minorHAnsi"/>
          <w:sz w:val="22"/>
          <w:szCs w:val="22"/>
        </w:rPr>
        <w:t>have bee</w:t>
      </w:r>
      <w:r w:rsidR="00003AD4">
        <w:rPr>
          <w:rFonts w:asciiTheme="minorHAnsi" w:hAnsiTheme="minorHAnsi"/>
          <w:sz w:val="22"/>
          <w:szCs w:val="22"/>
        </w:rPr>
        <w:t xml:space="preserve">n </w:t>
      </w:r>
      <w:r w:rsidR="008C2A70">
        <w:rPr>
          <w:rFonts w:asciiTheme="minorHAnsi" w:hAnsiTheme="minorHAnsi"/>
          <w:sz w:val="22"/>
          <w:szCs w:val="22"/>
        </w:rPr>
        <w:t>orally</w:t>
      </w:r>
      <w:r w:rsidR="00907265">
        <w:rPr>
          <w:rFonts w:asciiTheme="minorHAnsi" w:hAnsiTheme="minorHAnsi"/>
          <w:sz w:val="22"/>
          <w:szCs w:val="22"/>
        </w:rPr>
        <w:t xml:space="preserve"> administered</w:t>
      </w:r>
      <w:r w:rsidR="0016188A">
        <w:rPr>
          <w:rFonts w:asciiTheme="minorHAnsi" w:hAnsiTheme="minorHAnsi"/>
          <w:sz w:val="22"/>
          <w:szCs w:val="22"/>
        </w:rPr>
        <w:t xml:space="preserve"> </w:t>
      </w:r>
      <w:r w:rsidR="009F774F">
        <w:rPr>
          <w:rFonts w:asciiTheme="minorHAnsi" w:hAnsiTheme="minorHAnsi"/>
          <w:sz w:val="22"/>
          <w:szCs w:val="22"/>
        </w:rPr>
        <w:t xml:space="preserve">with the latter. </w:t>
      </w:r>
      <w:r w:rsidR="00907265">
        <w:rPr>
          <w:rFonts w:asciiTheme="minorHAnsi" w:hAnsiTheme="minorHAnsi"/>
          <w:sz w:val="22"/>
          <w:szCs w:val="22"/>
        </w:rPr>
        <w:t xml:space="preserve"> </w:t>
      </w:r>
    </w:p>
    <w:p w14:paraId="560FEA15" w14:textId="1CCDCF2C" w:rsidR="00D95343" w:rsidRDefault="0089122A" w:rsidP="0089122A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7D7D6C">
        <w:rPr>
          <w:rFonts w:asciiTheme="minorHAnsi" w:hAnsiTheme="minorHAnsi"/>
          <w:i/>
          <w:iCs/>
          <w:sz w:val="22"/>
          <w:szCs w:val="22"/>
        </w:rPr>
        <w:t>I</w:t>
      </w:r>
      <w:r w:rsidR="001A4BFD" w:rsidRPr="007D7D6C">
        <w:rPr>
          <w:rFonts w:asciiTheme="minorHAnsi" w:hAnsiTheme="minorHAnsi"/>
          <w:i/>
          <w:iCs/>
          <w:sz w:val="22"/>
          <w:szCs w:val="22"/>
        </w:rPr>
        <w:t>n vitro</w:t>
      </w:r>
      <w:r w:rsidR="00DF20AE">
        <w:rPr>
          <w:rFonts w:asciiTheme="minorHAnsi" w:hAnsiTheme="minorHAnsi"/>
          <w:sz w:val="22"/>
          <w:szCs w:val="22"/>
        </w:rPr>
        <w:t xml:space="preserve">, </w:t>
      </w:r>
      <w:r w:rsidR="00F71BF3">
        <w:rPr>
          <w:rFonts w:asciiTheme="minorHAnsi" w:hAnsiTheme="minorHAnsi"/>
          <w:sz w:val="22"/>
          <w:szCs w:val="22"/>
        </w:rPr>
        <w:t xml:space="preserve">alprazolam is </w:t>
      </w:r>
      <w:r w:rsidR="00590837">
        <w:rPr>
          <w:rFonts w:asciiTheme="minorHAnsi" w:hAnsiTheme="minorHAnsi"/>
          <w:sz w:val="22"/>
          <w:szCs w:val="22"/>
        </w:rPr>
        <w:t xml:space="preserve">approximately 80% </w:t>
      </w:r>
      <w:r w:rsidR="00D5027E">
        <w:rPr>
          <w:rFonts w:asciiTheme="minorHAnsi" w:hAnsiTheme="minorHAnsi"/>
          <w:sz w:val="22"/>
          <w:szCs w:val="22"/>
        </w:rPr>
        <w:t xml:space="preserve">bound </w:t>
      </w:r>
      <w:r w:rsidR="00590837">
        <w:rPr>
          <w:rFonts w:asciiTheme="minorHAnsi" w:hAnsiTheme="minorHAnsi"/>
          <w:sz w:val="22"/>
          <w:szCs w:val="22"/>
        </w:rPr>
        <w:t xml:space="preserve">to </w:t>
      </w:r>
      <w:r w:rsidR="00D82637">
        <w:rPr>
          <w:rFonts w:asciiTheme="minorHAnsi" w:hAnsiTheme="minorHAnsi"/>
          <w:sz w:val="22"/>
          <w:szCs w:val="22"/>
        </w:rPr>
        <w:t>the serum protein</w:t>
      </w:r>
      <w:r w:rsidR="008A1963">
        <w:rPr>
          <w:rFonts w:asciiTheme="minorHAnsi" w:hAnsiTheme="minorHAnsi"/>
          <w:sz w:val="22"/>
          <w:szCs w:val="22"/>
        </w:rPr>
        <w:t>s</w:t>
      </w:r>
      <w:r w:rsidR="00D95343">
        <w:rPr>
          <w:rFonts w:asciiTheme="minorHAnsi" w:hAnsiTheme="minorHAnsi"/>
          <w:sz w:val="22"/>
          <w:szCs w:val="22"/>
        </w:rPr>
        <w:t>.</w:t>
      </w:r>
    </w:p>
    <w:p w14:paraId="1CB53FAB" w14:textId="5511A86F" w:rsidR="0089122A" w:rsidRPr="00705274" w:rsidRDefault="005E76C7" w:rsidP="00D47267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After administering a pregnant female rat</w:t>
      </w:r>
      <w:r w:rsidR="003E598B">
        <w:rPr>
          <w:rFonts w:asciiTheme="minorHAnsi" w:hAnsiTheme="minorHAnsi"/>
          <w:sz w:val="22"/>
          <w:szCs w:val="22"/>
        </w:rPr>
        <w:t xml:space="preserve"> with </w:t>
      </w:r>
      <w:r w:rsidR="00EE35F9">
        <w:rPr>
          <w:rFonts w:asciiTheme="minorHAnsi" w:hAnsiTheme="minorHAnsi"/>
          <w:sz w:val="22"/>
          <w:szCs w:val="22"/>
        </w:rPr>
        <w:t xml:space="preserve">C-14 </w:t>
      </w:r>
      <w:r w:rsidR="003E598B">
        <w:rPr>
          <w:rFonts w:asciiTheme="minorHAnsi" w:hAnsiTheme="minorHAnsi"/>
          <w:sz w:val="22"/>
          <w:szCs w:val="22"/>
        </w:rPr>
        <w:t>alprazolam</w:t>
      </w:r>
      <w:r w:rsidR="00953272">
        <w:rPr>
          <w:rFonts w:asciiTheme="minorHAnsi" w:hAnsiTheme="minorHAnsi"/>
          <w:sz w:val="22"/>
          <w:szCs w:val="22"/>
        </w:rPr>
        <w:t xml:space="preserve">, </w:t>
      </w:r>
      <w:r w:rsidR="009E618C">
        <w:rPr>
          <w:rFonts w:asciiTheme="minorHAnsi" w:hAnsiTheme="minorHAnsi"/>
          <w:sz w:val="22"/>
          <w:szCs w:val="22"/>
        </w:rPr>
        <w:t xml:space="preserve">the radioactivity is evenly </w:t>
      </w:r>
      <w:r w:rsidR="00E24452">
        <w:rPr>
          <w:rFonts w:asciiTheme="minorHAnsi" w:hAnsiTheme="minorHAnsi"/>
          <w:sz w:val="22"/>
          <w:szCs w:val="22"/>
        </w:rPr>
        <w:t>distri</w:t>
      </w:r>
      <w:r w:rsidR="004145C1">
        <w:rPr>
          <w:rFonts w:asciiTheme="minorHAnsi" w:hAnsiTheme="minorHAnsi"/>
          <w:sz w:val="22"/>
          <w:szCs w:val="22"/>
        </w:rPr>
        <w:t xml:space="preserve">buted throughout the </w:t>
      </w:r>
      <w:r w:rsidR="008D1240">
        <w:rPr>
          <w:rFonts w:asciiTheme="minorHAnsi" w:hAnsiTheme="minorHAnsi"/>
          <w:sz w:val="22"/>
          <w:szCs w:val="22"/>
        </w:rPr>
        <w:t xml:space="preserve">foetuses, </w:t>
      </w:r>
      <w:r w:rsidR="006943BD">
        <w:rPr>
          <w:rFonts w:asciiTheme="minorHAnsi" w:hAnsiTheme="minorHAnsi"/>
          <w:sz w:val="22"/>
          <w:szCs w:val="22"/>
        </w:rPr>
        <w:t>with C</w:t>
      </w:r>
      <w:r w:rsidR="0016268A">
        <w:rPr>
          <w:rFonts w:asciiTheme="minorHAnsi" w:hAnsiTheme="minorHAnsi"/>
          <w:sz w:val="22"/>
          <w:szCs w:val="22"/>
        </w:rPr>
        <w:t>-</w:t>
      </w:r>
      <w:r w:rsidR="006943BD">
        <w:rPr>
          <w:rFonts w:asciiTheme="minorHAnsi" w:hAnsiTheme="minorHAnsi"/>
          <w:sz w:val="22"/>
          <w:szCs w:val="22"/>
        </w:rPr>
        <w:t xml:space="preserve">14 </w:t>
      </w:r>
      <w:r w:rsidR="00C46B62">
        <w:rPr>
          <w:rFonts w:asciiTheme="minorHAnsi" w:hAnsiTheme="minorHAnsi"/>
          <w:sz w:val="22"/>
          <w:szCs w:val="22"/>
        </w:rPr>
        <w:t xml:space="preserve">concentrations </w:t>
      </w:r>
      <w:r w:rsidR="004B523E">
        <w:rPr>
          <w:rFonts w:asciiTheme="minorHAnsi" w:hAnsiTheme="minorHAnsi"/>
          <w:sz w:val="22"/>
          <w:szCs w:val="22"/>
        </w:rPr>
        <w:t xml:space="preserve">identical to those present in </w:t>
      </w:r>
      <w:r w:rsidR="00751035">
        <w:rPr>
          <w:rFonts w:asciiTheme="minorHAnsi" w:hAnsiTheme="minorHAnsi"/>
          <w:sz w:val="22"/>
          <w:szCs w:val="22"/>
        </w:rPr>
        <w:t xml:space="preserve">the </w:t>
      </w:r>
      <w:r w:rsidR="004B523E">
        <w:rPr>
          <w:rFonts w:asciiTheme="minorHAnsi" w:hAnsiTheme="minorHAnsi"/>
          <w:sz w:val="22"/>
          <w:szCs w:val="22"/>
        </w:rPr>
        <w:t>blood and</w:t>
      </w:r>
      <w:r w:rsidR="00751035">
        <w:rPr>
          <w:rFonts w:asciiTheme="minorHAnsi" w:hAnsiTheme="minorHAnsi"/>
          <w:sz w:val="22"/>
          <w:szCs w:val="22"/>
        </w:rPr>
        <w:t xml:space="preserve"> skeletal muscle of the </w:t>
      </w:r>
      <w:r w:rsidR="00F33D55">
        <w:rPr>
          <w:rFonts w:asciiTheme="minorHAnsi" w:hAnsiTheme="minorHAnsi"/>
          <w:sz w:val="22"/>
          <w:szCs w:val="22"/>
        </w:rPr>
        <w:t>mother</w:t>
      </w:r>
      <w:r w:rsidR="00875D79">
        <w:rPr>
          <w:rFonts w:asciiTheme="minorHAnsi" w:hAnsiTheme="minorHAnsi"/>
          <w:sz w:val="22"/>
          <w:szCs w:val="22"/>
        </w:rPr>
        <w:t>.</w:t>
      </w:r>
    </w:p>
    <w:p w14:paraId="70584ECC" w14:textId="5D539498" w:rsidR="0089122A" w:rsidRPr="008D28B9" w:rsidRDefault="0089122A" w:rsidP="0089122A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8D28B9">
        <w:rPr>
          <w:rFonts w:asciiTheme="minorHAnsi" w:hAnsiTheme="minorHAnsi"/>
          <w:sz w:val="22"/>
          <w:szCs w:val="22"/>
        </w:rPr>
        <w:t>Di</w:t>
      </w:r>
      <w:r w:rsidR="0023666D" w:rsidRPr="008D28B9">
        <w:rPr>
          <w:rFonts w:asciiTheme="minorHAnsi" w:hAnsiTheme="minorHAnsi"/>
          <w:sz w:val="22"/>
          <w:szCs w:val="22"/>
        </w:rPr>
        <w:t>sparities</w:t>
      </w:r>
      <w:r w:rsidRPr="008D28B9">
        <w:rPr>
          <w:rFonts w:asciiTheme="minorHAnsi" w:hAnsiTheme="minorHAnsi"/>
          <w:sz w:val="22"/>
          <w:szCs w:val="22"/>
        </w:rPr>
        <w:t xml:space="preserve"> </w:t>
      </w:r>
      <w:r w:rsidR="00704917" w:rsidRPr="008D28B9">
        <w:rPr>
          <w:rFonts w:asciiTheme="minorHAnsi" w:hAnsiTheme="minorHAnsi"/>
          <w:sz w:val="22"/>
          <w:szCs w:val="22"/>
        </w:rPr>
        <w:t>in the kinetics and metabolism</w:t>
      </w:r>
      <w:r w:rsidR="00485DC6" w:rsidRPr="008D28B9">
        <w:rPr>
          <w:rFonts w:asciiTheme="minorHAnsi" w:hAnsiTheme="minorHAnsi"/>
          <w:sz w:val="22"/>
          <w:szCs w:val="22"/>
        </w:rPr>
        <w:t xml:space="preserve"> of benzodiazepines </w:t>
      </w:r>
      <w:r w:rsidR="007E3A52" w:rsidRPr="008D28B9">
        <w:rPr>
          <w:rFonts w:asciiTheme="minorHAnsi" w:hAnsiTheme="minorHAnsi"/>
          <w:sz w:val="22"/>
          <w:szCs w:val="22"/>
        </w:rPr>
        <w:t xml:space="preserve">have been noted in various </w:t>
      </w:r>
      <w:r w:rsidR="00533E3E" w:rsidRPr="008D28B9">
        <w:rPr>
          <w:rFonts w:asciiTheme="minorHAnsi" w:hAnsiTheme="minorHAnsi"/>
          <w:sz w:val="22"/>
          <w:szCs w:val="22"/>
        </w:rPr>
        <w:t>pathological</w:t>
      </w:r>
      <w:r w:rsidR="00E94E0C" w:rsidRPr="008D28B9">
        <w:rPr>
          <w:rFonts w:asciiTheme="minorHAnsi" w:hAnsiTheme="minorHAnsi"/>
          <w:sz w:val="22"/>
          <w:szCs w:val="22"/>
        </w:rPr>
        <w:t xml:space="preserve"> conditions, including alcoholism</w:t>
      </w:r>
      <w:r w:rsidR="009332AF" w:rsidRPr="008D28B9">
        <w:rPr>
          <w:rFonts w:asciiTheme="minorHAnsi" w:hAnsiTheme="minorHAnsi"/>
          <w:sz w:val="22"/>
          <w:szCs w:val="22"/>
        </w:rPr>
        <w:t>,</w:t>
      </w:r>
      <w:r w:rsidR="00E94E0C" w:rsidRPr="008D28B9">
        <w:rPr>
          <w:rFonts w:asciiTheme="minorHAnsi" w:hAnsiTheme="minorHAnsi"/>
          <w:sz w:val="22"/>
          <w:szCs w:val="22"/>
        </w:rPr>
        <w:t xml:space="preserve"> hepatic</w:t>
      </w:r>
      <w:r w:rsidR="009332AF" w:rsidRPr="008D28B9">
        <w:rPr>
          <w:rFonts w:asciiTheme="minorHAnsi" w:hAnsiTheme="minorHAnsi"/>
          <w:sz w:val="22"/>
          <w:szCs w:val="22"/>
        </w:rPr>
        <w:t xml:space="preserve"> or</w:t>
      </w:r>
      <w:r w:rsidR="002E50DE" w:rsidRPr="008D28B9">
        <w:rPr>
          <w:rFonts w:asciiTheme="minorHAnsi" w:hAnsiTheme="minorHAnsi"/>
          <w:sz w:val="22"/>
          <w:szCs w:val="22"/>
        </w:rPr>
        <w:t xml:space="preserve"> renal </w:t>
      </w:r>
      <w:r w:rsidR="00512A99" w:rsidRPr="008D28B9">
        <w:rPr>
          <w:rFonts w:asciiTheme="minorHAnsi" w:hAnsiTheme="minorHAnsi"/>
          <w:sz w:val="22"/>
          <w:szCs w:val="22"/>
        </w:rPr>
        <w:t>impairment</w:t>
      </w:r>
      <w:r w:rsidR="00411A2A" w:rsidRPr="008D28B9">
        <w:rPr>
          <w:rFonts w:asciiTheme="minorHAnsi" w:hAnsiTheme="minorHAnsi"/>
          <w:sz w:val="22"/>
          <w:szCs w:val="22"/>
        </w:rPr>
        <w:t xml:space="preserve">, </w:t>
      </w:r>
      <w:r w:rsidR="00C13EAE" w:rsidRPr="008D28B9">
        <w:rPr>
          <w:rFonts w:asciiTheme="minorHAnsi" w:hAnsiTheme="minorHAnsi"/>
          <w:sz w:val="22"/>
          <w:szCs w:val="22"/>
        </w:rPr>
        <w:t>and similarly in</w:t>
      </w:r>
      <w:r w:rsidR="000952A7" w:rsidRPr="008D28B9">
        <w:rPr>
          <w:rFonts w:asciiTheme="minorHAnsi" w:hAnsiTheme="minorHAnsi"/>
          <w:sz w:val="22"/>
          <w:szCs w:val="22"/>
        </w:rPr>
        <w:t xml:space="preserve"> geriatric patient</w:t>
      </w:r>
      <w:r w:rsidR="00C13EAE" w:rsidRPr="008D28B9">
        <w:rPr>
          <w:rFonts w:asciiTheme="minorHAnsi" w:hAnsiTheme="minorHAnsi"/>
          <w:sz w:val="22"/>
          <w:szCs w:val="22"/>
        </w:rPr>
        <w:t>s</w:t>
      </w:r>
      <w:r w:rsidR="000952A7" w:rsidRPr="008D28B9">
        <w:rPr>
          <w:rFonts w:asciiTheme="minorHAnsi" w:hAnsiTheme="minorHAnsi"/>
          <w:sz w:val="22"/>
          <w:szCs w:val="22"/>
        </w:rPr>
        <w:t>.</w:t>
      </w:r>
    </w:p>
    <w:p w14:paraId="39ADFDD7" w14:textId="0118D74E" w:rsidR="00E97017" w:rsidRPr="0089122A" w:rsidRDefault="00077FE8" w:rsidP="0089122A">
      <w:pPr>
        <w:pStyle w:val="Corpodeltesto21"/>
        <w:tabs>
          <w:tab w:val="left" w:pos="-720"/>
        </w:tabs>
        <w:suppressAutoHyphens/>
        <w:ind w:left="709"/>
        <w:rPr>
          <w:rFonts w:asciiTheme="minorHAnsi" w:hAnsiTheme="minorHAnsi"/>
          <w:szCs w:val="22"/>
        </w:rPr>
      </w:pPr>
    </w:p>
    <w:sectPr w:rsidR="00E97017" w:rsidRPr="00891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0E5"/>
    <w:multiLevelType w:val="multilevel"/>
    <w:tmpl w:val="3EB40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3B"/>
    <w:rsid w:val="00003AD4"/>
    <w:rsid w:val="00042E41"/>
    <w:rsid w:val="00056656"/>
    <w:rsid w:val="00077FE8"/>
    <w:rsid w:val="0008074D"/>
    <w:rsid w:val="00085C9C"/>
    <w:rsid w:val="000952A7"/>
    <w:rsid w:val="000B6833"/>
    <w:rsid w:val="000C01A3"/>
    <w:rsid w:val="000C3463"/>
    <w:rsid w:val="000C4973"/>
    <w:rsid w:val="001034A3"/>
    <w:rsid w:val="001063FC"/>
    <w:rsid w:val="00115AA3"/>
    <w:rsid w:val="00116D36"/>
    <w:rsid w:val="00121085"/>
    <w:rsid w:val="00126F54"/>
    <w:rsid w:val="00137765"/>
    <w:rsid w:val="00153947"/>
    <w:rsid w:val="00155EE7"/>
    <w:rsid w:val="0016188A"/>
    <w:rsid w:val="0016268A"/>
    <w:rsid w:val="001719B1"/>
    <w:rsid w:val="001741E2"/>
    <w:rsid w:val="00182514"/>
    <w:rsid w:val="00187EC2"/>
    <w:rsid w:val="001A4BFD"/>
    <w:rsid w:val="001B2F64"/>
    <w:rsid w:val="001D33A6"/>
    <w:rsid w:val="001D7022"/>
    <w:rsid w:val="001E2249"/>
    <w:rsid w:val="002074FB"/>
    <w:rsid w:val="00211B7D"/>
    <w:rsid w:val="002120A3"/>
    <w:rsid w:val="00214A81"/>
    <w:rsid w:val="00214C99"/>
    <w:rsid w:val="00232168"/>
    <w:rsid w:val="00233F52"/>
    <w:rsid w:val="0023666D"/>
    <w:rsid w:val="002369C5"/>
    <w:rsid w:val="0025250D"/>
    <w:rsid w:val="00254272"/>
    <w:rsid w:val="00265638"/>
    <w:rsid w:val="002771E7"/>
    <w:rsid w:val="00284834"/>
    <w:rsid w:val="00290A8C"/>
    <w:rsid w:val="0029545A"/>
    <w:rsid w:val="002A1F77"/>
    <w:rsid w:val="002A5209"/>
    <w:rsid w:val="002A56A2"/>
    <w:rsid w:val="002C3DF3"/>
    <w:rsid w:val="002D3FBD"/>
    <w:rsid w:val="002E50DE"/>
    <w:rsid w:val="002F1B4C"/>
    <w:rsid w:val="002F3539"/>
    <w:rsid w:val="003076BF"/>
    <w:rsid w:val="00334AE9"/>
    <w:rsid w:val="003369E4"/>
    <w:rsid w:val="00340A97"/>
    <w:rsid w:val="0034426F"/>
    <w:rsid w:val="00346F89"/>
    <w:rsid w:val="00350600"/>
    <w:rsid w:val="0035749B"/>
    <w:rsid w:val="00365464"/>
    <w:rsid w:val="003671DF"/>
    <w:rsid w:val="0039271D"/>
    <w:rsid w:val="003A0644"/>
    <w:rsid w:val="003A572A"/>
    <w:rsid w:val="003B2A16"/>
    <w:rsid w:val="003B6613"/>
    <w:rsid w:val="003B67DE"/>
    <w:rsid w:val="003C128D"/>
    <w:rsid w:val="003C47A4"/>
    <w:rsid w:val="003C67FD"/>
    <w:rsid w:val="003E598B"/>
    <w:rsid w:val="003F0B99"/>
    <w:rsid w:val="003F1E58"/>
    <w:rsid w:val="003F6792"/>
    <w:rsid w:val="00406B81"/>
    <w:rsid w:val="00411A2A"/>
    <w:rsid w:val="004145C1"/>
    <w:rsid w:val="0041528B"/>
    <w:rsid w:val="00473FA3"/>
    <w:rsid w:val="00485A7C"/>
    <w:rsid w:val="00485DC6"/>
    <w:rsid w:val="00496D09"/>
    <w:rsid w:val="00497EAE"/>
    <w:rsid w:val="004B35DE"/>
    <w:rsid w:val="004B523E"/>
    <w:rsid w:val="004C323F"/>
    <w:rsid w:val="004C51EF"/>
    <w:rsid w:val="004C5E6E"/>
    <w:rsid w:val="004D71C2"/>
    <w:rsid w:val="004E3393"/>
    <w:rsid w:val="004F127E"/>
    <w:rsid w:val="004F5CA8"/>
    <w:rsid w:val="004F5DB6"/>
    <w:rsid w:val="004F7419"/>
    <w:rsid w:val="00512A99"/>
    <w:rsid w:val="00533E3E"/>
    <w:rsid w:val="00536E37"/>
    <w:rsid w:val="005374E5"/>
    <w:rsid w:val="00557683"/>
    <w:rsid w:val="0057540E"/>
    <w:rsid w:val="00587A5B"/>
    <w:rsid w:val="00590837"/>
    <w:rsid w:val="005A3CA1"/>
    <w:rsid w:val="005B1E3C"/>
    <w:rsid w:val="005C2361"/>
    <w:rsid w:val="005C5CD4"/>
    <w:rsid w:val="005C5D2E"/>
    <w:rsid w:val="005D1C5A"/>
    <w:rsid w:val="005E3754"/>
    <w:rsid w:val="005E76C7"/>
    <w:rsid w:val="00604C0A"/>
    <w:rsid w:val="00607C73"/>
    <w:rsid w:val="00642635"/>
    <w:rsid w:val="0064697A"/>
    <w:rsid w:val="00647426"/>
    <w:rsid w:val="00670674"/>
    <w:rsid w:val="00670C76"/>
    <w:rsid w:val="00670F98"/>
    <w:rsid w:val="006943BD"/>
    <w:rsid w:val="006C7BA4"/>
    <w:rsid w:val="006E36A7"/>
    <w:rsid w:val="006E621A"/>
    <w:rsid w:val="006F794E"/>
    <w:rsid w:val="00703A3B"/>
    <w:rsid w:val="00704917"/>
    <w:rsid w:val="00707FED"/>
    <w:rsid w:val="00721780"/>
    <w:rsid w:val="007368A8"/>
    <w:rsid w:val="00736F54"/>
    <w:rsid w:val="00737BC4"/>
    <w:rsid w:val="00740C54"/>
    <w:rsid w:val="00751035"/>
    <w:rsid w:val="00764E24"/>
    <w:rsid w:val="00772B7D"/>
    <w:rsid w:val="007B018B"/>
    <w:rsid w:val="007D0847"/>
    <w:rsid w:val="007D7D6C"/>
    <w:rsid w:val="007E3A52"/>
    <w:rsid w:val="007F2D0F"/>
    <w:rsid w:val="007F525C"/>
    <w:rsid w:val="00803EAA"/>
    <w:rsid w:val="00805B30"/>
    <w:rsid w:val="008105AA"/>
    <w:rsid w:val="00810834"/>
    <w:rsid w:val="00822A56"/>
    <w:rsid w:val="008363A9"/>
    <w:rsid w:val="00854C55"/>
    <w:rsid w:val="00870CED"/>
    <w:rsid w:val="0087300A"/>
    <w:rsid w:val="00875D79"/>
    <w:rsid w:val="00875E7F"/>
    <w:rsid w:val="008803C6"/>
    <w:rsid w:val="008811F4"/>
    <w:rsid w:val="00890737"/>
    <w:rsid w:val="0089122A"/>
    <w:rsid w:val="00893D2E"/>
    <w:rsid w:val="008A1963"/>
    <w:rsid w:val="008A30A2"/>
    <w:rsid w:val="008A3C63"/>
    <w:rsid w:val="008B1F8A"/>
    <w:rsid w:val="008C2A70"/>
    <w:rsid w:val="008D1240"/>
    <w:rsid w:val="008D28B9"/>
    <w:rsid w:val="008D415C"/>
    <w:rsid w:val="008E2A54"/>
    <w:rsid w:val="008F2BA0"/>
    <w:rsid w:val="008F455C"/>
    <w:rsid w:val="008F4A2B"/>
    <w:rsid w:val="00902A11"/>
    <w:rsid w:val="009042B3"/>
    <w:rsid w:val="00907265"/>
    <w:rsid w:val="0093055C"/>
    <w:rsid w:val="009332AF"/>
    <w:rsid w:val="00940BC0"/>
    <w:rsid w:val="00951113"/>
    <w:rsid w:val="00953272"/>
    <w:rsid w:val="00971B62"/>
    <w:rsid w:val="009759C1"/>
    <w:rsid w:val="00982A0B"/>
    <w:rsid w:val="009946F1"/>
    <w:rsid w:val="009A0D34"/>
    <w:rsid w:val="009A4772"/>
    <w:rsid w:val="009A5FC9"/>
    <w:rsid w:val="009A72A8"/>
    <w:rsid w:val="009B7F04"/>
    <w:rsid w:val="009C0116"/>
    <w:rsid w:val="009D4AD5"/>
    <w:rsid w:val="009E2B1A"/>
    <w:rsid w:val="009E618C"/>
    <w:rsid w:val="009F2016"/>
    <w:rsid w:val="009F3E07"/>
    <w:rsid w:val="009F774F"/>
    <w:rsid w:val="00A02A65"/>
    <w:rsid w:val="00A10225"/>
    <w:rsid w:val="00A373DA"/>
    <w:rsid w:val="00A500F3"/>
    <w:rsid w:val="00A50B03"/>
    <w:rsid w:val="00A53772"/>
    <w:rsid w:val="00A73750"/>
    <w:rsid w:val="00A80239"/>
    <w:rsid w:val="00A9255B"/>
    <w:rsid w:val="00A93775"/>
    <w:rsid w:val="00AB315D"/>
    <w:rsid w:val="00AC22A6"/>
    <w:rsid w:val="00AC4C07"/>
    <w:rsid w:val="00AD2468"/>
    <w:rsid w:val="00AD36EF"/>
    <w:rsid w:val="00B072F5"/>
    <w:rsid w:val="00B11AA3"/>
    <w:rsid w:val="00B12528"/>
    <w:rsid w:val="00B43AAE"/>
    <w:rsid w:val="00BC4BC9"/>
    <w:rsid w:val="00BC6B33"/>
    <w:rsid w:val="00BD31B5"/>
    <w:rsid w:val="00C01A13"/>
    <w:rsid w:val="00C0581E"/>
    <w:rsid w:val="00C1287C"/>
    <w:rsid w:val="00C13511"/>
    <w:rsid w:val="00C13EAE"/>
    <w:rsid w:val="00C1494E"/>
    <w:rsid w:val="00C46B62"/>
    <w:rsid w:val="00C53EB5"/>
    <w:rsid w:val="00C5775F"/>
    <w:rsid w:val="00C57AF2"/>
    <w:rsid w:val="00C6015A"/>
    <w:rsid w:val="00C64E75"/>
    <w:rsid w:val="00C74D1D"/>
    <w:rsid w:val="00C83DE1"/>
    <w:rsid w:val="00C954AA"/>
    <w:rsid w:val="00CB0ADD"/>
    <w:rsid w:val="00CD1CAE"/>
    <w:rsid w:val="00CF495F"/>
    <w:rsid w:val="00D17B9A"/>
    <w:rsid w:val="00D30331"/>
    <w:rsid w:val="00D47267"/>
    <w:rsid w:val="00D5027E"/>
    <w:rsid w:val="00D50651"/>
    <w:rsid w:val="00D53CB5"/>
    <w:rsid w:val="00D65240"/>
    <w:rsid w:val="00D65352"/>
    <w:rsid w:val="00D82637"/>
    <w:rsid w:val="00D87458"/>
    <w:rsid w:val="00D95343"/>
    <w:rsid w:val="00DA548D"/>
    <w:rsid w:val="00DA6454"/>
    <w:rsid w:val="00DB7C07"/>
    <w:rsid w:val="00DE121B"/>
    <w:rsid w:val="00DF20AE"/>
    <w:rsid w:val="00E24452"/>
    <w:rsid w:val="00E51DEB"/>
    <w:rsid w:val="00E53D49"/>
    <w:rsid w:val="00E60DCD"/>
    <w:rsid w:val="00E67D22"/>
    <w:rsid w:val="00E75708"/>
    <w:rsid w:val="00E8792A"/>
    <w:rsid w:val="00E94697"/>
    <w:rsid w:val="00E94E0C"/>
    <w:rsid w:val="00EB296C"/>
    <w:rsid w:val="00EB683A"/>
    <w:rsid w:val="00EC2125"/>
    <w:rsid w:val="00ED6C3F"/>
    <w:rsid w:val="00ED7D5F"/>
    <w:rsid w:val="00EE33EE"/>
    <w:rsid w:val="00EE35F9"/>
    <w:rsid w:val="00F0281F"/>
    <w:rsid w:val="00F059A1"/>
    <w:rsid w:val="00F05F02"/>
    <w:rsid w:val="00F22363"/>
    <w:rsid w:val="00F23999"/>
    <w:rsid w:val="00F33D55"/>
    <w:rsid w:val="00F43DBE"/>
    <w:rsid w:val="00F52EC9"/>
    <w:rsid w:val="00F53444"/>
    <w:rsid w:val="00F554E7"/>
    <w:rsid w:val="00F63E0C"/>
    <w:rsid w:val="00F71BF3"/>
    <w:rsid w:val="00F7484A"/>
    <w:rsid w:val="00F75E31"/>
    <w:rsid w:val="00F969B1"/>
    <w:rsid w:val="00FA090B"/>
    <w:rsid w:val="00FA3552"/>
    <w:rsid w:val="00FA3630"/>
    <w:rsid w:val="00FC0AED"/>
    <w:rsid w:val="00FC513A"/>
    <w:rsid w:val="00FD40B7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7494"/>
  <w15:chartTrackingRefBased/>
  <w15:docId w15:val="{B3458F02-05B3-44B8-ACA1-854D4C47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3B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it-IT"/>
    </w:rPr>
  </w:style>
  <w:style w:type="paragraph" w:styleId="Heading4">
    <w:name w:val="heading 4"/>
    <w:basedOn w:val="Normal"/>
    <w:next w:val="Normal"/>
    <w:link w:val="Heading4Char"/>
    <w:qFormat/>
    <w:rsid w:val="0089122A"/>
    <w:pPr>
      <w:keepNext/>
      <w:tabs>
        <w:tab w:val="left" w:pos="709"/>
      </w:tabs>
      <w:ind w:left="709"/>
      <w:jc w:val="both"/>
      <w:outlineLvl w:val="3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03A3B"/>
    <w:pPr>
      <w:spacing w:line="240" w:lineRule="atLeast"/>
      <w:jc w:val="center"/>
    </w:pPr>
    <w:rPr>
      <w:rFonts w:ascii="Arial" w:hAnsi="Arial"/>
      <w:b/>
      <w:strike/>
    </w:rPr>
  </w:style>
  <w:style w:type="character" w:customStyle="1" w:styleId="BodyTextChar">
    <w:name w:val="Body Text Char"/>
    <w:basedOn w:val="DefaultParagraphFont"/>
    <w:link w:val="BodyText"/>
    <w:semiHidden/>
    <w:rsid w:val="00703A3B"/>
    <w:rPr>
      <w:rFonts w:ascii="Arial" w:eastAsia="Times New Roman" w:hAnsi="Arial" w:cs="Times New Roman"/>
      <w:b/>
      <w:strike/>
      <w:sz w:val="20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912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122A"/>
    <w:rPr>
      <w:rFonts w:ascii="CG Times (W1)" w:eastAsia="Times New Roman" w:hAnsi="CG Times (W1)" w:cs="Times New Roman"/>
      <w:sz w:val="20"/>
      <w:szCs w:val="20"/>
      <w:lang w:val="it-IT" w:eastAsia="it-IT"/>
    </w:rPr>
  </w:style>
  <w:style w:type="paragraph" w:customStyle="1" w:styleId="Corpodeltesto21">
    <w:name w:val="Corpo del testo 21"/>
    <w:basedOn w:val="Normal"/>
    <w:rsid w:val="0089122A"/>
    <w:pPr>
      <w:ind w:left="1418"/>
      <w:jc w:val="both"/>
    </w:pPr>
    <w:rPr>
      <w:rFonts w:ascii="Times New Roman" w:hAnsi="Times New Roman"/>
      <w:sz w:val="22"/>
    </w:rPr>
  </w:style>
  <w:style w:type="character" w:customStyle="1" w:styleId="Heading4Char">
    <w:name w:val="Heading 4 Char"/>
    <w:basedOn w:val="DefaultParagraphFont"/>
    <w:link w:val="Heading4"/>
    <w:rsid w:val="0089122A"/>
    <w:rPr>
      <w:rFonts w:ascii="Times New Roman" w:eastAsia="Times New Roman" w:hAnsi="Times New Roman" w:cs="Times New Roman"/>
      <w:i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Hayles</dc:creator>
  <cp:keywords/>
  <dc:description/>
  <cp:lastModifiedBy>Oliver Richmond</cp:lastModifiedBy>
  <cp:revision>271</cp:revision>
  <dcterms:created xsi:type="dcterms:W3CDTF">2020-04-16T10:30:00Z</dcterms:created>
  <dcterms:modified xsi:type="dcterms:W3CDTF">2020-04-21T14:09:00Z</dcterms:modified>
</cp:coreProperties>
</file>