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E8D" w:rsidRPr="00971018" w:rsidRDefault="008808B4" w:rsidP="005C3D34">
      <w:pPr>
        <w:jc w:val="both"/>
        <w:rPr>
          <w:b/>
          <w:sz w:val="24"/>
          <w:szCs w:val="24"/>
        </w:rPr>
      </w:pPr>
      <w:r w:rsidRPr="00971018">
        <w:rPr>
          <w:b/>
          <w:sz w:val="24"/>
          <w:szCs w:val="24"/>
        </w:rPr>
        <w:t>DERECHO DE UN BANCO</w:t>
      </w:r>
      <w:r w:rsidR="0025397A" w:rsidRPr="00971018">
        <w:rPr>
          <w:b/>
          <w:sz w:val="24"/>
          <w:szCs w:val="24"/>
        </w:rPr>
        <w:t xml:space="preserve"> A RECUPERAR</w:t>
      </w:r>
      <w:r w:rsidR="005C3D34" w:rsidRPr="00971018">
        <w:rPr>
          <w:b/>
          <w:sz w:val="24"/>
          <w:szCs w:val="24"/>
        </w:rPr>
        <w:t xml:space="preserve"> </w:t>
      </w:r>
      <w:r w:rsidR="009C2717" w:rsidRPr="00971018">
        <w:rPr>
          <w:b/>
          <w:sz w:val="24"/>
          <w:szCs w:val="24"/>
        </w:rPr>
        <w:t>LOS FONDOS</w:t>
      </w:r>
      <w:r w:rsidR="005C3D34" w:rsidRPr="00971018">
        <w:rPr>
          <w:b/>
          <w:sz w:val="24"/>
          <w:szCs w:val="24"/>
        </w:rPr>
        <w:t xml:space="preserve"> DERIVAD</w:t>
      </w:r>
      <w:r w:rsidR="009C2717" w:rsidRPr="00971018">
        <w:rPr>
          <w:b/>
          <w:sz w:val="24"/>
          <w:szCs w:val="24"/>
        </w:rPr>
        <w:t>O</w:t>
      </w:r>
      <w:r w:rsidR="005C3D34" w:rsidRPr="00971018">
        <w:rPr>
          <w:b/>
          <w:sz w:val="24"/>
          <w:szCs w:val="24"/>
        </w:rPr>
        <w:t>S DE UN CHEQUE FALSO</w:t>
      </w:r>
    </w:p>
    <w:p w:rsidR="005C3D34" w:rsidRDefault="00E15B24" w:rsidP="005C3D34">
      <w:pPr>
        <w:jc w:val="both"/>
        <w:rPr>
          <w:sz w:val="24"/>
          <w:szCs w:val="24"/>
        </w:rPr>
      </w:pPr>
      <w:r w:rsidRPr="00CC2899">
        <w:rPr>
          <w:i/>
          <w:sz w:val="24"/>
          <w:szCs w:val="24"/>
        </w:rPr>
        <w:t xml:space="preserve">BANK </w:t>
      </w:r>
      <w:proofErr w:type="spellStart"/>
      <w:r w:rsidRPr="00CC2899">
        <w:rPr>
          <w:i/>
          <w:sz w:val="24"/>
          <w:szCs w:val="24"/>
        </w:rPr>
        <w:t>of</w:t>
      </w:r>
      <w:proofErr w:type="spellEnd"/>
      <w:r w:rsidRPr="00CC2899">
        <w:rPr>
          <w:i/>
          <w:sz w:val="24"/>
          <w:szCs w:val="24"/>
        </w:rPr>
        <w:t xml:space="preserve"> </w:t>
      </w:r>
      <w:proofErr w:type="spellStart"/>
      <w:r w:rsidRPr="00CC2899">
        <w:rPr>
          <w:i/>
          <w:sz w:val="24"/>
          <w:szCs w:val="24"/>
        </w:rPr>
        <w:t>America</w:t>
      </w:r>
      <w:proofErr w:type="spellEnd"/>
      <w:r w:rsidRPr="00CC2899">
        <w:rPr>
          <w:i/>
          <w:sz w:val="24"/>
          <w:szCs w:val="24"/>
        </w:rPr>
        <w:t xml:space="preserve"> contra </w:t>
      </w:r>
      <w:proofErr w:type="spellStart"/>
      <w:r w:rsidRPr="00CC2899">
        <w:rPr>
          <w:i/>
          <w:sz w:val="24"/>
          <w:szCs w:val="24"/>
        </w:rPr>
        <w:t>Arnell</w:t>
      </w:r>
      <w:proofErr w:type="spellEnd"/>
      <w:r>
        <w:rPr>
          <w:sz w:val="24"/>
          <w:szCs w:val="24"/>
        </w:rPr>
        <w:t xml:space="preserve"> [1999] </w:t>
      </w:r>
      <w:proofErr w:type="spellStart"/>
      <w:r>
        <w:rPr>
          <w:sz w:val="24"/>
          <w:szCs w:val="24"/>
        </w:rPr>
        <w:t>Lloyd’s</w:t>
      </w:r>
      <w:proofErr w:type="spellEnd"/>
      <w:r>
        <w:rPr>
          <w:sz w:val="24"/>
          <w:szCs w:val="24"/>
        </w:rPr>
        <w:t xml:space="preserve"> L.R. Bank. 399</w:t>
      </w:r>
      <w:r w:rsidR="00AC5793">
        <w:rPr>
          <w:sz w:val="24"/>
          <w:szCs w:val="24"/>
        </w:rPr>
        <w:t xml:space="preserve">, solicitud </w:t>
      </w:r>
      <w:r w:rsidR="00940CE2">
        <w:rPr>
          <w:sz w:val="24"/>
          <w:szCs w:val="24"/>
        </w:rPr>
        <w:t>de</w:t>
      </w:r>
      <w:r w:rsidR="00AC5793">
        <w:rPr>
          <w:sz w:val="24"/>
          <w:szCs w:val="24"/>
        </w:rPr>
        <w:t xml:space="preserve"> un juicio sumario </w:t>
      </w:r>
      <w:r w:rsidR="00940CE2">
        <w:rPr>
          <w:sz w:val="24"/>
          <w:szCs w:val="24"/>
        </w:rPr>
        <w:t>ante</w:t>
      </w:r>
      <w:r w:rsidR="009D4DA0">
        <w:rPr>
          <w:sz w:val="24"/>
          <w:szCs w:val="24"/>
        </w:rPr>
        <w:t>rior a</w:t>
      </w:r>
      <w:r w:rsidR="00940CE2">
        <w:rPr>
          <w:sz w:val="24"/>
          <w:szCs w:val="24"/>
        </w:rPr>
        <w:t xml:space="preserve"> </w:t>
      </w:r>
      <w:proofErr w:type="spellStart"/>
      <w:r w:rsidR="00940CE2">
        <w:rPr>
          <w:sz w:val="24"/>
          <w:szCs w:val="24"/>
        </w:rPr>
        <w:t>Aikens</w:t>
      </w:r>
      <w:proofErr w:type="spellEnd"/>
      <w:r w:rsidR="00940CE2">
        <w:rPr>
          <w:sz w:val="24"/>
          <w:szCs w:val="24"/>
        </w:rPr>
        <w:t xml:space="preserve"> J., muestra algunos de los obstáculos que debe superar un banco para recuperar el dinero pagado a través de un cheque falsificado </w:t>
      </w:r>
      <w:r w:rsidR="00CC7895">
        <w:rPr>
          <w:sz w:val="24"/>
          <w:szCs w:val="24"/>
        </w:rPr>
        <w:t xml:space="preserve">supuestamente </w:t>
      </w:r>
      <w:r w:rsidR="00D50AD8">
        <w:rPr>
          <w:sz w:val="24"/>
          <w:szCs w:val="24"/>
        </w:rPr>
        <w:t>librado</w:t>
      </w:r>
      <w:r w:rsidR="00CC7895">
        <w:rPr>
          <w:sz w:val="24"/>
          <w:szCs w:val="24"/>
        </w:rPr>
        <w:t xml:space="preserve"> a la cuenta de su cliente.</w:t>
      </w:r>
      <w:r w:rsidR="00BC5E4A">
        <w:rPr>
          <w:sz w:val="24"/>
          <w:szCs w:val="24"/>
        </w:rPr>
        <w:t xml:space="preserve"> En primer lugar, debe mostrar interés suficiente en el dinero para </w:t>
      </w:r>
      <w:r w:rsidR="00CC2899">
        <w:rPr>
          <w:sz w:val="24"/>
          <w:szCs w:val="24"/>
        </w:rPr>
        <w:t>tener derecho a</w:t>
      </w:r>
      <w:r w:rsidR="00BC5E4A">
        <w:rPr>
          <w:sz w:val="24"/>
          <w:szCs w:val="24"/>
        </w:rPr>
        <w:t xml:space="preserve"> demandar. En segundo lugar, si el beneficiario del cheque ha traspasado </w:t>
      </w:r>
      <w:r w:rsidR="00D20D6C">
        <w:rPr>
          <w:sz w:val="24"/>
          <w:szCs w:val="24"/>
        </w:rPr>
        <w:t>el dinero</w:t>
      </w:r>
      <w:r w:rsidR="00BC5E4A">
        <w:rPr>
          <w:sz w:val="24"/>
          <w:szCs w:val="24"/>
        </w:rPr>
        <w:t xml:space="preserve"> a otra persona, el banco debe </w:t>
      </w:r>
      <w:r w:rsidR="00AE1899">
        <w:rPr>
          <w:sz w:val="24"/>
          <w:szCs w:val="24"/>
        </w:rPr>
        <w:t xml:space="preserve">rastrear </w:t>
      </w:r>
      <w:r w:rsidR="00D20D6C">
        <w:rPr>
          <w:sz w:val="24"/>
          <w:szCs w:val="24"/>
        </w:rPr>
        <w:t>dicha suma</w:t>
      </w:r>
      <w:r w:rsidR="00AE1899">
        <w:rPr>
          <w:sz w:val="24"/>
          <w:szCs w:val="24"/>
        </w:rPr>
        <w:t xml:space="preserve"> para probar que el demandado lo recibió.</w:t>
      </w:r>
      <w:r w:rsidR="00887B25">
        <w:rPr>
          <w:sz w:val="24"/>
          <w:szCs w:val="24"/>
        </w:rPr>
        <w:t xml:space="preserve"> En tercer lugar, el banco deberá probar la culpa del beneficiario al recibir el dinero</w:t>
      </w:r>
      <w:r w:rsidR="005B5680">
        <w:rPr>
          <w:sz w:val="24"/>
          <w:szCs w:val="24"/>
        </w:rPr>
        <w:t>.</w:t>
      </w:r>
    </w:p>
    <w:p w:rsidR="00AE1899" w:rsidRDefault="00AE1899" w:rsidP="005C3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America</w:t>
      </w:r>
      <w:proofErr w:type="spellEnd"/>
      <w:r>
        <w:rPr>
          <w:sz w:val="24"/>
          <w:szCs w:val="24"/>
        </w:rPr>
        <w:t xml:space="preserve"> recibió un cheque </w:t>
      </w:r>
      <w:r w:rsidR="00D50AD8">
        <w:rPr>
          <w:sz w:val="24"/>
          <w:szCs w:val="24"/>
        </w:rPr>
        <w:t>librado</w:t>
      </w:r>
      <w:r>
        <w:rPr>
          <w:sz w:val="24"/>
          <w:szCs w:val="24"/>
        </w:rPr>
        <w:t xml:space="preserve"> a la cuenta de su cliente, Radisson, que había sido falsificado por uno de los empleados de Radisson. </w:t>
      </w:r>
      <w:r w:rsidR="002E241B">
        <w:rPr>
          <w:sz w:val="24"/>
          <w:szCs w:val="24"/>
        </w:rPr>
        <w:t>La</w:t>
      </w:r>
      <w:r>
        <w:rPr>
          <w:sz w:val="24"/>
          <w:szCs w:val="24"/>
        </w:rPr>
        <w:t xml:space="preserve"> beneficiari</w:t>
      </w:r>
      <w:r w:rsidR="002E241B">
        <w:rPr>
          <w:sz w:val="24"/>
          <w:szCs w:val="24"/>
        </w:rPr>
        <w:t>a</w:t>
      </w:r>
      <w:r>
        <w:rPr>
          <w:sz w:val="24"/>
          <w:szCs w:val="24"/>
        </w:rPr>
        <w:t xml:space="preserve"> era Bluepark, </w:t>
      </w:r>
      <w:r w:rsidR="00A50B2B">
        <w:rPr>
          <w:sz w:val="24"/>
          <w:szCs w:val="24"/>
        </w:rPr>
        <w:t xml:space="preserve">una </w:t>
      </w:r>
      <w:r w:rsidR="002E241B">
        <w:rPr>
          <w:sz w:val="24"/>
          <w:szCs w:val="24"/>
        </w:rPr>
        <w:t xml:space="preserve">empresa falsa incorporada por Arnell poco tiempo antes. </w:t>
      </w:r>
      <w:r w:rsidR="00DF6620">
        <w:rPr>
          <w:sz w:val="24"/>
          <w:szCs w:val="24"/>
        </w:rPr>
        <w:t>En apariencia, Arnell era el único accionista, aunque no uno de sus directores.</w:t>
      </w:r>
      <w:r w:rsidR="00D50AD8">
        <w:rPr>
          <w:sz w:val="24"/>
          <w:szCs w:val="24"/>
        </w:rPr>
        <w:t xml:space="preserve"> </w:t>
      </w:r>
      <w:r w:rsidR="00F53BAC">
        <w:rPr>
          <w:sz w:val="24"/>
          <w:szCs w:val="24"/>
        </w:rPr>
        <w:t xml:space="preserve">El banco aceptó el cheque y sufragó </w:t>
      </w:r>
      <w:r w:rsidR="0025694D">
        <w:rPr>
          <w:sz w:val="24"/>
          <w:szCs w:val="24"/>
        </w:rPr>
        <w:t>el dinero</w:t>
      </w:r>
      <w:r w:rsidR="00F53BAC">
        <w:rPr>
          <w:sz w:val="24"/>
          <w:szCs w:val="24"/>
        </w:rPr>
        <w:t xml:space="preserve"> a través del sistema de </w:t>
      </w:r>
      <w:r w:rsidR="00067112">
        <w:rPr>
          <w:sz w:val="24"/>
          <w:szCs w:val="24"/>
        </w:rPr>
        <w:t>compensación</w:t>
      </w:r>
      <w:r w:rsidR="009C1E1F">
        <w:rPr>
          <w:sz w:val="24"/>
          <w:szCs w:val="24"/>
        </w:rPr>
        <w:t xml:space="preserve"> en la cuenta de Bluepark. Arnell indicó a los directores de Bluepark que le </w:t>
      </w:r>
      <w:r w:rsidR="008A1360">
        <w:rPr>
          <w:sz w:val="24"/>
          <w:szCs w:val="24"/>
        </w:rPr>
        <w:t>pagaran</w:t>
      </w:r>
      <w:r w:rsidR="009C1E1F">
        <w:rPr>
          <w:sz w:val="24"/>
          <w:szCs w:val="24"/>
        </w:rPr>
        <w:t xml:space="preserve"> los fondos a él a través de una transferencia</w:t>
      </w:r>
      <w:r w:rsidR="00350F42">
        <w:rPr>
          <w:sz w:val="24"/>
          <w:szCs w:val="24"/>
        </w:rPr>
        <w:t xml:space="preserve"> C.H.A.P.S. Una vez recibida, transfirió alrededor de la mitad del dinero a Haddon, un</w:t>
      </w:r>
      <w:r w:rsidR="008A1360">
        <w:rPr>
          <w:sz w:val="24"/>
          <w:szCs w:val="24"/>
        </w:rPr>
        <w:t>a</w:t>
      </w:r>
      <w:r w:rsidR="00350F42">
        <w:rPr>
          <w:sz w:val="24"/>
          <w:szCs w:val="24"/>
        </w:rPr>
        <w:t xml:space="preserve"> </w:t>
      </w:r>
      <w:r w:rsidR="00347250">
        <w:rPr>
          <w:sz w:val="24"/>
          <w:szCs w:val="24"/>
        </w:rPr>
        <w:t>conocid</w:t>
      </w:r>
      <w:r w:rsidR="008A1360">
        <w:rPr>
          <w:sz w:val="24"/>
          <w:szCs w:val="24"/>
        </w:rPr>
        <w:t>a</w:t>
      </w:r>
      <w:r w:rsidR="00347250">
        <w:rPr>
          <w:sz w:val="24"/>
          <w:szCs w:val="24"/>
        </w:rPr>
        <w:t xml:space="preserve"> que estaba de acuerdo en blanquear la suma en su cuenta. Con posterioridad</w:t>
      </w:r>
      <w:r w:rsidR="005D74EE">
        <w:rPr>
          <w:sz w:val="24"/>
          <w:szCs w:val="24"/>
        </w:rPr>
        <w:t>,</w:t>
      </w:r>
      <w:r w:rsidR="00347250">
        <w:rPr>
          <w:sz w:val="24"/>
          <w:szCs w:val="24"/>
        </w:rPr>
        <w:t xml:space="preserve"> ella le devolvió el dinero en efectivo. En este punto se perdió todo rastro de</w:t>
      </w:r>
      <w:r w:rsidR="008A1360">
        <w:rPr>
          <w:sz w:val="24"/>
          <w:szCs w:val="24"/>
        </w:rPr>
        <w:t xml:space="preserve"> dicho</w:t>
      </w:r>
      <w:r w:rsidR="00347250">
        <w:rPr>
          <w:sz w:val="24"/>
          <w:szCs w:val="24"/>
        </w:rPr>
        <w:t xml:space="preserve"> dinero.</w:t>
      </w:r>
    </w:p>
    <w:p w:rsidR="00086487" w:rsidRDefault="00D31871" w:rsidP="005C3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final el banco </w:t>
      </w:r>
      <w:r w:rsidR="006A73F8">
        <w:rPr>
          <w:sz w:val="24"/>
          <w:szCs w:val="24"/>
        </w:rPr>
        <w:t>reembolsó la cuenta de Radisson</w:t>
      </w:r>
      <w:r w:rsidR="00B75DA9">
        <w:rPr>
          <w:sz w:val="24"/>
          <w:szCs w:val="24"/>
        </w:rPr>
        <w:t xml:space="preserve">. Demandó a </w:t>
      </w:r>
      <w:proofErr w:type="spellStart"/>
      <w:r w:rsidR="00B75DA9">
        <w:rPr>
          <w:sz w:val="24"/>
          <w:szCs w:val="24"/>
        </w:rPr>
        <w:t>Arne</w:t>
      </w:r>
      <w:r w:rsidR="005B5680">
        <w:rPr>
          <w:sz w:val="24"/>
          <w:szCs w:val="24"/>
        </w:rPr>
        <w:t>ll</w:t>
      </w:r>
      <w:proofErr w:type="spellEnd"/>
      <w:r w:rsidR="005B5680">
        <w:rPr>
          <w:sz w:val="24"/>
          <w:szCs w:val="24"/>
        </w:rPr>
        <w:t xml:space="preserve"> </w:t>
      </w:r>
      <w:r w:rsidR="00B75DA9">
        <w:rPr>
          <w:sz w:val="24"/>
          <w:szCs w:val="24"/>
        </w:rPr>
        <w:t xml:space="preserve">y a </w:t>
      </w:r>
      <w:proofErr w:type="spellStart"/>
      <w:r w:rsidR="00B75DA9">
        <w:rPr>
          <w:sz w:val="24"/>
          <w:szCs w:val="24"/>
        </w:rPr>
        <w:t>Haddon</w:t>
      </w:r>
      <w:proofErr w:type="spellEnd"/>
      <w:r w:rsidR="00B75DA9">
        <w:rPr>
          <w:sz w:val="24"/>
          <w:szCs w:val="24"/>
        </w:rPr>
        <w:t xml:space="preserve"> solicitando la restitución del valor de los fondos recibidos. </w:t>
      </w:r>
      <w:r w:rsidR="00B75DA9" w:rsidRPr="005B5680">
        <w:rPr>
          <w:sz w:val="24"/>
          <w:szCs w:val="24"/>
        </w:rPr>
        <w:t xml:space="preserve">En </w:t>
      </w:r>
      <w:r w:rsidR="00EC5494" w:rsidRPr="005B5680">
        <w:rPr>
          <w:sz w:val="24"/>
          <w:szCs w:val="24"/>
        </w:rPr>
        <w:t>Derecho</w:t>
      </w:r>
      <w:r w:rsidR="006F414F" w:rsidRPr="005B5680">
        <w:rPr>
          <w:sz w:val="24"/>
          <w:szCs w:val="24"/>
        </w:rPr>
        <w:t>,</w:t>
      </w:r>
      <w:r w:rsidR="00EC5494" w:rsidRPr="005B5680">
        <w:rPr>
          <w:sz w:val="24"/>
          <w:szCs w:val="24"/>
        </w:rPr>
        <w:t xml:space="preserve"> </w:t>
      </w:r>
      <w:r w:rsidR="006F414F" w:rsidRPr="005B5680">
        <w:rPr>
          <w:sz w:val="24"/>
          <w:szCs w:val="24"/>
        </w:rPr>
        <w:t xml:space="preserve">la acción del banco perseguía </w:t>
      </w:r>
      <w:r w:rsidR="00C74606" w:rsidRPr="005B5680">
        <w:rPr>
          <w:sz w:val="24"/>
          <w:szCs w:val="24"/>
        </w:rPr>
        <w:t>un</w:t>
      </w:r>
      <w:r w:rsidR="006F414F" w:rsidRPr="005B5680">
        <w:rPr>
          <w:sz w:val="24"/>
          <w:szCs w:val="24"/>
        </w:rPr>
        <w:t xml:space="preserve"> dinero </w:t>
      </w:r>
      <w:r w:rsidR="00366191" w:rsidRPr="005B5680">
        <w:rPr>
          <w:sz w:val="24"/>
          <w:szCs w:val="24"/>
        </w:rPr>
        <w:t xml:space="preserve">recibido fundándose en su </w:t>
      </w:r>
      <w:r w:rsidR="005B5680" w:rsidRPr="005B5680">
        <w:rPr>
          <w:sz w:val="24"/>
          <w:szCs w:val="24"/>
        </w:rPr>
        <w:t xml:space="preserve">propio </w:t>
      </w:r>
      <w:r w:rsidR="00366191" w:rsidRPr="005B5680">
        <w:rPr>
          <w:sz w:val="24"/>
          <w:szCs w:val="24"/>
        </w:rPr>
        <w:t xml:space="preserve">error </w:t>
      </w:r>
      <w:r w:rsidR="006F414F" w:rsidRPr="005B5680">
        <w:rPr>
          <w:sz w:val="24"/>
          <w:szCs w:val="24"/>
        </w:rPr>
        <w:t xml:space="preserve">al hacer el pago. </w:t>
      </w:r>
      <w:r w:rsidR="009D0C9B">
        <w:rPr>
          <w:sz w:val="24"/>
          <w:szCs w:val="24"/>
        </w:rPr>
        <w:t xml:space="preserve">El banco fracasó debido a la imposibilidad de rastrear su dinero en Derecho (véase </w:t>
      </w:r>
      <w:r w:rsidR="009D0C9B" w:rsidRPr="009D0C9B">
        <w:rPr>
          <w:i/>
          <w:sz w:val="24"/>
          <w:szCs w:val="24"/>
        </w:rPr>
        <w:t>B</w:t>
      </w:r>
      <w:r w:rsidR="009D0C9B">
        <w:rPr>
          <w:sz w:val="24"/>
          <w:szCs w:val="24"/>
        </w:rPr>
        <w:t xml:space="preserve">., más adelante). En equidad, afirmaba que los beneficiarios eran fideicomisarios </w:t>
      </w:r>
      <w:r w:rsidR="00D338D1">
        <w:rPr>
          <w:sz w:val="24"/>
          <w:szCs w:val="24"/>
        </w:rPr>
        <w:t>implícitos</w:t>
      </w:r>
      <w:r w:rsidR="009D0C9B">
        <w:rPr>
          <w:sz w:val="24"/>
          <w:szCs w:val="24"/>
        </w:rPr>
        <w:t>, bien sobre la base de conocer el cobro, o por analogía</w:t>
      </w:r>
      <w:r w:rsidR="0089624A">
        <w:rPr>
          <w:sz w:val="24"/>
          <w:szCs w:val="24"/>
        </w:rPr>
        <w:t xml:space="preserve"> con</w:t>
      </w:r>
      <w:r w:rsidR="009C2717">
        <w:rPr>
          <w:sz w:val="24"/>
          <w:szCs w:val="24"/>
        </w:rPr>
        <w:t xml:space="preserve"> el capítulo 105 de</w:t>
      </w:r>
      <w:r w:rsidR="0089624A">
        <w:rPr>
          <w:sz w:val="24"/>
          <w:szCs w:val="24"/>
        </w:rPr>
        <w:t xml:space="preserve"> </w:t>
      </w:r>
      <w:r w:rsidR="0089624A" w:rsidRPr="0089624A">
        <w:rPr>
          <w:i/>
          <w:sz w:val="24"/>
          <w:szCs w:val="24"/>
        </w:rPr>
        <w:t>Chase Manhattan N.A.</w:t>
      </w:r>
      <w:r w:rsidR="0089624A">
        <w:rPr>
          <w:sz w:val="24"/>
          <w:szCs w:val="24"/>
        </w:rPr>
        <w:t xml:space="preserve"> contra </w:t>
      </w:r>
      <w:r w:rsidR="0089624A" w:rsidRPr="0089624A">
        <w:rPr>
          <w:i/>
          <w:sz w:val="24"/>
          <w:szCs w:val="24"/>
        </w:rPr>
        <w:t>Israel-British Bank Ltd</w:t>
      </w:r>
      <w:r w:rsidR="0089624A">
        <w:rPr>
          <w:sz w:val="24"/>
          <w:szCs w:val="24"/>
        </w:rPr>
        <w:t xml:space="preserve"> [1981] </w:t>
      </w:r>
      <w:r w:rsidR="009C2717">
        <w:rPr>
          <w:sz w:val="24"/>
          <w:szCs w:val="24"/>
        </w:rPr>
        <w:t xml:space="preserve">porque recibieron </w:t>
      </w:r>
      <w:r w:rsidR="00FF3379">
        <w:rPr>
          <w:sz w:val="24"/>
          <w:szCs w:val="24"/>
        </w:rPr>
        <w:t>los fondos de un pago erróneo.  Asumiendo que ambos razonamientos</w:t>
      </w:r>
      <w:r w:rsidR="00826125">
        <w:rPr>
          <w:sz w:val="24"/>
          <w:szCs w:val="24"/>
        </w:rPr>
        <w:t xml:space="preserve"> </w:t>
      </w:r>
      <w:r w:rsidR="00027F87">
        <w:rPr>
          <w:sz w:val="24"/>
          <w:szCs w:val="24"/>
        </w:rPr>
        <w:t xml:space="preserve">de la </w:t>
      </w:r>
      <w:r w:rsidR="00FF3379">
        <w:rPr>
          <w:sz w:val="24"/>
          <w:szCs w:val="24"/>
        </w:rPr>
        <w:t>responsabilidad</w:t>
      </w:r>
      <w:r w:rsidR="00826125">
        <w:rPr>
          <w:sz w:val="24"/>
          <w:szCs w:val="24"/>
        </w:rPr>
        <w:t xml:space="preserve"> equitativa</w:t>
      </w:r>
      <w:r w:rsidR="00FF3379">
        <w:rPr>
          <w:sz w:val="24"/>
          <w:szCs w:val="24"/>
        </w:rPr>
        <w:t xml:space="preserve"> requerían prueba de que </w:t>
      </w:r>
      <w:r w:rsidR="007F28B5">
        <w:rPr>
          <w:sz w:val="24"/>
          <w:szCs w:val="24"/>
        </w:rPr>
        <w:t>los</w:t>
      </w:r>
      <w:r w:rsidR="00FF3379">
        <w:rPr>
          <w:sz w:val="24"/>
          <w:szCs w:val="24"/>
        </w:rPr>
        <w:t xml:space="preserve"> beneficiarios eran deshonestos, Aikens</w:t>
      </w:r>
      <w:r w:rsidR="00E72EB1">
        <w:rPr>
          <w:sz w:val="24"/>
          <w:szCs w:val="24"/>
        </w:rPr>
        <w:t xml:space="preserve"> J. mantenía que</w:t>
      </w:r>
      <w:r w:rsidR="0076454C">
        <w:rPr>
          <w:sz w:val="24"/>
          <w:szCs w:val="24"/>
        </w:rPr>
        <w:t xml:space="preserve"> </w:t>
      </w:r>
      <w:r w:rsidR="00E72EB1">
        <w:rPr>
          <w:sz w:val="24"/>
          <w:szCs w:val="24"/>
        </w:rPr>
        <w:t xml:space="preserve">el banco </w:t>
      </w:r>
      <w:r w:rsidR="00B10DFF">
        <w:rPr>
          <w:sz w:val="24"/>
          <w:szCs w:val="24"/>
        </w:rPr>
        <w:t xml:space="preserve">ganó </w:t>
      </w:r>
      <w:r w:rsidR="00E72EB1">
        <w:rPr>
          <w:sz w:val="24"/>
          <w:szCs w:val="24"/>
        </w:rPr>
        <w:t xml:space="preserve">contra </w:t>
      </w:r>
      <w:proofErr w:type="spellStart"/>
      <w:r w:rsidR="00E72EB1">
        <w:rPr>
          <w:sz w:val="24"/>
          <w:szCs w:val="24"/>
        </w:rPr>
        <w:t>Arnell</w:t>
      </w:r>
      <w:proofErr w:type="spellEnd"/>
      <w:r w:rsidR="00E72EB1">
        <w:rPr>
          <w:sz w:val="24"/>
          <w:szCs w:val="24"/>
        </w:rPr>
        <w:t>, pero no contra Haddon. Hay dos aspectos del caso que justifican atención particular.</w:t>
      </w:r>
    </w:p>
    <w:p w:rsidR="00971018" w:rsidRPr="00EA4F5C" w:rsidRDefault="00EA4F5C" w:rsidP="00EA4F5C">
      <w:pPr>
        <w:jc w:val="both"/>
        <w:rPr>
          <w:b/>
          <w:sz w:val="24"/>
          <w:szCs w:val="24"/>
        </w:rPr>
      </w:pPr>
      <w:r w:rsidRPr="00EA4F5C">
        <w:rPr>
          <w:b/>
          <w:sz w:val="24"/>
          <w:szCs w:val="24"/>
        </w:rPr>
        <w:t xml:space="preserve">A. </w:t>
      </w:r>
      <w:r w:rsidR="00971018" w:rsidRPr="00EA4F5C">
        <w:rPr>
          <w:b/>
          <w:sz w:val="24"/>
          <w:szCs w:val="24"/>
        </w:rPr>
        <w:t>El derecho del banco a demandar</w:t>
      </w:r>
    </w:p>
    <w:p w:rsidR="00EA4F5C" w:rsidRDefault="00EA4F5C" w:rsidP="00EA4F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banco tenía que probar que los demandados se habían enriquecido a su costa y que una circunstancia reconocida convertía su enriquecimiento en injusto. Tal </w:t>
      </w:r>
      <w:r w:rsidR="00696543">
        <w:rPr>
          <w:sz w:val="24"/>
          <w:szCs w:val="24"/>
        </w:rPr>
        <w:t>enriquecimiento se había producido a cargo del banco</w:t>
      </w:r>
      <w:r w:rsidR="006750E0">
        <w:rPr>
          <w:sz w:val="24"/>
          <w:szCs w:val="24"/>
        </w:rPr>
        <w:t>, no de Radisson. Y no era simplemente porque el banco sufraga</w:t>
      </w:r>
      <w:r w:rsidR="00AC545E">
        <w:rPr>
          <w:sz w:val="24"/>
          <w:szCs w:val="24"/>
        </w:rPr>
        <w:t>r</w:t>
      </w:r>
      <w:r w:rsidR="006750E0">
        <w:rPr>
          <w:sz w:val="24"/>
          <w:szCs w:val="24"/>
        </w:rPr>
        <w:t>a la pérdida. En términos del emplazamiento de los intereses de la propiedad y la ley de agencia, el banco pagó con su propio dinero.</w:t>
      </w:r>
      <w:r>
        <w:rPr>
          <w:sz w:val="24"/>
          <w:szCs w:val="24"/>
        </w:rPr>
        <w:t xml:space="preserve"> </w:t>
      </w:r>
      <w:r w:rsidR="00CE0CF5">
        <w:rPr>
          <w:sz w:val="24"/>
          <w:szCs w:val="24"/>
        </w:rPr>
        <w:t xml:space="preserve">Poseía el derecho jurídico y </w:t>
      </w:r>
      <w:r w:rsidR="00E8254F">
        <w:rPr>
          <w:sz w:val="24"/>
          <w:szCs w:val="24"/>
        </w:rPr>
        <w:t>ventajoso</w:t>
      </w:r>
      <w:r w:rsidR="00A06A90">
        <w:rPr>
          <w:sz w:val="24"/>
          <w:szCs w:val="24"/>
        </w:rPr>
        <w:t xml:space="preserve"> sobre los fondos con los que atendió el cheque. Resultaba indiferente que el banco inicialmente cargara la cuenta de Radisson con el pago. </w:t>
      </w:r>
      <w:r w:rsidR="001A3DD4">
        <w:rPr>
          <w:sz w:val="24"/>
          <w:szCs w:val="24"/>
        </w:rPr>
        <w:t xml:space="preserve">El derecho de acción </w:t>
      </w:r>
      <w:r w:rsidR="0058684A">
        <w:rPr>
          <w:sz w:val="24"/>
          <w:szCs w:val="24"/>
        </w:rPr>
        <w:t xml:space="preserve">que representaba el balance crediticio del cliente constituía un activo totalmente separado de esa </w:t>
      </w:r>
      <w:r w:rsidR="00BD4DC0">
        <w:rPr>
          <w:sz w:val="24"/>
          <w:szCs w:val="24"/>
        </w:rPr>
        <w:t>suma</w:t>
      </w:r>
      <w:r w:rsidR="0058684A">
        <w:rPr>
          <w:sz w:val="24"/>
          <w:szCs w:val="24"/>
        </w:rPr>
        <w:t xml:space="preserve"> de los propios fondos del banco </w:t>
      </w:r>
      <w:r w:rsidR="009E3E02">
        <w:rPr>
          <w:sz w:val="24"/>
          <w:szCs w:val="24"/>
        </w:rPr>
        <w:t xml:space="preserve">con los que pagó a Bluepark bajo las instrucciones </w:t>
      </w:r>
      <w:r w:rsidR="00BE5F87">
        <w:rPr>
          <w:sz w:val="24"/>
          <w:szCs w:val="24"/>
        </w:rPr>
        <w:t>falsas</w:t>
      </w:r>
      <w:r w:rsidR="009E3E02">
        <w:rPr>
          <w:sz w:val="24"/>
          <w:szCs w:val="24"/>
        </w:rPr>
        <w:t>.</w:t>
      </w:r>
    </w:p>
    <w:p w:rsidR="009E3E02" w:rsidRDefault="009E3E02" w:rsidP="00EA4F5C">
      <w:pPr>
        <w:jc w:val="both"/>
        <w:rPr>
          <w:sz w:val="24"/>
          <w:szCs w:val="24"/>
        </w:rPr>
      </w:pPr>
      <w:r>
        <w:rPr>
          <w:sz w:val="24"/>
          <w:szCs w:val="24"/>
        </w:rPr>
        <w:t>Además, el error del que dependía la acción del banco fue cometido en su propio nombre, no en el de su cliente. Debido a que</w:t>
      </w:r>
      <w:r w:rsidR="00946405">
        <w:rPr>
          <w:sz w:val="24"/>
          <w:szCs w:val="24"/>
        </w:rPr>
        <w:t xml:space="preserve"> el cheque era falso, el banco actuó sin ningún mandato de Radisson. No estaba pagando el dinero como un agente: </w:t>
      </w:r>
      <w:r w:rsidR="00946405" w:rsidRPr="00946405">
        <w:rPr>
          <w:i/>
          <w:sz w:val="24"/>
          <w:szCs w:val="24"/>
        </w:rPr>
        <w:t xml:space="preserve">Barclays Bank Ltd. Contra W.J. Sims Ltd. </w:t>
      </w:r>
      <w:r w:rsidR="00946405">
        <w:rPr>
          <w:sz w:val="24"/>
          <w:szCs w:val="24"/>
        </w:rPr>
        <w:t>[1980] Q. B. 677, 699-700.</w:t>
      </w:r>
    </w:p>
    <w:p w:rsidR="00F20DDC" w:rsidRPr="00F20DDC" w:rsidRDefault="00F20DDC" w:rsidP="00EA4F5C">
      <w:pPr>
        <w:jc w:val="both"/>
        <w:rPr>
          <w:b/>
          <w:sz w:val="24"/>
          <w:szCs w:val="24"/>
        </w:rPr>
      </w:pPr>
      <w:r w:rsidRPr="00F20DDC">
        <w:rPr>
          <w:b/>
          <w:sz w:val="24"/>
          <w:szCs w:val="24"/>
        </w:rPr>
        <w:lastRenderedPageBreak/>
        <w:t>B. Seguimiento</w:t>
      </w:r>
    </w:p>
    <w:p w:rsidR="00F20DDC" w:rsidRPr="002A2ABD" w:rsidRDefault="00F20DDC" w:rsidP="00EA4F5C">
      <w:pPr>
        <w:jc w:val="both"/>
        <w:rPr>
          <w:sz w:val="24"/>
          <w:szCs w:val="24"/>
        </w:rPr>
      </w:pPr>
      <w:r>
        <w:rPr>
          <w:sz w:val="24"/>
          <w:szCs w:val="24"/>
        </w:rPr>
        <w:t>Aikiens J. mant</w:t>
      </w:r>
      <w:r w:rsidR="009C1A9B">
        <w:rPr>
          <w:sz w:val="24"/>
          <w:szCs w:val="24"/>
        </w:rPr>
        <w:t>enía</w:t>
      </w:r>
      <w:r>
        <w:rPr>
          <w:sz w:val="24"/>
          <w:szCs w:val="24"/>
        </w:rPr>
        <w:t xml:space="preserve"> que las reclamaciones de derecho consue</w:t>
      </w:r>
      <w:r w:rsidR="00C82D33">
        <w:rPr>
          <w:sz w:val="24"/>
          <w:szCs w:val="24"/>
        </w:rPr>
        <w:t xml:space="preserve">tudinarias debían denegarse a ambos acusados. El </w:t>
      </w:r>
      <w:r w:rsidR="001228EC">
        <w:rPr>
          <w:sz w:val="24"/>
          <w:szCs w:val="24"/>
        </w:rPr>
        <w:t>dinero</w:t>
      </w:r>
      <w:r w:rsidR="00C82D33">
        <w:rPr>
          <w:sz w:val="24"/>
          <w:szCs w:val="24"/>
        </w:rPr>
        <w:t xml:space="preserve"> que recibieron no podía identificarse con el pago inicial del banco. </w:t>
      </w:r>
      <w:r w:rsidR="00C82D33" w:rsidRPr="002A2ABD">
        <w:rPr>
          <w:sz w:val="24"/>
          <w:szCs w:val="24"/>
        </w:rPr>
        <w:t>Se basaba en la arraigada norma de que los estándares de identificación de</w:t>
      </w:r>
      <w:r w:rsidR="00517727" w:rsidRPr="002A2ABD">
        <w:rPr>
          <w:sz w:val="24"/>
          <w:szCs w:val="24"/>
        </w:rPr>
        <w:t>l</w:t>
      </w:r>
      <w:r w:rsidR="00C82D33" w:rsidRPr="002A2ABD">
        <w:rPr>
          <w:sz w:val="24"/>
          <w:szCs w:val="24"/>
        </w:rPr>
        <w:t xml:space="preserve"> derecho consuetudinario no permiten</w:t>
      </w:r>
      <w:r w:rsidR="00E97173" w:rsidRPr="002A2ABD">
        <w:rPr>
          <w:sz w:val="24"/>
          <w:szCs w:val="24"/>
        </w:rPr>
        <w:t xml:space="preserve"> realizar un seguimiento del valor </w:t>
      </w:r>
      <w:r w:rsidR="00D704DA" w:rsidRPr="002A2ABD">
        <w:rPr>
          <w:sz w:val="24"/>
          <w:szCs w:val="24"/>
        </w:rPr>
        <w:t>si hay</w:t>
      </w:r>
      <w:r w:rsidR="003C2EDD" w:rsidRPr="002A2ABD">
        <w:rPr>
          <w:sz w:val="24"/>
          <w:szCs w:val="24"/>
        </w:rPr>
        <w:t xml:space="preserve"> una </w:t>
      </w:r>
      <w:r w:rsidR="00745878">
        <w:rPr>
          <w:sz w:val="24"/>
          <w:szCs w:val="24"/>
        </w:rPr>
        <w:t>combinación</w:t>
      </w:r>
      <w:r w:rsidR="003C2EDD" w:rsidRPr="002A2ABD">
        <w:rPr>
          <w:sz w:val="24"/>
          <w:szCs w:val="24"/>
        </w:rPr>
        <w:t xml:space="preserve">. </w:t>
      </w:r>
      <w:r w:rsidR="00227BEF" w:rsidRPr="002A2ABD">
        <w:rPr>
          <w:sz w:val="24"/>
          <w:szCs w:val="24"/>
        </w:rPr>
        <w:t>Y e</w:t>
      </w:r>
      <w:r w:rsidR="0051701E" w:rsidRPr="002A2ABD">
        <w:rPr>
          <w:sz w:val="24"/>
          <w:szCs w:val="24"/>
        </w:rPr>
        <w:t xml:space="preserve">l dinero del banco </w:t>
      </w:r>
      <w:r w:rsidR="00D704DA" w:rsidRPr="002A2ABD">
        <w:rPr>
          <w:sz w:val="24"/>
          <w:szCs w:val="24"/>
        </w:rPr>
        <w:t>era mixto</w:t>
      </w:r>
      <w:r w:rsidR="0051701E" w:rsidRPr="002A2ABD">
        <w:rPr>
          <w:sz w:val="24"/>
          <w:szCs w:val="24"/>
        </w:rPr>
        <w:t xml:space="preserve"> cuando pasó a través del sistema de compensación del pago.</w:t>
      </w:r>
    </w:p>
    <w:p w:rsidR="00227BEF" w:rsidRDefault="00227BEF" w:rsidP="00EA4F5C">
      <w:pPr>
        <w:jc w:val="both"/>
        <w:rPr>
          <w:sz w:val="24"/>
          <w:szCs w:val="24"/>
        </w:rPr>
      </w:pPr>
      <w:r w:rsidRPr="00227BEF">
        <w:rPr>
          <w:sz w:val="24"/>
          <w:szCs w:val="24"/>
        </w:rPr>
        <w:t xml:space="preserve">Puede que </w:t>
      </w:r>
      <w:r>
        <w:rPr>
          <w:sz w:val="24"/>
          <w:szCs w:val="24"/>
        </w:rPr>
        <w:t xml:space="preserve">algún día un tribunal de apelación investigue la lógica cuestionable de esta norma […]. Siendo más ambicioso, podría mantener que los estándares equitativos de identificación (en los cuales las </w:t>
      </w:r>
      <w:r w:rsidR="00697A4C">
        <w:rPr>
          <w:sz w:val="24"/>
          <w:szCs w:val="24"/>
        </w:rPr>
        <w:t>combinaciones</w:t>
      </w:r>
      <w:r>
        <w:rPr>
          <w:sz w:val="24"/>
          <w:szCs w:val="24"/>
        </w:rPr>
        <w:t xml:space="preserve"> y pagos electrónicos no presentan problema alguno) </w:t>
      </w:r>
      <w:r w:rsidR="00B66636">
        <w:rPr>
          <w:sz w:val="24"/>
          <w:szCs w:val="24"/>
        </w:rPr>
        <w:t>podrían aplicarse para probar los elementos de una demanda de derecho consuetudinario.</w:t>
      </w:r>
      <w:r w:rsidR="007F33C0">
        <w:rPr>
          <w:sz w:val="24"/>
          <w:szCs w:val="24"/>
        </w:rPr>
        <w:t xml:space="preserve"> Considerados como pertenecientes a la jurisdicción auxiliar de la equidad</w:t>
      </w:r>
      <w:r w:rsidR="00C34111">
        <w:rPr>
          <w:sz w:val="24"/>
          <w:szCs w:val="24"/>
        </w:rPr>
        <w:t xml:space="preserve">, podrían aplicarse cuando </w:t>
      </w:r>
      <w:r w:rsidR="00D704DA">
        <w:rPr>
          <w:sz w:val="24"/>
          <w:szCs w:val="24"/>
        </w:rPr>
        <w:t>los estándares</w:t>
      </w:r>
      <w:r w:rsidR="002A2ABD">
        <w:rPr>
          <w:sz w:val="24"/>
          <w:szCs w:val="24"/>
        </w:rPr>
        <w:t xml:space="preserve"> </w:t>
      </w:r>
      <w:r w:rsidR="00D704DA">
        <w:rPr>
          <w:sz w:val="24"/>
          <w:szCs w:val="24"/>
        </w:rPr>
        <w:t xml:space="preserve">de </w:t>
      </w:r>
      <w:r w:rsidR="002A2ABD">
        <w:rPr>
          <w:sz w:val="24"/>
          <w:szCs w:val="24"/>
        </w:rPr>
        <w:t xml:space="preserve">identificación del derecho consuetudinario se </w:t>
      </w:r>
      <w:proofErr w:type="gramStart"/>
      <w:r w:rsidR="00697A4C">
        <w:rPr>
          <w:sz w:val="24"/>
          <w:szCs w:val="24"/>
        </w:rPr>
        <w:t>mostraran</w:t>
      </w:r>
      <w:proofErr w:type="gramEnd"/>
      <w:r w:rsidR="002A2ABD">
        <w:rPr>
          <w:sz w:val="24"/>
          <w:szCs w:val="24"/>
        </w:rPr>
        <w:t xml:space="preserve"> inadecuados porque el dinero que se persigue es mixto. </w:t>
      </w:r>
      <w:r w:rsidR="007E5E74">
        <w:rPr>
          <w:sz w:val="24"/>
          <w:szCs w:val="24"/>
        </w:rPr>
        <w:t>La ventaja para un demandante sería que la responsabilidad del derecho consuetudinario para el beneficiario sería estricta</w:t>
      </w:r>
      <w:r w:rsidR="001856E7">
        <w:rPr>
          <w:sz w:val="24"/>
          <w:szCs w:val="24"/>
        </w:rPr>
        <w:t>, mientras que la responsabilidad en equidad basada en un recibo sigue precisando prueba</w:t>
      </w:r>
      <w:r w:rsidR="007F7C64">
        <w:rPr>
          <w:sz w:val="24"/>
          <w:szCs w:val="24"/>
        </w:rPr>
        <w:t xml:space="preserve"> de la culpa.</w:t>
      </w:r>
    </w:p>
    <w:p w:rsidR="00472237" w:rsidRDefault="00472237" w:rsidP="00EA4F5C">
      <w:pPr>
        <w:jc w:val="both"/>
        <w:rPr>
          <w:sz w:val="24"/>
          <w:szCs w:val="24"/>
        </w:rPr>
      </w:pPr>
      <w:r>
        <w:rPr>
          <w:sz w:val="24"/>
          <w:szCs w:val="24"/>
        </w:rPr>
        <w:t>Pero incluso el seguimiento en equidad</w:t>
      </w:r>
      <w:r w:rsidR="005F1AFE">
        <w:rPr>
          <w:sz w:val="24"/>
          <w:szCs w:val="24"/>
        </w:rPr>
        <w:t xml:space="preserve"> no fue sencillo para el banco. Aikens J. </w:t>
      </w:r>
      <w:r w:rsidR="00C21AE6">
        <w:rPr>
          <w:sz w:val="24"/>
          <w:szCs w:val="24"/>
        </w:rPr>
        <w:t>aceptaba</w:t>
      </w:r>
      <w:r w:rsidR="005F1AFE">
        <w:rPr>
          <w:sz w:val="24"/>
          <w:szCs w:val="24"/>
        </w:rPr>
        <w:t xml:space="preserve"> que los fondos solo pueden </w:t>
      </w:r>
      <w:r w:rsidR="007966B6">
        <w:rPr>
          <w:sz w:val="24"/>
          <w:szCs w:val="24"/>
        </w:rPr>
        <w:t>identificarse en equidad si</w:t>
      </w:r>
      <w:r w:rsidR="006727AE">
        <w:rPr>
          <w:sz w:val="24"/>
          <w:szCs w:val="24"/>
        </w:rPr>
        <w:t xml:space="preserve"> </w:t>
      </w:r>
      <w:r w:rsidR="009F4AAC">
        <w:rPr>
          <w:sz w:val="24"/>
          <w:szCs w:val="24"/>
        </w:rPr>
        <w:t>constan en</w:t>
      </w:r>
      <w:r w:rsidR="006727AE">
        <w:rPr>
          <w:sz w:val="24"/>
          <w:szCs w:val="24"/>
        </w:rPr>
        <w:t xml:space="preserve"> una relación fiduciaria.</w:t>
      </w:r>
      <w:r w:rsidR="009F4AAC">
        <w:rPr>
          <w:sz w:val="24"/>
          <w:szCs w:val="24"/>
        </w:rPr>
        <w:t xml:space="preserve"> Concedidos, la relación entre Radisson y </w:t>
      </w:r>
      <w:r w:rsidR="002734E9">
        <w:rPr>
          <w:sz w:val="24"/>
          <w:szCs w:val="24"/>
        </w:rPr>
        <w:t>su</w:t>
      </w:r>
      <w:r w:rsidR="009F4AAC">
        <w:rPr>
          <w:sz w:val="24"/>
          <w:szCs w:val="24"/>
        </w:rPr>
        <w:t xml:space="preserve"> empleado que falsificó el cheque</w:t>
      </w:r>
      <w:r w:rsidR="00DC20B3">
        <w:rPr>
          <w:sz w:val="24"/>
          <w:szCs w:val="24"/>
        </w:rPr>
        <w:t xml:space="preserve"> podría haber sido fiduciaria, y, por lo tanto, suficiente para que Radisson tuviera derecho a realizar el seguimiento </w:t>
      </w:r>
      <w:r w:rsidR="00DC20B3" w:rsidRPr="00DC20B3">
        <w:rPr>
          <w:i/>
          <w:sz w:val="24"/>
          <w:szCs w:val="24"/>
        </w:rPr>
        <w:t>(Agip (Africa) Ltd. contra Jackson</w:t>
      </w:r>
      <w:r w:rsidR="00DC20B3">
        <w:rPr>
          <w:sz w:val="24"/>
          <w:szCs w:val="24"/>
        </w:rPr>
        <w:t xml:space="preserve"> [1991] capítulo 547)</w:t>
      </w:r>
      <w:r w:rsidR="00571868">
        <w:rPr>
          <w:sz w:val="24"/>
          <w:szCs w:val="24"/>
        </w:rPr>
        <w:t xml:space="preserve">, pero el banco no estaba al tanto de esta relación. Además, el banco debía probar que sus propios fondos </w:t>
      </w:r>
      <w:r w:rsidR="002442D8">
        <w:rPr>
          <w:sz w:val="24"/>
          <w:szCs w:val="24"/>
        </w:rPr>
        <w:t xml:space="preserve">con los que </w:t>
      </w:r>
      <w:r w:rsidR="00B5247C">
        <w:rPr>
          <w:sz w:val="24"/>
          <w:szCs w:val="24"/>
        </w:rPr>
        <w:t>pagó</w:t>
      </w:r>
      <w:r w:rsidR="002442D8">
        <w:rPr>
          <w:sz w:val="24"/>
          <w:szCs w:val="24"/>
        </w:rPr>
        <w:t xml:space="preserve"> el cheque dependían de un deber fiduciario.</w:t>
      </w:r>
      <w:r w:rsidR="003103D6">
        <w:rPr>
          <w:sz w:val="24"/>
          <w:szCs w:val="24"/>
        </w:rPr>
        <w:t xml:space="preserve"> Sin duda,</w:t>
      </w:r>
      <w:r w:rsidR="00CD237D">
        <w:rPr>
          <w:sz w:val="24"/>
          <w:szCs w:val="24"/>
        </w:rPr>
        <w:t xml:space="preserve"> no fue así, puesto que los habría retenido en su propio nombre. </w:t>
      </w:r>
      <w:r w:rsidR="00756E3F">
        <w:rPr>
          <w:sz w:val="24"/>
          <w:szCs w:val="24"/>
        </w:rPr>
        <w:t xml:space="preserve">Por consiguiente, recurrió a la analogía con </w:t>
      </w:r>
      <w:r w:rsidR="00756E3F" w:rsidRPr="002A2ABD">
        <w:rPr>
          <w:i/>
          <w:sz w:val="24"/>
          <w:szCs w:val="24"/>
        </w:rPr>
        <w:t>Chase Manhattan N.A. contra Israel-British Bank Ltd</w:t>
      </w:r>
      <w:r w:rsidR="00756E3F">
        <w:rPr>
          <w:sz w:val="24"/>
          <w:szCs w:val="24"/>
        </w:rPr>
        <w:t xml:space="preserve"> para </w:t>
      </w:r>
      <w:r w:rsidR="00B05880">
        <w:rPr>
          <w:sz w:val="24"/>
          <w:szCs w:val="24"/>
        </w:rPr>
        <w:t xml:space="preserve">para convertir a </w:t>
      </w:r>
      <w:proofErr w:type="spellStart"/>
      <w:r w:rsidR="00B05880">
        <w:rPr>
          <w:sz w:val="24"/>
          <w:szCs w:val="24"/>
        </w:rPr>
        <w:t>Bluepark</w:t>
      </w:r>
      <w:proofErr w:type="spellEnd"/>
      <w:r w:rsidR="00B05880">
        <w:rPr>
          <w:sz w:val="24"/>
          <w:szCs w:val="24"/>
        </w:rPr>
        <w:t xml:space="preserve"> </w:t>
      </w:r>
      <w:r w:rsidR="00B5247C">
        <w:rPr>
          <w:sz w:val="24"/>
          <w:szCs w:val="24"/>
        </w:rPr>
        <w:t>en</w:t>
      </w:r>
      <w:r w:rsidR="00B05880">
        <w:rPr>
          <w:sz w:val="24"/>
          <w:szCs w:val="24"/>
        </w:rPr>
        <w:t xml:space="preserve"> un fiduciario ficticio: el mero pago de dinero por error convertía al beneficiario en un fideicomisario de los fondos.</w:t>
      </w:r>
    </w:p>
    <w:p w:rsidR="00E958D8" w:rsidRDefault="00E958D8" w:rsidP="00EA4F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otra explicación ofrecida para el requisito esencial de hacer el seguimiento sencillamente no puede ser correcta. Aikens J. </w:t>
      </w:r>
      <w:r w:rsidR="00CF2E73">
        <w:rPr>
          <w:sz w:val="24"/>
          <w:szCs w:val="24"/>
        </w:rPr>
        <w:t>aceptaba</w:t>
      </w:r>
      <w:r>
        <w:rPr>
          <w:sz w:val="24"/>
          <w:szCs w:val="24"/>
        </w:rPr>
        <w:t xml:space="preserve">, </w:t>
      </w:r>
      <w:r w:rsidR="0005091B">
        <w:rPr>
          <w:sz w:val="24"/>
          <w:szCs w:val="24"/>
        </w:rPr>
        <w:t>apropiadamente, que los directores de Bluepark tenían deberes fiduciarios respecto a su empresa.</w:t>
      </w:r>
      <w:r w:rsidR="0070363B">
        <w:rPr>
          <w:sz w:val="24"/>
          <w:szCs w:val="24"/>
        </w:rPr>
        <w:t xml:space="preserve"> Los violaron acatando la instrucción de Arnell de pagarle el dinero del banco.</w:t>
      </w:r>
      <w:r w:rsidR="0042689D">
        <w:rPr>
          <w:sz w:val="24"/>
          <w:szCs w:val="24"/>
        </w:rPr>
        <w:t xml:space="preserve"> Tal disposición sería nula y Arnell podría haber sido responsable respecto a Bluepark como fideicomisario constructivo: </w:t>
      </w:r>
      <w:r w:rsidR="0042689D" w:rsidRPr="0042689D">
        <w:rPr>
          <w:i/>
          <w:sz w:val="24"/>
          <w:szCs w:val="24"/>
        </w:rPr>
        <w:t>Rolled Steel Products Ltd. contra British Steel Corporation</w:t>
      </w:r>
      <w:r w:rsidR="0042689D">
        <w:rPr>
          <w:sz w:val="24"/>
          <w:szCs w:val="24"/>
        </w:rPr>
        <w:t xml:space="preserve"> [1986] 246 capítulo 1. Por muy preciso que sea este análisis, seguiría sin otorgarle al banco ningún</w:t>
      </w:r>
      <w:r w:rsidR="006D6508">
        <w:rPr>
          <w:sz w:val="24"/>
          <w:szCs w:val="24"/>
        </w:rPr>
        <w:t xml:space="preserve"> derecho</w:t>
      </w:r>
      <w:r w:rsidR="00122D78">
        <w:rPr>
          <w:sz w:val="24"/>
          <w:szCs w:val="24"/>
        </w:rPr>
        <w:t xml:space="preserve"> de hacer el seguimiento en equidad. Los directores de Bluepark tenían obligaciones fiduciarias</w:t>
      </w:r>
      <w:r w:rsidR="00676AFC">
        <w:rPr>
          <w:sz w:val="24"/>
          <w:szCs w:val="24"/>
        </w:rPr>
        <w:t xml:space="preserve"> respecto a su empresa, no respecto al banco. Aunque no es una condición del seguimiento que </w:t>
      </w:r>
      <w:r w:rsidR="00B5247C">
        <w:rPr>
          <w:sz w:val="24"/>
          <w:szCs w:val="24"/>
        </w:rPr>
        <w:t>exista</w:t>
      </w:r>
      <w:r w:rsidR="00676AFC">
        <w:rPr>
          <w:sz w:val="24"/>
          <w:szCs w:val="24"/>
        </w:rPr>
        <w:t xml:space="preserve"> una relación fiduciaria entre el </w:t>
      </w:r>
      <w:r w:rsidR="00242724">
        <w:rPr>
          <w:sz w:val="24"/>
          <w:szCs w:val="24"/>
        </w:rPr>
        <w:t xml:space="preserve">demandante </w:t>
      </w:r>
      <w:r w:rsidR="00D61389">
        <w:rPr>
          <w:sz w:val="24"/>
          <w:szCs w:val="24"/>
        </w:rPr>
        <w:t xml:space="preserve">y el demandado </w:t>
      </w:r>
      <w:r w:rsidR="00D61389" w:rsidRPr="00D61389">
        <w:rPr>
          <w:i/>
          <w:sz w:val="24"/>
          <w:szCs w:val="24"/>
        </w:rPr>
        <w:t>(por ejemplo, Re Diplock</w:t>
      </w:r>
      <w:r w:rsidR="00D61389">
        <w:rPr>
          <w:sz w:val="24"/>
          <w:szCs w:val="24"/>
        </w:rPr>
        <w:t xml:space="preserve"> [1948] capítulo 465, el demandante sigue </w:t>
      </w:r>
      <w:r w:rsidR="00612B2F">
        <w:rPr>
          <w:sz w:val="24"/>
          <w:szCs w:val="24"/>
        </w:rPr>
        <w:t>debiendo</w:t>
      </w:r>
      <w:r w:rsidR="00D61389">
        <w:rPr>
          <w:sz w:val="24"/>
          <w:szCs w:val="24"/>
        </w:rPr>
        <w:t xml:space="preserve"> ser el beneficiario de la relación que legitima hacer el seguimiento.</w:t>
      </w:r>
      <w:r w:rsidR="00B73527">
        <w:rPr>
          <w:sz w:val="24"/>
          <w:szCs w:val="24"/>
        </w:rPr>
        <w:t xml:space="preserve"> Los fondos </w:t>
      </w:r>
      <w:r w:rsidR="00EB273B">
        <w:rPr>
          <w:sz w:val="24"/>
          <w:szCs w:val="24"/>
        </w:rPr>
        <w:t>malversados</w:t>
      </w:r>
      <w:r w:rsidR="00B73527">
        <w:rPr>
          <w:sz w:val="24"/>
          <w:szCs w:val="24"/>
        </w:rPr>
        <w:t xml:space="preserve"> no pueden seguirse en equidad sencillamente porque pasan por las manos de un fiduciario</w:t>
      </w:r>
      <w:r w:rsidR="00AB275F">
        <w:rPr>
          <w:sz w:val="24"/>
          <w:szCs w:val="24"/>
        </w:rPr>
        <w:t xml:space="preserve"> en algún lugar de la cadena de beneficiarios. El derecho no puede </w:t>
      </w:r>
      <w:r w:rsidR="00F77218">
        <w:rPr>
          <w:sz w:val="24"/>
          <w:szCs w:val="24"/>
        </w:rPr>
        <w:t>surgir</w:t>
      </w:r>
      <w:r w:rsidR="00AB275F">
        <w:rPr>
          <w:sz w:val="24"/>
          <w:szCs w:val="24"/>
        </w:rPr>
        <w:t xml:space="preserve"> retroactivamente de esta forma. En ausencia de un derecho anterior </w:t>
      </w:r>
      <w:r w:rsidR="003C3FD8">
        <w:rPr>
          <w:sz w:val="24"/>
          <w:szCs w:val="24"/>
        </w:rPr>
        <w:t>de</w:t>
      </w:r>
      <w:r w:rsidR="00AB275F">
        <w:rPr>
          <w:sz w:val="24"/>
          <w:szCs w:val="24"/>
        </w:rPr>
        <w:t xml:space="preserve"> segui</w:t>
      </w:r>
      <w:r w:rsidR="00B5247C">
        <w:rPr>
          <w:sz w:val="24"/>
          <w:szCs w:val="24"/>
        </w:rPr>
        <w:t>miento</w:t>
      </w:r>
      <w:r w:rsidR="00AB275F">
        <w:rPr>
          <w:sz w:val="24"/>
          <w:szCs w:val="24"/>
        </w:rPr>
        <w:t xml:space="preserve">, ¿cómo podría probar </w:t>
      </w:r>
      <w:r w:rsidR="003C3FD8">
        <w:rPr>
          <w:sz w:val="24"/>
          <w:szCs w:val="24"/>
        </w:rPr>
        <w:t xml:space="preserve">el demandante </w:t>
      </w:r>
      <w:r w:rsidR="00AB275F">
        <w:rPr>
          <w:sz w:val="24"/>
          <w:szCs w:val="24"/>
        </w:rPr>
        <w:t>que fue un fiduciario quien finalmente recibió su dinero</w:t>
      </w:r>
      <w:r w:rsidR="00BA16D7">
        <w:rPr>
          <w:sz w:val="24"/>
          <w:szCs w:val="24"/>
        </w:rPr>
        <w:t>?</w:t>
      </w:r>
      <w:r w:rsidR="004368CD">
        <w:rPr>
          <w:sz w:val="24"/>
          <w:szCs w:val="24"/>
        </w:rPr>
        <w:t xml:space="preserve"> La relación debe subsistir antes de</w:t>
      </w:r>
      <w:r w:rsidR="00BA16D7">
        <w:rPr>
          <w:sz w:val="24"/>
          <w:szCs w:val="24"/>
        </w:rPr>
        <w:t xml:space="preserve"> la malversación</w:t>
      </w:r>
      <w:r w:rsidR="00C30C70">
        <w:rPr>
          <w:sz w:val="24"/>
          <w:szCs w:val="24"/>
        </w:rPr>
        <w:t xml:space="preserve"> o, como en </w:t>
      </w:r>
      <w:r w:rsidR="00C30C70" w:rsidRPr="00C30C70">
        <w:rPr>
          <w:i/>
          <w:sz w:val="24"/>
          <w:szCs w:val="24"/>
        </w:rPr>
        <w:t>Chase Manhattan</w:t>
      </w:r>
      <w:r w:rsidR="00C30C70">
        <w:rPr>
          <w:sz w:val="24"/>
          <w:szCs w:val="24"/>
        </w:rPr>
        <w:t xml:space="preserve">, llegar a existir debido </w:t>
      </w:r>
      <w:r w:rsidR="00BA16D7">
        <w:rPr>
          <w:sz w:val="24"/>
          <w:szCs w:val="24"/>
        </w:rPr>
        <w:t>a la propia malversación</w:t>
      </w:r>
      <w:r w:rsidR="00C30C70">
        <w:rPr>
          <w:sz w:val="24"/>
          <w:szCs w:val="24"/>
        </w:rPr>
        <w:t xml:space="preserve">. Como prerrequisito </w:t>
      </w:r>
      <w:r w:rsidR="00C13049">
        <w:rPr>
          <w:sz w:val="24"/>
          <w:szCs w:val="24"/>
        </w:rPr>
        <w:t xml:space="preserve">de la tarea de identificar </w:t>
      </w:r>
      <w:r w:rsidR="00D0696D">
        <w:rPr>
          <w:sz w:val="24"/>
          <w:szCs w:val="24"/>
        </w:rPr>
        <w:t>tal malversación</w:t>
      </w:r>
      <w:r w:rsidR="00C13049">
        <w:rPr>
          <w:sz w:val="24"/>
          <w:szCs w:val="24"/>
        </w:rPr>
        <w:t xml:space="preserve">, la condición de una </w:t>
      </w:r>
      <w:r w:rsidR="00C13049">
        <w:rPr>
          <w:sz w:val="24"/>
          <w:szCs w:val="24"/>
        </w:rPr>
        <w:lastRenderedPageBreak/>
        <w:t xml:space="preserve">relación fiduciaria es ilógica y </w:t>
      </w:r>
      <w:r w:rsidR="00590695">
        <w:rPr>
          <w:sz w:val="24"/>
          <w:szCs w:val="24"/>
        </w:rPr>
        <w:t xml:space="preserve">está </w:t>
      </w:r>
      <w:r w:rsidR="00C13049">
        <w:rPr>
          <w:sz w:val="24"/>
          <w:szCs w:val="24"/>
        </w:rPr>
        <w:t xml:space="preserve">abocada a la abolición. Hasta entonces, mejor no </w:t>
      </w:r>
      <w:r w:rsidR="00C74A93">
        <w:rPr>
          <w:sz w:val="24"/>
          <w:szCs w:val="24"/>
        </w:rPr>
        <w:t>transigir</w:t>
      </w:r>
      <w:r w:rsidR="00C13049">
        <w:rPr>
          <w:sz w:val="24"/>
          <w:szCs w:val="24"/>
        </w:rPr>
        <w:t xml:space="preserve"> tal falta de lógica.</w:t>
      </w:r>
      <w:r w:rsidR="00B5247C">
        <w:rPr>
          <w:sz w:val="24"/>
          <w:szCs w:val="24"/>
        </w:rPr>
        <w:t xml:space="preserve">  </w:t>
      </w:r>
    </w:p>
    <w:p w:rsidR="00590695" w:rsidRDefault="00590695" w:rsidP="00EA4F5C">
      <w:pPr>
        <w:jc w:val="both"/>
        <w:rPr>
          <w:sz w:val="24"/>
          <w:szCs w:val="24"/>
        </w:rPr>
      </w:pPr>
    </w:p>
    <w:p w:rsidR="00590695" w:rsidRPr="00D44955" w:rsidRDefault="00590695" w:rsidP="00EA4F5C">
      <w:pPr>
        <w:jc w:val="both"/>
        <w:rPr>
          <w:b/>
          <w:sz w:val="24"/>
          <w:szCs w:val="24"/>
        </w:rPr>
      </w:pPr>
      <w:r w:rsidRPr="00D44955">
        <w:rPr>
          <w:b/>
          <w:sz w:val="24"/>
          <w:szCs w:val="24"/>
        </w:rPr>
        <w:t>RECONOCIMIENTO DEL DIVORCIO EN IRLANDA: SITUACIÓN ACTUAL</w:t>
      </w:r>
    </w:p>
    <w:p w:rsidR="00590695" w:rsidRDefault="00590695" w:rsidP="00EA4F5C">
      <w:pPr>
        <w:jc w:val="both"/>
        <w:rPr>
          <w:sz w:val="24"/>
          <w:szCs w:val="24"/>
        </w:rPr>
      </w:pPr>
      <w:r>
        <w:rPr>
          <w:sz w:val="24"/>
          <w:szCs w:val="24"/>
        </w:rPr>
        <w:t>La consecuencia</w:t>
      </w:r>
      <w:r w:rsidR="00D44955">
        <w:rPr>
          <w:sz w:val="24"/>
          <w:szCs w:val="24"/>
        </w:rPr>
        <w:t xml:space="preserve"> de estos acontecimientos poco sistemáticos constituye</w:t>
      </w:r>
      <w:r w:rsidR="0094538A">
        <w:rPr>
          <w:sz w:val="24"/>
          <w:szCs w:val="24"/>
        </w:rPr>
        <w:t xml:space="preserve"> un </w:t>
      </w:r>
      <w:r w:rsidR="00CB7F95">
        <w:rPr>
          <w:sz w:val="24"/>
          <w:szCs w:val="24"/>
        </w:rPr>
        <w:t xml:space="preserve">régimen de </w:t>
      </w:r>
      <w:r w:rsidR="0094538A">
        <w:rPr>
          <w:sz w:val="24"/>
          <w:szCs w:val="24"/>
        </w:rPr>
        <w:t xml:space="preserve">reconocimiento </w:t>
      </w:r>
      <w:r w:rsidR="0094083F">
        <w:rPr>
          <w:sz w:val="24"/>
          <w:szCs w:val="24"/>
        </w:rPr>
        <w:t>que indica que</w:t>
      </w:r>
      <w:r w:rsidR="0094538A">
        <w:rPr>
          <w:sz w:val="24"/>
          <w:szCs w:val="24"/>
        </w:rPr>
        <w:t xml:space="preserve"> continúa </w:t>
      </w:r>
      <w:r w:rsidR="00CB290F">
        <w:rPr>
          <w:sz w:val="24"/>
          <w:szCs w:val="24"/>
        </w:rPr>
        <w:t>sumamente</w:t>
      </w:r>
      <w:r w:rsidR="007726A5">
        <w:rPr>
          <w:sz w:val="24"/>
          <w:szCs w:val="24"/>
        </w:rPr>
        <w:t xml:space="preserve"> fragmentado a lo largo del tiempo y la geografía. Las sentencias </w:t>
      </w:r>
      <w:r w:rsidR="00A04C9C">
        <w:rPr>
          <w:sz w:val="24"/>
          <w:szCs w:val="24"/>
        </w:rPr>
        <w:t>otorgadas</w:t>
      </w:r>
      <w:r w:rsidR="007726A5">
        <w:rPr>
          <w:sz w:val="24"/>
          <w:szCs w:val="24"/>
        </w:rPr>
        <w:t xml:space="preserve"> desde el 1 de marzo del año 2001 en los Estados </w:t>
      </w:r>
      <w:r w:rsidR="00AD69C0">
        <w:rPr>
          <w:sz w:val="24"/>
          <w:szCs w:val="24"/>
        </w:rPr>
        <w:t>m</w:t>
      </w:r>
      <w:r w:rsidR="007726A5">
        <w:rPr>
          <w:sz w:val="24"/>
          <w:szCs w:val="24"/>
        </w:rPr>
        <w:t>iembros de la UE</w:t>
      </w:r>
      <w:r w:rsidR="00A04C9C">
        <w:rPr>
          <w:sz w:val="24"/>
          <w:szCs w:val="24"/>
        </w:rPr>
        <w:t xml:space="preserve"> conceden </w:t>
      </w:r>
      <w:r w:rsidR="0094083F">
        <w:rPr>
          <w:sz w:val="24"/>
          <w:szCs w:val="24"/>
        </w:rPr>
        <w:t xml:space="preserve">un </w:t>
      </w:r>
      <w:r w:rsidR="00A04C9C">
        <w:rPr>
          <w:sz w:val="24"/>
          <w:szCs w:val="24"/>
        </w:rPr>
        <w:t xml:space="preserve">reconocimiento automático. </w:t>
      </w:r>
      <w:r w:rsidR="0094083F">
        <w:rPr>
          <w:sz w:val="24"/>
          <w:szCs w:val="24"/>
        </w:rPr>
        <w:t>A l</w:t>
      </w:r>
      <w:r w:rsidR="00A04C9C">
        <w:rPr>
          <w:sz w:val="24"/>
          <w:szCs w:val="24"/>
        </w:rPr>
        <w:t xml:space="preserve">as sentencias </w:t>
      </w:r>
      <w:r w:rsidR="00AB0CAD">
        <w:rPr>
          <w:sz w:val="24"/>
          <w:szCs w:val="24"/>
        </w:rPr>
        <w:t xml:space="preserve">de divorcio </w:t>
      </w:r>
      <w:r w:rsidR="00A04C9C">
        <w:rPr>
          <w:sz w:val="24"/>
          <w:szCs w:val="24"/>
        </w:rPr>
        <w:t>concedidas</w:t>
      </w:r>
      <w:r w:rsidR="00492BDB">
        <w:rPr>
          <w:sz w:val="24"/>
          <w:szCs w:val="24"/>
        </w:rPr>
        <w:t xml:space="preserve"> en países terceros (a saber, Estados no miembros de la UE) y l</w:t>
      </w:r>
      <w:r w:rsidR="00AB0CAD">
        <w:rPr>
          <w:sz w:val="24"/>
          <w:szCs w:val="24"/>
        </w:rPr>
        <w:t>a</w:t>
      </w:r>
      <w:r w:rsidR="00492BDB">
        <w:rPr>
          <w:sz w:val="24"/>
          <w:szCs w:val="24"/>
        </w:rPr>
        <w:t>s concedido</w:t>
      </w:r>
      <w:r w:rsidR="00137257">
        <w:rPr>
          <w:sz w:val="24"/>
          <w:szCs w:val="24"/>
        </w:rPr>
        <w:t>s</w:t>
      </w:r>
      <w:r w:rsidR="00492BDB">
        <w:rPr>
          <w:sz w:val="24"/>
          <w:szCs w:val="24"/>
        </w:rPr>
        <w:t xml:space="preserve"> antes de marzo </w:t>
      </w:r>
      <w:r w:rsidR="00137257">
        <w:rPr>
          <w:sz w:val="24"/>
          <w:szCs w:val="24"/>
        </w:rPr>
        <w:t xml:space="preserve">de 2001 en Estados </w:t>
      </w:r>
      <w:r w:rsidR="00AD69C0">
        <w:rPr>
          <w:sz w:val="24"/>
          <w:szCs w:val="24"/>
        </w:rPr>
        <w:t>m</w:t>
      </w:r>
      <w:r w:rsidR="00137257">
        <w:rPr>
          <w:sz w:val="24"/>
          <w:szCs w:val="24"/>
        </w:rPr>
        <w:t>iembros</w:t>
      </w:r>
      <w:r w:rsidR="00AD69C0">
        <w:rPr>
          <w:sz w:val="24"/>
          <w:szCs w:val="24"/>
        </w:rPr>
        <w:t xml:space="preserve"> se les concede el derecho de reconocimiento si cualquiera de los esposos tenía el domicilio en la jurisdicción que los otorga. Si el divorcio se concedió antes de la </w:t>
      </w:r>
      <w:r w:rsidR="00AB0CAD">
        <w:rPr>
          <w:sz w:val="24"/>
          <w:szCs w:val="24"/>
        </w:rPr>
        <w:t>entrada en vigor</w:t>
      </w:r>
      <w:r w:rsidR="00AD69C0">
        <w:rPr>
          <w:sz w:val="24"/>
          <w:szCs w:val="24"/>
        </w:rPr>
        <w:t xml:space="preserve"> de la Ley de 1986 (el 2 de octubre de 1986</w:t>
      </w:r>
      <w:r w:rsidR="0066738A">
        <w:rPr>
          <w:sz w:val="24"/>
          <w:szCs w:val="24"/>
        </w:rPr>
        <w:t xml:space="preserve">), </w:t>
      </w:r>
      <w:r w:rsidR="00AB0CAD">
        <w:rPr>
          <w:sz w:val="24"/>
          <w:szCs w:val="24"/>
        </w:rPr>
        <w:t xml:space="preserve">son de aplicación </w:t>
      </w:r>
      <w:r w:rsidR="0066738A">
        <w:rPr>
          <w:sz w:val="24"/>
          <w:szCs w:val="24"/>
        </w:rPr>
        <w:t xml:space="preserve">las normas de derecho consuetudinarias y sigue siendo </w:t>
      </w:r>
      <w:r w:rsidR="009D5EFF">
        <w:rPr>
          <w:sz w:val="24"/>
          <w:szCs w:val="24"/>
        </w:rPr>
        <w:t>posible</w:t>
      </w:r>
      <w:r w:rsidR="0066738A">
        <w:rPr>
          <w:sz w:val="24"/>
          <w:szCs w:val="24"/>
        </w:rPr>
        <w:t xml:space="preserve"> </w:t>
      </w:r>
      <w:r w:rsidR="0066738A" w:rsidRPr="00277F68">
        <w:rPr>
          <w:i/>
          <w:sz w:val="24"/>
          <w:szCs w:val="24"/>
        </w:rPr>
        <w:t xml:space="preserve">(según McG. </w:t>
      </w:r>
      <w:r w:rsidR="00277F68">
        <w:rPr>
          <w:i/>
          <w:sz w:val="24"/>
          <w:szCs w:val="24"/>
        </w:rPr>
        <w:t>c</w:t>
      </w:r>
      <w:r w:rsidR="0066738A" w:rsidRPr="00277F68">
        <w:rPr>
          <w:i/>
          <w:sz w:val="24"/>
          <w:szCs w:val="24"/>
        </w:rPr>
        <w:t>ontra W)</w:t>
      </w:r>
      <w:r w:rsidR="00277F68">
        <w:rPr>
          <w:sz w:val="24"/>
          <w:szCs w:val="24"/>
        </w:rPr>
        <w:t xml:space="preserve"> que el reconocimiento </w:t>
      </w:r>
      <w:r w:rsidR="009C3442">
        <w:rPr>
          <w:sz w:val="24"/>
          <w:szCs w:val="24"/>
        </w:rPr>
        <w:t>también pued</w:t>
      </w:r>
      <w:r w:rsidR="009D5EFF">
        <w:rPr>
          <w:sz w:val="24"/>
          <w:szCs w:val="24"/>
        </w:rPr>
        <w:t>a</w:t>
      </w:r>
      <w:r w:rsidR="009C3442">
        <w:rPr>
          <w:sz w:val="24"/>
          <w:szCs w:val="24"/>
        </w:rPr>
        <w:t xml:space="preserve"> asegurarse sobre la base de la satisfacción hipotética por parte del tribunal otorgante de los requerimientos jurisdiccionales de Irlanda </w:t>
      </w:r>
      <w:r w:rsidR="009D5EFF">
        <w:rPr>
          <w:sz w:val="24"/>
          <w:szCs w:val="24"/>
        </w:rPr>
        <w:t>(</w:t>
      </w:r>
      <w:r w:rsidR="009C3442">
        <w:rPr>
          <w:sz w:val="24"/>
          <w:szCs w:val="24"/>
        </w:rPr>
        <w:t>actualmente recogido</w:t>
      </w:r>
      <w:r w:rsidR="00267FBB">
        <w:rPr>
          <w:sz w:val="24"/>
          <w:szCs w:val="24"/>
        </w:rPr>
        <w:t>s</w:t>
      </w:r>
      <w:r w:rsidR="009C3442">
        <w:rPr>
          <w:sz w:val="24"/>
          <w:szCs w:val="24"/>
        </w:rPr>
        <w:t xml:space="preserve"> en el artículo 3 de Brussels II </w:t>
      </w:r>
      <w:r w:rsidR="009C3442" w:rsidRPr="009D5EFF">
        <w:rPr>
          <w:i/>
          <w:sz w:val="24"/>
          <w:szCs w:val="24"/>
        </w:rPr>
        <w:t>bis</w:t>
      </w:r>
      <w:r w:rsidR="009C3442">
        <w:rPr>
          <w:sz w:val="24"/>
          <w:szCs w:val="24"/>
        </w:rPr>
        <w:t>).</w:t>
      </w:r>
      <w:r w:rsidR="009D5EFF">
        <w:rPr>
          <w:sz w:val="24"/>
          <w:szCs w:val="24"/>
        </w:rPr>
        <w:t xml:space="preserve"> </w:t>
      </w:r>
      <w:r w:rsidR="00C757F4">
        <w:rPr>
          <w:sz w:val="24"/>
          <w:szCs w:val="24"/>
        </w:rPr>
        <w:t>Los divorcios de terceros países otorgados desde 1986 (y los de Estados miembros</w:t>
      </w:r>
      <w:r w:rsidR="00044356">
        <w:rPr>
          <w:sz w:val="24"/>
          <w:szCs w:val="24"/>
        </w:rPr>
        <w:t xml:space="preserve"> de la UE</w:t>
      </w:r>
      <w:r w:rsidR="00C757F4">
        <w:rPr>
          <w:sz w:val="24"/>
          <w:szCs w:val="24"/>
        </w:rPr>
        <w:t xml:space="preserve"> otorgados</w:t>
      </w:r>
      <w:r w:rsidR="00044356">
        <w:rPr>
          <w:sz w:val="24"/>
          <w:szCs w:val="24"/>
        </w:rPr>
        <w:t xml:space="preserve"> entre 1986 y 2001) también se</w:t>
      </w:r>
      <w:r w:rsidR="0076454C">
        <w:rPr>
          <w:sz w:val="24"/>
          <w:szCs w:val="24"/>
        </w:rPr>
        <w:t xml:space="preserve"> </w:t>
      </w:r>
      <w:proofErr w:type="gramStart"/>
      <w:r w:rsidR="0076454C">
        <w:rPr>
          <w:sz w:val="24"/>
          <w:szCs w:val="24"/>
        </w:rPr>
        <w:t>reconocerán</w:t>
      </w:r>
      <w:proofErr w:type="gramEnd"/>
      <w:r w:rsidR="0076454C">
        <w:rPr>
          <w:sz w:val="24"/>
          <w:szCs w:val="24"/>
        </w:rPr>
        <w:t xml:space="preserve"> </w:t>
      </w:r>
      <w:r w:rsidR="00044356">
        <w:rPr>
          <w:sz w:val="24"/>
          <w:szCs w:val="24"/>
        </w:rPr>
        <w:t xml:space="preserve">aunque </w:t>
      </w:r>
      <w:r w:rsidR="00C35687">
        <w:rPr>
          <w:sz w:val="24"/>
          <w:szCs w:val="24"/>
        </w:rPr>
        <w:t>ninguno de los esposos esté domiciliado en el Estado otorgante si ambos tuvieron su domicilio en un estado o estados que reconocían el divorcio (bajo la sección 5 (4) de la Ley de 1986.</w:t>
      </w:r>
      <w:r w:rsidR="00FD7048">
        <w:rPr>
          <w:sz w:val="24"/>
          <w:szCs w:val="24"/>
        </w:rPr>
        <w:t xml:space="preserve"> La evaluación del domicilio para los divorciados de Reino Unido (</w:t>
      </w:r>
      <w:r w:rsidR="000E5E23">
        <w:rPr>
          <w:sz w:val="24"/>
          <w:szCs w:val="24"/>
        </w:rPr>
        <w:t>en términos prácticos los divorcios más comunes en el extranjero) también varía en función del tiempo del otorgamiento: para los divorcios previos a 1986 se necesita una conexión domiciliaria con la jurisdicción otorgante de Inglaterra, Escocia</w:t>
      </w:r>
      <w:r w:rsidR="009814D4">
        <w:rPr>
          <w:sz w:val="24"/>
          <w:szCs w:val="24"/>
        </w:rPr>
        <w:t xml:space="preserve"> o</w:t>
      </w:r>
      <w:r w:rsidR="000E5E23">
        <w:rPr>
          <w:sz w:val="24"/>
          <w:szCs w:val="24"/>
        </w:rPr>
        <w:t xml:space="preserve"> Irlanda del Norte (si se da el caso), mientras que para los divorcios concedidos entre 1986 y 2001, una conexión domiciliaria con cualquier parte de Reino Unido</w:t>
      </w:r>
      <w:r w:rsidR="002266A6">
        <w:rPr>
          <w:sz w:val="24"/>
          <w:szCs w:val="24"/>
        </w:rPr>
        <w:t xml:space="preserve"> respaldará</w:t>
      </w:r>
      <w:r w:rsidR="003C4FAF">
        <w:rPr>
          <w:sz w:val="24"/>
          <w:szCs w:val="24"/>
        </w:rPr>
        <w:t xml:space="preserve"> el</w:t>
      </w:r>
      <w:r w:rsidR="002266A6">
        <w:rPr>
          <w:sz w:val="24"/>
          <w:szCs w:val="24"/>
        </w:rPr>
        <w:t xml:space="preserve"> reconocimiento de un divorcio otorgado en otra parte de Reino Unido.</w:t>
      </w:r>
    </w:p>
    <w:p w:rsidR="003C4FAF" w:rsidRDefault="003C4FAF" w:rsidP="00EA4F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complejidad de esta amalgama de derecho consuetudinario y de legislación </w:t>
      </w:r>
      <w:r w:rsidR="00AF2336">
        <w:rPr>
          <w:sz w:val="24"/>
          <w:szCs w:val="24"/>
        </w:rPr>
        <w:t xml:space="preserve">nacional y de la EU </w:t>
      </w:r>
      <w:r>
        <w:rPr>
          <w:sz w:val="24"/>
          <w:szCs w:val="24"/>
        </w:rPr>
        <w:t>resulta desafortunada pero quizás comprensible en un contexto de desarrollo progresivo respecto al cual había preocupación sobre la interferencia retrospectiv</w:t>
      </w:r>
      <w:r w:rsidR="00491B4A">
        <w:rPr>
          <w:sz w:val="24"/>
          <w:szCs w:val="24"/>
        </w:rPr>
        <w:t>a</w:t>
      </w:r>
      <w:r w:rsidR="0021038A">
        <w:rPr>
          <w:sz w:val="24"/>
          <w:szCs w:val="24"/>
        </w:rPr>
        <w:t>. De esta manera, puede razonablemente argumentarse que este mosaico de normas debe tolerarse como divorcios históricos.</w:t>
      </w:r>
      <w:r w:rsidR="00945F7C">
        <w:rPr>
          <w:sz w:val="24"/>
          <w:szCs w:val="24"/>
        </w:rPr>
        <w:t xml:space="preserve"> Sin embargo, no puede haber justificación para continuar insistiendo</w:t>
      </w:r>
      <w:r w:rsidR="00E505C9">
        <w:rPr>
          <w:sz w:val="24"/>
          <w:szCs w:val="24"/>
        </w:rPr>
        <w:t xml:space="preserve"> en el futuro</w:t>
      </w:r>
      <w:r w:rsidR="00945F7C">
        <w:rPr>
          <w:sz w:val="24"/>
          <w:szCs w:val="24"/>
        </w:rPr>
        <w:t xml:space="preserve"> en una conexión domiciliaria a California o Nueva Zelanda como condición</w:t>
      </w:r>
      <w:r w:rsidR="00925043">
        <w:rPr>
          <w:sz w:val="24"/>
          <w:szCs w:val="24"/>
        </w:rPr>
        <w:t xml:space="preserve"> </w:t>
      </w:r>
      <w:r w:rsidR="00945F7C">
        <w:rPr>
          <w:sz w:val="24"/>
          <w:szCs w:val="24"/>
        </w:rPr>
        <w:t xml:space="preserve">para </w:t>
      </w:r>
      <w:r w:rsidR="00925043">
        <w:rPr>
          <w:sz w:val="24"/>
          <w:szCs w:val="24"/>
        </w:rPr>
        <w:t>el reconocimiento de divorcios</w:t>
      </w:r>
      <w:r w:rsidR="00E505C9">
        <w:rPr>
          <w:sz w:val="24"/>
          <w:szCs w:val="24"/>
        </w:rPr>
        <w:t xml:space="preserve"> </w:t>
      </w:r>
      <w:r w:rsidR="00925043">
        <w:rPr>
          <w:sz w:val="24"/>
          <w:szCs w:val="24"/>
        </w:rPr>
        <w:t>otorgad</w:t>
      </w:r>
      <w:r w:rsidR="00E505C9">
        <w:rPr>
          <w:sz w:val="24"/>
          <w:szCs w:val="24"/>
        </w:rPr>
        <w:t>o</w:t>
      </w:r>
      <w:r w:rsidR="00925043">
        <w:rPr>
          <w:sz w:val="24"/>
          <w:szCs w:val="24"/>
        </w:rPr>
        <w:t xml:space="preserve">s en dichas jurisdicciones. </w:t>
      </w:r>
      <w:r w:rsidR="00E772DA">
        <w:rPr>
          <w:sz w:val="24"/>
          <w:szCs w:val="24"/>
        </w:rPr>
        <w:t>El reconocimiento basado en el domicilio es sumamente</w:t>
      </w:r>
      <w:r w:rsidR="00CB290F">
        <w:rPr>
          <w:sz w:val="24"/>
          <w:szCs w:val="24"/>
        </w:rPr>
        <w:t xml:space="preserve"> restrictivo y las normas de reconocimiento restrictivo</w:t>
      </w:r>
      <w:r w:rsidR="006713F0">
        <w:rPr>
          <w:sz w:val="24"/>
          <w:szCs w:val="24"/>
        </w:rPr>
        <w:t xml:space="preserve"> </w:t>
      </w:r>
      <w:r w:rsidR="00CB290F">
        <w:rPr>
          <w:sz w:val="24"/>
          <w:szCs w:val="24"/>
        </w:rPr>
        <w:t xml:space="preserve">solo pueden </w:t>
      </w:r>
      <w:r w:rsidR="006713F0">
        <w:rPr>
          <w:sz w:val="24"/>
          <w:szCs w:val="24"/>
        </w:rPr>
        <w:t>justificarse</w:t>
      </w:r>
      <w:r w:rsidR="00032522">
        <w:rPr>
          <w:sz w:val="24"/>
          <w:szCs w:val="24"/>
        </w:rPr>
        <w:t xml:space="preserve"> en términos de una estrategia </w:t>
      </w:r>
      <w:r w:rsidR="0076454C">
        <w:rPr>
          <w:sz w:val="24"/>
          <w:szCs w:val="24"/>
        </w:rPr>
        <w:t xml:space="preserve">contra la </w:t>
      </w:r>
      <w:r w:rsidR="00032522">
        <w:rPr>
          <w:sz w:val="24"/>
          <w:szCs w:val="24"/>
        </w:rPr>
        <w:t xml:space="preserve">evasión, donde puede esperarse que la estrategia de reconocimiento evitará el foro de conveniencia. Tal y como se ha indicado con anterioridad, el reconocimiento basado en el domicilio era </w:t>
      </w:r>
      <w:r w:rsidR="00205451">
        <w:rPr>
          <w:sz w:val="24"/>
          <w:szCs w:val="24"/>
        </w:rPr>
        <w:t xml:space="preserve">defendible </w:t>
      </w:r>
      <w:r w:rsidR="00957A7A">
        <w:rPr>
          <w:sz w:val="24"/>
          <w:szCs w:val="24"/>
        </w:rPr>
        <w:t xml:space="preserve">en este contexto </w:t>
      </w:r>
      <w:r w:rsidR="00205451">
        <w:rPr>
          <w:sz w:val="24"/>
          <w:szCs w:val="24"/>
        </w:rPr>
        <w:t xml:space="preserve">en la era de indisolubilidad </w:t>
      </w:r>
      <w:r w:rsidR="007A21DD">
        <w:rPr>
          <w:sz w:val="24"/>
          <w:szCs w:val="24"/>
        </w:rPr>
        <w:t>nacional</w:t>
      </w:r>
      <w:r w:rsidR="00FE4359">
        <w:rPr>
          <w:sz w:val="24"/>
          <w:szCs w:val="24"/>
        </w:rPr>
        <w:t xml:space="preserve">. Incluso después de la introducción del divorcio </w:t>
      </w:r>
      <w:r w:rsidR="007A21DD">
        <w:rPr>
          <w:sz w:val="24"/>
          <w:szCs w:val="24"/>
        </w:rPr>
        <w:t>nacional</w:t>
      </w:r>
      <w:r w:rsidR="00FE4359">
        <w:rPr>
          <w:sz w:val="24"/>
          <w:szCs w:val="24"/>
        </w:rPr>
        <w:t xml:space="preserve">, </w:t>
      </w:r>
      <w:r w:rsidR="006D13C6">
        <w:rPr>
          <w:sz w:val="24"/>
          <w:szCs w:val="24"/>
        </w:rPr>
        <w:t>el estricto factor doméstico (que requería cuatro años de separación)</w:t>
      </w:r>
      <w:r w:rsidR="00283171">
        <w:rPr>
          <w:sz w:val="24"/>
          <w:szCs w:val="24"/>
        </w:rPr>
        <w:t xml:space="preserve"> significaba que el foro de convivencia y evasión continuaran siendo asuntos legítimos</w:t>
      </w:r>
      <w:r w:rsidR="00015687">
        <w:rPr>
          <w:sz w:val="24"/>
          <w:szCs w:val="24"/>
        </w:rPr>
        <w:t xml:space="preserve"> que podían abordarse de forma razonable recurriendo a leyes de reconocimiento relativamente estrictas.</w:t>
      </w:r>
      <w:r w:rsidR="00C92F15">
        <w:rPr>
          <w:sz w:val="24"/>
          <w:szCs w:val="24"/>
        </w:rPr>
        <w:t xml:space="preserve"> Sin embargo, Bruselas II </w:t>
      </w:r>
      <w:r w:rsidR="00C92F15" w:rsidRPr="00255E63">
        <w:rPr>
          <w:i/>
          <w:sz w:val="24"/>
          <w:szCs w:val="24"/>
        </w:rPr>
        <w:t>(bis)</w:t>
      </w:r>
      <w:r w:rsidR="00C92F15">
        <w:rPr>
          <w:sz w:val="24"/>
          <w:szCs w:val="24"/>
        </w:rPr>
        <w:t xml:space="preserve"> supuso una claudicación total en la batalla contra el foro de conveniencia.</w:t>
      </w:r>
      <w:r w:rsidR="005C17C9">
        <w:rPr>
          <w:sz w:val="24"/>
          <w:szCs w:val="24"/>
        </w:rPr>
        <w:t xml:space="preserve"> Con la </w:t>
      </w:r>
      <w:r w:rsidR="00784B21">
        <w:rPr>
          <w:sz w:val="24"/>
          <w:szCs w:val="24"/>
        </w:rPr>
        <w:t xml:space="preserve">aplicación de la norma, los divorcios ingleses gozaban de un reconocimiento automático; y, con la benevolencia relativa del “procedimiento especial” inglés para el divorcio, el camino </w:t>
      </w:r>
      <w:r w:rsidR="007A21DD">
        <w:rPr>
          <w:sz w:val="24"/>
          <w:szCs w:val="24"/>
        </w:rPr>
        <w:t>quedaba</w:t>
      </w:r>
      <w:r w:rsidR="00784B21">
        <w:rPr>
          <w:sz w:val="24"/>
          <w:szCs w:val="24"/>
        </w:rPr>
        <w:t xml:space="preserve"> pavimentado para el propósito de los esposos irlandeses </w:t>
      </w:r>
      <w:r w:rsidR="00145A6B">
        <w:rPr>
          <w:sz w:val="24"/>
          <w:szCs w:val="24"/>
        </w:rPr>
        <w:t xml:space="preserve">de </w:t>
      </w:r>
      <w:r w:rsidR="0085729E">
        <w:rPr>
          <w:sz w:val="24"/>
          <w:szCs w:val="24"/>
        </w:rPr>
        <w:t xml:space="preserve">eludir los </w:t>
      </w:r>
      <w:r w:rsidR="0085729E">
        <w:rPr>
          <w:sz w:val="24"/>
          <w:szCs w:val="24"/>
        </w:rPr>
        <w:lastRenderedPageBreak/>
        <w:t>requerimientos más estrictos del derecho nacional irlandés y conseguir que sus matrimonios se disolvieran en un plazo mucho más corto.</w:t>
      </w:r>
    </w:p>
    <w:p w:rsidR="00DD787F" w:rsidRDefault="00204EB0" w:rsidP="00EA4F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reconocer la preocupación respecto al foro de conveniencia de Bruselas II </w:t>
      </w:r>
      <w:r w:rsidRPr="003E0A03">
        <w:rPr>
          <w:i/>
          <w:sz w:val="24"/>
          <w:szCs w:val="24"/>
        </w:rPr>
        <w:t>bis</w:t>
      </w:r>
      <w:r>
        <w:rPr>
          <w:sz w:val="24"/>
          <w:szCs w:val="24"/>
        </w:rPr>
        <w:t>, con posterioridad</w:t>
      </w:r>
      <w:r w:rsidR="00A131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Comisión de la UE propuso la armonización de </w:t>
      </w:r>
      <w:r w:rsidR="001C58CE">
        <w:rPr>
          <w:sz w:val="24"/>
          <w:szCs w:val="24"/>
        </w:rPr>
        <w:t>la elección de la ley que precisaría que los tribunales de los Estados miembros aplicaran leyes de divorcio extranjeras</w:t>
      </w:r>
      <w:r w:rsidR="00A131F2">
        <w:rPr>
          <w:sz w:val="24"/>
          <w:szCs w:val="24"/>
        </w:rPr>
        <w:t>, de forma que una persona de foro de conveniencia</w:t>
      </w:r>
      <w:r w:rsidR="00330B5F">
        <w:rPr>
          <w:sz w:val="24"/>
          <w:szCs w:val="24"/>
        </w:rPr>
        <w:t xml:space="preserve"> a menudo se topara precisamente con la ley que deseaba eludir. Esta propuesta “Roma III” se topó con la oposición de los Estados miembros (incluida Irlanda y Reino Unido acostumbrados a la aplicación de la ley (de conveniencia) nacional en temas de divorcio, y </w:t>
      </w:r>
      <w:r w:rsidR="0070046C">
        <w:rPr>
          <w:sz w:val="24"/>
          <w:szCs w:val="24"/>
        </w:rPr>
        <w:t xml:space="preserve">finalmente la norma fue adoptada como una medida de “cooperación </w:t>
      </w:r>
      <w:r w:rsidR="00BB35B9">
        <w:rPr>
          <w:sz w:val="24"/>
          <w:szCs w:val="24"/>
        </w:rPr>
        <w:t xml:space="preserve">mejorada” (norma 1259/2010) </w:t>
      </w:r>
      <w:r w:rsidR="003E0A03">
        <w:rPr>
          <w:sz w:val="24"/>
          <w:szCs w:val="24"/>
        </w:rPr>
        <w:t>aceptada</w:t>
      </w:r>
      <w:r w:rsidR="00BB35B9">
        <w:rPr>
          <w:sz w:val="24"/>
          <w:szCs w:val="24"/>
        </w:rPr>
        <w:t xml:space="preserve"> solo por catorce Estados miembros. </w:t>
      </w:r>
      <w:r w:rsidR="008F630B">
        <w:rPr>
          <w:sz w:val="24"/>
          <w:szCs w:val="24"/>
        </w:rPr>
        <w:t xml:space="preserve">En unas circunstancias en las que Reino Unido no </w:t>
      </w:r>
      <w:r w:rsidR="00BE10D3">
        <w:rPr>
          <w:sz w:val="24"/>
          <w:szCs w:val="24"/>
        </w:rPr>
        <w:t xml:space="preserve">era </w:t>
      </w:r>
      <w:r w:rsidR="008F630B">
        <w:rPr>
          <w:sz w:val="24"/>
          <w:szCs w:val="24"/>
        </w:rPr>
        <w:t xml:space="preserve">participante, donde los Estados </w:t>
      </w:r>
      <w:r w:rsidR="00BE10D3">
        <w:rPr>
          <w:sz w:val="24"/>
          <w:szCs w:val="24"/>
        </w:rPr>
        <w:t xml:space="preserve">sí </w:t>
      </w:r>
      <w:r w:rsidR="008F630B">
        <w:rPr>
          <w:sz w:val="24"/>
          <w:szCs w:val="24"/>
        </w:rPr>
        <w:t>participantes eran aquellos ya comprometidos con la elección de ley en el divorcio, y donde los esposos podían en cualquier circunstancia acordar designar la ley del foro, resultaba evidente</w:t>
      </w:r>
      <w:r w:rsidR="00644B65">
        <w:rPr>
          <w:sz w:val="24"/>
          <w:szCs w:val="24"/>
        </w:rPr>
        <w:t xml:space="preserve"> desde el principio que la norma 1259/2010 tendría un impacto mínimo en el defensor del foro de conveniencia</w:t>
      </w:r>
      <w:r w:rsidR="00BE10D3">
        <w:rPr>
          <w:sz w:val="24"/>
          <w:szCs w:val="24"/>
        </w:rPr>
        <w:t xml:space="preserve"> irlandés.</w:t>
      </w:r>
    </w:p>
    <w:p w:rsidR="00211B99" w:rsidRDefault="00211B99" w:rsidP="00EA4F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lo tanto, desde la aplicación de Bruselas II </w:t>
      </w:r>
      <w:r w:rsidRPr="00BE10D3">
        <w:rPr>
          <w:i/>
          <w:sz w:val="24"/>
          <w:szCs w:val="24"/>
        </w:rPr>
        <w:t>(bis)</w:t>
      </w:r>
      <w:r>
        <w:rPr>
          <w:sz w:val="24"/>
          <w:szCs w:val="24"/>
        </w:rPr>
        <w:t xml:space="preserve"> y, </w:t>
      </w:r>
      <w:r w:rsidR="00DC071C">
        <w:rPr>
          <w:sz w:val="24"/>
          <w:szCs w:val="24"/>
        </w:rPr>
        <w:t xml:space="preserve">a pesar </w:t>
      </w:r>
      <w:r w:rsidR="00DF267B">
        <w:rPr>
          <w:sz w:val="24"/>
          <w:szCs w:val="24"/>
        </w:rPr>
        <w:t>de la adopción de la ley 1259</w:t>
      </w:r>
      <w:r w:rsidR="00D76095">
        <w:rPr>
          <w:sz w:val="24"/>
          <w:szCs w:val="24"/>
        </w:rPr>
        <w:t xml:space="preserve">/2010, no ha habido base racional alguna para el reconocimiento de </w:t>
      </w:r>
      <w:r w:rsidR="00183FD6">
        <w:rPr>
          <w:sz w:val="24"/>
          <w:szCs w:val="24"/>
        </w:rPr>
        <w:t>normas de divorcio más estrictas para Irlanda.</w:t>
      </w:r>
      <w:r w:rsidR="00250801">
        <w:rPr>
          <w:sz w:val="24"/>
          <w:szCs w:val="24"/>
        </w:rPr>
        <w:t xml:space="preserve"> Aquellos que desean aplicar el derecho de conveniencia pueden hacerlo con facilidad. </w:t>
      </w:r>
      <w:r w:rsidR="00914AF8">
        <w:rPr>
          <w:sz w:val="24"/>
          <w:szCs w:val="24"/>
        </w:rPr>
        <w:t>Con tal trasfondo, el continuo rechazo a reconocer (por ejemplo) los divorcios californianos o neozelandeses otorgados a irlandeses habitualmente residentes en dichas jurisdicciones debe considerarse una interferencia inaceptable y completamente arbitraria con el estatus marital, una reliquia de una era legal distinta que debería haber sido abolida por el Parlamento irlandés.</w:t>
      </w:r>
    </w:p>
    <w:p w:rsidR="00B05880" w:rsidRDefault="008F630B" w:rsidP="008F630B">
      <w:pPr>
        <w:tabs>
          <w:tab w:val="left" w:pos="4073"/>
        </w:tabs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ab/>
      </w:r>
    </w:p>
    <w:bookmarkEnd w:id="0"/>
    <w:p w:rsidR="003103D6" w:rsidRPr="00227BEF" w:rsidRDefault="003103D6" w:rsidP="00EA4F5C">
      <w:pPr>
        <w:jc w:val="both"/>
        <w:rPr>
          <w:sz w:val="24"/>
          <w:szCs w:val="24"/>
        </w:rPr>
      </w:pPr>
    </w:p>
    <w:p w:rsidR="00227BEF" w:rsidRPr="00227BEF" w:rsidRDefault="00227BEF" w:rsidP="00EA4F5C">
      <w:pPr>
        <w:jc w:val="both"/>
        <w:rPr>
          <w:sz w:val="24"/>
          <w:szCs w:val="24"/>
        </w:rPr>
      </w:pPr>
    </w:p>
    <w:p w:rsidR="00517727" w:rsidRDefault="00517727" w:rsidP="00EA4F5C">
      <w:pPr>
        <w:jc w:val="both"/>
        <w:rPr>
          <w:sz w:val="24"/>
          <w:szCs w:val="24"/>
        </w:rPr>
      </w:pPr>
    </w:p>
    <w:p w:rsidR="00F20DDC" w:rsidRPr="00EA4F5C" w:rsidRDefault="00F20DDC" w:rsidP="00EA4F5C">
      <w:pPr>
        <w:jc w:val="both"/>
        <w:rPr>
          <w:sz w:val="24"/>
          <w:szCs w:val="24"/>
        </w:rPr>
      </w:pPr>
    </w:p>
    <w:p w:rsidR="00971018" w:rsidRPr="00971018" w:rsidRDefault="00971018" w:rsidP="00971018">
      <w:pPr>
        <w:ind w:left="360"/>
        <w:jc w:val="both"/>
        <w:rPr>
          <w:sz w:val="24"/>
          <w:szCs w:val="24"/>
        </w:rPr>
      </w:pPr>
    </w:p>
    <w:p w:rsidR="00971018" w:rsidRPr="00971018" w:rsidRDefault="00971018" w:rsidP="00971018">
      <w:pPr>
        <w:ind w:left="360"/>
        <w:jc w:val="both"/>
        <w:rPr>
          <w:sz w:val="24"/>
          <w:szCs w:val="24"/>
        </w:rPr>
      </w:pPr>
    </w:p>
    <w:p w:rsidR="00E72EB1" w:rsidRDefault="00E72EB1" w:rsidP="005C3D34">
      <w:pPr>
        <w:jc w:val="both"/>
        <w:rPr>
          <w:sz w:val="24"/>
          <w:szCs w:val="24"/>
        </w:rPr>
      </w:pPr>
    </w:p>
    <w:p w:rsidR="002B4EB9" w:rsidRDefault="002B4EB9" w:rsidP="005C3D34">
      <w:pPr>
        <w:jc w:val="both"/>
        <w:rPr>
          <w:sz w:val="24"/>
          <w:szCs w:val="24"/>
        </w:rPr>
      </w:pPr>
    </w:p>
    <w:p w:rsidR="008A1360" w:rsidRPr="005C3D34" w:rsidRDefault="008A1360" w:rsidP="005C3D34">
      <w:pPr>
        <w:jc w:val="both"/>
        <w:rPr>
          <w:sz w:val="24"/>
          <w:szCs w:val="24"/>
        </w:rPr>
      </w:pPr>
    </w:p>
    <w:p w:rsidR="005C3D34" w:rsidRPr="005C3D34" w:rsidRDefault="005C3D34" w:rsidP="005C3D34">
      <w:pPr>
        <w:jc w:val="both"/>
        <w:rPr>
          <w:sz w:val="24"/>
          <w:szCs w:val="24"/>
        </w:rPr>
      </w:pPr>
    </w:p>
    <w:p w:rsidR="005C3D34" w:rsidRPr="005C3D34" w:rsidRDefault="005C3D34" w:rsidP="005C3D34">
      <w:pPr>
        <w:jc w:val="both"/>
        <w:rPr>
          <w:sz w:val="24"/>
          <w:szCs w:val="24"/>
        </w:rPr>
      </w:pPr>
    </w:p>
    <w:sectPr w:rsidR="005C3D34" w:rsidRPr="005C3D34" w:rsidSect="00AC57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04B3"/>
    <w:multiLevelType w:val="hybridMultilevel"/>
    <w:tmpl w:val="3588FA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E6629"/>
    <w:multiLevelType w:val="hybridMultilevel"/>
    <w:tmpl w:val="EFD8CA3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D"/>
    <w:rsid w:val="00015687"/>
    <w:rsid w:val="00027F87"/>
    <w:rsid w:val="00032522"/>
    <w:rsid w:val="00044356"/>
    <w:rsid w:val="0005091B"/>
    <w:rsid w:val="00067112"/>
    <w:rsid w:val="00086487"/>
    <w:rsid w:val="000D2184"/>
    <w:rsid w:val="000E5E23"/>
    <w:rsid w:val="00112C5B"/>
    <w:rsid w:val="001160A6"/>
    <w:rsid w:val="001228EC"/>
    <w:rsid w:val="00122D78"/>
    <w:rsid w:val="00137257"/>
    <w:rsid w:val="00145A6B"/>
    <w:rsid w:val="001475AE"/>
    <w:rsid w:val="00170458"/>
    <w:rsid w:val="00183FD6"/>
    <w:rsid w:val="001856E7"/>
    <w:rsid w:val="001A3DD4"/>
    <w:rsid w:val="001C58CE"/>
    <w:rsid w:val="00200528"/>
    <w:rsid w:val="00204EB0"/>
    <w:rsid w:val="00205451"/>
    <w:rsid w:val="0021038A"/>
    <w:rsid w:val="00211B99"/>
    <w:rsid w:val="002266A6"/>
    <w:rsid w:val="00227BEF"/>
    <w:rsid w:val="00242724"/>
    <w:rsid w:val="002442D8"/>
    <w:rsid w:val="00250801"/>
    <w:rsid w:val="0025397A"/>
    <w:rsid w:val="00255E63"/>
    <w:rsid w:val="0025694D"/>
    <w:rsid w:val="00267FBB"/>
    <w:rsid w:val="002734E9"/>
    <w:rsid w:val="00277F68"/>
    <w:rsid w:val="00283171"/>
    <w:rsid w:val="002A2ABD"/>
    <w:rsid w:val="002B4EB9"/>
    <w:rsid w:val="002D5B90"/>
    <w:rsid w:val="002E241B"/>
    <w:rsid w:val="003103D6"/>
    <w:rsid w:val="00330B5F"/>
    <w:rsid w:val="00347250"/>
    <w:rsid w:val="00350F42"/>
    <w:rsid w:val="003550D6"/>
    <w:rsid w:val="00366191"/>
    <w:rsid w:val="003C2EDD"/>
    <w:rsid w:val="003C3FD8"/>
    <w:rsid w:val="003C4FAF"/>
    <w:rsid w:val="003E0A03"/>
    <w:rsid w:val="0042689D"/>
    <w:rsid w:val="004368CD"/>
    <w:rsid w:val="00472237"/>
    <w:rsid w:val="00491B4A"/>
    <w:rsid w:val="00492BDB"/>
    <w:rsid w:val="0051701E"/>
    <w:rsid w:val="00517727"/>
    <w:rsid w:val="005440C8"/>
    <w:rsid w:val="0054453A"/>
    <w:rsid w:val="00571868"/>
    <w:rsid w:val="0058684A"/>
    <w:rsid w:val="00590695"/>
    <w:rsid w:val="005B5680"/>
    <w:rsid w:val="005C17C9"/>
    <w:rsid w:val="005C3D34"/>
    <w:rsid w:val="005D74EE"/>
    <w:rsid w:val="005F1AFE"/>
    <w:rsid w:val="00612B2F"/>
    <w:rsid w:val="00633C20"/>
    <w:rsid w:val="00644B65"/>
    <w:rsid w:val="0066738A"/>
    <w:rsid w:val="006713F0"/>
    <w:rsid w:val="006727AE"/>
    <w:rsid w:val="006750E0"/>
    <w:rsid w:val="00676AFC"/>
    <w:rsid w:val="00696543"/>
    <w:rsid w:val="00697A4C"/>
    <w:rsid w:val="006A6B97"/>
    <w:rsid w:val="006A73F8"/>
    <w:rsid w:val="006D13C6"/>
    <w:rsid w:val="006D6508"/>
    <w:rsid w:val="006F414F"/>
    <w:rsid w:val="0070046C"/>
    <w:rsid w:val="0070363B"/>
    <w:rsid w:val="00745878"/>
    <w:rsid w:val="00756E3F"/>
    <w:rsid w:val="0076454C"/>
    <w:rsid w:val="007726A5"/>
    <w:rsid w:val="00784B21"/>
    <w:rsid w:val="007966B6"/>
    <w:rsid w:val="007A21DD"/>
    <w:rsid w:val="007E5E74"/>
    <w:rsid w:val="007F28B5"/>
    <w:rsid w:val="007F33C0"/>
    <w:rsid w:val="007F7C64"/>
    <w:rsid w:val="00826125"/>
    <w:rsid w:val="0085729E"/>
    <w:rsid w:val="008808B4"/>
    <w:rsid w:val="00887B25"/>
    <w:rsid w:val="0089624A"/>
    <w:rsid w:val="008A1360"/>
    <w:rsid w:val="008D48AA"/>
    <w:rsid w:val="008F630B"/>
    <w:rsid w:val="00914AF8"/>
    <w:rsid w:val="00925043"/>
    <w:rsid w:val="00927A21"/>
    <w:rsid w:val="0094083F"/>
    <w:rsid w:val="00940CE2"/>
    <w:rsid w:val="0094538A"/>
    <w:rsid w:val="00945F7C"/>
    <w:rsid w:val="00946405"/>
    <w:rsid w:val="00957A7A"/>
    <w:rsid w:val="00971018"/>
    <w:rsid w:val="009814D4"/>
    <w:rsid w:val="009C1A9B"/>
    <w:rsid w:val="009C1E1F"/>
    <w:rsid w:val="009C2717"/>
    <w:rsid w:val="009C3442"/>
    <w:rsid w:val="009D0C9B"/>
    <w:rsid w:val="009D4DA0"/>
    <w:rsid w:val="009D5EFF"/>
    <w:rsid w:val="009E3E02"/>
    <w:rsid w:val="009F4AAC"/>
    <w:rsid w:val="00A04C9C"/>
    <w:rsid w:val="00A06A90"/>
    <w:rsid w:val="00A131F2"/>
    <w:rsid w:val="00A50B2B"/>
    <w:rsid w:val="00AB0CAD"/>
    <w:rsid w:val="00AB275F"/>
    <w:rsid w:val="00AC545E"/>
    <w:rsid w:val="00AC5793"/>
    <w:rsid w:val="00AD69C0"/>
    <w:rsid w:val="00AE1899"/>
    <w:rsid w:val="00AF2336"/>
    <w:rsid w:val="00B05880"/>
    <w:rsid w:val="00B10DFF"/>
    <w:rsid w:val="00B5247C"/>
    <w:rsid w:val="00B66636"/>
    <w:rsid w:val="00B73527"/>
    <w:rsid w:val="00B75DA9"/>
    <w:rsid w:val="00BA11F5"/>
    <w:rsid w:val="00BA16D7"/>
    <w:rsid w:val="00BB35B9"/>
    <w:rsid w:val="00BB5E8D"/>
    <w:rsid w:val="00BC5E4A"/>
    <w:rsid w:val="00BD4DC0"/>
    <w:rsid w:val="00BD72E7"/>
    <w:rsid w:val="00BE10D3"/>
    <w:rsid w:val="00BE5F87"/>
    <w:rsid w:val="00C13049"/>
    <w:rsid w:val="00C21AE6"/>
    <w:rsid w:val="00C30C70"/>
    <w:rsid w:val="00C34111"/>
    <w:rsid w:val="00C35687"/>
    <w:rsid w:val="00C74606"/>
    <w:rsid w:val="00C74A93"/>
    <w:rsid w:val="00C757F4"/>
    <w:rsid w:val="00C82D33"/>
    <w:rsid w:val="00C92F15"/>
    <w:rsid w:val="00C96A56"/>
    <w:rsid w:val="00CA2D52"/>
    <w:rsid w:val="00CB290F"/>
    <w:rsid w:val="00CB7F95"/>
    <w:rsid w:val="00CC2899"/>
    <w:rsid w:val="00CC7895"/>
    <w:rsid w:val="00CD237D"/>
    <w:rsid w:val="00CE0CF5"/>
    <w:rsid w:val="00CE52B9"/>
    <w:rsid w:val="00CF2E73"/>
    <w:rsid w:val="00D0696D"/>
    <w:rsid w:val="00D20D6C"/>
    <w:rsid w:val="00D261BA"/>
    <w:rsid w:val="00D31871"/>
    <w:rsid w:val="00D338D1"/>
    <w:rsid w:val="00D44955"/>
    <w:rsid w:val="00D50AD8"/>
    <w:rsid w:val="00D61389"/>
    <w:rsid w:val="00D704DA"/>
    <w:rsid w:val="00D76095"/>
    <w:rsid w:val="00DC071C"/>
    <w:rsid w:val="00DC20B3"/>
    <w:rsid w:val="00DD787F"/>
    <w:rsid w:val="00DF267B"/>
    <w:rsid w:val="00DF6620"/>
    <w:rsid w:val="00E15B24"/>
    <w:rsid w:val="00E505C9"/>
    <w:rsid w:val="00E72EB1"/>
    <w:rsid w:val="00E772DA"/>
    <w:rsid w:val="00E8254F"/>
    <w:rsid w:val="00E87235"/>
    <w:rsid w:val="00E958D8"/>
    <w:rsid w:val="00E97173"/>
    <w:rsid w:val="00EA4F5C"/>
    <w:rsid w:val="00EB273B"/>
    <w:rsid w:val="00EC5494"/>
    <w:rsid w:val="00F170EE"/>
    <w:rsid w:val="00F20DDC"/>
    <w:rsid w:val="00F43E0F"/>
    <w:rsid w:val="00F53BAC"/>
    <w:rsid w:val="00F77218"/>
    <w:rsid w:val="00FD7048"/>
    <w:rsid w:val="00FE4359"/>
    <w:rsid w:val="00FF1B67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D6B6"/>
  <w15:chartTrackingRefBased/>
  <w15:docId w15:val="{C252D612-00D5-40B8-8F04-C09A535C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2007</Words>
  <Characters>11039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Garcia</dc:creator>
  <cp:keywords/>
  <dc:description/>
  <cp:lastModifiedBy>Paloma Garcia</cp:lastModifiedBy>
  <cp:revision>48</cp:revision>
  <dcterms:created xsi:type="dcterms:W3CDTF">2018-11-20T14:00:00Z</dcterms:created>
  <dcterms:modified xsi:type="dcterms:W3CDTF">2018-11-21T15:17:00Z</dcterms:modified>
</cp:coreProperties>
</file>