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91C" w:rsidRPr="0075000E" w:rsidRDefault="00DE1043" w:rsidP="00DE1043">
      <w:pPr>
        <w:spacing w:line="360" w:lineRule="auto"/>
        <w:jc w:val="center"/>
        <w:rPr>
          <w:rFonts w:ascii="David" w:hAnsi="David" w:cs="David"/>
          <w:b/>
          <w:bCs/>
          <w:u w:val="single"/>
          <w:rtl/>
        </w:rPr>
      </w:pPr>
      <w:r w:rsidRPr="0075000E">
        <w:rPr>
          <w:rFonts w:ascii="David" w:hAnsi="David" w:cs="David"/>
          <w:b/>
          <w:bCs/>
          <w:u w:val="single"/>
          <w:rtl/>
        </w:rPr>
        <w:t>חוק הסוטה</w:t>
      </w:r>
      <w:r>
        <w:rPr>
          <w:rFonts w:ascii="David" w:hAnsi="David" w:cs="David" w:hint="cs"/>
          <w:b/>
          <w:bCs/>
          <w:u w:val="single"/>
          <w:rtl/>
        </w:rPr>
        <w:t xml:space="preserve"> ו</w:t>
      </w:r>
      <w:r w:rsidR="00C0741E">
        <w:rPr>
          <w:rFonts w:ascii="David" w:hAnsi="David" w:cs="David" w:hint="cs"/>
          <w:b/>
          <w:bCs/>
          <w:u w:val="single"/>
          <w:rtl/>
        </w:rPr>
        <w:t>כוס התרעלה</w:t>
      </w:r>
      <w:r w:rsidR="00045A3E">
        <w:rPr>
          <w:rFonts w:ascii="David" w:hAnsi="David" w:cs="David" w:hint="cs"/>
          <w:b/>
          <w:bCs/>
          <w:u w:val="single"/>
          <w:rtl/>
        </w:rPr>
        <w:t xml:space="preserve">: בין החוק </w:t>
      </w:r>
      <w:r>
        <w:rPr>
          <w:rFonts w:ascii="David" w:hAnsi="David" w:cs="David" w:hint="cs"/>
          <w:b/>
          <w:bCs/>
          <w:u w:val="single"/>
          <w:rtl/>
        </w:rPr>
        <w:t xml:space="preserve">הסובסטנטיבי לחוק </w:t>
      </w:r>
      <w:r w:rsidR="00C0741E">
        <w:rPr>
          <w:rFonts w:ascii="David" w:hAnsi="David" w:cs="David" w:hint="cs"/>
          <w:b/>
          <w:bCs/>
          <w:u w:val="single"/>
          <w:rtl/>
        </w:rPr>
        <w:t>האדג</w:t>
      </w:r>
      <w:r w:rsidR="00D87F6F">
        <w:rPr>
          <w:rFonts w:ascii="David" w:hAnsi="David" w:cs="David"/>
          <w:b/>
          <w:bCs/>
          <w:u w:val="single"/>
          <w:rtl/>
        </w:rPr>
        <w:t>’</w:t>
      </w:r>
      <w:r w:rsidR="00C0741E">
        <w:rPr>
          <w:rFonts w:ascii="David" w:hAnsi="David" w:cs="David" w:hint="cs"/>
          <w:b/>
          <w:bCs/>
          <w:u w:val="single"/>
          <w:rtl/>
        </w:rPr>
        <w:t xml:space="preserve">קטיבי </w:t>
      </w:r>
    </w:p>
    <w:p w:rsidR="00C0741E" w:rsidRDefault="00C0741E" w:rsidP="004E54E7">
      <w:pPr>
        <w:spacing w:line="360" w:lineRule="auto"/>
        <w:jc w:val="both"/>
        <w:rPr>
          <w:rFonts w:ascii="David" w:hAnsi="David" w:cs="David"/>
          <w:rtl/>
        </w:rPr>
      </w:pPr>
    </w:p>
    <w:p w:rsidR="00CC52E3" w:rsidRPr="00740E82" w:rsidRDefault="00740E82" w:rsidP="00740E82">
      <w:pPr>
        <w:numPr>
          <w:ilvl w:val="0"/>
          <w:numId w:val="31"/>
        </w:numPr>
        <w:spacing w:line="360" w:lineRule="auto"/>
        <w:rPr>
          <w:rFonts w:cs="David"/>
          <w:b/>
          <w:bCs/>
          <w:rtl/>
        </w:rPr>
      </w:pPr>
      <w:r w:rsidRPr="00740E82">
        <w:rPr>
          <w:rFonts w:cs="David" w:hint="cs"/>
          <w:b/>
          <w:bCs/>
          <w:rtl/>
        </w:rPr>
        <w:t>מבוא</w:t>
      </w:r>
    </w:p>
    <w:p w:rsidR="00172408" w:rsidRDefault="00D351CA" w:rsidP="00B723AF">
      <w:pPr>
        <w:spacing w:line="360" w:lineRule="auto"/>
        <w:jc w:val="both"/>
        <w:rPr>
          <w:rFonts w:ascii="David" w:hAnsi="David" w:cs="David"/>
          <w:rtl/>
        </w:rPr>
      </w:pPr>
      <w:r w:rsidRPr="0075000E">
        <w:rPr>
          <w:rFonts w:ascii="David" w:hAnsi="David" w:cs="David"/>
          <w:rtl/>
        </w:rPr>
        <w:t xml:space="preserve">עיקר העיסוק </w:t>
      </w:r>
      <w:r w:rsidR="00D90291" w:rsidRPr="0075000E">
        <w:rPr>
          <w:rFonts w:ascii="David" w:hAnsi="David" w:cs="David"/>
          <w:rtl/>
        </w:rPr>
        <w:t xml:space="preserve">המחקרי </w:t>
      </w:r>
      <w:r w:rsidR="008267B5">
        <w:rPr>
          <w:rFonts w:ascii="David" w:hAnsi="David" w:cs="David"/>
          <w:rtl/>
        </w:rPr>
        <w:t>ב</w:t>
      </w:r>
      <w:r w:rsidR="00E500B2">
        <w:rPr>
          <w:rFonts w:ascii="David" w:hAnsi="David" w:cs="David" w:hint="cs"/>
          <w:rtl/>
        </w:rPr>
        <w:t>חוק</w:t>
      </w:r>
      <w:r w:rsidR="008267B5">
        <w:rPr>
          <w:rFonts w:ascii="David" w:hAnsi="David" w:cs="David"/>
          <w:rtl/>
        </w:rPr>
        <w:t xml:space="preserve"> הסוטה</w:t>
      </w:r>
      <w:r w:rsidR="008267B5">
        <w:rPr>
          <w:rFonts w:ascii="David" w:hAnsi="David" w:cs="David" w:hint="cs"/>
          <w:rtl/>
        </w:rPr>
        <w:t xml:space="preserve"> </w:t>
      </w:r>
      <w:r w:rsidR="008F5BB7" w:rsidRPr="0075000E">
        <w:rPr>
          <w:rFonts w:ascii="David" w:hAnsi="David" w:cs="David"/>
          <w:rtl/>
        </w:rPr>
        <w:t>הוקדש ל</w:t>
      </w:r>
      <w:r w:rsidRPr="0075000E">
        <w:rPr>
          <w:rFonts w:ascii="David" w:hAnsi="David" w:cs="David"/>
          <w:rtl/>
        </w:rPr>
        <w:t>שאלת אחידותו של הטקסט</w:t>
      </w:r>
      <w:r w:rsidR="008F5BB7" w:rsidRPr="0075000E">
        <w:rPr>
          <w:rFonts w:ascii="David" w:hAnsi="David" w:cs="David"/>
          <w:rtl/>
        </w:rPr>
        <w:t>, שאלה שנובעת מהחזרות והכפילוי</w:t>
      </w:r>
      <w:r w:rsidR="00E500B2">
        <w:rPr>
          <w:rFonts w:ascii="David" w:hAnsi="David" w:cs="David"/>
          <w:rtl/>
        </w:rPr>
        <w:t>ות המרובות המופיעות לאורך הפרשה</w:t>
      </w:r>
      <w:r w:rsidR="00E500B2" w:rsidRPr="00E500B2">
        <w:rPr>
          <w:rFonts w:ascii="David" w:hAnsi="David" w:cs="David"/>
          <w:rtl/>
        </w:rPr>
        <w:t xml:space="preserve"> </w:t>
      </w:r>
      <w:r w:rsidR="00E500B2" w:rsidRPr="008267B5">
        <w:rPr>
          <w:rFonts w:ascii="David" w:hAnsi="David" w:cs="David"/>
          <w:rtl/>
        </w:rPr>
        <w:t>(במ</w:t>
      </w:r>
      <w:r w:rsidR="00D87F6F">
        <w:rPr>
          <w:rFonts w:ascii="David" w:hAnsi="David" w:cs="David"/>
          <w:rtl/>
        </w:rPr>
        <w:t>’</w:t>
      </w:r>
      <w:r w:rsidR="00E500B2" w:rsidRPr="008267B5">
        <w:rPr>
          <w:rFonts w:ascii="David" w:hAnsi="David" w:cs="David"/>
          <w:rtl/>
        </w:rPr>
        <w:t xml:space="preserve"> ה, יא-לא)</w:t>
      </w:r>
      <w:r w:rsidR="00E500B2">
        <w:rPr>
          <w:rFonts w:ascii="David" w:hAnsi="David" w:cs="David" w:hint="cs"/>
          <w:rtl/>
        </w:rPr>
        <w:t>.</w:t>
      </w:r>
      <w:r w:rsidR="008F5BB7" w:rsidRPr="0075000E">
        <w:rPr>
          <w:rFonts w:ascii="David" w:hAnsi="David" w:cs="David"/>
          <w:rtl/>
        </w:rPr>
        <w:t xml:space="preserve"> דיון טקסטואלי נרחב וחשוב זה </w:t>
      </w:r>
      <w:r w:rsidR="00B86631">
        <w:rPr>
          <w:rFonts w:ascii="David" w:hAnsi="David" w:cs="David" w:hint="cs"/>
          <w:rtl/>
        </w:rPr>
        <w:t xml:space="preserve">אף </w:t>
      </w:r>
      <w:r w:rsidR="008F5BB7" w:rsidRPr="0075000E">
        <w:rPr>
          <w:rFonts w:ascii="David" w:hAnsi="David" w:cs="David"/>
          <w:rtl/>
        </w:rPr>
        <w:t xml:space="preserve">האפיל </w:t>
      </w:r>
      <w:r w:rsidR="00403664">
        <w:rPr>
          <w:rFonts w:ascii="David" w:hAnsi="David" w:cs="David" w:hint="cs"/>
          <w:rtl/>
        </w:rPr>
        <w:t xml:space="preserve">מעט </w:t>
      </w:r>
      <w:r w:rsidR="008F5BB7" w:rsidRPr="0075000E">
        <w:rPr>
          <w:rFonts w:ascii="David" w:hAnsi="David" w:cs="David"/>
          <w:rtl/>
        </w:rPr>
        <w:t>על בירורן של ה</w:t>
      </w:r>
      <w:r w:rsidR="007959EF" w:rsidRPr="0075000E">
        <w:rPr>
          <w:rFonts w:ascii="David" w:hAnsi="David" w:cs="David"/>
          <w:rtl/>
        </w:rPr>
        <w:t>סוגיות</w:t>
      </w:r>
      <w:r w:rsidR="008F5BB7" w:rsidRPr="0075000E">
        <w:rPr>
          <w:rFonts w:ascii="David" w:hAnsi="David" w:cs="David"/>
          <w:rtl/>
        </w:rPr>
        <w:t xml:space="preserve"> היסודיות ביותר הקשורות להבנת</w:t>
      </w:r>
      <w:r w:rsidR="007959EF" w:rsidRPr="0075000E">
        <w:rPr>
          <w:rFonts w:ascii="David" w:hAnsi="David" w:cs="David"/>
          <w:rtl/>
        </w:rPr>
        <w:t xml:space="preserve">ו של המקרה השיפוטי שבו החוק עוסק ושל ההליך הייחודי המתואר בו. סוגיות </w:t>
      </w:r>
      <w:r w:rsidR="001B522A" w:rsidRPr="0075000E">
        <w:rPr>
          <w:rFonts w:ascii="David" w:hAnsi="David" w:cs="David"/>
          <w:rtl/>
        </w:rPr>
        <w:t xml:space="preserve">יסודיות </w:t>
      </w:r>
      <w:r w:rsidR="007959EF" w:rsidRPr="0075000E">
        <w:rPr>
          <w:rFonts w:ascii="David" w:hAnsi="David" w:cs="David"/>
          <w:rtl/>
        </w:rPr>
        <w:t>אלו</w:t>
      </w:r>
      <w:r w:rsidR="0081544F" w:rsidRPr="0075000E">
        <w:rPr>
          <w:rFonts w:ascii="David" w:hAnsi="David" w:cs="David"/>
          <w:rtl/>
        </w:rPr>
        <w:t xml:space="preserve"> מעוררות קשיים </w:t>
      </w:r>
      <w:r w:rsidR="00172408">
        <w:rPr>
          <w:rFonts w:ascii="David" w:hAnsi="David" w:cs="David" w:hint="cs"/>
          <w:rtl/>
        </w:rPr>
        <w:t>שנובעים בראש וראשונה מתוך בחינת</w:t>
      </w:r>
      <w:r w:rsidR="00D647B9">
        <w:rPr>
          <w:rFonts w:ascii="David" w:hAnsi="David" w:cs="David"/>
          <w:rtl/>
        </w:rPr>
        <w:t xml:space="preserve"> החוק </w:t>
      </w:r>
      <w:r w:rsidR="00172408">
        <w:rPr>
          <w:rFonts w:ascii="David" w:hAnsi="David" w:cs="David" w:hint="cs"/>
          <w:rtl/>
        </w:rPr>
        <w:t>לאור ה</w:t>
      </w:r>
      <w:r w:rsidR="0081544F" w:rsidRPr="0075000E">
        <w:rPr>
          <w:rFonts w:ascii="David" w:hAnsi="David" w:cs="David"/>
          <w:rtl/>
        </w:rPr>
        <w:t xml:space="preserve">עקרונות </w:t>
      </w:r>
      <w:r w:rsidR="00172408">
        <w:rPr>
          <w:rFonts w:ascii="David" w:hAnsi="David" w:cs="David" w:hint="cs"/>
          <w:rtl/>
        </w:rPr>
        <w:t>ה</w:t>
      </w:r>
      <w:r w:rsidR="0081544F" w:rsidRPr="0075000E">
        <w:rPr>
          <w:rFonts w:ascii="David" w:hAnsi="David" w:cs="David"/>
          <w:rtl/>
        </w:rPr>
        <w:t xml:space="preserve">משפטיים המשתקפים בחוקים </w:t>
      </w:r>
      <w:r w:rsidR="00734D0E">
        <w:rPr>
          <w:rFonts w:ascii="David" w:hAnsi="David" w:cs="David" w:hint="cs"/>
          <w:rtl/>
        </w:rPr>
        <w:t>מקבילים</w:t>
      </w:r>
      <w:r w:rsidR="0081544F" w:rsidRPr="0075000E">
        <w:rPr>
          <w:rFonts w:ascii="David" w:hAnsi="David" w:cs="David"/>
          <w:rtl/>
        </w:rPr>
        <w:t xml:space="preserve"> ב</w:t>
      </w:r>
      <w:r w:rsidR="00BE633F">
        <w:rPr>
          <w:rFonts w:ascii="David" w:hAnsi="David" w:cs="David" w:hint="cs"/>
          <w:rtl/>
        </w:rPr>
        <w:t>חומש</w:t>
      </w:r>
      <w:r w:rsidR="00B723AF">
        <w:rPr>
          <w:rFonts w:ascii="David" w:hAnsi="David" w:cs="David" w:hint="cs"/>
          <w:rtl/>
        </w:rPr>
        <w:t xml:space="preserve"> והן</w:t>
      </w:r>
      <w:r w:rsidR="00B86631">
        <w:rPr>
          <w:rFonts w:ascii="David" w:hAnsi="David" w:cs="David" w:hint="cs"/>
          <w:rtl/>
        </w:rPr>
        <w:t xml:space="preserve"> </w:t>
      </w:r>
      <w:r w:rsidR="00B723AF">
        <w:rPr>
          <w:rFonts w:ascii="David" w:hAnsi="David" w:cs="David" w:hint="cs"/>
          <w:rtl/>
        </w:rPr>
        <w:t>תעמודנה</w:t>
      </w:r>
      <w:r w:rsidR="00B86631">
        <w:rPr>
          <w:rFonts w:ascii="David" w:hAnsi="David" w:cs="David" w:hint="cs"/>
          <w:rtl/>
        </w:rPr>
        <w:t xml:space="preserve"> במרכזו של מאמר זה</w:t>
      </w:r>
      <w:r w:rsidR="0081544F" w:rsidRPr="0075000E">
        <w:rPr>
          <w:rFonts w:ascii="David" w:hAnsi="David" w:cs="David"/>
          <w:rtl/>
        </w:rPr>
        <w:t>.</w:t>
      </w:r>
      <w:r w:rsidR="00403664">
        <w:rPr>
          <w:rStyle w:val="FootnoteReference"/>
          <w:rFonts w:cs="David"/>
          <w:rtl/>
        </w:rPr>
        <w:footnoteReference w:id="1"/>
      </w:r>
    </w:p>
    <w:p w:rsidR="001C648F" w:rsidRDefault="00172408" w:rsidP="001C648F">
      <w:pPr>
        <w:spacing w:line="360" w:lineRule="auto"/>
        <w:jc w:val="both"/>
        <w:rPr>
          <w:rFonts w:ascii="David" w:hAnsi="David" w:cs="David"/>
          <w:rtl/>
        </w:rPr>
      </w:pPr>
      <w:r>
        <w:rPr>
          <w:rFonts w:ascii="David" w:hAnsi="David" w:cs="David" w:hint="cs"/>
          <w:rtl/>
        </w:rPr>
        <w:t>במסגרת המאמר אציג את הקשיים ואתן להם מענה שיושתת על טענתו של לודוויג קהלר בנוגע ל</w:t>
      </w:r>
      <w:r w:rsidR="00D4791C">
        <w:rPr>
          <w:rFonts w:cs="David" w:hint="cs"/>
          <w:rtl/>
        </w:rPr>
        <w:t>חשיבותם של טקסטי</w:t>
      </w:r>
      <w:r w:rsidR="00734D0E">
        <w:rPr>
          <w:rFonts w:cs="David" w:hint="cs"/>
          <w:rtl/>
        </w:rPr>
        <w:t xml:space="preserve">ם שאינם משפטיים להבנת החוק שנהג </w:t>
      </w:r>
      <w:r w:rsidR="00D4791C">
        <w:rPr>
          <w:rFonts w:cs="David" w:hint="cs"/>
          <w:rtl/>
        </w:rPr>
        <w:t xml:space="preserve">בתקופת המקרא. קהלר חשף את חוק הפשטת האישה הנואפת והצגתה בפני הקהל, חוק שאינו מוזכר בקבצי החוקים במקרא, מתוך עיון בנבואות שונות כדוגמת נבואתו של הושע: </w:t>
      </w:r>
      <w:r w:rsidR="00D87F6F">
        <w:rPr>
          <w:rFonts w:cs="David"/>
          <w:rtl/>
        </w:rPr>
        <w:t>“</w:t>
      </w:r>
      <w:r w:rsidR="00D4791C">
        <w:rPr>
          <w:rFonts w:cs="David" w:hint="cs"/>
          <w:rtl/>
        </w:rPr>
        <w:t>פן אפשיטנה ערמה והצגתיה כיום הולדה</w:t>
      </w:r>
      <w:r w:rsidR="00D87F6F">
        <w:rPr>
          <w:rFonts w:cs="David"/>
          <w:rtl/>
        </w:rPr>
        <w:t>”</w:t>
      </w:r>
      <w:r w:rsidR="00D4791C">
        <w:rPr>
          <w:rFonts w:cs="David" w:hint="cs"/>
          <w:rtl/>
        </w:rPr>
        <w:t xml:space="preserve"> (ב, ה).</w:t>
      </w:r>
      <w:r w:rsidR="00D4791C">
        <w:rPr>
          <w:rStyle w:val="FootnoteReference"/>
          <w:rFonts w:cs="David"/>
          <w:rtl/>
        </w:rPr>
        <w:footnoteReference w:id="2"/>
      </w:r>
      <w:r w:rsidR="00D4791C">
        <w:rPr>
          <w:rFonts w:cs="David" w:hint="cs"/>
          <w:rtl/>
        </w:rPr>
        <w:t xml:space="preserve"> ההבחנה בין החוק האדג</w:t>
      </w:r>
      <w:r w:rsidR="00D87F6F">
        <w:rPr>
          <w:rFonts w:cs="David"/>
          <w:rtl/>
        </w:rPr>
        <w:t>’</w:t>
      </w:r>
      <w:r w:rsidR="00D4791C">
        <w:rPr>
          <w:rFonts w:cs="David" w:hint="cs"/>
          <w:rtl/>
        </w:rPr>
        <w:t xml:space="preserve">קטיבי, החוק המשתקף מתוך טקסטים שאינם משפטיים, לבין החוק הסובסטנטיבי, החוק הרשמי המופיע במסגרת קבצי החוקים במקרא, </w:t>
      </w:r>
      <w:r w:rsidR="00BE633F">
        <w:rPr>
          <w:rFonts w:cs="David" w:hint="cs"/>
          <w:rtl/>
        </w:rPr>
        <w:t xml:space="preserve">מהווה מאז קהלר </w:t>
      </w:r>
      <w:r w:rsidR="00D4791C">
        <w:rPr>
          <w:rFonts w:cs="David" w:hint="cs"/>
          <w:rtl/>
        </w:rPr>
        <w:t>אבן יסוד בהבנת הנורמות והמנהגים שהתקיימו בפועל בחיי היומיום בתקופת המקרא.</w:t>
      </w:r>
      <w:r w:rsidR="00D4791C">
        <w:rPr>
          <w:rStyle w:val="FootnoteReference"/>
          <w:rFonts w:cs="David"/>
          <w:rtl/>
        </w:rPr>
        <w:footnoteReference w:id="3"/>
      </w:r>
      <w:r w:rsidR="00D4791C">
        <w:rPr>
          <w:rFonts w:cs="David" w:hint="cs"/>
          <w:rtl/>
        </w:rPr>
        <w:t xml:space="preserve"> </w:t>
      </w:r>
      <w:r>
        <w:rPr>
          <w:rFonts w:cs="David" w:hint="cs"/>
          <w:rtl/>
        </w:rPr>
        <w:t>לצורך הבנת חוק הסוטה</w:t>
      </w:r>
      <w:r w:rsidR="00BE5B3E">
        <w:rPr>
          <w:rFonts w:cs="David" w:hint="cs"/>
          <w:rtl/>
        </w:rPr>
        <w:t xml:space="preserve"> </w:t>
      </w:r>
      <w:r w:rsidR="00A92A46">
        <w:rPr>
          <w:rFonts w:cs="David" w:hint="cs"/>
          <w:rtl/>
        </w:rPr>
        <w:t>א</w:t>
      </w:r>
      <w:r w:rsidR="00BE5B3E">
        <w:rPr>
          <w:rFonts w:cs="David" w:hint="cs"/>
          <w:rtl/>
        </w:rPr>
        <w:t>בחן</w:t>
      </w:r>
      <w:r w:rsidR="000D55A0">
        <w:rPr>
          <w:rFonts w:cs="David" w:hint="cs"/>
          <w:rtl/>
        </w:rPr>
        <w:t xml:space="preserve"> טקסטים מספרות הנבואה, מספרות החוכמה ומהספרות המזמורית שעוסקים בדימוי כוס התרעלה.</w:t>
      </w:r>
      <w:r w:rsidR="000D55A0">
        <w:rPr>
          <w:rStyle w:val="FootnoteReference"/>
          <w:rFonts w:cs="David"/>
          <w:rtl/>
        </w:rPr>
        <w:footnoteReference w:id="4"/>
      </w:r>
      <w:r w:rsidR="00933041">
        <w:rPr>
          <w:rFonts w:cs="David" w:hint="cs"/>
          <w:rtl/>
        </w:rPr>
        <w:t xml:space="preserve"> הדיון </w:t>
      </w:r>
      <w:r w:rsidR="000D55A0">
        <w:rPr>
          <w:rFonts w:cs="David" w:hint="cs"/>
          <w:rtl/>
        </w:rPr>
        <w:t xml:space="preserve">בטקסטים </w:t>
      </w:r>
      <w:r w:rsidR="009501CA">
        <w:rPr>
          <w:rFonts w:cs="David" w:hint="cs"/>
          <w:rtl/>
        </w:rPr>
        <w:t>ה</w:t>
      </w:r>
      <w:r w:rsidR="000D55A0">
        <w:rPr>
          <w:rFonts w:cs="David" w:hint="cs"/>
          <w:rtl/>
        </w:rPr>
        <w:t>אלו,</w:t>
      </w:r>
      <w:r w:rsidR="00E05B65">
        <w:rPr>
          <w:rFonts w:cs="David" w:hint="cs"/>
          <w:rtl/>
        </w:rPr>
        <w:t xml:space="preserve"> שאחדים </w:t>
      </w:r>
      <w:r w:rsidR="009C3578">
        <w:rPr>
          <w:rFonts w:cs="David" w:hint="cs"/>
          <w:rtl/>
        </w:rPr>
        <w:t>נבחנו</w:t>
      </w:r>
      <w:r w:rsidR="00E05B65">
        <w:rPr>
          <w:rFonts w:cs="David" w:hint="cs"/>
          <w:rtl/>
        </w:rPr>
        <w:t xml:space="preserve"> </w:t>
      </w:r>
      <w:r w:rsidR="00A92A46">
        <w:rPr>
          <w:rFonts w:cs="David" w:hint="cs"/>
          <w:rtl/>
        </w:rPr>
        <w:t xml:space="preserve">כבר </w:t>
      </w:r>
      <w:r w:rsidR="00E05B65">
        <w:rPr>
          <w:rFonts w:cs="David" w:hint="cs"/>
          <w:rtl/>
        </w:rPr>
        <w:t xml:space="preserve">בעבר בהקשר לחוק הסוטה ואחרים עדיין לא, </w:t>
      </w:r>
      <w:r w:rsidR="000D55A0">
        <w:rPr>
          <w:rFonts w:cs="David" w:hint="cs"/>
          <w:rtl/>
        </w:rPr>
        <w:t>יוביל לזיהוי</w:t>
      </w:r>
      <w:r w:rsidR="006A7208">
        <w:rPr>
          <w:rFonts w:ascii="David" w:hAnsi="David" w:cs="David" w:hint="cs"/>
          <w:rtl/>
        </w:rPr>
        <w:t xml:space="preserve"> </w:t>
      </w:r>
      <w:r w:rsidR="00933041">
        <w:rPr>
          <w:rFonts w:ascii="David" w:hAnsi="David" w:cs="David" w:hint="cs"/>
          <w:rtl/>
        </w:rPr>
        <w:t>האופן שבו נהגו בפועל</w:t>
      </w:r>
      <w:r w:rsidR="00417683" w:rsidRPr="0075000E">
        <w:rPr>
          <w:rFonts w:ascii="David" w:hAnsi="David" w:cs="David"/>
          <w:rtl/>
        </w:rPr>
        <w:t xml:space="preserve"> ב</w:t>
      </w:r>
      <w:r w:rsidR="009501CA">
        <w:rPr>
          <w:rFonts w:ascii="David" w:hAnsi="David" w:cs="David" w:hint="cs"/>
          <w:rtl/>
        </w:rPr>
        <w:t xml:space="preserve">מקרה של </w:t>
      </w:r>
      <w:r w:rsidR="009501CA">
        <w:rPr>
          <w:rFonts w:ascii="David" w:hAnsi="David" w:cs="David"/>
          <w:rtl/>
        </w:rPr>
        <w:t xml:space="preserve">אישה </w:t>
      </w:r>
      <w:r w:rsidR="00417683" w:rsidRPr="0075000E">
        <w:rPr>
          <w:rFonts w:ascii="David" w:hAnsi="David" w:cs="David"/>
          <w:rtl/>
        </w:rPr>
        <w:t>נואפת</w:t>
      </w:r>
      <w:r w:rsidR="00BE5B3E">
        <w:rPr>
          <w:rFonts w:ascii="David" w:hAnsi="David" w:cs="David" w:hint="cs"/>
          <w:rtl/>
        </w:rPr>
        <w:t>.</w:t>
      </w:r>
      <w:r w:rsidR="000D55A0">
        <w:rPr>
          <w:rFonts w:ascii="David" w:hAnsi="David" w:cs="David" w:hint="cs"/>
          <w:rtl/>
        </w:rPr>
        <w:t xml:space="preserve"> זיהוי זה</w:t>
      </w:r>
      <w:r w:rsidR="00BE5B3E">
        <w:rPr>
          <w:rFonts w:ascii="David" w:hAnsi="David" w:cs="David" w:hint="cs"/>
          <w:rtl/>
        </w:rPr>
        <w:t xml:space="preserve"> </w:t>
      </w:r>
      <w:r w:rsidR="000D55A0">
        <w:rPr>
          <w:rFonts w:ascii="David" w:hAnsi="David" w:cs="David" w:hint="cs"/>
          <w:rtl/>
        </w:rPr>
        <w:t>יבהיר את ההקשר הרחב ש</w:t>
      </w:r>
      <w:r w:rsidR="00933041">
        <w:rPr>
          <w:rFonts w:ascii="David" w:hAnsi="David" w:cs="David" w:hint="cs"/>
          <w:rtl/>
        </w:rPr>
        <w:t>בתוכו נוצר חוק הסוטה</w:t>
      </w:r>
      <w:r w:rsidR="001C648F">
        <w:rPr>
          <w:rFonts w:ascii="David" w:hAnsi="David" w:cs="David" w:hint="cs"/>
          <w:rtl/>
        </w:rPr>
        <w:t>.</w:t>
      </w:r>
      <w:r w:rsidR="001C648F">
        <w:rPr>
          <w:rStyle w:val="FootnoteReference"/>
          <w:rFonts w:cs="David"/>
          <w:rtl/>
        </w:rPr>
        <w:footnoteReference w:id="5"/>
      </w:r>
      <w:r w:rsidR="001C648F">
        <w:rPr>
          <w:rFonts w:ascii="David" w:hAnsi="David" w:cs="David" w:hint="cs"/>
          <w:rtl/>
        </w:rPr>
        <w:t xml:space="preserve"> הבנה זו תי</w:t>
      </w:r>
      <w:r w:rsidR="000D55A0">
        <w:rPr>
          <w:rFonts w:ascii="David" w:hAnsi="David" w:cs="David" w:hint="cs"/>
          <w:rtl/>
        </w:rPr>
        <w:t>תן</w:t>
      </w:r>
      <w:r w:rsidR="002756C6">
        <w:rPr>
          <w:rFonts w:ascii="David" w:hAnsi="David" w:cs="David" w:hint="cs"/>
          <w:rtl/>
        </w:rPr>
        <w:t xml:space="preserve"> </w:t>
      </w:r>
      <w:r w:rsidR="00BE633F">
        <w:rPr>
          <w:rFonts w:ascii="David" w:hAnsi="David" w:cs="David" w:hint="cs"/>
          <w:rtl/>
        </w:rPr>
        <w:t>מענה</w:t>
      </w:r>
      <w:r w:rsidR="00A84AFA">
        <w:rPr>
          <w:rFonts w:ascii="David" w:hAnsi="David" w:cs="David" w:hint="cs"/>
          <w:rtl/>
        </w:rPr>
        <w:t xml:space="preserve"> משכנע</w:t>
      </w:r>
      <w:r w:rsidR="00BE633F">
        <w:rPr>
          <w:rFonts w:ascii="David" w:hAnsi="David" w:cs="David" w:hint="cs"/>
          <w:rtl/>
        </w:rPr>
        <w:t xml:space="preserve"> לקשיים </w:t>
      </w:r>
      <w:r w:rsidR="002756C6">
        <w:rPr>
          <w:rFonts w:ascii="David" w:hAnsi="David" w:cs="David" w:hint="cs"/>
          <w:rtl/>
        </w:rPr>
        <w:t>הקיימים ב</w:t>
      </w:r>
      <w:r w:rsidR="001C648F">
        <w:rPr>
          <w:rFonts w:ascii="David" w:hAnsi="David" w:cs="David" w:hint="cs"/>
          <w:rtl/>
        </w:rPr>
        <w:t>חוק</w:t>
      </w:r>
      <w:r w:rsidR="00734D0E">
        <w:rPr>
          <w:rFonts w:ascii="David" w:hAnsi="David" w:cs="David" w:hint="cs"/>
          <w:rtl/>
        </w:rPr>
        <w:t>.</w:t>
      </w:r>
      <w:r w:rsidR="00A92A46">
        <w:rPr>
          <w:rFonts w:ascii="David" w:hAnsi="David" w:cs="David" w:hint="cs"/>
          <w:rtl/>
        </w:rPr>
        <w:t xml:space="preserve"> </w:t>
      </w:r>
    </w:p>
    <w:p w:rsidR="00D4791C" w:rsidRPr="00172408" w:rsidRDefault="004C3F56" w:rsidP="001C648F">
      <w:pPr>
        <w:spacing w:line="360" w:lineRule="auto"/>
        <w:jc w:val="both"/>
        <w:rPr>
          <w:rFonts w:cs="David"/>
          <w:rtl/>
        </w:rPr>
      </w:pPr>
      <w:r>
        <w:rPr>
          <w:rFonts w:ascii="David" w:hAnsi="David" w:cs="David" w:hint="cs"/>
          <w:rtl/>
        </w:rPr>
        <w:t>את החידוש</w:t>
      </w:r>
      <w:r w:rsidR="00DE0141">
        <w:rPr>
          <w:rFonts w:ascii="David" w:hAnsi="David" w:cs="David" w:hint="cs"/>
          <w:rtl/>
        </w:rPr>
        <w:t xml:space="preserve"> </w:t>
      </w:r>
      <w:r>
        <w:rPr>
          <w:rFonts w:ascii="David" w:hAnsi="David" w:cs="David" w:hint="cs"/>
          <w:rtl/>
        </w:rPr>
        <w:t>הקיים במאמר ניתן לחלק ל</w:t>
      </w:r>
      <w:r w:rsidR="00DE0141">
        <w:rPr>
          <w:rFonts w:ascii="David" w:hAnsi="David" w:cs="David" w:hint="cs"/>
          <w:rtl/>
        </w:rPr>
        <w:t xml:space="preserve">שלושה </w:t>
      </w:r>
      <w:r>
        <w:rPr>
          <w:rFonts w:ascii="David" w:hAnsi="David" w:cs="David" w:hint="cs"/>
          <w:rtl/>
        </w:rPr>
        <w:t>אספקטים</w:t>
      </w:r>
      <w:r w:rsidR="00DE0141">
        <w:rPr>
          <w:rFonts w:ascii="David" w:hAnsi="David" w:cs="David" w:hint="cs"/>
          <w:rtl/>
        </w:rPr>
        <w:t xml:space="preserve">: </w:t>
      </w:r>
      <w:r w:rsidR="00BE1E32">
        <w:rPr>
          <w:rFonts w:ascii="David" w:hAnsi="David" w:cs="David" w:hint="cs"/>
          <w:rtl/>
        </w:rPr>
        <w:t xml:space="preserve">1. </w:t>
      </w:r>
      <w:r>
        <w:rPr>
          <w:rFonts w:ascii="David" w:hAnsi="David" w:cs="David" w:hint="cs"/>
          <w:rtl/>
        </w:rPr>
        <w:t>ל</w:t>
      </w:r>
      <w:r w:rsidR="00BE1E32">
        <w:rPr>
          <w:rFonts w:ascii="David" w:hAnsi="David" w:cs="David" w:hint="cs"/>
          <w:rtl/>
        </w:rPr>
        <w:t xml:space="preserve">דיון </w:t>
      </w:r>
      <w:r>
        <w:rPr>
          <w:rFonts w:ascii="David" w:hAnsi="David" w:cs="David" w:hint="cs"/>
          <w:rtl/>
        </w:rPr>
        <w:t>ה</w:t>
      </w:r>
      <w:r w:rsidR="00BE1E32">
        <w:rPr>
          <w:rFonts w:ascii="David" w:hAnsi="David" w:cs="David" w:hint="cs"/>
          <w:rtl/>
        </w:rPr>
        <w:t xml:space="preserve">שיטתי בטקסטים </w:t>
      </w:r>
      <w:r w:rsidR="00DE0141">
        <w:rPr>
          <w:rFonts w:ascii="David" w:hAnsi="David" w:cs="David" w:hint="cs"/>
          <w:rtl/>
        </w:rPr>
        <w:t>ה</w:t>
      </w:r>
      <w:r w:rsidR="00BE1E32">
        <w:rPr>
          <w:rFonts w:ascii="David" w:hAnsi="David" w:cs="David" w:hint="cs"/>
          <w:rtl/>
        </w:rPr>
        <w:t>רלוונטיים</w:t>
      </w:r>
      <w:r w:rsidR="00172408">
        <w:rPr>
          <w:rFonts w:ascii="David" w:hAnsi="David" w:cs="David" w:hint="cs"/>
          <w:rtl/>
        </w:rPr>
        <w:t xml:space="preserve"> להבנת דימוי כוס התרעלה,</w:t>
      </w:r>
      <w:r w:rsidR="00BE1E32">
        <w:rPr>
          <w:rFonts w:ascii="David" w:hAnsi="David" w:cs="David" w:hint="cs"/>
          <w:rtl/>
        </w:rPr>
        <w:t xml:space="preserve"> שחלקם לא נקשרו לסוגיה עד עתה; 2. </w:t>
      </w:r>
      <w:r w:rsidR="00172408">
        <w:rPr>
          <w:rFonts w:ascii="David" w:hAnsi="David" w:cs="David" w:hint="cs"/>
          <w:rtl/>
        </w:rPr>
        <w:t>להבנה שבטקסטים אלו משתקף</w:t>
      </w:r>
      <w:r w:rsidR="00933041">
        <w:rPr>
          <w:rFonts w:ascii="David" w:hAnsi="David" w:cs="David" w:hint="cs"/>
          <w:rtl/>
        </w:rPr>
        <w:t xml:space="preserve"> החוק האדג</w:t>
      </w:r>
      <w:r w:rsidR="00D87F6F">
        <w:rPr>
          <w:rFonts w:ascii="David" w:hAnsi="David" w:cs="David"/>
          <w:rtl/>
        </w:rPr>
        <w:t>’</w:t>
      </w:r>
      <w:r w:rsidR="00933041">
        <w:rPr>
          <w:rFonts w:ascii="David" w:hAnsi="David" w:cs="David" w:hint="cs"/>
          <w:rtl/>
        </w:rPr>
        <w:t>קטיבי שנהג בפועל</w:t>
      </w:r>
      <w:r w:rsidR="00DE0141">
        <w:rPr>
          <w:rFonts w:ascii="David" w:hAnsi="David" w:cs="David" w:hint="cs"/>
          <w:rtl/>
        </w:rPr>
        <w:t xml:space="preserve"> באישה הנואפת; 3. </w:t>
      </w:r>
      <w:r w:rsidR="00172408">
        <w:rPr>
          <w:rFonts w:ascii="David" w:hAnsi="David" w:cs="David" w:hint="cs"/>
          <w:rtl/>
        </w:rPr>
        <w:t>להכרה שחוק הסוטה הסובסטנטיבי נכתב לצורכי מיסוד ועידון החוק האדג</w:t>
      </w:r>
      <w:r w:rsidR="00D87F6F">
        <w:rPr>
          <w:rFonts w:ascii="David" w:hAnsi="David" w:cs="David"/>
          <w:rtl/>
        </w:rPr>
        <w:t>’</w:t>
      </w:r>
      <w:r w:rsidR="00172408">
        <w:rPr>
          <w:rFonts w:ascii="David" w:hAnsi="David" w:cs="David" w:hint="cs"/>
          <w:rtl/>
        </w:rPr>
        <w:t>קטיבי.</w:t>
      </w:r>
      <w:r w:rsidR="006C1943" w:rsidRPr="0075000E">
        <w:rPr>
          <w:rStyle w:val="FootnoteReference"/>
          <w:rFonts w:ascii="David" w:hAnsi="David" w:cs="David"/>
          <w:rtl/>
        </w:rPr>
        <w:footnoteReference w:id="6"/>
      </w:r>
    </w:p>
    <w:p w:rsidR="00A84AFA" w:rsidRPr="0075000E" w:rsidRDefault="00A84AFA" w:rsidP="004E54E7">
      <w:pPr>
        <w:spacing w:line="360" w:lineRule="auto"/>
        <w:jc w:val="both"/>
        <w:rPr>
          <w:rFonts w:ascii="David" w:hAnsi="David" w:cs="David"/>
          <w:rtl/>
        </w:rPr>
      </w:pPr>
    </w:p>
    <w:p w:rsidR="00CC52E3" w:rsidRPr="00740E82" w:rsidRDefault="00740E82" w:rsidP="00740E82">
      <w:pPr>
        <w:numPr>
          <w:ilvl w:val="0"/>
          <w:numId w:val="31"/>
        </w:numPr>
        <w:spacing w:line="360" w:lineRule="auto"/>
        <w:rPr>
          <w:rFonts w:cs="David"/>
          <w:b/>
          <w:bCs/>
          <w:rtl/>
        </w:rPr>
      </w:pPr>
      <w:r w:rsidRPr="00740E82">
        <w:rPr>
          <w:rFonts w:cs="David" w:hint="cs"/>
          <w:b/>
          <w:bCs/>
          <w:rtl/>
        </w:rPr>
        <w:t>חוק הסוטה</w:t>
      </w:r>
    </w:p>
    <w:p w:rsidR="00EE5BE8" w:rsidRPr="0075000E" w:rsidRDefault="0078551D" w:rsidP="00B46D7D">
      <w:pPr>
        <w:spacing w:line="360" w:lineRule="auto"/>
        <w:jc w:val="both"/>
        <w:rPr>
          <w:rFonts w:ascii="David" w:hAnsi="David" w:cs="David"/>
          <w:rtl/>
        </w:rPr>
      </w:pPr>
      <w:r>
        <w:rPr>
          <w:rFonts w:ascii="David" w:hAnsi="David" w:cs="David" w:hint="cs"/>
          <w:rtl/>
        </w:rPr>
        <w:t xml:space="preserve">קריאה בפרשת הסוטה חושפת מיד את החזרות והכפילויות המרובות הקיימות </w:t>
      </w:r>
      <w:r w:rsidRPr="0075000E">
        <w:rPr>
          <w:rFonts w:ascii="David" w:hAnsi="David" w:cs="David"/>
          <w:rtl/>
        </w:rPr>
        <w:t xml:space="preserve">לאורך </w:t>
      </w:r>
      <w:r w:rsidR="00B46D7D">
        <w:rPr>
          <w:rFonts w:ascii="David" w:hAnsi="David" w:cs="David" w:hint="cs"/>
          <w:rtl/>
        </w:rPr>
        <w:t xml:space="preserve">פירוט </w:t>
      </w:r>
      <w:r>
        <w:rPr>
          <w:rFonts w:ascii="David" w:hAnsi="David" w:cs="David"/>
          <w:rtl/>
        </w:rPr>
        <w:t>שלבי הטקס שהסוטה נדרשת לעבור</w:t>
      </w:r>
      <w:r>
        <w:rPr>
          <w:rFonts w:ascii="David" w:hAnsi="David" w:cs="David" w:hint="cs"/>
          <w:rtl/>
        </w:rPr>
        <w:t xml:space="preserve">. </w:t>
      </w:r>
      <w:r w:rsidRPr="0075000E">
        <w:rPr>
          <w:rFonts w:ascii="David" w:hAnsi="David" w:cs="David"/>
          <w:rtl/>
        </w:rPr>
        <w:t>אלו כוללות את העמדת הכהן את האישה לפני ה</w:t>
      </w:r>
      <w:r w:rsidR="00D87F6F">
        <w:rPr>
          <w:rFonts w:ascii="David" w:hAnsi="David" w:cs="David"/>
          <w:rtl/>
        </w:rPr>
        <w:t>’</w:t>
      </w:r>
      <w:r w:rsidRPr="0075000E">
        <w:rPr>
          <w:rFonts w:ascii="David" w:hAnsi="David" w:cs="David"/>
          <w:rtl/>
        </w:rPr>
        <w:t xml:space="preserve"> פעמיים (פס</w:t>
      </w:r>
      <w:r w:rsidR="00D87F6F">
        <w:rPr>
          <w:rFonts w:ascii="David" w:hAnsi="David" w:cs="David"/>
          <w:rtl/>
        </w:rPr>
        <w:t>’</w:t>
      </w:r>
      <w:r w:rsidRPr="0075000E">
        <w:rPr>
          <w:rFonts w:ascii="David" w:hAnsi="David" w:cs="David"/>
          <w:rtl/>
        </w:rPr>
        <w:t xml:space="preserve"> טז, יח); השבעתה פעמיים (פס</w:t>
      </w:r>
      <w:r w:rsidR="00D87F6F">
        <w:rPr>
          <w:rFonts w:ascii="David" w:hAnsi="David" w:cs="David"/>
          <w:rtl/>
        </w:rPr>
        <w:t>’</w:t>
      </w:r>
      <w:r w:rsidRPr="0075000E">
        <w:rPr>
          <w:rFonts w:ascii="David" w:hAnsi="David" w:cs="David"/>
          <w:rtl/>
        </w:rPr>
        <w:t xml:space="preserve"> יט, כא); השקייתה פעמיים (פס</w:t>
      </w:r>
      <w:r w:rsidR="00D87F6F">
        <w:rPr>
          <w:rFonts w:ascii="David" w:hAnsi="David" w:cs="David"/>
          <w:rtl/>
        </w:rPr>
        <w:t>’</w:t>
      </w:r>
      <w:r w:rsidRPr="0075000E">
        <w:rPr>
          <w:rFonts w:ascii="David" w:hAnsi="David" w:cs="David"/>
          <w:rtl/>
        </w:rPr>
        <w:t xml:space="preserve"> כד, כז); תיאור המים כ</w:t>
      </w:r>
      <w:r w:rsidR="00D87F6F">
        <w:rPr>
          <w:rFonts w:ascii="David" w:hAnsi="David" w:cs="David"/>
          <w:rtl/>
        </w:rPr>
        <w:t>”</w:t>
      </w:r>
      <w:r w:rsidRPr="0075000E">
        <w:rPr>
          <w:rFonts w:ascii="David" w:hAnsi="David" w:cs="David"/>
          <w:rtl/>
        </w:rPr>
        <w:t>קדשים</w:t>
      </w:r>
      <w:r w:rsidR="00D87F6F">
        <w:rPr>
          <w:rFonts w:ascii="David" w:hAnsi="David" w:cs="David"/>
          <w:rtl/>
        </w:rPr>
        <w:t>”</w:t>
      </w:r>
      <w:r w:rsidRPr="0075000E">
        <w:rPr>
          <w:rFonts w:ascii="David" w:hAnsi="David" w:cs="David"/>
          <w:rtl/>
        </w:rPr>
        <w:t xml:space="preserve"> (פס</w:t>
      </w:r>
      <w:r w:rsidR="00D87F6F">
        <w:rPr>
          <w:rFonts w:ascii="David" w:hAnsi="David" w:cs="David"/>
          <w:rtl/>
        </w:rPr>
        <w:t>’</w:t>
      </w:r>
      <w:r w:rsidRPr="0075000E">
        <w:rPr>
          <w:rFonts w:ascii="David" w:hAnsi="David" w:cs="David"/>
          <w:rtl/>
        </w:rPr>
        <w:t xml:space="preserve"> יז) כ</w:t>
      </w:r>
      <w:r w:rsidR="00D87F6F">
        <w:rPr>
          <w:rFonts w:ascii="David" w:hAnsi="David" w:cs="David"/>
          <w:rtl/>
        </w:rPr>
        <w:t>”</w:t>
      </w:r>
      <w:r w:rsidRPr="0075000E">
        <w:rPr>
          <w:rFonts w:ascii="David" w:hAnsi="David" w:cs="David"/>
          <w:rtl/>
        </w:rPr>
        <w:t>מרים</w:t>
      </w:r>
      <w:r w:rsidR="00D87F6F">
        <w:rPr>
          <w:rFonts w:ascii="David" w:hAnsi="David" w:cs="David"/>
          <w:rtl/>
        </w:rPr>
        <w:t>”</w:t>
      </w:r>
      <w:r w:rsidRPr="0075000E">
        <w:rPr>
          <w:rFonts w:ascii="David" w:hAnsi="David" w:cs="David"/>
          <w:rtl/>
        </w:rPr>
        <w:t xml:space="preserve"> (פס</w:t>
      </w:r>
      <w:r w:rsidR="00D87F6F">
        <w:rPr>
          <w:rFonts w:ascii="David" w:hAnsi="David" w:cs="David"/>
          <w:rtl/>
        </w:rPr>
        <w:t>’</w:t>
      </w:r>
      <w:r w:rsidRPr="0075000E">
        <w:rPr>
          <w:rFonts w:ascii="David" w:hAnsi="David" w:cs="David"/>
          <w:rtl/>
        </w:rPr>
        <w:t xml:space="preserve"> יח, יט, כג, כד, כז) וכ</w:t>
      </w:r>
      <w:r w:rsidR="00D87F6F">
        <w:rPr>
          <w:rFonts w:ascii="David" w:hAnsi="David" w:cs="David"/>
          <w:rtl/>
        </w:rPr>
        <w:t>”</w:t>
      </w:r>
      <w:r w:rsidRPr="0075000E">
        <w:rPr>
          <w:rFonts w:ascii="David" w:hAnsi="David" w:cs="David"/>
          <w:rtl/>
        </w:rPr>
        <w:t>מאררים</w:t>
      </w:r>
      <w:r w:rsidR="00D87F6F">
        <w:rPr>
          <w:rFonts w:ascii="David" w:hAnsi="David" w:cs="David"/>
          <w:rtl/>
        </w:rPr>
        <w:t>”</w:t>
      </w:r>
      <w:r w:rsidRPr="0075000E">
        <w:rPr>
          <w:rFonts w:ascii="David" w:hAnsi="David" w:cs="David"/>
          <w:rtl/>
        </w:rPr>
        <w:t xml:space="preserve"> (פס</w:t>
      </w:r>
      <w:r w:rsidR="00D87F6F">
        <w:rPr>
          <w:rFonts w:ascii="David" w:hAnsi="David" w:cs="David"/>
          <w:rtl/>
        </w:rPr>
        <w:t>’</w:t>
      </w:r>
      <w:r w:rsidRPr="0075000E">
        <w:rPr>
          <w:rFonts w:ascii="David" w:hAnsi="David" w:cs="David"/>
          <w:rtl/>
        </w:rPr>
        <w:t xml:space="preserve"> יח, יט, כב, כד, כז); נתינת העפר במים (פס</w:t>
      </w:r>
      <w:r w:rsidR="00D87F6F">
        <w:rPr>
          <w:rFonts w:ascii="David" w:hAnsi="David" w:cs="David"/>
          <w:rtl/>
        </w:rPr>
        <w:t>’</w:t>
      </w:r>
      <w:r w:rsidRPr="0075000E">
        <w:rPr>
          <w:rFonts w:ascii="David" w:hAnsi="David" w:cs="David"/>
          <w:rtl/>
        </w:rPr>
        <w:t xml:space="preserve"> יז) במקביל למחיית האלות במים (פס</w:t>
      </w:r>
      <w:r w:rsidR="00D87F6F">
        <w:rPr>
          <w:rFonts w:ascii="David" w:hAnsi="David" w:cs="David"/>
          <w:rtl/>
        </w:rPr>
        <w:t>’</w:t>
      </w:r>
      <w:r w:rsidRPr="0075000E">
        <w:rPr>
          <w:rFonts w:ascii="David" w:hAnsi="David" w:cs="David"/>
          <w:rtl/>
        </w:rPr>
        <w:t xml:space="preserve"> כג); הגדרת המנחה כ</w:t>
      </w:r>
      <w:r w:rsidR="00D87F6F">
        <w:rPr>
          <w:rFonts w:ascii="David" w:hAnsi="David" w:cs="David"/>
          <w:rtl/>
        </w:rPr>
        <w:t>”</w:t>
      </w:r>
      <w:r w:rsidRPr="0075000E">
        <w:rPr>
          <w:rFonts w:ascii="David" w:hAnsi="David" w:cs="David"/>
          <w:rtl/>
        </w:rPr>
        <w:t>מנחת קנאות</w:t>
      </w:r>
      <w:r w:rsidR="00D87F6F">
        <w:rPr>
          <w:rFonts w:ascii="David" w:hAnsi="David" w:cs="David"/>
          <w:rtl/>
        </w:rPr>
        <w:t>”</w:t>
      </w:r>
      <w:r w:rsidRPr="0075000E">
        <w:rPr>
          <w:rFonts w:ascii="David" w:hAnsi="David" w:cs="David"/>
          <w:rtl/>
        </w:rPr>
        <w:t xml:space="preserve"> (פס</w:t>
      </w:r>
      <w:r w:rsidR="00D87F6F">
        <w:rPr>
          <w:rFonts w:ascii="David" w:hAnsi="David" w:cs="David"/>
          <w:rtl/>
        </w:rPr>
        <w:t>’</w:t>
      </w:r>
      <w:r w:rsidRPr="0075000E">
        <w:rPr>
          <w:rFonts w:ascii="David" w:hAnsi="David" w:cs="David"/>
          <w:rtl/>
        </w:rPr>
        <w:t xml:space="preserve"> טו) לצד הגדרתה כ</w:t>
      </w:r>
      <w:r w:rsidR="00D87F6F">
        <w:rPr>
          <w:rFonts w:ascii="David" w:hAnsi="David" w:cs="David"/>
          <w:rtl/>
        </w:rPr>
        <w:t>”</w:t>
      </w:r>
      <w:r w:rsidRPr="0075000E">
        <w:rPr>
          <w:rFonts w:ascii="David" w:hAnsi="David" w:cs="David"/>
          <w:rtl/>
        </w:rPr>
        <w:t>מנחת זכרון מזכרת עון</w:t>
      </w:r>
      <w:r w:rsidR="00D87F6F">
        <w:rPr>
          <w:rFonts w:ascii="David" w:hAnsi="David" w:cs="David"/>
          <w:rtl/>
        </w:rPr>
        <w:t>”</w:t>
      </w:r>
      <w:r w:rsidRPr="0075000E">
        <w:rPr>
          <w:rFonts w:ascii="David" w:hAnsi="David" w:cs="David"/>
          <w:rtl/>
        </w:rPr>
        <w:t xml:space="preserve"> (שם); הנפת המנחה והקרבתה </w:t>
      </w:r>
      <w:r w:rsidR="00D87F6F">
        <w:rPr>
          <w:rFonts w:ascii="David" w:hAnsi="David" w:cs="David"/>
          <w:rtl/>
        </w:rPr>
        <w:t>“</w:t>
      </w:r>
      <w:r w:rsidRPr="0075000E">
        <w:rPr>
          <w:rFonts w:ascii="David" w:hAnsi="David" w:cs="David"/>
          <w:rtl/>
        </w:rPr>
        <w:t>אל המזבח</w:t>
      </w:r>
      <w:r w:rsidR="00D87F6F">
        <w:rPr>
          <w:rFonts w:ascii="David" w:hAnsi="David" w:cs="David"/>
          <w:rtl/>
        </w:rPr>
        <w:t>”</w:t>
      </w:r>
      <w:r w:rsidRPr="0075000E">
        <w:rPr>
          <w:rFonts w:ascii="David" w:hAnsi="David" w:cs="David"/>
          <w:rtl/>
        </w:rPr>
        <w:t xml:space="preserve"> (פס</w:t>
      </w:r>
      <w:r w:rsidR="00D87F6F">
        <w:rPr>
          <w:rFonts w:ascii="David" w:hAnsi="David" w:cs="David"/>
          <w:rtl/>
        </w:rPr>
        <w:t>’</w:t>
      </w:r>
      <w:r w:rsidRPr="0075000E">
        <w:rPr>
          <w:rFonts w:ascii="David" w:hAnsi="David" w:cs="David"/>
          <w:rtl/>
        </w:rPr>
        <w:t xml:space="preserve"> כה) מחד וקמיצת אזכרתה והקטרתה </w:t>
      </w:r>
      <w:r w:rsidR="00D87F6F">
        <w:rPr>
          <w:rFonts w:ascii="David" w:hAnsi="David" w:cs="David"/>
          <w:rtl/>
        </w:rPr>
        <w:t>“</w:t>
      </w:r>
      <w:r w:rsidRPr="0075000E">
        <w:rPr>
          <w:rFonts w:ascii="David" w:hAnsi="David" w:cs="David"/>
          <w:rtl/>
        </w:rPr>
        <w:t>המזבחה</w:t>
      </w:r>
      <w:r w:rsidR="00D87F6F">
        <w:rPr>
          <w:rFonts w:ascii="David" w:hAnsi="David" w:cs="David"/>
          <w:rtl/>
        </w:rPr>
        <w:t>”</w:t>
      </w:r>
      <w:r w:rsidRPr="0075000E">
        <w:rPr>
          <w:rFonts w:ascii="David" w:hAnsi="David" w:cs="David"/>
          <w:rtl/>
        </w:rPr>
        <w:t xml:space="preserve"> (פס</w:t>
      </w:r>
      <w:r w:rsidR="00D87F6F">
        <w:rPr>
          <w:rFonts w:ascii="David" w:hAnsi="David" w:cs="David"/>
          <w:rtl/>
        </w:rPr>
        <w:t>’</w:t>
      </w:r>
      <w:r w:rsidRPr="0075000E">
        <w:rPr>
          <w:rFonts w:ascii="David" w:hAnsi="David" w:cs="David"/>
          <w:rtl/>
        </w:rPr>
        <w:t xml:space="preserve"> כו) מאידך.</w:t>
      </w:r>
      <w:r w:rsidRPr="0075000E">
        <w:rPr>
          <w:rStyle w:val="FootnoteReference"/>
          <w:rFonts w:ascii="David" w:hAnsi="David" w:cs="David"/>
          <w:rtl/>
        </w:rPr>
        <w:footnoteReference w:id="7"/>
      </w:r>
      <w:r w:rsidRPr="0075000E">
        <w:rPr>
          <w:rFonts w:ascii="David" w:hAnsi="David" w:cs="David"/>
          <w:rtl/>
        </w:rPr>
        <w:t xml:space="preserve"> </w:t>
      </w:r>
      <w:r w:rsidR="00FD5D54">
        <w:rPr>
          <w:rFonts w:ascii="David" w:hAnsi="David" w:cs="David" w:hint="cs"/>
          <w:rtl/>
        </w:rPr>
        <w:t>חרף כפילויות אלו</w:t>
      </w:r>
      <w:r w:rsidR="00EE5BE8" w:rsidRPr="0075000E">
        <w:rPr>
          <w:rFonts w:ascii="David" w:hAnsi="David" w:cs="David"/>
          <w:rtl/>
        </w:rPr>
        <w:t xml:space="preserve"> יש</w:t>
      </w:r>
      <w:r>
        <w:rPr>
          <w:rFonts w:ascii="David" w:hAnsi="David" w:cs="David" w:hint="cs"/>
          <w:rtl/>
        </w:rPr>
        <w:t xml:space="preserve"> חוקרים</w:t>
      </w:r>
      <w:r w:rsidR="00EE5BE8" w:rsidRPr="0075000E">
        <w:rPr>
          <w:rFonts w:ascii="David" w:hAnsi="David" w:cs="David"/>
          <w:rtl/>
        </w:rPr>
        <w:t xml:space="preserve"> </w:t>
      </w:r>
      <w:r>
        <w:rPr>
          <w:rFonts w:ascii="David" w:hAnsi="David" w:cs="David" w:hint="cs"/>
          <w:rtl/>
        </w:rPr>
        <w:t>שטענו</w:t>
      </w:r>
      <w:r w:rsidR="00FD5D54">
        <w:rPr>
          <w:rFonts w:ascii="David" w:hAnsi="David" w:cs="David" w:hint="cs"/>
          <w:rtl/>
        </w:rPr>
        <w:t xml:space="preserve"> ש</w:t>
      </w:r>
      <w:r>
        <w:rPr>
          <w:rFonts w:ascii="David" w:hAnsi="David" w:cs="David" w:hint="cs"/>
          <w:rtl/>
        </w:rPr>
        <w:t>זהו טקסט</w:t>
      </w:r>
      <w:r w:rsidR="00EE5BE8" w:rsidRPr="0075000E">
        <w:rPr>
          <w:rFonts w:ascii="David" w:hAnsi="David" w:cs="David"/>
          <w:rtl/>
        </w:rPr>
        <w:t xml:space="preserve"> עקיב,</w:t>
      </w:r>
      <w:r w:rsidR="00EE5BE8" w:rsidRPr="0075000E">
        <w:rPr>
          <w:rStyle w:val="FootnoteReference"/>
          <w:rFonts w:ascii="David" w:hAnsi="David" w:cs="David"/>
          <w:rtl/>
        </w:rPr>
        <w:footnoteReference w:id="8"/>
      </w:r>
      <w:r w:rsidR="00FD5D54">
        <w:rPr>
          <w:rFonts w:ascii="David" w:hAnsi="David" w:cs="David"/>
          <w:rtl/>
        </w:rPr>
        <w:t xml:space="preserve"> א</w:t>
      </w:r>
      <w:r w:rsidR="00B46D7D">
        <w:rPr>
          <w:rFonts w:ascii="David" w:hAnsi="David" w:cs="David" w:hint="cs"/>
          <w:rtl/>
        </w:rPr>
        <w:t>בל</w:t>
      </w:r>
      <w:r w:rsidR="00EE5BE8" w:rsidRPr="0075000E">
        <w:rPr>
          <w:rFonts w:ascii="David" w:hAnsi="David" w:cs="David"/>
          <w:rtl/>
        </w:rPr>
        <w:t xml:space="preserve"> </w:t>
      </w:r>
      <w:r w:rsidR="00FD5D54">
        <w:rPr>
          <w:rFonts w:ascii="David" w:hAnsi="David" w:cs="David" w:hint="cs"/>
          <w:rtl/>
        </w:rPr>
        <w:t>מרבית החוקרים הניחו</w:t>
      </w:r>
      <w:r w:rsidR="00EE5BE8" w:rsidRPr="0075000E">
        <w:rPr>
          <w:rFonts w:ascii="David" w:hAnsi="David" w:cs="David"/>
          <w:rtl/>
        </w:rPr>
        <w:t xml:space="preserve"> </w:t>
      </w:r>
      <w:r w:rsidR="00FD5D54">
        <w:rPr>
          <w:rFonts w:ascii="David" w:hAnsi="David" w:cs="David" w:hint="cs"/>
          <w:rtl/>
        </w:rPr>
        <w:t>ש</w:t>
      </w:r>
      <w:r w:rsidR="00EE5BE8" w:rsidRPr="0075000E">
        <w:rPr>
          <w:rFonts w:ascii="David" w:hAnsi="David" w:cs="David"/>
          <w:rtl/>
        </w:rPr>
        <w:t xml:space="preserve">בפרשה משתקף יותר מרובד אחד. אחדים </w:t>
      </w:r>
      <w:r w:rsidR="00FD5D54">
        <w:rPr>
          <w:rFonts w:ascii="David" w:hAnsi="David" w:cs="David" w:hint="cs"/>
          <w:rtl/>
        </w:rPr>
        <w:t xml:space="preserve">מתוכם </w:t>
      </w:r>
      <w:r w:rsidR="00EE5BE8" w:rsidRPr="0075000E">
        <w:rPr>
          <w:rFonts w:ascii="David" w:hAnsi="David" w:cs="David"/>
          <w:rtl/>
        </w:rPr>
        <w:t>פסלו את האפשרות להתחקות אחר רבדים אלו,</w:t>
      </w:r>
      <w:r w:rsidR="00EE5BE8" w:rsidRPr="0075000E">
        <w:rPr>
          <w:rStyle w:val="FootnoteReference"/>
          <w:rFonts w:ascii="David" w:hAnsi="David" w:cs="David"/>
          <w:rtl/>
        </w:rPr>
        <w:footnoteReference w:id="9"/>
      </w:r>
      <w:r w:rsidR="00EE5BE8" w:rsidRPr="0075000E">
        <w:rPr>
          <w:rFonts w:ascii="David" w:hAnsi="David" w:cs="David"/>
          <w:rtl/>
        </w:rPr>
        <w:t xml:space="preserve"> בעוד שאחרים הציגו צורות שונות ו</w:t>
      </w:r>
      <w:r w:rsidR="00AC28CF">
        <w:rPr>
          <w:rFonts w:ascii="David" w:hAnsi="David" w:cs="David" w:hint="cs"/>
          <w:rtl/>
        </w:rPr>
        <w:t>יצירתיות</w:t>
      </w:r>
      <w:r w:rsidR="00EE5BE8" w:rsidRPr="0075000E">
        <w:rPr>
          <w:rFonts w:ascii="David" w:hAnsi="David" w:cs="David"/>
          <w:rtl/>
        </w:rPr>
        <w:t xml:space="preserve"> לחלוקת הפרשה לרכיביה המקוריים.</w:t>
      </w:r>
      <w:r w:rsidR="00EE5BE8" w:rsidRPr="0075000E">
        <w:rPr>
          <w:rStyle w:val="FootnoteReference"/>
          <w:rFonts w:ascii="David" w:hAnsi="David" w:cs="David"/>
          <w:rtl/>
        </w:rPr>
        <w:footnoteReference w:id="10"/>
      </w:r>
      <w:r w:rsidR="00EE5BE8" w:rsidRPr="0075000E">
        <w:rPr>
          <w:rFonts w:ascii="David" w:hAnsi="David" w:cs="David"/>
          <w:rtl/>
        </w:rPr>
        <w:t xml:space="preserve"> </w:t>
      </w:r>
    </w:p>
    <w:p w:rsidR="00301E2E" w:rsidRPr="0075000E" w:rsidRDefault="00EE5BE8" w:rsidP="005D65C6">
      <w:pPr>
        <w:spacing w:line="360" w:lineRule="auto"/>
        <w:jc w:val="both"/>
        <w:rPr>
          <w:rFonts w:ascii="David" w:hAnsi="David" w:cs="David"/>
          <w:rtl/>
        </w:rPr>
      </w:pPr>
      <w:r w:rsidRPr="0075000E">
        <w:rPr>
          <w:rFonts w:ascii="David" w:hAnsi="David" w:cs="David"/>
          <w:rtl/>
        </w:rPr>
        <w:t>א</w:t>
      </w:r>
      <w:r w:rsidR="00B46D7D">
        <w:rPr>
          <w:rFonts w:ascii="David" w:hAnsi="David" w:cs="David" w:hint="cs"/>
          <w:rtl/>
        </w:rPr>
        <w:t>ולם</w:t>
      </w:r>
      <w:r w:rsidRPr="0075000E">
        <w:rPr>
          <w:rFonts w:ascii="David" w:hAnsi="David" w:cs="David"/>
          <w:rtl/>
        </w:rPr>
        <w:t xml:space="preserve"> הבחנת הרבדים השונים הקיימים בחוק, כדוגמת הבחנתו המשכנעת של ג</w:t>
      </w:r>
      <w:r w:rsidR="00D87F6F">
        <w:rPr>
          <w:rFonts w:ascii="David" w:hAnsi="David" w:cs="David"/>
          <w:rtl/>
        </w:rPr>
        <w:t>’</w:t>
      </w:r>
      <w:r w:rsidR="00CB4A44">
        <w:rPr>
          <w:rFonts w:ascii="David" w:hAnsi="David" w:cs="David"/>
          <w:rtl/>
        </w:rPr>
        <w:t>און בין רובד החוקה הכוהנית</w:t>
      </w:r>
      <w:r w:rsidRPr="0075000E">
        <w:rPr>
          <w:rFonts w:ascii="David" w:hAnsi="David" w:cs="David"/>
          <w:rtl/>
        </w:rPr>
        <w:t xml:space="preserve"> לר</w:t>
      </w:r>
      <w:r w:rsidR="00CB4A44">
        <w:rPr>
          <w:rFonts w:ascii="David" w:hAnsi="David" w:cs="David"/>
          <w:rtl/>
        </w:rPr>
        <w:t>ובד ספר הקדושה</w:t>
      </w:r>
      <w:r w:rsidRPr="0075000E">
        <w:rPr>
          <w:rFonts w:ascii="David" w:hAnsi="David" w:cs="David"/>
          <w:rtl/>
        </w:rPr>
        <w:t>,</w:t>
      </w:r>
      <w:r w:rsidR="008C1DFA" w:rsidRPr="0075000E">
        <w:rPr>
          <w:rStyle w:val="FootnoteReference"/>
          <w:rFonts w:ascii="David" w:hAnsi="David" w:cs="David"/>
          <w:rtl/>
        </w:rPr>
        <w:footnoteReference w:id="11"/>
      </w:r>
      <w:r w:rsidRPr="0075000E">
        <w:rPr>
          <w:rFonts w:ascii="David" w:hAnsi="David" w:cs="David"/>
          <w:rtl/>
        </w:rPr>
        <w:t xml:space="preserve"> </w:t>
      </w:r>
      <w:r w:rsidR="00973E6B" w:rsidRPr="0075000E">
        <w:rPr>
          <w:rFonts w:ascii="David" w:hAnsi="David" w:cs="David"/>
          <w:rtl/>
        </w:rPr>
        <w:t>נותנת מענה לקשיים הטקסטואליים</w:t>
      </w:r>
      <w:r w:rsidR="00990862">
        <w:rPr>
          <w:rFonts w:ascii="David" w:hAnsi="David" w:cs="David" w:hint="cs"/>
          <w:rtl/>
        </w:rPr>
        <w:t xml:space="preserve"> שהזכרנו</w:t>
      </w:r>
      <w:r w:rsidR="00973E6B" w:rsidRPr="0075000E">
        <w:rPr>
          <w:rFonts w:ascii="David" w:hAnsi="David" w:cs="David"/>
          <w:rtl/>
        </w:rPr>
        <w:t xml:space="preserve"> אך אינה נותנת מע</w:t>
      </w:r>
      <w:r w:rsidR="001F4D1F" w:rsidRPr="0075000E">
        <w:rPr>
          <w:rFonts w:ascii="David" w:hAnsi="David" w:cs="David"/>
          <w:rtl/>
        </w:rPr>
        <w:t>נה ל</w:t>
      </w:r>
      <w:r w:rsidR="00887687" w:rsidRPr="0075000E">
        <w:rPr>
          <w:rFonts w:ascii="David" w:hAnsi="David" w:cs="David"/>
          <w:rtl/>
        </w:rPr>
        <w:t xml:space="preserve">קשיים </w:t>
      </w:r>
      <w:r w:rsidR="0039451B" w:rsidRPr="0075000E">
        <w:rPr>
          <w:rFonts w:ascii="David" w:hAnsi="David" w:cs="David"/>
          <w:rtl/>
        </w:rPr>
        <w:t>התמטיים</w:t>
      </w:r>
      <w:r w:rsidR="001F4D1F" w:rsidRPr="0075000E">
        <w:rPr>
          <w:rFonts w:ascii="David" w:hAnsi="David" w:cs="David"/>
          <w:rtl/>
        </w:rPr>
        <w:t xml:space="preserve"> </w:t>
      </w:r>
      <w:r w:rsidR="005D65C6">
        <w:rPr>
          <w:rFonts w:ascii="David" w:hAnsi="David" w:cs="David" w:hint="cs"/>
          <w:rtl/>
        </w:rPr>
        <w:t>שיפורטו מיד</w:t>
      </w:r>
      <w:r w:rsidR="001F4D1F" w:rsidRPr="0075000E">
        <w:rPr>
          <w:rFonts w:ascii="David" w:hAnsi="David" w:cs="David"/>
          <w:rtl/>
        </w:rPr>
        <w:t xml:space="preserve">. </w:t>
      </w:r>
      <w:r w:rsidR="001B522A" w:rsidRPr="0075000E">
        <w:rPr>
          <w:rFonts w:ascii="David" w:hAnsi="David" w:cs="David"/>
          <w:rtl/>
        </w:rPr>
        <w:t xml:space="preserve">קשיים אלו נובעים מהגדרתו </w:t>
      </w:r>
      <w:r w:rsidR="0082189F">
        <w:rPr>
          <w:rFonts w:ascii="David" w:hAnsi="David" w:cs="David"/>
          <w:rtl/>
        </w:rPr>
        <w:t>העמומה של המקרה השיפוטי הנדון ב</w:t>
      </w:r>
      <w:r w:rsidR="0082189F">
        <w:rPr>
          <w:rFonts w:ascii="David" w:hAnsi="David" w:cs="David" w:hint="cs"/>
          <w:rtl/>
        </w:rPr>
        <w:t>חוק</w:t>
      </w:r>
      <w:r w:rsidR="001B522A" w:rsidRPr="0075000E">
        <w:rPr>
          <w:rFonts w:ascii="David" w:hAnsi="David" w:cs="David"/>
          <w:rtl/>
        </w:rPr>
        <w:t xml:space="preserve">, </w:t>
      </w:r>
      <w:r w:rsidR="0039451B" w:rsidRPr="0075000E">
        <w:rPr>
          <w:rFonts w:ascii="David" w:hAnsi="David" w:cs="David"/>
          <w:rtl/>
        </w:rPr>
        <w:t>מייחודיותו וחריגותו של הח</w:t>
      </w:r>
      <w:r w:rsidR="001B522A" w:rsidRPr="0075000E">
        <w:rPr>
          <w:rFonts w:ascii="David" w:hAnsi="David" w:cs="David"/>
          <w:rtl/>
        </w:rPr>
        <w:t>וק ו</w:t>
      </w:r>
      <w:r w:rsidR="0039451B" w:rsidRPr="0075000E">
        <w:rPr>
          <w:rFonts w:ascii="David" w:hAnsi="David" w:cs="David"/>
          <w:rtl/>
        </w:rPr>
        <w:t>מהעובדה</w:t>
      </w:r>
      <w:r w:rsidR="00D90291" w:rsidRPr="0075000E">
        <w:rPr>
          <w:rFonts w:ascii="David" w:hAnsi="David" w:cs="David"/>
          <w:rtl/>
        </w:rPr>
        <w:t xml:space="preserve"> שנקודות המוצא שלו</w:t>
      </w:r>
      <w:r w:rsidR="001F4D1F" w:rsidRPr="0075000E">
        <w:rPr>
          <w:rFonts w:ascii="David" w:hAnsi="David" w:cs="David"/>
          <w:rtl/>
        </w:rPr>
        <w:t xml:space="preserve"> סותרות עקרונות משפטיים המוגדרים</w:t>
      </w:r>
      <w:r w:rsidR="00D1188F" w:rsidRPr="0075000E">
        <w:rPr>
          <w:rFonts w:ascii="David" w:hAnsi="David" w:cs="David"/>
          <w:rtl/>
        </w:rPr>
        <w:t xml:space="preserve"> </w:t>
      </w:r>
      <w:r w:rsidR="00C6743C">
        <w:rPr>
          <w:rFonts w:ascii="David" w:hAnsi="David" w:cs="David" w:hint="cs"/>
          <w:rtl/>
        </w:rPr>
        <w:t>בחוקים</w:t>
      </w:r>
      <w:r w:rsidR="00D1188F" w:rsidRPr="0075000E">
        <w:rPr>
          <w:rFonts w:ascii="David" w:hAnsi="David" w:cs="David"/>
          <w:rtl/>
        </w:rPr>
        <w:t xml:space="preserve"> </w:t>
      </w:r>
      <w:r w:rsidR="00C6743C">
        <w:rPr>
          <w:rFonts w:ascii="David" w:hAnsi="David" w:cs="David" w:hint="cs"/>
          <w:rtl/>
        </w:rPr>
        <w:t>מקבילים</w:t>
      </w:r>
      <w:r w:rsidR="005D65C6">
        <w:rPr>
          <w:rFonts w:ascii="David" w:hAnsi="David" w:cs="David" w:hint="cs"/>
          <w:rtl/>
        </w:rPr>
        <w:t xml:space="preserve"> (בחוקה הכוהנית, בחוקת ספר הקדושה ובחוקה הדויטרונומיסטית)</w:t>
      </w:r>
      <w:r w:rsidR="001F4D1F" w:rsidRPr="0075000E">
        <w:rPr>
          <w:rFonts w:ascii="David" w:hAnsi="David" w:cs="David"/>
          <w:rtl/>
        </w:rPr>
        <w:t>:</w:t>
      </w:r>
      <w:r w:rsidR="009501CA">
        <w:rPr>
          <w:rFonts w:ascii="David" w:hAnsi="David" w:cs="David" w:hint="cs"/>
          <w:rtl/>
        </w:rPr>
        <w:t xml:space="preserve"> </w:t>
      </w:r>
    </w:p>
    <w:p w:rsidR="00AA39B1" w:rsidRDefault="0075000E" w:rsidP="00322E20">
      <w:pPr>
        <w:numPr>
          <w:ilvl w:val="3"/>
          <w:numId w:val="29"/>
        </w:numPr>
        <w:spacing w:line="360" w:lineRule="auto"/>
        <w:ind w:left="368"/>
        <w:jc w:val="both"/>
        <w:rPr>
          <w:rFonts w:cs="David"/>
        </w:rPr>
      </w:pPr>
      <w:r w:rsidRPr="00E55C0D">
        <w:rPr>
          <w:rFonts w:cs="David" w:hint="cs"/>
          <w:rtl/>
        </w:rPr>
        <w:t>הכפילות המופיעה</w:t>
      </w:r>
      <w:r w:rsidRPr="009501CA">
        <w:rPr>
          <w:rFonts w:cs="David" w:hint="cs"/>
          <w:rtl/>
        </w:rPr>
        <w:t xml:space="preserve"> בפתיחתו של החוק </w:t>
      </w:r>
      <w:r w:rsidR="00523C9B" w:rsidRPr="009501CA">
        <w:rPr>
          <w:rFonts w:cs="David" w:hint="cs"/>
          <w:rtl/>
        </w:rPr>
        <w:t>יוצרת קושי בהגדרת המקרה השיפוטי שבו הוא עוסק</w:t>
      </w:r>
      <w:r w:rsidRPr="0075000E">
        <w:rPr>
          <w:rFonts w:cs="David" w:hint="cs"/>
          <w:rtl/>
        </w:rPr>
        <w:t xml:space="preserve"> שכן פעם אחת מדובר על איש ש</w:t>
      </w:r>
      <w:r w:rsidR="00D87F6F">
        <w:rPr>
          <w:rFonts w:cs="David"/>
          <w:rtl/>
        </w:rPr>
        <w:t>”</w:t>
      </w:r>
      <w:r w:rsidRPr="0075000E">
        <w:rPr>
          <w:rFonts w:cs="David" w:hint="cs"/>
          <w:b/>
          <w:bCs/>
          <w:rtl/>
        </w:rPr>
        <w:t>תשטה אשתו</w:t>
      </w:r>
      <w:r w:rsidRPr="0075000E">
        <w:rPr>
          <w:rFonts w:cs="David" w:hint="cs"/>
          <w:rtl/>
        </w:rPr>
        <w:t xml:space="preserve"> ומעלה בו מעל ושכב איש אתה שכבת זרע</w:t>
      </w:r>
      <w:r w:rsidR="00D87F6F">
        <w:rPr>
          <w:rFonts w:cs="David"/>
          <w:rtl/>
        </w:rPr>
        <w:t>”</w:t>
      </w:r>
      <w:r w:rsidRPr="0075000E">
        <w:rPr>
          <w:rFonts w:cs="David" w:hint="cs"/>
          <w:rtl/>
        </w:rPr>
        <w:t xml:space="preserve"> (פס</w:t>
      </w:r>
      <w:r w:rsidR="00D87F6F">
        <w:rPr>
          <w:rFonts w:cs="David"/>
          <w:rtl/>
        </w:rPr>
        <w:t>’</w:t>
      </w:r>
      <w:r w:rsidRPr="0075000E">
        <w:rPr>
          <w:rFonts w:cs="David" w:hint="cs"/>
          <w:rtl/>
        </w:rPr>
        <w:t xml:space="preserve"> יב-יג) ופעם שנייה מדובר על איש ש</w:t>
      </w:r>
      <w:r w:rsidR="00D87F6F">
        <w:rPr>
          <w:rFonts w:cs="David"/>
          <w:rtl/>
        </w:rPr>
        <w:t>”</w:t>
      </w:r>
      <w:r w:rsidRPr="0029467E">
        <w:rPr>
          <w:rFonts w:cs="David" w:hint="cs"/>
          <w:b/>
          <w:bCs/>
          <w:rtl/>
        </w:rPr>
        <w:t>עבר עליו רוח קנאה</w:t>
      </w:r>
      <w:r w:rsidRPr="0075000E">
        <w:rPr>
          <w:rFonts w:cs="David" w:hint="cs"/>
          <w:rtl/>
        </w:rPr>
        <w:t xml:space="preserve"> </w:t>
      </w:r>
      <w:r w:rsidRPr="0075000E">
        <w:rPr>
          <w:rFonts w:cs="David" w:hint="cs"/>
          <w:b/>
          <w:bCs/>
          <w:rtl/>
        </w:rPr>
        <w:t>וקנא את אשתו</w:t>
      </w:r>
      <w:r w:rsidRPr="0075000E">
        <w:rPr>
          <w:rFonts w:cs="David" w:hint="cs"/>
          <w:rtl/>
        </w:rPr>
        <w:t xml:space="preserve"> והוִא נטמאה או עבר עליו רוח קנאה וקנא את אשתו והיא לא נטמאה</w:t>
      </w:r>
      <w:r w:rsidR="00D87F6F">
        <w:rPr>
          <w:rFonts w:cs="David"/>
          <w:rtl/>
        </w:rPr>
        <w:t>”</w:t>
      </w:r>
      <w:r w:rsidRPr="0075000E">
        <w:rPr>
          <w:rFonts w:cs="David" w:hint="cs"/>
          <w:rtl/>
        </w:rPr>
        <w:t xml:space="preserve"> (פס</w:t>
      </w:r>
      <w:r w:rsidR="00D87F6F">
        <w:rPr>
          <w:rFonts w:cs="David"/>
          <w:rtl/>
        </w:rPr>
        <w:t>’</w:t>
      </w:r>
      <w:r w:rsidRPr="0075000E">
        <w:rPr>
          <w:rFonts w:cs="David" w:hint="cs"/>
          <w:rtl/>
        </w:rPr>
        <w:t xml:space="preserve"> יד). הגדרות נבדלות אלו חוזרות ומופיעות גם בסיכומו של החוק, שעוסק: פעם אחת ב</w:t>
      </w:r>
      <w:r w:rsidR="00D87F6F">
        <w:rPr>
          <w:rFonts w:cs="David"/>
          <w:rtl/>
        </w:rPr>
        <w:t>”</w:t>
      </w:r>
      <w:r w:rsidRPr="0029467E">
        <w:rPr>
          <w:rFonts w:cs="David" w:hint="cs"/>
          <w:rtl/>
        </w:rPr>
        <w:t>זאת תורת...</w:t>
      </w:r>
      <w:r w:rsidRPr="0075000E">
        <w:rPr>
          <w:rFonts w:cs="David" w:hint="cs"/>
          <w:rtl/>
        </w:rPr>
        <w:t xml:space="preserve"> אשר </w:t>
      </w:r>
      <w:r w:rsidRPr="0075000E">
        <w:rPr>
          <w:rFonts w:cs="David" w:hint="cs"/>
          <w:b/>
          <w:bCs/>
          <w:rtl/>
        </w:rPr>
        <w:t>תשטה אשה</w:t>
      </w:r>
      <w:r w:rsidRPr="0075000E">
        <w:rPr>
          <w:rFonts w:cs="David" w:hint="cs"/>
          <w:rtl/>
        </w:rPr>
        <w:t xml:space="preserve"> תחת אישה ונטמאה</w:t>
      </w:r>
      <w:r w:rsidR="00D87F6F">
        <w:rPr>
          <w:rFonts w:cs="David"/>
          <w:rtl/>
        </w:rPr>
        <w:t>”</w:t>
      </w:r>
      <w:r w:rsidRPr="0075000E">
        <w:rPr>
          <w:rFonts w:cs="David" w:hint="cs"/>
          <w:rtl/>
        </w:rPr>
        <w:t xml:space="preserve"> (פס</w:t>
      </w:r>
      <w:r w:rsidR="00D87F6F">
        <w:rPr>
          <w:rFonts w:cs="David"/>
          <w:rtl/>
        </w:rPr>
        <w:t>’</w:t>
      </w:r>
      <w:r w:rsidRPr="0075000E">
        <w:rPr>
          <w:rFonts w:cs="David" w:hint="cs"/>
          <w:rtl/>
        </w:rPr>
        <w:t xml:space="preserve"> כט) ופעם שנייה ב</w:t>
      </w:r>
      <w:r w:rsidR="00D87F6F">
        <w:rPr>
          <w:rFonts w:cs="David"/>
          <w:rtl/>
        </w:rPr>
        <w:t>”</w:t>
      </w:r>
      <w:r w:rsidRPr="0075000E">
        <w:rPr>
          <w:rFonts w:cs="David" w:hint="cs"/>
          <w:rtl/>
        </w:rPr>
        <w:t xml:space="preserve">איש אשר </w:t>
      </w:r>
      <w:r w:rsidRPr="0029467E">
        <w:rPr>
          <w:rFonts w:cs="David" w:hint="cs"/>
          <w:b/>
          <w:bCs/>
          <w:rtl/>
        </w:rPr>
        <w:t xml:space="preserve">תעבר עליו רוח קנאה </w:t>
      </w:r>
      <w:r w:rsidRPr="0075000E">
        <w:rPr>
          <w:rFonts w:cs="David" w:hint="cs"/>
          <w:b/>
          <w:bCs/>
          <w:rtl/>
        </w:rPr>
        <w:t>וקנא את אשתו</w:t>
      </w:r>
      <w:r w:rsidRPr="0075000E">
        <w:rPr>
          <w:rFonts w:cs="David" w:hint="cs"/>
          <w:rtl/>
        </w:rPr>
        <w:t xml:space="preserve">... ועשה לה הכהן את כל </w:t>
      </w:r>
      <w:r w:rsidRPr="0029467E">
        <w:rPr>
          <w:rFonts w:cs="David" w:hint="cs"/>
          <w:rtl/>
        </w:rPr>
        <w:t>התורה הזאת</w:t>
      </w:r>
      <w:r w:rsidR="00D87F6F">
        <w:rPr>
          <w:rFonts w:cs="David"/>
          <w:rtl/>
        </w:rPr>
        <w:t>”</w:t>
      </w:r>
      <w:r w:rsidRPr="0075000E">
        <w:rPr>
          <w:rFonts w:cs="David" w:hint="cs"/>
          <w:rtl/>
        </w:rPr>
        <w:t xml:space="preserve"> (פס</w:t>
      </w:r>
      <w:r w:rsidR="00D87F6F">
        <w:rPr>
          <w:rFonts w:cs="David"/>
          <w:rtl/>
        </w:rPr>
        <w:t>’</w:t>
      </w:r>
      <w:r w:rsidRPr="0075000E">
        <w:rPr>
          <w:rFonts w:cs="David" w:hint="cs"/>
          <w:rtl/>
        </w:rPr>
        <w:t xml:space="preserve"> ל). מפסוקי הפתיחה והסיום משתמע כי תורה אחת עוסקת באישה </w:t>
      </w:r>
      <w:r w:rsidR="001157E5">
        <w:rPr>
          <w:rFonts w:cs="David" w:hint="cs"/>
          <w:rtl/>
        </w:rPr>
        <w:t>ש</w:t>
      </w:r>
      <w:r w:rsidRPr="0075000E">
        <w:rPr>
          <w:rFonts w:cs="David" w:hint="cs"/>
          <w:rtl/>
        </w:rPr>
        <w:t>נטמאה בעוד שהתורה השנ</w:t>
      </w:r>
      <w:r w:rsidR="00031020">
        <w:rPr>
          <w:rFonts w:cs="David" w:hint="cs"/>
          <w:rtl/>
        </w:rPr>
        <w:t>ייה עוסקת באישה ש</w:t>
      </w:r>
      <w:r w:rsidR="001157E5">
        <w:rPr>
          <w:rFonts w:cs="David" w:hint="cs"/>
          <w:rtl/>
        </w:rPr>
        <w:t xml:space="preserve">קיים ספק אם </w:t>
      </w:r>
      <w:r w:rsidR="00031020">
        <w:rPr>
          <w:rFonts w:cs="David" w:hint="cs"/>
          <w:rtl/>
        </w:rPr>
        <w:t>נטמאה</w:t>
      </w:r>
      <w:r w:rsidR="00F014DC">
        <w:rPr>
          <w:rFonts w:cs="David" w:hint="cs"/>
          <w:rtl/>
        </w:rPr>
        <w:t>;</w:t>
      </w:r>
      <w:r w:rsidR="00031020" w:rsidRPr="0075000E">
        <w:rPr>
          <w:rFonts w:cs="David"/>
          <w:vertAlign w:val="superscript"/>
          <w:rtl/>
        </w:rPr>
        <w:footnoteReference w:id="12"/>
      </w:r>
      <w:r w:rsidRPr="0075000E">
        <w:rPr>
          <w:rFonts w:cs="David" w:hint="cs"/>
          <w:rtl/>
        </w:rPr>
        <w:t xml:space="preserve"> </w:t>
      </w:r>
    </w:p>
    <w:p w:rsidR="00AA39B1" w:rsidRPr="00AA39B1" w:rsidRDefault="0084439A" w:rsidP="00322E20">
      <w:pPr>
        <w:numPr>
          <w:ilvl w:val="3"/>
          <w:numId w:val="29"/>
        </w:numPr>
        <w:spacing w:line="360" w:lineRule="auto"/>
        <w:ind w:left="368"/>
        <w:jc w:val="both"/>
        <w:rPr>
          <w:rFonts w:cs="David"/>
        </w:rPr>
      </w:pPr>
      <w:r>
        <w:rPr>
          <w:rFonts w:ascii="David" w:hAnsi="David" w:cs="David"/>
          <w:rtl/>
        </w:rPr>
        <w:t xml:space="preserve">הליך </w:t>
      </w:r>
      <w:r w:rsidR="00AA39B1" w:rsidRPr="00AA39B1">
        <w:rPr>
          <w:rFonts w:ascii="David" w:hAnsi="David" w:cs="David"/>
          <w:rtl/>
        </w:rPr>
        <w:t xml:space="preserve">משפטי </w:t>
      </w:r>
      <w:r w:rsidR="00AA39B1" w:rsidRPr="00AA39B1">
        <w:rPr>
          <w:rFonts w:ascii="David" w:hAnsi="David" w:cs="David" w:hint="cs"/>
          <w:rtl/>
        </w:rPr>
        <w:t>יש לנהל</w:t>
      </w:r>
      <w:r w:rsidR="00AA39B1" w:rsidRPr="00AA39B1">
        <w:rPr>
          <w:rFonts w:ascii="David" w:hAnsi="David" w:cs="David"/>
          <w:rtl/>
        </w:rPr>
        <w:t xml:space="preserve"> </w:t>
      </w:r>
      <w:r w:rsidR="00AA39B1" w:rsidRPr="00AA39B1">
        <w:rPr>
          <w:rFonts w:ascii="David" w:hAnsi="David" w:cs="David" w:hint="cs"/>
          <w:rtl/>
        </w:rPr>
        <w:t xml:space="preserve">אך ורק </w:t>
      </w:r>
      <w:r w:rsidR="00AA39B1" w:rsidRPr="00AA39B1">
        <w:rPr>
          <w:rFonts w:ascii="David" w:hAnsi="David" w:cs="David"/>
          <w:rtl/>
        </w:rPr>
        <w:t xml:space="preserve">על בסיס עדים: </w:t>
      </w:r>
      <w:r w:rsidR="00D87F6F">
        <w:rPr>
          <w:rFonts w:ascii="David" w:hAnsi="David" w:cs="David"/>
          <w:rtl/>
        </w:rPr>
        <w:t>“</w:t>
      </w:r>
      <w:r w:rsidR="00AA39B1" w:rsidRPr="00AA39B1">
        <w:rPr>
          <w:rFonts w:ascii="David" w:hAnsi="David" w:cs="David" w:hint="cs"/>
          <w:rtl/>
        </w:rPr>
        <w:t xml:space="preserve">לא יקום עד אחד באיש לכל עון ולכל חטאת בכל חטא אשר יחטא </w:t>
      </w:r>
      <w:r w:rsidR="00AA39B1" w:rsidRPr="00AA39B1">
        <w:rPr>
          <w:rFonts w:ascii="David" w:hAnsi="David" w:cs="David"/>
          <w:rtl/>
        </w:rPr>
        <w:t>על פי שני עדים או על פי שלשה עדים יקום דבר</w:t>
      </w:r>
      <w:r w:rsidR="00D87F6F">
        <w:rPr>
          <w:rFonts w:ascii="David" w:hAnsi="David" w:cs="David"/>
          <w:rtl/>
        </w:rPr>
        <w:t>”</w:t>
      </w:r>
      <w:r w:rsidR="00AA39B1" w:rsidRPr="00AA39B1">
        <w:rPr>
          <w:rFonts w:ascii="David" w:hAnsi="David" w:cs="David"/>
          <w:rtl/>
        </w:rPr>
        <w:t xml:space="preserve"> (דב</w:t>
      </w:r>
      <w:r w:rsidR="00D87F6F">
        <w:rPr>
          <w:rFonts w:ascii="David" w:hAnsi="David" w:cs="David"/>
          <w:rtl/>
        </w:rPr>
        <w:t>’</w:t>
      </w:r>
      <w:r w:rsidR="00AA39B1" w:rsidRPr="00AA39B1">
        <w:rPr>
          <w:rFonts w:ascii="David" w:hAnsi="David" w:cs="David"/>
          <w:rtl/>
        </w:rPr>
        <w:t xml:space="preserve"> יט, טו; וכן: במ</w:t>
      </w:r>
      <w:r w:rsidR="00D87F6F">
        <w:rPr>
          <w:rFonts w:ascii="David" w:hAnsi="David" w:cs="David"/>
          <w:rtl/>
        </w:rPr>
        <w:t>’</w:t>
      </w:r>
      <w:r w:rsidR="00AA39B1" w:rsidRPr="00AA39B1">
        <w:rPr>
          <w:rFonts w:ascii="David" w:hAnsi="David" w:cs="David"/>
          <w:rtl/>
        </w:rPr>
        <w:t xml:space="preserve"> לה, כט-ל; דב</w:t>
      </w:r>
      <w:r w:rsidR="00D87F6F">
        <w:rPr>
          <w:rFonts w:ascii="David" w:hAnsi="David" w:cs="David"/>
          <w:rtl/>
        </w:rPr>
        <w:t>’</w:t>
      </w:r>
      <w:r w:rsidR="00AA39B1" w:rsidRPr="00AA39B1">
        <w:rPr>
          <w:rFonts w:ascii="David" w:hAnsi="David" w:cs="David"/>
          <w:rtl/>
        </w:rPr>
        <w:t xml:space="preserve"> יז, ו) או על בסיס ראיות: </w:t>
      </w:r>
      <w:r w:rsidR="00D87F6F">
        <w:rPr>
          <w:rFonts w:ascii="David" w:hAnsi="David" w:cs="David"/>
          <w:rtl/>
        </w:rPr>
        <w:t>“</w:t>
      </w:r>
      <w:r w:rsidR="00AA39B1" w:rsidRPr="00AA39B1">
        <w:rPr>
          <w:rFonts w:ascii="David" w:hAnsi="David" w:cs="David"/>
          <w:rtl/>
        </w:rPr>
        <w:t>והוציאו את בתולי הנערה אל זקני העיר השערה (דב</w:t>
      </w:r>
      <w:r w:rsidR="00D87F6F">
        <w:rPr>
          <w:rFonts w:ascii="David" w:hAnsi="David" w:cs="David"/>
          <w:rtl/>
        </w:rPr>
        <w:t>’</w:t>
      </w:r>
      <w:r w:rsidR="00AA39B1" w:rsidRPr="00AA39B1">
        <w:rPr>
          <w:rFonts w:ascii="David" w:hAnsi="David" w:cs="David"/>
          <w:rtl/>
        </w:rPr>
        <w:t xml:space="preserve"> כב, טו). </w:t>
      </w:r>
      <w:r w:rsidR="00AA39B1" w:rsidRPr="00AA39B1">
        <w:rPr>
          <w:rFonts w:ascii="David" w:hAnsi="David" w:cs="David" w:hint="cs"/>
          <w:rtl/>
        </w:rPr>
        <w:t xml:space="preserve">מדוע </w:t>
      </w:r>
      <w:r w:rsidR="00AF3FAA">
        <w:rPr>
          <w:rFonts w:ascii="David" w:hAnsi="David" w:cs="David" w:hint="cs"/>
          <w:rtl/>
        </w:rPr>
        <w:t>אפוא</w:t>
      </w:r>
      <w:r w:rsidR="00AA39B1">
        <w:rPr>
          <w:rFonts w:ascii="David" w:hAnsi="David" w:cs="David" w:hint="cs"/>
          <w:rtl/>
        </w:rPr>
        <w:t xml:space="preserve"> </w:t>
      </w:r>
      <w:r w:rsidR="00AF3FAA">
        <w:rPr>
          <w:rFonts w:ascii="David" w:hAnsi="David" w:cs="David" w:hint="cs"/>
          <w:rtl/>
        </w:rPr>
        <w:t>יש לעסוק באישומה של</w:t>
      </w:r>
      <w:r w:rsidR="00AA39B1" w:rsidRPr="00AA39B1">
        <w:rPr>
          <w:rFonts w:ascii="David" w:hAnsi="David" w:cs="David"/>
          <w:rtl/>
        </w:rPr>
        <w:t xml:space="preserve"> הסוטה</w:t>
      </w:r>
      <w:r w:rsidR="00DC50B0">
        <w:rPr>
          <w:rFonts w:ascii="David" w:hAnsi="David" w:cs="David" w:hint="cs"/>
          <w:rtl/>
        </w:rPr>
        <w:t>,</w:t>
      </w:r>
      <w:r w:rsidR="00AF3FAA">
        <w:rPr>
          <w:rFonts w:ascii="David" w:hAnsi="David" w:cs="David" w:hint="cs"/>
          <w:rtl/>
        </w:rPr>
        <w:t xml:space="preserve"> אף</w:t>
      </w:r>
      <w:r w:rsidR="00AA39B1" w:rsidRPr="00AA39B1">
        <w:rPr>
          <w:rFonts w:ascii="David" w:hAnsi="David" w:cs="David"/>
          <w:rtl/>
        </w:rPr>
        <w:t xml:space="preserve"> </w:t>
      </w:r>
      <w:r w:rsidR="00AF3FAA">
        <w:rPr>
          <w:rFonts w:ascii="David" w:hAnsi="David" w:cs="David" w:hint="cs"/>
          <w:rtl/>
        </w:rPr>
        <w:t>ש</w:t>
      </w:r>
      <w:r w:rsidR="00AA39B1" w:rsidRPr="00AA39B1">
        <w:rPr>
          <w:rFonts w:ascii="David" w:hAnsi="David" w:cs="David"/>
          <w:rtl/>
        </w:rPr>
        <w:t>נאמר</w:t>
      </w:r>
      <w:r w:rsidR="00AF3FAA">
        <w:rPr>
          <w:rFonts w:ascii="David" w:hAnsi="David" w:cs="David" w:hint="cs"/>
          <w:rtl/>
        </w:rPr>
        <w:t xml:space="preserve"> במפורש:</w:t>
      </w:r>
      <w:r w:rsidR="00AA39B1" w:rsidRPr="00AA39B1">
        <w:rPr>
          <w:rFonts w:ascii="David" w:hAnsi="David" w:cs="David"/>
          <w:rtl/>
        </w:rPr>
        <w:t xml:space="preserve"> </w:t>
      </w:r>
      <w:r w:rsidR="00D87F6F">
        <w:rPr>
          <w:rFonts w:ascii="David" w:hAnsi="David" w:cs="David"/>
          <w:rtl/>
        </w:rPr>
        <w:t>“</w:t>
      </w:r>
      <w:r w:rsidR="00AA39B1" w:rsidRPr="00AA39B1">
        <w:rPr>
          <w:rFonts w:ascii="David" w:hAnsi="David" w:cs="David"/>
          <w:rtl/>
        </w:rPr>
        <w:t>וע</w:t>
      </w:r>
      <w:r w:rsidR="00AF3FAA">
        <w:rPr>
          <w:rFonts w:ascii="David" w:hAnsi="David" w:cs="David"/>
          <w:rtl/>
        </w:rPr>
        <w:t>ד אין בה</w:t>
      </w:r>
      <w:r w:rsidR="00AF3FAA">
        <w:rPr>
          <w:rFonts w:ascii="David" w:hAnsi="David" w:cs="David" w:hint="cs"/>
          <w:rtl/>
        </w:rPr>
        <w:t xml:space="preserve"> </w:t>
      </w:r>
      <w:r w:rsidR="00AF3FAA">
        <w:rPr>
          <w:rFonts w:ascii="David" w:hAnsi="David" w:cs="David"/>
          <w:rtl/>
        </w:rPr>
        <w:t>וה</w:t>
      </w:r>
      <w:r w:rsidR="00AF3FAA">
        <w:rPr>
          <w:rFonts w:ascii="David" w:hAnsi="David" w:cs="David" w:hint="cs"/>
          <w:rtl/>
        </w:rPr>
        <w:t>וִ</w:t>
      </w:r>
      <w:r w:rsidR="00AF3FAA">
        <w:rPr>
          <w:rFonts w:ascii="David" w:hAnsi="David" w:cs="David"/>
          <w:rtl/>
        </w:rPr>
        <w:t>א לא נתפשה</w:t>
      </w:r>
      <w:r w:rsidR="00D87F6F">
        <w:rPr>
          <w:rFonts w:ascii="David" w:hAnsi="David" w:cs="David"/>
          <w:rtl/>
        </w:rPr>
        <w:t>”</w:t>
      </w:r>
      <w:r w:rsidR="00AF3FAA">
        <w:rPr>
          <w:rFonts w:ascii="David" w:hAnsi="David" w:cs="David"/>
          <w:rtl/>
        </w:rPr>
        <w:t xml:space="preserve"> (</w:t>
      </w:r>
      <w:r w:rsidR="00AF3FAA">
        <w:rPr>
          <w:rFonts w:ascii="David" w:hAnsi="David" w:cs="David" w:hint="cs"/>
          <w:rtl/>
        </w:rPr>
        <w:t>פס</w:t>
      </w:r>
      <w:r w:rsidR="00D87F6F">
        <w:rPr>
          <w:rFonts w:ascii="David" w:hAnsi="David" w:cs="David"/>
          <w:rtl/>
        </w:rPr>
        <w:t>’</w:t>
      </w:r>
      <w:r w:rsidR="00AF3FAA">
        <w:rPr>
          <w:rFonts w:ascii="David" w:hAnsi="David" w:cs="David" w:hint="cs"/>
          <w:rtl/>
        </w:rPr>
        <w:t xml:space="preserve"> יג</w:t>
      </w:r>
      <w:r w:rsidR="00AF3FAA">
        <w:rPr>
          <w:rFonts w:ascii="David" w:hAnsi="David" w:cs="David"/>
          <w:rtl/>
        </w:rPr>
        <w:t>)</w:t>
      </w:r>
      <w:r w:rsidR="00AF3FAA">
        <w:rPr>
          <w:rFonts w:ascii="David" w:hAnsi="David" w:cs="David" w:hint="cs"/>
          <w:rtl/>
        </w:rPr>
        <w:t>?</w:t>
      </w:r>
      <w:r w:rsidR="00AA39B1" w:rsidRPr="00AA39B1">
        <w:rPr>
          <w:rFonts w:ascii="David" w:hAnsi="David" w:cs="David"/>
          <w:rtl/>
        </w:rPr>
        <w:t xml:space="preserve"> </w:t>
      </w:r>
    </w:p>
    <w:p w:rsidR="0075000E" w:rsidRDefault="0039451B" w:rsidP="00322E20">
      <w:pPr>
        <w:numPr>
          <w:ilvl w:val="3"/>
          <w:numId w:val="29"/>
        </w:numPr>
        <w:spacing w:line="360" w:lineRule="auto"/>
        <w:ind w:left="368"/>
        <w:jc w:val="both"/>
        <w:rPr>
          <w:rFonts w:cs="David"/>
        </w:rPr>
      </w:pPr>
      <w:r w:rsidRPr="0075000E">
        <w:rPr>
          <w:rFonts w:ascii="David" w:hAnsi="David" w:cs="David"/>
          <w:rtl/>
        </w:rPr>
        <w:t>אם אורדיל יכול לשמש כאמצעי יעיל לבירור קיומו של חטא,</w:t>
      </w:r>
      <w:r w:rsidR="00AF3FAA">
        <w:rPr>
          <w:rFonts w:ascii="David" w:hAnsi="David" w:cs="David" w:hint="cs"/>
          <w:rtl/>
        </w:rPr>
        <w:t xml:space="preserve"> גם כאשר אין עדים וראיות,</w:t>
      </w:r>
      <w:r w:rsidRPr="0075000E">
        <w:rPr>
          <w:rFonts w:ascii="David" w:hAnsi="David" w:cs="David"/>
          <w:rtl/>
        </w:rPr>
        <w:t xml:space="preserve"> מדוע </w:t>
      </w:r>
      <w:r w:rsidR="000E239E" w:rsidRPr="0075000E">
        <w:rPr>
          <w:rFonts w:ascii="David" w:hAnsi="David" w:cs="David"/>
          <w:rtl/>
        </w:rPr>
        <w:t>לא נעשה בו שימוש בחוקים נוספים</w:t>
      </w:r>
      <w:r w:rsidRPr="0075000E">
        <w:rPr>
          <w:rFonts w:ascii="David" w:hAnsi="David" w:cs="David"/>
          <w:rtl/>
        </w:rPr>
        <w:t xml:space="preserve">? לדוגמה, </w:t>
      </w:r>
      <w:r w:rsidR="000E239E" w:rsidRPr="0075000E">
        <w:rPr>
          <w:rFonts w:ascii="David" w:hAnsi="David" w:cs="David"/>
          <w:rtl/>
        </w:rPr>
        <w:t xml:space="preserve">בספר דברים נדון מעמדה של </w:t>
      </w:r>
      <w:r w:rsidRPr="0075000E">
        <w:rPr>
          <w:rFonts w:ascii="David" w:hAnsi="David" w:cs="David"/>
          <w:rtl/>
        </w:rPr>
        <w:t xml:space="preserve">נערה מאורשה שקיימה יחסים עם גבר זר </w:t>
      </w:r>
      <w:r w:rsidR="000E239E" w:rsidRPr="0075000E">
        <w:rPr>
          <w:rFonts w:ascii="David" w:hAnsi="David" w:cs="David"/>
          <w:rtl/>
        </w:rPr>
        <w:t xml:space="preserve">בהסתמך על מיקום קיום היחסים - בעיר או בשדה (כב, כג-כז). הבחנה זו מושתתת על </w:t>
      </w:r>
      <w:r w:rsidR="0084439A">
        <w:rPr>
          <w:rFonts w:ascii="David" w:hAnsi="David" w:cs="David" w:hint="cs"/>
          <w:rtl/>
        </w:rPr>
        <w:t>ה</w:t>
      </w:r>
      <w:r w:rsidR="000E239E" w:rsidRPr="0075000E">
        <w:rPr>
          <w:rFonts w:ascii="David" w:hAnsi="David" w:cs="David"/>
          <w:rtl/>
        </w:rPr>
        <w:t xml:space="preserve">הנחה שצעקתה של הנערה הייתה נשמעת בעיר מה שאין כן בשדה. </w:t>
      </w:r>
      <w:r w:rsidR="003C2A3B">
        <w:rPr>
          <w:rFonts w:ascii="David" w:hAnsi="David" w:cs="David" w:hint="cs"/>
          <w:rtl/>
        </w:rPr>
        <w:t>הנחה זו</w:t>
      </w:r>
      <w:r w:rsidR="003C2A3B">
        <w:rPr>
          <w:rFonts w:ascii="David" w:hAnsi="David" w:cs="David"/>
          <w:rtl/>
        </w:rPr>
        <w:t xml:space="preserve"> </w:t>
      </w:r>
      <w:r w:rsidR="0084439A">
        <w:rPr>
          <w:rFonts w:ascii="David" w:hAnsi="David" w:cs="David" w:hint="cs"/>
          <w:rtl/>
        </w:rPr>
        <w:t>עלולה להוביל לחיוב</w:t>
      </w:r>
      <w:r w:rsidR="000E239E" w:rsidRPr="0075000E">
        <w:rPr>
          <w:rFonts w:ascii="David" w:hAnsi="David" w:cs="David"/>
          <w:rtl/>
        </w:rPr>
        <w:t xml:space="preserve"> הנערה המאורשה </w:t>
      </w:r>
      <w:r w:rsidR="003C2A3B">
        <w:rPr>
          <w:rFonts w:ascii="David" w:hAnsi="David" w:cs="David" w:hint="cs"/>
          <w:rtl/>
        </w:rPr>
        <w:t>ב</w:t>
      </w:r>
      <w:r w:rsidR="000E239E" w:rsidRPr="0075000E">
        <w:rPr>
          <w:rFonts w:ascii="David" w:hAnsi="David" w:cs="David"/>
          <w:rtl/>
        </w:rPr>
        <w:t xml:space="preserve">עונש גם במקרה שהיא </w:t>
      </w:r>
      <w:r w:rsidR="003C2A3B">
        <w:rPr>
          <w:rFonts w:ascii="David" w:hAnsi="David" w:cs="David" w:hint="cs"/>
          <w:rtl/>
        </w:rPr>
        <w:t xml:space="preserve">לא </w:t>
      </w:r>
      <w:r w:rsidR="000E239E" w:rsidRPr="0075000E">
        <w:rPr>
          <w:rFonts w:ascii="David" w:hAnsi="David" w:cs="David"/>
          <w:rtl/>
        </w:rPr>
        <w:t>הייתה ש</w:t>
      </w:r>
      <w:r w:rsidR="00B420B2">
        <w:rPr>
          <w:rFonts w:ascii="David" w:hAnsi="David" w:cs="David"/>
          <w:rtl/>
        </w:rPr>
        <w:t>ותפה לעבירה</w:t>
      </w:r>
      <w:r w:rsidR="003C2A3B">
        <w:rPr>
          <w:rFonts w:ascii="David" w:hAnsi="David" w:cs="David" w:hint="cs"/>
          <w:rtl/>
        </w:rPr>
        <w:t xml:space="preserve"> </w:t>
      </w:r>
      <w:r w:rsidR="003C2A3B">
        <w:rPr>
          <w:rFonts w:ascii="David" w:hAnsi="David" w:cs="David" w:hint="cs"/>
          <w:rtl/>
        </w:rPr>
        <w:lastRenderedPageBreak/>
        <w:t xml:space="preserve">בעיר </w:t>
      </w:r>
      <w:r w:rsidR="0084439A">
        <w:rPr>
          <w:rFonts w:ascii="David" w:hAnsi="David" w:cs="David" w:hint="cs"/>
          <w:rtl/>
        </w:rPr>
        <w:t>כשם שהיא עשויה לפטור</w:t>
      </w:r>
      <w:r w:rsidR="003C2A3B">
        <w:rPr>
          <w:rFonts w:ascii="David" w:hAnsi="David" w:cs="David" w:hint="cs"/>
          <w:rtl/>
        </w:rPr>
        <w:t xml:space="preserve"> אותה מעונש גם כשהייתה שותפה</w:t>
      </w:r>
      <w:r w:rsidR="0084439A">
        <w:rPr>
          <w:rFonts w:ascii="David" w:hAnsi="David" w:cs="David" w:hint="cs"/>
          <w:rtl/>
        </w:rPr>
        <w:t xml:space="preserve"> לעבירה</w:t>
      </w:r>
      <w:r w:rsidR="003C2A3B">
        <w:rPr>
          <w:rFonts w:ascii="David" w:hAnsi="David" w:cs="David" w:hint="cs"/>
          <w:rtl/>
        </w:rPr>
        <w:t xml:space="preserve"> בשדה</w:t>
      </w:r>
      <w:r w:rsidR="00B420B2">
        <w:rPr>
          <w:rFonts w:ascii="David" w:hAnsi="David" w:cs="David"/>
          <w:rtl/>
        </w:rPr>
        <w:t>.</w:t>
      </w:r>
      <w:r w:rsidR="000E239E" w:rsidRPr="0075000E">
        <w:rPr>
          <w:rFonts w:ascii="David" w:hAnsi="David" w:cs="David"/>
          <w:rtl/>
        </w:rPr>
        <w:t xml:space="preserve"> שימוש באורדיל</w:t>
      </w:r>
      <w:r w:rsidR="00356FC1" w:rsidRPr="0075000E">
        <w:rPr>
          <w:rFonts w:ascii="David" w:hAnsi="David" w:cs="David"/>
          <w:rtl/>
        </w:rPr>
        <w:t xml:space="preserve"> </w:t>
      </w:r>
      <w:r w:rsidR="00B420B2">
        <w:rPr>
          <w:rFonts w:ascii="David" w:hAnsi="David" w:cs="David" w:hint="cs"/>
          <w:rtl/>
        </w:rPr>
        <w:t xml:space="preserve">יכול למנוע </w:t>
      </w:r>
      <w:r w:rsidR="0084439A">
        <w:rPr>
          <w:rFonts w:ascii="David" w:hAnsi="David" w:cs="David" w:hint="cs"/>
          <w:rtl/>
        </w:rPr>
        <w:t>תוצאות שגויות מעין אלו</w:t>
      </w:r>
      <w:r w:rsidR="009B4C64" w:rsidRPr="0075000E">
        <w:rPr>
          <w:rFonts w:ascii="David" w:hAnsi="David" w:cs="David"/>
          <w:rtl/>
        </w:rPr>
        <w:t>;</w:t>
      </w:r>
      <w:r w:rsidR="0082189F" w:rsidRPr="00404031">
        <w:rPr>
          <w:rStyle w:val="FootnoteReference"/>
          <w:rFonts w:cs="David"/>
          <w:rtl/>
        </w:rPr>
        <w:footnoteReference w:id="13"/>
      </w:r>
      <w:r w:rsidR="00356FC1" w:rsidRPr="0075000E">
        <w:rPr>
          <w:rFonts w:ascii="David" w:hAnsi="David" w:cs="David"/>
          <w:rtl/>
        </w:rPr>
        <w:t xml:space="preserve"> </w:t>
      </w:r>
    </w:p>
    <w:p w:rsidR="0075000E" w:rsidRDefault="00893ADA" w:rsidP="00322E20">
      <w:pPr>
        <w:numPr>
          <w:ilvl w:val="3"/>
          <w:numId w:val="29"/>
        </w:numPr>
        <w:spacing w:line="360" w:lineRule="auto"/>
        <w:ind w:left="368"/>
        <w:jc w:val="both"/>
        <w:rPr>
          <w:rFonts w:cs="David"/>
        </w:rPr>
      </w:pPr>
      <w:r w:rsidRPr="0075000E">
        <w:rPr>
          <w:rFonts w:ascii="David" w:hAnsi="David" w:cs="David"/>
          <w:rtl/>
        </w:rPr>
        <w:t xml:space="preserve">אם כתוצאה מההשקיה מתברר שהאישה נאפה, </w:t>
      </w:r>
      <w:r w:rsidR="00002849" w:rsidRPr="0075000E">
        <w:rPr>
          <w:rFonts w:ascii="David" w:hAnsi="David" w:cs="David"/>
          <w:rtl/>
        </w:rPr>
        <w:t xml:space="preserve">מדוע </w:t>
      </w:r>
      <w:r w:rsidR="00726753">
        <w:rPr>
          <w:rFonts w:ascii="David" w:hAnsi="David" w:cs="David" w:hint="cs"/>
          <w:rtl/>
        </w:rPr>
        <w:t xml:space="preserve">אין ממיתים אותה </w:t>
      </w:r>
      <w:r w:rsidR="00726753" w:rsidRPr="0075000E">
        <w:rPr>
          <w:rFonts w:ascii="David" w:hAnsi="David" w:cs="David"/>
          <w:rtl/>
        </w:rPr>
        <w:t>בהתאם לקבוע בחוק</w:t>
      </w:r>
      <w:r w:rsidR="00726753">
        <w:rPr>
          <w:rFonts w:ascii="David" w:hAnsi="David" w:cs="David" w:hint="cs"/>
          <w:rtl/>
        </w:rPr>
        <w:t xml:space="preserve"> (ויק</w:t>
      </w:r>
      <w:r w:rsidR="00D87F6F">
        <w:rPr>
          <w:rFonts w:ascii="David" w:hAnsi="David" w:cs="David"/>
          <w:rtl/>
        </w:rPr>
        <w:t>’</w:t>
      </w:r>
      <w:r w:rsidR="00726753">
        <w:rPr>
          <w:rFonts w:ascii="David" w:hAnsi="David" w:cs="David" w:hint="cs"/>
          <w:rtl/>
        </w:rPr>
        <w:t xml:space="preserve"> כ, י; דב</w:t>
      </w:r>
      <w:r w:rsidR="00D87F6F">
        <w:rPr>
          <w:rFonts w:ascii="David" w:hAnsi="David" w:cs="David"/>
          <w:rtl/>
        </w:rPr>
        <w:t>’</w:t>
      </w:r>
      <w:r w:rsidR="00726753">
        <w:rPr>
          <w:rFonts w:ascii="David" w:hAnsi="David" w:cs="David" w:hint="cs"/>
          <w:rtl/>
        </w:rPr>
        <w:t xml:space="preserve"> כב, כב)?</w:t>
      </w:r>
      <w:r w:rsidR="0067204A" w:rsidRPr="0075000E">
        <w:rPr>
          <w:rFonts w:cs="David"/>
          <w:vertAlign w:val="superscript"/>
          <w:rtl/>
        </w:rPr>
        <w:footnoteReference w:id="14"/>
      </w:r>
      <w:r w:rsidRPr="0075000E">
        <w:rPr>
          <w:rFonts w:ascii="David" w:hAnsi="David" w:cs="David"/>
          <w:rtl/>
        </w:rPr>
        <w:t xml:space="preserve"> </w:t>
      </w:r>
    </w:p>
    <w:p w:rsidR="00D1188F" w:rsidRPr="0075000E" w:rsidRDefault="00002849" w:rsidP="00322E20">
      <w:pPr>
        <w:numPr>
          <w:ilvl w:val="3"/>
          <w:numId w:val="29"/>
        </w:numPr>
        <w:spacing w:line="360" w:lineRule="auto"/>
        <w:ind w:left="368"/>
        <w:jc w:val="both"/>
        <w:rPr>
          <w:rFonts w:cs="David"/>
        </w:rPr>
      </w:pPr>
      <w:r w:rsidRPr="0075000E">
        <w:rPr>
          <w:rFonts w:ascii="David" w:hAnsi="David" w:cs="David"/>
          <w:rtl/>
        </w:rPr>
        <w:t xml:space="preserve">המחוקק יוצר השוואה </w:t>
      </w:r>
      <w:r w:rsidR="002E289C">
        <w:rPr>
          <w:rFonts w:ascii="David" w:hAnsi="David" w:cs="David" w:hint="cs"/>
          <w:rtl/>
        </w:rPr>
        <w:t xml:space="preserve">מלאה </w:t>
      </w:r>
      <w:r w:rsidRPr="0075000E">
        <w:rPr>
          <w:rFonts w:ascii="David" w:hAnsi="David" w:cs="David"/>
          <w:rtl/>
        </w:rPr>
        <w:t>בין דינו של הנואף לדינה של הנואפת:</w:t>
      </w:r>
      <w:r w:rsidR="00D65F6E" w:rsidRPr="0075000E">
        <w:rPr>
          <w:rFonts w:ascii="David" w:hAnsi="David" w:cs="David"/>
          <w:rtl/>
        </w:rPr>
        <w:t xml:space="preserve"> </w:t>
      </w:r>
      <w:r w:rsidR="00D87F6F">
        <w:rPr>
          <w:rFonts w:ascii="David" w:hAnsi="David" w:cs="David"/>
          <w:rtl/>
        </w:rPr>
        <w:t>“</w:t>
      </w:r>
      <w:r w:rsidR="00D65F6E" w:rsidRPr="0075000E">
        <w:rPr>
          <w:rFonts w:ascii="David" w:hAnsi="David" w:cs="David"/>
          <w:rtl/>
        </w:rPr>
        <w:t>איש אשר ינאף את אשת רעהו מות יומת הנאף והנאפת</w:t>
      </w:r>
      <w:r w:rsidR="00D87F6F">
        <w:rPr>
          <w:rFonts w:ascii="David" w:hAnsi="David" w:cs="David"/>
          <w:rtl/>
        </w:rPr>
        <w:t>”</w:t>
      </w:r>
      <w:r w:rsidR="00D65F6E" w:rsidRPr="0075000E">
        <w:rPr>
          <w:rFonts w:ascii="David" w:hAnsi="David" w:cs="David"/>
          <w:rtl/>
        </w:rPr>
        <w:t xml:space="preserve"> (ויק</w:t>
      </w:r>
      <w:r w:rsidR="00D87F6F">
        <w:rPr>
          <w:rFonts w:ascii="David" w:hAnsi="David" w:cs="David"/>
          <w:rtl/>
        </w:rPr>
        <w:t>’</w:t>
      </w:r>
      <w:r w:rsidR="00D65F6E" w:rsidRPr="0075000E">
        <w:rPr>
          <w:rFonts w:ascii="David" w:hAnsi="David" w:cs="David"/>
          <w:rtl/>
        </w:rPr>
        <w:t xml:space="preserve"> כ, י; וכן: דב</w:t>
      </w:r>
      <w:r w:rsidR="00D87F6F">
        <w:rPr>
          <w:rFonts w:ascii="David" w:hAnsi="David" w:cs="David"/>
          <w:rtl/>
        </w:rPr>
        <w:t>’</w:t>
      </w:r>
      <w:r w:rsidR="00D65F6E" w:rsidRPr="0075000E">
        <w:rPr>
          <w:rFonts w:ascii="David" w:hAnsi="David" w:cs="David"/>
          <w:rtl/>
        </w:rPr>
        <w:t xml:space="preserve"> כב, כב)</w:t>
      </w:r>
      <w:r w:rsidR="00D1188F" w:rsidRPr="0075000E">
        <w:rPr>
          <w:rFonts w:ascii="David" w:hAnsi="David" w:cs="David"/>
          <w:rtl/>
        </w:rPr>
        <w:t xml:space="preserve">. </w:t>
      </w:r>
      <w:r w:rsidR="0082189F">
        <w:rPr>
          <w:rFonts w:ascii="David" w:hAnsi="David" w:cs="David" w:hint="cs"/>
          <w:rtl/>
        </w:rPr>
        <w:t xml:space="preserve">מדוע </w:t>
      </w:r>
      <w:r w:rsidR="00D1188F" w:rsidRPr="0075000E">
        <w:rPr>
          <w:rFonts w:ascii="David" w:hAnsi="David" w:cs="David"/>
          <w:rtl/>
        </w:rPr>
        <w:t>חוק הסוטה עוסק בדינה של הנואפת ומתעלם מחלקו של הנואף</w:t>
      </w:r>
      <w:r w:rsidR="0082189F">
        <w:rPr>
          <w:rFonts w:ascii="David" w:hAnsi="David" w:cs="David" w:hint="cs"/>
          <w:rtl/>
        </w:rPr>
        <w:t>?</w:t>
      </w:r>
    </w:p>
    <w:p w:rsidR="00515E38" w:rsidRDefault="00AE523B" w:rsidP="0082189F">
      <w:pPr>
        <w:spacing w:line="360" w:lineRule="auto"/>
        <w:jc w:val="both"/>
        <w:rPr>
          <w:rFonts w:ascii="David" w:hAnsi="David" w:cs="David"/>
          <w:rtl/>
        </w:rPr>
      </w:pPr>
      <w:r w:rsidRPr="0075000E">
        <w:rPr>
          <w:rFonts w:ascii="David" w:hAnsi="David" w:cs="David"/>
          <w:rtl/>
        </w:rPr>
        <w:t xml:space="preserve">לאור </w:t>
      </w:r>
      <w:r w:rsidR="00DC09D2" w:rsidRPr="0075000E">
        <w:rPr>
          <w:rFonts w:ascii="David" w:hAnsi="David" w:cs="David"/>
          <w:rtl/>
        </w:rPr>
        <w:t>קשיים</w:t>
      </w:r>
      <w:r w:rsidRPr="0075000E">
        <w:rPr>
          <w:rFonts w:ascii="David" w:hAnsi="David" w:cs="David"/>
          <w:rtl/>
        </w:rPr>
        <w:t xml:space="preserve"> אלו יש ל</w:t>
      </w:r>
      <w:r w:rsidR="005D771C">
        <w:rPr>
          <w:rFonts w:ascii="David" w:hAnsi="David" w:cs="David" w:hint="cs"/>
          <w:rtl/>
        </w:rPr>
        <w:t>תהות</w:t>
      </w:r>
      <w:r w:rsidRPr="0075000E">
        <w:rPr>
          <w:rFonts w:ascii="David" w:hAnsi="David" w:cs="David"/>
          <w:rtl/>
        </w:rPr>
        <w:t xml:space="preserve"> </w:t>
      </w:r>
      <w:r w:rsidR="00B81C97" w:rsidRPr="0075000E">
        <w:rPr>
          <w:rFonts w:ascii="David" w:hAnsi="David" w:cs="David"/>
          <w:rtl/>
        </w:rPr>
        <w:t xml:space="preserve">מדוע </w:t>
      </w:r>
      <w:r w:rsidRPr="0075000E">
        <w:rPr>
          <w:rFonts w:ascii="David" w:hAnsi="David" w:cs="David"/>
          <w:rtl/>
        </w:rPr>
        <w:t xml:space="preserve">מחבר </w:t>
      </w:r>
      <w:r w:rsidR="00B81C97" w:rsidRPr="0075000E">
        <w:rPr>
          <w:rFonts w:ascii="David" w:hAnsi="David" w:cs="David"/>
          <w:rtl/>
        </w:rPr>
        <w:t xml:space="preserve">ספר במדבר </w:t>
      </w:r>
      <w:r w:rsidR="0084439A">
        <w:rPr>
          <w:rFonts w:ascii="David" w:hAnsi="David" w:cs="David" w:hint="cs"/>
          <w:rtl/>
        </w:rPr>
        <w:t>נותן מקום</w:t>
      </w:r>
      <w:r w:rsidR="00B81C97" w:rsidRPr="0075000E">
        <w:rPr>
          <w:rFonts w:ascii="David" w:hAnsi="David" w:cs="David"/>
          <w:rtl/>
        </w:rPr>
        <w:t xml:space="preserve"> </w:t>
      </w:r>
      <w:r w:rsidR="0084439A">
        <w:rPr>
          <w:rFonts w:ascii="David" w:hAnsi="David" w:cs="David" w:hint="cs"/>
          <w:rtl/>
        </w:rPr>
        <w:t>ל</w:t>
      </w:r>
      <w:r w:rsidR="00B81C97" w:rsidRPr="0075000E">
        <w:rPr>
          <w:rFonts w:ascii="David" w:hAnsi="David" w:cs="David"/>
          <w:rtl/>
        </w:rPr>
        <w:t>חוק</w:t>
      </w:r>
      <w:r w:rsidR="00D90291" w:rsidRPr="0075000E">
        <w:rPr>
          <w:rFonts w:ascii="David" w:hAnsi="David" w:cs="David"/>
          <w:rtl/>
        </w:rPr>
        <w:t xml:space="preserve"> </w:t>
      </w:r>
      <w:r w:rsidR="00DC09D2" w:rsidRPr="0075000E">
        <w:rPr>
          <w:rFonts w:ascii="David" w:hAnsi="David" w:cs="David"/>
          <w:rtl/>
        </w:rPr>
        <w:t>שה</w:t>
      </w:r>
      <w:r w:rsidR="00D90291" w:rsidRPr="0075000E">
        <w:rPr>
          <w:rFonts w:ascii="David" w:hAnsi="David" w:cs="David"/>
          <w:rtl/>
        </w:rPr>
        <w:t xml:space="preserve">מקרה </w:t>
      </w:r>
      <w:r w:rsidR="00DC09D2" w:rsidRPr="0075000E">
        <w:rPr>
          <w:rFonts w:ascii="David" w:hAnsi="David" w:cs="David"/>
          <w:rtl/>
        </w:rPr>
        <w:t>ה</w:t>
      </w:r>
      <w:r w:rsidR="00D90291" w:rsidRPr="0075000E">
        <w:rPr>
          <w:rFonts w:ascii="David" w:hAnsi="David" w:cs="David"/>
          <w:rtl/>
        </w:rPr>
        <w:t xml:space="preserve">שיפוטי </w:t>
      </w:r>
      <w:r w:rsidR="00DC09D2" w:rsidRPr="0075000E">
        <w:rPr>
          <w:rFonts w:ascii="David" w:hAnsi="David" w:cs="David"/>
          <w:rtl/>
        </w:rPr>
        <w:t>המופיע בו אינו</w:t>
      </w:r>
      <w:r w:rsidR="00D90291" w:rsidRPr="0075000E">
        <w:rPr>
          <w:rFonts w:ascii="David" w:hAnsi="David" w:cs="David"/>
          <w:rtl/>
        </w:rPr>
        <w:t xml:space="preserve"> מוגדר בבי</w:t>
      </w:r>
      <w:r w:rsidR="00DC09D2" w:rsidRPr="0075000E">
        <w:rPr>
          <w:rFonts w:ascii="David" w:hAnsi="David" w:cs="David"/>
          <w:rtl/>
        </w:rPr>
        <w:t xml:space="preserve">רור </w:t>
      </w:r>
      <w:r w:rsidR="00D90291" w:rsidRPr="0075000E">
        <w:rPr>
          <w:rFonts w:ascii="David" w:hAnsi="David" w:cs="David"/>
          <w:rtl/>
        </w:rPr>
        <w:t>ו</w:t>
      </w:r>
      <w:r w:rsidR="0039451B" w:rsidRPr="0075000E">
        <w:rPr>
          <w:rFonts w:ascii="David" w:hAnsi="David" w:cs="David"/>
          <w:rtl/>
        </w:rPr>
        <w:t>ש</w:t>
      </w:r>
      <w:r w:rsidR="00DC09D2" w:rsidRPr="0075000E">
        <w:rPr>
          <w:rFonts w:ascii="David" w:hAnsi="David" w:cs="David"/>
          <w:rtl/>
        </w:rPr>
        <w:t xml:space="preserve">מכלול </w:t>
      </w:r>
      <w:r w:rsidR="0039451B" w:rsidRPr="0075000E">
        <w:rPr>
          <w:rFonts w:ascii="David" w:hAnsi="David" w:cs="David"/>
          <w:rtl/>
        </w:rPr>
        <w:t>תפיסותיו המשפטיות כה שונ</w:t>
      </w:r>
      <w:r w:rsidR="003C2A3B">
        <w:rPr>
          <w:rFonts w:ascii="David" w:hAnsi="David" w:cs="David" w:hint="cs"/>
          <w:rtl/>
        </w:rPr>
        <w:t>ה</w:t>
      </w:r>
      <w:r w:rsidR="0039451B" w:rsidRPr="0075000E">
        <w:rPr>
          <w:rFonts w:ascii="David" w:hAnsi="David" w:cs="David"/>
          <w:rtl/>
        </w:rPr>
        <w:t xml:space="preserve"> מהעקרונות שהוא מ</w:t>
      </w:r>
      <w:r w:rsidR="00F65A71">
        <w:rPr>
          <w:rFonts w:ascii="David" w:hAnsi="David" w:cs="David"/>
          <w:rtl/>
        </w:rPr>
        <w:t xml:space="preserve">בקש </w:t>
      </w:r>
      <w:r w:rsidR="00F65A71" w:rsidRPr="00404031">
        <w:rPr>
          <w:rFonts w:ascii="David" w:hAnsi="David" w:cs="David"/>
          <w:rtl/>
        </w:rPr>
        <w:t>להנחיל</w:t>
      </w:r>
      <w:r w:rsidR="00404031" w:rsidRPr="00404031">
        <w:rPr>
          <w:rFonts w:cs="David" w:hint="cs"/>
          <w:rtl/>
        </w:rPr>
        <w:t>.</w:t>
      </w:r>
    </w:p>
    <w:p w:rsidR="00404031" w:rsidRPr="0075000E" w:rsidRDefault="00404031" w:rsidP="00404031">
      <w:pPr>
        <w:spacing w:line="360" w:lineRule="auto"/>
        <w:jc w:val="both"/>
        <w:rPr>
          <w:rFonts w:ascii="David" w:hAnsi="David" w:cs="David"/>
          <w:rtl/>
        </w:rPr>
      </w:pPr>
    </w:p>
    <w:p w:rsidR="0060108F" w:rsidRPr="00740E82" w:rsidRDefault="00740E82" w:rsidP="00656AD0">
      <w:pPr>
        <w:numPr>
          <w:ilvl w:val="0"/>
          <w:numId w:val="31"/>
        </w:numPr>
        <w:spacing w:line="360" w:lineRule="auto"/>
        <w:rPr>
          <w:rFonts w:cs="David"/>
          <w:b/>
          <w:bCs/>
          <w:rtl/>
        </w:rPr>
      </w:pPr>
      <w:r w:rsidRPr="00740E82">
        <w:rPr>
          <w:rFonts w:cs="David" w:hint="cs"/>
          <w:b/>
          <w:bCs/>
          <w:rtl/>
        </w:rPr>
        <w:t>כוס התרעלה</w:t>
      </w:r>
      <w:r w:rsidR="009737B4">
        <w:rPr>
          <w:rFonts w:cs="David" w:hint="cs"/>
          <w:b/>
          <w:bCs/>
          <w:rtl/>
        </w:rPr>
        <w:t xml:space="preserve"> </w:t>
      </w:r>
      <w:r w:rsidR="009737B4">
        <w:rPr>
          <w:rFonts w:cs="David"/>
          <w:b/>
          <w:bCs/>
          <w:rtl/>
        </w:rPr>
        <w:t>–</w:t>
      </w:r>
      <w:r w:rsidR="00656AD0">
        <w:rPr>
          <w:rFonts w:cs="David" w:hint="cs"/>
          <w:b/>
          <w:bCs/>
          <w:rtl/>
        </w:rPr>
        <w:t xml:space="preserve"> </w:t>
      </w:r>
      <w:r w:rsidR="00485364">
        <w:rPr>
          <w:rFonts w:cs="David" w:hint="cs"/>
          <w:b/>
          <w:bCs/>
          <w:rtl/>
        </w:rPr>
        <w:t>רקע ו</w:t>
      </w:r>
      <w:r w:rsidR="009737B4">
        <w:rPr>
          <w:rFonts w:cs="David" w:hint="cs"/>
          <w:b/>
          <w:bCs/>
          <w:rtl/>
        </w:rPr>
        <w:t>מחקר</w:t>
      </w:r>
      <w:r w:rsidR="00656AD0">
        <w:rPr>
          <w:rFonts w:cs="David" w:hint="cs"/>
          <w:b/>
          <w:bCs/>
          <w:rtl/>
        </w:rPr>
        <w:t>ים קודמים</w:t>
      </w:r>
    </w:p>
    <w:p w:rsidR="00CF651E" w:rsidRDefault="007A0912" w:rsidP="00DC7E3E">
      <w:pPr>
        <w:spacing w:line="360" w:lineRule="auto"/>
        <w:jc w:val="both"/>
        <w:rPr>
          <w:rFonts w:cs="David"/>
          <w:rtl/>
        </w:rPr>
      </w:pPr>
      <w:r>
        <w:rPr>
          <w:rFonts w:cs="David" w:hint="cs"/>
          <w:rtl/>
        </w:rPr>
        <w:t>בכמה טקסטים</w:t>
      </w:r>
      <w:r w:rsidR="00656AD0" w:rsidRPr="00656AD0">
        <w:rPr>
          <w:rFonts w:cs="David" w:hint="cs"/>
          <w:rtl/>
        </w:rPr>
        <w:t xml:space="preserve"> ב</w:t>
      </w:r>
      <w:r w:rsidR="00F21F78">
        <w:rPr>
          <w:rFonts w:cs="David" w:hint="cs"/>
          <w:rtl/>
        </w:rPr>
        <w:t>מקרא</w:t>
      </w:r>
      <w:r w:rsidR="00656AD0" w:rsidRPr="00656AD0">
        <w:rPr>
          <w:rFonts w:cs="David" w:hint="cs"/>
          <w:rtl/>
        </w:rPr>
        <w:t xml:space="preserve"> </w:t>
      </w:r>
      <w:r w:rsidR="00F21F78">
        <w:rPr>
          <w:rFonts w:cs="David" w:hint="cs"/>
          <w:rtl/>
        </w:rPr>
        <w:t>מ</w:t>
      </w:r>
      <w:r w:rsidR="007C1CD8">
        <w:rPr>
          <w:rFonts w:cs="David" w:hint="cs"/>
          <w:rtl/>
        </w:rPr>
        <w:t>שמשת</w:t>
      </w:r>
      <w:r w:rsidR="00F21F78">
        <w:rPr>
          <w:rFonts w:cs="David" w:hint="cs"/>
          <w:rtl/>
        </w:rPr>
        <w:t xml:space="preserve"> הכוס</w:t>
      </w:r>
      <w:r w:rsidR="001922AC" w:rsidRPr="001922AC">
        <w:rPr>
          <w:rFonts w:cs="David" w:hint="cs"/>
          <w:rtl/>
        </w:rPr>
        <w:t xml:space="preserve"> </w:t>
      </w:r>
      <w:r w:rsidR="001922AC">
        <w:rPr>
          <w:rFonts w:cs="David" w:hint="cs"/>
          <w:rtl/>
        </w:rPr>
        <w:t>כדימוי לגורלם של בני האדם</w:t>
      </w:r>
      <w:r w:rsidR="007C1CD8">
        <w:rPr>
          <w:rFonts w:cs="David" w:hint="cs"/>
          <w:rtl/>
        </w:rPr>
        <w:t xml:space="preserve">. </w:t>
      </w:r>
      <w:r w:rsidR="007A7EB9">
        <w:rPr>
          <w:rFonts w:cs="David" w:hint="cs"/>
          <w:rtl/>
        </w:rPr>
        <w:t xml:space="preserve">דימוי זה, המכונה </w:t>
      </w:r>
      <w:r w:rsidR="00D87F6F">
        <w:rPr>
          <w:rFonts w:cs="David"/>
          <w:rtl/>
        </w:rPr>
        <w:t>“</w:t>
      </w:r>
      <w:r w:rsidR="007A7EB9">
        <w:rPr>
          <w:rFonts w:cs="David" w:hint="cs"/>
          <w:rtl/>
        </w:rPr>
        <w:t>כוס הגורל</w:t>
      </w:r>
      <w:r w:rsidR="00D87F6F">
        <w:rPr>
          <w:rFonts w:cs="David"/>
          <w:rtl/>
        </w:rPr>
        <w:t>”</w:t>
      </w:r>
      <w:r w:rsidR="007A7EB9">
        <w:rPr>
          <w:rFonts w:cs="David" w:hint="cs"/>
          <w:rtl/>
        </w:rPr>
        <w:t>, יכול להיות</w:t>
      </w:r>
      <w:r w:rsidR="007C1CD8">
        <w:rPr>
          <w:rFonts w:cs="David" w:hint="cs"/>
          <w:rtl/>
        </w:rPr>
        <w:t xml:space="preserve"> חיובי:</w:t>
      </w:r>
      <w:r w:rsidR="007C1CD8" w:rsidRPr="007C1CD8">
        <w:rPr>
          <w:rFonts w:cs="David" w:hint="cs"/>
          <w:rtl/>
        </w:rPr>
        <w:t xml:space="preserve"> </w:t>
      </w:r>
      <w:r w:rsidR="00D87F6F">
        <w:rPr>
          <w:rFonts w:cs="David"/>
          <w:rtl/>
        </w:rPr>
        <w:t>“</w:t>
      </w:r>
      <w:r w:rsidR="007C1CD8">
        <w:rPr>
          <w:rFonts w:cs="David" w:hint="cs"/>
          <w:rtl/>
        </w:rPr>
        <w:t>ה</w:t>
      </w:r>
      <w:r w:rsidR="00D87F6F">
        <w:rPr>
          <w:rFonts w:cs="David"/>
          <w:rtl/>
        </w:rPr>
        <w:t>’</w:t>
      </w:r>
      <w:r w:rsidR="007C1CD8">
        <w:rPr>
          <w:rFonts w:cs="David" w:hint="cs"/>
          <w:rtl/>
        </w:rPr>
        <w:t xml:space="preserve"> מנת חלקי וכוסי אתה תומיך גורלי</w:t>
      </w:r>
      <w:r w:rsidR="00D87F6F">
        <w:rPr>
          <w:rFonts w:cs="David"/>
          <w:rtl/>
        </w:rPr>
        <w:t>”</w:t>
      </w:r>
      <w:r w:rsidR="007C1CD8">
        <w:rPr>
          <w:rFonts w:cs="David" w:hint="cs"/>
          <w:rtl/>
        </w:rPr>
        <w:t xml:space="preserve"> (תה</w:t>
      </w:r>
      <w:r w:rsidR="00D87F6F">
        <w:rPr>
          <w:rFonts w:cs="David"/>
          <w:rtl/>
        </w:rPr>
        <w:t>’</w:t>
      </w:r>
      <w:r w:rsidR="007C1CD8">
        <w:rPr>
          <w:rFonts w:cs="David" w:hint="cs"/>
          <w:rtl/>
        </w:rPr>
        <w:t xml:space="preserve"> טז, ה) או שלילי</w:t>
      </w:r>
      <w:r>
        <w:rPr>
          <w:rFonts w:cs="David" w:hint="cs"/>
          <w:rtl/>
        </w:rPr>
        <w:t xml:space="preserve">: </w:t>
      </w:r>
      <w:r w:rsidR="00D87F6F">
        <w:rPr>
          <w:rFonts w:cs="David"/>
          <w:rtl/>
        </w:rPr>
        <w:t>“</w:t>
      </w:r>
      <w:r>
        <w:rPr>
          <w:rFonts w:cs="David" w:hint="cs"/>
          <w:rtl/>
        </w:rPr>
        <w:t>ימטר על רשעים פחים אש וגפרית ורוח זלעפות מנ</w:t>
      </w:r>
      <w:r w:rsidR="007C1CD8">
        <w:rPr>
          <w:rFonts w:cs="David" w:hint="cs"/>
          <w:rtl/>
        </w:rPr>
        <w:t>ת כוסם</w:t>
      </w:r>
      <w:r w:rsidR="00D87F6F">
        <w:rPr>
          <w:rFonts w:cs="David"/>
          <w:rtl/>
        </w:rPr>
        <w:t>”</w:t>
      </w:r>
      <w:r w:rsidR="007C1CD8">
        <w:rPr>
          <w:rFonts w:cs="David" w:hint="cs"/>
          <w:rtl/>
        </w:rPr>
        <w:t xml:space="preserve"> (תה</w:t>
      </w:r>
      <w:r w:rsidR="00D87F6F">
        <w:rPr>
          <w:rFonts w:cs="David"/>
          <w:rtl/>
        </w:rPr>
        <w:t>’</w:t>
      </w:r>
      <w:r w:rsidR="007C1CD8">
        <w:rPr>
          <w:rFonts w:cs="David" w:hint="cs"/>
          <w:rtl/>
        </w:rPr>
        <w:t xml:space="preserve"> יא, ו)</w:t>
      </w:r>
      <w:r>
        <w:rPr>
          <w:rFonts w:cs="David" w:hint="cs"/>
          <w:rtl/>
        </w:rPr>
        <w:t>.</w:t>
      </w:r>
      <w:r w:rsidR="00C82C9D" w:rsidRPr="00C82C9D">
        <w:rPr>
          <w:rStyle w:val="FootnoteReference"/>
          <w:rFonts w:cs="David"/>
          <w:rtl/>
        </w:rPr>
        <w:footnoteReference w:id="15"/>
      </w:r>
      <w:r>
        <w:rPr>
          <w:rFonts w:cs="David" w:hint="cs"/>
          <w:rtl/>
        </w:rPr>
        <w:t xml:space="preserve"> </w:t>
      </w:r>
      <w:r w:rsidR="00E708A4">
        <w:rPr>
          <w:rFonts w:cs="David" w:hint="cs"/>
          <w:rtl/>
        </w:rPr>
        <w:t xml:space="preserve">לצד </w:t>
      </w:r>
      <w:r w:rsidR="00122135">
        <w:rPr>
          <w:rFonts w:cs="David" w:hint="cs"/>
          <w:rtl/>
        </w:rPr>
        <w:t>דימוי זה</w:t>
      </w:r>
      <w:r w:rsidR="00D50F16">
        <w:rPr>
          <w:rFonts w:cs="David" w:hint="cs"/>
          <w:rtl/>
        </w:rPr>
        <w:t xml:space="preserve"> </w:t>
      </w:r>
      <w:r w:rsidR="00E708A4">
        <w:rPr>
          <w:rFonts w:cs="David" w:hint="cs"/>
          <w:rtl/>
        </w:rPr>
        <w:t xml:space="preserve">מופיע דימוי </w:t>
      </w:r>
      <w:r w:rsidR="005754AB">
        <w:rPr>
          <w:rFonts w:cs="David" w:hint="cs"/>
          <w:rtl/>
        </w:rPr>
        <w:t>מפורט</w:t>
      </w:r>
      <w:r w:rsidR="00E708A4">
        <w:rPr>
          <w:rFonts w:cs="David" w:hint="cs"/>
          <w:rtl/>
        </w:rPr>
        <w:t xml:space="preserve"> יותר</w:t>
      </w:r>
      <w:r w:rsidR="003F536C">
        <w:rPr>
          <w:rFonts w:cs="David" w:hint="cs"/>
          <w:rtl/>
        </w:rPr>
        <w:t xml:space="preserve"> </w:t>
      </w:r>
      <w:r w:rsidR="00E708A4">
        <w:rPr>
          <w:rFonts w:cs="David" w:hint="cs"/>
          <w:rtl/>
        </w:rPr>
        <w:t>ה</w:t>
      </w:r>
      <w:r w:rsidR="00F66FB6">
        <w:rPr>
          <w:rFonts w:cs="David" w:hint="cs"/>
          <w:rtl/>
        </w:rPr>
        <w:t xml:space="preserve">מתאר השקיית </w:t>
      </w:r>
      <w:r w:rsidR="00F66FB6" w:rsidRPr="00656AD0">
        <w:rPr>
          <w:rFonts w:cs="David" w:hint="cs"/>
          <w:rtl/>
        </w:rPr>
        <w:t>כוס המלאה במים מרים ורעילים או ביין משכר ורעיל</w:t>
      </w:r>
      <w:r w:rsidR="003F536C">
        <w:rPr>
          <w:rFonts w:cs="David" w:hint="cs"/>
          <w:rtl/>
        </w:rPr>
        <w:t xml:space="preserve"> </w:t>
      </w:r>
      <w:r w:rsidR="003F536C">
        <w:rPr>
          <w:rFonts w:cs="David"/>
          <w:rtl/>
        </w:rPr>
        <w:t>–</w:t>
      </w:r>
      <w:r w:rsidR="003F536C">
        <w:rPr>
          <w:rFonts w:cs="David" w:hint="cs"/>
          <w:rtl/>
        </w:rPr>
        <w:t xml:space="preserve"> </w:t>
      </w:r>
      <w:r w:rsidR="00D87F6F">
        <w:rPr>
          <w:rFonts w:cs="David"/>
          <w:rtl/>
        </w:rPr>
        <w:t>“</w:t>
      </w:r>
      <w:r w:rsidR="003F536C">
        <w:rPr>
          <w:rFonts w:cs="David" w:hint="cs"/>
          <w:rtl/>
        </w:rPr>
        <w:t>כוס התרעלה</w:t>
      </w:r>
      <w:r w:rsidR="00D87F6F">
        <w:rPr>
          <w:rFonts w:cs="David"/>
          <w:rtl/>
        </w:rPr>
        <w:t>”</w:t>
      </w:r>
      <w:r w:rsidR="00E708A4">
        <w:rPr>
          <w:rFonts w:cs="David" w:hint="cs"/>
          <w:rtl/>
        </w:rPr>
        <w:t xml:space="preserve">. </w:t>
      </w:r>
      <w:r w:rsidR="003F536C">
        <w:rPr>
          <w:rFonts w:cs="David" w:hint="cs"/>
          <w:rtl/>
        </w:rPr>
        <w:t>במרבית אזכוריה ניתנת כוס התרעלה</w:t>
      </w:r>
      <w:r w:rsidR="001922AC">
        <w:rPr>
          <w:rFonts w:cs="David" w:hint="cs"/>
          <w:rtl/>
        </w:rPr>
        <w:t xml:space="preserve"> </w:t>
      </w:r>
      <w:r w:rsidR="00CA2F36">
        <w:rPr>
          <w:rFonts w:cs="David" w:hint="cs"/>
          <w:rtl/>
        </w:rPr>
        <w:t xml:space="preserve">לאובייקט המדומה לאישה סוררת המקיימת יחסים עם גבר זר. </w:t>
      </w:r>
      <w:r w:rsidR="00955385">
        <w:rPr>
          <w:rFonts w:cs="David" w:hint="cs"/>
          <w:rtl/>
        </w:rPr>
        <w:t>הראשונים שדנו ב</w:t>
      </w:r>
      <w:r w:rsidR="002C012D">
        <w:rPr>
          <w:rFonts w:cs="David" w:hint="cs"/>
          <w:rtl/>
        </w:rPr>
        <w:t>שני ה</w:t>
      </w:r>
      <w:r w:rsidR="00E708A4">
        <w:rPr>
          <w:rFonts w:cs="David" w:hint="cs"/>
          <w:rtl/>
        </w:rPr>
        <w:t>דימויים, בדרך-כלל ללא הבחנה</w:t>
      </w:r>
      <w:r w:rsidR="003F536C">
        <w:rPr>
          <w:rFonts w:cs="David" w:hint="cs"/>
          <w:rtl/>
        </w:rPr>
        <w:t xml:space="preserve"> עקרונית</w:t>
      </w:r>
      <w:r w:rsidR="00E708A4">
        <w:rPr>
          <w:rFonts w:cs="David" w:hint="cs"/>
          <w:rtl/>
        </w:rPr>
        <w:t xml:space="preserve"> </w:t>
      </w:r>
      <w:r w:rsidR="00797C30">
        <w:rPr>
          <w:rFonts w:cs="David" w:hint="cs"/>
          <w:rtl/>
        </w:rPr>
        <w:t>ביניהם,</w:t>
      </w:r>
      <w:r w:rsidR="00DC7E3E">
        <w:rPr>
          <w:rFonts w:cs="David" w:hint="cs"/>
          <w:rtl/>
        </w:rPr>
        <w:t xml:space="preserve"> הניחו ש</w:t>
      </w:r>
      <w:r w:rsidR="00797C30">
        <w:rPr>
          <w:rFonts w:cs="David" w:hint="cs"/>
          <w:rtl/>
        </w:rPr>
        <w:t>משתקף בהם</w:t>
      </w:r>
      <w:r w:rsidR="00D54B07">
        <w:rPr>
          <w:rFonts w:cs="David" w:hint="cs"/>
          <w:rtl/>
        </w:rPr>
        <w:t xml:space="preserve"> </w:t>
      </w:r>
      <w:r w:rsidR="00D87F6F">
        <w:rPr>
          <w:rFonts w:cs="David"/>
          <w:rtl/>
        </w:rPr>
        <w:t>“</w:t>
      </w:r>
      <w:r w:rsidR="00D54B07">
        <w:rPr>
          <w:rFonts w:cs="David" w:hint="cs"/>
          <w:rtl/>
        </w:rPr>
        <w:t>מושב בחיים</w:t>
      </w:r>
      <w:r w:rsidR="00D87F6F">
        <w:rPr>
          <w:rFonts w:cs="David"/>
          <w:rtl/>
        </w:rPr>
        <w:t>”</w:t>
      </w:r>
      <w:r w:rsidR="00464256">
        <w:rPr>
          <w:rFonts w:cs="David" w:hint="cs"/>
          <w:rtl/>
        </w:rPr>
        <w:t xml:space="preserve"> (</w:t>
      </w:r>
      <w:r w:rsidR="00464256" w:rsidRPr="00464256">
        <w:rPr>
          <w:i/>
          <w:iCs/>
          <w:lang w:bidi="ar-SA"/>
        </w:rPr>
        <w:t>Sitz im Leben</w:t>
      </w:r>
      <w:r w:rsidR="00464256">
        <w:rPr>
          <w:rFonts w:cs="David" w:hint="cs"/>
          <w:rtl/>
        </w:rPr>
        <w:t>)</w:t>
      </w:r>
      <w:r w:rsidR="00D54B07">
        <w:rPr>
          <w:rFonts w:cs="David" w:hint="cs"/>
          <w:rtl/>
        </w:rPr>
        <w:t xml:space="preserve"> כלשהו</w:t>
      </w:r>
      <w:r w:rsidR="00797C30">
        <w:rPr>
          <w:rFonts w:cs="David" w:hint="cs"/>
          <w:rtl/>
        </w:rPr>
        <w:t>.</w:t>
      </w:r>
      <w:r w:rsidR="005754AB" w:rsidRPr="00CF651E">
        <w:rPr>
          <w:rStyle w:val="FootnoteReference"/>
          <w:rFonts w:cs="David"/>
          <w:rtl/>
        </w:rPr>
        <w:footnoteReference w:id="16"/>
      </w:r>
      <w:r w:rsidR="00D54B07">
        <w:rPr>
          <w:rFonts w:cs="David" w:hint="cs"/>
          <w:rtl/>
        </w:rPr>
        <w:t xml:space="preserve"> </w:t>
      </w:r>
      <w:r w:rsidR="00DC7E3E">
        <w:rPr>
          <w:rFonts w:cs="David" w:hint="cs"/>
          <w:rtl/>
        </w:rPr>
        <w:t xml:space="preserve">ממשיכיהם התקשו להצביע על מושב בחיים מוגדר, </w:t>
      </w:r>
      <w:r w:rsidR="003F536C">
        <w:rPr>
          <w:rFonts w:cs="David" w:hint="cs"/>
          <w:rtl/>
        </w:rPr>
        <w:t>ב</w:t>
      </w:r>
      <w:r w:rsidR="00DC7E3E">
        <w:rPr>
          <w:rFonts w:cs="David" w:hint="cs"/>
          <w:rtl/>
        </w:rPr>
        <w:t xml:space="preserve">של </w:t>
      </w:r>
      <w:r w:rsidR="00797C30">
        <w:rPr>
          <w:rFonts w:cs="David" w:hint="cs"/>
          <w:rtl/>
        </w:rPr>
        <w:t>ה</w:t>
      </w:r>
      <w:r w:rsidR="003F536C">
        <w:rPr>
          <w:rFonts w:cs="David" w:hint="cs"/>
          <w:rtl/>
        </w:rPr>
        <w:t>י</w:t>
      </w:r>
      <w:r w:rsidR="00797C30">
        <w:rPr>
          <w:rFonts w:cs="David" w:hint="cs"/>
          <w:rtl/>
        </w:rPr>
        <w:t>עדר מקבילה ברורה בספרות המקראית או החוץ-מקראית</w:t>
      </w:r>
      <w:r w:rsidR="00DC7E3E">
        <w:rPr>
          <w:rFonts w:cs="David" w:hint="cs"/>
          <w:rtl/>
        </w:rPr>
        <w:t>,</w:t>
      </w:r>
      <w:r w:rsidR="00797C30">
        <w:rPr>
          <w:rFonts w:cs="David" w:hint="cs"/>
          <w:rtl/>
        </w:rPr>
        <w:t xml:space="preserve"> </w:t>
      </w:r>
      <w:r w:rsidR="00122135">
        <w:rPr>
          <w:rFonts w:cs="David" w:hint="cs"/>
          <w:rtl/>
        </w:rPr>
        <w:t>ו</w:t>
      </w:r>
      <w:r w:rsidR="00DC7E3E">
        <w:rPr>
          <w:rFonts w:cs="David" w:hint="cs"/>
          <w:rtl/>
        </w:rPr>
        <w:t>נאלצו לתלות</w:t>
      </w:r>
      <w:r w:rsidR="00974106">
        <w:rPr>
          <w:rFonts w:cs="David" w:hint="cs"/>
          <w:rtl/>
        </w:rPr>
        <w:t xml:space="preserve"> את הדימויים באלמנטים</w:t>
      </w:r>
      <w:r w:rsidR="0082189F">
        <w:rPr>
          <w:rFonts w:cs="David" w:hint="cs"/>
          <w:rtl/>
        </w:rPr>
        <w:t xml:space="preserve"> שונים</w:t>
      </w:r>
      <w:r w:rsidR="00974106">
        <w:rPr>
          <w:rFonts w:cs="David" w:hint="cs"/>
          <w:rtl/>
        </w:rPr>
        <w:t xml:space="preserve"> מעולם</w:t>
      </w:r>
      <w:r w:rsidR="006E3A40">
        <w:rPr>
          <w:rFonts w:cs="David" w:hint="cs"/>
          <w:rtl/>
        </w:rPr>
        <w:t xml:space="preserve"> </w:t>
      </w:r>
      <w:r w:rsidR="005754AB">
        <w:rPr>
          <w:rFonts w:cs="David" w:hint="cs"/>
          <w:rtl/>
        </w:rPr>
        <w:t>בית המלוכה</w:t>
      </w:r>
      <w:r w:rsidR="00A1785B">
        <w:rPr>
          <w:rFonts w:cs="David" w:hint="cs"/>
          <w:rtl/>
        </w:rPr>
        <w:t xml:space="preserve">, </w:t>
      </w:r>
      <w:r w:rsidR="0082189F">
        <w:rPr>
          <w:rFonts w:cs="David" w:hint="cs"/>
          <w:rtl/>
        </w:rPr>
        <w:t>הפולחן, המיתולוגיה</w:t>
      </w:r>
      <w:r w:rsidR="006E3A40">
        <w:rPr>
          <w:rFonts w:cs="David" w:hint="cs"/>
          <w:rtl/>
        </w:rPr>
        <w:t xml:space="preserve"> </w:t>
      </w:r>
      <w:r w:rsidR="002C012D">
        <w:rPr>
          <w:rFonts w:cs="David" w:hint="cs"/>
          <w:rtl/>
        </w:rPr>
        <w:t>וכדומה</w:t>
      </w:r>
      <w:r w:rsidR="00797C30">
        <w:rPr>
          <w:rFonts w:cs="David" w:hint="cs"/>
          <w:rtl/>
        </w:rPr>
        <w:t>.</w:t>
      </w:r>
      <w:r w:rsidR="00797C30" w:rsidRPr="00CF651E">
        <w:rPr>
          <w:rStyle w:val="FootnoteReference"/>
          <w:rFonts w:cs="David"/>
          <w:rtl/>
        </w:rPr>
        <w:footnoteReference w:id="17"/>
      </w:r>
      <w:r w:rsidR="00CF651E">
        <w:rPr>
          <w:rFonts w:cs="David" w:hint="cs"/>
          <w:rtl/>
        </w:rPr>
        <w:t xml:space="preserve"> </w:t>
      </w:r>
      <w:r w:rsidR="003F536C">
        <w:rPr>
          <w:rFonts w:cs="David" w:hint="cs"/>
          <w:rtl/>
        </w:rPr>
        <w:t xml:space="preserve">הקושי באיתור </w:t>
      </w:r>
      <w:r w:rsidR="0012596E">
        <w:rPr>
          <w:rFonts w:cs="David" w:hint="cs"/>
          <w:rtl/>
        </w:rPr>
        <w:t>מק</w:t>
      </w:r>
      <w:r w:rsidR="003F536C">
        <w:rPr>
          <w:rFonts w:cs="David" w:hint="cs"/>
          <w:rtl/>
        </w:rPr>
        <w:t xml:space="preserve">בילה </w:t>
      </w:r>
      <w:r w:rsidR="0038161C">
        <w:rPr>
          <w:rFonts w:cs="David" w:hint="cs"/>
          <w:rtl/>
        </w:rPr>
        <w:t>ספרותית או מציאותית</w:t>
      </w:r>
      <w:r w:rsidR="0012596E">
        <w:rPr>
          <w:rFonts w:cs="David" w:hint="cs"/>
          <w:rtl/>
        </w:rPr>
        <w:t xml:space="preserve"> הוביל חוקרים </w:t>
      </w:r>
      <w:r w:rsidR="002C012D">
        <w:rPr>
          <w:rFonts w:cs="David" w:hint="cs"/>
          <w:rtl/>
        </w:rPr>
        <w:t xml:space="preserve">מאוחרים </w:t>
      </w:r>
      <w:r w:rsidR="0082189F">
        <w:rPr>
          <w:rFonts w:cs="David" w:hint="cs"/>
          <w:rtl/>
        </w:rPr>
        <w:t>אחדים</w:t>
      </w:r>
      <w:r w:rsidR="0012596E">
        <w:rPr>
          <w:rFonts w:cs="David" w:hint="cs"/>
          <w:rtl/>
        </w:rPr>
        <w:t xml:space="preserve"> להתייחס </w:t>
      </w:r>
      <w:r w:rsidR="0038161C">
        <w:rPr>
          <w:rFonts w:cs="David" w:hint="cs"/>
          <w:rtl/>
        </w:rPr>
        <w:t>לדימוי</w:t>
      </w:r>
      <w:r w:rsidR="0012596E">
        <w:rPr>
          <w:rFonts w:cs="David" w:hint="cs"/>
          <w:rtl/>
        </w:rPr>
        <w:t xml:space="preserve"> כ</w:t>
      </w:r>
      <w:r w:rsidR="00974106">
        <w:rPr>
          <w:rFonts w:cs="David" w:hint="cs"/>
          <w:rtl/>
        </w:rPr>
        <w:t>מוטיב</w:t>
      </w:r>
      <w:r w:rsidR="0012596E">
        <w:rPr>
          <w:rFonts w:cs="David" w:hint="cs"/>
          <w:rtl/>
        </w:rPr>
        <w:t xml:space="preserve"> ספרותי שאין לו אחיזה במציאות ריאלית כלשהי.</w:t>
      </w:r>
      <w:r w:rsidR="0012596E" w:rsidRPr="003F536C">
        <w:rPr>
          <w:rStyle w:val="FootnoteReference"/>
          <w:rFonts w:cs="David"/>
          <w:rtl/>
        </w:rPr>
        <w:footnoteReference w:id="18"/>
      </w:r>
      <w:r w:rsidR="0012596E">
        <w:rPr>
          <w:rFonts w:cs="David" w:hint="cs"/>
          <w:rtl/>
        </w:rPr>
        <w:t xml:space="preserve"> אולם היקף השימוש ב</w:t>
      </w:r>
      <w:r w:rsidR="0038161C">
        <w:rPr>
          <w:rFonts w:cs="David" w:hint="cs"/>
          <w:rtl/>
        </w:rPr>
        <w:t xml:space="preserve">דימוי והעובדה שהמחברים לא ראו צורך </w:t>
      </w:r>
      <w:r w:rsidR="0012596E">
        <w:rPr>
          <w:rFonts w:cs="David" w:hint="cs"/>
          <w:rtl/>
        </w:rPr>
        <w:t xml:space="preserve">להסביר </w:t>
      </w:r>
      <w:r w:rsidR="0038161C">
        <w:rPr>
          <w:rFonts w:cs="David" w:hint="cs"/>
          <w:rtl/>
        </w:rPr>
        <w:t xml:space="preserve">אותו </w:t>
      </w:r>
      <w:r w:rsidR="0012596E">
        <w:rPr>
          <w:rFonts w:cs="David" w:hint="cs"/>
          <w:rtl/>
        </w:rPr>
        <w:t xml:space="preserve">לקהלם, </w:t>
      </w:r>
      <w:r w:rsidR="0038161C">
        <w:rPr>
          <w:rFonts w:cs="David" w:hint="cs"/>
          <w:rtl/>
        </w:rPr>
        <w:t xml:space="preserve">גם בטקסטים שבהם הוא מופיע ברמז קל בלבד, </w:t>
      </w:r>
      <w:r w:rsidR="0082189F">
        <w:rPr>
          <w:rFonts w:cs="David" w:hint="cs"/>
          <w:rtl/>
        </w:rPr>
        <w:t>ה</w:t>
      </w:r>
      <w:r w:rsidR="00122135">
        <w:rPr>
          <w:rFonts w:cs="David" w:hint="cs"/>
          <w:rtl/>
        </w:rPr>
        <w:t xml:space="preserve">וביל </w:t>
      </w:r>
      <w:r w:rsidR="0082189F">
        <w:rPr>
          <w:rFonts w:cs="David" w:hint="cs"/>
          <w:rtl/>
        </w:rPr>
        <w:t xml:space="preserve">בצדק </w:t>
      </w:r>
      <w:r w:rsidR="00122135">
        <w:rPr>
          <w:rFonts w:cs="David" w:hint="cs"/>
          <w:rtl/>
        </w:rPr>
        <w:t>את מרבית החוקרים ל</w:t>
      </w:r>
      <w:r w:rsidR="00D021EA">
        <w:rPr>
          <w:rFonts w:cs="David" w:hint="cs"/>
          <w:rtl/>
        </w:rPr>
        <w:t>הניח</w:t>
      </w:r>
      <w:r w:rsidR="0038161C">
        <w:rPr>
          <w:rFonts w:cs="David" w:hint="cs"/>
          <w:rtl/>
        </w:rPr>
        <w:t xml:space="preserve"> ש</w:t>
      </w:r>
      <w:r w:rsidR="00122135">
        <w:rPr>
          <w:rFonts w:cs="David" w:hint="cs"/>
          <w:rtl/>
        </w:rPr>
        <w:t>מקור הדימוי</w:t>
      </w:r>
      <w:r w:rsidR="0038161C">
        <w:rPr>
          <w:rFonts w:cs="David" w:hint="cs"/>
          <w:rtl/>
        </w:rPr>
        <w:t xml:space="preserve"> חייב להיו</w:t>
      </w:r>
      <w:r w:rsidR="00122135">
        <w:rPr>
          <w:rFonts w:cs="David" w:hint="cs"/>
          <w:rtl/>
        </w:rPr>
        <w:t>ת</w:t>
      </w:r>
      <w:r w:rsidR="0038161C">
        <w:rPr>
          <w:rFonts w:cs="David" w:hint="cs"/>
          <w:rtl/>
        </w:rPr>
        <w:t xml:space="preserve"> בעולם המציאותי</w:t>
      </w:r>
      <w:r w:rsidR="0012596E">
        <w:rPr>
          <w:rFonts w:cs="David" w:hint="cs"/>
          <w:rtl/>
        </w:rPr>
        <w:t>.</w:t>
      </w:r>
      <w:r w:rsidR="00D021EA" w:rsidRPr="006E3A40">
        <w:rPr>
          <w:rStyle w:val="FootnoteReference"/>
          <w:rFonts w:cs="David"/>
          <w:rtl/>
        </w:rPr>
        <w:footnoteReference w:id="19"/>
      </w:r>
    </w:p>
    <w:p w:rsidR="00CF651E" w:rsidRDefault="003E38B4" w:rsidP="00CF651E">
      <w:pPr>
        <w:spacing w:line="360" w:lineRule="auto"/>
        <w:jc w:val="both"/>
        <w:rPr>
          <w:rFonts w:cs="David"/>
          <w:rtl/>
        </w:rPr>
      </w:pPr>
      <w:r>
        <w:rPr>
          <w:rFonts w:cs="David" w:hint="cs"/>
          <w:rtl/>
        </w:rPr>
        <w:lastRenderedPageBreak/>
        <w:t xml:space="preserve">שתי </w:t>
      </w:r>
      <w:r w:rsidR="008673E7" w:rsidRPr="008673E7">
        <w:rPr>
          <w:rFonts w:cs="David" w:hint="cs"/>
          <w:rtl/>
        </w:rPr>
        <w:t>השערות</w:t>
      </w:r>
      <w:r>
        <w:rPr>
          <w:rFonts w:cs="David" w:hint="cs"/>
          <w:rtl/>
        </w:rPr>
        <w:t xml:space="preserve"> קיבלו אחיזה בין החוקרים.</w:t>
      </w:r>
      <w:r w:rsidR="00A1785B">
        <w:rPr>
          <w:rFonts w:cs="David" w:hint="cs"/>
          <w:rtl/>
        </w:rPr>
        <w:t xml:space="preserve"> השערתו של קאסוטו</w:t>
      </w:r>
      <w:r w:rsidR="002C3F07">
        <w:rPr>
          <w:rFonts w:cs="David" w:hint="cs"/>
          <w:rtl/>
        </w:rPr>
        <w:t xml:space="preserve"> כי </w:t>
      </w:r>
      <w:r w:rsidR="00B37062">
        <w:rPr>
          <w:rFonts w:cs="David" w:hint="cs"/>
          <w:rtl/>
        </w:rPr>
        <w:t>מקור</w:t>
      </w:r>
      <w:r w:rsidR="002C3F07">
        <w:rPr>
          <w:rFonts w:cs="David" w:hint="cs"/>
          <w:rtl/>
        </w:rPr>
        <w:t xml:space="preserve"> הדימוי במארח המחלק כוסות יין לאורחי סעודתו</w:t>
      </w:r>
      <w:r w:rsidR="00B37062">
        <w:rPr>
          <w:rFonts w:cs="David" w:hint="cs"/>
          <w:rtl/>
        </w:rPr>
        <w:t>,</w:t>
      </w:r>
      <w:r>
        <w:rPr>
          <w:rFonts w:cs="David" w:hint="cs"/>
          <w:rtl/>
        </w:rPr>
        <w:t xml:space="preserve"> כש</w:t>
      </w:r>
      <w:r w:rsidR="00C3425B">
        <w:rPr>
          <w:rFonts w:cs="David" w:hint="cs"/>
          <w:rtl/>
        </w:rPr>
        <w:t xml:space="preserve">המארח </w:t>
      </w:r>
      <w:r w:rsidR="00FC5009">
        <w:rPr>
          <w:rFonts w:cs="David" w:hint="cs"/>
          <w:rtl/>
        </w:rPr>
        <w:t xml:space="preserve">בנמשל </w:t>
      </w:r>
      <w:r w:rsidR="00C3425B">
        <w:rPr>
          <w:rFonts w:cs="David" w:hint="cs"/>
          <w:rtl/>
        </w:rPr>
        <w:t xml:space="preserve">הוא </w:t>
      </w:r>
      <w:r>
        <w:rPr>
          <w:rFonts w:cs="David" w:hint="cs"/>
          <w:rtl/>
        </w:rPr>
        <w:t xml:space="preserve">אלוהים המחלק </w:t>
      </w:r>
      <w:r w:rsidR="00C3425B">
        <w:rPr>
          <w:rFonts w:cs="David" w:hint="cs"/>
          <w:rtl/>
        </w:rPr>
        <w:t>גורלות לבני האדם ולעמים</w:t>
      </w:r>
      <w:r>
        <w:rPr>
          <w:rFonts w:cs="David" w:hint="cs"/>
          <w:rtl/>
        </w:rPr>
        <w:t>.</w:t>
      </w:r>
      <w:r w:rsidR="00FC5009" w:rsidRPr="006E3A40">
        <w:rPr>
          <w:rStyle w:val="FootnoteReference"/>
          <w:rFonts w:cs="David"/>
          <w:rtl/>
        </w:rPr>
        <w:footnoteReference w:id="20"/>
      </w:r>
      <w:r w:rsidR="00B37062">
        <w:rPr>
          <w:rFonts w:cs="David" w:hint="cs"/>
          <w:rtl/>
        </w:rPr>
        <w:t xml:space="preserve"> </w:t>
      </w:r>
      <w:r w:rsidR="00C3425B">
        <w:rPr>
          <w:rFonts w:cs="David" w:hint="cs"/>
          <w:rtl/>
        </w:rPr>
        <w:t>ו</w:t>
      </w:r>
      <w:r w:rsidR="00B37062">
        <w:rPr>
          <w:rFonts w:cs="David" w:hint="cs"/>
          <w:rtl/>
        </w:rPr>
        <w:t>השערתו של מק-קיין כי מקור הדימוי</w:t>
      </w:r>
      <w:r w:rsidR="002C3F07">
        <w:rPr>
          <w:rFonts w:cs="David" w:hint="cs"/>
          <w:rtl/>
        </w:rPr>
        <w:t xml:space="preserve"> בחוק האורדיל המופיע בחוק הסוטה</w:t>
      </w:r>
      <w:r w:rsidR="00C3425B">
        <w:rPr>
          <w:rFonts w:cs="David" w:hint="cs"/>
          <w:rtl/>
        </w:rPr>
        <w:t xml:space="preserve">. </w:t>
      </w:r>
      <w:r w:rsidR="003E6AC6">
        <w:rPr>
          <w:rFonts w:cs="David" w:hint="cs"/>
          <w:rtl/>
        </w:rPr>
        <w:t xml:space="preserve">לפי מק-קיין </w:t>
      </w:r>
      <w:r w:rsidR="00C3425B">
        <w:rPr>
          <w:rFonts w:cs="David" w:hint="cs"/>
          <w:rtl/>
        </w:rPr>
        <w:t>היין אינו רעיל</w:t>
      </w:r>
      <w:r w:rsidR="003E6AC6">
        <w:rPr>
          <w:rFonts w:cs="David" w:hint="cs"/>
          <w:rtl/>
        </w:rPr>
        <w:t xml:space="preserve"> ואף על פי</w:t>
      </w:r>
      <w:r w:rsidR="00122135">
        <w:rPr>
          <w:rFonts w:cs="David" w:hint="cs"/>
          <w:rtl/>
        </w:rPr>
        <w:t xml:space="preserve"> כן בכוחו להרעיל את אלו שימצאו </w:t>
      </w:r>
      <w:r w:rsidR="003E6AC6">
        <w:rPr>
          <w:rFonts w:cs="David" w:hint="cs"/>
          <w:rtl/>
        </w:rPr>
        <w:t>אשמים, כשם שמי הסוטה אינם רעילים ואף על פי כן בכוחם לקלל את האישה שתימצא אשמה</w:t>
      </w:r>
      <w:r w:rsidR="002C3F07">
        <w:rPr>
          <w:rFonts w:cs="David" w:hint="cs"/>
          <w:rtl/>
        </w:rPr>
        <w:t>.</w:t>
      </w:r>
      <w:r w:rsidR="002C3F07" w:rsidRPr="006E3A40">
        <w:rPr>
          <w:rStyle w:val="FootnoteReference"/>
          <w:rFonts w:cs="David"/>
          <w:rtl/>
        </w:rPr>
        <w:footnoteReference w:id="21"/>
      </w:r>
      <w:r w:rsidR="002C3F07">
        <w:rPr>
          <w:rFonts w:cs="David" w:hint="cs"/>
          <w:rtl/>
        </w:rPr>
        <w:t xml:space="preserve"> </w:t>
      </w:r>
    </w:p>
    <w:p w:rsidR="004837BF" w:rsidRPr="00BD0943" w:rsidRDefault="00FC5009" w:rsidP="0082189F">
      <w:pPr>
        <w:spacing w:line="360" w:lineRule="auto"/>
        <w:jc w:val="both"/>
        <w:rPr>
          <w:rFonts w:cs="David"/>
          <w:highlight w:val="yellow"/>
          <w:rtl/>
        </w:rPr>
      </w:pPr>
      <w:r>
        <w:rPr>
          <w:rFonts w:cs="David" w:hint="cs"/>
          <w:rtl/>
        </w:rPr>
        <w:t>א</w:t>
      </w:r>
      <w:r w:rsidR="00CF651E">
        <w:rPr>
          <w:rFonts w:cs="David" w:hint="cs"/>
          <w:rtl/>
        </w:rPr>
        <w:t>בל</w:t>
      </w:r>
      <w:r>
        <w:rPr>
          <w:rFonts w:cs="David" w:hint="cs"/>
          <w:rtl/>
        </w:rPr>
        <w:t xml:space="preserve"> שתי ההשערות אינן מצליחות להסביר בצורה </w:t>
      </w:r>
      <w:r w:rsidR="007A7EB9">
        <w:rPr>
          <w:rFonts w:cs="David" w:hint="cs"/>
          <w:rtl/>
        </w:rPr>
        <w:t>טובה</w:t>
      </w:r>
      <w:r>
        <w:rPr>
          <w:rFonts w:cs="David" w:hint="cs"/>
          <w:rtl/>
        </w:rPr>
        <w:t xml:space="preserve"> את כל הטקסטים שבהם נעשה שימוש בדימויים ואת </w:t>
      </w:r>
      <w:r w:rsidR="00321E34">
        <w:rPr>
          <w:rFonts w:cs="David" w:hint="cs"/>
          <w:rtl/>
        </w:rPr>
        <w:t>מכלול המרכיבים הקיי</w:t>
      </w:r>
      <w:r>
        <w:rPr>
          <w:rFonts w:cs="David" w:hint="cs"/>
          <w:rtl/>
        </w:rPr>
        <w:t>ם בהם</w:t>
      </w:r>
      <w:r w:rsidR="001C19DE" w:rsidRPr="00681A7E">
        <w:rPr>
          <w:rFonts w:cs="David" w:hint="cs"/>
          <w:rtl/>
        </w:rPr>
        <w:t>.</w:t>
      </w:r>
      <w:r w:rsidRPr="00681A7E">
        <w:rPr>
          <w:rFonts w:cs="David" w:hint="cs"/>
          <w:rtl/>
        </w:rPr>
        <w:t xml:space="preserve"> </w:t>
      </w:r>
      <w:r w:rsidR="00681A7E" w:rsidRPr="00681A7E">
        <w:rPr>
          <w:rFonts w:cs="David" w:hint="cs"/>
          <w:rtl/>
        </w:rPr>
        <w:t>השערת המשתה</w:t>
      </w:r>
      <w:r w:rsidR="00681A7E">
        <w:rPr>
          <w:rFonts w:cs="David" w:hint="cs"/>
          <w:rtl/>
        </w:rPr>
        <w:t xml:space="preserve"> אינה תואמת את</w:t>
      </w:r>
      <w:r w:rsidR="00941321">
        <w:rPr>
          <w:rFonts w:cs="David" w:hint="cs"/>
          <w:rtl/>
        </w:rPr>
        <w:t xml:space="preserve"> העובדה</w:t>
      </w:r>
      <w:r w:rsidR="00681A7E">
        <w:rPr>
          <w:rFonts w:cs="David" w:hint="cs"/>
          <w:rtl/>
        </w:rPr>
        <w:t xml:space="preserve"> </w:t>
      </w:r>
      <w:r w:rsidR="00941321">
        <w:rPr>
          <w:rFonts w:cs="David" w:hint="cs"/>
          <w:rtl/>
        </w:rPr>
        <w:t>שהסיטואציה הרווחת שבמסגרתה ניתנת הכוס היא סיטואציה של משפט ולא של משתה. גם העובדה ש</w:t>
      </w:r>
      <w:r w:rsidR="00681A7E">
        <w:rPr>
          <w:rFonts w:cs="David" w:hint="cs"/>
          <w:rtl/>
        </w:rPr>
        <w:t xml:space="preserve">הכוס ניתנת תמיד בכפייה מבלי </w:t>
      </w:r>
      <w:r w:rsidR="00941321">
        <w:rPr>
          <w:rFonts w:cs="David" w:hint="cs"/>
          <w:rtl/>
        </w:rPr>
        <w:t xml:space="preserve">שלמקבל הכוס </w:t>
      </w:r>
      <w:r w:rsidR="00974106">
        <w:rPr>
          <w:rFonts w:cs="David" w:hint="cs"/>
          <w:rtl/>
        </w:rPr>
        <w:t>ישנה</w:t>
      </w:r>
      <w:r w:rsidR="00941321">
        <w:rPr>
          <w:rFonts w:cs="David" w:hint="cs"/>
          <w:rtl/>
        </w:rPr>
        <w:t xml:space="preserve"> אפשרות לסרב אינה תואמת אווירה של משתה</w:t>
      </w:r>
      <w:r w:rsidR="00681A7E">
        <w:rPr>
          <w:rFonts w:cs="David" w:hint="cs"/>
          <w:rtl/>
        </w:rPr>
        <w:t>.</w:t>
      </w:r>
      <w:r w:rsidR="002C012D" w:rsidRPr="006E3A40">
        <w:rPr>
          <w:rStyle w:val="FootnoteReference"/>
          <w:rFonts w:cs="David"/>
          <w:rtl/>
        </w:rPr>
        <w:footnoteReference w:id="22"/>
      </w:r>
      <w:r w:rsidR="00681A7E">
        <w:rPr>
          <w:rFonts w:cs="David" w:hint="cs"/>
          <w:rtl/>
        </w:rPr>
        <w:t xml:space="preserve"> </w:t>
      </w:r>
      <w:r w:rsidR="007B7FFA">
        <w:rPr>
          <w:rFonts w:cs="David" w:hint="cs"/>
          <w:rtl/>
        </w:rPr>
        <w:t xml:space="preserve">השערת האורדיל אינה תואמת את העובדה שבמרבית הטקסטים ניתן ביטוי חד-משמעי למרירותו ורעילותו של המשקה. </w:t>
      </w:r>
      <w:r w:rsidR="005F07DF">
        <w:rPr>
          <w:rFonts w:cs="David" w:hint="cs"/>
          <w:rtl/>
        </w:rPr>
        <w:t>רעילות זו תואמ</w:t>
      </w:r>
      <w:r w:rsidR="0082189F">
        <w:rPr>
          <w:rFonts w:cs="David" w:hint="cs"/>
          <w:rtl/>
        </w:rPr>
        <w:t>ת</w:t>
      </w:r>
      <w:r w:rsidR="005F07DF">
        <w:rPr>
          <w:rFonts w:cs="David" w:hint="cs"/>
          <w:rtl/>
        </w:rPr>
        <w:t xml:space="preserve"> את הרושם</w:t>
      </w:r>
      <w:r w:rsidR="007B7FFA">
        <w:rPr>
          <w:rFonts w:cs="David" w:hint="cs"/>
          <w:rtl/>
        </w:rPr>
        <w:t xml:space="preserve"> </w:t>
      </w:r>
      <w:r w:rsidR="0082189F">
        <w:rPr>
          <w:rFonts w:cs="David" w:hint="cs"/>
          <w:rtl/>
        </w:rPr>
        <w:t xml:space="preserve">הברור </w:t>
      </w:r>
      <w:r w:rsidR="007B7FFA">
        <w:rPr>
          <w:rFonts w:cs="David" w:hint="cs"/>
          <w:rtl/>
        </w:rPr>
        <w:t>שהכוס משמשת כאמצעי הענשה ולא כאמצעי לבדיקת אשמה.</w:t>
      </w:r>
      <w:r w:rsidR="00681A7E" w:rsidRPr="00681A7E">
        <w:rPr>
          <w:rFonts w:cs="David" w:hint="cs"/>
          <w:rtl/>
        </w:rPr>
        <w:t xml:space="preserve"> </w:t>
      </w:r>
      <w:r w:rsidR="00665027">
        <w:rPr>
          <w:rFonts w:cs="David" w:hint="cs"/>
          <w:rtl/>
        </w:rPr>
        <w:t>מירמיהו יג, כ-כז מתברר שגם אין ליצור</w:t>
      </w:r>
      <w:r w:rsidR="004E5EF0">
        <w:rPr>
          <w:rFonts w:cs="David" w:hint="cs"/>
          <w:rtl/>
        </w:rPr>
        <w:t xml:space="preserve"> </w:t>
      </w:r>
      <w:r w:rsidR="005F07DF">
        <w:rPr>
          <w:rFonts w:cs="David" w:hint="cs"/>
          <w:rtl/>
        </w:rPr>
        <w:t xml:space="preserve">הבחנה </w:t>
      </w:r>
      <w:r w:rsidR="00601498">
        <w:rPr>
          <w:rFonts w:cs="David" w:hint="cs"/>
          <w:rtl/>
        </w:rPr>
        <w:t xml:space="preserve">בין שני הדימויים </w:t>
      </w:r>
      <w:r w:rsidR="00665027">
        <w:rPr>
          <w:rFonts w:cs="David" w:hint="cs"/>
          <w:rtl/>
        </w:rPr>
        <w:t>ולאמץ את</w:t>
      </w:r>
      <w:r w:rsidR="00601498">
        <w:rPr>
          <w:rFonts w:cs="David" w:hint="cs"/>
          <w:rtl/>
        </w:rPr>
        <w:t xml:space="preserve"> שתי ההשערות </w:t>
      </w:r>
      <w:r w:rsidR="004E5EF0">
        <w:rPr>
          <w:rFonts w:cs="David" w:hint="cs"/>
          <w:rtl/>
        </w:rPr>
        <w:t>כהסבר</w:t>
      </w:r>
      <w:r w:rsidR="00601498">
        <w:rPr>
          <w:rFonts w:cs="David" w:hint="cs"/>
          <w:rtl/>
        </w:rPr>
        <w:t xml:space="preserve"> למושב בחיים שבבסיסם</w:t>
      </w:r>
      <w:r w:rsidR="00665027">
        <w:rPr>
          <w:rFonts w:cs="David" w:hint="cs"/>
          <w:rtl/>
        </w:rPr>
        <w:t xml:space="preserve"> -</w:t>
      </w:r>
      <w:r w:rsidR="00601498">
        <w:rPr>
          <w:rFonts w:cs="David" w:hint="cs"/>
          <w:rtl/>
        </w:rPr>
        <w:t xml:space="preserve"> המשתה בבסיס כוס הגורל והאורדיל בבסיס כוס התרעלה. </w:t>
      </w:r>
      <w:r w:rsidR="0011343A">
        <w:rPr>
          <w:rFonts w:cs="David" w:hint="cs"/>
          <w:rtl/>
        </w:rPr>
        <w:t xml:space="preserve">בנבואה זו </w:t>
      </w:r>
      <w:r w:rsidR="00665027">
        <w:rPr>
          <w:rFonts w:cs="David" w:hint="cs"/>
          <w:rtl/>
        </w:rPr>
        <w:t>מוזכרת</w:t>
      </w:r>
      <w:r w:rsidR="0011343A">
        <w:rPr>
          <w:rFonts w:cs="David" w:hint="cs"/>
          <w:rtl/>
        </w:rPr>
        <w:t xml:space="preserve"> מנת הגורל </w:t>
      </w:r>
      <w:r w:rsidR="00B947C4">
        <w:rPr>
          <w:rFonts w:cs="David" w:hint="cs"/>
          <w:rtl/>
        </w:rPr>
        <w:t>במסגרת משפטה של הנואפת</w:t>
      </w:r>
      <w:r w:rsidR="00665027">
        <w:rPr>
          <w:rFonts w:cs="David" w:hint="cs"/>
          <w:rtl/>
        </w:rPr>
        <w:t xml:space="preserve"> (</w:t>
      </w:r>
      <w:r w:rsidR="009C2CF6">
        <w:rPr>
          <w:rFonts w:cs="David" w:hint="cs"/>
          <w:rtl/>
        </w:rPr>
        <w:t>ירושלים</w:t>
      </w:r>
      <w:r w:rsidR="00665027">
        <w:rPr>
          <w:rFonts w:cs="David" w:hint="cs"/>
          <w:rtl/>
        </w:rPr>
        <w:t>)</w:t>
      </w:r>
      <w:r w:rsidR="009C2CF6">
        <w:rPr>
          <w:rFonts w:cs="David" w:hint="cs"/>
          <w:rtl/>
        </w:rPr>
        <w:t>.</w:t>
      </w:r>
      <w:r w:rsidR="0079248E" w:rsidRPr="006E3A40">
        <w:rPr>
          <w:rStyle w:val="FootnoteReference"/>
          <w:rFonts w:cs="David"/>
          <w:rtl/>
        </w:rPr>
        <w:footnoteReference w:id="23"/>
      </w:r>
      <w:r w:rsidR="009C2CF6">
        <w:rPr>
          <w:rFonts w:cs="David" w:hint="cs"/>
          <w:rtl/>
        </w:rPr>
        <w:t xml:space="preserve"> </w:t>
      </w:r>
      <w:r w:rsidR="00665027">
        <w:rPr>
          <w:rFonts w:cs="David" w:hint="cs"/>
          <w:rtl/>
        </w:rPr>
        <w:t>אזכורה של כוס הגורל בהקשר למשפטה של הנואפת, הקשר שבו מופיעה בשאר הנבואות כוס התרעלה, מלמד שאין הבחנה יסודית בין הדימויים.</w:t>
      </w:r>
      <w:r w:rsidR="005F07DF">
        <w:rPr>
          <w:rFonts w:cs="David" w:hint="cs"/>
          <w:rtl/>
        </w:rPr>
        <w:t xml:space="preserve"> </w:t>
      </w:r>
    </w:p>
    <w:p w:rsidR="00EF355B" w:rsidRDefault="00422111" w:rsidP="00BC523E">
      <w:pPr>
        <w:spacing w:line="360" w:lineRule="auto"/>
        <w:jc w:val="both"/>
        <w:rPr>
          <w:rFonts w:cs="David"/>
          <w:rtl/>
        </w:rPr>
      </w:pPr>
      <w:r w:rsidRPr="004837BF">
        <w:rPr>
          <w:rFonts w:cs="David" w:hint="cs"/>
          <w:rtl/>
        </w:rPr>
        <w:t xml:space="preserve">בפרק </w:t>
      </w:r>
      <w:r w:rsidR="004837BF">
        <w:rPr>
          <w:rFonts w:cs="David" w:hint="cs"/>
          <w:rtl/>
        </w:rPr>
        <w:t>הבא</w:t>
      </w:r>
      <w:r w:rsidR="006F18D0" w:rsidRPr="004837BF">
        <w:rPr>
          <w:rFonts w:cs="David" w:hint="cs"/>
          <w:rtl/>
        </w:rPr>
        <w:t xml:space="preserve"> </w:t>
      </w:r>
      <w:r w:rsidR="00C51500">
        <w:rPr>
          <w:rFonts w:cs="David" w:hint="cs"/>
          <w:rtl/>
        </w:rPr>
        <w:t>אתייחס ל</w:t>
      </w:r>
      <w:r w:rsidR="0046045B">
        <w:rPr>
          <w:rFonts w:cs="David" w:hint="cs"/>
          <w:rtl/>
        </w:rPr>
        <w:t xml:space="preserve">מכלול </w:t>
      </w:r>
      <w:r w:rsidR="00FA1F33">
        <w:rPr>
          <w:rFonts w:cs="David" w:hint="cs"/>
          <w:rtl/>
        </w:rPr>
        <w:t>הטקסטים</w:t>
      </w:r>
      <w:r w:rsidR="004A151F">
        <w:rPr>
          <w:rFonts w:cs="David" w:hint="cs"/>
          <w:rtl/>
        </w:rPr>
        <w:t xml:space="preserve"> שבהם מוזכר</w:t>
      </w:r>
      <w:r w:rsidR="00FA1F33">
        <w:rPr>
          <w:rFonts w:cs="David" w:hint="cs"/>
          <w:rtl/>
        </w:rPr>
        <w:t xml:space="preserve"> </w:t>
      </w:r>
      <w:r w:rsidR="004A151F">
        <w:rPr>
          <w:rFonts w:cs="David" w:hint="cs"/>
          <w:rtl/>
        </w:rPr>
        <w:t>במפורש או נרמז</w:t>
      </w:r>
      <w:r w:rsidR="009C2CF6">
        <w:rPr>
          <w:rFonts w:cs="David" w:hint="cs"/>
          <w:rtl/>
        </w:rPr>
        <w:t xml:space="preserve"> דימוי</w:t>
      </w:r>
      <w:r w:rsidR="004A151F">
        <w:rPr>
          <w:rFonts w:cs="David" w:hint="cs"/>
          <w:rtl/>
        </w:rPr>
        <w:t xml:space="preserve"> </w:t>
      </w:r>
      <w:r w:rsidR="009C2CF6">
        <w:rPr>
          <w:rFonts w:cs="David" w:hint="cs"/>
          <w:rtl/>
        </w:rPr>
        <w:t>כוס התרעלה</w:t>
      </w:r>
      <w:r w:rsidR="00FA1F33">
        <w:rPr>
          <w:rFonts w:cs="David" w:hint="cs"/>
          <w:rtl/>
        </w:rPr>
        <w:t xml:space="preserve"> </w:t>
      </w:r>
      <w:r w:rsidR="0012275F">
        <w:rPr>
          <w:rFonts w:cs="David" w:hint="cs"/>
          <w:rtl/>
        </w:rPr>
        <w:t>ואבחן את</w:t>
      </w:r>
      <w:r w:rsidR="00C51500">
        <w:rPr>
          <w:rFonts w:cs="David" w:hint="cs"/>
          <w:rtl/>
        </w:rPr>
        <w:t xml:space="preserve"> הפרטים המאפיינים אותו ו</w:t>
      </w:r>
      <w:r w:rsidR="0012275F">
        <w:rPr>
          <w:rFonts w:cs="David" w:hint="cs"/>
          <w:rtl/>
        </w:rPr>
        <w:t xml:space="preserve">את </w:t>
      </w:r>
      <w:r w:rsidR="0046045B">
        <w:rPr>
          <w:rFonts w:cs="David" w:hint="cs"/>
          <w:rtl/>
        </w:rPr>
        <w:t>ההקשרים</w:t>
      </w:r>
      <w:r w:rsidR="004A151F">
        <w:rPr>
          <w:rFonts w:cs="David" w:hint="cs"/>
          <w:rtl/>
        </w:rPr>
        <w:t xml:space="preserve"> שבהם </w:t>
      </w:r>
      <w:r w:rsidR="0046045B">
        <w:rPr>
          <w:rFonts w:cs="David" w:hint="cs"/>
          <w:rtl/>
        </w:rPr>
        <w:t>הוא מוזכר</w:t>
      </w:r>
      <w:r w:rsidR="004A151F">
        <w:rPr>
          <w:rFonts w:cs="David" w:hint="cs"/>
          <w:rtl/>
        </w:rPr>
        <w:t xml:space="preserve">. </w:t>
      </w:r>
      <w:r w:rsidR="0011343A">
        <w:rPr>
          <w:rFonts w:cs="David" w:hint="cs"/>
          <w:rtl/>
        </w:rPr>
        <w:t>תוצאות הבחינה</w:t>
      </w:r>
      <w:r w:rsidR="004A151F">
        <w:rPr>
          <w:rFonts w:cs="David" w:hint="cs"/>
          <w:rtl/>
        </w:rPr>
        <w:t xml:space="preserve"> </w:t>
      </w:r>
      <w:r w:rsidR="0011343A">
        <w:rPr>
          <w:rFonts w:cs="David" w:hint="cs"/>
          <w:rtl/>
        </w:rPr>
        <w:t>יסייעו</w:t>
      </w:r>
      <w:r w:rsidR="004A151F">
        <w:rPr>
          <w:rFonts w:cs="David" w:hint="cs"/>
          <w:rtl/>
        </w:rPr>
        <w:t xml:space="preserve"> </w:t>
      </w:r>
      <w:r w:rsidR="0046045B">
        <w:rPr>
          <w:rFonts w:cs="David" w:hint="cs"/>
          <w:rtl/>
        </w:rPr>
        <w:t>בזיהוי</w:t>
      </w:r>
      <w:r w:rsidR="004A151F">
        <w:rPr>
          <w:rFonts w:cs="David" w:hint="cs"/>
          <w:rtl/>
        </w:rPr>
        <w:t xml:space="preserve"> </w:t>
      </w:r>
      <w:r w:rsidR="0046045B">
        <w:rPr>
          <w:rFonts w:cs="David" w:hint="cs"/>
          <w:rtl/>
        </w:rPr>
        <w:t xml:space="preserve">הרקע </w:t>
      </w:r>
      <w:r w:rsidR="0012275F">
        <w:rPr>
          <w:rFonts w:cs="David" w:hint="cs"/>
          <w:rtl/>
        </w:rPr>
        <w:t>הריאלי</w:t>
      </w:r>
      <w:r w:rsidR="00464256">
        <w:rPr>
          <w:rFonts w:cs="David" w:hint="cs"/>
          <w:rtl/>
        </w:rPr>
        <w:t xml:space="preserve"> (המושב בחיים)</w:t>
      </w:r>
      <w:r w:rsidR="0012275F">
        <w:rPr>
          <w:rFonts w:cs="David" w:hint="cs"/>
          <w:rtl/>
        </w:rPr>
        <w:t xml:space="preserve"> שעליו</w:t>
      </w:r>
      <w:r w:rsidR="0046045B">
        <w:rPr>
          <w:rFonts w:cs="David" w:hint="cs"/>
          <w:rtl/>
        </w:rPr>
        <w:t xml:space="preserve"> מושתת</w:t>
      </w:r>
      <w:r w:rsidR="006727C1">
        <w:rPr>
          <w:rFonts w:cs="David" w:hint="cs"/>
          <w:rtl/>
        </w:rPr>
        <w:t xml:space="preserve"> דימוי זה</w:t>
      </w:r>
      <w:r w:rsidR="0046045B">
        <w:rPr>
          <w:rFonts w:cs="David" w:hint="cs"/>
          <w:rtl/>
        </w:rPr>
        <w:t>.</w:t>
      </w:r>
    </w:p>
    <w:p w:rsidR="009544DE" w:rsidRPr="00555E5D" w:rsidRDefault="009544DE" w:rsidP="00CC52E3">
      <w:pPr>
        <w:spacing w:line="360" w:lineRule="auto"/>
        <w:jc w:val="both"/>
        <w:rPr>
          <w:rFonts w:cs="David"/>
          <w:color w:val="00B050"/>
          <w:rtl/>
        </w:rPr>
      </w:pPr>
    </w:p>
    <w:p w:rsidR="000E0B5C" w:rsidRDefault="009737B4" w:rsidP="00740E82">
      <w:pPr>
        <w:numPr>
          <w:ilvl w:val="0"/>
          <w:numId w:val="31"/>
        </w:numPr>
        <w:spacing w:line="360" w:lineRule="auto"/>
        <w:rPr>
          <w:rFonts w:cs="David"/>
          <w:b/>
          <w:bCs/>
        </w:rPr>
      </w:pPr>
      <w:r>
        <w:rPr>
          <w:rFonts w:cs="David" w:hint="cs"/>
          <w:b/>
          <w:bCs/>
          <w:rtl/>
        </w:rPr>
        <w:t xml:space="preserve">כוס התרעלה </w:t>
      </w:r>
      <w:r>
        <w:rPr>
          <w:rFonts w:cs="David"/>
          <w:b/>
          <w:bCs/>
          <w:rtl/>
        </w:rPr>
        <w:t>–</w:t>
      </w:r>
      <w:r>
        <w:rPr>
          <w:rFonts w:cs="David" w:hint="cs"/>
          <w:b/>
          <w:bCs/>
          <w:rtl/>
        </w:rPr>
        <w:t xml:space="preserve"> בנבואה, בחוכמה ובמזמורים</w:t>
      </w:r>
    </w:p>
    <w:p w:rsidR="009A4471" w:rsidRDefault="009A4471" w:rsidP="0082189F">
      <w:pPr>
        <w:spacing w:line="360" w:lineRule="auto"/>
        <w:ind w:left="-24"/>
        <w:jc w:val="both"/>
        <w:rPr>
          <w:rFonts w:cs="David"/>
          <w:rtl/>
        </w:rPr>
      </w:pPr>
      <w:r>
        <w:rPr>
          <w:rFonts w:cs="David" w:hint="cs"/>
          <w:rtl/>
        </w:rPr>
        <w:t>דימוי כוס התרעלה מופיע</w:t>
      </w:r>
      <w:r w:rsidRPr="0039660D">
        <w:rPr>
          <w:rFonts w:cs="David" w:hint="cs"/>
          <w:rtl/>
        </w:rPr>
        <w:t xml:space="preserve"> בנבואותיהם של נביאים שונים</w:t>
      </w:r>
      <w:r w:rsidRPr="0039660D">
        <w:rPr>
          <w:rFonts w:cs="David" w:hint="cs"/>
          <w:sz w:val="20"/>
          <w:szCs w:val="20"/>
          <w:rtl/>
        </w:rPr>
        <w:t xml:space="preserve"> </w:t>
      </w:r>
      <w:r w:rsidR="00AD74CF">
        <w:rPr>
          <w:rFonts w:cs="David" w:hint="cs"/>
          <w:rtl/>
        </w:rPr>
        <w:t>כמרכיב</w:t>
      </w:r>
      <w:r w:rsidRPr="0039660D">
        <w:rPr>
          <w:rFonts w:cs="David" w:hint="cs"/>
          <w:rtl/>
        </w:rPr>
        <w:t xml:space="preserve"> </w:t>
      </w:r>
      <w:r w:rsidR="00AD74CF">
        <w:rPr>
          <w:rFonts w:cs="David" w:hint="cs"/>
          <w:rtl/>
        </w:rPr>
        <w:t>ב</w:t>
      </w:r>
      <w:r w:rsidRPr="0039660D">
        <w:rPr>
          <w:rFonts w:cs="David" w:hint="cs"/>
          <w:rtl/>
        </w:rPr>
        <w:t>מטאפורת היחסים בין ה</w:t>
      </w:r>
      <w:r w:rsidR="00D87F6F">
        <w:rPr>
          <w:rFonts w:cs="David"/>
          <w:rtl/>
        </w:rPr>
        <w:t>’</w:t>
      </w:r>
      <w:r w:rsidRPr="0039660D">
        <w:rPr>
          <w:rFonts w:cs="David" w:hint="cs"/>
          <w:rtl/>
        </w:rPr>
        <w:t xml:space="preserve"> לישראל כיחסי </w:t>
      </w:r>
      <w:r w:rsidR="00BC523E">
        <w:rPr>
          <w:rFonts w:cs="David" w:hint="cs"/>
          <w:rtl/>
        </w:rPr>
        <w:t>בעל</w:t>
      </w:r>
      <w:r w:rsidRPr="0039660D">
        <w:rPr>
          <w:rFonts w:cs="David" w:hint="cs"/>
          <w:rtl/>
        </w:rPr>
        <w:t xml:space="preserve"> ואישה.</w:t>
      </w:r>
      <w:r w:rsidRPr="0039660D">
        <w:rPr>
          <w:rFonts w:cs="David"/>
          <w:vertAlign w:val="superscript"/>
          <w:rtl/>
        </w:rPr>
        <w:footnoteReference w:id="24"/>
      </w:r>
      <w:r w:rsidR="00AD74CF">
        <w:rPr>
          <w:rFonts w:cs="David" w:hint="cs"/>
          <w:rtl/>
        </w:rPr>
        <w:t xml:space="preserve"> </w:t>
      </w:r>
      <w:r w:rsidR="0082189F">
        <w:rPr>
          <w:rFonts w:cs="David" w:hint="cs"/>
          <w:rtl/>
        </w:rPr>
        <w:t xml:space="preserve">הדימוי מוזכר </w:t>
      </w:r>
      <w:r w:rsidR="00AD74CF">
        <w:rPr>
          <w:rFonts w:cs="David" w:hint="cs"/>
          <w:rtl/>
        </w:rPr>
        <w:t xml:space="preserve">במסגרת </w:t>
      </w:r>
      <w:r w:rsidR="00BC523E">
        <w:rPr>
          <w:rFonts w:cs="David" w:hint="cs"/>
          <w:rtl/>
        </w:rPr>
        <w:t>מודל ה</w:t>
      </w:r>
      <w:r w:rsidR="00D87F6F">
        <w:rPr>
          <w:rFonts w:cs="David"/>
          <w:rtl/>
        </w:rPr>
        <w:t>”</w:t>
      </w:r>
      <w:r w:rsidR="00BC523E">
        <w:rPr>
          <w:rFonts w:cs="David" w:hint="cs"/>
          <w:rtl/>
        </w:rPr>
        <w:t>ריב</w:t>
      </w:r>
      <w:r w:rsidR="00D87F6F">
        <w:rPr>
          <w:rFonts w:cs="David"/>
          <w:rtl/>
        </w:rPr>
        <w:t>”</w:t>
      </w:r>
      <w:r w:rsidR="00BC523E">
        <w:rPr>
          <w:rFonts w:cs="David" w:hint="cs"/>
          <w:rtl/>
        </w:rPr>
        <w:t xml:space="preserve"> שהוא</w:t>
      </w:r>
      <w:r w:rsidR="00AD74CF">
        <w:rPr>
          <w:rFonts w:cs="David" w:hint="cs"/>
          <w:rtl/>
        </w:rPr>
        <w:t xml:space="preserve"> מעין כתב תביעה משפטי שבו שוטח הצד הנפגע</w:t>
      </w:r>
      <w:r w:rsidR="00BC523E">
        <w:rPr>
          <w:rFonts w:cs="David" w:hint="cs"/>
          <w:rtl/>
        </w:rPr>
        <w:t xml:space="preserve"> (ה</w:t>
      </w:r>
      <w:r w:rsidR="00D87F6F">
        <w:rPr>
          <w:rFonts w:cs="David"/>
          <w:rtl/>
        </w:rPr>
        <w:t>’</w:t>
      </w:r>
      <w:r w:rsidR="00BC523E">
        <w:rPr>
          <w:rFonts w:cs="David" w:hint="cs"/>
          <w:rtl/>
        </w:rPr>
        <w:t>) את טענותיו כנגד הצד הפוגע (העם) על שמפר את התחייבותו כלפיו.</w:t>
      </w:r>
      <w:r w:rsidR="00BC523E" w:rsidRPr="0039660D">
        <w:rPr>
          <w:rFonts w:cs="David"/>
          <w:vertAlign w:val="superscript"/>
          <w:rtl/>
        </w:rPr>
        <w:footnoteReference w:id="25"/>
      </w:r>
      <w:r w:rsidR="00D87F6F">
        <w:rPr>
          <w:rFonts w:cs="David" w:hint="cs"/>
          <w:rtl/>
        </w:rPr>
        <w:t xml:space="preserve"> </w:t>
      </w:r>
    </w:p>
    <w:p w:rsidR="0005379B" w:rsidRDefault="00CD250C" w:rsidP="00282624">
      <w:pPr>
        <w:spacing w:line="360" w:lineRule="auto"/>
        <w:ind w:left="-24"/>
        <w:jc w:val="both"/>
        <w:rPr>
          <w:rFonts w:cs="David"/>
          <w:rtl/>
        </w:rPr>
      </w:pPr>
      <w:r>
        <w:rPr>
          <w:rFonts w:cs="David" w:hint="cs"/>
          <w:rtl/>
        </w:rPr>
        <w:t>בפרק כ</w:t>
      </w:r>
      <w:r w:rsidR="00D87F6F">
        <w:rPr>
          <w:rFonts w:cs="David"/>
          <w:rtl/>
        </w:rPr>
        <w:t>”</w:t>
      </w:r>
      <w:r>
        <w:rPr>
          <w:rFonts w:cs="David" w:hint="cs"/>
          <w:rtl/>
        </w:rPr>
        <w:t>ג מדמה הנביא יחזקאל</w:t>
      </w:r>
      <w:r w:rsidR="00202828" w:rsidRPr="00520FBA">
        <w:rPr>
          <w:rFonts w:cs="David" w:hint="cs"/>
          <w:rtl/>
        </w:rPr>
        <w:t xml:space="preserve"> בהרחבה את התנהגותן הפוליטית והדתית של ממלכות שומרון ויהודה לזנותן של שתי אחיות </w:t>
      </w:r>
      <w:r w:rsidR="00D87F6F">
        <w:rPr>
          <w:rFonts w:cs="David"/>
          <w:rtl/>
        </w:rPr>
        <w:t>“</w:t>
      </w:r>
      <w:r w:rsidR="00202828" w:rsidRPr="00520FBA">
        <w:rPr>
          <w:rFonts w:cs="David" w:hint="cs"/>
          <w:rtl/>
        </w:rPr>
        <w:t>ושמותן שמרון אהלה וירושלים אה</w:t>
      </w:r>
      <w:r w:rsidR="005F1317">
        <w:rPr>
          <w:rFonts w:cs="David" w:hint="cs"/>
          <w:rtl/>
        </w:rPr>
        <w:t>ליבה</w:t>
      </w:r>
      <w:r w:rsidR="00D87F6F">
        <w:rPr>
          <w:rFonts w:cs="David"/>
          <w:rtl/>
        </w:rPr>
        <w:t>”</w:t>
      </w:r>
      <w:r w:rsidR="005F1317">
        <w:rPr>
          <w:rFonts w:cs="David" w:hint="cs"/>
          <w:rtl/>
        </w:rPr>
        <w:t xml:space="preserve"> (פס</w:t>
      </w:r>
      <w:r w:rsidR="00D87F6F">
        <w:rPr>
          <w:rFonts w:cs="David"/>
          <w:rtl/>
        </w:rPr>
        <w:t>’</w:t>
      </w:r>
      <w:r w:rsidR="005F1317">
        <w:rPr>
          <w:rFonts w:cs="David" w:hint="cs"/>
          <w:rtl/>
        </w:rPr>
        <w:t xml:space="preserve"> ד). אהליבה, שהשחיתה תזנותיה יותר מזנוני אחותה</w:t>
      </w:r>
      <w:r w:rsidR="00202828" w:rsidRPr="00520FBA">
        <w:rPr>
          <w:rFonts w:cs="David" w:hint="cs"/>
          <w:rtl/>
        </w:rPr>
        <w:t xml:space="preserve"> ושאליה </w:t>
      </w:r>
      <w:r w:rsidR="00AF4EE3">
        <w:rPr>
          <w:rFonts w:cs="David" w:hint="cs"/>
          <w:rtl/>
        </w:rPr>
        <w:lastRenderedPageBreak/>
        <w:t xml:space="preserve">בעיקר </w:t>
      </w:r>
      <w:r w:rsidR="00202828" w:rsidRPr="00520FBA">
        <w:rPr>
          <w:rFonts w:cs="David" w:hint="cs"/>
          <w:rtl/>
        </w:rPr>
        <w:t xml:space="preserve">מכוונים דברי הנבואה, </w:t>
      </w:r>
      <w:r w:rsidR="00D73E5A">
        <w:rPr>
          <w:rFonts w:cs="David" w:hint="cs"/>
          <w:rtl/>
        </w:rPr>
        <w:t xml:space="preserve">צפויה להישפט ולהיענש. המשפט והעונש </w:t>
      </w:r>
      <w:r w:rsidR="00344CEA">
        <w:rPr>
          <w:rFonts w:cs="David" w:hint="cs"/>
          <w:rtl/>
        </w:rPr>
        <w:t>מתואר</w:t>
      </w:r>
      <w:r w:rsidR="00AB7379">
        <w:rPr>
          <w:rFonts w:cs="David" w:hint="cs"/>
          <w:rtl/>
        </w:rPr>
        <w:t>ים</w:t>
      </w:r>
      <w:r w:rsidR="00344CEA">
        <w:rPr>
          <w:rFonts w:cs="David" w:hint="cs"/>
          <w:rtl/>
        </w:rPr>
        <w:t xml:space="preserve"> </w:t>
      </w:r>
      <w:r w:rsidR="00C71B29">
        <w:rPr>
          <w:rFonts w:cs="David" w:hint="cs"/>
          <w:rtl/>
        </w:rPr>
        <w:t xml:space="preserve">בשתי </w:t>
      </w:r>
      <w:r w:rsidR="00282624">
        <w:rPr>
          <w:rFonts w:cs="David" w:hint="cs"/>
          <w:rtl/>
        </w:rPr>
        <w:t>יחידות</w:t>
      </w:r>
      <w:r w:rsidR="00C71B29">
        <w:rPr>
          <w:rFonts w:cs="David" w:hint="cs"/>
          <w:rtl/>
        </w:rPr>
        <w:t xml:space="preserve"> מקבילות</w:t>
      </w:r>
      <w:r w:rsidR="00344CEA">
        <w:rPr>
          <w:rFonts w:cs="David" w:hint="cs"/>
          <w:rtl/>
        </w:rPr>
        <w:t xml:space="preserve"> (פס</w:t>
      </w:r>
      <w:r w:rsidR="00D87F6F">
        <w:rPr>
          <w:rFonts w:cs="David"/>
          <w:rtl/>
        </w:rPr>
        <w:t>’</w:t>
      </w:r>
      <w:r w:rsidR="00344CEA">
        <w:rPr>
          <w:rFonts w:cs="David" w:hint="cs"/>
          <w:rtl/>
        </w:rPr>
        <w:t xml:space="preserve"> כב-לד / פס</w:t>
      </w:r>
      <w:r w:rsidR="00D87F6F">
        <w:rPr>
          <w:rFonts w:cs="David"/>
          <w:rtl/>
        </w:rPr>
        <w:t>’</w:t>
      </w:r>
      <w:r w:rsidR="00344CEA">
        <w:rPr>
          <w:rFonts w:cs="David" w:hint="cs"/>
          <w:rtl/>
        </w:rPr>
        <w:t xml:space="preserve"> ל</w:t>
      </w:r>
      <w:r w:rsidR="00AB7379">
        <w:rPr>
          <w:rFonts w:cs="David" w:hint="cs"/>
          <w:rtl/>
        </w:rPr>
        <w:t>ו</w:t>
      </w:r>
      <w:r w:rsidR="00344CEA">
        <w:rPr>
          <w:rFonts w:cs="David" w:hint="cs"/>
          <w:rtl/>
        </w:rPr>
        <w:t>-</w:t>
      </w:r>
      <w:r w:rsidR="00D73E5A">
        <w:rPr>
          <w:rFonts w:cs="David" w:hint="cs"/>
          <w:rtl/>
        </w:rPr>
        <w:t>מט).</w:t>
      </w:r>
      <w:r w:rsidR="00AB7379" w:rsidRPr="0075000E">
        <w:rPr>
          <w:rFonts w:cs="David"/>
          <w:vertAlign w:val="superscript"/>
          <w:rtl/>
        </w:rPr>
        <w:footnoteReference w:id="26"/>
      </w:r>
      <w:r w:rsidR="00D87F6F">
        <w:rPr>
          <w:rFonts w:cs="David" w:hint="cs"/>
          <w:rtl/>
        </w:rPr>
        <w:t xml:space="preserve"> </w:t>
      </w:r>
    </w:p>
    <w:p w:rsidR="00AF4EE3" w:rsidRDefault="00C71B29" w:rsidP="009A4471">
      <w:pPr>
        <w:spacing w:line="360" w:lineRule="auto"/>
        <w:ind w:left="-24"/>
        <w:jc w:val="both"/>
        <w:rPr>
          <w:rFonts w:cs="David"/>
          <w:rtl/>
        </w:rPr>
      </w:pPr>
      <w:r w:rsidRPr="0074774A">
        <w:rPr>
          <w:rFonts w:cs="David" w:hint="cs"/>
          <w:rtl/>
        </w:rPr>
        <w:t>ב</w:t>
      </w:r>
      <w:r w:rsidR="00282624">
        <w:rPr>
          <w:rFonts w:cs="David" w:hint="cs"/>
          <w:rtl/>
        </w:rPr>
        <w:t>יחידה</w:t>
      </w:r>
      <w:r w:rsidRPr="0074774A">
        <w:rPr>
          <w:rFonts w:cs="David" w:hint="cs"/>
          <w:rtl/>
        </w:rPr>
        <w:t xml:space="preserve"> הראשונה (פס</w:t>
      </w:r>
      <w:r w:rsidR="00D87F6F">
        <w:rPr>
          <w:rFonts w:cs="David"/>
          <w:rtl/>
        </w:rPr>
        <w:t>’</w:t>
      </w:r>
      <w:r w:rsidRPr="0074774A">
        <w:rPr>
          <w:rFonts w:cs="David" w:hint="cs"/>
          <w:rtl/>
        </w:rPr>
        <w:t xml:space="preserve"> כב-לד) מתואר המשפט: </w:t>
      </w:r>
      <w:r w:rsidR="00D87F6F">
        <w:rPr>
          <w:rFonts w:cs="David"/>
          <w:rtl/>
        </w:rPr>
        <w:t>“</w:t>
      </w:r>
      <w:r w:rsidRPr="0074774A">
        <w:rPr>
          <w:rFonts w:cs="David" w:hint="cs"/>
          <w:rtl/>
        </w:rPr>
        <w:t>ונתתי לפניהם משפט ושפטוך במשפטיהם</w:t>
      </w:r>
      <w:r w:rsidR="00D87F6F">
        <w:rPr>
          <w:rFonts w:cs="David"/>
          <w:rtl/>
        </w:rPr>
        <w:t>”</w:t>
      </w:r>
      <w:r w:rsidRPr="0074774A">
        <w:rPr>
          <w:rFonts w:cs="David" w:hint="cs"/>
          <w:rtl/>
        </w:rPr>
        <w:t xml:space="preserve"> (פס</w:t>
      </w:r>
      <w:r w:rsidR="00D87F6F">
        <w:rPr>
          <w:rFonts w:cs="David"/>
          <w:rtl/>
        </w:rPr>
        <w:t>’</w:t>
      </w:r>
      <w:r w:rsidRPr="0074774A">
        <w:rPr>
          <w:rFonts w:cs="David" w:hint="cs"/>
          <w:rtl/>
        </w:rPr>
        <w:t xml:space="preserve"> כד) ו</w:t>
      </w:r>
      <w:r w:rsidR="0005379B" w:rsidRPr="0074774A">
        <w:rPr>
          <w:rFonts w:cs="David" w:hint="cs"/>
          <w:rtl/>
        </w:rPr>
        <w:t xml:space="preserve">לצדו מכלול </w:t>
      </w:r>
      <w:r w:rsidRPr="0074774A">
        <w:rPr>
          <w:rFonts w:cs="David" w:hint="cs"/>
          <w:rtl/>
        </w:rPr>
        <w:t>מרכיבי</w:t>
      </w:r>
      <w:r w:rsidR="0005379B" w:rsidRPr="0074774A">
        <w:rPr>
          <w:rFonts w:cs="David" w:hint="cs"/>
          <w:rtl/>
        </w:rPr>
        <w:t xml:space="preserve"> העונש:</w:t>
      </w:r>
      <w:r w:rsidRPr="0074774A">
        <w:rPr>
          <w:rFonts w:cs="David" w:hint="cs"/>
          <w:rtl/>
        </w:rPr>
        <w:t xml:space="preserve"> </w:t>
      </w:r>
      <w:r w:rsidR="00E16275" w:rsidRPr="0074774A">
        <w:rPr>
          <w:rFonts w:cs="David" w:hint="cs"/>
          <w:rtl/>
        </w:rPr>
        <w:t>פגיעה בגוף</w:t>
      </w:r>
      <w:r w:rsidR="00AA676A" w:rsidRPr="0074774A">
        <w:rPr>
          <w:rFonts w:cs="David" w:hint="cs"/>
          <w:rtl/>
        </w:rPr>
        <w:t xml:space="preserve"> (פס</w:t>
      </w:r>
      <w:r w:rsidR="00D87F6F">
        <w:rPr>
          <w:rFonts w:cs="David"/>
          <w:rtl/>
        </w:rPr>
        <w:t>’</w:t>
      </w:r>
      <w:r w:rsidR="00AA676A" w:rsidRPr="0074774A">
        <w:rPr>
          <w:rFonts w:cs="David" w:hint="cs"/>
          <w:rtl/>
        </w:rPr>
        <w:t xml:space="preserve"> כה</w:t>
      </w:r>
      <w:r w:rsidR="00E16275" w:rsidRPr="0074774A">
        <w:rPr>
          <w:rFonts w:cs="David" w:hint="cs"/>
          <w:rtl/>
        </w:rPr>
        <w:t>, לד</w:t>
      </w:r>
      <w:r w:rsidR="00AA676A" w:rsidRPr="0074774A">
        <w:rPr>
          <w:rFonts w:cs="David" w:hint="cs"/>
          <w:rtl/>
        </w:rPr>
        <w:t>); המתה בחרב (</w:t>
      </w:r>
      <w:r w:rsidR="009A4471">
        <w:rPr>
          <w:rFonts w:cs="David" w:hint="cs"/>
          <w:rtl/>
        </w:rPr>
        <w:t>פס</w:t>
      </w:r>
      <w:r w:rsidR="00D87F6F">
        <w:rPr>
          <w:rFonts w:cs="David"/>
          <w:rtl/>
        </w:rPr>
        <w:t>’</w:t>
      </w:r>
      <w:r w:rsidR="009A4471">
        <w:rPr>
          <w:rFonts w:cs="David" w:hint="cs"/>
          <w:rtl/>
        </w:rPr>
        <w:t xml:space="preserve"> כה</w:t>
      </w:r>
      <w:r w:rsidR="00AA676A" w:rsidRPr="0074774A">
        <w:rPr>
          <w:rFonts w:cs="David" w:hint="cs"/>
          <w:rtl/>
        </w:rPr>
        <w:t xml:space="preserve">); לקיחת הבנים והבנות (שם); </w:t>
      </w:r>
      <w:r w:rsidR="00344CEA" w:rsidRPr="0074774A">
        <w:rPr>
          <w:rFonts w:cs="David" w:hint="cs"/>
          <w:rtl/>
        </w:rPr>
        <w:t>המתה בשריפה (שם); הפשטת</w:t>
      </w:r>
      <w:r w:rsidR="00202828" w:rsidRPr="0074774A">
        <w:rPr>
          <w:rFonts w:cs="David" w:hint="cs"/>
          <w:rtl/>
        </w:rPr>
        <w:t xml:space="preserve"> </w:t>
      </w:r>
      <w:r w:rsidR="00344CEA" w:rsidRPr="0074774A">
        <w:rPr>
          <w:rFonts w:cs="David" w:hint="cs"/>
          <w:rtl/>
        </w:rPr>
        <w:t>בגדים וגילוי ערווה</w:t>
      </w:r>
      <w:r w:rsidR="00202828" w:rsidRPr="0074774A">
        <w:rPr>
          <w:rFonts w:cs="David" w:hint="cs"/>
          <w:rtl/>
        </w:rPr>
        <w:t xml:space="preserve"> (פס</w:t>
      </w:r>
      <w:r w:rsidR="00D87F6F">
        <w:rPr>
          <w:rFonts w:cs="David"/>
          <w:rtl/>
        </w:rPr>
        <w:t>’</w:t>
      </w:r>
      <w:r w:rsidR="00202828" w:rsidRPr="0074774A">
        <w:rPr>
          <w:rFonts w:cs="David" w:hint="cs"/>
          <w:rtl/>
        </w:rPr>
        <w:t xml:space="preserve"> כו, כט)</w:t>
      </w:r>
      <w:r w:rsidR="00344CEA" w:rsidRPr="0074774A">
        <w:rPr>
          <w:rFonts w:cs="David" w:hint="cs"/>
          <w:rtl/>
        </w:rPr>
        <w:t>; השקיית כוס שמה ושממה</w:t>
      </w:r>
      <w:r w:rsidR="00202828" w:rsidRPr="0074774A">
        <w:rPr>
          <w:rFonts w:cs="David" w:hint="cs"/>
          <w:rtl/>
        </w:rPr>
        <w:t xml:space="preserve"> (פס</w:t>
      </w:r>
      <w:r w:rsidR="00D87F6F">
        <w:rPr>
          <w:rFonts w:cs="David"/>
          <w:rtl/>
        </w:rPr>
        <w:t>’</w:t>
      </w:r>
      <w:r w:rsidR="00202828" w:rsidRPr="0074774A">
        <w:rPr>
          <w:rFonts w:cs="David" w:hint="cs"/>
          <w:rtl/>
        </w:rPr>
        <w:t xml:space="preserve"> </w:t>
      </w:r>
      <w:r w:rsidR="00344CEA" w:rsidRPr="0074774A">
        <w:rPr>
          <w:rFonts w:cs="David" w:hint="cs"/>
          <w:rtl/>
        </w:rPr>
        <w:t>לא-לד</w:t>
      </w:r>
      <w:r w:rsidR="00202828" w:rsidRPr="0074774A">
        <w:rPr>
          <w:rFonts w:cs="David" w:hint="cs"/>
          <w:rtl/>
        </w:rPr>
        <w:t>)</w:t>
      </w:r>
      <w:r w:rsidR="0005379B" w:rsidRPr="0074774A">
        <w:rPr>
          <w:rFonts w:cs="David" w:hint="cs"/>
          <w:rtl/>
        </w:rPr>
        <w:t>.</w:t>
      </w:r>
      <w:r w:rsidR="00043D2A" w:rsidRPr="0075000E">
        <w:rPr>
          <w:rFonts w:cs="David"/>
          <w:vertAlign w:val="superscript"/>
          <w:rtl/>
        </w:rPr>
        <w:footnoteReference w:id="27"/>
      </w:r>
      <w:r w:rsidR="00282624" w:rsidRPr="00B06645">
        <w:rPr>
          <w:rFonts w:cs="David" w:hint="cs"/>
          <w:rtl/>
        </w:rPr>
        <w:t xml:space="preserve"> </w:t>
      </w:r>
    </w:p>
    <w:p w:rsidR="003B0F89" w:rsidRDefault="0005379B" w:rsidP="00336151">
      <w:pPr>
        <w:spacing w:line="360" w:lineRule="auto"/>
        <w:ind w:left="-24"/>
        <w:jc w:val="both"/>
        <w:rPr>
          <w:rFonts w:cs="David"/>
          <w:rtl/>
        </w:rPr>
      </w:pPr>
      <w:r w:rsidRPr="0074774A">
        <w:rPr>
          <w:rFonts w:cs="David" w:hint="cs"/>
          <w:rtl/>
        </w:rPr>
        <w:t>גם ב</w:t>
      </w:r>
      <w:r w:rsidR="00282624">
        <w:rPr>
          <w:rFonts w:cs="David" w:hint="cs"/>
          <w:rtl/>
        </w:rPr>
        <w:t>יחידה</w:t>
      </w:r>
      <w:r w:rsidRPr="0074774A">
        <w:rPr>
          <w:rFonts w:cs="David" w:hint="cs"/>
          <w:rtl/>
        </w:rPr>
        <w:t xml:space="preserve"> השניה (פס</w:t>
      </w:r>
      <w:r w:rsidR="00D87F6F">
        <w:rPr>
          <w:rFonts w:cs="David"/>
          <w:rtl/>
        </w:rPr>
        <w:t>’</w:t>
      </w:r>
      <w:r w:rsidRPr="0074774A">
        <w:rPr>
          <w:rFonts w:cs="David" w:hint="cs"/>
          <w:rtl/>
        </w:rPr>
        <w:t xml:space="preserve"> לו-מט) מתואר המשפט: </w:t>
      </w:r>
      <w:r w:rsidR="00D87F6F">
        <w:rPr>
          <w:rFonts w:cs="David"/>
          <w:rtl/>
        </w:rPr>
        <w:t>“</w:t>
      </w:r>
      <w:r w:rsidRPr="0074774A">
        <w:rPr>
          <w:rFonts w:cs="David" w:hint="cs"/>
          <w:rtl/>
        </w:rPr>
        <w:t>התשפוט את אהלה ואת אהליבה והגד להן את תועבותיהן</w:t>
      </w:r>
      <w:r w:rsidR="00D87F6F">
        <w:rPr>
          <w:rFonts w:cs="David"/>
          <w:rtl/>
        </w:rPr>
        <w:t>”</w:t>
      </w:r>
      <w:r w:rsidRPr="0074774A">
        <w:rPr>
          <w:rFonts w:cs="David" w:hint="cs"/>
          <w:rtl/>
        </w:rPr>
        <w:t xml:space="preserve"> (פס</w:t>
      </w:r>
      <w:r w:rsidR="00D87F6F">
        <w:rPr>
          <w:rFonts w:cs="David"/>
          <w:rtl/>
        </w:rPr>
        <w:t>’</w:t>
      </w:r>
      <w:r w:rsidRPr="0074774A">
        <w:rPr>
          <w:rFonts w:cs="David" w:hint="cs"/>
          <w:rtl/>
        </w:rPr>
        <w:t xml:space="preserve"> לו); </w:t>
      </w:r>
      <w:r w:rsidR="00D87F6F">
        <w:rPr>
          <w:rFonts w:cs="David"/>
          <w:rtl/>
        </w:rPr>
        <w:t>“</w:t>
      </w:r>
      <w:r w:rsidRPr="0074774A">
        <w:rPr>
          <w:rFonts w:cs="David" w:hint="cs"/>
          <w:rtl/>
        </w:rPr>
        <w:t>ואנשים צדיקם המה ישפטו אותהם משפט נאפות ומשפט שפכות דם כי נאפת הנה וד</w:t>
      </w:r>
      <w:r w:rsidR="00282624">
        <w:rPr>
          <w:rFonts w:cs="David" w:hint="cs"/>
          <w:rtl/>
        </w:rPr>
        <w:t>ם בידיהם</w:t>
      </w:r>
      <w:r w:rsidR="00D87F6F">
        <w:rPr>
          <w:rFonts w:cs="David"/>
          <w:rtl/>
        </w:rPr>
        <w:t>”</w:t>
      </w:r>
      <w:r w:rsidR="00B06645">
        <w:rPr>
          <w:rFonts w:cs="David" w:hint="cs"/>
          <w:rtl/>
        </w:rPr>
        <w:t xml:space="preserve"> (פס</w:t>
      </w:r>
      <w:r w:rsidR="00D87F6F">
        <w:rPr>
          <w:rFonts w:cs="David"/>
          <w:rtl/>
        </w:rPr>
        <w:t>’</w:t>
      </w:r>
      <w:r w:rsidR="00B06645">
        <w:rPr>
          <w:rFonts w:cs="David" w:hint="cs"/>
          <w:rtl/>
        </w:rPr>
        <w:t xml:space="preserve"> מה)</w:t>
      </w:r>
      <w:r w:rsidR="00282624">
        <w:rPr>
          <w:rFonts w:cs="David" w:hint="cs"/>
          <w:rtl/>
        </w:rPr>
        <w:t>. תיאור העונש</w:t>
      </w:r>
      <w:r w:rsidR="0074774A">
        <w:rPr>
          <w:rFonts w:cs="David" w:hint="cs"/>
          <w:rtl/>
        </w:rPr>
        <w:t xml:space="preserve"> </w:t>
      </w:r>
      <w:r w:rsidR="00282624">
        <w:rPr>
          <w:rFonts w:cs="David" w:hint="cs"/>
          <w:rtl/>
        </w:rPr>
        <w:t xml:space="preserve">כולל כמה צורות </w:t>
      </w:r>
      <w:r w:rsidR="0074774A">
        <w:rPr>
          <w:rFonts w:cs="David" w:hint="cs"/>
          <w:rtl/>
        </w:rPr>
        <w:t xml:space="preserve">המתה </w:t>
      </w:r>
      <w:r w:rsidR="0074774A">
        <w:rPr>
          <w:rFonts w:cs="David"/>
          <w:rtl/>
        </w:rPr>
        <w:t>–</w:t>
      </w:r>
      <w:r w:rsidR="0074774A">
        <w:rPr>
          <w:rFonts w:cs="David" w:hint="cs"/>
          <w:rtl/>
        </w:rPr>
        <w:t xml:space="preserve"> בסקילה, בחרב ובשריפה (פס</w:t>
      </w:r>
      <w:r w:rsidR="00D87F6F">
        <w:rPr>
          <w:rFonts w:cs="David"/>
          <w:rtl/>
        </w:rPr>
        <w:t>’</w:t>
      </w:r>
      <w:r w:rsidR="0074774A">
        <w:rPr>
          <w:rFonts w:cs="David" w:hint="cs"/>
          <w:rtl/>
        </w:rPr>
        <w:t xml:space="preserve"> מ</w:t>
      </w:r>
      <w:r w:rsidR="00282624">
        <w:rPr>
          <w:rFonts w:cs="David" w:hint="cs"/>
          <w:rtl/>
        </w:rPr>
        <w:t>ז), ללא פירוט השלבי</w:t>
      </w:r>
      <w:r w:rsidR="003765AE">
        <w:rPr>
          <w:rFonts w:cs="David" w:hint="cs"/>
          <w:rtl/>
        </w:rPr>
        <w:t>ם הראשונים -</w:t>
      </w:r>
      <w:r w:rsidR="00282624">
        <w:rPr>
          <w:rFonts w:cs="David" w:hint="cs"/>
          <w:rtl/>
        </w:rPr>
        <w:t xml:space="preserve"> </w:t>
      </w:r>
      <w:r w:rsidR="00B06645">
        <w:rPr>
          <w:rFonts w:cs="David" w:hint="cs"/>
          <w:rtl/>
        </w:rPr>
        <w:t>הפשטה, השקיה וכדומה.</w:t>
      </w:r>
    </w:p>
    <w:p w:rsidR="00E90919" w:rsidRPr="00E90919" w:rsidRDefault="002660FE" w:rsidP="00C2262C">
      <w:pPr>
        <w:spacing w:line="360" w:lineRule="auto"/>
        <w:jc w:val="both"/>
        <w:rPr>
          <w:rFonts w:cs="David"/>
          <w:rtl/>
        </w:rPr>
      </w:pPr>
      <w:r>
        <w:rPr>
          <w:rFonts w:cs="David" w:hint="cs"/>
          <w:rtl/>
        </w:rPr>
        <w:t xml:space="preserve">גם </w:t>
      </w:r>
      <w:r w:rsidR="00E90919">
        <w:rPr>
          <w:rFonts w:cs="David" w:hint="cs"/>
          <w:rtl/>
        </w:rPr>
        <w:t xml:space="preserve">ביחזקאל טז, שהיא נבואה מקבילה </w:t>
      </w:r>
      <w:r w:rsidR="00AF4EE3">
        <w:rPr>
          <w:rFonts w:cs="David" w:hint="cs"/>
          <w:rtl/>
        </w:rPr>
        <w:t>ליחזקאל כג</w:t>
      </w:r>
      <w:r w:rsidR="00E90919">
        <w:rPr>
          <w:rFonts w:cs="David" w:hint="cs"/>
          <w:rtl/>
        </w:rPr>
        <w:t xml:space="preserve">, </w:t>
      </w:r>
      <w:r>
        <w:rPr>
          <w:rFonts w:cs="David" w:hint="cs"/>
          <w:rtl/>
        </w:rPr>
        <w:t xml:space="preserve">מתואר משפטה של הנואפת: </w:t>
      </w:r>
      <w:r w:rsidR="00D87F6F">
        <w:rPr>
          <w:rFonts w:cs="David"/>
          <w:rtl/>
        </w:rPr>
        <w:t>“</w:t>
      </w:r>
      <w:r>
        <w:rPr>
          <w:rFonts w:cs="David" w:hint="cs"/>
          <w:rtl/>
        </w:rPr>
        <w:t>ושפטתיך משפטי נאפות ושפכת דם</w:t>
      </w:r>
      <w:r w:rsidR="00D87F6F">
        <w:rPr>
          <w:rFonts w:cs="David"/>
          <w:rtl/>
        </w:rPr>
        <w:t>”</w:t>
      </w:r>
      <w:r>
        <w:rPr>
          <w:rFonts w:cs="David" w:hint="cs"/>
          <w:rtl/>
        </w:rPr>
        <w:t xml:space="preserve"> (פס</w:t>
      </w:r>
      <w:r w:rsidR="00D87F6F">
        <w:rPr>
          <w:rFonts w:cs="David"/>
          <w:rtl/>
        </w:rPr>
        <w:t>’</w:t>
      </w:r>
      <w:r>
        <w:rPr>
          <w:rFonts w:cs="David" w:hint="cs"/>
          <w:rtl/>
        </w:rPr>
        <w:t xml:space="preserve"> לח)</w:t>
      </w:r>
      <w:r w:rsidR="00FD47F7">
        <w:rPr>
          <w:rFonts w:cs="David" w:hint="cs"/>
          <w:rtl/>
        </w:rPr>
        <w:t xml:space="preserve">. </w:t>
      </w:r>
      <w:r w:rsidR="001668DA">
        <w:rPr>
          <w:rFonts w:cs="David" w:hint="cs"/>
          <w:rtl/>
        </w:rPr>
        <w:t xml:space="preserve">מכלול מרכיבי העונש מתואר </w:t>
      </w:r>
      <w:r w:rsidR="00FD47F7">
        <w:rPr>
          <w:rFonts w:cs="David" w:hint="cs"/>
          <w:rtl/>
        </w:rPr>
        <w:t>בפסוקי המשפט (פס</w:t>
      </w:r>
      <w:r w:rsidR="00D87F6F">
        <w:rPr>
          <w:rFonts w:cs="David"/>
          <w:rtl/>
        </w:rPr>
        <w:t>’</w:t>
      </w:r>
      <w:r w:rsidR="00FD47F7">
        <w:rPr>
          <w:rFonts w:cs="David" w:hint="cs"/>
          <w:rtl/>
        </w:rPr>
        <w:t xml:space="preserve"> לה-מג)</w:t>
      </w:r>
      <w:r w:rsidR="001668DA">
        <w:rPr>
          <w:rFonts w:cs="David" w:hint="cs"/>
          <w:rtl/>
        </w:rPr>
        <w:t>:</w:t>
      </w:r>
      <w:r w:rsidR="003765AE">
        <w:rPr>
          <w:rFonts w:cs="David" w:hint="cs"/>
          <w:rtl/>
        </w:rPr>
        <w:t xml:space="preserve"> </w:t>
      </w:r>
      <w:r>
        <w:rPr>
          <w:rFonts w:cs="David" w:hint="cs"/>
          <w:rtl/>
        </w:rPr>
        <w:t>הפשטת בגדים וגילוי ערווה (פס</w:t>
      </w:r>
      <w:r w:rsidR="00D87F6F">
        <w:rPr>
          <w:rFonts w:cs="David"/>
          <w:rtl/>
        </w:rPr>
        <w:t>’</w:t>
      </w:r>
      <w:r>
        <w:rPr>
          <w:rFonts w:cs="David" w:hint="cs"/>
          <w:rtl/>
        </w:rPr>
        <w:t xml:space="preserve"> </w:t>
      </w:r>
      <w:r w:rsidR="001668DA">
        <w:rPr>
          <w:rFonts w:cs="David" w:hint="cs"/>
          <w:rtl/>
        </w:rPr>
        <w:t xml:space="preserve">לז, </w:t>
      </w:r>
      <w:r>
        <w:rPr>
          <w:rFonts w:cs="David" w:hint="cs"/>
          <w:rtl/>
        </w:rPr>
        <w:t>לט);</w:t>
      </w:r>
      <w:r w:rsidRPr="0075000E">
        <w:rPr>
          <w:rFonts w:cs="David"/>
          <w:vertAlign w:val="superscript"/>
          <w:rtl/>
        </w:rPr>
        <w:footnoteReference w:id="28"/>
      </w:r>
      <w:r>
        <w:rPr>
          <w:rFonts w:cs="David" w:hint="cs"/>
          <w:rtl/>
        </w:rPr>
        <w:t xml:space="preserve"> </w:t>
      </w:r>
      <w:r w:rsidR="009532F3">
        <w:rPr>
          <w:rFonts w:cs="David" w:hint="cs"/>
          <w:rtl/>
        </w:rPr>
        <w:t>סקילה (פס</w:t>
      </w:r>
      <w:r w:rsidR="00D87F6F">
        <w:rPr>
          <w:rFonts w:cs="David"/>
          <w:rtl/>
        </w:rPr>
        <w:t>’</w:t>
      </w:r>
      <w:r w:rsidR="009532F3">
        <w:rPr>
          <w:rFonts w:cs="David" w:hint="cs"/>
          <w:rtl/>
        </w:rPr>
        <w:t xml:space="preserve"> מ); ביתוק הגוף בחרב (שם); </w:t>
      </w:r>
      <w:r w:rsidR="00685903">
        <w:rPr>
          <w:rFonts w:cs="David" w:hint="cs"/>
          <w:rtl/>
        </w:rPr>
        <w:t>שריפה באש (פס</w:t>
      </w:r>
      <w:r w:rsidR="00D87F6F">
        <w:rPr>
          <w:rFonts w:cs="David"/>
          <w:rtl/>
        </w:rPr>
        <w:t>’</w:t>
      </w:r>
      <w:r w:rsidR="00685903">
        <w:rPr>
          <w:rFonts w:cs="David" w:hint="cs"/>
          <w:rtl/>
        </w:rPr>
        <w:t xml:space="preserve"> מא)</w:t>
      </w:r>
      <w:r w:rsidR="009532F3">
        <w:rPr>
          <w:rFonts w:cs="David" w:hint="cs"/>
          <w:rtl/>
        </w:rPr>
        <w:t>.</w:t>
      </w:r>
      <w:r w:rsidR="00685903" w:rsidRPr="0075000E">
        <w:rPr>
          <w:rFonts w:cs="David"/>
          <w:vertAlign w:val="superscript"/>
          <w:rtl/>
        </w:rPr>
        <w:footnoteReference w:id="29"/>
      </w:r>
      <w:r w:rsidR="009532F3">
        <w:rPr>
          <w:rFonts w:cs="David" w:hint="cs"/>
          <w:rtl/>
        </w:rPr>
        <w:t xml:space="preserve"> במסגרת המשפט אין </w:t>
      </w:r>
      <w:r w:rsidR="003F57E1">
        <w:rPr>
          <w:rFonts w:cs="David" w:hint="cs"/>
          <w:rtl/>
        </w:rPr>
        <w:t xml:space="preserve">ביטוי </w:t>
      </w:r>
      <w:r w:rsidR="00AF4EE3">
        <w:rPr>
          <w:rFonts w:cs="David" w:hint="cs"/>
          <w:rtl/>
        </w:rPr>
        <w:t xml:space="preserve">מפורש </w:t>
      </w:r>
      <w:r w:rsidR="003F57E1">
        <w:rPr>
          <w:rFonts w:cs="David" w:hint="cs"/>
          <w:rtl/>
        </w:rPr>
        <w:t>להשקיית הכוס</w:t>
      </w:r>
      <w:r w:rsidR="00E90919">
        <w:rPr>
          <w:rFonts w:cs="David" w:hint="cs"/>
          <w:rtl/>
        </w:rPr>
        <w:t xml:space="preserve">. </w:t>
      </w:r>
      <w:r w:rsidR="00AF4EE3">
        <w:rPr>
          <w:rFonts w:cs="David" w:hint="cs"/>
          <w:rtl/>
        </w:rPr>
        <w:t>ו</w:t>
      </w:r>
      <w:r w:rsidR="003F57E1">
        <w:rPr>
          <w:rFonts w:cs="David" w:hint="cs"/>
          <w:rtl/>
        </w:rPr>
        <w:t xml:space="preserve">עם זאת, </w:t>
      </w:r>
      <w:r w:rsidR="003765AE">
        <w:rPr>
          <w:rFonts w:cs="David" w:hint="cs"/>
          <w:rtl/>
        </w:rPr>
        <w:t xml:space="preserve">בסיום המשפט </w:t>
      </w:r>
      <w:r w:rsidR="006E2785">
        <w:rPr>
          <w:rFonts w:cs="David" w:hint="cs"/>
          <w:rtl/>
        </w:rPr>
        <w:t>נאמר</w:t>
      </w:r>
      <w:r w:rsidR="003F57E1" w:rsidRPr="00F02F9E">
        <w:rPr>
          <w:rFonts w:cs="David" w:hint="cs"/>
          <w:rtl/>
        </w:rPr>
        <w:t xml:space="preserve">: </w:t>
      </w:r>
      <w:r w:rsidR="00D87F6F">
        <w:rPr>
          <w:rFonts w:cs="David"/>
          <w:rtl/>
        </w:rPr>
        <w:t>“</w:t>
      </w:r>
      <w:r w:rsidR="003F57E1" w:rsidRPr="00B84FF5">
        <w:rPr>
          <w:rFonts w:cs="David" w:hint="cs"/>
          <w:rtl/>
        </w:rPr>
        <w:t>והנח</w:t>
      </w:r>
      <w:r w:rsidR="006E2785" w:rsidRPr="00B84FF5">
        <w:rPr>
          <w:rFonts w:cs="David" w:hint="cs"/>
          <w:rtl/>
        </w:rPr>
        <w:t>ֹ</w:t>
      </w:r>
      <w:r w:rsidR="003F57E1" w:rsidRPr="00B84FF5">
        <w:rPr>
          <w:rFonts w:cs="David" w:hint="cs"/>
          <w:rtl/>
        </w:rPr>
        <w:t>תי חמתי בך</w:t>
      </w:r>
      <w:r w:rsidR="00D87F6F">
        <w:rPr>
          <w:rFonts w:cs="David"/>
          <w:rtl/>
        </w:rPr>
        <w:t>”</w:t>
      </w:r>
      <w:r w:rsidR="003F57E1" w:rsidRPr="00F02F9E">
        <w:rPr>
          <w:rFonts w:cs="David" w:hint="cs"/>
          <w:rtl/>
        </w:rPr>
        <w:t xml:space="preserve"> (פס</w:t>
      </w:r>
      <w:r w:rsidR="00D87F6F">
        <w:rPr>
          <w:rFonts w:cs="David"/>
          <w:rtl/>
        </w:rPr>
        <w:t>’</w:t>
      </w:r>
      <w:r w:rsidR="003F57E1" w:rsidRPr="00F02F9E">
        <w:rPr>
          <w:rFonts w:cs="David" w:hint="cs"/>
          <w:rtl/>
        </w:rPr>
        <w:t xml:space="preserve"> מב) </w:t>
      </w:r>
      <w:r w:rsidR="003F57E1">
        <w:rPr>
          <w:rFonts w:cs="David" w:hint="cs"/>
          <w:rtl/>
        </w:rPr>
        <w:t>וכתוצאה מכך</w:t>
      </w:r>
      <w:r w:rsidR="003F57E1" w:rsidRPr="00F02F9E">
        <w:rPr>
          <w:rFonts w:cs="David" w:hint="cs"/>
          <w:rtl/>
        </w:rPr>
        <w:t xml:space="preserve">: </w:t>
      </w:r>
      <w:r w:rsidR="00D87F6F">
        <w:rPr>
          <w:rFonts w:cs="David"/>
          <w:rtl/>
        </w:rPr>
        <w:t>“</w:t>
      </w:r>
      <w:r w:rsidR="003F57E1" w:rsidRPr="00F02F9E">
        <w:rPr>
          <w:rFonts w:cs="David" w:hint="cs"/>
          <w:rtl/>
        </w:rPr>
        <w:t xml:space="preserve">וסרה </w:t>
      </w:r>
      <w:r w:rsidR="003F57E1" w:rsidRPr="00E90919">
        <w:rPr>
          <w:rFonts w:cs="David" w:hint="cs"/>
          <w:rtl/>
        </w:rPr>
        <w:t>קנאתי</w:t>
      </w:r>
      <w:r w:rsidR="003F57E1">
        <w:rPr>
          <w:rFonts w:cs="David" w:hint="cs"/>
          <w:rtl/>
        </w:rPr>
        <w:t xml:space="preserve"> ממך ושקטתי ולא אכעס עוד</w:t>
      </w:r>
      <w:r w:rsidR="00D87F6F">
        <w:rPr>
          <w:rFonts w:cs="David"/>
          <w:rtl/>
        </w:rPr>
        <w:t>”</w:t>
      </w:r>
      <w:r w:rsidR="003F57E1">
        <w:rPr>
          <w:rFonts w:cs="David" w:hint="cs"/>
          <w:rtl/>
        </w:rPr>
        <w:t xml:space="preserve"> (שם). תיאור הנחת חמתו של הבעל באשתו, גם ללא אזכור הכוס, עשוי </w:t>
      </w:r>
      <w:r w:rsidR="008F53F7">
        <w:rPr>
          <w:rFonts w:cs="David" w:hint="cs"/>
          <w:rtl/>
        </w:rPr>
        <w:t>לשקף שימוש</w:t>
      </w:r>
      <w:r w:rsidR="003F57E1">
        <w:rPr>
          <w:rFonts w:cs="David" w:hint="cs"/>
          <w:rtl/>
        </w:rPr>
        <w:t xml:space="preserve"> </w:t>
      </w:r>
      <w:r w:rsidR="008F53F7">
        <w:rPr>
          <w:rFonts w:cs="David" w:hint="cs"/>
          <w:rtl/>
        </w:rPr>
        <w:t>דו-משמעי ב</w:t>
      </w:r>
      <w:r w:rsidR="00C2262C">
        <w:rPr>
          <w:rFonts w:cs="David" w:hint="cs"/>
          <w:rtl/>
        </w:rPr>
        <w:t xml:space="preserve">מילה </w:t>
      </w:r>
      <w:r w:rsidR="00D87F6F">
        <w:rPr>
          <w:rFonts w:cs="David"/>
          <w:rtl/>
        </w:rPr>
        <w:t>“</w:t>
      </w:r>
      <w:r w:rsidR="00C2262C">
        <w:rPr>
          <w:rFonts w:cs="David" w:hint="cs"/>
          <w:rtl/>
        </w:rPr>
        <w:t>חמה</w:t>
      </w:r>
      <w:r w:rsidR="00D87F6F">
        <w:rPr>
          <w:rFonts w:cs="David"/>
          <w:rtl/>
        </w:rPr>
        <w:t>”</w:t>
      </w:r>
      <w:r w:rsidR="00C2262C">
        <w:rPr>
          <w:rFonts w:cs="David" w:hint="cs"/>
          <w:rtl/>
        </w:rPr>
        <w:t xml:space="preserve"> שמתייחס גם להפניית הכעס וגם להשקיית ה</w:t>
      </w:r>
      <w:r w:rsidR="003F57E1">
        <w:rPr>
          <w:rFonts w:cs="David" w:hint="cs"/>
          <w:rtl/>
        </w:rPr>
        <w:t>רעל</w:t>
      </w:r>
      <w:r w:rsidR="003F57E1" w:rsidRPr="00520FBA">
        <w:rPr>
          <w:rFonts w:cs="David" w:hint="cs"/>
          <w:rtl/>
        </w:rPr>
        <w:t>.</w:t>
      </w:r>
      <w:r w:rsidR="008F53F7">
        <w:rPr>
          <w:rStyle w:val="FootnoteReference"/>
          <w:rFonts w:cs="David"/>
          <w:rtl/>
        </w:rPr>
        <w:footnoteReference w:id="30"/>
      </w:r>
      <w:r w:rsidR="003F57E1">
        <w:rPr>
          <w:rFonts w:cs="David" w:hint="cs"/>
          <w:rtl/>
        </w:rPr>
        <w:t xml:space="preserve"> </w:t>
      </w:r>
      <w:r w:rsidR="006E2785">
        <w:rPr>
          <w:rFonts w:cs="David" w:hint="cs"/>
          <w:rtl/>
        </w:rPr>
        <w:t xml:space="preserve">שימוש </w:t>
      </w:r>
      <w:r w:rsidR="00B84FF5">
        <w:rPr>
          <w:rFonts w:cs="David" w:hint="cs"/>
          <w:rtl/>
        </w:rPr>
        <w:t>דו-משמעי דומה</w:t>
      </w:r>
      <w:r w:rsidR="003F57E1">
        <w:rPr>
          <w:rFonts w:cs="David" w:hint="cs"/>
          <w:rtl/>
        </w:rPr>
        <w:t xml:space="preserve"> </w:t>
      </w:r>
      <w:r w:rsidR="00B84FF5">
        <w:rPr>
          <w:rFonts w:cs="David" w:hint="cs"/>
          <w:rtl/>
        </w:rPr>
        <w:t>נמצא</w:t>
      </w:r>
      <w:r w:rsidR="00E90919">
        <w:rPr>
          <w:rFonts w:cs="David" w:hint="cs"/>
          <w:rtl/>
        </w:rPr>
        <w:t xml:space="preserve"> </w:t>
      </w:r>
      <w:r w:rsidR="00B84FF5">
        <w:rPr>
          <w:rFonts w:cs="David" w:hint="cs"/>
          <w:rtl/>
        </w:rPr>
        <w:t>ב</w:t>
      </w:r>
      <w:r w:rsidR="00A16C85">
        <w:rPr>
          <w:rFonts w:cs="David" w:hint="cs"/>
          <w:rtl/>
        </w:rPr>
        <w:t xml:space="preserve">דבריו של איוב: </w:t>
      </w:r>
      <w:r w:rsidR="00D87F6F">
        <w:rPr>
          <w:rFonts w:cs="David"/>
          <w:rtl/>
        </w:rPr>
        <w:t>“</w:t>
      </w:r>
      <w:r w:rsidR="00E90919">
        <w:rPr>
          <w:rFonts w:cs="David" w:hint="cs"/>
          <w:rtl/>
        </w:rPr>
        <w:t>ומחמת שדי ישתה (רשע)</w:t>
      </w:r>
      <w:r w:rsidR="00D87F6F">
        <w:rPr>
          <w:rFonts w:cs="David"/>
          <w:rtl/>
        </w:rPr>
        <w:t>”</w:t>
      </w:r>
      <w:r w:rsidR="00E90919">
        <w:rPr>
          <w:rFonts w:cs="David" w:hint="cs"/>
          <w:rtl/>
        </w:rPr>
        <w:t xml:space="preserve"> (כא, כ)</w:t>
      </w:r>
      <w:r w:rsidR="00B84FF5">
        <w:rPr>
          <w:rFonts w:cs="David" w:hint="cs"/>
          <w:rtl/>
        </w:rPr>
        <w:t xml:space="preserve">, </w:t>
      </w:r>
      <w:r w:rsidR="008F53F7">
        <w:rPr>
          <w:rFonts w:cs="David" w:hint="cs"/>
          <w:rtl/>
        </w:rPr>
        <w:t xml:space="preserve">כפי שמשתמע מהשימוש בפועל </w:t>
      </w:r>
      <w:r w:rsidR="00D87F6F">
        <w:rPr>
          <w:rFonts w:cs="David"/>
          <w:rtl/>
        </w:rPr>
        <w:t>“</w:t>
      </w:r>
      <w:r w:rsidR="008F53F7">
        <w:rPr>
          <w:rFonts w:cs="David" w:hint="cs"/>
          <w:rtl/>
        </w:rPr>
        <w:t>ישתה</w:t>
      </w:r>
      <w:r w:rsidR="00D87F6F">
        <w:rPr>
          <w:rFonts w:cs="David"/>
          <w:rtl/>
        </w:rPr>
        <w:t>”</w:t>
      </w:r>
      <w:r w:rsidR="008F53F7">
        <w:rPr>
          <w:rFonts w:cs="David" w:hint="cs"/>
          <w:rtl/>
        </w:rPr>
        <w:t xml:space="preserve"> </w:t>
      </w:r>
      <w:r w:rsidR="00F77D55">
        <w:rPr>
          <w:rFonts w:cs="David" w:hint="cs"/>
          <w:rtl/>
        </w:rPr>
        <w:t>המרמז על שתיית הנוזל הרעיל</w:t>
      </w:r>
      <w:r w:rsidR="00B50072">
        <w:rPr>
          <w:rFonts w:cs="David" w:hint="cs"/>
          <w:rtl/>
        </w:rPr>
        <w:t>.</w:t>
      </w:r>
      <w:r w:rsidR="00B50072">
        <w:rPr>
          <w:rStyle w:val="FootnoteReference"/>
          <w:rFonts w:cs="David"/>
          <w:rtl/>
        </w:rPr>
        <w:footnoteReference w:id="31"/>
      </w:r>
      <w:r w:rsidR="00E90919">
        <w:rPr>
          <w:rFonts w:cs="David" w:hint="cs"/>
          <w:rtl/>
        </w:rPr>
        <w:t xml:space="preserve"> </w:t>
      </w:r>
      <w:r w:rsidR="009532F3">
        <w:rPr>
          <w:rFonts w:cs="David" w:hint="cs"/>
          <w:rtl/>
        </w:rPr>
        <w:t>פרשנות זו יוצרת הקבלה בין המרכיב האחרון בעונש</w:t>
      </w:r>
      <w:r w:rsidR="004334DD">
        <w:rPr>
          <w:rFonts w:cs="David" w:hint="cs"/>
          <w:rtl/>
        </w:rPr>
        <w:t>ה של הנואפת</w:t>
      </w:r>
      <w:r w:rsidR="009532F3">
        <w:rPr>
          <w:rFonts w:cs="David" w:hint="cs"/>
          <w:rtl/>
        </w:rPr>
        <w:t xml:space="preserve"> בפרק כג: </w:t>
      </w:r>
      <w:r w:rsidR="00D87F6F">
        <w:rPr>
          <w:rFonts w:cs="David"/>
          <w:rtl/>
        </w:rPr>
        <w:t>“</w:t>
      </w:r>
      <w:r w:rsidR="009532F3">
        <w:rPr>
          <w:rFonts w:cs="David" w:hint="cs"/>
          <w:rtl/>
        </w:rPr>
        <w:t>ונתתי כוסה בידך</w:t>
      </w:r>
      <w:r w:rsidR="00D87F6F">
        <w:rPr>
          <w:rFonts w:cs="David"/>
          <w:rtl/>
        </w:rPr>
        <w:t>”</w:t>
      </w:r>
      <w:r w:rsidR="009532F3">
        <w:rPr>
          <w:rFonts w:cs="David" w:hint="cs"/>
          <w:rtl/>
        </w:rPr>
        <w:t xml:space="preserve"> (פס</w:t>
      </w:r>
      <w:r w:rsidR="00D87F6F">
        <w:rPr>
          <w:rFonts w:cs="David"/>
          <w:rtl/>
        </w:rPr>
        <w:t>’</w:t>
      </w:r>
      <w:r w:rsidR="009532F3">
        <w:rPr>
          <w:rFonts w:cs="David" w:hint="cs"/>
          <w:rtl/>
        </w:rPr>
        <w:t xml:space="preserve"> לא-לד)</w:t>
      </w:r>
      <w:r w:rsidR="00D14E48">
        <w:rPr>
          <w:rFonts w:cs="David" w:hint="cs"/>
          <w:rtl/>
        </w:rPr>
        <w:t xml:space="preserve"> למרכיב האחרון בעונש</w:t>
      </w:r>
      <w:r w:rsidR="004334DD">
        <w:rPr>
          <w:rFonts w:cs="David" w:hint="cs"/>
          <w:rtl/>
        </w:rPr>
        <w:t>ה</w:t>
      </w:r>
      <w:r w:rsidR="00D14E48">
        <w:rPr>
          <w:rFonts w:cs="David" w:hint="cs"/>
          <w:rtl/>
        </w:rPr>
        <w:t xml:space="preserve"> בפרק זה: </w:t>
      </w:r>
      <w:r w:rsidR="00D87F6F">
        <w:rPr>
          <w:rFonts w:cs="David"/>
          <w:rtl/>
        </w:rPr>
        <w:t>“</w:t>
      </w:r>
      <w:r w:rsidR="00D14E48">
        <w:rPr>
          <w:rFonts w:cs="David" w:hint="cs"/>
          <w:rtl/>
        </w:rPr>
        <w:t>והנחתי חמתי בך</w:t>
      </w:r>
      <w:r w:rsidR="00D87F6F">
        <w:rPr>
          <w:rFonts w:cs="David"/>
          <w:rtl/>
        </w:rPr>
        <w:t>”</w:t>
      </w:r>
      <w:r w:rsidR="00D14E48">
        <w:rPr>
          <w:rFonts w:cs="David" w:hint="cs"/>
          <w:rtl/>
        </w:rPr>
        <w:t xml:space="preserve"> (פס</w:t>
      </w:r>
      <w:r w:rsidR="00D87F6F">
        <w:rPr>
          <w:rFonts w:cs="David"/>
          <w:rtl/>
        </w:rPr>
        <w:t>’</w:t>
      </w:r>
      <w:r w:rsidR="00D14E48">
        <w:rPr>
          <w:rFonts w:cs="David" w:hint="cs"/>
          <w:rtl/>
        </w:rPr>
        <w:t xml:space="preserve"> מב).</w:t>
      </w:r>
      <w:r w:rsidR="008D16DA">
        <w:rPr>
          <w:rStyle w:val="FootnoteReference"/>
          <w:rFonts w:cs="David"/>
          <w:rtl/>
        </w:rPr>
        <w:footnoteReference w:id="32"/>
      </w:r>
    </w:p>
    <w:p w:rsidR="005C6E7F" w:rsidRDefault="002479DA" w:rsidP="005C6E7F">
      <w:pPr>
        <w:spacing w:line="360" w:lineRule="auto"/>
        <w:jc w:val="both"/>
        <w:rPr>
          <w:rFonts w:cs="David"/>
          <w:rtl/>
        </w:rPr>
      </w:pPr>
      <w:r w:rsidRPr="005C6E7F">
        <w:rPr>
          <w:rFonts w:cs="David" w:hint="cs"/>
          <w:rtl/>
        </w:rPr>
        <w:t>השוואת משפטי הנואפות</w:t>
      </w:r>
      <w:r w:rsidR="001309D2" w:rsidRPr="005C6E7F">
        <w:rPr>
          <w:rFonts w:cs="David" w:hint="cs"/>
          <w:rtl/>
        </w:rPr>
        <w:t xml:space="preserve"> </w:t>
      </w:r>
      <w:r w:rsidRPr="005C6E7F">
        <w:rPr>
          <w:rFonts w:cs="David" w:hint="cs"/>
          <w:rtl/>
        </w:rPr>
        <w:t>ב</w:t>
      </w:r>
      <w:r w:rsidR="008F53F7" w:rsidRPr="005C6E7F">
        <w:rPr>
          <w:rFonts w:cs="David" w:hint="cs"/>
          <w:rtl/>
        </w:rPr>
        <w:t xml:space="preserve">נבואות השונות ביחזקאל </w:t>
      </w:r>
      <w:r w:rsidR="00584ECD" w:rsidRPr="005C6E7F">
        <w:rPr>
          <w:rFonts w:cs="David" w:hint="cs"/>
          <w:rtl/>
        </w:rPr>
        <w:t>מצביעה על כמה עניינים</w:t>
      </w:r>
      <w:r w:rsidR="00383E2C" w:rsidRPr="005C6E7F">
        <w:rPr>
          <w:rFonts w:cs="David" w:hint="cs"/>
          <w:rtl/>
        </w:rPr>
        <w:t>:</w:t>
      </w:r>
      <w:r w:rsidR="0011374A" w:rsidRPr="005C6E7F">
        <w:rPr>
          <w:rFonts w:cs="David" w:hint="cs"/>
          <w:rtl/>
        </w:rPr>
        <w:t xml:space="preserve"> 1. </w:t>
      </w:r>
      <w:r w:rsidRPr="005C6E7F">
        <w:rPr>
          <w:rFonts w:cs="David" w:hint="cs"/>
          <w:rtl/>
        </w:rPr>
        <w:t>העונש</w:t>
      </w:r>
      <w:r w:rsidR="008D16DA" w:rsidRPr="005C6E7F">
        <w:rPr>
          <w:rFonts w:cs="David" w:hint="cs"/>
          <w:rtl/>
        </w:rPr>
        <w:t xml:space="preserve"> כולל מרכיבים רבים;</w:t>
      </w:r>
      <w:r w:rsidR="006D04DC" w:rsidRPr="005C6E7F">
        <w:rPr>
          <w:rStyle w:val="FootnoteReference"/>
          <w:rFonts w:cs="David"/>
          <w:rtl/>
        </w:rPr>
        <w:footnoteReference w:id="33"/>
      </w:r>
      <w:r w:rsidR="008D16DA" w:rsidRPr="005C6E7F">
        <w:rPr>
          <w:rFonts w:cs="David" w:hint="cs"/>
          <w:rtl/>
        </w:rPr>
        <w:t xml:space="preserve"> </w:t>
      </w:r>
      <w:r w:rsidR="00584ECD" w:rsidRPr="005C6E7F">
        <w:rPr>
          <w:rFonts w:cs="David" w:hint="cs"/>
          <w:rtl/>
        </w:rPr>
        <w:t>2</w:t>
      </w:r>
      <w:r w:rsidR="008D16DA" w:rsidRPr="005C6E7F">
        <w:rPr>
          <w:rFonts w:cs="David" w:hint="cs"/>
          <w:rtl/>
        </w:rPr>
        <w:t xml:space="preserve">. </w:t>
      </w:r>
      <w:r w:rsidR="005C6E7F" w:rsidRPr="005C6E7F">
        <w:rPr>
          <w:rFonts w:cs="David" w:hint="cs"/>
          <w:rtl/>
        </w:rPr>
        <w:t>חלק</w:t>
      </w:r>
      <w:r w:rsidRPr="005C6E7F">
        <w:rPr>
          <w:rFonts w:cs="David" w:hint="cs"/>
          <w:rtl/>
        </w:rPr>
        <w:t xml:space="preserve"> </w:t>
      </w:r>
      <w:r w:rsidR="003765AE" w:rsidRPr="005C6E7F">
        <w:rPr>
          <w:rFonts w:cs="David" w:hint="cs"/>
          <w:rtl/>
        </w:rPr>
        <w:t>מהמרכיבים</w:t>
      </w:r>
      <w:r w:rsidR="00796F9D" w:rsidRPr="005C6E7F">
        <w:rPr>
          <w:rFonts w:cs="David" w:hint="cs"/>
          <w:rtl/>
        </w:rPr>
        <w:t xml:space="preserve"> </w:t>
      </w:r>
      <w:r w:rsidR="005C6E7F" w:rsidRPr="005C6E7F">
        <w:rPr>
          <w:rFonts w:cs="David" w:hint="cs"/>
          <w:rtl/>
        </w:rPr>
        <w:t>חוזרים על עצמם, חרף שונותם, למשל המתה בשריפה, המתה בחרב ו</w:t>
      </w:r>
      <w:r w:rsidRPr="005C6E7F">
        <w:rPr>
          <w:rFonts w:cs="David" w:hint="cs"/>
          <w:rtl/>
        </w:rPr>
        <w:t>המתה בסקילה;</w:t>
      </w:r>
      <w:r w:rsidR="00E848B4" w:rsidRPr="005C6E7F">
        <w:rPr>
          <w:rStyle w:val="FootnoteReference"/>
          <w:rFonts w:cs="David"/>
          <w:rtl/>
        </w:rPr>
        <w:footnoteReference w:id="34"/>
      </w:r>
      <w:r w:rsidRPr="005C6E7F">
        <w:rPr>
          <w:rFonts w:cs="David" w:hint="cs"/>
          <w:rtl/>
        </w:rPr>
        <w:t xml:space="preserve"> </w:t>
      </w:r>
      <w:r w:rsidR="00584ECD" w:rsidRPr="005C6E7F">
        <w:rPr>
          <w:rFonts w:cs="David" w:hint="cs"/>
          <w:rtl/>
        </w:rPr>
        <w:t>3</w:t>
      </w:r>
      <w:r w:rsidRPr="005C6E7F">
        <w:rPr>
          <w:rFonts w:cs="David" w:hint="cs"/>
          <w:rtl/>
        </w:rPr>
        <w:t xml:space="preserve">. </w:t>
      </w:r>
      <w:r w:rsidR="008D16DA" w:rsidRPr="005C6E7F">
        <w:rPr>
          <w:rFonts w:cs="David" w:hint="cs"/>
          <w:rtl/>
        </w:rPr>
        <w:t xml:space="preserve">סדר הופעת </w:t>
      </w:r>
      <w:r w:rsidR="008D16DA" w:rsidRPr="005C6E7F">
        <w:rPr>
          <w:rFonts w:cs="David" w:hint="cs"/>
          <w:rtl/>
        </w:rPr>
        <w:lastRenderedPageBreak/>
        <w:t>המרכיבים</w:t>
      </w:r>
      <w:r w:rsidR="00F77D55">
        <w:rPr>
          <w:rFonts w:cs="David" w:hint="cs"/>
          <w:rtl/>
        </w:rPr>
        <w:t xml:space="preserve"> בנבואה לא משקף את סדר הפעולות במציאות, כפי שניתן להיווכח</w:t>
      </w:r>
      <w:r w:rsidRPr="005C6E7F">
        <w:rPr>
          <w:rFonts w:cs="David" w:hint="cs"/>
          <w:rtl/>
        </w:rPr>
        <w:t xml:space="preserve"> למשל </w:t>
      </w:r>
      <w:r w:rsidR="00F77D55">
        <w:rPr>
          <w:rFonts w:cs="David" w:hint="cs"/>
          <w:rtl/>
        </w:rPr>
        <w:t xml:space="preserve">מתיאור </w:t>
      </w:r>
      <w:r w:rsidRPr="005C6E7F">
        <w:rPr>
          <w:rFonts w:cs="David" w:hint="cs"/>
          <w:rtl/>
        </w:rPr>
        <w:t xml:space="preserve">הפשטת </w:t>
      </w:r>
      <w:r w:rsidR="00F77D55">
        <w:rPr>
          <w:rFonts w:cs="David" w:hint="cs"/>
          <w:rtl/>
        </w:rPr>
        <w:t>ה</w:t>
      </w:r>
      <w:r w:rsidRPr="005C6E7F">
        <w:rPr>
          <w:rFonts w:cs="David" w:hint="cs"/>
          <w:rtl/>
        </w:rPr>
        <w:t xml:space="preserve">בגדים </w:t>
      </w:r>
      <w:r w:rsidR="00F77D55">
        <w:rPr>
          <w:rFonts w:cs="David" w:hint="cs"/>
          <w:rtl/>
        </w:rPr>
        <w:t xml:space="preserve">המופיע </w:t>
      </w:r>
      <w:r w:rsidRPr="005C6E7F">
        <w:rPr>
          <w:rFonts w:cs="David" w:hint="cs"/>
          <w:rtl/>
        </w:rPr>
        <w:t xml:space="preserve">לאחר </w:t>
      </w:r>
      <w:r w:rsidR="00F77D55">
        <w:rPr>
          <w:rFonts w:cs="David" w:hint="cs"/>
          <w:rtl/>
        </w:rPr>
        <w:t>ה</w:t>
      </w:r>
      <w:r w:rsidRPr="005C6E7F">
        <w:rPr>
          <w:rFonts w:cs="David" w:hint="cs"/>
          <w:rtl/>
        </w:rPr>
        <w:t>המתה בשריפה</w:t>
      </w:r>
      <w:r w:rsidR="00584ECD" w:rsidRPr="005C6E7F">
        <w:rPr>
          <w:rFonts w:cs="David" w:hint="cs"/>
          <w:rtl/>
        </w:rPr>
        <w:t>; 4. אין התאמה מלאה בין המרכיבים בנבואות השונות.</w:t>
      </w:r>
      <w:r w:rsidR="00EB114E" w:rsidRPr="005C6E7F">
        <w:rPr>
          <w:rStyle w:val="FootnoteReference"/>
          <w:rFonts w:cs="David"/>
          <w:rtl/>
        </w:rPr>
        <w:footnoteReference w:id="35"/>
      </w:r>
      <w:r w:rsidR="000E5C98" w:rsidRPr="005C6E7F">
        <w:rPr>
          <w:rFonts w:cs="David" w:hint="cs"/>
          <w:rtl/>
        </w:rPr>
        <w:t xml:space="preserve"> </w:t>
      </w:r>
    </w:p>
    <w:p w:rsidR="00282624" w:rsidRPr="00B06645" w:rsidRDefault="00F77D55" w:rsidP="00F77D55">
      <w:pPr>
        <w:spacing w:line="360" w:lineRule="auto"/>
        <w:jc w:val="both"/>
        <w:rPr>
          <w:rFonts w:cs="David"/>
          <w:rtl/>
        </w:rPr>
      </w:pPr>
      <w:r>
        <w:rPr>
          <w:rFonts w:cs="David" w:hint="cs"/>
          <w:rtl/>
        </w:rPr>
        <w:t>מכך ניתן להסיק</w:t>
      </w:r>
      <w:r w:rsidR="00282624" w:rsidRPr="005C6E7F">
        <w:rPr>
          <w:rFonts w:cs="David" w:hint="cs"/>
          <w:rtl/>
        </w:rPr>
        <w:t xml:space="preserve"> </w:t>
      </w:r>
      <w:r w:rsidR="001309D2" w:rsidRPr="005C6E7F">
        <w:rPr>
          <w:rFonts w:cs="David" w:hint="cs"/>
          <w:rtl/>
        </w:rPr>
        <w:t>ש</w:t>
      </w:r>
      <w:r w:rsidR="00282624" w:rsidRPr="005C6E7F">
        <w:rPr>
          <w:rFonts w:cs="David" w:hint="cs"/>
          <w:rtl/>
        </w:rPr>
        <w:t>יחזקאל אינו מ</w:t>
      </w:r>
      <w:r w:rsidR="00383E2C" w:rsidRPr="005C6E7F">
        <w:rPr>
          <w:rFonts w:cs="David" w:hint="cs"/>
          <w:rtl/>
        </w:rPr>
        <w:t>ציין</w:t>
      </w:r>
      <w:r w:rsidR="00282624" w:rsidRPr="005C6E7F">
        <w:rPr>
          <w:rFonts w:cs="David" w:hint="cs"/>
          <w:rtl/>
        </w:rPr>
        <w:t xml:space="preserve"> דרך שיטתית וקבועה </w:t>
      </w:r>
      <w:r w:rsidR="002479DA" w:rsidRPr="005C6E7F">
        <w:rPr>
          <w:rFonts w:cs="David" w:hint="cs"/>
          <w:rtl/>
        </w:rPr>
        <w:t>שהיא הדרך ה</w:t>
      </w:r>
      <w:r w:rsidR="00383E2C" w:rsidRPr="005C6E7F">
        <w:rPr>
          <w:rFonts w:cs="David" w:hint="cs"/>
          <w:rtl/>
        </w:rPr>
        <w:t>רשמית</w:t>
      </w:r>
      <w:r w:rsidR="002479DA" w:rsidRPr="005C6E7F">
        <w:rPr>
          <w:rFonts w:cs="David" w:hint="cs"/>
          <w:rtl/>
        </w:rPr>
        <w:t xml:space="preserve"> להענשת</w:t>
      </w:r>
      <w:r w:rsidR="00282624" w:rsidRPr="005C6E7F">
        <w:rPr>
          <w:rFonts w:cs="David" w:hint="cs"/>
          <w:rtl/>
        </w:rPr>
        <w:t xml:space="preserve"> </w:t>
      </w:r>
      <w:r w:rsidR="00383E2C" w:rsidRPr="005C6E7F">
        <w:rPr>
          <w:rFonts w:cs="David" w:hint="cs"/>
          <w:rtl/>
        </w:rPr>
        <w:t>הנואפ</w:t>
      </w:r>
      <w:r w:rsidR="00282624" w:rsidRPr="005C6E7F">
        <w:rPr>
          <w:rFonts w:cs="David" w:hint="cs"/>
          <w:rtl/>
        </w:rPr>
        <w:t xml:space="preserve">ת אלא </w:t>
      </w:r>
      <w:r w:rsidR="00383E2C" w:rsidRPr="005C6E7F">
        <w:rPr>
          <w:rFonts w:cs="David" w:hint="cs"/>
          <w:rtl/>
        </w:rPr>
        <w:t>משקף את</w:t>
      </w:r>
      <w:r w:rsidR="002479DA" w:rsidRPr="005C6E7F">
        <w:rPr>
          <w:rFonts w:cs="David" w:hint="cs"/>
          <w:rtl/>
        </w:rPr>
        <w:t xml:space="preserve"> המציאות שבה</w:t>
      </w:r>
      <w:r w:rsidR="00282624" w:rsidRPr="005C6E7F">
        <w:rPr>
          <w:rFonts w:cs="David" w:hint="cs"/>
          <w:rtl/>
        </w:rPr>
        <w:t xml:space="preserve"> כל </w:t>
      </w:r>
      <w:r w:rsidR="00B06645" w:rsidRPr="005C6E7F">
        <w:rPr>
          <w:rFonts w:cs="David" w:hint="cs"/>
          <w:rtl/>
        </w:rPr>
        <w:t xml:space="preserve">נואפת </w:t>
      </w:r>
      <w:r>
        <w:rPr>
          <w:rFonts w:cs="David" w:hint="cs"/>
          <w:rtl/>
        </w:rPr>
        <w:t>מטופלת</w:t>
      </w:r>
      <w:r w:rsidR="00B06645" w:rsidRPr="005C6E7F">
        <w:rPr>
          <w:rFonts w:cs="David" w:hint="cs"/>
          <w:rtl/>
        </w:rPr>
        <w:t xml:space="preserve"> בדרך אחרת. </w:t>
      </w:r>
      <w:r w:rsidR="00796F9D" w:rsidRPr="005C6E7F">
        <w:rPr>
          <w:rFonts w:cs="David" w:hint="cs"/>
          <w:rtl/>
        </w:rPr>
        <w:t xml:space="preserve">אופי </w:t>
      </w:r>
      <w:r w:rsidR="00383E2C" w:rsidRPr="005C6E7F">
        <w:rPr>
          <w:rFonts w:cs="David" w:hint="cs"/>
          <w:rtl/>
        </w:rPr>
        <w:t xml:space="preserve">הטיפול </w:t>
      </w:r>
      <w:r>
        <w:rPr>
          <w:rFonts w:cs="David" w:hint="cs"/>
          <w:rtl/>
        </w:rPr>
        <w:t>מ</w:t>
      </w:r>
      <w:r w:rsidR="00383E2C" w:rsidRPr="005C6E7F">
        <w:rPr>
          <w:rFonts w:cs="David" w:hint="cs"/>
          <w:rtl/>
        </w:rPr>
        <w:t xml:space="preserve">וגדר על-ידי </w:t>
      </w:r>
      <w:r w:rsidR="0011374A" w:rsidRPr="005C6E7F">
        <w:rPr>
          <w:rFonts w:cs="David" w:hint="cs"/>
          <w:rtl/>
        </w:rPr>
        <w:t>בעלה של האישה</w:t>
      </w:r>
      <w:r w:rsidR="00796F9D" w:rsidRPr="005C6E7F">
        <w:rPr>
          <w:rFonts w:cs="David" w:hint="cs"/>
          <w:rtl/>
        </w:rPr>
        <w:t xml:space="preserve"> (ה</w:t>
      </w:r>
      <w:r w:rsidR="00D87F6F">
        <w:rPr>
          <w:rFonts w:cs="David"/>
          <w:rtl/>
        </w:rPr>
        <w:t>’</w:t>
      </w:r>
      <w:r w:rsidR="00796F9D" w:rsidRPr="005C6E7F">
        <w:rPr>
          <w:rFonts w:cs="David" w:hint="cs"/>
          <w:rtl/>
        </w:rPr>
        <w:t>) שתפקידו אינו קבוע: לעתים הוא גם השופט וגם המוציא לפועל</w:t>
      </w:r>
      <w:r w:rsidR="004B6762">
        <w:rPr>
          <w:rFonts w:cs="David" w:hint="cs"/>
          <w:rtl/>
        </w:rPr>
        <w:t xml:space="preserve">, לדוגמה: </w:t>
      </w:r>
      <w:r w:rsidR="00D87F6F">
        <w:rPr>
          <w:rFonts w:ascii="David" w:hAnsi="David" w:cs="David"/>
          <w:rtl/>
        </w:rPr>
        <w:t>“</w:t>
      </w:r>
      <w:r w:rsidR="004B6762">
        <w:rPr>
          <w:rFonts w:ascii="David" w:hAnsi="David" w:cs="David" w:hint="cs"/>
          <w:rtl/>
        </w:rPr>
        <w:t>ונתתי כוסה בידך</w:t>
      </w:r>
      <w:r w:rsidR="00D87F6F">
        <w:rPr>
          <w:rFonts w:ascii="David" w:hAnsi="David" w:cs="David"/>
          <w:rtl/>
        </w:rPr>
        <w:t>”</w:t>
      </w:r>
      <w:r w:rsidR="004B6762">
        <w:rPr>
          <w:rFonts w:ascii="David" w:hAnsi="David" w:cs="David" w:hint="cs"/>
          <w:rtl/>
        </w:rPr>
        <w:t xml:space="preserve"> (כג, לא)</w:t>
      </w:r>
      <w:r w:rsidR="00796F9D" w:rsidRPr="005C6E7F">
        <w:rPr>
          <w:rFonts w:cs="David" w:hint="cs"/>
          <w:rtl/>
        </w:rPr>
        <w:t>;</w:t>
      </w:r>
      <w:r w:rsidR="00F55CEA" w:rsidRPr="005C6E7F">
        <w:rPr>
          <w:rStyle w:val="FootnoteReference"/>
          <w:rFonts w:cs="David"/>
          <w:rtl/>
        </w:rPr>
        <w:footnoteReference w:id="36"/>
      </w:r>
      <w:r w:rsidR="00796F9D" w:rsidRPr="005C6E7F">
        <w:rPr>
          <w:rFonts w:cs="David" w:hint="cs"/>
          <w:rtl/>
        </w:rPr>
        <w:t xml:space="preserve"> לעתים הוא השופט אבל איננו המוציא לפועל</w:t>
      </w:r>
      <w:r w:rsidR="004B6762">
        <w:rPr>
          <w:rFonts w:cs="David" w:hint="cs"/>
          <w:rtl/>
        </w:rPr>
        <w:t xml:space="preserve">, לדוגמה: </w:t>
      </w:r>
      <w:r w:rsidR="00D87F6F">
        <w:rPr>
          <w:rFonts w:ascii="David" w:hAnsi="David" w:cs="David"/>
          <w:rtl/>
        </w:rPr>
        <w:t>“</w:t>
      </w:r>
      <w:r w:rsidR="004B6762">
        <w:rPr>
          <w:rFonts w:ascii="David" w:hAnsi="David" w:cs="David" w:hint="cs"/>
          <w:rtl/>
        </w:rPr>
        <w:t>ורגמו אותך באבן ובתקוך בחרבותם...</w:t>
      </w:r>
      <w:r w:rsidR="00D87F6F">
        <w:rPr>
          <w:rFonts w:ascii="David" w:hAnsi="David" w:cs="David"/>
          <w:rtl/>
        </w:rPr>
        <w:t>”</w:t>
      </w:r>
      <w:r w:rsidR="004B6762">
        <w:rPr>
          <w:rFonts w:ascii="David" w:hAnsi="David" w:cs="David" w:hint="cs"/>
          <w:rtl/>
        </w:rPr>
        <w:t xml:space="preserve"> (טז, מ)</w:t>
      </w:r>
      <w:r w:rsidR="00796F9D" w:rsidRPr="005C6E7F">
        <w:rPr>
          <w:rFonts w:cs="David" w:hint="cs"/>
          <w:rtl/>
        </w:rPr>
        <w:t>;</w:t>
      </w:r>
      <w:r w:rsidR="008844A0" w:rsidRPr="005C6E7F">
        <w:rPr>
          <w:rStyle w:val="FootnoteReference"/>
          <w:rFonts w:cs="David"/>
          <w:rtl/>
        </w:rPr>
        <w:footnoteReference w:id="37"/>
      </w:r>
      <w:r w:rsidR="00796F9D" w:rsidRPr="005C6E7F">
        <w:rPr>
          <w:rFonts w:cs="David" w:hint="cs"/>
          <w:rtl/>
        </w:rPr>
        <w:t xml:space="preserve"> ולעתים הוא רק ממנה את השופט ואת המוציא לפועל</w:t>
      </w:r>
      <w:r w:rsidR="004B6762">
        <w:rPr>
          <w:rFonts w:cs="David" w:hint="cs"/>
          <w:rtl/>
        </w:rPr>
        <w:t>, לדוגמה:</w:t>
      </w:r>
      <w:r w:rsidR="004B6762" w:rsidRPr="004B6762">
        <w:rPr>
          <w:rFonts w:ascii="David" w:hAnsi="David" w:cs="David" w:hint="cs"/>
          <w:rtl/>
        </w:rPr>
        <w:t xml:space="preserve"> </w:t>
      </w:r>
      <w:r w:rsidR="00D87F6F">
        <w:rPr>
          <w:rFonts w:ascii="David" w:hAnsi="David" w:cs="David"/>
          <w:rtl/>
        </w:rPr>
        <w:t>“</w:t>
      </w:r>
      <w:r w:rsidR="004B6762">
        <w:rPr>
          <w:rFonts w:ascii="David" w:hAnsi="David" w:cs="David" w:hint="cs"/>
          <w:rtl/>
        </w:rPr>
        <w:t>הנני מעיר את מאהביך עליך... ושפטוך במשפטיהם... אפך ואזניך יסירו... והפשיטוך את בגדיך</w:t>
      </w:r>
      <w:r w:rsidR="00D87F6F">
        <w:rPr>
          <w:rFonts w:ascii="David" w:hAnsi="David" w:cs="David"/>
          <w:rtl/>
        </w:rPr>
        <w:t>”</w:t>
      </w:r>
      <w:r w:rsidR="004B6762">
        <w:rPr>
          <w:rFonts w:ascii="David" w:hAnsi="David" w:cs="David" w:hint="cs"/>
          <w:rtl/>
        </w:rPr>
        <w:t xml:space="preserve"> (כג, כב-כו).</w:t>
      </w:r>
      <w:r w:rsidR="004B6762">
        <w:rPr>
          <w:rFonts w:cs="David" w:hint="cs"/>
          <w:rtl/>
        </w:rPr>
        <w:t xml:space="preserve"> </w:t>
      </w:r>
      <w:r w:rsidR="009130A7">
        <w:rPr>
          <w:rFonts w:cs="David" w:hint="cs"/>
          <w:rtl/>
        </w:rPr>
        <w:t xml:space="preserve">אחת </w:t>
      </w:r>
      <w:r>
        <w:rPr>
          <w:rFonts w:cs="David" w:hint="cs"/>
          <w:rtl/>
        </w:rPr>
        <w:t>מדרכי הענישה</w:t>
      </w:r>
      <w:r w:rsidR="009130A7">
        <w:rPr>
          <w:rFonts w:cs="David" w:hint="cs"/>
          <w:rtl/>
        </w:rPr>
        <w:t xml:space="preserve"> שיחזקאל מציין היא השקיית האי</w:t>
      </w:r>
      <w:r w:rsidR="006C3841">
        <w:rPr>
          <w:rFonts w:cs="David" w:hint="cs"/>
          <w:rtl/>
        </w:rPr>
        <w:t xml:space="preserve">שה את כוס השמה והשממה. דרך זו </w:t>
      </w:r>
      <w:r w:rsidR="009130A7">
        <w:rPr>
          <w:rFonts w:cs="David" w:hint="cs"/>
          <w:rtl/>
        </w:rPr>
        <w:t>נזכרת גם אצל נביאים אחרים.</w:t>
      </w:r>
      <w:r w:rsidR="00D87F6F">
        <w:rPr>
          <w:rFonts w:cs="David" w:hint="cs"/>
          <w:rtl/>
        </w:rPr>
        <w:t xml:space="preserve"> </w:t>
      </w:r>
    </w:p>
    <w:p w:rsidR="00202828" w:rsidRDefault="00202828" w:rsidP="004E54E7">
      <w:pPr>
        <w:spacing w:line="360" w:lineRule="auto"/>
        <w:jc w:val="both"/>
        <w:rPr>
          <w:rFonts w:cs="David"/>
          <w:rtl/>
        </w:rPr>
      </w:pPr>
      <w:r w:rsidRPr="00520FBA">
        <w:rPr>
          <w:rFonts w:cs="David" w:hint="cs"/>
          <w:rtl/>
        </w:rPr>
        <w:t>ישעיהו השני</w:t>
      </w:r>
      <w:r>
        <w:rPr>
          <w:rFonts w:cs="David" w:hint="cs"/>
          <w:rtl/>
        </w:rPr>
        <w:t>, בפנייתו לנחם את ירושלים, מתאר את העונש שזו קיבלה תוך שהוא עושה שימוש ב</w:t>
      </w:r>
      <w:r w:rsidRPr="00520FBA">
        <w:rPr>
          <w:rFonts w:cs="David" w:hint="cs"/>
          <w:rtl/>
        </w:rPr>
        <w:t xml:space="preserve">אותו דימוי בדיוק: </w:t>
      </w:r>
      <w:r w:rsidR="00D87F6F">
        <w:rPr>
          <w:rFonts w:cs="David"/>
          <w:rtl/>
        </w:rPr>
        <w:t>“</w:t>
      </w:r>
      <w:r w:rsidRPr="00520FBA">
        <w:rPr>
          <w:rFonts w:cs="David" w:hint="cs"/>
          <w:rtl/>
        </w:rPr>
        <w:t>קומי ירושלם אשר שתית מיד ה</w:t>
      </w:r>
      <w:r w:rsidR="00D87F6F">
        <w:rPr>
          <w:rFonts w:cs="David"/>
          <w:rtl/>
        </w:rPr>
        <w:t>’</w:t>
      </w:r>
      <w:r w:rsidRPr="00520FBA">
        <w:rPr>
          <w:rFonts w:cs="David" w:hint="cs"/>
          <w:rtl/>
        </w:rPr>
        <w:t xml:space="preserve"> את כוס חמתו את קבעת כוס התרעלה </w:t>
      </w:r>
      <w:r w:rsidRPr="006B2C31">
        <w:rPr>
          <w:rFonts w:cs="David" w:hint="cs"/>
          <w:rtl/>
        </w:rPr>
        <w:t>שתית מצית</w:t>
      </w:r>
      <w:r w:rsidR="00D87F6F">
        <w:rPr>
          <w:rFonts w:cs="David"/>
          <w:rtl/>
        </w:rPr>
        <w:t>”</w:t>
      </w:r>
      <w:r>
        <w:rPr>
          <w:rFonts w:cs="David" w:hint="cs"/>
          <w:rtl/>
        </w:rPr>
        <w:t>.</w:t>
      </w:r>
      <w:r w:rsidRPr="00520FBA">
        <w:rPr>
          <w:rStyle w:val="FootnoteReference"/>
          <w:rFonts w:cs="David"/>
          <w:rtl/>
        </w:rPr>
        <w:footnoteReference w:id="38"/>
      </w:r>
      <w:r w:rsidRPr="00520FBA">
        <w:rPr>
          <w:rFonts w:cs="David" w:hint="cs"/>
          <w:rtl/>
        </w:rPr>
        <w:t xml:space="preserve"> בניה של ירושלים, ביטוי ש</w:t>
      </w:r>
      <w:r>
        <w:rPr>
          <w:rFonts w:cs="David" w:hint="cs"/>
          <w:rtl/>
        </w:rPr>
        <w:t>הנביא משתמש בו ובכך מחדד</w:t>
      </w:r>
      <w:r w:rsidRPr="00520FBA">
        <w:rPr>
          <w:rFonts w:cs="David" w:hint="cs"/>
          <w:rtl/>
        </w:rPr>
        <w:t xml:space="preserve"> </w:t>
      </w:r>
      <w:r>
        <w:rPr>
          <w:rFonts w:cs="David" w:hint="cs"/>
          <w:rtl/>
        </w:rPr>
        <w:t xml:space="preserve">את דימויה של </w:t>
      </w:r>
      <w:r w:rsidRPr="00520FBA">
        <w:rPr>
          <w:rFonts w:cs="David" w:hint="cs"/>
          <w:rtl/>
        </w:rPr>
        <w:t xml:space="preserve">הממלכה כאם וכאישה, שוכבים מעולפים בשל היותם מלאים </w:t>
      </w:r>
      <w:r w:rsidR="00D87F6F">
        <w:rPr>
          <w:rFonts w:cs="David"/>
          <w:rtl/>
        </w:rPr>
        <w:t>“</w:t>
      </w:r>
      <w:r w:rsidRPr="00520FBA">
        <w:rPr>
          <w:rFonts w:cs="David" w:hint="cs"/>
          <w:rtl/>
        </w:rPr>
        <w:t>חמת ה</w:t>
      </w:r>
      <w:r w:rsidR="00D87F6F">
        <w:rPr>
          <w:rFonts w:cs="David"/>
          <w:rtl/>
        </w:rPr>
        <w:t>’“</w:t>
      </w:r>
      <w:r w:rsidRPr="00520FBA">
        <w:rPr>
          <w:rFonts w:cs="David" w:hint="cs"/>
          <w:rtl/>
        </w:rPr>
        <w:t xml:space="preserve"> והיא שיכורה </w:t>
      </w:r>
      <w:r w:rsidR="00D87F6F">
        <w:rPr>
          <w:rFonts w:cs="David"/>
          <w:rtl/>
        </w:rPr>
        <w:t>“</w:t>
      </w:r>
      <w:r w:rsidRPr="00520FBA">
        <w:rPr>
          <w:rFonts w:cs="David" w:hint="cs"/>
          <w:rtl/>
        </w:rPr>
        <w:t>ולא מיין</w:t>
      </w:r>
      <w:r w:rsidR="00D87F6F">
        <w:rPr>
          <w:rFonts w:cs="David"/>
          <w:rtl/>
        </w:rPr>
        <w:t>”</w:t>
      </w:r>
      <w:r w:rsidRPr="00520FBA">
        <w:rPr>
          <w:rFonts w:cs="David" w:hint="cs"/>
          <w:rtl/>
        </w:rPr>
        <w:t xml:space="preserve"> (נא, יז-כג). מנבואה ז</w:t>
      </w:r>
      <w:r>
        <w:rPr>
          <w:rFonts w:cs="David" w:hint="cs"/>
          <w:rtl/>
        </w:rPr>
        <w:t>ו, שלא כמו מיחזקאל כג, ניתן ללמוד גם על מרכיביו של ה</w:t>
      </w:r>
      <w:r w:rsidRPr="00520FBA">
        <w:rPr>
          <w:rFonts w:cs="David" w:hint="cs"/>
          <w:rtl/>
        </w:rPr>
        <w:t xml:space="preserve">משקה. </w:t>
      </w:r>
      <w:r>
        <w:rPr>
          <w:rFonts w:cs="David" w:hint="cs"/>
          <w:rtl/>
        </w:rPr>
        <w:t xml:space="preserve">שכן </w:t>
      </w:r>
      <w:r w:rsidRPr="00520FBA">
        <w:rPr>
          <w:rFonts w:cs="David" w:hint="cs"/>
          <w:rtl/>
        </w:rPr>
        <w:t xml:space="preserve">המילה </w:t>
      </w:r>
      <w:r w:rsidR="00D87F6F">
        <w:rPr>
          <w:rFonts w:cs="David"/>
          <w:rtl/>
        </w:rPr>
        <w:t>“</w:t>
      </w:r>
      <w:r w:rsidRPr="00520FBA">
        <w:rPr>
          <w:rFonts w:cs="David" w:hint="cs"/>
          <w:rtl/>
        </w:rPr>
        <w:t>חמת</w:t>
      </w:r>
      <w:r w:rsidR="00D87F6F">
        <w:rPr>
          <w:rFonts w:cs="David"/>
          <w:rtl/>
        </w:rPr>
        <w:t>”</w:t>
      </w:r>
      <w:r w:rsidRPr="00520FBA">
        <w:rPr>
          <w:rFonts w:cs="David" w:hint="cs"/>
          <w:rtl/>
        </w:rPr>
        <w:t xml:space="preserve"> </w:t>
      </w:r>
      <w:r>
        <w:rPr>
          <w:rFonts w:cs="David" w:hint="cs"/>
          <w:rtl/>
        </w:rPr>
        <w:t xml:space="preserve">אף שהיא </w:t>
      </w:r>
      <w:r w:rsidRPr="00520FBA">
        <w:rPr>
          <w:rFonts w:cs="David" w:hint="cs"/>
          <w:rtl/>
        </w:rPr>
        <w:t xml:space="preserve">משמשת </w:t>
      </w:r>
      <w:r>
        <w:rPr>
          <w:rFonts w:cs="David" w:hint="cs"/>
          <w:rtl/>
        </w:rPr>
        <w:t>גם כביטוי לכעסו של ה</w:t>
      </w:r>
      <w:r w:rsidR="00D87F6F">
        <w:rPr>
          <w:rFonts w:cs="David"/>
          <w:rtl/>
        </w:rPr>
        <w:t>’</w:t>
      </w:r>
      <w:r>
        <w:rPr>
          <w:rFonts w:cs="David" w:hint="cs"/>
          <w:rtl/>
        </w:rPr>
        <w:t>, משמשת בראש וראשונה,</w:t>
      </w:r>
      <w:r w:rsidRPr="00520FBA">
        <w:rPr>
          <w:rFonts w:cs="David" w:hint="cs"/>
          <w:rtl/>
        </w:rPr>
        <w:t xml:space="preserve"> כפי שמשתמע מההקבלה למילה </w:t>
      </w:r>
      <w:r w:rsidR="00D87F6F">
        <w:rPr>
          <w:rFonts w:cs="David"/>
          <w:rtl/>
        </w:rPr>
        <w:t>“</w:t>
      </w:r>
      <w:r w:rsidRPr="00520FBA">
        <w:rPr>
          <w:rFonts w:cs="David" w:hint="cs"/>
          <w:rtl/>
        </w:rPr>
        <w:t>תרעלה</w:t>
      </w:r>
      <w:r w:rsidR="00D87F6F">
        <w:rPr>
          <w:rFonts w:cs="David"/>
          <w:rtl/>
        </w:rPr>
        <w:t>”</w:t>
      </w:r>
      <w:r w:rsidRPr="00520FBA">
        <w:rPr>
          <w:rFonts w:cs="David" w:hint="cs"/>
          <w:rtl/>
        </w:rPr>
        <w:t>, לתיאור אופיו הרעלי של המשקה.</w:t>
      </w:r>
      <w:r w:rsidRPr="00520FBA">
        <w:rPr>
          <w:rStyle w:val="FootnoteReference"/>
          <w:rFonts w:cs="David"/>
          <w:rtl/>
        </w:rPr>
        <w:footnoteReference w:id="39"/>
      </w:r>
      <w:r w:rsidRPr="00520FBA">
        <w:rPr>
          <w:rFonts w:cs="David" w:hint="cs"/>
          <w:rtl/>
        </w:rPr>
        <w:t xml:space="preserve"> </w:t>
      </w:r>
      <w:r>
        <w:rPr>
          <w:rFonts w:cs="David" w:hint="cs"/>
          <w:rtl/>
        </w:rPr>
        <w:t>משמעות זו מופיעה</w:t>
      </w:r>
      <w:r w:rsidRPr="00520FBA">
        <w:rPr>
          <w:rFonts w:cs="David" w:hint="cs"/>
          <w:rtl/>
        </w:rPr>
        <w:t xml:space="preserve"> בכתובים שונים, כדוגמת תיאורו של איוב את חיצי ה</w:t>
      </w:r>
      <w:r w:rsidR="00D87F6F">
        <w:rPr>
          <w:rFonts w:cs="David"/>
          <w:rtl/>
        </w:rPr>
        <w:t>’</w:t>
      </w:r>
      <w:r w:rsidRPr="00520FBA">
        <w:rPr>
          <w:rFonts w:cs="David" w:hint="cs"/>
          <w:rtl/>
        </w:rPr>
        <w:t xml:space="preserve"> המשוחים רעל: </w:t>
      </w:r>
      <w:r w:rsidR="00D87F6F">
        <w:rPr>
          <w:rFonts w:cs="David"/>
          <w:rtl/>
        </w:rPr>
        <w:t>“</w:t>
      </w:r>
      <w:r w:rsidRPr="00520FBA">
        <w:rPr>
          <w:rFonts w:cs="David" w:hint="cs"/>
          <w:rtl/>
        </w:rPr>
        <w:t>אשר חמתם שֹתה רוחי</w:t>
      </w:r>
      <w:r w:rsidR="00D87F6F">
        <w:rPr>
          <w:rFonts w:cs="David"/>
          <w:rtl/>
        </w:rPr>
        <w:t>”</w:t>
      </w:r>
      <w:r w:rsidRPr="00520FBA">
        <w:rPr>
          <w:rFonts w:cs="David" w:hint="cs"/>
          <w:rtl/>
        </w:rPr>
        <w:t xml:space="preserve"> (ו, ד), ונראה שהיא מתייחסת לרעל שמקורו מן החי: </w:t>
      </w:r>
      <w:r w:rsidR="00D87F6F">
        <w:rPr>
          <w:rFonts w:cs="David"/>
          <w:rtl/>
        </w:rPr>
        <w:t>“</w:t>
      </w:r>
      <w:r w:rsidRPr="00520FBA">
        <w:rPr>
          <w:rFonts w:cs="David" w:hint="cs"/>
          <w:rtl/>
        </w:rPr>
        <w:t>חמת זחלי עפר</w:t>
      </w:r>
      <w:r w:rsidR="00D87F6F">
        <w:rPr>
          <w:rFonts w:cs="David"/>
          <w:rtl/>
        </w:rPr>
        <w:t>”</w:t>
      </w:r>
      <w:r w:rsidRPr="00520FBA">
        <w:rPr>
          <w:rFonts w:cs="David" w:hint="cs"/>
          <w:rtl/>
        </w:rPr>
        <w:t xml:space="preserve"> (דב</w:t>
      </w:r>
      <w:r w:rsidR="00D87F6F">
        <w:rPr>
          <w:rFonts w:cs="David"/>
          <w:rtl/>
        </w:rPr>
        <w:t>’</w:t>
      </w:r>
      <w:r w:rsidRPr="00520FBA">
        <w:rPr>
          <w:rFonts w:cs="David" w:hint="cs"/>
          <w:rtl/>
        </w:rPr>
        <w:t xml:space="preserve"> ל</w:t>
      </w:r>
      <w:r>
        <w:rPr>
          <w:rFonts w:cs="David" w:hint="cs"/>
          <w:rtl/>
        </w:rPr>
        <w:t xml:space="preserve">ב, כד); </w:t>
      </w:r>
      <w:r w:rsidR="00D87F6F">
        <w:rPr>
          <w:rFonts w:cs="David"/>
          <w:rtl/>
        </w:rPr>
        <w:t>“</w:t>
      </w:r>
      <w:r>
        <w:rPr>
          <w:rFonts w:cs="David" w:hint="cs"/>
          <w:rtl/>
        </w:rPr>
        <w:t>חמת תנינם</w:t>
      </w:r>
      <w:r w:rsidR="00D87F6F">
        <w:rPr>
          <w:rFonts w:cs="David"/>
          <w:rtl/>
        </w:rPr>
        <w:t>”</w:t>
      </w:r>
      <w:r w:rsidRPr="00520FBA">
        <w:rPr>
          <w:rFonts w:cs="David" w:hint="cs"/>
          <w:rtl/>
        </w:rPr>
        <w:t xml:space="preserve"> (שם, לג); </w:t>
      </w:r>
      <w:r w:rsidR="00D87F6F">
        <w:rPr>
          <w:rFonts w:cs="David"/>
          <w:rtl/>
        </w:rPr>
        <w:t>“</w:t>
      </w:r>
      <w:r w:rsidRPr="00520FBA">
        <w:rPr>
          <w:rFonts w:cs="David" w:hint="cs"/>
          <w:rtl/>
        </w:rPr>
        <w:t>חמת למו כדמות חמת נחש</w:t>
      </w:r>
      <w:r w:rsidR="00D87F6F">
        <w:rPr>
          <w:rFonts w:cs="David"/>
          <w:rtl/>
        </w:rPr>
        <w:t>”</w:t>
      </w:r>
      <w:r w:rsidRPr="00520FBA">
        <w:rPr>
          <w:rFonts w:cs="David" w:hint="cs"/>
          <w:rtl/>
        </w:rPr>
        <w:t xml:space="preserve"> (תה</w:t>
      </w:r>
      <w:r w:rsidR="00D87F6F">
        <w:rPr>
          <w:rFonts w:cs="David"/>
          <w:rtl/>
        </w:rPr>
        <w:t>’</w:t>
      </w:r>
      <w:r w:rsidRPr="00520FBA">
        <w:rPr>
          <w:rFonts w:cs="David" w:hint="cs"/>
          <w:rtl/>
        </w:rPr>
        <w:t xml:space="preserve">, נח, ה); </w:t>
      </w:r>
      <w:r w:rsidR="00D87F6F">
        <w:rPr>
          <w:rFonts w:cs="David"/>
          <w:rtl/>
        </w:rPr>
        <w:t>“</w:t>
      </w:r>
      <w:r w:rsidRPr="00520FBA">
        <w:rPr>
          <w:rFonts w:cs="David" w:hint="cs"/>
          <w:rtl/>
        </w:rPr>
        <w:t>שננו לשונם כמו נחש חמת עכשוב</w:t>
      </w:r>
      <w:r w:rsidR="00D87F6F">
        <w:rPr>
          <w:rFonts w:cs="David"/>
          <w:rtl/>
        </w:rPr>
        <w:t>”</w:t>
      </w:r>
      <w:r w:rsidRPr="00520FBA">
        <w:rPr>
          <w:rFonts w:cs="David" w:hint="cs"/>
          <w:rtl/>
        </w:rPr>
        <w:t xml:space="preserve"> (שם קמ, ד).</w:t>
      </w:r>
      <w:r w:rsidRPr="00520FBA">
        <w:rPr>
          <w:rStyle w:val="FootnoteReference"/>
          <w:rFonts w:cs="David"/>
          <w:rtl/>
        </w:rPr>
        <w:footnoteReference w:id="40"/>
      </w:r>
      <w:r w:rsidR="00D87F6F">
        <w:rPr>
          <w:rFonts w:cs="David" w:hint="cs"/>
          <w:rtl/>
        </w:rPr>
        <w:t xml:space="preserve"> </w:t>
      </w:r>
    </w:p>
    <w:p w:rsidR="00202828" w:rsidRPr="00F063BC" w:rsidRDefault="009329C7" w:rsidP="00BE2482">
      <w:pPr>
        <w:spacing w:line="360" w:lineRule="auto"/>
        <w:jc w:val="both"/>
        <w:rPr>
          <w:rFonts w:cs="David"/>
          <w:rtl/>
        </w:rPr>
      </w:pPr>
      <w:r>
        <w:rPr>
          <w:rFonts w:cs="David" w:hint="cs"/>
          <w:rtl/>
        </w:rPr>
        <w:t>ב</w:t>
      </w:r>
      <w:r w:rsidR="00BD07A9">
        <w:rPr>
          <w:rFonts w:cs="David" w:hint="cs"/>
          <w:rtl/>
        </w:rPr>
        <w:t>שתי</w:t>
      </w:r>
      <w:r>
        <w:rPr>
          <w:rFonts w:cs="David" w:hint="cs"/>
          <w:rtl/>
        </w:rPr>
        <w:t xml:space="preserve"> נבואות בירמיהו</w:t>
      </w:r>
      <w:r w:rsidR="00202828" w:rsidRPr="00520FBA">
        <w:rPr>
          <w:rFonts w:cs="David" w:hint="cs"/>
          <w:rtl/>
        </w:rPr>
        <w:t xml:space="preserve"> </w:t>
      </w:r>
      <w:r>
        <w:rPr>
          <w:rFonts w:cs="David" w:hint="cs"/>
          <w:rtl/>
        </w:rPr>
        <w:t xml:space="preserve">ממלכת יהודה </w:t>
      </w:r>
      <w:r w:rsidR="007B2E4C">
        <w:rPr>
          <w:rFonts w:cs="David" w:hint="cs"/>
          <w:rtl/>
        </w:rPr>
        <w:t xml:space="preserve">מואשמת </w:t>
      </w:r>
      <w:r>
        <w:rPr>
          <w:rFonts w:cs="David" w:hint="cs"/>
          <w:rtl/>
        </w:rPr>
        <w:t>ב</w:t>
      </w:r>
      <w:r w:rsidR="00202828" w:rsidRPr="00520FBA">
        <w:rPr>
          <w:rFonts w:cs="David" w:hint="cs"/>
          <w:rtl/>
        </w:rPr>
        <w:t>ניאוף</w:t>
      </w:r>
      <w:r w:rsidR="007B2E4C">
        <w:rPr>
          <w:rFonts w:cs="David" w:hint="cs"/>
          <w:rtl/>
        </w:rPr>
        <w:t xml:space="preserve"> ובשל כך תיענש ב</w:t>
      </w:r>
      <w:r w:rsidR="00BE2482">
        <w:rPr>
          <w:rFonts w:cs="David" w:hint="cs"/>
          <w:rtl/>
        </w:rPr>
        <w:t>שתיי</w:t>
      </w:r>
      <w:r w:rsidR="00202828" w:rsidRPr="00520FBA">
        <w:rPr>
          <w:rFonts w:cs="David" w:hint="cs"/>
          <w:rtl/>
        </w:rPr>
        <w:t>ת (ו</w:t>
      </w:r>
      <w:r w:rsidR="007B2E4C">
        <w:rPr>
          <w:rFonts w:cs="David" w:hint="cs"/>
          <w:rtl/>
        </w:rPr>
        <w:t>ב</w:t>
      </w:r>
      <w:r w:rsidR="00BE2482">
        <w:rPr>
          <w:rFonts w:cs="David" w:hint="cs"/>
          <w:rtl/>
        </w:rPr>
        <w:t>א</w:t>
      </w:r>
      <w:r w:rsidR="00BD07A9">
        <w:rPr>
          <w:rFonts w:cs="David" w:hint="cs"/>
          <w:rtl/>
        </w:rPr>
        <w:t>כ</w:t>
      </w:r>
      <w:r w:rsidR="00BE2482">
        <w:rPr>
          <w:rFonts w:cs="David" w:hint="cs"/>
          <w:rtl/>
        </w:rPr>
        <w:t>י</w:t>
      </w:r>
      <w:r w:rsidR="00BD07A9">
        <w:rPr>
          <w:rFonts w:cs="David" w:hint="cs"/>
          <w:rtl/>
        </w:rPr>
        <w:t>לת) רעל.</w:t>
      </w:r>
      <w:r w:rsidR="00202828">
        <w:rPr>
          <w:rFonts w:cs="David" w:hint="cs"/>
          <w:rtl/>
        </w:rPr>
        <w:t xml:space="preserve"> </w:t>
      </w:r>
      <w:r w:rsidR="007B2E4C">
        <w:rPr>
          <w:rFonts w:cs="David" w:hint="cs"/>
          <w:rtl/>
        </w:rPr>
        <w:t xml:space="preserve">הניאוף </w:t>
      </w:r>
      <w:r w:rsidR="00BD07A9">
        <w:rPr>
          <w:rFonts w:cs="David" w:hint="cs"/>
          <w:rtl/>
        </w:rPr>
        <w:t>ה</w:t>
      </w:r>
      <w:r w:rsidR="007B2E4C">
        <w:rPr>
          <w:rFonts w:cs="David" w:hint="cs"/>
          <w:rtl/>
        </w:rPr>
        <w:t>מ</w:t>
      </w:r>
      <w:r w:rsidR="00BD07A9">
        <w:rPr>
          <w:rFonts w:cs="David" w:hint="cs"/>
          <w:rtl/>
        </w:rPr>
        <w:t>וזכר ב</w:t>
      </w:r>
      <w:r w:rsidR="00EF62E4">
        <w:rPr>
          <w:rFonts w:cs="David" w:hint="cs"/>
          <w:rtl/>
        </w:rPr>
        <w:t xml:space="preserve">נבואות </w:t>
      </w:r>
      <w:r w:rsidR="00BD07A9">
        <w:rPr>
          <w:rFonts w:cs="David" w:hint="cs"/>
          <w:rtl/>
        </w:rPr>
        <w:t xml:space="preserve">משמש </w:t>
      </w:r>
      <w:r w:rsidR="00EF62E4">
        <w:rPr>
          <w:rFonts w:cs="David" w:hint="cs"/>
          <w:rtl/>
        </w:rPr>
        <w:t>כדימוי להליכה אחר אלוהים אחרים</w:t>
      </w:r>
      <w:r w:rsidR="00202828" w:rsidRPr="00520FBA">
        <w:rPr>
          <w:rFonts w:cs="David" w:hint="cs"/>
          <w:rtl/>
        </w:rPr>
        <w:t xml:space="preserve">: </w:t>
      </w:r>
      <w:r w:rsidR="00D87F6F">
        <w:rPr>
          <w:rFonts w:cs="David"/>
          <w:rtl/>
        </w:rPr>
        <w:t>“</w:t>
      </w:r>
      <w:r w:rsidR="00202828" w:rsidRPr="00520FBA">
        <w:rPr>
          <w:rFonts w:cs="David" w:hint="cs"/>
          <w:rtl/>
        </w:rPr>
        <w:t>מדוע שובבה העם הזה ירושלם משבה נצחת... כי ה</w:t>
      </w:r>
      <w:r w:rsidR="00D87F6F">
        <w:rPr>
          <w:rFonts w:cs="David"/>
          <w:rtl/>
        </w:rPr>
        <w:t>’</w:t>
      </w:r>
      <w:r w:rsidR="00202828" w:rsidRPr="00520FBA">
        <w:rPr>
          <w:rFonts w:cs="David" w:hint="cs"/>
          <w:rtl/>
        </w:rPr>
        <w:t xml:space="preserve"> אלהינו הד</w:t>
      </w:r>
      <w:r w:rsidR="0039660D">
        <w:rPr>
          <w:rFonts w:cs="David" w:hint="cs"/>
          <w:rtl/>
        </w:rPr>
        <w:t>ִ</w:t>
      </w:r>
      <w:r>
        <w:rPr>
          <w:rFonts w:cs="David" w:hint="cs"/>
          <w:rtl/>
        </w:rPr>
        <w:t>מנו וישקנו מי ראש</w:t>
      </w:r>
      <w:r w:rsidR="00D87F6F">
        <w:rPr>
          <w:rFonts w:cs="David"/>
          <w:rtl/>
        </w:rPr>
        <w:t>”</w:t>
      </w:r>
      <w:r w:rsidR="00202828" w:rsidRPr="00520FBA">
        <w:rPr>
          <w:rFonts w:cs="David" w:hint="cs"/>
          <w:rtl/>
        </w:rPr>
        <w:t xml:space="preserve"> (ח, ד-יז); </w:t>
      </w:r>
      <w:r w:rsidR="00D87F6F">
        <w:rPr>
          <w:rFonts w:cs="David"/>
          <w:rtl/>
        </w:rPr>
        <w:t>“</w:t>
      </w:r>
      <w:r w:rsidR="00202828" w:rsidRPr="00520FBA">
        <w:rPr>
          <w:rFonts w:cs="David" w:hint="cs"/>
          <w:rtl/>
        </w:rPr>
        <w:t>וילכו אחרי שררות לבם ואחרי הבעלים... לכן... הנני מאכילם את העם הזה לענה והשקיתים מי ר</w:t>
      </w:r>
      <w:r w:rsidR="00EF62E4">
        <w:rPr>
          <w:rFonts w:cs="David" w:hint="cs"/>
          <w:rtl/>
        </w:rPr>
        <w:t>אש</w:t>
      </w:r>
      <w:r w:rsidR="00D87F6F">
        <w:rPr>
          <w:rFonts w:cs="David"/>
          <w:rtl/>
        </w:rPr>
        <w:t>”</w:t>
      </w:r>
      <w:r w:rsidR="00EF62E4">
        <w:rPr>
          <w:rFonts w:cs="David" w:hint="cs"/>
          <w:rtl/>
        </w:rPr>
        <w:t xml:space="preserve"> (ט, יא-טו)</w:t>
      </w:r>
      <w:r w:rsidR="007B2E4C">
        <w:rPr>
          <w:rFonts w:cs="David" w:hint="cs"/>
          <w:rtl/>
        </w:rPr>
        <w:t>.</w:t>
      </w:r>
      <w:r w:rsidR="00EF62E4">
        <w:rPr>
          <w:rFonts w:cs="David" w:hint="cs"/>
          <w:rtl/>
        </w:rPr>
        <w:t xml:space="preserve"> </w:t>
      </w:r>
      <w:r w:rsidR="00BD07A9">
        <w:rPr>
          <w:rFonts w:cs="David" w:hint="cs"/>
          <w:rtl/>
        </w:rPr>
        <w:t>בנבואה נוספת</w:t>
      </w:r>
      <w:r w:rsidR="00EF62E4" w:rsidRPr="007B2E4C">
        <w:rPr>
          <w:rFonts w:cs="David" w:hint="cs"/>
          <w:rtl/>
        </w:rPr>
        <w:t xml:space="preserve"> </w:t>
      </w:r>
      <w:r w:rsidR="00BD07A9">
        <w:rPr>
          <w:rFonts w:cs="David" w:hint="cs"/>
          <w:rtl/>
        </w:rPr>
        <w:t xml:space="preserve">שמוזכרת בה השקיית רעל </w:t>
      </w:r>
      <w:r w:rsidR="00EF62E4" w:rsidRPr="007B2E4C">
        <w:rPr>
          <w:rFonts w:cs="David" w:hint="cs"/>
          <w:rtl/>
        </w:rPr>
        <w:t xml:space="preserve">אשמת הניאוף </w:t>
      </w:r>
      <w:r w:rsidR="00040742">
        <w:rPr>
          <w:rFonts w:cs="David" w:hint="cs"/>
          <w:rtl/>
        </w:rPr>
        <w:t>מופנית לנביאים</w:t>
      </w:r>
      <w:r w:rsidR="008B660A">
        <w:rPr>
          <w:rFonts w:cs="David" w:hint="cs"/>
          <w:rtl/>
        </w:rPr>
        <w:t>,</w:t>
      </w:r>
      <w:r w:rsidR="00040742">
        <w:rPr>
          <w:rFonts w:cs="David" w:hint="cs"/>
          <w:rtl/>
        </w:rPr>
        <w:t xml:space="preserve"> וקשה להכריע האם יש להתייחס </w:t>
      </w:r>
      <w:r w:rsidR="008B660A">
        <w:rPr>
          <w:rFonts w:cs="David" w:hint="cs"/>
          <w:rtl/>
        </w:rPr>
        <w:t>אליה</w:t>
      </w:r>
      <w:r w:rsidR="00040742">
        <w:rPr>
          <w:rFonts w:cs="David" w:hint="cs"/>
          <w:rtl/>
        </w:rPr>
        <w:t xml:space="preserve"> כדימוי או כהאשמה קונקרטית:</w:t>
      </w:r>
      <w:r w:rsidR="00202828" w:rsidRPr="007B2E4C">
        <w:rPr>
          <w:rFonts w:cs="David" w:hint="cs"/>
          <w:rtl/>
        </w:rPr>
        <w:t xml:space="preserve"> </w:t>
      </w:r>
      <w:r w:rsidR="00D87F6F">
        <w:rPr>
          <w:rFonts w:cs="David"/>
          <w:rtl/>
        </w:rPr>
        <w:t>“</w:t>
      </w:r>
      <w:r w:rsidR="00202828" w:rsidRPr="007B2E4C">
        <w:rPr>
          <w:rFonts w:cs="David" w:hint="cs"/>
          <w:rtl/>
        </w:rPr>
        <w:t>נאוף והלֹך בשקר... לכן... הנני מאכיל אותם לענה והשקתים מי ראש</w:t>
      </w:r>
      <w:r w:rsidR="00D87F6F">
        <w:rPr>
          <w:rFonts w:cs="David"/>
          <w:rtl/>
        </w:rPr>
        <w:t>”</w:t>
      </w:r>
      <w:r w:rsidR="00202828" w:rsidRPr="007B2E4C">
        <w:rPr>
          <w:rFonts w:cs="David" w:hint="cs"/>
          <w:rtl/>
        </w:rPr>
        <w:t xml:space="preserve"> (כג, ט-יז).</w:t>
      </w:r>
      <w:r w:rsidR="00BD07A9" w:rsidRPr="00520FBA">
        <w:rPr>
          <w:rStyle w:val="FootnoteReference"/>
          <w:rFonts w:cs="David"/>
          <w:rtl/>
        </w:rPr>
        <w:footnoteReference w:id="41"/>
      </w:r>
      <w:r w:rsidR="00202828" w:rsidRPr="00520FBA">
        <w:rPr>
          <w:rFonts w:cs="David" w:hint="cs"/>
          <w:rtl/>
        </w:rPr>
        <w:t xml:space="preserve"> </w:t>
      </w:r>
      <w:r w:rsidR="00202828">
        <w:rPr>
          <w:rFonts w:cs="David" w:hint="cs"/>
          <w:rtl/>
        </w:rPr>
        <w:t>מי הראש</w:t>
      </w:r>
      <w:r w:rsidR="00202828" w:rsidRPr="00520FBA">
        <w:rPr>
          <w:rFonts w:cs="David" w:hint="cs"/>
          <w:rtl/>
        </w:rPr>
        <w:t xml:space="preserve"> הם מי רעל </w:t>
      </w:r>
      <w:r w:rsidR="00202828">
        <w:rPr>
          <w:rFonts w:cs="David" w:hint="cs"/>
          <w:rtl/>
        </w:rPr>
        <w:t>שמרירותם מן הצומח</w:t>
      </w:r>
      <w:r w:rsidR="00202828" w:rsidRPr="00520FBA">
        <w:rPr>
          <w:rFonts w:cs="David" w:hint="cs"/>
          <w:rtl/>
        </w:rPr>
        <w:t xml:space="preserve">, כמו </w:t>
      </w:r>
      <w:r w:rsidR="00D87F6F">
        <w:rPr>
          <w:rFonts w:cs="David"/>
          <w:rtl/>
        </w:rPr>
        <w:t>“</w:t>
      </w:r>
      <w:r w:rsidR="00202828">
        <w:rPr>
          <w:rFonts w:cs="David" w:hint="cs"/>
          <w:rtl/>
        </w:rPr>
        <w:t>ענבמו ענבי רוש אשכלֹת מרֹרֹת למו</w:t>
      </w:r>
      <w:r w:rsidR="00D87F6F">
        <w:rPr>
          <w:rFonts w:cs="David"/>
          <w:rtl/>
        </w:rPr>
        <w:t>”</w:t>
      </w:r>
      <w:r w:rsidR="00202828">
        <w:rPr>
          <w:rFonts w:cs="David" w:hint="cs"/>
          <w:rtl/>
        </w:rPr>
        <w:t xml:space="preserve"> (דב</w:t>
      </w:r>
      <w:r w:rsidR="00D87F6F">
        <w:rPr>
          <w:rFonts w:cs="David"/>
          <w:rtl/>
        </w:rPr>
        <w:t>’</w:t>
      </w:r>
      <w:r w:rsidR="00202828">
        <w:rPr>
          <w:rFonts w:cs="David" w:hint="cs"/>
          <w:rtl/>
        </w:rPr>
        <w:t xml:space="preserve"> לב, לב)</w:t>
      </w:r>
      <w:r w:rsidR="00202828" w:rsidRPr="00520FBA">
        <w:rPr>
          <w:rFonts w:cs="David" w:hint="cs"/>
          <w:rtl/>
        </w:rPr>
        <w:t>.</w:t>
      </w:r>
      <w:r w:rsidR="00202828" w:rsidRPr="00520FBA">
        <w:rPr>
          <w:rStyle w:val="FootnoteReference"/>
          <w:rFonts w:cs="David"/>
          <w:rtl/>
        </w:rPr>
        <w:footnoteReference w:id="42"/>
      </w:r>
      <w:r w:rsidR="00202828">
        <w:rPr>
          <w:rFonts w:cs="David" w:hint="cs"/>
          <w:rtl/>
        </w:rPr>
        <w:t xml:space="preserve"> </w:t>
      </w:r>
      <w:r w:rsidR="00BF39DB" w:rsidRPr="00F063BC">
        <w:rPr>
          <w:rFonts w:cs="David" w:hint="cs"/>
          <w:rtl/>
        </w:rPr>
        <w:t xml:space="preserve">לצד הרעל מהצומח </w:t>
      </w:r>
      <w:r w:rsidR="00BF39DB" w:rsidRPr="00F063BC">
        <w:rPr>
          <w:rFonts w:cs="David" w:hint="cs"/>
          <w:rtl/>
        </w:rPr>
        <w:lastRenderedPageBreak/>
        <w:t>הנביא מנבא גם השקיית יין שתוביל לשיכרון ולהשחתה</w:t>
      </w:r>
      <w:r w:rsidR="00F063BC" w:rsidRPr="00F063BC">
        <w:rPr>
          <w:rFonts w:cs="David" w:hint="cs"/>
          <w:rtl/>
        </w:rPr>
        <w:t xml:space="preserve">: </w:t>
      </w:r>
      <w:r w:rsidR="00D87F6F">
        <w:rPr>
          <w:rFonts w:cs="David"/>
          <w:rtl/>
        </w:rPr>
        <w:t>“</w:t>
      </w:r>
      <w:r w:rsidR="00F063BC" w:rsidRPr="00F063BC">
        <w:rPr>
          <w:rFonts w:cs="David" w:hint="cs"/>
          <w:rtl/>
        </w:rPr>
        <w:t>כה אמר ה</w:t>
      </w:r>
      <w:r w:rsidR="00D87F6F">
        <w:rPr>
          <w:rFonts w:cs="David"/>
          <w:rtl/>
        </w:rPr>
        <w:t>’</w:t>
      </w:r>
      <w:r w:rsidR="00F063BC" w:rsidRPr="00F063BC">
        <w:rPr>
          <w:rFonts w:cs="David" w:hint="cs"/>
          <w:rtl/>
        </w:rPr>
        <w:t xml:space="preserve"> ככה אשחית את גאון יהודה... וילכו אחרי אלהים אחרים... כל נבל ימלא יין...</w:t>
      </w:r>
      <w:r w:rsidR="00D87F6F">
        <w:rPr>
          <w:rFonts w:cs="David"/>
          <w:rtl/>
        </w:rPr>
        <w:t>”</w:t>
      </w:r>
      <w:r w:rsidR="00BF39DB" w:rsidRPr="00F063BC">
        <w:rPr>
          <w:rFonts w:cs="David" w:hint="cs"/>
          <w:rtl/>
        </w:rPr>
        <w:t xml:space="preserve"> (יג, ח-יד).</w:t>
      </w:r>
    </w:p>
    <w:p w:rsidR="002F0CD0" w:rsidRDefault="00BF39DB" w:rsidP="00B10A0F">
      <w:pPr>
        <w:spacing w:line="360" w:lineRule="auto"/>
        <w:jc w:val="both"/>
        <w:rPr>
          <w:rFonts w:cs="David"/>
          <w:rtl/>
        </w:rPr>
      </w:pPr>
      <w:r w:rsidRPr="005C6E7F">
        <w:rPr>
          <w:rFonts w:cs="David" w:hint="cs"/>
          <w:rtl/>
        </w:rPr>
        <w:t xml:space="preserve">השוואת </w:t>
      </w:r>
      <w:r>
        <w:rPr>
          <w:rFonts w:cs="David" w:hint="cs"/>
          <w:rtl/>
        </w:rPr>
        <w:t>נבוא</w:t>
      </w:r>
      <w:r w:rsidR="002B2110">
        <w:rPr>
          <w:rFonts w:cs="David" w:hint="cs"/>
          <w:rtl/>
        </w:rPr>
        <w:t>ות ישעיהו השני וירמיהו מלמדת ש</w:t>
      </w:r>
      <w:r>
        <w:rPr>
          <w:rFonts w:cs="David" w:hint="cs"/>
          <w:rtl/>
        </w:rPr>
        <w:t>אין התאמה בתיאורי תכולתה של הכוס</w:t>
      </w:r>
      <w:r w:rsidR="002D4B98">
        <w:rPr>
          <w:rFonts w:cs="David" w:hint="cs"/>
          <w:rtl/>
        </w:rPr>
        <w:t xml:space="preserve"> </w:t>
      </w:r>
      <w:r w:rsidR="002D4B98">
        <w:rPr>
          <w:rFonts w:cs="David"/>
          <w:rtl/>
        </w:rPr>
        <w:t>–</w:t>
      </w:r>
      <w:r w:rsidR="002D4B98">
        <w:rPr>
          <w:rFonts w:cs="David" w:hint="cs"/>
          <w:rtl/>
        </w:rPr>
        <w:t xml:space="preserve"> רעל מהחי; רעל מהצומח; יין. </w:t>
      </w:r>
      <w:r w:rsidR="002B2110">
        <w:rPr>
          <w:rFonts w:cs="David" w:hint="cs"/>
          <w:rtl/>
        </w:rPr>
        <w:t>מכך ניתן להסיק</w:t>
      </w:r>
      <w:r w:rsidRPr="005C6E7F">
        <w:rPr>
          <w:rFonts w:cs="David" w:hint="cs"/>
          <w:rtl/>
        </w:rPr>
        <w:t xml:space="preserve"> </w:t>
      </w:r>
      <w:r w:rsidR="00F063BC">
        <w:rPr>
          <w:rFonts w:cs="David" w:hint="cs"/>
          <w:rtl/>
        </w:rPr>
        <w:t>שהנבואות משקפות</w:t>
      </w:r>
      <w:r w:rsidRPr="005C6E7F">
        <w:rPr>
          <w:rFonts w:cs="David" w:hint="cs"/>
          <w:rtl/>
        </w:rPr>
        <w:t xml:space="preserve"> את המציאות שבה כל נואפת</w:t>
      </w:r>
      <w:r w:rsidR="00EB73A5">
        <w:rPr>
          <w:rFonts w:cs="David" w:hint="cs"/>
          <w:rtl/>
        </w:rPr>
        <w:t xml:space="preserve"> נדרשת לשתות</w:t>
      </w:r>
      <w:r w:rsidR="002B2110">
        <w:rPr>
          <w:rFonts w:cs="David" w:hint="cs"/>
          <w:rtl/>
        </w:rPr>
        <w:t xml:space="preserve"> </w:t>
      </w:r>
      <w:r w:rsidR="00F063BC">
        <w:rPr>
          <w:rFonts w:cs="David" w:hint="cs"/>
          <w:rtl/>
        </w:rPr>
        <w:t>משקה אחר</w:t>
      </w:r>
      <w:r w:rsidRPr="005C6E7F">
        <w:rPr>
          <w:rFonts w:cs="David" w:hint="cs"/>
          <w:rtl/>
        </w:rPr>
        <w:t xml:space="preserve">. אופי </w:t>
      </w:r>
      <w:r w:rsidR="00F063BC">
        <w:rPr>
          <w:rFonts w:cs="David" w:hint="cs"/>
          <w:rtl/>
        </w:rPr>
        <w:t>המשקה</w:t>
      </w:r>
      <w:r w:rsidRPr="005C6E7F">
        <w:rPr>
          <w:rFonts w:cs="David" w:hint="cs"/>
          <w:rtl/>
        </w:rPr>
        <w:t xml:space="preserve"> </w:t>
      </w:r>
      <w:r w:rsidR="00B10A0F">
        <w:rPr>
          <w:rFonts w:cs="David" w:hint="cs"/>
          <w:rtl/>
        </w:rPr>
        <w:t>מ</w:t>
      </w:r>
      <w:r w:rsidRPr="005C6E7F">
        <w:rPr>
          <w:rFonts w:cs="David" w:hint="cs"/>
          <w:rtl/>
        </w:rPr>
        <w:t>וגדר על-ידי בעלה של האישה (ה</w:t>
      </w:r>
      <w:r w:rsidR="00D87F6F">
        <w:rPr>
          <w:rFonts w:cs="David"/>
          <w:rtl/>
        </w:rPr>
        <w:t>’</w:t>
      </w:r>
      <w:r w:rsidRPr="005C6E7F">
        <w:rPr>
          <w:rFonts w:cs="David" w:hint="cs"/>
          <w:rtl/>
        </w:rPr>
        <w:t xml:space="preserve">) </w:t>
      </w:r>
      <w:r w:rsidR="000E59E6">
        <w:rPr>
          <w:rFonts w:cs="David" w:hint="cs"/>
          <w:rtl/>
        </w:rPr>
        <w:t>שמתפקד גם כשופט וגם כמוציא לפועל.</w:t>
      </w:r>
    </w:p>
    <w:p w:rsidR="0039660D" w:rsidRPr="00C4395C" w:rsidRDefault="00C4395C" w:rsidP="00EB73A5">
      <w:pPr>
        <w:spacing w:line="360" w:lineRule="auto"/>
        <w:jc w:val="both"/>
        <w:rPr>
          <w:rFonts w:cs="David"/>
          <w:rtl/>
        </w:rPr>
      </w:pPr>
      <w:r w:rsidRPr="00C272F6">
        <w:rPr>
          <w:rFonts w:cs="David" w:hint="cs"/>
          <w:rtl/>
        </w:rPr>
        <w:t>דימוי</w:t>
      </w:r>
      <w:r w:rsidR="00C51500" w:rsidRPr="00C272F6">
        <w:rPr>
          <w:rFonts w:cs="David" w:hint="cs"/>
          <w:rtl/>
        </w:rPr>
        <w:t xml:space="preserve"> כוס התרעלה מופיע </w:t>
      </w:r>
      <w:r w:rsidR="00C272F6">
        <w:rPr>
          <w:rFonts w:cs="David" w:hint="cs"/>
          <w:rtl/>
        </w:rPr>
        <w:t>אפוא בספרות הנבואה</w:t>
      </w:r>
      <w:r w:rsidR="0039660D" w:rsidRPr="00C272F6">
        <w:rPr>
          <w:rFonts w:cs="David" w:hint="cs"/>
          <w:sz w:val="20"/>
          <w:szCs w:val="20"/>
          <w:rtl/>
        </w:rPr>
        <w:t xml:space="preserve"> </w:t>
      </w:r>
      <w:r w:rsidR="0039660D" w:rsidRPr="00C272F6">
        <w:rPr>
          <w:rFonts w:cs="David" w:hint="cs"/>
          <w:rtl/>
        </w:rPr>
        <w:t>במסגרת מטאפורת</w:t>
      </w:r>
      <w:r w:rsidR="00C51500" w:rsidRPr="00C272F6">
        <w:rPr>
          <w:rFonts w:cs="David" w:hint="cs"/>
          <w:rtl/>
        </w:rPr>
        <w:t xml:space="preserve"> היחסים בין ה</w:t>
      </w:r>
      <w:r w:rsidR="00D87F6F">
        <w:rPr>
          <w:rFonts w:cs="David"/>
          <w:rtl/>
        </w:rPr>
        <w:t>’</w:t>
      </w:r>
      <w:r w:rsidR="00C51500" w:rsidRPr="00C272F6">
        <w:rPr>
          <w:rFonts w:cs="David" w:hint="cs"/>
          <w:rtl/>
        </w:rPr>
        <w:t xml:space="preserve"> לישראל כיחסי </w:t>
      </w:r>
      <w:r w:rsidR="00B10A0F">
        <w:rPr>
          <w:rFonts w:cs="David" w:hint="cs"/>
          <w:rtl/>
        </w:rPr>
        <w:t>בעל</w:t>
      </w:r>
      <w:r w:rsidR="00C51500" w:rsidRPr="00C272F6">
        <w:rPr>
          <w:rFonts w:cs="David" w:hint="cs"/>
          <w:rtl/>
        </w:rPr>
        <w:t xml:space="preserve"> ואישה.</w:t>
      </w:r>
      <w:r>
        <w:rPr>
          <w:rFonts w:cs="David" w:hint="cs"/>
          <w:rtl/>
        </w:rPr>
        <w:t xml:space="preserve"> </w:t>
      </w:r>
      <w:r w:rsidR="00B10A0F">
        <w:rPr>
          <w:rFonts w:cs="David" w:hint="cs"/>
          <w:rtl/>
        </w:rPr>
        <w:t>העם (ה</w:t>
      </w:r>
      <w:r w:rsidR="0039660D" w:rsidRPr="00520FBA">
        <w:rPr>
          <w:rFonts w:cs="David" w:hint="cs"/>
          <w:rtl/>
        </w:rPr>
        <w:t>אישה</w:t>
      </w:r>
      <w:r w:rsidR="00B10A0F">
        <w:rPr>
          <w:rFonts w:cs="David" w:hint="cs"/>
          <w:rtl/>
        </w:rPr>
        <w:t>)</w:t>
      </w:r>
      <w:r>
        <w:rPr>
          <w:rFonts w:cs="David" w:hint="cs"/>
          <w:rtl/>
        </w:rPr>
        <w:t xml:space="preserve"> </w:t>
      </w:r>
      <w:r w:rsidR="0039660D" w:rsidRPr="00520FBA">
        <w:rPr>
          <w:rFonts w:cs="David" w:hint="cs"/>
          <w:rtl/>
        </w:rPr>
        <w:t>עוזב את ה</w:t>
      </w:r>
      <w:r w:rsidR="00D87F6F">
        <w:rPr>
          <w:rFonts w:cs="David"/>
          <w:rtl/>
        </w:rPr>
        <w:t>’</w:t>
      </w:r>
      <w:r w:rsidR="00B10A0F">
        <w:rPr>
          <w:rFonts w:cs="David" w:hint="cs"/>
          <w:rtl/>
        </w:rPr>
        <w:t xml:space="preserve"> (הבעל)</w:t>
      </w:r>
      <w:r w:rsidR="0039660D" w:rsidRPr="00520FBA">
        <w:rPr>
          <w:rFonts w:cs="David" w:hint="cs"/>
          <w:rtl/>
        </w:rPr>
        <w:t xml:space="preserve"> והולך אחרי זרים</w:t>
      </w:r>
      <w:r w:rsidR="0039660D">
        <w:rPr>
          <w:rFonts w:cs="David" w:hint="cs"/>
          <w:rtl/>
        </w:rPr>
        <w:t xml:space="preserve"> ובשל כך </w:t>
      </w:r>
      <w:r w:rsidR="00EB73A5">
        <w:rPr>
          <w:rFonts w:cs="David" w:hint="cs"/>
          <w:rtl/>
        </w:rPr>
        <w:t>נ</w:t>
      </w:r>
      <w:r w:rsidR="0039660D">
        <w:rPr>
          <w:rFonts w:cs="David" w:hint="cs"/>
          <w:rtl/>
        </w:rPr>
        <w:t>ענש בשת</w:t>
      </w:r>
      <w:r>
        <w:rPr>
          <w:rFonts w:cs="David" w:hint="cs"/>
          <w:rtl/>
        </w:rPr>
        <w:t>יית המים הרעילים</w:t>
      </w:r>
      <w:r w:rsidR="0039660D">
        <w:rPr>
          <w:rFonts w:cs="David" w:hint="cs"/>
          <w:rtl/>
        </w:rPr>
        <w:t xml:space="preserve">. </w:t>
      </w:r>
      <w:r w:rsidR="00B10A0F">
        <w:rPr>
          <w:rFonts w:cs="David" w:hint="cs"/>
          <w:rtl/>
        </w:rPr>
        <w:t>מסתבר לשער</w:t>
      </w:r>
      <w:r w:rsidR="00EA6118">
        <w:rPr>
          <w:rFonts w:cs="David" w:hint="cs"/>
          <w:rtl/>
        </w:rPr>
        <w:t xml:space="preserve"> </w:t>
      </w:r>
      <w:r w:rsidR="00B10A0F">
        <w:rPr>
          <w:rFonts w:cs="David" w:hint="cs"/>
          <w:rtl/>
        </w:rPr>
        <w:t>ש</w:t>
      </w:r>
      <w:r w:rsidR="0039660D" w:rsidRPr="00C4395C">
        <w:rPr>
          <w:rFonts w:cs="David" w:hint="cs"/>
          <w:rtl/>
        </w:rPr>
        <w:t>מערכת הדימויים הזו, המורכבת מחטא הניאוף מחד ומעונש ההשקיה התואם מאידך,</w:t>
      </w:r>
      <w:r w:rsidR="00EA6118">
        <w:rPr>
          <w:rFonts w:cs="David" w:hint="cs"/>
          <w:rtl/>
        </w:rPr>
        <w:t xml:space="preserve"> חוזרת ומופיעה</w:t>
      </w:r>
      <w:r w:rsidR="0039660D" w:rsidRPr="00C4395C">
        <w:rPr>
          <w:rFonts w:cs="David" w:hint="cs"/>
          <w:rtl/>
        </w:rPr>
        <w:t xml:space="preserve"> </w:t>
      </w:r>
      <w:r w:rsidR="00EA6118">
        <w:rPr>
          <w:rFonts w:cs="David" w:hint="cs"/>
          <w:rtl/>
        </w:rPr>
        <w:t>אצל</w:t>
      </w:r>
      <w:r w:rsidR="0039660D" w:rsidRPr="00C4395C">
        <w:rPr>
          <w:rFonts w:cs="David" w:hint="cs"/>
          <w:rtl/>
        </w:rPr>
        <w:t xml:space="preserve"> הנביאים השונים </w:t>
      </w:r>
      <w:r w:rsidR="00EA6118">
        <w:rPr>
          <w:rFonts w:cs="David" w:hint="cs"/>
          <w:rtl/>
        </w:rPr>
        <w:t>כיוון</w:t>
      </w:r>
      <w:r w:rsidR="0039660D" w:rsidRPr="00C4395C">
        <w:rPr>
          <w:rFonts w:cs="David" w:hint="cs"/>
          <w:rtl/>
        </w:rPr>
        <w:t xml:space="preserve"> שהיא </w:t>
      </w:r>
      <w:r w:rsidR="00EA6118">
        <w:rPr>
          <w:rFonts w:cs="David" w:hint="cs"/>
          <w:rtl/>
        </w:rPr>
        <w:t xml:space="preserve">מושתתת על </w:t>
      </w:r>
      <w:r>
        <w:rPr>
          <w:rFonts w:cs="David" w:hint="cs"/>
          <w:rtl/>
        </w:rPr>
        <w:t>מציאות</w:t>
      </w:r>
      <w:r w:rsidR="0039660D" w:rsidRPr="00C4395C">
        <w:rPr>
          <w:rFonts w:cs="David" w:hint="cs"/>
          <w:rtl/>
        </w:rPr>
        <w:t xml:space="preserve"> שנהג</w:t>
      </w:r>
      <w:r>
        <w:rPr>
          <w:rFonts w:cs="David" w:hint="cs"/>
          <w:rtl/>
        </w:rPr>
        <w:t>ה</w:t>
      </w:r>
      <w:r w:rsidR="0039660D" w:rsidRPr="00C4395C">
        <w:rPr>
          <w:rFonts w:cs="David" w:hint="cs"/>
          <w:rtl/>
        </w:rPr>
        <w:t xml:space="preserve"> בפועל בתקופת המקרא. </w:t>
      </w:r>
      <w:r w:rsidR="00647D31">
        <w:rPr>
          <w:rFonts w:cs="David" w:hint="cs"/>
          <w:rtl/>
        </w:rPr>
        <w:t xml:space="preserve">כשם שאין התאמה בין מרכיבי הענישה בנבואות השונות ביחזקאל, כך אין התאמה בין מרכיבי תכולתה של הכוס בנבואות השונות בישעיהו השני ובירמיהו. קיומם של </w:t>
      </w:r>
      <w:r w:rsidR="002F73D3">
        <w:rPr>
          <w:rFonts w:cs="David" w:hint="cs"/>
          <w:rtl/>
        </w:rPr>
        <w:t>ה</w:t>
      </w:r>
      <w:r w:rsidR="00647D31">
        <w:rPr>
          <w:rFonts w:cs="David" w:hint="cs"/>
          <w:rtl/>
        </w:rPr>
        <w:t>הבדלים מאפיין את החוק האדג</w:t>
      </w:r>
      <w:r w:rsidR="00D87F6F">
        <w:rPr>
          <w:rFonts w:cs="David"/>
          <w:rtl/>
        </w:rPr>
        <w:t>’</w:t>
      </w:r>
      <w:r w:rsidR="00647D31">
        <w:rPr>
          <w:rFonts w:cs="David" w:hint="cs"/>
          <w:rtl/>
        </w:rPr>
        <w:t xml:space="preserve">קטיבי </w:t>
      </w:r>
      <w:r w:rsidR="002F73D3">
        <w:rPr>
          <w:rFonts w:cs="David" w:hint="cs"/>
          <w:rtl/>
        </w:rPr>
        <w:t xml:space="preserve">שבו משתקפים </w:t>
      </w:r>
      <w:r w:rsidR="00D61155">
        <w:rPr>
          <w:rFonts w:cs="David" w:hint="cs"/>
          <w:rtl/>
        </w:rPr>
        <w:t>דרכי ענישה הנוהגים</w:t>
      </w:r>
      <w:r w:rsidR="002F73D3" w:rsidRPr="00791B5B">
        <w:rPr>
          <w:rFonts w:cs="David" w:hint="cs"/>
          <w:rtl/>
        </w:rPr>
        <w:t xml:space="preserve"> במקומות שונים ובתקופות שונות.</w:t>
      </w:r>
      <w:r w:rsidR="00776E3D" w:rsidRPr="00791B5B">
        <w:rPr>
          <w:rStyle w:val="FootnoteReference"/>
          <w:rFonts w:cs="David"/>
          <w:rtl/>
        </w:rPr>
        <w:footnoteReference w:id="43"/>
      </w:r>
      <w:r w:rsidR="00647D31">
        <w:rPr>
          <w:rFonts w:cs="David" w:hint="cs"/>
          <w:rtl/>
        </w:rPr>
        <w:t xml:space="preserve"> </w:t>
      </w:r>
    </w:p>
    <w:p w:rsidR="002F0CD0" w:rsidRDefault="00221371" w:rsidP="001536F1">
      <w:pPr>
        <w:spacing w:line="360" w:lineRule="auto"/>
        <w:jc w:val="both"/>
        <w:rPr>
          <w:rFonts w:cs="David"/>
          <w:rtl/>
        </w:rPr>
      </w:pPr>
      <w:r w:rsidRPr="00AA4296">
        <w:rPr>
          <w:rFonts w:cs="David" w:hint="cs"/>
          <w:rtl/>
        </w:rPr>
        <w:t xml:space="preserve">דימוי </w:t>
      </w:r>
      <w:r>
        <w:rPr>
          <w:rFonts w:cs="David" w:hint="cs"/>
          <w:rtl/>
        </w:rPr>
        <w:t>כוס התרעלה</w:t>
      </w:r>
      <w:r w:rsidRPr="00AA4296">
        <w:rPr>
          <w:rFonts w:cs="David" w:hint="cs"/>
          <w:rtl/>
        </w:rPr>
        <w:t xml:space="preserve"> </w:t>
      </w:r>
      <w:r>
        <w:rPr>
          <w:rFonts w:cs="David" w:hint="cs"/>
          <w:rtl/>
        </w:rPr>
        <w:t xml:space="preserve">מופיע גם בספרות המזמורית. </w:t>
      </w:r>
      <w:r w:rsidR="002F0CD0">
        <w:rPr>
          <w:rFonts w:cs="David" w:hint="cs"/>
          <w:rtl/>
        </w:rPr>
        <w:t>בפרק ד</w:t>
      </w:r>
      <w:r w:rsidR="00D87F6F">
        <w:rPr>
          <w:rFonts w:cs="David"/>
          <w:rtl/>
        </w:rPr>
        <w:t>’</w:t>
      </w:r>
      <w:r w:rsidR="002F0CD0">
        <w:rPr>
          <w:rFonts w:cs="David" w:hint="cs"/>
          <w:rtl/>
        </w:rPr>
        <w:t xml:space="preserve"> באיכה מקוללת בת אדום</w:t>
      </w:r>
      <w:r w:rsidR="002F0CD0" w:rsidRPr="00520FBA">
        <w:rPr>
          <w:rFonts w:cs="David" w:hint="cs"/>
          <w:rtl/>
        </w:rPr>
        <w:t xml:space="preserve">: </w:t>
      </w:r>
      <w:r w:rsidR="00D87F6F">
        <w:rPr>
          <w:rFonts w:cs="David"/>
          <w:rtl/>
        </w:rPr>
        <w:t>“</w:t>
      </w:r>
      <w:r w:rsidR="002F0CD0" w:rsidRPr="00520FBA">
        <w:rPr>
          <w:rFonts w:cs="David" w:hint="cs"/>
          <w:rtl/>
        </w:rPr>
        <w:t>גם עליך</w:t>
      </w:r>
      <w:r w:rsidR="002F0CD0">
        <w:rPr>
          <w:rFonts w:cs="David" w:hint="cs"/>
          <w:rtl/>
        </w:rPr>
        <w:t xml:space="preserve"> תעב</w:t>
      </w:r>
      <w:r w:rsidR="001536F1">
        <w:rPr>
          <w:rFonts w:cs="David" w:hint="cs"/>
          <w:rtl/>
        </w:rPr>
        <w:t>ֹ</w:t>
      </w:r>
      <w:r w:rsidR="002F0CD0">
        <w:rPr>
          <w:rFonts w:cs="David" w:hint="cs"/>
          <w:rtl/>
        </w:rPr>
        <w:t>ר כוס תשכרי ותתערי</w:t>
      </w:r>
      <w:r w:rsidR="00D87F6F">
        <w:rPr>
          <w:rFonts w:cs="David"/>
          <w:rtl/>
        </w:rPr>
        <w:t>”</w:t>
      </w:r>
      <w:r w:rsidR="002F0CD0">
        <w:rPr>
          <w:rFonts w:cs="David" w:hint="cs"/>
          <w:rtl/>
        </w:rPr>
        <w:t xml:space="preserve"> (פס</w:t>
      </w:r>
      <w:r w:rsidR="00D87F6F">
        <w:rPr>
          <w:rFonts w:cs="David"/>
          <w:rtl/>
        </w:rPr>
        <w:t>’</w:t>
      </w:r>
      <w:r w:rsidR="002F0CD0">
        <w:rPr>
          <w:rFonts w:cs="David" w:hint="cs"/>
          <w:rtl/>
        </w:rPr>
        <w:t xml:space="preserve"> כא).</w:t>
      </w:r>
      <w:r w:rsidR="005830F3" w:rsidRPr="00791B5B">
        <w:rPr>
          <w:rStyle w:val="FootnoteReference"/>
          <w:rFonts w:cs="David"/>
          <w:rtl/>
        </w:rPr>
        <w:footnoteReference w:id="44"/>
      </w:r>
      <w:r w:rsidR="002F0CD0">
        <w:rPr>
          <w:rFonts w:cs="David" w:hint="cs"/>
          <w:rtl/>
        </w:rPr>
        <w:t xml:space="preserve"> קללה זו לא נגזרת מהתנהגותה המינית המופקרת של אדום אלא משמחתה לאידה ומחלקה בחורבנה של </w:t>
      </w:r>
      <w:r w:rsidR="00D87F6F">
        <w:rPr>
          <w:rFonts w:cs="David"/>
          <w:rtl/>
        </w:rPr>
        <w:t>“</w:t>
      </w:r>
      <w:r w:rsidR="002F0CD0">
        <w:rPr>
          <w:rFonts w:cs="David" w:hint="cs"/>
          <w:rtl/>
        </w:rPr>
        <w:t>בת ציון</w:t>
      </w:r>
      <w:r w:rsidR="00D87F6F">
        <w:rPr>
          <w:rFonts w:cs="David"/>
          <w:rtl/>
        </w:rPr>
        <w:t>”</w:t>
      </w:r>
      <w:r w:rsidR="002F0CD0">
        <w:rPr>
          <w:rFonts w:cs="David" w:hint="cs"/>
          <w:rtl/>
        </w:rPr>
        <w:t xml:space="preserve"> (פס</w:t>
      </w:r>
      <w:r w:rsidR="00D87F6F">
        <w:rPr>
          <w:rFonts w:cs="David"/>
          <w:rtl/>
        </w:rPr>
        <w:t>’</w:t>
      </w:r>
      <w:r w:rsidR="002F0CD0">
        <w:rPr>
          <w:rFonts w:cs="David" w:hint="cs"/>
          <w:rtl/>
        </w:rPr>
        <w:t xml:space="preserve"> כב). המקונן מייחל לכך שבת אדום תיענש באותו העונש שכרגע הוא מנת חלקה של בת ציון. כך משתמע בבירור מאמירתו </w:t>
      </w:r>
      <w:r w:rsidR="00D87F6F">
        <w:rPr>
          <w:rFonts w:cs="David"/>
          <w:rtl/>
        </w:rPr>
        <w:t>“</w:t>
      </w:r>
      <w:r w:rsidR="002F0CD0" w:rsidRPr="001B1548">
        <w:rPr>
          <w:rFonts w:cs="David" w:hint="cs"/>
          <w:rtl/>
        </w:rPr>
        <w:t>גם</w:t>
      </w:r>
      <w:r w:rsidR="002F0CD0">
        <w:rPr>
          <w:rFonts w:cs="David" w:hint="cs"/>
          <w:rtl/>
        </w:rPr>
        <w:t xml:space="preserve"> עליך</w:t>
      </w:r>
      <w:r w:rsidR="00D87F6F">
        <w:rPr>
          <w:rFonts w:cs="David"/>
          <w:rtl/>
        </w:rPr>
        <w:t>”</w:t>
      </w:r>
      <w:r w:rsidR="002F0CD0">
        <w:rPr>
          <w:rFonts w:cs="David" w:hint="cs"/>
          <w:rtl/>
        </w:rPr>
        <w:t xml:space="preserve"> (פס</w:t>
      </w:r>
      <w:r w:rsidR="00D87F6F">
        <w:rPr>
          <w:rFonts w:cs="David"/>
          <w:rtl/>
        </w:rPr>
        <w:t>’</w:t>
      </w:r>
      <w:r w:rsidR="002F0CD0">
        <w:rPr>
          <w:rFonts w:cs="David" w:hint="cs"/>
          <w:rtl/>
        </w:rPr>
        <w:t xml:space="preserve"> כא) ולכך ייחל כבר בפסוקים הקודמים: </w:t>
      </w:r>
      <w:r w:rsidR="00D87F6F">
        <w:rPr>
          <w:rFonts w:cs="David"/>
          <w:rtl/>
        </w:rPr>
        <w:t>“</w:t>
      </w:r>
      <w:r w:rsidR="002F0CD0">
        <w:rPr>
          <w:rFonts w:cs="David" w:hint="cs"/>
          <w:rtl/>
        </w:rPr>
        <w:t>תבא כל רעתם לפניך ועולל למו כאשר עוללת לי על כל פשעי</w:t>
      </w:r>
      <w:r w:rsidR="00D87F6F">
        <w:rPr>
          <w:rFonts w:cs="David"/>
          <w:rtl/>
        </w:rPr>
        <w:t>”</w:t>
      </w:r>
      <w:r w:rsidR="002F0CD0">
        <w:rPr>
          <w:rFonts w:cs="David" w:hint="cs"/>
          <w:rtl/>
        </w:rPr>
        <w:t xml:space="preserve"> (א, כב). המקונן מכנה את אנשי ירושלים </w:t>
      </w:r>
      <w:r w:rsidR="00D87F6F">
        <w:rPr>
          <w:rFonts w:cs="David"/>
          <w:rtl/>
        </w:rPr>
        <w:t>“</w:t>
      </w:r>
      <w:r w:rsidR="002F0CD0" w:rsidRPr="003A0F13">
        <w:rPr>
          <w:rFonts w:cs="David" w:hint="cs"/>
          <w:rtl/>
        </w:rPr>
        <w:t>בת</w:t>
      </w:r>
      <w:r w:rsidR="002F0CD0">
        <w:rPr>
          <w:rFonts w:cs="David" w:hint="cs"/>
          <w:rtl/>
        </w:rPr>
        <w:t xml:space="preserve"> עמי</w:t>
      </w:r>
      <w:r w:rsidR="00D87F6F">
        <w:rPr>
          <w:rFonts w:cs="David"/>
          <w:rtl/>
        </w:rPr>
        <w:t>”</w:t>
      </w:r>
      <w:r w:rsidR="002F0CD0">
        <w:rPr>
          <w:rFonts w:cs="David" w:hint="cs"/>
          <w:rtl/>
        </w:rPr>
        <w:t xml:space="preserve"> (פס</w:t>
      </w:r>
      <w:r w:rsidR="00D87F6F">
        <w:rPr>
          <w:rFonts w:cs="David"/>
          <w:rtl/>
        </w:rPr>
        <w:t>’</w:t>
      </w:r>
      <w:r w:rsidR="002F0CD0">
        <w:rPr>
          <w:rFonts w:cs="David" w:hint="cs"/>
          <w:rtl/>
        </w:rPr>
        <w:t xml:space="preserve"> ג, ו, י) ו</w:t>
      </w:r>
      <w:r w:rsidR="00D87F6F">
        <w:rPr>
          <w:rFonts w:cs="David"/>
          <w:rtl/>
        </w:rPr>
        <w:t>”</w:t>
      </w:r>
      <w:r w:rsidR="002F0CD0" w:rsidRPr="003A0F13">
        <w:rPr>
          <w:rFonts w:cs="David" w:hint="cs"/>
          <w:rtl/>
        </w:rPr>
        <w:t>בת</w:t>
      </w:r>
      <w:r w:rsidR="002F0CD0">
        <w:rPr>
          <w:rFonts w:cs="David" w:hint="cs"/>
          <w:rtl/>
        </w:rPr>
        <w:t xml:space="preserve"> ציון</w:t>
      </w:r>
      <w:r w:rsidR="00D87F6F">
        <w:rPr>
          <w:rFonts w:cs="David"/>
          <w:rtl/>
        </w:rPr>
        <w:t>”</w:t>
      </w:r>
      <w:r w:rsidR="002F0CD0">
        <w:rPr>
          <w:rFonts w:cs="David" w:hint="cs"/>
          <w:rtl/>
        </w:rPr>
        <w:t xml:space="preserve"> (פס</w:t>
      </w:r>
      <w:r w:rsidR="00D87F6F">
        <w:rPr>
          <w:rFonts w:cs="David"/>
          <w:rtl/>
        </w:rPr>
        <w:t>’</w:t>
      </w:r>
      <w:r w:rsidR="002F0CD0">
        <w:rPr>
          <w:rFonts w:cs="David" w:hint="cs"/>
          <w:rtl/>
        </w:rPr>
        <w:t xml:space="preserve"> כב) מכיוון שבדומה לנביאים הוא</w:t>
      </w:r>
      <w:r w:rsidR="002F0CD0" w:rsidRPr="008C1A2D">
        <w:rPr>
          <w:rFonts w:cs="David" w:hint="cs"/>
          <w:rtl/>
        </w:rPr>
        <w:t xml:space="preserve"> </w:t>
      </w:r>
      <w:r w:rsidR="002F0CD0">
        <w:rPr>
          <w:rFonts w:cs="David" w:hint="cs"/>
          <w:rtl/>
        </w:rPr>
        <w:t xml:space="preserve">מדמה את חטאיהם, כפי שהוא החל לעשות עוד בראשית המגילה (א, ב, יט), לחטאיה של אישה שאינה נאמנה לבעלה. הכינוי </w:t>
      </w:r>
      <w:r w:rsidR="00D87F6F">
        <w:rPr>
          <w:rFonts w:cs="David"/>
          <w:rtl/>
        </w:rPr>
        <w:t>“</w:t>
      </w:r>
      <w:r w:rsidR="002F0CD0" w:rsidRPr="003A0F13">
        <w:rPr>
          <w:rFonts w:cs="David" w:hint="cs"/>
          <w:rtl/>
        </w:rPr>
        <w:t>בת</w:t>
      </w:r>
      <w:r w:rsidR="002F0CD0">
        <w:rPr>
          <w:rFonts w:cs="David" w:hint="cs"/>
          <w:rtl/>
        </w:rPr>
        <w:t xml:space="preserve"> אדום</w:t>
      </w:r>
      <w:r w:rsidR="00D87F6F">
        <w:rPr>
          <w:rFonts w:cs="David"/>
          <w:rtl/>
        </w:rPr>
        <w:t>”</w:t>
      </w:r>
      <w:r w:rsidR="002F0CD0">
        <w:rPr>
          <w:rFonts w:cs="David" w:hint="cs"/>
          <w:rtl/>
        </w:rPr>
        <w:t xml:space="preserve"> (פס</w:t>
      </w:r>
      <w:r w:rsidR="00D87F6F">
        <w:rPr>
          <w:rFonts w:cs="David"/>
          <w:rtl/>
        </w:rPr>
        <w:t>’</w:t>
      </w:r>
      <w:r w:rsidR="002F0CD0">
        <w:rPr>
          <w:rFonts w:cs="David" w:hint="cs"/>
          <w:rtl/>
        </w:rPr>
        <w:t xml:space="preserve"> כא, כב) משמש ליצירת הקבלה בין שתי הממלכות.</w:t>
      </w:r>
      <w:r w:rsidR="002F0CD0" w:rsidRPr="00520FBA">
        <w:rPr>
          <w:rStyle w:val="FootnoteReference"/>
          <w:rFonts w:cs="David"/>
          <w:rtl/>
        </w:rPr>
        <w:footnoteReference w:id="45"/>
      </w:r>
      <w:r w:rsidR="002F0CD0">
        <w:rPr>
          <w:rFonts w:cs="David" w:hint="cs"/>
          <w:rtl/>
        </w:rPr>
        <w:t xml:space="preserve"> </w:t>
      </w:r>
      <w:r w:rsidR="002F0CD0" w:rsidRPr="004345AD">
        <w:rPr>
          <w:rFonts w:cs="David" w:hint="cs"/>
          <w:rtl/>
        </w:rPr>
        <w:t>מהקבלת הממלכות</w:t>
      </w:r>
      <w:r w:rsidR="002F0CD0">
        <w:rPr>
          <w:rFonts w:cs="David" w:hint="cs"/>
          <w:rtl/>
        </w:rPr>
        <w:t xml:space="preserve"> מתברר כי את תיאור עונשה של בת ציון שאינה נאמנה לבעלה: </w:t>
      </w:r>
      <w:r w:rsidR="00D87F6F">
        <w:rPr>
          <w:rFonts w:cs="David"/>
          <w:rtl/>
        </w:rPr>
        <w:t>“</w:t>
      </w:r>
      <w:r w:rsidR="002F0CD0">
        <w:rPr>
          <w:rFonts w:cs="David" w:hint="cs"/>
          <w:rtl/>
        </w:rPr>
        <w:t>כילה ה</w:t>
      </w:r>
      <w:r w:rsidR="00D87F6F">
        <w:rPr>
          <w:rFonts w:cs="David"/>
          <w:rtl/>
        </w:rPr>
        <w:t>’</w:t>
      </w:r>
      <w:r w:rsidR="002F0CD0">
        <w:rPr>
          <w:rFonts w:cs="David" w:hint="cs"/>
          <w:rtl/>
        </w:rPr>
        <w:t xml:space="preserve"> את </w:t>
      </w:r>
      <w:r w:rsidR="002F0CD0" w:rsidRPr="003A0F13">
        <w:rPr>
          <w:rFonts w:cs="David" w:hint="cs"/>
          <w:b/>
          <w:bCs/>
          <w:rtl/>
        </w:rPr>
        <w:t>חמתו</w:t>
      </w:r>
      <w:r w:rsidR="002F0CD0" w:rsidRPr="009828EA">
        <w:rPr>
          <w:rFonts w:cs="David" w:hint="cs"/>
          <w:rtl/>
        </w:rPr>
        <w:t xml:space="preserve"> </w:t>
      </w:r>
      <w:r w:rsidR="002F0CD0" w:rsidRPr="00D22BD1">
        <w:rPr>
          <w:rFonts w:cs="David" w:hint="cs"/>
          <w:b/>
          <w:bCs/>
          <w:rtl/>
        </w:rPr>
        <w:t>שפך</w:t>
      </w:r>
      <w:r w:rsidR="002F0CD0">
        <w:rPr>
          <w:rFonts w:cs="David" w:hint="cs"/>
          <w:rtl/>
        </w:rPr>
        <w:t xml:space="preserve"> חרון אפו</w:t>
      </w:r>
      <w:r w:rsidR="00D87F6F">
        <w:rPr>
          <w:rFonts w:cs="David"/>
          <w:rtl/>
        </w:rPr>
        <w:t>”</w:t>
      </w:r>
      <w:r w:rsidR="002F0CD0">
        <w:rPr>
          <w:rFonts w:cs="David" w:hint="cs"/>
          <w:rtl/>
        </w:rPr>
        <w:t xml:space="preserve"> (פס</w:t>
      </w:r>
      <w:r w:rsidR="00D87F6F">
        <w:rPr>
          <w:rFonts w:cs="David"/>
          <w:rtl/>
        </w:rPr>
        <w:t>’</w:t>
      </w:r>
      <w:r w:rsidR="002F0CD0">
        <w:rPr>
          <w:rFonts w:cs="David" w:hint="cs"/>
          <w:rtl/>
        </w:rPr>
        <w:t xml:space="preserve"> יא) יש להבין כביטוי לשתיית כוס החמה, שכן עונש זה תואם את ציפייתו של המקונן כי בעתיד </w:t>
      </w:r>
      <w:r w:rsidR="00D87F6F">
        <w:rPr>
          <w:rFonts w:cs="David"/>
          <w:rtl/>
        </w:rPr>
        <w:t>“</w:t>
      </w:r>
      <w:r w:rsidR="002F0CD0" w:rsidRPr="00520FBA">
        <w:rPr>
          <w:rFonts w:cs="David" w:hint="cs"/>
          <w:rtl/>
        </w:rPr>
        <w:t>גם עליך</w:t>
      </w:r>
      <w:r w:rsidR="002F0CD0">
        <w:rPr>
          <w:rFonts w:cs="David" w:hint="cs"/>
          <w:rtl/>
        </w:rPr>
        <w:t xml:space="preserve"> (אדום) </w:t>
      </w:r>
      <w:r w:rsidR="002F0CD0" w:rsidRPr="0096545D">
        <w:rPr>
          <w:rFonts w:cs="David" w:hint="cs"/>
          <w:b/>
          <w:bCs/>
          <w:rtl/>
        </w:rPr>
        <w:t>תעבר כוס</w:t>
      </w:r>
      <w:r w:rsidR="00D87F6F">
        <w:rPr>
          <w:rFonts w:cs="David"/>
          <w:rtl/>
        </w:rPr>
        <w:t>”</w:t>
      </w:r>
      <w:r w:rsidR="002F0CD0">
        <w:rPr>
          <w:rFonts w:cs="David" w:hint="cs"/>
          <w:rtl/>
        </w:rPr>
        <w:t xml:space="preserve"> (פס</w:t>
      </w:r>
      <w:r w:rsidR="00D87F6F">
        <w:rPr>
          <w:rFonts w:cs="David"/>
          <w:rtl/>
        </w:rPr>
        <w:t>’</w:t>
      </w:r>
      <w:r w:rsidR="002F0CD0">
        <w:rPr>
          <w:rFonts w:cs="David" w:hint="cs"/>
          <w:rtl/>
        </w:rPr>
        <w:t xml:space="preserve"> כא). רעיון חילופי התפקידים, במסגרתו תועבר הכוס מהמושקה אל המשקה, חוזר בכמה כתובים נוספים: </w:t>
      </w:r>
      <w:r w:rsidR="00D87F6F">
        <w:rPr>
          <w:rFonts w:cs="David"/>
          <w:rtl/>
        </w:rPr>
        <w:t>“</w:t>
      </w:r>
      <w:r w:rsidR="002F0CD0">
        <w:rPr>
          <w:rFonts w:cs="David" w:hint="cs"/>
          <w:rtl/>
        </w:rPr>
        <w:t>הנה לקחתי מידך את כוס התרעלה... ושמתיה ביד מוגיך</w:t>
      </w:r>
      <w:r w:rsidR="00D87F6F">
        <w:rPr>
          <w:rFonts w:cs="David"/>
          <w:rtl/>
        </w:rPr>
        <w:t>”</w:t>
      </w:r>
      <w:r w:rsidR="002F0CD0">
        <w:rPr>
          <w:rFonts w:cs="David" w:hint="cs"/>
          <w:rtl/>
        </w:rPr>
        <w:t xml:space="preserve"> (יש</w:t>
      </w:r>
      <w:r w:rsidR="00D87F6F">
        <w:rPr>
          <w:rFonts w:cs="David"/>
          <w:rtl/>
        </w:rPr>
        <w:t>’</w:t>
      </w:r>
      <w:r w:rsidR="002F0CD0">
        <w:rPr>
          <w:rFonts w:cs="David" w:hint="cs"/>
          <w:rtl/>
        </w:rPr>
        <w:t xml:space="preserve"> נא, כב-כג); </w:t>
      </w:r>
      <w:r w:rsidR="00D87F6F">
        <w:rPr>
          <w:rFonts w:cs="David"/>
          <w:rtl/>
        </w:rPr>
        <w:t>“</w:t>
      </w:r>
      <w:r w:rsidR="002F0CD0">
        <w:rPr>
          <w:rFonts w:cs="David" w:hint="cs"/>
          <w:rtl/>
        </w:rPr>
        <w:t>הוי משקה רעהו... שתה גם אתה והערל תסוב עליך</w:t>
      </w:r>
      <w:r w:rsidR="00D87F6F">
        <w:rPr>
          <w:rFonts w:cs="David"/>
          <w:rtl/>
        </w:rPr>
        <w:t>”</w:t>
      </w:r>
      <w:r w:rsidR="002F0CD0">
        <w:rPr>
          <w:rFonts w:cs="David" w:hint="cs"/>
          <w:rtl/>
        </w:rPr>
        <w:t xml:space="preserve"> (חב</w:t>
      </w:r>
      <w:r w:rsidR="00D87F6F">
        <w:rPr>
          <w:rFonts w:cs="David"/>
          <w:rtl/>
        </w:rPr>
        <w:t>’</w:t>
      </w:r>
      <w:r w:rsidR="002F0CD0">
        <w:rPr>
          <w:rFonts w:cs="David" w:hint="cs"/>
          <w:rtl/>
        </w:rPr>
        <w:t xml:space="preserve"> ב, טו-טז).</w:t>
      </w:r>
      <w:r w:rsidR="00EB73A5" w:rsidRPr="00520FBA">
        <w:rPr>
          <w:rStyle w:val="FootnoteReference"/>
          <w:rFonts w:cs="David"/>
          <w:rtl/>
        </w:rPr>
        <w:footnoteReference w:id="46"/>
      </w:r>
      <w:r w:rsidR="002F0CD0">
        <w:rPr>
          <w:rFonts w:cs="David" w:hint="cs"/>
          <w:rtl/>
        </w:rPr>
        <w:t xml:space="preserve"> </w:t>
      </w:r>
      <w:r w:rsidR="001536F1">
        <w:rPr>
          <w:rFonts w:cs="David" w:hint="cs"/>
          <w:rtl/>
        </w:rPr>
        <w:t>גם ב</w:t>
      </w:r>
      <w:r w:rsidR="001536F1" w:rsidRPr="00AE1791">
        <w:rPr>
          <w:rFonts w:cs="David" w:hint="cs"/>
          <w:rtl/>
        </w:rPr>
        <w:t>תהלים</w:t>
      </w:r>
      <w:r w:rsidR="00EB73A5">
        <w:rPr>
          <w:rFonts w:cs="David" w:hint="cs"/>
          <w:rtl/>
        </w:rPr>
        <w:t>, כמו באיכה,</w:t>
      </w:r>
      <w:r w:rsidR="001536F1" w:rsidRPr="00AE1791">
        <w:rPr>
          <w:rFonts w:cs="David" w:hint="cs"/>
          <w:rtl/>
        </w:rPr>
        <w:t xml:space="preserve"> </w:t>
      </w:r>
      <w:r w:rsidR="001536F1">
        <w:rPr>
          <w:rFonts w:cs="David" w:hint="cs"/>
          <w:rtl/>
        </w:rPr>
        <w:t>נעשה שימוש בדימוי לתיאור תבוסתם של ישראל</w:t>
      </w:r>
      <w:r w:rsidR="001536F1" w:rsidRPr="00D00154">
        <w:rPr>
          <w:rFonts w:cs="David" w:hint="cs"/>
          <w:rtl/>
        </w:rPr>
        <w:t xml:space="preserve">: </w:t>
      </w:r>
      <w:r w:rsidR="00D87F6F">
        <w:rPr>
          <w:rFonts w:cs="David"/>
          <w:rtl/>
        </w:rPr>
        <w:t>“</w:t>
      </w:r>
      <w:r w:rsidR="001536F1" w:rsidRPr="00D00154">
        <w:rPr>
          <w:rFonts w:cs="David" w:hint="cs"/>
          <w:rtl/>
        </w:rPr>
        <w:t>הראית</w:t>
      </w:r>
      <w:r w:rsidR="001536F1">
        <w:rPr>
          <w:rFonts w:cs="David" w:hint="cs"/>
          <w:rtl/>
        </w:rPr>
        <w:t xml:space="preserve"> עמך קשה </w:t>
      </w:r>
      <w:r w:rsidR="001536F1" w:rsidRPr="00A90676">
        <w:rPr>
          <w:rFonts w:cs="David" w:hint="cs"/>
          <w:rtl/>
        </w:rPr>
        <w:t>השקיתנו יין תרעלה</w:t>
      </w:r>
      <w:r w:rsidR="00D87F6F">
        <w:rPr>
          <w:rFonts w:cs="David"/>
          <w:rtl/>
        </w:rPr>
        <w:t>”</w:t>
      </w:r>
      <w:r w:rsidR="001536F1" w:rsidRPr="00A90676">
        <w:rPr>
          <w:rFonts w:cs="David" w:hint="cs"/>
          <w:rtl/>
        </w:rPr>
        <w:t xml:space="preserve"> (ס, ה</w:t>
      </w:r>
      <w:r w:rsidR="001536F1" w:rsidRPr="00DA5A07">
        <w:rPr>
          <w:rFonts w:cs="David" w:hint="cs"/>
          <w:rtl/>
        </w:rPr>
        <w:t>).</w:t>
      </w:r>
      <w:r w:rsidR="001536F1" w:rsidRPr="00520FBA">
        <w:rPr>
          <w:rStyle w:val="FootnoteReference"/>
          <w:rFonts w:cs="David"/>
          <w:rtl/>
        </w:rPr>
        <w:footnoteReference w:id="47"/>
      </w:r>
      <w:r w:rsidR="00D87F6F">
        <w:rPr>
          <w:rFonts w:cs="David" w:hint="cs"/>
          <w:rtl/>
        </w:rPr>
        <w:t xml:space="preserve"> </w:t>
      </w:r>
    </w:p>
    <w:p w:rsidR="00374B3A" w:rsidRDefault="00FE0F4C" w:rsidP="00EB73A5">
      <w:pPr>
        <w:spacing w:line="360" w:lineRule="auto"/>
        <w:jc w:val="both"/>
        <w:rPr>
          <w:rFonts w:cs="David"/>
          <w:rtl/>
        </w:rPr>
      </w:pPr>
      <w:r>
        <w:rPr>
          <w:rFonts w:cs="David" w:hint="cs"/>
          <w:rtl/>
        </w:rPr>
        <w:t>בספרות החוכמה</w:t>
      </w:r>
      <w:r w:rsidR="00791B5B">
        <w:rPr>
          <w:rFonts w:cs="David" w:hint="cs"/>
          <w:rtl/>
        </w:rPr>
        <w:t xml:space="preserve"> אין ביטוי מפורש לכוס התרעלה, אבל יתכן</w:t>
      </w:r>
      <w:r>
        <w:rPr>
          <w:rFonts w:cs="David" w:hint="cs"/>
          <w:rtl/>
        </w:rPr>
        <w:t xml:space="preserve"> </w:t>
      </w:r>
      <w:r w:rsidR="00791B5B">
        <w:rPr>
          <w:rFonts w:cs="David" w:hint="cs"/>
          <w:rtl/>
        </w:rPr>
        <w:t>שישנם רמזים לדימוי זה</w:t>
      </w:r>
      <w:r>
        <w:rPr>
          <w:rFonts w:cs="David" w:hint="cs"/>
          <w:rtl/>
        </w:rPr>
        <w:t>.</w:t>
      </w:r>
      <w:r w:rsidR="00374B3A">
        <w:rPr>
          <w:rFonts w:cs="David" w:hint="cs"/>
          <w:rtl/>
        </w:rPr>
        <w:t xml:space="preserve"> כמה פעמים בספר משלי נקרא הבן להיזהר מהאישה הזרה </w:t>
      </w:r>
      <w:r w:rsidR="00D87F6F">
        <w:rPr>
          <w:rFonts w:cs="David"/>
          <w:rtl/>
        </w:rPr>
        <w:t>“</w:t>
      </w:r>
      <w:r w:rsidR="00374B3A">
        <w:rPr>
          <w:rFonts w:cs="David" w:hint="cs"/>
          <w:rtl/>
        </w:rPr>
        <w:t>העֹזבת אלוף נעוריה ואת ברית אלהיה שכחה</w:t>
      </w:r>
      <w:r w:rsidR="00D87F6F">
        <w:rPr>
          <w:rFonts w:cs="David"/>
          <w:rtl/>
        </w:rPr>
        <w:t>”</w:t>
      </w:r>
      <w:r w:rsidR="00374B3A">
        <w:rPr>
          <w:rFonts w:cs="David" w:hint="cs"/>
          <w:rtl/>
        </w:rPr>
        <w:t xml:space="preserve"> (ב, יז). באחת ההזהרות מפני אישה זו, </w:t>
      </w:r>
      <w:r w:rsidR="00374B3A" w:rsidRPr="00EB4765">
        <w:rPr>
          <w:rFonts w:cs="David" w:hint="cs"/>
          <w:rtl/>
        </w:rPr>
        <w:t>ה</w:t>
      </w:r>
      <w:r w:rsidR="00374B3A">
        <w:rPr>
          <w:rFonts w:cs="David" w:hint="cs"/>
          <w:rtl/>
        </w:rPr>
        <w:t>אורבת לפתותו,</w:t>
      </w:r>
      <w:r w:rsidR="00374B3A" w:rsidRPr="00EB4765">
        <w:rPr>
          <w:rFonts w:cs="David" w:hint="cs"/>
          <w:rtl/>
        </w:rPr>
        <w:t xml:space="preserve"> נאמר: </w:t>
      </w:r>
      <w:r w:rsidR="00D87F6F">
        <w:rPr>
          <w:rFonts w:cs="David"/>
          <w:rtl/>
        </w:rPr>
        <w:t>“</w:t>
      </w:r>
      <w:r w:rsidR="00374B3A" w:rsidRPr="00EB4765">
        <w:rPr>
          <w:rFonts w:cs="David" w:hint="cs"/>
          <w:rtl/>
        </w:rPr>
        <w:t>ואחריתה מרה כלענה</w:t>
      </w:r>
      <w:r w:rsidR="00D87F6F">
        <w:rPr>
          <w:rFonts w:cs="David"/>
          <w:rtl/>
        </w:rPr>
        <w:t>”</w:t>
      </w:r>
      <w:r w:rsidR="00374B3A" w:rsidRPr="00EB4765">
        <w:rPr>
          <w:rFonts w:cs="David" w:hint="cs"/>
          <w:rtl/>
        </w:rPr>
        <w:t xml:space="preserve"> (ה, </w:t>
      </w:r>
      <w:r w:rsidR="00374B3A">
        <w:rPr>
          <w:rFonts w:cs="David" w:hint="cs"/>
          <w:rtl/>
        </w:rPr>
        <w:t xml:space="preserve">ד). גם אם </w:t>
      </w:r>
      <w:r w:rsidR="00374B3A" w:rsidRPr="00EB4765">
        <w:rPr>
          <w:rFonts w:cs="David" w:hint="cs"/>
          <w:rtl/>
        </w:rPr>
        <w:t>אין המדו</w:t>
      </w:r>
      <w:r w:rsidR="00374B3A">
        <w:rPr>
          <w:rFonts w:cs="David" w:hint="cs"/>
          <w:rtl/>
        </w:rPr>
        <w:t>בר בסופה של האישה אלא בסוף מעשיה</w:t>
      </w:r>
      <w:r w:rsidR="00374B3A" w:rsidRPr="00EB4765">
        <w:rPr>
          <w:rFonts w:cs="David" w:hint="cs"/>
          <w:rtl/>
        </w:rPr>
        <w:t xml:space="preserve"> כפי </w:t>
      </w:r>
      <w:r w:rsidR="00374B3A">
        <w:rPr>
          <w:rFonts w:cs="David" w:hint="cs"/>
          <w:rtl/>
        </w:rPr>
        <w:t>שנהוג לטעון</w:t>
      </w:r>
      <w:r w:rsidR="00374B3A" w:rsidRPr="00EB4765">
        <w:rPr>
          <w:rFonts w:cs="David" w:hint="cs"/>
          <w:rtl/>
        </w:rPr>
        <w:t>,</w:t>
      </w:r>
      <w:r w:rsidR="00374B3A" w:rsidRPr="00EB4765">
        <w:rPr>
          <w:rStyle w:val="FootnoteReference"/>
          <w:rFonts w:cs="David"/>
          <w:rtl/>
        </w:rPr>
        <w:footnoteReference w:id="48"/>
      </w:r>
      <w:r w:rsidR="00374B3A" w:rsidRPr="00EB4765">
        <w:rPr>
          <w:rFonts w:cs="David" w:hint="cs"/>
          <w:rtl/>
        </w:rPr>
        <w:t xml:space="preserve"> </w:t>
      </w:r>
      <w:r w:rsidR="00374B3A">
        <w:rPr>
          <w:rFonts w:cs="David" w:hint="cs"/>
          <w:rtl/>
        </w:rPr>
        <w:t>בהחלט מסתבר</w:t>
      </w:r>
      <w:r w:rsidR="00374B3A" w:rsidRPr="00EB4765">
        <w:rPr>
          <w:rFonts w:cs="David" w:hint="cs"/>
          <w:rtl/>
        </w:rPr>
        <w:t xml:space="preserve"> </w:t>
      </w:r>
      <w:r w:rsidR="00374B3A">
        <w:rPr>
          <w:rFonts w:cs="David" w:hint="cs"/>
          <w:rtl/>
        </w:rPr>
        <w:t>ש</w:t>
      </w:r>
      <w:r w:rsidR="00374B3A" w:rsidRPr="00EB4765">
        <w:rPr>
          <w:rFonts w:cs="David" w:hint="cs"/>
          <w:rtl/>
        </w:rPr>
        <w:t xml:space="preserve">הבחירה </w:t>
      </w:r>
      <w:r w:rsidR="00374B3A">
        <w:rPr>
          <w:rFonts w:cs="David" w:hint="cs"/>
          <w:rtl/>
        </w:rPr>
        <w:t>בדימוי זה</w:t>
      </w:r>
      <w:r w:rsidR="00374B3A" w:rsidRPr="00EB4765">
        <w:rPr>
          <w:rFonts w:cs="David" w:hint="cs"/>
          <w:rtl/>
        </w:rPr>
        <w:t xml:space="preserve"> </w:t>
      </w:r>
      <w:r w:rsidR="00374B3A">
        <w:rPr>
          <w:rFonts w:cs="David" w:hint="cs"/>
          <w:rtl/>
        </w:rPr>
        <w:t>אינה מקרית והיא</w:t>
      </w:r>
      <w:r w:rsidR="00374B3A" w:rsidRPr="00EB4765">
        <w:rPr>
          <w:rFonts w:cs="David" w:hint="cs"/>
          <w:rtl/>
        </w:rPr>
        <w:t xml:space="preserve"> </w:t>
      </w:r>
      <w:r w:rsidR="00374B3A">
        <w:rPr>
          <w:rFonts w:cs="David" w:hint="cs"/>
          <w:rtl/>
        </w:rPr>
        <w:t xml:space="preserve">נסמכת על </w:t>
      </w:r>
      <w:r w:rsidR="003551F4">
        <w:rPr>
          <w:rFonts w:cs="David" w:hint="cs"/>
          <w:rtl/>
        </w:rPr>
        <w:t>עונש</w:t>
      </w:r>
      <w:r w:rsidR="00374B3A">
        <w:rPr>
          <w:rFonts w:cs="David" w:hint="cs"/>
          <w:rtl/>
        </w:rPr>
        <w:t xml:space="preserve"> ההשקיה</w:t>
      </w:r>
      <w:r w:rsidR="00374B3A" w:rsidRPr="00EB4765">
        <w:rPr>
          <w:rFonts w:cs="David" w:hint="cs"/>
          <w:rtl/>
        </w:rPr>
        <w:t>.</w:t>
      </w:r>
      <w:r w:rsidR="00374B3A">
        <w:rPr>
          <w:rStyle w:val="FootnoteReference"/>
          <w:rFonts w:cs="David"/>
          <w:rtl/>
        </w:rPr>
        <w:footnoteReference w:id="49"/>
      </w:r>
      <w:r w:rsidR="00374B3A" w:rsidRPr="00EB4765">
        <w:rPr>
          <w:rFonts w:cs="David" w:hint="cs"/>
          <w:rtl/>
        </w:rPr>
        <w:t xml:space="preserve"> </w:t>
      </w:r>
      <w:r w:rsidR="00374B3A">
        <w:rPr>
          <w:rFonts w:cs="David" w:hint="cs"/>
          <w:rtl/>
        </w:rPr>
        <w:t xml:space="preserve">מניסוחה של אזהרה זו ניתן </w:t>
      </w:r>
      <w:r w:rsidR="00374B3A">
        <w:rPr>
          <w:rFonts w:cs="David" w:hint="cs"/>
          <w:rtl/>
        </w:rPr>
        <w:lastRenderedPageBreak/>
        <w:t xml:space="preserve">לעמוד על עיקרון </w:t>
      </w:r>
      <w:r w:rsidR="00D87F6F">
        <w:rPr>
          <w:rFonts w:cs="David"/>
          <w:rtl/>
        </w:rPr>
        <w:t>“</w:t>
      </w:r>
      <w:r w:rsidR="00374B3A">
        <w:rPr>
          <w:rFonts w:cs="David" w:hint="cs"/>
          <w:rtl/>
        </w:rPr>
        <w:t>מידה כנגד מידה</w:t>
      </w:r>
      <w:r w:rsidR="00D87F6F">
        <w:rPr>
          <w:rFonts w:cs="David"/>
          <w:rtl/>
        </w:rPr>
        <w:t>”</w:t>
      </w:r>
      <w:r w:rsidR="00374B3A">
        <w:rPr>
          <w:rFonts w:cs="David" w:hint="cs"/>
          <w:rtl/>
        </w:rPr>
        <w:t xml:space="preserve"> שעשוי לעמוד ברקע ה</w:t>
      </w:r>
      <w:r w:rsidR="003551F4">
        <w:rPr>
          <w:rFonts w:cs="David" w:hint="cs"/>
          <w:rtl/>
        </w:rPr>
        <w:t>עונש</w:t>
      </w:r>
      <w:r w:rsidR="00374B3A">
        <w:rPr>
          <w:rFonts w:cs="David" w:hint="cs"/>
          <w:rtl/>
        </w:rPr>
        <w:t>. האישה ש</w:t>
      </w:r>
      <w:r w:rsidR="00D87F6F">
        <w:rPr>
          <w:rFonts w:cs="David"/>
          <w:rtl/>
        </w:rPr>
        <w:t>”</w:t>
      </w:r>
      <w:r w:rsidR="00374B3A">
        <w:rPr>
          <w:rFonts w:cs="David" w:hint="cs"/>
          <w:rtl/>
        </w:rPr>
        <w:t>נפת תטפנה</w:t>
      </w:r>
      <w:r w:rsidR="00D87F6F">
        <w:rPr>
          <w:rFonts w:cs="David"/>
          <w:rtl/>
        </w:rPr>
        <w:t>”</w:t>
      </w:r>
      <w:r w:rsidR="00374B3A">
        <w:rPr>
          <w:rFonts w:cs="David" w:hint="cs"/>
          <w:rtl/>
        </w:rPr>
        <w:t xml:space="preserve"> שפתיה ו</w:t>
      </w:r>
      <w:r w:rsidR="00D87F6F">
        <w:rPr>
          <w:rFonts w:cs="David"/>
          <w:rtl/>
        </w:rPr>
        <w:t>”</w:t>
      </w:r>
      <w:r w:rsidR="00374B3A">
        <w:rPr>
          <w:rFonts w:cs="David" w:hint="cs"/>
          <w:rtl/>
        </w:rPr>
        <w:t>חלק משמן חיכה</w:t>
      </w:r>
      <w:r w:rsidR="00D87F6F">
        <w:rPr>
          <w:rFonts w:cs="David"/>
          <w:rtl/>
        </w:rPr>
        <w:t>”</w:t>
      </w:r>
      <w:r w:rsidR="00374B3A">
        <w:rPr>
          <w:rFonts w:cs="David" w:hint="cs"/>
          <w:rtl/>
        </w:rPr>
        <w:t xml:space="preserve"> (שם, ג) בשעה שהיא פועלת לפתות את הבן, נדרשת באחריתה לשתות דרך אותם שפתיים וחך את המים המרים.</w:t>
      </w:r>
      <w:r w:rsidR="00374B3A">
        <w:rPr>
          <w:rStyle w:val="FootnoteReference"/>
          <w:rFonts w:cs="David"/>
          <w:rtl/>
        </w:rPr>
        <w:footnoteReference w:id="50"/>
      </w:r>
      <w:r w:rsidR="00374B3A">
        <w:rPr>
          <w:rFonts w:cs="David" w:hint="cs"/>
          <w:rtl/>
        </w:rPr>
        <w:t xml:space="preserve"> במשלי ט</w:t>
      </w:r>
      <w:r w:rsidR="00D87F6F">
        <w:rPr>
          <w:rFonts w:cs="David"/>
          <w:rtl/>
        </w:rPr>
        <w:t>’</w:t>
      </w:r>
      <w:r w:rsidR="00374B3A">
        <w:rPr>
          <w:rFonts w:cs="David" w:hint="cs"/>
          <w:rtl/>
        </w:rPr>
        <w:t xml:space="preserve"> ממשילה אשת כסילות בפני עוברי הדרך את העונג הטמון בחטא במילים: </w:t>
      </w:r>
      <w:r w:rsidR="00D87F6F">
        <w:rPr>
          <w:rFonts w:cs="David"/>
          <w:rtl/>
        </w:rPr>
        <w:t>“</w:t>
      </w:r>
      <w:r w:rsidR="00374B3A" w:rsidRPr="00CF2D71">
        <w:rPr>
          <w:rFonts w:cs="David" w:hint="cs"/>
          <w:rtl/>
        </w:rPr>
        <w:t>מים גנובים ימתקו</w:t>
      </w:r>
      <w:r w:rsidR="00D87F6F">
        <w:rPr>
          <w:rFonts w:cs="David"/>
          <w:rtl/>
        </w:rPr>
        <w:t>”</w:t>
      </w:r>
      <w:r w:rsidR="00374B3A" w:rsidRPr="00CF2D71">
        <w:rPr>
          <w:rFonts w:cs="David" w:hint="cs"/>
          <w:rtl/>
        </w:rPr>
        <w:t xml:space="preserve"> (</w:t>
      </w:r>
      <w:r w:rsidR="00374B3A">
        <w:rPr>
          <w:rFonts w:cs="David" w:hint="cs"/>
          <w:rtl/>
        </w:rPr>
        <w:t>מש</w:t>
      </w:r>
      <w:r w:rsidR="00D87F6F">
        <w:rPr>
          <w:rFonts w:cs="David"/>
          <w:rtl/>
        </w:rPr>
        <w:t>’</w:t>
      </w:r>
      <w:r w:rsidR="00374B3A" w:rsidRPr="00CF2D71">
        <w:rPr>
          <w:rFonts w:cs="David" w:hint="cs"/>
          <w:rtl/>
        </w:rPr>
        <w:t xml:space="preserve"> ט, יז)</w:t>
      </w:r>
      <w:r w:rsidR="00374B3A">
        <w:rPr>
          <w:rFonts w:cs="David" w:hint="cs"/>
          <w:rtl/>
        </w:rPr>
        <w:t xml:space="preserve">. בחירתה בדימוי המים המתוקים, שהם היפוכם של המים המרים </w:t>
      </w:r>
      <w:r w:rsidR="00B61E27">
        <w:rPr>
          <w:rFonts w:cs="David" w:hint="cs"/>
          <w:rtl/>
        </w:rPr>
        <w:t>כפי שעולה מסיפור מרה (שמ</w:t>
      </w:r>
      <w:r w:rsidR="00D87F6F">
        <w:rPr>
          <w:rFonts w:cs="David"/>
          <w:rtl/>
        </w:rPr>
        <w:t>’</w:t>
      </w:r>
      <w:r w:rsidR="00B61E27">
        <w:rPr>
          <w:rFonts w:cs="David" w:hint="cs"/>
          <w:rtl/>
        </w:rPr>
        <w:t xml:space="preserve"> </w:t>
      </w:r>
      <w:r w:rsidR="00EB6E50">
        <w:rPr>
          <w:rFonts w:cs="David" w:hint="cs"/>
          <w:rtl/>
        </w:rPr>
        <w:t>טו, כב-כו)</w:t>
      </w:r>
      <w:r w:rsidR="00374B3A">
        <w:rPr>
          <w:rFonts w:cs="David" w:hint="cs"/>
          <w:rtl/>
        </w:rPr>
        <w:t>, עשויה אף היא ללמד על העונש הצפוי לה באם תיתפס.</w:t>
      </w:r>
      <w:r w:rsidR="00EB73A5" w:rsidRPr="00EB4765">
        <w:rPr>
          <w:rStyle w:val="FootnoteReference"/>
          <w:rFonts w:cs="David"/>
          <w:rtl/>
        </w:rPr>
        <w:footnoteReference w:id="51"/>
      </w:r>
      <w:r w:rsidR="00374B3A">
        <w:rPr>
          <w:rFonts w:cs="David" w:hint="cs"/>
          <w:rtl/>
        </w:rPr>
        <w:t xml:space="preserve"> </w:t>
      </w:r>
    </w:p>
    <w:p w:rsidR="0020420F" w:rsidRDefault="00AB19CA" w:rsidP="001536F1">
      <w:pPr>
        <w:spacing w:line="360" w:lineRule="auto"/>
        <w:jc w:val="both"/>
        <w:rPr>
          <w:rFonts w:cs="David"/>
          <w:rtl/>
        </w:rPr>
      </w:pPr>
      <w:r>
        <w:rPr>
          <w:rFonts w:cs="David" w:hint="cs"/>
          <w:rtl/>
        </w:rPr>
        <w:t>עד כאן</w:t>
      </w:r>
      <w:r w:rsidR="0020420F" w:rsidRPr="00DA5A07">
        <w:rPr>
          <w:rFonts w:cs="David" w:hint="cs"/>
          <w:rtl/>
        </w:rPr>
        <w:t xml:space="preserve"> </w:t>
      </w:r>
      <w:r w:rsidR="00455B7A">
        <w:rPr>
          <w:rFonts w:cs="David" w:hint="cs"/>
          <w:rtl/>
        </w:rPr>
        <w:t>דנתי</w:t>
      </w:r>
      <w:r w:rsidR="00DA5A07" w:rsidRPr="00DA5A07">
        <w:rPr>
          <w:rFonts w:cs="David" w:hint="cs"/>
          <w:rtl/>
        </w:rPr>
        <w:t xml:space="preserve"> </w:t>
      </w:r>
      <w:r>
        <w:rPr>
          <w:rFonts w:cs="David" w:hint="cs"/>
          <w:rtl/>
        </w:rPr>
        <w:t>ב</w:t>
      </w:r>
      <w:r w:rsidR="0020420F" w:rsidRPr="00DA5A07">
        <w:rPr>
          <w:rFonts w:cs="David" w:hint="cs"/>
          <w:rtl/>
        </w:rPr>
        <w:t>השקייתן של ממלכות יהודה וישראל</w:t>
      </w:r>
      <w:r>
        <w:rPr>
          <w:rFonts w:cs="David" w:hint="cs"/>
          <w:rtl/>
        </w:rPr>
        <w:t xml:space="preserve"> ו</w:t>
      </w:r>
      <w:r w:rsidR="00455B7A">
        <w:rPr>
          <w:rFonts w:cs="David" w:hint="cs"/>
          <w:rtl/>
        </w:rPr>
        <w:t xml:space="preserve">הצבעתי על </w:t>
      </w:r>
      <w:r>
        <w:rPr>
          <w:rFonts w:cs="David" w:hint="cs"/>
          <w:rtl/>
        </w:rPr>
        <w:t>רמזים להשקייתה של האישה הזרה</w:t>
      </w:r>
      <w:r w:rsidR="00455B7A">
        <w:rPr>
          <w:rFonts w:cs="David" w:hint="cs"/>
          <w:rtl/>
        </w:rPr>
        <w:t>.</w:t>
      </w:r>
      <w:r>
        <w:rPr>
          <w:rFonts w:cs="David" w:hint="cs"/>
          <w:rtl/>
        </w:rPr>
        <w:t xml:space="preserve"> </w:t>
      </w:r>
      <w:r w:rsidR="00455B7A">
        <w:rPr>
          <w:rFonts w:cs="David" w:hint="cs"/>
          <w:rtl/>
        </w:rPr>
        <w:t xml:space="preserve">נשים </w:t>
      </w:r>
      <w:r w:rsidR="00E776FE">
        <w:rPr>
          <w:rFonts w:cs="David" w:hint="cs"/>
          <w:rtl/>
        </w:rPr>
        <w:t xml:space="preserve">נואפות </w:t>
      </w:r>
      <w:r w:rsidR="00455B7A">
        <w:rPr>
          <w:rFonts w:cs="David" w:hint="cs"/>
          <w:rtl/>
        </w:rPr>
        <w:t>אלו</w:t>
      </w:r>
      <w:r w:rsidR="002668FD">
        <w:rPr>
          <w:rFonts w:cs="David" w:hint="cs"/>
          <w:rtl/>
        </w:rPr>
        <w:t xml:space="preserve"> נענשות על</w:t>
      </w:r>
      <w:r w:rsidR="00455B7A">
        <w:rPr>
          <w:rFonts w:cs="David" w:hint="cs"/>
          <w:rtl/>
        </w:rPr>
        <w:t xml:space="preserve"> </w:t>
      </w:r>
      <w:r w:rsidR="002668FD">
        <w:rPr>
          <w:rFonts w:cs="David" w:hint="cs"/>
          <w:rtl/>
        </w:rPr>
        <w:t>בגידתן בבעליהן</w:t>
      </w:r>
      <w:r>
        <w:rPr>
          <w:rFonts w:cs="David" w:hint="cs"/>
          <w:rtl/>
        </w:rPr>
        <w:t xml:space="preserve"> </w:t>
      </w:r>
      <w:r w:rsidR="002668FD">
        <w:rPr>
          <w:rFonts w:cs="David" w:hint="cs"/>
          <w:rtl/>
        </w:rPr>
        <w:t>והליכתן אחר</w:t>
      </w:r>
      <w:r>
        <w:rPr>
          <w:rFonts w:cs="David" w:hint="cs"/>
          <w:rtl/>
        </w:rPr>
        <w:t xml:space="preserve"> זרים.</w:t>
      </w:r>
      <w:r w:rsidR="00B50A4C" w:rsidRPr="00520FBA">
        <w:rPr>
          <w:rStyle w:val="FootnoteReference"/>
          <w:rFonts w:cs="David"/>
          <w:rtl/>
        </w:rPr>
        <w:footnoteReference w:id="52"/>
      </w:r>
      <w:r w:rsidR="002668FD">
        <w:rPr>
          <w:rFonts w:cs="David" w:hint="cs"/>
          <w:rtl/>
        </w:rPr>
        <w:t xml:space="preserve"> בשורות הבאות אציג טקסטים שמלמדים על שימושים נוספים בדימוי.</w:t>
      </w:r>
    </w:p>
    <w:p w:rsidR="00DA5A07" w:rsidRDefault="002668FD" w:rsidP="00EB73A5">
      <w:pPr>
        <w:spacing w:line="360" w:lineRule="auto"/>
        <w:jc w:val="both"/>
        <w:rPr>
          <w:rFonts w:cs="David"/>
          <w:rtl/>
        </w:rPr>
      </w:pPr>
      <w:r w:rsidRPr="00A90676">
        <w:rPr>
          <w:rFonts w:cs="David" w:hint="cs"/>
          <w:rtl/>
        </w:rPr>
        <w:t>בפרק ג</w:t>
      </w:r>
      <w:r w:rsidR="00D87F6F">
        <w:rPr>
          <w:rFonts w:cs="David"/>
          <w:rtl/>
        </w:rPr>
        <w:t>’</w:t>
      </w:r>
      <w:r w:rsidRPr="00A90676">
        <w:rPr>
          <w:rFonts w:cs="David" w:hint="cs"/>
          <w:rtl/>
        </w:rPr>
        <w:t xml:space="preserve"> מדמה נחום את נינו</w:t>
      </w:r>
      <w:r>
        <w:rPr>
          <w:rFonts w:cs="David" w:hint="cs"/>
          <w:rtl/>
        </w:rPr>
        <w:t>ו</w:t>
      </w:r>
      <w:r w:rsidRPr="00A90676">
        <w:rPr>
          <w:rFonts w:cs="David" w:hint="cs"/>
          <w:rtl/>
        </w:rPr>
        <w:t>ה ל</w:t>
      </w:r>
      <w:r w:rsidR="00D87F6F">
        <w:rPr>
          <w:rFonts w:cs="David"/>
          <w:rtl/>
        </w:rPr>
        <w:t>”</w:t>
      </w:r>
      <w:r w:rsidRPr="00A90676">
        <w:rPr>
          <w:rFonts w:cs="David" w:hint="cs"/>
          <w:rtl/>
        </w:rPr>
        <w:t>זונה טובת חן</w:t>
      </w:r>
      <w:r w:rsidR="00D87F6F">
        <w:rPr>
          <w:rFonts w:cs="David"/>
          <w:rtl/>
        </w:rPr>
        <w:t>”</w:t>
      </w:r>
      <w:r w:rsidRPr="00A90676">
        <w:rPr>
          <w:rFonts w:cs="David" w:hint="cs"/>
          <w:rtl/>
        </w:rPr>
        <w:t xml:space="preserve"> (פס</w:t>
      </w:r>
      <w:r w:rsidR="00D87F6F">
        <w:rPr>
          <w:rFonts w:cs="David"/>
          <w:rtl/>
        </w:rPr>
        <w:t>’</w:t>
      </w:r>
      <w:r w:rsidRPr="00A90676">
        <w:rPr>
          <w:rFonts w:cs="David" w:hint="cs"/>
          <w:rtl/>
        </w:rPr>
        <w:t xml:space="preserve"> ד) שתיענש בחשיפת ערוותה</w:t>
      </w:r>
      <w:r w:rsidRPr="00520FBA">
        <w:rPr>
          <w:rFonts w:cs="David" w:hint="cs"/>
          <w:rtl/>
        </w:rPr>
        <w:t xml:space="preserve"> לעיני </w:t>
      </w:r>
      <w:r w:rsidR="00D87F6F">
        <w:rPr>
          <w:rFonts w:cs="David"/>
          <w:rtl/>
        </w:rPr>
        <w:t>“</w:t>
      </w:r>
      <w:r w:rsidRPr="00520FBA">
        <w:rPr>
          <w:rFonts w:cs="David" w:hint="cs"/>
          <w:rtl/>
        </w:rPr>
        <w:t>גוים... וממלכות</w:t>
      </w:r>
      <w:r w:rsidR="00D87F6F">
        <w:rPr>
          <w:rFonts w:cs="David"/>
          <w:rtl/>
        </w:rPr>
        <w:t>”</w:t>
      </w:r>
      <w:r w:rsidRPr="00520FBA">
        <w:rPr>
          <w:rFonts w:cs="David" w:hint="cs"/>
          <w:rtl/>
        </w:rPr>
        <w:t xml:space="preserve"> (פס</w:t>
      </w:r>
      <w:r w:rsidR="00D87F6F">
        <w:rPr>
          <w:rFonts w:cs="David"/>
          <w:rtl/>
        </w:rPr>
        <w:t>’</w:t>
      </w:r>
      <w:r w:rsidRPr="00520FBA">
        <w:rPr>
          <w:rFonts w:cs="David" w:hint="cs"/>
          <w:rtl/>
        </w:rPr>
        <w:t xml:space="preserve"> ה) ובהשקייתה: </w:t>
      </w:r>
      <w:r w:rsidR="00D87F6F">
        <w:rPr>
          <w:rFonts w:cs="David"/>
          <w:rtl/>
        </w:rPr>
        <w:t>“</w:t>
      </w:r>
      <w:r w:rsidRPr="00520FBA">
        <w:rPr>
          <w:rFonts w:cs="David" w:hint="cs"/>
          <w:rtl/>
        </w:rPr>
        <w:t>גם את תשכרי תהי נעלמה</w:t>
      </w:r>
      <w:r w:rsidR="00D87F6F">
        <w:rPr>
          <w:rFonts w:cs="David"/>
          <w:rtl/>
        </w:rPr>
        <w:t>”</w:t>
      </w:r>
      <w:r w:rsidRPr="00520FBA">
        <w:rPr>
          <w:rFonts w:cs="David" w:hint="cs"/>
          <w:rtl/>
        </w:rPr>
        <w:t xml:space="preserve"> (פס</w:t>
      </w:r>
      <w:r w:rsidR="00D87F6F">
        <w:rPr>
          <w:rFonts w:cs="David"/>
          <w:rtl/>
        </w:rPr>
        <w:t>’</w:t>
      </w:r>
      <w:r w:rsidRPr="00520FBA">
        <w:rPr>
          <w:rFonts w:cs="David" w:hint="cs"/>
          <w:rtl/>
        </w:rPr>
        <w:t xml:space="preserve"> יא).</w:t>
      </w:r>
      <w:r>
        <w:rPr>
          <w:rFonts w:cs="David" w:hint="cs"/>
          <w:rtl/>
        </w:rPr>
        <w:t xml:space="preserve"> נינווה</w:t>
      </w:r>
      <w:r w:rsidR="00DA5A07">
        <w:rPr>
          <w:rFonts w:cs="David" w:hint="cs"/>
          <w:rtl/>
        </w:rPr>
        <w:t xml:space="preserve"> א</w:t>
      </w:r>
      <w:r>
        <w:rPr>
          <w:rFonts w:cs="David" w:hint="cs"/>
          <w:rtl/>
        </w:rPr>
        <w:t>ינה מדומה לבת</w:t>
      </w:r>
      <w:r w:rsidR="00DA5A07">
        <w:rPr>
          <w:rFonts w:cs="David" w:hint="cs"/>
          <w:rtl/>
        </w:rPr>
        <w:t xml:space="preserve"> זוגו של אלוהים</w:t>
      </w:r>
      <w:r>
        <w:rPr>
          <w:rFonts w:cs="David" w:hint="cs"/>
          <w:rtl/>
        </w:rPr>
        <w:t>, וממילא חטאה</w:t>
      </w:r>
      <w:r w:rsidR="00DA5A07">
        <w:rPr>
          <w:rFonts w:cs="David" w:hint="cs"/>
          <w:rtl/>
        </w:rPr>
        <w:t xml:space="preserve"> נתפס כזנות ולא כניאוף</w:t>
      </w:r>
      <w:r w:rsidR="00DA5A07" w:rsidRPr="00A90676">
        <w:rPr>
          <w:rFonts w:cs="David" w:hint="cs"/>
          <w:rtl/>
        </w:rPr>
        <w:t xml:space="preserve">. </w:t>
      </w:r>
      <w:r w:rsidR="00DA5A07">
        <w:rPr>
          <w:rFonts w:cs="David" w:hint="cs"/>
          <w:rtl/>
        </w:rPr>
        <w:t>בנבואות אחרות מוזכרת</w:t>
      </w:r>
      <w:r w:rsidR="00DA5A07" w:rsidRPr="00520FBA">
        <w:rPr>
          <w:rFonts w:cs="David" w:hint="cs"/>
          <w:rtl/>
        </w:rPr>
        <w:t xml:space="preserve"> </w:t>
      </w:r>
      <w:r w:rsidR="00DA5A07">
        <w:rPr>
          <w:rFonts w:cs="David" w:hint="cs"/>
          <w:rtl/>
        </w:rPr>
        <w:t>השקיית העמים</w:t>
      </w:r>
      <w:r w:rsidR="00DA5A07" w:rsidRPr="00520FBA">
        <w:rPr>
          <w:rFonts w:cs="David" w:hint="cs"/>
          <w:rtl/>
        </w:rPr>
        <w:t xml:space="preserve"> מבלי שאלו מדומים </w:t>
      </w:r>
      <w:r w:rsidR="00DA5A07">
        <w:rPr>
          <w:rFonts w:cs="David" w:hint="cs"/>
          <w:rtl/>
        </w:rPr>
        <w:t>כלל לאישה זונה או מנאפת. נבואות אחדות עוסקות בכל ה</w:t>
      </w:r>
      <w:r w:rsidR="00DA5A07" w:rsidRPr="00520FBA">
        <w:rPr>
          <w:rFonts w:cs="David" w:hint="cs"/>
          <w:rtl/>
        </w:rPr>
        <w:t>גויים</w:t>
      </w:r>
      <w:r w:rsidR="00DA5A07">
        <w:rPr>
          <w:rFonts w:cs="David" w:hint="cs"/>
          <w:rtl/>
        </w:rPr>
        <w:t>, כך</w:t>
      </w:r>
      <w:r w:rsidR="00DA5A07" w:rsidRPr="00520FBA">
        <w:rPr>
          <w:rFonts w:cs="David" w:hint="cs"/>
          <w:rtl/>
        </w:rPr>
        <w:t xml:space="preserve"> בירמיהו כה: </w:t>
      </w:r>
      <w:r w:rsidR="00D87F6F">
        <w:rPr>
          <w:rFonts w:cs="David"/>
          <w:rtl/>
        </w:rPr>
        <w:t>“</w:t>
      </w:r>
      <w:r w:rsidR="00DA5A07" w:rsidRPr="00520FBA">
        <w:rPr>
          <w:rFonts w:cs="David" w:hint="cs"/>
          <w:rtl/>
        </w:rPr>
        <w:t>קח את כוס היין החמה... והשקיתה אותו את כל הגויים</w:t>
      </w:r>
      <w:r w:rsidR="00DA5A07">
        <w:rPr>
          <w:rFonts w:cs="David" w:hint="cs"/>
          <w:rtl/>
        </w:rPr>
        <w:t>... כי ריב לה</w:t>
      </w:r>
      <w:r w:rsidR="00D87F6F">
        <w:rPr>
          <w:rFonts w:cs="David"/>
          <w:rtl/>
        </w:rPr>
        <w:t>’</w:t>
      </w:r>
      <w:r w:rsidR="00DA5A07">
        <w:rPr>
          <w:rFonts w:cs="David" w:hint="cs"/>
          <w:rtl/>
        </w:rPr>
        <w:t xml:space="preserve"> בגוים נשפט הוא לכל בשר</w:t>
      </w:r>
      <w:r w:rsidR="00D87F6F">
        <w:rPr>
          <w:rFonts w:cs="David"/>
          <w:rtl/>
        </w:rPr>
        <w:t>”</w:t>
      </w:r>
      <w:r w:rsidR="00DA5A07" w:rsidRPr="00520FBA">
        <w:rPr>
          <w:rFonts w:cs="David" w:hint="cs"/>
          <w:rtl/>
        </w:rPr>
        <w:t xml:space="preserve"> (פס</w:t>
      </w:r>
      <w:r w:rsidR="00D87F6F">
        <w:rPr>
          <w:rFonts w:cs="David"/>
          <w:rtl/>
        </w:rPr>
        <w:t>’</w:t>
      </w:r>
      <w:r w:rsidR="00DA5A07" w:rsidRPr="00520FBA">
        <w:rPr>
          <w:rFonts w:cs="David" w:hint="cs"/>
          <w:rtl/>
        </w:rPr>
        <w:t xml:space="preserve"> טו-</w:t>
      </w:r>
      <w:r w:rsidR="00DA5A07">
        <w:rPr>
          <w:rFonts w:cs="David" w:hint="cs"/>
          <w:rtl/>
        </w:rPr>
        <w:t>לח</w:t>
      </w:r>
      <w:r w:rsidR="00DA5A07" w:rsidRPr="00520FBA">
        <w:rPr>
          <w:rFonts w:cs="David" w:hint="cs"/>
          <w:rtl/>
        </w:rPr>
        <w:t>)</w:t>
      </w:r>
      <w:r w:rsidR="00DA5A07">
        <w:rPr>
          <w:rFonts w:cs="David" w:hint="cs"/>
          <w:rtl/>
        </w:rPr>
        <w:t xml:space="preserve"> ובעובדיה:</w:t>
      </w:r>
      <w:r w:rsidR="00DA5A07" w:rsidRPr="00520FBA">
        <w:rPr>
          <w:rFonts w:cs="David" w:hint="cs"/>
          <w:rtl/>
        </w:rPr>
        <w:t xml:space="preserve"> </w:t>
      </w:r>
      <w:r w:rsidR="00D87F6F">
        <w:rPr>
          <w:rFonts w:cs="David"/>
          <w:rtl/>
        </w:rPr>
        <w:t>“</w:t>
      </w:r>
      <w:r w:rsidR="00DA5A07">
        <w:rPr>
          <w:rFonts w:cs="David" w:hint="cs"/>
          <w:rtl/>
        </w:rPr>
        <w:t>ישתו כל הגוים תמיד ושתו ולעו והיו כלוא היו</w:t>
      </w:r>
      <w:r w:rsidR="00D87F6F">
        <w:rPr>
          <w:rFonts w:cs="David"/>
          <w:rtl/>
        </w:rPr>
        <w:t>”</w:t>
      </w:r>
      <w:r w:rsidR="00DA5A07">
        <w:rPr>
          <w:rFonts w:cs="David" w:hint="cs"/>
          <w:rtl/>
        </w:rPr>
        <w:t xml:space="preserve"> (פס</w:t>
      </w:r>
      <w:r w:rsidR="00D87F6F">
        <w:rPr>
          <w:rFonts w:cs="David"/>
          <w:rtl/>
        </w:rPr>
        <w:t>’</w:t>
      </w:r>
      <w:r w:rsidR="00DA5A07">
        <w:rPr>
          <w:rFonts w:cs="David" w:hint="cs"/>
          <w:rtl/>
        </w:rPr>
        <w:t xml:space="preserve"> טז).</w:t>
      </w:r>
      <w:r w:rsidR="00DA5A07" w:rsidRPr="00520FBA">
        <w:rPr>
          <w:rStyle w:val="FootnoteReference"/>
          <w:rFonts w:cs="David"/>
          <w:rtl/>
        </w:rPr>
        <w:footnoteReference w:id="53"/>
      </w:r>
      <w:r w:rsidR="00DA5A07">
        <w:rPr>
          <w:rFonts w:cs="David" w:hint="cs"/>
          <w:rtl/>
        </w:rPr>
        <w:t xml:space="preserve"> נבואות אחרות עוסקות בעמים ספציפיים: במואב</w:t>
      </w:r>
      <w:r w:rsidR="00652954">
        <w:rPr>
          <w:rFonts w:cs="David" w:hint="cs"/>
          <w:rtl/>
        </w:rPr>
        <w:t xml:space="preserve"> -</w:t>
      </w:r>
      <w:r w:rsidR="00DA5A07">
        <w:rPr>
          <w:rFonts w:cs="David" w:hint="cs"/>
          <w:rtl/>
        </w:rPr>
        <w:t xml:space="preserve"> בירמיהו מח: </w:t>
      </w:r>
      <w:r w:rsidR="00D87F6F">
        <w:rPr>
          <w:rFonts w:cs="David"/>
          <w:rtl/>
        </w:rPr>
        <w:t>“</w:t>
      </w:r>
      <w:r w:rsidR="00DA5A07">
        <w:rPr>
          <w:rFonts w:cs="David" w:hint="cs"/>
          <w:rtl/>
        </w:rPr>
        <w:t>השכירהו... וספק מואב בקיאו</w:t>
      </w:r>
      <w:r w:rsidR="00D87F6F">
        <w:rPr>
          <w:rFonts w:cs="David"/>
          <w:rtl/>
        </w:rPr>
        <w:t>”</w:t>
      </w:r>
      <w:r w:rsidR="00DA5A07">
        <w:rPr>
          <w:rFonts w:cs="David" w:hint="cs"/>
          <w:rtl/>
        </w:rPr>
        <w:t xml:space="preserve"> (פס</w:t>
      </w:r>
      <w:r w:rsidR="00D87F6F">
        <w:rPr>
          <w:rFonts w:cs="David"/>
          <w:rtl/>
        </w:rPr>
        <w:t>’</w:t>
      </w:r>
      <w:r w:rsidR="00DA5A07">
        <w:rPr>
          <w:rFonts w:cs="David" w:hint="cs"/>
          <w:rtl/>
        </w:rPr>
        <w:t xml:space="preserve"> כו); באדום</w:t>
      </w:r>
      <w:r w:rsidR="00652954">
        <w:rPr>
          <w:rFonts w:cs="David" w:hint="cs"/>
          <w:rtl/>
        </w:rPr>
        <w:t xml:space="preserve"> -</w:t>
      </w:r>
      <w:r w:rsidR="00DA5A07">
        <w:rPr>
          <w:rFonts w:cs="David" w:hint="cs"/>
          <w:rtl/>
        </w:rPr>
        <w:t xml:space="preserve"> בירמיהו מט: </w:t>
      </w:r>
      <w:r w:rsidR="00D87F6F">
        <w:rPr>
          <w:rFonts w:cs="David"/>
          <w:rtl/>
        </w:rPr>
        <w:t>“</w:t>
      </w:r>
      <w:r w:rsidR="00DA5A07" w:rsidRPr="00EB01C5">
        <w:rPr>
          <w:rFonts w:cs="David" w:hint="cs"/>
          <w:rtl/>
        </w:rPr>
        <w:t xml:space="preserve">הנה אשר אין משפטם לשתות הכוס שתו ישתו ואתה הוא נקה תנקה לא </w:t>
      </w:r>
      <w:r w:rsidR="00DA5A07">
        <w:rPr>
          <w:rFonts w:cs="David" w:hint="cs"/>
          <w:rtl/>
        </w:rPr>
        <w:t>תנקה כי שתה תשתה</w:t>
      </w:r>
      <w:r w:rsidR="00D87F6F">
        <w:rPr>
          <w:rFonts w:cs="David"/>
          <w:rtl/>
        </w:rPr>
        <w:t>”</w:t>
      </w:r>
      <w:r w:rsidR="00DA5A07">
        <w:rPr>
          <w:rFonts w:cs="David" w:hint="cs"/>
          <w:rtl/>
        </w:rPr>
        <w:t xml:space="preserve"> (פס</w:t>
      </w:r>
      <w:r w:rsidR="00D87F6F">
        <w:rPr>
          <w:rFonts w:cs="David"/>
          <w:rtl/>
        </w:rPr>
        <w:t>’</w:t>
      </w:r>
      <w:r w:rsidR="00DA5A07">
        <w:rPr>
          <w:rFonts w:cs="David" w:hint="cs"/>
          <w:rtl/>
        </w:rPr>
        <w:t xml:space="preserve"> יב) ובישעיהו סג:</w:t>
      </w:r>
      <w:r w:rsidR="00DA5A07" w:rsidRPr="00EB01C5">
        <w:rPr>
          <w:rFonts w:cs="David" w:hint="cs"/>
          <w:rtl/>
        </w:rPr>
        <w:t xml:space="preserve"> </w:t>
      </w:r>
      <w:r w:rsidR="00D87F6F">
        <w:rPr>
          <w:rFonts w:cs="David"/>
          <w:rtl/>
        </w:rPr>
        <w:t>“</w:t>
      </w:r>
      <w:r w:rsidR="00DA5A07">
        <w:rPr>
          <w:rFonts w:cs="David" w:hint="cs"/>
          <w:rtl/>
        </w:rPr>
        <w:t>ואשכרם בחמתי</w:t>
      </w:r>
      <w:r w:rsidR="00D87F6F">
        <w:rPr>
          <w:rFonts w:cs="David"/>
          <w:rtl/>
        </w:rPr>
        <w:t>”</w:t>
      </w:r>
      <w:r w:rsidR="00DA5A07">
        <w:rPr>
          <w:rFonts w:cs="David" w:hint="cs"/>
          <w:rtl/>
        </w:rPr>
        <w:t xml:space="preserve"> (פס</w:t>
      </w:r>
      <w:r w:rsidR="00D87F6F">
        <w:rPr>
          <w:rFonts w:cs="David"/>
          <w:rtl/>
        </w:rPr>
        <w:t>’</w:t>
      </w:r>
      <w:r w:rsidR="00DA5A07">
        <w:rPr>
          <w:rFonts w:cs="David" w:hint="cs"/>
          <w:rtl/>
        </w:rPr>
        <w:t xml:space="preserve"> ו); בכשדים</w:t>
      </w:r>
      <w:r w:rsidR="00652954">
        <w:rPr>
          <w:rFonts w:cs="David" w:hint="cs"/>
          <w:rtl/>
        </w:rPr>
        <w:t xml:space="preserve"> -</w:t>
      </w:r>
      <w:r w:rsidR="00DA5A07">
        <w:rPr>
          <w:rFonts w:cs="David" w:hint="cs"/>
          <w:rtl/>
        </w:rPr>
        <w:t xml:space="preserve"> בחבקוק ב: </w:t>
      </w:r>
      <w:r w:rsidR="00D87F6F">
        <w:rPr>
          <w:rFonts w:cs="David"/>
          <w:rtl/>
        </w:rPr>
        <w:t>“</w:t>
      </w:r>
      <w:r w:rsidR="00DA5A07">
        <w:rPr>
          <w:rFonts w:cs="David" w:hint="cs"/>
          <w:rtl/>
        </w:rPr>
        <w:t>הוי משקה רעהו... שתה גם אתה והערל...</w:t>
      </w:r>
      <w:r w:rsidR="00D87F6F">
        <w:rPr>
          <w:rFonts w:cs="David"/>
          <w:rtl/>
        </w:rPr>
        <w:t>”</w:t>
      </w:r>
      <w:r w:rsidR="00DA5A07">
        <w:rPr>
          <w:rFonts w:cs="David" w:hint="cs"/>
          <w:rtl/>
        </w:rPr>
        <w:t xml:space="preserve"> (טו-טז). </w:t>
      </w:r>
    </w:p>
    <w:p w:rsidR="00374B3A" w:rsidRDefault="00DA5A07" w:rsidP="00AB19CA">
      <w:pPr>
        <w:spacing w:line="360" w:lineRule="auto"/>
        <w:jc w:val="both"/>
        <w:rPr>
          <w:rFonts w:cs="David"/>
          <w:rtl/>
        </w:rPr>
      </w:pPr>
      <w:r w:rsidRPr="00A90676">
        <w:rPr>
          <w:rFonts w:cs="David" w:hint="cs"/>
          <w:rtl/>
        </w:rPr>
        <w:t>כשם שהדימוי משמש</w:t>
      </w:r>
      <w:r w:rsidR="00AB19CA">
        <w:rPr>
          <w:rFonts w:cs="David" w:hint="cs"/>
          <w:rtl/>
        </w:rPr>
        <w:t xml:space="preserve"> בנבואה גם</w:t>
      </w:r>
      <w:r w:rsidRPr="00A90676">
        <w:rPr>
          <w:rFonts w:cs="David" w:hint="cs"/>
          <w:rtl/>
        </w:rPr>
        <w:t xml:space="preserve"> לתיאור הפגיעה ב</w:t>
      </w:r>
      <w:r w:rsidR="00AB19CA">
        <w:rPr>
          <w:rFonts w:cs="David" w:hint="cs"/>
          <w:rtl/>
        </w:rPr>
        <w:t>עמים</w:t>
      </w:r>
      <w:r w:rsidRPr="00A90676">
        <w:rPr>
          <w:rFonts w:cs="David" w:hint="cs"/>
          <w:rtl/>
        </w:rPr>
        <w:t>,</w:t>
      </w:r>
      <w:r w:rsidRPr="00DA5A07">
        <w:rPr>
          <w:rFonts w:cs="David" w:hint="cs"/>
          <w:rtl/>
        </w:rPr>
        <w:t xml:space="preserve"> </w:t>
      </w:r>
      <w:r w:rsidRPr="00A90676">
        <w:rPr>
          <w:rFonts w:cs="David" w:hint="cs"/>
          <w:rtl/>
        </w:rPr>
        <w:t>כך הוא משמש</w:t>
      </w:r>
      <w:r w:rsidR="00AB19CA">
        <w:rPr>
          <w:rFonts w:cs="David" w:hint="cs"/>
          <w:rtl/>
        </w:rPr>
        <w:t xml:space="preserve"> בתהלים </w:t>
      </w:r>
      <w:r w:rsidR="002F0CD0" w:rsidRPr="00A90676">
        <w:rPr>
          <w:rFonts w:cs="David" w:hint="cs"/>
          <w:rtl/>
        </w:rPr>
        <w:t>גם לתיאור</w:t>
      </w:r>
      <w:r w:rsidR="007A6DB6" w:rsidRPr="00A90676">
        <w:rPr>
          <w:rFonts w:cs="David" w:hint="cs"/>
          <w:rtl/>
        </w:rPr>
        <w:t xml:space="preserve"> משפטם של הרשעים.</w:t>
      </w:r>
      <w:r w:rsidR="007A6DB6" w:rsidRPr="00B1737A">
        <w:rPr>
          <w:rFonts w:cs="David" w:hint="cs"/>
          <w:rtl/>
        </w:rPr>
        <w:t xml:space="preserve"> מזמור ע</w:t>
      </w:r>
      <w:r w:rsidR="00D87F6F">
        <w:rPr>
          <w:rFonts w:cs="David"/>
          <w:rtl/>
        </w:rPr>
        <w:t>”</w:t>
      </w:r>
      <w:r w:rsidR="007A6DB6" w:rsidRPr="00B1737A">
        <w:rPr>
          <w:rFonts w:cs="David" w:hint="cs"/>
          <w:rtl/>
        </w:rPr>
        <w:t>ה עוסק בשבח והודיה לאלוהים המנהיג את עולמו</w:t>
      </w:r>
      <w:r w:rsidR="007A6DB6" w:rsidRPr="00EE0CB7">
        <w:rPr>
          <w:rFonts w:cs="David" w:hint="cs"/>
          <w:rtl/>
        </w:rPr>
        <w:t xml:space="preserve"> בצדק ובמשפט. במסגרת ההליך המשפטי, שבו </w:t>
      </w:r>
      <w:r w:rsidR="00D87F6F">
        <w:rPr>
          <w:rFonts w:cs="David"/>
          <w:rtl/>
        </w:rPr>
        <w:t>“</w:t>
      </w:r>
      <w:r w:rsidR="007A6DB6" w:rsidRPr="00EE0CB7">
        <w:rPr>
          <w:rFonts w:cs="David" w:hint="cs"/>
          <w:rtl/>
        </w:rPr>
        <w:t>אל</w:t>
      </w:r>
      <w:r w:rsidR="007A6DB6">
        <w:rPr>
          <w:rFonts w:cs="David" w:hint="cs"/>
          <w:rtl/>
        </w:rPr>
        <w:t xml:space="preserve">הים שֹפט </w:t>
      </w:r>
      <w:r w:rsidR="007A6DB6" w:rsidRPr="00EE0CB7">
        <w:rPr>
          <w:rFonts w:cs="David" w:hint="cs"/>
          <w:rtl/>
        </w:rPr>
        <w:t>זה ישפיל וזה ירים</w:t>
      </w:r>
      <w:r w:rsidR="00D87F6F">
        <w:rPr>
          <w:rFonts w:cs="David"/>
          <w:rtl/>
        </w:rPr>
        <w:t>”</w:t>
      </w:r>
      <w:r w:rsidR="007A6DB6" w:rsidRPr="00EE0CB7">
        <w:rPr>
          <w:rFonts w:cs="David" w:hint="cs"/>
          <w:rtl/>
        </w:rPr>
        <w:t xml:space="preserve"> (פס</w:t>
      </w:r>
      <w:r w:rsidR="00D87F6F">
        <w:rPr>
          <w:rFonts w:cs="David"/>
          <w:rtl/>
        </w:rPr>
        <w:t>’</w:t>
      </w:r>
      <w:r w:rsidR="007A6DB6" w:rsidRPr="00EE0CB7">
        <w:rPr>
          <w:rFonts w:cs="David" w:hint="cs"/>
          <w:rtl/>
        </w:rPr>
        <w:t xml:space="preserve"> ח), מתוארת כוס היין המוחזקת ביד ה</w:t>
      </w:r>
      <w:r w:rsidR="00D87F6F">
        <w:rPr>
          <w:rFonts w:cs="David"/>
          <w:rtl/>
        </w:rPr>
        <w:t>’</w:t>
      </w:r>
      <w:r w:rsidR="007A6DB6" w:rsidRPr="00EE0CB7">
        <w:rPr>
          <w:rFonts w:cs="David" w:hint="cs"/>
          <w:rtl/>
        </w:rPr>
        <w:t xml:space="preserve"> שאת </w:t>
      </w:r>
      <w:r w:rsidR="00D87F6F">
        <w:rPr>
          <w:rFonts w:cs="David"/>
          <w:rtl/>
        </w:rPr>
        <w:t>“</w:t>
      </w:r>
      <w:r w:rsidR="007A6DB6" w:rsidRPr="002F0CD0">
        <w:rPr>
          <w:rFonts w:cs="David" w:hint="cs"/>
          <w:rtl/>
        </w:rPr>
        <w:t>שמריה ימצו ישתו</w:t>
      </w:r>
      <w:r w:rsidR="007A6DB6">
        <w:rPr>
          <w:rFonts w:cs="David" w:hint="cs"/>
          <w:rtl/>
        </w:rPr>
        <w:t xml:space="preserve"> כל רשעי ארץ</w:t>
      </w:r>
      <w:r w:rsidR="00D87F6F">
        <w:rPr>
          <w:rFonts w:cs="David"/>
          <w:rtl/>
        </w:rPr>
        <w:t>”</w:t>
      </w:r>
      <w:r w:rsidR="007A6DB6">
        <w:rPr>
          <w:rFonts w:cs="David" w:hint="cs"/>
          <w:rtl/>
        </w:rPr>
        <w:t xml:space="preserve"> (פס</w:t>
      </w:r>
      <w:r w:rsidR="00D87F6F">
        <w:rPr>
          <w:rFonts w:cs="David"/>
          <w:rtl/>
        </w:rPr>
        <w:t>’</w:t>
      </w:r>
      <w:r w:rsidR="007A6DB6" w:rsidRPr="00EE0CB7">
        <w:rPr>
          <w:rFonts w:cs="David" w:hint="cs"/>
          <w:rtl/>
        </w:rPr>
        <w:t xml:space="preserve"> ט).</w:t>
      </w:r>
      <w:r w:rsidR="007A6DB6">
        <w:rPr>
          <w:rFonts w:cs="David" w:hint="cs"/>
          <w:rtl/>
        </w:rPr>
        <w:t xml:space="preserve"> הרעלים שישמשו להענשת רשעי הארץ הם </w:t>
      </w:r>
      <w:r w:rsidR="007A6DB6" w:rsidRPr="0032563A">
        <w:rPr>
          <w:rFonts w:cs="David" w:hint="cs"/>
          <w:rtl/>
        </w:rPr>
        <w:t>רעלים המתפתחים מתוך היין עצמו (שמרים), ולא רעלים חיצוניים שמוכנסים ליי</w:t>
      </w:r>
      <w:r w:rsidR="00C828CE" w:rsidRPr="0032563A">
        <w:rPr>
          <w:rFonts w:cs="David" w:hint="cs"/>
          <w:rtl/>
        </w:rPr>
        <w:t xml:space="preserve">ן מן </w:t>
      </w:r>
      <w:r w:rsidR="00C828CE" w:rsidRPr="0032563A">
        <w:rPr>
          <w:rFonts w:cs="David" w:hint="cs"/>
          <w:rtl/>
        </w:rPr>
        <w:lastRenderedPageBreak/>
        <w:t xml:space="preserve">החי או מן הצומח. </w:t>
      </w:r>
      <w:r w:rsidR="0032563A">
        <w:rPr>
          <w:rFonts w:cs="David" w:hint="cs"/>
          <w:rtl/>
        </w:rPr>
        <w:t>ב</w:t>
      </w:r>
      <w:r w:rsidR="00374B3A" w:rsidRPr="0032563A">
        <w:rPr>
          <w:rFonts w:cs="David" w:hint="cs"/>
          <w:rtl/>
        </w:rPr>
        <w:t>מזמור י</w:t>
      </w:r>
      <w:r w:rsidR="00D87F6F">
        <w:rPr>
          <w:rFonts w:cs="David"/>
          <w:rtl/>
        </w:rPr>
        <w:t>”</w:t>
      </w:r>
      <w:r w:rsidR="00374B3A" w:rsidRPr="0032563A">
        <w:rPr>
          <w:rFonts w:cs="David" w:hint="cs"/>
          <w:rtl/>
        </w:rPr>
        <w:t>א</w:t>
      </w:r>
      <w:r w:rsidR="0032563A">
        <w:rPr>
          <w:rFonts w:cs="David" w:hint="cs"/>
          <w:rtl/>
        </w:rPr>
        <w:t xml:space="preserve"> ה</w:t>
      </w:r>
      <w:r w:rsidR="00D87F6F">
        <w:rPr>
          <w:rFonts w:cs="David"/>
          <w:rtl/>
        </w:rPr>
        <w:t>’</w:t>
      </w:r>
      <w:r w:rsidR="0032563A">
        <w:rPr>
          <w:rFonts w:cs="David" w:hint="cs"/>
          <w:rtl/>
        </w:rPr>
        <w:t xml:space="preserve"> מתואר כמי שיושב בהיכל קדשו, </w:t>
      </w:r>
      <w:r w:rsidR="0032563A" w:rsidRPr="0032563A">
        <w:rPr>
          <w:rFonts w:cs="David" w:hint="cs"/>
          <w:rtl/>
        </w:rPr>
        <w:t>בוחן את בני האדם ומבחין בין צדיק לרשע</w:t>
      </w:r>
      <w:r w:rsidR="0032563A">
        <w:rPr>
          <w:rFonts w:cs="David" w:hint="cs"/>
          <w:rtl/>
        </w:rPr>
        <w:t xml:space="preserve"> (פס</w:t>
      </w:r>
      <w:r w:rsidR="00D87F6F">
        <w:rPr>
          <w:rFonts w:cs="David"/>
          <w:rtl/>
        </w:rPr>
        <w:t>’</w:t>
      </w:r>
      <w:r w:rsidR="0032563A">
        <w:rPr>
          <w:rFonts w:cs="David" w:hint="cs"/>
          <w:rtl/>
        </w:rPr>
        <w:t xml:space="preserve"> ד-ה). תוצאתן של הפעולות, שהן מעין משפט, היא</w:t>
      </w:r>
      <w:r w:rsidR="00374B3A" w:rsidRPr="0032563A">
        <w:rPr>
          <w:rFonts w:cs="David" w:hint="cs"/>
          <w:rtl/>
        </w:rPr>
        <w:t xml:space="preserve">: </w:t>
      </w:r>
      <w:r w:rsidR="00D87F6F">
        <w:rPr>
          <w:rFonts w:cs="David"/>
          <w:rtl/>
        </w:rPr>
        <w:t>“</w:t>
      </w:r>
      <w:r w:rsidR="00374B3A" w:rsidRPr="0032563A">
        <w:rPr>
          <w:rFonts w:cs="David" w:hint="cs"/>
          <w:rtl/>
        </w:rPr>
        <w:t>ימטר על רשעים... מנת כוסם</w:t>
      </w:r>
      <w:r w:rsidR="00D87F6F">
        <w:rPr>
          <w:rFonts w:cs="David"/>
          <w:rtl/>
        </w:rPr>
        <w:t>”</w:t>
      </w:r>
      <w:r w:rsidR="00374B3A" w:rsidRPr="0032563A">
        <w:rPr>
          <w:rFonts w:cs="David" w:hint="cs"/>
          <w:rtl/>
        </w:rPr>
        <w:t xml:space="preserve"> (פס</w:t>
      </w:r>
      <w:r w:rsidR="00D87F6F">
        <w:rPr>
          <w:rFonts w:cs="David"/>
          <w:rtl/>
        </w:rPr>
        <w:t>’</w:t>
      </w:r>
      <w:r w:rsidR="00374B3A" w:rsidRPr="0032563A">
        <w:rPr>
          <w:rFonts w:cs="David" w:hint="cs"/>
          <w:rtl/>
        </w:rPr>
        <w:t xml:space="preserve"> ו).</w:t>
      </w:r>
    </w:p>
    <w:p w:rsidR="00374B3A" w:rsidRDefault="00AB19CA" w:rsidP="00AB19CA">
      <w:pPr>
        <w:spacing w:line="360" w:lineRule="auto"/>
        <w:jc w:val="both"/>
        <w:rPr>
          <w:rFonts w:cs="David"/>
          <w:rtl/>
        </w:rPr>
      </w:pPr>
      <w:r>
        <w:rPr>
          <w:rFonts w:cs="David" w:hint="cs"/>
          <w:rtl/>
        </w:rPr>
        <w:t>שימוש</w:t>
      </w:r>
      <w:r w:rsidR="00374B3A" w:rsidRPr="00520FBA">
        <w:rPr>
          <w:rFonts w:cs="David" w:hint="cs"/>
          <w:rtl/>
        </w:rPr>
        <w:t xml:space="preserve"> </w:t>
      </w:r>
      <w:r w:rsidR="000E5E8D">
        <w:rPr>
          <w:rFonts w:cs="David" w:hint="cs"/>
          <w:rtl/>
        </w:rPr>
        <w:t>אחר</w:t>
      </w:r>
      <w:r w:rsidR="00374B3A" w:rsidRPr="00520FBA">
        <w:rPr>
          <w:rFonts w:cs="David" w:hint="cs"/>
          <w:rtl/>
        </w:rPr>
        <w:t xml:space="preserve"> </w:t>
      </w:r>
      <w:r>
        <w:rPr>
          <w:rFonts w:cs="David" w:hint="cs"/>
          <w:rtl/>
        </w:rPr>
        <w:t xml:space="preserve">בדימוי </w:t>
      </w:r>
      <w:r w:rsidR="00374B3A" w:rsidRPr="00520FBA">
        <w:rPr>
          <w:rFonts w:cs="David" w:hint="cs"/>
          <w:rtl/>
        </w:rPr>
        <w:t xml:space="preserve">מופיע בירמיהו נא: </w:t>
      </w:r>
      <w:r w:rsidR="00D87F6F">
        <w:rPr>
          <w:rFonts w:cs="David"/>
          <w:rtl/>
        </w:rPr>
        <w:t>“</w:t>
      </w:r>
      <w:r w:rsidR="00374B3A" w:rsidRPr="00520FBA">
        <w:rPr>
          <w:rFonts w:cs="David" w:hint="cs"/>
          <w:rtl/>
        </w:rPr>
        <w:t>כוס זהב בבל ביד ה</w:t>
      </w:r>
      <w:r w:rsidR="00D87F6F">
        <w:rPr>
          <w:rFonts w:cs="David"/>
          <w:rtl/>
        </w:rPr>
        <w:t>’</w:t>
      </w:r>
      <w:r w:rsidR="00374B3A" w:rsidRPr="00520FBA">
        <w:rPr>
          <w:rFonts w:cs="David" w:hint="cs"/>
          <w:rtl/>
        </w:rPr>
        <w:t xml:space="preserve"> משכרת כל הארץ...</w:t>
      </w:r>
      <w:r w:rsidR="00D87F6F">
        <w:rPr>
          <w:rFonts w:cs="David"/>
          <w:rtl/>
        </w:rPr>
        <w:t>”</w:t>
      </w:r>
      <w:r w:rsidR="00374B3A" w:rsidRPr="00520FBA">
        <w:rPr>
          <w:rFonts w:cs="David" w:hint="cs"/>
          <w:rtl/>
        </w:rPr>
        <w:t xml:space="preserve"> (פס</w:t>
      </w:r>
      <w:r w:rsidR="00D87F6F">
        <w:rPr>
          <w:rFonts w:cs="David"/>
          <w:rtl/>
        </w:rPr>
        <w:t>’</w:t>
      </w:r>
      <w:r w:rsidR="00374B3A" w:rsidRPr="00520FBA">
        <w:rPr>
          <w:rFonts w:cs="David" w:hint="cs"/>
          <w:rtl/>
        </w:rPr>
        <w:t xml:space="preserve"> ז). </w:t>
      </w:r>
      <w:r>
        <w:rPr>
          <w:rFonts w:cs="David" w:hint="cs"/>
          <w:rtl/>
        </w:rPr>
        <w:t>כאן</w:t>
      </w:r>
      <w:r w:rsidR="00374B3A">
        <w:rPr>
          <w:rFonts w:cs="David" w:hint="cs"/>
          <w:rtl/>
        </w:rPr>
        <w:t xml:space="preserve"> מדומה בבל</w:t>
      </w:r>
      <w:r w:rsidR="00374B3A" w:rsidRPr="00520FBA">
        <w:rPr>
          <w:rFonts w:cs="David" w:hint="cs"/>
          <w:rtl/>
        </w:rPr>
        <w:t xml:space="preserve"> לכוס זהב המוחזקת ביד ה</w:t>
      </w:r>
      <w:r w:rsidR="00D87F6F">
        <w:rPr>
          <w:rFonts w:cs="David"/>
          <w:rtl/>
        </w:rPr>
        <w:t>’</w:t>
      </w:r>
      <w:r w:rsidR="00374B3A" w:rsidRPr="00520FBA">
        <w:rPr>
          <w:rFonts w:cs="David" w:hint="cs"/>
          <w:rtl/>
        </w:rPr>
        <w:t xml:space="preserve"> ומיינה המשכר שותים העמים, ובתוכם ישראל ויהודה. בנבואה זו, המזכירה את דבריו של ישעיהו: </w:t>
      </w:r>
      <w:r w:rsidR="00D87F6F">
        <w:rPr>
          <w:rFonts w:cs="David"/>
          <w:rtl/>
        </w:rPr>
        <w:t>“</w:t>
      </w:r>
      <w:r w:rsidR="00374B3A" w:rsidRPr="00520FBA">
        <w:rPr>
          <w:rFonts w:cs="David" w:hint="cs"/>
          <w:rtl/>
        </w:rPr>
        <w:t>הוי אשור שבט אפי</w:t>
      </w:r>
      <w:r w:rsidR="00D87F6F">
        <w:rPr>
          <w:rFonts w:cs="David"/>
          <w:rtl/>
        </w:rPr>
        <w:t>”</w:t>
      </w:r>
      <w:r w:rsidR="00374B3A" w:rsidRPr="00520FBA">
        <w:rPr>
          <w:rFonts w:cs="David" w:hint="cs"/>
          <w:rtl/>
        </w:rPr>
        <w:t xml:space="preserve"> (י, ה), ניתנת פרשנות פוליטית </w:t>
      </w:r>
      <w:r w:rsidR="00374B3A">
        <w:rPr>
          <w:rFonts w:cs="David" w:hint="cs"/>
          <w:rtl/>
        </w:rPr>
        <w:t>לנבואות שבהן מופיע דימוי ההשקיה</w:t>
      </w:r>
      <w:r w:rsidR="000E5E8D">
        <w:rPr>
          <w:rFonts w:cs="David" w:hint="cs"/>
          <w:rtl/>
        </w:rPr>
        <w:t>. בבל היא כוס היין</w:t>
      </w:r>
      <w:r w:rsidR="00374B3A">
        <w:rPr>
          <w:rFonts w:cs="David" w:hint="cs"/>
          <w:rtl/>
        </w:rPr>
        <w:t xml:space="preserve"> שבאמצעותה עתיד אלוהים להיפרע מהעמים</w:t>
      </w:r>
      <w:r w:rsidR="00374B3A" w:rsidRPr="00520FBA">
        <w:rPr>
          <w:rFonts w:cs="David" w:hint="cs"/>
          <w:rtl/>
        </w:rPr>
        <w:t>.</w:t>
      </w:r>
      <w:r w:rsidR="00374B3A" w:rsidRPr="00520FBA">
        <w:rPr>
          <w:rStyle w:val="FootnoteReference"/>
          <w:rFonts w:cs="David"/>
          <w:rtl/>
        </w:rPr>
        <w:footnoteReference w:id="54"/>
      </w:r>
      <w:r w:rsidR="00374B3A">
        <w:rPr>
          <w:rFonts w:cs="David" w:hint="cs"/>
          <w:rtl/>
        </w:rPr>
        <w:t xml:space="preserve"> פרשנות פוליטית אחרת, שבה </w:t>
      </w:r>
      <w:r w:rsidR="000E5E8D">
        <w:rPr>
          <w:rFonts w:cs="David" w:hint="cs"/>
          <w:rtl/>
        </w:rPr>
        <w:t xml:space="preserve">ירושלים </w:t>
      </w:r>
      <w:r w:rsidR="00374B3A">
        <w:rPr>
          <w:rFonts w:cs="David" w:hint="cs"/>
          <w:rtl/>
        </w:rPr>
        <w:t xml:space="preserve">מתוארת </w:t>
      </w:r>
      <w:r w:rsidR="000E5E8D">
        <w:rPr>
          <w:rFonts w:cs="David" w:hint="cs"/>
          <w:rtl/>
        </w:rPr>
        <w:t xml:space="preserve">ככוס רעל </w:t>
      </w:r>
      <w:r w:rsidR="00D87F6F">
        <w:rPr>
          <w:rFonts w:cs="David"/>
          <w:rtl/>
        </w:rPr>
        <w:t>“</w:t>
      </w:r>
      <w:r w:rsidR="000E5E8D">
        <w:rPr>
          <w:rFonts w:cs="David" w:hint="cs"/>
          <w:rtl/>
        </w:rPr>
        <w:t>לכל העמים</w:t>
      </w:r>
      <w:r w:rsidR="00D87F6F">
        <w:rPr>
          <w:rFonts w:cs="David"/>
          <w:rtl/>
        </w:rPr>
        <w:t>”</w:t>
      </w:r>
      <w:r w:rsidR="00374B3A">
        <w:rPr>
          <w:rFonts w:cs="David" w:hint="cs"/>
          <w:rtl/>
        </w:rPr>
        <w:t xml:space="preserve"> מופיעה בזכריה (יב, ב). הפרשנויות השונות מלמדות</w:t>
      </w:r>
      <w:r w:rsidR="00FE5451">
        <w:rPr>
          <w:rFonts w:cs="David" w:hint="cs"/>
          <w:rtl/>
        </w:rPr>
        <w:t xml:space="preserve"> כי זיהוי הנמשל המשתקף בדימוי</w:t>
      </w:r>
      <w:r w:rsidR="00374B3A">
        <w:rPr>
          <w:rFonts w:cs="David" w:hint="cs"/>
          <w:rtl/>
        </w:rPr>
        <w:t xml:space="preserve"> מתאים את עצמו בכל תקופה לנסיבות ההיסטוריות והנבואיות הרלוונטיות.</w:t>
      </w:r>
      <w:r w:rsidR="000E5E8D">
        <w:rPr>
          <w:rFonts w:cs="David" w:hint="cs"/>
          <w:rtl/>
        </w:rPr>
        <w:t xml:space="preserve"> </w:t>
      </w:r>
    </w:p>
    <w:p w:rsidR="007A6DB6" w:rsidRPr="00EC17E4" w:rsidRDefault="00EC17E4" w:rsidP="00376581">
      <w:pPr>
        <w:spacing w:line="360" w:lineRule="auto"/>
        <w:jc w:val="both"/>
        <w:rPr>
          <w:rFonts w:cs="David"/>
        </w:rPr>
      </w:pPr>
      <w:r w:rsidRPr="00EC17E4">
        <w:rPr>
          <w:rFonts w:cs="David" w:hint="cs"/>
          <w:rtl/>
        </w:rPr>
        <w:t xml:space="preserve">שתיית המים המרים (ואכילת הצמחים הרעילים) הופכת בכמה מהטקסטים למטבע לשון שמבטא </w:t>
      </w:r>
      <w:r>
        <w:rPr>
          <w:rFonts w:cs="David" w:hint="cs"/>
          <w:rtl/>
        </w:rPr>
        <w:t>סבל</w:t>
      </w:r>
      <w:r w:rsidRPr="00EC17E4">
        <w:rPr>
          <w:rFonts w:cs="David" w:hint="cs"/>
          <w:rtl/>
        </w:rPr>
        <w:t xml:space="preserve"> וייסורים</w:t>
      </w:r>
      <w:r>
        <w:rPr>
          <w:rFonts w:cs="David" w:hint="cs"/>
          <w:rtl/>
        </w:rPr>
        <w:t xml:space="preserve"> מכל סיבה שהיא</w:t>
      </w:r>
      <w:r w:rsidR="00202828">
        <w:rPr>
          <w:rFonts w:cs="David" w:hint="cs"/>
          <w:rtl/>
        </w:rPr>
        <w:t xml:space="preserve"> (תה</w:t>
      </w:r>
      <w:r w:rsidR="00D87F6F">
        <w:rPr>
          <w:rFonts w:cs="David"/>
          <w:rtl/>
        </w:rPr>
        <w:t>’</w:t>
      </w:r>
      <w:r w:rsidR="00202828">
        <w:rPr>
          <w:rFonts w:cs="David" w:hint="cs"/>
          <w:rtl/>
        </w:rPr>
        <w:t xml:space="preserve"> סט, כב; איכ</w:t>
      </w:r>
      <w:r w:rsidR="00D87F6F">
        <w:rPr>
          <w:rFonts w:cs="David"/>
          <w:rtl/>
        </w:rPr>
        <w:t>’</w:t>
      </w:r>
      <w:r w:rsidR="00202828">
        <w:rPr>
          <w:rFonts w:cs="David" w:hint="cs"/>
          <w:rtl/>
        </w:rPr>
        <w:t xml:space="preserve"> ג, טו). גם הראש והלענה כשלעצמם משמשים לעתים במובן המטאפורי, כגון: </w:t>
      </w:r>
      <w:r w:rsidR="00D87F6F">
        <w:rPr>
          <w:rFonts w:cs="David"/>
          <w:rtl/>
        </w:rPr>
        <w:t>“</w:t>
      </w:r>
      <w:r w:rsidR="00202828">
        <w:rPr>
          <w:rFonts w:cs="David" w:hint="cs"/>
          <w:rtl/>
        </w:rPr>
        <w:t>פן יש בכם שרש פרה ראש ולענה</w:t>
      </w:r>
      <w:r w:rsidR="00D87F6F">
        <w:rPr>
          <w:rFonts w:cs="David"/>
          <w:rtl/>
        </w:rPr>
        <w:t>”</w:t>
      </w:r>
      <w:r w:rsidR="00202828">
        <w:rPr>
          <w:rFonts w:cs="David" w:hint="cs"/>
          <w:rtl/>
        </w:rPr>
        <w:t xml:space="preserve"> (דב</w:t>
      </w:r>
      <w:r w:rsidR="00D87F6F">
        <w:rPr>
          <w:rFonts w:cs="David"/>
          <w:rtl/>
        </w:rPr>
        <w:t>’</w:t>
      </w:r>
      <w:r w:rsidR="00202828">
        <w:rPr>
          <w:rFonts w:cs="David" w:hint="cs"/>
          <w:rtl/>
        </w:rPr>
        <w:t xml:space="preserve"> כט, יז).</w:t>
      </w:r>
      <w:r w:rsidR="00202828" w:rsidRPr="00520FBA">
        <w:rPr>
          <w:rStyle w:val="FootnoteReference"/>
          <w:rFonts w:cs="David"/>
          <w:rtl/>
        </w:rPr>
        <w:footnoteReference w:id="55"/>
      </w:r>
      <w:r w:rsidR="00202828">
        <w:rPr>
          <w:rFonts w:cs="David" w:hint="cs"/>
          <w:rtl/>
        </w:rPr>
        <w:t xml:space="preserve"> שימוש מטאפורי נוסף נמצא בנבואותיהם של עמוס והושע, המדמים</w:t>
      </w:r>
      <w:r w:rsidR="00202828" w:rsidRPr="00B231B7">
        <w:rPr>
          <w:rFonts w:cs="David" w:hint="cs"/>
          <w:rtl/>
        </w:rPr>
        <w:t xml:space="preserve"> </w:t>
      </w:r>
      <w:r w:rsidR="00202828">
        <w:rPr>
          <w:rFonts w:cs="David" w:hint="cs"/>
          <w:rtl/>
        </w:rPr>
        <w:t xml:space="preserve">את עשיית המשפט לראש ולענה: </w:t>
      </w:r>
      <w:r w:rsidR="00D87F6F">
        <w:rPr>
          <w:rFonts w:cs="David"/>
          <w:rtl/>
        </w:rPr>
        <w:t>“</w:t>
      </w:r>
      <w:r w:rsidR="00202828" w:rsidRPr="00764AD9">
        <w:rPr>
          <w:rFonts w:cs="David" w:hint="cs"/>
          <w:rtl/>
        </w:rPr>
        <w:t>ההפכים ללענה משפט</w:t>
      </w:r>
      <w:r w:rsidR="00D87F6F">
        <w:rPr>
          <w:rFonts w:cs="David"/>
          <w:rtl/>
        </w:rPr>
        <w:t>”</w:t>
      </w:r>
      <w:r w:rsidR="00202828" w:rsidRPr="00764AD9">
        <w:rPr>
          <w:rFonts w:cs="David" w:hint="cs"/>
          <w:rtl/>
        </w:rPr>
        <w:t xml:space="preserve"> (עמוס ה, ז); </w:t>
      </w:r>
      <w:r w:rsidR="00D87F6F">
        <w:rPr>
          <w:rFonts w:cs="David"/>
          <w:rtl/>
        </w:rPr>
        <w:t>“</w:t>
      </w:r>
      <w:r w:rsidR="00202828" w:rsidRPr="00764AD9">
        <w:rPr>
          <w:rFonts w:cs="David" w:hint="cs"/>
          <w:rtl/>
        </w:rPr>
        <w:t>הפכתם לראש משפט ופרי צדקה ללענה</w:t>
      </w:r>
      <w:r w:rsidR="00D87F6F">
        <w:rPr>
          <w:rFonts w:cs="David"/>
          <w:rtl/>
        </w:rPr>
        <w:t>”</w:t>
      </w:r>
      <w:r w:rsidR="00202828" w:rsidRPr="00764AD9">
        <w:rPr>
          <w:rFonts w:cs="David" w:hint="cs"/>
          <w:rtl/>
        </w:rPr>
        <w:t xml:space="preserve"> (שם ו, יב)</w:t>
      </w:r>
      <w:r w:rsidR="00202828">
        <w:rPr>
          <w:rFonts w:cs="David" w:hint="cs"/>
          <w:rtl/>
        </w:rPr>
        <w:t>;</w:t>
      </w:r>
      <w:r w:rsidR="00202828" w:rsidRPr="00E1571D">
        <w:rPr>
          <w:rFonts w:cs="David" w:hint="cs"/>
          <w:rtl/>
        </w:rPr>
        <w:t xml:space="preserve"> </w:t>
      </w:r>
      <w:r w:rsidR="00D87F6F">
        <w:rPr>
          <w:rFonts w:cs="David"/>
          <w:rtl/>
        </w:rPr>
        <w:t>“</w:t>
      </w:r>
      <w:r w:rsidR="00202828" w:rsidRPr="00764AD9">
        <w:rPr>
          <w:rFonts w:cs="David" w:hint="cs"/>
          <w:rtl/>
        </w:rPr>
        <w:t>ופרח כראש משפט</w:t>
      </w:r>
      <w:r w:rsidR="00D87F6F">
        <w:rPr>
          <w:rFonts w:cs="David"/>
          <w:rtl/>
        </w:rPr>
        <w:t>”</w:t>
      </w:r>
      <w:r w:rsidR="00202828" w:rsidRPr="00764AD9">
        <w:rPr>
          <w:rFonts w:cs="David" w:hint="cs"/>
          <w:rtl/>
        </w:rPr>
        <w:t xml:space="preserve"> (</w:t>
      </w:r>
      <w:r w:rsidR="00202828">
        <w:rPr>
          <w:rFonts w:cs="David" w:hint="cs"/>
          <w:rtl/>
        </w:rPr>
        <w:t>הוש</w:t>
      </w:r>
      <w:r w:rsidR="00D87F6F">
        <w:rPr>
          <w:rFonts w:cs="David"/>
          <w:rtl/>
        </w:rPr>
        <w:t>’</w:t>
      </w:r>
      <w:r w:rsidR="00202828">
        <w:rPr>
          <w:rFonts w:cs="David" w:hint="cs"/>
          <w:rtl/>
        </w:rPr>
        <w:t xml:space="preserve"> </w:t>
      </w:r>
      <w:r w:rsidR="00202828" w:rsidRPr="00764AD9">
        <w:rPr>
          <w:rFonts w:cs="David" w:hint="cs"/>
          <w:rtl/>
        </w:rPr>
        <w:t>י, ד)</w:t>
      </w:r>
      <w:r w:rsidR="00202828">
        <w:rPr>
          <w:rFonts w:cs="David" w:hint="cs"/>
          <w:rtl/>
        </w:rPr>
        <w:t>.</w:t>
      </w:r>
      <w:r w:rsidR="00202828" w:rsidRPr="00764AD9">
        <w:rPr>
          <w:rFonts w:cs="David" w:hint="cs"/>
          <w:rtl/>
        </w:rPr>
        <w:t xml:space="preserve"> </w:t>
      </w:r>
      <w:r w:rsidR="00202828">
        <w:rPr>
          <w:rFonts w:cs="David" w:hint="cs"/>
          <w:rtl/>
        </w:rPr>
        <w:t>יתכן שבחירתם ב</w:t>
      </w:r>
      <w:r w:rsidR="00202828" w:rsidRPr="00764AD9">
        <w:rPr>
          <w:rFonts w:cs="David" w:hint="cs"/>
          <w:rtl/>
        </w:rPr>
        <w:t xml:space="preserve">דימויים </w:t>
      </w:r>
      <w:r w:rsidR="00202828">
        <w:rPr>
          <w:rFonts w:cs="David" w:hint="cs"/>
          <w:rtl/>
        </w:rPr>
        <w:t>אלו נובעת</w:t>
      </w:r>
      <w:r w:rsidR="00202828" w:rsidRPr="00764AD9">
        <w:rPr>
          <w:rFonts w:cs="David" w:hint="cs"/>
          <w:rtl/>
        </w:rPr>
        <w:t xml:space="preserve"> </w:t>
      </w:r>
      <w:r w:rsidR="00202828">
        <w:rPr>
          <w:rFonts w:cs="David" w:hint="cs"/>
          <w:rtl/>
        </w:rPr>
        <w:t>מ</w:t>
      </w:r>
      <w:r w:rsidR="00202828" w:rsidRPr="00764AD9">
        <w:rPr>
          <w:rFonts w:cs="David" w:hint="cs"/>
          <w:rtl/>
        </w:rPr>
        <w:t>הנוהג להשתמש בראש ו</w:t>
      </w:r>
      <w:r w:rsidR="00202828">
        <w:rPr>
          <w:rFonts w:cs="David" w:hint="cs"/>
          <w:rtl/>
        </w:rPr>
        <w:t>בלענה במסגרת הסנקציה המשפטית. הנביאים מלינים על כך ש</w:t>
      </w:r>
      <w:r w:rsidR="00202828" w:rsidRPr="00764AD9">
        <w:rPr>
          <w:rFonts w:cs="David" w:hint="cs"/>
          <w:rtl/>
        </w:rPr>
        <w:t xml:space="preserve">במקום </w:t>
      </w:r>
      <w:r w:rsidR="00EB6E50">
        <w:rPr>
          <w:rFonts w:cs="David" w:hint="cs"/>
          <w:rtl/>
        </w:rPr>
        <w:t>שייעשה</w:t>
      </w:r>
      <w:r w:rsidR="00202828">
        <w:rPr>
          <w:rFonts w:cs="David" w:hint="cs"/>
          <w:rtl/>
        </w:rPr>
        <w:t xml:space="preserve"> שימוש מושכל</w:t>
      </w:r>
      <w:r w:rsidR="00202828" w:rsidRPr="00764AD9">
        <w:rPr>
          <w:rFonts w:cs="David" w:hint="cs"/>
          <w:rtl/>
        </w:rPr>
        <w:t xml:space="preserve"> </w:t>
      </w:r>
      <w:r w:rsidR="00EB6E50">
        <w:rPr>
          <w:rFonts w:cs="David" w:hint="cs"/>
          <w:rtl/>
        </w:rPr>
        <w:t>בראש ובלענה במובנם הקונקרטי</w:t>
      </w:r>
      <w:r w:rsidR="00202828">
        <w:rPr>
          <w:rFonts w:cs="David" w:hint="cs"/>
          <w:rtl/>
        </w:rPr>
        <w:t xml:space="preserve"> כאמצעי ענישה לגיטימי, </w:t>
      </w:r>
      <w:r w:rsidR="00EB6E50">
        <w:rPr>
          <w:rFonts w:cs="David" w:hint="cs"/>
          <w:rtl/>
        </w:rPr>
        <w:t>השופטים</w:t>
      </w:r>
      <w:r w:rsidR="00202828">
        <w:rPr>
          <w:rFonts w:cs="David" w:hint="cs"/>
          <w:rtl/>
        </w:rPr>
        <w:t xml:space="preserve"> הופכים את ההליך המשפטי עצמו לראש וללענה במובנם המטאפורי.</w:t>
      </w:r>
      <w:r w:rsidR="00374B3A">
        <w:rPr>
          <w:rFonts w:cs="David" w:hint="cs"/>
          <w:rtl/>
        </w:rPr>
        <w:t xml:space="preserve"> </w:t>
      </w:r>
      <w:r w:rsidR="007A6DB6">
        <w:rPr>
          <w:rFonts w:cs="David" w:hint="cs"/>
          <w:rtl/>
        </w:rPr>
        <w:t>תלונה דומה ניתן למצוא בתהלים נח. בעל המזמור יוצר הנגדה בין השופטים האנושיים שפועלים בחוסר צדק ומישרים לבין משפטו של אלוהים.</w:t>
      </w:r>
      <w:r w:rsidR="007A6DB6" w:rsidRPr="00EB4765">
        <w:rPr>
          <w:rStyle w:val="FootnoteReference"/>
          <w:rFonts w:cs="David"/>
          <w:rtl/>
        </w:rPr>
        <w:footnoteReference w:id="56"/>
      </w:r>
      <w:r w:rsidR="007A6DB6">
        <w:rPr>
          <w:rFonts w:cs="David" w:hint="cs"/>
          <w:rtl/>
        </w:rPr>
        <w:t xml:space="preserve"> פעולות השיפוט המושחתות מתוארות באמצעות הצגת השימוש המעוות שנעשה בכלים המשפטיים הלגיטימיים. במסגרת תיאור זה מוזכר הפלס, שאמור לשמש כמאזני משפט (מש</w:t>
      </w:r>
      <w:r w:rsidR="00D87F6F">
        <w:rPr>
          <w:rFonts w:cs="David"/>
          <w:rtl/>
        </w:rPr>
        <w:t>’</w:t>
      </w:r>
      <w:r w:rsidR="007A6DB6">
        <w:rPr>
          <w:rFonts w:cs="David" w:hint="cs"/>
          <w:rtl/>
        </w:rPr>
        <w:t xml:space="preserve"> טז, יא), ככלי שמשרת את פעולת החמס (פס</w:t>
      </w:r>
      <w:r w:rsidR="00D87F6F">
        <w:rPr>
          <w:rFonts w:cs="David"/>
          <w:rtl/>
        </w:rPr>
        <w:t>’</w:t>
      </w:r>
      <w:r w:rsidR="007A6DB6">
        <w:rPr>
          <w:rFonts w:cs="David" w:hint="cs"/>
          <w:rtl/>
        </w:rPr>
        <w:t xml:space="preserve"> ג). וכן מוזכרת חמת הנחש, שאמורה לשמש במקרים שיפוטיים מ</w:t>
      </w:r>
      <w:r w:rsidR="00FE5451">
        <w:rPr>
          <w:rFonts w:cs="David" w:hint="cs"/>
          <w:rtl/>
        </w:rPr>
        <w:t>וגדרים</w:t>
      </w:r>
      <w:r w:rsidR="007A6DB6">
        <w:rPr>
          <w:rFonts w:cs="David" w:hint="cs"/>
          <w:rtl/>
        </w:rPr>
        <w:t xml:space="preserve">, ככלי שמשתמשים בו ללא הבחנה. השופטים, שאינם מקשיבים </w:t>
      </w:r>
      <w:r w:rsidR="00D87F6F">
        <w:rPr>
          <w:rFonts w:cs="David"/>
          <w:rtl/>
        </w:rPr>
        <w:t>“</w:t>
      </w:r>
      <w:r w:rsidR="007A6DB6">
        <w:rPr>
          <w:rFonts w:cs="David" w:hint="cs"/>
          <w:rtl/>
        </w:rPr>
        <w:t>לקול הצדיק במשפטו... וישפטו עליו כפי לבבם ורצונם</w:t>
      </w:r>
      <w:r w:rsidR="00D87F6F">
        <w:rPr>
          <w:rFonts w:cs="David"/>
          <w:rtl/>
        </w:rPr>
        <w:t>”</w:t>
      </w:r>
      <w:r w:rsidR="007A6DB6">
        <w:rPr>
          <w:rFonts w:cs="David" w:hint="cs"/>
          <w:rtl/>
        </w:rPr>
        <w:t xml:space="preserve"> כפי שכותב רד</w:t>
      </w:r>
      <w:r w:rsidR="00D87F6F">
        <w:rPr>
          <w:rFonts w:cs="David"/>
          <w:rtl/>
        </w:rPr>
        <w:t>”</w:t>
      </w:r>
      <w:r w:rsidR="007A6DB6">
        <w:rPr>
          <w:rFonts w:cs="David" w:hint="cs"/>
          <w:rtl/>
        </w:rPr>
        <w:t>ק, מדומים לפתן חרש ששום לחש שישמיעו לו לא יעצור בעדו מלהטיל את ארסו (פס</w:t>
      </w:r>
      <w:r w:rsidR="00D87F6F">
        <w:rPr>
          <w:rFonts w:cs="David"/>
          <w:rtl/>
        </w:rPr>
        <w:t>’</w:t>
      </w:r>
      <w:r w:rsidR="007A6DB6">
        <w:rPr>
          <w:rFonts w:cs="David" w:hint="cs"/>
          <w:rtl/>
        </w:rPr>
        <w:t xml:space="preserve"> ה).</w:t>
      </w:r>
      <w:r w:rsidR="007A6DB6" w:rsidRPr="00EB4765">
        <w:rPr>
          <w:rStyle w:val="FootnoteReference"/>
          <w:rFonts w:cs="David"/>
          <w:rtl/>
        </w:rPr>
        <w:footnoteReference w:id="57"/>
      </w:r>
      <w:r w:rsidR="007A6DB6">
        <w:rPr>
          <w:rFonts w:cs="David" w:hint="cs"/>
          <w:rtl/>
        </w:rPr>
        <w:t xml:space="preserve"> </w:t>
      </w:r>
    </w:p>
    <w:p w:rsidR="00CA6CCC" w:rsidRDefault="00EC17E4" w:rsidP="00CA6CCC">
      <w:pPr>
        <w:spacing w:line="360" w:lineRule="auto"/>
        <w:ind w:left="-20"/>
        <w:jc w:val="both"/>
        <w:rPr>
          <w:rFonts w:ascii="David" w:hAnsi="David" w:cs="David"/>
          <w:b/>
          <w:bCs/>
          <w:u w:val="single"/>
          <w:rtl/>
        </w:rPr>
      </w:pPr>
      <w:r w:rsidRPr="00EC17E4">
        <w:rPr>
          <w:rFonts w:cs="David" w:hint="cs"/>
          <w:rtl/>
        </w:rPr>
        <w:t>השימוש בשתיית המים המרים כמטבע לשון</w:t>
      </w:r>
      <w:r w:rsidR="00B8557C">
        <w:rPr>
          <w:rFonts w:cs="David" w:hint="cs"/>
          <w:rtl/>
        </w:rPr>
        <w:t xml:space="preserve"> כללי</w:t>
      </w:r>
      <w:r w:rsidRPr="00EC17E4">
        <w:rPr>
          <w:rFonts w:cs="David" w:hint="cs"/>
          <w:rtl/>
        </w:rPr>
        <w:t xml:space="preserve"> גורר בעקבותיו גם את היפוכו של המוטיב, כשהשתייה מבטאת ישועה מן הייסורים: </w:t>
      </w:r>
      <w:r w:rsidR="00D87F6F">
        <w:rPr>
          <w:rFonts w:cs="David"/>
          <w:rtl/>
        </w:rPr>
        <w:t>“</w:t>
      </w:r>
      <w:r w:rsidRPr="00EC17E4">
        <w:rPr>
          <w:rFonts w:cs="David" w:hint="cs"/>
          <w:rtl/>
        </w:rPr>
        <w:t>כוסי רויה</w:t>
      </w:r>
      <w:r w:rsidR="00D87F6F">
        <w:rPr>
          <w:rFonts w:cs="David"/>
          <w:rtl/>
        </w:rPr>
        <w:t>”</w:t>
      </w:r>
      <w:r w:rsidRPr="00EC17E4">
        <w:rPr>
          <w:rFonts w:cs="David" w:hint="cs"/>
          <w:rtl/>
        </w:rPr>
        <w:t xml:space="preserve"> (תה</w:t>
      </w:r>
      <w:r w:rsidR="00D87F6F">
        <w:rPr>
          <w:rFonts w:cs="David"/>
          <w:rtl/>
        </w:rPr>
        <w:t>’</w:t>
      </w:r>
      <w:r w:rsidRPr="00EC17E4">
        <w:rPr>
          <w:rFonts w:cs="David" w:hint="cs"/>
          <w:rtl/>
        </w:rPr>
        <w:t xml:space="preserve"> כג, ה); </w:t>
      </w:r>
      <w:r w:rsidR="00D87F6F">
        <w:rPr>
          <w:rFonts w:cs="David"/>
          <w:rtl/>
        </w:rPr>
        <w:t>“</w:t>
      </w:r>
      <w:r w:rsidRPr="00EC17E4">
        <w:rPr>
          <w:rFonts w:cs="David" w:hint="cs"/>
          <w:rtl/>
        </w:rPr>
        <w:t>כוס ישועות אשא</w:t>
      </w:r>
      <w:r w:rsidR="00D87F6F">
        <w:rPr>
          <w:rFonts w:cs="David"/>
          <w:rtl/>
        </w:rPr>
        <w:t>”</w:t>
      </w:r>
      <w:r w:rsidRPr="00EC17E4">
        <w:rPr>
          <w:rFonts w:cs="David" w:hint="cs"/>
          <w:rtl/>
        </w:rPr>
        <w:t xml:space="preserve"> (שם קטז, יג).</w:t>
      </w:r>
      <w:r w:rsidRPr="00EC17E4">
        <w:rPr>
          <w:rStyle w:val="FootnoteReference"/>
          <w:rFonts w:cs="David"/>
          <w:rtl/>
        </w:rPr>
        <w:footnoteReference w:id="58"/>
      </w:r>
      <w:r w:rsidRPr="00EC17E4">
        <w:rPr>
          <w:rFonts w:cs="David" w:hint="cs"/>
          <w:rtl/>
        </w:rPr>
        <w:t xml:space="preserve"> ביטוי אחר מופיע בנבואת ירמיהו: </w:t>
      </w:r>
      <w:r w:rsidR="00D87F6F">
        <w:rPr>
          <w:rFonts w:cs="David"/>
          <w:rtl/>
        </w:rPr>
        <w:t>“</w:t>
      </w:r>
      <w:r w:rsidRPr="00EC17E4">
        <w:rPr>
          <w:rFonts w:cs="David" w:hint="cs"/>
          <w:rtl/>
        </w:rPr>
        <w:t>כוס תנחומים</w:t>
      </w:r>
      <w:r w:rsidR="00D87F6F">
        <w:rPr>
          <w:rFonts w:cs="David"/>
          <w:rtl/>
        </w:rPr>
        <w:t>”</w:t>
      </w:r>
      <w:r w:rsidRPr="00EC17E4">
        <w:rPr>
          <w:rFonts w:cs="David" w:hint="cs"/>
          <w:rtl/>
        </w:rPr>
        <w:t xml:space="preserve"> (טז, ז), כשההשקיה אינה מבטאת ישועה מן היי</w:t>
      </w:r>
      <w:r w:rsidR="00A06727">
        <w:rPr>
          <w:rFonts w:cs="David" w:hint="cs"/>
          <w:rtl/>
        </w:rPr>
        <w:t>סורים אלא נחמה על התרחשותם.</w:t>
      </w:r>
      <w:r w:rsidR="00A06727" w:rsidRPr="00EC17E4">
        <w:rPr>
          <w:rStyle w:val="FootnoteReference"/>
          <w:rFonts w:cs="David"/>
          <w:rtl/>
        </w:rPr>
        <w:footnoteReference w:id="59"/>
      </w:r>
      <w:r w:rsidRPr="00EC17E4">
        <w:rPr>
          <w:rFonts w:cs="David" w:hint="cs"/>
          <w:rtl/>
        </w:rPr>
        <w:t xml:space="preserve"> </w:t>
      </w:r>
    </w:p>
    <w:p w:rsidR="00F97239" w:rsidRDefault="00481512" w:rsidP="009743AD">
      <w:pPr>
        <w:spacing w:line="360" w:lineRule="auto"/>
        <w:ind w:left="-20"/>
        <w:jc w:val="both"/>
        <w:rPr>
          <w:rFonts w:ascii="David" w:hAnsi="David" w:cs="David"/>
          <w:b/>
          <w:bCs/>
          <w:u w:val="single"/>
          <w:rtl/>
        </w:rPr>
      </w:pPr>
      <w:r>
        <w:rPr>
          <w:rFonts w:cs="David" w:hint="cs"/>
          <w:rtl/>
        </w:rPr>
        <w:t xml:space="preserve">בסיומו של פרק זה ניתן אפוא לומר שבדימוי ההשקיה </w:t>
      </w:r>
      <w:r w:rsidRPr="00481512">
        <w:rPr>
          <w:rFonts w:cs="David" w:hint="cs"/>
          <w:rtl/>
        </w:rPr>
        <w:t>מש</w:t>
      </w:r>
      <w:r>
        <w:rPr>
          <w:rFonts w:cs="David" w:hint="cs"/>
          <w:rtl/>
        </w:rPr>
        <w:t>ת</w:t>
      </w:r>
      <w:r w:rsidRPr="00481512">
        <w:rPr>
          <w:rFonts w:cs="David" w:hint="cs"/>
          <w:rtl/>
        </w:rPr>
        <w:t xml:space="preserve">קף </w:t>
      </w:r>
      <w:r>
        <w:rPr>
          <w:rFonts w:cs="David" w:hint="cs"/>
          <w:rtl/>
        </w:rPr>
        <w:t>חוק אדג</w:t>
      </w:r>
      <w:r w:rsidR="00D87F6F">
        <w:rPr>
          <w:rFonts w:cs="David"/>
          <w:rtl/>
        </w:rPr>
        <w:t>’</w:t>
      </w:r>
      <w:r>
        <w:rPr>
          <w:rFonts w:cs="David" w:hint="cs"/>
          <w:rtl/>
        </w:rPr>
        <w:t>קטיבי</w:t>
      </w:r>
      <w:r w:rsidRPr="00481512">
        <w:rPr>
          <w:rFonts w:cs="David" w:hint="cs"/>
          <w:rtl/>
        </w:rPr>
        <w:t xml:space="preserve"> ש</w:t>
      </w:r>
      <w:r>
        <w:rPr>
          <w:rFonts w:cs="David" w:hint="cs"/>
          <w:rtl/>
        </w:rPr>
        <w:t>שימש</w:t>
      </w:r>
      <w:r w:rsidRPr="00481512">
        <w:rPr>
          <w:rFonts w:cs="David" w:hint="cs"/>
          <w:rtl/>
        </w:rPr>
        <w:t xml:space="preserve"> </w:t>
      </w:r>
      <w:r w:rsidR="009743AD" w:rsidRPr="00481512">
        <w:rPr>
          <w:rFonts w:cs="David" w:hint="cs"/>
          <w:rtl/>
        </w:rPr>
        <w:t>בתקופת המקרא</w:t>
      </w:r>
      <w:r w:rsidRPr="00481512">
        <w:rPr>
          <w:rFonts w:cs="David" w:hint="cs"/>
          <w:rtl/>
        </w:rPr>
        <w:t xml:space="preserve"> לטיפול באישה נואפת</w:t>
      </w:r>
      <w:r w:rsidR="009743AD">
        <w:rPr>
          <w:rFonts w:cs="David" w:hint="cs"/>
          <w:rtl/>
        </w:rPr>
        <w:t xml:space="preserve"> ואולי גם מזנה</w:t>
      </w:r>
      <w:r w:rsidRPr="00481512">
        <w:rPr>
          <w:rFonts w:cs="David" w:hint="cs"/>
          <w:rtl/>
        </w:rPr>
        <w:t xml:space="preserve">. ההשקיה שימשה </w:t>
      </w:r>
      <w:r w:rsidR="00ED336F">
        <w:rPr>
          <w:rFonts w:cs="David" w:hint="cs"/>
          <w:rtl/>
        </w:rPr>
        <w:t xml:space="preserve">ככל הנראה </w:t>
      </w:r>
      <w:r w:rsidRPr="00481512">
        <w:rPr>
          <w:rFonts w:cs="David" w:hint="cs"/>
          <w:rtl/>
        </w:rPr>
        <w:t xml:space="preserve">להענשת האישה יותר מאשר לבדיקת אשמתה, </w:t>
      </w:r>
      <w:r w:rsidR="00ED336F">
        <w:rPr>
          <w:rFonts w:cs="David" w:hint="cs"/>
          <w:rtl/>
        </w:rPr>
        <w:t>אולם</w:t>
      </w:r>
      <w:r w:rsidRPr="00481512">
        <w:rPr>
          <w:rFonts w:cs="David" w:hint="cs"/>
          <w:rtl/>
        </w:rPr>
        <w:t xml:space="preserve"> קשה להכריע בוודאות בעניין זה.</w:t>
      </w:r>
      <w:r w:rsidRPr="00481512">
        <w:rPr>
          <w:rStyle w:val="FootnoteReference"/>
          <w:rFonts w:cs="David"/>
          <w:rtl/>
        </w:rPr>
        <w:footnoteReference w:id="60"/>
      </w:r>
      <w:r w:rsidRPr="00481512">
        <w:rPr>
          <w:rFonts w:cs="David" w:hint="cs"/>
          <w:rtl/>
        </w:rPr>
        <w:t xml:space="preserve"> מתוך הטקסטים לא ניתן להגדיר בבירור באיזה אופן פ</w:t>
      </w:r>
      <w:r w:rsidR="00CA6CCC">
        <w:rPr>
          <w:rFonts w:cs="David" w:hint="cs"/>
          <w:rtl/>
        </w:rPr>
        <w:t>עלה</w:t>
      </w:r>
      <w:r w:rsidRPr="00481512">
        <w:rPr>
          <w:rFonts w:cs="David" w:hint="cs"/>
          <w:rtl/>
        </w:rPr>
        <w:t xml:space="preserve"> ההשקיה על האישה: בגרימת צער ופגיעה </w:t>
      </w:r>
      <w:r w:rsidRPr="00481512">
        <w:rPr>
          <w:rFonts w:cs="David" w:hint="cs"/>
          <w:rtl/>
        </w:rPr>
        <w:lastRenderedPageBreak/>
        <w:t>בכבודה;</w:t>
      </w:r>
      <w:r w:rsidRPr="00481512">
        <w:rPr>
          <w:rStyle w:val="FootnoteReference"/>
          <w:rFonts w:cs="David"/>
          <w:rtl/>
        </w:rPr>
        <w:footnoteReference w:id="61"/>
      </w:r>
      <w:r w:rsidRPr="00481512">
        <w:rPr>
          <w:rFonts w:cs="David" w:hint="cs"/>
          <w:rtl/>
        </w:rPr>
        <w:t xml:space="preserve"> בהבאת חולי ואף מוות;</w:t>
      </w:r>
      <w:r w:rsidRPr="00481512">
        <w:rPr>
          <w:rStyle w:val="FootnoteReference"/>
          <w:rFonts w:cs="David"/>
          <w:rtl/>
        </w:rPr>
        <w:footnoteReference w:id="62"/>
      </w:r>
      <w:r w:rsidRPr="00481512">
        <w:rPr>
          <w:rFonts w:cs="David" w:hint="cs"/>
          <w:rtl/>
        </w:rPr>
        <w:t xml:space="preserve"> בהפלת העובר שיתכן ונוצר ברחמה.</w:t>
      </w:r>
      <w:r w:rsidRPr="00481512">
        <w:rPr>
          <w:rStyle w:val="FootnoteReference"/>
          <w:rFonts w:cs="David"/>
          <w:rtl/>
        </w:rPr>
        <w:footnoteReference w:id="63"/>
      </w:r>
      <w:r w:rsidR="00CA6CCC" w:rsidRPr="00CA6CCC">
        <w:rPr>
          <w:rFonts w:ascii="David" w:hAnsi="David" w:cs="David" w:hint="cs"/>
          <w:b/>
          <w:bCs/>
          <w:rtl/>
        </w:rPr>
        <w:t xml:space="preserve"> </w:t>
      </w:r>
      <w:r w:rsidR="00F97239" w:rsidRPr="00CA6CCC">
        <w:rPr>
          <w:rFonts w:cs="David" w:hint="cs"/>
          <w:rtl/>
        </w:rPr>
        <w:t xml:space="preserve">העובדה </w:t>
      </w:r>
      <w:r w:rsidR="00ED336F">
        <w:rPr>
          <w:rFonts w:cs="David" w:hint="cs"/>
          <w:rtl/>
        </w:rPr>
        <w:t>שחוק זה</w:t>
      </w:r>
      <w:r w:rsidR="00ED336F" w:rsidRPr="00CA6CCC">
        <w:rPr>
          <w:rFonts w:cs="David" w:hint="cs"/>
          <w:rtl/>
        </w:rPr>
        <w:t xml:space="preserve">, </w:t>
      </w:r>
      <w:r w:rsidR="00ED336F">
        <w:rPr>
          <w:rFonts w:cs="David" w:hint="cs"/>
          <w:rtl/>
        </w:rPr>
        <w:t>כמו חוק</w:t>
      </w:r>
      <w:r w:rsidR="00ED336F" w:rsidRPr="00CA6CCC">
        <w:rPr>
          <w:rFonts w:cs="David" w:hint="cs"/>
          <w:rtl/>
        </w:rPr>
        <w:t xml:space="preserve"> הפשטת הנואפת, </w:t>
      </w:r>
      <w:r w:rsidR="00ED336F">
        <w:rPr>
          <w:rFonts w:cs="David" w:hint="cs"/>
          <w:rtl/>
        </w:rPr>
        <w:t>לא נזכר במפורש בספרות החוק מחייבת להתייחס לקיומו</w:t>
      </w:r>
      <w:r w:rsidR="00F97239" w:rsidRPr="00CA6CCC">
        <w:rPr>
          <w:rFonts w:cs="David" w:hint="cs"/>
          <w:rtl/>
        </w:rPr>
        <w:t xml:space="preserve"> כהשערה בלבד.</w:t>
      </w:r>
      <w:r w:rsidR="00CA6CCC" w:rsidRPr="00481512">
        <w:rPr>
          <w:rStyle w:val="FootnoteReference"/>
          <w:rFonts w:cs="David"/>
          <w:rtl/>
        </w:rPr>
        <w:footnoteReference w:id="64"/>
      </w:r>
      <w:r w:rsidR="00F97239" w:rsidRPr="00CA6CCC">
        <w:rPr>
          <w:rFonts w:cs="David" w:hint="cs"/>
          <w:rtl/>
        </w:rPr>
        <w:t xml:space="preserve"> </w:t>
      </w:r>
    </w:p>
    <w:p w:rsidR="009743AD" w:rsidRPr="00CA6CCC" w:rsidRDefault="009743AD" w:rsidP="00ED336F">
      <w:pPr>
        <w:spacing w:line="360" w:lineRule="auto"/>
        <w:ind w:left="-20"/>
        <w:jc w:val="both"/>
        <w:rPr>
          <w:rFonts w:ascii="David" w:hAnsi="David" w:cs="David"/>
          <w:b/>
          <w:bCs/>
          <w:u w:val="single"/>
          <w:rtl/>
        </w:rPr>
      </w:pPr>
    </w:p>
    <w:p w:rsidR="00CC52E3" w:rsidRPr="00740E82" w:rsidRDefault="00740E82" w:rsidP="001D6304">
      <w:pPr>
        <w:numPr>
          <w:ilvl w:val="0"/>
          <w:numId w:val="31"/>
        </w:numPr>
        <w:spacing w:line="360" w:lineRule="auto"/>
        <w:rPr>
          <w:rFonts w:cs="David"/>
          <w:b/>
          <w:bCs/>
          <w:rtl/>
        </w:rPr>
      </w:pPr>
      <w:r w:rsidRPr="00740E82">
        <w:rPr>
          <w:rFonts w:cs="David" w:hint="cs"/>
          <w:b/>
          <w:bCs/>
          <w:rtl/>
        </w:rPr>
        <w:t>חוק הסוטה לאור כוס התרעלה</w:t>
      </w:r>
    </w:p>
    <w:p w:rsidR="004202BE" w:rsidRDefault="00F06FA6" w:rsidP="0038699D">
      <w:pPr>
        <w:spacing w:line="360" w:lineRule="auto"/>
        <w:jc w:val="both"/>
        <w:rPr>
          <w:rFonts w:ascii="David" w:hAnsi="David" w:cs="David"/>
          <w:rtl/>
        </w:rPr>
      </w:pPr>
      <w:r>
        <w:rPr>
          <w:rFonts w:ascii="David" w:hAnsi="David" w:cs="David" w:hint="cs"/>
          <w:rtl/>
        </w:rPr>
        <w:t xml:space="preserve">גריי טען </w:t>
      </w:r>
      <w:r w:rsidR="00122295">
        <w:rPr>
          <w:rFonts w:ascii="David" w:hAnsi="David" w:cs="David" w:hint="cs"/>
          <w:rtl/>
        </w:rPr>
        <w:t xml:space="preserve">בצדק </w:t>
      </w:r>
      <w:r w:rsidR="00E9244D">
        <w:rPr>
          <w:rFonts w:ascii="David" w:hAnsi="David" w:cs="David" w:hint="cs"/>
          <w:rtl/>
        </w:rPr>
        <w:t>ש</w:t>
      </w:r>
      <w:r>
        <w:rPr>
          <w:rFonts w:ascii="David" w:hAnsi="David" w:cs="David" w:hint="cs"/>
          <w:rtl/>
        </w:rPr>
        <w:t xml:space="preserve">מטרתו של </w:t>
      </w:r>
      <w:r w:rsidR="003305BF">
        <w:rPr>
          <w:rFonts w:ascii="David" w:hAnsi="David" w:cs="David" w:hint="cs"/>
          <w:rtl/>
        </w:rPr>
        <w:t>חוק הנזיר (במ</w:t>
      </w:r>
      <w:r w:rsidR="00D87F6F">
        <w:rPr>
          <w:rFonts w:ascii="David" w:hAnsi="David" w:cs="David"/>
          <w:rtl/>
        </w:rPr>
        <w:t>’</w:t>
      </w:r>
      <w:r w:rsidR="003305BF">
        <w:rPr>
          <w:rFonts w:ascii="David" w:hAnsi="David" w:cs="David" w:hint="cs"/>
          <w:rtl/>
        </w:rPr>
        <w:t xml:space="preserve"> ו, א-כא)</w:t>
      </w:r>
      <w:r>
        <w:rPr>
          <w:rFonts w:ascii="David" w:hAnsi="David" w:cs="David" w:hint="cs"/>
          <w:rtl/>
        </w:rPr>
        <w:t xml:space="preserve"> היא למסד את תופעת הנזירות שהתקיימה בתקופת המקרא. האלמנט המרכזי שהחוק מבקש למסד הוא</w:t>
      </w:r>
      <w:r w:rsidR="00901B3F">
        <w:rPr>
          <w:rFonts w:ascii="David" w:hAnsi="David" w:cs="David" w:hint="cs"/>
          <w:rtl/>
        </w:rPr>
        <w:t xml:space="preserve"> את תקופת הנזירות</w:t>
      </w:r>
      <w:r w:rsidR="00D11036">
        <w:rPr>
          <w:rFonts w:ascii="David" w:hAnsi="David" w:cs="David" w:hint="cs"/>
          <w:rtl/>
        </w:rPr>
        <w:t xml:space="preserve"> שתהייה</w:t>
      </w:r>
      <w:r>
        <w:rPr>
          <w:rFonts w:ascii="David" w:hAnsi="David" w:cs="David" w:hint="cs"/>
          <w:rtl/>
        </w:rPr>
        <w:t xml:space="preserve"> לזמן מוגבל ולא לעולם</w:t>
      </w:r>
      <w:r w:rsidR="0038699D">
        <w:rPr>
          <w:rFonts w:ascii="David" w:hAnsi="David" w:cs="David" w:hint="cs"/>
          <w:rtl/>
        </w:rPr>
        <w:t>, כמתואר למשל בנזירות שמשון</w:t>
      </w:r>
      <w:r>
        <w:rPr>
          <w:rFonts w:ascii="David" w:hAnsi="David" w:cs="David" w:hint="cs"/>
          <w:rtl/>
        </w:rPr>
        <w:t xml:space="preserve">. </w:t>
      </w:r>
      <w:r w:rsidR="00FD28A3">
        <w:rPr>
          <w:rFonts w:ascii="David" w:hAnsi="David" w:cs="David" w:hint="cs"/>
          <w:rtl/>
        </w:rPr>
        <w:t>אלמנט זה מודגש</w:t>
      </w:r>
      <w:r w:rsidR="004202BE">
        <w:rPr>
          <w:rFonts w:ascii="David" w:hAnsi="David" w:cs="David" w:hint="cs"/>
          <w:rtl/>
        </w:rPr>
        <w:t xml:space="preserve"> </w:t>
      </w:r>
      <w:r w:rsidR="00FD28A3">
        <w:rPr>
          <w:rFonts w:ascii="David" w:hAnsi="David" w:cs="David" w:hint="cs"/>
          <w:rtl/>
        </w:rPr>
        <w:t>באמצעות ה</w:t>
      </w:r>
      <w:r>
        <w:rPr>
          <w:rFonts w:ascii="David" w:hAnsi="David" w:cs="David" w:hint="cs"/>
          <w:rtl/>
        </w:rPr>
        <w:t xml:space="preserve">ביטוי </w:t>
      </w:r>
      <w:r w:rsidR="00D87F6F">
        <w:rPr>
          <w:rFonts w:ascii="David" w:hAnsi="David" w:cs="David"/>
          <w:rtl/>
        </w:rPr>
        <w:t>“</w:t>
      </w:r>
      <w:r>
        <w:rPr>
          <w:rFonts w:ascii="David" w:hAnsi="David" w:cs="David" w:hint="cs"/>
          <w:rtl/>
        </w:rPr>
        <w:t>כל ימי נזרו</w:t>
      </w:r>
      <w:r w:rsidR="00D87F6F">
        <w:rPr>
          <w:rFonts w:ascii="David" w:hAnsi="David" w:cs="David"/>
          <w:rtl/>
        </w:rPr>
        <w:t>”</w:t>
      </w:r>
      <w:r>
        <w:rPr>
          <w:rFonts w:ascii="David" w:hAnsi="David" w:cs="David" w:hint="cs"/>
          <w:rtl/>
        </w:rPr>
        <w:t xml:space="preserve"> </w:t>
      </w:r>
      <w:r w:rsidR="004202BE">
        <w:rPr>
          <w:rFonts w:ascii="David" w:hAnsi="David" w:cs="David" w:hint="cs"/>
          <w:rtl/>
        </w:rPr>
        <w:t>ה</w:t>
      </w:r>
      <w:r>
        <w:rPr>
          <w:rFonts w:ascii="David" w:hAnsi="David" w:cs="David" w:hint="cs"/>
          <w:rtl/>
        </w:rPr>
        <w:t xml:space="preserve">חוזר </w:t>
      </w:r>
      <w:r w:rsidR="004202BE">
        <w:rPr>
          <w:rFonts w:ascii="David" w:hAnsi="David" w:cs="David" w:hint="cs"/>
          <w:rtl/>
        </w:rPr>
        <w:t xml:space="preserve">בצורות שונות </w:t>
      </w:r>
      <w:r w:rsidR="00EB73A5">
        <w:rPr>
          <w:rFonts w:ascii="David" w:hAnsi="David" w:cs="David" w:hint="cs"/>
          <w:rtl/>
        </w:rPr>
        <w:t>לאורך החוק (7</w:t>
      </w:r>
      <w:r w:rsidR="00EB73A5" w:rsidRPr="00BE35D0">
        <w:rPr>
          <w:rFonts w:ascii="Calibri" w:hAnsi="Calibri" w:cs="David"/>
        </w:rPr>
        <w:t>X</w:t>
      </w:r>
      <w:r w:rsidR="00EB73A5" w:rsidRPr="00BE35D0">
        <w:rPr>
          <w:rFonts w:ascii="Calibri" w:hAnsi="Calibri" w:cs="David" w:hint="cs"/>
          <w:rtl/>
        </w:rPr>
        <w:t>)</w:t>
      </w:r>
      <w:r>
        <w:rPr>
          <w:rFonts w:ascii="David" w:hAnsi="David" w:cs="David" w:hint="cs"/>
          <w:rtl/>
        </w:rPr>
        <w:t>.</w:t>
      </w:r>
      <w:r w:rsidR="007A2CBE" w:rsidRPr="00481512">
        <w:rPr>
          <w:rStyle w:val="FootnoteReference"/>
          <w:rFonts w:cs="David"/>
          <w:rtl/>
        </w:rPr>
        <w:footnoteReference w:id="65"/>
      </w:r>
      <w:r w:rsidR="003305BF">
        <w:rPr>
          <w:rFonts w:ascii="David" w:hAnsi="David" w:cs="David" w:hint="cs"/>
          <w:rtl/>
        </w:rPr>
        <w:t xml:space="preserve"> </w:t>
      </w:r>
    </w:p>
    <w:p w:rsidR="00190C96" w:rsidRPr="00B9616B" w:rsidRDefault="00FD28A3" w:rsidP="009A08CA">
      <w:pPr>
        <w:spacing w:line="360" w:lineRule="auto"/>
        <w:jc w:val="both"/>
        <w:rPr>
          <w:rFonts w:ascii="David" w:hAnsi="David" w:cs="David"/>
          <w:rtl/>
        </w:rPr>
      </w:pPr>
      <w:r>
        <w:rPr>
          <w:rFonts w:ascii="David" w:hAnsi="David" w:cs="David" w:hint="cs"/>
          <w:rtl/>
        </w:rPr>
        <w:t>חוק הסוטה, הצמוד לחוק הנזיר, נועד אף הוא לצורכי מיסוד ועידון תופעת השקיית הנואפת שהתקיימה בתקופת המקרא. בחינת הביטויים החוזרים בחוק הסוטה חושפת שני אלמנטים מרכזיים שהמחוקק מבקש להדגיש</w:t>
      </w:r>
      <w:r w:rsidR="0038699D">
        <w:rPr>
          <w:rFonts w:ascii="David" w:hAnsi="David" w:cs="David" w:hint="cs"/>
          <w:rtl/>
        </w:rPr>
        <w:t xml:space="preserve"> בהשוואה ל</w:t>
      </w:r>
      <w:r w:rsidR="00972C39">
        <w:rPr>
          <w:rFonts w:ascii="David" w:hAnsi="David" w:cs="David" w:hint="cs"/>
          <w:rtl/>
        </w:rPr>
        <w:t>טקסטים העוסקים בכוס התרעלה</w:t>
      </w:r>
      <w:r>
        <w:rPr>
          <w:rFonts w:ascii="David" w:hAnsi="David" w:cs="David" w:hint="cs"/>
          <w:rtl/>
        </w:rPr>
        <w:t>:</w:t>
      </w:r>
      <w:r w:rsidR="00F736BE">
        <w:rPr>
          <w:rFonts w:ascii="David" w:hAnsi="David" w:cs="David" w:hint="cs"/>
          <w:rtl/>
        </w:rPr>
        <w:t xml:space="preserve"> הראשון הוא הדרישה שהטקס ייערך באחריות הכהן ולא באחריות הבעל (</w:t>
      </w:r>
      <w:r w:rsidR="00972C39">
        <w:rPr>
          <w:rFonts w:ascii="David" w:hAnsi="David" w:cs="David" w:hint="cs"/>
          <w:rtl/>
        </w:rPr>
        <w:t>12</w:t>
      </w:r>
      <w:r w:rsidR="00972C39" w:rsidRPr="00CE7866">
        <w:rPr>
          <w:rFonts w:ascii="Calibri" w:hAnsi="Calibri" w:cs="David"/>
        </w:rPr>
        <w:t>X</w:t>
      </w:r>
      <w:r w:rsidR="00F736BE">
        <w:rPr>
          <w:rFonts w:ascii="David" w:hAnsi="David" w:cs="David" w:hint="cs"/>
          <w:rtl/>
        </w:rPr>
        <w:t>)</w:t>
      </w:r>
      <w:r w:rsidR="00EB73A5">
        <w:rPr>
          <w:rFonts w:ascii="David" w:hAnsi="David" w:cs="David" w:hint="cs"/>
          <w:rtl/>
        </w:rPr>
        <w:t xml:space="preserve">; השני הוא שיש להשקות את האישה מים ולא רעל או </w:t>
      </w:r>
      <w:r w:rsidR="00F736BE">
        <w:rPr>
          <w:rFonts w:ascii="David" w:hAnsi="David" w:cs="David" w:hint="cs"/>
          <w:rtl/>
        </w:rPr>
        <w:t>יין (</w:t>
      </w:r>
      <w:r w:rsidR="00972C39">
        <w:rPr>
          <w:rFonts w:ascii="David" w:hAnsi="David" w:cs="David" w:hint="cs"/>
          <w:rtl/>
        </w:rPr>
        <w:t>11</w:t>
      </w:r>
      <w:r w:rsidR="00972C39" w:rsidRPr="00CE7866">
        <w:rPr>
          <w:rFonts w:ascii="Calibri" w:hAnsi="Calibri" w:cs="David"/>
        </w:rPr>
        <w:t>X</w:t>
      </w:r>
      <w:r w:rsidR="00F736BE">
        <w:rPr>
          <w:rFonts w:ascii="David" w:hAnsi="David" w:cs="David" w:hint="cs"/>
          <w:rtl/>
        </w:rPr>
        <w:t>).</w:t>
      </w:r>
      <w:r w:rsidR="008F4F51" w:rsidRPr="0075000E">
        <w:rPr>
          <w:rStyle w:val="FootnoteReference"/>
          <w:rFonts w:ascii="David" w:hAnsi="David" w:cs="David"/>
          <w:rtl/>
        </w:rPr>
        <w:footnoteReference w:id="66"/>
      </w:r>
      <w:r w:rsidR="008F4F51">
        <w:rPr>
          <w:rFonts w:ascii="David" w:hAnsi="David" w:cs="David" w:hint="cs"/>
          <w:rtl/>
        </w:rPr>
        <w:t xml:space="preserve"> </w:t>
      </w:r>
      <w:r w:rsidR="0038699D">
        <w:rPr>
          <w:rFonts w:ascii="David" w:hAnsi="David" w:cs="David" w:hint="cs"/>
          <w:rtl/>
        </w:rPr>
        <w:t xml:space="preserve">אבל שני אלמנטים אלו הם </w:t>
      </w:r>
      <w:r w:rsidR="00EB73A5">
        <w:rPr>
          <w:rFonts w:ascii="David" w:hAnsi="David" w:cs="David" w:hint="cs"/>
          <w:rtl/>
        </w:rPr>
        <w:t>רק</w:t>
      </w:r>
      <w:r w:rsidR="0038699D">
        <w:rPr>
          <w:rFonts w:ascii="David" w:hAnsi="David" w:cs="David" w:hint="cs"/>
          <w:rtl/>
        </w:rPr>
        <w:t xml:space="preserve"> ביטוי להבדל הדרמטי שבין </w:t>
      </w:r>
      <w:r w:rsidR="00DD223E">
        <w:rPr>
          <w:rFonts w:ascii="David" w:hAnsi="David" w:cs="David" w:hint="cs"/>
          <w:rtl/>
        </w:rPr>
        <w:t>ה</w:t>
      </w:r>
      <w:r w:rsidR="0038699D">
        <w:rPr>
          <w:rFonts w:ascii="David" w:hAnsi="David" w:cs="David" w:hint="cs"/>
          <w:rtl/>
        </w:rPr>
        <w:t xml:space="preserve">חוק </w:t>
      </w:r>
      <w:r w:rsidR="00DD223E">
        <w:rPr>
          <w:rFonts w:ascii="David" w:hAnsi="David" w:cs="David" w:hint="cs"/>
          <w:rtl/>
        </w:rPr>
        <w:t>הסובסטנטיבי (</w:t>
      </w:r>
      <w:r w:rsidR="00EB73A5">
        <w:rPr>
          <w:rFonts w:ascii="David" w:hAnsi="David" w:cs="David" w:hint="cs"/>
          <w:rtl/>
        </w:rPr>
        <w:t>הכולל גם את</w:t>
      </w:r>
      <w:r w:rsidR="00DD223E">
        <w:rPr>
          <w:rFonts w:ascii="David" w:hAnsi="David" w:cs="David" w:hint="cs"/>
          <w:rtl/>
        </w:rPr>
        <w:t xml:space="preserve"> חוק </w:t>
      </w:r>
      <w:r w:rsidR="0038699D">
        <w:rPr>
          <w:rFonts w:ascii="David" w:hAnsi="David" w:cs="David" w:hint="cs"/>
          <w:rtl/>
        </w:rPr>
        <w:t>הסוטה</w:t>
      </w:r>
      <w:r w:rsidR="00DD223E">
        <w:rPr>
          <w:rFonts w:ascii="David" w:hAnsi="David" w:cs="David" w:hint="cs"/>
          <w:rtl/>
        </w:rPr>
        <w:t>)</w:t>
      </w:r>
      <w:r w:rsidR="0038699D">
        <w:rPr>
          <w:rFonts w:ascii="David" w:hAnsi="David" w:cs="David" w:hint="cs"/>
          <w:rtl/>
        </w:rPr>
        <w:t xml:space="preserve"> ובין </w:t>
      </w:r>
      <w:r w:rsidR="00DD223E">
        <w:rPr>
          <w:rFonts w:ascii="David" w:hAnsi="David" w:cs="David" w:hint="cs"/>
          <w:rtl/>
        </w:rPr>
        <w:t>החוק האדג</w:t>
      </w:r>
      <w:r w:rsidR="00D87F6F">
        <w:rPr>
          <w:rFonts w:ascii="David" w:hAnsi="David" w:cs="David"/>
          <w:rtl/>
        </w:rPr>
        <w:t>’</w:t>
      </w:r>
      <w:r w:rsidR="00DD223E">
        <w:rPr>
          <w:rFonts w:ascii="David" w:hAnsi="David" w:cs="David" w:hint="cs"/>
          <w:rtl/>
        </w:rPr>
        <w:t>קטיבי המשתקף ב</w:t>
      </w:r>
      <w:r w:rsidR="00646C9C">
        <w:rPr>
          <w:rFonts w:ascii="David" w:hAnsi="David" w:cs="David" w:hint="cs"/>
          <w:rtl/>
        </w:rPr>
        <w:t xml:space="preserve">דימוי </w:t>
      </w:r>
      <w:r w:rsidR="0038699D">
        <w:rPr>
          <w:rFonts w:ascii="David" w:hAnsi="David" w:cs="David" w:hint="cs"/>
          <w:rtl/>
        </w:rPr>
        <w:t xml:space="preserve">כוס התרעלה. </w:t>
      </w:r>
      <w:r w:rsidR="00DD223E">
        <w:rPr>
          <w:rFonts w:ascii="David" w:hAnsi="David" w:cs="David" w:hint="cs"/>
          <w:rtl/>
        </w:rPr>
        <w:t>החוק הסובסטנטיבי</w:t>
      </w:r>
      <w:r w:rsidR="006B510A">
        <w:rPr>
          <w:rFonts w:ascii="David" w:hAnsi="David" w:cs="David" w:hint="cs"/>
          <w:rtl/>
        </w:rPr>
        <w:t>, בניגוד לחוק האדג</w:t>
      </w:r>
      <w:r w:rsidR="00D87F6F">
        <w:rPr>
          <w:rFonts w:ascii="David" w:hAnsi="David" w:cs="David"/>
          <w:rtl/>
        </w:rPr>
        <w:t>’</w:t>
      </w:r>
      <w:r w:rsidR="006B510A">
        <w:rPr>
          <w:rFonts w:ascii="David" w:hAnsi="David" w:cs="David" w:hint="cs"/>
          <w:rtl/>
        </w:rPr>
        <w:t>קטיבי,</w:t>
      </w:r>
      <w:r w:rsidR="00DD223E">
        <w:rPr>
          <w:rFonts w:ascii="David" w:hAnsi="David" w:cs="David" w:hint="cs"/>
          <w:rtl/>
        </w:rPr>
        <w:t xml:space="preserve"> </w:t>
      </w:r>
      <w:r w:rsidR="006B510A">
        <w:rPr>
          <w:rFonts w:ascii="David" w:hAnsi="David" w:cs="David" w:hint="cs"/>
          <w:rtl/>
        </w:rPr>
        <w:t>עושה הבחנה מוחלטת</w:t>
      </w:r>
      <w:r w:rsidR="00DD223E">
        <w:rPr>
          <w:rFonts w:ascii="David" w:hAnsi="David" w:cs="David"/>
          <w:rtl/>
        </w:rPr>
        <w:t xml:space="preserve"> בין אישה שנתפסה בניאוף</w:t>
      </w:r>
      <w:r w:rsidR="00D33C77" w:rsidRPr="00D33C77">
        <w:rPr>
          <w:rFonts w:ascii="David" w:hAnsi="David" w:cs="David"/>
          <w:rtl/>
        </w:rPr>
        <w:t xml:space="preserve"> ובין אישה שלא נתפסה בניאוף. </w:t>
      </w:r>
      <w:r w:rsidR="00DD223E">
        <w:rPr>
          <w:rFonts w:ascii="David" w:hAnsi="David" w:cs="David" w:hint="cs"/>
          <w:rtl/>
        </w:rPr>
        <w:t xml:space="preserve">במקרה הראשון, </w:t>
      </w:r>
      <w:r w:rsidR="00190C96">
        <w:rPr>
          <w:rFonts w:ascii="David" w:hAnsi="David" w:cs="David" w:hint="cs"/>
          <w:rtl/>
        </w:rPr>
        <w:t xml:space="preserve">האישה, וכן הגבר, </w:t>
      </w:r>
      <w:r w:rsidR="009A08CA">
        <w:rPr>
          <w:rFonts w:ascii="David" w:hAnsi="David" w:cs="David" w:hint="cs"/>
          <w:rtl/>
        </w:rPr>
        <w:t>נענשת</w:t>
      </w:r>
      <w:r w:rsidR="00DD223E">
        <w:rPr>
          <w:rFonts w:ascii="David" w:hAnsi="David" w:cs="David"/>
          <w:rtl/>
        </w:rPr>
        <w:t xml:space="preserve"> </w:t>
      </w:r>
      <w:r w:rsidR="00DD223E" w:rsidRPr="00B9616B">
        <w:rPr>
          <w:rFonts w:ascii="David" w:hAnsi="David" w:cs="David"/>
          <w:rtl/>
        </w:rPr>
        <w:t>בסקילה</w:t>
      </w:r>
      <w:r w:rsidR="00B9616B" w:rsidRPr="00B9616B">
        <w:rPr>
          <w:rFonts w:ascii="David" w:hAnsi="David" w:cs="David" w:hint="cs"/>
          <w:rtl/>
        </w:rPr>
        <w:t xml:space="preserve"> (ויק</w:t>
      </w:r>
      <w:r w:rsidR="00D87F6F">
        <w:rPr>
          <w:rFonts w:ascii="David" w:hAnsi="David" w:cs="David"/>
          <w:rtl/>
        </w:rPr>
        <w:t>’</w:t>
      </w:r>
      <w:r w:rsidR="00B9616B" w:rsidRPr="00B9616B">
        <w:rPr>
          <w:rFonts w:ascii="David" w:hAnsi="David" w:cs="David" w:hint="cs"/>
          <w:rtl/>
        </w:rPr>
        <w:t xml:space="preserve"> כ, י; דב</w:t>
      </w:r>
      <w:r w:rsidR="00D87F6F">
        <w:rPr>
          <w:rFonts w:ascii="David" w:hAnsi="David" w:cs="David"/>
          <w:rtl/>
        </w:rPr>
        <w:t>’</w:t>
      </w:r>
      <w:r w:rsidR="00B9616B" w:rsidRPr="00B9616B">
        <w:rPr>
          <w:rFonts w:ascii="David" w:hAnsi="David" w:cs="David" w:hint="cs"/>
          <w:rtl/>
        </w:rPr>
        <w:t xml:space="preserve"> כב, כב)</w:t>
      </w:r>
      <w:r w:rsidR="00DD223E" w:rsidRPr="00B9616B">
        <w:rPr>
          <w:rFonts w:ascii="David" w:hAnsi="David" w:cs="David" w:hint="cs"/>
          <w:rtl/>
        </w:rPr>
        <w:t xml:space="preserve">. לעומת זאת, במקרה השני </w:t>
      </w:r>
      <w:r w:rsidR="00190C96" w:rsidRPr="00B9616B">
        <w:rPr>
          <w:rFonts w:ascii="David" w:hAnsi="David" w:cs="David"/>
          <w:rtl/>
        </w:rPr>
        <w:t>לא ניתן להעניש</w:t>
      </w:r>
      <w:r w:rsidR="00DD223E" w:rsidRPr="00B9616B">
        <w:rPr>
          <w:rFonts w:ascii="David" w:hAnsi="David" w:cs="David" w:hint="cs"/>
          <w:rtl/>
        </w:rPr>
        <w:t xml:space="preserve"> את ה</w:t>
      </w:r>
      <w:r w:rsidR="00DD223E" w:rsidRPr="00B9616B">
        <w:rPr>
          <w:rFonts w:ascii="David" w:hAnsi="David" w:cs="David"/>
          <w:rtl/>
        </w:rPr>
        <w:t>אישה</w:t>
      </w:r>
      <w:r w:rsidR="00DD223E" w:rsidRPr="00B9616B">
        <w:rPr>
          <w:rFonts w:ascii="David" w:hAnsi="David" w:cs="David" w:hint="cs"/>
          <w:rtl/>
        </w:rPr>
        <w:t xml:space="preserve">, </w:t>
      </w:r>
      <w:r w:rsidR="00190C96" w:rsidRPr="00B9616B">
        <w:rPr>
          <w:rFonts w:ascii="David" w:hAnsi="David" w:cs="David" w:hint="cs"/>
          <w:rtl/>
        </w:rPr>
        <w:t>ובשל כך מעבירים את ההכרעה בעניינה למשפט שמים (לאורדיל).</w:t>
      </w:r>
    </w:p>
    <w:p w:rsidR="00DD223E" w:rsidRDefault="006C61EC" w:rsidP="009A08CA">
      <w:pPr>
        <w:spacing w:line="360" w:lineRule="auto"/>
        <w:jc w:val="both"/>
        <w:rPr>
          <w:rFonts w:ascii="David" w:hAnsi="David" w:cs="David"/>
          <w:rtl/>
        </w:rPr>
      </w:pPr>
      <w:r w:rsidRPr="00B9616B">
        <w:rPr>
          <w:rFonts w:ascii="David" w:hAnsi="David" w:cs="David" w:hint="cs"/>
          <w:rtl/>
        </w:rPr>
        <w:t xml:space="preserve">ממרחק הזמן קשה להעריך אם </w:t>
      </w:r>
      <w:r w:rsidR="00190C96" w:rsidRPr="00B9616B">
        <w:rPr>
          <w:rFonts w:ascii="David" w:hAnsi="David" w:cs="David" w:hint="cs"/>
          <w:rtl/>
        </w:rPr>
        <w:t>המ</w:t>
      </w:r>
      <w:r w:rsidRPr="00B9616B">
        <w:rPr>
          <w:rFonts w:ascii="David" w:hAnsi="David" w:cs="David" w:hint="cs"/>
          <w:rtl/>
        </w:rPr>
        <w:t xml:space="preserve">חוקק </w:t>
      </w:r>
      <w:r w:rsidR="009A08CA">
        <w:rPr>
          <w:rFonts w:ascii="David" w:hAnsi="David" w:cs="David" w:hint="cs"/>
          <w:rtl/>
        </w:rPr>
        <w:t>מייחס משמעות ל</w:t>
      </w:r>
      <w:r w:rsidRPr="00B9616B">
        <w:rPr>
          <w:rFonts w:ascii="David" w:hAnsi="David" w:cs="David" w:hint="cs"/>
          <w:rtl/>
        </w:rPr>
        <w:t>תוצאות הליך זה או</w:t>
      </w:r>
      <w:r w:rsidR="00190C96" w:rsidRPr="00B9616B">
        <w:rPr>
          <w:rFonts w:ascii="David" w:hAnsi="David" w:cs="David" w:hint="cs"/>
          <w:rtl/>
        </w:rPr>
        <w:t xml:space="preserve"> שכל מטרתו</w:t>
      </w:r>
      <w:r w:rsidR="00861FE8" w:rsidRPr="00B9616B">
        <w:rPr>
          <w:rFonts w:ascii="David" w:hAnsi="David" w:cs="David" w:hint="cs"/>
          <w:rtl/>
        </w:rPr>
        <w:t xml:space="preserve"> </w:t>
      </w:r>
      <w:r w:rsidR="00DD223E" w:rsidRPr="00B9616B">
        <w:rPr>
          <w:rFonts w:ascii="David" w:hAnsi="David" w:cs="David"/>
          <w:rtl/>
        </w:rPr>
        <w:t>להפיג את</w:t>
      </w:r>
      <w:r w:rsidR="00DD223E">
        <w:rPr>
          <w:rFonts w:ascii="David" w:hAnsi="David" w:cs="David"/>
          <w:rtl/>
        </w:rPr>
        <w:t xml:space="preserve"> קנאתו של הבעל</w:t>
      </w:r>
      <w:r w:rsidR="00190C96">
        <w:rPr>
          <w:rFonts w:ascii="David" w:hAnsi="David" w:cs="David" w:hint="cs"/>
          <w:rtl/>
        </w:rPr>
        <w:t xml:space="preserve">, כאשר </w:t>
      </w:r>
      <w:r w:rsidR="009865D8">
        <w:rPr>
          <w:rFonts w:ascii="David" w:hAnsi="David" w:cs="David" w:hint="cs"/>
          <w:rtl/>
        </w:rPr>
        <w:t xml:space="preserve">כל המרכיבים הנלווים למים - </w:t>
      </w:r>
      <w:r w:rsidR="006B510A">
        <w:rPr>
          <w:rFonts w:ascii="David" w:hAnsi="David" w:cs="David" w:hint="cs"/>
          <w:rtl/>
        </w:rPr>
        <w:t xml:space="preserve">העפר, הדיו, </w:t>
      </w:r>
      <w:r w:rsidR="009865D8">
        <w:rPr>
          <w:rFonts w:ascii="David" w:hAnsi="David" w:cs="David" w:hint="cs"/>
          <w:rtl/>
        </w:rPr>
        <w:t>השבועה והמנחה - נועדו לשכנע את הבעל ברצינות ההליך</w:t>
      </w:r>
      <w:r w:rsidR="000805BC" w:rsidRPr="000805BC">
        <w:rPr>
          <w:rFonts w:ascii="David" w:hAnsi="David" w:cs="David" w:hint="cs"/>
          <w:rtl/>
        </w:rPr>
        <w:t xml:space="preserve"> </w:t>
      </w:r>
      <w:r w:rsidR="00D33C77" w:rsidRPr="00D33C77">
        <w:rPr>
          <w:rFonts w:ascii="David" w:hAnsi="David" w:cs="David"/>
          <w:rtl/>
        </w:rPr>
        <w:t>(ריבוי העוברים הנופלים במהלך ההריונות והלידות וריבוי הנשים המתות בהריונן ובלידתן מסירים את הח</w:t>
      </w:r>
      <w:r w:rsidR="00190C96">
        <w:rPr>
          <w:rFonts w:ascii="David" w:hAnsi="David" w:cs="David"/>
          <w:rtl/>
        </w:rPr>
        <w:t>שש מאיבוד האמון בהליך</w:t>
      </w:r>
      <w:r w:rsidR="00DD223E">
        <w:rPr>
          <w:rFonts w:ascii="David" w:hAnsi="David" w:cs="David"/>
          <w:rtl/>
        </w:rPr>
        <w:t>).</w:t>
      </w:r>
      <w:r w:rsidR="00EB73A5" w:rsidRPr="000805BC">
        <w:rPr>
          <w:rStyle w:val="FootnoteReference"/>
          <w:rFonts w:cs="David"/>
          <w:rtl/>
        </w:rPr>
        <w:footnoteReference w:id="67"/>
      </w:r>
      <w:r w:rsidR="00DD223E">
        <w:rPr>
          <w:rFonts w:ascii="David" w:hAnsi="David" w:cs="David"/>
          <w:rtl/>
        </w:rPr>
        <w:t xml:space="preserve"> </w:t>
      </w:r>
    </w:p>
    <w:p w:rsidR="004F3BDB" w:rsidRDefault="004F3BDB" w:rsidP="00646C9C">
      <w:pPr>
        <w:spacing w:line="360" w:lineRule="auto"/>
        <w:jc w:val="both"/>
        <w:rPr>
          <w:rFonts w:ascii="David" w:hAnsi="David" w:cs="David"/>
          <w:rtl/>
        </w:rPr>
      </w:pPr>
      <w:r>
        <w:rPr>
          <w:rFonts w:ascii="David" w:hAnsi="David" w:cs="David" w:hint="cs"/>
          <w:rtl/>
        </w:rPr>
        <w:t>הבנת החוק באופן הזה מסבירה</w:t>
      </w:r>
      <w:r w:rsidRPr="00F97239">
        <w:rPr>
          <w:rFonts w:ascii="David" w:hAnsi="David" w:cs="David" w:hint="cs"/>
          <w:rtl/>
        </w:rPr>
        <w:t xml:space="preserve"> את ה</w:t>
      </w:r>
      <w:r w:rsidR="00646C9C">
        <w:rPr>
          <w:rFonts w:ascii="David" w:hAnsi="David" w:cs="David" w:hint="cs"/>
          <w:rtl/>
        </w:rPr>
        <w:t>הקשר</w:t>
      </w:r>
      <w:r>
        <w:rPr>
          <w:rFonts w:ascii="David" w:hAnsi="David" w:cs="David" w:hint="cs"/>
          <w:rtl/>
        </w:rPr>
        <w:t xml:space="preserve"> שבתוכו</w:t>
      </w:r>
      <w:r w:rsidRPr="00F97239">
        <w:rPr>
          <w:rFonts w:ascii="David" w:hAnsi="David" w:cs="David" w:hint="cs"/>
          <w:rtl/>
        </w:rPr>
        <w:t xml:space="preserve"> </w:t>
      </w:r>
      <w:r>
        <w:rPr>
          <w:rFonts w:ascii="David" w:hAnsi="David" w:cs="David" w:hint="cs"/>
          <w:rtl/>
        </w:rPr>
        <w:t>נוצר</w:t>
      </w:r>
      <w:r w:rsidRPr="00F97239">
        <w:rPr>
          <w:rFonts w:ascii="David" w:hAnsi="David" w:cs="David" w:hint="cs"/>
          <w:rtl/>
        </w:rPr>
        <w:t xml:space="preserve"> </w:t>
      </w:r>
      <w:r>
        <w:rPr>
          <w:rFonts w:ascii="David" w:hAnsi="David" w:cs="David" w:hint="cs"/>
          <w:rtl/>
        </w:rPr>
        <w:t>ה</w:t>
      </w:r>
      <w:r w:rsidRPr="00F97239">
        <w:rPr>
          <w:rFonts w:ascii="David" w:hAnsi="David" w:cs="David" w:hint="cs"/>
          <w:rtl/>
        </w:rPr>
        <w:t xml:space="preserve">חוק </w:t>
      </w:r>
      <w:r>
        <w:rPr>
          <w:rFonts w:ascii="David" w:hAnsi="David" w:cs="David" w:hint="cs"/>
          <w:rtl/>
        </w:rPr>
        <w:t xml:space="preserve">ונותנת מענה לקשיים </w:t>
      </w:r>
      <w:r w:rsidR="00F014DC">
        <w:rPr>
          <w:rFonts w:ascii="David" w:hAnsi="David" w:cs="David" w:hint="cs"/>
          <w:rtl/>
        </w:rPr>
        <w:t>שהצגתי בראשית המאמר:</w:t>
      </w:r>
    </w:p>
    <w:p w:rsidR="00F014DC" w:rsidRDefault="004F3BDB" w:rsidP="008D2BBE">
      <w:pPr>
        <w:numPr>
          <w:ilvl w:val="0"/>
          <w:numId w:val="36"/>
        </w:numPr>
        <w:spacing w:line="360" w:lineRule="auto"/>
        <w:ind w:left="368"/>
        <w:jc w:val="both"/>
        <w:rPr>
          <w:rFonts w:ascii="David" w:hAnsi="David" w:cs="David"/>
        </w:rPr>
      </w:pPr>
      <w:r w:rsidRPr="004F3BDB">
        <w:rPr>
          <w:rFonts w:cs="David" w:hint="cs"/>
          <w:rtl/>
        </w:rPr>
        <w:lastRenderedPageBreak/>
        <w:t xml:space="preserve">החוק מציין </w:t>
      </w:r>
      <w:r w:rsidR="00EB73A5">
        <w:rPr>
          <w:rFonts w:cs="David" w:hint="cs"/>
          <w:rtl/>
        </w:rPr>
        <w:t xml:space="preserve">במכוון </w:t>
      </w:r>
      <w:r w:rsidR="009865D8">
        <w:rPr>
          <w:rFonts w:cs="David" w:hint="cs"/>
          <w:rtl/>
        </w:rPr>
        <w:t xml:space="preserve">שני מקרים שיפוטיים שונים, </w:t>
      </w:r>
      <w:r w:rsidRPr="004F3BDB">
        <w:rPr>
          <w:rFonts w:cs="David" w:hint="cs"/>
          <w:rtl/>
        </w:rPr>
        <w:t>אישה שנטמאה ואיש שעבר עליו רוח קנאה</w:t>
      </w:r>
      <w:r w:rsidR="009865D8">
        <w:rPr>
          <w:rFonts w:cs="David" w:hint="cs"/>
          <w:rtl/>
        </w:rPr>
        <w:t>,</w:t>
      </w:r>
      <w:r w:rsidRPr="004F3BDB">
        <w:rPr>
          <w:rFonts w:cs="David" w:hint="cs"/>
          <w:rtl/>
        </w:rPr>
        <w:t xml:space="preserve"> כדי ליצור זהות בין המקרים. בהצמדת שני המקרים ה</w:t>
      </w:r>
      <w:r w:rsidR="009865D8">
        <w:rPr>
          <w:rFonts w:cs="David" w:hint="cs"/>
          <w:rtl/>
        </w:rPr>
        <w:t>מחוקק</w:t>
      </w:r>
      <w:r w:rsidRPr="004F3BDB">
        <w:rPr>
          <w:rFonts w:cs="David" w:hint="cs"/>
          <w:rtl/>
        </w:rPr>
        <w:t xml:space="preserve"> מבהיר כי אישה </w:t>
      </w:r>
      <w:r w:rsidR="009865D8">
        <w:rPr>
          <w:rFonts w:cs="David" w:hint="cs"/>
          <w:rtl/>
        </w:rPr>
        <w:t>שנטמאה ללא עדים וראיות</w:t>
      </w:r>
      <w:r w:rsidRPr="004F3BDB">
        <w:rPr>
          <w:rFonts w:cs="David" w:hint="cs"/>
          <w:rtl/>
        </w:rPr>
        <w:t xml:space="preserve"> היא </w:t>
      </w:r>
      <w:r w:rsidR="00EB73A5">
        <w:rPr>
          <w:rFonts w:cs="David" w:hint="cs"/>
          <w:rtl/>
        </w:rPr>
        <w:t>למעשה</w:t>
      </w:r>
      <w:r w:rsidRPr="004F3BDB">
        <w:rPr>
          <w:rFonts w:cs="David" w:hint="cs"/>
          <w:rtl/>
        </w:rPr>
        <w:t xml:space="preserve"> אישה שבע</w:t>
      </w:r>
      <w:r w:rsidR="00F014DC">
        <w:rPr>
          <w:rFonts w:cs="David" w:hint="cs"/>
          <w:rtl/>
        </w:rPr>
        <w:t>לה מקנא לה</w:t>
      </w:r>
      <w:r w:rsidR="00EB73A5">
        <w:rPr>
          <w:rFonts w:cs="David" w:hint="cs"/>
          <w:rtl/>
        </w:rPr>
        <w:t xml:space="preserve"> ולא יותר.</w:t>
      </w:r>
      <w:r w:rsidR="00F014DC">
        <w:rPr>
          <w:rFonts w:cs="David" w:hint="cs"/>
          <w:rtl/>
        </w:rPr>
        <w:t xml:space="preserve"> </w:t>
      </w:r>
      <w:r w:rsidR="008D2BBE">
        <w:rPr>
          <w:rFonts w:cs="David" w:hint="cs"/>
          <w:rtl/>
        </w:rPr>
        <w:t>בשני המקרים המחוקק נמנע מהכרעת הדין ומעביר אותה להכרעת שמים</w:t>
      </w:r>
      <w:r w:rsidR="00CE1D88">
        <w:rPr>
          <w:rFonts w:cs="David" w:hint="cs"/>
          <w:rtl/>
        </w:rPr>
        <w:t>;</w:t>
      </w:r>
      <w:r>
        <w:rPr>
          <w:rFonts w:ascii="David" w:hAnsi="David" w:cs="David" w:hint="cs"/>
          <w:rtl/>
        </w:rPr>
        <w:t xml:space="preserve"> </w:t>
      </w:r>
    </w:p>
    <w:p w:rsidR="00F014DC" w:rsidRDefault="004F3BDB" w:rsidP="00CE1D88">
      <w:pPr>
        <w:numPr>
          <w:ilvl w:val="0"/>
          <w:numId w:val="36"/>
        </w:numPr>
        <w:spacing w:line="360" w:lineRule="auto"/>
        <w:ind w:left="368"/>
        <w:jc w:val="both"/>
        <w:rPr>
          <w:rFonts w:ascii="David" w:hAnsi="David" w:cs="David"/>
        </w:rPr>
      </w:pPr>
      <w:r w:rsidRPr="006C61EC">
        <w:rPr>
          <w:rFonts w:ascii="David" w:hAnsi="David" w:cs="David" w:hint="cs"/>
          <w:rtl/>
        </w:rPr>
        <w:t xml:space="preserve">הליך משפטי יש לנהל אך ורק על בסיס עדים וראיות, </w:t>
      </w:r>
      <w:r w:rsidR="009865D8" w:rsidRPr="006C61EC">
        <w:rPr>
          <w:rFonts w:ascii="David" w:hAnsi="David" w:cs="David" w:hint="cs"/>
          <w:rtl/>
        </w:rPr>
        <w:t>ואכן</w:t>
      </w:r>
      <w:r w:rsidRPr="006C61EC">
        <w:rPr>
          <w:rFonts w:ascii="David" w:hAnsi="David" w:cs="David" w:hint="cs"/>
          <w:rtl/>
        </w:rPr>
        <w:t xml:space="preserve"> </w:t>
      </w:r>
      <w:r w:rsidR="009865D8" w:rsidRPr="006C61EC">
        <w:rPr>
          <w:rFonts w:ascii="David" w:hAnsi="David" w:cs="David" w:hint="cs"/>
          <w:rtl/>
        </w:rPr>
        <w:t>הליך זה</w:t>
      </w:r>
      <w:r w:rsidRPr="006C61EC">
        <w:rPr>
          <w:rFonts w:ascii="David" w:hAnsi="David" w:cs="David"/>
          <w:rtl/>
        </w:rPr>
        <w:t xml:space="preserve"> אינ</w:t>
      </w:r>
      <w:r w:rsidR="009865D8" w:rsidRPr="006C61EC">
        <w:rPr>
          <w:rFonts w:ascii="David" w:hAnsi="David" w:cs="David" w:hint="cs"/>
          <w:rtl/>
        </w:rPr>
        <w:t>נ</w:t>
      </w:r>
      <w:r w:rsidRPr="006C61EC">
        <w:rPr>
          <w:rFonts w:ascii="David" w:hAnsi="David" w:cs="David"/>
          <w:rtl/>
        </w:rPr>
        <w:t xml:space="preserve">ו הליך משפטי. </w:t>
      </w:r>
      <w:r w:rsidR="009A08CA">
        <w:rPr>
          <w:rFonts w:ascii="David" w:hAnsi="David" w:cs="David" w:hint="cs"/>
          <w:rtl/>
        </w:rPr>
        <w:t xml:space="preserve">כל </w:t>
      </w:r>
      <w:r w:rsidR="006C61EC">
        <w:rPr>
          <w:rFonts w:ascii="David" w:hAnsi="David" w:cs="David" w:hint="cs"/>
          <w:rtl/>
        </w:rPr>
        <w:t xml:space="preserve">מטרתו </w:t>
      </w:r>
      <w:r w:rsidR="009A08CA">
        <w:rPr>
          <w:rFonts w:ascii="David" w:hAnsi="David" w:cs="David" w:hint="cs"/>
          <w:rtl/>
        </w:rPr>
        <w:t xml:space="preserve">היא </w:t>
      </w:r>
      <w:r w:rsidRPr="004F3BDB">
        <w:rPr>
          <w:rFonts w:ascii="David" w:hAnsi="David" w:cs="David"/>
          <w:rtl/>
        </w:rPr>
        <w:t>לע</w:t>
      </w:r>
      <w:r w:rsidR="009A08CA">
        <w:rPr>
          <w:rFonts w:ascii="David" w:hAnsi="David" w:cs="David" w:hint="cs"/>
          <w:rtl/>
        </w:rPr>
        <w:t>דן</w:t>
      </w:r>
      <w:r w:rsidR="00CE1D88">
        <w:rPr>
          <w:rFonts w:ascii="David" w:hAnsi="David" w:cs="David" w:hint="cs"/>
          <w:rtl/>
        </w:rPr>
        <w:t>, ו</w:t>
      </w:r>
      <w:r w:rsidR="009A08CA">
        <w:rPr>
          <w:rFonts w:ascii="David" w:hAnsi="David" w:cs="David" w:hint="cs"/>
          <w:rtl/>
        </w:rPr>
        <w:t>ליתר דיוק לעקר,</w:t>
      </w:r>
      <w:r w:rsidRPr="004F3BDB">
        <w:rPr>
          <w:rFonts w:ascii="David" w:hAnsi="David" w:cs="David"/>
          <w:rtl/>
        </w:rPr>
        <w:t xml:space="preserve"> את ההליך </w:t>
      </w:r>
      <w:r w:rsidR="009A08CA">
        <w:rPr>
          <w:rFonts w:ascii="David" w:hAnsi="David" w:cs="David" w:hint="cs"/>
          <w:rtl/>
        </w:rPr>
        <w:t>הנהוג</w:t>
      </w:r>
      <w:r w:rsidR="009865D8">
        <w:rPr>
          <w:rFonts w:ascii="David" w:hAnsi="David" w:cs="David"/>
          <w:rtl/>
        </w:rPr>
        <w:t xml:space="preserve"> שאינו מושתת על </w:t>
      </w:r>
      <w:r w:rsidR="009A08CA">
        <w:rPr>
          <w:rFonts w:ascii="David" w:hAnsi="David" w:cs="David" w:hint="cs"/>
          <w:rtl/>
        </w:rPr>
        <w:t>העקרונות המשפטיים</w:t>
      </w:r>
      <w:r w:rsidR="008D2BBE">
        <w:rPr>
          <w:rFonts w:ascii="David" w:hAnsi="David" w:cs="David" w:hint="cs"/>
          <w:rtl/>
        </w:rPr>
        <w:t xml:space="preserve"> </w:t>
      </w:r>
      <w:r w:rsidR="00CE1D88">
        <w:rPr>
          <w:rFonts w:ascii="David" w:hAnsi="David" w:cs="David" w:hint="cs"/>
          <w:rtl/>
        </w:rPr>
        <w:t>שעומדים בבסיס החוק הסובסטנטיבי העוסק באישה הנואפת</w:t>
      </w:r>
      <w:r>
        <w:rPr>
          <w:rFonts w:ascii="David" w:hAnsi="David" w:cs="David" w:hint="cs"/>
          <w:rtl/>
        </w:rPr>
        <w:t xml:space="preserve">; </w:t>
      </w:r>
    </w:p>
    <w:p w:rsidR="00F014DC" w:rsidRDefault="004F3BDB" w:rsidP="00646C9C">
      <w:pPr>
        <w:numPr>
          <w:ilvl w:val="0"/>
          <w:numId w:val="36"/>
        </w:numPr>
        <w:spacing w:line="360" w:lineRule="auto"/>
        <w:ind w:left="368"/>
        <w:jc w:val="both"/>
        <w:rPr>
          <w:rFonts w:ascii="David" w:hAnsi="David" w:cs="David"/>
        </w:rPr>
      </w:pPr>
      <w:r w:rsidRPr="004F3BDB">
        <w:rPr>
          <w:rFonts w:ascii="David" w:hAnsi="David" w:cs="David" w:hint="cs"/>
          <w:rtl/>
        </w:rPr>
        <w:t xml:space="preserve">לא נעשה שימוש באורדיל בחוקים נוספים </w:t>
      </w:r>
      <w:r w:rsidRPr="004F3BDB">
        <w:rPr>
          <w:rFonts w:ascii="David" w:hAnsi="David" w:cs="David"/>
          <w:rtl/>
        </w:rPr>
        <w:t xml:space="preserve">כי הוא </w:t>
      </w:r>
      <w:r w:rsidR="00346351">
        <w:rPr>
          <w:rFonts w:ascii="David" w:hAnsi="David" w:cs="David" w:hint="cs"/>
          <w:rtl/>
        </w:rPr>
        <w:t>אינ</w:t>
      </w:r>
      <w:r w:rsidRPr="004F3BDB">
        <w:rPr>
          <w:rFonts w:ascii="David" w:hAnsi="David" w:cs="David" w:hint="cs"/>
          <w:rtl/>
        </w:rPr>
        <w:t xml:space="preserve">ו </w:t>
      </w:r>
      <w:r w:rsidR="00346351">
        <w:rPr>
          <w:rFonts w:ascii="David" w:hAnsi="David" w:cs="David" w:hint="cs"/>
          <w:rtl/>
        </w:rPr>
        <w:t>מרכיב מקובל במערכת החוקים הרשמית</w:t>
      </w:r>
      <w:r w:rsidR="00CE1D88">
        <w:rPr>
          <w:rFonts w:ascii="David" w:hAnsi="David" w:cs="David" w:hint="cs"/>
          <w:rtl/>
        </w:rPr>
        <w:t xml:space="preserve">. </w:t>
      </w:r>
      <w:r w:rsidR="00646C9C">
        <w:rPr>
          <w:rFonts w:ascii="David" w:hAnsi="David" w:cs="David" w:hint="cs"/>
          <w:rtl/>
        </w:rPr>
        <w:t xml:space="preserve">כאן </w:t>
      </w:r>
      <w:r w:rsidR="00CE1D88">
        <w:rPr>
          <w:rFonts w:ascii="David" w:hAnsi="David" w:cs="David" w:hint="cs"/>
          <w:rtl/>
        </w:rPr>
        <w:t xml:space="preserve">הוא משמש רק כאמצעי </w:t>
      </w:r>
      <w:r w:rsidR="00646C9C">
        <w:rPr>
          <w:rFonts w:ascii="David" w:hAnsi="David" w:cs="David" w:hint="cs"/>
          <w:rtl/>
        </w:rPr>
        <w:t>שמטרתו למנוע את השקיית</w:t>
      </w:r>
      <w:r w:rsidR="00CE1D88">
        <w:rPr>
          <w:rFonts w:ascii="David" w:hAnsi="David" w:cs="David" w:hint="cs"/>
          <w:rtl/>
        </w:rPr>
        <w:t xml:space="preserve"> כוס הרעל;</w:t>
      </w:r>
      <w:r w:rsidR="00777CBC" w:rsidRPr="0075000E">
        <w:rPr>
          <w:rStyle w:val="FootnoteReference"/>
          <w:rFonts w:ascii="David" w:hAnsi="David" w:cs="David"/>
          <w:rtl/>
        </w:rPr>
        <w:footnoteReference w:id="68"/>
      </w:r>
      <w:r w:rsidR="00646C9C">
        <w:rPr>
          <w:rFonts w:ascii="David" w:hAnsi="David" w:cs="David" w:hint="cs"/>
          <w:rtl/>
        </w:rPr>
        <w:t xml:space="preserve"> </w:t>
      </w:r>
    </w:p>
    <w:p w:rsidR="00F014DC" w:rsidRDefault="004F3BDB" w:rsidP="00646C9C">
      <w:pPr>
        <w:numPr>
          <w:ilvl w:val="0"/>
          <w:numId w:val="36"/>
        </w:numPr>
        <w:spacing w:line="360" w:lineRule="auto"/>
        <w:ind w:left="368"/>
        <w:jc w:val="both"/>
        <w:rPr>
          <w:rFonts w:ascii="David" w:hAnsi="David" w:cs="David"/>
        </w:rPr>
      </w:pPr>
      <w:r w:rsidRPr="004F3BDB">
        <w:rPr>
          <w:rFonts w:ascii="David" w:hAnsi="David" w:cs="David" w:hint="cs"/>
          <w:rtl/>
        </w:rPr>
        <w:t xml:space="preserve">אין ממתים את האישה </w:t>
      </w:r>
      <w:r w:rsidR="00861FE8">
        <w:rPr>
          <w:rFonts w:ascii="David" w:hAnsi="David" w:cs="David" w:hint="cs"/>
          <w:rtl/>
        </w:rPr>
        <w:t>בהתאם לקבוע בחוק (בסקילה או שריפה)</w:t>
      </w:r>
      <w:r w:rsidRPr="004F3BDB">
        <w:rPr>
          <w:rFonts w:ascii="David" w:hAnsi="David" w:cs="David" w:hint="cs"/>
          <w:rtl/>
        </w:rPr>
        <w:t xml:space="preserve"> כיוון </w:t>
      </w:r>
      <w:r w:rsidR="00CE1D88">
        <w:rPr>
          <w:rFonts w:ascii="David" w:hAnsi="David" w:cs="David" w:hint="cs"/>
          <w:rtl/>
        </w:rPr>
        <w:t>שהקריטריונים ה</w:t>
      </w:r>
      <w:r w:rsidR="00646C9C">
        <w:rPr>
          <w:rFonts w:ascii="David" w:hAnsi="David" w:cs="David" w:hint="cs"/>
          <w:rtl/>
        </w:rPr>
        <w:t>נדרשים</w:t>
      </w:r>
      <w:r w:rsidR="00CE1D88">
        <w:rPr>
          <w:rFonts w:ascii="David" w:hAnsi="David" w:cs="David" w:hint="cs"/>
          <w:rtl/>
        </w:rPr>
        <w:t xml:space="preserve"> לבדיקת אשמה הם אחרים</w:t>
      </w:r>
      <w:r w:rsidR="00646C9C">
        <w:rPr>
          <w:rFonts w:ascii="David" w:hAnsi="David" w:cs="David" w:hint="cs"/>
          <w:rtl/>
        </w:rPr>
        <w:t xml:space="preserve"> (עדים וראיות)</w:t>
      </w:r>
      <w:r w:rsidR="00CE1D88">
        <w:rPr>
          <w:rFonts w:ascii="David" w:hAnsi="David" w:cs="David" w:hint="cs"/>
          <w:rtl/>
        </w:rPr>
        <w:t>;</w:t>
      </w:r>
    </w:p>
    <w:p w:rsidR="004F3BDB" w:rsidRDefault="004F3BDB" w:rsidP="00EB73A5">
      <w:pPr>
        <w:numPr>
          <w:ilvl w:val="0"/>
          <w:numId w:val="36"/>
        </w:numPr>
        <w:spacing w:line="360" w:lineRule="auto"/>
        <w:ind w:left="368"/>
        <w:jc w:val="both"/>
        <w:rPr>
          <w:rFonts w:ascii="David" w:hAnsi="David" w:cs="David"/>
        </w:rPr>
      </w:pPr>
      <w:r w:rsidRPr="004F3BDB">
        <w:rPr>
          <w:rFonts w:ascii="David" w:hAnsi="David" w:cs="David" w:hint="cs"/>
          <w:rtl/>
        </w:rPr>
        <w:t xml:space="preserve">החוק לא מתעלם </w:t>
      </w:r>
      <w:r w:rsidR="00EB73A5" w:rsidRPr="004F3BDB">
        <w:rPr>
          <w:rFonts w:ascii="David" w:hAnsi="David" w:cs="David" w:hint="cs"/>
          <w:rtl/>
        </w:rPr>
        <w:t xml:space="preserve">רק </w:t>
      </w:r>
      <w:r w:rsidRPr="004F3BDB">
        <w:rPr>
          <w:rFonts w:ascii="David" w:hAnsi="David" w:cs="David" w:hint="cs"/>
          <w:rtl/>
        </w:rPr>
        <w:t xml:space="preserve">מחלקו של הנואף, </w:t>
      </w:r>
      <w:r w:rsidR="00F014DC">
        <w:rPr>
          <w:rFonts w:ascii="David" w:hAnsi="David" w:cs="David"/>
          <w:rtl/>
        </w:rPr>
        <w:t xml:space="preserve">הוא מתעלם </w:t>
      </w:r>
      <w:r w:rsidR="00346351">
        <w:rPr>
          <w:rFonts w:ascii="David" w:hAnsi="David" w:cs="David" w:hint="cs"/>
          <w:rtl/>
        </w:rPr>
        <w:t xml:space="preserve">למעשה </w:t>
      </w:r>
      <w:r w:rsidR="00F014DC">
        <w:rPr>
          <w:rFonts w:ascii="David" w:hAnsi="David" w:cs="David"/>
          <w:rtl/>
        </w:rPr>
        <w:t>גם מחלקה של הנואפת.</w:t>
      </w:r>
      <w:r w:rsidR="00EB73A5">
        <w:rPr>
          <w:rFonts w:ascii="David" w:hAnsi="David" w:cs="David" w:hint="cs"/>
          <w:rtl/>
        </w:rPr>
        <w:t xml:space="preserve"> </w:t>
      </w:r>
    </w:p>
    <w:p w:rsidR="00F014DC" w:rsidRDefault="00F014DC" w:rsidP="00F014DC">
      <w:pPr>
        <w:spacing w:line="360" w:lineRule="auto"/>
        <w:ind w:left="368"/>
        <w:jc w:val="both"/>
        <w:rPr>
          <w:rFonts w:ascii="David" w:hAnsi="David" w:cs="David"/>
          <w:rtl/>
        </w:rPr>
      </w:pPr>
    </w:p>
    <w:p w:rsidR="00286F63" w:rsidRPr="00740E82" w:rsidRDefault="00286F63" w:rsidP="00286F63">
      <w:pPr>
        <w:numPr>
          <w:ilvl w:val="0"/>
          <w:numId w:val="31"/>
        </w:numPr>
        <w:spacing w:line="360" w:lineRule="auto"/>
        <w:rPr>
          <w:rFonts w:cs="David"/>
          <w:b/>
          <w:bCs/>
          <w:rtl/>
        </w:rPr>
      </w:pPr>
      <w:r>
        <w:rPr>
          <w:rFonts w:cs="David" w:hint="cs"/>
          <w:b/>
          <w:bCs/>
          <w:rtl/>
        </w:rPr>
        <w:t>סיכום</w:t>
      </w:r>
    </w:p>
    <w:p w:rsidR="00A374C5" w:rsidRDefault="00A06260" w:rsidP="00AF3F6F">
      <w:pPr>
        <w:spacing w:line="360" w:lineRule="auto"/>
        <w:jc w:val="both"/>
        <w:rPr>
          <w:rFonts w:ascii="David" w:hAnsi="David" w:cs="David"/>
          <w:rtl/>
        </w:rPr>
      </w:pPr>
      <w:r>
        <w:rPr>
          <w:rFonts w:ascii="David" w:hAnsi="David" w:cs="David" w:hint="cs"/>
          <w:rtl/>
        </w:rPr>
        <w:t xml:space="preserve">גם </w:t>
      </w:r>
      <w:r w:rsidR="00605C86">
        <w:rPr>
          <w:rFonts w:ascii="David" w:hAnsi="David" w:cs="David" w:hint="cs"/>
          <w:rtl/>
        </w:rPr>
        <w:t>ההליך המתואר בחוק הסוטה</w:t>
      </w:r>
      <w:r>
        <w:rPr>
          <w:rFonts w:ascii="David" w:hAnsi="David" w:cs="David" w:hint="cs"/>
          <w:rtl/>
        </w:rPr>
        <w:t xml:space="preserve"> וגם </w:t>
      </w:r>
      <w:r w:rsidR="00605C86">
        <w:rPr>
          <w:rFonts w:ascii="David" w:hAnsi="David" w:cs="David" w:hint="cs"/>
          <w:rtl/>
        </w:rPr>
        <w:t xml:space="preserve">העקרונות המשפטיים שבבסיסו </w:t>
      </w:r>
      <w:r w:rsidR="0013670B">
        <w:rPr>
          <w:rFonts w:ascii="David" w:hAnsi="David" w:cs="David" w:hint="cs"/>
          <w:rtl/>
        </w:rPr>
        <w:t>חריגים</w:t>
      </w:r>
      <w:r w:rsidR="00605C86">
        <w:rPr>
          <w:rFonts w:ascii="David" w:hAnsi="David" w:cs="David" w:hint="cs"/>
          <w:rtl/>
        </w:rPr>
        <w:t xml:space="preserve"> ומנוגדים לעקרונות המשפטיים המנוסחים </w:t>
      </w:r>
      <w:r w:rsidR="002B1A5D">
        <w:rPr>
          <w:rFonts w:ascii="David" w:hAnsi="David" w:cs="David" w:hint="cs"/>
          <w:rtl/>
        </w:rPr>
        <w:t>בחוקים המקבילים בחומש</w:t>
      </w:r>
      <w:r w:rsidR="00605C86">
        <w:rPr>
          <w:rFonts w:ascii="David" w:hAnsi="David" w:cs="David" w:hint="cs"/>
          <w:rtl/>
        </w:rPr>
        <w:t>.</w:t>
      </w:r>
      <w:r w:rsidR="00B64C0B">
        <w:rPr>
          <w:rFonts w:ascii="David" w:hAnsi="David" w:cs="David" w:hint="cs"/>
          <w:rtl/>
        </w:rPr>
        <w:t xml:space="preserve"> מצב זה מעורר קושי בנוגע לתפקידו</w:t>
      </w:r>
      <w:r>
        <w:rPr>
          <w:rFonts w:ascii="David" w:hAnsi="David" w:cs="David" w:hint="cs"/>
          <w:rtl/>
        </w:rPr>
        <w:t xml:space="preserve"> של ההליך</w:t>
      </w:r>
      <w:r w:rsidR="00B64C0B">
        <w:rPr>
          <w:rFonts w:ascii="David" w:hAnsi="David" w:cs="David" w:hint="cs"/>
          <w:rtl/>
        </w:rPr>
        <w:t xml:space="preserve"> </w:t>
      </w:r>
      <w:r w:rsidR="0013670B">
        <w:rPr>
          <w:rFonts w:ascii="David" w:hAnsi="David" w:cs="David" w:hint="cs"/>
          <w:rtl/>
        </w:rPr>
        <w:t>ולמהותו של החוק</w:t>
      </w:r>
      <w:r w:rsidR="00B64C0B">
        <w:rPr>
          <w:rFonts w:ascii="David" w:hAnsi="David" w:cs="David" w:hint="cs"/>
          <w:rtl/>
        </w:rPr>
        <w:t>.</w:t>
      </w:r>
      <w:r w:rsidR="00605C86">
        <w:rPr>
          <w:rFonts w:ascii="David" w:hAnsi="David" w:cs="David" w:hint="cs"/>
          <w:rtl/>
        </w:rPr>
        <w:t xml:space="preserve"> </w:t>
      </w:r>
      <w:r w:rsidR="00B64C0B">
        <w:rPr>
          <w:rFonts w:ascii="David" w:hAnsi="David" w:cs="David" w:hint="cs"/>
          <w:rtl/>
        </w:rPr>
        <w:t>עיון</w:t>
      </w:r>
      <w:r w:rsidR="00605C86">
        <w:rPr>
          <w:rFonts w:ascii="David" w:hAnsi="David" w:cs="David" w:hint="cs"/>
          <w:rtl/>
        </w:rPr>
        <w:t xml:space="preserve"> בטקסטים</w:t>
      </w:r>
      <w:r w:rsidR="00B64C0B">
        <w:rPr>
          <w:rFonts w:ascii="David" w:hAnsi="David" w:cs="David" w:hint="cs"/>
          <w:rtl/>
        </w:rPr>
        <w:t xml:space="preserve"> </w:t>
      </w:r>
      <w:r w:rsidR="00605C86">
        <w:rPr>
          <w:rFonts w:ascii="David" w:hAnsi="David" w:cs="David" w:hint="cs"/>
          <w:rtl/>
        </w:rPr>
        <w:t xml:space="preserve">שאינם משפטיים </w:t>
      </w:r>
      <w:r w:rsidR="00B64C0B">
        <w:rPr>
          <w:rFonts w:ascii="David" w:hAnsi="David" w:cs="David" w:hint="cs"/>
          <w:rtl/>
        </w:rPr>
        <w:t>חושף דימוי שמשתקף בו הליך משפטי</w:t>
      </w:r>
      <w:r w:rsidR="00605C86">
        <w:rPr>
          <w:rFonts w:ascii="David" w:hAnsi="David" w:cs="David" w:hint="cs"/>
          <w:rtl/>
        </w:rPr>
        <w:t xml:space="preserve"> דומה</w:t>
      </w:r>
      <w:r w:rsidR="00B64C0B">
        <w:rPr>
          <w:rFonts w:ascii="David" w:hAnsi="David" w:cs="David" w:hint="cs"/>
          <w:rtl/>
        </w:rPr>
        <w:t xml:space="preserve"> </w:t>
      </w:r>
      <w:r w:rsidR="00B64C0B">
        <w:rPr>
          <w:rFonts w:ascii="David" w:hAnsi="David" w:cs="David"/>
          <w:rtl/>
        </w:rPr>
        <w:t>–</w:t>
      </w:r>
      <w:r w:rsidR="00B64C0B">
        <w:rPr>
          <w:rFonts w:ascii="David" w:hAnsi="David" w:cs="David" w:hint="cs"/>
          <w:rtl/>
        </w:rPr>
        <w:t xml:space="preserve"> השקיית </w:t>
      </w:r>
      <w:r w:rsidR="0013670B">
        <w:rPr>
          <w:rFonts w:ascii="David" w:hAnsi="David" w:cs="David" w:hint="cs"/>
          <w:rtl/>
        </w:rPr>
        <w:t>ה</w:t>
      </w:r>
      <w:r w:rsidR="00B64C0B">
        <w:rPr>
          <w:rFonts w:ascii="David" w:hAnsi="David" w:cs="David" w:hint="cs"/>
          <w:rtl/>
        </w:rPr>
        <w:t xml:space="preserve">כוס את האישה הנואפת. </w:t>
      </w:r>
      <w:r w:rsidR="0013670B">
        <w:rPr>
          <w:rFonts w:ascii="David" w:hAnsi="David" w:cs="David" w:hint="cs"/>
          <w:rtl/>
        </w:rPr>
        <w:t xml:space="preserve">אולם </w:t>
      </w:r>
      <w:r w:rsidR="00B64C0B">
        <w:rPr>
          <w:rFonts w:ascii="David" w:hAnsi="David" w:cs="David" w:hint="cs"/>
          <w:rtl/>
        </w:rPr>
        <w:t>השוואת ההליך המשתקף בדימוי</w:t>
      </w:r>
      <w:r w:rsidR="00605C86">
        <w:rPr>
          <w:rFonts w:ascii="David" w:hAnsi="David" w:cs="David" w:hint="cs"/>
          <w:rtl/>
        </w:rPr>
        <w:t xml:space="preserve"> </w:t>
      </w:r>
      <w:r w:rsidR="00B64C0B">
        <w:rPr>
          <w:rFonts w:ascii="David" w:hAnsi="David" w:cs="David" w:hint="cs"/>
          <w:rtl/>
        </w:rPr>
        <w:t>עם ההליך המתואר בחוק הסוטה חושף את ההבדלים הקיימים בין שניהם:</w:t>
      </w:r>
      <w:r w:rsidR="0055060D">
        <w:rPr>
          <w:rFonts w:ascii="David" w:hAnsi="David" w:cs="David" w:hint="cs"/>
          <w:rtl/>
        </w:rPr>
        <w:t xml:space="preserve"> הבעל משקה בדימוי והכהן </w:t>
      </w:r>
      <w:r w:rsidR="00B64C0B">
        <w:rPr>
          <w:rFonts w:ascii="David" w:hAnsi="David" w:cs="David" w:hint="cs"/>
          <w:rtl/>
        </w:rPr>
        <w:t>משקה בחוק</w:t>
      </w:r>
      <w:r>
        <w:rPr>
          <w:rFonts w:ascii="David" w:hAnsi="David" w:cs="David" w:hint="cs"/>
          <w:rtl/>
        </w:rPr>
        <w:t>; הכוס מלאה רעל בדימוי והיא</w:t>
      </w:r>
      <w:r w:rsidR="0055060D">
        <w:rPr>
          <w:rFonts w:ascii="David" w:hAnsi="David" w:cs="David" w:hint="cs"/>
          <w:rtl/>
        </w:rPr>
        <w:t xml:space="preserve"> מלאה מים בחוק; ההשקיה משמשת </w:t>
      </w:r>
      <w:r w:rsidR="003629F2">
        <w:rPr>
          <w:rFonts w:ascii="David" w:hAnsi="David" w:cs="David" w:hint="cs"/>
          <w:rtl/>
        </w:rPr>
        <w:t>להענשת האישה</w:t>
      </w:r>
      <w:r w:rsidR="0055060D">
        <w:rPr>
          <w:rFonts w:ascii="David" w:hAnsi="David" w:cs="David" w:hint="cs"/>
          <w:rtl/>
        </w:rPr>
        <w:t xml:space="preserve"> בדימוי </w:t>
      </w:r>
      <w:r w:rsidR="003629F2">
        <w:rPr>
          <w:rFonts w:ascii="David" w:hAnsi="David" w:cs="David" w:hint="cs"/>
          <w:rtl/>
        </w:rPr>
        <w:t>ו</w:t>
      </w:r>
      <w:r w:rsidR="0013670B">
        <w:rPr>
          <w:rFonts w:ascii="David" w:hAnsi="David" w:cs="David" w:hint="cs"/>
          <w:rtl/>
        </w:rPr>
        <w:t xml:space="preserve">היא משמשת </w:t>
      </w:r>
      <w:r w:rsidR="003629F2">
        <w:rPr>
          <w:rFonts w:ascii="David" w:hAnsi="David" w:cs="David" w:hint="cs"/>
          <w:rtl/>
        </w:rPr>
        <w:t>לבדיקת אשמתה</w:t>
      </w:r>
      <w:r w:rsidR="0055060D">
        <w:rPr>
          <w:rFonts w:ascii="David" w:hAnsi="David" w:cs="David" w:hint="cs"/>
          <w:rtl/>
        </w:rPr>
        <w:t xml:space="preserve"> בחוק. הבדלים </w:t>
      </w:r>
      <w:r w:rsidR="003629F2">
        <w:rPr>
          <w:rFonts w:ascii="David" w:hAnsi="David" w:cs="David" w:hint="cs"/>
          <w:rtl/>
        </w:rPr>
        <w:t xml:space="preserve">יסודיים </w:t>
      </w:r>
      <w:r w:rsidR="0055060D">
        <w:rPr>
          <w:rFonts w:ascii="David" w:hAnsi="David" w:cs="David" w:hint="cs"/>
          <w:rtl/>
        </w:rPr>
        <w:t>אלו מגלים כי חוק הסוטה מאמץ כביכול את הנוהג המש</w:t>
      </w:r>
      <w:r w:rsidR="00AF3F6F">
        <w:rPr>
          <w:rFonts w:ascii="David" w:hAnsi="David" w:cs="David" w:hint="cs"/>
          <w:rtl/>
        </w:rPr>
        <w:t xml:space="preserve">תקף בדימוי, אבל רק כביכול. שכן </w:t>
      </w:r>
      <w:r w:rsidR="0055060D">
        <w:rPr>
          <w:rFonts w:ascii="David" w:hAnsi="David" w:cs="David" w:hint="cs"/>
          <w:rtl/>
        </w:rPr>
        <w:t xml:space="preserve">השקיה </w:t>
      </w:r>
      <w:r w:rsidR="00AF3F6F">
        <w:rPr>
          <w:rFonts w:ascii="David" w:hAnsi="David" w:cs="David" w:hint="cs"/>
          <w:rtl/>
        </w:rPr>
        <w:t>זו אינה משמשת כעונש לאישה</w:t>
      </w:r>
      <w:r>
        <w:rPr>
          <w:rFonts w:ascii="David" w:hAnsi="David" w:cs="David" w:hint="cs"/>
          <w:rtl/>
        </w:rPr>
        <w:t xml:space="preserve"> </w:t>
      </w:r>
      <w:r w:rsidR="00AF3F6F">
        <w:rPr>
          <w:rFonts w:ascii="David" w:hAnsi="David" w:cs="David" w:hint="cs"/>
          <w:rtl/>
        </w:rPr>
        <w:t>באמצעות פגיעה</w:t>
      </w:r>
      <w:r w:rsidR="002B1A5D">
        <w:rPr>
          <w:rFonts w:ascii="David" w:hAnsi="David" w:cs="David" w:hint="cs"/>
          <w:rtl/>
        </w:rPr>
        <w:t xml:space="preserve"> </w:t>
      </w:r>
      <w:r w:rsidR="00AF3F6F">
        <w:rPr>
          <w:rFonts w:ascii="David" w:hAnsi="David" w:cs="David" w:hint="cs"/>
          <w:rtl/>
        </w:rPr>
        <w:t>ב</w:t>
      </w:r>
      <w:r w:rsidR="002B1A5D">
        <w:rPr>
          <w:rFonts w:ascii="David" w:hAnsi="David" w:cs="David" w:hint="cs"/>
          <w:rtl/>
        </w:rPr>
        <w:t>בריאות</w:t>
      </w:r>
      <w:r w:rsidR="00AF3F6F">
        <w:rPr>
          <w:rFonts w:ascii="David" w:hAnsi="David" w:cs="David" w:hint="cs"/>
          <w:rtl/>
        </w:rPr>
        <w:t xml:space="preserve">ה ובבריאות </w:t>
      </w:r>
      <w:r w:rsidR="002B1A5D">
        <w:rPr>
          <w:rFonts w:ascii="David" w:hAnsi="David" w:cs="David" w:hint="cs"/>
          <w:rtl/>
        </w:rPr>
        <w:t xml:space="preserve">עוברה אלא </w:t>
      </w:r>
      <w:r w:rsidR="00AF3F6F">
        <w:rPr>
          <w:rFonts w:ascii="David" w:hAnsi="David" w:cs="David" w:hint="cs"/>
          <w:rtl/>
        </w:rPr>
        <w:t>כ</w:t>
      </w:r>
      <w:r w:rsidR="0055060D">
        <w:rPr>
          <w:rFonts w:ascii="David" w:hAnsi="David" w:cs="David" w:hint="cs"/>
          <w:rtl/>
        </w:rPr>
        <w:t xml:space="preserve">פעולה </w:t>
      </w:r>
      <w:r w:rsidR="002B1A5D">
        <w:rPr>
          <w:rFonts w:ascii="David" w:hAnsi="David" w:cs="David" w:hint="cs"/>
          <w:rtl/>
        </w:rPr>
        <w:t>טקסית</w:t>
      </w:r>
      <w:r>
        <w:rPr>
          <w:rFonts w:ascii="David" w:hAnsi="David" w:cs="David" w:hint="cs"/>
          <w:rtl/>
        </w:rPr>
        <w:t xml:space="preserve"> </w:t>
      </w:r>
      <w:r w:rsidR="006F29D4">
        <w:rPr>
          <w:rFonts w:ascii="David" w:hAnsi="David" w:cs="David" w:hint="cs"/>
          <w:rtl/>
        </w:rPr>
        <w:t>ש</w:t>
      </w:r>
      <w:r w:rsidR="00DC1491">
        <w:rPr>
          <w:rFonts w:ascii="David" w:hAnsi="David" w:cs="David" w:hint="cs"/>
          <w:rtl/>
        </w:rPr>
        <w:t xml:space="preserve">בכוחה להשפיע </w:t>
      </w:r>
      <w:r w:rsidR="006F29D4">
        <w:rPr>
          <w:rFonts w:ascii="David" w:hAnsi="David" w:cs="David" w:hint="cs"/>
          <w:rtl/>
        </w:rPr>
        <w:t>בעיקר</w:t>
      </w:r>
      <w:r w:rsidR="00DC1491">
        <w:rPr>
          <w:rFonts w:ascii="David" w:hAnsi="David" w:cs="David" w:hint="cs"/>
          <w:rtl/>
        </w:rPr>
        <w:t xml:space="preserve"> על</w:t>
      </w:r>
      <w:r w:rsidR="003629F2">
        <w:rPr>
          <w:rFonts w:ascii="David" w:hAnsi="David" w:cs="David" w:hint="cs"/>
          <w:rtl/>
        </w:rPr>
        <w:t xml:space="preserve"> קנאתו של הבעל.</w:t>
      </w:r>
      <w:r w:rsidR="002B1A5D">
        <w:rPr>
          <w:rFonts w:ascii="David" w:hAnsi="David" w:cs="David" w:hint="cs"/>
          <w:rtl/>
        </w:rPr>
        <w:t xml:space="preserve"> </w:t>
      </w:r>
      <w:r w:rsidR="00DC1491">
        <w:rPr>
          <w:rFonts w:cs="David" w:hint="cs"/>
          <w:rtl/>
        </w:rPr>
        <w:t>השע</w:t>
      </w:r>
      <w:r w:rsidR="000E1749">
        <w:rPr>
          <w:rFonts w:cs="David" w:hint="cs"/>
          <w:rtl/>
        </w:rPr>
        <w:t>רתו של מק-קיין בנוגע ל</w:t>
      </w:r>
      <w:r w:rsidR="00DC1491">
        <w:rPr>
          <w:rFonts w:cs="David" w:hint="cs"/>
          <w:rtl/>
        </w:rPr>
        <w:t xml:space="preserve">דימוי </w:t>
      </w:r>
      <w:r w:rsidR="000E1749">
        <w:rPr>
          <w:rFonts w:cs="David" w:hint="cs"/>
          <w:rtl/>
        </w:rPr>
        <w:t xml:space="preserve">כוס התרעלה </w:t>
      </w:r>
      <w:r w:rsidR="00DC1491">
        <w:rPr>
          <w:rFonts w:cs="David" w:hint="cs"/>
          <w:rtl/>
        </w:rPr>
        <w:t>נכונה</w:t>
      </w:r>
      <w:r w:rsidR="002B1A5D">
        <w:rPr>
          <w:rFonts w:cs="David" w:hint="cs"/>
          <w:rtl/>
        </w:rPr>
        <w:t xml:space="preserve"> אפוא</w:t>
      </w:r>
      <w:r w:rsidR="00B451C1">
        <w:rPr>
          <w:rFonts w:cs="David" w:hint="cs"/>
          <w:rtl/>
        </w:rPr>
        <w:t>,</w:t>
      </w:r>
      <w:r w:rsidR="002B1A5D">
        <w:rPr>
          <w:rFonts w:cs="David" w:hint="cs"/>
          <w:rtl/>
        </w:rPr>
        <w:t xml:space="preserve"> אבל</w:t>
      </w:r>
      <w:r w:rsidR="00DC1491">
        <w:rPr>
          <w:rFonts w:cs="David" w:hint="cs"/>
          <w:rtl/>
        </w:rPr>
        <w:t xml:space="preserve"> בכיוון הפוך. מקור</w:t>
      </w:r>
      <w:r w:rsidR="00B451C1">
        <w:rPr>
          <w:rFonts w:cs="David" w:hint="cs"/>
          <w:rtl/>
        </w:rPr>
        <w:t>ו</w:t>
      </w:r>
      <w:r w:rsidR="00DC1491">
        <w:rPr>
          <w:rFonts w:cs="David" w:hint="cs"/>
          <w:rtl/>
        </w:rPr>
        <w:t xml:space="preserve"> של </w:t>
      </w:r>
      <w:r w:rsidR="000E1749">
        <w:rPr>
          <w:rFonts w:cs="David" w:hint="cs"/>
          <w:rtl/>
        </w:rPr>
        <w:t>הדימוי</w:t>
      </w:r>
      <w:r w:rsidR="00DC1491">
        <w:rPr>
          <w:rFonts w:cs="David" w:hint="cs"/>
          <w:rtl/>
        </w:rPr>
        <w:t xml:space="preserve"> איננו בחוק הסוט</w:t>
      </w:r>
      <w:r w:rsidR="00BB1074">
        <w:rPr>
          <w:rFonts w:cs="David" w:hint="cs"/>
          <w:rtl/>
        </w:rPr>
        <w:t>ה אלא מקורו של חוק הסוטה ב</w:t>
      </w:r>
      <w:r w:rsidR="00AF3F6F">
        <w:rPr>
          <w:rFonts w:cs="David" w:hint="cs"/>
          <w:rtl/>
        </w:rPr>
        <w:t>נוהג המשתקף ב</w:t>
      </w:r>
      <w:r w:rsidR="00B451C1">
        <w:rPr>
          <w:rFonts w:cs="David" w:hint="cs"/>
          <w:rtl/>
        </w:rPr>
        <w:t xml:space="preserve">דימוי </w:t>
      </w:r>
      <w:r w:rsidR="00DC1491">
        <w:rPr>
          <w:rFonts w:cs="David" w:hint="cs"/>
          <w:rtl/>
        </w:rPr>
        <w:t xml:space="preserve">כוס התרעלה. </w:t>
      </w:r>
    </w:p>
    <w:p w:rsidR="00A374C5" w:rsidRPr="00A374C5" w:rsidRDefault="00A374C5" w:rsidP="00A374C5">
      <w:pPr>
        <w:spacing w:line="360" w:lineRule="auto"/>
        <w:jc w:val="both"/>
        <w:rPr>
          <w:rFonts w:ascii="David" w:hAnsi="David" w:cs="David"/>
          <w:b/>
          <w:bCs/>
          <w:u w:val="single"/>
          <w:rtl/>
        </w:rPr>
      </w:pPr>
      <w:r>
        <w:rPr>
          <w:rFonts w:ascii="David" w:hAnsi="David" w:cs="David"/>
          <w:rtl/>
        </w:rPr>
        <w:br w:type="page"/>
      </w:r>
      <w:r w:rsidRPr="00A374C5">
        <w:rPr>
          <w:rFonts w:ascii="David" w:hAnsi="David" w:cs="David" w:hint="cs"/>
          <w:b/>
          <w:bCs/>
          <w:u w:val="single"/>
          <w:rtl/>
        </w:rPr>
        <w:lastRenderedPageBreak/>
        <w:t>ביבליוגרפיה</w:t>
      </w:r>
    </w:p>
    <w:p w:rsidR="00A374C5" w:rsidRPr="00A374C5" w:rsidRDefault="00A374C5" w:rsidP="00A374C5">
      <w:pPr>
        <w:spacing w:line="360" w:lineRule="auto"/>
        <w:jc w:val="both"/>
        <w:rPr>
          <w:rFonts w:ascii="David" w:hAnsi="David" w:cs="David"/>
          <w:b/>
          <w:bCs/>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0"/>
        <w:gridCol w:w="6492"/>
      </w:tblGrid>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אוסוולט, ישעיה</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rtl/>
              </w:rPr>
              <w:tab/>
            </w:r>
            <w:r w:rsidRPr="00A374C5">
              <w:rPr>
                <w:rFonts w:ascii="David" w:hAnsi="David" w:cs="David"/>
              </w:rPr>
              <w:t xml:space="preserve">J.N. Oswalt, </w:t>
            </w:r>
            <w:r w:rsidRPr="00A374C5">
              <w:rPr>
                <w:rFonts w:ascii="David" w:hAnsi="David" w:cs="David"/>
                <w:i/>
                <w:iCs/>
              </w:rPr>
              <w:t>The Book of Isaiah: Chapters 40-66</w:t>
            </w:r>
            <w:r w:rsidRPr="00A374C5">
              <w:rPr>
                <w:rFonts w:ascii="David" w:hAnsi="David" w:cs="David"/>
              </w:rPr>
              <w:t xml:space="preserve"> (NICOT), Grand Rapids, Michigan 1998</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אחיטוב, חבקוק</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ש' אחיטוב, חבקוק (מקרא לישראל), תל-אביב וירושלים תשס"ו.</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אמית, מרה</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rPr>
              <w:t xml:space="preserve">Y. Amit, 'The Marah episode and the art of editing', in: </w:t>
            </w:r>
            <w:r w:rsidRPr="00A374C5">
              <w:rPr>
                <w:rFonts w:ascii="David" w:hAnsi="David" w:cs="David"/>
                <w:i/>
                <w:iCs/>
              </w:rPr>
              <w:t xml:space="preserve">Built by Wisdom, Established by Understanding: Essays </w:t>
            </w:r>
            <w:r w:rsidRPr="00A374C5">
              <w:rPr>
                <w:rFonts w:ascii="David" w:hAnsi="David" w:cs="David" w:hint="eastAsia"/>
                <w:i/>
                <w:iCs/>
              </w:rPr>
              <w:t>on biblical and Near Eastern literature</w:t>
            </w:r>
            <w:r w:rsidRPr="00A374C5">
              <w:rPr>
                <w:rFonts w:ascii="David" w:hAnsi="David" w:cs="David"/>
                <w:i/>
                <w:iCs/>
              </w:rPr>
              <w:t xml:space="preserve"> in Honor of Adele Berlin,</w:t>
            </w:r>
            <w:r w:rsidRPr="00A374C5">
              <w:rPr>
                <w:rFonts w:ascii="David" w:hAnsi="David" w:cs="David"/>
              </w:rPr>
              <w:t xml:space="preserve"> M.L. Grossman (ed.), College Park, Maryland 2013, pp. 69-87</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באך, סוטה</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A. Bach, '</w:t>
            </w:r>
            <w:r w:rsidRPr="00FB00E5">
              <w:rPr>
                <w:rFonts w:ascii="David" w:hAnsi="David" w:cs="David"/>
              </w:rPr>
              <w:t>Good to the Last Drop : viewing the sotah (Numbers 5.11-31) as the glass half empty and wondering how to view it half full</w:t>
            </w:r>
            <w:r w:rsidRPr="00A374C5">
              <w:rPr>
                <w:rFonts w:ascii="David" w:hAnsi="David" w:cs="David"/>
              </w:rPr>
              <w:t xml:space="preserve">', in: J.C. Exum and D.J.A. Clines (eds.), </w:t>
            </w:r>
            <w:r w:rsidRPr="00A374C5">
              <w:rPr>
                <w:rFonts w:ascii="David" w:hAnsi="David" w:cs="David"/>
                <w:i/>
                <w:iCs/>
              </w:rPr>
              <w:t xml:space="preserve">The New Literary Criticism and the Hebrew Bible </w:t>
            </w:r>
            <w:r w:rsidRPr="00A374C5">
              <w:rPr>
                <w:rFonts w:ascii="David" w:hAnsi="David" w:cs="David"/>
              </w:rPr>
              <w:t>(JSOTS 143), Sheffield 1993, pp. 26-54</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בויארין, הבשר שברוח</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ד' בויארין, הבשר שברוח: שיח המיניות בתלמוד, תרגום ע' אופיר, תל-אביב 1999.</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בנטש, במדבר</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B. Baentsch, </w:t>
            </w:r>
            <w:r w:rsidRPr="00A374C5">
              <w:rPr>
                <w:rFonts w:ascii="David" w:hAnsi="David" w:cs="David"/>
                <w:i/>
                <w:iCs/>
              </w:rPr>
              <w:t>Exodus, Leviticus, Numeri</w:t>
            </w:r>
            <w:r w:rsidRPr="00A374C5">
              <w:rPr>
                <w:rFonts w:ascii="David" w:hAnsi="David" w:cs="David"/>
              </w:rPr>
              <w:t xml:space="preserve"> (HAT), G</w:t>
            </w:r>
            <w:r w:rsidRPr="00A374C5">
              <w:t>ö</w:t>
            </w:r>
            <w:r w:rsidRPr="00A374C5">
              <w:rPr>
                <w:rFonts w:ascii="David" w:hAnsi="David" w:cs="David"/>
              </w:rPr>
              <w:t>ttingen 1903</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ברייט, ירמיהו</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J. Bright, </w:t>
            </w:r>
            <w:r w:rsidRPr="00A374C5">
              <w:rPr>
                <w:rFonts w:ascii="David" w:hAnsi="David" w:cs="David"/>
                <w:i/>
                <w:iCs/>
              </w:rPr>
              <w:t>Jeremiah</w:t>
            </w:r>
            <w:r w:rsidRPr="00A374C5">
              <w:rPr>
                <w:rFonts w:ascii="David" w:hAnsi="David" w:cs="David"/>
              </w:rPr>
              <w:t xml:space="preserve"> (AB), Garden City, New York 1965</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בריכטו, סוטה</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H.C. Brichto, 'The Case of the Sotah and A Reconsideration of Biblical Law', </w:t>
            </w:r>
            <w:r w:rsidRPr="00A374C5">
              <w:rPr>
                <w:rFonts w:ascii="David" w:hAnsi="David" w:cs="David"/>
                <w:i/>
                <w:iCs/>
              </w:rPr>
              <w:t>HUCA</w:t>
            </w:r>
            <w:r w:rsidRPr="00A374C5">
              <w:rPr>
                <w:rFonts w:ascii="David" w:hAnsi="David" w:cs="David"/>
              </w:rPr>
              <w:t xml:space="preserve"> 46 (1975), pp. 55-70 </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ברלין, איכה</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A. Berlin, </w:t>
            </w:r>
            <w:r w:rsidRPr="00A374C5">
              <w:rPr>
                <w:rFonts w:ascii="David" w:hAnsi="David" w:cs="David"/>
                <w:i/>
                <w:iCs/>
              </w:rPr>
              <w:t>Lamentations</w:t>
            </w:r>
            <w:r w:rsidRPr="00A374C5">
              <w:rPr>
                <w:rFonts w:ascii="David" w:hAnsi="David" w:cs="David"/>
              </w:rPr>
              <w:t xml:space="preserve"> (OTL), Louisville 2002</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ג'און, שני חוקים</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J. Jeon, 'Two Laws in the Sotah Passage (Num. v 11-31)', </w:t>
            </w:r>
            <w:r w:rsidRPr="00A374C5">
              <w:rPr>
                <w:rFonts w:ascii="David" w:hAnsi="David" w:cs="David"/>
                <w:i/>
                <w:iCs/>
              </w:rPr>
              <w:t>VT</w:t>
            </w:r>
            <w:r w:rsidRPr="00A374C5">
              <w:rPr>
                <w:rFonts w:ascii="David" w:hAnsi="David" w:cs="David"/>
              </w:rPr>
              <w:t xml:space="preserve"> 57(2007), pp. 181-207</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גולדינגיי, ישעיה</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J. Goldingay, </w:t>
            </w:r>
            <w:r w:rsidRPr="00A374C5">
              <w:rPr>
                <w:rFonts w:ascii="David" w:hAnsi="David" w:cs="David"/>
                <w:i/>
                <w:iCs/>
              </w:rPr>
              <w:t>Isaiah</w:t>
            </w:r>
            <w:r w:rsidRPr="00A374C5">
              <w:rPr>
                <w:rFonts w:ascii="David" w:hAnsi="David" w:cs="David"/>
              </w:rPr>
              <w:t xml:space="preserve"> (NIBC), Peabody, Massachusetts 2001</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גולדינגיי ופיין, ישעיה</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J. Goldingay and D. Payne, </w:t>
            </w:r>
            <w:r w:rsidRPr="00A374C5">
              <w:rPr>
                <w:rFonts w:ascii="David" w:hAnsi="David" w:cs="David"/>
                <w:i/>
                <w:iCs/>
              </w:rPr>
              <w:t>Isaiah 40-55</w:t>
            </w:r>
            <w:r w:rsidRPr="00A374C5">
              <w:rPr>
                <w:rFonts w:ascii="David" w:hAnsi="David" w:cs="David"/>
              </w:rPr>
              <w:t xml:space="preserve"> (vol. II) (ICC), London and New York 2006</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גסטר, מיתוס</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T.H. Gaster, </w:t>
            </w:r>
            <w:r w:rsidRPr="00A374C5">
              <w:rPr>
                <w:rFonts w:ascii="David" w:hAnsi="David" w:cs="David"/>
                <w:i/>
                <w:iCs/>
              </w:rPr>
              <w:t>Myth, Legend, and Custom in the Old Testament,</w:t>
            </w:r>
            <w:r w:rsidRPr="00A374C5">
              <w:rPr>
                <w:rFonts w:ascii="David" w:hAnsi="David" w:cs="David"/>
              </w:rPr>
              <w:t xml:space="preserve"> New York 1969</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גרינשטיין, אוגריתית</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א' גרינשטיין, הספרות האוגריתית, ספרות המקרא: מבואות ומחקרים (כרך ב), צ' טלשיר (עורכת), ירושלים תשע"א, עמ' 495</w:t>
            </w:r>
            <w:r w:rsidRPr="00A374C5">
              <w:rPr>
                <w:rFonts w:ascii="David" w:hAnsi="David" w:cs="David" w:hint="cs"/>
                <w:rtl/>
              </w:rPr>
              <w:softHyphen/>
              <w:t>-522.</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דהוד, תהלים</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rPr>
              <w:t xml:space="preserve">M. Dahood, </w:t>
            </w:r>
            <w:r w:rsidRPr="00A374C5">
              <w:rPr>
                <w:rFonts w:ascii="David" w:hAnsi="David" w:cs="David"/>
                <w:i/>
                <w:iCs/>
              </w:rPr>
              <w:t>Psalms II: 51-100</w:t>
            </w:r>
            <w:r w:rsidRPr="00A374C5">
              <w:rPr>
                <w:rFonts w:ascii="David" w:hAnsi="David" w:cs="David"/>
              </w:rPr>
              <w:t xml:space="preserve"> (AB), Garden City, New York</w:t>
            </w:r>
            <w:r w:rsidRPr="00A374C5">
              <w:rPr>
                <w:rFonts w:ascii="David" w:hAnsi="David" w:cs="David"/>
                <w:vertAlign w:val="superscript"/>
              </w:rPr>
              <w:t>3</w:t>
            </w:r>
            <w:r w:rsidRPr="00A374C5">
              <w:rPr>
                <w:rFonts w:ascii="David" w:hAnsi="David" w:cs="David"/>
              </w:rPr>
              <w:t xml:space="preserve"> 1979</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דוהמן, איסור תמונה</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rPr>
              <w:t xml:space="preserve">C. Dohmen, </w:t>
            </w:r>
            <w:r w:rsidRPr="00A374C5">
              <w:rPr>
                <w:rFonts w:ascii="David" w:hAnsi="David" w:cs="David"/>
                <w:i/>
                <w:iCs/>
              </w:rPr>
              <w:t>Das Bilderverbot: Seine Entstehung und seine Entwicklung im alten Testament</w:t>
            </w:r>
            <w:r w:rsidRPr="00A374C5">
              <w:rPr>
                <w:rFonts w:ascii="David" w:hAnsi="David" w:cs="David"/>
              </w:rPr>
              <w:t xml:space="preserve"> (BBB 62) Frankfurt a.M</w:t>
            </w:r>
            <w:r w:rsidRPr="00A374C5">
              <w:rPr>
                <w:rFonts w:ascii="David" w:hAnsi="David" w:cs="David"/>
                <w:vertAlign w:val="superscript"/>
              </w:rPr>
              <w:t>2</w:t>
            </w:r>
            <w:r w:rsidRPr="00A374C5">
              <w:rPr>
                <w:rFonts w:ascii="David" w:hAnsi="David" w:cs="David"/>
              </w:rPr>
              <w:t xml:space="preserve"> 1987</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דרייבר ומיילס, בבל א</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G.R. Driver and J.C. Miles, </w:t>
            </w:r>
            <w:r w:rsidRPr="00A374C5">
              <w:rPr>
                <w:rFonts w:ascii="David" w:hAnsi="David" w:cs="David"/>
                <w:i/>
                <w:iCs/>
              </w:rPr>
              <w:t>The Babylonian Laws</w:t>
            </w:r>
            <w:r w:rsidRPr="00A374C5">
              <w:rPr>
                <w:rFonts w:ascii="David" w:hAnsi="David" w:cs="David"/>
              </w:rPr>
              <w:t xml:space="preserve"> (Vol. 1), London 1952 </w:t>
            </w:r>
          </w:p>
        </w:tc>
      </w:tr>
      <w:tr w:rsidR="00A374C5" w:rsidRPr="00A374C5" w:rsidTr="00502B13">
        <w:tc>
          <w:tcPr>
            <w:tcW w:w="2030" w:type="dxa"/>
          </w:tcPr>
          <w:p w:rsidR="00A374C5" w:rsidRPr="00A374C5" w:rsidRDefault="00A374C5" w:rsidP="00A374C5">
            <w:pPr>
              <w:spacing w:line="360" w:lineRule="auto"/>
              <w:jc w:val="both"/>
              <w:rPr>
                <w:rFonts w:ascii="David" w:hAnsi="David" w:cs="David"/>
              </w:rPr>
            </w:pPr>
            <w:r w:rsidRPr="00A374C5">
              <w:rPr>
                <w:rFonts w:ascii="David" w:hAnsi="David" w:cs="David" w:hint="cs"/>
                <w:rtl/>
              </w:rPr>
              <w:t>דרייבר ומיילס, בבל ב</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rPr>
              <w:t xml:space="preserve">G.R. Driver and J.C. Miles, </w:t>
            </w:r>
            <w:r w:rsidRPr="00A374C5">
              <w:rPr>
                <w:rFonts w:ascii="David" w:hAnsi="David" w:cs="David"/>
                <w:i/>
                <w:iCs/>
              </w:rPr>
              <w:t>The Babylonian Laws</w:t>
            </w:r>
            <w:r w:rsidRPr="00A374C5">
              <w:rPr>
                <w:rFonts w:ascii="David" w:hAnsi="David" w:cs="David"/>
              </w:rPr>
              <w:t xml:space="preserve"> (Vol. 2), London 1955 </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הופמן, ירמיה</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י' הופמן, ירמיה א-כה (מקרא לישראל), תל-אביב וירושלים תשס"א.</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הורביץ, משלי</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הורוויץ, משלי א-ט, מקרא לישראל</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הילרז, איכה</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D.R. Hillers, </w:t>
            </w:r>
            <w:r w:rsidRPr="00A374C5">
              <w:rPr>
                <w:rFonts w:ascii="David" w:hAnsi="David" w:cs="David"/>
                <w:i/>
                <w:iCs/>
              </w:rPr>
              <w:t>Lamentations</w:t>
            </w:r>
            <w:r w:rsidRPr="00A374C5">
              <w:rPr>
                <w:rFonts w:ascii="David" w:hAnsi="David" w:cs="David"/>
              </w:rPr>
              <w:t xml:space="preserve"> (AB), Garden City, New York 1972</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lastRenderedPageBreak/>
              <w:t>וויבריי, משלי</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R.N. Whybray, </w:t>
            </w:r>
            <w:r w:rsidRPr="00A374C5">
              <w:rPr>
                <w:rFonts w:ascii="David" w:hAnsi="David" w:cs="David"/>
                <w:i/>
                <w:iCs/>
              </w:rPr>
              <w:t>The Book of Proverbs</w:t>
            </w:r>
            <w:r w:rsidRPr="00A374C5">
              <w:rPr>
                <w:rFonts w:ascii="David" w:hAnsi="David" w:cs="David"/>
              </w:rPr>
              <w:t xml:space="preserve"> (CBC), Cambridge 1972</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וולטקה, משלי</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B.K. Waltke, </w:t>
            </w:r>
            <w:r w:rsidRPr="00A374C5">
              <w:rPr>
                <w:rFonts w:ascii="David" w:hAnsi="David" w:cs="David"/>
                <w:i/>
                <w:iCs/>
              </w:rPr>
              <w:t>The Book of Proverbs: Chapters 1-15</w:t>
            </w:r>
            <w:r w:rsidRPr="00A374C5">
              <w:rPr>
                <w:rFonts w:ascii="David" w:hAnsi="David" w:cs="David"/>
              </w:rPr>
              <w:t xml:space="preserve"> (NICOT), Grand Rapids, Michigan 2004</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וייזר, תהלים</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hint="cs"/>
              </w:rPr>
              <w:t>A</w:t>
            </w:r>
            <w:r w:rsidRPr="00A374C5">
              <w:rPr>
                <w:rFonts w:ascii="David" w:hAnsi="David" w:cs="David"/>
              </w:rPr>
              <w:t xml:space="preserve">. Weiser, </w:t>
            </w:r>
            <w:r w:rsidRPr="00A374C5">
              <w:rPr>
                <w:rFonts w:ascii="David" w:hAnsi="David" w:cs="David"/>
                <w:i/>
                <w:iCs/>
              </w:rPr>
              <w:t>The Psalms</w:t>
            </w:r>
            <w:r w:rsidRPr="00A374C5">
              <w:rPr>
                <w:rFonts w:ascii="David" w:hAnsi="David" w:cs="David"/>
              </w:rPr>
              <w:t xml:space="preserve"> (OTL), trans. H. Hartwell, London 1962</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ויינפלד, המתת עובר</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rtl/>
              </w:rPr>
              <w:t>מ' ויינפלד, 'המתת עובר – עמדתה של מסורת ישראל בהשוואה לעמדת עמים אחרים', ציון מב (תשל"ז),</w:t>
            </w:r>
            <w:r w:rsidRPr="00A374C5">
              <w:rPr>
                <w:rFonts w:ascii="David" w:hAnsi="David" w:cs="David" w:hint="cs"/>
                <w:rtl/>
              </w:rPr>
              <w:t xml:space="preserve"> עמ'</w:t>
            </w:r>
            <w:r w:rsidRPr="00A374C5">
              <w:rPr>
                <w:rFonts w:ascii="David" w:hAnsi="David" w:cs="David"/>
                <w:rtl/>
              </w:rPr>
              <w:t xml:space="preserve"> 142-129</w:t>
            </w:r>
            <w:r w:rsidRPr="00A374C5">
              <w:rPr>
                <w:rFonts w:ascii="David" w:hAnsi="David" w:cs="David" w:hint="cs"/>
                <w:rtl/>
              </w:rPr>
              <w:t>.</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ונסינה, בושונג</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J. Vansina, 'The Bushong Poison Ordeal', in: M. Douglas and P.H. Kaberry (eds.), </w:t>
            </w:r>
            <w:r w:rsidRPr="00A374C5">
              <w:rPr>
                <w:rFonts w:ascii="David" w:hAnsi="David" w:cs="David"/>
                <w:i/>
                <w:iCs/>
              </w:rPr>
              <w:t>Man in Africa</w:t>
            </w:r>
            <w:r w:rsidRPr="00A374C5">
              <w:rPr>
                <w:rFonts w:ascii="David" w:hAnsi="David" w:cs="David"/>
              </w:rPr>
              <w:t>, London, 1969, pp. 245-260</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חכם, שמות</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ע' חכם, ספר שמות (כרך ב) (דעת מקרא), ירושלים תשנ"א.</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כהן, האפקס לגומנה</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H.R. Cohen, </w:t>
            </w:r>
            <w:r w:rsidRPr="00A374C5">
              <w:rPr>
                <w:rFonts w:ascii="David" w:hAnsi="David" w:cs="David"/>
                <w:i/>
                <w:iCs/>
              </w:rPr>
              <w:t>Biblical Hapax Legomena in the Light of Akkadian and Ugaritic,</w:t>
            </w:r>
            <w:r w:rsidRPr="00A374C5">
              <w:rPr>
                <w:rFonts w:ascii="David" w:hAnsi="David" w:cs="David"/>
              </w:rPr>
              <w:t xml:space="preserve"> Missoula, Montana 1978</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כוגן, נחום</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מ' כוגן, נחום (מקרא לישראל), תל-אביב וירושלים תשס"ו.</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לויצקי, ממזר</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J. Levitsky, 'The Illegitimate Child, (mamzer) in Jewish Law', </w:t>
            </w:r>
            <w:r w:rsidRPr="00A374C5">
              <w:rPr>
                <w:rFonts w:ascii="David" w:hAnsi="David" w:cs="David"/>
                <w:i/>
                <w:iCs/>
              </w:rPr>
              <w:t>JBQ</w:t>
            </w:r>
            <w:r w:rsidRPr="00A374C5">
              <w:rPr>
                <w:rFonts w:ascii="David" w:hAnsi="David" w:cs="David"/>
              </w:rPr>
              <w:t xml:space="preserve"> 18 (1989), pp. 6-12</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ליכט, במדבר (א-י)</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י' ליכט, פירוש על ספר במדבר (כרך א: פרקים א-י), ירושלים תשמ"ה.</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לק, סמלים</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R. Lack, </w:t>
            </w:r>
            <w:r w:rsidRPr="00A374C5">
              <w:rPr>
                <w:rFonts w:ascii="David" w:hAnsi="David" w:cs="David"/>
                <w:i/>
                <w:iCs/>
              </w:rPr>
              <w:t>La Symbolique du Livre d'Isa</w:t>
            </w:r>
            <w:r w:rsidRPr="00A374C5">
              <w:rPr>
                <w:i/>
                <w:iCs/>
              </w:rPr>
              <w:t>ï</w:t>
            </w:r>
            <w:r w:rsidRPr="00A374C5">
              <w:rPr>
                <w:rFonts w:ascii="David" w:hAnsi="David" w:cs="David"/>
                <w:i/>
                <w:iCs/>
              </w:rPr>
              <w:t xml:space="preserve">e </w:t>
            </w:r>
            <w:r w:rsidRPr="00A374C5">
              <w:rPr>
                <w:rFonts w:ascii="David" w:hAnsi="David" w:cs="David"/>
              </w:rPr>
              <w:t xml:space="preserve"> (AnBib 59), Rome 1973</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מאיירז ומאיירז, זכריה</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C.L. Meyers and E.M. Meyers, </w:t>
            </w:r>
            <w:r w:rsidRPr="00A374C5">
              <w:rPr>
                <w:rFonts w:ascii="David" w:hAnsi="David" w:cs="David"/>
                <w:i/>
                <w:iCs/>
              </w:rPr>
              <w:t>Zechariah 9-14</w:t>
            </w:r>
            <w:r w:rsidRPr="00A374C5">
              <w:rPr>
                <w:rFonts w:ascii="David" w:hAnsi="David" w:cs="David"/>
              </w:rPr>
              <w:t xml:space="preserve"> (AB), New York 1993</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מושקוביץ, איכה</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י</w:t>
            </w:r>
            <w:r w:rsidRPr="00A374C5">
              <w:rPr>
                <w:rFonts w:ascii="David" w:hAnsi="David" w:cs="David"/>
                <w:rtl/>
              </w:rPr>
              <w:t xml:space="preserve">"צ מושקוביץ, </w:t>
            </w:r>
            <w:r w:rsidRPr="00A374C5">
              <w:rPr>
                <w:rFonts w:ascii="David" w:hAnsi="David" w:cs="David" w:hint="cs"/>
                <w:rtl/>
              </w:rPr>
              <w:t>איכה, חמש מגילות</w:t>
            </w:r>
            <w:r w:rsidRPr="00A374C5">
              <w:rPr>
                <w:rFonts w:ascii="David" w:hAnsi="David" w:cs="David"/>
                <w:rtl/>
              </w:rPr>
              <w:t xml:space="preserve"> </w:t>
            </w:r>
            <w:r w:rsidRPr="00A374C5">
              <w:rPr>
                <w:rFonts w:ascii="David" w:hAnsi="David" w:cs="David" w:hint="cs"/>
                <w:rtl/>
              </w:rPr>
              <w:t>('</w:t>
            </w:r>
            <w:r w:rsidRPr="00A374C5">
              <w:rPr>
                <w:rFonts w:ascii="David" w:hAnsi="David" w:cs="David"/>
                <w:rtl/>
              </w:rPr>
              <w:t>דעת מקרא</w:t>
            </w:r>
            <w:r w:rsidRPr="00A374C5">
              <w:rPr>
                <w:rFonts w:ascii="David" w:hAnsi="David" w:cs="David" w:hint="cs"/>
                <w:rtl/>
              </w:rPr>
              <w:t>')</w:t>
            </w:r>
            <w:r w:rsidRPr="00A374C5">
              <w:rPr>
                <w:rFonts w:ascii="David" w:hAnsi="David" w:cs="David"/>
                <w:rtl/>
              </w:rPr>
              <w:t>, ירושלים תש</w:t>
            </w:r>
            <w:r w:rsidRPr="00A374C5">
              <w:rPr>
                <w:rFonts w:ascii="David" w:hAnsi="David" w:cs="David" w:hint="cs"/>
                <w:rtl/>
              </w:rPr>
              <w:t>ל"ג.</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מלול, חברה</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מ' מלול, חברה, משפט ומנהג בישראל בתקופת המקרא ובתרבויות המזרח הקדום, רמת-גן תשס"ו.</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מלול, קובצי הדינים</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מ' מלול, קובצי הדינים ואוספים משפטיים אחרים מן המזרח הקדום, חיפה תש"ע.</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מק-קיין, ירמיה</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W. McKane, </w:t>
            </w:r>
            <w:r w:rsidRPr="00A374C5">
              <w:rPr>
                <w:rFonts w:ascii="David" w:hAnsi="David" w:cs="David"/>
                <w:i/>
                <w:iCs/>
              </w:rPr>
              <w:t>Jeremiah 1-25</w:t>
            </w:r>
            <w:r w:rsidRPr="00A374C5">
              <w:rPr>
                <w:rFonts w:ascii="David" w:hAnsi="David" w:cs="David"/>
              </w:rPr>
              <w:t xml:space="preserve"> (ICC),  Edinburgh 1986</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מק-קיין, משלי</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W. McKane, </w:t>
            </w:r>
            <w:r w:rsidRPr="00A374C5">
              <w:rPr>
                <w:rFonts w:ascii="David" w:hAnsi="David" w:cs="David"/>
                <w:i/>
                <w:iCs/>
              </w:rPr>
              <w:t>Proverbs</w:t>
            </w:r>
            <w:r w:rsidRPr="00A374C5">
              <w:rPr>
                <w:rFonts w:ascii="David" w:hAnsi="David" w:cs="David"/>
              </w:rPr>
              <w:t xml:space="preserve"> (OTL), London 1970</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מק-קיין, רעל</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W. McKane, 'Poison, Trial by Ordeal and the Cup of Wrath', </w:t>
            </w:r>
            <w:r w:rsidRPr="00A374C5">
              <w:rPr>
                <w:rFonts w:ascii="David" w:hAnsi="David" w:cs="David"/>
                <w:i/>
                <w:iCs/>
              </w:rPr>
              <w:t>VT</w:t>
            </w:r>
            <w:r w:rsidRPr="00A374C5">
              <w:rPr>
                <w:rFonts w:ascii="David" w:hAnsi="David" w:cs="David"/>
              </w:rPr>
              <w:t xml:space="preserve"> 30 (1980), pp. 474-492</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מרש, במדבר</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J. Marsh, </w:t>
            </w:r>
            <w:r w:rsidRPr="00A374C5">
              <w:rPr>
                <w:rFonts w:ascii="David" w:hAnsi="David" w:cs="David"/>
                <w:i/>
                <w:iCs/>
              </w:rPr>
              <w:t>The Book of Numbers</w:t>
            </w:r>
            <w:r w:rsidRPr="00A374C5">
              <w:rPr>
                <w:rFonts w:ascii="David" w:hAnsi="David" w:cs="David"/>
              </w:rPr>
              <w:t xml:space="preserve"> (The Interpreter's Bible 2), New York and Nashville 1953</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נות, במדבר</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M. Noth, </w:t>
            </w:r>
            <w:r w:rsidRPr="00A374C5">
              <w:rPr>
                <w:rFonts w:ascii="David" w:hAnsi="David" w:cs="David"/>
                <w:i/>
                <w:iCs/>
              </w:rPr>
              <w:t xml:space="preserve">Numbers </w:t>
            </w:r>
            <w:r w:rsidRPr="00A374C5">
              <w:rPr>
                <w:rFonts w:ascii="David" w:hAnsi="David" w:cs="David"/>
              </w:rPr>
              <w:t>(OTL), London 1968</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נות, שמות</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M. Noth, </w:t>
            </w:r>
            <w:r w:rsidRPr="00A374C5">
              <w:rPr>
                <w:rFonts w:ascii="David" w:hAnsi="David" w:cs="David"/>
                <w:i/>
                <w:iCs/>
              </w:rPr>
              <w:t>Exodus</w:t>
            </w:r>
            <w:r w:rsidRPr="00A374C5">
              <w:rPr>
                <w:rFonts w:ascii="David" w:hAnsi="David" w:cs="David"/>
              </w:rPr>
              <w:t xml:space="preserve"> (OTL), London 1962</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סטארדי, במדבר</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J. Sturdy, </w:t>
            </w:r>
            <w:r w:rsidRPr="00A374C5">
              <w:rPr>
                <w:rFonts w:ascii="David" w:hAnsi="David" w:cs="David"/>
                <w:i/>
                <w:iCs/>
              </w:rPr>
              <w:t>Numbers</w:t>
            </w:r>
            <w:r w:rsidRPr="00A374C5">
              <w:rPr>
                <w:rFonts w:ascii="David" w:hAnsi="David" w:cs="David"/>
              </w:rPr>
              <w:t xml:space="preserve"> (CBC), Cambridge 1976.</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סטיוארט, הושע</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rPr>
              <w:t xml:space="preserve">D. Stuart, </w:t>
            </w:r>
            <w:r w:rsidRPr="00A374C5">
              <w:rPr>
                <w:rFonts w:ascii="David" w:hAnsi="David" w:cs="David"/>
                <w:i/>
                <w:iCs/>
              </w:rPr>
              <w:t>Hosea-Jonah</w:t>
            </w:r>
            <w:r w:rsidRPr="00A374C5">
              <w:rPr>
                <w:rFonts w:ascii="David" w:hAnsi="David" w:cs="David"/>
              </w:rPr>
              <w:t xml:space="preserve"> (WBC,</w:t>
            </w:r>
            <w:r w:rsidRPr="00A374C5">
              <w:rPr>
                <w:rFonts w:ascii="David" w:hAnsi="David" w:cs="David"/>
                <w:i/>
                <w:iCs/>
              </w:rPr>
              <w:t xml:space="preserve"> </w:t>
            </w:r>
            <w:r w:rsidRPr="00A374C5">
              <w:rPr>
                <w:rFonts w:ascii="David" w:hAnsi="David" w:cs="David"/>
              </w:rPr>
              <w:t>31), Mexico City 1987</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סיאו, קהלת</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C.L. Seow, </w:t>
            </w:r>
            <w:r w:rsidRPr="00A374C5">
              <w:rPr>
                <w:rFonts w:ascii="David" w:hAnsi="David" w:cs="David"/>
                <w:i/>
                <w:iCs/>
              </w:rPr>
              <w:t>Ecclesiastes</w:t>
            </w:r>
            <w:r w:rsidRPr="00A374C5">
              <w:rPr>
                <w:rFonts w:ascii="David" w:hAnsi="David" w:cs="David"/>
              </w:rPr>
              <w:t xml:space="preserve"> (AB), Garden City, New York 1997</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סיבולד, לענה</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rPr>
              <w:t>K. Seybold, 'laʽ</w:t>
            </w:r>
            <w:r w:rsidRPr="00A374C5">
              <w:rPr>
                <w:rFonts w:ascii="David" w:hAnsi="David" w:cs="David"/>
                <w:vertAlign w:val="superscript"/>
              </w:rPr>
              <w:t>a</w:t>
            </w:r>
            <w:r w:rsidRPr="00A374C5">
              <w:rPr>
                <w:rFonts w:ascii="David" w:hAnsi="David" w:cs="David"/>
              </w:rPr>
              <w:t>n</w:t>
            </w:r>
            <w:r w:rsidRPr="00A374C5">
              <w:rPr>
                <w:rFonts w:ascii="Microsoft Sans Serif" w:hAnsi="Microsoft Sans Serif" w:cs="Microsoft Sans Serif"/>
              </w:rPr>
              <w:t>ȃ</w:t>
            </w:r>
            <w:r w:rsidRPr="00A374C5">
              <w:rPr>
                <w:rFonts w:ascii="David" w:hAnsi="David" w:cs="David"/>
              </w:rPr>
              <w:t xml:space="preserve">', </w:t>
            </w:r>
            <w:r w:rsidRPr="00A374C5">
              <w:rPr>
                <w:rFonts w:ascii="David" w:hAnsi="David" w:cs="David"/>
                <w:i/>
                <w:iCs/>
              </w:rPr>
              <w:t>TDOT</w:t>
            </w:r>
            <w:r w:rsidRPr="00A374C5">
              <w:rPr>
                <w:rFonts w:ascii="David" w:hAnsi="David" w:cs="David"/>
              </w:rPr>
              <w:t xml:space="preserve"> (Vol. 8), Grand Rapids, Michigan 1997, pp. 14-16 (German Original 1983-1984)</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סרנה, שמות</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N.M. Sarna, </w:t>
            </w:r>
            <w:r w:rsidRPr="00A374C5">
              <w:rPr>
                <w:rFonts w:ascii="David" w:hAnsi="David" w:cs="David"/>
                <w:i/>
                <w:iCs/>
              </w:rPr>
              <w:t xml:space="preserve">Exodus </w:t>
            </w:r>
            <w:r w:rsidRPr="00A374C5">
              <w:rPr>
                <w:rFonts w:ascii="David" w:hAnsi="David" w:cs="David"/>
              </w:rPr>
              <w:t>(The JPS Torah Commentary),</w:t>
            </w:r>
            <w:r w:rsidRPr="00A374C5">
              <w:rPr>
                <w:rFonts w:ascii="David" w:hAnsi="David" w:cs="David"/>
                <w:i/>
                <w:iCs/>
              </w:rPr>
              <w:t xml:space="preserve"> </w:t>
            </w:r>
            <w:r w:rsidRPr="00A374C5">
              <w:rPr>
                <w:rFonts w:ascii="David" w:hAnsi="David" w:cs="David"/>
              </w:rPr>
              <w:t>Philadelphia and Jerusalem 1991</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סרנה, תהלים</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נ"מ סרנה, תהלים א' (עולם התנ"ך), תל-אביב 2002.</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פוארסט, קהלת</w:t>
            </w:r>
          </w:p>
        </w:tc>
        <w:tc>
          <w:tcPr>
            <w:tcW w:w="6492" w:type="dxa"/>
          </w:tcPr>
          <w:p w:rsidR="00A374C5" w:rsidRPr="00FB00E5" w:rsidRDefault="00A374C5" w:rsidP="00A374C5">
            <w:pPr>
              <w:spacing w:line="360" w:lineRule="auto"/>
              <w:jc w:val="both"/>
              <w:rPr>
                <w:rFonts w:asciiTheme="minorHAnsi" w:hAnsiTheme="minorHAnsi" w:cs="David"/>
                <w:rtl/>
              </w:rPr>
            </w:pPr>
            <w:r w:rsidRPr="00A374C5">
              <w:rPr>
                <w:rFonts w:ascii="David" w:hAnsi="David" w:cs="David"/>
              </w:rPr>
              <w:t xml:space="preserve">W.J. Fuerst, </w:t>
            </w:r>
            <w:r w:rsidRPr="00A374C5">
              <w:rPr>
                <w:rFonts w:ascii="David" w:hAnsi="David" w:cs="David"/>
                <w:i/>
                <w:iCs/>
              </w:rPr>
              <w:t xml:space="preserve">The Book of Ruth, Esther, Ecclesiastes, The Song of </w:t>
            </w:r>
            <w:r w:rsidRPr="00A374C5">
              <w:rPr>
                <w:rFonts w:ascii="David" w:hAnsi="David" w:cs="David"/>
                <w:i/>
                <w:iCs/>
              </w:rPr>
              <w:lastRenderedPageBreak/>
              <w:t>Songs, Lamentations</w:t>
            </w:r>
            <w:r w:rsidRPr="00A374C5">
              <w:rPr>
                <w:rFonts w:ascii="David" w:hAnsi="David" w:cs="David"/>
              </w:rPr>
              <w:t xml:space="preserve"> (CBC), Cambridge 1975</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lastRenderedPageBreak/>
              <w:t>פופ, איוב</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rPr>
              <w:t xml:space="preserve">M.H. Pope, </w:t>
            </w:r>
            <w:r w:rsidRPr="00A374C5">
              <w:rPr>
                <w:rFonts w:ascii="David" w:hAnsi="David" w:cs="David"/>
                <w:i/>
                <w:iCs/>
              </w:rPr>
              <w:t>Job</w:t>
            </w:r>
            <w:r w:rsidRPr="00A374C5">
              <w:rPr>
                <w:rFonts w:ascii="David" w:hAnsi="David" w:cs="David"/>
              </w:rPr>
              <w:t xml:space="preserve"> (AB), Garden City, New York</w:t>
            </w:r>
            <w:r w:rsidRPr="00A374C5">
              <w:rPr>
                <w:rFonts w:ascii="David" w:hAnsi="David" w:cs="David"/>
                <w:vertAlign w:val="superscript"/>
              </w:rPr>
              <w:t>3</w:t>
            </w:r>
            <w:r w:rsidRPr="00A374C5">
              <w:rPr>
                <w:rFonts w:ascii="David" w:hAnsi="David" w:cs="David"/>
              </w:rPr>
              <w:t xml:space="preserve"> 1973</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פוקס, משלי</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rPr>
              <w:t xml:space="preserve">M.V. Fox, </w:t>
            </w:r>
            <w:r w:rsidRPr="00A374C5">
              <w:rPr>
                <w:rFonts w:ascii="David" w:hAnsi="David" w:cs="David"/>
                <w:i/>
                <w:iCs/>
              </w:rPr>
              <w:t>Proverbs 1-9</w:t>
            </w:r>
            <w:r w:rsidRPr="00A374C5">
              <w:rPr>
                <w:rFonts w:ascii="David" w:hAnsi="David" w:cs="David"/>
              </w:rPr>
              <w:t xml:space="preserve"> (AB), Garden City, New York 2000</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פינקלשטיין, מחקרים</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J.J. Finkelstein, 'On Some Recent Studies in Cuneiform Law', </w:t>
            </w:r>
            <w:r w:rsidRPr="00A374C5">
              <w:rPr>
                <w:rFonts w:ascii="David" w:hAnsi="David" w:cs="David"/>
                <w:i/>
                <w:iCs/>
              </w:rPr>
              <w:t>JAOS</w:t>
            </w:r>
            <w:r w:rsidRPr="00A374C5">
              <w:rPr>
                <w:rFonts w:ascii="David" w:hAnsi="David" w:cs="David"/>
              </w:rPr>
              <w:t xml:space="preserve"> 90 (1970), pp. 243-256. </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פישביין, האשמה</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M. Fishbane, 'Accusations of Adultery : A Study of Law and Scribal Practice in Numbers 5:11-31', </w:t>
            </w:r>
            <w:r w:rsidRPr="00A374C5">
              <w:rPr>
                <w:rFonts w:ascii="David" w:hAnsi="David" w:cs="David"/>
                <w:i/>
                <w:iCs/>
              </w:rPr>
              <w:t>HUCA</w:t>
            </w:r>
            <w:r w:rsidRPr="00A374C5">
              <w:rPr>
                <w:rFonts w:ascii="David" w:hAnsi="David" w:cs="David"/>
              </w:rPr>
              <w:t xml:space="preserve"> 45 (1974), pp. 25-45</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פליישר, ראש</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G. Fleischer, 'r</w:t>
            </w:r>
            <w:r w:rsidRPr="00A374C5">
              <w:t>ō</w:t>
            </w:r>
            <w:r w:rsidRPr="00A374C5">
              <w:rPr>
                <w:rFonts w:ascii="David" w:hAnsi="David" w:cs="David"/>
              </w:rPr>
              <w:t>'</w:t>
            </w:r>
            <w:r w:rsidRPr="00A374C5">
              <w:t>Š</w:t>
            </w:r>
            <w:r w:rsidRPr="00A374C5">
              <w:rPr>
                <w:rFonts w:ascii="David" w:hAnsi="David" w:cs="David"/>
              </w:rPr>
              <w:t xml:space="preserve"> II', </w:t>
            </w:r>
            <w:r w:rsidRPr="00A374C5">
              <w:rPr>
                <w:rFonts w:ascii="David" w:hAnsi="David" w:cs="David"/>
                <w:i/>
                <w:iCs/>
              </w:rPr>
              <w:t>TDOT</w:t>
            </w:r>
            <w:r w:rsidRPr="00A374C5">
              <w:rPr>
                <w:rFonts w:ascii="David" w:hAnsi="David" w:cs="David"/>
              </w:rPr>
              <w:t xml:space="preserve"> (Vol. 13), Grand Rapids, Michigan 2004, pp. 262-264 (German Original 1990-1992)      </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פריבל, פעולות סמליות</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K.G. Friebel, </w:t>
            </w:r>
            <w:r w:rsidRPr="00A374C5">
              <w:rPr>
                <w:rFonts w:ascii="David" w:hAnsi="David" w:cs="David"/>
                <w:i/>
                <w:iCs/>
              </w:rPr>
              <w:t>Jeremiah's and Ezekiel's Sign-Acts</w:t>
            </w:r>
            <w:r w:rsidRPr="00A374C5">
              <w:rPr>
                <w:rFonts w:ascii="David" w:hAnsi="David" w:cs="David"/>
              </w:rPr>
              <w:t xml:space="preserve"> (JSOTS 283), Sheffield 1999.</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פרימר-קנסקי, סוטה</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rPr>
              <w:t xml:space="preserve">T. Frymer-Kensky, 'The Strange Case of the "Sotah" (Numbers 5:11-31)', </w:t>
            </w:r>
            <w:r w:rsidRPr="00A374C5">
              <w:rPr>
                <w:rFonts w:ascii="David" w:hAnsi="David" w:cs="David"/>
                <w:i/>
                <w:iCs/>
              </w:rPr>
              <w:t>VT</w:t>
            </w:r>
            <w:r w:rsidRPr="00A374C5">
              <w:rPr>
                <w:rFonts w:ascii="David" w:hAnsi="David" w:cs="David"/>
              </w:rPr>
              <w:t xml:space="preserve"> 34 (1984), pp. 11-26</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 xml:space="preserve">פריצ'ארד, </w:t>
            </w:r>
            <w:r w:rsidRPr="00A374C5">
              <w:rPr>
                <w:rFonts w:ascii="David" w:hAnsi="David" w:cs="David" w:hint="cs"/>
                <w:i/>
                <w:iCs/>
              </w:rPr>
              <w:t>ANET</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J.B. Pritchard (ed.),</w:t>
            </w:r>
            <w:r w:rsidRPr="00A374C5">
              <w:rPr>
                <w:rFonts w:ascii="David" w:hAnsi="David" w:cs="David"/>
                <w:i/>
                <w:iCs/>
              </w:rPr>
              <w:t xml:space="preserve"> </w:t>
            </w:r>
            <w:r w:rsidRPr="00A374C5">
              <w:rPr>
                <w:rFonts w:ascii="David" w:hAnsi="David" w:cs="David" w:hint="cs"/>
                <w:i/>
                <w:iCs/>
              </w:rPr>
              <w:t>ANET</w:t>
            </w:r>
            <w:r w:rsidRPr="00A374C5">
              <w:rPr>
                <w:rFonts w:ascii="David" w:hAnsi="David" w:cs="David"/>
                <w:i/>
                <w:iCs/>
              </w:rPr>
              <w:t xml:space="preserve"> With Supplement, </w:t>
            </w:r>
            <w:r w:rsidRPr="00A374C5">
              <w:rPr>
                <w:rFonts w:ascii="David" w:hAnsi="David" w:cs="David"/>
              </w:rPr>
              <w:t>Princeton</w:t>
            </w:r>
            <w:r w:rsidRPr="00A374C5">
              <w:rPr>
                <w:rFonts w:ascii="David" w:hAnsi="David" w:cs="David"/>
                <w:vertAlign w:val="superscript"/>
              </w:rPr>
              <w:t>3</w:t>
            </w:r>
            <w:r w:rsidRPr="00A374C5">
              <w:rPr>
                <w:rFonts w:ascii="David" w:hAnsi="David" w:cs="David"/>
              </w:rPr>
              <w:t xml:space="preserve"> 1969</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פרלס, איכה</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פ' פרלס, איכה, חמש מגלות (מקרא מפורש, בעריכת א' כהנא), תל אביב תר"צ, דפוס צילום: ירושלים תשכ"ט</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פרנקל, עגל הזהב</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D. Frankel, 'The destruction of the Golden Calf : a new solution', </w:t>
            </w:r>
            <w:r w:rsidRPr="00A374C5">
              <w:rPr>
                <w:rFonts w:ascii="David" w:hAnsi="David" w:cs="David"/>
                <w:i/>
                <w:iCs/>
              </w:rPr>
              <w:t>VT</w:t>
            </w:r>
            <w:r w:rsidRPr="00A374C5">
              <w:rPr>
                <w:rFonts w:ascii="David" w:hAnsi="David" w:cs="David"/>
              </w:rPr>
              <w:t xml:space="preserve"> 44 (1994), pp. 330-339</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פרס, אורדל</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R. Press, 'Das Ordal im alten Israel', </w:t>
            </w:r>
            <w:r w:rsidRPr="00A374C5">
              <w:rPr>
                <w:rFonts w:ascii="David" w:hAnsi="David" w:cs="David"/>
                <w:i/>
                <w:iCs/>
              </w:rPr>
              <w:t>ZAW</w:t>
            </w:r>
            <w:r w:rsidRPr="00A374C5">
              <w:rPr>
                <w:rFonts w:ascii="David" w:hAnsi="David" w:cs="David"/>
              </w:rPr>
              <w:t xml:space="preserve"> 51 (1933), pp. 121-140, 227-255</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צ'יילדס, שמות</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B.S. Childs, </w:t>
            </w:r>
            <w:r w:rsidRPr="00A374C5">
              <w:rPr>
                <w:rFonts w:ascii="David" w:hAnsi="David" w:cs="David"/>
                <w:i/>
                <w:iCs/>
              </w:rPr>
              <w:t>The Book of Exodus</w:t>
            </w:r>
            <w:r w:rsidRPr="00A374C5">
              <w:rPr>
                <w:rFonts w:ascii="David" w:hAnsi="David" w:cs="David"/>
              </w:rPr>
              <w:t xml:space="preserve"> (OTL), Philadelphia 1974</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קאסוטו, בני האלהים</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hint="cs"/>
                <w:rtl/>
              </w:rPr>
              <w:t>מ"ד קאסוטו, 'מעשה בני האלהים ובנות האדם', בתוך: ספרות מקראית וספרות כנענית (כרך א), ירושלים תשל"ב, עמ' 98</w:t>
            </w:r>
            <w:r w:rsidRPr="00A374C5">
              <w:rPr>
                <w:rFonts w:ascii="David" w:hAnsi="David" w:cs="David" w:hint="cs"/>
                <w:rtl/>
              </w:rPr>
              <w:softHyphen/>
              <w:t>-107.</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קדרי, מילון</w:t>
            </w:r>
          </w:p>
        </w:tc>
        <w:tc>
          <w:tcPr>
            <w:tcW w:w="6492"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מ"צ קדרי, מילון העברית המקראית, רמת-גן 2006.</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קהלר, ארכיאולוגיות</w:t>
            </w:r>
          </w:p>
        </w:tc>
        <w:tc>
          <w:tcPr>
            <w:tcW w:w="6492" w:type="dxa"/>
          </w:tcPr>
          <w:p w:rsidR="00A374C5" w:rsidRPr="00A374C5" w:rsidRDefault="00A374C5" w:rsidP="00A374C5">
            <w:pPr>
              <w:spacing w:line="360" w:lineRule="auto"/>
              <w:jc w:val="both"/>
              <w:rPr>
                <w:rFonts w:ascii="David" w:hAnsi="David" w:cs="David"/>
                <w:rtl/>
                <w:lang w:bidi="ar-SA"/>
              </w:rPr>
            </w:pPr>
            <w:r w:rsidRPr="00A374C5">
              <w:rPr>
                <w:rFonts w:ascii="David" w:hAnsi="David" w:cs="David"/>
              </w:rPr>
              <w:t>L. K</w:t>
            </w:r>
            <w:r w:rsidRPr="00A374C5">
              <w:t>ö</w:t>
            </w:r>
            <w:r w:rsidRPr="00A374C5">
              <w:rPr>
                <w:rFonts w:ascii="David" w:hAnsi="David" w:cs="David"/>
              </w:rPr>
              <w:t>hler, 'Arch</w:t>
            </w:r>
            <w:r w:rsidRPr="00A374C5">
              <w:t>ä</w:t>
            </w:r>
            <w:r w:rsidRPr="00A374C5">
              <w:rPr>
                <w:rFonts w:ascii="David" w:hAnsi="David" w:cs="David"/>
              </w:rPr>
              <w:t xml:space="preserve">ologisches', </w:t>
            </w:r>
            <w:r w:rsidRPr="00A374C5">
              <w:rPr>
                <w:rFonts w:ascii="David" w:hAnsi="David" w:cs="David"/>
                <w:i/>
                <w:iCs/>
              </w:rPr>
              <w:t>ZAW</w:t>
            </w:r>
            <w:r w:rsidRPr="00A374C5">
              <w:rPr>
                <w:rFonts w:ascii="David" w:hAnsi="David" w:cs="David"/>
              </w:rPr>
              <w:t xml:space="preserve"> 34 (1914), pp. 146-149</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ראבה, עובדיה</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P.R. Raabe, </w:t>
            </w:r>
            <w:r w:rsidRPr="00A374C5">
              <w:rPr>
                <w:rFonts w:ascii="David" w:hAnsi="David" w:cs="David"/>
                <w:i/>
                <w:iCs/>
              </w:rPr>
              <w:t>Obadiah</w:t>
            </w:r>
            <w:r w:rsidRPr="00A374C5">
              <w:rPr>
                <w:rFonts w:ascii="David" w:hAnsi="David" w:cs="David"/>
              </w:rPr>
              <w:t xml:space="preserve"> (AB), New York 1996</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רד"ק, תהלים</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hint="cs"/>
                <w:rtl/>
              </w:rPr>
              <w:t>ר' דוד קמחי, תהלים א' (מקראות גדולות הכתר), מהדיר ועורך מדעי מ' כהן, רמת גן תשס"ג.</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רילארסדם, שמות</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J.C. Rylaarsdam, </w:t>
            </w:r>
            <w:r w:rsidRPr="00A374C5">
              <w:rPr>
                <w:rFonts w:ascii="David" w:hAnsi="David" w:cs="David"/>
                <w:i/>
                <w:iCs/>
              </w:rPr>
              <w:t>The Book of Exodus</w:t>
            </w:r>
            <w:r w:rsidRPr="00A374C5">
              <w:rPr>
                <w:rFonts w:ascii="David" w:hAnsi="David" w:cs="David"/>
              </w:rPr>
              <w:t xml:space="preserve"> (The Interpreter's Bible 1), Nashville 1980</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רינגרן, סיד</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 xml:space="preserve">H. Ringgren, 'Vredens Kalk', </w:t>
            </w:r>
            <w:r w:rsidRPr="00A374C5">
              <w:rPr>
                <w:rFonts w:ascii="David" w:hAnsi="David" w:cs="David"/>
                <w:i/>
                <w:iCs/>
              </w:rPr>
              <w:t>SE</w:t>
            </w:r>
            <w:r w:rsidRPr="00A374C5">
              <w:rPr>
                <w:i/>
                <w:iCs/>
              </w:rPr>
              <w:t>Å</w:t>
            </w:r>
            <w:r w:rsidRPr="00A374C5">
              <w:rPr>
                <w:rFonts w:ascii="David" w:hAnsi="David" w:cs="David"/>
              </w:rPr>
              <w:t xml:space="preserve"> 17 (1952), pp. 19-30</w:t>
            </w:r>
          </w:p>
        </w:tc>
      </w:tr>
      <w:tr w:rsidR="00A374C5" w:rsidRPr="00A374C5" w:rsidTr="00502B13">
        <w:tc>
          <w:tcPr>
            <w:tcW w:w="2030" w:type="dxa"/>
          </w:tcPr>
          <w:p w:rsidR="00A374C5" w:rsidRPr="00A374C5" w:rsidRDefault="00A374C5" w:rsidP="00A374C5">
            <w:pPr>
              <w:spacing w:line="360" w:lineRule="auto"/>
              <w:jc w:val="both"/>
              <w:rPr>
                <w:rFonts w:ascii="David" w:hAnsi="David" w:cs="David"/>
                <w:rtl/>
              </w:rPr>
            </w:pPr>
            <w:r w:rsidRPr="00A374C5">
              <w:rPr>
                <w:rFonts w:ascii="David" w:hAnsi="David" w:cs="David" w:hint="cs"/>
                <w:rtl/>
              </w:rPr>
              <w:t>שטדה, תרומה</w:t>
            </w:r>
          </w:p>
        </w:tc>
        <w:tc>
          <w:tcPr>
            <w:tcW w:w="6492" w:type="dxa"/>
          </w:tcPr>
          <w:p w:rsidR="00A374C5" w:rsidRPr="00A374C5" w:rsidRDefault="00A374C5" w:rsidP="00A374C5">
            <w:pPr>
              <w:spacing w:line="360" w:lineRule="auto"/>
              <w:jc w:val="both"/>
              <w:rPr>
                <w:rFonts w:ascii="David" w:hAnsi="David" w:cs="David"/>
              </w:rPr>
            </w:pPr>
            <w:r w:rsidRPr="00A374C5">
              <w:rPr>
                <w:rFonts w:ascii="David" w:hAnsi="David" w:cs="David"/>
              </w:rPr>
              <w:t>D.B. Stade, 'Beitr</w:t>
            </w:r>
            <w:r w:rsidRPr="00A374C5">
              <w:t>ä</w:t>
            </w:r>
            <w:r w:rsidRPr="00A374C5">
              <w:rPr>
                <w:rFonts w:ascii="David" w:hAnsi="David" w:cs="David"/>
              </w:rPr>
              <w:t xml:space="preserve">ge zur Pentateuchkritik', </w:t>
            </w:r>
            <w:r w:rsidRPr="00A374C5">
              <w:rPr>
                <w:rFonts w:ascii="David" w:hAnsi="David" w:cs="David"/>
                <w:i/>
                <w:iCs/>
              </w:rPr>
              <w:t>ZAW</w:t>
            </w:r>
            <w:r w:rsidRPr="00A374C5">
              <w:rPr>
                <w:rFonts w:ascii="David" w:hAnsi="David" w:cs="David"/>
              </w:rPr>
              <w:t xml:space="preserve"> 15 (1895), pp. 166-178</w:t>
            </w:r>
          </w:p>
        </w:tc>
      </w:tr>
    </w:tbl>
    <w:p w:rsidR="00A374C5" w:rsidRDefault="00A374C5" w:rsidP="00CF7A39">
      <w:pPr>
        <w:spacing w:line="360" w:lineRule="auto"/>
        <w:jc w:val="both"/>
        <w:rPr>
          <w:rFonts w:ascii="David" w:hAnsi="David" w:cs="David" w:hint="cs"/>
          <w:rtl/>
        </w:rPr>
      </w:pPr>
    </w:p>
    <w:p w:rsidR="00C41BEF" w:rsidRPr="00C41BEF" w:rsidRDefault="00C41BEF" w:rsidP="00C41BEF">
      <w:pPr>
        <w:bidi w:val="0"/>
        <w:spacing w:line="360" w:lineRule="auto"/>
        <w:jc w:val="both"/>
        <w:rPr>
          <w:rFonts w:asciiTheme="minorHAnsi" w:hAnsiTheme="minorHAnsi" w:cs="David"/>
        </w:rPr>
      </w:pPr>
      <w:r>
        <w:rPr>
          <w:rFonts w:asciiTheme="minorHAnsi" w:hAnsiTheme="minorHAnsi" w:cs="David"/>
        </w:rPr>
        <w:t>8080 = 32.3 x 90 = 2907 + 523 = 3430</w:t>
      </w:r>
    </w:p>
    <w:sectPr w:rsidR="00C41BEF" w:rsidRPr="00C41BEF" w:rsidSect="00D87F6F">
      <w:footerReference w:type="even" r:id="rId8"/>
      <w:footerReference w:type="default" r:id="rId9"/>
      <w:pgSz w:w="11906" w:h="16838"/>
      <w:pgMar w:top="720" w:right="720" w:bottom="720" w:left="72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EEE" w:rsidRDefault="00C55EEE">
      <w:r>
        <w:separator/>
      </w:r>
    </w:p>
  </w:endnote>
  <w:endnote w:type="continuationSeparator" w:id="0">
    <w:p w:rsidR="00C55EEE" w:rsidRDefault="00C55E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32F" w:rsidRDefault="00BE78A7" w:rsidP="004B280B">
    <w:pPr>
      <w:pStyle w:val="Footer"/>
      <w:framePr w:wrap="around" w:vAnchor="text" w:hAnchor="text" w:xAlign="center" w:y="1"/>
      <w:rPr>
        <w:rStyle w:val="PageNumber"/>
      </w:rPr>
    </w:pPr>
    <w:r>
      <w:rPr>
        <w:rStyle w:val="PageNumber"/>
        <w:rtl/>
      </w:rPr>
      <w:fldChar w:fldCharType="begin"/>
    </w:r>
    <w:r w:rsidR="0095132F">
      <w:rPr>
        <w:rStyle w:val="PageNumber"/>
      </w:rPr>
      <w:instrText xml:space="preserve">PAGE  </w:instrText>
    </w:r>
    <w:r>
      <w:rPr>
        <w:rStyle w:val="PageNumber"/>
        <w:rtl/>
      </w:rPr>
      <w:fldChar w:fldCharType="end"/>
    </w:r>
  </w:p>
  <w:p w:rsidR="0095132F" w:rsidRDefault="009513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32F" w:rsidRDefault="00BE78A7" w:rsidP="004B280B">
    <w:pPr>
      <w:pStyle w:val="Footer"/>
      <w:framePr w:wrap="around" w:vAnchor="text" w:hAnchor="text" w:xAlign="center" w:y="1"/>
      <w:rPr>
        <w:rStyle w:val="PageNumber"/>
      </w:rPr>
    </w:pPr>
    <w:r>
      <w:rPr>
        <w:rStyle w:val="PageNumber"/>
        <w:rtl/>
      </w:rPr>
      <w:fldChar w:fldCharType="begin"/>
    </w:r>
    <w:r w:rsidR="0095132F">
      <w:rPr>
        <w:rStyle w:val="PageNumber"/>
      </w:rPr>
      <w:instrText xml:space="preserve">PAGE  </w:instrText>
    </w:r>
    <w:r>
      <w:rPr>
        <w:rStyle w:val="PageNumber"/>
        <w:rtl/>
      </w:rPr>
      <w:fldChar w:fldCharType="separate"/>
    </w:r>
    <w:r w:rsidR="00C41BEF">
      <w:rPr>
        <w:rStyle w:val="PageNumber"/>
        <w:noProof/>
        <w:rtl/>
      </w:rPr>
      <w:t>14</w:t>
    </w:r>
    <w:r>
      <w:rPr>
        <w:rStyle w:val="PageNumber"/>
        <w:rtl/>
      </w:rPr>
      <w:fldChar w:fldCharType="end"/>
    </w:r>
  </w:p>
  <w:p w:rsidR="0095132F" w:rsidRDefault="009513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EEE" w:rsidRDefault="00C55EEE">
      <w:r>
        <w:separator/>
      </w:r>
    </w:p>
  </w:footnote>
  <w:footnote w:type="continuationSeparator" w:id="0">
    <w:p w:rsidR="00C55EEE" w:rsidRDefault="00C55EEE">
      <w:r>
        <w:continuationSeparator/>
      </w:r>
    </w:p>
  </w:footnote>
  <w:footnote w:id="1">
    <w:p w:rsidR="00403664" w:rsidRPr="00403664" w:rsidRDefault="00403664" w:rsidP="00403664">
      <w:pPr>
        <w:pStyle w:val="FootnoteText"/>
        <w:spacing w:line="360" w:lineRule="auto"/>
        <w:ind w:left="-24" w:right="426"/>
        <w:jc w:val="both"/>
        <w:rPr>
          <w:rFonts w:cs="David"/>
          <w:rtl/>
        </w:rPr>
      </w:pPr>
      <w:r>
        <w:rPr>
          <w:rFonts w:cs="David" w:hint="cs"/>
          <w:rtl/>
        </w:rPr>
        <w:t>* תודתי לפרופ</w:t>
      </w:r>
      <w:r w:rsidR="00D87F6F">
        <w:rPr>
          <w:rFonts w:cs="David"/>
          <w:rtl/>
        </w:rPr>
        <w:t>’</w:t>
      </w:r>
      <w:r>
        <w:rPr>
          <w:rFonts w:cs="David" w:hint="cs"/>
          <w:rtl/>
        </w:rPr>
        <w:t xml:space="preserve"> אד גרינשטיין שקרא גרסה מוקדמת של המאמר והעיר הערות מחכימות ומועילות.</w:t>
      </w:r>
      <w:r w:rsidR="00D87F6F">
        <w:rPr>
          <w:rFonts w:cs="David" w:hint="cs"/>
          <w:rtl/>
        </w:rPr>
        <w:t xml:space="preserve"> </w:t>
      </w:r>
    </w:p>
    <w:p w:rsidR="00403664" w:rsidRPr="00F21698" w:rsidRDefault="00403664" w:rsidP="00403664">
      <w:pPr>
        <w:pStyle w:val="FootnoteText"/>
        <w:spacing w:line="360" w:lineRule="auto"/>
        <w:jc w:val="both"/>
        <w:rPr>
          <w:rFonts w:cs="David"/>
          <w:rtl/>
        </w:rPr>
      </w:pPr>
      <w:r>
        <w:rPr>
          <w:rStyle w:val="FootnoteReference"/>
        </w:rPr>
        <w:footnoteRef/>
      </w:r>
      <w:r>
        <w:rPr>
          <w:rtl/>
        </w:rPr>
        <w:t xml:space="preserve"> </w:t>
      </w:r>
      <w:r>
        <w:rPr>
          <w:rFonts w:cs="David" w:hint="cs"/>
          <w:rtl/>
        </w:rPr>
        <w:t xml:space="preserve">על יחודיותו של ההליך ועל דרכי ההתייחסות לחוק, בימי קדם ובמחקר המודרני, ראו: </w:t>
      </w:r>
      <w:r>
        <w:rPr>
          <w:rFonts w:cs="David"/>
          <w:lang w:val="en-US"/>
        </w:rPr>
        <w:t xml:space="preserve">B.A. Levine, </w:t>
      </w:r>
      <w:r w:rsidRPr="00403664">
        <w:rPr>
          <w:rFonts w:cs="David"/>
          <w:i/>
          <w:iCs/>
          <w:lang w:val="en-US"/>
        </w:rPr>
        <w:t>Numbers 1-20</w:t>
      </w:r>
      <w:r>
        <w:rPr>
          <w:rFonts w:cs="David"/>
          <w:lang w:val="en-US"/>
        </w:rPr>
        <w:t xml:space="preserve"> (AB)</w:t>
      </w:r>
      <w:r w:rsidRPr="00403664">
        <w:rPr>
          <w:rFonts w:cs="David"/>
        </w:rPr>
        <w:t xml:space="preserve"> </w:t>
      </w:r>
      <w:r w:rsidRPr="00624C14">
        <w:rPr>
          <w:rFonts w:cs="David"/>
        </w:rPr>
        <w:t>Garden City, New York</w:t>
      </w:r>
      <w:r w:rsidRPr="00624C14">
        <w:rPr>
          <w:rFonts w:cs="Arial"/>
          <w:lang w:bidi="ar-SA"/>
        </w:rPr>
        <w:t xml:space="preserve"> 19</w:t>
      </w:r>
      <w:r>
        <w:rPr>
          <w:rFonts w:cs="Arial"/>
          <w:lang w:val="en-US" w:bidi="ar-SA"/>
        </w:rPr>
        <w:t>93, pp. 200-212</w:t>
      </w:r>
      <w:r w:rsidR="00D87F6F">
        <w:rPr>
          <w:rFonts w:cs="David"/>
          <w:rtl/>
          <w:lang w:val="en-US"/>
        </w:rPr>
        <w:t xml:space="preserve"> </w:t>
      </w:r>
    </w:p>
  </w:footnote>
  <w:footnote w:id="2">
    <w:p w:rsidR="00D4791C" w:rsidRPr="00624C14" w:rsidRDefault="00D4791C" w:rsidP="00ED336F">
      <w:pPr>
        <w:pStyle w:val="FootnoteText"/>
        <w:spacing w:line="360" w:lineRule="auto"/>
        <w:jc w:val="both"/>
        <w:rPr>
          <w:rFonts w:cs="David"/>
          <w:rtl/>
        </w:rPr>
      </w:pPr>
      <w:r>
        <w:rPr>
          <w:rStyle w:val="FootnoteReference"/>
        </w:rPr>
        <w:footnoteRef/>
      </w:r>
      <w:r>
        <w:rPr>
          <w:rtl/>
        </w:rPr>
        <w:t xml:space="preserve"> </w:t>
      </w:r>
      <w:r w:rsidRPr="00416C17">
        <w:rPr>
          <w:rFonts w:cs="David"/>
        </w:rPr>
        <w:t>L. K</w:t>
      </w:r>
      <w:r w:rsidRPr="00E02C3E">
        <w:t>ö</w:t>
      </w:r>
      <w:r>
        <w:t xml:space="preserve">hler, </w:t>
      </w:r>
      <w:r w:rsidR="00D87F6F">
        <w:rPr>
          <w:lang w:val="en-US"/>
        </w:rPr>
        <w:t>“</w:t>
      </w:r>
      <w:r>
        <w:t>Arch</w:t>
      </w:r>
      <w:r w:rsidRPr="005F682F">
        <w:t>ä</w:t>
      </w:r>
      <w:r>
        <w:t>ologisches</w:t>
      </w:r>
      <w:r w:rsidR="00D87F6F">
        <w:rPr>
          <w:lang w:val="en-US"/>
        </w:rPr>
        <w:t>”</w:t>
      </w:r>
      <w:r>
        <w:t xml:space="preserve">, </w:t>
      </w:r>
      <w:r w:rsidRPr="00416C17">
        <w:rPr>
          <w:i/>
          <w:iCs/>
        </w:rPr>
        <w:t>ZAW</w:t>
      </w:r>
      <w:r>
        <w:t xml:space="preserve"> 34 (1914), pp. 146-149</w:t>
      </w:r>
    </w:p>
  </w:footnote>
  <w:footnote w:id="3">
    <w:p w:rsidR="00D4791C" w:rsidRPr="00F21698" w:rsidRDefault="00D4791C" w:rsidP="00847435">
      <w:pPr>
        <w:pStyle w:val="FootnoteText"/>
        <w:spacing w:line="360" w:lineRule="auto"/>
        <w:jc w:val="both"/>
        <w:rPr>
          <w:rFonts w:cs="David"/>
          <w:rtl/>
        </w:rPr>
      </w:pPr>
      <w:r>
        <w:rPr>
          <w:rStyle w:val="FootnoteReference"/>
        </w:rPr>
        <w:footnoteRef/>
      </w:r>
      <w:r>
        <w:rPr>
          <w:rtl/>
        </w:rPr>
        <w:t xml:space="preserve"> </w:t>
      </w:r>
      <w:r>
        <w:rPr>
          <w:rFonts w:cs="David" w:hint="cs"/>
          <w:rtl/>
        </w:rPr>
        <w:t>לדיון נרחב בשאלת היחסים בין המקורות המשפטיים השונים ששרדו מהעולם העתיק ומהמקרא, ובתוכם הקודקסים המשפטיים מחד והמקורות המשקפים את הפרקטיקה המשפטית מאידך, ראו</w:t>
      </w:r>
      <w:r w:rsidR="00A36052">
        <w:rPr>
          <w:rFonts w:cs="David" w:hint="cs"/>
          <w:rtl/>
        </w:rPr>
        <w:t>:</w:t>
      </w:r>
      <w:r>
        <w:rPr>
          <w:rFonts w:cs="David" w:hint="cs"/>
          <w:rtl/>
        </w:rPr>
        <w:t xml:space="preserve"> </w:t>
      </w:r>
      <w:r w:rsidRPr="00416C17">
        <w:rPr>
          <w:rFonts w:cs="David" w:hint="cs"/>
          <w:rtl/>
        </w:rPr>
        <w:t>מ</w:t>
      </w:r>
      <w:r w:rsidR="00D87F6F">
        <w:rPr>
          <w:rFonts w:cs="David"/>
          <w:rtl/>
        </w:rPr>
        <w:t>’</w:t>
      </w:r>
      <w:r w:rsidRPr="00416C17">
        <w:rPr>
          <w:rFonts w:cs="David" w:hint="cs"/>
          <w:rtl/>
        </w:rPr>
        <w:t xml:space="preserve"> מלול, חברה, משפט ומנהג בישראל בתקופת המקרא ובתר</w:t>
      </w:r>
      <w:r>
        <w:rPr>
          <w:rFonts w:cs="David" w:hint="cs"/>
          <w:rtl/>
        </w:rPr>
        <w:t>בויות המזרח הקדום, רמת-גן תשס</w:t>
      </w:r>
      <w:r w:rsidR="00D87F6F">
        <w:rPr>
          <w:rFonts w:cs="David"/>
          <w:rtl/>
        </w:rPr>
        <w:t>”</w:t>
      </w:r>
      <w:r>
        <w:rPr>
          <w:rFonts w:cs="David" w:hint="cs"/>
          <w:rtl/>
        </w:rPr>
        <w:t>ו, עמ</w:t>
      </w:r>
      <w:r w:rsidR="00D87F6F">
        <w:rPr>
          <w:rFonts w:cs="David"/>
          <w:rtl/>
        </w:rPr>
        <w:t>’</w:t>
      </w:r>
      <w:r>
        <w:rPr>
          <w:rFonts w:cs="David" w:hint="cs"/>
          <w:rtl/>
        </w:rPr>
        <w:t xml:space="preserve"> 9</w:t>
      </w:r>
      <w:r>
        <w:rPr>
          <w:rFonts w:cs="David" w:hint="cs"/>
          <w:rtl/>
        </w:rPr>
        <w:softHyphen/>
        <w:t>-44, ובייחוד עמ</w:t>
      </w:r>
      <w:r w:rsidR="00D87F6F">
        <w:rPr>
          <w:rFonts w:cs="David"/>
          <w:rtl/>
        </w:rPr>
        <w:t>’</w:t>
      </w:r>
      <w:r>
        <w:rPr>
          <w:rFonts w:cs="David" w:hint="cs"/>
          <w:rtl/>
        </w:rPr>
        <w:t xml:space="preserve"> 27</w:t>
      </w:r>
      <w:r>
        <w:rPr>
          <w:rFonts w:cs="David" w:hint="cs"/>
          <w:rtl/>
        </w:rPr>
        <w:softHyphen/>
        <w:t>-28; הנ</w:t>
      </w:r>
      <w:r w:rsidR="00D87F6F">
        <w:rPr>
          <w:rFonts w:cs="David"/>
          <w:rtl/>
        </w:rPr>
        <w:t>”</w:t>
      </w:r>
      <w:r>
        <w:rPr>
          <w:rFonts w:cs="David" w:hint="cs"/>
          <w:rtl/>
        </w:rPr>
        <w:t>ל</w:t>
      </w:r>
      <w:r w:rsidRPr="00416C17">
        <w:rPr>
          <w:rFonts w:cs="David" w:hint="cs"/>
          <w:rtl/>
        </w:rPr>
        <w:t>, קובצי הדינים ואוספים משפטיים אחרים מן המז</w:t>
      </w:r>
      <w:r>
        <w:rPr>
          <w:rFonts w:cs="David" w:hint="cs"/>
          <w:rtl/>
        </w:rPr>
        <w:t>רח הקדום, חיפה תש</w:t>
      </w:r>
      <w:r w:rsidR="00D87F6F">
        <w:rPr>
          <w:rFonts w:cs="David"/>
          <w:rtl/>
        </w:rPr>
        <w:t>”</w:t>
      </w:r>
      <w:r>
        <w:rPr>
          <w:rFonts w:cs="David" w:hint="cs"/>
          <w:rtl/>
        </w:rPr>
        <w:t>ע, עמ</w:t>
      </w:r>
      <w:r w:rsidR="00D87F6F">
        <w:rPr>
          <w:rFonts w:cs="David"/>
          <w:rtl/>
        </w:rPr>
        <w:t>’</w:t>
      </w:r>
      <w:r>
        <w:rPr>
          <w:rFonts w:cs="David" w:hint="cs"/>
          <w:rtl/>
        </w:rPr>
        <w:t xml:space="preserve"> 15</w:t>
      </w:r>
      <w:r>
        <w:rPr>
          <w:rFonts w:cs="David" w:hint="cs"/>
          <w:rtl/>
        </w:rPr>
        <w:softHyphen/>
        <w:t>-21.</w:t>
      </w:r>
      <w:r w:rsidR="00225430">
        <w:rPr>
          <w:rFonts w:cs="David" w:hint="cs"/>
          <w:rtl/>
        </w:rPr>
        <w:t xml:space="preserve"> </w:t>
      </w:r>
      <w:r w:rsidR="000328A8">
        <w:rPr>
          <w:rFonts w:cs="David" w:hint="cs"/>
          <w:rtl/>
        </w:rPr>
        <w:t>חוקרים אחדים נמנעים מ</w:t>
      </w:r>
      <w:r w:rsidR="00F21698">
        <w:rPr>
          <w:rFonts w:cs="David" w:hint="cs"/>
          <w:rtl/>
        </w:rPr>
        <w:t>לקבל את ההבחנה</w:t>
      </w:r>
      <w:r w:rsidR="000328A8">
        <w:rPr>
          <w:rFonts w:cs="David" w:hint="cs"/>
          <w:rtl/>
        </w:rPr>
        <w:t xml:space="preserve"> בין החוק הסובסטנטיבי לחוק האדג</w:t>
      </w:r>
      <w:r w:rsidR="00D87F6F">
        <w:rPr>
          <w:rFonts w:cs="David"/>
          <w:rtl/>
        </w:rPr>
        <w:t>’</w:t>
      </w:r>
      <w:r w:rsidR="000328A8">
        <w:rPr>
          <w:rFonts w:cs="David" w:hint="cs"/>
          <w:rtl/>
        </w:rPr>
        <w:t xml:space="preserve">קטיבי. </w:t>
      </w:r>
      <w:r w:rsidR="00F21698">
        <w:rPr>
          <w:rFonts w:cs="David" w:hint="cs"/>
          <w:rtl/>
        </w:rPr>
        <w:t>סטיוארט</w:t>
      </w:r>
      <w:r w:rsidR="00AF7F5D">
        <w:rPr>
          <w:rFonts w:cs="David" w:hint="cs"/>
          <w:rtl/>
        </w:rPr>
        <w:t xml:space="preserve"> ובאופן </w:t>
      </w:r>
      <w:r w:rsidR="005D5EE5">
        <w:rPr>
          <w:rFonts w:cs="David" w:hint="cs"/>
          <w:rtl/>
        </w:rPr>
        <w:t>אחר פרימר</w:t>
      </w:r>
      <w:r w:rsidR="005D5EE5" w:rsidRPr="000E5C98">
        <w:rPr>
          <w:rFonts w:cs="David" w:hint="cs"/>
          <w:rtl/>
        </w:rPr>
        <w:t>-קנסקי</w:t>
      </w:r>
      <w:r w:rsidR="00F21698" w:rsidRPr="000E5C98">
        <w:rPr>
          <w:rFonts w:cs="David" w:hint="cs"/>
          <w:rtl/>
        </w:rPr>
        <w:t xml:space="preserve"> מסיק</w:t>
      </w:r>
      <w:r w:rsidR="005D5EE5" w:rsidRPr="000E5C98">
        <w:rPr>
          <w:rFonts w:cs="David" w:hint="cs"/>
          <w:rtl/>
        </w:rPr>
        <w:t>ים</w:t>
      </w:r>
      <w:r w:rsidR="00F21698" w:rsidRPr="000E5C98">
        <w:rPr>
          <w:rFonts w:cs="David" w:hint="cs"/>
          <w:rtl/>
        </w:rPr>
        <w:t xml:space="preserve"> מההבדלים בין עונשה הרשמי של הנואפת (בסקילה או שריפה) לעונשיה המתוארים בנבואות</w:t>
      </w:r>
      <w:r w:rsidR="00A36052" w:rsidRPr="000E5C98">
        <w:rPr>
          <w:rFonts w:cs="David" w:hint="cs"/>
          <w:rtl/>
        </w:rPr>
        <w:t>,</w:t>
      </w:r>
      <w:r w:rsidR="00F21698" w:rsidRPr="000E5C98">
        <w:rPr>
          <w:rFonts w:cs="David" w:hint="cs"/>
          <w:rtl/>
        </w:rPr>
        <w:t xml:space="preserve"> שאל האחרונים יש להתייחס רק כדימוי לפורענות הלאומית (מצור, מלחמה, גלות וכדומה) ולא כמשקפים דרכי ענישה</w:t>
      </w:r>
      <w:r w:rsidR="00AF7F5D" w:rsidRPr="000E5C98">
        <w:rPr>
          <w:rFonts w:cs="David" w:hint="cs"/>
          <w:rtl/>
        </w:rPr>
        <w:t xml:space="preserve"> ריאליים</w:t>
      </w:r>
      <w:r w:rsidR="00F21698" w:rsidRPr="000E5C98">
        <w:rPr>
          <w:rFonts w:cs="David" w:hint="cs"/>
          <w:rtl/>
        </w:rPr>
        <w:t xml:space="preserve"> שנהגו כלפי האישה הנואפת.</w:t>
      </w:r>
      <w:r w:rsidR="00F21698">
        <w:rPr>
          <w:rFonts w:cs="David" w:hint="cs"/>
          <w:rtl/>
        </w:rPr>
        <w:t xml:space="preserve"> ראו:</w:t>
      </w:r>
      <w:r w:rsidR="00D87F6F">
        <w:rPr>
          <w:rFonts w:cs="David" w:hint="cs"/>
          <w:rtl/>
        </w:rPr>
        <w:t xml:space="preserve"> </w:t>
      </w:r>
      <w:r w:rsidR="000328A8" w:rsidRPr="00624C14">
        <w:rPr>
          <w:rFonts w:cs="Arial"/>
          <w:lang w:bidi="ar-SA"/>
        </w:rPr>
        <w:t xml:space="preserve">D. Stuart, </w:t>
      </w:r>
      <w:r w:rsidR="000328A8" w:rsidRPr="00624C14">
        <w:rPr>
          <w:rFonts w:cs="Arial"/>
          <w:i/>
          <w:iCs/>
          <w:lang w:bidi="ar-SA"/>
        </w:rPr>
        <w:t>Hosea-Jonah</w:t>
      </w:r>
      <w:r w:rsidR="000328A8" w:rsidRPr="00624C14">
        <w:rPr>
          <w:rFonts w:cs="Arial"/>
          <w:lang w:bidi="ar-SA"/>
        </w:rPr>
        <w:t xml:space="preserve"> (WBC,</w:t>
      </w:r>
      <w:r w:rsidR="000328A8" w:rsidRPr="00624C14">
        <w:rPr>
          <w:rFonts w:cs="Arial"/>
          <w:i/>
          <w:iCs/>
          <w:lang w:bidi="ar-SA"/>
        </w:rPr>
        <w:t xml:space="preserve"> </w:t>
      </w:r>
      <w:r w:rsidR="000328A8" w:rsidRPr="00624C14">
        <w:rPr>
          <w:rFonts w:cs="Arial"/>
          <w:lang w:bidi="ar-SA"/>
        </w:rPr>
        <w:t>31), Mexico City 1987</w:t>
      </w:r>
      <w:r w:rsidR="000328A8">
        <w:rPr>
          <w:rFonts w:cs="Arial"/>
          <w:lang w:val="en-US" w:bidi="ar-SA"/>
        </w:rPr>
        <w:t>, p. 48</w:t>
      </w:r>
      <w:r w:rsidR="00AF7F5D">
        <w:rPr>
          <w:rFonts w:cs="Arial"/>
          <w:lang w:val="en-US" w:bidi="ar-SA"/>
        </w:rPr>
        <w:t xml:space="preserve">; T. Frymer-Kensky, </w:t>
      </w:r>
      <w:r w:rsidR="00AF7F5D" w:rsidRPr="00A36052">
        <w:rPr>
          <w:rFonts w:cs="Arial"/>
          <w:i/>
          <w:iCs/>
          <w:lang w:val="en-US" w:bidi="ar-SA"/>
        </w:rPr>
        <w:t>In the Wake of Goddesses: Women, Culture and Biblical Transformation of Pagan Myth,</w:t>
      </w:r>
      <w:r w:rsidR="00AF7F5D">
        <w:rPr>
          <w:rFonts w:cs="Arial"/>
          <w:lang w:val="en-US" w:bidi="ar-SA"/>
        </w:rPr>
        <w:t xml:space="preserve"> New York 1992, pp. 148-149</w:t>
      </w:r>
      <w:r w:rsidR="00AF7F5D">
        <w:rPr>
          <w:rFonts w:cs="Arial" w:hint="cs"/>
          <w:rtl/>
          <w:lang w:val="en-US"/>
        </w:rPr>
        <w:t>.</w:t>
      </w:r>
      <w:r w:rsidR="00AF7F5D">
        <w:rPr>
          <w:rFonts w:cs="David" w:hint="cs"/>
          <w:rtl/>
          <w:lang w:val="en-US"/>
        </w:rPr>
        <w:t xml:space="preserve"> גרווט</w:t>
      </w:r>
      <w:r w:rsidR="00A36052">
        <w:rPr>
          <w:rFonts w:cs="David" w:hint="cs"/>
          <w:rtl/>
          <w:lang w:val="en-US"/>
        </w:rPr>
        <w:t xml:space="preserve"> מסתייגת</w:t>
      </w:r>
      <w:r w:rsidR="005D5EE5">
        <w:rPr>
          <w:rFonts w:cs="David" w:hint="cs"/>
          <w:rtl/>
          <w:lang w:val="en-US"/>
        </w:rPr>
        <w:t xml:space="preserve"> מעמדתם העקרונית של החוקרים שאינם מבחינים בין החוק הרשמי לחוק התיאורי, </w:t>
      </w:r>
      <w:r w:rsidR="00A36052">
        <w:rPr>
          <w:rFonts w:cs="David" w:hint="cs"/>
          <w:rtl/>
          <w:lang w:val="en-US"/>
        </w:rPr>
        <w:t>ועם זאת היא מבקרת גם את העמדה שמתייחסת לכל דימוי, גם כאשר אין לו מקבילות במקרא ומחוצה לו, כמשקף ריאליה משפטית.</w:t>
      </w:r>
      <w:r w:rsidR="00847435">
        <w:rPr>
          <w:rFonts w:cs="David" w:hint="cs"/>
          <w:rtl/>
          <w:lang w:val="en-US"/>
        </w:rPr>
        <w:t xml:space="preserve"> ראו:</w:t>
      </w:r>
      <w:r w:rsidR="00D87F6F">
        <w:rPr>
          <w:rFonts w:cs="David" w:hint="cs"/>
          <w:rtl/>
          <w:lang w:val="en-US"/>
        </w:rPr>
        <w:t xml:space="preserve"> </w:t>
      </w:r>
      <w:r w:rsidR="00847435">
        <w:rPr>
          <w:lang w:val="en-US" w:bidi="ar-SA"/>
        </w:rPr>
        <w:t>S.L</w:t>
      </w:r>
      <w:r w:rsidR="00847435" w:rsidRPr="00847435">
        <w:rPr>
          <w:lang w:val="en-US" w:bidi="ar-SA"/>
        </w:rPr>
        <w:t xml:space="preserve">. </w:t>
      </w:r>
      <w:r w:rsidR="00847435">
        <w:rPr>
          <w:rFonts w:cs="Arial"/>
          <w:lang w:val="en-US" w:bidi="ar-SA"/>
        </w:rPr>
        <w:t>G</w:t>
      </w:r>
      <w:r w:rsidR="00847435" w:rsidRPr="00847435">
        <w:rPr>
          <w:rFonts w:cs="Arial"/>
          <w:lang w:val="en-US" w:bidi="ar-SA"/>
        </w:rPr>
        <w:t>ravett</w:t>
      </w:r>
      <w:r w:rsidR="00847435">
        <w:rPr>
          <w:lang w:val="en-US" w:bidi="ar-SA"/>
        </w:rPr>
        <w:t xml:space="preserve">. </w:t>
      </w:r>
      <w:r w:rsidR="00D87F6F">
        <w:rPr>
          <w:i/>
          <w:iCs/>
          <w:lang w:val="en-US" w:bidi="ar-SA"/>
        </w:rPr>
        <w:t>“</w:t>
      </w:r>
      <w:r w:rsidR="00847435" w:rsidRPr="00847435">
        <w:rPr>
          <w:i/>
          <w:iCs/>
          <w:lang w:val="en-US" w:bidi="ar-SA"/>
        </w:rPr>
        <w:t xml:space="preserve">That </w:t>
      </w:r>
      <w:r w:rsidR="00847435" w:rsidRPr="00847435">
        <w:rPr>
          <w:rFonts w:cs="Arial"/>
          <w:i/>
          <w:iCs/>
          <w:lang w:val="en-US" w:bidi="ar-SA"/>
        </w:rPr>
        <w:t>all Women may</w:t>
      </w:r>
      <w:r w:rsidR="00847435" w:rsidRPr="00847435">
        <w:rPr>
          <w:i/>
          <w:iCs/>
          <w:lang w:val="en-US" w:bidi="ar-SA"/>
        </w:rPr>
        <w:t xml:space="preserve"> be Warned</w:t>
      </w:r>
      <w:r w:rsidR="00D87F6F">
        <w:rPr>
          <w:i/>
          <w:iCs/>
          <w:lang w:val="en-US" w:bidi="ar-SA"/>
        </w:rPr>
        <w:t>”</w:t>
      </w:r>
      <w:r w:rsidR="00847435">
        <w:rPr>
          <w:i/>
          <w:iCs/>
          <w:lang w:val="en-US" w:bidi="ar-SA"/>
        </w:rPr>
        <w:t>:</w:t>
      </w:r>
      <w:r w:rsidR="00847435" w:rsidRPr="00847435">
        <w:rPr>
          <w:i/>
          <w:iCs/>
          <w:lang w:val="en-US" w:bidi="ar-SA"/>
        </w:rPr>
        <w:t xml:space="preserve"> Reading the Sexual and Ethnic Violence in Ezekiel 16 and 23,</w:t>
      </w:r>
      <w:r w:rsidR="00847435" w:rsidRPr="00847435">
        <w:rPr>
          <w:lang w:val="en-US" w:bidi="ar-SA"/>
        </w:rPr>
        <w:t xml:space="preserve"> </w:t>
      </w:r>
      <w:r w:rsidR="00847435">
        <w:rPr>
          <w:lang w:val="en-US" w:bidi="ar-SA"/>
        </w:rPr>
        <w:t xml:space="preserve">Ph.D. </w:t>
      </w:r>
      <w:r w:rsidR="00847435" w:rsidRPr="00847435">
        <w:rPr>
          <w:lang w:val="en-US" w:bidi="ar-SA"/>
        </w:rPr>
        <w:t xml:space="preserve">Dissertation, Duke University </w:t>
      </w:r>
      <w:r w:rsidR="00847435" w:rsidRPr="00847435">
        <w:rPr>
          <w:rFonts w:cs="Arial"/>
          <w:lang w:val="en-US" w:bidi="ar-SA"/>
        </w:rPr>
        <w:t>1994</w:t>
      </w:r>
      <w:r w:rsidR="00847435">
        <w:rPr>
          <w:rFonts w:cs="Arial"/>
          <w:lang w:val="en-US" w:bidi="ar-SA"/>
        </w:rPr>
        <w:t>, pp. 59-60</w:t>
      </w:r>
      <w:r w:rsidR="00D87F6F">
        <w:rPr>
          <w:rFonts w:cs="Arial" w:hint="cs"/>
          <w:rtl/>
          <w:lang w:val="en-US"/>
        </w:rPr>
        <w:t xml:space="preserve"> </w:t>
      </w:r>
    </w:p>
  </w:footnote>
  <w:footnote w:id="4">
    <w:p w:rsidR="000D55A0" w:rsidRPr="00343470" w:rsidRDefault="000D55A0" w:rsidP="005D771C">
      <w:pPr>
        <w:pStyle w:val="FootnoteText"/>
        <w:spacing w:line="360" w:lineRule="auto"/>
        <w:jc w:val="both"/>
        <w:rPr>
          <w:rFonts w:cs="David"/>
          <w:rtl/>
        </w:rPr>
      </w:pPr>
      <w:r>
        <w:rPr>
          <w:rStyle w:val="FootnoteReference"/>
        </w:rPr>
        <w:footnoteRef/>
      </w:r>
      <w:r>
        <w:rPr>
          <w:rtl/>
        </w:rPr>
        <w:t xml:space="preserve"> </w:t>
      </w:r>
      <w:r w:rsidR="00191469">
        <w:rPr>
          <w:rFonts w:cs="David" w:hint="cs"/>
          <w:rtl/>
        </w:rPr>
        <w:t>ב</w:t>
      </w:r>
      <w:r>
        <w:rPr>
          <w:rFonts w:cs="David" w:hint="cs"/>
          <w:rtl/>
        </w:rPr>
        <w:t xml:space="preserve">מאמר אשתמש במונח הכוללני </w:t>
      </w:r>
      <w:r w:rsidR="00D87F6F">
        <w:rPr>
          <w:rFonts w:cs="David"/>
          <w:rtl/>
        </w:rPr>
        <w:t>“</w:t>
      </w:r>
      <w:r>
        <w:rPr>
          <w:rFonts w:cs="David" w:hint="cs"/>
          <w:rtl/>
        </w:rPr>
        <w:t>דימוי</w:t>
      </w:r>
      <w:r w:rsidR="00D87F6F">
        <w:rPr>
          <w:rFonts w:cs="David"/>
          <w:rtl/>
        </w:rPr>
        <w:t>”</w:t>
      </w:r>
      <w:r>
        <w:rPr>
          <w:rFonts w:cs="David" w:hint="cs"/>
          <w:rtl/>
        </w:rPr>
        <w:t xml:space="preserve">, אף שחוקרים אחרים הגדירו </w:t>
      </w:r>
      <w:r w:rsidR="00CE55C9">
        <w:rPr>
          <w:rFonts w:cs="David" w:hint="cs"/>
          <w:rtl/>
        </w:rPr>
        <w:t>רטוריקה</w:t>
      </w:r>
      <w:r>
        <w:rPr>
          <w:rFonts w:cs="David" w:hint="cs"/>
          <w:rtl/>
        </w:rPr>
        <w:t xml:space="preserve"> זו כאלגוריה, מטאפורה, משל ו</w:t>
      </w:r>
      <w:r w:rsidR="005D771C">
        <w:rPr>
          <w:rFonts w:cs="David" w:hint="cs"/>
          <w:rtl/>
          <w:lang w:val="en-US"/>
        </w:rPr>
        <w:t>כדומה</w:t>
      </w:r>
      <w:r>
        <w:rPr>
          <w:rFonts w:cs="David" w:hint="cs"/>
          <w:rtl/>
        </w:rPr>
        <w:t>. לדיון בשאלת המינוח המתאים ראו: רוזן-צבי, מבט, עמ</w:t>
      </w:r>
      <w:r w:rsidR="00D87F6F">
        <w:rPr>
          <w:rFonts w:cs="David"/>
          <w:rtl/>
        </w:rPr>
        <w:t>’</w:t>
      </w:r>
      <w:r>
        <w:rPr>
          <w:rFonts w:cs="David" w:hint="cs"/>
          <w:rtl/>
        </w:rPr>
        <w:t xml:space="preserve"> 167 הערה 10.</w:t>
      </w:r>
      <w:r w:rsidR="00CE55C9">
        <w:rPr>
          <w:rFonts w:cs="David" w:hint="cs"/>
          <w:rtl/>
        </w:rPr>
        <w:t xml:space="preserve"> גם את המונח </w:t>
      </w:r>
      <w:r w:rsidR="00D87F6F">
        <w:rPr>
          <w:rFonts w:cs="David"/>
          <w:rtl/>
        </w:rPr>
        <w:t>“</w:t>
      </w:r>
      <w:r w:rsidR="00CE55C9">
        <w:rPr>
          <w:rFonts w:cs="David" w:hint="cs"/>
          <w:rtl/>
        </w:rPr>
        <w:t>כוס התרעלה</w:t>
      </w:r>
      <w:r w:rsidR="00D87F6F">
        <w:rPr>
          <w:rFonts w:cs="David"/>
          <w:rtl/>
        </w:rPr>
        <w:t>”</w:t>
      </w:r>
      <w:r w:rsidR="00CE55C9">
        <w:rPr>
          <w:rFonts w:cs="David" w:hint="cs"/>
          <w:rtl/>
        </w:rPr>
        <w:t xml:space="preserve"> יש שהחליפו במונחים כדוגמת כוס החמה, כוס חמת ה</w:t>
      </w:r>
      <w:r w:rsidR="00D87F6F">
        <w:rPr>
          <w:rFonts w:cs="David"/>
          <w:rtl/>
        </w:rPr>
        <w:t>’</w:t>
      </w:r>
      <w:r w:rsidR="00CE55C9">
        <w:rPr>
          <w:rFonts w:cs="David" w:hint="cs"/>
          <w:rtl/>
        </w:rPr>
        <w:t>, כוס הגורל ועוד.</w:t>
      </w:r>
    </w:p>
  </w:footnote>
  <w:footnote w:id="5">
    <w:p w:rsidR="002E0F33" w:rsidRPr="00343470" w:rsidRDefault="001C648F" w:rsidP="002E0F33">
      <w:pPr>
        <w:pStyle w:val="FootnoteText"/>
        <w:spacing w:line="360" w:lineRule="auto"/>
        <w:jc w:val="both"/>
        <w:rPr>
          <w:rFonts w:cs="David"/>
          <w:rtl/>
        </w:rPr>
      </w:pPr>
      <w:r>
        <w:rPr>
          <w:rStyle w:val="FootnoteReference"/>
        </w:rPr>
        <w:footnoteRef/>
      </w:r>
      <w:r>
        <w:rPr>
          <w:rtl/>
        </w:rPr>
        <w:t xml:space="preserve"> </w:t>
      </w:r>
      <w:r>
        <w:rPr>
          <w:rFonts w:cs="David" w:hint="cs"/>
          <w:rtl/>
        </w:rPr>
        <w:t>כחוק סובסטנטיבי המצטרף לעונש הסקילה שחל על הנואפת (דב</w:t>
      </w:r>
      <w:r w:rsidR="00D87F6F">
        <w:rPr>
          <w:rFonts w:cs="David"/>
          <w:rtl/>
        </w:rPr>
        <w:t>’</w:t>
      </w:r>
      <w:r>
        <w:rPr>
          <w:rFonts w:cs="David" w:hint="cs"/>
          <w:rtl/>
        </w:rPr>
        <w:t xml:space="preserve"> כב, כג-כד) ולעונש השריפה שחל על בת כהן שזנתה (ויק</w:t>
      </w:r>
      <w:r w:rsidR="00D87F6F">
        <w:rPr>
          <w:rFonts w:cs="David"/>
          <w:rtl/>
        </w:rPr>
        <w:t>’</w:t>
      </w:r>
      <w:r>
        <w:rPr>
          <w:rFonts w:cs="David" w:hint="cs"/>
          <w:rtl/>
        </w:rPr>
        <w:t xml:space="preserve"> כא, ט).</w:t>
      </w:r>
      <w:r w:rsidR="00D87F6F">
        <w:rPr>
          <w:rFonts w:cs="David" w:hint="cs"/>
          <w:rtl/>
        </w:rPr>
        <w:t xml:space="preserve"> </w:t>
      </w:r>
    </w:p>
  </w:footnote>
  <w:footnote w:id="6">
    <w:p w:rsidR="006C1943" w:rsidRPr="00777CBC" w:rsidRDefault="006C1943" w:rsidP="00B123ED">
      <w:pPr>
        <w:spacing w:line="360" w:lineRule="auto"/>
        <w:jc w:val="both"/>
        <w:rPr>
          <w:sz w:val="20"/>
          <w:szCs w:val="20"/>
          <w:rtl/>
        </w:rPr>
      </w:pPr>
      <w:r w:rsidRPr="002E0F33">
        <w:rPr>
          <w:rStyle w:val="FootnoteReference"/>
          <w:sz w:val="20"/>
          <w:szCs w:val="20"/>
        </w:rPr>
        <w:footnoteRef/>
      </w:r>
      <w:r>
        <w:rPr>
          <w:rtl/>
        </w:rPr>
        <w:t xml:space="preserve"> </w:t>
      </w:r>
      <w:r w:rsidR="00E33351">
        <w:rPr>
          <w:rFonts w:cs="David" w:hint="cs"/>
          <w:sz w:val="20"/>
          <w:szCs w:val="20"/>
          <w:rtl/>
        </w:rPr>
        <w:t xml:space="preserve">כמה חוקרים טענו כבר בעבר </w:t>
      </w:r>
      <w:r w:rsidR="00473D3A">
        <w:rPr>
          <w:rFonts w:cs="David" w:hint="cs"/>
          <w:sz w:val="20"/>
          <w:szCs w:val="20"/>
          <w:rtl/>
        </w:rPr>
        <w:t>כי חוק הסוטה נועד להגן על נשים חפות מ</w:t>
      </w:r>
      <w:r w:rsidR="00E33351">
        <w:rPr>
          <w:rFonts w:cs="David" w:hint="cs"/>
          <w:sz w:val="20"/>
          <w:szCs w:val="20"/>
          <w:rtl/>
        </w:rPr>
        <w:t>אשמה</w:t>
      </w:r>
      <w:r w:rsidR="00473D3A">
        <w:rPr>
          <w:rFonts w:cs="David" w:hint="cs"/>
          <w:sz w:val="20"/>
          <w:szCs w:val="20"/>
          <w:rtl/>
        </w:rPr>
        <w:t xml:space="preserve"> יותר מאשר להעניש את החוטאות בניאוף, ראו: </w:t>
      </w:r>
      <w:r w:rsidR="00777CBC" w:rsidRPr="00777CBC">
        <w:rPr>
          <w:sz w:val="20"/>
          <w:szCs w:val="20"/>
          <w:lang w:bidi="ar-SA"/>
        </w:rPr>
        <w:t xml:space="preserve">J. Sasson, </w:t>
      </w:r>
      <w:r w:rsidR="00D87F6F">
        <w:rPr>
          <w:sz w:val="20"/>
          <w:szCs w:val="20"/>
          <w:lang w:bidi="ar-SA"/>
        </w:rPr>
        <w:t>“</w:t>
      </w:r>
      <w:r w:rsidR="00777CBC" w:rsidRPr="00777CBC">
        <w:rPr>
          <w:sz w:val="20"/>
          <w:szCs w:val="20"/>
          <w:lang w:bidi="ar-SA"/>
        </w:rPr>
        <w:t>Numbers 5 and the Waters of Judgment</w:t>
      </w:r>
      <w:r w:rsidR="00D87F6F">
        <w:rPr>
          <w:sz w:val="20"/>
          <w:szCs w:val="20"/>
          <w:lang w:bidi="ar-SA"/>
        </w:rPr>
        <w:t>”</w:t>
      </w:r>
      <w:r w:rsidR="00777CBC" w:rsidRPr="00777CBC">
        <w:rPr>
          <w:sz w:val="20"/>
          <w:szCs w:val="20"/>
          <w:lang w:bidi="ar-SA"/>
        </w:rPr>
        <w:t xml:space="preserve">, </w:t>
      </w:r>
      <w:r w:rsidR="00777CBC" w:rsidRPr="00777CBC">
        <w:rPr>
          <w:i/>
          <w:iCs/>
          <w:sz w:val="20"/>
          <w:szCs w:val="20"/>
          <w:lang w:bidi="ar-SA"/>
        </w:rPr>
        <w:t>Biblische Zeitschrift</w:t>
      </w:r>
      <w:r w:rsidR="00777CBC" w:rsidRPr="00777CBC">
        <w:rPr>
          <w:sz w:val="20"/>
          <w:szCs w:val="20"/>
          <w:lang w:bidi="ar-SA"/>
        </w:rPr>
        <w:t xml:space="preserve"> 16 (1972), pp. 249-251;</w:t>
      </w:r>
      <w:r w:rsidR="00777CBC">
        <w:rPr>
          <w:sz w:val="20"/>
          <w:szCs w:val="20"/>
          <w:lang w:bidi="ar-SA"/>
        </w:rPr>
        <w:t xml:space="preserve"> </w:t>
      </w:r>
      <w:r w:rsidR="00777CBC" w:rsidRPr="00A66C7D">
        <w:rPr>
          <w:sz w:val="20"/>
          <w:szCs w:val="20"/>
          <w:lang w:bidi="ar-SA"/>
        </w:rPr>
        <w:t xml:space="preserve">H.C. Brichto, </w:t>
      </w:r>
      <w:r w:rsidR="00D87F6F">
        <w:rPr>
          <w:sz w:val="20"/>
          <w:szCs w:val="20"/>
          <w:lang w:bidi="ar-SA"/>
        </w:rPr>
        <w:t>“</w:t>
      </w:r>
      <w:r w:rsidR="00777CBC" w:rsidRPr="00A66C7D">
        <w:rPr>
          <w:sz w:val="20"/>
          <w:szCs w:val="20"/>
          <w:lang w:bidi="ar-SA"/>
        </w:rPr>
        <w:t>The Case of the Sotah and A Reconsideration of Biblical Law</w:t>
      </w:r>
      <w:r w:rsidR="00D87F6F">
        <w:rPr>
          <w:sz w:val="20"/>
          <w:szCs w:val="20"/>
          <w:lang w:bidi="ar-SA"/>
        </w:rPr>
        <w:t>”</w:t>
      </w:r>
      <w:r w:rsidR="00777CBC" w:rsidRPr="00A66C7D">
        <w:rPr>
          <w:sz w:val="20"/>
          <w:szCs w:val="20"/>
          <w:lang w:bidi="ar-SA"/>
        </w:rPr>
        <w:t xml:space="preserve">, </w:t>
      </w:r>
      <w:r w:rsidR="00777CBC" w:rsidRPr="00A66C7D">
        <w:rPr>
          <w:i/>
          <w:iCs/>
          <w:sz w:val="20"/>
          <w:szCs w:val="20"/>
          <w:lang w:bidi="ar-SA"/>
        </w:rPr>
        <w:t>HUCA</w:t>
      </w:r>
      <w:r w:rsidR="00777CBC" w:rsidRPr="00A66C7D">
        <w:rPr>
          <w:sz w:val="20"/>
          <w:szCs w:val="20"/>
          <w:lang w:bidi="ar-SA"/>
        </w:rPr>
        <w:t xml:space="preserve"> 46 (1975), pp. 55-70</w:t>
      </w:r>
      <w:r w:rsidR="00473D3A">
        <w:rPr>
          <w:sz w:val="20"/>
          <w:szCs w:val="20"/>
          <w:lang w:bidi="ar-SA"/>
        </w:rPr>
        <w:t>;</w:t>
      </w:r>
      <w:r w:rsidR="00473D3A" w:rsidRPr="00473D3A">
        <w:rPr>
          <w:sz w:val="20"/>
          <w:szCs w:val="20"/>
          <w:lang w:bidi="ar-SA"/>
        </w:rPr>
        <w:t xml:space="preserve"> </w:t>
      </w:r>
      <w:r w:rsidR="00473D3A" w:rsidRPr="002E0F33">
        <w:rPr>
          <w:sz w:val="20"/>
          <w:szCs w:val="20"/>
          <w:lang w:bidi="ar-SA"/>
        </w:rPr>
        <w:t xml:space="preserve">J. </w:t>
      </w:r>
      <w:r w:rsidR="00473D3A" w:rsidRPr="00DF1F6B">
        <w:rPr>
          <w:sz w:val="20"/>
          <w:szCs w:val="20"/>
          <w:lang w:bidi="ar-SA"/>
        </w:rPr>
        <w:t xml:space="preserve">Milgrom, </w:t>
      </w:r>
      <w:r w:rsidR="00D87F6F">
        <w:rPr>
          <w:sz w:val="20"/>
          <w:szCs w:val="20"/>
          <w:lang w:bidi="ar-SA"/>
        </w:rPr>
        <w:t>“</w:t>
      </w:r>
      <w:r w:rsidR="00473D3A" w:rsidRPr="00DF1F6B">
        <w:rPr>
          <w:sz w:val="20"/>
          <w:szCs w:val="20"/>
          <w:lang w:bidi="ar-SA"/>
        </w:rPr>
        <w:t>T</w:t>
      </w:r>
      <w:r w:rsidR="00473D3A" w:rsidRPr="002E0F33">
        <w:rPr>
          <w:sz w:val="20"/>
          <w:szCs w:val="20"/>
          <w:lang w:bidi="ar-SA"/>
        </w:rPr>
        <w:t>h</w:t>
      </w:r>
      <w:r w:rsidR="00473D3A" w:rsidRPr="00DF1F6B">
        <w:rPr>
          <w:sz w:val="20"/>
          <w:szCs w:val="20"/>
          <w:lang w:bidi="ar-SA"/>
        </w:rPr>
        <w:t>e Case of the Suspec</w:t>
      </w:r>
      <w:r w:rsidR="00473D3A" w:rsidRPr="002E0F33">
        <w:rPr>
          <w:sz w:val="20"/>
          <w:szCs w:val="20"/>
          <w:lang w:bidi="ar-SA"/>
        </w:rPr>
        <w:t xml:space="preserve">ted Adulteress, Numbers 5:11-31: </w:t>
      </w:r>
      <w:r w:rsidR="00473D3A" w:rsidRPr="00DF1F6B">
        <w:rPr>
          <w:sz w:val="20"/>
          <w:szCs w:val="20"/>
          <w:lang w:bidi="ar-SA"/>
        </w:rPr>
        <w:t>Redaction and Meaning</w:t>
      </w:r>
      <w:r w:rsidR="00D87F6F">
        <w:rPr>
          <w:sz w:val="20"/>
          <w:szCs w:val="20"/>
          <w:lang w:bidi="ar-SA"/>
        </w:rPr>
        <w:t>”</w:t>
      </w:r>
      <w:r w:rsidR="00473D3A" w:rsidRPr="00DF1F6B">
        <w:rPr>
          <w:sz w:val="20"/>
          <w:szCs w:val="20"/>
          <w:lang w:bidi="ar-SA"/>
        </w:rPr>
        <w:t>, in</w:t>
      </w:r>
      <w:r w:rsidR="00473D3A" w:rsidRPr="002E0F33">
        <w:rPr>
          <w:sz w:val="20"/>
          <w:szCs w:val="20"/>
          <w:lang w:bidi="ar-SA"/>
        </w:rPr>
        <w:t>: R.</w:t>
      </w:r>
      <w:r w:rsidR="00473D3A" w:rsidRPr="00DF1F6B">
        <w:rPr>
          <w:sz w:val="20"/>
          <w:szCs w:val="20"/>
          <w:lang w:bidi="ar-SA"/>
        </w:rPr>
        <w:t>E. Friedman (ed.),</w:t>
      </w:r>
      <w:r w:rsidR="00473D3A" w:rsidRPr="002E0F33">
        <w:rPr>
          <w:sz w:val="20"/>
          <w:szCs w:val="20"/>
          <w:lang w:bidi="ar-SA"/>
        </w:rPr>
        <w:t xml:space="preserve"> </w:t>
      </w:r>
      <w:r w:rsidR="00473D3A" w:rsidRPr="00DF1F6B">
        <w:rPr>
          <w:i/>
          <w:iCs/>
          <w:sz w:val="20"/>
          <w:szCs w:val="20"/>
          <w:lang w:bidi="ar-SA"/>
        </w:rPr>
        <w:t>T</w:t>
      </w:r>
      <w:r w:rsidR="00473D3A" w:rsidRPr="002E0F33">
        <w:rPr>
          <w:i/>
          <w:iCs/>
          <w:sz w:val="20"/>
          <w:szCs w:val="20"/>
          <w:lang w:bidi="ar-SA"/>
        </w:rPr>
        <w:t>he Creation of Sacred Literature,</w:t>
      </w:r>
      <w:r w:rsidR="00473D3A" w:rsidRPr="002E0F33">
        <w:rPr>
          <w:sz w:val="20"/>
          <w:szCs w:val="20"/>
          <w:lang w:bidi="ar-SA"/>
        </w:rPr>
        <w:t xml:space="preserve"> Berkeley 1981</w:t>
      </w:r>
      <w:r w:rsidR="00473D3A" w:rsidRPr="00DF1F6B">
        <w:rPr>
          <w:sz w:val="20"/>
          <w:szCs w:val="20"/>
          <w:lang w:bidi="ar-SA"/>
        </w:rPr>
        <w:t>, pp. 69-7</w:t>
      </w:r>
      <w:r w:rsidR="00473D3A" w:rsidRPr="002E0F33">
        <w:rPr>
          <w:sz w:val="20"/>
          <w:szCs w:val="20"/>
          <w:lang w:bidi="ar-SA"/>
        </w:rPr>
        <w:t>5</w:t>
      </w:r>
      <w:r w:rsidR="00B123ED">
        <w:rPr>
          <w:sz w:val="20"/>
          <w:szCs w:val="20"/>
          <w:lang w:bidi="ar-SA"/>
        </w:rPr>
        <w:t xml:space="preserve">; E. Levavi Feinstein, </w:t>
      </w:r>
      <w:r w:rsidR="00B123ED" w:rsidRPr="00B123ED">
        <w:rPr>
          <w:sz w:val="20"/>
          <w:szCs w:val="20"/>
          <w:lang w:bidi="ar-SA"/>
        </w:rPr>
        <w:t xml:space="preserve">The </w:t>
      </w:r>
      <w:r w:rsidR="00D87F6F">
        <w:rPr>
          <w:sz w:val="20"/>
          <w:szCs w:val="20"/>
          <w:lang w:bidi="ar-SA"/>
        </w:rPr>
        <w:t>‘</w:t>
      </w:r>
      <w:r w:rsidR="00B123ED" w:rsidRPr="00B123ED">
        <w:rPr>
          <w:sz w:val="20"/>
          <w:szCs w:val="20"/>
          <w:lang w:bidi="ar-SA"/>
        </w:rPr>
        <w:t>Bitter Waters</w:t>
      </w:r>
      <w:r w:rsidR="00D87F6F">
        <w:rPr>
          <w:sz w:val="20"/>
          <w:szCs w:val="20"/>
          <w:lang w:bidi="ar-SA"/>
        </w:rPr>
        <w:t>’</w:t>
      </w:r>
      <w:r w:rsidR="00B123ED" w:rsidRPr="00B123ED">
        <w:rPr>
          <w:sz w:val="20"/>
          <w:szCs w:val="20"/>
          <w:lang w:bidi="ar-SA"/>
        </w:rPr>
        <w:t xml:space="preserve"> of Numbers 5:11-31</w:t>
      </w:r>
      <w:r w:rsidR="00D87F6F">
        <w:rPr>
          <w:sz w:val="20"/>
          <w:szCs w:val="20"/>
          <w:lang w:bidi="ar-SA"/>
        </w:rPr>
        <w:t>”</w:t>
      </w:r>
      <w:r w:rsidR="00B123ED">
        <w:rPr>
          <w:sz w:val="20"/>
          <w:szCs w:val="20"/>
          <w:lang w:bidi="ar-SA"/>
        </w:rPr>
        <w:t xml:space="preserve">, </w:t>
      </w:r>
      <w:r w:rsidR="00B123ED" w:rsidRPr="00B123ED">
        <w:rPr>
          <w:i/>
          <w:iCs/>
          <w:sz w:val="20"/>
          <w:szCs w:val="20"/>
          <w:lang w:bidi="ar-SA"/>
        </w:rPr>
        <w:t>VT</w:t>
      </w:r>
      <w:r w:rsidR="00B123ED">
        <w:rPr>
          <w:sz w:val="20"/>
          <w:szCs w:val="20"/>
          <w:lang w:bidi="ar-SA"/>
        </w:rPr>
        <w:t xml:space="preserve"> 62 (2012), pp. 300-306</w:t>
      </w:r>
      <w:r w:rsidR="00473D3A">
        <w:rPr>
          <w:rFonts w:hint="cs"/>
          <w:sz w:val="20"/>
          <w:szCs w:val="20"/>
          <w:rtl/>
        </w:rPr>
        <w:t>.</w:t>
      </w:r>
      <w:r w:rsidR="00E33351">
        <w:rPr>
          <w:rFonts w:hint="cs"/>
          <w:sz w:val="20"/>
          <w:szCs w:val="20"/>
          <w:rtl/>
        </w:rPr>
        <w:t xml:space="preserve"> </w:t>
      </w:r>
      <w:r w:rsidR="00473D3A" w:rsidRPr="002E0F33">
        <w:rPr>
          <w:rFonts w:cs="David" w:hint="cs"/>
          <w:sz w:val="20"/>
          <w:szCs w:val="20"/>
          <w:rtl/>
        </w:rPr>
        <w:t>חוק הנזיר שמופיע בסמוך לחוק הסוטה מהווה דוגמה נוספת לחוק סובסטנטיבי שנכתב לצורך מיסוד תופעה קיימת, כפי שאבהיר בסיומו של המאמר.</w:t>
      </w:r>
    </w:p>
  </w:footnote>
  <w:footnote w:id="7">
    <w:p w:rsidR="0078551D" w:rsidRPr="00343470" w:rsidRDefault="0078551D" w:rsidP="0078551D">
      <w:pPr>
        <w:pStyle w:val="FootnoteText"/>
        <w:spacing w:line="360" w:lineRule="auto"/>
        <w:jc w:val="both"/>
        <w:rPr>
          <w:rFonts w:cs="David"/>
          <w:rtl/>
        </w:rPr>
      </w:pPr>
      <w:r>
        <w:rPr>
          <w:rStyle w:val="FootnoteReference"/>
        </w:rPr>
        <w:footnoteRef/>
      </w:r>
      <w:r>
        <w:rPr>
          <w:rtl/>
        </w:rPr>
        <w:t xml:space="preserve"> </w:t>
      </w:r>
      <w:r>
        <w:rPr>
          <w:rFonts w:cs="David" w:hint="cs"/>
          <w:rtl/>
        </w:rPr>
        <w:t xml:space="preserve">על כפילויות אלו עמדו רבים, ראו למשל: שטדה, </w:t>
      </w:r>
      <w:r>
        <w:rPr>
          <w:rFonts w:cs="David"/>
        </w:rPr>
        <w:t>ZAW</w:t>
      </w:r>
      <w:r>
        <w:rPr>
          <w:rFonts w:cs="David" w:hint="cs"/>
          <w:rtl/>
        </w:rPr>
        <w:t>, עמ</w:t>
      </w:r>
      <w:r w:rsidR="00D87F6F">
        <w:rPr>
          <w:rFonts w:cs="David"/>
          <w:rtl/>
        </w:rPr>
        <w:t>’</w:t>
      </w:r>
      <w:r>
        <w:rPr>
          <w:rFonts w:cs="David" w:hint="cs"/>
          <w:rtl/>
        </w:rPr>
        <w:t xml:space="preserve"> 166</w:t>
      </w:r>
      <w:r>
        <w:rPr>
          <w:rFonts w:cs="David" w:hint="cs"/>
          <w:rtl/>
        </w:rPr>
        <w:softHyphen/>
        <w:t>-178; גריי, במדבר, עמ</w:t>
      </w:r>
      <w:r w:rsidR="00D87F6F">
        <w:rPr>
          <w:rFonts w:cs="David"/>
          <w:rtl/>
        </w:rPr>
        <w:t>’</w:t>
      </w:r>
      <w:r>
        <w:rPr>
          <w:rFonts w:cs="David" w:hint="cs"/>
          <w:rtl/>
        </w:rPr>
        <w:t xml:space="preserve"> 49; מרש, במדבר, עמ</w:t>
      </w:r>
      <w:r w:rsidR="00D87F6F">
        <w:rPr>
          <w:rFonts w:cs="David"/>
          <w:rtl/>
        </w:rPr>
        <w:t>’</w:t>
      </w:r>
      <w:r>
        <w:rPr>
          <w:rFonts w:cs="David" w:hint="cs"/>
          <w:rtl/>
        </w:rPr>
        <w:t xml:space="preserve"> 167</w:t>
      </w:r>
      <w:r>
        <w:rPr>
          <w:rFonts w:cs="David" w:hint="cs"/>
          <w:rtl/>
        </w:rPr>
        <w:softHyphen/>
        <w:t>-168.</w:t>
      </w:r>
    </w:p>
  </w:footnote>
  <w:footnote w:id="8">
    <w:p w:rsidR="00EE5BE8" w:rsidRPr="006F18D0" w:rsidRDefault="00EE5BE8" w:rsidP="006F18D0">
      <w:pPr>
        <w:pStyle w:val="FootnoteText"/>
        <w:spacing w:line="360" w:lineRule="auto"/>
        <w:jc w:val="both"/>
        <w:rPr>
          <w:rtl/>
        </w:rPr>
      </w:pPr>
      <w:r>
        <w:rPr>
          <w:rStyle w:val="FootnoteReference"/>
        </w:rPr>
        <w:footnoteRef/>
      </w:r>
      <w:r>
        <w:rPr>
          <w:rtl/>
        </w:rPr>
        <w:t xml:space="preserve"> </w:t>
      </w:r>
      <w:r>
        <w:rPr>
          <w:rFonts w:cs="David" w:hint="cs"/>
          <w:rtl/>
        </w:rPr>
        <w:t>כך סוברים, בהבדלים קלים, למשל פישביין, האשמה, עמ</w:t>
      </w:r>
      <w:r w:rsidR="00D87F6F">
        <w:rPr>
          <w:rFonts w:cs="David"/>
          <w:rtl/>
        </w:rPr>
        <w:t>’</w:t>
      </w:r>
      <w:r>
        <w:rPr>
          <w:rFonts w:cs="David" w:hint="cs"/>
          <w:rtl/>
        </w:rPr>
        <w:t xml:space="preserve"> 25</w:t>
      </w:r>
      <w:r>
        <w:rPr>
          <w:rFonts w:cs="David" w:hint="cs"/>
          <w:rtl/>
        </w:rPr>
        <w:softHyphen/>
        <w:t>-45; בריכטו, סוטה, עמ</w:t>
      </w:r>
      <w:r w:rsidR="00D87F6F">
        <w:rPr>
          <w:rFonts w:cs="David"/>
          <w:rtl/>
        </w:rPr>
        <w:t>’</w:t>
      </w:r>
      <w:r>
        <w:rPr>
          <w:rFonts w:cs="David" w:hint="cs"/>
          <w:rtl/>
        </w:rPr>
        <w:t xml:space="preserve"> 55</w:t>
      </w:r>
      <w:r>
        <w:rPr>
          <w:rFonts w:cs="David" w:hint="cs"/>
          <w:rtl/>
        </w:rPr>
        <w:softHyphen/>
        <w:t>-70; ליכט, במדבר (א-י), עמ</w:t>
      </w:r>
      <w:r w:rsidR="00D87F6F">
        <w:rPr>
          <w:rFonts w:cs="David"/>
          <w:rtl/>
        </w:rPr>
        <w:t>’</w:t>
      </w:r>
      <w:r>
        <w:rPr>
          <w:rFonts w:cs="David" w:hint="cs"/>
          <w:rtl/>
        </w:rPr>
        <w:t xml:space="preserve"> 72</w:t>
      </w:r>
      <w:r>
        <w:rPr>
          <w:rFonts w:cs="David" w:hint="cs"/>
          <w:rtl/>
        </w:rPr>
        <w:softHyphen/>
        <w:t>-73.</w:t>
      </w:r>
    </w:p>
  </w:footnote>
  <w:footnote w:id="9">
    <w:p w:rsidR="00EE5BE8" w:rsidRPr="00343470" w:rsidRDefault="00EE5BE8" w:rsidP="00EE5BE8">
      <w:pPr>
        <w:pStyle w:val="FootnoteText"/>
        <w:spacing w:line="360" w:lineRule="auto"/>
        <w:jc w:val="both"/>
        <w:rPr>
          <w:rFonts w:cs="David"/>
          <w:rtl/>
        </w:rPr>
      </w:pPr>
      <w:r>
        <w:rPr>
          <w:rStyle w:val="FootnoteReference"/>
        </w:rPr>
        <w:footnoteRef/>
      </w:r>
      <w:r>
        <w:rPr>
          <w:rtl/>
        </w:rPr>
        <w:t xml:space="preserve"> </w:t>
      </w:r>
      <w:r>
        <w:rPr>
          <w:rFonts w:cs="David" w:hint="cs"/>
          <w:rtl/>
        </w:rPr>
        <w:t>כך למשל נות,</w:t>
      </w:r>
      <w:r w:rsidR="003A0909">
        <w:rPr>
          <w:rFonts w:cs="David" w:hint="cs"/>
          <w:rtl/>
        </w:rPr>
        <w:t xml:space="preserve"> במדבר</w:t>
      </w:r>
      <w:r>
        <w:rPr>
          <w:rFonts w:cs="David" w:hint="cs"/>
          <w:rtl/>
        </w:rPr>
        <w:t xml:space="preserve"> </w:t>
      </w:r>
      <w:r>
        <w:rPr>
          <w:rFonts w:cs="David"/>
        </w:rPr>
        <w:t>OTL</w:t>
      </w:r>
      <w:r>
        <w:rPr>
          <w:rFonts w:cs="David" w:hint="cs"/>
          <w:rtl/>
        </w:rPr>
        <w:t>, עמ</w:t>
      </w:r>
      <w:r w:rsidR="00D87F6F">
        <w:rPr>
          <w:rFonts w:cs="David"/>
          <w:rtl/>
        </w:rPr>
        <w:t>’</w:t>
      </w:r>
      <w:r>
        <w:rPr>
          <w:rFonts w:cs="David" w:hint="cs"/>
          <w:rtl/>
        </w:rPr>
        <w:t xml:space="preserve"> 49, שטען כי בטקסט משולבים יחד שניים או שלושה רבדים שמשולבים יחד באופן כה הדוק שלא ניתן להבחין ביניהם. </w:t>
      </w:r>
    </w:p>
  </w:footnote>
  <w:footnote w:id="10">
    <w:p w:rsidR="00EE5BE8" w:rsidRPr="00343470" w:rsidRDefault="00EE5BE8" w:rsidP="008C1DFA">
      <w:pPr>
        <w:pStyle w:val="FootnoteText"/>
        <w:spacing w:line="360" w:lineRule="auto"/>
        <w:jc w:val="both"/>
        <w:rPr>
          <w:rFonts w:cs="David"/>
          <w:rtl/>
        </w:rPr>
      </w:pPr>
      <w:r>
        <w:rPr>
          <w:rStyle w:val="FootnoteReference"/>
        </w:rPr>
        <w:footnoteRef/>
      </w:r>
      <w:r>
        <w:rPr>
          <w:rtl/>
        </w:rPr>
        <w:t xml:space="preserve"> </w:t>
      </w:r>
      <w:r>
        <w:rPr>
          <w:rFonts w:cs="David" w:hint="cs"/>
          <w:rtl/>
        </w:rPr>
        <w:t>סיכום ממצה ובהיר מאד של מגוון הגישות הקיימות במחקר מובא במאמרו של ג</w:t>
      </w:r>
      <w:r w:rsidR="00D87F6F">
        <w:rPr>
          <w:rFonts w:cs="David"/>
          <w:rtl/>
        </w:rPr>
        <w:t>’</w:t>
      </w:r>
      <w:r>
        <w:rPr>
          <w:rFonts w:cs="David" w:hint="cs"/>
          <w:rtl/>
        </w:rPr>
        <w:t>און, שני חוקים, עמ</w:t>
      </w:r>
      <w:r w:rsidR="00D87F6F">
        <w:rPr>
          <w:rFonts w:cs="David"/>
          <w:rtl/>
        </w:rPr>
        <w:t>’</w:t>
      </w:r>
      <w:r>
        <w:rPr>
          <w:rFonts w:cs="David" w:hint="cs"/>
          <w:rtl/>
        </w:rPr>
        <w:t xml:space="preserve"> 181</w:t>
      </w:r>
      <w:r>
        <w:rPr>
          <w:rFonts w:cs="David" w:hint="cs"/>
          <w:rtl/>
        </w:rPr>
        <w:softHyphen/>
        <w:t>-</w:t>
      </w:r>
      <w:r w:rsidR="008C1DFA">
        <w:rPr>
          <w:rFonts w:cs="David" w:hint="cs"/>
          <w:rtl/>
        </w:rPr>
        <w:t>185.</w:t>
      </w:r>
    </w:p>
  </w:footnote>
  <w:footnote w:id="11">
    <w:p w:rsidR="008C1DFA" w:rsidRPr="00343470" w:rsidRDefault="008C1DFA" w:rsidP="00031020">
      <w:pPr>
        <w:pStyle w:val="FootnoteText"/>
        <w:spacing w:line="360" w:lineRule="auto"/>
        <w:jc w:val="both"/>
        <w:rPr>
          <w:rFonts w:cs="David"/>
          <w:rtl/>
        </w:rPr>
      </w:pPr>
      <w:r>
        <w:rPr>
          <w:rStyle w:val="FootnoteReference"/>
        </w:rPr>
        <w:footnoteRef/>
      </w:r>
      <w:r>
        <w:rPr>
          <w:rtl/>
        </w:rPr>
        <w:t xml:space="preserve"> </w:t>
      </w:r>
      <w:r w:rsidR="00031020">
        <w:rPr>
          <w:rFonts w:ascii="David" w:hAnsi="David" w:cs="David" w:hint="cs"/>
          <w:rtl/>
        </w:rPr>
        <w:t>ג</w:t>
      </w:r>
      <w:r w:rsidR="00D87F6F">
        <w:rPr>
          <w:rFonts w:ascii="David" w:hAnsi="David" w:cs="David"/>
          <w:rtl/>
        </w:rPr>
        <w:t>’</w:t>
      </w:r>
      <w:r w:rsidR="00031020" w:rsidRPr="00A601D8">
        <w:rPr>
          <w:rFonts w:ascii="David" w:hAnsi="David" w:cs="David"/>
          <w:rtl/>
        </w:rPr>
        <w:t>און ט</w:t>
      </w:r>
      <w:r w:rsidR="00031020">
        <w:rPr>
          <w:rFonts w:ascii="David" w:hAnsi="David" w:cs="David" w:hint="cs"/>
          <w:rtl/>
        </w:rPr>
        <w:t>ען</w:t>
      </w:r>
      <w:r w:rsidR="00031020" w:rsidRPr="00A601D8">
        <w:rPr>
          <w:rFonts w:ascii="David" w:hAnsi="David" w:cs="David"/>
          <w:rtl/>
        </w:rPr>
        <w:t xml:space="preserve"> לקיומם של שני חוקים שונים: חוק האורדיל, במרכזו השקיית האישה, שהוא הרובד המקורי; וחוק פולחן-ההשבעה, ללא השקייה, שהוא הרובד המאוחר.</w:t>
      </w:r>
      <w:r w:rsidR="00B458C0">
        <w:rPr>
          <w:rFonts w:cs="David" w:hint="cs"/>
          <w:rtl/>
        </w:rPr>
        <w:t xml:space="preserve"> </w:t>
      </w:r>
      <w:r>
        <w:rPr>
          <w:rFonts w:cs="David" w:hint="cs"/>
          <w:rtl/>
        </w:rPr>
        <w:t>ג</w:t>
      </w:r>
      <w:r w:rsidR="00D87F6F">
        <w:rPr>
          <w:rFonts w:cs="David"/>
          <w:rtl/>
        </w:rPr>
        <w:t>’</w:t>
      </w:r>
      <w:r>
        <w:rPr>
          <w:rFonts w:cs="David" w:hint="cs"/>
          <w:rtl/>
        </w:rPr>
        <w:t>און, שני חוקים, עמ</w:t>
      </w:r>
      <w:r w:rsidR="00D87F6F">
        <w:rPr>
          <w:rFonts w:cs="David"/>
          <w:rtl/>
        </w:rPr>
        <w:t>’</w:t>
      </w:r>
      <w:r>
        <w:rPr>
          <w:rFonts w:cs="David" w:hint="cs"/>
          <w:rtl/>
        </w:rPr>
        <w:t xml:space="preserve"> 181</w:t>
      </w:r>
      <w:r>
        <w:rPr>
          <w:rFonts w:cs="David" w:hint="cs"/>
          <w:rtl/>
        </w:rPr>
        <w:softHyphen/>
        <w:t>-207.</w:t>
      </w:r>
      <w:r w:rsidR="00A601D8">
        <w:rPr>
          <w:rFonts w:cs="David" w:hint="cs"/>
          <w:rtl/>
        </w:rPr>
        <w:t xml:space="preserve"> </w:t>
      </w:r>
    </w:p>
  </w:footnote>
  <w:footnote w:id="12">
    <w:p w:rsidR="00031020" w:rsidRPr="0067204A" w:rsidRDefault="00031020" w:rsidP="008D4C34">
      <w:pPr>
        <w:spacing w:line="360" w:lineRule="auto"/>
        <w:jc w:val="both"/>
        <w:rPr>
          <w:rFonts w:ascii="David" w:hAnsi="David" w:cs="David"/>
          <w:sz w:val="20"/>
          <w:szCs w:val="20"/>
          <w:rtl/>
        </w:rPr>
      </w:pPr>
      <w:r w:rsidRPr="00FC5D49">
        <w:rPr>
          <w:rStyle w:val="FootnoteReference"/>
          <w:sz w:val="20"/>
          <w:szCs w:val="20"/>
        </w:rPr>
        <w:footnoteRef/>
      </w:r>
      <w:r w:rsidRPr="00FC5D49">
        <w:rPr>
          <w:sz w:val="20"/>
          <w:szCs w:val="20"/>
          <w:rtl/>
        </w:rPr>
        <w:t xml:space="preserve"> </w:t>
      </w:r>
      <w:r w:rsidRPr="00BE2ABB">
        <w:rPr>
          <w:rFonts w:cs="David" w:hint="cs"/>
          <w:sz w:val="20"/>
          <w:szCs w:val="20"/>
          <w:rtl/>
        </w:rPr>
        <w:t>שתי ה</w:t>
      </w:r>
      <w:r w:rsidR="00D87F6F">
        <w:rPr>
          <w:rFonts w:cs="David"/>
          <w:sz w:val="20"/>
          <w:szCs w:val="20"/>
          <w:rtl/>
        </w:rPr>
        <w:t>”</w:t>
      </w:r>
      <w:r w:rsidRPr="00BE2ABB">
        <w:rPr>
          <w:rFonts w:cs="David" w:hint="cs"/>
          <w:sz w:val="20"/>
          <w:szCs w:val="20"/>
          <w:rtl/>
        </w:rPr>
        <w:t>תורות</w:t>
      </w:r>
      <w:r w:rsidR="00D87F6F">
        <w:rPr>
          <w:rFonts w:cs="David"/>
          <w:sz w:val="20"/>
          <w:szCs w:val="20"/>
          <w:rtl/>
        </w:rPr>
        <w:t>”</w:t>
      </w:r>
      <w:r w:rsidRPr="00BE2ABB">
        <w:rPr>
          <w:rFonts w:cs="David" w:hint="cs"/>
          <w:sz w:val="20"/>
          <w:szCs w:val="20"/>
          <w:rtl/>
        </w:rPr>
        <w:t xml:space="preserve"> וההבחנה ביניהן </w:t>
      </w:r>
      <w:r>
        <w:rPr>
          <w:rFonts w:cs="David" w:hint="cs"/>
          <w:sz w:val="20"/>
          <w:szCs w:val="20"/>
          <w:rtl/>
        </w:rPr>
        <w:t>זוהו</w:t>
      </w:r>
      <w:r w:rsidRPr="00BE2ABB">
        <w:rPr>
          <w:rFonts w:cs="David" w:hint="cs"/>
          <w:sz w:val="20"/>
          <w:szCs w:val="20"/>
          <w:rtl/>
        </w:rPr>
        <w:t xml:space="preserve"> כבר</w:t>
      </w:r>
      <w:r w:rsidR="0029467E">
        <w:rPr>
          <w:rFonts w:cs="David" w:hint="cs"/>
          <w:sz w:val="20"/>
          <w:szCs w:val="20"/>
          <w:rtl/>
        </w:rPr>
        <w:t xml:space="preserve"> בראשית המחקר של הפרשה, ראו:</w:t>
      </w:r>
      <w:r w:rsidRPr="00BE2ABB">
        <w:rPr>
          <w:rFonts w:cs="David" w:hint="cs"/>
          <w:sz w:val="20"/>
          <w:szCs w:val="20"/>
          <w:rtl/>
        </w:rPr>
        <w:t xml:space="preserve"> שטדה, </w:t>
      </w:r>
      <w:r w:rsidRPr="00BE2ABB">
        <w:rPr>
          <w:rFonts w:cs="David"/>
          <w:sz w:val="20"/>
          <w:szCs w:val="20"/>
        </w:rPr>
        <w:t>ZAW</w:t>
      </w:r>
      <w:r w:rsidRPr="00BE2ABB">
        <w:rPr>
          <w:rFonts w:cs="David" w:hint="cs"/>
          <w:sz w:val="20"/>
          <w:szCs w:val="20"/>
          <w:rtl/>
        </w:rPr>
        <w:t>, עמ</w:t>
      </w:r>
      <w:r w:rsidR="00D87F6F">
        <w:rPr>
          <w:rFonts w:cs="David"/>
          <w:sz w:val="20"/>
          <w:szCs w:val="20"/>
          <w:rtl/>
        </w:rPr>
        <w:t>’</w:t>
      </w:r>
      <w:r w:rsidRPr="00BE2ABB">
        <w:rPr>
          <w:rFonts w:cs="David" w:hint="cs"/>
          <w:sz w:val="20"/>
          <w:szCs w:val="20"/>
          <w:rtl/>
        </w:rPr>
        <w:t xml:space="preserve"> 166</w:t>
      </w:r>
      <w:r w:rsidRPr="00BE2ABB">
        <w:rPr>
          <w:rFonts w:cs="David" w:hint="cs"/>
          <w:sz w:val="20"/>
          <w:szCs w:val="20"/>
          <w:rtl/>
        </w:rPr>
        <w:softHyphen/>
        <w:t xml:space="preserve">-178; </w:t>
      </w:r>
      <w:r w:rsidR="008D4C34">
        <w:rPr>
          <w:rFonts w:cs="David" w:hint="cs"/>
          <w:sz w:val="20"/>
          <w:szCs w:val="20"/>
          <w:rtl/>
        </w:rPr>
        <w:t>בנטש (</w:t>
      </w:r>
      <w:r w:rsidR="008D4C34" w:rsidRPr="00624C14">
        <w:rPr>
          <w:sz w:val="20"/>
          <w:szCs w:val="20"/>
          <w:lang w:bidi="ar-SA"/>
        </w:rPr>
        <w:t xml:space="preserve">B. Baentsch, </w:t>
      </w:r>
      <w:r w:rsidR="008D4C34" w:rsidRPr="00624C14">
        <w:rPr>
          <w:i/>
          <w:iCs/>
          <w:sz w:val="20"/>
          <w:szCs w:val="20"/>
          <w:lang w:bidi="ar-SA"/>
        </w:rPr>
        <w:t>Exodus, Leviticus, Numeri</w:t>
      </w:r>
      <w:r w:rsidR="008D4C34" w:rsidRPr="00624C14">
        <w:rPr>
          <w:sz w:val="20"/>
          <w:szCs w:val="20"/>
          <w:lang w:bidi="ar-SA"/>
        </w:rPr>
        <w:t xml:space="preserve"> (HAT), Göttingen 1903</w:t>
      </w:r>
      <w:r w:rsidR="008D4C34">
        <w:rPr>
          <w:sz w:val="20"/>
          <w:szCs w:val="20"/>
          <w:lang w:bidi="ar-SA"/>
        </w:rPr>
        <w:t>, pp. 470-477</w:t>
      </w:r>
      <w:r w:rsidR="008D4C34">
        <w:rPr>
          <w:rFonts w:cs="David" w:hint="cs"/>
          <w:sz w:val="20"/>
          <w:szCs w:val="20"/>
          <w:rtl/>
        </w:rPr>
        <w:t>)</w:t>
      </w:r>
      <w:r w:rsidR="008D4C34">
        <w:rPr>
          <w:rFonts w:ascii="David" w:hAnsi="David" w:cs="David" w:hint="cs"/>
          <w:sz w:val="20"/>
          <w:szCs w:val="20"/>
          <w:rtl/>
        </w:rPr>
        <w:t xml:space="preserve">; </w:t>
      </w:r>
      <w:r w:rsidRPr="00BE2ABB">
        <w:rPr>
          <w:rFonts w:cs="David" w:hint="cs"/>
          <w:sz w:val="20"/>
          <w:szCs w:val="20"/>
          <w:rtl/>
        </w:rPr>
        <w:t>גריי, במדבר</w:t>
      </w:r>
      <w:r w:rsidR="008D4C34">
        <w:rPr>
          <w:rFonts w:cs="David" w:hint="cs"/>
          <w:sz w:val="20"/>
          <w:szCs w:val="20"/>
          <w:rtl/>
        </w:rPr>
        <w:t xml:space="preserve"> (1903)</w:t>
      </w:r>
      <w:r w:rsidRPr="00BE2ABB">
        <w:rPr>
          <w:rFonts w:cs="David" w:hint="cs"/>
          <w:sz w:val="20"/>
          <w:szCs w:val="20"/>
          <w:rtl/>
        </w:rPr>
        <w:t>, עמ</w:t>
      </w:r>
      <w:r w:rsidR="00D87F6F">
        <w:rPr>
          <w:rFonts w:cs="David"/>
          <w:sz w:val="20"/>
          <w:szCs w:val="20"/>
          <w:rtl/>
        </w:rPr>
        <w:t>’</w:t>
      </w:r>
      <w:r w:rsidRPr="00BE2ABB">
        <w:rPr>
          <w:rFonts w:cs="David" w:hint="cs"/>
          <w:sz w:val="20"/>
          <w:szCs w:val="20"/>
          <w:rtl/>
        </w:rPr>
        <w:t xml:space="preserve"> 49</w:t>
      </w:r>
      <w:r w:rsidR="008D4C34">
        <w:rPr>
          <w:rFonts w:cs="David" w:hint="cs"/>
          <w:sz w:val="20"/>
          <w:szCs w:val="20"/>
          <w:rtl/>
        </w:rPr>
        <w:t>.</w:t>
      </w:r>
    </w:p>
  </w:footnote>
  <w:footnote w:id="13">
    <w:p w:rsidR="0082189F" w:rsidRPr="00343470" w:rsidRDefault="0082189F" w:rsidP="0082189F">
      <w:pPr>
        <w:pStyle w:val="FootnoteText"/>
        <w:spacing w:line="360" w:lineRule="auto"/>
        <w:jc w:val="both"/>
        <w:rPr>
          <w:rFonts w:cs="David"/>
          <w:rtl/>
        </w:rPr>
      </w:pPr>
      <w:r>
        <w:rPr>
          <w:rStyle w:val="FootnoteReference"/>
        </w:rPr>
        <w:footnoteRef/>
      </w:r>
      <w:r>
        <w:rPr>
          <w:rFonts w:hint="cs"/>
          <w:rtl/>
        </w:rPr>
        <w:t xml:space="preserve"> </w:t>
      </w:r>
      <w:r>
        <w:rPr>
          <w:rFonts w:cs="David" w:hint="cs"/>
          <w:rtl/>
        </w:rPr>
        <w:t>בחוקי המזרח הקדום, בניגוד למקרא, השימוש באורדיל נפוץ למדי. לדוגמה, סעיף 132 בחוקי ח</w:t>
      </w:r>
      <w:r w:rsidR="00D87F6F">
        <w:rPr>
          <w:rFonts w:cs="David"/>
          <w:rtl/>
        </w:rPr>
        <w:t>’</w:t>
      </w:r>
      <w:r>
        <w:rPr>
          <w:rFonts w:cs="David" w:hint="cs"/>
          <w:rtl/>
        </w:rPr>
        <w:t>מורבי</w:t>
      </w:r>
      <w:r>
        <w:rPr>
          <w:rFonts w:cs="Arial"/>
          <w:lang w:val="en-US" w:bidi="ar-SA"/>
        </w:rPr>
        <w:t>(</w:t>
      </w:r>
      <w:r w:rsidRPr="00624C14">
        <w:rPr>
          <w:rFonts w:cs="Arial"/>
          <w:lang w:bidi="ar-SA"/>
        </w:rPr>
        <w:t xml:space="preserve">G.R. Driver and J.C. Miles, </w:t>
      </w:r>
      <w:r w:rsidRPr="00624C14">
        <w:rPr>
          <w:rFonts w:cs="Arial"/>
          <w:i/>
          <w:iCs/>
          <w:lang w:bidi="ar-SA"/>
        </w:rPr>
        <w:t>The Babylonian Laws</w:t>
      </w:r>
      <w:r w:rsidRPr="00624C14">
        <w:rPr>
          <w:rFonts w:cs="Arial"/>
          <w:lang w:bidi="ar-SA"/>
        </w:rPr>
        <w:t xml:space="preserve"> (Vol. 2), London 1955</w:t>
      </w:r>
      <w:r>
        <w:rPr>
          <w:rFonts w:cs="Arial"/>
          <w:lang w:val="en-US" w:bidi="ar-SA"/>
        </w:rPr>
        <w:t>, p. 53)</w:t>
      </w:r>
      <w:r>
        <w:rPr>
          <w:rFonts w:cs="David" w:hint="cs"/>
          <w:rtl/>
        </w:rPr>
        <w:t>:</w:t>
      </w:r>
      <w:r w:rsidR="00D87F6F">
        <w:rPr>
          <w:rFonts w:cs="David"/>
          <w:rtl/>
          <w:lang w:val="en-US"/>
        </w:rPr>
        <w:t>”</w:t>
      </w:r>
      <w:r>
        <w:rPr>
          <w:rFonts w:cs="David"/>
          <w:lang w:val="en-US"/>
        </w:rPr>
        <w:t>If a finger has been pointed at the married lady with regard to another man and she is not caught lying with the other man, she shall leap into the holy river for her husband</w:t>
      </w:r>
      <w:r w:rsidR="00D87F6F">
        <w:rPr>
          <w:rFonts w:cs="David"/>
          <w:rtl/>
          <w:lang w:val="en-US"/>
        </w:rPr>
        <w:t>”</w:t>
      </w:r>
      <w:r>
        <w:rPr>
          <w:rFonts w:cs="Arial" w:hint="cs"/>
          <w:rtl/>
          <w:lang w:val="en-US"/>
        </w:rPr>
        <w:t xml:space="preserve"> </w:t>
      </w:r>
    </w:p>
  </w:footnote>
  <w:footnote w:id="14">
    <w:p w:rsidR="0067204A" w:rsidRPr="00C3225E" w:rsidRDefault="0067204A" w:rsidP="00A06260">
      <w:pPr>
        <w:spacing w:line="360" w:lineRule="auto"/>
        <w:jc w:val="both"/>
        <w:rPr>
          <w:rFonts w:cs="David"/>
          <w:sz w:val="20"/>
          <w:szCs w:val="20"/>
          <w:rtl/>
        </w:rPr>
      </w:pPr>
      <w:r w:rsidRPr="00FC5D49">
        <w:rPr>
          <w:rStyle w:val="FootnoteReference"/>
          <w:sz w:val="20"/>
          <w:szCs w:val="20"/>
        </w:rPr>
        <w:footnoteRef/>
      </w:r>
      <w:r w:rsidRPr="00FC5D49">
        <w:rPr>
          <w:sz w:val="20"/>
          <w:szCs w:val="20"/>
          <w:rtl/>
        </w:rPr>
        <w:t xml:space="preserve"> </w:t>
      </w:r>
      <w:r w:rsidR="004D6C57">
        <w:rPr>
          <w:rFonts w:cs="David" w:hint="cs"/>
          <w:sz w:val="20"/>
          <w:szCs w:val="20"/>
          <w:rtl/>
        </w:rPr>
        <w:t>התורה מציינת ש</w:t>
      </w:r>
      <w:r w:rsidR="00726753">
        <w:rPr>
          <w:rFonts w:cs="David" w:hint="cs"/>
          <w:sz w:val="20"/>
          <w:szCs w:val="20"/>
          <w:rtl/>
        </w:rPr>
        <w:t xml:space="preserve">ההמתה </w:t>
      </w:r>
      <w:r w:rsidR="004D6C57">
        <w:rPr>
          <w:rFonts w:cs="David" w:hint="cs"/>
          <w:sz w:val="20"/>
          <w:szCs w:val="20"/>
          <w:rtl/>
        </w:rPr>
        <w:t xml:space="preserve">היא </w:t>
      </w:r>
      <w:r w:rsidR="00726753">
        <w:rPr>
          <w:rFonts w:cs="David" w:hint="cs"/>
          <w:sz w:val="20"/>
          <w:szCs w:val="20"/>
          <w:rtl/>
        </w:rPr>
        <w:t>ב</w:t>
      </w:r>
      <w:r w:rsidR="004D6C57">
        <w:rPr>
          <w:rFonts w:cs="David" w:hint="cs"/>
          <w:sz w:val="20"/>
          <w:szCs w:val="20"/>
          <w:rtl/>
        </w:rPr>
        <w:t>סקילה</w:t>
      </w:r>
      <w:r>
        <w:rPr>
          <w:rFonts w:cs="David" w:hint="cs"/>
          <w:sz w:val="20"/>
          <w:szCs w:val="20"/>
          <w:rtl/>
        </w:rPr>
        <w:t xml:space="preserve"> </w:t>
      </w:r>
      <w:r w:rsidR="00726753">
        <w:rPr>
          <w:rFonts w:cs="David" w:hint="cs"/>
          <w:sz w:val="20"/>
          <w:szCs w:val="20"/>
          <w:rtl/>
        </w:rPr>
        <w:t>רק ב</w:t>
      </w:r>
      <w:r w:rsidR="004D6C57">
        <w:rPr>
          <w:rFonts w:cs="David" w:hint="cs"/>
          <w:sz w:val="20"/>
          <w:szCs w:val="20"/>
          <w:rtl/>
        </w:rPr>
        <w:t xml:space="preserve">דינה של </w:t>
      </w:r>
      <w:r w:rsidR="00726753">
        <w:rPr>
          <w:rFonts w:cs="David" w:hint="cs"/>
          <w:sz w:val="20"/>
          <w:szCs w:val="20"/>
          <w:rtl/>
        </w:rPr>
        <w:t>נערה מאורשה</w:t>
      </w:r>
      <w:r w:rsidR="004D6C57">
        <w:rPr>
          <w:rFonts w:cs="David" w:hint="cs"/>
          <w:sz w:val="20"/>
          <w:szCs w:val="20"/>
          <w:rtl/>
        </w:rPr>
        <w:t xml:space="preserve"> (</w:t>
      </w:r>
      <w:r w:rsidR="00045A3E">
        <w:rPr>
          <w:rFonts w:cs="David" w:hint="cs"/>
          <w:sz w:val="20"/>
          <w:szCs w:val="20"/>
          <w:rtl/>
        </w:rPr>
        <w:t>דב</w:t>
      </w:r>
      <w:r w:rsidR="00D87F6F">
        <w:rPr>
          <w:rFonts w:cs="David"/>
          <w:sz w:val="20"/>
          <w:szCs w:val="20"/>
          <w:rtl/>
        </w:rPr>
        <w:t>’</w:t>
      </w:r>
      <w:r w:rsidR="00045A3E">
        <w:rPr>
          <w:rFonts w:cs="David" w:hint="cs"/>
          <w:sz w:val="20"/>
          <w:szCs w:val="20"/>
          <w:rtl/>
        </w:rPr>
        <w:t xml:space="preserve"> כב, </w:t>
      </w:r>
      <w:r w:rsidR="004D6C57">
        <w:rPr>
          <w:rFonts w:cs="David" w:hint="cs"/>
          <w:sz w:val="20"/>
          <w:szCs w:val="20"/>
          <w:rtl/>
        </w:rPr>
        <w:t>כד</w:t>
      </w:r>
      <w:r w:rsidR="00045A3E">
        <w:rPr>
          <w:rFonts w:cs="David" w:hint="cs"/>
          <w:sz w:val="20"/>
          <w:szCs w:val="20"/>
          <w:rtl/>
        </w:rPr>
        <w:t>. הסקילה מוזכרת גם בפס</w:t>
      </w:r>
      <w:r w:rsidR="00D87F6F">
        <w:rPr>
          <w:rFonts w:cs="David"/>
          <w:sz w:val="20"/>
          <w:szCs w:val="20"/>
          <w:rtl/>
        </w:rPr>
        <w:t>’</w:t>
      </w:r>
      <w:r w:rsidR="00045A3E">
        <w:rPr>
          <w:rFonts w:cs="David" w:hint="cs"/>
          <w:sz w:val="20"/>
          <w:szCs w:val="20"/>
          <w:rtl/>
        </w:rPr>
        <w:t xml:space="preserve"> כא, אולם קשה להכריע האם הוא עוסק במאורשה או אפילו בפנויה</w:t>
      </w:r>
      <w:r w:rsidR="004D6C57">
        <w:rPr>
          <w:rFonts w:cs="David" w:hint="cs"/>
          <w:sz w:val="20"/>
          <w:szCs w:val="20"/>
          <w:rtl/>
        </w:rPr>
        <w:t>)</w:t>
      </w:r>
      <w:r w:rsidR="00726753">
        <w:rPr>
          <w:rFonts w:cs="David" w:hint="cs"/>
          <w:sz w:val="20"/>
          <w:szCs w:val="20"/>
          <w:rtl/>
        </w:rPr>
        <w:t xml:space="preserve">, אבל מסתבר שזוהי צורת ההמתה גם במקרה של אישה נשואה. </w:t>
      </w:r>
      <w:r w:rsidR="00C3225E">
        <w:rPr>
          <w:rFonts w:cs="David" w:hint="cs"/>
          <w:sz w:val="20"/>
          <w:szCs w:val="20"/>
          <w:rtl/>
        </w:rPr>
        <w:t>ראו</w:t>
      </w:r>
      <w:r w:rsidR="00726753">
        <w:rPr>
          <w:rFonts w:cs="David" w:hint="cs"/>
          <w:sz w:val="20"/>
          <w:szCs w:val="20"/>
          <w:rtl/>
        </w:rPr>
        <w:t xml:space="preserve">: </w:t>
      </w:r>
      <w:r w:rsidR="00C3225E">
        <w:rPr>
          <w:rFonts w:cs="David"/>
          <w:noProof/>
          <w:sz w:val="20"/>
          <w:szCs w:val="20"/>
          <w:lang w:eastAsia="he-IL"/>
        </w:rPr>
        <w:t xml:space="preserve">D. Daube, </w:t>
      </w:r>
      <w:r w:rsidR="00C3225E" w:rsidRPr="00C3225E">
        <w:rPr>
          <w:rFonts w:cs="David"/>
          <w:i/>
          <w:iCs/>
          <w:noProof/>
          <w:sz w:val="20"/>
          <w:szCs w:val="20"/>
          <w:lang w:eastAsia="he-IL"/>
        </w:rPr>
        <w:t xml:space="preserve">Collected Works of David Daube: Talmudic Law (Vol. 1) </w:t>
      </w:r>
      <w:r w:rsidR="00C3225E">
        <w:rPr>
          <w:rFonts w:cs="David"/>
          <w:noProof/>
          <w:sz w:val="20"/>
          <w:szCs w:val="20"/>
          <w:lang w:eastAsia="he-IL"/>
        </w:rPr>
        <w:t xml:space="preserve">(ed. </w:t>
      </w:r>
      <w:r w:rsidR="00A06260">
        <w:rPr>
          <w:rFonts w:cs="David"/>
          <w:noProof/>
          <w:sz w:val="20"/>
          <w:szCs w:val="20"/>
          <w:lang w:eastAsia="he-IL"/>
        </w:rPr>
        <w:t>b</w:t>
      </w:r>
      <w:r w:rsidR="00C3225E">
        <w:rPr>
          <w:rFonts w:cs="David"/>
          <w:noProof/>
          <w:sz w:val="20"/>
          <w:szCs w:val="20"/>
          <w:lang w:eastAsia="he-IL"/>
        </w:rPr>
        <w:t>y C. M. Carmichae</w:t>
      </w:r>
      <w:r w:rsidR="00A06260">
        <w:rPr>
          <w:rFonts w:cs="David"/>
          <w:noProof/>
          <w:sz w:val="20"/>
          <w:szCs w:val="20"/>
          <w:lang w:eastAsia="he-IL"/>
        </w:rPr>
        <w:t>l</w:t>
      </w:r>
      <w:r w:rsidR="00C3225E">
        <w:rPr>
          <w:rFonts w:cs="David"/>
          <w:noProof/>
          <w:sz w:val="20"/>
          <w:szCs w:val="20"/>
          <w:lang w:eastAsia="he-IL"/>
        </w:rPr>
        <w:t>),</w:t>
      </w:r>
      <w:r w:rsidR="00C3225E" w:rsidRPr="00C3225E">
        <w:rPr>
          <w:rFonts w:cs="David"/>
          <w:noProof/>
          <w:sz w:val="20"/>
          <w:szCs w:val="20"/>
          <w:lang w:eastAsia="he-IL"/>
        </w:rPr>
        <w:t xml:space="preserve"> Berkeley: University of California press, 1992</w:t>
      </w:r>
      <w:r w:rsidR="00C3225E">
        <w:rPr>
          <w:rFonts w:cs="David"/>
          <w:noProof/>
          <w:sz w:val="20"/>
          <w:szCs w:val="20"/>
          <w:lang w:eastAsia="he-IL"/>
        </w:rPr>
        <w:t>, p. 169</w:t>
      </w:r>
      <w:r w:rsidR="00C3225E">
        <w:rPr>
          <w:rFonts w:cs="David" w:hint="cs"/>
          <w:noProof/>
          <w:sz w:val="20"/>
          <w:szCs w:val="20"/>
          <w:rtl/>
          <w:lang w:eastAsia="he-IL"/>
        </w:rPr>
        <w:t xml:space="preserve">; </w:t>
      </w:r>
      <w:r w:rsidR="00C3225E">
        <w:rPr>
          <w:rFonts w:cs="David" w:hint="cs"/>
          <w:sz w:val="20"/>
          <w:szCs w:val="20"/>
          <w:rtl/>
        </w:rPr>
        <w:t>א</w:t>
      </w:r>
      <w:r w:rsidR="00D87F6F">
        <w:rPr>
          <w:rFonts w:cs="David"/>
          <w:sz w:val="20"/>
          <w:szCs w:val="20"/>
          <w:rtl/>
        </w:rPr>
        <w:t>’</w:t>
      </w:r>
      <w:r w:rsidR="00C3225E">
        <w:rPr>
          <w:rFonts w:cs="David" w:hint="cs"/>
          <w:sz w:val="20"/>
          <w:szCs w:val="20"/>
          <w:rtl/>
        </w:rPr>
        <w:t xml:space="preserve"> שמש, </w:t>
      </w:r>
      <w:r w:rsidR="00D87F6F">
        <w:rPr>
          <w:rFonts w:cs="David"/>
          <w:sz w:val="20"/>
          <w:szCs w:val="20"/>
          <w:rtl/>
        </w:rPr>
        <w:t>“‘</w:t>
      </w:r>
      <w:r w:rsidR="00C3225E" w:rsidRPr="00C3225E">
        <w:rPr>
          <w:rFonts w:cs="David"/>
          <w:sz w:val="20"/>
          <w:szCs w:val="20"/>
          <w:rtl/>
        </w:rPr>
        <w:t>אלו הן הנהרגין</w:t>
      </w:r>
      <w:r w:rsidR="00D87F6F">
        <w:rPr>
          <w:rFonts w:cs="David"/>
          <w:sz w:val="20"/>
          <w:szCs w:val="20"/>
          <w:rtl/>
        </w:rPr>
        <w:t>’</w:t>
      </w:r>
      <w:r w:rsidR="00C3225E" w:rsidRPr="00C3225E">
        <w:rPr>
          <w:rFonts w:cs="David"/>
          <w:sz w:val="20"/>
          <w:szCs w:val="20"/>
          <w:rtl/>
        </w:rPr>
        <w:t>: ע</w:t>
      </w:r>
      <w:r w:rsidR="00C3225E">
        <w:rPr>
          <w:rFonts w:cs="David"/>
          <w:sz w:val="20"/>
          <w:szCs w:val="20"/>
          <w:rtl/>
        </w:rPr>
        <w:t>יון בפרק מתורת העונשים של חז</w:t>
      </w:r>
      <w:r w:rsidR="00D87F6F">
        <w:rPr>
          <w:rFonts w:cs="David"/>
          <w:sz w:val="20"/>
          <w:szCs w:val="20"/>
          <w:rtl/>
        </w:rPr>
        <w:t>”</w:t>
      </w:r>
      <w:r w:rsidR="00C3225E">
        <w:rPr>
          <w:rFonts w:cs="David"/>
          <w:sz w:val="20"/>
          <w:szCs w:val="20"/>
          <w:rtl/>
        </w:rPr>
        <w:t>ל</w:t>
      </w:r>
      <w:r w:rsidR="00D87F6F">
        <w:rPr>
          <w:rFonts w:cs="David"/>
          <w:sz w:val="20"/>
          <w:szCs w:val="20"/>
          <w:rtl/>
        </w:rPr>
        <w:t>”</w:t>
      </w:r>
      <w:r w:rsidR="00C3225E">
        <w:rPr>
          <w:rFonts w:cs="David" w:hint="cs"/>
          <w:sz w:val="20"/>
          <w:szCs w:val="20"/>
          <w:rtl/>
        </w:rPr>
        <w:t xml:space="preserve">, </w:t>
      </w:r>
      <w:r w:rsidR="00C3225E" w:rsidRPr="00C3225E">
        <w:rPr>
          <w:rFonts w:cs="David"/>
          <w:sz w:val="20"/>
          <w:szCs w:val="20"/>
          <w:rtl/>
        </w:rPr>
        <w:t>שנתון המשפט העברי</w:t>
      </w:r>
      <w:r w:rsidR="00C3225E" w:rsidRPr="00C3225E">
        <w:rPr>
          <w:rStyle w:val="st1"/>
          <w:rFonts w:ascii="Arial" w:hAnsi="Arial" w:cs="Arial"/>
          <w:color w:val="545454"/>
          <w:rtl/>
        </w:rPr>
        <w:t xml:space="preserve"> </w:t>
      </w:r>
      <w:r w:rsidR="00C3225E" w:rsidRPr="00C3225E">
        <w:rPr>
          <w:rFonts w:cs="David"/>
          <w:sz w:val="20"/>
          <w:szCs w:val="20"/>
          <w:rtl/>
        </w:rPr>
        <w:t>כא תשנ</w:t>
      </w:r>
      <w:r w:rsidR="00D87F6F">
        <w:rPr>
          <w:rFonts w:cs="David"/>
          <w:sz w:val="20"/>
          <w:szCs w:val="20"/>
          <w:rtl/>
        </w:rPr>
        <w:t>”</w:t>
      </w:r>
      <w:r w:rsidR="00C3225E" w:rsidRPr="00C3225E">
        <w:rPr>
          <w:rFonts w:cs="David"/>
          <w:sz w:val="20"/>
          <w:szCs w:val="20"/>
          <w:rtl/>
        </w:rPr>
        <w:t>ח-תש</w:t>
      </w:r>
      <w:r w:rsidR="00D87F6F">
        <w:rPr>
          <w:rFonts w:cs="David"/>
          <w:sz w:val="20"/>
          <w:szCs w:val="20"/>
          <w:rtl/>
        </w:rPr>
        <w:t>”</w:t>
      </w:r>
      <w:r w:rsidR="00C3225E">
        <w:rPr>
          <w:rFonts w:cs="David"/>
          <w:sz w:val="20"/>
          <w:szCs w:val="20"/>
          <w:rtl/>
        </w:rPr>
        <w:t>ס</w:t>
      </w:r>
      <w:r w:rsidR="00C3225E">
        <w:rPr>
          <w:rFonts w:cs="David" w:hint="cs"/>
          <w:sz w:val="20"/>
          <w:szCs w:val="20"/>
          <w:rtl/>
        </w:rPr>
        <w:t>, ירושלים תש</w:t>
      </w:r>
      <w:r w:rsidR="00D87F6F">
        <w:rPr>
          <w:rFonts w:cs="David"/>
          <w:sz w:val="20"/>
          <w:szCs w:val="20"/>
          <w:rtl/>
        </w:rPr>
        <w:t>”</w:t>
      </w:r>
      <w:r w:rsidR="00C3225E">
        <w:rPr>
          <w:rFonts w:cs="David" w:hint="cs"/>
          <w:sz w:val="20"/>
          <w:szCs w:val="20"/>
          <w:rtl/>
        </w:rPr>
        <w:t xml:space="preserve">ס, </w:t>
      </w:r>
      <w:r w:rsidR="00C3225E" w:rsidRPr="00C3225E">
        <w:rPr>
          <w:rFonts w:cs="David"/>
          <w:sz w:val="20"/>
          <w:szCs w:val="20"/>
          <w:rtl/>
        </w:rPr>
        <w:t>עמ</w:t>
      </w:r>
      <w:r w:rsidR="00D87F6F">
        <w:rPr>
          <w:rFonts w:cs="David"/>
          <w:sz w:val="20"/>
          <w:szCs w:val="20"/>
          <w:rtl/>
        </w:rPr>
        <w:t>’</w:t>
      </w:r>
      <w:r w:rsidR="00C3225E">
        <w:rPr>
          <w:rFonts w:cs="David" w:hint="cs"/>
          <w:sz w:val="20"/>
          <w:szCs w:val="20"/>
          <w:rtl/>
        </w:rPr>
        <w:t xml:space="preserve"> 287 (עמ</w:t>
      </w:r>
      <w:r w:rsidR="00D87F6F">
        <w:rPr>
          <w:rFonts w:cs="David"/>
          <w:sz w:val="20"/>
          <w:szCs w:val="20"/>
          <w:rtl/>
        </w:rPr>
        <w:t>’</w:t>
      </w:r>
      <w:r w:rsidR="00C3225E">
        <w:rPr>
          <w:rFonts w:cs="David" w:hint="cs"/>
          <w:sz w:val="20"/>
          <w:szCs w:val="20"/>
          <w:rtl/>
        </w:rPr>
        <w:t xml:space="preserve"> המאמר:</w:t>
      </w:r>
      <w:r w:rsidR="00C3225E" w:rsidRPr="00C3225E">
        <w:rPr>
          <w:rFonts w:cs="David"/>
          <w:sz w:val="20"/>
          <w:szCs w:val="20"/>
          <w:rtl/>
        </w:rPr>
        <w:t xml:space="preserve"> 267-289</w:t>
      </w:r>
      <w:r w:rsidR="00C3225E">
        <w:rPr>
          <w:rFonts w:cs="David" w:hint="cs"/>
          <w:sz w:val="20"/>
          <w:szCs w:val="20"/>
          <w:rtl/>
        </w:rPr>
        <w:t>).</w:t>
      </w:r>
    </w:p>
  </w:footnote>
  <w:footnote w:id="15">
    <w:p w:rsidR="00C82C9D" w:rsidRPr="00E24F9C" w:rsidRDefault="00C82C9D" w:rsidP="00C82C9D">
      <w:pPr>
        <w:pStyle w:val="FootnoteText"/>
        <w:spacing w:line="360" w:lineRule="auto"/>
        <w:jc w:val="both"/>
        <w:rPr>
          <w:rFonts w:cs="David"/>
          <w:rtl/>
        </w:rPr>
      </w:pPr>
      <w:r>
        <w:rPr>
          <w:rStyle w:val="FootnoteReference"/>
        </w:rPr>
        <w:footnoteRef/>
      </w:r>
      <w:r>
        <w:rPr>
          <w:rtl/>
        </w:rPr>
        <w:t xml:space="preserve"> </w:t>
      </w:r>
      <w:r>
        <w:rPr>
          <w:rFonts w:cs="David" w:hint="cs"/>
          <w:rtl/>
        </w:rPr>
        <w:t xml:space="preserve">על מרכיביו של הדימוי ראו: </w:t>
      </w:r>
      <w:r w:rsidRPr="00624C14">
        <w:rPr>
          <w:rFonts w:cs="David"/>
        </w:rPr>
        <w:t xml:space="preserve">R. Lack, </w:t>
      </w:r>
      <w:r w:rsidRPr="00624C14">
        <w:rPr>
          <w:rFonts w:cs="David"/>
          <w:i/>
          <w:iCs/>
        </w:rPr>
        <w:t>La Symbolique du Livre d</w:t>
      </w:r>
      <w:r w:rsidR="00D87F6F">
        <w:rPr>
          <w:rFonts w:cs="David"/>
          <w:i/>
          <w:iCs/>
        </w:rPr>
        <w:t>’</w:t>
      </w:r>
      <w:r w:rsidRPr="00624C14">
        <w:rPr>
          <w:rFonts w:cs="David"/>
          <w:i/>
          <w:iCs/>
        </w:rPr>
        <w:t>Isa</w:t>
      </w:r>
      <w:r w:rsidRPr="00624C14">
        <w:rPr>
          <w:i/>
          <w:iCs/>
        </w:rPr>
        <w:t>ï</w:t>
      </w:r>
      <w:r w:rsidRPr="00624C14">
        <w:rPr>
          <w:rFonts w:cs="David"/>
          <w:i/>
          <w:iCs/>
        </w:rPr>
        <w:t>e</w:t>
      </w:r>
      <w:r w:rsidR="00D87F6F">
        <w:rPr>
          <w:rFonts w:cs="David"/>
          <w:i/>
          <w:iCs/>
        </w:rPr>
        <w:t xml:space="preserve"> </w:t>
      </w:r>
      <w:r w:rsidRPr="00624C14">
        <w:rPr>
          <w:rFonts w:cs="David"/>
        </w:rPr>
        <w:t>(AnBib 59), Rome 1973</w:t>
      </w:r>
      <w:r>
        <w:rPr>
          <w:rFonts w:cs="David"/>
          <w:lang w:val="en-US"/>
        </w:rPr>
        <w:t>, pp. 180-183</w:t>
      </w:r>
    </w:p>
  </w:footnote>
  <w:footnote w:id="16">
    <w:p w:rsidR="005754AB" w:rsidRPr="00EA4A2B" w:rsidRDefault="005754AB" w:rsidP="005754AB">
      <w:pPr>
        <w:spacing w:line="360" w:lineRule="auto"/>
        <w:jc w:val="both"/>
        <w:rPr>
          <w:rFonts w:cs="David"/>
          <w:noProof/>
          <w:lang w:eastAsia="he-IL"/>
        </w:rPr>
      </w:pPr>
      <w:r w:rsidRPr="00624C14">
        <w:rPr>
          <w:rStyle w:val="FootnoteReference"/>
          <w:sz w:val="20"/>
          <w:szCs w:val="20"/>
        </w:rPr>
        <w:footnoteRef/>
      </w:r>
      <w:r w:rsidRPr="00624C14">
        <w:rPr>
          <w:rFonts w:hint="cs"/>
          <w:sz w:val="20"/>
          <w:szCs w:val="20"/>
          <w:rtl/>
        </w:rPr>
        <w:t xml:space="preserve"> </w:t>
      </w:r>
      <w:r w:rsidRPr="002A20D8">
        <w:rPr>
          <w:rFonts w:cs="Arial"/>
          <w:sz w:val="20"/>
          <w:szCs w:val="20"/>
          <w:lang w:bidi="ar-SA"/>
        </w:rPr>
        <w:t xml:space="preserve">H. Gressmann, </w:t>
      </w:r>
      <w:r w:rsidRPr="002A20D8">
        <w:rPr>
          <w:rFonts w:cs="Arial"/>
          <w:i/>
          <w:iCs/>
          <w:sz w:val="20"/>
          <w:szCs w:val="20"/>
          <w:lang w:bidi="ar-SA"/>
        </w:rPr>
        <w:t xml:space="preserve">Der Ursprung der israelitisch-jüdischen Eschatologie </w:t>
      </w:r>
      <w:r w:rsidRPr="002A20D8">
        <w:rPr>
          <w:rFonts w:cs="Arial"/>
          <w:sz w:val="20"/>
          <w:szCs w:val="20"/>
          <w:lang w:bidi="ar-SA"/>
        </w:rPr>
        <w:t xml:space="preserve">(FRLANT, 6) Göttingen 1905, pp. 129-136 (= </w:t>
      </w:r>
      <w:r w:rsidRPr="00304E45">
        <w:rPr>
          <w:rFonts w:cs="Arial"/>
          <w:sz w:val="20"/>
          <w:szCs w:val="20"/>
          <w:lang w:bidi="ar-SA"/>
        </w:rPr>
        <w:t xml:space="preserve">H. Gressmann, </w:t>
      </w:r>
      <w:r w:rsidR="00D87F6F">
        <w:rPr>
          <w:rFonts w:cs="Arial"/>
          <w:sz w:val="20"/>
          <w:szCs w:val="20"/>
          <w:lang w:bidi="ar-SA"/>
        </w:rPr>
        <w:t>‘</w:t>
      </w:r>
      <w:r w:rsidRPr="00304E45">
        <w:rPr>
          <w:rFonts w:cs="Arial"/>
          <w:sz w:val="20"/>
          <w:szCs w:val="20"/>
          <w:lang w:bidi="ar-SA"/>
        </w:rPr>
        <w:t>Der Festbecher</w:t>
      </w:r>
      <w:r w:rsidR="00D87F6F">
        <w:rPr>
          <w:rFonts w:cs="Arial"/>
          <w:sz w:val="20"/>
          <w:szCs w:val="20"/>
          <w:lang w:bidi="ar-SA"/>
        </w:rPr>
        <w:t>’</w:t>
      </w:r>
      <w:r w:rsidRPr="00304E45">
        <w:rPr>
          <w:rFonts w:cs="Arial"/>
          <w:sz w:val="20"/>
          <w:szCs w:val="20"/>
          <w:lang w:bidi="ar-SA"/>
        </w:rPr>
        <w:t xml:space="preserve">, in: </w:t>
      </w:r>
      <w:r w:rsidRPr="00304E45">
        <w:rPr>
          <w:rFonts w:cs="Arial" w:hint="eastAsia"/>
          <w:i/>
          <w:iCs/>
          <w:sz w:val="20"/>
          <w:szCs w:val="20"/>
          <w:lang w:bidi="ar-SA"/>
        </w:rPr>
        <w:t>Sellin-Festschrift: Beiträge zur Religionsgeschichte und Archäologie Palästinas</w:t>
      </w:r>
      <w:r w:rsidRPr="00304E45">
        <w:rPr>
          <w:rFonts w:cs="Arial" w:hint="eastAsia"/>
          <w:sz w:val="20"/>
          <w:szCs w:val="20"/>
          <w:lang w:bidi="ar-SA"/>
        </w:rPr>
        <w:t>,</w:t>
      </w:r>
      <w:r w:rsidRPr="00304E45">
        <w:rPr>
          <w:rFonts w:cs="Arial"/>
          <w:sz w:val="20"/>
          <w:szCs w:val="20"/>
          <w:lang w:bidi="ar-SA"/>
        </w:rPr>
        <w:t xml:space="preserve"> by W.F. Albright, A. Alt, et al.</w:t>
      </w:r>
      <w:r w:rsidRPr="00304E45">
        <w:rPr>
          <w:rFonts w:cs="Arial" w:hint="eastAsia"/>
          <w:sz w:val="20"/>
          <w:szCs w:val="20"/>
          <w:lang w:bidi="ar-SA"/>
        </w:rPr>
        <w:t xml:space="preserve"> </w:t>
      </w:r>
      <w:r w:rsidRPr="00304E45">
        <w:rPr>
          <w:rFonts w:cs="Arial"/>
          <w:sz w:val="20"/>
          <w:szCs w:val="20"/>
          <w:lang w:bidi="ar-SA"/>
        </w:rPr>
        <w:t>Leipzig, 1927, pp. 55-62</w:t>
      </w:r>
      <w:r>
        <w:rPr>
          <w:rFonts w:cs="Arial"/>
          <w:sz w:val="20"/>
          <w:szCs w:val="20"/>
          <w:lang w:bidi="ar-SA"/>
        </w:rPr>
        <w:t>)</w:t>
      </w:r>
      <w:r w:rsidRPr="00304E45">
        <w:rPr>
          <w:rFonts w:cs="Arial"/>
          <w:sz w:val="20"/>
          <w:szCs w:val="20"/>
          <w:lang w:bidi="ar-SA"/>
        </w:rPr>
        <w:t xml:space="preserve">; </w:t>
      </w:r>
      <w:r w:rsidRPr="002A20D8">
        <w:rPr>
          <w:rFonts w:cs="Arial"/>
          <w:sz w:val="20"/>
          <w:szCs w:val="20"/>
          <w:lang w:bidi="ar-SA"/>
        </w:rPr>
        <w:t xml:space="preserve">W. Lotz, </w:t>
      </w:r>
      <w:r w:rsidR="00D87F6F">
        <w:rPr>
          <w:rFonts w:cs="Arial"/>
          <w:sz w:val="20"/>
          <w:szCs w:val="20"/>
          <w:lang w:bidi="ar-SA"/>
        </w:rPr>
        <w:t>‘</w:t>
      </w:r>
      <w:r w:rsidRPr="002A20D8">
        <w:rPr>
          <w:rFonts w:cs="Arial"/>
          <w:sz w:val="20"/>
          <w:szCs w:val="20"/>
          <w:lang w:bidi="ar-SA"/>
        </w:rPr>
        <w:t>Das Sinnbild des Bechers</w:t>
      </w:r>
      <w:r w:rsidR="00D87F6F">
        <w:rPr>
          <w:rFonts w:cs="Arial"/>
          <w:sz w:val="20"/>
          <w:szCs w:val="20"/>
          <w:lang w:bidi="ar-SA"/>
        </w:rPr>
        <w:t>’</w:t>
      </w:r>
      <w:r w:rsidRPr="002A20D8">
        <w:rPr>
          <w:rFonts w:cs="Arial"/>
          <w:sz w:val="20"/>
          <w:szCs w:val="20"/>
          <w:lang w:bidi="ar-SA"/>
        </w:rPr>
        <w:t xml:space="preserve">, </w:t>
      </w:r>
      <w:r w:rsidRPr="002A20D8">
        <w:rPr>
          <w:rFonts w:cs="Arial"/>
          <w:i/>
          <w:iCs/>
          <w:sz w:val="20"/>
          <w:szCs w:val="20"/>
          <w:lang w:bidi="ar-SA"/>
        </w:rPr>
        <w:t>NKZ</w:t>
      </w:r>
      <w:r w:rsidRPr="002A20D8">
        <w:rPr>
          <w:rFonts w:cs="Arial"/>
          <w:sz w:val="20"/>
          <w:szCs w:val="20"/>
          <w:lang w:bidi="ar-SA"/>
        </w:rPr>
        <w:t xml:space="preserve"> (</w:t>
      </w:r>
      <w:r w:rsidRPr="002A20D8">
        <w:rPr>
          <w:rFonts w:cs="Arial"/>
          <w:i/>
          <w:iCs/>
          <w:sz w:val="20"/>
          <w:szCs w:val="20"/>
          <w:lang w:bidi="ar-SA"/>
        </w:rPr>
        <w:t>=Neue Kirchliche Zeitschrift</w:t>
      </w:r>
      <w:r w:rsidRPr="002A20D8">
        <w:rPr>
          <w:rFonts w:cs="Arial"/>
          <w:sz w:val="20"/>
          <w:szCs w:val="20"/>
          <w:lang w:bidi="ar-SA"/>
        </w:rPr>
        <w:t>)</w:t>
      </w:r>
      <w:r>
        <w:rPr>
          <w:rFonts w:cs="Arial"/>
          <w:sz w:val="20"/>
          <w:szCs w:val="20"/>
          <w:lang w:bidi="ar-SA"/>
        </w:rPr>
        <w:t xml:space="preserve"> 28 (1917), pp. 396-407</w:t>
      </w:r>
    </w:p>
  </w:footnote>
  <w:footnote w:id="17">
    <w:p w:rsidR="00797C30" w:rsidRPr="00EA4A2B" w:rsidRDefault="00797C30" w:rsidP="005754AB">
      <w:pPr>
        <w:spacing w:line="360" w:lineRule="auto"/>
        <w:jc w:val="both"/>
        <w:rPr>
          <w:rFonts w:cs="David"/>
          <w:noProof/>
          <w:lang w:eastAsia="he-IL" w:bidi="ar-SA"/>
        </w:rPr>
      </w:pPr>
      <w:r w:rsidRPr="00624C14">
        <w:rPr>
          <w:rStyle w:val="FootnoteReference"/>
          <w:sz w:val="20"/>
          <w:szCs w:val="20"/>
        </w:rPr>
        <w:footnoteRef/>
      </w:r>
      <w:r w:rsidRPr="00624C14">
        <w:rPr>
          <w:rFonts w:hint="cs"/>
          <w:sz w:val="20"/>
          <w:szCs w:val="20"/>
          <w:rtl/>
        </w:rPr>
        <w:t xml:space="preserve"> </w:t>
      </w:r>
      <w:r>
        <w:rPr>
          <w:rFonts w:cs="David" w:hint="cs"/>
          <w:sz w:val="20"/>
          <w:szCs w:val="20"/>
          <w:rtl/>
        </w:rPr>
        <w:t xml:space="preserve">לדיון מקיף </w:t>
      </w:r>
      <w:r w:rsidR="005754AB">
        <w:rPr>
          <w:rFonts w:cs="David" w:hint="cs"/>
          <w:sz w:val="20"/>
          <w:szCs w:val="20"/>
          <w:rtl/>
        </w:rPr>
        <w:t>בהשערות שהוצעו במחקרים המוקדמים</w:t>
      </w:r>
      <w:r>
        <w:rPr>
          <w:rFonts w:cs="David" w:hint="cs"/>
          <w:sz w:val="20"/>
          <w:szCs w:val="20"/>
          <w:rtl/>
        </w:rPr>
        <w:t xml:space="preserve"> ראו: </w:t>
      </w:r>
      <w:r w:rsidRPr="002A20D8">
        <w:rPr>
          <w:rFonts w:cs="Arial"/>
          <w:sz w:val="20"/>
          <w:szCs w:val="20"/>
          <w:lang w:bidi="ar-SA"/>
        </w:rPr>
        <w:t xml:space="preserve">H.A. Brongers, </w:t>
      </w:r>
      <w:r w:rsidR="00D87F6F">
        <w:rPr>
          <w:rFonts w:cs="Arial"/>
          <w:sz w:val="20"/>
          <w:szCs w:val="20"/>
          <w:lang w:bidi="ar-SA"/>
        </w:rPr>
        <w:t>‘</w:t>
      </w:r>
      <w:r w:rsidRPr="002A20D8">
        <w:rPr>
          <w:rFonts w:cs="Arial"/>
          <w:sz w:val="20"/>
          <w:szCs w:val="20"/>
          <w:lang w:bidi="ar-SA"/>
        </w:rPr>
        <w:t>Der Zornesbecher</w:t>
      </w:r>
      <w:r w:rsidR="00D87F6F">
        <w:rPr>
          <w:rFonts w:cs="Arial"/>
          <w:sz w:val="20"/>
          <w:szCs w:val="20"/>
          <w:lang w:bidi="ar-SA"/>
        </w:rPr>
        <w:t>’</w:t>
      </w:r>
      <w:r w:rsidRPr="002A20D8">
        <w:rPr>
          <w:rFonts w:cs="Arial"/>
          <w:sz w:val="20"/>
          <w:szCs w:val="20"/>
          <w:lang w:bidi="ar-SA"/>
        </w:rPr>
        <w:t xml:space="preserve">, in: </w:t>
      </w:r>
      <w:r w:rsidRPr="002A20D8">
        <w:rPr>
          <w:rFonts w:cs="Arial"/>
          <w:i/>
          <w:iCs/>
          <w:sz w:val="20"/>
          <w:szCs w:val="20"/>
          <w:lang w:bidi="ar-SA"/>
        </w:rPr>
        <w:t>The Priestly Code and Seven Other Studies</w:t>
      </w:r>
      <w:r w:rsidRPr="002A20D8">
        <w:rPr>
          <w:rFonts w:cs="Arial"/>
          <w:sz w:val="20"/>
          <w:szCs w:val="20"/>
          <w:lang w:bidi="ar-SA"/>
        </w:rPr>
        <w:t xml:space="preserve"> (OTS, 15) Leiden 1969, pp. 177-192</w:t>
      </w:r>
    </w:p>
  </w:footnote>
  <w:footnote w:id="18">
    <w:p w:rsidR="0012596E" w:rsidRPr="00793855" w:rsidRDefault="0012596E" w:rsidP="0012596E">
      <w:pPr>
        <w:pStyle w:val="FootnoteText"/>
        <w:spacing w:line="360" w:lineRule="auto"/>
        <w:jc w:val="both"/>
        <w:rPr>
          <w:rFonts w:cs="Arial"/>
          <w:rtl/>
          <w:lang w:bidi="ar-SA"/>
        </w:rPr>
      </w:pPr>
      <w:r>
        <w:rPr>
          <w:rStyle w:val="FootnoteReference"/>
        </w:rPr>
        <w:footnoteRef/>
      </w:r>
      <w:r>
        <w:rPr>
          <w:rtl/>
        </w:rPr>
        <w:t xml:space="preserve"> </w:t>
      </w:r>
      <w:r w:rsidRPr="00624C14">
        <w:rPr>
          <w:rFonts w:cs="David"/>
        </w:rPr>
        <w:t>D.</w:t>
      </w:r>
      <w:r>
        <w:rPr>
          <w:rFonts w:cs="David"/>
          <w:lang w:val="en-US"/>
        </w:rPr>
        <w:t xml:space="preserve"> </w:t>
      </w:r>
      <w:r w:rsidRPr="00624C14">
        <w:rPr>
          <w:rFonts w:cs="David"/>
        </w:rPr>
        <w:t xml:space="preserve">R. Hillers, </w:t>
      </w:r>
      <w:r w:rsidRPr="00624C14">
        <w:rPr>
          <w:rFonts w:cs="David"/>
          <w:i/>
          <w:iCs/>
        </w:rPr>
        <w:t>Lamentations</w:t>
      </w:r>
      <w:r w:rsidRPr="00624C14">
        <w:rPr>
          <w:rFonts w:cs="Arial"/>
          <w:lang w:bidi="ar-SA"/>
        </w:rPr>
        <w:t xml:space="preserve"> (AB), </w:t>
      </w:r>
      <w:r w:rsidRPr="00624C14">
        <w:rPr>
          <w:rFonts w:cs="David"/>
        </w:rPr>
        <w:t>Garden City, New York</w:t>
      </w:r>
      <w:r w:rsidRPr="00624C14">
        <w:rPr>
          <w:rFonts w:cs="Arial"/>
          <w:lang w:bidi="ar-SA"/>
        </w:rPr>
        <w:t xml:space="preserve"> 1972</w:t>
      </w:r>
      <w:r>
        <w:rPr>
          <w:rFonts w:cs="Arial"/>
          <w:lang w:val="en-US" w:bidi="ar-SA"/>
        </w:rPr>
        <w:t xml:space="preserve">, p. 93; T. Frymer-Kensky, </w:t>
      </w:r>
      <w:r w:rsidRPr="00A36052">
        <w:rPr>
          <w:rFonts w:cs="Arial"/>
          <w:i/>
          <w:iCs/>
          <w:lang w:val="en-US" w:bidi="ar-SA"/>
        </w:rPr>
        <w:t>In the Wake of Goddesses: Women, Culture and Biblical Transformation of Pagan Myth,</w:t>
      </w:r>
      <w:r>
        <w:rPr>
          <w:rFonts w:cs="Arial"/>
          <w:lang w:val="en-US" w:bidi="ar-SA"/>
        </w:rPr>
        <w:t xml:space="preserve"> New York 1992, pp. 148-149; A. Berlin, Lamentation (OTL), 2002, p.114</w:t>
      </w:r>
    </w:p>
  </w:footnote>
  <w:footnote w:id="19">
    <w:p w:rsidR="00D021EA" w:rsidRPr="00CB70B1" w:rsidRDefault="00D021EA" w:rsidP="00D021EA">
      <w:pPr>
        <w:spacing w:line="360" w:lineRule="auto"/>
        <w:jc w:val="both"/>
        <w:rPr>
          <w:rFonts w:cs="Arial"/>
          <w:noProof/>
          <w:lang w:eastAsia="he-IL" w:bidi="ar-SA"/>
        </w:rPr>
      </w:pPr>
      <w:r w:rsidRPr="00624C14">
        <w:rPr>
          <w:rStyle w:val="FootnoteReference"/>
          <w:sz w:val="20"/>
          <w:szCs w:val="20"/>
        </w:rPr>
        <w:footnoteRef/>
      </w:r>
      <w:r w:rsidRPr="00624C14">
        <w:rPr>
          <w:rFonts w:hint="cs"/>
          <w:sz w:val="20"/>
          <w:szCs w:val="20"/>
          <w:rtl/>
        </w:rPr>
        <w:t xml:space="preserve"> </w:t>
      </w:r>
      <w:r>
        <w:rPr>
          <w:rFonts w:cs="David" w:hint="cs"/>
          <w:sz w:val="20"/>
          <w:szCs w:val="20"/>
          <w:rtl/>
        </w:rPr>
        <w:t xml:space="preserve">ראו למשל: </w:t>
      </w:r>
      <w:r w:rsidRPr="00CB70B1">
        <w:rPr>
          <w:rFonts w:cs="Arial"/>
          <w:sz w:val="20"/>
          <w:szCs w:val="20"/>
          <w:lang w:bidi="ar-SA"/>
        </w:rPr>
        <w:t>J.L. McKenzie, Second Isaiah (AB), 1964, p. 123-124</w:t>
      </w:r>
    </w:p>
  </w:footnote>
  <w:footnote w:id="20">
    <w:p w:rsidR="00FC5009" w:rsidRPr="00EA4A2B" w:rsidRDefault="00FC5009" w:rsidP="00FC5009">
      <w:pPr>
        <w:spacing w:line="360" w:lineRule="auto"/>
        <w:jc w:val="both"/>
        <w:rPr>
          <w:rFonts w:cs="David"/>
          <w:noProof/>
          <w:lang w:eastAsia="he-IL"/>
        </w:rPr>
      </w:pPr>
      <w:r w:rsidRPr="00624C14">
        <w:rPr>
          <w:rStyle w:val="FootnoteReference"/>
          <w:sz w:val="20"/>
          <w:szCs w:val="20"/>
        </w:rPr>
        <w:footnoteRef/>
      </w:r>
      <w:r w:rsidRPr="00624C14">
        <w:rPr>
          <w:rFonts w:hint="cs"/>
          <w:sz w:val="20"/>
          <w:szCs w:val="20"/>
          <w:rtl/>
        </w:rPr>
        <w:t xml:space="preserve"> </w:t>
      </w:r>
      <w:r w:rsidRPr="002C3F07">
        <w:rPr>
          <w:rFonts w:cs="David"/>
          <w:sz w:val="20"/>
          <w:szCs w:val="20"/>
        </w:rPr>
        <w:t xml:space="preserve">U. Cassuto, </w:t>
      </w:r>
      <w:r w:rsidRPr="002A50A1">
        <w:rPr>
          <w:rFonts w:cs="David"/>
          <w:i/>
          <w:iCs/>
          <w:sz w:val="20"/>
          <w:szCs w:val="20"/>
        </w:rPr>
        <w:t>Biblical and Oriental Studies (Vol. 2),</w:t>
      </w:r>
      <w:r w:rsidRPr="002C3F07">
        <w:rPr>
          <w:rFonts w:cs="David"/>
          <w:sz w:val="20"/>
          <w:szCs w:val="20"/>
        </w:rPr>
        <w:t xml:space="preserve"> 1975, p. 131</w:t>
      </w:r>
      <w:r>
        <w:rPr>
          <w:rFonts w:cs="David" w:hint="cs"/>
          <w:sz w:val="20"/>
          <w:szCs w:val="20"/>
          <w:rtl/>
        </w:rPr>
        <w:t>. קאסוטו מתייחס בעיקר לדימוי כוס הגורל, שהוא מוצא לו רמזים בכתבי אוגרית, אבל הוא מניח שזהו גם מקורו של דימוי כוס התרעלה (בהערה 70).</w:t>
      </w:r>
    </w:p>
  </w:footnote>
  <w:footnote w:id="21">
    <w:p w:rsidR="002C3F07" w:rsidRPr="00EA4A2B" w:rsidRDefault="002C3F07" w:rsidP="00220304">
      <w:pPr>
        <w:spacing w:line="360" w:lineRule="auto"/>
        <w:jc w:val="both"/>
        <w:rPr>
          <w:rFonts w:cs="David"/>
          <w:noProof/>
          <w:lang w:eastAsia="he-IL"/>
        </w:rPr>
      </w:pPr>
      <w:r w:rsidRPr="00624C14">
        <w:rPr>
          <w:rStyle w:val="FootnoteReference"/>
          <w:sz w:val="20"/>
          <w:szCs w:val="20"/>
        </w:rPr>
        <w:footnoteRef/>
      </w:r>
      <w:r w:rsidRPr="00624C14">
        <w:rPr>
          <w:rFonts w:hint="cs"/>
          <w:sz w:val="20"/>
          <w:szCs w:val="20"/>
          <w:rtl/>
        </w:rPr>
        <w:t xml:space="preserve"> </w:t>
      </w:r>
      <w:r w:rsidRPr="002C3F07">
        <w:rPr>
          <w:rFonts w:cs="David"/>
          <w:sz w:val="20"/>
          <w:szCs w:val="20"/>
        </w:rPr>
        <w:t xml:space="preserve">McKane, </w:t>
      </w:r>
      <w:r w:rsidR="00D87F6F">
        <w:rPr>
          <w:rFonts w:cs="David"/>
          <w:sz w:val="20"/>
          <w:szCs w:val="20"/>
        </w:rPr>
        <w:t>‘</w:t>
      </w:r>
      <w:r w:rsidRPr="002C3F07">
        <w:rPr>
          <w:rFonts w:cs="David"/>
          <w:sz w:val="20"/>
          <w:szCs w:val="20"/>
        </w:rPr>
        <w:t>Poison, Trial by Ordeal and the Cup of Wrath</w:t>
      </w:r>
      <w:r w:rsidR="00D87F6F">
        <w:rPr>
          <w:rFonts w:cs="David"/>
          <w:sz w:val="20"/>
          <w:szCs w:val="20"/>
        </w:rPr>
        <w:t>’</w:t>
      </w:r>
      <w:r w:rsidRPr="002C3F07">
        <w:rPr>
          <w:rFonts w:cs="David"/>
          <w:sz w:val="20"/>
          <w:szCs w:val="20"/>
        </w:rPr>
        <w:t xml:space="preserve">, </w:t>
      </w:r>
      <w:r w:rsidRPr="002A50A1">
        <w:rPr>
          <w:rFonts w:cs="David"/>
          <w:i/>
          <w:iCs/>
          <w:sz w:val="20"/>
          <w:szCs w:val="20"/>
        </w:rPr>
        <w:t>VT</w:t>
      </w:r>
      <w:r w:rsidRPr="002C3F07">
        <w:rPr>
          <w:rFonts w:cs="David"/>
          <w:sz w:val="20"/>
          <w:szCs w:val="20"/>
        </w:rPr>
        <w:t xml:space="preserve"> 30 (1980), pp. 474-492</w:t>
      </w:r>
      <w:r w:rsidR="003E6AC6">
        <w:rPr>
          <w:rFonts w:cs="David"/>
          <w:sz w:val="20"/>
          <w:szCs w:val="20"/>
        </w:rPr>
        <w:t xml:space="preserve">; </w:t>
      </w:r>
      <w:r w:rsidR="00220304">
        <w:rPr>
          <w:rFonts w:cs="David"/>
          <w:sz w:val="20"/>
          <w:szCs w:val="20"/>
        </w:rPr>
        <w:t xml:space="preserve">idem. </w:t>
      </w:r>
      <w:r w:rsidR="00220304" w:rsidRPr="00220304">
        <w:rPr>
          <w:rFonts w:cs="David"/>
          <w:i/>
          <w:iCs/>
          <w:sz w:val="20"/>
          <w:szCs w:val="20"/>
        </w:rPr>
        <w:t>Jeremiah</w:t>
      </w:r>
      <w:r w:rsidR="00220304">
        <w:rPr>
          <w:rFonts w:cs="David"/>
          <w:sz w:val="20"/>
          <w:szCs w:val="20"/>
        </w:rPr>
        <w:t xml:space="preserve"> Vok. 1 (ICC 1986), p. 191</w:t>
      </w:r>
      <w:r w:rsidR="00220304" w:rsidRPr="0033788B">
        <w:rPr>
          <w:rFonts w:cs="Arial" w:hint="cs"/>
          <w:sz w:val="20"/>
          <w:szCs w:val="20"/>
          <w:rtl/>
        </w:rPr>
        <w:t>.</w:t>
      </w:r>
      <w:r>
        <w:rPr>
          <w:rFonts w:cs="David" w:hint="cs"/>
          <w:sz w:val="20"/>
          <w:szCs w:val="20"/>
          <w:rtl/>
        </w:rPr>
        <w:t xml:space="preserve"> </w:t>
      </w:r>
      <w:r w:rsidRPr="002C3F07">
        <w:rPr>
          <w:rFonts w:cs="David" w:hint="cs"/>
          <w:sz w:val="20"/>
          <w:szCs w:val="20"/>
          <w:rtl/>
        </w:rPr>
        <w:t>גרינברג</w:t>
      </w:r>
      <w:r w:rsidR="00321E34">
        <w:rPr>
          <w:rFonts w:cs="David" w:hint="cs"/>
          <w:sz w:val="20"/>
          <w:szCs w:val="20"/>
          <w:rtl/>
        </w:rPr>
        <w:t>, יחזקאל</w:t>
      </w:r>
      <w:r w:rsidRPr="002C3F07">
        <w:rPr>
          <w:rFonts w:cs="David" w:hint="cs"/>
          <w:sz w:val="20"/>
          <w:szCs w:val="20"/>
          <w:rtl/>
        </w:rPr>
        <w:t xml:space="preserve"> (</w:t>
      </w:r>
      <w:r w:rsidRPr="002C3F07">
        <w:rPr>
          <w:rFonts w:cs="David"/>
          <w:sz w:val="20"/>
          <w:szCs w:val="20"/>
        </w:rPr>
        <w:t xml:space="preserve">AB </w:t>
      </w:r>
      <w:r w:rsidRPr="002C3F07">
        <w:rPr>
          <w:rFonts w:cs="David" w:hint="cs"/>
          <w:sz w:val="20"/>
          <w:szCs w:val="20"/>
          <w:rtl/>
        </w:rPr>
        <w:t>1997), עמ</w:t>
      </w:r>
      <w:r w:rsidR="00D87F6F">
        <w:rPr>
          <w:rFonts w:cs="David"/>
          <w:sz w:val="20"/>
          <w:szCs w:val="20"/>
          <w:rtl/>
        </w:rPr>
        <w:t>’</w:t>
      </w:r>
      <w:r w:rsidRPr="002C3F07">
        <w:rPr>
          <w:rFonts w:cs="David" w:hint="cs"/>
          <w:sz w:val="20"/>
          <w:szCs w:val="20"/>
          <w:rtl/>
        </w:rPr>
        <w:t xml:space="preserve"> 492</w:t>
      </w:r>
      <w:r w:rsidRPr="002C3F07">
        <w:rPr>
          <w:rFonts w:cs="David" w:hint="cs"/>
          <w:sz w:val="20"/>
          <w:szCs w:val="20"/>
          <w:rtl/>
        </w:rPr>
        <w:softHyphen/>
        <w:t>-493</w:t>
      </w:r>
      <w:r>
        <w:rPr>
          <w:rFonts w:cs="David" w:hint="cs"/>
          <w:sz w:val="20"/>
          <w:szCs w:val="20"/>
          <w:rtl/>
        </w:rPr>
        <w:t xml:space="preserve"> </w:t>
      </w:r>
      <w:r w:rsidRPr="002C3F07">
        <w:rPr>
          <w:rFonts w:cs="David" w:hint="cs"/>
          <w:sz w:val="20"/>
          <w:szCs w:val="20"/>
          <w:rtl/>
        </w:rPr>
        <w:t xml:space="preserve">מסתפק בין שתי </w:t>
      </w:r>
      <w:r w:rsidR="00FC5009">
        <w:rPr>
          <w:rFonts w:cs="David" w:hint="cs"/>
          <w:sz w:val="20"/>
          <w:szCs w:val="20"/>
          <w:rtl/>
        </w:rPr>
        <w:t>הגישות</w:t>
      </w:r>
      <w:r w:rsidRPr="002C3F07">
        <w:rPr>
          <w:rFonts w:cs="David" w:hint="cs"/>
          <w:sz w:val="20"/>
          <w:szCs w:val="20"/>
          <w:rtl/>
        </w:rPr>
        <w:t xml:space="preserve"> ומכריע כדעתו של קאסוט</w:t>
      </w:r>
      <w:r>
        <w:rPr>
          <w:rFonts w:cs="David" w:hint="cs"/>
          <w:sz w:val="20"/>
          <w:szCs w:val="20"/>
          <w:rtl/>
        </w:rPr>
        <w:t>ו.</w:t>
      </w:r>
    </w:p>
  </w:footnote>
  <w:footnote w:id="22">
    <w:p w:rsidR="002C012D" w:rsidRPr="0079248E" w:rsidRDefault="002C012D" w:rsidP="0079248E">
      <w:pPr>
        <w:spacing w:line="360" w:lineRule="auto"/>
        <w:jc w:val="both"/>
        <w:rPr>
          <w:rFonts w:cs="David"/>
          <w:sz w:val="20"/>
          <w:szCs w:val="20"/>
        </w:rPr>
      </w:pPr>
      <w:r w:rsidRPr="00624C14">
        <w:rPr>
          <w:rStyle w:val="FootnoteReference"/>
          <w:sz w:val="20"/>
          <w:szCs w:val="20"/>
        </w:rPr>
        <w:footnoteRef/>
      </w:r>
      <w:r w:rsidRPr="00624C14">
        <w:rPr>
          <w:rFonts w:hint="cs"/>
          <w:sz w:val="20"/>
          <w:szCs w:val="20"/>
          <w:rtl/>
        </w:rPr>
        <w:t xml:space="preserve"> </w:t>
      </w:r>
      <w:r w:rsidR="00941321">
        <w:rPr>
          <w:rFonts w:cs="David" w:hint="cs"/>
          <w:sz w:val="20"/>
          <w:szCs w:val="20"/>
          <w:rtl/>
        </w:rPr>
        <w:t>על מאפיין זה עמד נורת</w:t>
      </w:r>
      <w:r w:rsidR="00D87F6F">
        <w:rPr>
          <w:rFonts w:cs="David"/>
          <w:sz w:val="20"/>
          <w:szCs w:val="20"/>
          <w:rtl/>
        </w:rPr>
        <w:t>’</w:t>
      </w:r>
      <w:r w:rsidR="007B7FFA">
        <w:rPr>
          <w:rFonts w:cs="David" w:hint="cs"/>
          <w:sz w:val="20"/>
          <w:szCs w:val="20"/>
          <w:rtl/>
        </w:rPr>
        <w:t>, ראו</w:t>
      </w:r>
      <w:r w:rsidR="00941321">
        <w:rPr>
          <w:rFonts w:cs="David" w:hint="cs"/>
          <w:sz w:val="20"/>
          <w:szCs w:val="20"/>
          <w:rtl/>
        </w:rPr>
        <w:t xml:space="preserve">: </w:t>
      </w:r>
      <w:r w:rsidRPr="002C012D">
        <w:rPr>
          <w:rFonts w:cs="Arial"/>
          <w:sz w:val="20"/>
          <w:szCs w:val="20"/>
          <w:lang w:bidi="ar-SA"/>
        </w:rPr>
        <w:t xml:space="preserve">C. North, </w:t>
      </w:r>
      <w:r w:rsidRPr="002C012D">
        <w:rPr>
          <w:rFonts w:cs="Arial"/>
          <w:i/>
          <w:iCs/>
          <w:sz w:val="20"/>
          <w:szCs w:val="20"/>
          <w:lang w:bidi="ar-SA"/>
        </w:rPr>
        <w:t>The Second Isaiah,</w:t>
      </w:r>
      <w:r w:rsidRPr="002C012D">
        <w:rPr>
          <w:rFonts w:cs="Arial"/>
          <w:sz w:val="20"/>
          <w:szCs w:val="20"/>
          <w:lang w:bidi="ar-SA"/>
        </w:rPr>
        <w:t xml:space="preserve"> Oxford 1964, p. 216</w:t>
      </w:r>
      <w:r w:rsidR="0082189F">
        <w:rPr>
          <w:rFonts w:cs="David" w:hint="cs"/>
          <w:sz w:val="20"/>
          <w:szCs w:val="20"/>
          <w:rtl/>
        </w:rPr>
        <w:t>. סיטואציית משתה מובהקת ללא משפט מופיעה בישעיה כה, ו-ח.</w:t>
      </w:r>
    </w:p>
  </w:footnote>
  <w:footnote w:id="23">
    <w:p w:rsidR="0079248E" w:rsidRPr="00F52EB3" w:rsidRDefault="0079248E" w:rsidP="0032563A">
      <w:pPr>
        <w:spacing w:line="360" w:lineRule="auto"/>
        <w:jc w:val="both"/>
        <w:rPr>
          <w:rFonts w:ascii="David" w:hAnsi="David" w:cs="David"/>
          <w:noProof/>
          <w:sz w:val="20"/>
          <w:szCs w:val="20"/>
          <w:rtl/>
          <w:lang w:eastAsia="he-IL"/>
        </w:rPr>
      </w:pPr>
      <w:r w:rsidRPr="00624C14">
        <w:rPr>
          <w:rStyle w:val="FootnoteReference"/>
          <w:sz w:val="20"/>
          <w:szCs w:val="20"/>
        </w:rPr>
        <w:footnoteRef/>
      </w:r>
      <w:r w:rsidRPr="00624C14">
        <w:rPr>
          <w:rFonts w:hint="cs"/>
          <w:sz w:val="20"/>
          <w:szCs w:val="20"/>
          <w:rtl/>
        </w:rPr>
        <w:t xml:space="preserve"> </w:t>
      </w:r>
      <w:r w:rsidRPr="005C79FE">
        <w:rPr>
          <w:rFonts w:cs="Arial"/>
          <w:sz w:val="20"/>
          <w:szCs w:val="20"/>
          <w:lang w:bidi="ar-SA"/>
        </w:rPr>
        <w:t xml:space="preserve">L.C. Allen, </w:t>
      </w:r>
      <w:r w:rsidRPr="00B7785B">
        <w:rPr>
          <w:rFonts w:cs="Arial"/>
          <w:i/>
          <w:iCs/>
          <w:sz w:val="20"/>
          <w:szCs w:val="20"/>
          <w:lang w:bidi="ar-SA"/>
        </w:rPr>
        <w:t>Jeremiah</w:t>
      </w:r>
      <w:r w:rsidRPr="005C79FE">
        <w:rPr>
          <w:rFonts w:cs="Arial"/>
          <w:sz w:val="20"/>
          <w:szCs w:val="20"/>
          <w:lang w:bidi="ar-SA"/>
        </w:rPr>
        <w:t xml:space="preserve"> (OTL), Louisville, Kentucky 2008, p. 163</w:t>
      </w:r>
      <w:r w:rsidR="00F52EB3">
        <w:rPr>
          <w:rFonts w:ascii="David" w:hAnsi="David" w:cs="David" w:hint="cs"/>
          <w:noProof/>
          <w:sz w:val="20"/>
          <w:szCs w:val="20"/>
          <w:rtl/>
          <w:lang w:eastAsia="he-IL"/>
        </w:rPr>
        <w:t xml:space="preserve">. </w:t>
      </w:r>
    </w:p>
  </w:footnote>
  <w:footnote w:id="24">
    <w:p w:rsidR="009A4471" w:rsidRPr="0020050B" w:rsidRDefault="009A4471" w:rsidP="00632B38">
      <w:pPr>
        <w:spacing w:line="360" w:lineRule="auto"/>
        <w:jc w:val="both"/>
        <w:rPr>
          <w:rFonts w:ascii="David" w:hAnsi="David" w:cs="David"/>
          <w:noProof/>
          <w:sz w:val="20"/>
          <w:szCs w:val="20"/>
          <w:lang w:eastAsia="he-IL"/>
        </w:rPr>
      </w:pPr>
      <w:r w:rsidRPr="00FC5D49">
        <w:rPr>
          <w:rStyle w:val="FootnoteReference"/>
          <w:sz w:val="20"/>
          <w:szCs w:val="20"/>
        </w:rPr>
        <w:footnoteRef/>
      </w:r>
      <w:r>
        <w:rPr>
          <w:rFonts w:cs="David" w:hint="cs"/>
          <w:sz w:val="20"/>
          <w:szCs w:val="20"/>
          <w:rtl/>
        </w:rPr>
        <w:t xml:space="preserve"> </w:t>
      </w:r>
      <w:r w:rsidRPr="00CC7EA0">
        <w:rPr>
          <w:rFonts w:cs="David" w:hint="cs"/>
          <w:noProof/>
          <w:sz w:val="20"/>
          <w:szCs w:val="20"/>
          <w:rtl/>
          <w:lang w:eastAsia="he-IL"/>
        </w:rPr>
        <w:t xml:space="preserve">על מטאפורת הזוגיות </w:t>
      </w:r>
      <w:r>
        <w:rPr>
          <w:rFonts w:cs="David" w:hint="cs"/>
          <w:noProof/>
          <w:sz w:val="20"/>
          <w:szCs w:val="20"/>
          <w:rtl/>
          <w:lang w:eastAsia="he-IL"/>
        </w:rPr>
        <w:t>כתבו רבים, ראו למשל</w:t>
      </w:r>
      <w:r w:rsidRPr="00CC7EA0">
        <w:rPr>
          <w:rFonts w:cs="David" w:hint="cs"/>
          <w:noProof/>
          <w:sz w:val="20"/>
          <w:szCs w:val="20"/>
          <w:rtl/>
          <w:lang w:eastAsia="he-IL"/>
        </w:rPr>
        <w:t xml:space="preserve">: </w:t>
      </w:r>
      <w:r w:rsidRPr="00CC7EA0">
        <w:rPr>
          <w:rFonts w:cs="Arial"/>
          <w:noProof/>
          <w:sz w:val="20"/>
          <w:szCs w:val="20"/>
          <w:lang w:eastAsia="he-IL" w:bidi="ar-SA"/>
        </w:rPr>
        <w:t xml:space="preserve">J. Galambush, </w:t>
      </w:r>
      <w:r w:rsidRPr="00B7785B">
        <w:rPr>
          <w:rFonts w:cs="Arial"/>
          <w:i/>
          <w:iCs/>
          <w:noProof/>
          <w:sz w:val="20"/>
          <w:szCs w:val="20"/>
          <w:lang w:eastAsia="he-IL" w:bidi="ar-SA"/>
        </w:rPr>
        <w:t>Jerusalem in the Book of Ezekiel: The City as Yahweh</w:t>
      </w:r>
      <w:r w:rsidR="00D87F6F">
        <w:rPr>
          <w:rFonts w:cs="Arial"/>
          <w:i/>
          <w:iCs/>
          <w:noProof/>
          <w:sz w:val="20"/>
          <w:szCs w:val="20"/>
          <w:lang w:eastAsia="he-IL" w:bidi="ar-SA"/>
        </w:rPr>
        <w:t>’</w:t>
      </w:r>
      <w:r w:rsidRPr="00B7785B">
        <w:rPr>
          <w:rFonts w:cs="Arial"/>
          <w:i/>
          <w:iCs/>
          <w:noProof/>
          <w:sz w:val="20"/>
          <w:szCs w:val="20"/>
          <w:lang w:eastAsia="he-IL" w:bidi="ar-SA"/>
        </w:rPr>
        <w:t>s Wife</w:t>
      </w:r>
      <w:r w:rsidRPr="00CC7EA0">
        <w:rPr>
          <w:rFonts w:cs="Arial"/>
          <w:noProof/>
          <w:sz w:val="20"/>
          <w:szCs w:val="20"/>
          <w:lang w:eastAsia="he-IL" w:bidi="ar-SA"/>
        </w:rPr>
        <w:t xml:space="preserve"> (SBL Dissertation Series 130), Atlanta, Georgia 1992</w:t>
      </w:r>
      <w:r>
        <w:rPr>
          <w:rFonts w:cs="Arial"/>
          <w:noProof/>
          <w:sz w:val="20"/>
          <w:szCs w:val="20"/>
          <w:lang w:eastAsia="he-IL" w:bidi="ar-SA"/>
        </w:rPr>
        <w:t xml:space="preserve">; </w:t>
      </w:r>
      <w:r w:rsidR="00540D31">
        <w:rPr>
          <w:rFonts w:cs="Arial"/>
          <w:noProof/>
          <w:sz w:val="20"/>
          <w:szCs w:val="20"/>
          <w:lang w:eastAsia="he-IL" w:bidi="ar-SA"/>
        </w:rPr>
        <w:t xml:space="preserve">N. Stienstra, </w:t>
      </w:r>
      <w:r w:rsidR="00540D31" w:rsidRPr="00F62625">
        <w:rPr>
          <w:rFonts w:cs="Arial"/>
          <w:i/>
          <w:iCs/>
          <w:noProof/>
          <w:sz w:val="20"/>
          <w:szCs w:val="20"/>
          <w:lang w:eastAsia="he-IL" w:bidi="ar-SA"/>
        </w:rPr>
        <w:t>YHWH is the Husband of His People: Analysis of a Biblical Metaphor with Special Reference to Translation,</w:t>
      </w:r>
      <w:r w:rsidR="00540D31">
        <w:rPr>
          <w:rFonts w:cs="Arial"/>
          <w:noProof/>
          <w:sz w:val="20"/>
          <w:szCs w:val="20"/>
          <w:lang w:eastAsia="he-IL" w:bidi="ar-SA"/>
        </w:rPr>
        <w:t xml:space="preserve"> </w:t>
      </w:r>
      <w:r w:rsidR="00540D31">
        <w:rPr>
          <w:rFonts w:cs="Arial"/>
          <w:noProof/>
          <w:sz w:val="20"/>
          <w:szCs w:val="20"/>
          <w:lang w:eastAsia="he-IL"/>
        </w:rPr>
        <w:t xml:space="preserve">Kampen </w:t>
      </w:r>
      <w:r w:rsidR="00540D31">
        <w:rPr>
          <w:rFonts w:cs="Arial"/>
          <w:noProof/>
          <w:sz w:val="20"/>
          <w:szCs w:val="20"/>
          <w:lang w:eastAsia="he-IL" w:bidi="ar-SA"/>
        </w:rPr>
        <w:t>1993</w:t>
      </w:r>
      <w:r w:rsidR="00540D31" w:rsidRPr="00F62625">
        <w:rPr>
          <w:rFonts w:cs="Arial"/>
          <w:noProof/>
          <w:sz w:val="20"/>
          <w:szCs w:val="20"/>
          <w:lang w:eastAsia="he-IL" w:bidi="ar-SA"/>
        </w:rPr>
        <w:t>;</w:t>
      </w:r>
      <w:r w:rsidR="00F62625" w:rsidRPr="00F62625">
        <w:rPr>
          <w:rFonts w:cs="Arial"/>
          <w:noProof/>
          <w:sz w:val="20"/>
          <w:szCs w:val="20"/>
          <w:lang w:eastAsia="he-IL" w:bidi="ar-SA"/>
        </w:rPr>
        <w:t xml:space="preserve"> R</w:t>
      </w:r>
      <w:r w:rsidR="00F62625" w:rsidRPr="00F62625">
        <w:rPr>
          <w:noProof/>
          <w:sz w:val="20"/>
          <w:szCs w:val="20"/>
          <w:lang w:eastAsia="he-IL" w:bidi="ar-SA"/>
        </w:rPr>
        <w:t xml:space="preserve">. </w:t>
      </w:r>
      <w:r w:rsidR="00F62625" w:rsidRPr="00F62625">
        <w:rPr>
          <w:rFonts w:cs="Arial"/>
          <w:noProof/>
          <w:sz w:val="20"/>
          <w:szCs w:val="20"/>
          <w:lang w:eastAsia="he-IL" w:bidi="ar-SA"/>
        </w:rPr>
        <w:t>Abma</w:t>
      </w:r>
      <w:r w:rsidR="00F62625" w:rsidRPr="00F62625">
        <w:rPr>
          <w:noProof/>
          <w:sz w:val="20"/>
          <w:szCs w:val="20"/>
          <w:lang w:eastAsia="he-IL" w:bidi="ar-SA"/>
        </w:rPr>
        <w:t xml:space="preserve">, </w:t>
      </w:r>
      <w:r w:rsidR="00F62625" w:rsidRPr="00F62625">
        <w:rPr>
          <w:rFonts w:cs="Arial"/>
          <w:i/>
          <w:iCs/>
          <w:noProof/>
          <w:sz w:val="20"/>
          <w:szCs w:val="20"/>
          <w:lang w:eastAsia="he-IL" w:bidi="ar-SA"/>
        </w:rPr>
        <w:t>Bonds</w:t>
      </w:r>
      <w:r w:rsidR="00F62625" w:rsidRPr="00F62625">
        <w:rPr>
          <w:i/>
          <w:iCs/>
          <w:noProof/>
          <w:sz w:val="20"/>
          <w:szCs w:val="20"/>
          <w:lang w:eastAsia="he-IL" w:bidi="ar-SA"/>
        </w:rPr>
        <w:t xml:space="preserve"> of Love: Methodic Studies of Prophetic Texts with Marriage Imagery (Isaiah 50:1-3 and 54:1-10, Hosea 1-3, Jeremiah 2-3)</w:t>
      </w:r>
      <w:r w:rsidR="00F62625" w:rsidRPr="00F62625">
        <w:rPr>
          <w:noProof/>
          <w:sz w:val="20"/>
          <w:szCs w:val="20"/>
          <w:lang w:eastAsia="he-IL" w:bidi="ar-SA"/>
        </w:rPr>
        <w:t xml:space="preserve"> (Studia Semitica Neerlandica),</w:t>
      </w:r>
      <w:r w:rsidR="00F62625">
        <w:rPr>
          <w:noProof/>
          <w:sz w:val="20"/>
          <w:szCs w:val="20"/>
          <w:lang w:eastAsia="he-IL" w:bidi="ar-SA"/>
        </w:rPr>
        <w:t xml:space="preserve"> Assen</w:t>
      </w:r>
      <w:r w:rsidR="00F62625" w:rsidRPr="00F62625">
        <w:rPr>
          <w:noProof/>
          <w:sz w:val="20"/>
          <w:szCs w:val="20"/>
          <w:lang w:eastAsia="he-IL" w:bidi="ar-SA"/>
        </w:rPr>
        <w:t xml:space="preserve"> 1999</w:t>
      </w:r>
      <w:r w:rsidR="00F62625">
        <w:rPr>
          <w:rFonts w:ascii="David" w:hAnsi="David" w:cs="David" w:hint="cs"/>
          <w:noProof/>
          <w:sz w:val="20"/>
          <w:szCs w:val="20"/>
          <w:rtl/>
          <w:lang w:eastAsia="he-IL"/>
        </w:rPr>
        <w:t xml:space="preserve">. </w:t>
      </w:r>
      <w:r w:rsidR="004315DE">
        <w:rPr>
          <w:rFonts w:ascii="David" w:hAnsi="David" w:cs="David" w:hint="cs"/>
          <w:noProof/>
          <w:sz w:val="20"/>
          <w:szCs w:val="20"/>
          <w:rtl/>
          <w:lang w:eastAsia="he-IL"/>
        </w:rPr>
        <w:t xml:space="preserve">מלול </w:t>
      </w:r>
      <w:r w:rsidR="00632B38">
        <w:rPr>
          <w:rFonts w:ascii="David" w:hAnsi="David" w:cs="David" w:hint="cs"/>
          <w:noProof/>
          <w:sz w:val="20"/>
          <w:szCs w:val="20"/>
          <w:rtl/>
          <w:lang w:eastAsia="he-IL"/>
        </w:rPr>
        <w:t>טוען</w:t>
      </w:r>
      <w:r w:rsidR="004315DE">
        <w:rPr>
          <w:rFonts w:ascii="David" w:hAnsi="David" w:cs="David" w:hint="cs"/>
          <w:noProof/>
          <w:sz w:val="20"/>
          <w:szCs w:val="20"/>
          <w:rtl/>
          <w:lang w:eastAsia="he-IL"/>
        </w:rPr>
        <w:t xml:space="preserve"> כי מטאפורה זו לא משמשת ברמה הרטורית בלבד אלא היא משקפת את היחסים המשפטיים-תיאולוגיים כפי שהתקיימו ממש בין העם ואלוהיו, ראו: </w:t>
      </w:r>
      <w:r w:rsidR="006D092F">
        <w:rPr>
          <w:rFonts w:ascii="David" w:hAnsi="David" w:cs="David" w:hint="cs"/>
          <w:noProof/>
          <w:sz w:val="20"/>
          <w:szCs w:val="20"/>
          <w:rtl/>
          <w:lang w:eastAsia="he-IL"/>
        </w:rPr>
        <w:t>מ</w:t>
      </w:r>
      <w:r w:rsidR="00D87F6F">
        <w:rPr>
          <w:rFonts w:ascii="David" w:hAnsi="David" w:cs="David"/>
          <w:noProof/>
          <w:sz w:val="20"/>
          <w:szCs w:val="20"/>
          <w:rtl/>
          <w:lang w:eastAsia="he-IL"/>
        </w:rPr>
        <w:t>’</w:t>
      </w:r>
      <w:r w:rsidR="006D092F">
        <w:rPr>
          <w:rFonts w:ascii="David" w:hAnsi="David" w:cs="David" w:hint="cs"/>
          <w:noProof/>
          <w:sz w:val="20"/>
          <w:szCs w:val="20"/>
          <w:rtl/>
          <w:lang w:eastAsia="he-IL"/>
        </w:rPr>
        <w:t xml:space="preserve"> מלול, </w:t>
      </w:r>
      <w:r w:rsidR="00D87F6F">
        <w:rPr>
          <w:rFonts w:ascii="David" w:hAnsi="David" w:cs="David"/>
          <w:noProof/>
          <w:sz w:val="20"/>
          <w:szCs w:val="20"/>
          <w:rtl/>
          <w:lang w:eastAsia="he-IL"/>
        </w:rPr>
        <w:t>“</w:t>
      </w:r>
      <w:r w:rsidR="006D092F">
        <w:rPr>
          <w:rFonts w:ascii="David" w:hAnsi="David" w:cs="David" w:hint="cs"/>
          <w:noProof/>
          <w:sz w:val="20"/>
          <w:szCs w:val="20"/>
          <w:rtl/>
          <w:lang w:eastAsia="he-IL"/>
        </w:rPr>
        <w:t>מה בין פריצת הגדר במשל הכר</w:t>
      </w:r>
      <w:r w:rsidR="004315DE">
        <w:rPr>
          <w:rFonts w:ascii="David" w:hAnsi="David" w:cs="David" w:hint="cs"/>
          <w:noProof/>
          <w:sz w:val="20"/>
          <w:szCs w:val="20"/>
          <w:rtl/>
          <w:lang w:eastAsia="he-IL"/>
        </w:rPr>
        <w:t>ם (ישעיה ה</w:t>
      </w:r>
      <w:r w:rsidR="00D87F6F">
        <w:rPr>
          <w:rFonts w:ascii="David" w:hAnsi="David" w:cs="David"/>
          <w:noProof/>
          <w:sz w:val="20"/>
          <w:szCs w:val="20"/>
          <w:rtl/>
          <w:lang w:eastAsia="he-IL"/>
        </w:rPr>
        <w:t>’</w:t>
      </w:r>
      <w:r w:rsidR="004315DE">
        <w:rPr>
          <w:rFonts w:ascii="David" w:hAnsi="David" w:cs="David" w:hint="cs"/>
          <w:noProof/>
          <w:sz w:val="20"/>
          <w:szCs w:val="20"/>
          <w:rtl/>
          <w:lang w:eastAsia="he-IL"/>
        </w:rPr>
        <w:t>, 1</w:t>
      </w:r>
      <w:r w:rsidR="004315DE">
        <w:rPr>
          <w:rFonts w:ascii="David" w:hAnsi="David" w:cs="David" w:hint="cs"/>
          <w:noProof/>
          <w:sz w:val="20"/>
          <w:szCs w:val="20"/>
          <w:rtl/>
          <w:lang w:eastAsia="he-IL"/>
        </w:rPr>
        <w:softHyphen/>
        <w:t>-7) לבין הפשטת האישה עירומה במקרא?</w:t>
      </w:r>
      <w:r w:rsidR="00D87F6F">
        <w:rPr>
          <w:rFonts w:ascii="David" w:hAnsi="David" w:cs="David"/>
          <w:noProof/>
          <w:sz w:val="20"/>
          <w:szCs w:val="20"/>
          <w:rtl/>
          <w:lang w:eastAsia="he-IL"/>
        </w:rPr>
        <w:t>”</w:t>
      </w:r>
      <w:r w:rsidR="004315DE">
        <w:rPr>
          <w:rFonts w:ascii="David" w:hAnsi="David" w:cs="David" w:hint="cs"/>
          <w:noProof/>
          <w:sz w:val="20"/>
          <w:szCs w:val="20"/>
          <w:rtl/>
          <w:lang w:eastAsia="he-IL"/>
        </w:rPr>
        <w:t>, בית מקרא מז (תשס</w:t>
      </w:r>
      <w:r w:rsidR="00D87F6F">
        <w:rPr>
          <w:rFonts w:ascii="David" w:hAnsi="David" w:cs="David"/>
          <w:noProof/>
          <w:sz w:val="20"/>
          <w:szCs w:val="20"/>
          <w:rtl/>
          <w:lang w:eastAsia="he-IL"/>
        </w:rPr>
        <w:t>”</w:t>
      </w:r>
      <w:r w:rsidR="004315DE">
        <w:rPr>
          <w:rFonts w:ascii="David" w:hAnsi="David" w:cs="David" w:hint="cs"/>
          <w:noProof/>
          <w:sz w:val="20"/>
          <w:szCs w:val="20"/>
          <w:rtl/>
          <w:lang w:eastAsia="he-IL"/>
        </w:rPr>
        <w:t>ב), עמ</w:t>
      </w:r>
      <w:r w:rsidR="00D87F6F">
        <w:rPr>
          <w:rFonts w:ascii="David" w:hAnsi="David" w:cs="David"/>
          <w:noProof/>
          <w:sz w:val="20"/>
          <w:szCs w:val="20"/>
          <w:rtl/>
          <w:lang w:eastAsia="he-IL"/>
        </w:rPr>
        <w:t>’</w:t>
      </w:r>
      <w:r w:rsidR="004315DE">
        <w:rPr>
          <w:rFonts w:ascii="David" w:hAnsi="David" w:cs="David" w:hint="cs"/>
          <w:noProof/>
          <w:sz w:val="20"/>
          <w:szCs w:val="20"/>
          <w:rtl/>
          <w:lang w:eastAsia="he-IL"/>
        </w:rPr>
        <w:t xml:space="preserve"> 12 הערה 4. (עמ</w:t>
      </w:r>
      <w:r w:rsidR="00D87F6F">
        <w:rPr>
          <w:rFonts w:ascii="David" w:hAnsi="David" w:cs="David"/>
          <w:noProof/>
          <w:sz w:val="20"/>
          <w:szCs w:val="20"/>
          <w:rtl/>
          <w:lang w:eastAsia="he-IL"/>
        </w:rPr>
        <w:t>’</w:t>
      </w:r>
      <w:r w:rsidR="004315DE">
        <w:rPr>
          <w:rFonts w:ascii="David" w:hAnsi="David" w:cs="David" w:hint="cs"/>
          <w:noProof/>
          <w:sz w:val="20"/>
          <w:szCs w:val="20"/>
          <w:rtl/>
          <w:lang w:eastAsia="he-IL"/>
        </w:rPr>
        <w:t xml:space="preserve"> המאמר: 11</w:t>
      </w:r>
      <w:r w:rsidR="004315DE">
        <w:rPr>
          <w:rFonts w:ascii="David" w:hAnsi="David" w:cs="David" w:hint="cs"/>
          <w:noProof/>
          <w:sz w:val="20"/>
          <w:szCs w:val="20"/>
          <w:rtl/>
          <w:lang w:eastAsia="he-IL"/>
        </w:rPr>
        <w:softHyphen/>
        <w:t xml:space="preserve">-24). </w:t>
      </w:r>
    </w:p>
  </w:footnote>
  <w:footnote w:id="25">
    <w:p w:rsidR="00BC523E" w:rsidRPr="0020050B" w:rsidRDefault="00BC523E" w:rsidP="00632B38">
      <w:pPr>
        <w:spacing w:line="360" w:lineRule="auto"/>
        <w:jc w:val="both"/>
        <w:rPr>
          <w:rFonts w:ascii="David" w:hAnsi="David" w:cs="David"/>
          <w:noProof/>
          <w:sz w:val="20"/>
          <w:szCs w:val="20"/>
          <w:lang w:eastAsia="he-IL"/>
        </w:rPr>
      </w:pPr>
      <w:r w:rsidRPr="00FC5D49">
        <w:rPr>
          <w:rStyle w:val="FootnoteReference"/>
          <w:sz w:val="20"/>
          <w:szCs w:val="20"/>
        </w:rPr>
        <w:footnoteRef/>
      </w:r>
      <w:r>
        <w:rPr>
          <w:rFonts w:cs="David" w:hint="cs"/>
          <w:sz w:val="20"/>
          <w:szCs w:val="20"/>
          <w:rtl/>
        </w:rPr>
        <w:t xml:space="preserve"> </w:t>
      </w:r>
      <w:r>
        <w:rPr>
          <w:rFonts w:ascii="David" w:hAnsi="David" w:cs="David" w:hint="cs"/>
          <w:noProof/>
          <w:sz w:val="20"/>
          <w:szCs w:val="20"/>
          <w:rtl/>
          <w:lang w:eastAsia="he-IL"/>
        </w:rPr>
        <w:t xml:space="preserve">לדיון </w:t>
      </w:r>
      <w:r w:rsidR="00632B38">
        <w:rPr>
          <w:rFonts w:ascii="David" w:hAnsi="David" w:cs="David" w:hint="cs"/>
          <w:noProof/>
          <w:sz w:val="20"/>
          <w:szCs w:val="20"/>
          <w:rtl/>
          <w:lang w:eastAsia="he-IL"/>
        </w:rPr>
        <w:t>במודל ה</w:t>
      </w:r>
      <w:r w:rsidR="00D87F6F">
        <w:rPr>
          <w:rFonts w:ascii="David" w:hAnsi="David" w:cs="David"/>
          <w:noProof/>
          <w:sz w:val="20"/>
          <w:szCs w:val="20"/>
          <w:rtl/>
          <w:lang w:eastAsia="he-IL"/>
        </w:rPr>
        <w:t>”</w:t>
      </w:r>
      <w:r w:rsidR="00632B38">
        <w:rPr>
          <w:rFonts w:ascii="David" w:hAnsi="David" w:cs="David" w:hint="cs"/>
          <w:noProof/>
          <w:sz w:val="20"/>
          <w:szCs w:val="20"/>
          <w:rtl/>
          <w:lang w:eastAsia="he-IL"/>
        </w:rPr>
        <w:t>ריב</w:t>
      </w:r>
      <w:r w:rsidR="00D87F6F">
        <w:rPr>
          <w:rFonts w:ascii="David" w:hAnsi="David" w:cs="David"/>
          <w:noProof/>
          <w:sz w:val="20"/>
          <w:szCs w:val="20"/>
          <w:rtl/>
          <w:lang w:eastAsia="he-IL"/>
        </w:rPr>
        <w:t>”</w:t>
      </w:r>
      <w:r w:rsidR="00632B38">
        <w:rPr>
          <w:rFonts w:ascii="David" w:hAnsi="David" w:cs="David" w:hint="cs"/>
          <w:noProof/>
          <w:sz w:val="20"/>
          <w:szCs w:val="20"/>
          <w:rtl/>
          <w:lang w:eastAsia="he-IL"/>
        </w:rPr>
        <w:t xml:space="preserve"> ו</w:t>
      </w:r>
      <w:r>
        <w:rPr>
          <w:rFonts w:ascii="David" w:hAnsi="David" w:cs="David" w:hint="cs"/>
          <w:noProof/>
          <w:sz w:val="20"/>
          <w:szCs w:val="20"/>
          <w:rtl/>
          <w:lang w:eastAsia="he-IL"/>
        </w:rPr>
        <w:t xml:space="preserve">ביחסים בין נאומי הריב </w:t>
      </w:r>
      <w:r w:rsidR="00632B38">
        <w:rPr>
          <w:rFonts w:ascii="David" w:hAnsi="David" w:cs="David" w:hint="cs"/>
          <w:noProof/>
          <w:sz w:val="20"/>
          <w:szCs w:val="20"/>
          <w:rtl/>
          <w:lang w:eastAsia="he-IL"/>
        </w:rPr>
        <w:t xml:space="preserve">בנבואות, שבהרבה מהן האל משמש גם כתובע גם כשופט וגם כמבצע, </w:t>
      </w:r>
      <w:r>
        <w:rPr>
          <w:rFonts w:ascii="David" w:hAnsi="David" w:cs="David" w:hint="cs"/>
          <w:noProof/>
          <w:sz w:val="20"/>
          <w:szCs w:val="20"/>
          <w:rtl/>
          <w:lang w:eastAsia="he-IL"/>
        </w:rPr>
        <w:t>ובין פרוצדורת הריב המשפטי</w:t>
      </w:r>
      <w:r w:rsidR="00632B38">
        <w:rPr>
          <w:rFonts w:ascii="David" w:hAnsi="David" w:cs="David" w:hint="cs"/>
          <w:noProof/>
          <w:sz w:val="20"/>
          <w:szCs w:val="20"/>
          <w:rtl/>
          <w:lang w:eastAsia="he-IL"/>
        </w:rPr>
        <w:t xml:space="preserve">, </w:t>
      </w:r>
      <w:r>
        <w:rPr>
          <w:rFonts w:ascii="David" w:hAnsi="David" w:cs="David" w:hint="cs"/>
          <w:noProof/>
          <w:sz w:val="20"/>
          <w:szCs w:val="20"/>
          <w:rtl/>
          <w:lang w:eastAsia="he-IL"/>
        </w:rPr>
        <w:t xml:space="preserve">ראו: </w:t>
      </w:r>
      <w:r w:rsidRPr="006D092F">
        <w:rPr>
          <w:rFonts w:cs="Arial"/>
          <w:noProof/>
          <w:sz w:val="20"/>
          <w:szCs w:val="20"/>
          <w:lang w:eastAsia="he-IL" w:bidi="ar-SA"/>
        </w:rPr>
        <w:t>M</w:t>
      </w:r>
      <w:r w:rsidRPr="006D092F">
        <w:rPr>
          <w:noProof/>
          <w:sz w:val="20"/>
          <w:szCs w:val="20"/>
          <w:lang w:eastAsia="he-IL" w:bidi="ar-SA"/>
        </w:rPr>
        <w:t xml:space="preserve">. </w:t>
      </w:r>
      <w:r w:rsidRPr="006D092F">
        <w:rPr>
          <w:rFonts w:cs="Arial"/>
          <w:noProof/>
          <w:sz w:val="20"/>
          <w:szCs w:val="20"/>
          <w:lang w:eastAsia="he-IL" w:bidi="ar-SA"/>
        </w:rPr>
        <w:t>de Roche</w:t>
      </w:r>
      <w:r w:rsidRPr="006D092F">
        <w:rPr>
          <w:noProof/>
          <w:sz w:val="20"/>
          <w:szCs w:val="20"/>
          <w:lang w:eastAsia="he-IL" w:bidi="ar-SA"/>
        </w:rPr>
        <w:t xml:space="preserve">, </w:t>
      </w:r>
      <w:r w:rsidR="00D87F6F">
        <w:rPr>
          <w:noProof/>
          <w:sz w:val="20"/>
          <w:szCs w:val="20"/>
          <w:lang w:eastAsia="he-IL" w:bidi="ar-SA"/>
        </w:rPr>
        <w:t>“</w:t>
      </w:r>
      <w:r w:rsidRPr="006D092F">
        <w:rPr>
          <w:rFonts w:cs="Arial"/>
          <w:noProof/>
          <w:sz w:val="20"/>
          <w:szCs w:val="20"/>
          <w:lang w:eastAsia="he-IL" w:bidi="ar-SA"/>
        </w:rPr>
        <w:t>Yahweh</w:t>
      </w:r>
      <w:r w:rsidR="00D87F6F">
        <w:rPr>
          <w:rFonts w:cs="Arial"/>
          <w:noProof/>
          <w:sz w:val="20"/>
          <w:szCs w:val="20"/>
          <w:lang w:eastAsia="he-IL" w:bidi="ar-SA"/>
        </w:rPr>
        <w:t>’</w:t>
      </w:r>
      <w:r w:rsidRPr="006D092F">
        <w:rPr>
          <w:rFonts w:cs="Arial"/>
          <w:noProof/>
          <w:sz w:val="20"/>
          <w:szCs w:val="20"/>
          <w:lang w:eastAsia="he-IL" w:bidi="ar-SA"/>
        </w:rPr>
        <w:t>s</w:t>
      </w:r>
      <w:r w:rsidRPr="006D092F">
        <w:rPr>
          <w:noProof/>
          <w:sz w:val="20"/>
          <w:szCs w:val="20"/>
          <w:lang w:eastAsia="he-IL" w:bidi="ar-SA"/>
        </w:rPr>
        <w:t xml:space="preserve"> </w:t>
      </w:r>
      <w:r>
        <w:rPr>
          <w:noProof/>
          <w:sz w:val="20"/>
          <w:szCs w:val="20"/>
          <w:lang w:eastAsia="he-IL" w:bidi="ar-SA"/>
        </w:rPr>
        <w:t>rîb</w:t>
      </w:r>
      <w:r w:rsidRPr="006D092F">
        <w:rPr>
          <w:noProof/>
          <w:sz w:val="20"/>
          <w:szCs w:val="20"/>
          <w:lang w:eastAsia="he-IL" w:bidi="ar-SA"/>
        </w:rPr>
        <w:t xml:space="preserve"> against Israel: A Reassessment of the So-called </w:t>
      </w:r>
      <w:r w:rsidR="00D87F6F">
        <w:rPr>
          <w:noProof/>
          <w:sz w:val="20"/>
          <w:szCs w:val="20"/>
          <w:lang w:eastAsia="he-IL" w:bidi="ar-SA"/>
        </w:rPr>
        <w:t>‘</w:t>
      </w:r>
      <w:r w:rsidRPr="006D092F">
        <w:rPr>
          <w:noProof/>
          <w:sz w:val="20"/>
          <w:szCs w:val="20"/>
          <w:lang w:eastAsia="he-IL" w:bidi="ar-SA"/>
        </w:rPr>
        <w:t>Prophetic Lawsuit</w:t>
      </w:r>
      <w:r w:rsidR="00D87F6F">
        <w:rPr>
          <w:noProof/>
          <w:sz w:val="20"/>
          <w:szCs w:val="20"/>
          <w:lang w:eastAsia="he-IL" w:bidi="ar-SA"/>
        </w:rPr>
        <w:t>’</w:t>
      </w:r>
      <w:r w:rsidRPr="006D092F">
        <w:rPr>
          <w:noProof/>
          <w:sz w:val="20"/>
          <w:szCs w:val="20"/>
          <w:lang w:eastAsia="he-IL" w:bidi="ar-SA"/>
        </w:rPr>
        <w:t xml:space="preserve"> in the </w:t>
      </w:r>
      <w:r>
        <w:rPr>
          <w:noProof/>
          <w:sz w:val="20"/>
          <w:szCs w:val="20"/>
          <w:lang w:eastAsia="he-IL" w:bidi="ar-SA"/>
        </w:rPr>
        <w:t>Preexilic Prophets</w:t>
      </w:r>
      <w:r w:rsidR="00D87F6F">
        <w:rPr>
          <w:noProof/>
          <w:sz w:val="20"/>
          <w:szCs w:val="20"/>
          <w:lang w:eastAsia="he-IL" w:bidi="ar-SA"/>
        </w:rPr>
        <w:t>”</w:t>
      </w:r>
      <w:r>
        <w:rPr>
          <w:noProof/>
          <w:sz w:val="20"/>
          <w:szCs w:val="20"/>
          <w:lang w:eastAsia="he-IL" w:bidi="ar-SA"/>
        </w:rPr>
        <w:t>,</w:t>
      </w:r>
      <w:r w:rsidRPr="006D092F">
        <w:rPr>
          <w:noProof/>
          <w:sz w:val="20"/>
          <w:szCs w:val="20"/>
          <w:lang w:eastAsia="he-IL" w:bidi="ar-SA"/>
        </w:rPr>
        <w:t xml:space="preserve"> </w:t>
      </w:r>
      <w:r w:rsidRPr="006D092F">
        <w:rPr>
          <w:i/>
          <w:iCs/>
          <w:noProof/>
          <w:sz w:val="20"/>
          <w:szCs w:val="20"/>
          <w:lang w:eastAsia="he-IL" w:bidi="ar-SA"/>
        </w:rPr>
        <w:t>JBL</w:t>
      </w:r>
      <w:r w:rsidRPr="006D092F">
        <w:rPr>
          <w:noProof/>
          <w:sz w:val="20"/>
          <w:szCs w:val="20"/>
          <w:lang w:eastAsia="he-IL" w:bidi="ar-SA"/>
        </w:rPr>
        <w:t xml:space="preserve"> 102 (1983): 563-</w:t>
      </w:r>
      <w:r>
        <w:rPr>
          <w:noProof/>
          <w:sz w:val="20"/>
          <w:szCs w:val="20"/>
          <w:lang w:eastAsia="he-IL" w:bidi="ar-SA"/>
        </w:rPr>
        <w:t>574</w:t>
      </w:r>
    </w:p>
  </w:footnote>
  <w:footnote w:id="26">
    <w:p w:rsidR="00AB7379" w:rsidRPr="00EA4FF5" w:rsidRDefault="00AB7379" w:rsidP="00407DC1">
      <w:pPr>
        <w:spacing w:line="360" w:lineRule="auto"/>
        <w:jc w:val="both"/>
        <w:rPr>
          <w:rFonts w:ascii="David" w:hAnsi="David" w:cs="David"/>
          <w:sz w:val="20"/>
          <w:szCs w:val="20"/>
          <w:rtl/>
        </w:rPr>
      </w:pPr>
      <w:r w:rsidRPr="0074774A">
        <w:rPr>
          <w:rStyle w:val="FootnoteReference"/>
          <w:sz w:val="20"/>
          <w:szCs w:val="20"/>
        </w:rPr>
        <w:footnoteRef/>
      </w:r>
      <w:r w:rsidRPr="0074774A">
        <w:rPr>
          <w:rFonts w:cs="David" w:hint="cs"/>
          <w:sz w:val="20"/>
          <w:szCs w:val="20"/>
          <w:rtl/>
        </w:rPr>
        <w:t xml:space="preserve"> </w:t>
      </w:r>
      <w:r w:rsidR="00407DC1">
        <w:rPr>
          <w:rFonts w:ascii="David" w:hAnsi="David" w:cs="David" w:hint="cs"/>
          <w:sz w:val="20"/>
          <w:szCs w:val="20"/>
          <w:rtl/>
        </w:rPr>
        <w:t xml:space="preserve">שני הבדלים בולטים קיימים בין היחידות: הראשונה פונה לאהליבה והשנייה לשתי האחיות; הראשונה עוסקת בחטא הניאוף בלבד והשנייה גם בשפיכת דם. </w:t>
      </w:r>
      <w:r w:rsidR="00CD250C" w:rsidRPr="0074774A">
        <w:rPr>
          <w:rFonts w:ascii="David" w:hAnsi="David" w:cs="David" w:hint="cs"/>
          <w:sz w:val="20"/>
          <w:szCs w:val="20"/>
          <w:rtl/>
        </w:rPr>
        <w:t xml:space="preserve">רבים עסקו ביחסים בין </w:t>
      </w:r>
      <w:r w:rsidR="00282624">
        <w:rPr>
          <w:rFonts w:ascii="David" w:hAnsi="David" w:cs="David" w:hint="cs"/>
          <w:sz w:val="20"/>
          <w:szCs w:val="20"/>
          <w:rtl/>
        </w:rPr>
        <w:t>היחידות</w:t>
      </w:r>
      <w:r w:rsidR="00CD250C" w:rsidRPr="0074774A">
        <w:rPr>
          <w:rFonts w:ascii="David" w:hAnsi="David" w:cs="David" w:hint="cs"/>
          <w:sz w:val="20"/>
          <w:szCs w:val="20"/>
          <w:rtl/>
        </w:rPr>
        <w:t>. גרינברג</w:t>
      </w:r>
      <w:r w:rsidR="0074774A" w:rsidRPr="0074774A">
        <w:rPr>
          <w:rFonts w:ascii="David" w:hAnsi="David" w:cs="David" w:hint="cs"/>
          <w:sz w:val="20"/>
          <w:szCs w:val="20"/>
          <w:rtl/>
        </w:rPr>
        <w:t xml:space="preserve"> (עמ</w:t>
      </w:r>
      <w:r w:rsidR="00D87F6F">
        <w:rPr>
          <w:rFonts w:ascii="David" w:hAnsi="David" w:cs="David"/>
          <w:sz w:val="20"/>
          <w:szCs w:val="20"/>
          <w:rtl/>
        </w:rPr>
        <w:t>’</w:t>
      </w:r>
      <w:r w:rsidR="0074774A" w:rsidRPr="0074774A">
        <w:rPr>
          <w:rFonts w:ascii="David" w:hAnsi="David" w:cs="David" w:hint="cs"/>
          <w:sz w:val="20"/>
          <w:szCs w:val="20"/>
          <w:rtl/>
        </w:rPr>
        <w:t xml:space="preserve"> 493)</w:t>
      </w:r>
      <w:r w:rsidR="00CD250C" w:rsidRPr="0074774A">
        <w:rPr>
          <w:rFonts w:ascii="David" w:hAnsi="David" w:cs="David" w:hint="cs"/>
          <w:sz w:val="20"/>
          <w:szCs w:val="20"/>
          <w:rtl/>
        </w:rPr>
        <w:t xml:space="preserve"> מניח שהשנייה היא </w:t>
      </w:r>
      <w:r w:rsidR="0074774A" w:rsidRPr="0074774A">
        <w:rPr>
          <w:rFonts w:ascii="David" w:hAnsi="David" w:cs="David" w:hint="cs"/>
          <w:sz w:val="20"/>
          <w:szCs w:val="20"/>
          <w:rtl/>
        </w:rPr>
        <w:t>טיוטה של הראשונה והוצמדה אליה כנספח.</w:t>
      </w:r>
      <w:r w:rsidR="0074774A" w:rsidRPr="0074774A">
        <w:rPr>
          <w:rFonts w:cs="David" w:hint="cs"/>
          <w:sz w:val="20"/>
          <w:szCs w:val="20"/>
          <w:rtl/>
        </w:rPr>
        <w:t xml:space="preserve"> ראו: גרינברג, יחזקאל 21</w:t>
      </w:r>
      <w:r w:rsidR="0074774A" w:rsidRPr="0074774A">
        <w:rPr>
          <w:rFonts w:cs="David" w:hint="cs"/>
          <w:sz w:val="20"/>
          <w:szCs w:val="20"/>
          <w:rtl/>
        </w:rPr>
        <w:softHyphen/>
        <w:t>-37 (</w:t>
      </w:r>
      <w:r w:rsidR="0074774A" w:rsidRPr="0074774A">
        <w:rPr>
          <w:rFonts w:cs="David"/>
          <w:sz w:val="20"/>
          <w:szCs w:val="20"/>
        </w:rPr>
        <w:t>AB</w:t>
      </w:r>
      <w:r w:rsidR="0074774A" w:rsidRPr="0074774A">
        <w:rPr>
          <w:rFonts w:cs="Arial"/>
          <w:sz w:val="20"/>
          <w:szCs w:val="20"/>
          <w:lang w:bidi="ar-SA"/>
        </w:rPr>
        <w:t>, 1997</w:t>
      </w:r>
      <w:r w:rsidR="0074774A" w:rsidRPr="0074774A">
        <w:rPr>
          <w:rFonts w:cs="David" w:hint="cs"/>
          <w:sz w:val="20"/>
          <w:szCs w:val="20"/>
          <w:rtl/>
        </w:rPr>
        <w:t>).</w:t>
      </w:r>
      <w:r w:rsidR="00AF4EE3">
        <w:rPr>
          <w:rFonts w:ascii="David" w:hAnsi="David" w:cs="David" w:hint="cs"/>
          <w:sz w:val="20"/>
          <w:szCs w:val="20"/>
          <w:rtl/>
        </w:rPr>
        <w:t xml:space="preserve"> </w:t>
      </w:r>
    </w:p>
  </w:footnote>
  <w:footnote w:id="27">
    <w:p w:rsidR="00043D2A" w:rsidRPr="00EA4FF5" w:rsidRDefault="00043D2A" w:rsidP="005F1317">
      <w:pPr>
        <w:spacing w:line="360" w:lineRule="auto"/>
        <w:jc w:val="both"/>
        <w:rPr>
          <w:rFonts w:ascii="David" w:hAnsi="David" w:cs="David"/>
          <w:sz w:val="20"/>
          <w:szCs w:val="20"/>
          <w:rtl/>
        </w:rPr>
      </w:pPr>
      <w:r w:rsidRPr="0074774A">
        <w:rPr>
          <w:rStyle w:val="FootnoteReference"/>
          <w:sz w:val="20"/>
          <w:szCs w:val="20"/>
        </w:rPr>
        <w:footnoteRef/>
      </w:r>
      <w:r w:rsidRPr="0074774A">
        <w:rPr>
          <w:rFonts w:cs="David" w:hint="cs"/>
          <w:sz w:val="20"/>
          <w:szCs w:val="20"/>
          <w:rtl/>
        </w:rPr>
        <w:t xml:space="preserve"> </w:t>
      </w:r>
      <w:r w:rsidR="00FD47F7">
        <w:rPr>
          <w:rFonts w:cs="David" w:hint="cs"/>
          <w:sz w:val="20"/>
          <w:szCs w:val="20"/>
          <w:rtl/>
        </w:rPr>
        <w:t>יש להסתייג ולומר ש</w:t>
      </w:r>
      <w:r w:rsidRPr="00043D2A">
        <w:rPr>
          <w:rFonts w:cs="David" w:hint="cs"/>
          <w:sz w:val="20"/>
          <w:szCs w:val="20"/>
          <w:rtl/>
        </w:rPr>
        <w:t>קשה לעתים להכריע איזה רכיב שייך לדימוי ואיזה חורג ממנו ועובר לתיאור המציאות הריאלית שבנמשל. קושי זה משותף גם לר</w:t>
      </w:r>
      <w:r w:rsidR="00FD47F7">
        <w:rPr>
          <w:rFonts w:cs="David" w:hint="cs"/>
          <w:sz w:val="20"/>
          <w:szCs w:val="20"/>
          <w:rtl/>
        </w:rPr>
        <w:t>כיבי החטא וגם לרכיבי העונש.</w:t>
      </w:r>
      <w:r w:rsidRPr="00043D2A">
        <w:rPr>
          <w:rFonts w:cs="David" w:hint="cs"/>
          <w:sz w:val="20"/>
          <w:szCs w:val="20"/>
          <w:rtl/>
        </w:rPr>
        <w:t xml:space="preserve"> יתכן </w:t>
      </w:r>
      <w:r w:rsidR="00FD47F7">
        <w:rPr>
          <w:rFonts w:cs="David" w:hint="cs"/>
          <w:sz w:val="20"/>
          <w:szCs w:val="20"/>
          <w:rtl/>
        </w:rPr>
        <w:t>אפוא שכמה</w:t>
      </w:r>
      <w:r w:rsidRPr="00043D2A">
        <w:rPr>
          <w:rFonts w:cs="David" w:hint="cs"/>
          <w:sz w:val="20"/>
          <w:szCs w:val="20"/>
          <w:rtl/>
        </w:rPr>
        <w:t xml:space="preserve"> מהביטויים</w:t>
      </w:r>
      <w:r w:rsidR="00FD47F7">
        <w:rPr>
          <w:rFonts w:cs="David" w:hint="cs"/>
          <w:sz w:val="20"/>
          <w:szCs w:val="20"/>
          <w:rtl/>
        </w:rPr>
        <w:t xml:space="preserve"> שא</w:t>
      </w:r>
      <w:r w:rsidR="00C272F6">
        <w:rPr>
          <w:rFonts w:cs="David" w:hint="cs"/>
          <w:sz w:val="20"/>
          <w:szCs w:val="20"/>
          <w:rtl/>
        </w:rPr>
        <w:t>ני מ</w:t>
      </w:r>
      <w:r w:rsidR="00FD47F7">
        <w:rPr>
          <w:rFonts w:cs="David" w:hint="cs"/>
          <w:sz w:val="20"/>
          <w:szCs w:val="20"/>
          <w:rtl/>
        </w:rPr>
        <w:t>תייחס אליהם</w:t>
      </w:r>
      <w:r w:rsidRPr="00043D2A">
        <w:rPr>
          <w:rFonts w:cs="David" w:hint="cs"/>
          <w:sz w:val="20"/>
          <w:szCs w:val="20"/>
          <w:rtl/>
        </w:rPr>
        <w:t xml:space="preserve"> </w:t>
      </w:r>
      <w:r w:rsidR="005F1317">
        <w:rPr>
          <w:rFonts w:cs="David" w:hint="cs"/>
          <w:sz w:val="20"/>
          <w:szCs w:val="20"/>
          <w:rtl/>
        </w:rPr>
        <w:t>כ</w:t>
      </w:r>
      <w:r w:rsidR="00FD47F7" w:rsidRPr="00043D2A">
        <w:rPr>
          <w:rFonts w:cs="David" w:hint="cs"/>
          <w:sz w:val="20"/>
          <w:szCs w:val="20"/>
          <w:rtl/>
        </w:rPr>
        <w:t xml:space="preserve">רכיבים בעונשה של האישה </w:t>
      </w:r>
      <w:r w:rsidR="005F1317">
        <w:rPr>
          <w:rFonts w:cs="David" w:hint="cs"/>
          <w:sz w:val="20"/>
          <w:szCs w:val="20"/>
          <w:rtl/>
        </w:rPr>
        <w:t xml:space="preserve">הם למעשה </w:t>
      </w:r>
      <w:r w:rsidRPr="00043D2A">
        <w:rPr>
          <w:rFonts w:cs="David" w:hint="cs"/>
          <w:sz w:val="20"/>
          <w:szCs w:val="20"/>
          <w:rtl/>
        </w:rPr>
        <w:t xml:space="preserve">ביטויים המתארים את מציאות המלחמה, השבי והשלל </w:t>
      </w:r>
      <w:r w:rsidRPr="00043D2A">
        <w:rPr>
          <w:rFonts w:ascii="David" w:hAnsi="David" w:cs="David" w:hint="cs"/>
          <w:sz w:val="20"/>
          <w:szCs w:val="20"/>
          <w:rtl/>
        </w:rPr>
        <w:t>העתידה להתרחש ביהודה</w:t>
      </w:r>
      <w:r w:rsidRPr="00043D2A">
        <w:rPr>
          <w:rFonts w:cs="David" w:hint="cs"/>
          <w:sz w:val="20"/>
          <w:szCs w:val="20"/>
          <w:rtl/>
        </w:rPr>
        <w:t>.</w:t>
      </w:r>
    </w:p>
  </w:footnote>
  <w:footnote w:id="28">
    <w:p w:rsidR="002660FE" w:rsidRPr="00EA4FF5" w:rsidRDefault="002660FE" w:rsidP="009532F3">
      <w:pPr>
        <w:spacing w:line="360" w:lineRule="auto"/>
        <w:jc w:val="both"/>
        <w:rPr>
          <w:rFonts w:ascii="David" w:hAnsi="David" w:cs="David"/>
          <w:sz w:val="20"/>
          <w:szCs w:val="20"/>
          <w:rtl/>
        </w:rPr>
      </w:pPr>
      <w:r w:rsidRPr="0074774A">
        <w:rPr>
          <w:rStyle w:val="FootnoteReference"/>
          <w:sz w:val="20"/>
          <w:szCs w:val="20"/>
        </w:rPr>
        <w:footnoteRef/>
      </w:r>
      <w:r w:rsidRPr="0074774A">
        <w:rPr>
          <w:rFonts w:cs="David" w:hint="cs"/>
          <w:sz w:val="20"/>
          <w:szCs w:val="20"/>
          <w:rtl/>
        </w:rPr>
        <w:t xml:space="preserve"> </w:t>
      </w:r>
      <w:r w:rsidR="001668DA">
        <w:rPr>
          <w:rFonts w:cs="David" w:hint="cs"/>
          <w:sz w:val="20"/>
          <w:szCs w:val="20"/>
          <w:rtl/>
        </w:rPr>
        <w:t>פעולה זו מתוארת פעמיים: בפס</w:t>
      </w:r>
      <w:r w:rsidR="00D87F6F">
        <w:rPr>
          <w:rFonts w:cs="David"/>
          <w:sz w:val="20"/>
          <w:szCs w:val="20"/>
          <w:rtl/>
        </w:rPr>
        <w:t>’</w:t>
      </w:r>
      <w:r w:rsidR="001668DA">
        <w:rPr>
          <w:rFonts w:cs="David" w:hint="cs"/>
          <w:sz w:val="20"/>
          <w:szCs w:val="20"/>
          <w:rtl/>
        </w:rPr>
        <w:t xml:space="preserve"> ל</w:t>
      </w:r>
      <w:r w:rsidR="00D87F6F">
        <w:rPr>
          <w:rFonts w:cs="David"/>
          <w:sz w:val="20"/>
          <w:szCs w:val="20"/>
          <w:rtl/>
        </w:rPr>
        <w:t>”</w:t>
      </w:r>
      <w:r w:rsidR="001668DA">
        <w:rPr>
          <w:rFonts w:cs="David" w:hint="cs"/>
          <w:sz w:val="20"/>
          <w:szCs w:val="20"/>
          <w:rtl/>
        </w:rPr>
        <w:t>ז ה</w:t>
      </w:r>
      <w:r w:rsidR="00D87F6F">
        <w:rPr>
          <w:rFonts w:cs="David"/>
          <w:sz w:val="20"/>
          <w:szCs w:val="20"/>
          <w:rtl/>
        </w:rPr>
        <w:t>’</w:t>
      </w:r>
      <w:r w:rsidR="00D87F6F">
        <w:rPr>
          <w:rFonts w:cs="David" w:hint="cs"/>
          <w:sz w:val="20"/>
          <w:szCs w:val="20"/>
          <w:rtl/>
        </w:rPr>
        <w:t xml:space="preserve"> </w:t>
      </w:r>
      <w:r w:rsidR="001668DA">
        <w:rPr>
          <w:rFonts w:cs="David" w:hint="cs"/>
          <w:sz w:val="20"/>
          <w:szCs w:val="20"/>
          <w:rtl/>
        </w:rPr>
        <w:t>מגלה את ערוותה ובפס</w:t>
      </w:r>
      <w:r w:rsidR="00D87F6F">
        <w:rPr>
          <w:rFonts w:cs="David"/>
          <w:sz w:val="20"/>
          <w:szCs w:val="20"/>
          <w:rtl/>
        </w:rPr>
        <w:t>’</w:t>
      </w:r>
      <w:r w:rsidR="001668DA">
        <w:rPr>
          <w:rFonts w:cs="David" w:hint="cs"/>
          <w:sz w:val="20"/>
          <w:szCs w:val="20"/>
          <w:rtl/>
        </w:rPr>
        <w:t xml:space="preserve"> ל</w:t>
      </w:r>
      <w:r w:rsidR="00D87F6F">
        <w:rPr>
          <w:rFonts w:cs="David"/>
          <w:sz w:val="20"/>
          <w:szCs w:val="20"/>
          <w:rtl/>
        </w:rPr>
        <w:t>”</w:t>
      </w:r>
      <w:r w:rsidR="001668DA">
        <w:rPr>
          <w:rFonts w:cs="David" w:hint="cs"/>
          <w:sz w:val="20"/>
          <w:szCs w:val="20"/>
          <w:rtl/>
        </w:rPr>
        <w:t xml:space="preserve">ט מאהביה מגלים ערוותה. </w:t>
      </w:r>
      <w:r w:rsidR="003765AE">
        <w:rPr>
          <w:rFonts w:cs="David" w:hint="cs"/>
          <w:sz w:val="20"/>
          <w:szCs w:val="20"/>
          <w:rtl/>
        </w:rPr>
        <w:t>גרינברג,</w:t>
      </w:r>
      <w:r w:rsidR="009532F3">
        <w:rPr>
          <w:rFonts w:cs="David" w:hint="cs"/>
          <w:sz w:val="20"/>
          <w:szCs w:val="20"/>
          <w:rtl/>
        </w:rPr>
        <w:t xml:space="preserve"> </w:t>
      </w:r>
      <w:r w:rsidR="003765AE" w:rsidRPr="0074774A">
        <w:rPr>
          <w:rFonts w:cs="David" w:hint="cs"/>
          <w:sz w:val="20"/>
          <w:szCs w:val="20"/>
          <w:rtl/>
        </w:rPr>
        <w:t xml:space="preserve">יחזקאל </w:t>
      </w:r>
      <w:r w:rsidR="003765AE">
        <w:rPr>
          <w:rFonts w:cs="David" w:hint="cs"/>
          <w:sz w:val="20"/>
          <w:szCs w:val="20"/>
          <w:rtl/>
        </w:rPr>
        <w:t>1</w:t>
      </w:r>
      <w:r w:rsidR="003765AE">
        <w:rPr>
          <w:rFonts w:cs="David" w:hint="cs"/>
          <w:sz w:val="20"/>
          <w:szCs w:val="20"/>
          <w:rtl/>
        </w:rPr>
        <w:softHyphen/>
        <w:t>-20</w:t>
      </w:r>
      <w:r w:rsidR="003765AE" w:rsidRPr="0074774A">
        <w:rPr>
          <w:rFonts w:cs="David" w:hint="cs"/>
          <w:sz w:val="20"/>
          <w:szCs w:val="20"/>
          <w:rtl/>
        </w:rPr>
        <w:t xml:space="preserve"> (</w:t>
      </w:r>
      <w:r w:rsidR="003765AE" w:rsidRPr="0074774A">
        <w:rPr>
          <w:rFonts w:cs="David"/>
          <w:sz w:val="20"/>
          <w:szCs w:val="20"/>
        </w:rPr>
        <w:t>AB</w:t>
      </w:r>
      <w:r w:rsidR="003765AE" w:rsidRPr="0074774A">
        <w:rPr>
          <w:rFonts w:cs="Arial"/>
          <w:sz w:val="20"/>
          <w:szCs w:val="20"/>
          <w:lang w:bidi="ar-SA"/>
        </w:rPr>
        <w:t>, 19</w:t>
      </w:r>
      <w:r w:rsidR="003765AE">
        <w:rPr>
          <w:rFonts w:cs="Arial"/>
          <w:sz w:val="20"/>
          <w:szCs w:val="20"/>
          <w:lang w:bidi="ar-SA"/>
        </w:rPr>
        <w:t>83</w:t>
      </w:r>
      <w:r w:rsidR="003765AE" w:rsidRPr="0074774A">
        <w:rPr>
          <w:rFonts w:cs="David" w:hint="cs"/>
          <w:sz w:val="20"/>
          <w:szCs w:val="20"/>
          <w:rtl/>
        </w:rPr>
        <w:t>)</w:t>
      </w:r>
      <w:r w:rsidR="003765AE">
        <w:rPr>
          <w:rFonts w:cs="David" w:hint="cs"/>
          <w:sz w:val="20"/>
          <w:szCs w:val="20"/>
          <w:rtl/>
        </w:rPr>
        <w:t xml:space="preserve">, </w:t>
      </w:r>
      <w:r w:rsidR="009532F3">
        <w:rPr>
          <w:rFonts w:cs="David" w:hint="cs"/>
          <w:sz w:val="20"/>
          <w:szCs w:val="20"/>
          <w:rtl/>
        </w:rPr>
        <w:t>עמ</w:t>
      </w:r>
      <w:r w:rsidR="00D87F6F">
        <w:rPr>
          <w:rFonts w:cs="David"/>
          <w:sz w:val="20"/>
          <w:szCs w:val="20"/>
          <w:rtl/>
        </w:rPr>
        <w:t>’</w:t>
      </w:r>
      <w:r w:rsidR="009532F3">
        <w:rPr>
          <w:rFonts w:cs="David" w:hint="cs"/>
          <w:sz w:val="20"/>
          <w:szCs w:val="20"/>
          <w:rtl/>
        </w:rPr>
        <w:t xml:space="preserve"> 286 מסביר שהפשטה אחת נעשית לפני המשפט (המתואר בפס</w:t>
      </w:r>
      <w:r w:rsidR="00D87F6F">
        <w:rPr>
          <w:rFonts w:cs="David"/>
          <w:sz w:val="20"/>
          <w:szCs w:val="20"/>
          <w:rtl/>
        </w:rPr>
        <w:t>’</w:t>
      </w:r>
      <w:r w:rsidR="009532F3">
        <w:rPr>
          <w:rFonts w:cs="David" w:hint="cs"/>
          <w:sz w:val="20"/>
          <w:szCs w:val="20"/>
          <w:rtl/>
        </w:rPr>
        <w:t xml:space="preserve"> לח שבתווך) והשנייה לאחר שהורשעה במשפט.</w:t>
      </w:r>
    </w:p>
  </w:footnote>
  <w:footnote w:id="29">
    <w:p w:rsidR="00685903" w:rsidRPr="00EA4FF5" w:rsidRDefault="00685903" w:rsidP="00196165">
      <w:pPr>
        <w:spacing w:line="360" w:lineRule="auto"/>
        <w:jc w:val="both"/>
        <w:rPr>
          <w:rFonts w:ascii="David" w:hAnsi="David" w:cs="David"/>
          <w:sz w:val="20"/>
          <w:szCs w:val="20"/>
          <w:rtl/>
        </w:rPr>
      </w:pPr>
      <w:r w:rsidRPr="0074774A">
        <w:rPr>
          <w:rStyle w:val="FootnoteReference"/>
          <w:sz w:val="20"/>
          <w:szCs w:val="20"/>
        </w:rPr>
        <w:footnoteRef/>
      </w:r>
      <w:r w:rsidRPr="0074774A">
        <w:rPr>
          <w:rFonts w:cs="David" w:hint="cs"/>
          <w:sz w:val="20"/>
          <w:szCs w:val="20"/>
          <w:rtl/>
        </w:rPr>
        <w:t xml:space="preserve"> </w:t>
      </w:r>
      <w:r w:rsidR="00196165">
        <w:rPr>
          <w:rFonts w:ascii="David" w:hAnsi="David" w:cs="David" w:hint="cs"/>
          <w:sz w:val="20"/>
          <w:szCs w:val="20"/>
          <w:rtl/>
        </w:rPr>
        <w:t>גרינברג</w:t>
      </w:r>
      <w:r w:rsidR="00983177">
        <w:rPr>
          <w:rFonts w:ascii="David" w:hAnsi="David" w:cs="David" w:hint="cs"/>
          <w:sz w:val="20"/>
          <w:szCs w:val="20"/>
          <w:rtl/>
        </w:rPr>
        <w:t>, יחזקאל</w:t>
      </w:r>
      <w:r w:rsidR="00196165">
        <w:rPr>
          <w:rFonts w:ascii="David" w:hAnsi="David" w:cs="David" w:hint="cs"/>
          <w:sz w:val="20"/>
          <w:szCs w:val="20"/>
          <w:rtl/>
        </w:rPr>
        <w:t xml:space="preserve"> (1983), עמ</w:t>
      </w:r>
      <w:r w:rsidR="00D87F6F">
        <w:rPr>
          <w:rFonts w:ascii="David" w:hAnsi="David" w:cs="David"/>
          <w:sz w:val="20"/>
          <w:szCs w:val="20"/>
          <w:rtl/>
        </w:rPr>
        <w:t>’</w:t>
      </w:r>
      <w:r w:rsidR="00196165">
        <w:rPr>
          <w:rFonts w:ascii="David" w:hAnsi="David" w:cs="David" w:hint="cs"/>
          <w:sz w:val="20"/>
          <w:szCs w:val="20"/>
          <w:rtl/>
        </w:rPr>
        <w:t xml:space="preserve"> 288 מצביע על</w:t>
      </w:r>
      <w:r>
        <w:rPr>
          <w:rFonts w:cs="David" w:hint="cs"/>
          <w:sz w:val="20"/>
          <w:szCs w:val="20"/>
          <w:rtl/>
        </w:rPr>
        <w:t xml:space="preserve"> הבדלי הגרסאות בין נוסח המסורה: </w:t>
      </w:r>
      <w:r w:rsidR="00D87F6F">
        <w:rPr>
          <w:rFonts w:cs="David"/>
          <w:sz w:val="20"/>
          <w:szCs w:val="20"/>
          <w:rtl/>
        </w:rPr>
        <w:t>“</w:t>
      </w:r>
      <w:r>
        <w:rPr>
          <w:rFonts w:cs="David" w:hint="cs"/>
          <w:sz w:val="20"/>
          <w:szCs w:val="20"/>
          <w:rtl/>
        </w:rPr>
        <w:t>ושרפו בתיך באש</w:t>
      </w:r>
      <w:r w:rsidR="00D87F6F">
        <w:rPr>
          <w:rFonts w:cs="David"/>
          <w:sz w:val="20"/>
          <w:szCs w:val="20"/>
          <w:rtl/>
        </w:rPr>
        <w:t>”</w:t>
      </w:r>
      <w:r w:rsidR="00196165">
        <w:rPr>
          <w:rFonts w:ascii="David" w:hAnsi="David" w:cs="David" w:hint="cs"/>
          <w:sz w:val="20"/>
          <w:szCs w:val="20"/>
          <w:rtl/>
        </w:rPr>
        <w:t xml:space="preserve"> ל</w:t>
      </w:r>
      <w:r w:rsidR="00B7785B">
        <w:rPr>
          <w:rFonts w:ascii="David" w:hAnsi="David" w:cs="David" w:hint="cs"/>
          <w:sz w:val="20"/>
          <w:szCs w:val="20"/>
          <w:rtl/>
        </w:rPr>
        <w:t>נוסח ה</w:t>
      </w:r>
      <w:r w:rsidR="006E2785">
        <w:rPr>
          <w:rFonts w:ascii="David" w:hAnsi="David" w:cs="David" w:hint="cs"/>
          <w:sz w:val="20"/>
          <w:szCs w:val="20"/>
          <w:rtl/>
        </w:rPr>
        <w:t>פ</w:t>
      </w:r>
      <w:r>
        <w:rPr>
          <w:rFonts w:ascii="David" w:hAnsi="David" w:cs="David" w:hint="cs"/>
          <w:sz w:val="20"/>
          <w:szCs w:val="20"/>
          <w:rtl/>
        </w:rPr>
        <w:t>שיטתא</w:t>
      </w:r>
      <w:r w:rsidR="00B7785B">
        <w:rPr>
          <w:rFonts w:ascii="David" w:hAnsi="David" w:cs="David" w:hint="cs"/>
          <w:sz w:val="20"/>
          <w:szCs w:val="20"/>
          <w:rtl/>
        </w:rPr>
        <w:t>:</w:t>
      </w:r>
      <w:r>
        <w:rPr>
          <w:rFonts w:ascii="David" w:hAnsi="David" w:cs="David" w:hint="cs"/>
          <w:sz w:val="20"/>
          <w:szCs w:val="20"/>
          <w:rtl/>
        </w:rPr>
        <w:t xml:space="preserve"> </w:t>
      </w:r>
      <w:r w:rsidR="00D87F6F">
        <w:rPr>
          <w:rFonts w:ascii="David" w:hAnsi="David" w:cs="David"/>
          <w:sz w:val="20"/>
          <w:szCs w:val="20"/>
          <w:rtl/>
        </w:rPr>
        <w:t>“</w:t>
      </w:r>
      <w:r>
        <w:rPr>
          <w:rFonts w:ascii="David" w:hAnsi="David" w:cs="David" w:hint="cs"/>
          <w:sz w:val="20"/>
          <w:szCs w:val="20"/>
          <w:rtl/>
        </w:rPr>
        <w:t>ושרפוך בתוך האש</w:t>
      </w:r>
      <w:r w:rsidR="00D87F6F">
        <w:rPr>
          <w:rFonts w:ascii="David" w:hAnsi="David" w:cs="David"/>
          <w:sz w:val="20"/>
          <w:szCs w:val="20"/>
          <w:rtl/>
        </w:rPr>
        <w:t>”</w:t>
      </w:r>
      <w:r w:rsidR="00196165">
        <w:rPr>
          <w:rFonts w:ascii="David" w:hAnsi="David" w:cs="David" w:hint="cs"/>
          <w:sz w:val="20"/>
          <w:szCs w:val="20"/>
          <w:rtl/>
        </w:rPr>
        <w:t xml:space="preserve">, וטוען שתיאור השריפה אינו שייך לעונשה של האישה שבמשל אלא לחורבן ירושלים שבנמשל. </w:t>
      </w:r>
    </w:p>
  </w:footnote>
  <w:footnote w:id="30">
    <w:p w:rsidR="008F53F7" w:rsidRPr="00C73749" w:rsidRDefault="008F53F7" w:rsidP="00C2262C">
      <w:pPr>
        <w:pStyle w:val="FootnoteText"/>
        <w:spacing w:line="360" w:lineRule="auto"/>
        <w:jc w:val="both"/>
        <w:rPr>
          <w:rFonts w:cs="David"/>
          <w:rtl/>
        </w:rPr>
      </w:pPr>
      <w:r>
        <w:rPr>
          <w:rStyle w:val="FootnoteReference"/>
        </w:rPr>
        <w:footnoteRef/>
      </w:r>
      <w:r>
        <w:rPr>
          <w:rFonts w:hint="cs"/>
          <w:rtl/>
        </w:rPr>
        <w:t xml:space="preserve"> </w:t>
      </w:r>
      <w:r w:rsidR="00C2262C">
        <w:rPr>
          <w:rFonts w:cs="David" w:hint="cs"/>
          <w:rtl/>
        </w:rPr>
        <w:t xml:space="preserve">על הבנת המילה </w:t>
      </w:r>
      <w:r w:rsidR="00D87F6F">
        <w:rPr>
          <w:rFonts w:cs="David"/>
          <w:rtl/>
        </w:rPr>
        <w:t>“</w:t>
      </w:r>
      <w:r w:rsidR="00C2262C">
        <w:rPr>
          <w:rFonts w:cs="David" w:hint="cs"/>
          <w:rtl/>
        </w:rPr>
        <w:t>חמה</w:t>
      </w:r>
      <w:r w:rsidR="00D87F6F">
        <w:rPr>
          <w:rFonts w:cs="David"/>
          <w:rtl/>
        </w:rPr>
        <w:t>”</w:t>
      </w:r>
      <w:r w:rsidR="00C2262C">
        <w:rPr>
          <w:rFonts w:cs="David" w:hint="cs"/>
          <w:rtl/>
        </w:rPr>
        <w:t xml:space="preserve"> כרעל יורחב בהמשך.</w:t>
      </w:r>
    </w:p>
  </w:footnote>
  <w:footnote w:id="31">
    <w:p w:rsidR="00B50072" w:rsidRPr="00C73749" w:rsidRDefault="00B50072" w:rsidP="008D16DA">
      <w:pPr>
        <w:pStyle w:val="FootnoteText"/>
        <w:spacing w:line="360" w:lineRule="auto"/>
        <w:jc w:val="both"/>
        <w:rPr>
          <w:rFonts w:cs="David"/>
          <w:rtl/>
        </w:rPr>
      </w:pPr>
      <w:r>
        <w:rPr>
          <w:rStyle w:val="FootnoteReference"/>
        </w:rPr>
        <w:footnoteRef/>
      </w:r>
      <w:r w:rsidR="0082189F">
        <w:rPr>
          <w:rFonts w:hint="cs"/>
          <w:rtl/>
        </w:rPr>
        <w:t xml:space="preserve"> </w:t>
      </w:r>
      <w:r w:rsidR="0082189F">
        <w:rPr>
          <w:rFonts w:cs="David" w:hint="cs"/>
          <w:rtl/>
        </w:rPr>
        <w:t>השוו:</w:t>
      </w:r>
      <w:r>
        <w:rPr>
          <w:rFonts w:hint="cs"/>
          <w:rtl/>
        </w:rPr>
        <w:t xml:space="preserve"> </w:t>
      </w:r>
      <w:r w:rsidRPr="00624C14">
        <w:rPr>
          <w:rFonts w:cs="David"/>
        </w:rPr>
        <w:t>M.</w:t>
      </w:r>
      <w:r>
        <w:rPr>
          <w:rFonts w:cs="David"/>
        </w:rPr>
        <w:t xml:space="preserve"> </w:t>
      </w:r>
      <w:r w:rsidRPr="00624C14">
        <w:rPr>
          <w:rFonts w:cs="David"/>
        </w:rPr>
        <w:t xml:space="preserve">H. Pope, </w:t>
      </w:r>
      <w:r w:rsidRPr="00624C14">
        <w:rPr>
          <w:rFonts w:cs="David"/>
          <w:i/>
          <w:iCs/>
        </w:rPr>
        <w:t>Job</w:t>
      </w:r>
      <w:r w:rsidRPr="00624C14">
        <w:rPr>
          <w:rFonts w:cs="Arial"/>
          <w:lang w:bidi="ar-SA"/>
        </w:rPr>
        <w:t xml:space="preserve"> (AB), </w:t>
      </w:r>
      <w:r w:rsidRPr="00624C14">
        <w:rPr>
          <w:rFonts w:cs="David"/>
        </w:rPr>
        <w:t>Garden City, New York</w:t>
      </w:r>
      <w:r w:rsidRPr="00624C14">
        <w:rPr>
          <w:rFonts w:cs="Arial"/>
          <w:vertAlign w:val="superscript"/>
          <w:lang w:bidi="ar-SA"/>
        </w:rPr>
        <w:t>3</w:t>
      </w:r>
      <w:r w:rsidRPr="00624C14">
        <w:rPr>
          <w:rFonts w:cs="Arial"/>
          <w:lang w:bidi="ar-SA"/>
        </w:rPr>
        <w:t xml:space="preserve"> 1973</w:t>
      </w:r>
      <w:r>
        <w:rPr>
          <w:rFonts w:cs="Arial"/>
          <w:lang w:val="en-US" w:bidi="ar-SA"/>
        </w:rPr>
        <w:t>, p. 159</w:t>
      </w:r>
      <w:r w:rsidR="00EA3446">
        <w:rPr>
          <w:rFonts w:cs="David" w:hint="cs"/>
          <w:rtl/>
          <w:lang w:val="en-US"/>
        </w:rPr>
        <w:t xml:space="preserve">. </w:t>
      </w:r>
    </w:p>
  </w:footnote>
  <w:footnote w:id="32">
    <w:p w:rsidR="008D16DA" w:rsidRPr="00C73749" w:rsidRDefault="008D16DA" w:rsidP="008D16DA">
      <w:pPr>
        <w:pStyle w:val="FootnoteText"/>
        <w:spacing w:line="360" w:lineRule="auto"/>
        <w:jc w:val="both"/>
        <w:rPr>
          <w:rFonts w:cs="David"/>
          <w:rtl/>
        </w:rPr>
      </w:pPr>
      <w:r>
        <w:rPr>
          <w:rStyle w:val="FootnoteReference"/>
        </w:rPr>
        <w:footnoteRef/>
      </w:r>
      <w:r>
        <w:rPr>
          <w:rFonts w:hint="cs"/>
          <w:rtl/>
        </w:rPr>
        <w:t xml:space="preserve"> </w:t>
      </w:r>
      <w:r w:rsidRPr="00EA3446">
        <w:rPr>
          <w:rFonts w:cs="David" w:hint="cs"/>
          <w:rtl/>
        </w:rPr>
        <w:t xml:space="preserve">ביטוי זה מופיע בכמה נבואות נוספות ביחזקאל: בפרק כד, בו מובהר כי משפטה הקשה של ירושלים תואם את </w:t>
      </w:r>
      <w:r>
        <w:rPr>
          <w:rFonts w:cs="David" w:hint="cs"/>
          <w:rtl/>
        </w:rPr>
        <w:t>דרכיה ועלילותיה</w:t>
      </w:r>
      <w:r w:rsidRPr="00EA3446">
        <w:rPr>
          <w:rFonts w:cs="David" w:hint="cs"/>
          <w:rtl/>
        </w:rPr>
        <w:t xml:space="preserve">: </w:t>
      </w:r>
      <w:r w:rsidR="00D87F6F">
        <w:rPr>
          <w:rFonts w:cs="David"/>
          <w:rtl/>
        </w:rPr>
        <w:t>“</w:t>
      </w:r>
      <w:r w:rsidRPr="00EA3446">
        <w:rPr>
          <w:rFonts w:cs="David" w:hint="cs"/>
          <w:rtl/>
        </w:rPr>
        <w:t xml:space="preserve">בטמאתך זימה... לא תטהרי עוד עד </w:t>
      </w:r>
      <w:r w:rsidRPr="00EA3446">
        <w:rPr>
          <w:rFonts w:cs="David" w:hint="cs"/>
          <w:b/>
          <w:bCs/>
          <w:rtl/>
        </w:rPr>
        <w:t>הניחי את חמתי בך</w:t>
      </w:r>
      <w:r w:rsidR="00D87F6F">
        <w:rPr>
          <w:rFonts w:cs="David"/>
          <w:rtl/>
        </w:rPr>
        <w:t>”</w:t>
      </w:r>
      <w:r w:rsidRPr="00EA3446">
        <w:rPr>
          <w:rFonts w:cs="David" w:hint="cs"/>
          <w:rtl/>
        </w:rPr>
        <w:t xml:space="preserve"> (פס</w:t>
      </w:r>
      <w:r w:rsidR="00D87F6F">
        <w:rPr>
          <w:rFonts w:cs="David"/>
          <w:rtl/>
        </w:rPr>
        <w:t>’</w:t>
      </w:r>
      <w:r w:rsidRPr="00EA3446">
        <w:rPr>
          <w:rFonts w:cs="David" w:hint="cs"/>
          <w:rtl/>
        </w:rPr>
        <w:t xml:space="preserve"> יג); ובפרק ה, שאף בו מדומה בגידתו של ישראל לבגידת אישה בבעלה: </w:t>
      </w:r>
      <w:r w:rsidR="00D87F6F">
        <w:rPr>
          <w:rFonts w:cs="David"/>
          <w:rtl/>
        </w:rPr>
        <w:t>“</w:t>
      </w:r>
      <w:r w:rsidRPr="00EA3446">
        <w:rPr>
          <w:rFonts w:cs="David" w:hint="cs"/>
          <w:b/>
          <w:bCs/>
          <w:rtl/>
        </w:rPr>
        <w:t>והנחתי חמתי בם</w:t>
      </w:r>
      <w:r w:rsidR="00D87F6F">
        <w:rPr>
          <w:rFonts w:cs="David"/>
          <w:rtl/>
        </w:rPr>
        <w:t>”</w:t>
      </w:r>
      <w:r w:rsidRPr="00EA3446">
        <w:rPr>
          <w:rFonts w:cs="David" w:hint="cs"/>
          <w:rtl/>
        </w:rPr>
        <w:t xml:space="preserve"> (פס</w:t>
      </w:r>
      <w:r w:rsidR="00D87F6F">
        <w:rPr>
          <w:rFonts w:cs="David"/>
          <w:rtl/>
        </w:rPr>
        <w:t>’</w:t>
      </w:r>
      <w:r w:rsidRPr="00EA3446">
        <w:rPr>
          <w:rFonts w:cs="David" w:hint="cs"/>
          <w:rtl/>
        </w:rPr>
        <w:t xml:space="preserve"> יג).</w:t>
      </w:r>
      <w:r>
        <w:rPr>
          <w:rFonts w:cs="David" w:hint="cs"/>
          <w:rtl/>
          <w:lang w:val="en-US"/>
        </w:rPr>
        <w:t xml:space="preserve"> בפרק כ</w:t>
      </w:r>
      <w:r w:rsidR="00D87F6F">
        <w:rPr>
          <w:rFonts w:cs="David"/>
          <w:rtl/>
          <w:lang w:val="en-US"/>
        </w:rPr>
        <w:t>”</w:t>
      </w:r>
      <w:r>
        <w:rPr>
          <w:rFonts w:cs="David" w:hint="cs"/>
          <w:rtl/>
          <w:lang w:val="en-US"/>
        </w:rPr>
        <w:t xml:space="preserve">ג מופיע ביטוי דומה: </w:t>
      </w:r>
      <w:r w:rsidR="00D87F6F">
        <w:rPr>
          <w:rFonts w:cs="David"/>
          <w:rtl/>
          <w:lang w:val="en-US"/>
        </w:rPr>
        <w:t>“</w:t>
      </w:r>
      <w:r>
        <w:rPr>
          <w:rFonts w:cs="David" w:hint="cs"/>
          <w:rtl/>
          <w:lang w:val="en-US"/>
        </w:rPr>
        <w:t>ונתתי קנאתי בך ועשו אותך בחמה</w:t>
      </w:r>
      <w:r w:rsidR="00D87F6F">
        <w:rPr>
          <w:rFonts w:cs="David"/>
          <w:rtl/>
          <w:lang w:val="en-US"/>
        </w:rPr>
        <w:t>”</w:t>
      </w:r>
      <w:r>
        <w:rPr>
          <w:rFonts w:cs="David" w:hint="cs"/>
          <w:rtl/>
          <w:lang w:val="en-US"/>
        </w:rPr>
        <w:t xml:space="preserve"> (פס</w:t>
      </w:r>
      <w:r w:rsidR="00D87F6F">
        <w:rPr>
          <w:rFonts w:cs="David"/>
          <w:rtl/>
          <w:lang w:val="en-US"/>
        </w:rPr>
        <w:t>’</w:t>
      </w:r>
      <w:r>
        <w:rPr>
          <w:rFonts w:cs="David" w:hint="cs"/>
          <w:rtl/>
          <w:lang w:val="en-US"/>
        </w:rPr>
        <w:t xml:space="preserve"> כה)</w:t>
      </w:r>
      <w:r w:rsidR="00BC1823">
        <w:rPr>
          <w:rFonts w:cs="David" w:hint="cs"/>
          <w:rtl/>
          <w:lang w:val="en-US"/>
        </w:rPr>
        <w:t xml:space="preserve"> שתוצאתו</w:t>
      </w:r>
      <w:r>
        <w:rPr>
          <w:rFonts w:cs="David" w:hint="cs"/>
          <w:rtl/>
          <w:lang w:val="en-US"/>
        </w:rPr>
        <w:t xml:space="preserve"> </w:t>
      </w:r>
      <w:r w:rsidR="00D87F6F">
        <w:rPr>
          <w:rFonts w:cs="David"/>
          <w:rtl/>
          <w:lang w:val="en-US"/>
        </w:rPr>
        <w:t>“</w:t>
      </w:r>
      <w:r w:rsidRPr="006D04DC">
        <w:rPr>
          <w:rFonts w:cs="David" w:hint="cs"/>
          <w:b/>
          <w:bCs/>
          <w:rtl/>
          <w:lang w:val="en-US"/>
        </w:rPr>
        <w:t>אפך ואזניך יסירו</w:t>
      </w:r>
      <w:r w:rsidR="00D87F6F">
        <w:rPr>
          <w:rFonts w:cs="David"/>
          <w:rtl/>
          <w:lang w:val="en-US"/>
        </w:rPr>
        <w:t>”</w:t>
      </w:r>
      <w:r w:rsidR="00BC1823">
        <w:rPr>
          <w:rFonts w:cs="David" w:hint="cs"/>
          <w:rtl/>
          <w:lang w:val="en-US"/>
        </w:rPr>
        <w:t xml:space="preserve"> (שם)</w:t>
      </w:r>
      <w:r w:rsidR="001309D2">
        <w:rPr>
          <w:rFonts w:cs="David" w:hint="cs"/>
          <w:rtl/>
          <w:lang w:val="en-US"/>
        </w:rPr>
        <w:t>. תוצאה זו</w:t>
      </w:r>
      <w:r w:rsidR="00BC1823">
        <w:rPr>
          <w:rFonts w:cs="David" w:hint="cs"/>
          <w:rtl/>
          <w:lang w:val="en-US"/>
        </w:rPr>
        <w:t xml:space="preserve"> מקבילה לתוצאותיה של שתיית הכוס המתוארת בהמשך הנבואה: </w:t>
      </w:r>
      <w:r w:rsidR="00D87F6F">
        <w:rPr>
          <w:rFonts w:cs="David"/>
          <w:rtl/>
          <w:lang w:val="en-US"/>
        </w:rPr>
        <w:t>“</w:t>
      </w:r>
      <w:r w:rsidR="00BC1823">
        <w:rPr>
          <w:rFonts w:cs="David" w:hint="cs"/>
          <w:rtl/>
          <w:lang w:val="en-US"/>
        </w:rPr>
        <w:t xml:space="preserve">ושתית אותה ומצית... </w:t>
      </w:r>
      <w:r w:rsidR="00BC1823" w:rsidRPr="006D04DC">
        <w:rPr>
          <w:rFonts w:cs="David" w:hint="cs"/>
          <w:b/>
          <w:bCs/>
          <w:rtl/>
          <w:lang w:val="en-US"/>
        </w:rPr>
        <w:t>ושדיך תנתקי</w:t>
      </w:r>
      <w:r w:rsidR="00D87F6F">
        <w:rPr>
          <w:rFonts w:cs="David"/>
          <w:rtl/>
          <w:lang w:val="en-US"/>
        </w:rPr>
        <w:t>”</w:t>
      </w:r>
      <w:r w:rsidR="00BC1823">
        <w:rPr>
          <w:rFonts w:cs="David" w:hint="cs"/>
          <w:rtl/>
          <w:lang w:val="en-US"/>
        </w:rPr>
        <w:t xml:space="preserve"> (פס</w:t>
      </w:r>
      <w:r w:rsidR="00D87F6F">
        <w:rPr>
          <w:rFonts w:cs="David"/>
          <w:rtl/>
          <w:lang w:val="en-US"/>
        </w:rPr>
        <w:t>’</w:t>
      </w:r>
      <w:r w:rsidR="00BC1823">
        <w:rPr>
          <w:rFonts w:cs="David" w:hint="cs"/>
          <w:rtl/>
          <w:lang w:val="en-US"/>
        </w:rPr>
        <w:t xml:space="preserve"> לד).</w:t>
      </w:r>
    </w:p>
  </w:footnote>
  <w:footnote w:id="33">
    <w:p w:rsidR="006D04DC" w:rsidRPr="00CB5AD8" w:rsidRDefault="006D04DC" w:rsidP="00CB5AD8">
      <w:pPr>
        <w:spacing w:line="360" w:lineRule="auto"/>
        <w:jc w:val="both"/>
        <w:rPr>
          <w:rFonts w:cs="David"/>
          <w:noProof/>
          <w:sz w:val="20"/>
          <w:szCs w:val="20"/>
          <w:rtl/>
          <w:lang w:eastAsia="he-IL"/>
        </w:rPr>
      </w:pPr>
      <w:r w:rsidRPr="00B06645">
        <w:rPr>
          <w:rStyle w:val="FootnoteReference"/>
          <w:sz w:val="20"/>
          <w:szCs w:val="20"/>
        </w:rPr>
        <w:footnoteRef/>
      </w:r>
      <w:r>
        <w:rPr>
          <w:rtl/>
        </w:rPr>
        <w:t xml:space="preserve"> </w:t>
      </w:r>
      <w:r>
        <w:rPr>
          <w:rFonts w:cs="David" w:hint="cs"/>
          <w:sz w:val="20"/>
          <w:szCs w:val="20"/>
          <w:rtl/>
        </w:rPr>
        <w:t>הושע מתאר את הפשטת הנואפת ו</w:t>
      </w:r>
      <w:r w:rsidRPr="00CB77C6">
        <w:rPr>
          <w:rFonts w:cs="David" w:hint="cs"/>
          <w:sz w:val="20"/>
          <w:szCs w:val="20"/>
          <w:rtl/>
        </w:rPr>
        <w:t xml:space="preserve">את מותה בצמא: </w:t>
      </w:r>
      <w:r w:rsidR="00D87F6F">
        <w:rPr>
          <w:rFonts w:cs="David"/>
          <w:sz w:val="20"/>
          <w:szCs w:val="20"/>
          <w:rtl/>
        </w:rPr>
        <w:t>“</w:t>
      </w:r>
      <w:r w:rsidRPr="00CB77C6">
        <w:rPr>
          <w:rFonts w:cs="David" w:hint="cs"/>
          <w:sz w:val="20"/>
          <w:szCs w:val="20"/>
          <w:rtl/>
        </w:rPr>
        <w:t xml:space="preserve">פן אפשיטנה </w:t>
      </w:r>
      <w:r w:rsidRPr="00CB77C6">
        <w:rPr>
          <w:rFonts w:cs="David" w:hint="cs"/>
          <w:b/>
          <w:bCs/>
          <w:sz w:val="20"/>
          <w:szCs w:val="20"/>
          <w:rtl/>
        </w:rPr>
        <w:t>ערמה</w:t>
      </w:r>
      <w:r w:rsidRPr="00CB77C6">
        <w:rPr>
          <w:rFonts w:cs="David" w:hint="cs"/>
          <w:sz w:val="20"/>
          <w:szCs w:val="20"/>
          <w:rtl/>
        </w:rPr>
        <w:t xml:space="preserve">... </w:t>
      </w:r>
      <w:r w:rsidRPr="00CB77C6">
        <w:rPr>
          <w:rFonts w:cs="David" w:hint="cs"/>
          <w:b/>
          <w:bCs/>
          <w:sz w:val="20"/>
          <w:szCs w:val="20"/>
          <w:rtl/>
        </w:rPr>
        <w:t>ושמתיה</w:t>
      </w:r>
      <w:r w:rsidRPr="00CB77C6">
        <w:rPr>
          <w:rFonts w:cs="David" w:hint="cs"/>
          <w:sz w:val="20"/>
          <w:szCs w:val="20"/>
          <w:rtl/>
        </w:rPr>
        <w:t xml:space="preserve"> כמדבר </w:t>
      </w:r>
      <w:r w:rsidRPr="00CB77C6">
        <w:rPr>
          <w:rFonts w:cs="David" w:hint="cs"/>
          <w:b/>
          <w:bCs/>
          <w:sz w:val="20"/>
          <w:szCs w:val="20"/>
          <w:rtl/>
        </w:rPr>
        <w:t>ושתיה</w:t>
      </w:r>
      <w:r w:rsidRPr="00CB77C6">
        <w:rPr>
          <w:rFonts w:cs="David" w:hint="cs"/>
          <w:sz w:val="20"/>
          <w:szCs w:val="20"/>
          <w:rtl/>
        </w:rPr>
        <w:t xml:space="preserve"> כארץ </w:t>
      </w:r>
      <w:r w:rsidRPr="00CB77C6">
        <w:rPr>
          <w:rFonts w:cs="David" w:hint="cs"/>
          <w:b/>
          <w:bCs/>
          <w:sz w:val="20"/>
          <w:szCs w:val="20"/>
          <w:rtl/>
        </w:rPr>
        <w:t>ציה</w:t>
      </w:r>
      <w:r w:rsidRPr="00CB77C6">
        <w:rPr>
          <w:rFonts w:cs="David" w:hint="cs"/>
          <w:sz w:val="20"/>
          <w:szCs w:val="20"/>
          <w:rtl/>
        </w:rPr>
        <w:t xml:space="preserve"> והמתיה </w:t>
      </w:r>
      <w:r>
        <w:rPr>
          <w:rFonts w:cs="David" w:hint="cs"/>
          <w:sz w:val="20"/>
          <w:szCs w:val="20"/>
          <w:rtl/>
        </w:rPr>
        <w:t>בצמא</w:t>
      </w:r>
      <w:r w:rsidR="00D87F6F">
        <w:rPr>
          <w:rFonts w:cs="David"/>
          <w:sz w:val="20"/>
          <w:szCs w:val="20"/>
          <w:rtl/>
        </w:rPr>
        <w:t>”</w:t>
      </w:r>
      <w:r>
        <w:rPr>
          <w:rFonts w:cs="David" w:hint="cs"/>
          <w:sz w:val="20"/>
          <w:szCs w:val="20"/>
          <w:rtl/>
        </w:rPr>
        <w:t xml:space="preserve"> (ב, ה), ואולי יש בכך ביטוי לצורת המתה נוספת. אולם יתכן</w:t>
      </w:r>
      <w:r w:rsidRPr="00CB77C6">
        <w:rPr>
          <w:rFonts w:cs="David" w:hint="cs"/>
          <w:sz w:val="20"/>
          <w:szCs w:val="20"/>
          <w:rtl/>
        </w:rPr>
        <w:t xml:space="preserve"> </w:t>
      </w:r>
      <w:r>
        <w:rPr>
          <w:rFonts w:cs="David" w:hint="cs"/>
          <w:sz w:val="20"/>
          <w:szCs w:val="20"/>
          <w:rtl/>
        </w:rPr>
        <w:t>שבצורת המתה זו, שאינה נזכרת אצל נביאים אחרים</w:t>
      </w:r>
      <w:r w:rsidRPr="00CB77C6">
        <w:rPr>
          <w:rFonts w:cs="David" w:hint="cs"/>
          <w:sz w:val="20"/>
          <w:szCs w:val="20"/>
          <w:rtl/>
        </w:rPr>
        <w:t>,</w:t>
      </w:r>
      <w:r>
        <w:rPr>
          <w:rFonts w:cs="David" w:hint="cs"/>
          <w:sz w:val="20"/>
          <w:szCs w:val="20"/>
          <w:rtl/>
        </w:rPr>
        <w:t xml:space="preserve"> אין לראות צורה נוספת אלא ביטוי להמתה באמצעות כוס התרעלה. כך עשוי להשתמע </w:t>
      </w:r>
      <w:r w:rsidR="00EB6E50">
        <w:rPr>
          <w:rFonts w:cs="David" w:hint="cs"/>
          <w:sz w:val="20"/>
          <w:szCs w:val="20"/>
          <w:rtl/>
        </w:rPr>
        <w:t>מהדמיון הלשוני</w:t>
      </w:r>
      <w:r>
        <w:rPr>
          <w:rFonts w:cs="David" w:hint="cs"/>
          <w:sz w:val="20"/>
          <w:szCs w:val="20"/>
          <w:rtl/>
        </w:rPr>
        <w:t xml:space="preserve"> ב</w:t>
      </w:r>
      <w:r w:rsidR="00EB6E50">
        <w:rPr>
          <w:rFonts w:cs="David" w:hint="cs"/>
          <w:sz w:val="20"/>
          <w:szCs w:val="20"/>
          <w:rtl/>
        </w:rPr>
        <w:t>ין הושע ל</w:t>
      </w:r>
      <w:r>
        <w:rPr>
          <w:rFonts w:cs="David" w:hint="cs"/>
          <w:sz w:val="20"/>
          <w:szCs w:val="20"/>
          <w:rtl/>
        </w:rPr>
        <w:t>יחזקאל</w:t>
      </w:r>
      <w:r w:rsidRPr="00CB77C6">
        <w:rPr>
          <w:rFonts w:cs="David" w:hint="cs"/>
          <w:sz w:val="20"/>
          <w:szCs w:val="20"/>
          <w:rtl/>
        </w:rPr>
        <w:t xml:space="preserve">: </w:t>
      </w:r>
      <w:r w:rsidR="00D87F6F">
        <w:rPr>
          <w:rFonts w:cs="David"/>
          <w:sz w:val="20"/>
          <w:szCs w:val="20"/>
          <w:rtl/>
        </w:rPr>
        <w:t>“</w:t>
      </w:r>
      <w:r w:rsidRPr="00CB77C6">
        <w:rPr>
          <w:rFonts w:cs="David" w:hint="cs"/>
          <w:sz w:val="20"/>
          <w:szCs w:val="20"/>
          <w:rtl/>
        </w:rPr>
        <w:t xml:space="preserve">ועזבוך </w:t>
      </w:r>
      <w:r w:rsidRPr="00CB77C6">
        <w:rPr>
          <w:rFonts w:cs="David" w:hint="cs"/>
          <w:b/>
          <w:bCs/>
          <w:sz w:val="20"/>
          <w:szCs w:val="20"/>
          <w:rtl/>
        </w:rPr>
        <w:t>ערם</w:t>
      </w:r>
      <w:r w:rsidRPr="00CB77C6">
        <w:rPr>
          <w:rFonts w:cs="David" w:hint="cs"/>
          <w:sz w:val="20"/>
          <w:szCs w:val="20"/>
          <w:rtl/>
        </w:rPr>
        <w:t xml:space="preserve"> ועריה... כוס </w:t>
      </w:r>
      <w:r w:rsidRPr="00CB77C6">
        <w:rPr>
          <w:rFonts w:cs="David" w:hint="cs"/>
          <w:b/>
          <w:bCs/>
          <w:sz w:val="20"/>
          <w:szCs w:val="20"/>
          <w:rtl/>
        </w:rPr>
        <w:t>שמה ושממה</w:t>
      </w:r>
      <w:r w:rsidRPr="00CB77C6">
        <w:rPr>
          <w:rFonts w:cs="David" w:hint="cs"/>
          <w:sz w:val="20"/>
          <w:szCs w:val="20"/>
          <w:rtl/>
        </w:rPr>
        <w:t xml:space="preserve">... </w:t>
      </w:r>
      <w:r w:rsidRPr="00CB77C6">
        <w:rPr>
          <w:rFonts w:cs="David" w:hint="cs"/>
          <w:b/>
          <w:bCs/>
          <w:sz w:val="20"/>
          <w:szCs w:val="20"/>
          <w:rtl/>
        </w:rPr>
        <w:t>ושתית</w:t>
      </w:r>
      <w:r w:rsidRPr="00CB77C6">
        <w:rPr>
          <w:rFonts w:cs="David" w:hint="cs"/>
          <w:sz w:val="20"/>
          <w:szCs w:val="20"/>
          <w:rtl/>
        </w:rPr>
        <w:t xml:space="preserve"> אותה </w:t>
      </w:r>
      <w:r w:rsidRPr="00CB77C6">
        <w:rPr>
          <w:rFonts w:cs="David" w:hint="cs"/>
          <w:b/>
          <w:bCs/>
          <w:sz w:val="20"/>
          <w:szCs w:val="20"/>
          <w:rtl/>
        </w:rPr>
        <w:t>ומצית</w:t>
      </w:r>
      <w:r w:rsidRPr="00CB77C6">
        <w:rPr>
          <w:rFonts w:cs="David" w:hint="cs"/>
          <w:sz w:val="20"/>
          <w:szCs w:val="20"/>
          <w:rtl/>
        </w:rPr>
        <w:t xml:space="preserve"> ואת חרשיה תגרמי...</w:t>
      </w:r>
      <w:r w:rsidR="00D87F6F">
        <w:rPr>
          <w:rFonts w:cs="David"/>
          <w:sz w:val="20"/>
          <w:szCs w:val="20"/>
          <w:rtl/>
        </w:rPr>
        <w:t>”</w:t>
      </w:r>
      <w:r w:rsidRPr="00CB77C6">
        <w:rPr>
          <w:rFonts w:cs="David" w:hint="cs"/>
          <w:sz w:val="20"/>
          <w:szCs w:val="20"/>
          <w:rtl/>
        </w:rPr>
        <w:t xml:space="preserve"> (כג,</w:t>
      </w:r>
      <w:r>
        <w:rPr>
          <w:rFonts w:cs="David" w:hint="cs"/>
          <w:sz w:val="20"/>
          <w:szCs w:val="20"/>
          <w:rtl/>
        </w:rPr>
        <w:t xml:space="preserve"> כט-לד).</w:t>
      </w:r>
      <w:r w:rsidR="00EB6E50">
        <w:rPr>
          <w:rFonts w:cs="David" w:hint="cs"/>
          <w:sz w:val="20"/>
          <w:szCs w:val="20"/>
          <w:rtl/>
        </w:rPr>
        <w:t xml:space="preserve"> </w:t>
      </w:r>
      <w:r w:rsidR="00BE02B1">
        <w:rPr>
          <w:rFonts w:cs="David" w:hint="cs"/>
          <w:sz w:val="20"/>
          <w:szCs w:val="20"/>
          <w:rtl/>
        </w:rPr>
        <w:t xml:space="preserve">טרם הפשטתה אומר הושע: </w:t>
      </w:r>
      <w:r w:rsidR="00D87F6F">
        <w:rPr>
          <w:rFonts w:cs="David"/>
          <w:sz w:val="20"/>
          <w:szCs w:val="20"/>
          <w:rtl/>
        </w:rPr>
        <w:t>“</w:t>
      </w:r>
      <w:r w:rsidR="00BE02B1">
        <w:rPr>
          <w:rFonts w:cs="David" w:hint="cs"/>
          <w:sz w:val="20"/>
          <w:szCs w:val="20"/>
          <w:rtl/>
        </w:rPr>
        <w:t>ריבו באמכם ריבו כי היא לא אשתי ואנכי לא אישה</w:t>
      </w:r>
      <w:r w:rsidR="00D87F6F">
        <w:rPr>
          <w:rFonts w:cs="David"/>
          <w:sz w:val="20"/>
          <w:szCs w:val="20"/>
          <w:rtl/>
        </w:rPr>
        <w:t>”</w:t>
      </w:r>
      <w:r w:rsidR="00BE02B1">
        <w:rPr>
          <w:rFonts w:cs="David" w:hint="cs"/>
          <w:sz w:val="20"/>
          <w:szCs w:val="20"/>
          <w:rtl/>
        </w:rPr>
        <w:t xml:space="preserve"> (ב, ד)</w:t>
      </w:r>
      <w:r w:rsidR="00CB5AD8">
        <w:rPr>
          <w:rFonts w:cs="David" w:hint="cs"/>
          <w:sz w:val="20"/>
          <w:szCs w:val="20"/>
          <w:rtl/>
        </w:rPr>
        <w:t xml:space="preserve"> ובכך מוסיף את הגירושין למכלול מרכיבי הענישה. נחום נותן ביטוי למרכיב</w:t>
      </w:r>
      <w:r w:rsidR="007A0CF8">
        <w:rPr>
          <w:rFonts w:cs="David" w:hint="cs"/>
          <w:sz w:val="20"/>
          <w:szCs w:val="20"/>
          <w:rtl/>
        </w:rPr>
        <w:t xml:space="preserve"> נוסף: </w:t>
      </w:r>
      <w:r w:rsidR="00D87F6F">
        <w:rPr>
          <w:rFonts w:cs="David"/>
          <w:sz w:val="20"/>
          <w:szCs w:val="20"/>
          <w:rtl/>
        </w:rPr>
        <w:t>“</w:t>
      </w:r>
      <w:r w:rsidR="007A0CF8">
        <w:rPr>
          <w:rFonts w:cs="David" w:hint="cs"/>
          <w:sz w:val="20"/>
          <w:szCs w:val="20"/>
          <w:rtl/>
        </w:rPr>
        <w:t>והשלכתי עליך שקצים ונבלתיך</w:t>
      </w:r>
      <w:r w:rsidR="00D87F6F">
        <w:rPr>
          <w:rFonts w:cs="David"/>
          <w:sz w:val="20"/>
          <w:szCs w:val="20"/>
          <w:rtl/>
        </w:rPr>
        <w:t>”</w:t>
      </w:r>
      <w:r w:rsidR="007A0CF8">
        <w:rPr>
          <w:rFonts w:cs="David" w:hint="cs"/>
          <w:sz w:val="20"/>
          <w:szCs w:val="20"/>
          <w:rtl/>
        </w:rPr>
        <w:t xml:space="preserve"> (ג, ו).</w:t>
      </w:r>
      <w:r w:rsidR="00CB5AD8">
        <w:rPr>
          <w:rFonts w:cs="David" w:hint="cs"/>
          <w:sz w:val="20"/>
          <w:szCs w:val="20"/>
          <w:rtl/>
        </w:rPr>
        <w:t xml:space="preserve"> לדיון מקיף ראו: </w:t>
      </w:r>
      <w:r w:rsidR="00CB5AD8">
        <w:rPr>
          <w:rFonts w:cs="David"/>
          <w:noProof/>
          <w:sz w:val="20"/>
          <w:szCs w:val="20"/>
          <w:lang w:eastAsia="he-IL"/>
        </w:rPr>
        <w:t>R</w:t>
      </w:r>
      <w:r w:rsidR="00CB5AD8" w:rsidRPr="00CB5AD8">
        <w:rPr>
          <w:rFonts w:cs="David"/>
          <w:noProof/>
          <w:sz w:val="20"/>
          <w:szCs w:val="20"/>
          <w:lang w:eastAsia="he-IL"/>
        </w:rPr>
        <w:t xml:space="preserve">. Westbrook, </w:t>
      </w:r>
      <w:r w:rsidR="00D87F6F">
        <w:rPr>
          <w:rFonts w:cs="David"/>
          <w:noProof/>
          <w:sz w:val="20"/>
          <w:szCs w:val="20"/>
          <w:lang w:eastAsia="he-IL"/>
        </w:rPr>
        <w:t>“</w:t>
      </w:r>
      <w:r w:rsidR="00CB5AD8">
        <w:rPr>
          <w:rFonts w:cs="David"/>
          <w:noProof/>
          <w:sz w:val="20"/>
          <w:szCs w:val="20"/>
          <w:lang w:eastAsia="he-IL"/>
        </w:rPr>
        <w:t>A</w:t>
      </w:r>
      <w:r w:rsidR="00CB5AD8" w:rsidRPr="00CB5AD8">
        <w:rPr>
          <w:rFonts w:cs="David"/>
          <w:noProof/>
          <w:sz w:val="20"/>
          <w:szCs w:val="20"/>
          <w:lang w:eastAsia="he-IL"/>
        </w:rPr>
        <w:t>dultery</w:t>
      </w:r>
      <w:r w:rsidR="00CB5AD8">
        <w:rPr>
          <w:rFonts w:cs="David"/>
          <w:noProof/>
          <w:sz w:val="20"/>
          <w:szCs w:val="20"/>
          <w:lang w:eastAsia="he-IL"/>
        </w:rPr>
        <w:t xml:space="preserve"> in Ancient Near Eastern</w:t>
      </w:r>
      <w:r w:rsidR="00CB5AD8" w:rsidRPr="00CB5AD8">
        <w:rPr>
          <w:rFonts w:cs="David"/>
          <w:noProof/>
          <w:sz w:val="20"/>
          <w:szCs w:val="20"/>
          <w:lang w:eastAsia="he-IL"/>
        </w:rPr>
        <w:t xml:space="preserve"> </w:t>
      </w:r>
      <w:r w:rsidR="00CB5AD8">
        <w:rPr>
          <w:rFonts w:cs="David"/>
          <w:noProof/>
          <w:sz w:val="20"/>
          <w:szCs w:val="20"/>
          <w:lang w:eastAsia="he-IL"/>
        </w:rPr>
        <w:t>Law</w:t>
      </w:r>
      <w:r w:rsidR="00D87F6F">
        <w:rPr>
          <w:rFonts w:cs="David"/>
          <w:noProof/>
          <w:sz w:val="20"/>
          <w:szCs w:val="20"/>
          <w:lang w:eastAsia="he-IL"/>
        </w:rPr>
        <w:t>”</w:t>
      </w:r>
      <w:r w:rsidR="00CB5AD8">
        <w:rPr>
          <w:rFonts w:cs="David"/>
          <w:noProof/>
          <w:sz w:val="20"/>
          <w:szCs w:val="20"/>
          <w:lang w:eastAsia="he-IL"/>
        </w:rPr>
        <w:t>,</w:t>
      </w:r>
      <w:r w:rsidR="00CB5AD8" w:rsidRPr="00CB5AD8">
        <w:rPr>
          <w:rFonts w:cs="David"/>
          <w:noProof/>
          <w:sz w:val="20"/>
          <w:szCs w:val="20"/>
          <w:lang w:eastAsia="he-IL"/>
        </w:rPr>
        <w:t xml:space="preserve"> </w:t>
      </w:r>
      <w:r w:rsidR="00CB5AD8" w:rsidRPr="00CB5AD8">
        <w:rPr>
          <w:rFonts w:cs="David"/>
          <w:i/>
          <w:iCs/>
          <w:noProof/>
          <w:sz w:val="20"/>
          <w:szCs w:val="20"/>
          <w:lang w:eastAsia="he-IL"/>
        </w:rPr>
        <w:t>RB</w:t>
      </w:r>
      <w:r w:rsidR="00CB5AD8">
        <w:rPr>
          <w:rFonts w:cs="David"/>
          <w:noProof/>
          <w:sz w:val="20"/>
          <w:szCs w:val="20"/>
          <w:lang w:eastAsia="he-IL"/>
        </w:rPr>
        <w:t xml:space="preserve"> 97 (1990)</w:t>
      </w:r>
      <w:r w:rsidR="00983177">
        <w:rPr>
          <w:rFonts w:cs="David"/>
          <w:noProof/>
          <w:sz w:val="20"/>
          <w:szCs w:val="20"/>
          <w:lang w:eastAsia="he-IL"/>
        </w:rPr>
        <w:t>, pp.</w:t>
      </w:r>
      <w:r w:rsidR="00CB5AD8" w:rsidRPr="00CB5AD8">
        <w:rPr>
          <w:rFonts w:cs="David"/>
          <w:noProof/>
          <w:sz w:val="20"/>
          <w:szCs w:val="20"/>
          <w:lang w:eastAsia="he-IL"/>
        </w:rPr>
        <w:t xml:space="preserve"> 542–</w:t>
      </w:r>
      <w:r w:rsidR="00983177">
        <w:rPr>
          <w:rFonts w:cs="David"/>
          <w:noProof/>
          <w:sz w:val="20"/>
          <w:szCs w:val="20"/>
          <w:lang w:eastAsia="he-IL"/>
        </w:rPr>
        <w:t>5</w:t>
      </w:r>
      <w:r w:rsidR="00CB5AD8" w:rsidRPr="00CB5AD8">
        <w:rPr>
          <w:rFonts w:cs="David"/>
          <w:noProof/>
          <w:sz w:val="20"/>
          <w:szCs w:val="20"/>
          <w:lang w:eastAsia="he-IL"/>
        </w:rPr>
        <w:t>80</w:t>
      </w:r>
    </w:p>
  </w:footnote>
  <w:footnote w:id="34">
    <w:p w:rsidR="00E848B4" w:rsidRPr="00CB77C6" w:rsidRDefault="00E848B4" w:rsidP="00F77D55">
      <w:pPr>
        <w:spacing w:line="360" w:lineRule="auto"/>
        <w:jc w:val="both"/>
        <w:rPr>
          <w:rFonts w:cs="David"/>
          <w:sz w:val="20"/>
          <w:szCs w:val="20"/>
          <w:rtl/>
        </w:rPr>
      </w:pPr>
      <w:r w:rsidRPr="00B06645">
        <w:rPr>
          <w:rStyle w:val="FootnoteReference"/>
          <w:sz w:val="20"/>
          <w:szCs w:val="20"/>
        </w:rPr>
        <w:footnoteRef/>
      </w:r>
      <w:r>
        <w:rPr>
          <w:rtl/>
        </w:rPr>
        <w:t xml:space="preserve"> </w:t>
      </w:r>
      <w:r>
        <w:rPr>
          <w:rFonts w:cs="David" w:hint="cs"/>
          <w:sz w:val="20"/>
          <w:szCs w:val="20"/>
          <w:rtl/>
        </w:rPr>
        <w:t xml:space="preserve">גם אם </w:t>
      </w:r>
      <w:r w:rsidR="00F77D55">
        <w:rPr>
          <w:rFonts w:cs="David" w:hint="cs"/>
          <w:sz w:val="20"/>
          <w:szCs w:val="20"/>
          <w:rtl/>
        </w:rPr>
        <w:t>לא</w:t>
      </w:r>
      <w:r>
        <w:rPr>
          <w:rFonts w:cs="David" w:hint="cs"/>
          <w:sz w:val="20"/>
          <w:szCs w:val="20"/>
          <w:rtl/>
        </w:rPr>
        <w:t xml:space="preserve"> מתה כתוצאה מהסקילה, היא בוודאי מתה לאחר הביתוק בחרב. </w:t>
      </w:r>
      <w:r w:rsidR="00584ECD">
        <w:rPr>
          <w:rFonts w:cs="David" w:hint="cs"/>
          <w:sz w:val="20"/>
          <w:szCs w:val="20"/>
          <w:rtl/>
        </w:rPr>
        <w:t>רוזן-צבי, מבט, עמ</w:t>
      </w:r>
      <w:r w:rsidR="00D87F6F">
        <w:rPr>
          <w:rFonts w:cs="David"/>
          <w:sz w:val="20"/>
          <w:szCs w:val="20"/>
          <w:rtl/>
        </w:rPr>
        <w:t>’</w:t>
      </w:r>
      <w:r w:rsidR="00584ECD">
        <w:rPr>
          <w:rFonts w:cs="David" w:hint="cs"/>
          <w:sz w:val="20"/>
          <w:szCs w:val="20"/>
          <w:rtl/>
        </w:rPr>
        <w:t xml:space="preserve"> 179</w:t>
      </w:r>
      <w:r w:rsidR="00584ECD">
        <w:rPr>
          <w:rFonts w:cs="David" w:hint="cs"/>
          <w:sz w:val="20"/>
          <w:szCs w:val="20"/>
          <w:rtl/>
        </w:rPr>
        <w:softHyphen/>
        <w:t>-180 מניח שהיא הומתה בסקילה ושהביתוק בחרב אינו אלא התעללות בגופה לאחר המוות</w:t>
      </w:r>
      <w:r w:rsidR="007B1B47">
        <w:rPr>
          <w:rFonts w:cs="David" w:hint="cs"/>
          <w:sz w:val="20"/>
          <w:szCs w:val="20"/>
          <w:rtl/>
        </w:rPr>
        <w:t>, פעולה שהוא מניח שמאפיינת לינץ</w:t>
      </w:r>
      <w:r w:rsidR="00D87F6F">
        <w:rPr>
          <w:rFonts w:cs="David"/>
          <w:sz w:val="20"/>
          <w:szCs w:val="20"/>
          <w:rtl/>
        </w:rPr>
        <w:t>’</w:t>
      </w:r>
      <w:r w:rsidR="007B1B47">
        <w:rPr>
          <w:rFonts w:cs="David" w:hint="cs"/>
          <w:sz w:val="20"/>
          <w:szCs w:val="20"/>
          <w:rtl/>
        </w:rPr>
        <w:t xml:space="preserve"> ציבורי.</w:t>
      </w:r>
      <w:r w:rsidR="00D87F6F">
        <w:rPr>
          <w:rFonts w:cs="David" w:hint="cs"/>
          <w:sz w:val="20"/>
          <w:szCs w:val="20"/>
          <w:rtl/>
        </w:rPr>
        <w:t xml:space="preserve"> </w:t>
      </w:r>
    </w:p>
  </w:footnote>
  <w:footnote w:id="35">
    <w:p w:rsidR="00EB114E" w:rsidRPr="00F21698" w:rsidRDefault="00EB114E" w:rsidP="00196165">
      <w:pPr>
        <w:pStyle w:val="FootnoteText"/>
        <w:spacing w:line="360" w:lineRule="auto"/>
        <w:jc w:val="both"/>
        <w:rPr>
          <w:rFonts w:cs="David"/>
          <w:rtl/>
        </w:rPr>
      </w:pPr>
      <w:r>
        <w:rPr>
          <w:rStyle w:val="FootnoteReference"/>
        </w:rPr>
        <w:footnoteRef/>
      </w:r>
      <w:r>
        <w:rPr>
          <w:rtl/>
        </w:rPr>
        <w:t xml:space="preserve"> </w:t>
      </w:r>
      <w:r w:rsidRPr="00EB114E">
        <w:rPr>
          <w:rFonts w:cs="David" w:hint="cs"/>
          <w:rtl/>
        </w:rPr>
        <w:t>מאפיינים אלו מובילים חוקרים אחדים להניח</w:t>
      </w:r>
      <w:r w:rsidR="007B1B47" w:rsidRPr="00EB114E">
        <w:rPr>
          <w:rFonts w:cs="David" w:hint="cs"/>
          <w:rtl/>
        </w:rPr>
        <w:t xml:space="preserve">, כפי </w:t>
      </w:r>
      <w:r w:rsidR="007B1B47">
        <w:rPr>
          <w:rFonts w:cs="David" w:hint="cs"/>
          <w:rtl/>
        </w:rPr>
        <w:t>שהובהר למעלה בנוגע לכוס התרעלה,</w:t>
      </w:r>
      <w:r w:rsidRPr="00EB114E">
        <w:rPr>
          <w:rFonts w:cs="David" w:hint="cs"/>
          <w:rtl/>
        </w:rPr>
        <w:t xml:space="preserve"> כי למכלול תיאורי עונשן של הנשים</w:t>
      </w:r>
      <w:r w:rsidR="007B1B47" w:rsidRPr="007B1B47">
        <w:rPr>
          <w:rFonts w:cs="David" w:hint="cs"/>
          <w:rtl/>
        </w:rPr>
        <w:t xml:space="preserve"> </w:t>
      </w:r>
      <w:r w:rsidR="007B1B47" w:rsidRPr="00EB114E">
        <w:rPr>
          <w:rFonts w:cs="David" w:hint="cs"/>
          <w:rtl/>
        </w:rPr>
        <w:t>יש להתייחס</w:t>
      </w:r>
      <w:r w:rsidR="00117821">
        <w:rPr>
          <w:rFonts w:cs="David" w:hint="cs"/>
          <w:rtl/>
        </w:rPr>
        <w:t xml:space="preserve"> </w:t>
      </w:r>
      <w:r w:rsidRPr="00EB114E">
        <w:rPr>
          <w:rFonts w:cs="David" w:hint="cs"/>
          <w:rtl/>
        </w:rPr>
        <w:t>כביטויים ספרותיים ולא כביטויים שמשתקפת בהם דרכי ענישה ריאליים.</w:t>
      </w:r>
      <w:r>
        <w:rPr>
          <w:rFonts w:cs="David" w:hint="cs"/>
          <w:rtl/>
        </w:rPr>
        <w:t xml:space="preserve"> דיי מבססת טענה זו על העובדה שבנבואות השונות קיים טשטוש</w:t>
      </w:r>
      <w:r>
        <w:rPr>
          <w:rFonts w:cs="David" w:hint="cs"/>
          <w:rtl/>
          <w:lang w:val="en-US"/>
        </w:rPr>
        <w:t xml:space="preserve"> בין האשמת האישה בניאוף להאשמתה בזנות</w:t>
      </w:r>
      <w:r w:rsidR="00276C39">
        <w:rPr>
          <w:rFonts w:cs="David" w:hint="cs"/>
          <w:rtl/>
          <w:lang w:val="en-US"/>
        </w:rPr>
        <w:t xml:space="preserve"> וכן על תיאור הביתוק בחרב שאין לו מקבילות בחוקי המקרא והמזרח הקדום</w:t>
      </w:r>
      <w:r>
        <w:rPr>
          <w:rFonts w:cs="David" w:hint="cs"/>
          <w:rtl/>
          <w:lang w:val="en-US"/>
        </w:rPr>
        <w:t xml:space="preserve">, ראו: </w:t>
      </w:r>
      <w:r>
        <w:rPr>
          <w:rFonts w:cs="David"/>
          <w:lang w:val="en-US"/>
        </w:rPr>
        <w:t xml:space="preserve">P.L. Day, </w:t>
      </w:r>
      <w:r w:rsidR="00D87F6F">
        <w:rPr>
          <w:rFonts w:cs="David"/>
          <w:lang w:val="en-US"/>
        </w:rPr>
        <w:t>‘</w:t>
      </w:r>
      <w:r>
        <w:rPr>
          <w:rFonts w:cs="David"/>
          <w:lang w:val="en-US"/>
        </w:rPr>
        <w:t>Adulterous Jerusalem</w:t>
      </w:r>
      <w:r w:rsidR="00D87F6F">
        <w:rPr>
          <w:rFonts w:cs="David"/>
          <w:lang w:val="en-US"/>
        </w:rPr>
        <w:t>’</w:t>
      </w:r>
      <w:r>
        <w:rPr>
          <w:rFonts w:cs="David"/>
          <w:lang w:val="en-US"/>
        </w:rPr>
        <w:t xml:space="preserve">s Imagined </w:t>
      </w:r>
      <w:r w:rsidRPr="00276C39">
        <w:rPr>
          <w:rFonts w:cs="David"/>
          <w:lang w:val="en-US"/>
        </w:rPr>
        <w:t>Demise: Death of a Metaphor in Ezekiel 16</w:t>
      </w:r>
      <w:r w:rsidR="00D87F6F">
        <w:rPr>
          <w:rFonts w:cs="David"/>
          <w:lang w:val="en-US"/>
        </w:rPr>
        <w:t>’</w:t>
      </w:r>
      <w:r w:rsidRPr="00276C39">
        <w:rPr>
          <w:rFonts w:cs="David"/>
          <w:lang w:val="en-US"/>
        </w:rPr>
        <w:t xml:space="preserve">, </w:t>
      </w:r>
      <w:r w:rsidRPr="00276C39">
        <w:rPr>
          <w:rFonts w:cs="David"/>
          <w:i/>
          <w:iCs/>
          <w:lang w:val="en-US"/>
        </w:rPr>
        <w:t>VT</w:t>
      </w:r>
      <w:r w:rsidRPr="00276C39">
        <w:rPr>
          <w:rFonts w:cs="David"/>
          <w:lang w:val="en-US"/>
        </w:rPr>
        <w:t xml:space="preserve"> 50 (2000), pp. 299-30</w:t>
      </w:r>
      <w:r w:rsidR="00276C39" w:rsidRPr="00276C39">
        <w:rPr>
          <w:rFonts w:cs="David"/>
          <w:lang w:val="en-US"/>
        </w:rPr>
        <w:t>5</w:t>
      </w:r>
      <w:r w:rsidR="00993D27" w:rsidRPr="00276C39">
        <w:rPr>
          <w:rFonts w:cs="David" w:hint="cs"/>
          <w:rtl/>
          <w:lang w:val="en-US"/>
        </w:rPr>
        <w:t xml:space="preserve">. </w:t>
      </w:r>
    </w:p>
  </w:footnote>
  <w:footnote w:id="36">
    <w:p w:rsidR="00F55CEA" w:rsidRPr="008844A0" w:rsidRDefault="00F55CEA" w:rsidP="00115394">
      <w:pPr>
        <w:pStyle w:val="FootnoteText"/>
        <w:spacing w:line="360" w:lineRule="auto"/>
        <w:jc w:val="both"/>
        <w:rPr>
          <w:rFonts w:cs="David"/>
        </w:rPr>
      </w:pPr>
      <w:r>
        <w:rPr>
          <w:rStyle w:val="FootnoteReference"/>
        </w:rPr>
        <w:footnoteRef/>
      </w:r>
      <w:r>
        <w:rPr>
          <w:rFonts w:hint="cs"/>
          <w:rtl/>
        </w:rPr>
        <w:t xml:space="preserve"> </w:t>
      </w:r>
      <w:r w:rsidR="003F4AA4">
        <w:rPr>
          <w:rFonts w:ascii="David" w:hAnsi="David" w:cs="David" w:hint="cs"/>
          <w:rtl/>
        </w:rPr>
        <w:t xml:space="preserve">בשלוש הנבואות הוא גם קורא את גזר הדין: </w:t>
      </w:r>
      <w:r w:rsidR="00D87F6F">
        <w:rPr>
          <w:rFonts w:ascii="David" w:hAnsi="David" w:cs="David"/>
          <w:rtl/>
        </w:rPr>
        <w:t>“</w:t>
      </w:r>
      <w:r w:rsidR="003F4AA4">
        <w:rPr>
          <w:rFonts w:ascii="David" w:hAnsi="David" w:cs="David" w:hint="cs"/>
          <w:rtl/>
        </w:rPr>
        <w:t>לכן... שמעי דבר ה</w:t>
      </w:r>
      <w:r w:rsidR="00D87F6F">
        <w:rPr>
          <w:rFonts w:ascii="David" w:hAnsi="David" w:cs="David"/>
          <w:rtl/>
        </w:rPr>
        <w:t>’</w:t>
      </w:r>
      <w:r w:rsidR="003F4AA4">
        <w:rPr>
          <w:rFonts w:ascii="David" w:hAnsi="David" w:cs="David" w:hint="cs"/>
          <w:rtl/>
        </w:rPr>
        <w:t xml:space="preserve"> / כה אמר ה</w:t>
      </w:r>
      <w:r w:rsidR="00D87F6F">
        <w:rPr>
          <w:rFonts w:ascii="David" w:hAnsi="David" w:cs="David"/>
          <w:rtl/>
        </w:rPr>
        <w:t>’</w:t>
      </w:r>
      <w:r w:rsidR="003F4AA4">
        <w:rPr>
          <w:rFonts w:ascii="David" w:hAnsi="David" w:cs="David" w:hint="cs"/>
          <w:rtl/>
        </w:rPr>
        <w:t>...</w:t>
      </w:r>
      <w:r w:rsidR="00D87F6F">
        <w:rPr>
          <w:rFonts w:ascii="David" w:hAnsi="David" w:cs="David"/>
          <w:rtl/>
        </w:rPr>
        <w:t>”</w:t>
      </w:r>
      <w:r w:rsidR="003F4AA4">
        <w:rPr>
          <w:rFonts w:ascii="David" w:hAnsi="David" w:cs="David" w:hint="cs"/>
          <w:rtl/>
        </w:rPr>
        <w:t xml:space="preserve"> (טז, לה-לו; כג, כב, מו).</w:t>
      </w:r>
    </w:p>
  </w:footnote>
  <w:footnote w:id="37">
    <w:p w:rsidR="008844A0" w:rsidRPr="004B6762" w:rsidRDefault="008844A0" w:rsidP="00776E3D">
      <w:pPr>
        <w:spacing w:line="360" w:lineRule="auto"/>
        <w:jc w:val="both"/>
        <w:rPr>
          <w:rFonts w:ascii="David" w:hAnsi="David" w:cs="David"/>
          <w:sz w:val="20"/>
          <w:szCs w:val="20"/>
        </w:rPr>
      </w:pPr>
      <w:r w:rsidRPr="004B6762">
        <w:rPr>
          <w:rStyle w:val="FootnoteReference"/>
          <w:sz w:val="20"/>
          <w:szCs w:val="20"/>
        </w:rPr>
        <w:footnoteRef/>
      </w:r>
      <w:r w:rsidRPr="004B6762">
        <w:rPr>
          <w:rFonts w:hint="cs"/>
          <w:sz w:val="20"/>
          <w:szCs w:val="20"/>
          <w:rtl/>
        </w:rPr>
        <w:t xml:space="preserve"> </w:t>
      </w:r>
      <w:r w:rsidR="004B6762" w:rsidRPr="004B6762">
        <w:rPr>
          <w:rFonts w:ascii="David" w:hAnsi="David" w:cs="David" w:hint="cs"/>
          <w:sz w:val="20"/>
          <w:szCs w:val="20"/>
          <w:rtl/>
        </w:rPr>
        <w:t xml:space="preserve">לעתים </w:t>
      </w:r>
      <w:r w:rsidR="00E07AB1" w:rsidRPr="004B6762">
        <w:rPr>
          <w:rFonts w:ascii="David" w:hAnsi="David" w:cs="David" w:hint="cs"/>
          <w:sz w:val="20"/>
          <w:szCs w:val="20"/>
          <w:rtl/>
        </w:rPr>
        <w:t>ההוצאה לפועל נעשית במשותף, כך למשל</w:t>
      </w:r>
      <w:r w:rsidRPr="004B6762">
        <w:rPr>
          <w:rFonts w:ascii="David" w:hAnsi="David" w:cs="David" w:hint="cs"/>
          <w:sz w:val="20"/>
          <w:szCs w:val="20"/>
          <w:rtl/>
        </w:rPr>
        <w:t xml:space="preserve"> </w:t>
      </w:r>
      <w:r w:rsidRPr="004B6762">
        <w:rPr>
          <w:rFonts w:cs="David" w:hint="cs"/>
          <w:sz w:val="20"/>
          <w:szCs w:val="20"/>
          <w:rtl/>
        </w:rPr>
        <w:t>בפרק ט</w:t>
      </w:r>
      <w:r w:rsidR="00D87F6F">
        <w:rPr>
          <w:rFonts w:cs="David"/>
          <w:sz w:val="20"/>
          <w:szCs w:val="20"/>
          <w:rtl/>
        </w:rPr>
        <w:t>”</w:t>
      </w:r>
      <w:r w:rsidRPr="004B6762">
        <w:rPr>
          <w:rFonts w:cs="David" w:hint="cs"/>
          <w:sz w:val="20"/>
          <w:szCs w:val="20"/>
          <w:rtl/>
        </w:rPr>
        <w:t>ז שבו אלוהים מגלה את הערווה (פס</w:t>
      </w:r>
      <w:r w:rsidR="00D87F6F">
        <w:rPr>
          <w:rFonts w:cs="David"/>
          <w:sz w:val="20"/>
          <w:szCs w:val="20"/>
          <w:rtl/>
        </w:rPr>
        <w:t>’</w:t>
      </w:r>
      <w:r w:rsidRPr="004B6762">
        <w:rPr>
          <w:rFonts w:cs="David" w:hint="cs"/>
          <w:sz w:val="20"/>
          <w:szCs w:val="20"/>
          <w:rtl/>
        </w:rPr>
        <w:t xml:space="preserve"> לז) אך המאהבים הם המפשיטים את הבגדים (פס</w:t>
      </w:r>
      <w:r w:rsidR="00D87F6F">
        <w:rPr>
          <w:rFonts w:cs="David"/>
          <w:sz w:val="20"/>
          <w:szCs w:val="20"/>
          <w:rtl/>
        </w:rPr>
        <w:t>’</w:t>
      </w:r>
      <w:r w:rsidRPr="004B6762">
        <w:rPr>
          <w:rFonts w:cs="David" w:hint="cs"/>
          <w:sz w:val="20"/>
          <w:szCs w:val="20"/>
          <w:rtl/>
        </w:rPr>
        <w:t xml:space="preserve"> לט). בשל </w:t>
      </w:r>
      <w:r w:rsidR="00E07AB1" w:rsidRPr="004B6762">
        <w:rPr>
          <w:rFonts w:cs="David" w:hint="cs"/>
          <w:sz w:val="20"/>
          <w:szCs w:val="20"/>
          <w:rtl/>
        </w:rPr>
        <w:t>כפילות</w:t>
      </w:r>
      <w:r w:rsidRPr="004B6762">
        <w:rPr>
          <w:rFonts w:cs="David" w:hint="cs"/>
          <w:sz w:val="20"/>
          <w:szCs w:val="20"/>
          <w:rtl/>
        </w:rPr>
        <w:t xml:space="preserve"> זו צימרלי מציע להתייחס לפס</w:t>
      </w:r>
      <w:r w:rsidR="00D87F6F">
        <w:rPr>
          <w:rFonts w:cs="David"/>
          <w:sz w:val="20"/>
          <w:szCs w:val="20"/>
          <w:rtl/>
        </w:rPr>
        <w:t>’</w:t>
      </w:r>
      <w:r w:rsidRPr="004B6762">
        <w:rPr>
          <w:rFonts w:cs="David" w:hint="cs"/>
          <w:sz w:val="20"/>
          <w:szCs w:val="20"/>
          <w:rtl/>
        </w:rPr>
        <w:t xml:space="preserve"> לו-לח כתוספת שנועדה להציג את אלוהים כמי שמבצע בעצמו את העונש, ראו: </w:t>
      </w:r>
      <w:r w:rsidRPr="004B6762">
        <w:rPr>
          <w:rFonts w:cs="David"/>
          <w:sz w:val="20"/>
          <w:szCs w:val="20"/>
        </w:rPr>
        <w:t>W. Zimmerly, Ezekiel 1 (Trans. By R.E. Clements</w:t>
      </w:r>
      <w:r w:rsidR="000B3F7F" w:rsidRPr="004B6762">
        <w:rPr>
          <w:rFonts w:cs="David"/>
          <w:sz w:val="20"/>
          <w:szCs w:val="20"/>
        </w:rPr>
        <w:t>), Philadelphia 1979, p. 347</w:t>
      </w:r>
    </w:p>
  </w:footnote>
  <w:footnote w:id="38">
    <w:p w:rsidR="00202828" w:rsidRPr="00343470" w:rsidRDefault="00202828" w:rsidP="00202828">
      <w:pPr>
        <w:pStyle w:val="FootnoteText"/>
        <w:spacing w:line="360" w:lineRule="auto"/>
        <w:jc w:val="both"/>
        <w:rPr>
          <w:rFonts w:cs="David"/>
          <w:rtl/>
        </w:rPr>
      </w:pPr>
      <w:r>
        <w:rPr>
          <w:rStyle w:val="FootnoteReference"/>
        </w:rPr>
        <w:footnoteRef/>
      </w:r>
      <w:r>
        <w:rPr>
          <w:rtl/>
        </w:rPr>
        <w:t xml:space="preserve"> </w:t>
      </w:r>
      <w:r>
        <w:rPr>
          <w:rFonts w:cs="David" w:hint="cs"/>
          <w:rtl/>
        </w:rPr>
        <w:t xml:space="preserve">אוסוולט מפקפק בהצעה המקובלת להתייחס למילה </w:t>
      </w:r>
      <w:r w:rsidR="00D87F6F">
        <w:rPr>
          <w:rFonts w:cs="David"/>
          <w:rtl/>
        </w:rPr>
        <w:t>“</w:t>
      </w:r>
      <w:r>
        <w:rPr>
          <w:rFonts w:cs="David" w:hint="cs"/>
          <w:rtl/>
        </w:rPr>
        <w:t>כוס</w:t>
      </w:r>
      <w:r w:rsidR="00D87F6F">
        <w:rPr>
          <w:rFonts w:cs="David"/>
          <w:rtl/>
        </w:rPr>
        <w:t>”</w:t>
      </w:r>
      <w:r>
        <w:rPr>
          <w:rFonts w:cs="David" w:hint="cs"/>
          <w:rtl/>
        </w:rPr>
        <w:t xml:space="preserve"> כגלוסה למילה </w:t>
      </w:r>
      <w:r w:rsidR="00D87F6F">
        <w:rPr>
          <w:rFonts w:cs="David"/>
          <w:rtl/>
        </w:rPr>
        <w:t>“</w:t>
      </w:r>
      <w:r>
        <w:rPr>
          <w:rFonts w:cs="David" w:hint="cs"/>
          <w:rtl/>
        </w:rPr>
        <w:t>קבעת</w:t>
      </w:r>
      <w:r w:rsidR="00D87F6F">
        <w:rPr>
          <w:rFonts w:cs="David"/>
          <w:rtl/>
        </w:rPr>
        <w:t>”</w:t>
      </w:r>
      <w:r>
        <w:rPr>
          <w:rFonts w:cs="David" w:hint="cs"/>
          <w:rtl/>
        </w:rPr>
        <w:t xml:space="preserve">. ראו: </w:t>
      </w:r>
      <w:r w:rsidRPr="00624C14">
        <w:rPr>
          <w:rFonts w:cs="David"/>
        </w:rPr>
        <w:t>J.</w:t>
      </w:r>
      <w:r>
        <w:rPr>
          <w:rFonts w:cs="David"/>
        </w:rPr>
        <w:t xml:space="preserve"> </w:t>
      </w:r>
      <w:r w:rsidRPr="00624C14">
        <w:rPr>
          <w:rFonts w:cs="David"/>
        </w:rPr>
        <w:t xml:space="preserve">N. Oswalt, </w:t>
      </w:r>
      <w:r w:rsidRPr="00624C14">
        <w:rPr>
          <w:rFonts w:cs="David"/>
          <w:i/>
          <w:iCs/>
        </w:rPr>
        <w:t>The Book of Isaiah: Chapters 40-66</w:t>
      </w:r>
      <w:r w:rsidRPr="00624C14">
        <w:rPr>
          <w:rFonts w:cs="David"/>
        </w:rPr>
        <w:t xml:space="preserve"> (NICOT), Grand Rapids, Michigan 1998</w:t>
      </w:r>
      <w:r>
        <w:rPr>
          <w:rFonts w:cs="David"/>
          <w:lang w:val="en-US"/>
        </w:rPr>
        <w:t>, p.349, no. 73</w:t>
      </w:r>
      <w:r>
        <w:rPr>
          <w:rFonts w:cs="David" w:hint="cs"/>
          <w:rtl/>
          <w:lang w:val="en-US"/>
        </w:rPr>
        <w:t xml:space="preserve">. </w:t>
      </w:r>
      <w:r>
        <w:rPr>
          <w:rFonts w:cs="David" w:hint="cs"/>
          <w:rtl/>
        </w:rPr>
        <w:t>באופן דומה, הוא טוען (בהע</w:t>
      </w:r>
      <w:r w:rsidR="00D87F6F">
        <w:rPr>
          <w:rFonts w:cs="David"/>
          <w:rtl/>
        </w:rPr>
        <w:t>’</w:t>
      </w:r>
      <w:r>
        <w:rPr>
          <w:rFonts w:cs="David" w:hint="cs"/>
          <w:rtl/>
        </w:rPr>
        <w:t xml:space="preserve"> 75) ששתי מילות הסיום </w:t>
      </w:r>
      <w:r w:rsidR="00D87F6F">
        <w:rPr>
          <w:rFonts w:cs="David"/>
          <w:rtl/>
        </w:rPr>
        <w:t>“</w:t>
      </w:r>
      <w:r>
        <w:rPr>
          <w:rFonts w:cs="David" w:hint="cs"/>
          <w:rtl/>
        </w:rPr>
        <w:t>שתית מצית</w:t>
      </w:r>
      <w:r w:rsidR="00D87F6F">
        <w:rPr>
          <w:rFonts w:cs="David"/>
          <w:rtl/>
        </w:rPr>
        <w:t>”</w:t>
      </w:r>
      <w:r>
        <w:rPr>
          <w:rFonts w:cs="David" w:hint="cs"/>
          <w:rtl/>
        </w:rPr>
        <w:t xml:space="preserve"> אף הן מקוריות בפסוק. תמיכה לכך ניתן למצוא בכתובים נוספים: </w:t>
      </w:r>
      <w:r w:rsidR="00D87F6F">
        <w:rPr>
          <w:rFonts w:cs="David"/>
          <w:rtl/>
        </w:rPr>
        <w:t>“</w:t>
      </w:r>
      <w:r>
        <w:rPr>
          <w:rFonts w:cs="David" w:hint="cs"/>
          <w:rtl/>
        </w:rPr>
        <w:t>ושתית אותה ומצית</w:t>
      </w:r>
      <w:r w:rsidR="00D87F6F">
        <w:rPr>
          <w:rFonts w:cs="David"/>
          <w:rtl/>
        </w:rPr>
        <w:t>”</w:t>
      </w:r>
      <w:r>
        <w:rPr>
          <w:rFonts w:cs="David" w:hint="cs"/>
          <w:rtl/>
        </w:rPr>
        <w:t xml:space="preserve"> (יח</w:t>
      </w:r>
      <w:r w:rsidR="00D87F6F">
        <w:rPr>
          <w:rFonts w:cs="David"/>
          <w:rtl/>
        </w:rPr>
        <w:t>’</w:t>
      </w:r>
      <w:r>
        <w:rPr>
          <w:rFonts w:cs="David" w:hint="cs"/>
          <w:rtl/>
        </w:rPr>
        <w:t xml:space="preserve"> כג, לד); </w:t>
      </w:r>
      <w:r w:rsidR="00D87F6F">
        <w:rPr>
          <w:rFonts w:cs="David"/>
          <w:rtl/>
        </w:rPr>
        <w:t>“</w:t>
      </w:r>
      <w:r>
        <w:rPr>
          <w:rFonts w:cs="David" w:hint="cs"/>
          <w:rtl/>
        </w:rPr>
        <w:t>ימצו ישתו</w:t>
      </w:r>
      <w:r w:rsidR="00D87F6F">
        <w:rPr>
          <w:rFonts w:cs="David"/>
          <w:rtl/>
        </w:rPr>
        <w:t>”</w:t>
      </w:r>
      <w:r>
        <w:rPr>
          <w:rFonts w:cs="David" w:hint="cs"/>
          <w:rtl/>
        </w:rPr>
        <w:t xml:space="preserve"> (תה</w:t>
      </w:r>
      <w:r w:rsidR="00D87F6F">
        <w:rPr>
          <w:rFonts w:cs="David"/>
          <w:rtl/>
        </w:rPr>
        <w:t>’</w:t>
      </w:r>
      <w:r>
        <w:rPr>
          <w:rFonts w:cs="David" w:hint="cs"/>
          <w:rtl/>
        </w:rPr>
        <w:t xml:space="preserve"> עה, ט).</w:t>
      </w:r>
    </w:p>
  </w:footnote>
  <w:footnote w:id="39">
    <w:p w:rsidR="00202828" w:rsidRPr="00367679" w:rsidRDefault="00202828" w:rsidP="00202828">
      <w:pPr>
        <w:pStyle w:val="FootnoteText"/>
        <w:spacing w:line="360" w:lineRule="auto"/>
        <w:jc w:val="both"/>
        <w:rPr>
          <w:rFonts w:cs="David"/>
        </w:rPr>
      </w:pPr>
      <w:r>
        <w:rPr>
          <w:rStyle w:val="FootnoteReference"/>
        </w:rPr>
        <w:footnoteRef/>
      </w:r>
      <w:r>
        <w:rPr>
          <w:rtl/>
        </w:rPr>
        <w:t xml:space="preserve"> </w:t>
      </w:r>
      <w:r w:rsidRPr="00624C14">
        <w:rPr>
          <w:rFonts w:cs="David"/>
        </w:rPr>
        <w:t>H.</w:t>
      </w:r>
      <w:r>
        <w:rPr>
          <w:rFonts w:cs="David"/>
        </w:rPr>
        <w:t xml:space="preserve"> </w:t>
      </w:r>
      <w:r w:rsidRPr="00624C14">
        <w:rPr>
          <w:rFonts w:cs="David"/>
        </w:rPr>
        <w:t xml:space="preserve">R. Cohen, </w:t>
      </w:r>
      <w:r w:rsidRPr="00624C14">
        <w:rPr>
          <w:rFonts w:cs="David"/>
          <w:i/>
          <w:iCs/>
        </w:rPr>
        <w:t>Biblical Hapax Legomena in the Light of Akkadian and Ugaritic,</w:t>
      </w:r>
      <w:r w:rsidRPr="00624C14">
        <w:rPr>
          <w:rFonts w:cs="David"/>
        </w:rPr>
        <w:t xml:space="preserve"> Missoula, Montana 1978</w:t>
      </w:r>
      <w:r>
        <w:rPr>
          <w:rFonts w:cs="David"/>
          <w:lang w:val="en-US"/>
        </w:rPr>
        <w:t xml:space="preserve">, pp. 85-86; </w:t>
      </w:r>
      <w:r w:rsidRPr="00624C14">
        <w:rPr>
          <w:lang w:bidi="ar-SA"/>
        </w:rPr>
        <w:t xml:space="preserve">J. Goldingay, </w:t>
      </w:r>
      <w:r w:rsidRPr="00624C14">
        <w:rPr>
          <w:i/>
          <w:iCs/>
          <w:lang w:bidi="ar-SA"/>
        </w:rPr>
        <w:t>Isaiah</w:t>
      </w:r>
      <w:r w:rsidRPr="00624C14">
        <w:rPr>
          <w:lang w:bidi="ar-SA"/>
        </w:rPr>
        <w:t xml:space="preserve"> (NIBC)</w:t>
      </w:r>
      <w:r>
        <w:rPr>
          <w:lang w:bidi="ar-SA"/>
        </w:rPr>
        <w:t>, Peabody, Massachusetts 200</w:t>
      </w:r>
      <w:r>
        <w:rPr>
          <w:lang w:val="en-US"/>
        </w:rPr>
        <w:t>1, p. 297</w:t>
      </w:r>
    </w:p>
  </w:footnote>
  <w:footnote w:id="40">
    <w:p w:rsidR="00202828" w:rsidRPr="00343470" w:rsidRDefault="00202828" w:rsidP="00126600">
      <w:pPr>
        <w:pStyle w:val="FootnoteText"/>
        <w:spacing w:line="360" w:lineRule="auto"/>
        <w:jc w:val="both"/>
        <w:rPr>
          <w:rFonts w:cs="David"/>
          <w:rtl/>
        </w:rPr>
      </w:pPr>
      <w:r>
        <w:rPr>
          <w:rStyle w:val="FootnoteReference"/>
        </w:rPr>
        <w:footnoteRef/>
      </w:r>
      <w:r>
        <w:rPr>
          <w:rtl/>
        </w:rPr>
        <w:t xml:space="preserve"> </w:t>
      </w:r>
      <w:r>
        <w:rPr>
          <w:rFonts w:cs="David" w:hint="cs"/>
          <w:rtl/>
        </w:rPr>
        <w:t xml:space="preserve">השימוש בארסו של הנחש להשקיית הנואפת עומד אולי ברקע הקביעה: </w:t>
      </w:r>
      <w:r w:rsidR="00D87F6F">
        <w:rPr>
          <w:rFonts w:cs="David"/>
          <w:rtl/>
        </w:rPr>
        <w:t>“</w:t>
      </w:r>
      <w:r>
        <w:rPr>
          <w:rFonts w:cs="David" w:hint="cs"/>
          <w:rtl/>
        </w:rPr>
        <w:t>ואיבה אשית בינך ובין האשה</w:t>
      </w:r>
      <w:r w:rsidR="00D87F6F">
        <w:rPr>
          <w:rFonts w:cs="David"/>
          <w:rtl/>
        </w:rPr>
        <w:t>”</w:t>
      </w:r>
      <w:r>
        <w:rPr>
          <w:rFonts w:cs="David" w:hint="cs"/>
          <w:rtl/>
        </w:rPr>
        <w:t xml:space="preserve"> (בר</w:t>
      </w:r>
      <w:r w:rsidR="00D87F6F">
        <w:rPr>
          <w:rFonts w:cs="David"/>
          <w:rtl/>
        </w:rPr>
        <w:t>’</w:t>
      </w:r>
      <w:r>
        <w:rPr>
          <w:rFonts w:cs="David" w:hint="cs"/>
          <w:rtl/>
        </w:rPr>
        <w:t xml:space="preserve"> ג, טו), איבה שמקורה באחריותו של הנחש לאופייה הפתייני של האישה. מעניין שהעפר, שנעשה למזונו הקבוע של הנחש כתוצאה מהקללה הרובצת עליו: </w:t>
      </w:r>
      <w:r w:rsidR="00D87F6F">
        <w:rPr>
          <w:rFonts w:cs="David"/>
          <w:rtl/>
        </w:rPr>
        <w:t>“</w:t>
      </w:r>
      <w:r w:rsidRPr="00366B79">
        <w:rPr>
          <w:rFonts w:cs="David" w:hint="cs"/>
          <w:b/>
          <w:bCs/>
          <w:rtl/>
        </w:rPr>
        <w:t>ארור</w:t>
      </w:r>
      <w:r>
        <w:rPr>
          <w:rFonts w:cs="David" w:hint="cs"/>
          <w:rtl/>
        </w:rPr>
        <w:t xml:space="preserve"> אתה</w:t>
      </w:r>
      <w:r w:rsidR="00D87F6F">
        <w:rPr>
          <w:rFonts w:cs="David"/>
          <w:rtl/>
        </w:rPr>
        <w:t>”</w:t>
      </w:r>
      <w:r>
        <w:rPr>
          <w:rFonts w:cs="David" w:hint="cs"/>
          <w:rtl/>
        </w:rPr>
        <w:t xml:space="preserve"> (שם, יד), נעשה למזונה של ה</w:t>
      </w:r>
      <w:r w:rsidR="00126600">
        <w:rPr>
          <w:rFonts w:cs="David" w:hint="cs"/>
          <w:rtl/>
        </w:rPr>
        <w:t>סוטה</w:t>
      </w:r>
      <w:r>
        <w:rPr>
          <w:rFonts w:cs="David" w:hint="cs"/>
          <w:rtl/>
        </w:rPr>
        <w:t xml:space="preserve"> בשעה שהיא שותה את </w:t>
      </w:r>
      <w:r w:rsidR="00D87F6F">
        <w:rPr>
          <w:rFonts w:cs="David"/>
          <w:rtl/>
        </w:rPr>
        <w:t>“</w:t>
      </w:r>
      <w:r>
        <w:rPr>
          <w:rFonts w:cs="David" w:hint="cs"/>
          <w:rtl/>
        </w:rPr>
        <w:t xml:space="preserve">המים </w:t>
      </w:r>
      <w:r w:rsidRPr="00366B79">
        <w:rPr>
          <w:rFonts w:cs="David" w:hint="cs"/>
          <w:b/>
          <w:bCs/>
          <w:rtl/>
        </w:rPr>
        <w:t>המאררים</w:t>
      </w:r>
      <w:r w:rsidR="00D87F6F">
        <w:rPr>
          <w:rFonts w:cs="David"/>
          <w:rtl/>
        </w:rPr>
        <w:t>”</w:t>
      </w:r>
      <w:r>
        <w:rPr>
          <w:rFonts w:cs="David" w:hint="cs"/>
          <w:rtl/>
        </w:rPr>
        <w:t xml:space="preserve"> (במ</w:t>
      </w:r>
      <w:r w:rsidR="00D87F6F">
        <w:rPr>
          <w:rFonts w:cs="David"/>
          <w:rtl/>
        </w:rPr>
        <w:t>’</w:t>
      </w:r>
      <w:r>
        <w:rPr>
          <w:rFonts w:cs="David" w:hint="cs"/>
          <w:rtl/>
        </w:rPr>
        <w:t xml:space="preserve"> ה, כב). </w:t>
      </w:r>
    </w:p>
  </w:footnote>
  <w:footnote w:id="41">
    <w:p w:rsidR="00BD07A9" w:rsidRPr="00CB70B1" w:rsidRDefault="00BD07A9" w:rsidP="008B660A">
      <w:pPr>
        <w:pStyle w:val="FootnoteText"/>
        <w:spacing w:line="360" w:lineRule="auto"/>
        <w:jc w:val="both"/>
        <w:rPr>
          <w:rFonts w:cs="Arial"/>
          <w:lang w:bidi="ar-SA"/>
        </w:rPr>
      </w:pPr>
      <w:r>
        <w:rPr>
          <w:rStyle w:val="FootnoteReference"/>
        </w:rPr>
        <w:footnoteRef/>
      </w:r>
      <w:r>
        <w:rPr>
          <w:rtl/>
        </w:rPr>
        <w:t xml:space="preserve"> </w:t>
      </w:r>
      <w:r w:rsidR="008B660A">
        <w:rPr>
          <w:rFonts w:cs="David" w:hint="cs"/>
          <w:rtl/>
        </w:rPr>
        <w:t>לדיון בחטאם של הנביאים שגורר האשמה זו ראו:</w:t>
      </w:r>
      <w:r w:rsidR="00D87F6F">
        <w:rPr>
          <w:rFonts w:cs="David" w:hint="cs"/>
          <w:rtl/>
        </w:rPr>
        <w:t xml:space="preserve"> </w:t>
      </w:r>
      <w:r w:rsidR="008B660A" w:rsidRPr="00CB70B1">
        <w:rPr>
          <w:rFonts w:cs="Arial"/>
          <w:lang w:val="en-US" w:bidi="ar-SA"/>
        </w:rPr>
        <w:t xml:space="preserve">J. Bright, Jeremiah (AB), 1964, pp. 151-152; W. McKane, Jeremiah (Vol. 1) (ICC), 1986, p. </w:t>
      </w:r>
      <w:r w:rsidR="002D4B98" w:rsidRPr="00CB70B1">
        <w:rPr>
          <w:rFonts w:cs="Arial"/>
          <w:lang w:val="en-US" w:bidi="ar-SA"/>
        </w:rPr>
        <w:t>575</w:t>
      </w:r>
      <w:r w:rsidR="008B660A" w:rsidRPr="00CB70B1">
        <w:rPr>
          <w:rFonts w:cs="Arial"/>
          <w:lang w:val="en-US" w:bidi="ar-SA"/>
        </w:rPr>
        <w:t xml:space="preserve"> </w:t>
      </w:r>
    </w:p>
  </w:footnote>
  <w:footnote w:id="42">
    <w:p w:rsidR="00202828" w:rsidRPr="00343470" w:rsidRDefault="00202828" w:rsidP="00776E3D">
      <w:pPr>
        <w:pStyle w:val="FootnoteText"/>
        <w:spacing w:line="360" w:lineRule="auto"/>
        <w:jc w:val="both"/>
        <w:rPr>
          <w:rFonts w:cs="David"/>
          <w:rtl/>
        </w:rPr>
      </w:pPr>
      <w:r>
        <w:rPr>
          <w:rStyle w:val="FootnoteReference"/>
        </w:rPr>
        <w:footnoteRef/>
      </w:r>
      <w:r>
        <w:rPr>
          <w:rtl/>
        </w:rPr>
        <w:t xml:space="preserve"> </w:t>
      </w:r>
      <w:r>
        <w:rPr>
          <w:rFonts w:cs="David" w:hint="cs"/>
          <w:rtl/>
        </w:rPr>
        <w:t xml:space="preserve">קדרי מציין לצד המשמעות הראשונה של המילה </w:t>
      </w:r>
      <w:r w:rsidR="00D87F6F">
        <w:rPr>
          <w:rFonts w:cs="David"/>
          <w:rtl/>
        </w:rPr>
        <w:t>“</w:t>
      </w:r>
      <w:r>
        <w:rPr>
          <w:rFonts w:cs="David" w:hint="cs"/>
          <w:rtl/>
        </w:rPr>
        <w:t>ראש, רוש</w:t>
      </w:r>
      <w:r w:rsidR="00D87F6F">
        <w:rPr>
          <w:rFonts w:cs="David"/>
          <w:rtl/>
        </w:rPr>
        <w:t>”</w:t>
      </w:r>
      <w:r>
        <w:rPr>
          <w:rFonts w:cs="David" w:hint="cs"/>
          <w:rtl/>
        </w:rPr>
        <w:t xml:space="preserve"> כצמח רעלי את הצירוף </w:t>
      </w:r>
      <w:r w:rsidR="00D87F6F">
        <w:rPr>
          <w:rFonts w:cs="David"/>
          <w:rtl/>
        </w:rPr>
        <w:t>“</w:t>
      </w:r>
      <w:r>
        <w:rPr>
          <w:rFonts w:cs="David" w:hint="cs"/>
          <w:rtl/>
        </w:rPr>
        <w:t>ראש-פתנים</w:t>
      </w:r>
      <w:r w:rsidR="00D87F6F">
        <w:rPr>
          <w:rFonts w:cs="David"/>
          <w:rtl/>
        </w:rPr>
        <w:t>”</w:t>
      </w:r>
      <w:r>
        <w:rPr>
          <w:rFonts w:cs="David" w:hint="cs"/>
          <w:rtl/>
        </w:rPr>
        <w:t xml:space="preserve"> (דב</w:t>
      </w:r>
      <w:r w:rsidR="00D87F6F">
        <w:rPr>
          <w:rFonts w:cs="David"/>
          <w:rtl/>
        </w:rPr>
        <w:t>’</w:t>
      </w:r>
      <w:r>
        <w:rPr>
          <w:rFonts w:cs="David" w:hint="cs"/>
          <w:rtl/>
        </w:rPr>
        <w:t xml:space="preserve"> לב, לג; איוב כ, טז) שפירושו ארס. ראו: </w:t>
      </w:r>
      <w:r w:rsidRPr="00624C14">
        <w:rPr>
          <w:rFonts w:cs="David" w:hint="cs"/>
          <w:rtl/>
        </w:rPr>
        <w:t>מ</w:t>
      </w:r>
      <w:r w:rsidR="00D87F6F">
        <w:rPr>
          <w:rFonts w:cs="David"/>
          <w:rtl/>
        </w:rPr>
        <w:t>”</w:t>
      </w:r>
      <w:r w:rsidRPr="00624C14">
        <w:rPr>
          <w:rFonts w:cs="David" w:hint="cs"/>
          <w:rtl/>
        </w:rPr>
        <w:t>צ קדרי, מי</w:t>
      </w:r>
      <w:r>
        <w:rPr>
          <w:rFonts w:cs="David" w:hint="cs"/>
          <w:rtl/>
        </w:rPr>
        <w:t>לון העברית המקראית, רמת-גן 2006, עמ</w:t>
      </w:r>
      <w:r w:rsidR="00D87F6F">
        <w:rPr>
          <w:rFonts w:cs="David"/>
          <w:rtl/>
        </w:rPr>
        <w:t>’</w:t>
      </w:r>
      <w:r>
        <w:rPr>
          <w:rFonts w:cs="David" w:hint="cs"/>
          <w:rtl/>
        </w:rPr>
        <w:t xml:space="preserve"> 980.</w:t>
      </w:r>
      <w:r w:rsidR="009329C7">
        <w:rPr>
          <w:rFonts w:cs="David" w:hint="cs"/>
          <w:rtl/>
        </w:rPr>
        <w:t xml:space="preserve"> </w:t>
      </w:r>
    </w:p>
  </w:footnote>
  <w:footnote w:id="43">
    <w:p w:rsidR="00776E3D" w:rsidRPr="004B6762" w:rsidRDefault="00776E3D" w:rsidP="00804767">
      <w:pPr>
        <w:spacing w:line="360" w:lineRule="auto"/>
        <w:jc w:val="both"/>
        <w:rPr>
          <w:rFonts w:ascii="David" w:hAnsi="David" w:cs="David"/>
          <w:sz w:val="20"/>
          <w:szCs w:val="20"/>
        </w:rPr>
      </w:pPr>
      <w:r w:rsidRPr="004B6762">
        <w:rPr>
          <w:rStyle w:val="FootnoteReference"/>
          <w:sz w:val="20"/>
          <w:szCs w:val="20"/>
        </w:rPr>
        <w:footnoteRef/>
      </w:r>
      <w:r w:rsidRPr="004B6762">
        <w:rPr>
          <w:rFonts w:hint="cs"/>
          <w:sz w:val="20"/>
          <w:szCs w:val="20"/>
          <w:rtl/>
        </w:rPr>
        <w:t xml:space="preserve"> </w:t>
      </w:r>
      <w:r w:rsidR="00525FC6">
        <w:rPr>
          <w:rFonts w:ascii="David" w:hAnsi="David" w:cs="David" w:hint="cs"/>
          <w:sz w:val="20"/>
          <w:szCs w:val="20"/>
          <w:rtl/>
        </w:rPr>
        <w:t>סיפור יהודה ותמר, שבמסגרתו יהודה פוסק</w:t>
      </w:r>
      <w:r>
        <w:rPr>
          <w:rFonts w:ascii="David" w:hAnsi="David" w:cs="David" w:hint="cs"/>
          <w:sz w:val="20"/>
          <w:szCs w:val="20"/>
          <w:rtl/>
        </w:rPr>
        <w:t xml:space="preserve">: </w:t>
      </w:r>
      <w:r w:rsidR="00D87F6F">
        <w:rPr>
          <w:rFonts w:ascii="David" w:hAnsi="David" w:cs="David"/>
          <w:sz w:val="20"/>
          <w:szCs w:val="20"/>
          <w:rtl/>
        </w:rPr>
        <w:t>“</w:t>
      </w:r>
      <w:r w:rsidRPr="004B6762">
        <w:rPr>
          <w:rFonts w:ascii="David" w:hAnsi="David" w:cs="David"/>
          <w:sz w:val="20"/>
          <w:szCs w:val="20"/>
          <w:rtl/>
        </w:rPr>
        <w:t>הוציאוה ותשרף</w:t>
      </w:r>
      <w:r w:rsidR="00D87F6F">
        <w:rPr>
          <w:rFonts w:ascii="David" w:hAnsi="David" w:cs="David"/>
          <w:sz w:val="20"/>
          <w:szCs w:val="20"/>
          <w:rtl/>
        </w:rPr>
        <w:t>”</w:t>
      </w:r>
      <w:r>
        <w:rPr>
          <w:rFonts w:ascii="David" w:hAnsi="David" w:cs="David" w:hint="cs"/>
          <w:sz w:val="20"/>
          <w:szCs w:val="20"/>
          <w:rtl/>
        </w:rPr>
        <w:t xml:space="preserve"> (בר</w:t>
      </w:r>
      <w:r w:rsidR="00D87F6F">
        <w:rPr>
          <w:rFonts w:ascii="David" w:hAnsi="David" w:cs="David"/>
          <w:sz w:val="20"/>
          <w:szCs w:val="20"/>
          <w:rtl/>
        </w:rPr>
        <w:t>’</w:t>
      </w:r>
      <w:r>
        <w:rPr>
          <w:rFonts w:ascii="David" w:hAnsi="David" w:cs="David" w:hint="cs"/>
          <w:sz w:val="20"/>
          <w:szCs w:val="20"/>
          <w:rtl/>
        </w:rPr>
        <w:t xml:space="preserve"> לח, כד) </w:t>
      </w:r>
      <w:r w:rsidR="00525FC6">
        <w:rPr>
          <w:rFonts w:ascii="David" w:hAnsi="David" w:cs="David" w:hint="cs"/>
          <w:sz w:val="20"/>
          <w:szCs w:val="20"/>
          <w:rtl/>
        </w:rPr>
        <w:t xml:space="preserve">וחוזר בו לאחר מכן, </w:t>
      </w:r>
      <w:r>
        <w:rPr>
          <w:rFonts w:ascii="David" w:hAnsi="David" w:cs="David" w:hint="cs"/>
          <w:sz w:val="20"/>
          <w:szCs w:val="20"/>
          <w:rtl/>
        </w:rPr>
        <w:t>הוא דוגמה לחוק האדג</w:t>
      </w:r>
      <w:r w:rsidR="00D87F6F">
        <w:rPr>
          <w:rFonts w:ascii="David" w:hAnsi="David" w:cs="David"/>
          <w:sz w:val="20"/>
          <w:szCs w:val="20"/>
          <w:rtl/>
        </w:rPr>
        <w:t>’</w:t>
      </w:r>
      <w:r>
        <w:rPr>
          <w:rFonts w:ascii="David" w:hAnsi="David" w:cs="David" w:hint="cs"/>
          <w:sz w:val="20"/>
          <w:szCs w:val="20"/>
          <w:rtl/>
        </w:rPr>
        <w:t>קטיבי</w:t>
      </w:r>
      <w:r w:rsidR="002A65C7">
        <w:rPr>
          <w:rFonts w:ascii="David" w:hAnsi="David" w:cs="David" w:hint="cs"/>
          <w:sz w:val="20"/>
          <w:szCs w:val="20"/>
          <w:rtl/>
        </w:rPr>
        <w:t xml:space="preserve"> ולשונותו מהחוק הסובסטנטיבי:</w:t>
      </w:r>
      <w:r w:rsidR="00525FC6">
        <w:rPr>
          <w:rFonts w:ascii="David" w:hAnsi="David" w:cs="David" w:hint="cs"/>
          <w:sz w:val="20"/>
          <w:szCs w:val="20"/>
          <w:rtl/>
        </w:rPr>
        <w:t xml:space="preserve"> אב המשפחה (</w:t>
      </w:r>
      <w:r w:rsidR="002A65C7">
        <w:rPr>
          <w:rFonts w:ascii="David" w:hAnsi="David" w:cs="David" w:hint="cs"/>
          <w:sz w:val="20"/>
          <w:szCs w:val="20"/>
          <w:rtl/>
        </w:rPr>
        <w:t>הבעל) שופט את האישה כראות עיניו;</w:t>
      </w:r>
      <w:r w:rsidR="00525FC6">
        <w:rPr>
          <w:rFonts w:ascii="David" w:hAnsi="David" w:cs="David" w:hint="cs"/>
          <w:sz w:val="20"/>
          <w:szCs w:val="20"/>
          <w:rtl/>
        </w:rPr>
        <w:t xml:space="preserve"> </w:t>
      </w:r>
      <w:r w:rsidR="00804767">
        <w:rPr>
          <w:rFonts w:ascii="David" w:hAnsi="David" w:cs="David" w:hint="cs"/>
          <w:sz w:val="20"/>
          <w:szCs w:val="20"/>
          <w:rtl/>
        </w:rPr>
        <w:t>לא ברור מהן הראיות לשרי</w:t>
      </w:r>
      <w:r w:rsidR="002A65C7">
        <w:rPr>
          <w:rFonts w:ascii="David" w:hAnsi="David" w:cs="David" w:hint="cs"/>
          <w:sz w:val="20"/>
          <w:szCs w:val="20"/>
          <w:rtl/>
        </w:rPr>
        <w:t>פתה ומהי ההצדקה לביטול פסק הדין;</w:t>
      </w:r>
      <w:r w:rsidR="00804767">
        <w:rPr>
          <w:rFonts w:ascii="David" w:hAnsi="David" w:cs="David" w:hint="cs"/>
          <w:sz w:val="20"/>
          <w:szCs w:val="20"/>
          <w:rtl/>
        </w:rPr>
        <w:t xml:space="preserve"> ההמתה היא בשריפה ולא בסקילה</w:t>
      </w:r>
      <w:r w:rsidR="002A65C7">
        <w:rPr>
          <w:rFonts w:ascii="David" w:hAnsi="David" w:cs="David" w:hint="cs"/>
          <w:sz w:val="20"/>
          <w:szCs w:val="20"/>
          <w:rtl/>
        </w:rPr>
        <w:t xml:space="preserve">; </w:t>
      </w:r>
      <w:r w:rsidR="00804767">
        <w:rPr>
          <w:rFonts w:ascii="David" w:hAnsi="David" w:cs="David" w:hint="cs"/>
          <w:sz w:val="20"/>
          <w:szCs w:val="20"/>
          <w:rtl/>
        </w:rPr>
        <w:t>אין התייחסות לחלקו של הנואף.</w:t>
      </w:r>
      <w:r w:rsidR="00525FC6">
        <w:rPr>
          <w:rFonts w:ascii="David" w:hAnsi="David" w:cs="David" w:hint="cs"/>
          <w:sz w:val="20"/>
          <w:szCs w:val="20"/>
          <w:rtl/>
        </w:rPr>
        <w:t xml:space="preserve"> </w:t>
      </w:r>
    </w:p>
  </w:footnote>
  <w:footnote w:id="44">
    <w:p w:rsidR="005830F3" w:rsidRPr="004B6762" w:rsidRDefault="005830F3" w:rsidP="00F42CAD">
      <w:pPr>
        <w:spacing w:line="360" w:lineRule="auto"/>
        <w:jc w:val="both"/>
        <w:rPr>
          <w:rFonts w:ascii="David" w:hAnsi="David" w:cs="David"/>
          <w:sz w:val="20"/>
          <w:szCs w:val="20"/>
        </w:rPr>
      </w:pPr>
      <w:r w:rsidRPr="004B6762">
        <w:rPr>
          <w:rStyle w:val="FootnoteReference"/>
          <w:sz w:val="20"/>
          <w:szCs w:val="20"/>
        </w:rPr>
        <w:footnoteRef/>
      </w:r>
      <w:r w:rsidRPr="004B6762">
        <w:rPr>
          <w:rFonts w:hint="cs"/>
          <w:sz w:val="20"/>
          <w:szCs w:val="20"/>
          <w:rtl/>
        </w:rPr>
        <w:t xml:space="preserve"> </w:t>
      </w:r>
      <w:r>
        <w:rPr>
          <w:rFonts w:ascii="David" w:hAnsi="David" w:cs="David" w:hint="cs"/>
          <w:sz w:val="20"/>
          <w:szCs w:val="20"/>
          <w:rtl/>
        </w:rPr>
        <w:t xml:space="preserve">פסוק זה, בשונה מכתובים אחרים, יוצר את הרושם ששתיית הכוס היא אמצעי שנועד להפשטת האישה ולחשיפת ערוותה ולא </w:t>
      </w:r>
      <w:r w:rsidR="00F42CAD">
        <w:rPr>
          <w:rFonts w:ascii="David" w:hAnsi="David" w:cs="David" w:hint="cs"/>
          <w:sz w:val="20"/>
          <w:szCs w:val="20"/>
          <w:rtl/>
        </w:rPr>
        <w:t>ענישה</w:t>
      </w:r>
      <w:r>
        <w:rPr>
          <w:rFonts w:ascii="David" w:hAnsi="David" w:cs="David" w:hint="cs"/>
          <w:sz w:val="20"/>
          <w:szCs w:val="20"/>
          <w:rtl/>
        </w:rPr>
        <w:t xml:space="preserve"> שעומד</w:t>
      </w:r>
      <w:r w:rsidR="00F42CAD">
        <w:rPr>
          <w:rFonts w:ascii="David" w:hAnsi="David" w:cs="David" w:hint="cs"/>
          <w:sz w:val="20"/>
          <w:szCs w:val="20"/>
          <w:rtl/>
        </w:rPr>
        <w:t>ת בפני עצמה</w:t>
      </w:r>
      <w:r>
        <w:rPr>
          <w:rFonts w:ascii="David" w:hAnsi="David" w:cs="David" w:hint="cs"/>
          <w:sz w:val="20"/>
          <w:szCs w:val="20"/>
          <w:rtl/>
        </w:rPr>
        <w:t xml:space="preserve">. </w:t>
      </w:r>
    </w:p>
  </w:footnote>
  <w:footnote w:id="45">
    <w:p w:rsidR="002F0CD0" w:rsidRPr="007E3F6A" w:rsidRDefault="002F0CD0" w:rsidP="00EB73A5">
      <w:pPr>
        <w:pStyle w:val="FootnoteText"/>
        <w:spacing w:line="360" w:lineRule="auto"/>
        <w:jc w:val="both"/>
        <w:rPr>
          <w:rFonts w:cs="Arial"/>
          <w:rtl/>
        </w:rPr>
      </w:pPr>
      <w:r>
        <w:rPr>
          <w:rStyle w:val="FootnoteReference"/>
        </w:rPr>
        <w:footnoteRef/>
      </w:r>
      <w:r>
        <w:rPr>
          <w:rtl/>
        </w:rPr>
        <w:t xml:space="preserve"> </w:t>
      </w:r>
      <w:r>
        <w:rPr>
          <w:rFonts w:cs="David" w:hint="cs"/>
          <w:rtl/>
        </w:rPr>
        <w:t>השוו הילרז (לעיל הערה 1</w:t>
      </w:r>
      <w:r w:rsidR="00EB73A5">
        <w:rPr>
          <w:rFonts w:cs="David" w:hint="cs"/>
          <w:rtl/>
        </w:rPr>
        <w:t>7</w:t>
      </w:r>
      <w:r>
        <w:rPr>
          <w:rFonts w:cs="David" w:hint="cs"/>
          <w:rtl/>
        </w:rPr>
        <w:t>), עמ</w:t>
      </w:r>
      <w:r w:rsidR="00D87F6F">
        <w:rPr>
          <w:rFonts w:cs="David"/>
          <w:rtl/>
        </w:rPr>
        <w:t>’</w:t>
      </w:r>
      <w:r>
        <w:rPr>
          <w:rFonts w:cs="David" w:hint="cs"/>
          <w:rtl/>
        </w:rPr>
        <w:t xml:space="preserve"> </w:t>
      </w:r>
      <w:r w:rsidRPr="007E3F6A">
        <w:rPr>
          <w:rFonts w:cs="Arial"/>
          <w:lang w:val="en-US" w:bidi="ar-SA"/>
        </w:rPr>
        <w:t>xxxvii-xxxix</w:t>
      </w:r>
      <w:r w:rsidRPr="007E3F6A">
        <w:rPr>
          <w:rFonts w:cs="Arial" w:hint="cs"/>
          <w:rtl/>
          <w:lang w:val="en-US"/>
        </w:rPr>
        <w:t>.</w:t>
      </w:r>
    </w:p>
  </w:footnote>
  <w:footnote w:id="46">
    <w:p w:rsidR="00EB73A5" w:rsidRPr="0023479F" w:rsidRDefault="00EB73A5" w:rsidP="00EB73A5">
      <w:pPr>
        <w:pStyle w:val="FootnoteText"/>
        <w:spacing w:line="360" w:lineRule="auto"/>
        <w:jc w:val="both"/>
        <w:rPr>
          <w:rFonts w:cs="David"/>
          <w:rtl/>
        </w:rPr>
      </w:pPr>
      <w:r w:rsidRPr="0012499A">
        <w:rPr>
          <w:rStyle w:val="FootnoteReference"/>
        </w:rPr>
        <w:footnoteRef/>
      </w:r>
      <w:r w:rsidRPr="0012499A">
        <w:rPr>
          <w:rtl/>
        </w:rPr>
        <w:t xml:space="preserve"> </w:t>
      </w:r>
      <w:r>
        <w:rPr>
          <w:rFonts w:cs="David" w:hint="cs"/>
          <w:rtl/>
        </w:rPr>
        <w:t xml:space="preserve">אולי יש לגרוס: </w:t>
      </w:r>
      <w:r w:rsidR="00D87F6F">
        <w:rPr>
          <w:rFonts w:cs="David"/>
          <w:rtl/>
        </w:rPr>
        <w:t>“</w:t>
      </w:r>
      <w:r>
        <w:rPr>
          <w:rFonts w:cs="David" w:hint="cs"/>
          <w:rtl/>
        </w:rPr>
        <w:t>והרעל</w:t>
      </w:r>
      <w:r w:rsidR="00D87F6F">
        <w:rPr>
          <w:rFonts w:cs="David"/>
          <w:rtl/>
        </w:rPr>
        <w:t>”</w:t>
      </w:r>
      <w:r>
        <w:rPr>
          <w:rFonts w:cs="David" w:hint="cs"/>
          <w:rtl/>
        </w:rPr>
        <w:t xml:space="preserve"> כגרסת תרגום השבעים ומגילת פשר חבקוק, ראו: </w:t>
      </w:r>
      <w:r w:rsidRPr="0023479F">
        <w:rPr>
          <w:rFonts w:cs="David"/>
          <w:i/>
          <w:iCs/>
          <w:lang w:val="en-US"/>
        </w:rPr>
        <w:t>BHS</w:t>
      </w:r>
      <w:r>
        <w:rPr>
          <w:rFonts w:cs="David" w:hint="cs"/>
          <w:rtl/>
          <w:lang w:val="en-US"/>
        </w:rPr>
        <w:t>.</w:t>
      </w:r>
    </w:p>
  </w:footnote>
  <w:footnote w:id="47">
    <w:p w:rsidR="001536F1" w:rsidRPr="00323121" w:rsidRDefault="001536F1" w:rsidP="001536F1">
      <w:pPr>
        <w:pStyle w:val="FootnoteText"/>
        <w:spacing w:line="360" w:lineRule="auto"/>
        <w:jc w:val="both"/>
        <w:rPr>
          <w:rFonts w:cs="David"/>
          <w:rtl/>
        </w:rPr>
      </w:pPr>
      <w:r w:rsidRPr="0012499A">
        <w:rPr>
          <w:rStyle w:val="FootnoteReference"/>
        </w:rPr>
        <w:footnoteRef/>
      </w:r>
      <w:r w:rsidRPr="0012499A">
        <w:rPr>
          <w:rtl/>
        </w:rPr>
        <w:t xml:space="preserve"> </w:t>
      </w:r>
      <w:r w:rsidRPr="003551F4">
        <w:rPr>
          <w:rFonts w:cs="David" w:hint="cs"/>
          <w:rtl/>
        </w:rPr>
        <w:t xml:space="preserve">נהוג לפרש את המילה </w:t>
      </w:r>
      <w:r w:rsidR="00D87F6F">
        <w:rPr>
          <w:rFonts w:cs="David"/>
          <w:rtl/>
        </w:rPr>
        <w:t>“</w:t>
      </w:r>
      <w:r w:rsidRPr="003551F4">
        <w:rPr>
          <w:rFonts w:cs="David" w:hint="cs"/>
          <w:rtl/>
        </w:rPr>
        <w:t>קשה</w:t>
      </w:r>
      <w:r w:rsidR="00D87F6F">
        <w:rPr>
          <w:rFonts w:cs="David"/>
          <w:rtl/>
        </w:rPr>
        <w:t>”</w:t>
      </w:r>
      <w:r w:rsidRPr="003551F4">
        <w:rPr>
          <w:rFonts w:cs="David" w:hint="cs"/>
          <w:rtl/>
        </w:rPr>
        <w:t xml:space="preserve"> כס</w:t>
      </w:r>
      <w:r>
        <w:rPr>
          <w:rFonts w:cs="David" w:hint="cs"/>
          <w:rtl/>
        </w:rPr>
        <w:t>פל בהסתמך על המילה קש באוגריתית,</w:t>
      </w:r>
      <w:r w:rsidRPr="003551F4">
        <w:rPr>
          <w:rFonts w:cs="David" w:hint="cs"/>
          <w:rtl/>
        </w:rPr>
        <w:t xml:space="preserve"> ראו: </w:t>
      </w:r>
      <w:r w:rsidRPr="003551F4">
        <w:rPr>
          <w:rFonts w:cs="David"/>
        </w:rPr>
        <w:t>M</w:t>
      </w:r>
      <w:r>
        <w:rPr>
          <w:rFonts w:cs="David"/>
        </w:rPr>
        <w:t>.</w:t>
      </w:r>
      <w:r w:rsidRPr="003551F4">
        <w:rPr>
          <w:rFonts w:cs="David"/>
        </w:rPr>
        <w:t xml:space="preserve">S. </w:t>
      </w:r>
      <w:r>
        <w:rPr>
          <w:rFonts w:cs="David"/>
        </w:rPr>
        <w:t>Smith and W.</w:t>
      </w:r>
      <w:r w:rsidRPr="003551F4">
        <w:rPr>
          <w:rFonts w:cs="David"/>
        </w:rPr>
        <w:t xml:space="preserve">T. Pitard, </w:t>
      </w:r>
      <w:r w:rsidRPr="003551F4">
        <w:rPr>
          <w:rFonts w:cs="David"/>
          <w:i/>
          <w:iCs/>
        </w:rPr>
        <w:t>The Ugaritic Baal Cycle, Volume II: Introduction with Text, Translation and Commentary of KTU/CAT 1.3-1.4,</w:t>
      </w:r>
      <w:r>
        <w:rPr>
          <w:rFonts w:cs="David"/>
        </w:rPr>
        <w:t xml:space="preserve"> Leiden 2009,</w:t>
      </w:r>
      <w:r w:rsidRPr="003551F4">
        <w:rPr>
          <w:rFonts w:cs="David"/>
        </w:rPr>
        <w:t xml:space="preserve"> p. 80</w:t>
      </w:r>
    </w:p>
  </w:footnote>
  <w:footnote w:id="48">
    <w:p w:rsidR="00374B3A" w:rsidRPr="0097005F" w:rsidRDefault="00374B3A" w:rsidP="00F42CAD">
      <w:pPr>
        <w:pStyle w:val="FootnoteText"/>
        <w:spacing w:line="360" w:lineRule="auto"/>
        <w:jc w:val="both"/>
        <w:rPr>
          <w:rFonts w:cs="David"/>
        </w:rPr>
      </w:pPr>
      <w:r>
        <w:rPr>
          <w:rStyle w:val="FootnoteReference"/>
        </w:rPr>
        <w:footnoteRef/>
      </w:r>
      <w:r w:rsidR="00D87F6F">
        <w:t xml:space="preserve"> </w:t>
      </w:r>
      <w:r w:rsidRPr="00624C14">
        <w:t xml:space="preserve">W. McKane, </w:t>
      </w:r>
      <w:r w:rsidRPr="00624C14">
        <w:rPr>
          <w:i/>
          <w:iCs/>
        </w:rPr>
        <w:t>Proverbs</w:t>
      </w:r>
      <w:r w:rsidRPr="00624C14">
        <w:t xml:space="preserve"> (OTL), London 1970</w:t>
      </w:r>
      <w:r>
        <w:rPr>
          <w:lang w:val="en-US"/>
        </w:rPr>
        <w:t xml:space="preserve">, p. 314; </w:t>
      </w:r>
      <w:r w:rsidRPr="00624C14">
        <w:rPr>
          <w:rFonts w:cs="David"/>
        </w:rPr>
        <w:t>B.</w:t>
      </w:r>
      <w:r>
        <w:rPr>
          <w:rFonts w:cs="David"/>
        </w:rPr>
        <w:t xml:space="preserve"> </w:t>
      </w:r>
      <w:r w:rsidRPr="00624C14">
        <w:rPr>
          <w:rFonts w:cs="David"/>
        </w:rPr>
        <w:t xml:space="preserve">K. Waltke, </w:t>
      </w:r>
      <w:r w:rsidRPr="00624C14">
        <w:rPr>
          <w:rFonts w:cs="David"/>
          <w:i/>
          <w:iCs/>
        </w:rPr>
        <w:t>The Book of Proverbs: Chapters 1-15</w:t>
      </w:r>
      <w:r w:rsidRPr="00624C14">
        <w:rPr>
          <w:rFonts w:cs="David"/>
        </w:rPr>
        <w:t xml:space="preserve"> (NICOT), Grand Rapids, Michigan 2004</w:t>
      </w:r>
      <w:r>
        <w:rPr>
          <w:lang w:val="en-US"/>
        </w:rPr>
        <w:t>, p. 309</w:t>
      </w:r>
    </w:p>
  </w:footnote>
  <w:footnote w:id="49">
    <w:p w:rsidR="00374B3A" w:rsidRPr="001E2ACB" w:rsidRDefault="00374B3A" w:rsidP="00D26851">
      <w:pPr>
        <w:spacing w:line="360" w:lineRule="auto"/>
        <w:jc w:val="both"/>
        <w:rPr>
          <w:rFonts w:cs="David"/>
          <w:sz w:val="20"/>
          <w:szCs w:val="20"/>
          <w:rtl/>
        </w:rPr>
      </w:pPr>
      <w:r w:rsidRPr="001E2ACB">
        <w:rPr>
          <w:rStyle w:val="FootnoteReference"/>
          <w:sz w:val="20"/>
          <w:szCs w:val="20"/>
        </w:rPr>
        <w:footnoteRef/>
      </w:r>
      <w:r w:rsidRPr="001E2ACB">
        <w:rPr>
          <w:sz w:val="20"/>
          <w:szCs w:val="20"/>
          <w:rtl/>
        </w:rPr>
        <w:t xml:space="preserve"> </w:t>
      </w:r>
      <w:r>
        <w:rPr>
          <w:rFonts w:cs="David" w:hint="cs"/>
          <w:sz w:val="20"/>
          <w:szCs w:val="20"/>
          <w:rtl/>
        </w:rPr>
        <w:t>בדרך זו יש להתייחס אולי גם לדימוי האישה על-ידי קהלת ל</w:t>
      </w:r>
      <w:r w:rsidR="00D87F6F">
        <w:rPr>
          <w:rFonts w:cs="David"/>
          <w:sz w:val="20"/>
          <w:szCs w:val="20"/>
          <w:rtl/>
        </w:rPr>
        <w:t>”</w:t>
      </w:r>
      <w:r w:rsidRPr="00490BC2">
        <w:rPr>
          <w:rFonts w:cs="David" w:hint="cs"/>
          <w:sz w:val="20"/>
          <w:szCs w:val="20"/>
          <w:rtl/>
        </w:rPr>
        <w:t>מר ממות</w:t>
      </w:r>
      <w:r w:rsidR="00D87F6F">
        <w:rPr>
          <w:rFonts w:cs="David"/>
          <w:sz w:val="20"/>
          <w:szCs w:val="20"/>
          <w:rtl/>
        </w:rPr>
        <w:t>”</w:t>
      </w:r>
      <w:r w:rsidRPr="00490BC2">
        <w:rPr>
          <w:rFonts w:cs="David" w:hint="cs"/>
          <w:sz w:val="20"/>
          <w:szCs w:val="20"/>
          <w:rtl/>
        </w:rPr>
        <w:t xml:space="preserve"> (ז, כו).</w:t>
      </w:r>
      <w:r>
        <w:rPr>
          <w:rFonts w:cs="David" w:hint="cs"/>
          <w:sz w:val="20"/>
          <w:szCs w:val="20"/>
          <w:rtl/>
        </w:rPr>
        <w:t xml:space="preserve"> רבים מניחים שמשל זה עוסק ב</w:t>
      </w:r>
      <w:r w:rsidR="00D87F6F">
        <w:rPr>
          <w:rFonts w:cs="David"/>
          <w:sz w:val="20"/>
          <w:szCs w:val="20"/>
          <w:rtl/>
        </w:rPr>
        <w:t>”</w:t>
      </w:r>
      <w:r>
        <w:rPr>
          <w:rFonts w:cs="David" w:hint="cs"/>
          <w:sz w:val="20"/>
          <w:szCs w:val="20"/>
          <w:rtl/>
        </w:rPr>
        <w:t>אישה הזרה</w:t>
      </w:r>
      <w:r w:rsidR="00D87F6F">
        <w:rPr>
          <w:rFonts w:cs="David"/>
          <w:sz w:val="20"/>
          <w:szCs w:val="20"/>
          <w:rtl/>
        </w:rPr>
        <w:t>”</w:t>
      </w:r>
      <w:r>
        <w:rPr>
          <w:rFonts w:cs="David" w:hint="cs"/>
          <w:sz w:val="20"/>
          <w:szCs w:val="20"/>
          <w:rtl/>
        </w:rPr>
        <w:t xml:space="preserve"> של ספר משלי, כפי שמשתמע מהגדרתה:</w:t>
      </w:r>
      <w:r w:rsidRPr="00490BC2">
        <w:rPr>
          <w:rFonts w:cs="David" w:hint="cs"/>
          <w:sz w:val="20"/>
          <w:szCs w:val="20"/>
          <w:rtl/>
        </w:rPr>
        <w:t xml:space="preserve"> </w:t>
      </w:r>
      <w:r w:rsidR="00D87F6F">
        <w:rPr>
          <w:rFonts w:cs="David"/>
          <w:sz w:val="20"/>
          <w:szCs w:val="20"/>
          <w:rtl/>
        </w:rPr>
        <w:t>“”</w:t>
      </w:r>
      <w:r>
        <w:rPr>
          <w:rFonts w:cs="David" w:hint="cs"/>
          <w:sz w:val="20"/>
          <w:szCs w:val="20"/>
          <w:rtl/>
        </w:rPr>
        <w:t>, ראו למשל:</w:t>
      </w:r>
      <w:r w:rsidRPr="00624C14">
        <w:rPr>
          <w:rFonts w:cs="David"/>
          <w:sz w:val="20"/>
          <w:szCs w:val="20"/>
        </w:rPr>
        <w:t>W.</w:t>
      </w:r>
      <w:r>
        <w:rPr>
          <w:rFonts w:cs="David"/>
          <w:sz w:val="20"/>
          <w:szCs w:val="20"/>
        </w:rPr>
        <w:t xml:space="preserve"> </w:t>
      </w:r>
      <w:r w:rsidRPr="00624C14">
        <w:rPr>
          <w:rFonts w:cs="David"/>
          <w:sz w:val="20"/>
          <w:szCs w:val="20"/>
        </w:rPr>
        <w:t xml:space="preserve">J. Fuerst, </w:t>
      </w:r>
      <w:r w:rsidRPr="00624C14">
        <w:rPr>
          <w:rFonts w:cs="David"/>
          <w:i/>
          <w:iCs/>
          <w:sz w:val="20"/>
          <w:szCs w:val="20"/>
        </w:rPr>
        <w:t>The Book of Ruth, Esther, Ecclesiastes, The Song of Songs, Lamentations</w:t>
      </w:r>
      <w:r w:rsidRPr="00624C14">
        <w:rPr>
          <w:rFonts w:cs="David"/>
          <w:sz w:val="20"/>
          <w:szCs w:val="20"/>
        </w:rPr>
        <w:t xml:space="preserve"> (CBC), Cambridge 1975</w:t>
      </w:r>
      <w:r>
        <w:rPr>
          <w:rFonts w:cs="David"/>
          <w:sz w:val="20"/>
          <w:szCs w:val="20"/>
        </w:rPr>
        <w:t xml:space="preserve">, pp. 133-134; </w:t>
      </w:r>
      <w:r w:rsidRPr="00624C14">
        <w:rPr>
          <w:rFonts w:cs="David"/>
          <w:sz w:val="20"/>
          <w:szCs w:val="20"/>
        </w:rPr>
        <w:t>C.</w:t>
      </w:r>
      <w:r>
        <w:rPr>
          <w:rFonts w:cs="David"/>
          <w:sz w:val="20"/>
          <w:szCs w:val="20"/>
        </w:rPr>
        <w:t xml:space="preserve"> </w:t>
      </w:r>
      <w:r w:rsidRPr="00624C14">
        <w:rPr>
          <w:rFonts w:cs="David"/>
          <w:sz w:val="20"/>
          <w:szCs w:val="20"/>
        </w:rPr>
        <w:t xml:space="preserve">L. Seow, </w:t>
      </w:r>
      <w:r w:rsidRPr="00624C14">
        <w:rPr>
          <w:rFonts w:cs="David"/>
          <w:i/>
          <w:iCs/>
          <w:sz w:val="20"/>
          <w:szCs w:val="20"/>
        </w:rPr>
        <w:t>Ecclesiastes</w:t>
      </w:r>
      <w:r w:rsidRPr="00624C14">
        <w:rPr>
          <w:rFonts w:cs="Arial"/>
          <w:sz w:val="20"/>
          <w:szCs w:val="20"/>
          <w:lang w:bidi="ar-SA"/>
        </w:rPr>
        <w:t xml:space="preserve"> (AB), </w:t>
      </w:r>
      <w:r w:rsidRPr="00624C14">
        <w:rPr>
          <w:rFonts w:cs="David"/>
          <w:sz w:val="20"/>
          <w:szCs w:val="20"/>
        </w:rPr>
        <w:t>Garden City, New York</w:t>
      </w:r>
      <w:r w:rsidRPr="00624C14">
        <w:rPr>
          <w:rFonts w:cs="Arial"/>
          <w:sz w:val="20"/>
          <w:szCs w:val="20"/>
          <w:lang w:bidi="ar-SA"/>
        </w:rPr>
        <w:t xml:space="preserve"> 1997</w:t>
      </w:r>
      <w:r>
        <w:rPr>
          <w:rFonts w:cs="David"/>
          <w:sz w:val="20"/>
          <w:szCs w:val="20"/>
        </w:rPr>
        <w:t>, pp. 270-275</w:t>
      </w:r>
      <w:r>
        <w:rPr>
          <w:rFonts w:cs="David" w:hint="cs"/>
          <w:sz w:val="20"/>
          <w:szCs w:val="20"/>
          <w:rtl/>
        </w:rPr>
        <w:t>.</w:t>
      </w:r>
      <w:r>
        <w:rPr>
          <w:rFonts w:cs="David"/>
          <w:sz w:val="20"/>
          <w:szCs w:val="20"/>
        </w:rPr>
        <w:t xml:space="preserve"> </w:t>
      </w:r>
      <w:r w:rsidRPr="00490BC2">
        <w:rPr>
          <w:rFonts w:cs="David" w:hint="cs"/>
          <w:sz w:val="20"/>
          <w:szCs w:val="20"/>
          <w:rtl/>
        </w:rPr>
        <w:t>במשל זה</w:t>
      </w:r>
      <w:r>
        <w:rPr>
          <w:rFonts w:cs="David" w:hint="cs"/>
          <w:sz w:val="20"/>
          <w:szCs w:val="20"/>
          <w:rtl/>
        </w:rPr>
        <w:t xml:space="preserve"> ישנו הרחבה של הדימוי</w:t>
      </w:r>
      <w:r w:rsidRPr="00490BC2">
        <w:rPr>
          <w:rFonts w:cs="David" w:hint="cs"/>
          <w:sz w:val="20"/>
          <w:szCs w:val="20"/>
          <w:rtl/>
        </w:rPr>
        <w:t xml:space="preserve"> </w:t>
      </w:r>
      <w:r>
        <w:rPr>
          <w:rFonts w:cs="David" w:hint="cs"/>
          <w:sz w:val="20"/>
          <w:szCs w:val="20"/>
          <w:rtl/>
        </w:rPr>
        <w:t>שכן הוא עוסק באישה בכלל ולא רק ב</w:t>
      </w:r>
      <w:r w:rsidRPr="00490BC2">
        <w:rPr>
          <w:rFonts w:cs="David" w:hint="cs"/>
          <w:sz w:val="20"/>
          <w:szCs w:val="20"/>
          <w:rtl/>
        </w:rPr>
        <w:t xml:space="preserve">אחריתה. </w:t>
      </w:r>
    </w:p>
  </w:footnote>
  <w:footnote w:id="50">
    <w:p w:rsidR="00374B3A" w:rsidRPr="001E2ACB" w:rsidRDefault="00374B3A" w:rsidP="00F42CAD">
      <w:pPr>
        <w:spacing w:line="360" w:lineRule="auto"/>
        <w:jc w:val="both"/>
        <w:rPr>
          <w:rFonts w:cs="David"/>
          <w:sz w:val="20"/>
          <w:szCs w:val="20"/>
          <w:rtl/>
        </w:rPr>
      </w:pPr>
      <w:r w:rsidRPr="001E2ACB">
        <w:rPr>
          <w:rStyle w:val="FootnoteReference"/>
          <w:sz w:val="20"/>
          <w:szCs w:val="20"/>
        </w:rPr>
        <w:footnoteRef/>
      </w:r>
      <w:r w:rsidRPr="001E2ACB">
        <w:rPr>
          <w:sz w:val="20"/>
          <w:szCs w:val="20"/>
          <w:rtl/>
        </w:rPr>
        <w:t xml:space="preserve"> </w:t>
      </w:r>
      <w:r w:rsidRPr="001E2ACB">
        <w:rPr>
          <w:rFonts w:cs="David" w:hint="cs"/>
          <w:sz w:val="20"/>
          <w:szCs w:val="20"/>
          <w:rtl/>
        </w:rPr>
        <w:t xml:space="preserve">הנופת היא דבש נוזלי, כפי שמשתמע מהתקבולת: </w:t>
      </w:r>
      <w:r w:rsidR="00D87F6F">
        <w:rPr>
          <w:rFonts w:cs="David"/>
          <w:sz w:val="20"/>
          <w:szCs w:val="20"/>
          <w:rtl/>
        </w:rPr>
        <w:t>“</w:t>
      </w:r>
      <w:r w:rsidRPr="001E2ACB">
        <w:rPr>
          <w:rFonts w:cs="David" w:hint="cs"/>
          <w:sz w:val="20"/>
          <w:szCs w:val="20"/>
          <w:rtl/>
        </w:rPr>
        <w:t>אכל בני דבש כי טוב ונפת מתוק על חכך</w:t>
      </w:r>
      <w:r w:rsidR="00D87F6F">
        <w:rPr>
          <w:rFonts w:cs="David"/>
          <w:sz w:val="20"/>
          <w:szCs w:val="20"/>
          <w:rtl/>
        </w:rPr>
        <w:t>”</w:t>
      </w:r>
      <w:r w:rsidRPr="001E2ACB">
        <w:rPr>
          <w:rFonts w:cs="David" w:hint="cs"/>
          <w:sz w:val="20"/>
          <w:szCs w:val="20"/>
          <w:rtl/>
        </w:rPr>
        <w:t xml:space="preserve"> (מש</w:t>
      </w:r>
      <w:r w:rsidR="00D87F6F">
        <w:rPr>
          <w:rFonts w:cs="David"/>
          <w:sz w:val="20"/>
          <w:szCs w:val="20"/>
          <w:rtl/>
        </w:rPr>
        <w:t>’</w:t>
      </w:r>
      <w:r w:rsidRPr="001E2ACB">
        <w:rPr>
          <w:rFonts w:cs="David" w:hint="cs"/>
          <w:sz w:val="20"/>
          <w:szCs w:val="20"/>
          <w:rtl/>
        </w:rPr>
        <w:t xml:space="preserve"> כד, יג).</w:t>
      </w:r>
      <w:r w:rsidR="00F42CAD">
        <w:rPr>
          <w:rFonts w:cs="David" w:hint="cs"/>
          <w:sz w:val="20"/>
          <w:szCs w:val="20"/>
          <w:rtl/>
        </w:rPr>
        <w:t xml:space="preserve">הצגת ירמיהו </w:t>
      </w:r>
      <w:r>
        <w:rPr>
          <w:rFonts w:cs="David" w:hint="cs"/>
          <w:sz w:val="20"/>
          <w:szCs w:val="20"/>
          <w:rtl/>
        </w:rPr>
        <w:t xml:space="preserve">את רדיפת האישה אחרי הזרים כפעולה מצמיאה: </w:t>
      </w:r>
      <w:r w:rsidR="00D87F6F">
        <w:rPr>
          <w:rFonts w:cs="David"/>
          <w:sz w:val="20"/>
          <w:szCs w:val="20"/>
          <w:rtl/>
        </w:rPr>
        <w:t>“</w:t>
      </w:r>
      <w:r>
        <w:rPr>
          <w:rFonts w:cs="David" w:hint="cs"/>
          <w:sz w:val="20"/>
          <w:szCs w:val="20"/>
          <w:rtl/>
        </w:rPr>
        <w:t xml:space="preserve">מנעי רגלך מיחף </w:t>
      </w:r>
      <w:r w:rsidR="00F42CAD">
        <w:rPr>
          <w:rFonts w:cs="David" w:hint="cs"/>
          <w:sz w:val="20"/>
          <w:szCs w:val="20"/>
          <w:rtl/>
        </w:rPr>
        <w:t>וגורנך (וגרונך) מצִמאה</w:t>
      </w:r>
      <w:r w:rsidR="00D87F6F">
        <w:rPr>
          <w:rFonts w:cs="David"/>
          <w:sz w:val="20"/>
          <w:szCs w:val="20"/>
          <w:rtl/>
        </w:rPr>
        <w:t>”</w:t>
      </w:r>
      <w:r w:rsidR="00F42CAD">
        <w:rPr>
          <w:rFonts w:cs="David" w:hint="cs"/>
          <w:sz w:val="20"/>
          <w:szCs w:val="20"/>
          <w:rtl/>
        </w:rPr>
        <w:t xml:space="preserve"> (ב, כה), מקבלת משמעות צינית לנמען שמכיר את עונש ההשקיה המצפה לאישה זו.</w:t>
      </w:r>
      <w:r w:rsidRPr="007C1293">
        <w:rPr>
          <w:rFonts w:cs="David" w:hint="cs"/>
          <w:sz w:val="20"/>
          <w:szCs w:val="20"/>
          <w:rtl/>
        </w:rPr>
        <w:t xml:space="preserve"> </w:t>
      </w:r>
    </w:p>
  </w:footnote>
  <w:footnote w:id="51">
    <w:p w:rsidR="00EB73A5" w:rsidRPr="00C63534" w:rsidRDefault="00EB73A5" w:rsidP="009D3300">
      <w:pPr>
        <w:spacing w:line="360" w:lineRule="auto"/>
        <w:jc w:val="both"/>
        <w:rPr>
          <w:rFonts w:cs="David"/>
          <w:sz w:val="20"/>
          <w:szCs w:val="20"/>
          <w:rtl/>
        </w:rPr>
      </w:pPr>
      <w:r w:rsidRPr="00B50A4C">
        <w:rPr>
          <w:rStyle w:val="FootnoteReference"/>
          <w:sz w:val="20"/>
          <w:szCs w:val="20"/>
        </w:rPr>
        <w:footnoteRef/>
      </w:r>
      <w:r>
        <w:rPr>
          <w:rtl/>
        </w:rPr>
        <w:t xml:space="preserve"> </w:t>
      </w:r>
      <w:r w:rsidRPr="00C63534">
        <w:rPr>
          <w:rFonts w:cs="David" w:hint="cs"/>
          <w:sz w:val="20"/>
          <w:szCs w:val="20"/>
          <w:rtl/>
        </w:rPr>
        <w:t xml:space="preserve">על </w:t>
      </w:r>
      <w:r>
        <w:rPr>
          <w:rFonts w:cs="David" w:hint="cs"/>
          <w:sz w:val="20"/>
          <w:szCs w:val="20"/>
          <w:rtl/>
        </w:rPr>
        <w:t>ה</w:t>
      </w:r>
      <w:r w:rsidRPr="00C63534">
        <w:rPr>
          <w:rFonts w:cs="David" w:hint="cs"/>
          <w:sz w:val="20"/>
          <w:szCs w:val="20"/>
          <w:rtl/>
        </w:rPr>
        <w:t xml:space="preserve">ניגוד </w:t>
      </w:r>
      <w:r>
        <w:rPr>
          <w:rFonts w:cs="David" w:hint="cs"/>
          <w:sz w:val="20"/>
          <w:szCs w:val="20"/>
          <w:rtl/>
        </w:rPr>
        <w:t>בין סוגי המים</w:t>
      </w:r>
      <w:r w:rsidRPr="00C63534">
        <w:rPr>
          <w:rFonts w:cs="David" w:hint="cs"/>
          <w:sz w:val="20"/>
          <w:szCs w:val="20"/>
          <w:rtl/>
        </w:rPr>
        <w:t xml:space="preserve"> עומד גם וולטקה, ראו: </w:t>
      </w:r>
      <w:r w:rsidRPr="00C63534">
        <w:rPr>
          <w:rFonts w:cs="David"/>
          <w:sz w:val="20"/>
          <w:szCs w:val="20"/>
        </w:rPr>
        <w:t xml:space="preserve">B.K. Waltke, </w:t>
      </w:r>
      <w:r w:rsidRPr="00C63534">
        <w:rPr>
          <w:rFonts w:cs="David"/>
          <w:i/>
          <w:iCs/>
          <w:sz w:val="20"/>
          <w:szCs w:val="20"/>
        </w:rPr>
        <w:t>The Book of Proverbs: Chapters 1-15</w:t>
      </w:r>
      <w:r w:rsidRPr="00C63534">
        <w:rPr>
          <w:rFonts w:cs="David"/>
          <w:sz w:val="20"/>
          <w:szCs w:val="20"/>
        </w:rPr>
        <w:t xml:space="preserve"> (NICOT), Grand Rapids, Michigan 2004</w:t>
      </w:r>
      <w:r w:rsidRPr="00C63534">
        <w:rPr>
          <w:sz w:val="20"/>
          <w:szCs w:val="20"/>
        </w:rPr>
        <w:t>, p. 446</w:t>
      </w:r>
      <w:r w:rsidRPr="00C63534">
        <w:rPr>
          <w:rFonts w:cs="David" w:hint="cs"/>
          <w:sz w:val="20"/>
          <w:szCs w:val="20"/>
          <w:rtl/>
        </w:rPr>
        <w:t xml:space="preserve">. מעניין שסיפור מרה מסתיים בהבהרה כי </w:t>
      </w:r>
      <w:r w:rsidR="00D87F6F">
        <w:rPr>
          <w:rFonts w:cs="David"/>
          <w:sz w:val="20"/>
          <w:szCs w:val="20"/>
          <w:rtl/>
        </w:rPr>
        <w:t>“</w:t>
      </w:r>
      <w:r w:rsidRPr="00C63534">
        <w:rPr>
          <w:rFonts w:cs="David" w:hint="cs"/>
          <w:sz w:val="20"/>
          <w:szCs w:val="20"/>
          <w:rtl/>
        </w:rPr>
        <w:t>אם שמוע תשמע לקול ה</w:t>
      </w:r>
      <w:r w:rsidR="00D87F6F">
        <w:rPr>
          <w:rFonts w:cs="David"/>
          <w:sz w:val="20"/>
          <w:szCs w:val="20"/>
          <w:rtl/>
        </w:rPr>
        <w:t>’</w:t>
      </w:r>
      <w:r w:rsidRPr="00C63534">
        <w:rPr>
          <w:rFonts w:cs="David" w:hint="cs"/>
          <w:sz w:val="20"/>
          <w:szCs w:val="20"/>
          <w:rtl/>
        </w:rPr>
        <w:t xml:space="preserve"> אלהיך... ושמרת כל חקיו כל המחלה אשר שמתי במצרים לא אשים עליך כי אני ה</w:t>
      </w:r>
      <w:r w:rsidR="00D87F6F">
        <w:rPr>
          <w:rFonts w:cs="David"/>
          <w:sz w:val="20"/>
          <w:szCs w:val="20"/>
          <w:rtl/>
        </w:rPr>
        <w:t>’</w:t>
      </w:r>
      <w:r w:rsidRPr="00C63534">
        <w:rPr>
          <w:rFonts w:cs="David" w:hint="cs"/>
          <w:sz w:val="20"/>
          <w:szCs w:val="20"/>
          <w:rtl/>
        </w:rPr>
        <w:t xml:space="preserve"> רפאיך</w:t>
      </w:r>
      <w:r w:rsidR="00D87F6F">
        <w:rPr>
          <w:rFonts w:cs="David"/>
          <w:sz w:val="20"/>
          <w:szCs w:val="20"/>
          <w:rtl/>
        </w:rPr>
        <w:t>”</w:t>
      </w:r>
      <w:r w:rsidRPr="00C63534">
        <w:rPr>
          <w:rFonts w:cs="David" w:hint="cs"/>
          <w:sz w:val="20"/>
          <w:szCs w:val="20"/>
          <w:rtl/>
        </w:rPr>
        <w:t xml:space="preserve"> (פס</w:t>
      </w:r>
      <w:r w:rsidR="00D87F6F">
        <w:rPr>
          <w:rFonts w:cs="David"/>
          <w:sz w:val="20"/>
          <w:szCs w:val="20"/>
          <w:rtl/>
        </w:rPr>
        <w:t>’</w:t>
      </w:r>
      <w:r w:rsidRPr="00C63534">
        <w:rPr>
          <w:rFonts w:cs="David" w:hint="cs"/>
          <w:sz w:val="20"/>
          <w:szCs w:val="20"/>
          <w:rtl/>
        </w:rPr>
        <w:t xml:space="preserve"> כו). שתיית המים המרים כמוה כמחלה המזיקה לגוף, ולכן שתייתם על-ידי בני-ישראל עומדת בניגוד לתיאור ה</w:t>
      </w:r>
      <w:r w:rsidR="00D87F6F">
        <w:rPr>
          <w:rFonts w:cs="David"/>
          <w:sz w:val="20"/>
          <w:szCs w:val="20"/>
          <w:rtl/>
        </w:rPr>
        <w:t>’</w:t>
      </w:r>
      <w:r w:rsidRPr="00C63534">
        <w:rPr>
          <w:rFonts w:cs="David" w:hint="cs"/>
          <w:sz w:val="20"/>
          <w:szCs w:val="20"/>
          <w:rtl/>
        </w:rPr>
        <w:t xml:space="preserve"> כרופא. מהסיפור מתברר כי אופי המים שאדם שותה (מתוקים / מרים) נגזר משאלת שמירתו את החוק ואת המשפט. השוו:</w:t>
      </w:r>
      <w:r w:rsidRPr="00C63534">
        <w:rPr>
          <w:rFonts w:cs="David"/>
          <w:sz w:val="20"/>
          <w:szCs w:val="20"/>
        </w:rPr>
        <w:t xml:space="preserve">J.C. Rylaarsdam, </w:t>
      </w:r>
      <w:r w:rsidRPr="00C63534">
        <w:rPr>
          <w:rFonts w:cs="David"/>
          <w:i/>
          <w:iCs/>
          <w:sz w:val="20"/>
          <w:szCs w:val="20"/>
        </w:rPr>
        <w:t>The Book of Exodus</w:t>
      </w:r>
      <w:r w:rsidRPr="00C63534">
        <w:rPr>
          <w:rFonts w:cs="David"/>
          <w:sz w:val="20"/>
          <w:szCs w:val="20"/>
        </w:rPr>
        <w:t xml:space="preserve"> (The Interpreter</w:t>
      </w:r>
      <w:r w:rsidR="00D87F6F">
        <w:rPr>
          <w:rFonts w:cs="David"/>
          <w:sz w:val="20"/>
          <w:szCs w:val="20"/>
        </w:rPr>
        <w:t>’</w:t>
      </w:r>
      <w:r w:rsidRPr="00C63534">
        <w:rPr>
          <w:rFonts w:cs="David"/>
          <w:sz w:val="20"/>
          <w:szCs w:val="20"/>
        </w:rPr>
        <w:t>s Bible 1), Nashville 1980, pp. 947-948</w:t>
      </w:r>
      <w:r w:rsidRPr="00C63534">
        <w:rPr>
          <w:rFonts w:cs="David" w:hint="cs"/>
          <w:sz w:val="20"/>
          <w:szCs w:val="20"/>
          <w:rtl/>
        </w:rPr>
        <w:t xml:space="preserve">. גם בסיפור העגל מוביל אי הציות: </w:t>
      </w:r>
      <w:r w:rsidR="00D87F6F">
        <w:rPr>
          <w:rFonts w:cs="David"/>
          <w:sz w:val="20"/>
          <w:szCs w:val="20"/>
          <w:rtl/>
        </w:rPr>
        <w:t>“</w:t>
      </w:r>
      <w:r w:rsidRPr="00C63534">
        <w:rPr>
          <w:rFonts w:cs="David" w:hint="cs"/>
          <w:sz w:val="20"/>
          <w:szCs w:val="20"/>
          <w:rtl/>
        </w:rPr>
        <w:t>סרו מהר מן הדרך אשר צִויתם</w:t>
      </w:r>
      <w:r w:rsidR="00D87F6F">
        <w:rPr>
          <w:rFonts w:cs="David"/>
          <w:sz w:val="20"/>
          <w:szCs w:val="20"/>
          <w:rtl/>
        </w:rPr>
        <w:t>”</w:t>
      </w:r>
      <w:r w:rsidRPr="00C63534">
        <w:rPr>
          <w:rFonts w:cs="David" w:hint="cs"/>
          <w:sz w:val="20"/>
          <w:szCs w:val="20"/>
          <w:rtl/>
        </w:rPr>
        <w:t xml:space="preserve"> (שמ</w:t>
      </w:r>
      <w:r w:rsidR="00D87F6F">
        <w:rPr>
          <w:rFonts w:cs="David"/>
          <w:sz w:val="20"/>
          <w:szCs w:val="20"/>
          <w:rtl/>
        </w:rPr>
        <w:t>’</w:t>
      </w:r>
      <w:r w:rsidRPr="00C63534">
        <w:rPr>
          <w:rFonts w:cs="David" w:hint="cs"/>
          <w:sz w:val="20"/>
          <w:szCs w:val="20"/>
          <w:rtl/>
        </w:rPr>
        <w:t xml:space="preserve"> לב, ח) לשתיית מים שאינם מתוקים: </w:t>
      </w:r>
      <w:r w:rsidR="00D87F6F">
        <w:rPr>
          <w:rFonts w:cs="David"/>
          <w:sz w:val="20"/>
          <w:szCs w:val="20"/>
          <w:rtl/>
        </w:rPr>
        <w:t>“</w:t>
      </w:r>
      <w:r w:rsidRPr="00C63534">
        <w:rPr>
          <w:rFonts w:cs="David" w:hint="cs"/>
          <w:sz w:val="20"/>
          <w:szCs w:val="20"/>
          <w:rtl/>
        </w:rPr>
        <w:t>ויקח את העגל אשר עשו וישרף באש ויטחן עד אשר דק ויזר על פני המים וישק את בני ישראל</w:t>
      </w:r>
      <w:r w:rsidR="00D87F6F">
        <w:rPr>
          <w:rFonts w:cs="David"/>
          <w:sz w:val="20"/>
          <w:szCs w:val="20"/>
          <w:rtl/>
        </w:rPr>
        <w:t>”</w:t>
      </w:r>
      <w:r w:rsidRPr="00C63534">
        <w:rPr>
          <w:rFonts w:cs="David" w:hint="cs"/>
          <w:sz w:val="20"/>
          <w:szCs w:val="20"/>
          <w:rtl/>
        </w:rPr>
        <w:t xml:space="preserve"> (שם, כ). רבים עמדו על הקשר בין השקיה זו לבין השקיית הסוטה והתייחסו להשקיית העם כאמצעי לזיהוי השותפים לחטא (ראו למשל: </w:t>
      </w:r>
      <w:r w:rsidRPr="00C63534">
        <w:rPr>
          <w:sz w:val="20"/>
          <w:szCs w:val="20"/>
        </w:rPr>
        <w:t xml:space="preserve">R. Press, </w:t>
      </w:r>
      <w:r w:rsidR="00D87F6F">
        <w:rPr>
          <w:sz w:val="20"/>
          <w:szCs w:val="20"/>
        </w:rPr>
        <w:t>‘</w:t>
      </w:r>
      <w:r w:rsidRPr="00C63534">
        <w:rPr>
          <w:sz w:val="20"/>
          <w:szCs w:val="20"/>
        </w:rPr>
        <w:t>Das Ordal im alten Israel</w:t>
      </w:r>
      <w:r w:rsidR="00D87F6F">
        <w:rPr>
          <w:sz w:val="20"/>
          <w:szCs w:val="20"/>
        </w:rPr>
        <w:t>’</w:t>
      </w:r>
      <w:r w:rsidRPr="00C63534">
        <w:rPr>
          <w:sz w:val="20"/>
          <w:szCs w:val="20"/>
        </w:rPr>
        <w:t xml:space="preserve">, </w:t>
      </w:r>
      <w:r w:rsidRPr="00C63534">
        <w:rPr>
          <w:i/>
          <w:iCs/>
          <w:sz w:val="20"/>
          <w:szCs w:val="20"/>
        </w:rPr>
        <w:t>ZAW</w:t>
      </w:r>
      <w:r w:rsidRPr="00C63534">
        <w:rPr>
          <w:sz w:val="20"/>
          <w:szCs w:val="20"/>
        </w:rPr>
        <w:t xml:space="preserve"> 51 (1933), p. 125; D. Frankel, </w:t>
      </w:r>
      <w:r w:rsidR="00D87F6F">
        <w:rPr>
          <w:sz w:val="20"/>
          <w:szCs w:val="20"/>
        </w:rPr>
        <w:t>‘</w:t>
      </w:r>
      <w:r w:rsidRPr="00C63534">
        <w:rPr>
          <w:sz w:val="20"/>
          <w:szCs w:val="20"/>
        </w:rPr>
        <w:t xml:space="preserve">The </w:t>
      </w:r>
      <w:r w:rsidR="009D3300">
        <w:rPr>
          <w:sz w:val="20"/>
          <w:szCs w:val="20"/>
        </w:rPr>
        <w:t>D</w:t>
      </w:r>
      <w:r w:rsidRPr="00C63534">
        <w:rPr>
          <w:sz w:val="20"/>
          <w:szCs w:val="20"/>
        </w:rPr>
        <w:t>estruction of the Golden Calf: a new solution</w:t>
      </w:r>
      <w:r w:rsidR="00D87F6F">
        <w:rPr>
          <w:sz w:val="20"/>
          <w:szCs w:val="20"/>
        </w:rPr>
        <w:t>’</w:t>
      </w:r>
      <w:r w:rsidRPr="00C63534">
        <w:rPr>
          <w:sz w:val="20"/>
          <w:szCs w:val="20"/>
        </w:rPr>
        <w:t xml:space="preserve">, </w:t>
      </w:r>
      <w:r w:rsidRPr="00C63534">
        <w:rPr>
          <w:i/>
          <w:iCs/>
          <w:sz w:val="20"/>
          <w:szCs w:val="20"/>
        </w:rPr>
        <w:t>VT</w:t>
      </w:r>
      <w:r w:rsidRPr="00C63534">
        <w:rPr>
          <w:sz w:val="20"/>
          <w:szCs w:val="20"/>
        </w:rPr>
        <w:t xml:space="preserve"> 44 (1994), pp. 330-339</w:t>
      </w:r>
      <w:r w:rsidRPr="00C63534">
        <w:rPr>
          <w:rFonts w:cs="David" w:hint="cs"/>
          <w:sz w:val="20"/>
          <w:szCs w:val="20"/>
          <w:rtl/>
        </w:rPr>
        <w:t>). אולם אשמת העם אינה</w:t>
      </w:r>
      <w:r>
        <w:rPr>
          <w:rFonts w:cs="David" w:hint="cs"/>
          <w:sz w:val="20"/>
          <w:szCs w:val="20"/>
          <w:rtl/>
        </w:rPr>
        <w:t xml:space="preserve"> מוטלת בספק וממילא</w:t>
      </w:r>
      <w:r w:rsidRPr="00C63534">
        <w:rPr>
          <w:rFonts w:cs="David" w:hint="cs"/>
          <w:sz w:val="20"/>
          <w:szCs w:val="20"/>
          <w:rtl/>
        </w:rPr>
        <w:t xml:space="preserve"> אין המדובר בהשקיה שנועדה לבדיקת </w:t>
      </w:r>
      <w:r>
        <w:rPr>
          <w:rFonts w:cs="David" w:hint="cs"/>
          <w:sz w:val="20"/>
          <w:szCs w:val="20"/>
          <w:rtl/>
        </w:rPr>
        <w:t>אשמה, ראו</w:t>
      </w:r>
      <w:r w:rsidRPr="00C63534">
        <w:rPr>
          <w:rFonts w:cs="David" w:hint="cs"/>
          <w:sz w:val="20"/>
          <w:szCs w:val="20"/>
          <w:rtl/>
        </w:rPr>
        <w:t>:</w:t>
      </w:r>
      <w:r w:rsidRPr="00C63534">
        <w:rPr>
          <w:rFonts w:cs="David"/>
          <w:sz w:val="20"/>
          <w:szCs w:val="20"/>
        </w:rPr>
        <w:t xml:space="preserve">M. Noth, </w:t>
      </w:r>
      <w:r w:rsidRPr="00C63534">
        <w:rPr>
          <w:rFonts w:cs="David"/>
          <w:i/>
          <w:iCs/>
          <w:sz w:val="20"/>
          <w:szCs w:val="20"/>
        </w:rPr>
        <w:t>Exodus</w:t>
      </w:r>
      <w:r w:rsidRPr="00C63534">
        <w:rPr>
          <w:rFonts w:cs="David"/>
          <w:sz w:val="20"/>
          <w:szCs w:val="20"/>
        </w:rPr>
        <w:t xml:space="preserve"> (OTL), London 1962, p. 250; </w:t>
      </w:r>
      <w:r w:rsidRPr="00C63534">
        <w:rPr>
          <w:sz w:val="20"/>
          <w:szCs w:val="20"/>
        </w:rPr>
        <w:t xml:space="preserve">W. McKane, </w:t>
      </w:r>
      <w:r w:rsidRPr="00C63534">
        <w:rPr>
          <w:i/>
          <w:iCs/>
          <w:sz w:val="20"/>
          <w:szCs w:val="20"/>
        </w:rPr>
        <w:t>Jeremiah 1-25</w:t>
      </w:r>
      <w:r w:rsidRPr="00C63534">
        <w:rPr>
          <w:sz w:val="20"/>
          <w:szCs w:val="20"/>
        </w:rPr>
        <w:t xml:space="preserve"> (ICC),</w:t>
      </w:r>
      <w:r w:rsidR="00D87F6F">
        <w:rPr>
          <w:sz w:val="20"/>
          <w:szCs w:val="20"/>
        </w:rPr>
        <w:t xml:space="preserve"> </w:t>
      </w:r>
      <w:r w:rsidRPr="00C63534">
        <w:rPr>
          <w:sz w:val="20"/>
          <w:szCs w:val="20"/>
        </w:rPr>
        <w:t>Edinburgh 1986, p. 191</w:t>
      </w:r>
      <w:r w:rsidRPr="00C63534">
        <w:rPr>
          <w:rFonts w:cs="David" w:hint="cs"/>
          <w:sz w:val="20"/>
          <w:szCs w:val="20"/>
          <w:rtl/>
        </w:rPr>
        <w:t>.</w:t>
      </w:r>
      <w:r w:rsidR="00D87F6F">
        <w:rPr>
          <w:rFonts w:cs="David"/>
          <w:sz w:val="20"/>
          <w:szCs w:val="20"/>
          <w:rtl/>
        </w:rPr>
        <w:t xml:space="preserve"> </w:t>
      </w:r>
      <w:r w:rsidRPr="00C63534">
        <w:rPr>
          <w:rFonts w:cs="David" w:hint="cs"/>
          <w:sz w:val="20"/>
          <w:szCs w:val="20"/>
          <w:rtl/>
        </w:rPr>
        <w:t>פליישר (</w:t>
      </w:r>
      <w:r w:rsidRPr="00C63534">
        <w:rPr>
          <w:rFonts w:cs="Arial"/>
          <w:sz w:val="20"/>
          <w:szCs w:val="20"/>
        </w:rPr>
        <w:t xml:space="preserve">G. Fleischer, </w:t>
      </w:r>
      <w:r w:rsidR="00D87F6F">
        <w:rPr>
          <w:rFonts w:cs="Arial"/>
          <w:sz w:val="20"/>
          <w:szCs w:val="20"/>
        </w:rPr>
        <w:t>‘</w:t>
      </w:r>
      <w:r w:rsidRPr="00C63534">
        <w:rPr>
          <w:rFonts w:cs="Arial"/>
          <w:sz w:val="20"/>
          <w:szCs w:val="20"/>
        </w:rPr>
        <w:t>r</w:t>
      </w:r>
      <w:r w:rsidRPr="00C63534">
        <w:rPr>
          <w:sz w:val="20"/>
          <w:szCs w:val="20"/>
        </w:rPr>
        <w:t>ō</w:t>
      </w:r>
      <w:r w:rsidR="00D87F6F">
        <w:rPr>
          <w:rFonts w:cs="Arial"/>
          <w:sz w:val="20"/>
          <w:szCs w:val="20"/>
        </w:rPr>
        <w:t>’</w:t>
      </w:r>
      <w:r w:rsidRPr="005236D1">
        <w:rPr>
          <w:rFonts w:cs="David"/>
          <w:sz w:val="20"/>
          <w:szCs w:val="20"/>
        </w:rPr>
        <w:t>š</w:t>
      </w:r>
      <w:r w:rsidR="00D87F6F">
        <w:rPr>
          <w:rFonts w:cs="Arial"/>
          <w:sz w:val="20"/>
          <w:szCs w:val="20"/>
        </w:rPr>
        <w:t xml:space="preserve"> </w:t>
      </w:r>
      <w:r w:rsidRPr="00C63534">
        <w:rPr>
          <w:rFonts w:cs="Arial"/>
          <w:sz w:val="20"/>
          <w:szCs w:val="20"/>
        </w:rPr>
        <w:t>II</w:t>
      </w:r>
      <w:r w:rsidR="00D87F6F">
        <w:rPr>
          <w:rFonts w:cs="Arial"/>
          <w:sz w:val="20"/>
          <w:szCs w:val="20"/>
        </w:rPr>
        <w:t>’</w:t>
      </w:r>
      <w:r w:rsidRPr="00C63534">
        <w:rPr>
          <w:rFonts w:cs="Arial"/>
          <w:sz w:val="20"/>
          <w:szCs w:val="20"/>
        </w:rPr>
        <w:t xml:space="preserve">, </w:t>
      </w:r>
      <w:r w:rsidRPr="00C63534">
        <w:rPr>
          <w:rFonts w:cs="Arial"/>
          <w:i/>
          <w:iCs/>
          <w:sz w:val="20"/>
          <w:szCs w:val="20"/>
        </w:rPr>
        <w:t>TDOT</w:t>
      </w:r>
      <w:r w:rsidRPr="00C63534">
        <w:rPr>
          <w:rFonts w:cs="Arial"/>
          <w:sz w:val="20"/>
          <w:szCs w:val="20"/>
        </w:rPr>
        <w:t xml:space="preserve"> (Vol. 13), Grand Rapids, Michigan 2004, p. 263 (German Original 1990-1992)</w:t>
      </w:r>
      <w:r w:rsidRPr="00C63534">
        <w:rPr>
          <w:rFonts w:cs="David" w:hint="cs"/>
          <w:sz w:val="20"/>
          <w:szCs w:val="20"/>
          <w:rtl/>
        </w:rPr>
        <w:t xml:space="preserve"> </w:t>
      </w:r>
      <w:r>
        <w:rPr>
          <w:rFonts w:cs="David" w:hint="cs"/>
          <w:sz w:val="20"/>
          <w:szCs w:val="20"/>
          <w:rtl/>
        </w:rPr>
        <w:t>מקשר</w:t>
      </w:r>
      <w:r w:rsidRPr="00C63534">
        <w:rPr>
          <w:rFonts w:cs="David" w:hint="cs"/>
          <w:sz w:val="20"/>
          <w:szCs w:val="20"/>
          <w:rtl/>
        </w:rPr>
        <w:t xml:space="preserve"> בין השקיה זו שמשמשת כעונש לעם לבין תיאורי ה</w:t>
      </w:r>
      <w:r>
        <w:rPr>
          <w:rFonts w:cs="David" w:hint="cs"/>
          <w:sz w:val="20"/>
          <w:szCs w:val="20"/>
          <w:rtl/>
        </w:rPr>
        <w:t xml:space="preserve">שקיית הראש והלענה בנבואה. </w:t>
      </w:r>
      <w:r w:rsidRPr="00C63534">
        <w:rPr>
          <w:rFonts w:cs="David" w:hint="cs"/>
          <w:sz w:val="20"/>
          <w:szCs w:val="20"/>
          <w:rtl/>
        </w:rPr>
        <w:t>גרינשטיין</w:t>
      </w:r>
      <w:r>
        <w:rPr>
          <w:rFonts w:cs="David" w:hint="cs"/>
          <w:sz w:val="20"/>
          <w:szCs w:val="20"/>
          <w:rtl/>
        </w:rPr>
        <w:t xml:space="preserve"> טוען שהשקיית העם</w:t>
      </w:r>
      <w:r w:rsidRPr="00C63534">
        <w:rPr>
          <w:rFonts w:cs="David" w:hint="cs"/>
          <w:sz w:val="20"/>
          <w:szCs w:val="20"/>
          <w:rtl/>
        </w:rPr>
        <w:t xml:space="preserve"> </w:t>
      </w:r>
      <w:r>
        <w:rPr>
          <w:rFonts w:cs="David" w:hint="cs"/>
          <w:sz w:val="20"/>
          <w:szCs w:val="20"/>
          <w:rtl/>
        </w:rPr>
        <w:t>אינה בדיקה ואינה</w:t>
      </w:r>
      <w:r w:rsidRPr="00C63534">
        <w:rPr>
          <w:rFonts w:cs="David" w:hint="cs"/>
          <w:sz w:val="20"/>
          <w:szCs w:val="20"/>
          <w:rtl/>
        </w:rPr>
        <w:t xml:space="preserve"> עונש אלא</w:t>
      </w:r>
      <w:r>
        <w:rPr>
          <w:rFonts w:cs="David" w:hint="cs"/>
          <w:sz w:val="20"/>
          <w:szCs w:val="20"/>
          <w:rtl/>
        </w:rPr>
        <w:t xml:space="preserve"> היא</w:t>
      </w:r>
      <w:r w:rsidRPr="00C63534">
        <w:rPr>
          <w:rFonts w:cs="David" w:hint="cs"/>
          <w:sz w:val="20"/>
          <w:szCs w:val="20"/>
          <w:rtl/>
        </w:rPr>
        <w:t xml:space="preserve"> משמשת כשלב האחרון בהשמדת העגל, בדומה לציפורים האוכלות את שרידי מות במקבילה האוגריתית. טענה זו נסמכת על הדמיון הלשוני שבין הטקסטים. ראו: א</w:t>
      </w:r>
      <w:r w:rsidR="00D87F6F">
        <w:rPr>
          <w:rFonts w:cs="David"/>
          <w:sz w:val="20"/>
          <w:szCs w:val="20"/>
          <w:rtl/>
        </w:rPr>
        <w:t>’</w:t>
      </w:r>
      <w:r w:rsidRPr="00C63534">
        <w:rPr>
          <w:rFonts w:cs="David" w:hint="cs"/>
          <w:sz w:val="20"/>
          <w:szCs w:val="20"/>
          <w:rtl/>
        </w:rPr>
        <w:t xml:space="preserve"> גרינשטיין, הספרות האוגריתית, ספרות המקרא: מבואות ומחקרים (כרך ב), צ</w:t>
      </w:r>
      <w:r w:rsidR="00D87F6F">
        <w:rPr>
          <w:rFonts w:cs="David"/>
          <w:sz w:val="20"/>
          <w:szCs w:val="20"/>
          <w:rtl/>
        </w:rPr>
        <w:t>’</w:t>
      </w:r>
      <w:r w:rsidRPr="00C63534">
        <w:rPr>
          <w:rFonts w:cs="David" w:hint="cs"/>
          <w:sz w:val="20"/>
          <w:szCs w:val="20"/>
          <w:rtl/>
        </w:rPr>
        <w:t xml:space="preserve"> טלשיר (עורכת), ירושלים תשע</w:t>
      </w:r>
      <w:r w:rsidR="00D87F6F">
        <w:rPr>
          <w:rFonts w:cs="David"/>
          <w:sz w:val="20"/>
          <w:szCs w:val="20"/>
          <w:rtl/>
        </w:rPr>
        <w:t>”</w:t>
      </w:r>
      <w:r w:rsidRPr="00C63534">
        <w:rPr>
          <w:rFonts w:cs="David" w:hint="cs"/>
          <w:sz w:val="20"/>
          <w:szCs w:val="20"/>
          <w:rtl/>
        </w:rPr>
        <w:t>א, עמ</w:t>
      </w:r>
      <w:r w:rsidR="00D87F6F">
        <w:rPr>
          <w:rFonts w:cs="David"/>
          <w:sz w:val="20"/>
          <w:szCs w:val="20"/>
          <w:rtl/>
        </w:rPr>
        <w:t>’</w:t>
      </w:r>
      <w:r w:rsidRPr="00C63534">
        <w:rPr>
          <w:rFonts w:cs="David" w:hint="cs"/>
          <w:sz w:val="20"/>
          <w:szCs w:val="20"/>
          <w:rtl/>
        </w:rPr>
        <w:t xml:space="preserve"> 507</w:t>
      </w:r>
      <w:r w:rsidRPr="00C63534">
        <w:rPr>
          <w:rFonts w:cs="David" w:hint="cs"/>
          <w:sz w:val="20"/>
          <w:szCs w:val="20"/>
          <w:rtl/>
        </w:rPr>
        <w:softHyphen/>
        <w:t>-508. פליישר סבור שמשה טוחן את הלוחות השבורים ואת עפרם הוא זורה לתוך המים (את העגל הוא שורף באש).</w:t>
      </w:r>
    </w:p>
  </w:footnote>
  <w:footnote w:id="52">
    <w:p w:rsidR="00B50A4C" w:rsidRPr="00323121" w:rsidRDefault="00B50A4C" w:rsidP="00B50A4C">
      <w:pPr>
        <w:pStyle w:val="FootnoteText"/>
        <w:spacing w:line="360" w:lineRule="auto"/>
        <w:jc w:val="both"/>
        <w:rPr>
          <w:rFonts w:cs="David"/>
          <w:rtl/>
        </w:rPr>
      </w:pPr>
      <w:r w:rsidRPr="0012499A">
        <w:rPr>
          <w:rStyle w:val="FootnoteReference"/>
        </w:rPr>
        <w:footnoteRef/>
      </w:r>
      <w:r w:rsidRPr="0012499A">
        <w:rPr>
          <w:rtl/>
        </w:rPr>
        <w:t xml:space="preserve"> </w:t>
      </w:r>
      <w:r w:rsidRPr="00D15BEE">
        <w:rPr>
          <w:rFonts w:cs="David" w:hint="cs"/>
          <w:rtl/>
        </w:rPr>
        <w:t>יחזקאל מרבה להשתמש גם בכינויי זנות לתיאור מעשיהם של יהודה וישראל, אולם בצדק טענה דיי כי אין</w:t>
      </w:r>
      <w:r>
        <w:rPr>
          <w:rFonts w:ascii="David" w:hAnsi="David" w:cs="David" w:hint="cs"/>
          <w:rtl/>
        </w:rPr>
        <w:t xml:space="preserve"> </w:t>
      </w:r>
      <w:r w:rsidRPr="00D15BEE">
        <w:rPr>
          <w:rFonts w:cs="David" w:hint="cs"/>
          <w:rtl/>
        </w:rPr>
        <w:t>להתייחס אליהם כזונות מקצועיות אלא כנואפות, ראו:</w:t>
      </w:r>
      <w:r>
        <w:rPr>
          <w:rFonts w:ascii="David" w:hAnsi="David" w:cs="David" w:hint="cs"/>
          <w:rtl/>
        </w:rPr>
        <w:t xml:space="preserve"> </w:t>
      </w:r>
      <w:r>
        <w:rPr>
          <w:rFonts w:ascii="David" w:hAnsi="David" w:cs="David"/>
        </w:rPr>
        <w:t xml:space="preserve">P.L. Day, </w:t>
      </w:r>
      <w:r w:rsidR="00D87F6F">
        <w:rPr>
          <w:rFonts w:ascii="David" w:hAnsi="David" w:cs="David"/>
        </w:rPr>
        <w:t>‘</w:t>
      </w:r>
      <w:r>
        <w:rPr>
          <w:rFonts w:ascii="David" w:hAnsi="David" w:cs="David"/>
        </w:rPr>
        <w:t>The Bitch had it Coming to Her: Rhetoric and Interpretation in Ezekiel 16</w:t>
      </w:r>
      <w:r w:rsidR="00D87F6F">
        <w:rPr>
          <w:rFonts w:ascii="David" w:hAnsi="David" w:cs="David"/>
        </w:rPr>
        <w:t>’</w:t>
      </w:r>
      <w:r>
        <w:rPr>
          <w:rFonts w:ascii="David" w:hAnsi="David" w:cs="David"/>
        </w:rPr>
        <w:t xml:space="preserve">, </w:t>
      </w:r>
      <w:r w:rsidRPr="004F4670">
        <w:rPr>
          <w:rFonts w:ascii="David" w:hAnsi="David" w:cs="David"/>
          <w:i/>
          <w:iCs/>
        </w:rPr>
        <w:t>Biblical Interpretation 8</w:t>
      </w:r>
      <w:r>
        <w:rPr>
          <w:rFonts w:ascii="David" w:hAnsi="David" w:cs="David"/>
        </w:rPr>
        <w:t xml:space="preserve"> (2000), p. 236 n. 12</w:t>
      </w:r>
      <w:r>
        <w:rPr>
          <w:rFonts w:cs="David" w:hint="cs"/>
          <w:rtl/>
        </w:rPr>
        <w:t>. גם האזהרה מהאישה הזרה עוסקת</w:t>
      </w:r>
      <w:r w:rsidRPr="00115394">
        <w:rPr>
          <w:rFonts w:cs="David" w:hint="cs"/>
          <w:rtl/>
        </w:rPr>
        <w:t xml:space="preserve"> באישה נשואה שיש במעשיה משום ניאוף</w:t>
      </w:r>
      <w:r>
        <w:rPr>
          <w:rFonts w:cs="David" w:hint="cs"/>
          <w:rtl/>
        </w:rPr>
        <w:t xml:space="preserve">, כפי שמשתמע למשל מהטיעון: </w:t>
      </w:r>
      <w:r w:rsidR="00D87F6F">
        <w:rPr>
          <w:rFonts w:cs="David"/>
          <w:rtl/>
        </w:rPr>
        <w:t>“</w:t>
      </w:r>
      <w:r>
        <w:rPr>
          <w:rFonts w:cs="David" w:hint="cs"/>
          <w:rtl/>
        </w:rPr>
        <w:t>פן תתן לאחרים הודך ושנתך לאכזרי...</w:t>
      </w:r>
      <w:r w:rsidR="00D87F6F">
        <w:rPr>
          <w:rFonts w:cs="David"/>
          <w:rtl/>
        </w:rPr>
        <w:t>”</w:t>
      </w:r>
      <w:r>
        <w:rPr>
          <w:rFonts w:cs="David" w:hint="cs"/>
          <w:rtl/>
        </w:rPr>
        <w:t xml:space="preserve"> (מש</w:t>
      </w:r>
      <w:r w:rsidR="00D87F6F">
        <w:rPr>
          <w:rFonts w:cs="David"/>
          <w:rtl/>
        </w:rPr>
        <w:t>’</w:t>
      </w:r>
      <w:r>
        <w:rPr>
          <w:rFonts w:cs="David" w:hint="cs"/>
          <w:rtl/>
        </w:rPr>
        <w:t xml:space="preserve"> ה, ט-י) אבל אפשר שהיא</w:t>
      </w:r>
      <w:r w:rsidRPr="00115394">
        <w:rPr>
          <w:rFonts w:cs="David" w:hint="cs"/>
          <w:rtl/>
        </w:rPr>
        <w:t xml:space="preserve"> עוסקת גם בזונה, </w:t>
      </w:r>
      <w:r>
        <w:rPr>
          <w:rFonts w:cs="David" w:hint="cs"/>
          <w:rtl/>
        </w:rPr>
        <w:t>השוו: א</w:t>
      </w:r>
      <w:r w:rsidR="00D87F6F">
        <w:rPr>
          <w:rFonts w:cs="David"/>
          <w:rtl/>
        </w:rPr>
        <w:t>’</w:t>
      </w:r>
      <w:r>
        <w:rPr>
          <w:rFonts w:cs="David" w:hint="cs"/>
          <w:rtl/>
        </w:rPr>
        <w:t xml:space="preserve"> הורוויץ, משלי א-ט (מקרא לישראל), ירושלים ותל אביב תשע</w:t>
      </w:r>
      <w:r w:rsidR="00D87F6F">
        <w:rPr>
          <w:rFonts w:cs="David"/>
          <w:rtl/>
        </w:rPr>
        <w:t>”</w:t>
      </w:r>
      <w:r>
        <w:rPr>
          <w:rFonts w:cs="David" w:hint="cs"/>
          <w:rtl/>
        </w:rPr>
        <w:t>ג, עמ</w:t>
      </w:r>
      <w:r w:rsidR="00D87F6F">
        <w:rPr>
          <w:rFonts w:cs="David"/>
          <w:rtl/>
        </w:rPr>
        <w:t>’</w:t>
      </w:r>
      <w:r>
        <w:rPr>
          <w:rFonts w:cs="David" w:hint="cs"/>
          <w:rtl/>
        </w:rPr>
        <w:t xml:space="preserve"> 206.</w:t>
      </w:r>
    </w:p>
  </w:footnote>
  <w:footnote w:id="53">
    <w:p w:rsidR="00DA5A07" w:rsidRPr="00323121" w:rsidRDefault="00DA5A07" w:rsidP="00DA5A07">
      <w:pPr>
        <w:pStyle w:val="FootnoteText"/>
        <w:spacing w:line="360" w:lineRule="auto"/>
        <w:jc w:val="both"/>
        <w:rPr>
          <w:rFonts w:cs="David"/>
          <w:rtl/>
        </w:rPr>
      </w:pPr>
      <w:r w:rsidRPr="0012499A">
        <w:rPr>
          <w:rStyle w:val="FootnoteReference"/>
        </w:rPr>
        <w:footnoteRef/>
      </w:r>
      <w:r w:rsidRPr="0012499A">
        <w:rPr>
          <w:rtl/>
        </w:rPr>
        <w:t xml:space="preserve"> </w:t>
      </w:r>
      <w:r>
        <w:rPr>
          <w:rFonts w:cs="David" w:hint="cs"/>
          <w:rtl/>
        </w:rPr>
        <w:t xml:space="preserve">ראבה מציין שמהפסוק ניתן ללמוד כי קיימת התאמה בין גורל יהודה לגורל העמים. אולם התאמה זו אינה מלאה שכן בעוד שעונשם של יהודה הוא זמני עונשם של העמים הוא קבוע. ראו: </w:t>
      </w:r>
      <w:r w:rsidRPr="00624C14">
        <w:rPr>
          <w:rFonts w:cs="David"/>
        </w:rPr>
        <w:t>P.</w:t>
      </w:r>
      <w:r>
        <w:rPr>
          <w:rFonts w:cs="David"/>
        </w:rPr>
        <w:t xml:space="preserve"> </w:t>
      </w:r>
      <w:r w:rsidRPr="00624C14">
        <w:rPr>
          <w:rFonts w:cs="David"/>
        </w:rPr>
        <w:t xml:space="preserve">R. Raabe, </w:t>
      </w:r>
      <w:r w:rsidRPr="00624C14">
        <w:rPr>
          <w:rFonts w:cs="David"/>
          <w:i/>
          <w:iCs/>
        </w:rPr>
        <w:t>Obadiah</w:t>
      </w:r>
      <w:r w:rsidRPr="00624C14">
        <w:rPr>
          <w:rFonts w:cs="Arial"/>
          <w:lang w:bidi="ar-SA"/>
        </w:rPr>
        <w:t xml:space="preserve"> (AB)</w:t>
      </w:r>
      <w:r w:rsidRPr="00624C14">
        <w:rPr>
          <w:rFonts w:cs="David"/>
        </w:rPr>
        <w:t>, New York</w:t>
      </w:r>
      <w:r w:rsidRPr="00624C14">
        <w:rPr>
          <w:rFonts w:cs="Arial"/>
          <w:lang w:bidi="ar-SA"/>
        </w:rPr>
        <w:t xml:space="preserve"> 1996</w:t>
      </w:r>
      <w:r>
        <w:rPr>
          <w:rFonts w:cs="Arial"/>
          <w:lang w:val="en-US" w:bidi="ar-SA"/>
        </w:rPr>
        <w:t>, p. 233</w:t>
      </w:r>
      <w:r w:rsidR="00D87F6F">
        <w:rPr>
          <w:rFonts w:cs="David" w:hint="cs"/>
          <w:rtl/>
        </w:rPr>
        <w:t xml:space="preserve"> </w:t>
      </w:r>
    </w:p>
  </w:footnote>
  <w:footnote w:id="54">
    <w:p w:rsidR="00374B3A" w:rsidRPr="00323121" w:rsidRDefault="00374B3A" w:rsidP="00374B3A">
      <w:pPr>
        <w:pStyle w:val="FootnoteText"/>
        <w:spacing w:line="360" w:lineRule="auto"/>
        <w:jc w:val="both"/>
        <w:rPr>
          <w:rFonts w:cs="David"/>
          <w:rtl/>
        </w:rPr>
      </w:pPr>
      <w:r>
        <w:rPr>
          <w:rStyle w:val="FootnoteReference"/>
        </w:rPr>
        <w:footnoteRef/>
      </w:r>
      <w:r>
        <w:rPr>
          <w:rtl/>
        </w:rPr>
        <w:t xml:space="preserve"> </w:t>
      </w:r>
      <w:r>
        <w:rPr>
          <w:rFonts w:cs="David" w:hint="cs"/>
          <w:rtl/>
        </w:rPr>
        <w:t xml:space="preserve">בספר חזון יוחנן תיזכר בבל כמי ששותה בעצמה את הכוס: </w:t>
      </w:r>
      <w:r w:rsidR="00D87F6F">
        <w:rPr>
          <w:rFonts w:cs="David"/>
          <w:rtl/>
        </w:rPr>
        <w:t>“</w:t>
      </w:r>
      <w:r>
        <w:rPr>
          <w:rFonts w:cs="David" w:hint="cs"/>
          <w:rtl/>
        </w:rPr>
        <w:t>וזכרון בבל הגדולה עלה לפני האלהים לתת לה את כוס יין חרון אפו</w:t>
      </w:r>
      <w:r w:rsidR="00D87F6F">
        <w:rPr>
          <w:rFonts w:cs="David"/>
          <w:rtl/>
        </w:rPr>
        <w:t>”</w:t>
      </w:r>
      <w:r>
        <w:rPr>
          <w:rFonts w:cs="David" w:hint="cs"/>
          <w:rtl/>
        </w:rPr>
        <w:t xml:space="preserve"> (טז, יט). וכך נראה שיש להבין גם את המילים </w:t>
      </w:r>
      <w:r w:rsidR="00D87F6F">
        <w:rPr>
          <w:rFonts w:cs="David"/>
          <w:rtl/>
        </w:rPr>
        <w:t>“</w:t>
      </w:r>
      <w:r>
        <w:rPr>
          <w:rFonts w:cs="David" w:hint="cs"/>
          <w:rtl/>
        </w:rPr>
        <w:t>ומלך ששך ישתה אחריהם</w:t>
      </w:r>
      <w:r w:rsidR="00D87F6F">
        <w:rPr>
          <w:rFonts w:cs="David"/>
          <w:rtl/>
        </w:rPr>
        <w:t>”</w:t>
      </w:r>
      <w:r>
        <w:rPr>
          <w:rFonts w:cs="David" w:hint="cs"/>
          <w:rtl/>
        </w:rPr>
        <w:t xml:space="preserve"> (יר</w:t>
      </w:r>
      <w:r w:rsidR="00D87F6F">
        <w:rPr>
          <w:rFonts w:cs="David"/>
          <w:rtl/>
        </w:rPr>
        <w:t>’</w:t>
      </w:r>
      <w:r>
        <w:rPr>
          <w:rFonts w:cs="David" w:hint="cs"/>
          <w:rtl/>
        </w:rPr>
        <w:t xml:space="preserve"> כה, כו) שנראות כתוספת מאוחרת ובהן משמשת </w:t>
      </w:r>
      <w:r w:rsidR="00D87F6F">
        <w:rPr>
          <w:rFonts w:cs="David"/>
          <w:rtl/>
        </w:rPr>
        <w:t>“</w:t>
      </w:r>
      <w:r>
        <w:rPr>
          <w:rFonts w:cs="David" w:hint="cs"/>
          <w:rtl/>
        </w:rPr>
        <w:t>ששך</w:t>
      </w:r>
      <w:r w:rsidR="00D87F6F">
        <w:rPr>
          <w:rFonts w:cs="David"/>
          <w:rtl/>
        </w:rPr>
        <w:t>”</w:t>
      </w:r>
      <w:r>
        <w:rPr>
          <w:rFonts w:cs="David" w:hint="cs"/>
          <w:rtl/>
        </w:rPr>
        <w:t xml:space="preserve"> כרמז ל</w:t>
      </w:r>
      <w:r w:rsidR="00D87F6F">
        <w:rPr>
          <w:rFonts w:cs="David"/>
          <w:rtl/>
        </w:rPr>
        <w:t>”</w:t>
      </w:r>
      <w:r>
        <w:rPr>
          <w:rFonts w:cs="David" w:hint="cs"/>
          <w:rtl/>
        </w:rPr>
        <w:t>בבל</w:t>
      </w:r>
      <w:r w:rsidR="00D87F6F">
        <w:rPr>
          <w:rFonts w:cs="David"/>
          <w:rtl/>
        </w:rPr>
        <w:t>”</w:t>
      </w:r>
      <w:r>
        <w:rPr>
          <w:rFonts w:cs="David" w:hint="cs"/>
          <w:rtl/>
        </w:rPr>
        <w:t xml:space="preserve"> בכתב אתב</w:t>
      </w:r>
      <w:r w:rsidR="00D87F6F">
        <w:rPr>
          <w:rFonts w:cs="David"/>
          <w:rtl/>
        </w:rPr>
        <w:t>”</w:t>
      </w:r>
      <w:r>
        <w:rPr>
          <w:rFonts w:cs="David" w:hint="cs"/>
          <w:rtl/>
        </w:rPr>
        <w:t>ש, ראו הופמן (לעיל הערה 20), עמ</w:t>
      </w:r>
      <w:r w:rsidR="00D87F6F">
        <w:rPr>
          <w:rFonts w:cs="David"/>
          <w:rtl/>
        </w:rPr>
        <w:t>’</w:t>
      </w:r>
      <w:r>
        <w:rPr>
          <w:rFonts w:cs="David" w:hint="cs"/>
          <w:rtl/>
        </w:rPr>
        <w:t xml:space="preserve"> 501.</w:t>
      </w:r>
    </w:p>
  </w:footnote>
  <w:footnote w:id="55">
    <w:p w:rsidR="00202828" w:rsidRPr="00376581" w:rsidRDefault="00202828" w:rsidP="00376581">
      <w:pPr>
        <w:pStyle w:val="FootnoteText"/>
        <w:spacing w:line="360" w:lineRule="auto"/>
        <w:jc w:val="both"/>
        <w:rPr>
          <w:rFonts w:cs="David"/>
          <w:rtl/>
        </w:rPr>
      </w:pPr>
      <w:r>
        <w:rPr>
          <w:rStyle w:val="FootnoteReference"/>
        </w:rPr>
        <w:footnoteRef/>
      </w:r>
      <w:r>
        <w:rPr>
          <w:rtl/>
        </w:rPr>
        <w:t xml:space="preserve"> </w:t>
      </w:r>
      <w:r w:rsidR="00376581" w:rsidRPr="00624C14">
        <w:rPr>
          <w:rFonts w:cs="Arial"/>
        </w:rPr>
        <w:t xml:space="preserve">K. Seybold, </w:t>
      </w:r>
      <w:r w:rsidR="00D87F6F">
        <w:rPr>
          <w:rFonts w:cs="Arial"/>
        </w:rPr>
        <w:t>‘</w:t>
      </w:r>
      <w:r w:rsidR="00376581" w:rsidRPr="00624C14">
        <w:rPr>
          <w:rFonts w:cs="Arial"/>
        </w:rPr>
        <w:t>la</w:t>
      </w:r>
      <w:r w:rsidR="00376581" w:rsidRPr="00624C14">
        <w:t>ʽ</w:t>
      </w:r>
      <w:r w:rsidR="00376581" w:rsidRPr="00624C14">
        <w:rPr>
          <w:rFonts w:cs="Arial"/>
          <w:vertAlign w:val="superscript"/>
        </w:rPr>
        <w:t>a</w:t>
      </w:r>
      <w:r w:rsidR="00376581" w:rsidRPr="00624C14">
        <w:rPr>
          <w:rFonts w:cs="Arial"/>
        </w:rPr>
        <w:t>n</w:t>
      </w:r>
      <w:r w:rsidR="00376581" w:rsidRPr="00624C14">
        <w:t>ȃ</w:t>
      </w:r>
      <w:r w:rsidR="00D87F6F">
        <w:rPr>
          <w:rFonts w:cs="Arial"/>
        </w:rPr>
        <w:t>’</w:t>
      </w:r>
      <w:r w:rsidR="00376581" w:rsidRPr="00624C14">
        <w:rPr>
          <w:rFonts w:cs="Arial"/>
        </w:rPr>
        <w:t xml:space="preserve">, </w:t>
      </w:r>
      <w:r w:rsidR="00376581" w:rsidRPr="00624C14">
        <w:rPr>
          <w:rFonts w:cs="Arial"/>
          <w:i/>
          <w:iCs/>
        </w:rPr>
        <w:t>TDOT</w:t>
      </w:r>
      <w:r w:rsidR="00376581" w:rsidRPr="00624C14">
        <w:rPr>
          <w:rFonts w:cs="Arial"/>
        </w:rPr>
        <w:t xml:space="preserve"> (Vol. 8), Grand </w:t>
      </w:r>
      <w:r w:rsidR="00376581">
        <w:rPr>
          <w:rFonts w:cs="Arial"/>
        </w:rPr>
        <w:t xml:space="preserve">Rapids, Michigan 1997, </w:t>
      </w:r>
      <w:r w:rsidR="00376581">
        <w:rPr>
          <w:rFonts w:cs="Arial"/>
          <w:lang w:val="en-US"/>
        </w:rPr>
        <w:t>p</w:t>
      </w:r>
      <w:r w:rsidR="00376581">
        <w:rPr>
          <w:rFonts w:cs="Arial"/>
        </w:rPr>
        <w:t xml:space="preserve">p. </w:t>
      </w:r>
      <w:r w:rsidR="00376581">
        <w:rPr>
          <w:rFonts w:cs="Arial"/>
          <w:lang w:val="en-US"/>
        </w:rPr>
        <w:t>14-</w:t>
      </w:r>
      <w:r w:rsidR="00376581">
        <w:rPr>
          <w:rFonts w:cs="Arial"/>
        </w:rPr>
        <w:t>15</w:t>
      </w:r>
      <w:r w:rsidR="00376581" w:rsidRPr="00624C14">
        <w:rPr>
          <w:rFonts w:cs="Arial"/>
        </w:rPr>
        <w:t xml:space="preserve"> (German Original 1983-1984)</w:t>
      </w:r>
      <w:r w:rsidR="00376581">
        <w:rPr>
          <w:rFonts w:cs="Arial"/>
          <w:lang w:val="en-US"/>
        </w:rPr>
        <w:t xml:space="preserve">; </w:t>
      </w:r>
      <w:r w:rsidRPr="00624C14">
        <w:rPr>
          <w:rFonts w:cs="Arial"/>
        </w:rPr>
        <w:t xml:space="preserve">G. Fleischer, </w:t>
      </w:r>
      <w:r w:rsidR="00D87F6F">
        <w:rPr>
          <w:rFonts w:cs="Arial"/>
        </w:rPr>
        <w:t>‘</w:t>
      </w:r>
      <w:r w:rsidRPr="00624C14">
        <w:rPr>
          <w:rFonts w:cs="Arial"/>
        </w:rPr>
        <w:t>r</w:t>
      </w:r>
      <w:r w:rsidRPr="00624C14">
        <w:t>ō</w:t>
      </w:r>
      <w:r w:rsidR="00D87F6F">
        <w:rPr>
          <w:rFonts w:cs="Arial"/>
          <w:sz w:val="14"/>
          <w:szCs w:val="14"/>
        </w:rPr>
        <w:t>’</w:t>
      </w:r>
      <w:r w:rsidRPr="008E046E">
        <w:rPr>
          <w:sz w:val="14"/>
          <w:szCs w:val="14"/>
        </w:rPr>
        <w:t>Š</w:t>
      </w:r>
      <w:r w:rsidRPr="00624C14">
        <w:rPr>
          <w:rFonts w:cs="Arial"/>
        </w:rPr>
        <w:t xml:space="preserve"> II</w:t>
      </w:r>
      <w:r w:rsidR="00D87F6F">
        <w:rPr>
          <w:rFonts w:cs="Arial"/>
        </w:rPr>
        <w:t>’</w:t>
      </w:r>
      <w:r w:rsidRPr="00624C14">
        <w:rPr>
          <w:rFonts w:cs="Arial"/>
        </w:rPr>
        <w:t xml:space="preserve">, </w:t>
      </w:r>
      <w:r w:rsidRPr="00624C14">
        <w:rPr>
          <w:rFonts w:cs="Arial"/>
          <w:i/>
          <w:iCs/>
        </w:rPr>
        <w:t>TDOT</w:t>
      </w:r>
      <w:r w:rsidRPr="00624C14">
        <w:rPr>
          <w:rFonts w:cs="Arial"/>
        </w:rPr>
        <w:t xml:space="preserve"> (Vol. 13)</w:t>
      </w:r>
      <w:r>
        <w:rPr>
          <w:rFonts w:cs="Arial"/>
        </w:rPr>
        <w:t xml:space="preserve">, Grand Rapids, Michigan 2004, </w:t>
      </w:r>
      <w:r w:rsidRPr="00624C14">
        <w:rPr>
          <w:rFonts w:cs="Arial"/>
        </w:rPr>
        <w:t>p. 26</w:t>
      </w:r>
      <w:r>
        <w:rPr>
          <w:rFonts w:cs="Arial"/>
          <w:lang w:val="en-US"/>
        </w:rPr>
        <w:t xml:space="preserve">3 </w:t>
      </w:r>
      <w:r w:rsidRPr="00624C14">
        <w:rPr>
          <w:rFonts w:cs="Arial"/>
        </w:rPr>
        <w:t>(German Original 1990-1992)</w:t>
      </w:r>
      <w:r w:rsidR="00376581">
        <w:rPr>
          <w:rFonts w:cs="David" w:hint="cs"/>
          <w:rtl/>
          <w:lang w:val="en-US"/>
        </w:rPr>
        <w:t>.</w:t>
      </w:r>
      <w:r w:rsidR="00D87F6F">
        <w:rPr>
          <w:rFonts w:cs="David" w:hint="cs"/>
          <w:rtl/>
          <w:lang w:val="en-US"/>
        </w:rPr>
        <w:t xml:space="preserve"> </w:t>
      </w:r>
      <w:r w:rsidR="00376581">
        <w:rPr>
          <w:rFonts w:cs="David" w:hint="cs"/>
          <w:rtl/>
        </w:rPr>
        <w:t xml:space="preserve">וביטוי נוסף: </w:t>
      </w:r>
      <w:r w:rsidR="00D87F6F">
        <w:rPr>
          <w:rFonts w:cs="David"/>
          <w:rtl/>
        </w:rPr>
        <w:t>“</w:t>
      </w:r>
      <w:r w:rsidR="00376581" w:rsidRPr="00376581">
        <w:rPr>
          <w:rFonts w:cs="David" w:hint="cs"/>
          <w:rtl/>
        </w:rPr>
        <w:t>ויקף ראש ותלאה</w:t>
      </w:r>
      <w:r w:rsidR="00D87F6F">
        <w:rPr>
          <w:rFonts w:cs="David"/>
          <w:rtl/>
        </w:rPr>
        <w:t>”</w:t>
      </w:r>
      <w:r w:rsidR="00376581" w:rsidRPr="00376581">
        <w:rPr>
          <w:rFonts w:cs="David" w:hint="cs"/>
          <w:rtl/>
        </w:rPr>
        <w:t xml:space="preserve"> (איכ</w:t>
      </w:r>
      <w:r w:rsidR="00D87F6F">
        <w:rPr>
          <w:rFonts w:cs="David"/>
          <w:rtl/>
        </w:rPr>
        <w:t>’</w:t>
      </w:r>
      <w:r w:rsidR="00376581" w:rsidRPr="00376581">
        <w:rPr>
          <w:rFonts w:cs="David" w:hint="cs"/>
          <w:rtl/>
        </w:rPr>
        <w:t xml:space="preserve"> ג, ו)</w:t>
      </w:r>
      <w:r w:rsidR="00376581">
        <w:rPr>
          <w:rFonts w:cs="David" w:hint="cs"/>
          <w:rtl/>
        </w:rPr>
        <w:t>.</w:t>
      </w:r>
      <w:r w:rsidR="00376581">
        <w:rPr>
          <w:rFonts w:cs="David" w:hint="cs"/>
          <w:rtl/>
          <w:lang w:val="en-US"/>
        </w:rPr>
        <w:t xml:space="preserve"> </w:t>
      </w:r>
    </w:p>
  </w:footnote>
  <w:footnote w:id="56">
    <w:p w:rsidR="007A6DB6" w:rsidRPr="000E3D79" w:rsidRDefault="007A6DB6" w:rsidP="007A6DB6">
      <w:pPr>
        <w:pStyle w:val="FootnoteText"/>
        <w:spacing w:line="360" w:lineRule="auto"/>
        <w:jc w:val="both"/>
        <w:rPr>
          <w:rFonts w:cs="David"/>
          <w:rtl/>
        </w:rPr>
      </w:pPr>
      <w:r>
        <w:rPr>
          <w:rStyle w:val="FootnoteReference"/>
        </w:rPr>
        <w:footnoteRef/>
      </w:r>
      <w:r>
        <w:rPr>
          <w:rtl/>
        </w:rPr>
        <w:t xml:space="preserve"> </w:t>
      </w:r>
      <w:r w:rsidRPr="00624C14">
        <w:rPr>
          <w:rFonts w:cs="David"/>
        </w:rPr>
        <w:t xml:space="preserve">M. Dahood, </w:t>
      </w:r>
      <w:r w:rsidRPr="00624C14">
        <w:rPr>
          <w:rFonts w:cs="David"/>
          <w:i/>
          <w:iCs/>
        </w:rPr>
        <w:t>Psalms II: 51-100</w:t>
      </w:r>
      <w:r w:rsidRPr="00624C14">
        <w:rPr>
          <w:rFonts w:cs="Arial"/>
          <w:lang w:bidi="ar-SA"/>
        </w:rPr>
        <w:t xml:space="preserve"> (AB), </w:t>
      </w:r>
      <w:r w:rsidRPr="00624C14">
        <w:rPr>
          <w:rFonts w:cs="David"/>
        </w:rPr>
        <w:t>Garden City, New York</w:t>
      </w:r>
      <w:r w:rsidRPr="00624C14">
        <w:rPr>
          <w:rFonts w:cs="Arial"/>
          <w:vertAlign w:val="superscript"/>
          <w:lang w:bidi="ar-SA"/>
        </w:rPr>
        <w:t>3</w:t>
      </w:r>
      <w:r w:rsidRPr="00624C14">
        <w:rPr>
          <w:rFonts w:cs="Arial"/>
          <w:lang w:bidi="ar-SA"/>
        </w:rPr>
        <w:t xml:space="preserve"> 1979</w:t>
      </w:r>
      <w:r>
        <w:rPr>
          <w:rFonts w:cs="Arial"/>
          <w:lang w:val="en-US" w:bidi="ar-SA"/>
        </w:rPr>
        <w:t>, pp. 57-64</w:t>
      </w:r>
    </w:p>
  </w:footnote>
  <w:footnote w:id="57">
    <w:p w:rsidR="007A6DB6" w:rsidRPr="00FB3C5F" w:rsidRDefault="007A6DB6" w:rsidP="007A6DB6">
      <w:pPr>
        <w:pStyle w:val="FootnoteText"/>
        <w:spacing w:line="360" w:lineRule="auto"/>
        <w:jc w:val="both"/>
        <w:rPr>
          <w:rFonts w:cs="David"/>
          <w:rtl/>
        </w:rPr>
      </w:pPr>
      <w:r>
        <w:rPr>
          <w:rStyle w:val="FootnoteReference"/>
        </w:rPr>
        <w:footnoteRef/>
      </w:r>
      <w:r w:rsidR="00D87F6F">
        <w:rPr>
          <w:rtl/>
        </w:rPr>
        <w:t xml:space="preserve"> </w:t>
      </w:r>
      <w:r w:rsidRPr="00624C14">
        <w:rPr>
          <w:rFonts w:cs="David" w:hint="cs"/>
          <w:rtl/>
        </w:rPr>
        <w:t>ר</w:t>
      </w:r>
      <w:r w:rsidR="00D87F6F">
        <w:rPr>
          <w:rFonts w:cs="David"/>
          <w:rtl/>
        </w:rPr>
        <w:t>’</w:t>
      </w:r>
      <w:r w:rsidRPr="00624C14">
        <w:rPr>
          <w:rFonts w:cs="David" w:hint="cs"/>
          <w:rtl/>
        </w:rPr>
        <w:t xml:space="preserve"> דוד קמחי, תהלים א</w:t>
      </w:r>
      <w:r w:rsidR="00D87F6F">
        <w:rPr>
          <w:rFonts w:cs="David"/>
          <w:rtl/>
        </w:rPr>
        <w:t>’</w:t>
      </w:r>
      <w:r w:rsidRPr="00624C14">
        <w:rPr>
          <w:rFonts w:cs="David" w:hint="cs"/>
          <w:rtl/>
        </w:rPr>
        <w:t xml:space="preserve"> (מקראות גדולות הכתר), מהדיר ועורך מדעי מ</w:t>
      </w:r>
      <w:r w:rsidR="00D87F6F">
        <w:rPr>
          <w:rFonts w:cs="David"/>
          <w:rtl/>
        </w:rPr>
        <w:t>’</w:t>
      </w:r>
      <w:r w:rsidRPr="00624C14">
        <w:rPr>
          <w:rFonts w:cs="David" w:hint="cs"/>
          <w:rtl/>
        </w:rPr>
        <w:t xml:space="preserve"> כהן, רמת גן תש</w:t>
      </w:r>
      <w:r>
        <w:rPr>
          <w:rFonts w:cs="David" w:hint="cs"/>
          <w:rtl/>
        </w:rPr>
        <w:t>ס</w:t>
      </w:r>
      <w:r w:rsidR="00D87F6F">
        <w:rPr>
          <w:rFonts w:cs="David"/>
          <w:rtl/>
        </w:rPr>
        <w:t>”</w:t>
      </w:r>
      <w:r>
        <w:rPr>
          <w:rFonts w:cs="David" w:hint="cs"/>
          <w:rtl/>
        </w:rPr>
        <w:t>ג, עמ</w:t>
      </w:r>
      <w:r w:rsidR="00D87F6F">
        <w:rPr>
          <w:rFonts w:cs="David"/>
          <w:rtl/>
        </w:rPr>
        <w:t>’</w:t>
      </w:r>
      <w:r>
        <w:rPr>
          <w:rFonts w:cs="David" w:hint="cs"/>
          <w:rtl/>
        </w:rPr>
        <w:t xml:space="preserve"> 179.</w:t>
      </w:r>
    </w:p>
  </w:footnote>
  <w:footnote w:id="58">
    <w:p w:rsidR="00EC17E4" w:rsidRPr="008E71D9" w:rsidRDefault="00EC17E4" w:rsidP="00EC17E4">
      <w:pPr>
        <w:spacing w:line="360" w:lineRule="auto"/>
        <w:jc w:val="both"/>
        <w:rPr>
          <w:rFonts w:cs="David"/>
          <w:sz w:val="20"/>
          <w:szCs w:val="20"/>
        </w:rPr>
      </w:pPr>
      <w:r w:rsidRPr="001E651C">
        <w:rPr>
          <w:rStyle w:val="FootnoteReference"/>
          <w:sz w:val="20"/>
          <w:szCs w:val="20"/>
        </w:rPr>
        <w:footnoteRef/>
      </w:r>
      <w:r>
        <w:rPr>
          <w:rtl/>
        </w:rPr>
        <w:t xml:space="preserve"> </w:t>
      </w:r>
      <w:r w:rsidRPr="00624C14">
        <w:rPr>
          <w:rFonts w:cs="David"/>
          <w:sz w:val="20"/>
          <w:szCs w:val="20"/>
        </w:rPr>
        <w:t>C.</w:t>
      </w:r>
      <w:r>
        <w:rPr>
          <w:rFonts w:cs="David"/>
          <w:sz w:val="20"/>
          <w:szCs w:val="20"/>
        </w:rPr>
        <w:t xml:space="preserve"> </w:t>
      </w:r>
      <w:r w:rsidRPr="00624C14">
        <w:rPr>
          <w:rFonts w:cs="David"/>
          <w:sz w:val="20"/>
          <w:szCs w:val="20"/>
        </w:rPr>
        <w:t>L. Meyers and E.</w:t>
      </w:r>
      <w:r>
        <w:rPr>
          <w:rFonts w:cs="David"/>
          <w:sz w:val="20"/>
          <w:szCs w:val="20"/>
        </w:rPr>
        <w:t xml:space="preserve"> </w:t>
      </w:r>
      <w:r w:rsidRPr="00624C14">
        <w:rPr>
          <w:rFonts w:cs="David"/>
          <w:sz w:val="20"/>
          <w:szCs w:val="20"/>
        </w:rPr>
        <w:t xml:space="preserve">M. Meyers, </w:t>
      </w:r>
      <w:r w:rsidRPr="00624C14">
        <w:rPr>
          <w:rFonts w:cs="David"/>
          <w:i/>
          <w:iCs/>
          <w:sz w:val="20"/>
          <w:szCs w:val="20"/>
        </w:rPr>
        <w:t>Zechariah 9-14</w:t>
      </w:r>
      <w:r w:rsidRPr="00624C14">
        <w:rPr>
          <w:rFonts w:cs="Arial"/>
          <w:sz w:val="20"/>
          <w:szCs w:val="20"/>
          <w:lang w:bidi="ar-SA"/>
        </w:rPr>
        <w:t xml:space="preserve"> (AB)</w:t>
      </w:r>
      <w:r w:rsidRPr="00624C14">
        <w:rPr>
          <w:rFonts w:cs="David"/>
          <w:sz w:val="20"/>
          <w:szCs w:val="20"/>
        </w:rPr>
        <w:t>, New York</w:t>
      </w:r>
      <w:r w:rsidRPr="00624C14">
        <w:rPr>
          <w:rFonts w:cs="Arial"/>
          <w:sz w:val="20"/>
          <w:szCs w:val="20"/>
          <w:lang w:bidi="ar-SA"/>
        </w:rPr>
        <w:t xml:space="preserve"> 1993</w:t>
      </w:r>
      <w:r>
        <w:rPr>
          <w:rFonts w:cs="Arial"/>
          <w:sz w:val="20"/>
          <w:szCs w:val="20"/>
          <w:lang w:bidi="ar-SA"/>
        </w:rPr>
        <w:t>, p. 314</w:t>
      </w:r>
    </w:p>
  </w:footnote>
  <w:footnote w:id="59">
    <w:p w:rsidR="00A06727" w:rsidRPr="008E71D9" w:rsidRDefault="00A06727" w:rsidP="00A06727">
      <w:pPr>
        <w:spacing w:line="360" w:lineRule="auto"/>
        <w:jc w:val="both"/>
        <w:rPr>
          <w:rFonts w:cs="David"/>
          <w:sz w:val="20"/>
          <w:szCs w:val="20"/>
        </w:rPr>
      </w:pPr>
      <w:r w:rsidRPr="001E651C">
        <w:rPr>
          <w:rStyle w:val="FootnoteReference"/>
          <w:sz w:val="20"/>
          <w:szCs w:val="20"/>
        </w:rPr>
        <w:footnoteRef/>
      </w:r>
      <w:r w:rsidR="001E651C">
        <w:rPr>
          <w:rFonts w:hint="cs"/>
          <w:rtl/>
        </w:rPr>
        <w:t xml:space="preserve"> </w:t>
      </w:r>
      <w:r>
        <w:rPr>
          <w:rFonts w:cs="David" w:hint="cs"/>
          <w:sz w:val="20"/>
          <w:szCs w:val="20"/>
          <w:rtl/>
        </w:rPr>
        <w:t xml:space="preserve">ברייט סבור שמקור הביטוי במנהגי ניחום אבלים, אף שזהו המקום היחיד במקרא שבו מוזכר מנהג זה, ראו: </w:t>
      </w:r>
      <w:r w:rsidRPr="00624C14">
        <w:rPr>
          <w:rFonts w:cs="David"/>
          <w:sz w:val="20"/>
          <w:szCs w:val="20"/>
        </w:rPr>
        <w:t xml:space="preserve">J. Bright, </w:t>
      </w:r>
      <w:r w:rsidRPr="00624C14">
        <w:rPr>
          <w:rFonts w:cs="David"/>
          <w:i/>
          <w:iCs/>
          <w:sz w:val="20"/>
          <w:szCs w:val="20"/>
        </w:rPr>
        <w:t>J</w:t>
      </w:r>
      <w:r w:rsidRPr="00624C14">
        <w:rPr>
          <w:rFonts w:cs="Arial"/>
          <w:i/>
          <w:iCs/>
          <w:sz w:val="20"/>
          <w:szCs w:val="20"/>
          <w:lang w:bidi="ar-SA"/>
        </w:rPr>
        <w:t>eremiah</w:t>
      </w:r>
      <w:r w:rsidRPr="00624C14">
        <w:rPr>
          <w:rFonts w:cs="Arial"/>
          <w:sz w:val="20"/>
          <w:szCs w:val="20"/>
          <w:lang w:bidi="ar-SA"/>
        </w:rPr>
        <w:t xml:space="preserve"> (AB), </w:t>
      </w:r>
      <w:r w:rsidRPr="00624C14">
        <w:rPr>
          <w:rFonts w:cs="David"/>
          <w:sz w:val="20"/>
          <w:szCs w:val="20"/>
        </w:rPr>
        <w:t>Garden City, New York</w:t>
      </w:r>
      <w:r w:rsidRPr="00624C14">
        <w:rPr>
          <w:rFonts w:cs="Arial"/>
          <w:sz w:val="20"/>
          <w:szCs w:val="20"/>
          <w:lang w:bidi="ar-SA"/>
        </w:rPr>
        <w:t xml:space="preserve"> 1965</w:t>
      </w:r>
      <w:r>
        <w:rPr>
          <w:rFonts w:cs="Arial"/>
          <w:sz w:val="20"/>
          <w:szCs w:val="20"/>
          <w:lang w:bidi="ar-SA"/>
        </w:rPr>
        <w:t>, p. 110</w:t>
      </w:r>
      <w:r>
        <w:rPr>
          <w:rFonts w:cs="David" w:hint="cs"/>
          <w:sz w:val="20"/>
          <w:szCs w:val="20"/>
          <w:rtl/>
        </w:rPr>
        <w:t xml:space="preserve"> </w:t>
      </w:r>
    </w:p>
  </w:footnote>
  <w:footnote w:id="60">
    <w:p w:rsidR="00481512" w:rsidRPr="004327DD" w:rsidRDefault="00481512" w:rsidP="00CA6CCC">
      <w:pPr>
        <w:pStyle w:val="FootnoteText"/>
        <w:spacing w:line="360" w:lineRule="auto"/>
        <w:jc w:val="both"/>
        <w:rPr>
          <w:rFonts w:cs="David"/>
          <w:rtl/>
        </w:rPr>
      </w:pPr>
      <w:r>
        <w:rPr>
          <w:rStyle w:val="FootnoteReference"/>
        </w:rPr>
        <w:footnoteRef/>
      </w:r>
      <w:r>
        <w:rPr>
          <w:rFonts w:hint="cs"/>
          <w:rtl/>
        </w:rPr>
        <w:t xml:space="preserve"> </w:t>
      </w:r>
      <w:r>
        <w:rPr>
          <w:rFonts w:ascii="David" w:hAnsi="David" w:cs="David" w:hint="cs"/>
          <w:rtl/>
        </w:rPr>
        <w:t>השוו:</w:t>
      </w:r>
      <w:r w:rsidRPr="00624C14">
        <w:rPr>
          <w:rFonts w:hint="cs"/>
          <w:rtl/>
        </w:rPr>
        <w:t xml:space="preserve"> </w:t>
      </w:r>
      <w:r w:rsidRPr="00044E7E">
        <w:t xml:space="preserve">W. McKane, </w:t>
      </w:r>
      <w:r w:rsidRPr="00044E7E">
        <w:rPr>
          <w:i/>
          <w:iCs/>
        </w:rPr>
        <w:t>Jeremiah 1-25</w:t>
      </w:r>
      <w:r w:rsidRPr="00044E7E">
        <w:t xml:space="preserve"> (ICC),</w:t>
      </w:r>
      <w:r w:rsidR="00D87F6F">
        <w:t xml:space="preserve"> </w:t>
      </w:r>
      <w:r w:rsidRPr="00044E7E">
        <w:t>Edinburgh 1986, p. 191</w:t>
      </w:r>
    </w:p>
  </w:footnote>
  <w:footnote w:id="61">
    <w:p w:rsidR="00481512" w:rsidRPr="008E71D9" w:rsidRDefault="00481512" w:rsidP="00481512">
      <w:pPr>
        <w:spacing w:line="360" w:lineRule="auto"/>
        <w:jc w:val="both"/>
        <w:rPr>
          <w:rFonts w:cs="David"/>
          <w:sz w:val="20"/>
          <w:szCs w:val="20"/>
        </w:rPr>
      </w:pPr>
      <w:r w:rsidRPr="001E651C">
        <w:rPr>
          <w:rStyle w:val="FootnoteReference"/>
          <w:sz w:val="20"/>
          <w:szCs w:val="20"/>
        </w:rPr>
        <w:footnoteRef/>
      </w:r>
      <w:r>
        <w:rPr>
          <w:rFonts w:hint="cs"/>
          <w:rtl/>
        </w:rPr>
        <w:t xml:space="preserve"> </w:t>
      </w:r>
      <w:r>
        <w:rPr>
          <w:rFonts w:cs="David" w:hint="cs"/>
          <w:sz w:val="20"/>
          <w:szCs w:val="20"/>
          <w:rtl/>
        </w:rPr>
        <w:t xml:space="preserve">בכך ששכרותה מובילה אותה להתפשט מבגדיה ולגלות את מערומיה, כדברי המקונן: </w:t>
      </w:r>
      <w:r w:rsidR="00D87F6F">
        <w:rPr>
          <w:rFonts w:cs="David"/>
          <w:sz w:val="20"/>
          <w:szCs w:val="20"/>
          <w:rtl/>
        </w:rPr>
        <w:t>“</w:t>
      </w:r>
      <w:r>
        <w:rPr>
          <w:rFonts w:cs="David" w:hint="cs"/>
          <w:sz w:val="20"/>
          <w:szCs w:val="20"/>
          <w:rtl/>
        </w:rPr>
        <w:t>תשכרי ותתערי</w:t>
      </w:r>
      <w:r w:rsidR="00D87F6F">
        <w:rPr>
          <w:rFonts w:cs="David"/>
          <w:sz w:val="20"/>
          <w:szCs w:val="20"/>
          <w:rtl/>
        </w:rPr>
        <w:t>”</w:t>
      </w:r>
      <w:r>
        <w:rPr>
          <w:rFonts w:cs="David" w:hint="cs"/>
          <w:sz w:val="20"/>
          <w:szCs w:val="20"/>
          <w:rtl/>
        </w:rPr>
        <w:t xml:space="preserve"> (איכ</w:t>
      </w:r>
      <w:r w:rsidR="00D87F6F">
        <w:rPr>
          <w:rFonts w:cs="David"/>
          <w:sz w:val="20"/>
          <w:szCs w:val="20"/>
          <w:rtl/>
        </w:rPr>
        <w:t>’</w:t>
      </w:r>
      <w:r>
        <w:rPr>
          <w:rFonts w:cs="David" w:hint="cs"/>
          <w:sz w:val="20"/>
          <w:szCs w:val="20"/>
          <w:rtl/>
        </w:rPr>
        <w:t xml:space="preserve"> ד, כא) וכפי שמסופר גם על נח: </w:t>
      </w:r>
      <w:r w:rsidR="00D87F6F">
        <w:rPr>
          <w:rFonts w:cs="David"/>
          <w:sz w:val="20"/>
          <w:szCs w:val="20"/>
          <w:rtl/>
        </w:rPr>
        <w:t>“</w:t>
      </w:r>
      <w:r>
        <w:rPr>
          <w:rFonts w:cs="David" w:hint="cs"/>
          <w:sz w:val="20"/>
          <w:szCs w:val="20"/>
          <w:rtl/>
        </w:rPr>
        <w:t>וישת מן היין וישכר ויתגל בתוך אהלה</w:t>
      </w:r>
      <w:r w:rsidR="00D87F6F">
        <w:rPr>
          <w:rFonts w:cs="David"/>
          <w:sz w:val="20"/>
          <w:szCs w:val="20"/>
          <w:rtl/>
        </w:rPr>
        <w:t>”</w:t>
      </w:r>
      <w:r>
        <w:rPr>
          <w:rFonts w:cs="David" w:hint="cs"/>
          <w:sz w:val="20"/>
          <w:szCs w:val="20"/>
          <w:rtl/>
        </w:rPr>
        <w:t xml:space="preserve"> (בר</w:t>
      </w:r>
      <w:r w:rsidR="00D87F6F">
        <w:rPr>
          <w:rFonts w:cs="David"/>
          <w:sz w:val="20"/>
          <w:szCs w:val="20"/>
          <w:rtl/>
        </w:rPr>
        <w:t>’</w:t>
      </w:r>
      <w:r>
        <w:rPr>
          <w:rFonts w:cs="David" w:hint="cs"/>
          <w:sz w:val="20"/>
          <w:szCs w:val="20"/>
          <w:rtl/>
        </w:rPr>
        <w:t xml:space="preserve"> ט, כא).</w:t>
      </w:r>
    </w:p>
  </w:footnote>
  <w:footnote w:id="62">
    <w:p w:rsidR="00481512" w:rsidRPr="008E71D9" w:rsidRDefault="00481512" w:rsidP="00376581">
      <w:pPr>
        <w:spacing w:line="360" w:lineRule="auto"/>
        <w:jc w:val="both"/>
        <w:rPr>
          <w:rFonts w:cs="David"/>
          <w:sz w:val="20"/>
          <w:szCs w:val="20"/>
          <w:rtl/>
        </w:rPr>
      </w:pPr>
      <w:r w:rsidRPr="001E651C">
        <w:rPr>
          <w:rStyle w:val="FootnoteReference"/>
          <w:sz w:val="20"/>
          <w:szCs w:val="20"/>
        </w:rPr>
        <w:footnoteRef/>
      </w:r>
      <w:r>
        <w:rPr>
          <w:rFonts w:hint="cs"/>
          <w:rtl/>
        </w:rPr>
        <w:t xml:space="preserve"> </w:t>
      </w:r>
      <w:r>
        <w:rPr>
          <w:rFonts w:cs="David" w:hint="cs"/>
          <w:sz w:val="20"/>
          <w:szCs w:val="20"/>
          <w:rtl/>
        </w:rPr>
        <w:t>סיבולד</w:t>
      </w:r>
      <w:r w:rsidR="00376581">
        <w:rPr>
          <w:rFonts w:cs="David" w:hint="cs"/>
          <w:sz w:val="20"/>
          <w:szCs w:val="20"/>
          <w:rtl/>
        </w:rPr>
        <w:t xml:space="preserve"> </w:t>
      </w:r>
      <w:r>
        <w:rPr>
          <w:rFonts w:cs="David" w:hint="cs"/>
          <w:sz w:val="20"/>
          <w:szCs w:val="20"/>
          <w:rtl/>
        </w:rPr>
        <w:t xml:space="preserve">מניח שאת השימוש שהנביאים עושים במטאפורת הרעל (הראש והלענה) יש לראות כביטוי למותם הצפוי של מושאי הנבואה. ראו: </w:t>
      </w:r>
      <w:r w:rsidRPr="00624C14">
        <w:rPr>
          <w:rFonts w:cs="Arial"/>
          <w:sz w:val="20"/>
          <w:szCs w:val="20"/>
        </w:rPr>
        <w:t xml:space="preserve">K. Seybold, </w:t>
      </w:r>
      <w:r w:rsidR="00D87F6F">
        <w:rPr>
          <w:rFonts w:cs="Arial"/>
          <w:sz w:val="20"/>
          <w:szCs w:val="20"/>
        </w:rPr>
        <w:t>‘</w:t>
      </w:r>
      <w:r w:rsidRPr="00624C14">
        <w:rPr>
          <w:rFonts w:cs="Arial"/>
          <w:sz w:val="20"/>
          <w:szCs w:val="20"/>
        </w:rPr>
        <w:t>la</w:t>
      </w:r>
      <w:r w:rsidRPr="00624C14">
        <w:rPr>
          <w:sz w:val="20"/>
          <w:szCs w:val="20"/>
        </w:rPr>
        <w:t>ʽ</w:t>
      </w:r>
      <w:r w:rsidRPr="00624C14">
        <w:rPr>
          <w:rFonts w:cs="Arial"/>
          <w:sz w:val="20"/>
          <w:szCs w:val="20"/>
          <w:vertAlign w:val="superscript"/>
        </w:rPr>
        <w:t>a</w:t>
      </w:r>
      <w:r w:rsidRPr="00624C14">
        <w:rPr>
          <w:rFonts w:cs="Arial"/>
          <w:sz w:val="20"/>
          <w:szCs w:val="20"/>
        </w:rPr>
        <w:t>n</w:t>
      </w:r>
      <w:r w:rsidRPr="00624C14">
        <w:rPr>
          <w:sz w:val="20"/>
          <w:szCs w:val="20"/>
        </w:rPr>
        <w:t>ȃ</w:t>
      </w:r>
      <w:r w:rsidR="00D87F6F">
        <w:rPr>
          <w:rFonts w:cs="Arial"/>
          <w:sz w:val="20"/>
          <w:szCs w:val="20"/>
        </w:rPr>
        <w:t>’</w:t>
      </w:r>
      <w:r w:rsidRPr="00624C14">
        <w:rPr>
          <w:rFonts w:cs="Arial"/>
          <w:sz w:val="20"/>
          <w:szCs w:val="20"/>
        </w:rPr>
        <w:t xml:space="preserve">, </w:t>
      </w:r>
      <w:r w:rsidRPr="00624C14">
        <w:rPr>
          <w:rFonts w:cs="Arial"/>
          <w:i/>
          <w:iCs/>
          <w:sz w:val="20"/>
          <w:szCs w:val="20"/>
        </w:rPr>
        <w:t>TDOT</w:t>
      </w:r>
      <w:r w:rsidRPr="00624C14">
        <w:rPr>
          <w:rFonts w:cs="Arial"/>
          <w:sz w:val="20"/>
          <w:szCs w:val="20"/>
        </w:rPr>
        <w:t xml:space="preserve"> (Vol. 8), Grand </w:t>
      </w:r>
      <w:r w:rsidR="00403664">
        <w:rPr>
          <w:rFonts w:cs="Arial"/>
          <w:sz w:val="20"/>
          <w:szCs w:val="20"/>
        </w:rPr>
        <w:t xml:space="preserve">Rapids, Michigan 1997, </w:t>
      </w:r>
      <w:r>
        <w:rPr>
          <w:rFonts w:cs="Arial"/>
          <w:sz w:val="20"/>
          <w:szCs w:val="20"/>
        </w:rPr>
        <w:t>p. 15</w:t>
      </w:r>
      <w:r w:rsidRPr="00624C14">
        <w:rPr>
          <w:rFonts w:cs="Arial"/>
          <w:sz w:val="20"/>
          <w:szCs w:val="20"/>
        </w:rPr>
        <w:t xml:space="preserve"> (German Original 1983-1984)</w:t>
      </w:r>
      <w:r w:rsidR="00D87F6F">
        <w:rPr>
          <w:rFonts w:cs="David" w:hint="cs"/>
          <w:sz w:val="20"/>
          <w:szCs w:val="20"/>
          <w:rtl/>
        </w:rPr>
        <w:t xml:space="preserve"> </w:t>
      </w:r>
    </w:p>
  </w:footnote>
  <w:footnote w:id="63">
    <w:p w:rsidR="00481512" w:rsidRPr="008E71D9" w:rsidRDefault="00481512" w:rsidP="00261CBE">
      <w:pPr>
        <w:spacing w:line="360" w:lineRule="auto"/>
        <w:jc w:val="both"/>
        <w:rPr>
          <w:rFonts w:cs="David"/>
          <w:sz w:val="20"/>
          <w:szCs w:val="20"/>
          <w:rtl/>
        </w:rPr>
      </w:pPr>
      <w:r w:rsidRPr="001E651C">
        <w:rPr>
          <w:rStyle w:val="FootnoteReference"/>
          <w:sz w:val="20"/>
          <w:szCs w:val="20"/>
        </w:rPr>
        <w:footnoteRef/>
      </w:r>
      <w:r>
        <w:rPr>
          <w:rtl/>
        </w:rPr>
        <w:t xml:space="preserve"> </w:t>
      </w:r>
      <w:r w:rsidR="00403664">
        <w:rPr>
          <w:rFonts w:cs="David" w:hint="cs"/>
          <w:sz w:val="20"/>
          <w:szCs w:val="20"/>
          <w:rtl/>
        </w:rPr>
        <w:t>הפלת העובר, כאמצעי</w:t>
      </w:r>
      <w:r>
        <w:rPr>
          <w:rFonts w:cs="David" w:hint="cs"/>
          <w:sz w:val="20"/>
          <w:szCs w:val="20"/>
          <w:rtl/>
        </w:rPr>
        <w:t xml:space="preserve"> </w:t>
      </w:r>
      <w:r w:rsidRPr="008E71D9">
        <w:rPr>
          <w:rFonts w:cs="David" w:hint="cs"/>
          <w:sz w:val="20"/>
          <w:szCs w:val="20"/>
          <w:rtl/>
        </w:rPr>
        <w:t>ל</w:t>
      </w:r>
      <w:r>
        <w:rPr>
          <w:rFonts w:cs="David" w:hint="cs"/>
          <w:sz w:val="20"/>
          <w:szCs w:val="20"/>
          <w:rtl/>
        </w:rPr>
        <w:t>מניעת היווצרותם של ממזרים</w:t>
      </w:r>
      <w:r w:rsidR="00403664">
        <w:rPr>
          <w:rFonts w:cs="David" w:hint="cs"/>
          <w:sz w:val="20"/>
          <w:szCs w:val="20"/>
          <w:rtl/>
        </w:rPr>
        <w:t>,</w:t>
      </w:r>
      <w:r w:rsidRPr="008E71D9">
        <w:rPr>
          <w:rFonts w:cs="David" w:hint="cs"/>
          <w:sz w:val="20"/>
          <w:szCs w:val="20"/>
          <w:rtl/>
        </w:rPr>
        <w:t xml:space="preserve"> עומדת לדעת חוקרים אחדים</w:t>
      </w:r>
      <w:r>
        <w:rPr>
          <w:rFonts w:cs="David" w:hint="cs"/>
          <w:sz w:val="20"/>
          <w:szCs w:val="20"/>
          <w:rtl/>
        </w:rPr>
        <w:t xml:space="preserve"> גם</w:t>
      </w:r>
      <w:r w:rsidR="00403664">
        <w:rPr>
          <w:rFonts w:cs="David" w:hint="cs"/>
          <w:sz w:val="20"/>
          <w:szCs w:val="20"/>
          <w:rtl/>
        </w:rPr>
        <w:t xml:space="preserve"> ברקע</w:t>
      </w:r>
      <w:r w:rsidRPr="008E71D9">
        <w:rPr>
          <w:rFonts w:cs="David" w:hint="cs"/>
          <w:sz w:val="20"/>
          <w:szCs w:val="20"/>
          <w:rtl/>
        </w:rPr>
        <w:t xml:space="preserve"> השקיית</w:t>
      </w:r>
      <w:r w:rsidR="00403664">
        <w:rPr>
          <w:rFonts w:cs="David" w:hint="cs"/>
          <w:sz w:val="20"/>
          <w:szCs w:val="20"/>
          <w:rtl/>
        </w:rPr>
        <w:t xml:space="preserve"> מי</w:t>
      </w:r>
      <w:r w:rsidRPr="008E71D9">
        <w:rPr>
          <w:rFonts w:cs="David" w:hint="cs"/>
          <w:sz w:val="20"/>
          <w:szCs w:val="20"/>
          <w:rtl/>
        </w:rPr>
        <w:t xml:space="preserve"> הסוטה, ראו למשל</w:t>
      </w:r>
      <w:r>
        <w:rPr>
          <w:rFonts w:cs="David" w:hint="cs"/>
          <w:sz w:val="20"/>
          <w:szCs w:val="20"/>
          <w:rtl/>
        </w:rPr>
        <w:t xml:space="preserve">: </w:t>
      </w:r>
      <w:r w:rsidRPr="00624C14">
        <w:rPr>
          <w:sz w:val="20"/>
          <w:szCs w:val="20"/>
        </w:rPr>
        <w:t xml:space="preserve">T. Frymer-Kensky, </w:t>
      </w:r>
      <w:r w:rsidR="00D87F6F">
        <w:rPr>
          <w:sz w:val="20"/>
          <w:szCs w:val="20"/>
        </w:rPr>
        <w:t>“</w:t>
      </w:r>
      <w:r w:rsidRPr="00624C14">
        <w:rPr>
          <w:sz w:val="20"/>
          <w:szCs w:val="20"/>
        </w:rPr>
        <w:t xml:space="preserve">The Strange Case of the </w:t>
      </w:r>
      <w:r w:rsidR="00D87F6F">
        <w:rPr>
          <w:sz w:val="20"/>
          <w:szCs w:val="20"/>
        </w:rPr>
        <w:t>‘</w:t>
      </w:r>
      <w:r w:rsidRPr="00624C14">
        <w:rPr>
          <w:sz w:val="20"/>
          <w:szCs w:val="20"/>
        </w:rPr>
        <w:t>Sotah</w:t>
      </w:r>
      <w:r w:rsidR="00D87F6F">
        <w:rPr>
          <w:sz w:val="20"/>
          <w:szCs w:val="20"/>
        </w:rPr>
        <w:t>’</w:t>
      </w:r>
      <w:r w:rsidRPr="00624C14">
        <w:rPr>
          <w:sz w:val="20"/>
          <w:szCs w:val="20"/>
        </w:rPr>
        <w:t xml:space="preserve"> (Numbers 5:11-31)</w:t>
      </w:r>
      <w:r w:rsidR="00D87F6F">
        <w:rPr>
          <w:sz w:val="20"/>
          <w:szCs w:val="20"/>
        </w:rPr>
        <w:t>”</w:t>
      </w:r>
      <w:r w:rsidRPr="00624C14">
        <w:rPr>
          <w:sz w:val="20"/>
          <w:szCs w:val="20"/>
        </w:rPr>
        <w:t xml:space="preserve">, </w:t>
      </w:r>
      <w:r w:rsidRPr="00624C14">
        <w:rPr>
          <w:i/>
          <w:iCs/>
          <w:sz w:val="20"/>
          <w:szCs w:val="20"/>
        </w:rPr>
        <w:t>VT</w:t>
      </w:r>
      <w:r w:rsidRPr="00624C14">
        <w:rPr>
          <w:sz w:val="20"/>
          <w:szCs w:val="20"/>
        </w:rPr>
        <w:t xml:space="preserve"> 34 (1984), pp. 11-26</w:t>
      </w:r>
      <w:r>
        <w:rPr>
          <w:sz w:val="20"/>
          <w:szCs w:val="20"/>
        </w:rPr>
        <w:t xml:space="preserve">; </w:t>
      </w:r>
      <w:r w:rsidRPr="00624C14">
        <w:rPr>
          <w:rFonts w:cs="David"/>
          <w:sz w:val="20"/>
          <w:szCs w:val="20"/>
        </w:rPr>
        <w:t xml:space="preserve">A. Bach, </w:t>
      </w:r>
      <w:r w:rsidR="00D87F6F">
        <w:rPr>
          <w:rFonts w:cs="David"/>
          <w:sz w:val="20"/>
          <w:szCs w:val="20"/>
        </w:rPr>
        <w:t>“</w:t>
      </w:r>
      <w:hyperlink r:id="rId1" w:history="1">
        <w:r w:rsidRPr="00624C14">
          <w:rPr>
            <w:rFonts w:cs="David"/>
            <w:sz w:val="20"/>
            <w:szCs w:val="20"/>
          </w:rPr>
          <w:t>Good to the Last Drop : viewing the sotah (Numbers 5.11-31) as the glass half empty and wondering how to view it half full</w:t>
        </w:r>
      </w:hyperlink>
      <w:r w:rsidR="00D87F6F">
        <w:rPr>
          <w:rFonts w:cs="David"/>
          <w:sz w:val="20"/>
          <w:szCs w:val="20"/>
        </w:rPr>
        <w:t>“</w:t>
      </w:r>
      <w:r w:rsidRPr="00624C14">
        <w:rPr>
          <w:rFonts w:cs="David"/>
          <w:sz w:val="20"/>
          <w:szCs w:val="20"/>
        </w:rPr>
        <w:t>, in: J.</w:t>
      </w:r>
      <w:r>
        <w:rPr>
          <w:rFonts w:cs="David"/>
          <w:sz w:val="20"/>
          <w:szCs w:val="20"/>
        </w:rPr>
        <w:t xml:space="preserve"> </w:t>
      </w:r>
      <w:r w:rsidRPr="00624C14">
        <w:rPr>
          <w:rFonts w:cs="David"/>
          <w:sz w:val="20"/>
          <w:szCs w:val="20"/>
        </w:rPr>
        <w:t>C. Exum and D.</w:t>
      </w:r>
      <w:r>
        <w:rPr>
          <w:rFonts w:cs="David"/>
          <w:sz w:val="20"/>
          <w:szCs w:val="20"/>
        </w:rPr>
        <w:t xml:space="preserve"> </w:t>
      </w:r>
      <w:r w:rsidRPr="00624C14">
        <w:rPr>
          <w:rFonts w:cs="David"/>
          <w:sz w:val="20"/>
          <w:szCs w:val="20"/>
        </w:rPr>
        <w:t>J.</w:t>
      </w:r>
      <w:r>
        <w:rPr>
          <w:rFonts w:cs="David"/>
          <w:sz w:val="20"/>
          <w:szCs w:val="20"/>
        </w:rPr>
        <w:t xml:space="preserve"> </w:t>
      </w:r>
      <w:r w:rsidRPr="00624C14">
        <w:rPr>
          <w:rFonts w:cs="David"/>
          <w:sz w:val="20"/>
          <w:szCs w:val="20"/>
        </w:rPr>
        <w:t xml:space="preserve">A. Clines (eds.), </w:t>
      </w:r>
      <w:r w:rsidRPr="00624C14">
        <w:rPr>
          <w:rFonts w:cs="David"/>
          <w:i/>
          <w:iCs/>
          <w:sz w:val="20"/>
          <w:szCs w:val="20"/>
        </w:rPr>
        <w:t xml:space="preserve">The New Literary Criticism and the Hebrew Bible </w:t>
      </w:r>
      <w:r w:rsidRPr="00624C14">
        <w:rPr>
          <w:rFonts w:cs="David"/>
          <w:sz w:val="20"/>
          <w:szCs w:val="20"/>
        </w:rPr>
        <w:t>(JSOTS 143), Sheffield 1993, pp. 26-54</w:t>
      </w:r>
      <w:r>
        <w:rPr>
          <w:rFonts w:hint="cs"/>
          <w:sz w:val="20"/>
          <w:szCs w:val="20"/>
          <w:rtl/>
        </w:rPr>
        <w:t>.</w:t>
      </w:r>
      <w:r>
        <w:rPr>
          <w:rFonts w:cs="David" w:hint="cs"/>
          <w:sz w:val="20"/>
          <w:szCs w:val="20"/>
          <w:rtl/>
        </w:rPr>
        <w:t xml:space="preserve"> על הידע הרפואי לביצוע הפלה בעולם הקדום ראו: </w:t>
      </w:r>
      <w:r w:rsidRPr="00624C14">
        <w:rPr>
          <w:rFonts w:cs="David"/>
          <w:sz w:val="20"/>
          <w:szCs w:val="20"/>
        </w:rPr>
        <w:t>J.</w:t>
      </w:r>
      <w:r>
        <w:rPr>
          <w:rFonts w:cs="David"/>
          <w:sz w:val="20"/>
          <w:szCs w:val="20"/>
        </w:rPr>
        <w:t xml:space="preserve"> </w:t>
      </w:r>
      <w:r w:rsidRPr="00624C14">
        <w:rPr>
          <w:rFonts w:cs="David"/>
          <w:sz w:val="20"/>
          <w:szCs w:val="20"/>
        </w:rPr>
        <w:t xml:space="preserve">J. Finkelstein, </w:t>
      </w:r>
      <w:r w:rsidR="00D87F6F">
        <w:rPr>
          <w:rFonts w:cs="David"/>
          <w:sz w:val="20"/>
          <w:szCs w:val="20"/>
        </w:rPr>
        <w:t>“</w:t>
      </w:r>
      <w:r w:rsidRPr="00624C14">
        <w:rPr>
          <w:rFonts w:cs="David"/>
          <w:sz w:val="20"/>
          <w:szCs w:val="20"/>
        </w:rPr>
        <w:t>On Some Recent Studies in Cuneiform Law</w:t>
      </w:r>
      <w:r w:rsidR="00D87F6F">
        <w:rPr>
          <w:rFonts w:cs="David"/>
          <w:sz w:val="20"/>
          <w:szCs w:val="20"/>
        </w:rPr>
        <w:t>”</w:t>
      </w:r>
      <w:r w:rsidRPr="00624C14">
        <w:rPr>
          <w:rFonts w:cs="David"/>
          <w:sz w:val="20"/>
          <w:szCs w:val="20"/>
        </w:rPr>
        <w:t xml:space="preserve">, </w:t>
      </w:r>
      <w:r w:rsidRPr="00624C14">
        <w:rPr>
          <w:rFonts w:cs="David"/>
          <w:i/>
          <w:iCs/>
          <w:sz w:val="20"/>
          <w:szCs w:val="20"/>
        </w:rPr>
        <w:t>JAOS</w:t>
      </w:r>
      <w:r w:rsidRPr="00624C14">
        <w:rPr>
          <w:rFonts w:cs="David"/>
          <w:sz w:val="20"/>
          <w:szCs w:val="20"/>
        </w:rPr>
        <w:t xml:space="preserve"> 90 (1970), pp. </w:t>
      </w:r>
      <w:r>
        <w:rPr>
          <w:rFonts w:cs="David"/>
          <w:sz w:val="20"/>
          <w:szCs w:val="20"/>
        </w:rPr>
        <w:t>246-247, no. 15</w:t>
      </w:r>
    </w:p>
  </w:footnote>
  <w:footnote w:id="64">
    <w:p w:rsidR="00CA6CCC" w:rsidRPr="0082189F" w:rsidRDefault="00CA6CCC" w:rsidP="0082189F">
      <w:pPr>
        <w:pStyle w:val="FootnoteText"/>
        <w:spacing w:line="360" w:lineRule="auto"/>
        <w:jc w:val="both"/>
        <w:rPr>
          <w:rFonts w:cs="David"/>
          <w:rtl/>
        </w:rPr>
      </w:pPr>
      <w:r>
        <w:rPr>
          <w:rStyle w:val="FootnoteReference"/>
        </w:rPr>
        <w:footnoteRef/>
      </w:r>
      <w:r>
        <w:rPr>
          <w:rFonts w:hint="cs"/>
          <w:rtl/>
        </w:rPr>
        <w:t xml:space="preserve"> </w:t>
      </w:r>
      <w:r>
        <w:rPr>
          <w:rFonts w:ascii="David" w:hAnsi="David" w:cs="David" w:hint="cs"/>
          <w:rtl/>
        </w:rPr>
        <w:t>גם</w:t>
      </w:r>
      <w:r>
        <w:rPr>
          <w:rFonts w:cs="David" w:hint="cs"/>
          <w:rtl/>
        </w:rPr>
        <w:t xml:space="preserve"> </w:t>
      </w:r>
      <w:r w:rsidRPr="004837BF">
        <w:rPr>
          <w:rFonts w:cs="David" w:hint="cs"/>
          <w:rtl/>
        </w:rPr>
        <w:t xml:space="preserve">בחוקי המזרח הקדום לא נמצא </w:t>
      </w:r>
      <w:r>
        <w:rPr>
          <w:rFonts w:cs="David" w:hint="cs"/>
          <w:rtl/>
        </w:rPr>
        <w:t>שימוש ברעלים במסגרת</w:t>
      </w:r>
      <w:r w:rsidRPr="004837BF">
        <w:rPr>
          <w:rFonts w:cs="David" w:hint="cs"/>
          <w:rtl/>
        </w:rPr>
        <w:t xml:space="preserve"> </w:t>
      </w:r>
      <w:r>
        <w:rPr>
          <w:rFonts w:cs="David" w:hint="cs"/>
          <w:rtl/>
        </w:rPr>
        <w:t>אורדיאלית</w:t>
      </w:r>
      <w:r w:rsidRPr="004837BF">
        <w:rPr>
          <w:rFonts w:cs="David" w:hint="cs"/>
          <w:rtl/>
        </w:rPr>
        <w:t xml:space="preserve"> בה</w:t>
      </w:r>
      <w:r>
        <w:rPr>
          <w:rFonts w:cs="David" w:hint="cs"/>
          <w:rtl/>
        </w:rPr>
        <w:t>קשר</w:t>
      </w:r>
      <w:r w:rsidRPr="004837BF">
        <w:rPr>
          <w:rFonts w:cs="David" w:hint="cs"/>
          <w:rtl/>
        </w:rPr>
        <w:t xml:space="preserve"> </w:t>
      </w:r>
      <w:r w:rsidR="0082189F">
        <w:rPr>
          <w:rFonts w:cs="David" w:hint="cs"/>
          <w:rtl/>
        </w:rPr>
        <w:t>לאישה הנואפת. שתיית כוס לצורך אורדיאלי מופיעה רק בחוק החיתי העוסק בכהן שנחשד באכילת מאכל השיי</w:t>
      </w:r>
      <w:r w:rsidR="0082189F" w:rsidRPr="000A05FE">
        <w:rPr>
          <w:rFonts w:cs="David" w:hint="cs"/>
          <w:rtl/>
        </w:rPr>
        <w:t>ך לאל, ראו</w:t>
      </w:r>
      <w:r w:rsidR="0082189F">
        <w:rPr>
          <w:rFonts w:cs="David" w:hint="cs"/>
          <w:rtl/>
        </w:rPr>
        <w:t>:</w:t>
      </w:r>
      <w:r w:rsidR="0082189F" w:rsidRPr="00624C14">
        <w:rPr>
          <w:rFonts w:cs="David"/>
        </w:rPr>
        <w:t>J.</w:t>
      </w:r>
      <w:r w:rsidR="0082189F">
        <w:rPr>
          <w:rFonts w:cs="David"/>
        </w:rPr>
        <w:t>B</w:t>
      </w:r>
      <w:r w:rsidR="0082189F">
        <w:rPr>
          <w:rFonts w:cs="David"/>
          <w:lang w:val="en-US"/>
        </w:rPr>
        <w:t>.</w:t>
      </w:r>
      <w:r w:rsidR="0082189F" w:rsidRPr="00624C14">
        <w:rPr>
          <w:rFonts w:cs="David"/>
        </w:rPr>
        <w:t xml:space="preserve"> </w:t>
      </w:r>
      <w:r w:rsidR="0082189F" w:rsidRPr="00770B32">
        <w:rPr>
          <w:rFonts w:cs="David"/>
        </w:rPr>
        <w:t>Pritchard (ed.),</w:t>
      </w:r>
      <w:r w:rsidR="0082189F" w:rsidRPr="00770B32">
        <w:rPr>
          <w:rFonts w:cs="David"/>
          <w:i/>
          <w:iCs/>
        </w:rPr>
        <w:t xml:space="preserve"> </w:t>
      </w:r>
      <w:r w:rsidR="0082189F" w:rsidRPr="00770B32">
        <w:rPr>
          <w:rFonts w:cs="David" w:hint="cs"/>
          <w:i/>
          <w:iCs/>
        </w:rPr>
        <w:t>ANET</w:t>
      </w:r>
      <w:r w:rsidR="0082189F" w:rsidRPr="00770B32">
        <w:rPr>
          <w:rFonts w:cs="David"/>
          <w:i/>
          <w:iCs/>
        </w:rPr>
        <w:t xml:space="preserve"> With Supplement, </w:t>
      </w:r>
      <w:r w:rsidR="0082189F" w:rsidRPr="00770B32">
        <w:rPr>
          <w:rFonts w:cs="David"/>
        </w:rPr>
        <w:t>Princeton</w:t>
      </w:r>
      <w:r w:rsidR="0082189F" w:rsidRPr="00770B32">
        <w:rPr>
          <w:rFonts w:cs="David"/>
          <w:vertAlign w:val="superscript"/>
        </w:rPr>
        <w:t>3</w:t>
      </w:r>
      <w:r w:rsidR="0082189F" w:rsidRPr="00770B32">
        <w:rPr>
          <w:rFonts w:cs="David"/>
        </w:rPr>
        <w:t xml:space="preserve"> 1969</w:t>
      </w:r>
      <w:r w:rsidR="0082189F" w:rsidRPr="00770B32">
        <w:rPr>
          <w:rFonts w:cs="David"/>
          <w:lang w:val="en-US"/>
        </w:rPr>
        <w:t xml:space="preserve">, p. </w:t>
      </w:r>
      <w:r w:rsidR="0082189F" w:rsidRPr="00770B32">
        <w:rPr>
          <w:rFonts w:cs="David"/>
        </w:rPr>
        <w:t>210, IV, 50 ff.</w:t>
      </w:r>
      <w:r w:rsidR="0082189F">
        <w:rPr>
          <w:rFonts w:cs="David" w:hint="cs"/>
          <w:rtl/>
        </w:rPr>
        <w:t>.</w:t>
      </w:r>
      <w:r>
        <w:rPr>
          <w:rFonts w:cs="David" w:hint="cs"/>
          <w:rtl/>
        </w:rPr>
        <w:t xml:space="preserve"> שימוש </w:t>
      </w:r>
      <w:r w:rsidR="0082189F">
        <w:rPr>
          <w:rFonts w:cs="David" w:hint="cs"/>
          <w:rtl/>
        </w:rPr>
        <w:t>ברעלים נמצא</w:t>
      </w:r>
      <w:r>
        <w:rPr>
          <w:rFonts w:cs="David" w:hint="cs"/>
          <w:rtl/>
        </w:rPr>
        <w:t xml:space="preserve"> בהקשרים </w:t>
      </w:r>
      <w:r>
        <w:rPr>
          <w:rFonts w:cs="David" w:hint="cs"/>
          <w:rtl/>
          <w:lang w:val="en-US"/>
        </w:rPr>
        <w:t>אחרים</w:t>
      </w:r>
      <w:r>
        <w:rPr>
          <w:rFonts w:cs="David" w:hint="cs"/>
          <w:rtl/>
        </w:rPr>
        <w:t xml:space="preserve"> ובייחוד בטקסי הקדשה הודיים ובאתנוגרפיה האפריקנית. למיפוי מפורט ראו: </w:t>
      </w:r>
      <w:r w:rsidRPr="00624C14">
        <w:t xml:space="preserve">T.H. Gaster, </w:t>
      </w:r>
      <w:r w:rsidRPr="00624C14">
        <w:rPr>
          <w:i/>
          <w:iCs/>
        </w:rPr>
        <w:t>Myth, Legend, and Custom in the Old Testament,</w:t>
      </w:r>
      <w:r w:rsidRPr="00624C14">
        <w:t xml:space="preserve"> New York 1969</w:t>
      </w:r>
      <w:r>
        <w:rPr>
          <w:lang w:val="en-US"/>
        </w:rPr>
        <w:t>, pp. 280-300</w:t>
      </w:r>
      <w:r>
        <w:rPr>
          <w:rFonts w:hint="cs"/>
          <w:rtl/>
          <w:lang w:val="en-US"/>
        </w:rPr>
        <w:t>;</w:t>
      </w:r>
      <w:r>
        <w:rPr>
          <w:rFonts w:cs="David" w:hint="cs"/>
          <w:rtl/>
        </w:rPr>
        <w:t xml:space="preserve"> וראו גם: </w:t>
      </w:r>
      <w:r w:rsidRPr="00624C14">
        <w:t xml:space="preserve">J. Vansina, </w:t>
      </w:r>
      <w:r w:rsidR="00D87F6F">
        <w:rPr>
          <w:lang w:val="en-US"/>
        </w:rPr>
        <w:t>“</w:t>
      </w:r>
      <w:r w:rsidRPr="00624C14">
        <w:t>The Bushong Poison Ordeal</w:t>
      </w:r>
      <w:r w:rsidR="00D87F6F">
        <w:rPr>
          <w:lang w:val="en-US"/>
        </w:rPr>
        <w:t>”</w:t>
      </w:r>
      <w:r w:rsidRPr="00624C14">
        <w:t xml:space="preserve">, in: M. Douglas and P.H. Kaberry (eds.), </w:t>
      </w:r>
      <w:r w:rsidRPr="00624C14">
        <w:rPr>
          <w:i/>
          <w:iCs/>
        </w:rPr>
        <w:t>Man in Africa</w:t>
      </w:r>
      <w:r w:rsidRPr="00624C14">
        <w:t xml:space="preserve">, London, 1969, pp. </w:t>
      </w:r>
      <w:r w:rsidRPr="00624C14">
        <w:rPr>
          <w:rFonts w:cs="Arial"/>
          <w:lang w:bidi="ar-SA"/>
        </w:rPr>
        <w:t>245-260</w:t>
      </w:r>
    </w:p>
  </w:footnote>
  <w:footnote w:id="65">
    <w:p w:rsidR="007A2CBE" w:rsidRPr="007A2CBE" w:rsidRDefault="007A2CBE" w:rsidP="0098059B">
      <w:pPr>
        <w:spacing w:line="360" w:lineRule="auto"/>
        <w:jc w:val="both"/>
        <w:rPr>
          <w:rFonts w:ascii="David" w:hAnsi="David" w:cs="David"/>
          <w:sz w:val="20"/>
          <w:szCs w:val="20"/>
          <w:rtl/>
        </w:rPr>
      </w:pPr>
      <w:r>
        <w:rPr>
          <w:rStyle w:val="FootnoteReference"/>
        </w:rPr>
        <w:footnoteRef/>
      </w:r>
      <w:r>
        <w:rPr>
          <w:rFonts w:hint="cs"/>
          <w:rtl/>
        </w:rPr>
        <w:t xml:space="preserve"> </w:t>
      </w:r>
      <w:r w:rsidRPr="0098059B">
        <w:rPr>
          <w:sz w:val="20"/>
          <w:szCs w:val="20"/>
        </w:rPr>
        <w:t xml:space="preserve">G.B. Gray, </w:t>
      </w:r>
      <w:r w:rsidRPr="0098059B">
        <w:rPr>
          <w:i/>
          <w:iCs/>
          <w:sz w:val="20"/>
          <w:szCs w:val="20"/>
        </w:rPr>
        <w:t xml:space="preserve">Numbers </w:t>
      </w:r>
      <w:r w:rsidRPr="0098059B">
        <w:rPr>
          <w:sz w:val="20"/>
          <w:szCs w:val="20"/>
        </w:rPr>
        <w:t>(ICC)</w:t>
      </w:r>
      <w:r w:rsidRPr="0098059B">
        <w:rPr>
          <w:i/>
          <w:iCs/>
          <w:sz w:val="20"/>
          <w:szCs w:val="20"/>
        </w:rPr>
        <w:t>,</w:t>
      </w:r>
      <w:r w:rsidRPr="0098059B">
        <w:rPr>
          <w:sz w:val="20"/>
          <w:szCs w:val="20"/>
        </w:rPr>
        <w:t xml:space="preserve"> Edinburgh 1965, pp. 57-60</w:t>
      </w:r>
      <w:r w:rsidR="0098059B" w:rsidRPr="0098059B">
        <w:rPr>
          <w:rFonts w:ascii="David" w:hAnsi="David" w:cs="David" w:hint="cs"/>
          <w:sz w:val="20"/>
          <w:szCs w:val="20"/>
          <w:rtl/>
        </w:rPr>
        <w:t xml:space="preserve">, והשוו: </w:t>
      </w:r>
      <w:r w:rsidR="0098059B" w:rsidRPr="0098059B">
        <w:rPr>
          <w:sz w:val="20"/>
          <w:szCs w:val="20"/>
        </w:rPr>
        <w:t xml:space="preserve">M. Noth, </w:t>
      </w:r>
      <w:r w:rsidR="0098059B" w:rsidRPr="0098059B">
        <w:rPr>
          <w:i/>
          <w:iCs/>
          <w:sz w:val="20"/>
          <w:szCs w:val="20"/>
        </w:rPr>
        <w:t xml:space="preserve">Numbers </w:t>
      </w:r>
      <w:r w:rsidR="0098059B" w:rsidRPr="0098059B">
        <w:rPr>
          <w:rFonts w:cs="David"/>
          <w:sz w:val="20"/>
          <w:szCs w:val="20"/>
        </w:rPr>
        <w:t>(OTL),</w:t>
      </w:r>
      <w:r w:rsidR="0098059B" w:rsidRPr="0098059B">
        <w:rPr>
          <w:sz w:val="20"/>
          <w:szCs w:val="20"/>
        </w:rPr>
        <w:t xml:space="preserve"> London 1968, p. 54;</w:t>
      </w:r>
      <w:r w:rsidR="0098059B" w:rsidRPr="0098059B">
        <w:rPr>
          <w:rFonts w:cs="David"/>
          <w:sz w:val="20"/>
          <w:szCs w:val="20"/>
        </w:rPr>
        <w:t xml:space="preserve"> B.A. Levine, </w:t>
      </w:r>
      <w:r w:rsidR="0098059B" w:rsidRPr="0098059B">
        <w:rPr>
          <w:rFonts w:cs="David"/>
          <w:i/>
          <w:iCs/>
          <w:sz w:val="20"/>
          <w:szCs w:val="20"/>
        </w:rPr>
        <w:t>Numbers 1-20</w:t>
      </w:r>
      <w:r w:rsidR="0098059B" w:rsidRPr="0098059B">
        <w:rPr>
          <w:rFonts w:cs="David"/>
          <w:sz w:val="20"/>
          <w:szCs w:val="20"/>
        </w:rPr>
        <w:t xml:space="preserve"> (AB) Garden City, New York</w:t>
      </w:r>
      <w:r w:rsidR="0098059B" w:rsidRPr="0098059B">
        <w:rPr>
          <w:rFonts w:cs="Arial"/>
          <w:sz w:val="20"/>
          <w:szCs w:val="20"/>
          <w:lang w:bidi="ar-SA"/>
        </w:rPr>
        <w:t xml:space="preserve"> 1993, p</w:t>
      </w:r>
      <w:r w:rsidR="0098059B">
        <w:rPr>
          <w:rFonts w:cs="Arial"/>
          <w:sz w:val="20"/>
          <w:szCs w:val="20"/>
          <w:lang w:bidi="ar-SA"/>
        </w:rPr>
        <w:t>. 229</w:t>
      </w:r>
      <w:r w:rsidR="0098059B">
        <w:rPr>
          <w:rFonts w:cs="Arial" w:hint="cs"/>
          <w:sz w:val="20"/>
          <w:szCs w:val="20"/>
          <w:rtl/>
        </w:rPr>
        <w:t>.</w:t>
      </w:r>
      <w:r w:rsidR="0098059B">
        <w:rPr>
          <w:rFonts w:hint="cs"/>
          <w:sz w:val="20"/>
          <w:szCs w:val="20"/>
          <w:rtl/>
        </w:rPr>
        <w:t xml:space="preserve"> </w:t>
      </w:r>
      <w:r w:rsidR="00D11036" w:rsidRPr="0098059B">
        <w:rPr>
          <w:rFonts w:ascii="David" w:hAnsi="David" w:cs="David" w:hint="cs"/>
          <w:sz w:val="20"/>
          <w:szCs w:val="20"/>
          <w:rtl/>
        </w:rPr>
        <w:t>על</w:t>
      </w:r>
      <w:r w:rsidR="00D11036">
        <w:rPr>
          <w:rFonts w:ascii="David" w:hAnsi="David" w:cs="David" w:hint="cs"/>
          <w:sz w:val="20"/>
          <w:szCs w:val="20"/>
          <w:rtl/>
        </w:rPr>
        <w:t xml:space="preserve"> האלמנטים הנוספים שהחוק מבקש למסד ארחיב במסגרת אחרת.</w:t>
      </w:r>
    </w:p>
  </w:footnote>
  <w:footnote w:id="66">
    <w:p w:rsidR="008F4F51" w:rsidRPr="00777CBC" w:rsidRDefault="008F4F51" w:rsidP="008F4F51">
      <w:pPr>
        <w:spacing w:line="360" w:lineRule="auto"/>
        <w:jc w:val="both"/>
        <w:rPr>
          <w:sz w:val="20"/>
          <w:szCs w:val="20"/>
          <w:rtl/>
        </w:rPr>
      </w:pPr>
      <w:r w:rsidRPr="002E0F33">
        <w:rPr>
          <w:rStyle w:val="FootnoteReference"/>
          <w:sz w:val="20"/>
          <w:szCs w:val="20"/>
        </w:rPr>
        <w:footnoteRef/>
      </w:r>
      <w:r w:rsidR="00D87F6F">
        <w:rPr>
          <w:rtl/>
        </w:rPr>
        <w:t xml:space="preserve"> </w:t>
      </w:r>
      <w:r>
        <w:rPr>
          <w:rFonts w:cs="David" w:hint="cs"/>
          <w:sz w:val="20"/>
          <w:szCs w:val="20"/>
          <w:rtl/>
        </w:rPr>
        <w:t xml:space="preserve">לדיון יסודי באופיים של </w:t>
      </w:r>
      <w:r w:rsidR="00D87F6F">
        <w:rPr>
          <w:rFonts w:cs="David"/>
          <w:sz w:val="20"/>
          <w:szCs w:val="20"/>
          <w:rtl/>
        </w:rPr>
        <w:t>“</w:t>
      </w:r>
      <w:r>
        <w:rPr>
          <w:rFonts w:cs="David" w:hint="cs"/>
          <w:sz w:val="20"/>
          <w:szCs w:val="20"/>
          <w:rtl/>
        </w:rPr>
        <w:t>מי המרים</w:t>
      </w:r>
      <w:r w:rsidR="00D87F6F">
        <w:rPr>
          <w:rFonts w:cs="David"/>
          <w:sz w:val="20"/>
          <w:szCs w:val="20"/>
          <w:rtl/>
        </w:rPr>
        <w:t>”</w:t>
      </w:r>
      <w:r>
        <w:rPr>
          <w:rFonts w:cs="David" w:hint="cs"/>
          <w:sz w:val="20"/>
          <w:szCs w:val="20"/>
          <w:rtl/>
        </w:rPr>
        <w:t xml:space="preserve"> ראו: לבבי פיינשטיין (לעיל הערה 6).</w:t>
      </w:r>
    </w:p>
  </w:footnote>
  <w:footnote w:id="67">
    <w:p w:rsidR="00EB73A5" w:rsidRPr="00323121" w:rsidRDefault="00EB73A5" w:rsidP="00EB73A5">
      <w:pPr>
        <w:pStyle w:val="FootnoteText"/>
        <w:spacing w:line="360" w:lineRule="auto"/>
        <w:jc w:val="both"/>
        <w:rPr>
          <w:rFonts w:cs="David"/>
          <w:rtl/>
        </w:rPr>
      </w:pPr>
      <w:r w:rsidRPr="0012499A">
        <w:rPr>
          <w:rStyle w:val="FootnoteReference"/>
        </w:rPr>
        <w:footnoteRef/>
      </w:r>
      <w:r w:rsidRPr="0012499A">
        <w:rPr>
          <w:rtl/>
        </w:rPr>
        <w:t xml:space="preserve"> </w:t>
      </w:r>
      <w:r w:rsidRPr="000805BC">
        <w:rPr>
          <w:rFonts w:cs="David" w:hint="cs"/>
          <w:rtl/>
        </w:rPr>
        <w:t>כך בוודאי מבין את תפקידה של ההשקיה ר</w:t>
      </w:r>
      <w:r w:rsidR="00D87F6F">
        <w:rPr>
          <w:rFonts w:cs="David"/>
          <w:rtl/>
        </w:rPr>
        <w:t>’</w:t>
      </w:r>
      <w:r w:rsidRPr="000805BC">
        <w:rPr>
          <w:rFonts w:cs="David" w:hint="cs"/>
          <w:rtl/>
        </w:rPr>
        <w:t xml:space="preserve"> מאיר, לפי הסיפור בויק</w:t>
      </w:r>
      <w:r w:rsidR="00D87F6F">
        <w:rPr>
          <w:rFonts w:cs="David"/>
          <w:rtl/>
        </w:rPr>
        <w:t>”</w:t>
      </w:r>
      <w:r w:rsidRPr="000805BC">
        <w:rPr>
          <w:rFonts w:cs="David" w:hint="cs"/>
          <w:rtl/>
        </w:rPr>
        <w:t xml:space="preserve">ר פרשה ט, ט. וכך כותב על סיפור זה </w:t>
      </w:r>
      <w:r w:rsidRPr="00624C14">
        <w:rPr>
          <w:rFonts w:cs="David" w:hint="cs"/>
          <w:rtl/>
        </w:rPr>
        <w:t>ד</w:t>
      </w:r>
      <w:r w:rsidR="00D87F6F">
        <w:rPr>
          <w:rFonts w:cs="David"/>
          <w:rtl/>
        </w:rPr>
        <w:t>’</w:t>
      </w:r>
      <w:r w:rsidRPr="00624C14">
        <w:rPr>
          <w:rFonts w:cs="David" w:hint="cs"/>
          <w:rtl/>
        </w:rPr>
        <w:t xml:space="preserve"> בויארין, הבשר שברוח: שיח המיניות בתלמו</w:t>
      </w:r>
      <w:r>
        <w:rPr>
          <w:rFonts w:cs="David" w:hint="cs"/>
          <w:rtl/>
        </w:rPr>
        <w:t>ד, תרגום ע</w:t>
      </w:r>
      <w:r w:rsidR="00D87F6F">
        <w:rPr>
          <w:rFonts w:cs="David"/>
          <w:rtl/>
        </w:rPr>
        <w:t>’</w:t>
      </w:r>
      <w:r>
        <w:rPr>
          <w:rFonts w:cs="David" w:hint="cs"/>
          <w:rtl/>
        </w:rPr>
        <w:t xml:space="preserve"> אופיר, תל-אביב 1999, עמ</w:t>
      </w:r>
      <w:r w:rsidR="00D87F6F">
        <w:rPr>
          <w:rFonts w:cs="David"/>
          <w:rtl/>
        </w:rPr>
        <w:t>’</w:t>
      </w:r>
      <w:r>
        <w:rPr>
          <w:rFonts w:cs="David" w:hint="cs"/>
          <w:rtl/>
        </w:rPr>
        <w:t xml:space="preserve"> 189</w:t>
      </w:r>
      <w:r w:rsidRPr="000805BC">
        <w:rPr>
          <w:rFonts w:cs="David" w:hint="cs"/>
          <w:rtl/>
        </w:rPr>
        <w:t xml:space="preserve">: </w:t>
      </w:r>
      <w:r w:rsidR="00D87F6F">
        <w:rPr>
          <w:rFonts w:cs="David"/>
          <w:rtl/>
        </w:rPr>
        <w:t>“</w:t>
      </w:r>
      <w:r w:rsidRPr="000805BC">
        <w:rPr>
          <w:rFonts w:cs="David" w:hint="cs"/>
          <w:rtl/>
        </w:rPr>
        <w:t>הסיפור עולה בקנה אחד עם הרעיון של חז</w:t>
      </w:r>
      <w:r w:rsidR="00D87F6F">
        <w:rPr>
          <w:rFonts w:cs="David"/>
          <w:rtl/>
        </w:rPr>
        <w:t>”</w:t>
      </w:r>
      <w:r w:rsidRPr="000805BC">
        <w:rPr>
          <w:rFonts w:cs="David" w:hint="cs"/>
          <w:rtl/>
        </w:rPr>
        <w:t>ל, ולפיו מבחן המים המאררים לא נועד לגלות נשים סוטות ולהענישן אלא להתמודד עם בעלים שקנאתם מעבירה אותם על דעתם</w:t>
      </w:r>
      <w:r w:rsidR="00D87F6F">
        <w:rPr>
          <w:rFonts w:cs="David"/>
          <w:rtl/>
        </w:rPr>
        <w:t>”</w:t>
      </w:r>
      <w:r w:rsidRPr="000805BC">
        <w:rPr>
          <w:rFonts w:cs="David" w:hint="cs"/>
          <w:rtl/>
        </w:rPr>
        <w:t>.</w:t>
      </w:r>
      <w:r>
        <w:rPr>
          <w:rFonts w:cs="David" w:hint="cs"/>
          <w:rtl/>
        </w:rPr>
        <w:t xml:space="preserve"> </w:t>
      </w:r>
    </w:p>
  </w:footnote>
  <w:footnote w:id="68">
    <w:p w:rsidR="00777CBC" w:rsidRPr="00777CBC" w:rsidRDefault="00777CBC" w:rsidP="00777CBC">
      <w:pPr>
        <w:spacing w:line="360" w:lineRule="auto"/>
        <w:jc w:val="both"/>
        <w:rPr>
          <w:sz w:val="20"/>
          <w:szCs w:val="20"/>
          <w:rtl/>
        </w:rPr>
      </w:pPr>
      <w:r w:rsidRPr="002E0F33">
        <w:rPr>
          <w:rStyle w:val="FootnoteReference"/>
          <w:sz w:val="20"/>
          <w:szCs w:val="20"/>
        </w:rPr>
        <w:footnoteRef/>
      </w:r>
      <w:r>
        <w:rPr>
          <w:rtl/>
        </w:rPr>
        <w:t xml:space="preserve"> </w:t>
      </w:r>
      <w:r>
        <w:rPr>
          <w:rFonts w:cs="David" w:hint="cs"/>
          <w:sz w:val="20"/>
          <w:szCs w:val="20"/>
          <w:rtl/>
        </w:rPr>
        <w:t xml:space="preserve">גם מילגרום (לעיל הערה 6) מסביר באופן הזה את העובדה שהשימוש באורדיל מופיע רק בחוק הסוטה.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2BA"/>
    <w:multiLevelType w:val="hybridMultilevel"/>
    <w:tmpl w:val="DAF0E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B1271"/>
    <w:multiLevelType w:val="hybridMultilevel"/>
    <w:tmpl w:val="62BA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661A1"/>
    <w:multiLevelType w:val="hybridMultilevel"/>
    <w:tmpl w:val="57E665DE"/>
    <w:lvl w:ilvl="0" w:tplc="B9E29AC0">
      <w:start w:val="1"/>
      <w:numFmt w:val="bullet"/>
      <w:lvlText w:val=""/>
      <w:lvlJc w:val="left"/>
      <w:pPr>
        <w:tabs>
          <w:tab w:val="num" w:pos="720"/>
        </w:tabs>
        <w:ind w:left="720" w:hanging="360"/>
      </w:pPr>
      <w:rPr>
        <w:rFonts w:ascii="Symbol" w:hAnsi="Symbol" w:hint="default"/>
      </w:rPr>
    </w:lvl>
    <w:lvl w:ilvl="1" w:tplc="04090019" w:tentative="1">
      <w:start w:val="1"/>
      <w:numFmt w:val="lowerRoman"/>
      <w:lvlText w:val="%2."/>
      <w:lvlJc w:val="left"/>
      <w:pPr>
        <w:tabs>
          <w:tab w:val="num" w:pos="1440"/>
        </w:tabs>
        <w:ind w:left="1440" w:hanging="360"/>
      </w:pPr>
    </w:lvl>
    <w:lvl w:ilvl="2" w:tplc="0409001B" w:tentative="1">
      <w:start w:val="1"/>
      <w:numFmt w:val="hebrew2"/>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Roman"/>
      <w:lvlText w:val="%5."/>
      <w:lvlJc w:val="left"/>
      <w:pPr>
        <w:tabs>
          <w:tab w:val="num" w:pos="3600"/>
        </w:tabs>
        <w:ind w:left="3600" w:hanging="360"/>
      </w:pPr>
    </w:lvl>
    <w:lvl w:ilvl="5" w:tplc="0409001B" w:tentative="1">
      <w:start w:val="1"/>
      <w:numFmt w:val="hebrew2"/>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Roman"/>
      <w:lvlText w:val="%8."/>
      <w:lvlJc w:val="left"/>
      <w:pPr>
        <w:tabs>
          <w:tab w:val="num" w:pos="5760"/>
        </w:tabs>
        <w:ind w:left="5760" w:hanging="360"/>
      </w:pPr>
    </w:lvl>
    <w:lvl w:ilvl="8" w:tplc="0409001B" w:tentative="1">
      <w:start w:val="1"/>
      <w:numFmt w:val="hebrew2"/>
      <w:lvlText w:val="%9."/>
      <w:lvlJc w:val="right"/>
      <w:pPr>
        <w:tabs>
          <w:tab w:val="num" w:pos="6480"/>
        </w:tabs>
        <w:ind w:left="6480" w:hanging="180"/>
      </w:pPr>
    </w:lvl>
  </w:abstractNum>
  <w:abstractNum w:abstractNumId="3">
    <w:nsid w:val="02FF196B"/>
    <w:multiLevelType w:val="singleLevel"/>
    <w:tmpl w:val="91B2E582"/>
    <w:lvl w:ilvl="0">
      <w:start w:val="1"/>
      <w:numFmt w:val="decimal"/>
      <w:lvlText w:val="%1."/>
      <w:lvlJc w:val="left"/>
      <w:pPr>
        <w:tabs>
          <w:tab w:val="num" w:pos="360"/>
        </w:tabs>
        <w:ind w:left="0" w:hanging="360"/>
      </w:pPr>
      <w:rPr>
        <w:rFonts w:cs="David"/>
        <w:sz w:val="24"/>
      </w:rPr>
    </w:lvl>
  </w:abstractNum>
  <w:abstractNum w:abstractNumId="4">
    <w:nsid w:val="07381EA5"/>
    <w:multiLevelType w:val="hybridMultilevel"/>
    <w:tmpl w:val="C9F4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8C1E13"/>
    <w:multiLevelType w:val="hybridMultilevel"/>
    <w:tmpl w:val="1EAAC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CA07AA"/>
    <w:multiLevelType w:val="hybridMultilevel"/>
    <w:tmpl w:val="5DE0EC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0C5D6D7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D942716"/>
    <w:multiLevelType w:val="hybridMultilevel"/>
    <w:tmpl w:val="73DE7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4F19B4"/>
    <w:multiLevelType w:val="singleLevel"/>
    <w:tmpl w:val="DC9CFA10"/>
    <w:lvl w:ilvl="0">
      <w:start w:val="1"/>
      <w:numFmt w:val="decimal"/>
      <w:lvlText w:val="%1."/>
      <w:lvlJc w:val="left"/>
      <w:pPr>
        <w:tabs>
          <w:tab w:val="num" w:pos="717"/>
        </w:tabs>
        <w:ind w:left="0" w:hanging="357"/>
      </w:pPr>
      <w:rPr>
        <w:rFonts w:ascii="Arial" w:hAnsi="Arial" w:cs="Arial" w:hint="default"/>
        <w:bCs w:val="0"/>
        <w:iCs w:val="0"/>
        <w:sz w:val="24"/>
        <w:szCs w:val="24"/>
      </w:rPr>
    </w:lvl>
  </w:abstractNum>
  <w:abstractNum w:abstractNumId="10">
    <w:nsid w:val="147B649B"/>
    <w:multiLevelType w:val="multilevel"/>
    <w:tmpl w:val="0CCAF5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B193B43"/>
    <w:multiLevelType w:val="hybridMultilevel"/>
    <w:tmpl w:val="56C2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CD0A94"/>
    <w:multiLevelType w:val="singleLevel"/>
    <w:tmpl w:val="EA3806B6"/>
    <w:lvl w:ilvl="0">
      <w:start w:val="1"/>
      <w:numFmt w:val="decimal"/>
      <w:lvlText w:val="%1."/>
      <w:lvlJc w:val="left"/>
      <w:pPr>
        <w:tabs>
          <w:tab w:val="num" w:pos="717"/>
        </w:tabs>
        <w:ind w:left="0" w:hanging="357"/>
      </w:pPr>
      <w:rPr>
        <w:rFonts w:ascii="Arial" w:hAnsi="Arial" w:cs="Arial" w:hint="default"/>
        <w:bCs w:val="0"/>
        <w:iCs w:val="0"/>
        <w:sz w:val="24"/>
        <w:szCs w:val="24"/>
      </w:rPr>
    </w:lvl>
  </w:abstractNum>
  <w:abstractNum w:abstractNumId="13">
    <w:nsid w:val="26000C9C"/>
    <w:multiLevelType w:val="hybridMultilevel"/>
    <w:tmpl w:val="80C6CE00"/>
    <w:lvl w:ilvl="0" w:tplc="B9E29AC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54"/>
        </w:tabs>
        <w:ind w:left="1054" w:hanging="360"/>
      </w:pPr>
      <w:rPr>
        <w:rFonts w:ascii="Courier New" w:hAnsi="Courier New" w:cs="Courier New" w:hint="default"/>
      </w:rPr>
    </w:lvl>
    <w:lvl w:ilvl="2" w:tplc="04090005" w:tentative="1">
      <w:start w:val="1"/>
      <w:numFmt w:val="bullet"/>
      <w:lvlText w:val=""/>
      <w:lvlJc w:val="left"/>
      <w:pPr>
        <w:tabs>
          <w:tab w:val="num" w:pos="1774"/>
        </w:tabs>
        <w:ind w:left="1774" w:hanging="360"/>
      </w:pPr>
      <w:rPr>
        <w:rFonts w:ascii="Wingdings" w:hAnsi="Wingdings" w:hint="default"/>
      </w:rPr>
    </w:lvl>
    <w:lvl w:ilvl="3" w:tplc="04090001" w:tentative="1">
      <w:start w:val="1"/>
      <w:numFmt w:val="bullet"/>
      <w:lvlText w:val=""/>
      <w:lvlJc w:val="left"/>
      <w:pPr>
        <w:tabs>
          <w:tab w:val="num" w:pos="2494"/>
        </w:tabs>
        <w:ind w:left="2494" w:hanging="360"/>
      </w:pPr>
      <w:rPr>
        <w:rFonts w:ascii="Symbol" w:hAnsi="Symbol" w:hint="default"/>
      </w:rPr>
    </w:lvl>
    <w:lvl w:ilvl="4" w:tplc="04090003" w:tentative="1">
      <w:start w:val="1"/>
      <w:numFmt w:val="bullet"/>
      <w:lvlText w:val="o"/>
      <w:lvlJc w:val="left"/>
      <w:pPr>
        <w:tabs>
          <w:tab w:val="num" w:pos="3214"/>
        </w:tabs>
        <w:ind w:left="3214" w:hanging="360"/>
      </w:pPr>
      <w:rPr>
        <w:rFonts w:ascii="Courier New" w:hAnsi="Courier New" w:cs="Courier New" w:hint="default"/>
      </w:rPr>
    </w:lvl>
    <w:lvl w:ilvl="5" w:tplc="04090005" w:tentative="1">
      <w:start w:val="1"/>
      <w:numFmt w:val="bullet"/>
      <w:lvlText w:val=""/>
      <w:lvlJc w:val="left"/>
      <w:pPr>
        <w:tabs>
          <w:tab w:val="num" w:pos="3934"/>
        </w:tabs>
        <w:ind w:left="3934" w:hanging="360"/>
      </w:pPr>
      <w:rPr>
        <w:rFonts w:ascii="Wingdings" w:hAnsi="Wingdings" w:hint="default"/>
      </w:rPr>
    </w:lvl>
    <w:lvl w:ilvl="6" w:tplc="04090001" w:tentative="1">
      <w:start w:val="1"/>
      <w:numFmt w:val="bullet"/>
      <w:lvlText w:val=""/>
      <w:lvlJc w:val="left"/>
      <w:pPr>
        <w:tabs>
          <w:tab w:val="num" w:pos="4654"/>
        </w:tabs>
        <w:ind w:left="4654" w:hanging="360"/>
      </w:pPr>
      <w:rPr>
        <w:rFonts w:ascii="Symbol" w:hAnsi="Symbol" w:hint="default"/>
      </w:rPr>
    </w:lvl>
    <w:lvl w:ilvl="7" w:tplc="04090003" w:tentative="1">
      <w:start w:val="1"/>
      <w:numFmt w:val="bullet"/>
      <w:lvlText w:val="o"/>
      <w:lvlJc w:val="left"/>
      <w:pPr>
        <w:tabs>
          <w:tab w:val="num" w:pos="5374"/>
        </w:tabs>
        <w:ind w:left="5374" w:hanging="360"/>
      </w:pPr>
      <w:rPr>
        <w:rFonts w:ascii="Courier New" w:hAnsi="Courier New" w:cs="Courier New" w:hint="default"/>
      </w:rPr>
    </w:lvl>
    <w:lvl w:ilvl="8" w:tplc="04090005" w:tentative="1">
      <w:start w:val="1"/>
      <w:numFmt w:val="bullet"/>
      <w:lvlText w:val=""/>
      <w:lvlJc w:val="left"/>
      <w:pPr>
        <w:tabs>
          <w:tab w:val="num" w:pos="6094"/>
        </w:tabs>
        <w:ind w:left="6094" w:hanging="360"/>
      </w:pPr>
      <w:rPr>
        <w:rFonts w:ascii="Wingdings" w:hAnsi="Wingdings" w:hint="default"/>
      </w:rPr>
    </w:lvl>
  </w:abstractNum>
  <w:abstractNum w:abstractNumId="14">
    <w:nsid w:val="297404BB"/>
    <w:multiLevelType w:val="hybridMultilevel"/>
    <w:tmpl w:val="2118216A"/>
    <w:lvl w:ilvl="0" w:tplc="B9E29AC0">
      <w:start w:val="1"/>
      <w:numFmt w:val="bullet"/>
      <w:lvlText w:val=""/>
      <w:lvlJc w:val="left"/>
      <w:pPr>
        <w:tabs>
          <w:tab w:val="num" w:pos="1106"/>
        </w:tabs>
        <w:ind w:left="1106"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537912"/>
    <w:multiLevelType w:val="hybridMultilevel"/>
    <w:tmpl w:val="17325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6058B1"/>
    <w:multiLevelType w:val="hybridMultilevel"/>
    <w:tmpl w:val="90EAE0F0"/>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7">
    <w:nsid w:val="3897329A"/>
    <w:multiLevelType w:val="singleLevel"/>
    <w:tmpl w:val="51E64176"/>
    <w:lvl w:ilvl="0">
      <w:start w:val="1"/>
      <w:numFmt w:val="decimal"/>
      <w:lvlText w:val="%1."/>
      <w:lvlJc w:val="left"/>
      <w:pPr>
        <w:tabs>
          <w:tab w:val="num" w:pos="717"/>
        </w:tabs>
        <w:ind w:left="0" w:hanging="357"/>
      </w:pPr>
      <w:rPr>
        <w:rFonts w:ascii="Arial" w:hAnsi="Arial" w:cs="Arial" w:hint="default"/>
        <w:bCs w:val="0"/>
        <w:iCs w:val="0"/>
        <w:sz w:val="24"/>
        <w:szCs w:val="24"/>
      </w:rPr>
    </w:lvl>
  </w:abstractNum>
  <w:abstractNum w:abstractNumId="18">
    <w:nsid w:val="3FC65780"/>
    <w:multiLevelType w:val="hybridMultilevel"/>
    <w:tmpl w:val="37A63FA2"/>
    <w:lvl w:ilvl="0" w:tplc="B9E29AC0">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282DAE"/>
    <w:multiLevelType w:val="hybridMultilevel"/>
    <w:tmpl w:val="DC80B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13AC7F0">
      <w:start w:val="1"/>
      <w:numFmt w:val="decimal"/>
      <w:lvlText w:val="%4."/>
      <w:lvlJc w:val="left"/>
      <w:pPr>
        <w:ind w:left="2880" w:hanging="360"/>
      </w:pPr>
      <w:rPr>
        <w:rFonts w:hint="default"/>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2E6FE6"/>
    <w:multiLevelType w:val="singleLevel"/>
    <w:tmpl w:val="E5546D30"/>
    <w:lvl w:ilvl="0">
      <w:start w:val="1"/>
      <w:numFmt w:val="decimal"/>
      <w:lvlText w:val="%1."/>
      <w:lvlJc w:val="left"/>
      <w:pPr>
        <w:tabs>
          <w:tab w:val="num" w:pos="1074"/>
        </w:tabs>
        <w:ind w:left="357" w:hanging="357"/>
      </w:pPr>
      <w:rPr>
        <w:rFonts w:ascii="Arial" w:hAnsi="Arial" w:cs="Arial" w:hint="default"/>
        <w:bCs w:val="0"/>
        <w:iCs w:val="0"/>
        <w:sz w:val="24"/>
        <w:szCs w:val="24"/>
      </w:rPr>
    </w:lvl>
  </w:abstractNum>
  <w:abstractNum w:abstractNumId="21">
    <w:nsid w:val="434B5465"/>
    <w:multiLevelType w:val="hybridMultilevel"/>
    <w:tmpl w:val="F0BCFBBC"/>
    <w:lvl w:ilvl="0" w:tplc="04090005">
      <w:start w:val="1"/>
      <w:numFmt w:val="bullet"/>
      <w:lvlText w:val=""/>
      <w:lvlJc w:val="left"/>
      <w:pPr>
        <w:ind w:left="746" w:hanging="360"/>
      </w:pPr>
      <w:rPr>
        <w:rFonts w:ascii="Wingdings" w:hAnsi="Wingdings"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2">
    <w:nsid w:val="43A427A6"/>
    <w:multiLevelType w:val="singleLevel"/>
    <w:tmpl w:val="844CBD1E"/>
    <w:lvl w:ilvl="0">
      <w:start w:val="1"/>
      <w:numFmt w:val="decimal"/>
      <w:lvlText w:val="%1."/>
      <w:lvlJc w:val="left"/>
      <w:pPr>
        <w:tabs>
          <w:tab w:val="num" w:pos="720"/>
        </w:tabs>
        <w:ind w:left="0" w:hanging="360"/>
      </w:pPr>
      <w:rPr>
        <w:rFonts w:ascii="Arial" w:hAnsi="Arial" w:cs="Arial" w:hint="default"/>
        <w:sz w:val="24"/>
      </w:rPr>
    </w:lvl>
  </w:abstractNum>
  <w:abstractNum w:abstractNumId="23">
    <w:nsid w:val="43BC3884"/>
    <w:multiLevelType w:val="hybridMultilevel"/>
    <w:tmpl w:val="DDEE7302"/>
    <w:lvl w:ilvl="0" w:tplc="5EF8E66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570E1F"/>
    <w:multiLevelType w:val="hybridMultilevel"/>
    <w:tmpl w:val="CF580F8A"/>
    <w:lvl w:ilvl="0" w:tplc="0409000F">
      <w:start w:val="1"/>
      <w:numFmt w:val="decimal"/>
      <w:lvlText w:val="%1."/>
      <w:lvlJc w:val="left"/>
      <w:pPr>
        <w:tabs>
          <w:tab w:val="num" w:pos="720"/>
        </w:tabs>
        <w:ind w:left="720" w:hanging="360"/>
      </w:pPr>
    </w:lvl>
    <w:lvl w:ilvl="1" w:tplc="04090019" w:tentative="1">
      <w:start w:val="1"/>
      <w:numFmt w:val="lowerRoman"/>
      <w:lvlText w:val="%2."/>
      <w:lvlJc w:val="left"/>
      <w:pPr>
        <w:tabs>
          <w:tab w:val="num" w:pos="1440"/>
        </w:tabs>
        <w:ind w:left="1440" w:hanging="360"/>
      </w:pPr>
    </w:lvl>
    <w:lvl w:ilvl="2" w:tplc="0409001B" w:tentative="1">
      <w:start w:val="1"/>
      <w:numFmt w:val="hebrew2"/>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Roman"/>
      <w:lvlText w:val="%5."/>
      <w:lvlJc w:val="left"/>
      <w:pPr>
        <w:tabs>
          <w:tab w:val="num" w:pos="3600"/>
        </w:tabs>
        <w:ind w:left="3600" w:hanging="360"/>
      </w:pPr>
    </w:lvl>
    <w:lvl w:ilvl="5" w:tplc="0409001B" w:tentative="1">
      <w:start w:val="1"/>
      <w:numFmt w:val="hebrew2"/>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Roman"/>
      <w:lvlText w:val="%8."/>
      <w:lvlJc w:val="left"/>
      <w:pPr>
        <w:tabs>
          <w:tab w:val="num" w:pos="5760"/>
        </w:tabs>
        <w:ind w:left="5760" w:hanging="360"/>
      </w:pPr>
    </w:lvl>
    <w:lvl w:ilvl="8" w:tplc="0409001B" w:tentative="1">
      <w:start w:val="1"/>
      <w:numFmt w:val="hebrew2"/>
      <w:lvlText w:val="%9."/>
      <w:lvlJc w:val="right"/>
      <w:pPr>
        <w:tabs>
          <w:tab w:val="num" w:pos="6480"/>
        </w:tabs>
        <w:ind w:left="6480" w:hanging="180"/>
      </w:pPr>
    </w:lvl>
  </w:abstractNum>
  <w:abstractNum w:abstractNumId="25">
    <w:nsid w:val="4B745960"/>
    <w:multiLevelType w:val="hybridMultilevel"/>
    <w:tmpl w:val="DE5E4906"/>
    <w:lvl w:ilvl="0" w:tplc="5F0CC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328A8"/>
    <w:multiLevelType w:val="hybridMultilevel"/>
    <w:tmpl w:val="65725500"/>
    <w:lvl w:ilvl="0" w:tplc="7D2A110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206CE1"/>
    <w:multiLevelType w:val="hybridMultilevel"/>
    <w:tmpl w:val="9512473E"/>
    <w:lvl w:ilvl="0" w:tplc="B9E29AC0">
      <w:start w:val="1"/>
      <w:numFmt w:val="bullet"/>
      <w:lvlText w:val=""/>
      <w:lvlJc w:val="left"/>
      <w:pPr>
        <w:tabs>
          <w:tab w:val="num" w:pos="1106"/>
        </w:tabs>
        <w:ind w:left="1106" w:hanging="360"/>
      </w:pPr>
      <w:rPr>
        <w:rFonts w:ascii="Symbol" w:hAnsi="Symbol" w:hint="default"/>
      </w:rPr>
    </w:lvl>
    <w:lvl w:ilvl="1" w:tplc="04090019" w:tentative="1">
      <w:start w:val="1"/>
      <w:numFmt w:val="lowerRoman"/>
      <w:lvlText w:val="%2."/>
      <w:lvlJc w:val="left"/>
      <w:pPr>
        <w:tabs>
          <w:tab w:val="num" w:pos="1440"/>
        </w:tabs>
        <w:ind w:left="1440" w:hanging="360"/>
      </w:pPr>
    </w:lvl>
    <w:lvl w:ilvl="2" w:tplc="0409001B" w:tentative="1">
      <w:start w:val="1"/>
      <w:numFmt w:val="hebrew2"/>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Roman"/>
      <w:lvlText w:val="%5."/>
      <w:lvlJc w:val="left"/>
      <w:pPr>
        <w:tabs>
          <w:tab w:val="num" w:pos="3600"/>
        </w:tabs>
        <w:ind w:left="3600" w:hanging="360"/>
      </w:pPr>
    </w:lvl>
    <w:lvl w:ilvl="5" w:tplc="0409001B" w:tentative="1">
      <w:start w:val="1"/>
      <w:numFmt w:val="hebrew2"/>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Roman"/>
      <w:lvlText w:val="%8."/>
      <w:lvlJc w:val="left"/>
      <w:pPr>
        <w:tabs>
          <w:tab w:val="num" w:pos="5760"/>
        </w:tabs>
        <w:ind w:left="5760" w:hanging="360"/>
      </w:pPr>
    </w:lvl>
    <w:lvl w:ilvl="8" w:tplc="0409001B" w:tentative="1">
      <w:start w:val="1"/>
      <w:numFmt w:val="hebrew2"/>
      <w:lvlText w:val="%9."/>
      <w:lvlJc w:val="right"/>
      <w:pPr>
        <w:tabs>
          <w:tab w:val="num" w:pos="6480"/>
        </w:tabs>
        <w:ind w:left="6480" w:hanging="180"/>
      </w:pPr>
    </w:lvl>
  </w:abstractNum>
  <w:abstractNum w:abstractNumId="28">
    <w:nsid w:val="52F13A76"/>
    <w:multiLevelType w:val="hybridMultilevel"/>
    <w:tmpl w:val="26725DE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56C80A39"/>
    <w:multiLevelType w:val="multilevel"/>
    <w:tmpl w:val="0CCAF5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5E3019D1"/>
    <w:multiLevelType w:val="hybridMultilevel"/>
    <w:tmpl w:val="DBAE4A7A"/>
    <w:lvl w:ilvl="0" w:tplc="00000000">
      <w:start w:val="1"/>
      <w:numFmt w:val="bullet"/>
      <w:lvlText w:val=""/>
      <w:lvlJc w:val="left"/>
      <w:pPr>
        <w:tabs>
          <w:tab w:val="num" w:pos="720"/>
        </w:tabs>
        <w:ind w:left="720" w:right="720" w:hanging="360"/>
      </w:pPr>
      <w:rPr>
        <w:rFonts w:ascii="Symbol" w:hAnsi="Symbol" w:hint="default"/>
      </w:rPr>
    </w:lvl>
    <w:lvl w:ilvl="1" w:tplc="00000000" w:tentative="1">
      <w:start w:val="1"/>
      <w:numFmt w:val="bullet"/>
      <w:lvlText w:val="o"/>
      <w:lvlJc w:val="left"/>
      <w:pPr>
        <w:tabs>
          <w:tab w:val="num" w:pos="1440"/>
        </w:tabs>
        <w:ind w:left="1440" w:right="1440" w:hanging="360"/>
      </w:pPr>
      <w:rPr>
        <w:rFonts w:ascii="Courier New" w:hAnsi="Courier New" w:cs="Courier New" w:hint="default"/>
      </w:rPr>
    </w:lvl>
    <w:lvl w:ilvl="2" w:tplc="00000000" w:tentative="1">
      <w:start w:val="1"/>
      <w:numFmt w:val="bullet"/>
      <w:lvlText w:val=""/>
      <w:lvlJc w:val="left"/>
      <w:pPr>
        <w:tabs>
          <w:tab w:val="num" w:pos="2160"/>
        </w:tabs>
        <w:ind w:left="2160" w:right="2160" w:hanging="360"/>
      </w:pPr>
      <w:rPr>
        <w:rFonts w:ascii="Wingdings" w:hAnsi="Wingdings" w:hint="default"/>
      </w:rPr>
    </w:lvl>
    <w:lvl w:ilvl="3" w:tplc="00000000" w:tentative="1">
      <w:start w:val="1"/>
      <w:numFmt w:val="bullet"/>
      <w:lvlText w:val=""/>
      <w:lvlJc w:val="left"/>
      <w:pPr>
        <w:tabs>
          <w:tab w:val="num" w:pos="2880"/>
        </w:tabs>
        <w:ind w:left="2880" w:right="2880" w:hanging="360"/>
      </w:pPr>
      <w:rPr>
        <w:rFonts w:ascii="Symbol" w:hAnsi="Symbol" w:hint="default"/>
      </w:rPr>
    </w:lvl>
    <w:lvl w:ilvl="4" w:tplc="00000000" w:tentative="1">
      <w:start w:val="1"/>
      <w:numFmt w:val="bullet"/>
      <w:lvlText w:val="o"/>
      <w:lvlJc w:val="left"/>
      <w:pPr>
        <w:tabs>
          <w:tab w:val="num" w:pos="3600"/>
        </w:tabs>
        <w:ind w:left="3600" w:right="3600" w:hanging="360"/>
      </w:pPr>
      <w:rPr>
        <w:rFonts w:ascii="Courier New" w:hAnsi="Courier New" w:cs="Courier New" w:hint="default"/>
      </w:rPr>
    </w:lvl>
    <w:lvl w:ilvl="5" w:tplc="00000000" w:tentative="1">
      <w:start w:val="1"/>
      <w:numFmt w:val="bullet"/>
      <w:lvlText w:val=""/>
      <w:lvlJc w:val="left"/>
      <w:pPr>
        <w:tabs>
          <w:tab w:val="num" w:pos="4320"/>
        </w:tabs>
        <w:ind w:left="4320" w:right="4320" w:hanging="360"/>
      </w:pPr>
      <w:rPr>
        <w:rFonts w:ascii="Wingdings" w:hAnsi="Wingdings" w:hint="default"/>
      </w:rPr>
    </w:lvl>
    <w:lvl w:ilvl="6" w:tplc="00000000" w:tentative="1">
      <w:start w:val="1"/>
      <w:numFmt w:val="bullet"/>
      <w:lvlText w:val=""/>
      <w:lvlJc w:val="left"/>
      <w:pPr>
        <w:tabs>
          <w:tab w:val="num" w:pos="5040"/>
        </w:tabs>
        <w:ind w:left="5040" w:right="5040" w:hanging="360"/>
      </w:pPr>
      <w:rPr>
        <w:rFonts w:ascii="Symbol" w:hAnsi="Symbol" w:hint="default"/>
      </w:rPr>
    </w:lvl>
    <w:lvl w:ilvl="7" w:tplc="00000000" w:tentative="1">
      <w:start w:val="1"/>
      <w:numFmt w:val="bullet"/>
      <w:lvlText w:val="o"/>
      <w:lvlJc w:val="left"/>
      <w:pPr>
        <w:tabs>
          <w:tab w:val="num" w:pos="5760"/>
        </w:tabs>
        <w:ind w:left="5760" w:right="5760" w:hanging="360"/>
      </w:pPr>
      <w:rPr>
        <w:rFonts w:ascii="Courier New" w:hAnsi="Courier New" w:cs="Courier New" w:hint="default"/>
      </w:rPr>
    </w:lvl>
    <w:lvl w:ilvl="8" w:tplc="00000000" w:tentative="1">
      <w:start w:val="1"/>
      <w:numFmt w:val="bullet"/>
      <w:lvlText w:val=""/>
      <w:lvlJc w:val="left"/>
      <w:pPr>
        <w:tabs>
          <w:tab w:val="num" w:pos="6480"/>
        </w:tabs>
        <w:ind w:left="6480" w:right="6480" w:hanging="360"/>
      </w:pPr>
      <w:rPr>
        <w:rFonts w:ascii="Wingdings" w:hAnsi="Wingdings" w:hint="default"/>
      </w:rPr>
    </w:lvl>
  </w:abstractNum>
  <w:abstractNum w:abstractNumId="31">
    <w:nsid w:val="67062339"/>
    <w:multiLevelType w:val="hybridMultilevel"/>
    <w:tmpl w:val="D2B4CE94"/>
    <w:lvl w:ilvl="0" w:tplc="04090001">
      <w:start w:val="1"/>
      <w:numFmt w:val="bullet"/>
      <w:lvlText w:val=""/>
      <w:lvlJc w:val="left"/>
      <w:pPr>
        <w:ind w:left="696" w:hanging="360"/>
      </w:pPr>
      <w:rPr>
        <w:rFonts w:ascii="Symbol" w:hAnsi="Symbol" w:hint="default"/>
      </w:rPr>
    </w:lvl>
    <w:lvl w:ilvl="1" w:tplc="04090003">
      <w:start w:val="1"/>
      <w:numFmt w:val="bullet"/>
      <w:lvlText w:val="o"/>
      <w:lvlJc w:val="left"/>
      <w:pPr>
        <w:ind w:left="1416" w:hanging="360"/>
      </w:pPr>
      <w:rPr>
        <w:rFonts w:ascii="Courier New" w:hAnsi="Courier New" w:cs="Courier New" w:hint="default"/>
      </w:rPr>
    </w:lvl>
    <w:lvl w:ilvl="2" w:tplc="04090005">
      <w:start w:val="1"/>
      <w:numFmt w:val="bullet"/>
      <w:lvlText w:val=""/>
      <w:lvlJc w:val="left"/>
      <w:pPr>
        <w:ind w:left="2136" w:hanging="360"/>
      </w:pPr>
      <w:rPr>
        <w:rFonts w:ascii="Wingdings" w:hAnsi="Wingdings" w:hint="default"/>
      </w:rPr>
    </w:lvl>
    <w:lvl w:ilvl="3" w:tplc="04090001">
      <w:start w:val="1"/>
      <w:numFmt w:val="bullet"/>
      <w:lvlText w:val=""/>
      <w:lvlJc w:val="left"/>
      <w:pPr>
        <w:ind w:left="2856" w:hanging="360"/>
      </w:pPr>
      <w:rPr>
        <w:rFonts w:ascii="Symbol" w:hAnsi="Symbol" w:hint="default"/>
      </w:rPr>
    </w:lvl>
    <w:lvl w:ilvl="4" w:tplc="04090003">
      <w:start w:val="1"/>
      <w:numFmt w:val="bullet"/>
      <w:lvlText w:val="o"/>
      <w:lvlJc w:val="left"/>
      <w:pPr>
        <w:ind w:left="3576" w:hanging="360"/>
      </w:pPr>
      <w:rPr>
        <w:rFonts w:ascii="Courier New" w:hAnsi="Courier New" w:cs="Courier New" w:hint="default"/>
      </w:rPr>
    </w:lvl>
    <w:lvl w:ilvl="5" w:tplc="04090005">
      <w:start w:val="1"/>
      <w:numFmt w:val="bullet"/>
      <w:lvlText w:val=""/>
      <w:lvlJc w:val="left"/>
      <w:pPr>
        <w:ind w:left="4296" w:hanging="360"/>
      </w:pPr>
      <w:rPr>
        <w:rFonts w:ascii="Wingdings" w:hAnsi="Wingdings" w:hint="default"/>
      </w:rPr>
    </w:lvl>
    <w:lvl w:ilvl="6" w:tplc="04090001">
      <w:start w:val="1"/>
      <w:numFmt w:val="bullet"/>
      <w:lvlText w:val=""/>
      <w:lvlJc w:val="left"/>
      <w:pPr>
        <w:ind w:left="5016" w:hanging="360"/>
      </w:pPr>
      <w:rPr>
        <w:rFonts w:ascii="Symbol" w:hAnsi="Symbol" w:hint="default"/>
      </w:rPr>
    </w:lvl>
    <w:lvl w:ilvl="7" w:tplc="04090003">
      <w:start w:val="1"/>
      <w:numFmt w:val="bullet"/>
      <w:lvlText w:val="o"/>
      <w:lvlJc w:val="left"/>
      <w:pPr>
        <w:ind w:left="5736" w:hanging="360"/>
      </w:pPr>
      <w:rPr>
        <w:rFonts w:ascii="Courier New" w:hAnsi="Courier New" w:cs="Courier New" w:hint="default"/>
      </w:rPr>
    </w:lvl>
    <w:lvl w:ilvl="8" w:tplc="04090005">
      <w:start w:val="1"/>
      <w:numFmt w:val="bullet"/>
      <w:lvlText w:val=""/>
      <w:lvlJc w:val="left"/>
      <w:pPr>
        <w:ind w:left="6456" w:hanging="360"/>
      </w:pPr>
      <w:rPr>
        <w:rFonts w:ascii="Wingdings" w:hAnsi="Wingdings" w:hint="default"/>
      </w:rPr>
    </w:lvl>
  </w:abstractNum>
  <w:abstractNum w:abstractNumId="32">
    <w:nsid w:val="67B96BEE"/>
    <w:multiLevelType w:val="hybridMultilevel"/>
    <w:tmpl w:val="AFFC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E529E9"/>
    <w:multiLevelType w:val="hybridMultilevel"/>
    <w:tmpl w:val="F72263D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755457E1"/>
    <w:multiLevelType w:val="hybridMultilevel"/>
    <w:tmpl w:val="1772EB74"/>
    <w:lvl w:ilvl="0" w:tplc="B9E29AC0">
      <w:start w:val="1"/>
      <w:numFmt w:val="bullet"/>
      <w:lvlText w:val=""/>
      <w:lvlJc w:val="left"/>
      <w:pPr>
        <w:tabs>
          <w:tab w:val="num" w:pos="720"/>
        </w:tabs>
        <w:ind w:left="720" w:hanging="360"/>
      </w:pPr>
      <w:rPr>
        <w:rFonts w:ascii="Symbol" w:hAnsi="Symbol" w:hint="default"/>
      </w:rPr>
    </w:lvl>
    <w:lvl w:ilvl="1" w:tplc="04090019" w:tentative="1">
      <w:start w:val="1"/>
      <w:numFmt w:val="lowerRoman"/>
      <w:lvlText w:val="%2."/>
      <w:lvlJc w:val="left"/>
      <w:pPr>
        <w:tabs>
          <w:tab w:val="num" w:pos="1440"/>
        </w:tabs>
        <w:ind w:left="1440" w:hanging="360"/>
      </w:pPr>
    </w:lvl>
    <w:lvl w:ilvl="2" w:tplc="0409001B" w:tentative="1">
      <w:start w:val="1"/>
      <w:numFmt w:val="hebrew2"/>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Roman"/>
      <w:lvlText w:val="%5."/>
      <w:lvlJc w:val="left"/>
      <w:pPr>
        <w:tabs>
          <w:tab w:val="num" w:pos="3600"/>
        </w:tabs>
        <w:ind w:left="3600" w:hanging="360"/>
      </w:pPr>
    </w:lvl>
    <w:lvl w:ilvl="5" w:tplc="0409001B" w:tentative="1">
      <w:start w:val="1"/>
      <w:numFmt w:val="hebrew2"/>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Roman"/>
      <w:lvlText w:val="%8."/>
      <w:lvlJc w:val="left"/>
      <w:pPr>
        <w:tabs>
          <w:tab w:val="num" w:pos="5760"/>
        </w:tabs>
        <w:ind w:left="5760" w:hanging="360"/>
      </w:pPr>
    </w:lvl>
    <w:lvl w:ilvl="8" w:tplc="0409001B" w:tentative="1">
      <w:start w:val="1"/>
      <w:numFmt w:val="hebrew2"/>
      <w:lvlText w:val="%9."/>
      <w:lvlJc w:val="right"/>
      <w:pPr>
        <w:tabs>
          <w:tab w:val="num" w:pos="6480"/>
        </w:tabs>
        <w:ind w:left="6480" w:hanging="180"/>
      </w:pPr>
    </w:lvl>
  </w:abstractNum>
  <w:abstractNum w:abstractNumId="35">
    <w:nsid w:val="7623722F"/>
    <w:multiLevelType w:val="singleLevel"/>
    <w:tmpl w:val="872C0CEA"/>
    <w:lvl w:ilvl="0">
      <w:start w:val="1"/>
      <w:numFmt w:val="decimal"/>
      <w:lvlText w:val="%1."/>
      <w:lvlJc w:val="left"/>
      <w:pPr>
        <w:tabs>
          <w:tab w:val="num" w:pos="717"/>
        </w:tabs>
        <w:ind w:left="0" w:hanging="357"/>
      </w:pPr>
      <w:rPr>
        <w:rFonts w:ascii="Arial" w:hAnsi="Arial" w:cs="Arial" w:hint="default"/>
        <w:bCs w:val="0"/>
        <w:iCs w:val="0"/>
        <w:sz w:val="24"/>
        <w:szCs w:val="24"/>
      </w:rPr>
    </w:lvl>
  </w:abstractNum>
  <w:num w:numId="1">
    <w:abstractNumId w:val="23"/>
  </w:num>
  <w:num w:numId="2">
    <w:abstractNumId w:val="26"/>
  </w:num>
  <w:num w:numId="3">
    <w:abstractNumId w:val="14"/>
  </w:num>
  <w:num w:numId="4">
    <w:abstractNumId w:val="24"/>
  </w:num>
  <w:num w:numId="5">
    <w:abstractNumId w:val="2"/>
  </w:num>
  <w:num w:numId="6">
    <w:abstractNumId w:val="34"/>
  </w:num>
  <w:num w:numId="7">
    <w:abstractNumId w:val="18"/>
  </w:num>
  <w:num w:numId="8">
    <w:abstractNumId w:val="27"/>
  </w:num>
  <w:num w:numId="9">
    <w:abstractNumId w:val="22"/>
    <w:lvlOverride w:ilvl="0">
      <w:startOverride w:val="1"/>
    </w:lvlOverride>
  </w:num>
  <w:num w:numId="10">
    <w:abstractNumId w:val="3"/>
    <w:lvlOverride w:ilvl="0">
      <w:startOverride w:val="1"/>
    </w:lvlOverride>
  </w:num>
  <w:num w:numId="11">
    <w:abstractNumId w:val="17"/>
    <w:lvlOverride w:ilvl="0">
      <w:startOverride w:val="1"/>
    </w:lvlOverride>
  </w:num>
  <w:num w:numId="12">
    <w:abstractNumId w:val="9"/>
    <w:lvlOverride w:ilvl="0">
      <w:startOverride w:val="1"/>
    </w:lvlOverride>
  </w:num>
  <w:num w:numId="13">
    <w:abstractNumId w:val="20"/>
    <w:lvlOverride w:ilvl="0">
      <w:startOverride w:val="1"/>
    </w:lvlOverride>
  </w:num>
  <w:num w:numId="14">
    <w:abstractNumId w:val="35"/>
    <w:lvlOverride w:ilvl="0">
      <w:startOverride w:val="1"/>
    </w:lvlOverride>
  </w:num>
  <w:num w:numId="15">
    <w:abstractNumId w:val="12"/>
    <w:lvlOverride w:ilvl="0">
      <w:startOverride w:val="1"/>
    </w:lvlOverride>
  </w:num>
  <w:num w:numId="16">
    <w:abstractNumId w:val="13"/>
  </w:num>
  <w:num w:numId="17">
    <w:abstractNumId w:val="30"/>
  </w:num>
  <w:num w:numId="18">
    <w:abstractNumId w:val="1"/>
  </w:num>
  <w:num w:numId="19">
    <w:abstractNumId w:val="32"/>
  </w:num>
  <w:num w:numId="20">
    <w:abstractNumId w:val="15"/>
  </w:num>
  <w:num w:numId="21">
    <w:abstractNumId w:val="4"/>
  </w:num>
  <w:num w:numId="22">
    <w:abstractNumId w:val="11"/>
  </w:num>
  <w:num w:numId="23">
    <w:abstractNumId w:val="29"/>
  </w:num>
  <w:num w:numId="24">
    <w:abstractNumId w:val="10"/>
  </w:num>
  <w:num w:numId="25">
    <w:abstractNumId w:val="21"/>
  </w:num>
  <w:num w:numId="26">
    <w:abstractNumId w:val="5"/>
  </w:num>
  <w:num w:numId="27">
    <w:abstractNumId w:val="31"/>
  </w:num>
  <w:num w:numId="28">
    <w:abstractNumId w:val="8"/>
  </w:num>
  <w:num w:numId="29">
    <w:abstractNumId w:val="19"/>
  </w:num>
  <w:num w:numId="30">
    <w:abstractNumId w:val="16"/>
  </w:num>
  <w:num w:numId="31">
    <w:abstractNumId w:val="7"/>
  </w:num>
  <w:num w:numId="32">
    <w:abstractNumId w:val="25"/>
  </w:num>
  <w:num w:numId="33">
    <w:abstractNumId w:val="28"/>
  </w:num>
  <w:num w:numId="34">
    <w:abstractNumId w:val="33"/>
  </w:num>
  <w:num w:numId="35">
    <w:abstractNumId w:val="6"/>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3E9A"/>
    <w:rsid w:val="00001404"/>
    <w:rsid w:val="00001508"/>
    <w:rsid w:val="0000273A"/>
    <w:rsid w:val="00002849"/>
    <w:rsid w:val="00010D2B"/>
    <w:rsid w:val="00011957"/>
    <w:rsid w:val="00012C70"/>
    <w:rsid w:val="000136E0"/>
    <w:rsid w:val="000150CA"/>
    <w:rsid w:val="00016D1E"/>
    <w:rsid w:val="000214F5"/>
    <w:rsid w:val="00024C35"/>
    <w:rsid w:val="00025A84"/>
    <w:rsid w:val="00026D7C"/>
    <w:rsid w:val="000270A8"/>
    <w:rsid w:val="00031020"/>
    <w:rsid w:val="000323EC"/>
    <w:rsid w:val="00032444"/>
    <w:rsid w:val="000328A8"/>
    <w:rsid w:val="00040742"/>
    <w:rsid w:val="00041F85"/>
    <w:rsid w:val="00043D2A"/>
    <w:rsid w:val="0004456B"/>
    <w:rsid w:val="00044E7E"/>
    <w:rsid w:val="00045A3E"/>
    <w:rsid w:val="000470B8"/>
    <w:rsid w:val="0004755E"/>
    <w:rsid w:val="00051DA7"/>
    <w:rsid w:val="00052D55"/>
    <w:rsid w:val="0005379B"/>
    <w:rsid w:val="000547C7"/>
    <w:rsid w:val="00055B80"/>
    <w:rsid w:val="00056F0D"/>
    <w:rsid w:val="00061E7E"/>
    <w:rsid w:val="00062759"/>
    <w:rsid w:val="00067387"/>
    <w:rsid w:val="000678D2"/>
    <w:rsid w:val="00071023"/>
    <w:rsid w:val="00075B40"/>
    <w:rsid w:val="00077172"/>
    <w:rsid w:val="000805BC"/>
    <w:rsid w:val="00081105"/>
    <w:rsid w:val="000812B8"/>
    <w:rsid w:val="000818C1"/>
    <w:rsid w:val="00081995"/>
    <w:rsid w:val="0008402E"/>
    <w:rsid w:val="00086049"/>
    <w:rsid w:val="000865AE"/>
    <w:rsid w:val="000971F8"/>
    <w:rsid w:val="000A05FE"/>
    <w:rsid w:val="000A2A5B"/>
    <w:rsid w:val="000A2BF2"/>
    <w:rsid w:val="000A49A1"/>
    <w:rsid w:val="000B032E"/>
    <w:rsid w:val="000B362F"/>
    <w:rsid w:val="000B3F7F"/>
    <w:rsid w:val="000B60CE"/>
    <w:rsid w:val="000C3C3B"/>
    <w:rsid w:val="000C4D79"/>
    <w:rsid w:val="000C677D"/>
    <w:rsid w:val="000D0389"/>
    <w:rsid w:val="000D3FF5"/>
    <w:rsid w:val="000D5440"/>
    <w:rsid w:val="000D55A0"/>
    <w:rsid w:val="000D655A"/>
    <w:rsid w:val="000E0AE4"/>
    <w:rsid w:val="000E0B5C"/>
    <w:rsid w:val="000E1749"/>
    <w:rsid w:val="000E239E"/>
    <w:rsid w:val="000E3D79"/>
    <w:rsid w:val="000E59E6"/>
    <w:rsid w:val="000E5C98"/>
    <w:rsid w:val="000E5E8D"/>
    <w:rsid w:val="000E7DEC"/>
    <w:rsid w:val="000F0372"/>
    <w:rsid w:val="000F095E"/>
    <w:rsid w:val="000F2B69"/>
    <w:rsid w:val="000F332F"/>
    <w:rsid w:val="000F62A2"/>
    <w:rsid w:val="000F6A10"/>
    <w:rsid w:val="001079A9"/>
    <w:rsid w:val="0011343A"/>
    <w:rsid w:val="001134CA"/>
    <w:rsid w:val="0011374A"/>
    <w:rsid w:val="001146E3"/>
    <w:rsid w:val="00115094"/>
    <w:rsid w:val="00115394"/>
    <w:rsid w:val="001157E5"/>
    <w:rsid w:val="00117821"/>
    <w:rsid w:val="00117AC1"/>
    <w:rsid w:val="00122135"/>
    <w:rsid w:val="00122295"/>
    <w:rsid w:val="0012275F"/>
    <w:rsid w:val="00124700"/>
    <w:rsid w:val="0012499A"/>
    <w:rsid w:val="00124A67"/>
    <w:rsid w:val="00124DFA"/>
    <w:rsid w:val="0012596E"/>
    <w:rsid w:val="00125F5B"/>
    <w:rsid w:val="00126600"/>
    <w:rsid w:val="00127A20"/>
    <w:rsid w:val="001309D2"/>
    <w:rsid w:val="0013403D"/>
    <w:rsid w:val="00134B1C"/>
    <w:rsid w:val="00134BEA"/>
    <w:rsid w:val="001353D2"/>
    <w:rsid w:val="00136628"/>
    <w:rsid w:val="0013670B"/>
    <w:rsid w:val="0013787A"/>
    <w:rsid w:val="00140615"/>
    <w:rsid w:val="0014282E"/>
    <w:rsid w:val="00142A82"/>
    <w:rsid w:val="00143B99"/>
    <w:rsid w:val="001449AB"/>
    <w:rsid w:val="00144F88"/>
    <w:rsid w:val="001467C3"/>
    <w:rsid w:val="00150AFF"/>
    <w:rsid w:val="001536F1"/>
    <w:rsid w:val="00154856"/>
    <w:rsid w:val="00156F7D"/>
    <w:rsid w:val="0016198B"/>
    <w:rsid w:val="00164715"/>
    <w:rsid w:val="001649E9"/>
    <w:rsid w:val="00165A5B"/>
    <w:rsid w:val="00165FE2"/>
    <w:rsid w:val="001668DA"/>
    <w:rsid w:val="00171AC0"/>
    <w:rsid w:val="00172408"/>
    <w:rsid w:val="001745D9"/>
    <w:rsid w:val="00181858"/>
    <w:rsid w:val="0018338B"/>
    <w:rsid w:val="0018437D"/>
    <w:rsid w:val="00190288"/>
    <w:rsid w:val="00190467"/>
    <w:rsid w:val="00190C96"/>
    <w:rsid w:val="00191469"/>
    <w:rsid w:val="00191A59"/>
    <w:rsid w:val="00192182"/>
    <w:rsid w:val="001921F1"/>
    <w:rsid w:val="001922AC"/>
    <w:rsid w:val="001934B5"/>
    <w:rsid w:val="00193513"/>
    <w:rsid w:val="001937B6"/>
    <w:rsid w:val="00193FED"/>
    <w:rsid w:val="00194042"/>
    <w:rsid w:val="00194C2C"/>
    <w:rsid w:val="00196165"/>
    <w:rsid w:val="00197EC2"/>
    <w:rsid w:val="001A16DF"/>
    <w:rsid w:val="001A308D"/>
    <w:rsid w:val="001A3956"/>
    <w:rsid w:val="001A3C00"/>
    <w:rsid w:val="001A4740"/>
    <w:rsid w:val="001B1548"/>
    <w:rsid w:val="001B522A"/>
    <w:rsid w:val="001C118B"/>
    <w:rsid w:val="001C19DE"/>
    <w:rsid w:val="001C43C7"/>
    <w:rsid w:val="001C648F"/>
    <w:rsid w:val="001C6C49"/>
    <w:rsid w:val="001C6C6A"/>
    <w:rsid w:val="001C7244"/>
    <w:rsid w:val="001C75C9"/>
    <w:rsid w:val="001D08E6"/>
    <w:rsid w:val="001D0983"/>
    <w:rsid w:val="001D612E"/>
    <w:rsid w:val="001D6304"/>
    <w:rsid w:val="001E0251"/>
    <w:rsid w:val="001E17AB"/>
    <w:rsid w:val="001E2444"/>
    <w:rsid w:val="001E4189"/>
    <w:rsid w:val="001E478E"/>
    <w:rsid w:val="001E5314"/>
    <w:rsid w:val="001E6361"/>
    <w:rsid w:val="001E651C"/>
    <w:rsid w:val="001E66D1"/>
    <w:rsid w:val="001E7562"/>
    <w:rsid w:val="001F176C"/>
    <w:rsid w:val="001F27C6"/>
    <w:rsid w:val="001F28CE"/>
    <w:rsid w:val="001F3B0E"/>
    <w:rsid w:val="001F3E99"/>
    <w:rsid w:val="001F4C97"/>
    <w:rsid w:val="001F4D1F"/>
    <w:rsid w:val="001F4F7F"/>
    <w:rsid w:val="001F5545"/>
    <w:rsid w:val="001F750C"/>
    <w:rsid w:val="001F7B76"/>
    <w:rsid w:val="001F7F7D"/>
    <w:rsid w:val="00200261"/>
    <w:rsid w:val="0020050B"/>
    <w:rsid w:val="00202828"/>
    <w:rsid w:val="0020369A"/>
    <w:rsid w:val="0020420F"/>
    <w:rsid w:val="00205092"/>
    <w:rsid w:val="002067F7"/>
    <w:rsid w:val="002131F8"/>
    <w:rsid w:val="00213816"/>
    <w:rsid w:val="00220304"/>
    <w:rsid w:val="00221371"/>
    <w:rsid w:val="002213D1"/>
    <w:rsid w:val="00221C57"/>
    <w:rsid w:val="0022235C"/>
    <w:rsid w:val="00225430"/>
    <w:rsid w:val="0022584F"/>
    <w:rsid w:val="0023102B"/>
    <w:rsid w:val="0023181E"/>
    <w:rsid w:val="0023290F"/>
    <w:rsid w:val="0023479F"/>
    <w:rsid w:val="00235BBE"/>
    <w:rsid w:val="00237704"/>
    <w:rsid w:val="00240C59"/>
    <w:rsid w:val="00241285"/>
    <w:rsid w:val="002468D7"/>
    <w:rsid w:val="00247112"/>
    <w:rsid w:val="002479DA"/>
    <w:rsid w:val="00253DDB"/>
    <w:rsid w:val="0025425B"/>
    <w:rsid w:val="00255C9C"/>
    <w:rsid w:val="0026063D"/>
    <w:rsid w:val="0026136F"/>
    <w:rsid w:val="002619ED"/>
    <w:rsid w:val="00261CBE"/>
    <w:rsid w:val="00263F8D"/>
    <w:rsid w:val="002647EE"/>
    <w:rsid w:val="002660FE"/>
    <w:rsid w:val="002668FD"/>
    <w:rsid w:val="002715E5"/>
    <w:rsid w:val="002756C6"/>
    <w:rsid w:val="00276C39"/>
    <w:rsid w:val="00282624"/>
    <w:rsid w:val="00282B10"/>
    <w:rsid w:val="002834F9"/>
    <w:rsid w:val="00286F63"/>
    <w:rsid w:val="00286FE6"/>
    <w:rsid w:val="00287C90"/>
    <w:rsid w:val="00293040"/>
    <w:rsid w:val="0029319D"/>
    <w:rsid w:val="0029467E"/>
    <w:rsid w:val="002948FC"/>
    <w:rsid w:val="002951D1"/>
    <w:rsid w:val="00295F3D"/>
    <w:rsid w:val="002961A2"/>
    <w:rsid w:val="00296CB8"/>
    <w:rsid w:val="00297145"/>
    <w:rsid w:val="002A20D8"/>
    <w:rsid w:val="002A3F30"/>
    <w:rsid w:val="002A50A1"/>
    <w:rsid w:val="002A5385"/>
    <w:rsid w:val="002A65C7"/>
    <w:rsid w:val="002A754B"/>
    <w:rsid w:val="002A7F67"/>
    <w:rsid w:val="002B1A5D"/>
    <w:rsid w:val="002B2110"/>
    <w:rsid w:val="002C012D"/>
    <w:rsid w:val="002C24A2"/>
    <w:rsid w:val="002C3F07"/>
    <w:rsid w:val="002C50E5"/>
    <w:rsid w:val="002D4B98"/>
    <w:rsid w:val="002D4C32"/>
    <w:rsid w:val="002D5BA2"/>
    <w:rsid w:val="002D79B7"/>
    <w:rsid w:val="002E0F33"/>
    <w:rsid w:val="002E289C"/>
    <w:rsid w:val="002E4B29"/>
    <w:rsid w:val="002E4DF8"/>
    <w:rsid w:val="002E53D4"/>
    <w:rsid w:val="002E7BFC"/>
    <w:rsid w:val="002F08A4"/>
    <w:rsid w:val="002F0CD0"/>
    <w:rsid w:val="002F3584"/>
    <w:rsid w:val="002F35DC"/>
    <w:rsid w:val="002F407D"/>
    <w:rsid w:val="002F434B"/>
    <w:rsid w:val="002F73D3"/>
    <w:rsid w:val="00301E2E"/>
    <w:rsid w:val="00302220"/>
    <w:rsid w:val="00302C43"/>
    <w:rsid w:val="00304E45"/>
    <w:rsid w:val="00305FB8"/>
    <w:rsid w:val="00306F32"/>
    <w:rsid w:val="00312910"/>
    <w:rsid w:val="0031405F"/>
    <w:rsid w:val="00314D08"/>
    <w:rsid w:val="00314FA4"/>
    <w:rsid w:val="00316940"/>
    <w:rsid w:val="00317607"/>
    <w:rsid w:val="00320F3E"/>
    <w:rsid w:val="00321E34"/>
    <w:rsid w:val="00321E61"/>
    <w:rsid w:val="00322E20"/>
    <w:rsid w:val="0032563A"/>
    <w:rsid w:val="003260C6"/>
    <w:rsid w:val="003305BF"/>
    <w:rsid w:val="003325EB"/>
    <w:rsid w:val="003346B1"/>
    <w:rsid w:val="00335171"/>
    <w:rsid w:val="00335E12"/>
    <w:rsid w:val="00336151"/>
    <w:rsid w:val="003369E1"/>
    <w:rsid w:val="0033788B"/>
    <w:rsid w:val="00340421"/>
    <w:rsid w:val="00340EC9"/>
    <w:rsid w:val="00342583"/>
    <w:rsid w:val="00342C7E"/>
    <w:rsid w:val="0034337F"/>
    <w:rsid w:val="003436C9"/>
    <w:rsid w:val="00343AE1"/>
    <w:rsid w:val="00344CEA"/>
    <w:rsid w:val="00345179"/>
    <w:rsid w:val="00345D8A"/>
    <w:rsid w:val="00346351"/>
    <w:rsid w:val="00346B2E"/>
    <w:rsid w:val="00347623"/>
    <w:rsid w:val="00351012"/>
    <w:rsid w:val="003547ED"/>
    <w:rsid w:val="003551F4"/>
    <w:rsid w:val="00356E3A"/>
    <w:rsid w:val="00356FC1"/>
    <w:rsid w:val="00362052"/>
    <w:rsid w:val="003629F2"/>
    <w:rsid w:val="00362E4D"/>
    <w:rsid w:val="003661BB"/>
    <w:rsid w:val="00366EE1"/>
    <w:rsid w:val="00367679"/>
    <w:rsid w:val="00372BEF"/>
    <w:rsid w:val="00372FC7"/>
    <w:rsid w:val="00374B3A"/>
    <w:rsid w:val="00376581"/>
    <w:rsid w:val="003765AE"/>
    <w:rsid w:val="00377080"/>
    <w:rsid w:val="00377884"/>
    <w:rsid w:val="00381190"/>
    <w:rsid w:val="0038161C"/>
    <w:rsid w:val="003822E7"/>
    <w:rsid w:val="00383B9B"/>
    <w:rsid w:val="00383D54"/>
    <w:rsid w:val="00383E2C"/>
    <w:rsid w:val="00385CD8"/>
    <w:rsid w:val="00385F64"/>
    <w:rsid w:val="00386310"/>
    <w:rsid w:val="0038699D"/>
    <w:rsid w:val="00386B73"/>
    <w:rsid w:val="003871C8"/>
    <w:rsid w:val="0039007E"/>
    <w:rsid w:val="0039451B"/>
    <w:rsid w:val="0039660D"/>
    <w:rsid w:val="003A0909"/>
    <w:rsid w:val="003A0F13"/>
    <w:rsid w:val="003A3B05"/>
    <w:rsid w:val="003A4247"/>
    <w:rsid w:val="003A476D"/>
    <w:rsid w:val="003A4FEF"/>
    <w:rsid w:val="003A6301"/>
    <w:rsid w:val="003B040B"/>
    <w:rsid w:val="003B0F89"/>
    <w:rsid w:val="003B4EB7"/>
    <w:rsid w:val="003B66C8"/>
    <w:rsid w:val="003C0043"/>
    <w:rsid w:val="003C24B3"/>
    <w:rsid w:val="003C2A33"/>
    <w:rsid w:val="003C2A3B"/>
    <w:rsid w:val="003C3AAB"/>
    <w:rsid w:val="003C63F4"/>
    <w:rsid w:val="003C6692"/>
    <w:rsid w:val="003C700B"/>
    <w:rsid w:val="003C7FEB"/>
    <w:rsid w:val="003D173E"/>
    <w:rsid w:val="003D4263"/>
    <w:rsid w:val="003D4481"/>
    <w:rsid w:val="003E233F"/>
    <w:rsid w:val="003E38B4"/>
    <w:rsid w:val="003E6AC6"/>
    <w:rsid w:val="003E7D0A"/>
    <w:rsid w:val="003F1CB0"/>
    <w:rsid w:val="003F266D"/>
    <w:rsid w:val="003F47D0"/>
    <w:rsid w:val="003F4AA4"/>
    <w:rsid w:val="003F536C"/>
    <w:rsid w:val="003F57E1"/>
    <w:rsid w:val="003F70FE"/>
    <w:rsid w:val="003F7137"/>
    <w:rsid w:val="004014B2"/>
    <w:rsid w:val="00403361"/>
    <w:rsid w:val="00403664"/>
    <w:rsid w:val="00403CFF"/>
    <w:rsid w:val="00404031"/>
    <w:rsid w:val="00407DC1"/>
    <w:rsid w:val="00411D27"/>
    <w:rsid w:val="004128FC"/>
    <w:rsid w:val="0041625E"/>
    <w:rsid w:val="00416C17"/>
    <w:rsid w:val="004170EB"/>
    <w:rsid w:val="00417683"/>
    <w:rsid w:val="00417852"/>
    <w:rsid w:val="00417C42"/>
    <w:rsid w:val="004202BE"/>
    <w:rsid w:val="00422111"/>
    <w:rsid w:val="0042286D"/>
    <w:rsid w:val="004228D4"/>
    <w:rsid w:val="004249A9"/>
    <w:rsid w:val="00425589"/>
    <w:rsid w:val="0042631E"/>
    <w:rsid w:val="00426F2C"/>
    <w:rsid w:val="00427409"/>
    <w:rsid w:val="004315DE"/>
    <w:rsid w:val="0043229D"/>
    <w:rsid w:val="00432672"/>
    <w:rsid w:val="004327DD"/>
    <w:rsid w:val="004334DD"/>
    <w:rsid w:val="00433EEE"/>
    <w:rsid w:val="004345AD"/>
    <w:rsid w:val="00434AF6"/>
    <w:rsid w:val="00436EB5"/>
    <w:rsid w:val="00437D60"/>
    <w:rsid w:val="00441EEE"/>
    <w:rsid w:val="00442315"/>
    <w:rsid w:val="0044624A"/>
    <w:rsid w:val="00452BB2"/>
    <w:rsid w:val="00455B7A"/>
    <w:rsid w:val="004571CB"/>
    <w:rsid w:val="0046045B"/>
    <w:rsid w:val="004610BC"/>
    <w:rsid w:val="00464256"/>
    <w:rsid w:val="00465CCB"/>
    <w:rsid w:val="00470A46"/>
    <w:rsid w:val="00471B78"/>
    <w:rsid w:val="00471CE6"/>
    <w:rsid w:val="00472567"/>
    <w:rsid w:val="0047326D"/>
    <w:rsid w:val="00473D3A"/>
    <w:rsid w:val="00476E37"/>
    <w:rsid w:val="00481512"/>
    <w:rsid w:val="00482EAD"/>
    <w:rsid w:val="00483373"/>
    <w:rsid w:val="004837BF"/>
    <w:rsid w:val="00485364"/>
    <w:rsid w:val="00485E51"/>
    <w:rsid w:val="00486D2F"/>
    <w:rsid w:val="00487F45"/>
    <w:rsid w:val="00490BC2"/>
    <w:rsid w:val="00491F3F"/>
    <w:rsid w:val="00492972"/>
    <w:rsid w:val="00494C91"/>
    <w:rsid w:val="00495866"/>
    <w:rsid w:val="004A1014"/>
    <w:rsid w:val="004A151F"/>
    <w:rsid w:val="004A1616"/>
    <w:rsid w:val="004A1BF2"/>
    <w:rsid w:val="004A6624"/>
    <w:rsid w:val="004A72CA"/>
    <w:rsid w:val="004A7B1F"/>
    <w:rsid w:val="004B14E7"/>
    <w:rsid w:val="004B23F2"/>
    <w:rsid w:val="004B2451"/>
    <w:rsid w:val="004B280B"/>
    <w:rsid w:val="004B5230"/>
    <w:rsid w:val="004B6762"/>
    <w:rsid w:val="004B7AB2"/>
    <w:rsid w:val="004B7DCE"/>
    <w:rsid w:val="004C1A52"/>
    <w:rsid w:val="004C3CED"/>
    <w:rsid w:val="004C3F56"/>
    <w:rsid w:val="004C6110"/>
    <w:rsid w:val="004C72AC"/>
    <w:rsid w:val="004D2003"/>
    <w:rsid w:val="004D4337"/>
    <w:rsid w:val="004D65C5"/>
    <w:rsid w:val="004D6C57"/>
    <w:rsid w:val="004D7FD3"/>
    <w:rsid w:val="004E01AA"/>
    <w:rsid w:val="004E02AA"/>
    <w:rsid w:val="004E0639"/>
    <w:rsid w:val="004E0E70"/>
    <w:rsid w:val="004E41DF"/>
    <w:rsid w:val="004E493B"/>
    <w:rsid w:val="004E54E7"/>
    <w:rsid w:val="004E5EF0"/>
    <w:rsid w:val="004F060C"/>
    <w:rsid w:val="004F087E"/>
    <w:rsid w:val="004F3BDB"/>
    <w:rsid w:val="004F4670"/>
    <w:rsid w:val="004F49C5"/>
    <w:rsid w:val="004F5D40"/>
    <w:rsid w:val="004F7E66"/>
    <w:rsid w:val="0050016C"/>
    <w:rsid w:val="005004C4"/>
    <w:rsid w:val="00505B15"/>
    <w:rsid w:val="00506261"/>
    <w:rsid w:val="005137A7"/>
    <w:rsid w:val="00513F19"/>
    <w:rsid w:val="00514956"/>
    <w:rsid w:val="00515E38"/>
    <w:rsid w:val="00523C9B"/>
    <w:rsid w:val="00525079"/>
    <w:rsid w:val="00525FC6"/>
    <w:rsid w:val="005317CB"/>
    <w:rsid w:val="00531946"/>
    <w:rsid w:val="00532857"/>
    <w:rsid w:val="005405C3"/>
    <w:rsid w:val="00540D31"/>
    <w:rsid w:val="00541A1E"/>
    <w:rsid w:val="00543772"/>
    <w:rsid w:val="00546A09"/>
    <w:rsid w:val="00547542"/>
    <w:rsid w:val="0055060D"/>
    <w:rsid w:val="00552ADF"/>
    <w:rsid w:val="00552D6D"/>
    <w:rsid w:val="00553602"/>
    <w:rsid w:val="00553B3C"/>
    <w:rsid w:val="00555E5D"/>
    <w:rsid w:val="005620B5"/>
    <w:rsid w:val="00562734"/>
    <w:rsid w:val="00563C87"/>
    <w:rsid w:val="005662AC"/>
    <w:rsid w:val="00571D9F"/>
    <w:rsid w:val="00573DF5"/>
    <w:rsid w:val="0057533A"/>
    <w:rsid w:val="005754AB"/>
    <w:rsid w:val="00582545"/>
    <w:rsid w:val="00582CA4"/>
    <w:rsid w:val="005830F3"/>
    <w:rsid w:val="005834BA"/>
    <w:rsid w:val="00584ECD"/>
    <w:rsid w:val="00590E1E"/>
    <w:rsid w:val="00591961"/>
    <w:rsid w:val="00592A26"/>
    <w:rsid w:val="00597FA9"/>
    <w:rsid w:val="005A114A"/>
    <w:rsid w:val="005A194D"/>
    <w:rsid w:val="005A2EF1"/>
    <w:rsid w:val="005A31D2"/>
    <w:rsid w:val="005A5D2C"/>
    <w:rsid w:val="005B0E21"/>
    <w:rsid w:val="005B380D"/>
    <w:rsid w:val="005C07B9"/>
    <w:rsid w:val="005C1C20"/>
    <w:rsid w:val="005C1FAF"/>
    <w:rsid w:val="005C3B86"/>
    <w:rsid w:val="005C40FE"/>
    <w:rsid w:val="005C4C48"/>
    <w:rsid w:val="005C6E7F"/>
    <w:rsid w:val="005C71B0"/>
    <w:rsid w:val="005C79FE"/>
    <w:rsid w:val="005D04DC"/>
    <w:rsid w:val="005D23A7"/>
    <w:rsid w:val="005D462E"/>
    <w:rsid w:val="005D4AF3"/>
    <w:rsid w:val="005D5EE5"/>
    <w:rsid w:val="005D65C6"/>
    <w:rsid w:val="005D771C"/>
    <w:rsid w:val="005E14DD"/>
    <w:rsid w:val="005E2F4E"/>
    <w:rsid w:val="005E38D3"/>
    <w:rsid w:val="005F07DF"/>
    <w:rsid w:val="005F1317"/>
    <w:rsid w:val="005F23E7"/>
    <w:rsid w:val="005F52E9"/>
    <w:rsid w:val="006006A9"/>
    <w:rsid w:val="0060108F"/>
    <w:rsid w:val="00601498"/>
    <w:rsid w:val="006017BD"/>
    <w:rsid w:val="00603C84"/>
    <w:rsid w:val="00604138"/>
    <w:rsid w:val="00604822"/>
    <w:rsid w:val="00605C86"/>
    <w:rsid w:val="0060727B"/>
    <w:rsid w:val="00607949"/>
    <w:rsid w:val="00610434"/>
    <w:rsid w:val="00610632"/>
    <w:rsid w:val="006110D5"/>
    <w:rsid w:val="00612DC2"/>
    <w:rsid w:val="00613F7A"/>
    <w:rsid w:val="00620C97"/>
    <w:rsid w:val="00622CAD"/>
    <w:rsid w:val="0062300F"/>
    <w:rsid w:val="00624C14"/>
    <w:rsid w:val="00625F51"/>
    <w:rsid w:val="00627AEF"/>
    <w:rsid w:val="00630F51"/>
    <w:rsid w:val="00632B38"/>
    <w:rsid w:val="00636C4C"/>
    <w:rsid w:val="00637AA2"/>
    <w:rsid w:val="0064200F"/>
    <w:rsid w:val="00643145"/>
    <w:rsid w:val="00643CD6"/>
    <w:rsid w:val="00645A37"/>
    <w:rsid w:val="00646C9C"/>
    <w:rsid w:val="00647D31"/>
    <w:rsid w:val="00652954"/>
    <w:rsid w:val="006563DF"/>
    <w:rsid w:val="00656AD0"/>
    <w:rsid w:val="0065762C"/>
    <w:rsid w:val="006607FF"/>
    <w:rsid w:val="00663482"/>
    <w:rsid w:val="00665027"/>
    <w:rsid w:val="006656F6"/>
    <w:rsid w:val="00666E4C"/>
    <w:rsid w:val="0067204A"/>
    <w:rsid w:val="006727C1"/>
    <w:rsid w:val="00672A76"/>
    <w:rsid w:val="006737A0"/>
    <w:rsid w:val="00675C82"/>
    <w:rsid w:val="00676991"/>
    <w:rsid w:val="00676C08"/>
    <w:rsid w:val="00680FA2"/>
    <w:rsid w:val="00681A7E"/>
    <w:rsid w:val="006845A1"/>
    <w:rsid w:val="00684D98"/>
    <w:rsid w:val="00685202"/>
    <w:rsid w:val="00685903"/>
    <w:rsid w:val="00691171"/>
    <w:rsid w:val="00693A2E"/>
    <w:rsid w:val="00694FAD"/>
    <w:rsid w:val="0069725D"/>
    <w:rsid w:val="006A4C31"/>
    <w:rsid w:val="006A4D85"/>
    <w:rsid w:val="006A7208"/>
    <w:rsid w:val="006B27A4"/>
    <w:rsid w:val="006B2AD4"/>
    <w:rsid w:val="006B2CCC"/>
    <w:rsid w:val="006B510A"/>
    <w:rsid w:val="006B74AB"/>
    <w:rsid w:val="006C04E0"/>
    <w:rsid w:val="006C1943"/>
    <w:rsid w:val="006C28D8"/>
    <w:rsid w:val="006C3841"/>
    <w:rsid w:val="006C5205"/>
    <w:rsid w:val="006C5D2F"/>
    <w:rsid w:val="006C61EC"/>
    <w:rsid w:val="006D04DC"/>
    <w:rsid w:val="006D092F"/>
    <w:rsid w:val="006D718D"/>
    <w:rsid w:val="006E03E2"/>
    <w:rsid w:val="006E2785"/>
    <w:rsid w:val="006E37B7"/>
    <w:rsid w:val="006E3A40"/>
    <w:rsid w:val="006E5CBA"/>
    <w:rsid w:val="006E73B3"/>
    <w:rsid w:val="006F011E"/>
    <w:rsid w:val="006F18D0"/>
    <w:rsid w:val="006F29D4"/>
    <w:rsid w:val="006F3DB6"/>
    <w:rsid w:val="006F61A9"/>
    <w:rsid w:val="00702F3C"/>
    <w:rsid w:val="00704252"/>
    <w:rsid w:val="00704BF0"/>
    <w:rsid w:val="00707DBC"/>
    <w:rsid w:val="00710500"/>
    <w:rsid w:val="00714B4D"/>
    <w:rsid w:val="007150E9"/>
    <w:rsid w:val="007153A5"/>
    <w:rsid w:val="00715EFD"/>
    <w:rsid w:val="00717BD0"/>
    <w:rsid w:val="00720606"/>
    <w:rsid w:val="00724C56"/>
    <w:rsid w:val="00726337"/>
    <w:rsid w:val="00726753"/>
    <w:rsid w:val="00734D0E"/>
    <w:rsid w:val="00740E82"/>
    <w:rsid w:val="0074404F"/>
    <w:rsid w:val="007476EB"/>
    <w:rsid w:val="0074774A"/>
    <w:rsid w:val="0075000E"/>
    <w:rsid w:val="007523C2"/>
    <w:rsid w:val="00752A79"/>
    <w:rsid w:val="00753B33"/>
    <w:rsid w:val="007548B0"/>
    <w:rsid w:val="0076070D"/>
    <w:rsid w:val="00760B95"/>
    <w:rsid w:val="00765965"/>
    <w:rsid w:val="00766888"/>
    <w:rsid w:val="007709EA"/>
    <w:rsid w:val="00770B32"/>
    <w:rsid w:val="00771798"/>
    <w:rsid w:val="00771A0A"/>
    <w:rsid w:val="00774364"/>
    <w:rsid w:val="00774610"/>
    <w:rsid w:val="00776400"/>
    <w:rsid w:val="00776547"/>
    <w:rsid w:val="00776E3D"/>
    <w:rsid w:val="007771D3"/>
    <w:rsid w:val="007771D4"/>
    <w:rsid w:val="0077726E"/>
    <w:rsid w:val="00777700"/>
    <w:rsid w:val="00777CBC"/>
    <w:rsid w:val="00784B1A"/>
    <w:rsid w:val="0078551D"/>
    <w:rsid w:val="007856A7"/>
    <w:rsid w:val="007874C5"/>
    <w:rsid w:val="00790622"/>
    <w:rsid w:val="00791B5B"/>
    <w:rsid w:val="007922FD"/>
    <w:rsid w:val="0079248E"/>
    <w:rsid w:val="00793364"/>
    <w:rsid w:val="00793855"/>
    <w:rsid w:val="00794926"/>
    <w:rsid w:val="007959EF"/>
    <w:rsid w:val="00796F9D"/>
    <w:rsid w:val="00797C30"/>
    <w:rsid w:val="00797D01"/>
    <w:rsid w:val="007A0912"/>
    <w:rsid w:val="007A0CF8"/>
    <w:rsid w:val="007A2CBE"/>
    <w:rsid w:val="007A2DD2"/>
    <w:rsid w:val="007A566C"/>
    <w:rsid w:val="007A57F1"/>
    <w:rsid w:val="007A633A"/>
    <w:rsid w:val="007A6DB6"/>
    <w:rsid w:val="007A7A57"/>
    <w:rsid w:val="007A7D2D"/>
    <w:rsid w:val="007A7EB9"/>
    <w:rsid w:val="007B15F3"/>
    <w:rsid w:val="007B1B47"/>
    <w:rsid w:val="007B27B2"/>
    <w:rsid w:val="007B2E4C"/>
    <w:rsid w:val="007B68EF"/>
    <w:rsid w:val="007B7FFA"/>
    <w:rsid w:val="007C0E71"/>
    <w:rsid w:val="007C1955"/>
    <w:rsid w:val="007C1CD8"/>
    <w:rsid w:val="007C2404"/>
    <w:rsid w:val="007C3DCC"/>
    <w:rsid w:val="007C3E9A"/>
    <w:rsid w:val="007C7D4D"/>
    <w:rsid w:val="007D0B7B"/>
    <w:rsid w:val="007D7A97"/>
    <w:rsid w:val="007E0032"/>
    <w:rsid w:val="007E0510"/>
    <w:rsid w:val="007E3F6A"/>
    <w:rsid w:val="007F0281"/>
    <w:rsid w:val="007F110E"/>
    <w:rsid w:val="007F22FE"/>
    <w:rsid w:val="007F3E8A"/>
    <w:rsid w:val="00800EC4"/>
    <w:rsid w:val="00801318"/>
    <w:rsid w:val="00804767"/>
    <w:rsid w:val="00804EF2"/>
    <w:rsid w:val="008079BB"/>
    <w:rsid w:val="00810049"/>
    <w:rsid w:val="008116A6"/>
    <w:rsid w:val="00811C5C"/>
    <w:rsid w:val="00811F82"/>
    <w:rsid w:val="008126E2"/>
    <w:rsid w:val="00812995"/>
    <w:rsid w:val="0081537D"/>
    <w:rsid w:val="0081544F"/>
    <w:rsid w:val="0081581C"/>
    <w:rsid w:val="0081587B"/>
    <w:rsid w:val="008160A8"/>
    <w:rsid w:val="0082189F"/>
    <w:rsid w:val="00823295"/>
    <w:rsid w:val="008233E2"/>
    <w:rsid w:val="00825AB5"/>
    <w:rsid w:val="008267B5"/>
    <w:rsid w:val="00826B86"/>
    <w:rsid w:val="0083300D"/>
    <w:rsid w:val="008340F4"/>
    <w:rsid w:val="00836B80"/>
    <w:rsid w:val="00836C6C"/>
    <w:rsid w:val="00837054"/>
    <w:rsid w:val="00841FC5"/>
    <w:rsid w:val="00842878"/>
    <w:rsid w:val="0084320C"/>
    <w:rsid w:val="0084439A"/>
    <w:rsid w:val="008464CD"/>
    <w:rsid w:val="00847435"/>
    <w:rsid w:val="00852730"/>
    <w:rsid w:val="00857D34"/>
    <w:rsid w:val="00861FE8"/>
    <w:rsid w:val="00866178"/>
    <w:rsid w:val="008673E7"/>
    <w:rsid w:val="00870261"/>
    <w:rsid w:val="00870B87"/>
    <w:rsid w:val="0087131E"/>
    <w:rsid w:val="00872889"/>
    <w:rsid w:val="00872F00"/>
    <w:rsid w:val="00881477"/>
    <w:rsid w:val="00881869"/>
    <w:rsid w:val="00881F14"/>
    <w:rsid w:val="00883609"/>
    <w:rsid w:val="00883CBC"/>
    <w:rsid w:val="00883CE8"/>
    <w:rsid w:val="008844A0"/>
    <w:rsid w:val="0088615F"/>
    <w:rsid w:val="00887687"/>
    <w:rsid w:val="0089168D"/>
    <w:rsid w:val="008926A1"/>
    <w:rsid w:val="00893ADA"/>
    <w:rsid w:val="00896867"/>
    <w:rsid w:val="008970E5"/>
    <w:rsid w:val="00897CE1"/>
    <w:rsid w:val="008A517E"/>
    <w:rsid w:val="008A5F5C"/>
    <w:rsid w:val="008A6452"/>
    <w:rsid w:val="008B1C00"/>
    <w:rsid w:val="008B660A"/>
    <w:rsid w:val="008B6BB2"/>
    <w:rsid w:val="008B72F4"/>
    <w:rsid w:val="008B7E3D"/>
    <w:rsid w:val="008C1A2D"/>
    <w:rsid w:val="008C1DFA"/>
    <w:rsid w:val="008C3A63"/>
    <w:rsid w:val="008C4E54"/>
    <w:rsid w:val="008C5F60"/>
    <w:rsid w:val="008D16DA"/>
    <w:rsid w:val="008D2BBE"/>
    <w:rsid w:val="008D43A5"/>
    <w:rsid w:val="008D4C34"/>
    <w:rsid w:val="008D504E"/>
    <w:rsid w:val="008D6230"/>
    <w:rsid w:val="008E046E"/>
    <w:rsid w:val="008E2326"/>
    <w:rsid w:val="008E3996"/>
    <w:rsid w:val="008E4137"/>
    <w:rsid w:val="008E67F6"/>
    <w:rsid w:val="008E71D9"/>
    <w:rsid w:val="008E77F8"/>
    <w:rsid w:val="008F1186"/>
    <w:rsid w:val="008F1687"/>
    <w:rsid w:val="008F4F51"/>
    <w:rsid w:val="008F53F7"/>
    <w:rsid w:val="008F5BB7"/>
    <w:rsid w:val="008F7976"/>
    <w:rsid w:val="00901950"/>
    <w:rsid w:val="00901B3F"/>
    <w:rsid w:val="009028C4"/>
    <w:rsid w:val="00903503"/>
    <w:rsid w:val="0090479A"/>
    <w:rsid w:val="00906685"/>
    <w:rsid w:val="0090696B"/>
    <w:rsid w:val="009076A9"/>
    <w:rsid w:val="00910D1F"/>
    <w:rsid w:val="009114B7"/>
    <w:rsid w:val="0091227D"/>
    <w:rsid w:val="00912774"/>
    <w:rsid w:val="009130A7"/>
    <w:rsid w:val="0091352C"/>
    <w:rsid w:val="00920255"/>
    <w:rsid w:val="00921F44"/>
    <w:rsid w:val="0092332F"/>
    <w:rsid w:val="0092348F"/>
    <w:rsid w:val="0092410E"/>
    <w:rsid w:val="00930351"/>
    <w:rsid w:val="00930473"/>
    <w:rsid w:val="009320F1"/>
    <w:rsid w:val="0093268F"/>
    <w:rsid w:val="009329C7"/>
    <w:rsid w:val="00933041"/>
    <w:rsid w:val="009355DF"/>
    <w:rsid w:val="00941321"/>
    <w:rsid w:val="009441D2"/>
    <w:rsid w:val="009501CA"/>
    <w:rsid w:val="0095132F"/>
    <w:rsid w:val="009532F3"/>
    <w:rsid w:val="00953A29"/>
    <w:rsid w:val="009544DE"/>
    <w:rsid w:val="00954C0B"/>
    <w:rsid w:val="00955385"/>
    <w:rsid w:val="00956230"/>
    <w:rsid w:val="00956916"/>
    <w:rsid w:val="00957177"/>
    <w:rsid w:val="009607D7"/>
    <w:rsid w:val="00960A5A"/>
    <w:rsid w:val="00961D24"/>
    <w:rsid w:val="009635D5"/>
    <w:rsid w:val="0096545D"/>
    <w:rsid w:val="0096633B"/>
    <w:rsid w:val="0097005F"/>
    <w:rsid w:val="009714F7"/>
    <w:rsid w:val="00972C39"/>
    <w:rsid w:val="009737B4"/>
    <w:rsid w:val="00973E6B"/>
    <w:rsid w:val="00974106"/>
    <w:rsid w:val="009743AD"/>
    <w:rsid w:val="00975164"/>
    <w:rsid w:val="00975912"/>
    <w:rsid w:val="009768F3"/>
    <w:rsid w:val="0097701E"/>
    <w:rsid w:val="009773C9"/>
    <w:rsid w:val="00980515"/>
    <w:rsid w:val="0098059B"/>
    <w:rsid w:val="00980C95"/>
    <w:rsid w:val="0098194C"/>
    <w:rsid w:val="009828EA"/>
    <w:rsid w:val="0098307E"/>
    <w:rsid w:val="00983177"/>
    <w:rsid w:val="00983C45"/>
    <w:rsid w:val="009865D8"/>
    <w:rsid w:val="009906BF"/>
    <w:rsid w:val="00990862"/>
    <w:rsid w:val="00991E95"/>
    <w:rsid w:val="009922CF"/>
    <w:rsid w:val="00993D27"/>
    <w:rsid w:val="009A04FD"/>
    <w:rsid w:val="009A08CA"/>
    <w:rsid w:val="009A1286"/>
    <w:rsid w:val="009A2032"/>
    <w:rsid w:val="009A4471"/>
    <w:rsid w:val="009B3CFE"/>
    <w:rsid w:val="009B4603"/>
    <w:rsid w:val="009B4C64"/>
    <w:rsid w:val="009B4F57"/>
    <w:rsid w:val="009B5717"/>
    <w:rsid w:val="009B6558"/>
    <w:rsid w:val="009C0055"/>
    <w:rsid w:val="009C0965"/>
    <w:rsid w:val="009C0FB5"/>
    <w:rsid w:val="009C1E69"/>
    <w:rsid w:val="009C276B"/>
    <w:rsid w:val="009C2CF6"/>
    <w:rsid w:val="009C32A7"/>
    <w:rsid w:val="009C33F0"/>
    <w:rsid w:val="009C3578"/>
    <w:rsid w:val="009C47AE"/>
    <w:rsid w:val="009D13EB"/>
    <w:rsid w:val="009D2676"/>
    <w:rsid w:val="009D3300"/>
    <w:rsid w:val="009E2C52"/>
    <w:rsid w:val="009E3F80"/>
    <w:rsid w:val="009E4597"/>
    <w:rsid w:val="009E681B"/>
    <w:rsid w:val="009F292D"/>
    <w:rsid w:val="009F3ADB"/>
    <w:rsid w:val="009F6C3A"/>
    <w:rsid w:val="009F6C3F"/>
    <w:rsid w:val="009F7C34"/>
    <w:rsid w:val="00A00D32"/>
    <w:rsid w:val="00A01AB9"/>
    <w:rsid w:val="00A02DAF"/>
    <w:rsid w:val="00A06260"/>
    <w:rsid w:val="00A06683"/>
    <w:rsid w:val="00A06727"/>
    <w:rsid w:val="00A069EA"/>
    <w:rsid w:val="00A07BF4"/>
    <w:rsid w:val="00A10D21"/>
    <w:rsid w:val="00A12FDC"/>
    <w:rsid w:val="00A15405"/>
    <w:rsid w:val="00A16C05"/>
    <w:rsid w:val="00A16C85"/>
    <w:rsid w:val="00A17103"/>
    <w:rsid w:val="00A1785B"/>
    <w:rsid w:val="00A247A2"/>
    <w:rsid w:val="00A25D51"/>
    <w:rsid w:val="00A279E2"/>
    <w:rsid w:val="00A30998"/>
    <w:rsid w:val="00A32415"/>
    <w:rsid w:val="00A33D01"/>
    <w:rsid w:val="00A35118"/>
    <w:rsid w:val="00A35331"/>
    <w:rsid w:val="00A3579F"/>
    <w:rsid w:val="00A35E7E"/>
    <w:rsid w:val="00A36052"/>
    <w:rsid w:val="00A374C5"/>
    <w:rsid w:val="00A4349F"/>
    <w:rsid w:val="00A46345"/>
    <w:rsid w:val="00A465C5"/>
    <w:rsid w:val="00A46B18"/>
    <w:rsid w:val="00A51B11"/>
    <w:rsid w:val="00A52307"/>
    <w:rsid w:val="00A5624F"/>
    <w:rsid w:val="00A601D8"/>
    <w:rsid w:val="00A62448"/>
    <w:rsid w:val="00A62BD0"/>
    <w:rsid w:val="00A63BAD"/>
    <w:rsid w:val="00A67232"/>
    <w:rsid w:val="00A6781B"/>
    <w:rsid w:val="00A71479"/>
    <w:rsid w:val="00A72ADA"/>
    <w:rsid w:val="00A736AD"/>
    <w:rsid w:val="00A75AB9"/>
    <w:rsid w:val="00A75F5F"/>
    <w:rsid w:val="00A76EFF"/>
    <w:rsid w:val="00A7713C"/>
    <w:rsid w:val="00A7793E"/>
    <w:rsid w:val="00A8348A"/>
    <w:rsid w:val="00A84AFA"/>
    <w:rsid w:val="00A86570"/>
    <w:rsid w:val="00A90676"/>
    <w:rsid w:val="00A9081B"/>
    <w:rsid w:val="00A9109D"/>
    <w:rsid w:val="00A92A46"/>
    <w:rsid w:val="00A93FB9"/>
    <w:rsid w:val="00A95723"/>
    <w:rsid w:val="00A96A2C"/>
    <w:rsid w:val="00AA181C"/>
    <w:rsid w:val="00AA20A2"/>
    <w:rsid w:val="00AA2B53"/>
    <w:rsid w:val="00AA39B1"/>
    <w:rsid w:val="00AA4296"/>
    <w:rsid w:val="00AA47E4"/>
    <w:rsid w:val="00AA6321"/>
    <w:rsid w:val="00AA676A"/>
    <w:rsid w:val="00AA6A84"/>
    <w:rsid w:val="00AB19CA"/>
    <w:rsid w:val="00AB3868"/>
    <w:rsid w:val="00AB48BD"/>
    <w:rsid w:val="00AB7379"/>
    <w:rsid w:val="00AC1346"/>
    <w:rsid w:val="00AC2506"/>
    <w:rsid w:val="00AC28CF"/>
    <w:rsid w:val="00AC33E7"/>
    <w:rsid w:val="00AC388A"/>
    <w:rsid w:val="00AC63B1"/>
    <w:rsid w:val="00AD33FC"/>
    <w:rsid w:val="00AD574D"/>
    <w:rsid w:val="00AD657B"/>
    <w:rsid w:val="00AD74CF"/>
    <w:rsid w:val="00AE1791"/>
    <w:rsid w:val="00AE523B"/>
    <w:rsid w:val="00AE5744"/>
    <w:rsid w:val="00AE70DF"/>
    <w:rsid w:val="00AF3F6F"/>
    <w:rsid w:val="00AF3FAA"/>
    <w:rsid w:val="00AF4EE3"/>
    <w:rsid w:val="00AF63FF"/>
    <w:rsid w:val="00AF7F5D"/>
    <w:rsid w:val="00B004B5"/>
    <w:rsid w:val="00B020B8"/>
    <w:rsid w:val="00B03526"/>
    <w:rsid w:val="00B041D2"/>
    <w:rsid w:val="00B059B6"/>
    <w:rsid w:val="00B06645"/>
    <w:rsid w:val="00B0730B"/>
    <w:rsid w:val="00B0743D"/>
    <w:rsid w:val="00B10A0F"/>
    <w:rsid w:val="00B11856"/>
    <w:rsid w:val="00B123ED"/>
    <w:rsid w:val="00B13822"/>
    <w:rsid w:val="00B14BB8"/>
    <w:rsid w:val="00B15B28"/>
    <w:rsid w:val="00B16275"/>
    <w:rsid w:val="00B1737A"/>
    <w:rsid w:val="00B225F0"/>
    <w:rsid w:val="00B231B7"/>
    <w:rsid w:val="00B244EC"/>
    <w:rsid w:val="00B260F1"/>
    <w:rsid w:val="00B27164"/>
    <w:rsid w:val="00B27755"/>
    <w:rsid w:val="00B32B28"/>
    <w:rsid w:val="00B3641D"/>
    <w:rsid w:val="00B37062"/>
    <w:rsid w:val="00B420B2"/>
    <w:rsid w:val="00B42F39"/>
    <w:rsid w:val="00B43139"/>
    <w:rsid w:val="00B451C1"/>
    <w:rsid w:val="00B458C0"/>
    <w:rsid w:val="00B46D7D"/>
    <w:rsid w:val="00B46F61"/>
    <w:rsid w:val="00B50072"/>
    <w:rsid w:val="00B506EB"/>
    <w:rsid w:val="00B50A4C"/>
    <w:rsid w:val="00B531F0"/>
    <w:rsid w:val="00B57B40"/>
    <w:rsid w:val="00B61E27"/>
    <w:rsid w:val="00B64C0B"/>
    <w:rsid w:val="00B665FE"/>
    <w:rsid w:val="00B723AF"/>
    <w:rsid w:val="00B7384A"/>
    <w:rsid w:val="00B74430"/>
    <w:rsid w:val="00B74B0D"/>
    <w:rsid w:val="00B7675D"/>
    <w:rsid w:val="00B7785B"/>
    <w:rsid w:val="00B80617"/>
    <w:rsid w:val="00B80EEF"/>
    <w:rsid w:val="00B81C97"/>
    <w:rsid w:val="00B82E15"/>
    <w:rsid w:val="00B84FF5"/>
    <w:rsid w:val="00B85298"/>
    <w:rsid w:val="00B8557C"/>
    <w:rsid w:val="00B86631"/>
    <w:rsid w:val="00B875E3"/>
    <w:rsid w:val="00B914F4"/>
    <w:rsid w:val="00B93C39"/>
    <w:rsid w:val="00B94444"/>
    <w:rsid w:val="00B947C4"/>
    <w:rsid w:val="00B957C4"/>
    <w:rsid w:val="00B9616B"/>
    <w:rsid w:val="00BA0FC3"/>
    <w:rsid w:val="00BA4A54"/>
    <w:rsid w:val="00BA70CE"/>
    <w:rsid w:val="00BA7FDA"/>
    <w:rsid w:val="00BB0484"/>
    <w:rsid w:val="00BB1074"/>
    <w:rsid w:val="00BB3CFF"/>
    <w:rsid w:val="00BB517B"/>
    <w:rsid w:val="00BB55F6"/>
    <w:rsid w:val="00BB5DAE"/>
    <w:rsid w:val="00BC1823"/>
    <w:rsid w:val="00BC287D"/>
    <w:rsid w:val="00BC4019"/>
    <w:rsid w:val="00BC440C"/>
    <w:rsid w:val="00BC50B4"/>
    <w:rsid w:val="00BC523E"/>
    <w:rsid w:val="00BC675A"/>
    <w:rsid w:val="00BD07A9"/>
    <w:rsid w:val="00BD0943"/>
    <w:rsid w:val="00BD0BA9"/>
    <w:rsid w:val="00BD2280"/>
    <w:rsid w:val="00BD37E5"/>
    <w:rsid w:val="00BD479C"/>
    <w:rsid w:val="00BD48FE"/>
    <w:rsid w:val="00BD4A94"/>
    <w:rsid w:val="00BD54DE"/>
    <w:rsid w:val="00BD59F5"/>
    <w:rsid w:val="00BD62D0"/>
    <w:rsid w:val="00BE02B1"/>
    <w:rsid w:val="00BE1CC4"/>
    <w:rsid w:val="00BE1E32"/>
    <w:rsid w:val="00BE203E"/>
    <w:rsid w:val="00BE2482"/>
    <w:rsid w:val="00BE2ABB"/>
    <w:rsid w:val="00BE35D0"/>
    <w:rsid w:val="00BE45F1"/>
    <w:rsid w:val="00BE5061"/>
    <w:rsid w:val="00BE5B3E"/>
    <w:rsid w:val="00BE633F"/>
    <w:rsid w:val="00BE78A7"/>
    <w:rsid w:val="00BF1F59"/>
    <w:rsid w:val="00BF2E79"/>
    <w:rsid w:val="00BF32E4"/>
    <w:rsid w:val="00BF35E9"/>
    <w:rsid w:val="00BF39DB"/>
    <w:rsid w:val="00BF3BAC"/>
    <w:rsid w:val="00BF531B"/>
    <w:rsid w:val="00BF6C94"/>
    <w:rsid w:val="00BF74F4"/>
    <w:rsid w:val="00BF75AD"/>
    <w:rsid w:val="00C0185B"/>
    <w:rsid w:val="00C0231D"/>
    <w:rsid w:val="00C0261F"/>
    <w:rsid w:val="00C039BF"/>
    <w:rsid w:val="00C0741E"/>
    <w:rsid w:val="00C100A9"/>
    <w:rsid w:val="00C11C7C"/>
    <w:rsid w:val="00C14339"/>
    <w:rsid w:val="00C14633"/>
    <w:rsid w:val="00C178E1"/>
    <w:rsid w:val="00C206D0"/>
    <w:rsid w:val="00C21011"/>
    <w:rsid w:val="00C2262C"/>
    <w:rsid w:val="00C24291"/>
    <w:rsid w:val="00C24B87"/>
    <w:rsid w:val="00C2633F"/>
    <w:rsid w:val="00C272F6"/>
    <w:rsid w:val="00C27489"/>
    <w:rsid w:val="00C31159"/>
    <w:rsid w:val="00C314FD"/>
    <w:rsid w:val="00C31F56"/>
    <w:rsid w:val="00C3225E"/>
    <w:rsid w:val="00C33F12"/>
    <w:rsid w:val="00C3425B"/>
    <w:rsid w:val="00C34568"/>
    <w:rsid w:val="00C4090E"/>
    <w:rsid w:val="00C411DC"/>
    <w:rsid w:val="00C41BEF"/>
    <w:rsid w:val="00C43779"/>
    <w:rsid w:val="00C4395C"/>
    <w:rsid w:val="00C47243"/>
    <w:rsid w:val="00C5081E"/>
    <w:rsid w:val="00C51500"/>
    <w:rsid w:val="00C51529"/>
    <w:rsid w:val="00C55EEE"/>
    <w:rsid w:val="00C60458"/>
    <w:rsid w:val="00C6313F"/>
    <w:rsid w:val="00C63534"/>
    <w:rsid w:val="00C63E00"/>
    <w:rsid w:val="00C6743C"/>
    <w:rsid w:val="00C7014A"/>
    <w:rsid w:val="00C71B29"/>
    <w:rsid w:val="00C726C5"/>
    <w:rsid w:val="00C73749"/>
    <w:rsid w:val="00C76388"/>
    <w:rsid w:val="00C76FA1"/>
    <w:rsid w:val="00C77DDA"/>
    <w:rsid w:val="00C81A67"/>
    <w:rsid w:val="00C828CE"/>
    <w:rsid w:val="00C82C9D"/>
    <w:rsid w:val="00C84EC8"/>
    <w:rsid w:val="00C86A46"/>
    <w:rsid w:val="00C917A0"/>
    <w:rsid w:val="00C937F3"/>
    <w:rsid w:val="00C959D7"/>
    <w:rsid w:val="00C96613"/>
    <w:rsid w:val="00C97F4A"/>
    <w:rsid w:val="00CA1531"/>
    <w:rsid w:val="00CA1DF1"/>
    <w:rsid w:val="00CA253D"/>
    <w:rsid w:val="00CA279B"/>
    <w:rsid w:val="00CA2F36"/>
    <w:rsid w:val="00CA6CCC"/>
    <w:rsid w:val="00CB2F84"/>
    <w:rsid w:val="00CB366F"/>
    <w:rsid w:val="00CB4264"/>
    <w:rsid w:val="00CB4A44"/>
    <w:rsid w:val="00CB540C"/>
    <w:rsid w:val="00CB5AD8"/>
    <w:rsid w:val="00CB70B1"/>
    <w:rsid w:val="00CB77C6"/>
    <w:rsid w:val="00CC01D8"/>
    <w:rsid w:val="00CC045B"/>
    <w:rsid w:val="00CC060F"/>
    <w:rsid w:val="00CC1DAE"/>
    <w:rsid w:val="00CC2E83"/>
    <w:rsid w:val="00CC30EE"/>
    <w:rsid w:val="00CC34EA"/>
    <w:rsid w:val="00CC477C"/>
    <w:rsid w:val="00CC52E3"/>
    <w:rsid w:val="00CC5331"/>
    <w:rsid w:val="00CC5761"/>
    <w:rsid w:val="00CC739F"/>
    <w:rsid w:val="00CD0BA2"/>
    <w:rsid w:val="00CD1E8B"/>
    <w:rsid w:val="00CD250C"/>
    <w:rsid w:val="00CD387F"/>
    <w:rsid w:val="00CD4252"/>
    <w:rsid w:val="00CE047E"/>
    <w:rsid w:val="00CE0DF7"/>
    <w:rsid w:val="00CE1D88"/>
    <w:rsid w:val="00CE20AE"/>
    <w:rsid w:val="00CE2517"/>
    <w:rsid w:val="00CE3F26"/>
    <w:rsid w:val="00CE4C78"/>
    <w:rsid w:val="00CE4F0A"/>
    <w:rsid w:val="00CE55C9"/>
    <w:rsid w:val="00CE5AD2"/>
    <w:rsid w:val="00CE7866"/>
    <w:rsid w:val="00CF206A"/>
    <w:rsid w:val="00CF42EC"/>
    <w:rsid w:val="00CF4E8C"/>
    <w:rsid w:val="00CF64B2"/>
    <w:rsid w:val="00CF651E"/>
    <w:rsid w:val="00CF7A39"/>
    <w:rsid w:val="00D00154"/>
    <w:rsid w:val="00D0129F"/>
    <w:rsid w:val="00D021EA"/>
    <w:rsid w:val="00D04A8D"/>
    <w:rsid w:val="00D06C8A"/>
    <w:rsid w:val="00D10857"/>
    <w:rsid w:val="00D11036"/>
    <w:rsid w:val="00D111F5"/>
    <w:rsid w:val="00D1188F"/>
    <w:rsid w:val="00D13FED"/>
    <w:rsid w:val="00D148D3"/>
    <w:rsid w:val="00D14E48"/>
    <w:rsid w:val="00D14EA6"/>
    <w:rsid w:val="00D15BEE"/>
    <w:rsid w:val="00D17D8A"/>
    <w:rsid w:val="00D206BA"/>
    <w:rsid w:val="00D219CC"/>
    <w:rsid w:val="00D22BD1"/>
    <w:rsid w:val="00D23618"/>
    <w:rsid w:val="00D24C4A"/>
    <w:rsid w:val="00D24D02"/>
    <w:rsid w:val="00D263EC"/>
    <w:rsid w:val="00D26851"/>
    <w:rsid w:val="00D33900"/>
    <w:rsid w:val="00D33C77"/>
    <w:rsid w:val="00D351CA"/>
    <w:rsid w:val="00D3572B"/>
    <w:rsid w:val="00D40C3E"/>
    <w:rsid w:val="00D42EDB"/>
    <w:rsid w:val="00D46A8E"/>
    <w:rsid w:val="00D470ED"/>
    <w:rsid w:val="00D4791C"/>
    <w:rsid w:val="00D50F16"/>
    <w:rsid w:val="00D53428"/>
    <w:rsid w:val="00D54436"/>
    <w:rsid w:val="00D54B07"/>
    <w:rsid w:val="00D5678E"/>
    <w:rsid w:val="00D57162"/>
    <w:rsid w:val="00D606AF"/>
    <w:rsid w:val="00D606DF"/>
    <w:rsid w:val="00D60B71"/>
    <w:rsid w:val="00D61155"/>
    <w:rsid w:val="00D640AA"/>
    <w:rsid w:val="00D647B9"/>
    <w:rsid w:val="00D65F6E"/>
    <w:rsid w:val="00D70F13"/>
    <w:rsid w:val="00D73271"/>
    <w:rsid w:val="00D73E5A"/>
    <w:rsid w:val="00D74ECF"/>
    <w:rsid w:val="00D80785"/>
    <w:rsid w:val="00D80D10"/>
    <w:rsid w:val="00D82F3A"/>
    <w:rsid w:val="00D83AE8"/>
    <w:rsid w:val="00D87F6F"/>
    <w:rsid w:val="00D90291"/>
    <w:rsid w:val="00D9722D"/>
    <w:rsid w:val="00DA1BC2"/>
    <w:rsid w:val="00DA283C"/>
    <w:rsid w:val="00DA33DE"/>
    <w:rsid w:val="00DA38A3"/>
    <w:rsid w:val="00DA3D56"/>
    <w:rsid w:val="00DA5A07"/>
    <w:rsid w:val="00DA6886"/>
    <w:rsid w:val="00DA7FEF"/>
    <w:rsid w:val="00DB0403"/>
    <w:rsid w:val="00DB207E"/>
    <w:rsid w:val="00DB7A12"/>
    <w:rsid w:val="00DC09D2"/>
    <w:rsid w:val="00DC1491"/>
    <w:rsid w:val="00DC1512"/>
    <w:rsid w:val="00DC1D0A"/>
    <w:rsid w:val="00DC4F0A"/>
    <w:rsid w:val="00DC50B0"/>
    <w:rsid w:val="00DC54D4"/>
    <w:rsid w:val="00DC7E3E"/>
    <w:rsid w:val="00DD223E"/>
    <w:rsid w:val="00DD4074"/>
    <w:rsid w:val="00DD7A66"/>
    <w:rsid w:val="00DE0141"/>
    <w:rsid w:val="00DE1043"/>
    <w:rsid w:val="00DE26C3"/>
    <w:rsid w:val="00DE279C"/>
    <w:rsid w:val="00DE3453"/>
    <w:rsid w:val="00DF0C25"/>
    <w:rsid w:val="00DF1A43"/>
    <w:rsid w:val="00DF1BC8"/>
    <w:rsid w:val="00DF4B41"/>
    <w:rsid w:val="00E0471A"/>
    <w:rsid w:val="00E0471B"/>
    <w:rsid w:val="00E05B65"/>
    <w:rsid w:val="00E0646D"/>
    <w:rsid w:val="00E066F5"/>
    <w:rsid w:val="00E06947"/>
    <w:rsid w:val="00E0708D"/>
    <w:rsid w:val="00E070FF"/>
    <w:rsid w:val="00E07AB1"/>
    <w:rsid w:val="00E11D8D"/>
    <w:rsid w:val="00E1571D"/>
    <w:rsid w:val="00E16275"/>
    <w:rsid w:val="00E16658"/>
    <w:rsid w:val="00E2193A"/>
    <w:rsid w:val="00E22ABA"/>
    <w:rsid w:val="00E2412B"/>
    <w:rsid w:val="00E25454"/>
    <w:rsid w:val="00E25F24"/>
    <w:rsid w:val="00E27517"/>
    <w:rsid w:val="00E27EF5"/>
    <w:rsid w:val="00E30730"/>
    <w:rsid w:val="00E31C3E"/>
    <w:rsid w:val="00E33351"/>
    <w:rsid w:val="00E35607"/>
    <w:rsid w:val="00E35EE9"/>
    <w:rsid w:val="00E36992"/>
    <w:rsid w:val="00E37907"/>
    <w:rsid w:val="00E420F4"/>
    <w:rsid w:val="00E422F9"/>
    <w:rsid w:val="00E429CC"/>
    <w:rsid w:val="00E43C13"/>
    <w:rsid w:val="00E46EE2"/>
    <w:rsid w:val="00E46F94"/>
    <w:rsid w:val="00E500B2"/>
    <w:rsid w:val="00E52255"/>
    <w:rsid w:val="00E52EDE"/>
    <w:rsid w:val="00E532C2"/>
    <w:rsid w:val="00E55C0D"/>
    <w:rsid w:val="00E60C33"/>
    <w:rsid w:val="00E630CD"/>
    <w:rsid w:val="00E66DA4"/>
    <w:rsid w:val="00E708A4"/>
    <w:rsid w:val="00E70945"/>
    <w:rsid w:val="00E71BEC"/>
    <w:rsid w:val="00E74978"/>
    <w:rsid w:val="00E74A08"/>
    <w:rsid w:val="00E76C14"/>
    <w:rsid w:val="00E776FE"/>
    <w:rsid w:val="00E77870"/>
    <w:rsid w:val="00E8094A"/>
    <w:rsid w:val="00E812B8"/>
    <w:rsid w:val="00E8163B"/>
    <w:rsid w:val="00E8409D"/>
    <w:rsid w:val="00E848B4"/>
    <w:rsid w:val="00E8556B"/>
    <w:rsid w:val="00E85B90"/>
    <w:rsid w:val="00E86185"/>
    <w:rsid w:val="00E8733C"/>
    <w:rsid w:val="00E904BC"/>
    <w:rsid w:val="00E90919"/>
    <w:rsid w:val="00E90A2E"/>
    <w:rsid w:val="00E92346"/>
    <w:rsid w:val="00E923A0"/>
    <w:rsid w:val="00E9244D"/>
    <w:rsid w:val="00E92AF1"/>
    <w:rsid w:val="00E95A32"/>
    <w:rsid w:val="00EA0504"/>
    <w:rsid w:val="00EA2B63"/>
    <w:rsid w:val="00EA3446"/>
    <w:rsid w:val="00EA36E5"/>
    <w:rsid w:val="00EA4A2B"/>
    <w:rsid w:val="00EA4FF5"/>
    <w:rsid w:val="00EA608E"/>
    <w:rsid w:val="00EA6118"/>
    <w:rsid w:val="00EA79E6"/>
    <w:rsid w:val="00EB0A9B"/>
    <w:rsid w:val="00EB114E"/>
    <w:rsid w:val="00EB11B2"/>
    <w:rsid w:val="00EB41F4"/>
    <w:rsid w:val="00EB6E50"/>
    <w:rsid w:val="00EB73A5"/>
    <w:rsid w:val="00EC0606"/>
    <w:rsid w:val="00EC17E4"/>
    <w:rsid w:val="00EC42B0"/>
    <w:rsid w:val="00EC4F7B"/>
    <w:rsid w:val="00EC7F14"/>
    <w:rsid w:val="00ED07BC"/>
    <w:rsid w:val="00ED0D71"/>
    <w:rsid w:val="00ED2392"/>
    <w:rsid w:val="00ED2663"/>
    <w:rsid w:val="00ED336F"/>
    <w:rsid w:val="00ED41D9"/>
    <w:rsid w:val="00ED66F5"/>
    <w:rsid w:val="00EE0BE5"/>
    <w:rsid w:val="00EE0CB7"/>
    <w:rsid w:val="00EE1E2A"/>
    <w:rsid w:val="00EE4954"/>
    <w:rsid w:val="00EE5BE8"/>
    <w:rsid w:val="00EF355B"/>
    <w:rsid w:val="00EF62E4"/>
    <w:rsid w:val="00EF73AE"/>
    <w:rsid w:val="00F014DC"/>
    <w:rsid w:val="00F01F18"/>
    <w:rsid w:val="00F02F9E"/>
    <w:rsid w:val="00F040E4"/>
    <w:rsid w:val="00F04689"/>
    <w:rsid w:val="00F063BC"/>
    <w:rsid w:val="00F06FA6"/>
    <w:rsid w:val="00F101B3"/>
    <w:rsid w:val="00F114FA"/>
    <w:rsid w:val="00F13183"/>
    <w:rsid w:val="00F15C99"/>
    <w:rsid w:val="00F17A05"/>
    <w:rsid w:val="00F2037E"/>
    <w:rsid w:val="00F21698"/>
    <w:rsid w:val="00F21F78"/>
    <w:rsid w:val="00F23638"/>
    <w:rsid w:val="00F3033F"/>
    <w:rsid w:val="00F3114F"/>
    <w:rsid w:val="00F32197"/>
    <w:rsid w:val="00F32DD8"/>
    <w:rsid w:val="00F3788C"/>
    <w:rsid w:val="00F41381"/>
    <w:rsid w:val="00F41390"/>
    <w:rsid w:val="00F42CAD"/>
    <w:rsid w:val="00F51888"/>
    <w:rsid w:val="00F52EB3"/>
    <w:rsid w:val="00F53A41"/>
    <w:rsid w:val="00F5599A"/>
    <w:rsid w:val="00F55CEA"/>
    <w:rsid w:val="00F6032E"/>
    <w:rsid w:val="00F61108"/>
    <w:rsid w:val="00F62625"/>
    <w:rsid w:val="00F63DA9"/>
    <w:rsid w:val="00F65A71"/>
    <w:rsid w:val="00F65F9C"/>
    <w:rsid w:val="00F66FB6"/>
    <w:rsid w:val="00F67A0C"/>
    <w:rsid w:val="00F7131C"/>
    <w:rsid w:val="00F7195C"/>
    <w:rsid w:val="00F736BE"/>
    <w:rsid w:val="00F7525A"/>
    <w:rsid w:val="00F757E5"/>
    <w:rsid w:val="00F76BF6"/>
    <w:rsid w:val="00F77C98"/>
    <w:rsid w:val="00F77D33"/>
    <w:rsid w:val="00F77D55"/>
    <w:rsid w:val="00F803A3"/>
    <w:rsid w:val="00F828AE"/>
    <w:rsid w:val="00F838F8"/>
    <w:rsid w:val="00F844F3"/>
    <w:rsid w:val="00F907C6"/>
    <w:rsid w:val="00F96252"/>
    <w:rsid w:val="00F96AD9"/>
    <w:rsid w:val="00F97239"/>
    <w:rsid w:val="00FA08D2"/>
    <w:rsid w:val="00FA1F33"/>
    <w:rsid w:val="00FA46F0"/>
    <w:rsid w:val="00FA4A70"/>
    <w:rsid w:val="00FA6682"/>
    <w:rsid w:val="00FB00E5"/>
    <w:rsid w:val="00FB0EF6"/>
    <w:rsid w:val="00FB1129"/>
    <w:rsid w:val="00FB23E9"/>
    <w:rsid w:val="00FB27F1"/>
    <w:rsid w:val="00FB3C5F"/>
    <w:rsid w:val="00FB67CB"/>
    <w:rsid w:val="00FC2998"/>
    <w:rsid w:val="00FC38F3"/>
    <w:rsid w:val="00FC413D"/>
    <w:rsid w:val="00FC4234"/>
    <w:rsid w:val="00FC44D9"/>
    <w:rsid w:val="00FC5009"/>
    <w:rsid w:val="00FC6040"/>
    <w:rsid w:val="00FC6199"/>
    <w:rsid w:val="00FD004F"/>
    <w:rsid w:val="00FD27C3"/>
    <w:rsid w:val="00FD28A3"/>
    <w:rsid w:val="00FD45BA"/>
    <w:rsid w:val="00FD47F7"/>
    <w:rsid w:val="00FD5D54"/>
    <w:rsid w:val="00FE0F4C"/>
    <w:rsid w:val="00FE5451"/>
    <w:rsid w:val="00FF2623"/>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8B4"/>
    <w:pPr>
      <w:bidi/>
    </w:pPr>
    <w:rPr>
      <w:sz w:val="24"/>
      <w:szCs w:val="24"/>
    </w:rPr>
  </w:style>
  <w:style w:type="paragraph" w:styleId="Heading1">
    <w:name w:val="heading 1"/>
    <w:basedOn w:val="Normal"/>
    <w:next w:val="Normal"/>
    <w:qFormat/>
    <w:rsid w:val="00F4138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41381"/>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D24C4A"/>
    <w:pPr>
      <w:keepNext/>
      <w:jc w:val="both"/>
      <w:outlineLvl w:val="4"/>
    </w:pPr>
    <w:rPr>
      <w:rFonts w:cs="Miriam"/>
      <w:noProof/>
      <w:sz w:val="28"/>
      <w:szCs w:val="28"/>
      <w:u w:val="single"/>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2857"/>
    <w:pPr>
      <w:tabs>
        <w:tab w:val="center" w:pos="4153"/>
        <w:tab w:val="right" w:pos="8306"/>
      </w:tabs>
    </w:pPr>
  </w:style>
  <w:style w:type="character" w:styleId="PageNumber">
    <w:name w:val="page number"/>
    <w:basedOn w:val="DefaultParagraphFont"/>
    <w:rsid w:val="00532857"/>
  </w:style>
  <w:style w:type="character" w:styleId="Hyperlink">
    <w:name w:val="Hyperlink"/>
    <w:uiPriority w:val="99"/>
    <w:rsid w:val="00F41381"/>
    <w:rPr>
      <w:color w:val="0000FF"/>
      <w:u w:val="single"/>
    </w:rPr>
  </w:style>
  <w:style w:type="paragraph" w:styleId="FootnoteText">
    <w:name w:val="footnote text"/>
    <w:basedOn w:val="Normal"/>
    <w:link w:val="FootnoteTextChar"/>
    <w:semiHidden/>
    <w:rsid w:val="007A7D2D"/>
    <w:rPr>
      <w:noProof/>
      <w:sz w:val="20"/>
      <w:szCs w:val="20"/>
      <w:lang w:eastAsia="he-IL"/>
    </w:rPr>
  </w:style>
  <w:style w:type="character" w:customStyle="1" w:styleId="psk2">
    <w:name w:val="psk2"/>
    <w:rsid w:val="00622CAD"/>
    <w:rPr>
      <w:rFonts w:ascii="Arial" w:hAnsi="Arial" w:cs="Arial" w:hint="default"/>
      <w:color w:val="889EC2"/>
      <w:sz w:val="17"/>
      <w:szCs w:val="17"/>
    </w:rPr>
  </w:style>
  <w:style w:type="character" w:styleId="FootnoteReference">
    <w:name w:val="footnote reference"/>
    <w:semiHidden/>
    <w:rsid w:val="00416C17"/>
    <w:rPr>
      <w:vertAlign w:val="superscript"/>
    </w:rPr>
  </w:style>
  <w:style w:type="table" w:styleId="TableGrid">
    <w:name w:val="Table Grid"/>
    <w:basedOn w:val="TableNormal"/>
    <w:rsid w:val="00416C17"/>
    <w:pPr>
      <w:bidi/>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semiHidden/>
    <w:locked/>
    <w:rsid w:val="00416C17"/>
    <w:rPr>
      <w:rFonts w:cs="Miriam"/>
      <w:noProof/>
      <w:lang w:eastAsia="he-IL"/>
    </w:rPr>
  </w:style>
  <w:style w:type="paragraph" w:styleId="BalloonText">
    <w:name w:val="Balloon Text"/>
    <w:basedOn w:val="Normal"/>
    <w:link w:val="BalloonTextChar"/>
    <w:uiPriority w:val="99"/>
    <w:semiHidden/>
    <w:unhideWhenUsed/>
    <w:rsid w:val="00E923A0"/>
    <w:rPr>
      <w:rFonts w:ascii="Tahoma" w:hAnsi="Tahoma"/>
      <w:sz w:val="16"/>
      <w:szCs w:val="16"/>
      <w:lang/>
    </w:rPr>
  </w:style>
  <w:style w:type="character" w:customStyle="1" w:styleId="BalloonTextChar">
    <w:name w:val="Balloon Text Char"/>
    <w:link w:val="BalloonText"/>
    <w:uiPriority w:val="99"/>
    <w:semiHidden/>
    <w:rsid w:val="00E923A0"/>
    <w:rPr>
      <w:rFonts w:ascii="Tahoma" w:hAnsi="Tahoma" w:cs="Tahoma"/>
      <w:sz w:val="16"/>
      <w:szCs w:val="16"/>
    </w:rPr>
  </w:style>
  <w:style w:type="character" w:customStyle="1" w:styleId="st">
    <w:name w:val="st"/>
    <w:rsid w:val="00636C4C"/>
  </w:style>
  <w:style w:type="character" w:customStyle="1" w:styleId="st1">
    <w:name w:val="st1"/>
    <w:rsid w:val="002F434B"/>
  </w:style>
  <w:style w:type="character" w:styleId="Emphasis">
    <w:name w:val="Emphasis"/>
    <w:uiPriority w:val="20"/>
    <w:qFormat/>
    <w:rsid w:val="00EA36E5"/>
    <w:rPr>
      <w:b/>
      <w:bCs/>
      <w:i w:val="0"/>
      <w:iCs w:val="0"/>
    </w:rPr>
  </w:style>
  <w:style w:type="character" w:customStyle="1" w:styleId="titlemain2">
    <w:name w:val="titlemain2"/>
    <w:rsid w:val="002468D7"/>
    <w:rPr>
      <w:b/>
      <w:bCs/>
      <w:sz w:val="27"/>
      <w:szCs w:val="27"/>
    </w:rPr>
  </w:style>
  <w:style w:type="paragraph" w:styleId="NoSpacing">
    <w:name w:val="No Spacing"/>
    <w:uiPriority w:val="1"/>
    <w:qFormat/>
    <w:rsid w:val="001B522A"/>
    <w:pPr>
      <w:bidi/>
    </w:pPr>
    <w:rPr>
      <w:sz w:val="24"/>
      <w:szCs w:val="24"/>
    </w:rPr>
  </w:style>
  <w:style w:type="paragraph" w:styleId="Title">
    <w:name w:val="Title"/>
    <w:basedOn w:val="Normal"/>
    <w:next w:val="Normal"/>
    <w:link w:val="TitleChar"/>
    <w:uiPriority w:val="10"/>
    <w:qFormat/>
    <w:rsid w:val="001B522A"/>
    <w:pPr>
      <w:spacing w:before="240" w:after="60"/>
      <w:jc w:val="center"/>
      <w:outlineLvl w:val="0"/>
    </w:pPr>
    <w:rPr>
      <w:rFonts w:ascii="Cambria" w:hAnsi="Cambria"/>
      <w:b/>
      <w:bCs/>
      <w:kern w:val="28"/>
      <w:sz w:val="32"/>
      <w:szCs w:val="32"/>
      <w:lang/>
    </w:rPr>
  </w:style>
  <w:style w:type="character" w:customStyle="1" w:styleId="TitleChar">
    <w:name w:val="Title Char"/>
    <w:link w:val="Title"/>
    <w:uiPriority w:val="10"/>
    <w:rsid w:val="001B522A"/>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1B522A"/>
    <w:pPr>
      <w:spacing w:after="60"/>
      <w:jc w:val="center"/>
      <w:outlineLvl w:val="1"/>
    </w:pPr>
    <w:rPr>
      <w:rFonts w:ascii="Cambria" w:hAnsi="Cambria"/>
      <w:lang/>
    </w:rPr>
  </w:style>
  <w:style w:type="character" w:customStyle="1" w:styleId="SubtitleChar">
    <w:name w:val="Subtitle Char"/>
    <w:link w:val="Subtitle"/>
    <w:uiPriority w:val="11"/>
    <w:rsid w:val="001B522A"/>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241988184">
      <w:bodyDiv w:val="1"/>
      <w:marLeft w:val="0"/>
      <w:marRight w:val="0"/>
      <w:marTop w:val="0"/>
      <w:marBottom w:val="0"/>
      <w:divBdr>
        <w:top w:val="none" w:sz="0" w:space="0" w:color="auto"/>
        <w:left w:val="none" w:sz="0" w:space="0" w:color="auto"/>
        <w:bottom w:val="none" w:sz="0" w:space="0" w:color="auto"/>
        <w:right w:val="none" w:sz="0" w:space="0" w:color="auto"/>
      </w:divBdr>
    </w:div>
    <w:div w:id="475218092">
      <w:bodyDiv w:val="1"/>
      <w:marLeft w:val="0"/>
      <w:marRight w:val="0"/>
      <w:marTop w:val="0"/>
      <w:marBottom w:val="0"/>
      <w:divBdr>
        <w:top w:val="none" w:sz="0" w:space="0" w:color="auto"/>
        <w:left w:val="none" w:sz="0" w:space="0" w:color="auto"/>
        <w:bottom w:val="none" w:sz="0" w:space="0" w:color="auto"/>
        <w:right w:val="none" w:sz="0" w:space="0" w:color="auto"/>
      </w:divBdr>
    </w:div>
    <w:div w:id="771439488">
      <w:bodyDiv w:val="1"/>
      <w:marLeft w:val="0"/>
      <w:marRight w:val="0"/>
      <w:marTop w:val="0"/>
      <w:marBottom w:val="0"/>
      <w:divBdr>
        <w:top w:val="none" w:sz="0" w:space="0" w:color="auto"/>
        <w:left w:val="none" w:sz="0" w:space="0" w:color="auto"/>
        <w:bottom w:val="none" w:sz="0" w:space="0" w:color="auto"/>
        <w:right w:val="none" w:sz="0" w:space="0" w:color="auto"/>
      </w:divBdr>
      <w:divsChild>
        <w:div w:id="80374335">
          <w:marLeft w:val="0"/>
          <w:marRight w:val="0"/>
          <w:marTop w:val="0"/>
          <w:marBottom w:val="0"/>
          <w:divBdr>
            <w:top w:val="none" w:sz="0" w:space="0" w:color="auto"/>
            <w:left w:val="none" w:sz="0" w:space="0" w:color="auto"/>
            <w:bottom w:val="none" w:sz="0" w:space="0" w:color="auto"/>
            <w:right w:val="none" w:sz="0" w:space="0" w:color="auto"/>
          </w:divBdr>
        </w:div>
      </w:divsChild>
    </w:div>
    <w:div w:id="1224757457">
      <w:bodyDiv w:val="1"/>
      <w:marLeft w:val="0"/>
      <w:marRight w:val="0"/>
      <w:marTop w:val="0"/>
      <w:marBottom w:val="0"/>
      <w:divBdr>
        <w:top w:val="none" w:sz="0" w:space="0" w:color="auto"/>
        <w:left w:val="none" w:sz="0" w:space="0" w:color="auto"/>
        <w:bottom w:val="none" w:sz="0" w:space="0" w:color="auto"/>
        <w:right w:val="none" w:sz="0" w:space="0" w:color="auto"/>
      </w:divBdr>
    </w:div>
    <w:div w:id="1249581219">
      <w:bodyDiv w:val="1"/>
      <w:marLeft w:val="0"/>
      <w:marRight w:val="0"/>
      <w:marTop w:val="0"/>
      <w:marBottom w:val="0"/>
      <w:divBdr>
        <w:top w:val="none" w:sz="0" w:space="0" w:color="auto"/>
        <w:left w:val="none" w:sz="0" w:space="0" w:color="auto"/>
        <w:bottom w:val="none" w:sz="0" w:space="0" w:color="auto"/>
        <w:right w:val="none" w:sz="0" w:space="0" w:color="auto"/>
      </w:divBdr>
      <w:divsChild>
        <w:div w:id="2137286191">
          <w:marLeft w:val="0"/>
          <w:marRight w:val="0"/>
          <w:marTop w:val="0"/>
          <w:marBottom w:val="0"/>
          <w:divBdr>
            <w:top w:val="none" w:sz="0" w:space="0" w:color="auto"/>
            <w:left w:val="none" w:sz="0" w:space="0" w:color="auto"/>
            <w:bottom w:val="none" w:sz="0" w:space="0" w:color="auto"/>
            <w:right w:val="none" w:sz="0" w:space="0" w:color="auto"/>
          </w:divBdr>
          <w:divsChild>
            <w:div w:id="847519843">
              <w:marLeft w:val="0"/>
              <w:marRight w:val="0"/>
              <w:marTop w:val="0"/>
              <w:marBottom w:val="0"/>
              <w:divBdr>
                <w:top w:val="none" w:sz="0" w:space="0" w:color="auto"/>
                <w:left w:val="none" w:sz="0" w:space="0" w:color="auto"/>
                <w:bottom w:val="none" w:sz="0" w:space="0" w:color="auto"/>
                <w:right w:val="none" w:sz="0" w:space="0" w:color="auto"/>
              </w:divBdr>
              <w:divsChild>
                <w:div w:id="1837262937">
                  <w:marLeft w:val="0"/>
                  <w:marRight w:val="0"/>
                  <w:marTop w:val="0"/>
                  <w:marBottom w:val="0"/>
                  <w:divBdr>
                    <w:top w:val="none" w:sz="0" w:space="0" w:color="auto"/>
                    <w:left w:val="none" w:sz="0" w:space="0" w:color="auto"/>
                    <w:bottom w:val="none" w:sz="0" w:space="0" w:color="auto"/>
                    <w:right w:val="none" w:sz="0" w:space="0" w:color="auto"/>
                  </w:divBdr>
                  <w:divsChild>
                    <w:div w:id="1243296634">
                      <w:marLeft w:val="0"/>
                      <w:marRight w:val="0"/>
                      <w:marTop w:val="0"/>
                      <w:marBottom w:val="0"/>
                      <w:divBdr>
                        <w:top w:val="none" w:sz="0" w:space="0" w:color="auto"/>
                        <w:left w:val="none" w:sz="0" w:space="0" w:color="auto"/>
                        <w:bottom w:val="none" w:sz="0" w:space="0" w:color="auto"/>
                        <w:right w:val="none" w:sz="0" w:space="0" w:color="auto"/>
                      </w:divBdr>
                      <w:divsChild>
                        <w:div w:id="1265262070">
                          <w:marLeft w:val="-225"/>
                          <w:marRight w:val="-225"/>
                          <w:marTop w:val="0"/>
                          <w:marBottom w:val="0"/>
                          <w:divBdr>
                            <w:top w:val="none" w:sz="0" w:space="0" w:color="auto"/>
                            <w:left w:val="none" w:sz="0" w:space="0" w:color="auto"/>
                            <w:bottom w:val="none" w:sz="0" w:space="0" w:color="auto"/>
                            <w:right w:val="none" w:sz="0" w:space="0" w:color="auto"/>
                          </w:divBdr>
                          <w:divsChild>
                            <w:div w:id="474110217">
                              <w:marLeft w:val="0"/>
                              <w:marRight w:val="0"/>
                              <w:marTop w:val="0"/>
                              <w:marBottom w:val="0"/>
                              <w:divBdr>
                                <w:top w:val="none" w:sz="0" w:space="0" w:color="auto"/>
                                <w:left w:val="none" w:sz="0" w:space="0" w:color="auto"/>
                                <w:bottom w:val="none" w:sz="0" w:space="0" w:color="auto"/>
                                <w:right w:val="none" w:sz="0" w:space="0" w:color="auto"/>
                              </w:divBdr>
                              <w:divsChild>
                                <w:div w:id="2041128063">
                                  <w:marLeft w:val="0"/>
                                  <w:marRight w:val="0"/>
                                  <w:marTop w:val="0"/>
                                  <w:marBottom w:val="0"/>
                                  <w:divBdr>
                                    <w:top w:val="none" w:sz="0" w:space="0" w:color="auto"/>
                                    <w:left w:val="none" w:sz="0" w:space="0" w:color="auto"/>
                                    <w:bottom w:val="none" w:sz="0" w:space="0" w:color="auto"/>
                                    <w:right w:val="none" w:sz="0" w:space="0" w:color="auto"/>
                                  </w:divBdr>
                                  <w:divsChild>
                                    <w:div w:id="1314338162">
                                      <w:marLeft w:val="-150"/>
                                      <w:marRight w:val="-150"/>
                                      <w:marTop w:val="0"/>
                                      <w:marBottom w:val="0"/>
                                      <w:divBdr>
                                        <w:top w:val="none" w:sz="0" w:space="0" w:color="auto"/>
                                        <w:left w:val="none" w:sz="0" w:space="0" w:color="auto"/>
                                        <w:bottom w:val="none" w:sz="0" w:space="0" w:color="auto"/>
                                        <w:right w:val="none" w:sz="0" w:space="0" w:color="auto"/>
                                      </w:divBdr>
                                      <w:divsChild>
                                        <w:div w:id="493879398">
                                          <w:marLeft w:val="0"/>
                                          <w:marRight w:val="0"/>
                                          <w:marTop w:val="0"/>
                                          <w:marBottom w:val="0"/>
                                          <w:divBdr>
                                            <w:top w:val="none" w:sz="0" w:space="0" w:color="auto"/>
                                            <w:left w:val="none" w:sz="0" w:space="0" w:color="auto"/>
                                            <w:bottom w:val="none" w:sz="0" w:space="0" w:color="auto"/>
                                            <w:right w:val="none" w:sz="0" w:space="0" w:color="auto"/>
                                          </w:divBdr>
                                          <w:divsChild>
                                            <w:div w:id="621158426">
                                              <w:marLeft w:val="0"/>
                                              <w:marRight w:val="0"/>
                                              <w:marTop w:val="0"/>
                                              <w:marBottom w:val="0"/>
                                              <w:divBdr>
                                                <w:top w:val="none" w:sz="0" w:space="0" w:color="auto"/>
                                                <w:left w:val="none" w:sz="0" w:space="0" w:color="auto"/>
                                                <w:bottom w:val="none" w:sz="0" w:space="0" w:color="auto"/>
                                                <w:right w:val="none" w:sz="0" w:space="0" w:color="auto"/>
                                              </w:divBdr>
                                              <w:divsChild>
                                                <w:div w:id="897135003">
                                                  <w:marLeft w:val="0"/>
                                                  <w:marRight w:val="0"/>
                                                  <w:marTop w:val="0"/>
                                                  <w:marBottom w:val="0"/>
                                                  <w:divBdr>
                                                    <w:top w:val="none" w:sz="0" w:space="0" w:color="auto"/>
                                                    <w:left w:val="none" w:sz="0" w:space="0" w:color="auto"/>
                                                    <w:bottom w:val="none" w:sz="0" w:space="0" w:color="auto"/>
                                                    <w:right w:val="none" w:sz="0" w:space="0" w:color="auto"/>
                                                  </w:divBdr>
                                                  <w:divsChild>
                                                    <w:div w:id="500389498">
                                                      <w:marLeft w:val="0"/>
                                                      <w:marRight w:val="0"/>
                                                      <w:marTop w:val="0"/>
                                                      <w:marBottom w:val="0"/>
                                                      <w:divBdr>
                                                        <w:top w:val="none" w:sz="0" w:space="0" w:color="auto"/>
                                                        <w:left w:val="none" w:sz="0" w:space="0" w:color="auto"/>
                                                        <w:bottom w:val="none" w:sz="0" w:space="0" w:color="auto"/>
                                                        <w:right w:val="none" w:sz="0" w:space="0" w:color="auto"/>
                                                      </w:divBdr>
                                                      <w:divsChild>
                                                        <w:div w:id="877350778">
                                                          <w:marLeft w:val="150"/>
                                                          <w:marRight w:val="150"/>
                                                          <w:marTop w:val="150"/>
                                                          <w:marBottom w:val="300"/>
                                                          <w:divBdr>
                                                            <w:top w:val="none" w:sz="0" w:space="0" w:color="auto"/>
                                                            <w:left w:val="none" w:sz="0" w:space="0" w:color="auto"/>
                                                            <w:bottom w:val="none" w:sz="0" w:space="0" w:color="auto"/>
                                                            <w:right w:val="none" w:sz="0" w:space="0" w:color="auto"/>
                                                          </w:divBdr>
                                                          <w:divsChild>
                                                            <w:div w:id="735317925">
                                                              <w:marLeft w:val="0"/>
                                                              <w:marRight w:val="0"/>
                                                              <w:marTop w:val="0"/>
                                                              <w:marBottom w:val="0"/>
                                                              <w:divBdr>
                                                                <w:top w:val="none" w:sz="0" w:space="0" w:color="auto"/>
                                                                <w:left w:val="none" w:sz="0" w:space="0" w:color="auto"/>
                                                                <w:bottom w:val="none" w:sz="0" w:space="0" w:color="auto"/>
                                                                <w:right w:val="none" w:sz="0" w:space="0" w:color="auto"/>
                                                              </w:divBdr>
                                                              <w:divsChild>
                                                                <w:div w:id="1861508794">
                                                                  <w:marLeft w:val="0"/>
                                                                  <w:marRight w:val="0"/>
                                                                  <w:marTop w:val="0"/>
                                                                  <w:marBottom w:val="0"/>
                                                                  <w:divBdr>
                                                                    <w:top w:val="none" w:sz="0" w:space="0" w:color="auto"/>
                                                                    <w:left w:val="none" w:sz="0" w:space="0" w:color="auto"/>
                                                                    <w:bottom w:val="none" w:sz="0" w:space="0" w:color="auto"/>
                                                                    <w:right w:val="none" w:sz="0" w:space="0" w:color="auto"/>
                                                                  </w:divBdr>
                                                                  <w:divsChild>
                                                                    <w:div w:id="583758612">
                                                                      <w:marLeft w:val="0"/>
                                                                      <w:marRight w:val="0"/>
                                                                      <w:marTop w:val="0"/>
                                                                      <w:marBottom w:val="0"/>
                                                                      <w:divBdr>
                                                                        <w:top w:val="none" w:sz="0" w:space="0" w:color="auto"/>
                                                                        <w:left w:val="none" w:sz="0" w:space="0" w:color="auto"/>
                                                                        <w:bottom w:val="none" w:sz="0" w:space="0" w:color="auto"/>
                                                                        <w:right w:val="none" w:sz="0" w:space="0" w:color="auto"/>
                                                                      </w:divBdr>
                                                                      <w:divsChild>
                                                                        <w:div w:id="40984450">
                                                                          <w:marLeft w:val="0"/>
                                                                          <w:marRight w:val="0"/>
                                                                          <w:marTop w:val="0"/>
                                                                          <w:marBottom w:val="0"/>
                                                                          <w:divBdr>
                                                                            <w:top w:val="none" w:sz="0" w:space="0" w:color="auto"/>
                                                                            <w:left w:val="none" w:sz="0" w:space="0" w:color="auto"/>
                                                                            <w:bottom w:val="none" w:sz="0" w:space="0" w:color="auto"/>
                                                                            <w:right w:val="none" w:sz="0" w:space="0" w:color="auto"/>
                                                                          </w:divBdr>
                                                                          <w:divsChild>
                                                                            <w:div w:id="1265262775">
                                                                              <w:marLeft w:val="0"/>
                                                                              <w:marRight w:val="0"/>
                                                                              <w:marTop w:val="0"/>
                                                                              <w:marBottom w:val="0"/>
                                                                              <w:divBdr>
                                                                                <w:top w:val="none" w:sz="0" w:space="0" w:color="auto"/>
                                                                                <w:left w:val="none" w:sz="0" w:space="0" w:color="auto"/>
                                                                                <w:bottom w:val="none" w:sz="0" w:space="0" w:color="auto"/>
                                                                                <w:right w:val="none" w:sz="0" w:space="0" w:color="auto"/>
                                                                              </w:divBdr>
                                                                            </w:div>
                                                                            <w:div w:id="1914774789">
                                                                              <w:marLeft w:val="0"/>
                                                                              <w:marRight w:val="0"/>
                                                                              <w:marTop w:val="0"/>
                                                                              <w:marBottom w:val="0"/>
                                                                              <w:divBdr>
                                                                                <w:top w:val="none" w:sz="0" w:space="0" w:color="auto"/>
                                                                                <w:left w:val="none" w:sz="0" w:space="0" w:color="auto"/>
                                                                                <w:bottom w:val="none" w:sz="0" w:space="0" w:color="auto"/>
                                                                                <w:right w:val="none" w:sz="0" w:space="0" w:color="auto"/>
                                                                              </w:divBdr>
                                                                            </w:div>
                                                                            <w:div w:id="19967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248154">
      <w:bodyDiv w:val="1"/>
      <w:marLeft w:val="0"/>
      <w:marRight w:val="0"/>
      <w:marTop w:val="0"/>
      <w:marBottom w:val="0"/>
      <w:divBdr>
        <w:top w:val="none" w:sz="0" w:space="0" w:color="auto"/>
        <w:left w:val="none" w:sz="0" w:space="0" w:color="auto"/>
        <w:bottom w:val="none" w:sz="0" w:space="0" w:color="auto"/>
        <w:right w:val="none" w:sz="0" w:space="0" w:color="auto"/>
      </w:divBdr>
      <w:divsChild>
        <w:div w:id="516388961">
          <w:marLeft w:val="0"/>
          <w:marRight w:val="0"/>
          <w:marTop w:val="0"/>
          <w:marBottom w:val="0"/>
          <w:divBdr>
            <w:top w:val="none" w:sz="0" w:space="0" w:color="auto"/>
            <w:left w:val="none" w:sz="0" w:space="0" w:color="auto"/>
            <w:bottom w:val="none" w:sz="0" w:space="0" w:color="auto"/>
            <w:right w:val="none" w:sz="0" w:space="0" w:color="auto"/>
          </w:divBdr>
          <w:divsChild>
            <w:div w:id="683362256">
              <w:marLeft w:val="0"/>
              <w:marRight w:val="0"/>
              <w:marTop w:val="0"/>
              <w:marBottom w:val="0"/>
              <w:divBdr>
                <w:top w:val="none" w:sz="0" w:space="0" w:color="auto"/>
                <w:left w:val="none" w:sz="0" w:space="0" w:color="auto"/>
                <w:bottom w:val="none" w:sz="0" w:space="0" w:color="auto"/>
                <w:right w:val="none" w:sz="0" w:space="0" w:color="auto"/>
              </w:divBdr>
              <w:divsChild>
                <w:div w:id="556430575">
                  <w:marLeft w:val="0"/>
                  <w:marRight w:val="0"/>
                  <w:marTop w:val="0"/>
                  <w:marBottom w:val="0"/>
                  <w:divBdr>
                    <w:top w:val="none" w:sz="0" w:space="0" w:color="auto"/>
                    <w:left w:val="none" w:sz="0" w:space="0" w:color="auto"/>
                    <w:bottom w:val="none" w:sz="0" w:space="0" w:color="auto"/>
                    <w:right w:val="none" w:sz="0" w:space="0" w:color="auto"/>
                  </w:divBdr>
                  <w:divsChild>
                    <w:div w:id="1508790855">
                      <w:marLeft w:val="0"/>
                      <w:marRight w:val="0"/>
                      <w:marTop w:val="0"/>
                      <w:marBottom w:val="0"/>
                      <w:divBdr>
                        <w:top w:val="none" w:sz="0" w:space="0" w:color="auto"/>
                        <w:left w:val="none" w:sz="0" w:space="0" w:color="auto"/>
                        <w:bottom w:val="none" w:sz="0" w:space="0" w:color="auto"/>
                        <w:right w:val="none" w:sz="0" w:space="0" w:color="auto"/>
                      </w:divBdr>
                      <w:divsChild>
                        <w:div w:id="1538354443">
                          <w:marLeft w:val="0"/>
                          <w:marRight w:val="0"/>
                          <w:marTop w:val="0"/>
                          <w:marBottom w:val="0"/>
                          <w:divBdr>
                            <w:top w:val="none" w:sz="0" w:space="0" w:color="auto"/>
                            <w:left w:val="none" w:sz="0" w:space="0" w:color="auto"/>
                            <w:bottom w:val="none" w:sz="0" w:space="0" w:color="auto"/>
                            <w:right w:val="none" w:sz="0" w:space="0" w:color="auto"/>
                          </w:divBdr>
                          <w:divsChild>
                            <w:div w:id="199708350">
                              <w:marLeft w:val="0"/>
                              <w:marRight w:val="0"/>
                              <w:marTop w:val="0"/>
                              <w:marBottom w:val="0"/>
                              <w:divBdr>
                                <w:top w:val="none" w:sz="0" w:space="0" w:color="auto"/>
                                <w:left w:val="none" w:sz="0" w:space="0" w:color="auto"/>
                                <w:bottom w:val="none" w:sz="0" w:space="0" w:color="auto"/>
                                <w:right w:val="none" w:sz="0" w:space="0" w:color="auto"/>
                              </w:divBdr>
                              <w:divsChild>
                                <w:div w:id="1001086946">
                                  <w:marLeft w:val="0"/>
                                  <w:marRight w:val="0"/>
                                  <w:marTop w:val="0"/>
                                  <w:marBottom w:val="0"/>
                                  <w:divBdr>
                                    <w:top w:val="none" w:sz="0" w:space="0" w:color="auto"/>
                                    <w:left w:val="none" w:sz="0" w:space="0" w:color="auto"/>
                                    <w:bottom w:val="none" w:sz="0" w:space="0" w:color="auto"/>
                                    <w:right w:val="none" w:sz="0" w:space="0" w:color="auto"/>
                                  </w:divBdr>
                                  <w:divsChild>
                                    <w:div w:id="568538180">
                                      <w:marLeft w:val="0"/>
                                      <w:marRight w:val="0"/>
                                      <w:marTop w:val="0"/>
                                      <w:marBottom w:val="0"/>
                                      <w:divBdr>
                                        <w:top w:val="none" w:sz="0" w:space="0" w:color="auto"/>
                                        <w:left w:val="none" w:sz="0" w:space="0" w:color="auto"/>
                                        <w:bottom w:val="none" w:sz="0" w:space="0" w:color="auto"/>
                                        <w:right w:val="none" w:sz="0" w:space="0" w:color="auto"/>
                                      </w:divBdr>
                                      <w:divsChild>
                                        <w:div w:id="2061900639">
                                          <w:marLeft w:val="0"/>
                                          <w:marRight w:val="0"/>
                                          <w:marTop w:val="0"/>
                                          <w:marBottom w:val="0"/>
                                          <w:divBdr>
                                            <w:top w:val="none" w:sz="0" w:space="0" w:color="auto"/>
                                            <w:left w:val="none" w:sz="0" w:space="0" w:color="auto"/>
                                            <w:bottom w:val="none" w:sz="0" w:space="0" w:color="auto"/>
                                            <w:right w:val="none" w:sz="0" w:space="0" w:color="auto"/>
                                          </w:divBdr>
                                          <w:divsChild>
                                            <w:div w:id="97024972">
                                              <w:marLeft w:val="0"/>
                                              <w:marRight w:val="0"/>
                                              <w:marTop w:val="0"/>
                                              <w:marBottom w:val="0"/>
                                              <w:divBdr>
                                                <w:top w:val="none" w:sz="0" w:space="0" w:color="auto"/>
                                                <w:left w:val="none" w:sz="0" w:space="0" w:color="auto"/>
                                                <w:bottom w:val="none" w:sz="0" w:space="0" w:color="auto"/>
                                                <w:right w:val="none" w:sz="0" w:space="0" w:color="auto"/>
                                              </w:divBdr>
                                              <w:divsChild>
                                                <w:div w:id="1230962778">
                                                  <w:marLeft w:val="0"/>
                                                  <w:marRight w:val="0"/>
                                                  <w:marTop w:val="0"/>
                                                  <w:marBottom w:val="0"/>
                                                  <w:divBdr>
                                                    <w:top w:val="none" w:sz="0" w:space="0" w:color="auto"/>
                                                    <w:left w:val="none" w:sz="0" w:space="0" w:color="auto"/>
                                                    <w:bottom w:val="none" w:sz="0" w:space="0" w:color="auto"/>
                                                    <w:right w:val="none" w:sz="0" w:space="0" w:color="auto"/>
                                                  </w:divBdr>
                                                  <w:divsChild>
                                                    <w:div w:id="3342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40445">
                                              <w:marLeft w:val="0"/>
                                              <w:marRight w:val="0"/>
                                              <w:marTop w:val="0"/>
                                              <w:marBottom w:val="0"/>
                                              <w:divBdr>
                                                <w:top w:val="none" w:sz="0" w:space="0" w:color="auto"/>
                                                <w:left w:val="none" w:sz="0" w:space="0" w:color="auto"/>
                                                <w:bottom w:val="none" w:sz="0" w:space="0" w:color="auto"/>
                                                <w:right w:val="none" w:sz="0" w:space="0" w:color="auto"/>
                                              </w:divBdr>
                                              <w:divsChild>
                                                <w:div w:id="527566944">
                                                  <w:marLeft w:val="0"/>
                                                  <w:marRight w:val="0"/>
                                                  <w:marTop w:val="0"/>
                                                  <w:marBottom w:val="0"/>
                                                  <w:divBdr>
                                                    <w:top w:val="none" w:sz="0" w:space="0" w:color="auto"/>
                                                    <w:left w:val="none" w:sz="0" w:space="0" w:color="auto"/>
                                                    <w:bottom w:val="none" w:sz="0" w:space="0" w:color="auto"/>
                                                    <w:right w:val="none" w:sz="0" w:space="0" w:color="auto"/>
                                                  </w:divBdr>
                                                  <w:divsChild>
                                                    <w:div w:id="15516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168937">
      <w:bodyDiv w:val="1"/>
      <w:marLeft w:val="0"/>
      <w:marRight w:val="0"/>
      <w:marTop w:val="0"/>
      <w:marBottom w:val="0"/>
      <w:divBdr>
        <w:top w:val="none" w:sz="0" w:space="0" w:color="auto"/>
        <w:left w:val="none" w:sz="0" w:space="0" w:color="auto"/>
        <w:bottom w:val="none" w:sz="0" w:space="0" w:color="auto"/>
        <w:right w:val="none" w:sz="0" w:space="0" w:color="auto"/>
      </w:divBdr>
    </w:div>
    <w:div w:id="1693727159">
      <w:bodyDiv w:val="1"/>
      <w:marLeft w:val="0"/>
      <w:marRight w:val="0"/>
      <w:marTop w:val="0"/>
      <w:marBottom w:val="0"/>
      <w:divBdr>
        <w:top w:val="none" w:sz="0" w:space="0" w:color="auto"/>
        <w:left w:val="none" w:sz="0" w:space="0" w:color="auto"/>
        <w:bottom w:val="none" w:sz="0" w:space="0" w:color="auto"/>
        <w:right w:val="none" w:sz="0" w:space="0" w:color="auto"/>
      </w:divBdr>
    </w:div>
    <w:div w:id="1942839252">
      <w:bodyDiv w:val="1"/>
      <w:marLeft w:val="0"/>
      <w:marRight w:val="0"/>
      <w:marTop w:val="0"/>
      <w:marBottom w:val="0"/>
      <w:divBdr>
        <w:top w:val="none" w:sz="0" w:space="0" w:color="auto"/>
        <w:left w:val="none" w:sz="0" w:space="0" w:color="auto"/>
        <w:bottom w:val="none" w:sz="0" w:space="0" w:color="auto"/>
        <w:right w:val="none" w:sz="0" w:space="0" w:color="auto"/>
      </w:divBdr>
      <w:divsChild>
        <w:div w:id="100015681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javascript:open_window(%22http://aleph.nli.org.il:80/F/KG6EIJ86SXN7T5BAYDN1EHBUGTI1VDBNEU46B31T631FBBQGHC-02386?func=service&amp;doc_number=000108300&amp;line_number=0007&amp;service_type=TAG%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62208-0448-49C6-A9F9-D39E9047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14</Pages>
  <Words>4275</Words>
  <Characters>24369</Characters>
  <Application>Microsoft Office Word</Application>
  <DocSecurity>0</DocSecurity>
  <Lines>203</Lines>
  <Paragraphs>57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מקרא</vt:lpstr>
      <vt:lpstr>מקרא</vt:lpstr>
    </vt:vector>
  </TitlesOfParts>
  <Company/>
  <LinksUpToDate>false</LinksUpToDate>
  <CharactersWithSpaces>28587</CharactersWithSpaces>
  <SharedDoc>false</SharedDoc>
  <HLinks>
    <vt:vector size="6" baseType="variant">
      <vt:variant>
        <vt:i4>2162740</vt:i4>
      </vt:variant>
      <vt:variant>
        <vt:i4>0</vt:i4>
      </vt:variant>
      <vt:variant>
        <vt:i4>0</vt:i4>
      </vt:variant>
      <vt:variant>
        <vt:i4>5</vt:i4>
      </vt:variant>
      <vt:variant>
        <vt:lpwstr>javascript:open_window(%22http://aleph.nli.org.il:80/F/KG6EIJ86SXN7T5BAYDN1EHBUGTI1VDBNEU46B31T631FBBQGHC-02386?func=service&amp;doc_number=000108300&amp;line_number=0007&amp;service_type=TAG%22);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מקרא</dc:title>
  <dc:subject/>
  <dc:creator>micha roi</dc:creator>
  <cp:keywords/>
  <cp:lastModifiedBy>Liat</cp:lastModifiedBy>
  <cp:revision>13</cp:revision>
  <cp:lastPrinted>2015-02-26T13:50:00Z</cp:lastPrinted>
  <dcterms:created xsi:type="dcterms:W3CDTF">2015-04-27T11:41:00Z</dcterms:created>
  <dcterms:modified xsi:type="dcterms:W3CDTF">2015-06-16T08:41:00Z</dcterms:modified>
</cp:coreProperties>
</file>