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00440" w14:textId="77777777" w:rsidR="007A2600" w:rsidRDefault="007A2600" w:rsidP="007A2600">
      <w:pPr>
        <w:rPr>
          <w:rFonts w:asciiTheme="majorBidi" w:hAnsiTheme="majorBidi" w:cstheme="majorBidi"/>
          <w:sz w:val="26"/>
          <w:szCs w:val="26"/>
          <w:rtl/>
        </w:rPr>
      </w:pPr>
      <w:r>
        <w:rPr>
          <w:rFonts w:asciiTheme="majorBidi" w:hAnsiTheme="majorBidi" w:cstheme="majorBidi" w:hint="cs"/>
          <w:sz w:val="26"/>
          <w:szCs w:val="26"/>
          <w:rtl/>
        </w:rPr>
        <w:t>תרגום:</w:t>
      </w:r>
    </w:p>
    <w:p w14:paraId="7B1FBA3A" w14:textId="77777777" w:rsidR="007A2600" w:rsidRDefault="007A2600" w:rsidP="007A2600">
      <w:pPr>
        <w:bidi w:val="0"/>
        <w:spacing w:line="480" w:lineRule="auto"/>
        <w:ind w:firstLine="567"/>
        <w:rPr>
          <w:rFonts w:asciiTheme="majorBidi" w:hAnsiTheme="majorBidi" w:cstheme="majorBidi"/>
          <w:szCs w:val="24"/>
        </w:rPr>
      </w:pPr>
      <w:r>
        <w:rPr>
          <w:rFonts w:asciiTheme="majorBidi" w:hAnsiTheme="majorBidi" w:cstheme="majorBidi"/>
          <w:szCs w:val="24"/>
        </w:rPr>
        <w:t xml:space="preserve">And indeed, this new form of anti-Semitism offered an outlet for the anger felt by many as they witnessed the emergence of modernization. The Jews were portrayed as the epitome of despicable capitalism that aims to exploit the struggling masses, and as the embodiment of an alienated modern society that challenges the long-standing loyalties of traditional German lifestyle. Anti-Semitism thus became a crucial element in the evolving political culture by uniting all conservative forces. While the Germans toiled over their nationalist definitions </w:t>
      </w:r>
      <w:proofErr w:type="gramStart"/>
      <w:r>
        <w:rPr>
          <w:rFonts w:asciiTheme="majorBidi" w:hAnsiTheme="majorBidi" w:cstheme="majorBidi"/>
          <w:szCs w:val="24"/>
        </w:rPr>
        <w:t>in an attempt to</w:t>
      </w:r>
      <w:proofErr w:type="gramEnd"/>
      <w:r>
        <w:rPr>
          <w:rFonts w:asciiTheme="majorBidi" w:hAnsiTheme="majorBidi" w:cstheme="majorBidi"/>
          <w:szCs w:val="24"/>
        </w:rPr>
        <w:t xml:space="preserve"> create a national ethos and national unity, it was equally important to define those who could not be considered German citizens, those who are different and dangerous, i.e. the Jews. Racial sciences, which flourished at the time, were recruited to define characteristics of the Jewish race. The Jewish race was depicted as being stereotypically distorted. The Jews spoke a different language, displayed negative behaviors, maintained traditions and a culture that fundamentally differed from those of the German race, and had unique origins and a separate history. Jews </w:t>
      </w:r>
      <w:proofErr w:type="gramStart"/>
      <w:r>
        <w:rPr>
          <w:rFonts w:asciiTheme="majorBidi" w:hAnsiTheme="majorBidi" w:cstheme="majorBidi"/>
          <w:szCs w:val="24"/>
        </w:rPr>
        <w:t>were seen as</w:t>
      </w:r>
      <w:proofErr w:type="gramEnd"/>
      <w:r>
        <w:rPr>
          <w:rFonts w:asciiTheme="majorBidi" w:hAnsiTheme="majorBidi" w:cstheme="majorBidi"/>
          <w:szCs w:val="24"/>
        </w:rPr>
        <w:t xml:space="preserve"> members of a different race and a different nation. Anti-Semitism surged, and these ideas were voiced throughout all strata of society, including the academia, government, and policy makers. Provocative speeches and articles by </w:t>
      </w:r>
      <w:r w:rsidRPr="00DC1F96">
        <w:rPr>
          <w:rFonts w:asciiTheme="majorBidi" w:hAnsiTheme="majorBidi" w:cstheme="majorBidi"/>
          <w:szCs w:val="24"/>
        </w:rPr>
        <w:t xml:space="preserve">Heinrich von Treitschke, Adolf </w:t>
      </w:r>
      <w:proofErr w:type="spellStart"/>
      <w:r w:rsidRPr="00F51038">
        <w:rPr>
          <w:rFonts w:asciiTheme="majorBidi" w:hAnsiTheme="majorBidi" w:cstheme="majorBidi"/>
          <w:szCs w:val="24"/>
        </w:rPr>
        <w:t>Stoecker</w:t>
      </w:r>
      <w:proofErr w:type="spellEnd"/>
      <w:r>
        <w:rPr>
          <w:rFonts w:asciiTheme="majorBidi" w:hAnsiTheme="majorBidi" w:cstheme="majorBidi"/>
          <w:szCs w:val="24"/>
        </w:rPr>
        <w:t xml:space="preserve"> and Hermann </w:t>
      </w:r>
      <w:proofErr w:type="spellStart"/>
      <w:r w:rsidRPr="00F51038">
        <w:rPr>
          <w:rFonts w:asciiTheme="majorBidi" w:hAnsiTheme="majorBidi" w:cstheme="majorBidi"/>
          <w:szCs w:val="24"/>
        </w:rPr>
        <w:t>Ahlwardt</w:t>
      </w:r>
      <w:proofErr w:type="spellEnd"/>
      <w:r>
        <w:rPr>
          <w:rFonts w:asciiTheme="majorBidi" w:hAnsiTheme="majorBidi" w:cstheme="majorBidi"/>
          <w:szCs w:val="24"/>
        </w:rPr>
        <w:t xml:space="preserve"> enraptured the masses, and particularly the university students, and escalated anti-Semitism in every sector of society. Jews were perceived as foreign and hazardous to Germany.</w:t>
      </w:r>
    </w:p>
    <w:p w14:paraId="0B383F01" w14:textId="7B237ADE" w:rsidR="007A2600" w:rsidRPr="00EB7B1C" w:rsidRDefault="007A2600" w:rsidP="007A2600">
      <w:pPr>
        <w:bidi w:val="0"/>
        <w:spacing w:line="480" w:lineRule="auto"/>
        <w:ind w:firstLine="567"/>
        <w:rPr>
          <w:rFonts w:asciiTheme="majorBidi" w:hAnsiTheme="majorBidi" w:cstheme="majorBidi"/>
          <w:szCs w:val="24"/>
          <w:rtl/>
        </w:rPr>
      </w:pPr>
      <w:r>
        <w:rPr>
          <w:rFonts w:asciiTheme="majorBidi" w:hAnsiTheme="majorBidi" w:cstheme="majorBidi"/>
          <w:szCs w:val="24"/>
        </w:rPr>
        <w:t xml:space="preserve">The evolutionary theme that appears on the pencil holder (image A) was also inspired by popular contemporary scientific theories of that time. This was the era of natural sciences in German, when science was a popular ideology. Scientific information was shared through mass media and captivated people from all wakes of society. The question of the origin of humanity and its anatomical and </w:t>
      </w:r>
      <w:r w:rsidRPr="0016576C">
        <w:rPr>
          <w:rFonts w:asciiTheme="majorBidi" w:hAnsiTheme="majorBidi" w:cstheme="majorBidi"/>
          <w:szCs w:val="24"/>
        </w:rPr>
        <w:t xml:space="preserve">anthropological development were </w:t>
      </w:r>
      <w:r>
        <w:rPr>
          <w:rFonts w:asciiTheme="majorBidi" w:hAnsiTheme="majorBidi" w:cstheme="majorBidi"/>
          <w:szCs w:val="24"/>
        </w:rPr>
        <w:t>the subjects</w:t>
      </w:r>
      <w:r w:rsidRPr="0016576C">
        <w:rPr>
          <w:rFonts w:asciiTheme="majorBidi" w:hAnsiTheme="majorBidi" w:cstheme="majorBidi"/>
          <w:szCs w:val="24"/>
        </w:rPr>
        <w:t xml:space="preserve"> of large bodies of research on anatomy, phrenology</w:t>
      </w:r>
      <w:r>
        <w:rPr>
          <w:rFonts w:asciiTheme="majorBidi" w:hAnsiTheme="majorBidi" w:cstheme="majorBidi"/>
          <w:szCs w:val="24"/>
        </w:rPr>
        <w:t xml:space="preserve">, zoology, </w:t>
      </w:r>
      <w:r w:rsidRPr="0016576C">
        <w:rPr>
          <w:rFonts w:asciiTheme="majorBidi" w:hAnsiTheme="majorBidi" w:cstheme="majorBidi"/>
          <w:szCs w:val="24"/>
        </w:rPr>
        <w:t>physiognomy</w:t>
      </w:r>
      <w:r>
        <w:rPr>
          <w:rFonts w:asciiTheme="majorBidi" w:hAnsiTheme="majorBidi" w:cstheme="majorBidi"/>
          <w:szCs w:val="24"/>
        </w:rPr>
        <w:t xml:space="preserve"> and </w:t>
      </w:r>
      <w:r w:rsidRPr="0016576C">
        <w:rPr>
          <w:rFonts w:asciiTheme="majorBidi" w:hAnsiTheme="majorBidi" w:cstheme="majorBidi"/>
          <w:szCs w:val="24"/>
        </w:rPr>
        <w:t>anthropology.</w:t>
      </w:r>
      <w:r>
        <w:rPr>
          <w:rFonts w:asciiTheme="majorBidi" w:hAnsiTheme="majorBidi" w:cstheme="majorBidi"/>
          <w:szCs w:val="24"/>
        </w:rPr>
        <w:t xml:space="preserve"> Darwin's p</w:t>
      </w:r>
      <w:r w:rsidRPr="0016576C">
        <w:rPr>
          <w:rFonts w:asciiTheme="majorBidi" w:hAnsiTheme="majorBidi" w:cstheme="majorBidi"/>
          <w:szCs w:val="24"/>
        </w:rPr>
        <w:t>hysiognom</w:t>
      </w:r>
      <w:r>
        <w:rPr>
          <w:rFonts w:asciiTheme="majorBidi" w:hAnsiTheme="majorBidi" w:cstheme="majorBidi"/>
          <w:szCs w:val="24"/>
        </w:rPr>
        <w:t xml:space="preserve">y and </w:t>
      </w:r>
      <w:r>
        <w:rPr>
          <w:rFonts w:asciiTheme="majorBidi" w:hAnsiTheme="majorBidi" w:cstheme="majorBidi"/>
          <w:szCs w:val="24"/>
        </w:rPr>
        <w:lastRenderedPageBreak/>
        <w:t>evolutionary research provided a basis for linking the animal world to humanity from a physical and behavioral perspective. Therefore</w:t>
      </w:r>
      <w:r w:rsidR="00382949">
        <w:rPr>
          <w:rFonts w:asciiTheme="majorBidi" w:hAnsiTheme="majorBidi" w:cstheme="majorBidi"/>
          <w:szCs w:val="24"/>
        </w:rPr>
        <w:t>,</w:t>
      </w:r>
      <w:bookmarkStart w:id="0" w:name="_GoBack"/>
      <w:bookmarkEnd w:id="0"/>
      <w:r>
        <w:rPr>
          <w:rFonts w:asciiTheme="majorBidi" w:hAnsiTheme="majorBidi" w:cstheme="majorBidi"/>
          <w:szCs w:val="24"/>
        </w:rPr>
        <w:t xml:space="preserve"> these theories are fundamental for understanding the items exhibited here.</w:t>
      </w:r>
      <w:r>
        <w:rPr>
          <w:rStyle w:val="a5"/>
          <w:rFonts w:asciiTheme="majorBidi" w:hAnsiTheme="majorBidi" w:cstheme="majorBidi"/>
          <w:szCs w:val="24"/>
        </w:rPr>
        <w:footnoteReference w:id="1"/>
      </w:r>
      <w:r>
        <w:rPr>
          <w:rFonts w:asciiTheme="majorBidi" w:hAnsiTheme="majorBidi" w:cstheme="majorBidi"/>
          <w:szCs w:val="24"/>
        </w:rPr>
        <w:t xml:space="preserve"> </w:t>
      </w:r>
      <w:r w:rsidRPr="0016576C">
        <w:rPr>
          <w:rFonts w:asciiTheme="majorBidi" w:hAnsiTheme="majorBidi" w:cstheme="majorBidi"/>
          <w:szCs w:val="24"/>
        </w:rPr>
        <w:t>Physiognomy</w:t>
      </w:r>
      <w:r>
        <w:rPr>
          <w:rFonts w:asciiTheme="majorBidi" w:hAnsiTheme="majorBidi" w:cstheme="majorBidi"/>
          <w:szCs w:val="24"/>
        </w:rPr>
        <w:t xml:space="preserve"> gained enormous popularity in the late 18</w:t>
      </w:r>
      <w:r w:rsidRPr="00FC7BA0">
        <w:rPr>
          <w:rFonts w:asciiTheme="majorBidi" w:hAnsiTheme="majorBidi" w:cstheme="majorBidi"/>
          <w:szCs w:val="24"/>
          <w:vertAlign w:val="superscript"/>
        </w:rPr>
        <w:t>th</w:t>
      </w:r>
      <w:r>
        <w:rPr>
          <w:rFonts w:asciiTheme="majorBidi" w:hAnsiTheme="majorBidi" w:cstheme="majorBidi"/>
          <w:szCs w:val="24"/>
        </w:rPr>
        <w:t xml:space="preserve"> century and throughout the 19</w:t>
      </w:r>
      <w:r w:rsidRPr="00FC7BA0">
        <w:rPr>
          <w:rFonts w:asciiTheme="majorBidi" w:hAnsiTheme="majorBidi" w:cstheme="majorBidi"/>
          <w:szCs w:val="24"/>
          <w:vertAlign w:val="superscript"/>
        </w:rPr>
        <w:t>th</w:t>
      </w:r>
      <w:r>
        <w:rPr>
          <w:rFonts w:asciiTheme="majorBidi" w:hAnsiTheme="majorBidi" w:cstheme="majorBidi"/>
          <w:szCs w:val="24"/>
        </w:rPr>
        <w:t xml:space="preserve"> century. Scholars such as </w:t>
      </w:r>
      <w:r w:rsidRPr="00F51038">
        <w:rPr>
          <w:rFonts w:asciiTheme="majorBidi" w:hAnsiTheme="majorBidi" w:cstheme="majorBidi"/>
          <w:szCs w:val="24"/>
        </w:rPr>
        <w:t>Petrus Camper</w:t>
      </w:r>
      <w:r>
        <w:rPr>
          <w:rFonts w:asciiTheme="majorBidi" w:hAnsiTheme="majorBidi" w:cstheme="majorBidi"/>
          <w:szCs w:val="24"/>
        </w:rPr>
        <w:t xml:space="preserve"> (1722-1789), Johan </w:t>
      </w:r>
      <w:r w:rsidRPr="00F51038">
        <w:rPr>
          <w:rFonts w:asciiTheme="majorBidi" w:hAnsiTheme="majorBidi" w:cstheme="majorBidi"/>
          <w:szCs w:val="24"/>
        </w:rPr>
        <w:t xml:space="preserve">Casper </w:t>
      </w:r>
      <w:proofErr w:type="spellStart"/>
      <w:r w:rsidRPr="00F51038">
        <w:rPr>
          <w:rFonts w:asciiTheme="majorBidi" w:hAnsiTheme="majorBidi" w:cstheme="majorBidi"/>
          <w:szCs w:val="24"/>
        </w:rPr>
        <w:t>Lavater</w:t>
      </w:r>
      <w:proofErr w:type="spellEnd"/>
      <w:r>
        <w:rPr>
          <w:rFonts w:asciiTheme="majorBidi" w:hAnsiTheme="majorBidi" w:cstheme="majorBidi"/>
          <w:szCs w:val="24"/>
        </w:rPr>
        <w:t xml:space="preserve"> (1741-1801) and others studied evolutionary-hierarchal development in the chain of creation and compared animals to humans from the </w:t>
      </w:r>
      <w:r w:rsidRPr="0016576C">
        <w:rPr>
          <w:rFonts w:asciiTheme="majorBidi" w:hAnsiTheme="majorBidi" w:cstheme="majorBidi"/>
          <w:szCs w:val="24"/>
        </w:rPr>
        <w:t>physiognom</w:t>
      </w:r>
      <w:r>
        <w:rPr>
          <w:rFonts w:asciiTheme="majorBidi" w:hAnsiTheme="majorBidi" w:cstheme="majorBidi"/>
          <w:szCs w:val="24"/>
        </w:rPr>
        <w:t>ic and behavioral perspectives.</w:t>
      </w:r>
      <w:r>
        <w:rPr>
          <w:rStyle w:val="a5"/>
          <w:rFonts w:asciiTheme="majorBidi" w:hAnsiTheme="majorBidi" w:cstheme="majorBidi"/>
          <w:szCs w:val="24"/>
        </w:rPr>
        <w:footnoteReference w:id="2"/>
      </w:r>
      <w:r>
        <w:rPr>
          <w:rFonts w:asciiTheme="majorBidi" w:hAnsiTheme="majorBidi" w:cstheme="majorBidi"/>
          <w:szCs w:val="24"/>
        </w:rPr>
        <w:t xml:space="preserve"> Books on p</w:t>
      </w:r>
      <w:r w:rsidRPr="0016576C">
        <w:rPr>
          <w:rFonts w:asciiTheme="majorBidi" w:hAnsiTheme="majorBidi" w:cstheme="majorBidi"/>
          <w:szCs w:val="24"/>
        </w:rPr>
        <w:t>hysiognomy</w:t>
      </w:r>
      <w:r>
        <w:rPr>
          <w:rFonts w:asciiTheme="majorBidi" w:hAnsiTheme="majorBidi" w:cstheme="majorBidi"/>
          <w:szCs w:val="24"/>
        </w:rPr>
        <w:t xml:space="preserve"> were sought out not only by scientists, but by the public as well. Endless editions were printed for adults and youth throughout the entire 19</w:t>
      </w:r>
      <w:r w:rsidRPr="0022394E">
        <w:rPr>
          <w:rFonts w:asciiTheme="majorBidi" w:hAnsiTheme="majorBidi" w:cstheme="majorBidi"/>
          <w:szCs w:val="24"/>
          <w:vertAlign w:val="superscript"/>
        </w:rPr>
        <w:t>th</w:t>
      </w:r>
      <w:r>
        <w:rPr>
          <w:rFonts w:asciiTheme="majorBidi" w:hAnsiTheme="majorBidi" w:cstheme="majorBidi"/>
          <w:szCs w:val="24"/>
        </w:rPr>
        <w:t xml:space="preserve"> century. They inspired authors to portray humans as animals in their stories, and became the basis for popular, humoristic culture and caricature exhibitions.</w:t>
      </w:r>
      <w:r>
        <w:rPr>
          <w:rStyle w:val="a5"/>
          <w:rFonts w:asciiTheme="majorBidi" w:hAnsiTheme="majorBidi" w:cstheme="majorBidi"/>
          <w:szCs w:val="24"/>
        </w:rPr>
        <w:footnoteReference w:id="3"/>
      </w:r>
      <w:r>
        <w:rPr>
          <w:rFonts w:asciiTheme="majorBidi" w:hAnsiTheme="majorBidi" w:cstheme="majorBidi"/>
          <w:szCs w:val="24"/>
        </w:rPr>
        <w:t xml:space="preserve"> Darwin's theory of evolution developed into a popular doctrine for the masses, known as popular Darwinism. Over the course of his lifetime, Charles Darwin published two revolutionary works – The Origin of Species (1859) and The Descent of Main (1871).</w:t>
      </w:r>
      <w:r>
        <w:rPr>
          <w:rStyle w:val="a5"/>
          <w:rFonts w:asciiTheme="majorBidi" w:hAnsiTheme="majorBidi" w:cstheme="majorBidi"/>
          <w:szCs w:val="24"/>
        </w:rPr>
        <w:footnoteReference w:id="4"/>
      </w:r>
      <w:r>
        <w:rPr>
          <w:rFonts w:asciiTheme="majorBidi" w:hAnsiTheme="majorBidi" w:cstheme="majorBidi"/>
          <w:szCs w:val="24"/>
        </w:rPr>
        <w:t xml:space="preserve"> The Origin of Species was first translated into German in 1861 and was received with immediate acclimation and popularity among both scientific and general populations. The theory was taught to the people by scholarly "liaisons" – writers and lecturers who aspired to share Darwinism with the masses in a simple, clear manner. These liaisons included Ernst H</w:t>
      </w:r>
      <w:r w:rsidRPr="00F51038">
        <w:rPr>
          <w:rFonts w:asciiTheme="majorBidi" w:hAnsiTheme="majorBidi" w:cstheme="majorBidi"/>
          <w:szCs w:val="24"/>
        </w:rPr>
        <w:t>aec</w:t>
      </w:r>
      <w:r>
        <w:rPr>
          <w:rFonts w:asciiTheme="majorBidi" w:hAnsiTheme="majorBidi" w:cstheme="majorBidi"/>
          <w:szCs w:val="24"/>
        </w:rPr>
        <w:t>ke</w:t>
      </w:r>
      <w:r w:rsidRPr="00F51038">
        <w:rPr>
          <w:rFonts w:asciiTheme="majorBidi" w:hAnsiTheme="majorBidi" w:cstheme="majorBidi"/>
          <w:szCs w:val="24"/>
        </w:rPr>
        <w:t>l</w:t>
      </w:r>
      <w:r>
        <w:rPr>
          <w:rFonts w:asciiTheme="majorBidi" w:hAnsiTheme="majorBidi" w:cstheme="majorBidi"/>
          <w:szCs w:val="24"/>
        </w:rPr>
        <w:t xml:space="preserve">, </w:t>
      </w:r>
      <w:r w:rsidRPr="00F51038">
        <w:rPr>
          <w:rFonts w:asciiTheme="majorBidi" w:hAnsiTheme="majorBidi" w:cstheme="majorBidi"/>
          <w:szCs w:val="24"/>
        </w:rPr>
        <w:t xml:space="preserve">Wilhelm </w:t>
      </w:r>
      <w:proofErr w:type="spellStart"/>
      <w:r w:rsidRPr="00F51038">
        <w:rPr>
          <w:rFonts w:asciiTheme="majorBidi" w:hAnsiTheme="majorBidi" w:cstheme="majorBidi"/>
          <w:szCs w:val="24"/>
        </w:rPr>
        <w:t>B</w:t>
      </w:r>
      <w:r w:rsidRPr="00F51038">
        <w:rPr>
          <w:rFonts w:asciiTheme="majorBidi" w:eastAsia="Arial Unicode MS" w:hAnsiTheme="majorBidi" w:cstheme="majorBidi"/>
          <w:szCs w:val="24"/>
        </w:rPr>
        <w:t>ӧ</w:t>
      </w:r>
      <w:r w:rsidRPr="00F51038">
        <w:rPr>
          <w:rFonts w:asciiTheme="majorBidi" w:hAnsiTheme="majorBidi" w:cstheme="majorBidi"/>
          <w:szCs w:val="24"/>
        </w:rPr>
        <w:t>lsche</w:t>
      </w:r>
      <w:proofErr w:type="spellEnd"/>
      <w:r>
        <w:rPr>
          <w:rFonts w:asciiTheme="majorBidi" w:hAnsiTheme="majorBidi" w:cstheme="majorBidi"/>
          <w:szCs w:val="24"/>
        </w:rPr>
        <w:t xml:space="preserve"> and many others who succeeded in drawing enormous interest in this popular form of Darwinism among people of every social standing. The masses read their works in books, journals, and newspapers, and even attended lectures in public halls and in zoos.</w:t>
      </w:r>
      <w:r>
        <w:rPr>
          <w:rStyle w:val="a5"/>
          <w:rFonts w:asciiTheme="majorBidi" w:hAnsiTheme="majorBidi" w:cstheme="majorBidi"/>
          <w:szCs w:val="24"/>
        </w:rPr>
        <w:footnoteReference w:id="5"/>
      </w:r>
      <w:r>
        <w:rPr>
          <w:rFonts w:asciiTheme="majorBidi" w:hAnsiTheme="majorBidi" w:cstheme="majorBidi"/>
          <w:szCs w:val="24"/>
        </w:rPr>
        <w:t xml:space="preserve"> Popular Darwinism spread to the masses like wildfire, and received unprecedented attention for a very long </w:t>
      </w:r>
      <w:proofErr w:type="gramStart"/>
      <w:r>
        <w:rPr>
          <w:rFonts w:asciiTheme="majorBidi" w:hAnsiTheme="majorBidi" w:cstheme="majorBidi"/>
          <w:szCs w:val="24"/>
        </w:rPr>
        <w:t>period of time</w:t>
      </w:r>
      <w:proofErr w:type="gramEnd"/>
      <w:r>
        <w:rPr>
          <w:rFonts w:asciiTheme="majorBidi" w:hAnsiTheme="majorBidi" w:cstheme="majorBidi"/>
          <w:szCs w:val="24"/>
        </w:rPr>
        <w:t xml:space="preserve">. Darwinism found its genuine spiritual home in Germany, where the theories were applied in all wakes of German life. </w:t>
      </w:r>
      <w:proofErr w:type="spellStart"/>
      <w:r>
        <w:rPr>
          <w:rFonts w:asciiTheme="majorBidi" w:hAnsiTheme="majorBidi" w:cstheme="majorBidi"/>
          <w:szCs w:val="24"/>
        </w:rPr>
        <w:t>En</w:t>
      </w:r>
      <w:proofErr w:type="spellEnd"/>
      <w:r>
        <w:rPr>
          <w:rFonts w:asciiTheme="majorBidi" w:hAnsiTheme="majorBidi" w:cstheme="majorBidi"/>
          <w:szCs w:val="24"/>
        </w:rPr>
        <w:t xml:space="preserve"> route from Darwin's texts to the German public, much of the content of his theory was modified. Popular Darwinism replaced the pure biological context of Darwin's writing with broader content from diverse fields. Darwinist became an expansive philosophy known as </w:t>
      </w:r>
      <w:r w:rsidRPr="00F51038">
        <w:rPr>
          <w:rFonts w:asciiTheme="majorBidi" w:hAnsiTheme="majorBidi" w:cstheme="majorBidi"/>
          <w:szCs w:val="24"/>
        </w:rPr>
        <w:t>'</w:t>
      </w:r>
      <w:proofErr w:type="spellStart"/>
      <w:r w:rsidRPr="00F51038">
        <w:rPr>
          <w:rFonts w:asciiTheme="majorBidi" w:hAnsiTheme="majorBidi" w:cstheme="majorBidi"/>
          <w:szCs w:val="24"/>
        </w:rPr>
        <w:t>Weltanschauungen</w:t>
      </w:r>
      <w:proofErr w:type="spellEnd"/>
      <w:r w:rsidRPr="00F51038">
        <w:rPr>
          <w:rFonts w:asciiTheme="majorBidi" w:hAnsiTheme="majorBidi" w:cstheme="majorBidi"/>
          <w:szCs w:val="24"/>
        </w:rPr>
        <w:t>'</w:t>
      </w:r>
      <w:r>
        <w:rPr>
          <w:rFonts w:asciiTheme="majorBidi" w:hAnsiTheme="majorBidi" w:cstheme="majorBidi"/>
          <w:szCs w:val="24"/>
        </w:rPr>
        <w:t>. The German masses saw Darwinism as the answer to every question, the key to life's mysteries, and the opportunity to understand the universe. This era in Germany was known as the age of the Darwinist revolution.</w:t>
      </w:r>
      <w:r>
        <w:rPr>
          <w:rStyle w:val="a5"/>
          <w:rFonts w:asciiTheme="majorBidi" w:hAnsiTheme="majorBidi" w:cstheme="majorBidi"/>
          <w:szCs w:val="24"/>
        </w:rPr>
        <w:footnoteReference w:id="6"/>
      </w:r>
    </w:p>
    <w:p w14:paraId="07D5CDA0" w14:textId="77777777" w:rsidR="007A2600" w:rsidRPr="003F3A60" w:rsidRDefault="007A2600" w:rsidP="007A2600">
      <w:pPr>
        <w:bidi w:val="0"/>
      </w:pPr>
    </w:p>
    <w:p w14:paraId="303E38CF" w14:textId="77777777" w:rsidR="00EC5229" w:rsidRPr="007A2600" w:rsidRDefault="00EC5229"/>
    <w:sectPr w:rsidR="00EC5229" w:rsidRPr="007A260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027626" w14:textId="77777777" w:rsidR="007A2600" w:rsidRDefault="007A2600" w:rsidP="007A2600">
      <w:pPr>
        <w:spacing w:after="0" w:line="240" w:lineRule="auto"/>
      </w:pPr>
      <w:r>
        <w:separator/>
      </w:r>
    </w:p>
  </w:endnote>
  <w:endnote w:type="continuationSeparator" w:id="0">
    <w:p w14:paraId="4C2B929C" w14:textId="77777777" w:rsidR="007A2600" w:rsidRDefault="007A2600" w:rsidP="007A2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D23A4" w14:textId="77777777" w:rsidR="007A2600" w:rsidRDefault="007A2600" w:rsidP="007A2600">
      <w:pPr>
        <w:spacing w:after="0" w:line="240" w:lineRule="auto"/>
      </w:pPr>
      <w:r>
        <w:separator/>
      </w:r>
    </w:p>
  </w:footnote>
  <w:footnote w:type="continuationSeparator" w:id="0">
    <w:p w14:paraId="075AA3D4" w14:textId="77777777" w:rsidR="007A2600" w:rsidRDefault="007A2600" w:rsidP="007A2600">
      <w:pPr>
        <w:spacing w:after="0" w:line="240" w:lineRule="auto"/>
      </w:pPr>
      <w:r>
        <w:continuationSeparator/>
      </w:r>
    </w:p>
  </w:footnote>
  <w:footnote w:id="1">
    <w:p w14:paraId="7A06F2CA" w14:textId="77777777" w:rsidR="007A2600" w:rsidRPr="00FC7BA0" w:rsidRDefault="007A2600" w:rsidP="007A2600">
      <w:pPr>
        <w:pStyle w:val="a3"/>
        <w:bidi w:val="0"/>
        <w:ind w:left="540" w:hanging="273"/>
        <w:rPr>
          <w:rtl/>
        </w:rPr>
      </w:pPr>
      <w:r>
        <w:rPr>
          <w:rStyle w:val="a5"/>
        </w:rPr>
        <w:footnoteRef/>
      </w:r>
      <w:r>
        <w:rPr>
          <w:rtl/>
        </w:rPr>
        <w:t xml:space="preserve"> </w:t>
      </w:r>
      <w:r w:rsidRPr="005C2042">
        <w:rPr>
          <w:rFonts w:asciiTheme="majorBidi" w:hAnsiTheme="majorBidi" w:cstheme="majorBidi"/>
        </w:rPr>
        <w:t xml:space="preserve">Paul </w:t>
      </w:r>
      <w:proofErr w:type="spellStart"/>
      <w:r w:rsidRPr="005C2042">
        <w:rPr>
          <w:rFonts w:asciiTheme="majorBidi" w:hAnsiTheme="majorBidi" w:cstheme="majorBidi"/>
        </w:rPr>
        <w:t>Weindling</w:t>
      </w:r>
      <w:proofErr w:type="spellEnd"/>
      <w:r w:rsidRPr="005C2042">
        <w:rPr>
          <w:rFonts w:asciiTheme="majorBidi" w:hAnsiTheme="majorBidi" w:cstheme="majorBidi"/>
        </w:rPr>
        <w:t xml:space="preserve">, </w:t>
      </w:r>
      <w:r w:rsidRPr="005C2042">
        <w:rPr>
          <w:rFonts w:asciiTheme="majorBidi" w:hAnsiTheme="majorBidi" w:cstheme="majorBidi"/>
          <w:i/>
          <w:iCs/>
        </w:rPr>
        <w:t>Health, Race and German</w:t>
      </w:r>
      <w:r w:rsidRPr="005C2042">
        <w:rPr>
          <w:rFonts w:asciiTheme="majorBidi" w:hAnsiTheme="majorBidi" w:cstheme="majorBidi"/>
        </w:rPr>
        <w:t xml:space="preserve"> </w:t>
      </w:r>
      <w:r w:rsidRPr="005C2042">
        <w:rPr>
          <w:rFonts w:asciiTheme="majorBidi" w:hAnsiTheme="majorBidi" w:cstheme="majorBidi"/>
          <w:i/>
          <w:iCs/>
        </w:rPr>
        <w:t>Politics Between National Unification and Nazism, 1870 – 1945</w:t>
      </w:r>
      <w:r w:rsidRPr="005C2042">
        <w:rPr>
          <w:rFonts w:asciiTheme="majorBidi" w:hAnsiTheme="majorBidi" w:cstheme="majorBidi"/>
        </w:rPr>
        <w:t xml:space="preserve"> (Cambridge: Cambridge University Press, 1989), pp. 1- 10.</w:t>
      </w:r>
    </w:p>
  </w:footnote>
  <w:footnote w:id="2">
    <w:p w14:paraId="779D3175" w14:textId="77777777" w:rsidR="007A2600" w:rsidRPr="005C2042" w:rsidRDefault="007A2600" w:rsidP="007A2600">
      <w:pPr>
        <w:pStyle w:val="a3"/>
        <w:bidi w:val="0"/>
        <w:ind w:left="540" w:hanging="273"/>
        <w:rPr>
          <w:sz w:val="16"/>
          <w:szCs w:val="16"/>
        </w:rPr>
      </w:pPr>
      <w:r>
        <w:rPr>
          <w:rStyle w:val="a5"/>
        </w:rPr>
        <w:footnoteRef/>
      </w:r>
      <w:r>
        <w:rPr>
          <w:rtl/>
        </w:rPr>
        <w:t xml:space="preserve"> </w:t>
      </w:r>
      <w:r>
        <w:t xml:space="preserve"> </w:t>
      </w:r>
      <w:r w:rsidRPr="005C2042">
        <w:rPr>
          <w:rFonts w:asciiTheme="majorBidi" w:hAnsiTheme="majorBidi" w:cstheme="majorBidi"/>
        </w:rPr>
        <w:t xml:space="preserve">David Bindman, </w:t>
      </w:r>
      <w:r w:rsidRPr="005C2042">
        <w:rPr>
          <w:rFonts w:asciiTheme="majorBidi" w:hAnsiTheme="majorBidi" w:cstheme="majorBidi"/>
          <w:i/>
          <w:iCs/>
        </w:rPr>
        <w:t>From</w:t>
      </w:r>
      <w:r w:rsidRPr="005C2042">
        <w:rPr>
          <w:rFonts w:asciiTheme="majorBidi" w:hAnsiTheme="majorBidi" w:cstheme="majorBidi"/>
        </w:rPr>
        <w:t xml:space="preserve"> </w:t>
      </w:r>
      <w:r w:rsidRPr="005C2042">
        <w:rPr>
          <w:rFonts w:asciiTheme="majorBidi" w:hAnsiTheme="majorBidi" w:cstheme="majorBidi"/>
          <w:i/>
          <w:iCs/>
        </w:rPr>
        <w:t>Ape to Apollo</w:t>
      </w:r>
      <w:r w:rsidRPr="005C2042">
        <w:rPr>
          <w:rFonts w:asciiTheme="majorBidi" w:hAnsiTheme="majorBidi" w:cstheme="majorBidi"/>
        </w:rPr>
        <w:t xml:space="preserve"> (Ithaca, New York: Cornell University Press, 2002), pp. 23 – 78, 92 – 122, 202 – 223; </w:t>
      </w:r>
      <w:proofErr w:type="spellStart"/>
      <w:r w:rsidRPr="005C2042">
        <w:rPr>
          <w:rFonts w:asciiTheme="majorBidi" w:hAnsiTheme="majorBidi" w:cstheme="majorBidi"/>
        </w:rPr>
        <w:t>Jurgis</w:t>
      </w:r>
      <w:proofErr w:type="spellEnd"/>
      <w:r w:rsidRPr="005C2042">
        <w:rPr>
          <w:rFonts w:asciiTheme="majorBidi" w:hAnsiTheme="majorBidi" w:cstheme="majorBidi"/>
        </w:rPr>
        <w:t xml:space="preserve"> </w:t>
      </w:r>
      <w:proofErr w:type="spellStart"/>
      <w:r w:rsidRPr="005C2042">
        <w:rPr>
          <w:rFonts w:asciiTheme="majorBidi" w:hAnsiTheme="majorBidi" w:cstheme="majorBidi"/>
        </w:rPr>
        <w:t>Baltrušiatis</w:t>
      </w:r>
      <w:proofErr w:type="spellEnd"/>
      <w:r w:rsidRPr="005C2042">
        <w:rPr>
          <w:rFonts w:asciiTheme="majorBidi" w:hAnsiTheme="majorBidi" w:cstheme="majorBidi"/>
        </w:rPr>
        <w:t xml:space="preserve">, </w:t>
      </w:r>
      <w:r w:rsidRPr="005C2042">
        <w:rPr>
          <w:rFonts w:asciiTheme="majorBidi" w:hAnsiTheme="majorBidi" w:cstheme="majorBidi"/>
          <w:i/>
          <w:iCs/>
        </w:rPr>
        <w:t xml:space="preserve">An Essay on the Legend of Forms – Aberrations </w:t>
      </w:r>
      <w:r w:rsidRPr="005C2042">
        <w:rPr>
          <w:rFonts w:asciiTheme="majorBidi" w:hAnsiTheme="majorBidi" w:cstheme="majorBidi"/>
        </w:rPr>
        <w:t xml:space="preserve">(Cambridge: The </w:t>
      </w:r>
      <w:proofErr w:type="spellStart"/>
      <w:r w:rsidRPr="005C2042">
        <w:rPr>
          <w:rFonts w:asciiTheme="majorBidi" w:hAnsiTheme="majorBidi" w:cstheme="majorBidi"/>
        </w:rPr>
        <w:t>Mit</w:t>
      </w:r>
      <w:proofErr w:type="spellEnd"/>
      <w:r w:rsidRPr="005C2042">
        <w:rPr>
          <w:rFonts w:asciiTheme="majorBidi" w:hAnsiTheme="majorBidi" w:cstheme="majorBidi"/>
        </w:rPr>
        <w:t xml:space="preserve"> Press, 1989), pp. 37 – 52; Miriam Claude Meijer, </w:t>
      </w:r>
      <w:r w:rsidRPr="005C2042">
        <w:rPr>
          <w:rFonts w:asciiTheme="majorBidi" w:hAnsiTheme="majorBidi" w:cstheme="majorBidi"/>
          <w:i/>
          <w:iCs/>
        </w:rPr>
        <w:t>Race and Aesthetics in the Anthropology of Petrus Camper</w:t>
      </w:r>
      <w:r w:rsidRPr="005C2042">
        <w:rPr>
          <w:rFonts w:asciiTheme="majorBidi" w:hAnsiTheme="majorBidi" w:cstheme="majorBidi"/>
        </w:rPr>
        <w:t xml:space="preserve"> </w:t>
      </w:r>
      <w:r w:rsidRPr="005C2042">
        <w:rPr>
          <w:rFonts w:asciiTheme="majorBidi" w:hAnsiTheme="majorBidi" w:cstheme="majorBidi"/>
          <w:i/>
          <w:iCs/>
        </w:rPr>
        <w:t>(1722 – 1789)</w:t>
      </w:r>
      <w:r w:rsidRPr="005C2042">
        <w:rPr>
          <w:rFonts w:asciiTheme="majorBidi" w:hAnsiTheme="majorBidi" w:cstheme="majorBidi"/>
        </w:rPr>
        <w:t xml:space="preserve">, (Amsterdam: </w:t>
      </w:r>
      <w:proofErr w:type="spellStart"/>
      <w:r w:rsidRPr="005C2042">
        <w:rPr>
          <w:rFonts w:asciiTheme="majorBidi" w:hAnsiTheme="majorBidi" w:cstheme="majorBidi"/>
        </w:rPr>
        <w:t>Ropoli</w:t>
      </w:r>
      <w:proofErr w:type="spellEnd"/>
      <w:r w:rsidRPr="005C2042">
        <w:rPr>
          <w:rFonts w:asciiTheme="majorBidi" w:hAnsiTheme="majorBidi" w:cstheme="majorBidi"/>
        </w:rPr>
        <w:t xml:space="preserve">, 1999), pp. 101 – 166; Lucy Hartley, </w:t>
      </w:r>
      <w:r w:rsidRPr="005C2042">
        <w:rPr>
          <w:rFonts w:asciiTheme="majorBidi" w:hAnsiTheme="majorBidi" w:cstheme="majorBidi"/>
          <w:i/>
          <w:iCs/>
        </w:rPr>
        <w:t>Physiognomy and the Meaning of Expression in Nineteenth Century Culture</w:t>
      </w:r>
      <w:r w:rsidRPr="005C2042">
        <w:rPr>
          <w:rFonts w:asciiTheme="majorBidi" w:hAnsiTheme="majorBidi" w:cstheme="majorBidi"/>
        </w:rPr>
        <w:t xml:space="preserve"> (Cambridge: Cambridge University Press, 2001), pp. 1- 43.</w:t>
      </w:r>
    </w:p>
  </w:footnote>
  <w:footnote w:id="3">
    <w:p w14:paraId="647F3BEE" w14:textId="77777777" w:rsidR="007A2600" w:rsidRPr="005C2042" w:rsidRDefault="007A2600" w:rsidP="007A2600">
      <w:pPr>
        <w:pStyle w:val="a3"/>
        <w:bidi w:val="0"/>
        <w:ind w:left="540" w:hanging="273"/>
        <w:rPr>
          <w:sz w:val="16"/>
          <w:szCs w:val="16"/>
        </w:rPr>
      </w:pPr>
      <w:r>
        <w:rPr>
          <w:rStyle w:val="a5"/>
        </w:rPr>
        <w:footnoteRef/>
      </w:r>
      <w:r>
        <w:rPr>
          <w:rtl/>
        </w:rPr>
        <w:t xml:space="preserve"> </w:t>
      </w:r>
      <w:proofErr w:type="spellStart"/>
      <w:r w:rsidRPr="005C2042">
        <w:rPr>
          <w:rFonts w:asciiTheme="majorBidi" w:hAnsiTheme="majorBidi" w:cstheme="majorBidi"/>
        </w:rPr>
        <w:t>Baltrušaitis</w:t>
      </w:r>
      <w:proofErr w:type="spellEnd"/>
      <w:r w:rsidRPr="005C2042">
        <w:rPr>
          <w:rFonts w:asciiTheme="majorBidi" w:hAnsiTheme="majorBidi" w:cstheme="majorBidi"/>
        </w:rPr>
        <w:t xml:space="preserve">, </w:t>
      </w:r>
      <w:r w:rsidRPr="005C2042">
        <w:rPr>
          <w:rFonts w:asciiTheme="majorBidi" w:hAnsiTheme="majorBidi" w:cstheme="majorBidi"/>
          <w:i/>
          <w:iCs/>
        </w:rPr>
        <w:t>An Essay on the Legend of Forms- Aberrations</w:t>
      </w:r>
      <w:r w:rsidRPr="005C2042">
        <w:rPr>
          <w:rFonts w:asciiTheme="majorBidi" w:hAnsiTheme="majorBidi" w:cstheme="majorBidi"/>
        </w:rPr>
        <w:t>, pp. 48, 52</w:t>
      </w:r>
    </w:p>
  </w:footnote>
  <w:footnote w:id="4">
    <w:p w14:paraId="002AFEFE" w14:textId="77777777" w:rsidR="007A2600" w:rsidRDefault="007A2600" w:rsidP="007A2600">
      <w:pPr>
        <w:pStyle w:val="a3"/>
        <w:bidi w:val="0"/>
        <w:ind w:left="540" w:hanging="273"/>
      </w:pPr>
      <w:r>
        <w:rPr>
          <w:rStyle w:val="a5"/>
        </w:rPr>
        <w:footnoteRef/>
      </w:r>
      <w:r>
        <w:rPr>
          <w:rtl/>
        </w:rPr>
        <w:t xml:space="preserve"> </w:t>
      </w:r>
      <w:r>
        <w:t xml:space="preserve"> </w:t>
      </w:r>
      <w:r w:rsidRPr="008C212C">
        <w:rPr>
          <w:rFonts w:asciiTheme="majorBidi" w:hAnsiTheme="majorBidi" w:cstheme="majorBidi"/>
        </w:rPr>
        <w:t xml:space="preserve">Charles Darwin, </w:t>
      </w:r>
      <w:r w:rsidRPr="008C212C">
        <w:rPr>
          <w:rFonts w:asciiTheme="majorBidi" w:hAnsiTheme="majorBidi" w:cstheme="majorBidi"/>
          <w:i/>
          <w:iCs/>
        </w:rPr>
        <w:t>The Origin of Species by Means of Natural Selection or the Preservation of Favored Races in the Struggle for life</w:t>
      </w:r>
      <w:r w:rsidRPr="008C212C">
        <w:rPr>
          <w:rFonts w:asciiTheme="majorBidi" w:hAnsiTheme="majorBidi" w:cstheme="majorBidi"/>
        </w:rPr>
        <w:t xml:space="preserve"> (New York, 1859); Charles Darwin, </w:t>
      </w:r>
      <w:r w:rsidRPr="008C212C">
        <w:rPr>
          <w:rFonts w:asciiTheme="majorBidi" w:hAnsiTheme="majorBidi" w:cstheme="majorBidi"/>
          <w:i/>
          <w:iCs/>
        </w:rPr>
        <w:t>The descent of Man and Selection in Relation to Sex</w:t>
      </w:r>
      <w:r w:rsidRPr="008C212C">
        <w:rPr>
          <w:rFonts w:asciiTheme="majorBidi" w:hAnsiTheme="majorBidi" w:cstheme="majorBidi"/>
        </w:rPr>
        <w:t xml:space="preserve">, 2 </w:t>
      </w:r>
      <w:proofErr w:type="gramStart"/>
      <w:r w:rsidRPr="008C212C">
        <w:rPr>
          <w:rFonts w:asciiTheme="majorBidi" w:hAnsiTheme="majorBidi" w:cstheme="majorBidi"/>
        </w:rPr>
        <w:t>vols.,(</w:t>
      </w:r>
      <w:proofErr w:type="gramEnd"/>
      <w:r w:rsidRPr="008C212C">
        <w:rPr>
          <w:rFonts w:asciiTheme="majorBidi" w:hAnsiTheme="majorBidi" w:cstheme="majorBidi"/>
        </w:rPr>
        <w:t>New York, 1871).</w:t>
      </w:r>
    </w:p>
  </w:footnote>
  <w:footnote w:id="5">
    <w:p w14:paraId="0C850E79" w14:textId="77777777" w:rsidR="007A2600" w:rsidRDefault="007A2600" w:rsidP="007A2600">
      <w:pPr>
        <w:pStyle w:val="a3"/>
        <w:bidi w:val="0"/>
        <w:ind w:left="540" w:hanging="273"/>
        <w:rPr>
          <w:sz w:val="16"/>
          <w:szCs w:val="16"/>
        </w:rPr>
      </w:pPr>
      <w:r>
        <w:rPr>
          <w:rStyle w:val="a5"/>
        </w:rPr>
        <w:footnoteRef/>
      </w:r>
      <w:r>
        <w:rPr>
          <w:rtl/>
        </w:rPr>
        <w:t xml:space="preserve"> </w:t>
      </w:r>
      <w:r w:rsidRPr="008C212C">
        <w:rPr>
          <w:rFonts w:asciiTheme="majorBidi" w:hAnsiTheme="majorBidi" w:cstheme="majorBidi"/>
        </w:rPr>
        <w:t>S</w:t>
      </w:r>
      <w:r>
        <w:rPr>
          <w:rFonts w:asciiTheme="majorBidi" w:hAnsiTheme="majorBidi" w:cstheme="majorBidi"/>
        </w:rPr>
        <w:t xml:space="preserve">ome of the well-known authors and distributers </w:t>
      </w:r>
      <w:proofErr w:type="gramStart"/>
      <w:r>
        <w:rPr>
          <w:rFonts w:asciiTheme="majorBidi" w:hAnsiTheme="majorBidi" w:cstheme="majorBidi"/>
        </w:rPr>
        <w:t>were:</w:t>
      </w:r>
      <w:proofErr w:type="gramEnd"/>
      <w:r>
        <w:rPr>
          <w:rFonts w:asciiTheme="majorBidi" w:hAnsiTheme="majorBidi" w:cstheme="majorBidi"/>
        </w:rPr>
        <w:t xml:space="preserve"> </w:t>
      </w:r>
      <w:r w:rsidRPr="008C212C">
        <w:rPr>
          <w:rFonts w:asciiTheme="majorBidi" w:hAnsiTheme="majorBidi" w:cstheme="majorBidi"/>
        </w:rPr>
        <w:t xml:space="preserve">Friedrich </w:t>
      </w:r>
      <w:proofErr w:type="spellStart"/>
      <w:r w:rsidRPr="008C212C">
        <w:rPr>
          <w:rFonts w:asciiTheme="majorBidi" w:hAnsiTheme="majorBidi" w:cstheme="majorBidi"/>
        </w:rPr>
        <w:t>Ratzel</w:t>
      </w:r>
      <w:proofErr w:type="spellEnd"/>
      <w:r w:rsidRPr="008C212C">
        <w:rPr>
          <w:rFonts w:asciiTheme="majorBidi" w:hAnsiTheme="majorBidi" w:cstheme="majorBidi"/>
        </w:rPr>
        <w:t xml:space="preserve">, Carl Vogt, Ludwig Büchner, C. Bock, E.A. </w:t>
      </w:r>
      <w:proofErr w:type="spellStart"/>
      <w:r w:rsidRPr="008C212C">
        <w:rPr>
          <w:rFonts w:asciiTheme="majorBidi" w:hAnsiTheme="majorBidi" w:cstheme="majorBidi"/>
        </w:rPr>
        <w:t>Rossmässler</w:t>
      </w:r>
      <w:proofErr w:type="spellEnd"/>
      <w:r w:rsidRPr="008C212C">
        <w:rPr>
          <w:rFonts w:asciiTheme="majorBidi" w:hAnsiTheme="majorBidi" w:cstheme="majorBidi"/>
        </w:rPr>
        <w:t xml:space="preserve">, Alfred Brehm, Otto Zacharias, </w:t>
      </w:r>
      <w:proofErr w:type="spellStart"/>
      <w:r w:rsidRPr="008C212C">
        <w:rPr>
          <w:rFonts w:asciiTheme="majorBidi" w:hAnsiTheme="majorBidi" w:cstheme="majorBidi"/>
        </w:rPr>
        <w:t>Carus</w:t>
      </w:r>
      <w:proofErr w:type="spellEnd"/>
      <w:r w:rsidRPr="008C212C">
        <w:rPr>
          <w:rFonts w:asciiTheme="majorBidi" w:hAnsiTheme="majorBidi" w:cstheme="majorBidi"/>
        </w:rPr>
        <w:t xml:space="preserve"> Sterne, Wilhelm </w:t>
      </w:r>
      <w:proofErr w:type="spellStart"/>
      <w:r w:rsidRPr="008C212C">
        <w:rPr>
          <w:rFonts w:asciiTheme="majorBidi" w:hAnsiTheme="majorBidi" w:cstheme="majorBidi"/>
        </w:rPr>
        <w:t>Preyer</w:t>
      </w:r>
      <w:proofErr w:type="spellEnd"/>
      <w:r w:rsidRPr="008C212C">
        <w:rPr>
          <w:rFonts w:asciiTheme="majorBidi" w:hAnsiTheme="majorBidi" w:cstheme="majorBidi"/>
        </w:rPr>
        <w:t xml:space="preserve">, Arnold </w:t>
      </w:r>
      <w:proofErr w:type="spellStart"/>
      <w:r w:rsidRPr="008C212C">
        <w:rPr>
          <w:rFonts w:asciiTheme="majorBidi" w:hAnsiTheme="majorBidi" w:cstheme="majorBidi"/>
        </w:rPr>
        <w:t>Dodel</w:t>
      </w:r>
      <w:proofErr w:type="spellEnd"/>
      <w:r w:rsidRPr="008C212C">
        <w:rPr>
          <w:rFonts w:asciiTheme="majorBidi" w:hAnsiTheme="majorBidi" w:cstheme="majorBidi"/>
        </w:rPr>
        <w:t xml:space="preserve">, Oswald </w:t>
      </w:r>
      <w:proofErr w:type="spellStart"/>
      <w:r w:rsidRPr="008C212C">
        <w:rPr>
          <w:rFonts w:asciiTheme="majorBidi" w:hAnsiTheme="majorBidi" w:cstheme="majorBidi"/>
        </w:rPr>
        <w:t>K</w:t>
      </w:r>
      <w:r w:rsidRPr="008C212C">
        <w:rPr>
          <w:rFonts w:asciiTheme="majorBidi" w:eastAsia="Arial Unicode MS" w:hAnsiTheme="majorBidi" w:cstheme="majorBidi"/>
        </w:rPr>
        <w:t>ӧ</w:t>
      </w:r>
      <w:r w:rsidRPr="008C212C">
        <w:rPr>
          <w:rFonts w:asciiTheme="majorBidi" w:hAnsiTheme="majorBidi" w:cstheme="majorBidi"/>
        </w:rPr>
        <w:t>hler</w:t>
      </w:r>
      <w:proofErr w:type="spellEnd"/>
      <w:r w:rsidRPr="008C212C">
        <w:rPr>
          <w:rFonts w:asciiTheme="majorBidi" w:hAnsiTheme="majorBidi" w:cstheme="majorBidi"/>
        </w:rPr>
        <w:t>.</w:t>
      </w:r>
    </w:p>
    <w:p w14:paraId="6788F446" w14:textId="77777777" w:rsidR="007A2600" w:rsidRDefault="007A2600" w:rsidP="007A2600">
      <w:pPr>
        <w:pStyle w:val="a3"/>
        <w:bidi w:val="0"/>
        <w:ind w:left="540" w:firstLine="0"/>
        <w:rPr>
          <w:rFonts w:asciiTheme="majorBidi" w:hAnsiTheme="majorBidi" w:cstheme="majorBidi"/>
        </w:rPr>
      </w:pPr>
      <w:r w:rsidRPr="00F73DC1">
        <w:rPr>
          <w:rFonts w:asciiTheme="majorBidi" w:hAnsiTheme="majorBidi" w:cstheme="majorBidi"/>
          <w:b/>
          <w:bCs/>
        </w:rPr>
        <w:t>Literature on popular Darwinism is public libraries and private homes</w:t>
      </w:r>
      <w:r w:rsidRPr="00B74E1D">
        <w:rPr>
          <w:rFonts w:asciiTheme="majorBidi" w:hAnsiTheme="majorBidi" w:cstheme="majorBidi"/>
        </w:rPr>
        <w:t xml:space="preserve">: Alfred Kelly, </w:t>
      </w:r>
      <w:r w:rsidRPr="00B74E1D">
        <w:rPr>
          <w:rFonts w:asciiTheme="majorBidi" w:hAnsiTheme="majorBidi" w:cstheme="majorBidi"/>
          <w:i/>
          <w:iCs/>
        </w:rPr>
        <w:t>The Descent of Darwin – The Popularization of Darwinism in Germany, 1860 – 1914</w:t>
      </w:r>
      <w:r w:rsidRPr="00B74E1D">
        <w:rPr>
          <w:rFonts w:asciiTheme="majorBidi" w:hAnsiTheme="majorBidi" w:cstheme="majorBidi"/>
        </w:rPr>
        <w:t xml:space="preserve"> (Chapel Hill: The University of North Carolina Press, 1981), pp. 10 – 15; Rolf </w:t>
      </w:r>
      <w:proofErr w:type="spellStart"/>
      <w:r w:rsidRPr="00B74E1D">
        <w:rPr>
          <w:rFonts w:asciiTheme="majorBidi" w:hAnsiTheme="majorBidi" w:cstheme="majorBidi"/>
        </w:rPr>
        <w:t>Engelsing</w:t>
      </w:r>
      <w:proofErr w:type="spellEnd"/>
      <w:r w:rsidRPr="00B74E1D">
        <w:rPr>
          <w:rFonts w:asciiTheme="majorBidi" w:hAnsiTheme="majorBidi" w:cstheme="majorBidi"/>
        </w:rPr>
        <w:t xml:space="preserve">, </w:t>
      </w:r>
      <w:proofErr w:type="spellStart"/>
      <w:r w:rsidRPr="00B74E1D">
        <w:rPr>
          <w:rFonts w:asciiTheme="majorBidi" w:hAnsiTheme="majorBidi" w:cstheme="majorBidi"/>
          <w:i/>
          <w:iCs/>
        </w:rPr>
        <w:t>Analphabetentum</w:t>
      </w:r>
      <w:proofErr w:type="spellEnd"/>
      <w:r w:rsidRPr="00B74E1D">
        <w:rPr>
          <w:rFonts w:asciiTheme="majorBidi" w:hAnsiTheme="majorBidi" w:cstheme="majorBidi"/>
          <w:i/>
          <w:iCs/>
        </w:rPr>
        <w:t xml:space="preserve"> und </w:t>
      </w:r>
      <w:proofErr w:type="spellStart"/>
      <w:r w:rsidRPr="00B74E1D">
        <w:rPr>
          <w:rFonts w:asciiTheme="majorBidi" w:hAnsiTheme="majorBidi" w:cstheme="majorBidi"/>
          <w:i/>
          <w:iCs/>
        </w:rPr>
        <w:t>Lektüre</w:t>
      </w:r>
      <w:proofErr w:type="spellEnd"/>
      <w:r w:rsidRPr="00B74E1D">
        <w:rPr>
          <w:rFonts w:asciiTheme="majorBidi" w:hAnsiTheme="majorBidi" w:cstheme="majorBidi"/>
          <w:i/>
          <w:iCs/>
        </w:rPr>
        <w:t xml:space="preserve">: </w:t>
      </w:r>
      <w:proofErr w:type="spellStart"/>
      <w:r w:rsidRPr="00B74E1D">
        <w:rPr>
          <w:rFonts w:asciiTheme="majorBidi" w:hAnsiTheme="majorBidi" w:cstheme="majorBidi"/>
          <w:i/>
          <w:iCs/>
        </w:rPr>
        <w:t>Zur</w:t>
      </w:r>
      <w:proofErr w:type="spellEnd"/>
      <w:r w:rsidRPr="00B74E1D">
        <w:rPr>
          <w:rFonts w:asciiTheme="majorBidi" w:hAnsiTheme="majorBidi" w:cstheme="majorBidi"/>
          <w:i/>
          <w:iCs/>
        </w:rPr>
        <w:t xml:space="preserve"> </w:t>
      </w:r>
      <w:proofErr w:type="spellStart"/>
      <w:r w:rsidRPr="00B74E1D">
        <w:rPr>
          <w:rFonts w:asciiTheme="majorBidi" w:hAnsiTheme="majorBidi" w:cstheme="majorBidi"/>
          <w:i/>
          <w:iCs/>
        </w:rPr>
        <w:t>Sozialgeschichte</w:t>
      </w:r>
      <w:proofErr w:type="spellEnd"/>
      <w:r w:rsidRPr="00B74E1D">
        <w:rPr>
          <w:rFonts w:asciiTheme="majorBidi" w:hAnsiTheme="majorBidi" w:cstheme="majorBidi"/>
          <w:i/>
          <w:iCs/>
        </w:rPr>
        <w:t xml:space="preserve"> des </w:t>
      </w:r>
      <w:proofErr w:type="spellStart"/>
      <w:r w:rsidRPr="00B74E1D">
        <w:rPr>
          <w:rFonts w:asciiTheme="majorBidi" w:hAnsiTheme="majorBidi" w:cstheme="majorBidi"/>
          <w:i/>
          <w:iCs/>
        </w:rPr>
        <w:t>Lesens</w:t>
      </w:r>
      <w:proofErr w:type="spellEnd"/>
      <w:r w:rsidRPr="00B74E1D">
        <w:rPr>
          <w:rFonts w:asciiTheme="majorBidi" w:hAnsiTheme="majorBidi" w:cstheme="majorBidi"/>
          <w:i/>
          <w:iCs/>
        </w:rPr>
        <w:t xml:space="preserve"> in Deutschland </w:t>
      </w:r>
      <w:proofErr w:type="spellStart"/>
      <w:r w:rsidRPr="00B74E1D">
        <w:rPr>
          <w:rFonts w:asciiTheme="majorBidi" w:hAnsiTheme="majorBidi" w:cstheme="majorBidi"/>
          <w:i/>
          <w:iCs/>
        </w:rPr>
        <w:t>Zwischen</w:t>
      </w:r>
      <w:proofErr w:type="spellEnd"/>
      <w:r w:rsidRPr="00B74E1D">
        <w:rPr>
          <w:rFonts w:asciiTheme="majorBidi" w:hAnsiTheme="majorBidi" w:cstheme="majorBidi"/>
          <w:i/>
          <w:iCs/>
        </w:rPr>
        <w:t xml:space="preserve"> </w:t>
      </w:r>
      <w:proofErr w:type="spellStart"/>
      <w:r w:rsidRPr="00B74E1D">
        <w:rPr>
          <w:rFonts w:asciiTheme="majorBidi" w:hAnsiTheme="majorBidi" w:cstheme="majorBidi"/>
          <w:i/>
          <w:iCs/>
        </w:rPr>
        <w:t>Feudaler</w:t>
      </w:r>
      <w:proofErr w:type="spellEnd"/>
      <w:r w:rsidRPr="00B74E1D">
        <w:rPr>
          <w:rFonts w:asciiTheme="majorBidi" w:hAnsiTheme="majorBidi" w:cstheme="majorBidi"/>
          <w:i/>
          <w:iCs/>
        </w:rPr>
        <w:t xml:space="preserve"> und </w:t>
      </w:r>
      <w:proofErr w:type="spellStart"/>
      <w:r w:rsidRPr="00B74E1D">
        <w:rPr>
          <w:rFonts w:asciiTheme="majorBidi" w:hAnsiTheme="majorBidi" w:cstheme="majorBidi"/>
          <w:i/>
          <w:iCs/>
        </w:rPr>
        <w:t>Industrieller</w:t>
      </w:r>
      <w:proofErr w:type="spellEnd"/>
      <w:r w:rsidRPr="00B74E1D">
        <w:rPr>
          <w:rFonts w:asciiTheme="majorBidi" w:hAnsiTheme="majorBidi" w:cstheme="majorBidi"/>
          <w:i/>
          <w:iCs/>
        </w:rPr>
        <w:t xml:space="preserve"> Gesellschaft</w:t>
      </w:r>
      <w:r w:rsidRPr="00B74E1D">
        <w:rPr>
          <w:rFonts w:asciiTheme="majorBidi" w:hAnsiTheme="majorBidi" w:cstheme="majorBidi"/>
        </w:rPr>
        <w:t xml:space="preserve"> (Stuttgart: J.B. Metzler, 1973), p. 136.</w:t>
      </w:r>
    </w:p>
    <w:p w14:paraId="0C10121E" w14:textId="77777777" w:rsidR="007A2600" w:rsidRDefault="007A2600" w:rsidP="007A2600">
      <w:pPr>
        <w:pStyle w:val="a3"/>
        <w:bidi w:val="0"/>
        <w:ind w:left="540" w:firstLine="0"/>
        <w:rPr>
          <w:rFonts w:asciiTheme="majorBidi" w:hAnsiTheme="majorBidi" w:cstheme="majorBidi"/>
        </w:rPr>
      </w:pPr>
      <w:r w:rsidRPr="00F73DC1">
        <w:rPr>
          <w:rFonts w:asciiTheme="majorBidi" w:hAnsiTheme="majorBidi" w:cstheme="majorBidi"/>
          <w:b/>
          <w:bCs/>
        </w:rPr>
        <w:t>Lectures in halls and zoos</w:t>
      </w:r>
      <w:r w:rsidRPr="00B74E1D">
        <w:rPr>
          <w:rFonts w:asciiTheme="majorBidi" w:hAnsiTheme="majorBidi" w:cstheme="majorBidi"/>
        </w:rPr>
        <w:t xml:space="preserve"> - Kelly, </w:t>
      </w:r>
      <w:r w:rsidRPr="00B74E1D">
        <w:rPr>
          <w:rFonts w:asciiTheme="majorBidi" w:hAnsiTheme="majorBidi" w:cstheme="majorBidi"/>
          <w:i/>
          <w:iCs/>
        </w:rPr>
        <w:t>The Descent of Darwin</w:t>
      </w:r>
      <w:r w:rsidRPr="00B74E1D">
        <w:rPr>
          <w:rFonts w:asciiTheme="majorBidi" w:hAnsiTheme="majorBidi" w:cstheme="majorBidi"/>
        </w:rPr>
        <w:t xml:space="preserve">, pp. 3 – 9; Oliver </w:t>
      </w:r>
      <w:proofErr w:type="spellStart"/>
      <w:r w:rsidRPr="00B74E1D">
        <w:rPr>
          <w:rFonts w:asciiTheme="majorBidi" w:hAnsiTheme="majorBidi" w:cstheme="majorBidi"/>
        </w:rPr>
        <w:t>Hochadel</w:t>
      </w:r>
      <w:proofErr w:type="spellEnd"/>
      <w:r w:rsidRPr="00B74E1D">
        <w:rPr>
          <w:rFonts w:asciiTheme="majorBidi" w:hAnsiTheme="majorBidi" w:cstheme="majorBidi"/>
        </w:rPr>
        <w:t xml:space="preserve">, "Darwin in the Monkey Cage- The Zoological Garden as a Medium of Evolutionary Theory," In: </w:t>
      </w:r>
      <w:proofErr w:type="spellStart"/>
      <w:r w:rsidRPr="00B74E1D">
        <w:rPr>
          <w:rFonts w:asciiTheme="majorBidi" w:hAnsiTheme="majorBidi" w:cstheme="majorBidi"/>
        </w:rPr>
        <w:t>Dorothee</w:t>
      </w:r>
      <w:proofErr w:type="spellEnd"/>
      <w:r w:rsidRPr="00B74E1D">
        <w:rPr>
          <w:rFonts w:asciiTheme="majorBidi" w:hAnsiTheme="majorBidi" w:cstheme="majorBidi"/>
        </w:rPr>
        <w:t xml:space="preserve"> </w:t>
      </w:r>
      <w:proofErr w:type="spellStart"/>
      <w:r w:rsidRPr="00B74E1D">
        <w:rPr>
          <w:rFonts w:asciiTheme="majorBidi" w:hAnsiTheme="majorBidi" w:cstheme="majorBidi"/>
        </w:rPr>
        <w:t>Brantz</w:t>
      </w:r>
      <w:proofErr w:type="spellEnd"/>
      <w:r w:rsidRPr="00B74E1D">
        <w:rPr>
          <w:rFonts w:asciiTheme="majorBidi" w:hAnsiTheme="majorBidi" w:cstheme="majorBidi"/>
        </w:rPr>
        <w:t xml:space="preserve"> (Ed.), </w:t>
      </w:r>
      <w:r w:rsidRPr="00B74E1D">
        <w:rPr>
          <w:rFonts w:asciiTheme="majorBidi" w:hAnsiTheme="majorBidi" w:cstheme="majorBidi"/>
          <w:i/>
          <w:iCs/>
        </w:rPr>
        <w:t>Beastly Natures – Animals, Humans and the Study of History</w:t>
      </w:r>
      <w:r w:rsidRPr="00B74E1D">
        <w:rPr>
          <w:rFonts w:asciiTheme="majorBidi" w:hAnsiTheme="majorBidi" w:cstheme="majorBidi"/>
        </w:rPr>
        <w:t xml:space="preserve"> (London: University of Virginia Press, 2010), pp. 81 – 107.</w:t>
      </w:r>
    </w:p>
    <w:p w14:paraId="5F93B448" w14:textId="77777777" w:rsidR="007A2600" w:rsidRPr="00B74E1D" w:rsidRDefault="007A2600" w:rsidP="007A2600">
      <w:pPr>
        <w:pStyle w:val="a3"/>
        <w:bidi w:val="0"/>
        <w:ind w:left="540" w:firstLine="0"/>
        <w:rPr>
          <w:rFonts w:asciiTheme="majorBidi" w:hAnsiTheme="majorBidi" w:cstheme="majorBidi"/>
        </w:rPr>
      </w:pPr>
      <w:r w:rsidRPr="00F73DC1">
        <w:rPr>
          <w:rFonts w:asciiTheme="majorBidi" w:hAnsiTheme="majorBidi" w:cstheme="majorBidi"/>
          <w:b/>
          <w:bCs/>
        </w:rPr>
        <w:t>Some of the popular newspapers that shared Darwin's theories</w:t>
      </w:r>
      <w:r>
        <w:rPr>
          <w:rFonts w:asciiTheme="majorBidi" w:hAnsiTheme="majorBidi" w:cstheme="majorBidi"/>
        </w:rPr>
        <w:t>:</w:t>
      </w:r>
      <w:r w:rsidRPr="00B74E1D">
        <w:rPr>
          <w:rFonts w:asciiTheme="majorBidi" w:hAnsiTheme="majorBidi" w:cstheme="majorBidi"/>
          <w:sz w:val="16"/>
          <w:szCs w:val="16"/>
        </w:rPr>
        <w:t xml:space="preserve"> </w:t>
      </w:r>
      <w:r w:rsidRPr="00B74E1D">
        <w:rPr>
          <w:rFonts w:asciiTheme="majorBidi" w:hAnsiTheme="majorBidi" w:cstheme="majorBidi"/>
        </w:rPr>
        <w:t xml:space="preserve">Die </w:t>
      </w:r>
      <w:proofErr w:type="spellStart"/>
      <w:r w:rsidRPr="00B74E1D">
        <w:rPr>
          <w:rFonts w:asciiTheme="majorBidi" w:hAnsiTheme="majorBidi" w:cstheme="majorBidi"/>
        </w:rPr>
        <w:t>Gartenlaube</w:t>
      </w:r>
      <w:proofErr w:type="spellEnd"/>
      <w:r w:rsidRPr="00B74E1D">
        <w:rPr>
          <w:rFonts w:asciiTheme="majorBidi" w:hAnsiTheme="majorBidi" w:cstheme="majorBidi"/>
        </w:rPr>
        <w:t xml:space="preserve">, </w:t>
      </w:r>
      <w:proofErr w:type="spellStart"/>
      <w:r w:rsidRPr="00B74E1D">
        <w:rPr>
          <w:rFonts w:asciiTheme="majorBidi" w:hAnsiTheme="majorBidi" w:cstheme="majorBidi"/>
        </w:rPr>
        <w:t>Ausland</w:t>
      </w:r>
      <w:proofErr w:type="spellEnd"/>
      <w:r w:rsidRPr="00B74E1D">
        <w:rPr>
          <w:rFonts w:asciiTheme="majorBidi" w:hAnsiTheme="majorBidi" w:cstheme="majorBidi"/>
        </w:rPr>
        <w:t xml:space="preserve">, </w:t>
      </w:r>
      <w:proofErr w:type="spellStart"/>
      <w:r w:rsidRPr="00B74E1D">
        <w:rPr>
          <w:rFonts w:asciiTheme="majorBidi" w:hAnsiTheme="majorBidi" w:cstheme="majorBidi"/>
        </w:rPr>
        <w:t>Kosmos</w:t>
      </w:r>
      <w:proofErr w:type="spellEnd"/>
      <w:r w:rsidRPr="00B74E1D">
        <w:rPr>
          <w:rFonts w:asciiTheme="majorBidi" w:hAnsiTheme="majorBidi" w:cstheme="majorBidi"/>
        </w:rPr>
        <w:t xml:space="preserve">, Uber land und Meer, </w:t>
      </w:r>
      <w:proofErr w:type="spellStart"/>
      <w:r w:rsidRPr="00B74E1D">
        <w:rPr>
          <w:rFonts w:asciiTheme="majorBidi" w:hAnsiTheme="majorBidi" w:cstheme="majorBidi"/>
        </w:rPr>
        <w:t>Augsburger</w:t>
      </w:r>
      <w:proofErr w:type="spellEnd"/>
      <w:r w:rsidRPr="00B74E1D">
        <w:rPr>
          <w:rFonts w:asciiTheme="majorBidi" w:hAnsiTheme="majorBidi" w:cstheme="majorBidi"/>
        </w:rPr>
        <w:t xml:space="preserve"> </w:t>
      </w:r>
      <w:proofErr w:type="spellStart"/>
      <w:r w:rsidRPr="00B74E1D">
        <w:rPr>
          <w:rFonts w:asciiTheme="majorBidi" w:hAnsiTheme="majorBidi" w:cstheme="majorBidi"/>
        </w:rPr>
        <w:t>Nachrichten</w:t>
      </w:r>
      <w:proofErr w:type="spellEnd"/>
      <w:r w:rsidRPr="00B74E1D">
        <w:rPr>
          <w:rFonts w:asciiTheme="majorBidi" w:hAnsiTheme="majorBidi" w:cstheme="majorBidi"/>
        </w:rPr>
        <w:t xml:space="preserve">.  Kelly, </w:t>
      </w:r>
      <w:r w:rsidRPr="00B74E1D">
        <w:rPr>
          <w:rFonts w:asciiTheme="majorBidi" w:hAnsiTheme="majorBidi" w:cstheme="majorBidi"/>
          <w:i/>
          <w:iCs/>
        </w:rPr>
        <w:t>The Descent of Darwin</w:t>
      </w:r>
      <w:r w:rsidRPr="00B74E1D">
        <w:rPr>
          <w:rFonts w:asciiTheme="majorBidi" w:hAnsiTheme="majorBidi" w:cstheme="majorBidi"/>
        </w:rPr>
        <w:t xml:space="preserve">, pp. 15 – 21; </w:t>
      </w:r>
      <w:proofErr w:type="spellStart"/>
      <w:r w:rsidRPr="00B74E1D">
        <w:rPr>
          <w:rFonts w:asciiTheme="majorBidi" w:hAnsiTheme="majorBidi" w:cstheme="majorBidi"/>
        </w:rPr>
        <w:t>Weindling</w:t>
      </w:r>
      <w:proofErr w:type="spellEnd"/>
      <w:r w:rsidRPr="00B74E1D">
        <w:rPr>
          <w:rFonts w:asciiTheme="majorBidi" w:hAnsiTheme="majorBidi" w:cstheme="majorBidi"/>
        </w:rPr>
        <w:t xml:space="preserve">, </w:t>
      </w:r>
      <w:proofErr w:type="spellStart"/>
      <w:r w:rsidRPr="00B74E1D">
        <w:rPr>
          <w:rFonts w:asciiTheme="majorBidi" w:hAnsiTheme="majorBidi" w:cstheme="majorBidi"/>
          <w:i/>
          <w:iCs/>
        </w:rPr>
        <w:t>Helth</w:t>
      </w:r>
      <w:proofErr w:type="spellEnd"/>
      <w:r w:rsidRPr="00B74E1D">
        <w:rPr>
          <w:rFonts w:asciiTheme="majorBidi" w:hAnsiTheme="majorBidi" w:cstheme="majorBidi"/>
          <w:i/>
          <w:iCs/>
        </w:rPr>
        <w:t>, Race and German Politics</w:t>
      </w:r>
      <w:r w:rsidRPr="00B74E1D">
        <w:rPr>
          <w:rFonts w:asciiTheme="majorBidi" w:hAnsiTheme="majorBidi" w:cstheme="majorBidi"/>
        </w:rPr>
        <w:t xml:space="preserve"> 1870 – 1945, p. 29.</w:t>
      </w:r>
    </w:p>
  </w:footnote>
  <w:footnote w:id="6">
    <w:p w14:paraId="40780E84" w14:textId="77777777" w:rsidR="007A2600" w:rsidRDefault="007A2600" w:rsidP="007A2600">
      <w:pPr>
        <w:pStyle w:val="a3"/>
        <w:bidi w:val="0"/>
        <w:ind w:left="540" w:hanging="273"/>
      </w:pPr>
      <w:r>
        <w:rPr>
          <w:rStyle w:val="a5"/>
        </w:rPr>
        <w:footnoteRef/>
      </w:r>
      <w:r>
        <w:rPr>
          <w:rtl/>
        </w:rPr>
        <w:t xml:space="preserve"> </w:t>
      </w:r>
      <w:r w:rsidRPr="00DE2F41">
        <w:rPr>
          <w:rFonts w:asciiTheme="majorBidi" w:hAnsiTheme="majorBidi" w:cstheme="majorBidi"/>
        </w:rPr>
        <w:t xml:space="preserve">Kelly, </w:t>
      </w:r>
      <w:r w:rsidRPr="00DE2F41">
        <w:rPr>
          <w:rFonts w:asciiTheme="majorBidi" w:hAnsiTheme="majorBidi" w:cstheme="majorBidi"/>
          <w:i/>
          <w:iCs/>
        </w:rPr>
        <w:t>The Descent of Darwin</w:t>
      </w:r>
      <w:r w:rsidRPr="00DE2F41">
        <w:rPr>
          <w:rFonts w:asciiTheme="majorBidi" w:hAnsiTheme="majorBidi" w:cstheme="majorBidi"/>
        </w:rPr>
        <w:t xml:space="preserve">, pp. 5 – 9, 34 – 35; </w:t>
      </w:r>
      <w:proofErr w:type="spellStart"/>
      <w:r w:rsidRPr="00DE2F41">
        <w:rPr>
          <w:rFonts w:asciiTheme="majorBidi" w:hAnsiTheme="majorBidi" w:cstheme="majorBidi"/>
        </w:rPr>
        <w:t>Weindling</w:t>
      </w:r>
      <w:proofErr w:type="spellEnd"/>
      <w:r w:rsidRPr="00DE2F41">
        <w:rPr>
          <w:rFonts w:asciiTheme="majorBidi" w:hAnsiTheme="majorBidi" w:cstheme="majorBidi"/>
        </w:rPr>
        <w:t xml:space="preserve">, </w:t>
      </w:r>
      <w:r w:rsidRPr="00DE2F41">
        <w:rPr>
          <w:rFonts w:asciiTheme="majorBidi" w:hAnsiTheme="majorBidi" w:cstheme="majorBidi"/>
          <w:i/>
          <w:iCs/>
        </w:rPr>
        <w:t>Health, race and German politics 1870 – 1945</w:t>
      </w:r>
      <w:r w:rsidRPr="00DE2F41">
        <w:rPr>
          <w:rFonts w:asciiTheme="majorBidi" w:hAnsiTheme="majorBidi" w:cstheme="majorBidi"/>
        </w:rPr>
        <w:t xml:space="preserve">, p.37; Richard Weikart, </w:t>
      </w:r>
      <w:r w:rsidRPr="00DE2F41">
        <w:rPr>
          <w:rFonts w:asciiTheme="majorBidi" w:hAnsiTheme="majorBidi" w:cstheme="majorBidi"/>
          <w:i/>
          <w:iCs/>
        </w:rPr>
        <w:t xml:space="preserve">from Darwin to Hitler – Evolutionary Ethics, Eugenics, and Racism in Germany </w:t>
      </w:r>
      <w:r w:rsidRPr="00DE2F41">
        <w:rPr>
          <w:rFonts w:asciiTheme="majorBidi" w:hAnsiTheme="majorBidi" w:cstheme="majorBidi"/>
        </w:rPr>
        <w:t>(New York: Palgrave Macmillan, 2004), p. 12.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600"/>
    <w:rsid w:val="003524C7"/>
    <w:rsid w:val="00382949"/>
    <w:rsid w:val="00626B44"/>
    <w:rsid w:val="007A2600"/>
    <w:rsid w:val="00EC52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FAA86"/>
  <w15:chartTrackingRefBased/>
  <w15:docId w15:val="{2EAF516C-3B34-4BC6-B529-30B624839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A2600"/>
    <w:pPr>
      <w:bidi/>
      <w:spacing w:after="160" w:line="259" w:lineRule="auto"/>
    </w:pPr>
    <w:rPr>
      <w:rFonts w:eastAsia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7A2600"/>
    <w:pPr>
      <w:spacing w:after="0" w:line="240" w:lineRule="auto"/>
      <w:ind w:left="-11" w:right="-6" w:firstLine="278"/>
      <w:jc w:val="both"/>
    </w:pPr>
    <w:rPr>
      <w:rFonts w:ascii="Calibri" w:eastAsia="Calibri" w:hAnsi="Calibri" w:cs="Calibri"/>
      <w:color w:val="000000"/>
      <w:sz w:val="20"/>
      <w:szCs w:val="20"/>
    </w:rPr>
  </w:style>
  <w:style w:type="character" w:customStyle="1" w:styleId="a4">
    <w:name w:val="טקסט הערת שוליים תו"/>
    <w:basedOn w:val="a0"/>
    <w:link w:val="a3"/>
    <w:uiPriority w:val="99"/>
    <w:rsid w:val="007A2600"/>
    <w:rPr>
      <w:rFonts w:ascii="Calibri" w:eastAsia="Calibri" w:hAnsi="Calibri" w:cs="Calibri"/>
      <w:color w:val="000000"/>
      <w:sz w:val="20"/>
      <w:szCs w:val="20"/>
    </w:rPr>
  </w:style>
  <w:style w:type="character" w:styleId="a5">
    <w:name w:val="footnote reference"/>
    <w:basedOn w:val="a0"/>
    <w:uiPriority w:val="99"/>
    <w:semiHidden/>
    <w:unhideWhenUsed/>
    <w:rsid w:val="007A26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58C365FA5CE75741B86D98B68403801B" ma:contentTypeVersion="2" ma:contentTypeDescription="צור מסמך חדש." ma:contentTypeScope="" ma:versionID="bac0563af9f1075cb18737432c472d54">
  <xsd:schema xmlns:xsd="http://www.w3.org/2001/XMLSchema" xmlns:xs="http://www.w3.org/2001/XMLSchema" xmlns:p="http://schemas.microsoft.com/office/2006/metadata/properties" xmlns:ns3="939c6270-ac64-4275-88bb-6a342adfc718" targetNamespace="http://schemas.microsoft.com/office/2006/metadata/properties" ma:root="true" ma:fieldsID="28ec026a177564c1793899cae9fc6e0f" ns3:_="">
    <xsd:import namespace="939c6270-ac64-4275-88bb-6a342adfc718"/>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9c6270-ac64-4275-88bb-6a342adfc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1844AB-D7B9-419B-81F0-8E7E78054E1A}">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939c6270-ac64-4275-88bb-6a342adfc718"/>
    <ds:schemaRef ds:uri="http://www.w3.org/XML/1998/namespace"/>
    <ds:schemaRef ds:uri="http://purl.org/dc/dcmitype/"/>
  </ds:schemaRefs>
</ds:datastoreItem>
</file>

<file path=customXml/itemProps2.xml><?xml version="1.0" encoding="utf-8"?>
<ds:datastoreItem xmlns:ds="http://schemas.openxmlformats.org/officeDocument/2006/customXml" ds:itemID="{2F615910-64CE-4611-A11F-CAA0F76A51FC}">
  <ds:schemaRefs>
    <ds:schemaRef ds:uri="http://schemas.microsoft.com/sharepoint/v3/contenttype/forms"/>
  </ds:schemaRefs>
</ds:datastoreItem>
</file>

<file path=customXml/itemProps3.xml><?xml version="1.0" encoding="utf-8"?>
<ds:datastoreItem xmlns:ds="http://schemas.openxmlformats.org/officeDocument/2006/customXml" ds:itemID="{A5284759-2B0F-4F5E-B7C5-BACEC411E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9c6270-ac64-4275-88bb-6a342adfc7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780</Words>
  <Characters>3901</Characters>
  <Application>Microsoft Office Word</Application>
  <DocSecurity>0</DocSecurity>
  <Lines>32</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עדי רחל בר דוד</dc:creator>
  <cp:keywords/>
  <dc:description/>
  <cp:lastModifiedBy>עדי רחל בר דוד</cp:lastModifiedBy>
  <cp:revision>2</cp:revision>
  <dcterms:created xsi:type="dcterms:W3CDTF">2020-06-03T20:32:00Z</dcterms:created>
  <dcterms:modified xsi:type="dcterms:W3CDTF">2020-06-03T20:32:00Z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0x01010058C365FA5CE75741B86D98B68403801B</vt:lpwstr>
  </property>
</Properties>
</file>