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60" w:rsidRPr="00474760" w:rsidRDefault="00474760" w:rsidP="00474760">
      <w:pPr>
        <w:rPr>
          <w:rFonts w:ascii="Arial" w:hAnsi="Arial" w:cs="Arial"/>
          <w:color w:val="FF0000"/>
          <w:u w:val="single"/>
        </w:rPr>
      </w:pPr>
      <w:bookmarkStart w:id="0" w:name="_Toc187644586"/>
      <w:proofErr w:type="spellStart"/>
      <w:r w:rsidRPr="00474760">
        <w:rPr>
          <w:rFonts w:ascii="Arial" w:hAnsi="Arial" w:cs="Arial"/>
          <w:color w:val="FF0000"/>
          <w:u w:val="single"/>
        </w:rPr>
        <w:t>Sample</w:t>
      </w:r>
      <w:proofErr w:type="spellEnd"/>
      <w:r w:rsidRPr="00474760">
        <w:rPr>
          <w:rFonts w:ascii="Arial" w:hAnsi="Arial" w:cs="Arial"/>
          <w:color w:val="FF0000"/>
          <w:u w:val="single"/>
        </w:rPr>
        <w:t xml:space="preserve"> 1</w:t>
      </w:r>
    </w:p>
    <w:p w:rsidR="00474760" w:rsidRPr="00F300D4" w:rsidRDefault="00474760" w:rsidP="00474760">
      <w:pPr>
        <w:pStyle w:val="Nagwek1"/>
        <w:tabs>
          <w:tab w:val="right" w:pos="9317"/>
        </w:tabs>
        <w:spacing w:before="0" w:after="0" w:line="260" w:lineRule="atLeast"/>
        <w:rPr>
          <w:rFonts w:ascii="Times New Roman" w:hAnsi="Times New Roman"/>
          <w:bCs/>
          <w:noProof/>
          <w:snapToGrid w:val="0"/>
          <w:sz w:val="24"/>
          <w:szCs w:val="24"/>
          <w:lang w:val="pl-PL"/>
        </w:rPr>
      </w:pPr>
      <w:r w:rsidRPr="00F300D4">
        <w:rPr>
          <w:rFonts w:ascii="Times New Roman" w:hAnsi="Times New Roman"/>
          <w:bCs/>
          <w:noProof/>
          <w:snapToGrid w:val="0"/>
          <w:sz w:val="24"/>
          <w:szCs w:val="24"/>
          <w:lang w:val="pl-PL"/>
        </w:rPr>
        <w:t>WPROWADZENIE</w:t>
      </w:r>
      <w:bookmarkEnd w:id="0"/>
      <w:r w:rsidRPr="00F300D4">
        <w:rPr>
          <w:rFonts w:ascii="Times New Roman" w:hAnsi="Times New Roman"/>
          <w:bCs/>
          <w:noProof/>
          <w:snapToGrid w:val="0"/>
          <w:sz w:val="24"/>
          <w:szCs w:val="24"/>
          <w:lang w:val="pl-PL"/>
        </w:rPr>
        <w:tab/>
      </w:r>
    </w:p>
    <w:p w:rsidR="00474760" w:rsidRPr="00F300D4" w:rsidRDefault="00474760" w:rsidP="00474760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Vademecum Pracownika („</w:t>
      </w:r>
      <w:r w:rsidRPr="00F300D4">
        <w:rPr>
          <w:rFonts w:ascii="Times New Roman" w:hAnsi="Times New Roman" w:cs="Times New Roman"/>
          <w:sz w:val="24"/>
          <w:szCs w:val="24"/>
        </w:rPr>
        <w:t>Vademecum”) jest źródłem odniesienia dla wszystkich pracowników. Polityką UBS jest zapewnienie dostępu do Vademecum każdemu pracownikowi w miejscu działania firmy. Celem niniejszego dokumentu jest wyznaczenie i wyjaśnienie polityki f</w:t>
      </w:r>
      <w:r>
        <w:rPr>
          <w:rFonts w:ascii="Times New Roman" w:hAnsi="Times New Roman" w:cs="Times New Roman"/>
          <w:sz w:val="24"/>
          <w:szCs w:val="24"/>
        </w:rPr>
        <w:t>irmy UBS, jej praktyk, regulaminu</w:t>
      </w:r>
      <w:r w:rsidRPr="00F300D4">
        <w:rPr>
          <w:rFonts w:ascii="Times New Roman" w:hAnsi="Times New Roman" w:cs="Times New Roman"/>
          <w:sz w:val="24"/>
          <w:szCs w:val="24"/>
        </w:rPr>
        <w:t xml:space="preserve"> i zapewnianych pracownikom uprawnień, tak by pracownik był świadomy, czego się od niego oczekuje i czego może oczekiwać od UBS.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List angażujący (Engagement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>) stanowiący umowę o pracę pracownika wraz z dokumentami załączonymi do tej umowy, warunkami i procedurami określonymi w niniejszym dokumencie stanowią integralną część stosunku pracy między pracownikiem a UBS. Dlatego też uprzejmie prosimy o dokładne zapoznanie się z niniejszym Vademecum. W przypadku pytań lub potrzebnej pomocy prosimy kontaktować się z odpowiednim przedstawicielem Departamentu Zasobów Ludzkich (HR CRM).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Wszyscy pracown</w:t>
      </w:r>
      <w:r>
        <w:rPr>
          <w:rFonts w:ascii="Times New Roman" w:hAnsi="Times New Roman" w:cs="Times New Roman"/>
          <w:sz w:val="24"/>
          <w:szCs w:val="24"/>
        </w:rPr>
        <w:t>icy UBS Poland Service Centre („</w:t>
      </w:r>
      <w:r w:rsidRPr="00F300D4">
        <w:rPr>
          <w:rFonts w:ascii="Times New Roman" w:hAnsi="Times New Roman" w:cs="Times New Roman"/>
          <w:sz w:val="24"/>
          <w:szCs w:val="24"/>
        </w:rPr>
        <w:t xml:space="preserve">UBS PSC”) są zatrudnieni przez UBS Service Centre (Polska) Sp. z o.o. lub UBS Fund Services (Luksemburg) S.A. (Spółka Akcyjna) Oddział w Polsce, z siedzibą w Zabierzowie, o ile umowa o pracę pracownika nie stanowi inaczej. UBS może od czasu do czasu zwrócić się do swoich pracowników o świadczenie pracy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F300D4">
        <w:rPr>
          <w:rFonts w:ascii="Times New Roman" w:hAnsi="Times New Roman" w:cs="Times New Roman"/>
          <w:sz w:val="24"/>
          <w:szCs w:val="24"/>
        </w:rPr>
        <w:t>lub wsparcie inny</w:t>
      </w:r>
      <w:r>
        <w:rPr>
          <w:rFonts w:ascii="Times New Roman" w:hAnsi="Times New Roman" w:cs="Times New Roman"/>
          <w:sz w:val="24"/>
          <w:szCs w:val="24"/>
        </w:rPr>
        <w:t xml:space="preserve">ch spółek UBS AG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celem</w:t>
      </w:r>
      <w:r w:rsidRPr="00F300D4">
        <w:rPr>
          <w:rFonts w:ascii="Times New Roman" w:hAnsi="Times New Roman" w:cs="Times New Roman"/>
          <w:sz w:val="24"/>
          <w:szCs w:val="24"/>
        </w:rPr>
        <w:t xml:space="preserve"> zaspokojenia operacyjnych i biznesowych potr</w:t>
      </w:r>
      <w:r>
        <w:rPr>
          <w:rFonts w:ascii="Times New Roman" w:hAnsi="Times New Roman" w:cs="Times New Roman"/>
          <w:sz w:val="24"/>
          <w:szCs w:val="24"/>
        </w:rPr>
        <w:t>zeb Grupy. W takich przypadkach</w:t>
      </w:r>
      <w:r w:rsidRPr="00F300D4">
        <w:rPr>
          <w:rFonts w:ascii="Times New Roman" w:hAnsi="Times New Roman" w:cs="Times New Roman"/>
          <w:sz w:val="24"/>
          <w:szCs w:val="24"/>
        </w:rPr>
        <w:t xml:space="preserve"> pracownicy będą informowani z odpowiednim wyprzedzeniem o okresowym przyporządkowaniu do innej spółki w ramach Grupy</w:t>
      </w:r>
      <w:r>
        <w:rPr>
          <w:rFonts w:ascii="Times New Roman" w:hAnsi="Times New Roman" w:cs="Times New Roman"/>
          <w:sz w:val="24"/>
          <w:szCs w:val="24"/>
        </w:rPr>
        <w:t xml:space="preserve"> UBS AG</w:t>
      </w:r>
      <w:r w:rsidRPr="00F300D4">
        <w:rPr>
          <w:rFonts w:ascii="Times New Roman" w:hAnsi="Times New Roman" w:cs="Times New Roman"/>
          <w:sz w:val="24"/>
          <w:szCs w:val="24"/>
        </w:rPr>
        <w:t>. Wszelkie p</w:t>
      </w:r>
      <w:r>
        <w:rPr>
          <w:rFonts w:ascii="Times New Roman" w:hAnsi="Times New Roman" w:cs="Times New Roman"/>
          <w:sz w:val="24"/>
          <w:szCs w:val="24"/>
        </w:rPr>
        <w:t>ytania związane z okresową pracą</w:t>
      </w:r>
      <w:r w:rsidRPr="00F300D4">
        <w:rPr>
          <w:rFonts w:ascii="Times New Roman" w:hAnsi="Times New Roman" w:cs="Times New Roman"/>
          <w:sz w:val="24"/>
          <w:szCs w:val="24"/>
        </w:rPr>
        <w:t xml:space="preserve"> dla innych spółek </w:t>
      </w:r>
      <w:r>
        <w:rPr>
          <w:rFonts w:ascii="Times New Roman" w:hAnsi="Times New Roman" w:cs="Times New Roman"/>
          <w:sz w:val="24"/>
          <w:szCs w:val="24"/>
        </w:rPr>
        <w:t xml:space="preserve">należących do </w:t>
      </w:r>
      <w:r w:rsidRPr="00F300D4">
        <w:rPr>
          <w:rFonts w:ascii="Times New Roman" w:hAnsi="Times New Roman" w:cs="Times New Roman"/>
          <w:sz w:val="24"/>
          <w:szCs w:val="24"/>
        </w:rPr>
        <w:t>Grupy należy kierować do osoby wyznaczonej do kontaktów w Departamencie Zasobów Ludzkich.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Warto mieć na uwadze fakt, iż warunki zatrudnienia wymagają od wszystkich pracowników, aby w ramach stosunku pracy spełniali wymogi polityk i procedur Grupy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Centre</w:t>
      </w:r>
      <w:r w:rsidRPr="00F300D4">
        <w:rPr>
          <w:rFonts w:ascii="Times New Roman" w:hAnsi="Times New Roman" w:cs="Times New Roman"/>
          <w:sz w:val="24"/>
          <w:szCs w:val="24"/>
        </w:rPr>
        <w:t xml:space="preserve"> oraz w miarę możliwości, zapewniali ich spełnianie przez kolegów i współpracowników.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Prosimy również o zapoznanie się </w:t>
      </w:r>
      <w:r>
        <w:rPr>
          <w:rFonts w:ascii="Times New Roman" w:hAnsi="Times New Roman" w:cs="Times New Roman"/>
          <w:sz w:val="24"/>
          <w:szCs w:val="24"/>
        </w:rPr>
        <w:t xml:space="preserve">z treścią UBS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(„</w:t>
      </w:r>
      <w:r w:rsidRPr="00F300D4">
        <w:rPr>
          <w:rFonts w:ascii="Times New Roman" w:hAnsi="Times New Roman" w:cs="Times New Roman"/>
          <w:sz w:val="24"/>
          <w:szCs w:val="24"/>
        </w:rPr>
        <w:t xml:space="preserve">POLO”), intranetowego portalu informacyjnego zawierającego informacje na temat </w:t>
      </w:r>
      <w:r>
        <w:rPr>
          <w:rFonts w:ascii="Times New Roman" w:hAnsi="Times New Roman" w:cs="Times New Roman"/>
          <w:sz w:val="24"/>
          <w:szCs w:val="24"/>
        </w:rPr>
        <w:t>zasad polityki</w:t>
      </w:r>
      <w:r w:rsidRPr="00F300D4">
        <w:rPr>
          <w:rFonts w:ascii="Times New Roman" w:hAnsi="Times New Roman" w:cs="Times New Roman"/>
          <w:sz w:val="24"/>
          <w:szCs w:val="24"/>
        </w:rPr>
        <w:t xml:space="preserve"> UBS, dostępnego pod adresem: </w:t>
      </w:r>
      <w:r w:rsidRPr="006122AB">
        <w:rPr>
          <w:rFonts w:ascii="Times New Roman" w:hAnsi="Times New Roman" w:cs="Times New Roman"/>
          <w:sz w:val="24"/>
          <w:szCs w:val="24"/>
        </w:rPr>
        <w:t>http://bw.ubs.com/page/</w:t>
      </w:r>
      <w:r>
        <w:rPr>
          <w:rFonts w:ascii="Times New Roman" w:hAnsi="Times New Roman" w:cs="Times New Roman"/>
          <w:sz w:val="24"/>
          <w:szCs w:val="24"/>
        </w:rPr>
        <w:t>0/48/0,1080,4048-0-0-0,00.shtml</w:t>
      </w:r>
      <w:r w:rsidRPr="00F300D4">
        <w:rPr>
          <w:rFonts w:ascii="Times New Roman" w:hAnsi="Times New Roman" w:cs="Times New Roman"/>
          <w:sz w:val="24"/>
          <w:szCs w:val="24"/>
        </w:rPr>
        <w:t>. Portal ten jest wyłącznym źródłem wszelkich autoryzowanych info</w:t>
      </w:r>
      <w:r>
        <w:rPr>
          <w:rFonts w:ascii="Times New Roman" w:hAnsi="Times New Roman" w:cs="Times New Roman"/>
          <w:sz w:val="24"/>
          <w:szCs w:val="24"/>
        </w:rPr>
        <w:t>rmacji o zasadach polityki</w:t>
      </w:r>
      <w:r w:rsidRPr="00F300D4">
        <w:rPr>
          <w:rFonts w:ascii="Times New Roman" w:hAnsi="Times New Roman" w:cs="Times New Roman"/>
          <w:sz w:val="24"/>
          <w:szCs w:val="24"/>
        </w:rPr>
        <w:t xml:space="preserve"> UBS. Wszyscy pracownicy zob</w:t>
      </w:r>
      <w:r>
        <w:rPr>
          <w:rFonts w:ascii="Times New Roman" w:hAnsi="Times New Roman" w:cs="Times New Roman"/>
          <w:sz w:val="24"/>
          <w:szCs w:val="24"/>
        </w:rPr>
        <w:t>owiązani są do zapoznania się z wszystkimi odnoszącymi się do nich zasadami polityki</w:t>
      </w:r>
      <w:r w:rsidRPr="00F300D4">
        <w:rPr>
          <w:rFonts w:ascii="Times New Roman" w:hAnsi="Times New Roman" w:cs="Times New Roman"/>
          <w:sz w:val="24"/>
          <w:szCs w:val="24"/>
        </w:rPr>
        <w:t>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Każdy pracownik może również zapoznać się ze wszystkimi zasadami polityki Grupy i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Centre poprzez następujący link: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300D4">
          <w:rPr>
            <w:rStyle w:val="Hipercze"/>
            <w:rFonts w:ascii="Times New Roman" w:hAnsi="Times New Roman" w:cs="Times New Roman"/>
            <w:sz w:val="24"/>
            <w:szCs w:val="24"/>
          </w:rPr>
          <w:t>http://bw.policies.ubs.com/policies/search.html?bgid=1&amp;bgid=9&amp;ctid=0&amp;type=P&amp;type=S&amp;ou=0&amp;lang=0&amp;state=0&amp;tss=titles&amp;tss=summaries&amp;tss=documents&amp;qt=&amp;era=0&amp;fromdate=&amp;todate=&amp;page=1&amp;chapter=&amp;documentType=3&amp;reviewdate=&amp;find=Search</w:t>
        </w:r>
      </w:hyperlink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Zasady polityki Grupy w zakresie Zasobów Ludzkich są dostępne pod adresem: 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300D4">
          <w:rPr>
            <w:rStyle w:val="Hipercze"/>
            <w:rFonts w:ascii="Times New Roman" w:hAnsi="Times New Roman" w:cs="Times New Roman"/>
            <w:sz w:val="24"/>
            <w:szCs w:val="24"/>
          </w:rPr>
          <w:t>http://bw.policies.ubs.com/policies/1/13/1/documents.html</w:t>
        </w:r>
      </w:hyperlink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UBS zastrzega sobie prawo do okresowej publikacji nowych oraz aktualizowanych zasad polityki i procedur. Jeżeli występują jakiekolwiek sprzeczności między warunka</w:t>
      </w:r>
      <w:r>
        <w:rPr>
          <w:rFonts w:ascii="Times New Roman" w:hAnsi="Times New Roman" w:cs="Times New Roman"/>
          <w:sz w:val="24"/>
          <w:szCs w:val="24"/>
        </w:rPr>
        <w:t xml:space="preserve">mi określonymi w umowie o pracę, </w:t>
      </w:r>
      <w:r w:rsidRPr="00F300D4">
        <w:rPr>
          <w:rFonts w:ascii="Times New Roman" w:hAnsi="Times New Roman" w:cs="Times New Roman"/>
          <w:sz w:val="24"/>
          <w:szCs w:val="24"/>
        </w:rPr>
        <w:t>niniejszym Vademecum oraz wszelkimi innymi warunkami i procedurami, decydujące są warunki określone w umowie o pracę</w:t>
      </w:r>
      <w:r w:rsidRPr="00F300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74760" w:rsidRPr="00F300D4" w:rsidRDefault="00474760" w:rsidP="00474760">
      <w:pPr>
        <w:pStyle w:val="Nagwek"/>
        <w:tabs>
          <w:tab w:val="clear" w:pos="4153"/>
          <w:tab w:val="clear" w:pos="8306"/>
        </w:tabs>
        <w:spacing w:line="260" w:lineRule="atLeast"/>
        <w:jc w:val="both"/>
        <w:rPr>
          <w:rFonts w:ascii="Times New Roman" w:hAnsi="Times New Roman"/>
          <w:sz w:val="24"/>
          <w:szCs w:val="24"/>
          <w:lang w:val="pl-PL"/>
        </w:rPr>
      </w:pPr>
      <w:r w:rsidRPr="00F300D4">
        <w:rPr>
          <w:rFonts w:ascii="Times New Roman" w:hAnsi="Times New Roman"/>
          <w:sz w:val="24"/>
          <w:szCs w:val="24"/>
          <w:lang w:val="pl-PL"/>
        </w:rPr>
        <w:lastRenderedPageBreak/>
        <w:t>W niniejszym Va</w:t>
      </w:r>
      <w:r>
        <w:rPr>
          <w:rFonts w:ascii="Times New Roman" w:hAnsi="Times New Roman"/>
          <w:sz w:val="24"/>
          <w:szCs w:val="24"/>
          <w:lang w:val="pl-PL"/>
        </w:rPr>
        <w:t>demecum termin „UBS”</w:t>
      </w:r>
      <w:r w:rsidRPr="00F300D4">
        <w:rPr>
          <w:rFonts w:ascii="Times New Roman" w:hAnsi="Times New Roman"/>
          <w:sz w:val="24"/>
          <w:szCs w:val="24"/>
          <w:lang w:val="pl-PL"/>
        </w:rPr>
        <w:t xml:space="preserve"> oznacza UBS Service Centre (Polska) Sp. z o.o., UBS Fund Services (Luksemburg) S.A. (Spółka Akcyjna) Oddział w Polsce oraz ich spółkę macierzystą UBS AG, a także wszelkie inne spółki stowarzyszone lub powiązane z UBS na całym świecie.</w:t>
      </w:r>
    </w:p>
    <w:p w:rsidR="00474760" w:rsidRDefault="00474760" w:rsidP="00474760">
      <w:pPr>
        <w:pStyle w:val="Nagwek1"/>
        <w:spacing w:before="0" w:after="0" w:line="260" w:lineRule="atLeast"/>
        <w:rPr>
          <w:rFonts w:ascii="Times New Roman" w:hAnsi="Times New Roman"/>
          <w:sz w:val="24"/>
          <w:szCs w:val="24"/>
          <w:lang w:val="pl-PL"/>
        </w:rPr>
      </w:pPr>
      <w:bookmarkStart w:id="1" w:name="_Toc415457806"/>
      <w:bookmarkStart w:id="2" w:name="_Toc415458258"/>
      <w:bookmarkStart w:id="3" w:name="_Toc415458324"/>
      <w:bookmarkStart w:id="4" w:name="_Toc415461229"/>
      <w:bookmarkStart w:id="5" w:name="_Toc415461336"/>
      <w:bookmarkStart w:id="6" w:name="_Toc415461360"/>
      <w:bookmarkStart w:id="7" w:name="_Toc415547925"/>
      <w:bookmarkStart w:id="8" w:name="_Toc415913005"/>
      <w:bookmarkStart w:id="9" w:name="_Toc415913101"/>
      <w:bookmarkStart w:id="10" w:name="_Toc415913189"/>
      <w:bookmarkStart w:id="11" w:name="_Toc415913365"/>
      <w:bookmarkStart w:id="12" w:name="_Toc417448393"/>
      <w:bookmarkStart w:id="13" w:name="_Toc417448830"/>
      <w:bookmarkStart w:id="14" w:name="_Toc419191233"/>
      <w:bookmarkStart w:id="15" w:name="_Toc419191430"/>
      <w:bookmarkStart w:id="16" w:name="_Toc419610310"/>
      <w:bookmarkStart w:id="17" w:name="_Toc419610413"/>
      <w:bookmarkStart w:id="18" w:name="_Toc419611172"/>
      <w:bookmarkStart w:id="19" w:name="_Toc420123032"/>
      <w:bookmarkStart w:id="20" w:name="_Toc420124349"/>
      <w:bookmarkStart w:id="21" w:name="_Toc420142240"/>
      <w:bookmarkStart w:id="22" w:name="_Toc420211064"/>
      <w:bookmarkStart w:id="23" w:name="_Toc420308394"/>
      <w:bookmarkStart w:id="24" w:name="_Toc422639155"/>
      <w:bookmarkStart w:id="25" w:name="_Toc423232747"/>
      <w:bookmarkStart w:id="26" w:name="_Toc423234579"/>
      <w:bookmarkStart w:id="27" w:name="_Toc425760176"/>
      <w:bookmarkStart w:id="28" w:name="_Toc425760974"/>
      <w:bookmarkStart w:id="29" w:name="_Toc426881817"/>
      <w:bookmarkStart w:id="30" w:name="_Toc433432645"/>
      <w:bookmarkStart w:id="31" w:name="_Toc460322278"/>
      <w:bookmarkStart w:id="32" w:name="_Toc460322438"/>
      <w:bookmarkStart w:id="33" w:name="_Toc460322635"/>
      <w:bookmarkStart w:id="34" w:name="_Toc460322760"/>
      <w:bookmarkStart w:id="35" w:name="_Toc460322885"/>
      <w:bookmarkStart w:id="36" w:name="_Toc468869363"/>
      <w:bookmarkStart w:id="37" w:name="_Toc474123891"/>
      <w:bookmarkStart w:id="38" w:name="_Toc474124364"/>
      <w:bookmarkStart w:id="39" w:name="_Toc474124571"/>
      <w:bookmarkStart w:id="40" w:name="_Toc474124698"/>
      <w:bookmarkStart w:id="41" w:name="_Toc474134237"/>
      <w:bookmarkStart w:id="42" w:name="_Toc492786459"/>
      <w:bookmarkStart w:id="43" w:name="_Toc492788355"/>
      <w:bookmarkStart w:id="44" w:name="_Toc492790143"/>
      <w:bookmarkStart w:id="45" w:name="_Toc492790855"/>
      <w:bookmarkStart w:id="46" w:name="_Toc529350339"/>
      <w:bookmarkStart w:id="47" w:name="_Toc529353984"/>
      <w:bookmarkStart w:id="48" w:name="_Toc530985287"/>
      <w:bookmarkStart w:id="49" w:name="_Toc12865234"/>
      <w:bookmarkStart w:id="50" w:name="_Toc14243950"/>
      <w:bookmarkStart w:id="51" w:name="_Toc14244339"/>
      <w:bookmarkStart w:id="52" w:name="_Toc23142326"/>
      <w:bookmarkStart w:id="53" w:name="_Toc44837554"/>
      <w:bookmarkStart w:id="54" w:name="_Toc132618791"/>
      <w:bookmarkStart w:id="55" w:name="_Toc132618873"/>
      <w:bookmarkStart w:id="56" w:name="_Toc132620699"/>
      <w:bookmarkStart w:id="57" w:name="_Toc134945681"/>
      <w:bookmarkStart w:id="58" w:name="_Toc147310584"/>
      <w:bookmarkStart w:id="59" w:name="_Toc147310909"/>
      <w:bookmarkStart w:id="60" w:name="_Toc187644587"/>
    </w:p>
    <w:p w:rsidR="00474760" w:rsidRPr="00F300D4" w:rsidRDefault="00474760" w:rsidP="00474760">
      <w:pPr>
        <w:pStyle w:val="Nagwek1"/>
        <w:spacing w:before="0" w:after="0" w:line="260" w:lineRule="atLeast"/>
        <w:rPr>
          <w:rFonts w:ascii="Times New Roman" w:hAnsi="Times New Roman"/>
          <w:sz w:val="24"/>
          <w:szCs w:val="24"/>
          <w:lang w:val="pl-PL"/>
        </w:rPr>
      </w:pPr>
      <w:r w:rsidRPr="00F300D4">
        <w:rPr>
          <w:rFonts w:ascii="Times New Roman" w:hAnsi="Times New Roman"/>
          <w:sz w:val="24"/>
          <w:szCs w:val="24"/>
          <w:lang w:val="pl-PL"/>
        </w:rPr>
        <w:t>WARUNKI ZATRUDNIENIA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61" w:name="_Hlt36980563"/>
      <w:bookmarkStart w:id="62" w:name="_Toc415457807"/>
      <w:bookmarkStart w:id="63" w:name="_Toc415458259"/>
      <w:bookmarkStart w:id="64" w:name="_Toc415458325"/>
      <w:bookmarkStart w:id="65" w:name="_Toc415461230"/>
      <w:bookmarkStart w:id="66" w:name="_Toc415461337"/>
      <w:bookmarkStart w:id="67" w:name="_Toc415461361"/>
      <w:bookmarkStart w:id="68" w:name="_Toc415547926"/>
      <w:bookmarkStart w:id="69" w:name="_Toc415913006"/>
      <w:bookmarkStart w:id="70" w:name="_Toc415913102"/>
      <w:bookmarkStart w:id="71" w:name="_Toc415913190"/>
      <w:bookmarkStart w:id="72" w:name="_Toc415913366"/>
      <w:bookmarkStart w:id="73" w:name="_Toc417448394"/>
      <w:bookmarkStart w:id="74" w:name="_Toc417448831"/>
      <w:bookmarkStart w:id="75" w:name="_Toc419191234"/>
      <w:bookmarkStart w:id="76" w:name="_Toc419191431"/>
      <w:bookmarkStart w:id="77" w:name="_Toc419610311"/>
      <w:bookmarkStart w:id="78" w:name="_Toc419610414"/>
      <w:bookmarkStart w:id="79" w:name="_Toc419611173"/>
      <w:bookmarkStart w:id="80" w:name="_Toc420123033"/>
      <w:bookmarkStart w:id="81" w:name="_Toc420124350"/>
      <w:bookmarkStart w:id="82" w:name="_Toc420142241"/>
      <w:bookmarkStart w:id="83" w:name="_Toc420211065"/>
      <w:bookmarkStart w:id="84" w:name="_Toc420308395"/>
      <w:bookmarkStart w:id="85" w:name="_Toc422639156"/>
      <w:bookmarkStart w:id="86" w:name="_Toc423232748"/>
      <w:bookmarkStart w:id="87" w:name="_Toc423234580"/>
      <w:bookmarkStart w:id="88" w:name="_Toc425760177"/>
      <w:bookmarkStart w:id="89" w:name="_Toc425760975"/>
      <w:bookmarkStart w:id="90" w:name="_Toc426881818"/>
      <w:bookmarkStart w:id="91" w:name="_Toc433432646"/>
      <w:bookmarkStart w:id="92" w:name="_Toc460322279"/>
      <w:bookmarkStart w:id="93" w:name="_Toc460322439"/>
      <w:bookmarkStart w:id="94" w:name="_Toc460322636"/>
      <w:bookmarkStart w:id="95" w:name="_Toc460322761"/>
      <w:bookmarkStart w:id="96" w:name="_Toc460322886"/>
      <w:bookmarkStart w:id="97" w:name="_Toc468869364"/>
      <w:bookmarkStart w:id="98" w:name="_Toc474123892"/>
      <w:bookmarkStart w:id="99" w:name="_Toc474124365"/>
      <w:bookmarkStart w:id="100" w:name="_Toc474124572"/>
      <w:bookmarkStart w:id="101" w:name="_Toc474124699"/>
      <w:bookmarkStart w:id="102" w:name="_Toc474134238"/>
      <w:bookmarkStart w:id="103" w:name="_Toc492786460"/>
      <w:bookmarkStart w:id="104" w:name="_Toc492788356"/>
      <w:bookmarkStart w:id="105" w:name="_Toc492790144"/>
      <w:bookmarkStart w:id="106" w:name="_Toc492790856"/>
      <w:bookmarkStart w:id="107" w:name="_Toc529350340"/>
      <w:bookmarkStart w:id="108" w:name="_Toc529353985"/>
      <w:bookmarkStart w:id="109" w:name="_Toc530985288"/>
      <w:bookmarkStart w:id="110" w:name="_Toc12865235"/>
      <w:bookmarkStart w:id="111" w:name="_Toc14243951"/>
      <w:bookmarkStart w:id="112" w:name="_Toc14244340"/>
      <w:bookmarkStart w:id="113" w:name="_Toc23142327"/>
      <w:bookmarkStart w:id="114" w:name="_Toc44837556"/>
      <w:bookmarkStart w:id="115" w:name="_Toc132618793"/>
      <w:bookmarkStart w:id="116" w:name="_Toc132618875"/>
      <w:bookmarkStart w:id="117" w:name="_Toc132620701"/>
      <w:bookmarkStart w:id="118" w:name="_Toc134945683"/>
      <w:bookmarkStart w:id="119" w:name="_Toc147310585"/>
      <w:bookmarkStart w:id="120" w:name="_Toc147310910"/>
      <w:bookmarkEnd w:id="61"/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121" w:name="_Toc187644588"/>
      <w:r w:rsidRPr="00F300D4">
        <w:rPr>
          <w:rFonts w:ascii="Times New Roman" w:hAnsi="Times New Roman"/>
          <w:color w:val="auto"/>
          <w:szCs w:val="24"/>
          <w:lang w:val="pl-PL"/>
        </w:rPr>
        <w:t>Zmiany i aktualizacje Warunków Zatrudnienia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_Toc460322280"/>
      <w:bookmarkStart w:id="123" w:name="_Toc460322440"/>
      <w:bookmarkStart w:id="124" w:name="_Toc415457808"/>
      <w:bookmarkStart w:id="125" w:name="_Toc415458260"/>
      <w:bookmarkStart w:id="126" w:name="_Toc415458326"/>
      <w:bookmarkStart w:id="127" w:name="_Toc415461231"/>
      <w:bookmarkStart w:id="128" w:name="_Toc415461338"/>
      <w:bookmarkStart w:id="129" w:name="_Toc415461362"/>
      <w:bookmarkStart w:id="130" w:name="_Toc415547927"/>
      <w:bookmarkStart w:id="131" w:name="_Toc415913007"/>
      <w:bookmarkStart w:id="132" w:name="_Toc415913103"/>
      <w:bookmarkStart w:id="133" w:name="_Toc415913191"/>
      <w:bookmarkStart w:id="134" w:name="_Toc415913367"/>
      <w:bookmarkStart w:id="135" w:name="_Toc417448395"/>
      <w:bookmarkStart w:id="136" w:name="_Toc417448832"/>
      <w:bookmarkStart w:id="137" w:name="_Toc419191235"/>
      <w:bookmarkStart w:id="138" w:name="_Toc419191432"/>
      <w:bookmarkStart w:id="139" w:name="_Toc419610312"/>
      <w:bookmarkStart w:id="140" w:name="_Toc419610415"/>
      <w:bookmarkStart w:id="141" w:name="_Toc419611174"/>
      <w:bookmarkStart w:id="142" w:name="_Toc420123034"/>
      <w:bookmarkStart w:id="143" w:name="_Toc420124351"/>
      <w:bookmarkStart w:id="144" w:name="_Toc420142242"/>
      <w:bookmarkStart w:id="145" w:name="_Toc420211066"/>
      <w:bookmarkStart w:id="146" w:name="_Toc420308396"/>
      <w:bookmarkStart w:id="147" w:name="_Toc422639157"/>
      <w:bookmarkStart w:id="148" w:name="_Toc423232749"/>
      <w:bookmarkStart w:id="149" w:name="_Toc423234581"/>
      <w:bookmarkStart w:id="150" w:name="_Toc425760178"/>
      <w:bookmarkStart w:id="151" w:name="_Toc425760976"/>
      <w:bookmarkStart w:id="152" w:name="_Toc426881819"/>
      <w:bookmarkStart w:id="153" w:name="_Toc433432647"/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Jako odpowiedzialny pracodawca, UBS nieustannie aktualizuje warunki i zasady zatr</w:t>
      </w:r>
      <w:r>
        <w:rPr>
          <w:rFonts w:ascii="Times New Roman" w:hAnsi="Times New Roman" w:cs="Times New Roman"/>
          <w:sz w:val="24"/>
          <w:szCs w:val="24"/>
        </w:rPr>
        <w:t>udnienia. W związku z powyższym</w:t>
      </w:r>
      <w:r w:rsidRPr="00F300D4">
        <w:rPr>
          <w:rFonts w:ascii="Times New Roman" w:hAnsi="Times New Roman" w:cs="Times New Roman"/>
          <w:sz w:val="24"/>
          <w:szCs w:val="24"/>
        </w:rPr>
        <w:t xml:space="preserve"> UBS może od czasu do czasu modyfikować treść poniższych Rozdziałów, umowy o pracę oraz odnoszących się do nich dokumentów celem uwzględnienia zmian ustawowych lub innych okolicznoś</w:t>
      </w:r>
      <w:r>
        <w:rPr>
          <w:rFonts w:ascii="Times New Roman" w:hAnsi="Times New Roman" w:cs="Times New Roman"/>
          <w:sz w:val="24"/>
          <w:szCs w:val="24"/>
        </w:rPr>
        <w:t>ci, handlowych, operacyjnych bądź innych</w:t>
      </w:r>
      <w:r w:rsidRPr="00F300D4">
        <w:rPr>
          <w:rFonts w:ascii="Times New Roman" w:hAnsi="Times New Roman" w:cs="Times New Roman"/>
          <w:sz w:val="24"/>
          <w:szCs w:val="24"/>
        </w:rPr>
        <w:t>.</w:t>
      </w:r>
      <w:bookmarkEnd w:id="122"/>
      <w:bookmarkEnd w:id="123"/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Zmiany mogą być wprowadzane na zasadzie porozumienia stron lub wypowiedzeń zmieniających. Wszelkie tego rodzaju zmiany nie będą obowiązywać przed upływem odpowiedniego okresu wypowiedzenia, o ile strony nie postanowią inaczej.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54" w:name="_Toc460322282"/>
      <w:bookmarkStart w:id="155" w:name="_Toc460322442"/>
      <w:r w:rsidRPr="00F300D4">
        <w:rPr>
          <w:rFonts w:ascii="Times New Roman" w:hAnsi="Times New Roman" w:cs="Times New Roman"/>
          <w:sz w:val="24"/>
          <w:szCs w:val="24"/>
        </w:rPr>
        <w:t xml:space="preserve">Prosimy wziąć pod uwagę fakt, iż UBS ma prawo, według własnego uznania, do zmiany struktury hierarchii służbowej każdego z pracowników. 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Pracownicy będą informowani o wszelkich aktualizacjach i zmianach w tym względzie. </w:t>
      </w:r>
      <w:bookmarkEnd w:id="154"/>
      <w:bookmarkEnd w:id="155"/>
    </w:p>
    <w:p w:rsidR="00474760" w:rsidRPr="00F300D4" w:rsidRDefault="00474760" w:rsidP="00474760">
      <w:pPr>
        <w:pStyle w:val="Nagwek2"/>
        <w:spacing w:before="0" w:after="0" w:line="260" w:lineRule="atLeast"/>
        <w:jc w:val="both"/>
        <w:rPr>
          <w:rStyle w:val="Pogrubienie"/>
          <w:rFonts w:ascii="Times New Roman" w:eastAsiaTheme="majorEastAsia" w:hAnsi="Times New Roman"/>
          <w:b/>
          <w:color w:val="auto"/>
          <w:szCs w:val="24"/>
          <w:lang w:val="pl-PL"/>
        </w:rPr>
      </w:pPr>
      <w:bookmarkStart w:id="156" w:name="_Toc44837557"/>
      <w:bookmarkStart w:id="157" w:name="_Toc132618794"/>
      <w:bookmarkStart w:id="158" w:name="_Toc132618876"/>
      <w:bookmarkStart w:id="159" w:name="_Toc132620702"/>
      <w:bookmarkStart w:id="160" w:name="_Toc134945684"/>
      <w:bookmarkStart w:id="161" w:name="_Toc147310586"/>
      <w:bookmarkStart w:id="162" w:name="_Toc147310911"/>
      <w:bookmarkStart w:id="163" w:name="_Toc187644589"/>
      <w:r w:rsidRPr="00F300D4">
        <w:rPr>
          <w:rStyle w:val="Pogrubienie"/>
          <w:rFonts w:ascii="Times New Roman" w:eastAsiaTheme="majorEastAsia" w:hAnsi="Times New Roman"/>
          <w:b/>
          <w:color w:val="auto"/>
          <w:szCs w:val="24"/>
          <w:lang w:val="pl-PL"/>
        </w:rPr>
        <w:t xml:space="preserve">Powoływanie </w:t>
      </w:r>
      <w:bookmarkEnd w:id="156"/>
      <w:bookmarkEnd w:id="157"/>
      <w:bookmarkEnd w:id="158"/>
      <w:bookmarkEnd w:id="159"/>
      <w:bookmarkEnd w:id="160"/>
      <w:bookmarkEnd w:id="161"/>
      <w:bookmarkEnd w:id="162"/>
      <w:r w:rsidRPr="00F300D4">
        <w:rPr>
          <w:rStyle w:val="Pogrubienie"/>
          <w:rFonts w:ascii="Times New Roman" w:eastAsiaTheme="majorEastAsia" w:hAnsi="Times New Roman"/>
          <w:b/>
          <w:color w:val="auto"/>
          <w:szCs w:val="24"/>
          <w:lang w:val="pl-PL"/>
        </w:rPr>
        <w:t>na stanowiska członków organów spółki</w:t>
      </w:r>
      <w:bookmarkEnd w:id="163"/>
    </w:p>
    <w:p w:rsidR="00474760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 każdym czasie pracownik może być zobowiązany do działania jako członek organów w spółce/spółkach Grupy</w:t>
      </w:r>
      <w:r>
        <w:rPr>
          <w:rFonts w:ascii="Times New Roman" w:hAnsi="Times New Roman" w:cs="Times New Roman"/>
          <w:sz w:val="24"/>
          <w:szCs w:val="24"/>
        </w:rPr>
        <w:t xml:space="preserve"> zgodnie z wymogami UBS</w:t>
      </w:r>
      <w:r w:rsidRPr="00F300D4">
        <w:rPr>
          <w:rFonts w:ascii="Times New Roman" w:hAnsi="Times New Roman" w:cs="Times New Roman"/>
          <w:sz w:val="24"/>
          <w:szCs w:val="24"/>
        </w:rPr>
        <w:t>. W r</w:t>
      </w:r>
      <w:r>
        <w:rPr>
          <w:rFonts w:ascii="Times New Roman" w:hAnsi="Times New Roman" w:cs="Times New Roman"/>
          <w:sz w:val="24"/>
          <w:szCs w:val="24"/>
        </w:rPr>
        <w:t>azie takiej potrzeby</w:t>
      </w:r>
      <w:r w:rsidRPr="00F300D4">
        <w:rPr>
          <w:rFonts w:ascii="Times New Roman" w:hAnsi="Times New Roman" w:cs="Times New Roman"/>
          <w:sz w:val="24"/>
          <w:szCs w:val="24"/>
        </w:rPr>
        <w:t xml:space="preserve"> pracownicy będą informowani o nowych obowiązkach i dacie powołania na takie stanowisko. UBS oczekuje od nich rezygnacji z tych funkcji bez roszczeń wyrównawczych związanych z pełnien</w:t>
      </w:r>
      <w:r>
        <w:rPr>
          <w:rFonts w:ascii="Times New Roman" w:hAnsi="Times New Roman" w:cs="Times New Roman"/>
          <w:sz w:val="24"/>
          <w:szCs w:val="24"/>
        </w:rPr>
        <w:t>iem tych funkcji w którejkolwiek spółce w dowolnym momencie na żądanie USB.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UBS zapewnia obecnie ubezpieczenie odpowiedzialności cywilno-prawnej pracowników pełniących funkcje członków organów spółek, obejmujące niektóre z odpowiedzialności pracowników i byłych pracowników UBS, wynikające z ich działalności jako członków organów spółek. Ubezpieczenie obejmuje określone zobowiązania wynikające z ich działań wobec zewnętrznych podmiotów (z wyjątkiem podmiotów non-profit), prowadzonych w interesie oraz na żądanie UBS.</w:t>
      </w:r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164" w:name="_Toc460322283"/>
      <w:bookmarkStart w:id="165" w:name="_Toc460322443"/>
      <w:bookmarkStart w:id="166" w:name="_Toc460322637"/>
      <w:bookmarkStart w:id="167" w:name="_Toc460322762"/>
      <w:bookmarkStart w:id="168" w:name="_Toc460322887"/>
      <w:bookmarkStart w:id="169" w:name="_Toc468869365"/>
      <w:bookmarkStart w:id="170" w:name="_Toc474123893"/>
      <w:bookmarkStart w:id="171" w:name="_Toc474124366"/>
      <w:bookmarkStart w:id="172" w:name="_Toc474124573"/>
      <w:bookmarkStart w:id="173" w:name="_Toc474124700"/>
      <w:bookmarkStart w:id="174" w:name="_Toc474134239"/>
      <w:bookmarkStart w:id="175" w:name="_Toc492786461"/>
      <w:bookmarkStart w:id="176" w:name="_Toc492788357"/>
      <w:bookmarkStart w:id="177" w:name="_Toc492790145"/>
      <w:bookmarkStart w:id="178" w:name="_Toc492790857"/>
      <w:bookmarkStart w:id="179" w:name="_Toc529350341"/>
      <w:bookmarkStart w:id="180" w:name="_Toc529353986"/>
      <w:bookmarkStart w:id="181" w:name="_Toc530985289"/>
      <w:bookmarkStart w:id="182" w:name="_Toc12865236"/>
      <w:bookmarkStart w:id="183" w:name="_Toc14243952"/>
      <w:bookmarkStart w:id="184" w:name="_Toc14244341"/>
      <w:bookmarkStart w:id="185" w:name="_Toc23142328"/>
      <w:bookmarkStart w:id="186" w:name="_Toc44837558"/>
      <w:bookmarkStart w:id="187" w:name="_Toc132618795"/>
      <w:bookmarkStart w:id="188" w:name="_Toc132618877"/>
      <w:bookmarkStart w:id="189" w:name="_Toc132620703"/>
      <w:bookmarkStart w:id="190" w:name="_Toc134945685"/>
      <w:bookmarkStart w:id="191" w:name="_Toc147310587"/>
      <w:bookmarkStart w:id="192" w:name="_Toc147310912"/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193" w:name="_Toc187644590"/>
      <w:r w:rsidRPr="00F300D4">
        <w:rPr>
          <w:rFonts w:ascii="Times New Roman" w:hAnsi="Times New Roman"/>
          <w:color w:val="auto"/>
          <w:szCs w:val="24"/>
          <w:lang w:val="pl-PL"/>
        </w:rPr>
        <w:t>Zmiany w sytuacji i danych osobowych pracownika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Aktualizacja danych personalnych UBS jest niezwykle ważna. Obowiązkiem pracownika jest bezzwłoczne informowanie Departamentu Zasobów Ludzkich o wszelkich zmianach w sytuacji osobistej i danych osobowych. Przykładem takich zmian są zmiany adresu, stanu cywilnego, krewnych oraz osiąganiu kolejnych kwalifikacji zawodowych.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Pr="00F300D4">
        <w:rPr>
          <w:rFonts w:ascii="Times New Roman" w:hAnsi="Times New Roman" w:cs="Times New Roman"/>
          <w:sz w:val="24"/>
          <w:szCs w:val="24"/>
        </w:rPr>
        <w:t xml:space="preserve"> należy bezzwłocznie poinformować Departament Zasobó</w:t>
      </w:r>
      <w:r>
        <w:rPr>
          <w:rFonts w:ascii="Times New Roman" w:hAnsi="Times New Roman" w:cs="Times New Roman"/>
          <w:sz w:val="24"/>
          <w:szCs w:val="24"/>
        </w:rPr>
        <w:t>w Ludzkich o wszelkich zmianach</w:t>
      </w:r>
      <w:r w:rsidRPr="00F300D4">
        <w:rPr>
          <w:rFonts w:ascii="Times New Roman" w:hAnsi="Times New Roman" w:cs="Times New Roman"/>
          <w:sz w:val="24"/>
          <w:szCs w:val="24"/>
        </w:rPr>
        <w:t xml:space="preserve"> w stosunku do stanu zgłoszonego w momencie zatrudnienia, w tym dotyczących prowadzonej działalności gospodarczej pracownika, piastowanych zewnętrznie funkcjach i udziałach posiadanych w innych spółkach</w:t>
      </w:r>
      <w:bookmarkStart w:id="194" w:name="_Toc529353987"/>
      <w:r w:rsidRPr="00F300D4">
        <w:rPr>
          <w:rFonts w:ascii="Times New Roman" w:hAnsi="Times New Roman" w:cs="Times New Roman"/>
          <w:sz w:val="24"/>
          <w:szCs w:val="24"/>
        </w:rPr>
        <w:t>.</w:t>
      </w:r>
      <w:bookmarkStart w:id="195" w:name="_Toc415457809"/>
      <w:bookmarkStart w:id="196" w:name="_Toc415458261"/>
      <w:bookmarkStart w:id="197" w:name="_Toc415458327"/>
      <w:bookmarkStart w:id="198" w:name="_Toc415461232"/>
      <w:bookmarkStart w:id="199" w:name="_Toc415461339"/>
      <w:bookmarkStart w:id="200" w:name="_Toc415461363"/>
      <w:bookmarkStart w:id="201" w:name="_Toc415547928"/>
      <w:bookmarkStart w:id="202" w:name="_Toc415913008"/>
      <w:bookmarkStart w:id="203" w:name="_Toc415913104"/>
      <w:bookmarkStart w:id="204" w:name="_Toc415913192"/>
      <w:bookmarkStart w:id="205" w:name="_Toc415913368"/>
      <w:bookmarkStart w:id="206" w:name="_Toc417448396"/>
      <w:bookmarkStart w:id="207" w:name="_Toc417448833"/>
      <w:bookmarkStart w:id="208" w:name="_Toc419191236"/>
      <w:bookmarkStart w:id="209" w:name="_Toc419191433"/>
      <w:bookmarkStart w:id="210" w:name="_Toc419610313"/>
      <w:bookmarkStart w:id="211" w:name="_Toc419610416"/>
      <w:bookmarkStart w:id="212" w:name="_Toc419611175"/>
      <w:bookmarkStart w:id="213" w:name="_Toc420123035"/>
      <w:bookmarkStart w:id="214" w:name="_Toc420124352"/>
      <w:bookmarkStart w:id="215" w:name="_Toc420142243"/>
      <w:bookmarkStart w:id="216" w:name="_Toc420211067"/>
      <w:bookmarkStart w:id="217" w:name="_Toc420308397"/>
      <w:bookmarkStart w:id="218" w:name="_Toc422639158"/>
      <w:bookmarkStart w:id="219" w:name="_Toc423232750"/>
      <w:bookmarkStart w:id="220" w:name="_Toc423234582"/>
      <w:bookmarkStart w:id="221" w:name="_Toc425760179"/>
      <w:bookmarkStart w:id="222" w:name="_Toc425760977"/>
      <w:bookmarkStart w:id="223" w:name="_Toc426881820"/>
      <w:bookmarkStart w:id="224" w:name="_Toc433432648"/>
      <w:bookmarkStart w:id="225" w:name="_Toc460322284"/>
      <w:bookmarkStart w:id="226" w:name="_Toc460322444"/>
      <w:bookmarkStart w:id="227" w:name="_Toc460322638"/>
      <w:bookmarkStart w:id="228" w:name="_Toc460322763"/>
      <w:bookmarkStart w:id="229" w:name="_Toc460322888"/>
      <w:bookmarkStart w:id="230" w:name="_Toc468869366"/>
      <w:bookmarkStart w:id="231" w:name="_Toc474123894"/>
      <w:bookmarkStart w:id="232" w:name="_Toc474124367"/>
      <w:bookmarkStart w:id="233" w:name="_Toc474124574"/>
      <w:bookmarkStart w:id="234" w:name="_Toc474124701"/>
      <w:bookmarkStart w:id="235" w:name="_Toc474134240"/>
      <w:bookmarkStart w:id="236" w:name="_Toc492786462"/>
      <w:bookmarkStart w:id="237" w:name="_Toc492788358"/>
      <w:bookmarkStart w:id="238" w:name="_Toc492790146"/>
      <w:bookmarkStart w:id="239" w:name="_Toc492790858"/>
      <w:bookmarkStart w:id="240" w:name="_Toc529350342"/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241" w:name="_Toc415457810"/>
      <w:bookmarkStart w:id="242" w:name="_Toc415458262"/>
      <w:bookmarkStart w:id="243" w:name="_Toc415458328"/>
      <w:bookmarkStart w:id="244" w:name="_Toc415461233"/>
      <w:bookmarkStart w:id="245" w:name="_Toc415461340"/>
      <w:bookmarkStart w:id="246" w:name="_Toc415461364"/>
      <w:bookmarkStart w:id="247" w:name="_Toc415547929"/>
      <w:bookmarkStart w:id="248" w:name="_Toc415913009"/>
      <w:bookmarkStart w:id="249" w:name="_Toc415913105"/>
      <w:bookmarkStart w:id="250" w:name="_Toc415913193"/>
      <w:bookmarkStart w:id="251" w:name="_Toc415913369"/>
      <w:bookmarkStart w:id="252" w:name="_Toc417448397"/>
      <w:bookmarkStart w:id="253" w:name="_Toc417448834"/>
      <w:bookmarkStart w:id="254" w:name="_Toc419191237"/>
      <w:bookmarkStart w:id="255" w:name="_Toc419191434"/>
      <w:bookmarkStart w:id="256" w:name="_Toc419610314"/>
      <w:bookmarkStart w:id="257" w:name="_Toc419610417"/>
      <w:bookmarkStart w:id="258" w:name="_Toc419611176"/>
      <w:bookmarkStart w:id="259" w:name="_Toc420123036"/>
      <w:bookmarkStart w:id="260" w:name="_Toc420124353"/>
      <w:bookmarkStart w:id="261" w:name="_Toc420142244"/>
      <w:bookmarkStart w:id="262" w:name="_Toc420211068"/>
      <w:bookmarkStart w:id="263" w:name="_Toc420308398"/>
      <w:bookmarkStart w:id="264" w:name="_Toc422639159"/>
      <w:bookmarkStart w:id="265" w:name="_Toc423232751"/>
      <w:bookmarkStart w:id="266" w:name="_Toc423′34583"/>
      <w:bookmarkStart w:id="267" w:name="_Toc425760180"/>
      <w:bookmarkStart w:id="268" w:name="_Toc425760978"/>
      <w:bookmarkStart w:id="269" w:name="_Toc426881821"/>
      <w:bookmarkStart w:id="270" w:name="_Toc433432649"/>
      <w:bookmarkStart w:id="271" w:name="_Toc460322286"/>
      <w:bookmarkStart w:id="272" w:name="_Toc460322446"/>
      <w:bookmarkStart w:id="273" w:name="_Toc460322639"/>
      <w:bookmarkStart w:id="274" w:name="_Toc460322764"/>
      <w:bookmarkStart w:id="275" w:name="_Toc460322889"/>
      <w:bookmarkStart w:id="276" w:name="_Toc468869367"/>
      <w:bookmarkStart w:id="277" w:name="_Toc474123895"/>
      <w:bookmarkStart w:id="278" w:name="_Toc474124368"/>
      <w:bookmarkStart w:id="279" w:name="_Toc474124575"/>
      <w:bookmarkStart w:id="280" w:name="_Toc474124702"/>
      <w:bookmarkStart w:id="281" w:name="_Toc474134241"/>
      <w:bookmarkStart w:id="282" w:name="_Toc492786463"/>
      <w:bookmarkStart w:id="283" w:name="_Toc492788359"/>
      <w:bookmarkStart w:id="284" w:name="_Toc492790147"/>
      <w:bookmarkStart w:id="285" w:name="_Toc492790859"/>
      <w:bookmarkStart w:id="286" w:name="_Toc529350343"/>
      <w:bookmarkStart w:id="287" w:name="_Toc529353988"/>
      <w:bookmarkStart w:id="288" w:name="_Toc530985291"/>
      <w:bookmarkStart w:id="289" w:name="_Toc12865238"/>
      <w:bookmarkStart w:id="290" w:name="_Toc14243954"/>
      <w:bookmarkStart w:id="291" w:name="_Toc14244343"/>
      <w:bookmarkStart w:id="292" w:name="_Toc23142330"/>
      <w:bookmarkStart w:id="293" w:name="_Toc44837560"/>
      <w:bookmarkStart w:id="294" w:name="_Toc132618797"/>
      <w:bookmarkStart w:id="295" w:name="_Toc132618879"/>
      <w:bookmarkStart w:id="296" w:name="_Toc132620705"/>
      <w:bookmarkStart w:id="297" w:name="_Toc134945686"/>
      <w:bookmarkStart w:id="298" w:name="_Toc147310588"/>
      <w:bookmarkStart w:id="299" w:name="_Toc14731091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300" w:name="_Toc187644591"/>
      <w:r w:rsidRPr="00F300D4">
        <w:rPr>
          <w:rFonts w:ascii="Times New Roman" w:hAnsi="Times New Roman"/>
          <w:color w:val="auto"/>
          <w:szCs w:val="24"/>
          <w:lang w:val="pl-PL"/>
        </w:rPr>
        <w:lastRenderedPageBreak/>
        <w:t>Zmiany stałego adresu zamieszkania</w:t>
      </w:r>
      <w:bookmarkEnd w:id="300"/>
    </w:p>
    <w:p w:rsidR="00474760" w:rsidRPr="00F300D4" w:rsidRDefault="00474760" w:rsidP="00474760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Każdy pracownik, który ma zamiar zmienić miejsce swojego zamieszkania (tymczasowo lub na stałe) i/lub zmien</w:t>
      </w:r>
      <w:r>
        <w:rPr>
          <w:rFonts w:ascii="Times New Roman" w:hAnsi="Times New Roman" w:cs="Times New Roman"/>
          <w:sz w:val="24"/>
          <w:szCs w:val="24"/>
        </w:rPr>
        <w:t>ić obecne warunki pracy dla UBS</w:t>
      </w:r>
      <w:r w:rsidRPr="00F300D4">
        <w:rPr>
          <w:rFonts w:ascii="Times New Roman" w:hAnsi="Times New Roman" w:cs="Times New Roman"/>
          <w:sz w:val="24"/>
          <w:szCs w:val="24"/>
        </w:rPr>
        <w:t xml:space="preserve"> w sposób, który mógłby spowodować zmianę lub wpłynąć na sytuację podatkową lub prawną UBS, powinien skonsultować się w tym zakresie z odpowiednim przedstawicielem Departa</w:t>
      </w:r>
      <w:r>
        <w:rPr>
          <w:rFonts w:ascii="Times New Roman" w:hAnsi="Times New Roman" w:cs="Times New Roman"/>
          <w:sz w:val="24"/>
          <w:szCs w:val="24"/>
        </w:rPr>
        <w:t>mentu Zasobów Ludzkich (HR CRM)</w:t>
      </w:r>
      <w:r w:rsidRPr="00F300D4">
        <w:rPr>
          <w:rFonts w:ascii="Times New Roman" w:hAnsi="Times New Roman" w:cs="Times New Roman"/>
          <w:sz w:val="24"/>
          <w:szCs w:val="24"/>
        </w:rPr>
        <w:t xml:space="preserve"> w celu uzyskania wstępnej zgody na proponowane przeniesienie/zmianę. Wszelkie zmiany lokalizacji, które nie będą przeprowadzone zgodnie z warunkami niniejszej klauzuli, nie będą akceptowane przez UBS i będą traktowane jako poważne </w:t>
      </w:r>
      <w:r>
        <w:rPr>
          <w:rFonts w:ascii="Times New Roman" w:hAnsi="Times New Roman" w:cs="Times New Roman"/>
          <w:sz w:val="24"/>
          <w:szCs w:val="24"/>
        </w:rPr>
        <w:t>naruszenie warunków współpracy</w:t>
      </w:r>
      <w:r w:rsidRPr="00F300D4">
        <w:rPr>
          <w:rFonts w:ascii="Times New Roman" w:hAnsi="Times New Roman" w:cs="Times New Roman"/>
          <w:sz w:val="24"/>
          <w:szCs w:val="24"/>
        </w:rPr>
        <w:t>.</w:t>
      </w:r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</w:p>
    <w:p w:rsidR="00474760" w:rsidRPr="00F300D4" w:rsidRDefault="00474760" w:rsidP="00474760">
      <w:pPr>
        <w:pStyle w:val="Nagwek2"/>
        <w:spacing w:before="0" w:after="0" w:line="260" w:lineRule="atLeast"/>
        <w:jc w:val="both"/>
        <w:rPr>
          <w:rFonts w:ascii="Times New Roman" w:hAnsi="Times New Roman"/>
          <w:color w:val="auto"/>
          <w:szCs w:val="24"/>
          <w:lang w:val="pl-PL"/>
        </w:rPr>
      </w:pPr>
      <w:bookmarkStart w:id="301" w:name="_Toc23142333"/>
      <w:bookmarkStart w:id="302" w:name="_Toc44837562"/>
      <w:bookmarkStart w:id="303" w:name="_Toc132618799"/>
      <w:bookmarkStart w:id="304" w:name="_Toc132618881"/>
      <w:bookmarkStart w:id="305" w:name="_Toc132620707"/>
      <w:bookmarkStart w:id="306" w:name="_Toc134945688"/>
      <w:bookmarkStart w:id="307" w:name="_Toc147310590"/>
      <w:bookmarkStart w:id="308" w:name="_Toc147310915"/>
      <w:bookmarkStart w:id="309" w:name="_Toc187644592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r w:rsidRPr="00F300D4">
        <w:rPr>
          <w:rFonts w:ascii="Times New Roman" w:hAnsi="Times New Roman"/>
          <w:color w:val="auto"/>
          <w:szCs w:val="24"/>
          <w:lang w:val="pl-PL"/>
        </w:rPr>
        <w:t>Zachowanie i postępowanie pracownika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Zachowanie i postępowanie pracownika, będącego jednocześnie przedstawicielem UBS świadczy nie tylko o samym pracowniku, ale też kształtuje reputację i wizerunek profesjonalizmu UBS. Dlatego też ważnym</w:t>
      </w:r>
      <w:r>
        <w:rPr>
          <w:rFonts w:ascii="Times New Roman" w:hAnsi="Times New Roman" w:cs="Times New Roman"/>
          <w:sz w:val="24"/>
          <w:szCs w:val="24"/>
        </w:rPr>
        <w:t xml:space="preserve"> jest by zachowanie pracownika</w:t>
      </w:r>
      <w:r w:rsidRPr="00F300D4">
        <w:rPr>
          <w:rFonts w:ascii="Times New Roman" w:hAnsi="Times New Roman" w:cs="Times New Roman"/>
          <w:sz w:val="24"/>
          <w:szCs w:val="24"/>
        </w:rPr>
        <w:t xml:space="preserve"> zarówno w czasie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0D4">
        <w:rPr>
          <w:rFonts w:ascii="Times New Roman" w:hAnsi="Times New Roman" w:cs="Times New Roman"/>
          <w:sz w:val="24"/>
          <w:szCs w:val="24"/>
        </w:rPr>
        <w:t xml:space="preserve"> jak i poza normalnymi godzinami pracy nie miało negatywnego ani destruktywnego wpływu na interes UBS.</w:t>
      </w:r>
    </w:p>
    <w:p w:rsidR="00474760" w:rsidRPr="00F300D4" w:rsidRDefault="00474760" w:rsidP="00474760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pStyle w:val="Nagwek2"/>
        <w:spacing w:before="0" w:after="0" w:line="260" w:lineRule="atLeast"/>
        <w:jc w:val="both"/>
        <w:rPr>
          <w:rFonts w:ascii="Times New Roman" w:hAnsi="Times New Roman"/>
          <w:color w:val="auto"/>
          <w:szCs w:val="24"/>
          <w:lang w:val="pl-PL"/>
        </w:rPr>
      </w:pPr>
      <w:bookmarkStart w:id="310" w:name="_Toc122774810"/>
      <w:bookmarkStart w:id="311" w:name="_Toc147310592"/>
      <w:bookmarkStart w:id="312" w:name="_Toc147310917"/>
      <w:bookmarkStart w:id="313" w:name="_Toc187644593"/>
      <w:bookmarkStart w:id="314" w:name="_Toc417448400"/>
      <w:bookmarkStart w:id="315" w:name="_Toc417448837"/>
      <w:bookmarkStart w:id="316" w:name="_Toc419191240"/>
      <w:bookmarkStart w:id="317" w:name="_Toc419191437"/>
      <w:bookmarkStart w:id="318" w:name="_Toc419610317"/>
      <w:bookmarkStart w:id="319" w:name="_Toc419610420"/>
      <w:bookmarkStart w:id="320" w:name="_Toc419611179"/>
      <w:bookmarkStart w:id="321" w:name="_Toc420123039"/>
      <w:bookmarkStart w:id="322" w:name="_Toc420124356"/>
      <w:bookmarkStart w:id="323" w:name="_Toc420142247"/>
      <w:bookmarkStart w:id="324" w:name="_Toc420211071"/>
      <w:bookmarkStart w:id="325" w:name="_Toc420308401"/>
      <w:bookmarkStart w:id="326" w:name="_Toc422639162"/>
      <w:bookmarkStart w:id="327" w:name="_Toc423232754"/>
      <w:bookmarkStart w:id="328" w:name="_Toc423234586"/>
      <w:bookmarkStart w:id="329" w:name="_Toc425760183"/>
      <w:bookmarkStart w:id="330" w:name="_Toc425760981"/>
      <w:bookmarkStart w:id="331" w:name="_Toc426881824"/>
      <w:bookmarkStart w:id="332" w:name="_Toc433432652"/>
      <w:bookmarkStart w:id="333" w:name="_Toc460322304"/>
      <w:bookmarkStart w:id="334" w:name="_Toc460322464"/>
      <w:bookmarkStart w:id="335" w:name="_Toc460322642"/>
      <w:bookmarkStart w:id="336" w:name="_Toc460322767"/>
      <w:bookmarkStart w:id="337" w:name="_Toc460322892"/>
      <w:bookmarkStart w:id="338" w:name="_Toc468869370"/>
      <w:bookmarkStart w:id="339" w:name="_Toc474123898"/>
      <w:bookmarkStart w:id="340" w:name="_Toc474124371"/>
      <w:bookmarkStart w:id="341" w:name="_Toc474124578"/>
      <w:bookmarkStart w:id="342" w:name="_Toc474124705"/>
      <w:bookmarkStart w:id="343" w:name="_Toc474134244"/>
      <w:bookmarkStart w:id="344" w:name="_Toc492786466"/>
      <w:bookmarkStart w:id="345" w:name="_Toc492788362"/>
      <w:bookmarkStart w:id="346" w:name="_Toc492790150"/>
      <w:bookmarkStart w:id="347" w:name="_Toc492790862"/>
      <w:bookmarkStart w:id="348" w:name="_Toc529350346"/>
      <w:bookmarkStart w:id="349" w:name="_Toc529353991"/>
      <w:bookmarkStart w:id="350" w:name="_Toc530985294"/>
      <w:bookmarkStart w:id="351" w:name="_Toc12865241"/>
      <w:bookmarkStart w:id="352" w:name="_Toc14243957"/>
      <w:bookmarkStart w:id="353" w:name="_Toc14244346"/>
      <w:bookmarkStart w:id="354" w:name="_Toc23142335"/>
      <w:bookmarkStart w:id="355" w:name="_Toc44837564"/>
      <w:bookmarkStart w:id="356" w:name="_Toc415461236"/>
      <w:bookmarkStart w:id="357" w:name="_Toc415461343"/>
      <w:bookmarkStart w:id="358" w:name="_Toc415461367"/>
      <w:bookmarkStart w:id="359" w:name="_Toc415547932"/>
      <w:bookmarkStart w:id="360" w:name="_Toc415913012"/>
      <w:bookmarkStart w:id="361" w:name="_Toc415913108"/>
      <w:bookmarkStart w:id="362" w:name="_Toc415913196"/>
      <w:bookmarkStart w:id="363" w:name="_Toc415913372"/>
      <w:r w:rsidRPr="00F300D4">
        <w:rPr>
          <w:rFonts w:ascii="Times New Roman" w:hAnsi="Times New Roman"/>
          <w:color w:val="auto"/>
          <w:szCs w:val="24"/>
          <w:lang w:val="pl-PL"/>
        </w:rPr>
        <w:t>System motywacyjny – wynagrodzenia uznaniow</w:t>
      </w:r>
      <w:bookmarkEnd w:id="310"/>
      <w:bookmarkEnd w:id="311"/>
      <w:bookmarkEnd w:id="312"/>
      <w:r w:rsidRPr="00F300D4">
        <w:rPr>
          <w:rFonts w:ascii="Times New Roman" w:hAnsi="Times New Roman"/>
          <w:color w:val="auto"/>
          <w:szCs w:val="24"/>
          <w:lang w:val="pl-PL"/>
        </w:rPr>
        <w:t>e</w:t>
      </w:r>
      <w:bookmarkEnd w:id="313"/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System uznaniowych premii motywacyjnych UBS ma na celu wynagradzanie indywidualnego wkładu pracowników w osiągane w ciągu roku wyniki UBS. System premii uznaniowych obejmuje wszystkich pracowników UBS.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System ten działa według uznania UBS. Może on być korygowany lub zlikwidowany przez UBS w dowolnym momencie, według wyłącznego uznania UBS. Uczestnictwo w systemie nie gwarantuje ani nie stanowi podstawy do oczekiwania kolejnych korzyści.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 ram</w:t>
      </w:r>
      <w:r>
        <w:rPr>
          <w:rFonts w:ascii="Times New Roman" w:hAnsi="Times New Roman" w:cs="Times New Roman"/>
          <w:sz w:val="24"/>
          <w:szCs w:val="24"/>
        </w:rPr>
        <w:t>ach obecnego systemu premiowego</w:t>
      </w:r>
      <w:r w:rsidRPr="00F300D4">
        <w:rPr>
          <w:rFonts w:ascii="Times New Roman" w:hAnsi="Times New Roman" w:cs="Times New Roman"/>
          <w:sz w:val="24"/>
          <w:szCs w:val="24"/>
        </w:rPr>
        <w:t xml:space="preserve"> wszelkie wypłaty ustalane są na kon</w:t>
      </w:r>
      <w:r>
        <w:rPr>
          <w:rFonts w:ascii="Times New Roman" w:hAnsi="Times New Roman" w:cs="Times New Roman"/>
          <w:sz w:val="24"/>
          <w:szCs w:val="24"/>
        </w:rPr>
        <w:t>iec każdego roku kalendarzowego</w:t>
      </w:r>
      <w:r w:rsidRPr="00F300D4">
        <w:rPr>
          <w:rFonts w:ascii="Times New Roman" w:hAnsi="Times New Roman" w:cs="Times New Roman"/>
          <w:sz w:val="24"/>
          <w:szCs w:val="24"/>
        </w:rPr>
        <w:t xml:space="preserve"> w oparciu o szereg czynników, uwzględniających wyniki pracownika względem oczekiwań i/lub celów wyznaczonych przez przełożonego oraz osiąganie finansowych i niefinansowych celów danego obszaru biznesowego i UBS. Wszelkie poprzednie nagrody wypracowane przez pracownika nie gwar</w:t>
      </w:r>
      <w:r>
        <w:rPr>
          <w:rFonts w:ascii="Times New Roman" w:hAnsi="Times New Roman" w:cs="Times New Roman"/>
          <w:sz w:val="24"/>
          <w:szCs w:val="24"/>
        </w:rPr>
        <w:t>antują</w:t>
      </w:r>
      <w:r w:rsidRPr="00F300D4">
        <w:rPr>
          <w:rFonts w:ascii="Times New Roman" w:hAnsi="Times New Roman" w:cs="Times New Roman"/>
          <w:sz w:val="24"/>
          <w:szCs w:val="24"/>
        </w:rPr>
        <w:t xml:space="preserve"> ani nie stanowią podstawy do oczekiwania, że dany pracownik będzie otrzymywał takie same lub jakiekolwiek inne nagrody w kolejnych latach.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pStyle w:val="Nagwek2"/>
        <w:spacing w:before="0" w:after="0" w:line="260" w:lineRule="atLeast"/>
        <w:jc w:val="both"/>
        <w:rPr>
          <w:rFonts w:ascii="Times New Roman" w:hAnsi="Times New Roman"/>
          <w:color w:val="auto"/>
          <w:szCs w:val="24"/>
          <w:lang w:val="pl-PL"/>
        </w:rPr>
      </w:pPr>
      <w:bookmarkStart w:id="364" w:name="_Toc417448401"/>
      <w:bookmarkStart w:id="365" w:name="_Toc417448838"/>
      <w:bookmarkStart w:id="366" w:name="_Toc419191241"/>
      <w:bookmarkStart w:id="367" w:name="_Toc419191438"/>
      <w:bookmarkStart w:id="368" w:name="_Toc419610318"/>
      <w:bookmarkStart w:id="369" w:name="_Toc419610421"/>
      <w:bookmarkStart w:id="370" w:name="_Toc419611180"/>
      <w:bookmarkStart w:id="371" w:name="_Toc420123040"/>
      <w:bookmarkStart w:id="372" w:name="_Toc420124357"/>
      <w:bookmarkStart w:id="373" w:name="_Toc420142248"/>
      <w:bookmarkStart w:id="374" w:name="_Toc420211072"/>
      <w:bookmarkStart w:id="375" w:name="_Toc420308402"/>
      <w:bookmarkStart w:id="376" w:name="_Toc422639163"/>
      <w:bookmarkStart w:id="377" w:name="_Toc423232755"/>
      <w:bookmarkStart w:id="378" w:name="_Toc423234587"/>
      <w:bookmarkStart w:id="379" w:name="_Toc425760184"/>
      <w:bookmarkStart w:id="380" w:name="_Toc425760982"/>
      <w:bookmarkStart w:id="381" w:name="_Toc426881825"/>
      <w:bookmarkStart w:id="382" w:name="_Toc433432653"/>
      <w:bookmarkStart w:id="383" w:name="_Toc460322305"/>
      <w:bookmarkStart w:id="384" w:name="_Toc460322465"/>
      <w:bookmarkStart w:id="385" w:name="_Toc460322643"/>
      <w:bookmarkStart w:id="386" w:name="_Toc460322768"/>
      <w:bookmarkStart w:id="387" w:name="_Toc460322893"/>
      <w:bookmarkStart w:id="388" w:name="_Toc468869371"/>
      <w:bookmarkStart w:id="389" w:name="_Toc474123899"/>
      <w:bookmarkStart w:id="390" w:name="_Toc474124372"/>
      <w:bookmarkStart w:id="391" w:name="_Toc474124579"/>
      <w:bookmarkStart w:id="392" w:name="_Toc474124706"/>
      <w:bookmarkStart w:id="393" w:name="_Toc474134245"/>
      <w:bookmarkStart w:id="394" w:name="_Toc492786467"/>
      <w:bookmarkStart w:id="395" w:name="_Toc492788363"/>
      <w:bookmarkStart w:id="396" w:name="_Toc492790151"/>
      <w:bookmarkStart w:id="397" w:name="_Toc492790863"/>
      <w:bookmarkStart w:id="398" w:name="_Toc529350347"/>
      <w:bookmarkStart w:id="399" w:name="_Toc529353992"/>
      <w:bookmarkStart w:id="400" w:name="_Toc530985295"/>
      <w:bookmarkStart w:id="401" w:name="_Toc12865242"/>
      <w:bookmarkStart w:id="402" w:name="_Toc14243958"/>
      <w:bookmarkStart w:id="403" w:name="_Toc14244347"/>
      <w:bookmarkStart w:id="404" w:name="_Toc23142336"/>
      <w:bookmarkStart w:id="405" w:name="_Toc44837565"/>
      <w:bookmarkStart w:id="406" w:name="_Toc132618802"/>
      <w:bookmarkStart w:id="407" w:name="_Toc132618884"/>
      <w:bookmarkStart w:id="408" w:name="_Toc132620710"/>
      <w:bookmarkStart w:id="409" w:name="_Toc134945690"/>
      <w:bookmarkStart w:id="410" w:name="_Toc147310593"/>
      <w:bookmarkStart w:id="411" w:name="_Toc147310918"/>
      <w:bookmarkStart w:id="412" w:name="_Toc187644594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r w:rsidRPr="00F300D4">
        <w:rPr>
          <w:rFonts w:ascii="Times New Roman" w:hAnsi="Times New Roman"/>
          <w:color w:val="auto"/>
          <w:szCs w:val="24"/>
          <w:lang w:val="pl-PL"/>
        </w:rPr>
        <w:t>Strój służbowy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3" w:name="_Toc460322306"/>
      <w:bookmarkStart w:id="414" w:name="_Toc460322466"/>
      <w:bookmarkStart w:id="415" w:name="_Toc460322644"/>
      <w:bookmarkStart w:id="416" w:name="_Toc460322769"/>
      <w:bookmarkStart w:id="417" w:name="_Toc415461237"/>
      <w:bookmarkStart w:id="418" w:name="_Toc415461344"/>
      <w:bookmarkStart w:id="419" w:name="_Toc415461368"/>
      <w:bookmarkStart w:id="420" w:name="_Toc415547933"/>
      <w:bookmarkStart w:id="421" w:name="_Toc415913013"/>
      <w:bookmarkStart w:id="422" w:name="_Toc415913109"/>
      <w:bookmarkStart w:id="423" w:name="_Toc415913197"/>
      <w:bookmarkStart w:id="424" w:name="_Toc415913373"/>
      <w:bookmarkStart w:id="425" w:name="_Toc417448402"/>
      <w:bookmarkStart w:id="426" w:name="_Toc417448839"/>
      <w:bookmarkStart w:id="427" w:name="_Toc419191242"/>
      <w:bookmarkStart w:id="428" w:name="_Toc419191439"/>
      <w:bookmarkStart w:id="429" w:name="_Toc419610319"/>
      <w:bookmarkStart w:id="430" w:name="_Toc419610422"/>
      <w:bookmarkStart w:id="431" w:name="_Toc419611181"/>
      <w:bookmarkStart w:id="432" w:name="_Toc420123041"/>
      <w:bookmarkStart w:id="433" w:name="_Toc420124358"/>
      <w:bookmarkStart w:id="434" w:name="_Toc420142249"/>
      <w:bookmarkStart w:id="435" w:name="_Toc420211073"/>
      <w:bookmarkStart w:id="436" w:name="_Toc420308403"/>
      <w:bookmarkStart w:id="437" w:name="_Toc422639164"/>
      <w:bookmarkStart w:id="438" w:name="_Toc423232756"/>
      <w:bookmarkStart w:id="439" w:name="_Toc423234588"/>
    </w:p>
    <w:p w:rsidR="00474760" w:rsidRPr="00F300D4" w:rsidRDefault="00474760" w:rsidP="004747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Pracownicy UBS PSC reprezentują firmę w lokalnej społeczności oraz całej globalnej sieci UBS.</w:t>
      </w:r>
    </w:p>
    <w:p w:rsidR="00474760" w:rsidRPr="00F300D4" w:rsidRDefault="00474760" w:rsidP="00474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Sposób, w jaki pracownicy spółki prezentują się wizualnie wywiera bezpośredni wpływ na wrażenie, jakie wywołujemy jako spółka wśród naszych wewnętrznych i zewnętrznych klientów, dostawców, konkurentów i kolegów.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lastRenderedPageBreak/>
        <w:t>Ubiór i wygląd osobisty odgrywają kluczową rolę, a od pracowników oczekuje się czystego i schludnego wyglądu w godzinach pracy.</w:t>
      </w:r>
    </w:p>
    <w:p w:rsidR="00474760" w:rsidRPr="00F300D4" w:rsidRDefault="00474760" w:rsidP="00474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bookmarkStart w:id="440" w:name="_Toc425760185"/>
      <w:bookmarkStart w:id="441" w:name="_Toc425760983"/>
      <w:bookmarkStart w:id="442" w:name="_Toc426881826"/>
      <w:bookmarkStart w:id="443" w:name="_Toc433432654"/>
      <w:bookmarkStart w:id="444" w:name="_Toc460322307"/>
      <w:bookmarkStart w:id="445" w:name="_Toc460322467"/>
      <w:bookmarkStart w:id="446" w:name="_Toc460322645"/>
      <w:bookmarkStart w:id="447" w:name="_Toc460322770"/>
      <w:bookmarkStart w:id="448" w:name="_Toc460322894"/>
      <w:bookmarkStart w:id="449" w:name="_Toc468869373"/>
      <w:bookmarkStart w:id="450" w:name="_Toc474123901"/>
      <w:bookmarkStart w:id="451" w:name="_Toc474124374"/>
      <w:bookmarkStart w:id="452" w:name="_Toc474124581"/>
      <w:bookmarkStart w:id="453" w:name="_Toc474124708"/>
      <w:bookmarkStart w:id="454" w:name="_Toc474134247"/>
      <w:bookmarkStart w:id="455" w:name="_Toc492786469"/>
      <w:bookmarkStart w:id="456" w:name="_Toc492788365"/>
      <w:bookmarkStart w:id="457" w:name="_Toc492790153"/>
      <w:bookmarkStart w:id="458" w:name="_Toc492790865"/>
      <w:bookmarkStart w:id="459" w:name="_Toc529350349"/>
      <w:bookmarkStart w:id="460" w:name="_Toc529353994"/>
      <w:bookmarkStart w:id="461" w:name="_Toc530985297"/>
      <w:bookmarkStart w:id="462" w:name="_Toc12865244"/>
      <w:bookmarkStart w:id="463" w:name="_Toc14243960"/>
      <w:bookmarkStart w:id="464" w:name="_Toc14244349"/>
      <w:bookmarkStart w:id="465" w:name="_Toc23142338"/>
      <w:bookmarkStart w:id="466" w:name="_Toc44837567"/>
      <w:bookmarkStart w:id="467" w:name="_Toc132618804"/>
      <w:bookmarkStart w:id="468" w:name="_Toc132618886"/>
      <w:bookmarkStart w:id="469" w:name="_Toc132620712"/>
      <w:bookmarkStart w:id="470" w:name="_Toc134945691"/>
      <w:bookmarkStart w:id="471" w:name="_Toc147310594"/>
      <w:bookmarkStart w:id="472" w:name="_Toc147310919"/>
      <w:bookmarkEnd w:id="413"/>
      <w:bookmarkEnd w:id="414"/>
      <w:bookmarkEnd w:id="415"/>
      <w:bookmarkEnd w:id="416"/>
      <w:r w:rsidRPr="00F300D4">
        <w:rPr>
          <w:rFonts w:ascii="Times New Roman" w:hAnsi="Times New Roman" w:cs="Times New Roman"/>
          <w:sz w:val="24"/>
          <w:szCs w:val="24"/>
          <w:lang w:eastAsia="zh-TW"/>
        </w:rPr>
        <w:t>Aby zapewnić profesjonalny wygląd naszych pracowników, prosimy o przestrzeganie następujących zasad ubierania się:</w:t>
      </w:r>
    </w:p>
    <w:p w:rsidR="00474760" w:rsidRPr="00F300D4" w:rsidRDefault="00474760" w:rsidP="004747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Standardowy strój w biurach UBS to tzw. “smart casual” (luźna elegancja).</w:t>
      </w:r>
    </w:p>
    <w:p w:rsidR="00474760" w:rsidRPr="00F300D4" w:rsidRDefault="00474760" w:rsidP="004747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Prosimy stosować s</w:t>
      </w:r>
      <w:r>
        <w:rPr>
          <w:rFonts w:ascii="Times New Roman" w:hAnsi="Times New Roman" w:cs="Times New Roman"/>
          <w:sz w:val="24"/>
          <w:szCs w:val="24"/>
          <w:lang w:eastAsia="zh-TW"/>
        </w:rPr>
        <w:t>ię do następujących wytycznych:</w:t>
      </w:r>
    </w:p>
    <w:p w:rsidR="00474760" w:rsidRPr="00F300D4" w:rsidRDefault="00474760" w:rsidP="004747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Powstrzymać się od noszenia stroju lub ozdób ciała, które mogłyby budzić zakłopotanie/stanowić obrazę innych pracowników;</w:t>
      </w:r>
    </w:p>
    <w:p w:rsidR="00474760" w:rsidRPr="00F300D4" w:rsidRDefault="00474760" w:rsidP="004747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Konkretne rodzaje odzieży, których nie należy nosić w godzinach pracy, to:</w:t>
      </w:r>
    </w:p>
    <w:p w:rsidR="00474760" w:rsidRPr="00F300D4" w:rsidRDefault="00474760" w:rsidP="00474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 xml:space="preserve">spodnie typu „jeans” lub spódnice z tego materiału (włączając „projektancką” odzież </w:t>
      </w:r>
      <w:proofErr w:type="spellStart"/>
      <w:r w:rsidRPr="00F300D4">
        <w:rPr>
          <w:rFonts w:ascii="Times New Roman" w:hAnsi="Times New Roman" w:cs="Times New Roman"/>
          <w:sz w:val="24"/>
          <w:szCs w:val="24"/>
          <w:lang w:eastAsia="zh-TW"/>
        </w:rPr>
        <w:t>jeansową</w:t>
      </w:r>
      <w:proofErr w:type="spellEnd"/>
      <w:r w:rsidRPr="00F300D4">
        <w:rPr>
          <w:rFonts w:ascii="Times New Roman" w:hAnsi="Times New Roman" w:cs="Times New Roman"/>
          <w:sz w:val="24"/>
          <w:szCs w:val="24"/>
          <w:lang w:eastAsia="zh-TW"/>
        </w:rPr>
        <w:t>),</w:t>
      </w:r>
    </w:p>
    <w:p w:rsidR="00474760" w:rsidRPr="00F300D4" w:rsidRDefault="00474760" w:rsidP="00474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krótkie spodnie,</w:t>
      </w:r>
    </w:p>
    <w:p w:rsidR="00474760" w:rsidRPr="00F300D4" w:rsidRDefault="00474760" w:rsidP="00474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spodnie od dresu, odzież sportowa,</w:t>
      </w:r>
    </w:p>
    <w:p w:rsidR="00474760" w:rsidRPr="00F300D4" w:rsidRDefault="00474760" w:rsidP="00474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koszulki T-shirt z nadrukiem lub logo,</w:t>
      </w:r>
    </w:p>
    <w:p w:rsidR="00474760" w:rsidRPr="00F300D4" w:rsidRDefault="00474760" w:rsidP="00474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wszelkie elementy stroju postrzeganego jako plażowy,</w:t>
      </w:r>
    </w:p>
    <w:p w:rsidR="00474760" w:rsidRDefault="00474760" w:rsidP="004747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wszelkie inne a</w:t>
      </w:r>
      <w:r>
        <w:rPr>
          <w:rFonts w:ascii="Times New Roman" w:hAnsi="Times New Roman" w:cs="Times New Roman"/>
          <w:sz w:val="24"/>
          <w:szCs w:val="24"/>
          <w:lang w:eastAsia="zh-TW"/>
        </w:rPr>
        <w:t>kcesoria lub artykuły odzieżowe,</w:t>
      </w:r>
      <w:r w:rsidRPr="00F300D4">
        <w:rPr>
          <w:rFonts w:ascii="Times New Roman" w:hAnsi="Times New Roman" w:cs="Times New Roman"/>
          <w:sz w:val="24"/>
          <w:szCs w:val="24"/>
          <w:lang w:eastAsia="zh-TW"/>
        </w:rPr>
        <w:t xml:space="preserve"> uznane za nieprofesjonalne w kontekśc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ie obszaru działania pracownika przez kierownika </w:t>
      </w:r>
      <w:r w:rsidRPr="00F300D4">
        <w:rPr>
          <w:rFonts w:ascii="Times New Roman" w:hAnsi="Times New Roman" w:cs="Times New Roman"/>
          <w:sz w:val="24"/>
          <w:szCs w:val="24"/>
          <w:lang w:eastAsia="zh-TW"/>
        </w:rPr>
        <w:t>departamentu.</w:t>
      </w:r>
    </w:p>
    <w:p w:rsidR="00474760" w:rsidRPr="00F300D4" w:rsidRDefault="00474760" w:rsidP="00474760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</w:p>
    <w:p w:rsidR="00474760" w:rsidRPr="00F300D4" w:rsidRDefault="00474760" w:rsidP="00474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Noszen</w:t>
      </w:r>
      <w:r>
        <w:rPr>
          <w:rFonts w:ascii="Times New Roman" w:hAnsi="Times New Roman" w:cs="Times New Roman"/>
          <w:sz w:val="24"/>
          <w:szCs w:val="24"/>
          <w:lang w:eastAsia="zh-TW"/>
        </w:rPr>
        <w:t>ie garniturów przez pracowników</w:t>
      </w:r>
      <w:r w:rsidRPr="00F300D4">
        <w:rPr>
          <w:rFonts w:ascii="Times New Roman" w:hAnsi="Times New Roman" w:cs="Times New Roman"/>
          <w:sz w:val="24"/>
          <w:szCs w:val="24"/>
          <w:lang w:eastAsia="zh-TW"/>
        </w:rPr>
        <w:t xml:space="preserve"> oraz krawatów przez pracowników płci męskiej, o ile nie wymagają tego spotkania z klientami i/lub uczestnictwo w zewnętrznych spotkaniach biznesowych</w:t>
      </w:r>
      <w:r>
        <w:rPr>
          <w:rFonts w:ascii="Times New Roman" w:hAnsi="Times New Roman" w:cs="Times New Roman"/>
          <w:sz w:val="24"/>
          <w:szCs w:val="24"/>
          <w:lang w:eastAsia="zh-TW"/>
        </w:rPr>
        <w:t>,</w:t>
      </w:r>
      <w:r w:rsidRPr="00F300D4">
        <w:rPr>
          <w:rFonts w:ascii="Times New Roman" w:hAnsi="Times New Roman" w:cs="Times New Roman"/>
          <w:sz w:val="24"/>
          <w:szCs w:val="24"/>
          <w:lang w:eastAsia="zh-TW"/>
        </w:rPr>
        <w:t xml:space="preserve"> nie jest obowiązkowe. Jednakże wszyscy pracownicy muszą być w stanie prowadzić w ciągu tygodnia spotkania z klie</w:t>
      </w:r>
      <w:r>
        <w:rPr>
          <w:rFonts w:ascii="Times New Roman" w:hAnsi="Times New Roman" w:cs="Times New Roman"/>
          <w:sz w:val="24"/>
          <w:szCs w:val="24"/>
          <w:lang w:eastAsia="zh-TW"/>
        </w:rPr>
        <w:t>ntami oraz spotkania zewnętrzne</w:t>
      </w:r>
      <w:r w:rsidRPr="00F300D4">
        <w:rPr>
          <w:rFonts w:ascii="Times New Roman" w:hAnsi="Times New Roman" w:cs="Times New Roman"/>
          <w:sz w:val="24"/>
          <w:szCs w:val="24"/>
          <w:lang w:eastAsia="zh-TW"/>
        </w:rPr>
        <w:t xml:space="preserve"> w odpowiednim biznesowym ubiorze. </w:t>
      </w:r>
    </w:p>
    <w:p w:rsidR="00474760" w:rsidRPr="00F300D4" w:rsidRDefault="00474760" w:rsidP="00474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 xml:space="preserve">Kierownicy poszczególnych departamentów mogą według własnego uznania wprowadzać bardziej restrykcyjne wymogi w zakresie wyglądu i ubioru, o ile wymaga tego ich obszar biznesowy. </w:t>
      </w:r>
    </w:p>
    <w:p w:rsidR="00474760" w:rsidRPr="00F300D4" w:rsidRDefault="00474760" w:rsidP="00474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F300D4">
        <w:rPr>
          <w:rFonts w:ascii="Times New Roman" w:hAnsi="Times New Roman" w:cs="Times New Roman"/>
          <w:sz w:val="24"/>
          <w:szCs w:val="24"/>
          <w:lang w:eastAsia="zh-TW"/>
        </w:rPr>
        <w:t>Zarząd UBS zastrzega sobie prawo do zmiany wymogów w zakresie ubioru pracowników według własnego uznania.</w:t>
      </w:r>
    </w:p>
    <w:p w:rsidR="00474760" w:rsidRPr="00F300D4" w:rsidRDefault="00474760" w:rsidP="0047476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lang w:val="pl-PL" w:eastAsia="zh-TW"/>
        </w:rPr>
      </w:pPr>
      <w:r w:rsidRPr="00F300D4">
        <w:rPr>
          <w:rFonts w:ascii="Times New Roman" w:hAnsi="Times New Roman" w:cs="Times New Roman"/>
          <w:lang w:val="pl-PL" w:eastAsia="zh-TW"/>
        </w:rPr>
        <w:t>Powyższe wymogi w zakresie stroju pracowników obowiązują w czasie regularnych godzin biurowych (z włączeniem piątków).</w:t>
      </w:r>
    </w:p>
    <w:p w:rsidR="00474760" w:rsidRPr="00F300D4" w:rsidRDefault="00474760" w:rsidP="00474760">
      <w:pPr>
        <w:pStyle w:val="NormalnyWeb"/>
        <w:spacing w:before="0" w:beforeAutospacing="0" w:after="0" w:afterAutospacing="0"/>
        <w:rPr>
          <w:rFonts w:ascii="Times New Roman" w:hAnsi="Times New Roman" w:cs="Times New Roman"/>
          <w:lang w:val="pl-PL"/>
        </w:rPr>
      </w:pPr>
      <w:r w:rsidRPr="00F300D4">
        <w:rPr>
          <w:rFonts w:ascii="Times New Roman" w:hAnsi="Times New Roman" w:cs="Times New Roman"/>
          <w:lang w:val="pl-PL"/>
        </w:rPr>
        <w:t>Stawienie się w pracy w nieodpowiednim stroju może</w:t>
      </w:r>
      <w:r>
        <w:rPr>
          <w:rFonts w:ascii="Times New Roman" w:hAnsi="Times New Roman" w:cs="Times New Roman"/>
          <w:lang w:val="pl-PL"/>
        </w:rPr>
        <w:t xml:space="preserve"> stanowić podstawę do zastosowania kar dyscyplinarnych</w:t>
      </w:r>
      <w:r w:rsidRPr="00F300D4">
        <w:rPr>
          <w:rFonts w:ascii="Times New Roman" w:hAnsi="Times New Roman" w:cs="Times New Roman"/>
          <w:lang w:val="pl-PL"/>
        </w:rPr>
        <w:t>.</w:t>
      </w:r>
      <w:bookmarkStart w:id="473" w:name="_Toc415461238"/>
      <w:bookmarkStart w:id="474" w:name="_Toc415461345"/>
      <w:bookmarkStart w:id="475" w:name="_Toc415461369"/>
      <w:bookmarkStart w:id="476" w:name="_Toc415547934"/>
      <w:bookmarkStart w:id="477" w:name="_Toc415913014"/>
      <w:bookmarkStart w:id="478" w:name="_Toc415913110"/>
      <w:bookmarkStart w:id="479" w:name="_Toc415913198"/>
      <w:bookmarkStart w:id="480" w:name="_Toc415913374"/>
      <w:bookmarkStart w:id="481" w:name="_Toc417448403"/>
      <w:bookmarkStart w:id="482" w:name="_Toc417448840"/>
      <w:bookmarkStart w:id="483" w:name="_Toc419191243"/>
      <w:bookmarkStart w:id="484" w:name="_Toc419191440"/>
      <w:bookmarkStart w:id="485" w:name="_Toc419610320"/>
      <w:bookmarkStart w:id="486" w:name="_Toc419610423"/>
      <w:bookmarkStart w:id="487" w:name="_Toc419611182"/>
      <w:bookmarkStart w:id="488" w:name="_Toc420123042"/>
      <w:bookmarkStart w:id="489" w:name="_Toc420124359"/>
      <w:bookmarkStart w:id="490" w:name="_Toc420142250"/>
      <w:bookmarkStart w:id="491" w:name="_Toc420211074"/>
      <w:bookmarkStart w:id="492" w:name="_Toc420308404"/>
      <w:bookmarkStart w:id="493" w:name="_Toc422639165"/>
      <w:bookmarkStart w:id="494" w:name="_Toc423232757"/>
      <w:bookmarkStart w:id="495" w:name="_Toc423234589"/>
      <w:bookmarkStart w:id="496" w:name="_Toc425760186"/>
      <w:bookmarkStart w:id="497" w:name="_Toc425760984"/>
      <w:bookmarkStart w:id="498" w:name="_Toc426881827"/>
      <w:bookmarkStart w:id="499" w:name="_Toc433432655"/>
      <w:bookmarkStart w:id="500" w:name="_Toc460322311"/>
      <w:bookmarkStart w:id="501" w:name="_Toc460322471"/>
      <w:bookmarkStart w:id="502" w:name="_Toc460322646"/>
      <w:bookmarkStart w:id="503" w:name="_Toc460322771"/>
      <w:bookmarkStart w:id="504" w:name="_Toc460322895"/>
      <w:bookmarkStart w:id="505" w:name="_Toc468869374"/>
      <w:bookmarkStart w:id="506" w:name="_Toc474123902"/>
      <w:bookmarkStart w:id="507" w:name="_Toc474124375"/>
      <w:bookmarkStart w:id="508" w:name="_Toc474124582"/>
      <w:bookmarkStart w:id="509" w:name="_Toc474124709"/>
      <w:bookmarkStart w:id="510" w:name="_Toc474134248"/>
      <w:bookmarkStart w:id="511" w:name="_Toc492786470"/>
      <w:bookmarkStart w:id="512" w:name="_Toc492788366"/>
      <w:bookmarkStart w:id="513" w:name="_Toc492790154"/>
      <w:bookmarkStart w:id="514" w:name="_Toc492790866"/>
      <w:bookmarkStart w:id="515" w:name="_Toc529350350"/>
      <w:bookmarkStart w:id="516" w:name="_Toc529353996"/>
      <w:bookmarkStart w:id="517" w:name="_Toc530985298"/>
      <w:bookmarkStart w:id="518" w:name="_Toc12865245"/>
      <w:bookmarkStart w:id="519" w:name="_Toc14243961"/>
      <w:bookmarkStart w:id="520" w:name="_Toc14244350"/>
      <w:bookmarkStart w:id="521" w:name="_Toc23142339"/>
      <w:bookmarkStart w:id="522" w:name="_Toc44837568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523" w:name="_Toc415461239"/>
      <w:bookmarkStart w:id="524" w:name="_Toc415461346"/>
      <w:bookmarkStart w:id="525" w:name="_Toc415461370"/>
      <w:bookmarkStart w:id="526" w:name="_Toc415547935"/>
      <w:bookmarkStart w:id="527" w:name="_Toc415913015"/>
      <w:bookmarkStart w:id="528" w:name="_Toc415913111"/>
      <w:bookmarkStart w:id="529" w:name="_Toc415913199"/>
      <w:bookmarkStart w:id="530" w:name="_Toc415913375"/>
      <w:bookmarkStart w:id="531" w:name="_Toc417448404"/>
      <w:bookmarkStart w:id="532" w:name="_Toc417448841"/>
      <w:bookmarkStart w:id="533" w:name="_Toc419191244"/>
      <w:bookmarkStart w:id="534" w:name="_Toc419191441"/>
      <w:bookmarkStart w:id="535" w:name="_Toc419610321"/>
      <w:bookmarkStart w:id="536" w:name="_Toc419610424"/>
      <w:bookmarkStart w:id="537" w:name="_Toc419611183"/>
      <w:bookmarkStart w:id="538" w:name="_Toc420123044"/>
      <w:bookmarkStart w:id="539" w:name="_Toc420124361"/>
      <w:bookmarkStart w:id="540" w:name="_Toc420142252"/>
      <w:bookmarkStart w:id="541" w:name="_Toc420211076"/>
      <w:bookmarkStart w:id="542" w:name="_Toc420308406"/>
      <w:bookmarkStart w:id="543" w:name="_Toc422639167"/>
      <w:bookmarkStart w:id="544" w:name="_Toc423232759"/>
      <w:bookmarkStart w:id="545" w:name="_Toc423234591"/>
      <w:bookmarkStart w:id="546" w:name="_Toc425760188"/>
      <w:bookmarkStart w:id="547" w:name="_Toc425760986"/>
      <w:bookmarkStart w:id="548" w:name="_Toc426881829"/>
      <w:bookmarkStart w:id="549" w:name="_Toc433432657"/>
      <w:bookmarkStart w:id="550" w:name="_Toc460322314"/>
      <w:bookmarkStart w:id="551" w:name="_Toc460322474"/>
      <w:bookmarkStart w:id="552" w:name="_Toc460322648"/>
      <w:bookmarkStart w:id="553" w:name="_Toc460322773"/>
      <w:bookmarkStart w:id="554" w:name="_Toc460322897"/>
      <w:bookmarkStart w:id="555" w:name="_Toc468869376"/>
      <w:bookmarkStart w:id="556" w:name="_Toc474123904"/>
      <w:bookmarkStart w:id="557" w:name="_Toc474124377"/>
      <w:bookmarkStart w:id="558" w:name="_Toc474124584"/>
      <w:bookmarkStart w:id="559" w:name="_Toc474124711"/>
      <w:bookmarkStart w:id="560" w:name="_Toc474134250"/>
      <w:bookmarkStart w:id="561" w:name="_Toc492786472"/>
      <w:bookmarkStart w:id="562" w:name="_Toc492788368"/>
      <w:bookmarkStart w:id="563" w:name="_Toc492790156"/>
      <w:bookmarkStart w:id="564" w:name="_Toc492790868"/>
      <w:bookmarkStart w:id="565" w:name="_Toc529350352"/>
      <w:bookmarkStart w:id="566" w:name="_Toc529353998"/>
      <w:bookmarkStart w:id="567" w:name="_Toc530985300"/>
      <w:bookmarkStart w:id="568" w:name="_Toc12865247"/>
      <w:bookmarkStart w:id="569" w:name="_Toc14243963"/>
      <w:bookmarkStart w:id="570" w:name="_Toc14244352"/>
      <w:bookmarkStart w:id="571" w:name="_Toc23142341"/>
      <w:bookmarkStart w:id="572" w:name="_Toc44837570"/>
      <w:bookmarkStart w:id="573" w:name="_Toc132618807"/>
      <w:bookmarkStart w:id="574" w:name="_Toc132618889"/>
      <w:bookmarkStart w:id="575" w:name="_Toc132620714"/>
      <w:bookmarkStart w:id="576" w:name="_Toc134945693"/>
      <w:bookmarkStart w:id="577" w:name="_Toc147310595"/>
      <w:bookmarkStart w:id="578" w:name="_Toc147310920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:rsidR="00474760" w:rsidRPr="00F300D4" w:rsidRDefault="00474760" w:rsidP="00474760">
      <w:pPr>
        <w:pStyle w:val="Nagwek2"/>
        <w:spacing w:before="0" w:after="0" w:line="260" w:lineRule="atLeast"/>
        <w:rPr>
          <w:rFonts w:ascii="Times New Roman" w:hAnsi="Times New Roman"/>
          <w:color w:val="auto"/>
          <w:szCs w:val="24"/>
          <w:lang w:val="pl-PL"/>
        </w:rPr>
      </w:pPr>
      <w:bookmarkStart w:id="579" w:name="_Toc187644595"/>
      <w:r w:rsidRPr="00F300D4">
        <w:rPr>
          <w:rFonts w:ascii="Times New Roman" w:hAnsi="Times New Roman"/>
          <w:color w:val="auto"/>
          <w:szCs w:val="24"/>
          <w:lang w:val="pl-PL"/>
        </w:rPr>
        <w:t>Urlopy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</w:p>
    <w:p w:rsidR="00474760" w:rsidRPr="00F300D4" w:rsidRDefault="00474760" w:rsidP="00474760">
      <w:pPr>
        <w:spacing w:line="260" w:lineRule="atLeast"/>
        <w:rPr>
          <w:rFonts w:ascii="Times New Roman" w:hAnsi="Times New Roman" w:cs="Times New Roman"/>
          <w:i/>
          <w:sz w:val="24"/>
          <w:szCs w:val="24"/>
        </w:rPr>
      </w:pPr>
      <w:bookmarkStart w:id="580" w:name="_Toc44837571"/>
      <w:bookmarkStart w:id="581" w:name="_Toc415461240"/>
      <w:bookmarkStart w:id="582" w:name="_Toc415461347"/>
      <w:bookmarkStart w:id="583" w:name="_Toc415461371"/>
      <w:bookmarkStart w:id="584" w:name="_Toc415547936"/>
      <w:bookmarkStart w:id="585" w:name="_Toc415913016"/>
      <w:bookmarkStart w:id="586" w:name="_Toc415913112"/>
      <w:bookmarkStart w:id="587" w:name="_Toc415913200"/>
      <w:bookmarkStart w:id="588" w:name="_Toc415913376"/>
      <w:bookmarkStart w:id="589" w:name="_Toc417448405"/>
      <w:bookmarkStart w:id="590" w:name="_Toc417448842"/>
      <w:bookmarkStart w:id="591" w:name="_Toc419191245"/>
      <w:bookmarkStart w:id="592" w:name="_Toc419191442"/>
      <w:bookmarkStart w:id="593" w:name="_Toc419610322"/>
      <w:bookmarkStart w:id="594" w:name="_Toc419610425"/>
      <w:bookmarkStart w:id="595" w:name="_Toc419611184"/>
      <w:bookmarkStart w:id="596" w:name="_Toc420123045"/>
      <w:bookmarkStart w:id="597" w:name="_Toc420124362"/>
      <w:bookmarkStart w:id="598" w:name="_Toc420142253"/>
      <w:bookmarkStart w:id="599" w:name="_Toc420211077"/>
      <w:bookmarkStart w:id="600" w:name="_Toc420308407"/>
      <w:bookmarkStart w:id="601" w:name="_Toc422639168"/>
      <w:bookmarkStart w:id="602" w:name="_Toc423232760"/>
      <w:bookmarkStart w:id="603" w:name="_Toc423234592"/>
      <w:bookmarkStart w:id="604" w:name="_Toc425760189"/>
      <w:bookmarkStart w:id="605" w:name="_Toc425760987"/>
      <w:bookmarkStart w:id="606" w:name="_Toc426881830"/>
      <w:bookmarkStart w:id="607" w:name="_Toc433432658"/>
      <w:bookmarkStart w:id="608" w:name="_Toc460322315"/>
      <w:bookmarkStart w:id="609" w:name="_Toc460322475"/>
      <w:bookmarkStart w:id="610" w:name="_Toc460322649"/>
      <w:bookmarkStart w:id="611" w:name="_Toc460322774"/>
      <w:bookmarkStart w:id="612" w:name="_Toc460322898"/>
      <w:bookmarkStart w:id="613" w:name="_Toc468869377"/>
      <w:bookmarkStart w:id="614" w:name="_Toc474123905"/>
      <w:bookmarkStart w:id="615" w:name="_Toc474124378"/>
      <w:bookmarkStart w:id="616" w:name="_Toc474124585"/>
      <w:bookmarkStart w:id="617" w:name="_Toc474124712"/>
      <w:bookmarkStart w:id="618" w:name="_Toc474134251"/>
      <w:bookmarkStart w:id="619" w:name="_Toc492786473"/>
      <w:bookmarkStart w:id="620" w:name="_Toc492788369"/>
      <w:bookmarkStart w:id="621" w:name="_Toc492790157"/>
      <w:bookmarkStart w:id="622" w:name="_Toc492790869"/>
      <w:bookmarkStart w:id="623" w:name="_Toc529350353"/>
      <w:bookmarkStart w:id="624" w:name="_Toc529353999"/>
      <w:bookmarkStart w:id="625" w:name="_Toc530985301"/>
      <w:bookmarkStart w:id="626" w:name="_Toc12865248"/>
      <w:bookmarkStart w:id="627" w:name="_Toc14243964"/>
      <w:bookmarkStart w:id="628" w:name="_Toc14244353"/>
      <w:bookmarkStart w:id="629" w:name="_Toc23142342"/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0D4">
        <w:rPr>
          <w:rFonts w:ascii="Times New Roman" w:hAnsi="Times New Roman" w:cs="Times New Roman"/>
          <w:i/>
          <w:sz w:val="24"/>
          <w:szCs w:val="24"/>
        </w:rPr>
        <w:t>Urlopy okolicznościowe</w:t>
      </w: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Pracownicy mogą wnioskować o przyznanie następujących płat</w:t>
      </w:r>
      <w:r>
        <w:rPr>
          <w:rFonts w:ascii="Times New Roman" w:hAnsi="Times New Roman" w:cs="Times New Roman"/>
          <w:sz w:val="24"/>
          <w:szCs w:val="24"/>
        </w:rPr>
        <w:t>nych urlopów okolicznościowych: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271"/>
        <w:gridCol w:w="1693"/>
      </w:tblGrid>
      <w:tr w:rsidR="00474760" w:rsidRPr="00F300D4" w:rsidTr="006D6B86">
        <w:tc>
          <w:tcPr>
            <w:tcW w:w="7655" w:type="dxa"/>
          </w:tcPr>
          <w:p w:rsidR="00474760" w:rsidRPr="00F300D4" w:rsidRDefault="00474760" w:rsidP="00474760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t>Ślub pracownika</w:t>
            </w:r>
          </w:p>
        </w:tc>
        <w:tc>
          <w:tcPr>
            <w:tcW w:w="1770" w:type="dxa"/>
          </w:tcPr>
          <w:p w:rsidR="00474760" w:rsidRPr="00F300D4" w:rsidRDefault="00474760" w:rsidP="006D6B86">
            <w:pPr>
              <w:spacing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t>2 dni</w:t>
            </w:r>
          </w:p>
        </w:tc>
      </w:tr>
      <w:tr w:rsidR="00474760" w:rsidRPr="00F300D4" w:rsidTr="006D6B86">
        <w:tc>
          <w:tcPr>
            <w:tcW w:w="7655" w:type="dxa"/>
          </w:tcPr>
          <w:p w:rsidR="00474760" w:rsidRPr="00F300D4" w:rsidRDefault="00474760" w:rsidP="00474760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t>Ślub dziecka</w:t>
            </w:r>
          </w:p>
        </w:tc>
        <w:tc>
          <w:tcPr>
            <w:tcW w:w="1770" w:type="dxa"/>
          </w:tcPr>
          <w:p w:rsidR="00474760" w:rsidRPr="00F300D4" w:rsidRDefault="00474760" w:rsidP="006D6B86">
            <w:pPr>
              <w:spacing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</w:tc>
      </w:tr>
      <w:tr w:rsidR="00474760" w:rsidRPr="00F300D4" w:rsidTr="006D6B86">
        <w:tc>
          <w:tcPr>
            <w:tcW w:w="7655" w:type="dxa"/>
          </w:tcPr>
          <w:p w:rsidR="00474760" w:rsidRPr="00F300D4" w:rsidRDefault="00474760" w:rsidP="00474760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t>Śmierć i pogrzeb małżonka/małżonki, dziecka, rodzica, rodzica przybranego (członków najbliższej rodziny)</w:t>
            </w:r>
          </w:p>
        </w:tc>
        <w:tc>
          <w:tcPr>
            <w:tcW w:w="1770" w:type="dxa"/>
          </w:tcPr>
          <w:p w:rsidR="00474760" w:rsidRPr="00F300D4" w:rsidRDefault="00474760" w:rsidP="006D6B86">
            <w:pPr>
              <w:spacing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t>2 dni</w:t>
            </w:r>
          </w:p>
        </w:tc>
      </w:tr>
      <w:tr w:rsidR="00474760" w:rsidRPr="00F300D4" w:rsidTr="006D6B86">
        <w:tc>
          <w:tcPr>
            <w:tcW w:w="7655" w:type="dxa"/>
          </w:tcPr>
          <w:p w:rsidR="00474760" w:rsidRPr="00F300D4" w:rsidRDefault="00474760" w:rsidP="00474760">
            <w:pPr>
              <w:numPr>
                <w:ilvl w:val="0"/>
                <w:numId w:val="3"/>
              </w:numPr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Śmierć i pogrzeb siostry, brata, teściów, dziadków lub innych osób pod bezpośrednią opieką pracownika (członków dalszej rodziny)</w:t>
            </w:r>
          </w:p>
        </w:tc>
        <w:tc>
          <w:tcPr>
            <w:tcW w:w="1770" w:type="dxa"/>
          </w:tcPr>
          <w:p w:rsidR="00474760" w:rsidRPr="00F300D4" w:rsidRDefault="00474760" w:rsidP="006D6B86">
            <w:pPr>
              <w:spacing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0D4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</w:tc>
      </w:tr>
    </w:tbl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 przypadku żałoby lub innej podobnej osobistej sytuacji pracownik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00D4">
        <w:rPr>
          <w:rFonts w:ascii="Times New Roman" w:hAnsi="Times New Roman" w:cs="Times New Roman"/>
          <w:sz w:val="24"/>
          <w:szCs w:val="24"/>
        </w:rPr>
        <w:t xml:space="preserve"> UBS może, według własnego uznania, przyznać dodatkowy urlop, płatny lub bezpłatny. Jeżeli pracownik potrzebuje tego rodzaju dni wolnych od pracy, należy bezzwłocznie zwrócić się w tej sprawie do bezpośredniego przełożonego. Podejmując jakiekolwiek decyzje w sprawie przyznania dni wolnych od pracy, b</w:t>
      </w:r>
      <w:r>
        <w:rPr>
          <w:rFonts w:ascii="Times New Roman" w:hAnsi="Times New Roman" w:cs="Times New Roman"/>
          <w:sz w:val="24"/>
          <w:szCs w:val="24"/>
        </w:rPr>
        <w:t>ezpośredni przełożony rozpatrzy</w:t>
      </w:r>
      <w:r w:rsidRPr="00F300D4">
        <w:rPr>
          <w:rFonts w:ascii="Times New Roman" w:hAnsi="Times New Roman" w:cs="Times New Roman"/>
          <w:sz w:val="24"/>
          <w:szCs w:val="24"/>
        </w:rPr>
        <w:t xml:space="preserve"> wspólnie z odpowiednim dla pracownika przedstawiciele</w:t>
      </w:r>
      <w:r>
        <w:rPr>
          <w:rFonts w:ascii="Times New Roman" w:hAnsi="Times New Roman" w:cs="Times New Roman"/>
          <w:sz w:val="24"/>
          <w:szCs w:val="24"/>
        </w:rPr>
        <w:t>m Departamentu Zasobów Ludzkich</w:t>
      </w:r>
      <w:r w:rsidRPr="00F300D4">
        <w:rPr>
          <w:rFonts w:ascii="Times New Roman" w:hAnsi="Times New Roman" w:cs="Times New Roman"/>
          <w:sz w:val="24"/>
          <w:szCs w:val="24"/>
        </w:rPr>
        <w:t xml:space="preserve"> indywidualne potrzeby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0D4">
        <w:rPr>
          <w:rFonts w:ascii="Times New Roman" w:hAnsi="Times New Roman" w:cs="Times New Roman"/>
          <w:sz w:val="24"/>
          <w:szCs w:val="24"/>
        </w:rPr>
        <w:t xml:space="preserve"> takie jak na przykład obowiązujący dla danego wyznania lub przekonań okres żałoby.</w:t>
      </w:r>
    </w:p>
    <w:p w:rsidR="00474760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Należy podkreślić, że w przypadku nieusprawi</w:t>
      </w:r>
      <w:r>
        <w:rPr>
          <w:rFonts w:ascii="Times New Roman" w:hAnsi="Times New Roman" w:cs="Times New Roman"/>
          <w:sz w:val="24"/>
          <w:szCs w:val="24"/>
        </w:rPr>
        <w:t>edliwionej nieobecności w pracy</w:t>
      </w:r>
      <w:r w:rsidRPr="00F300D4">
        <w:rPr>
          <w:rFonts w:ascii="Times New Roman" w:hAnsi="Times New Roman" w:cs="Times New Roman"/>
          <w:sz w:val="24"/>
          <w:szCs w:val="24"/>
        </w:rPr>
        <w:t xml:space="preserve"> UBS zastrzega sobie prawo do potrącenia z wynagrodzenia pracownika całej lub części n</w:t>
      </w:r>
      <w:r>
        <w:rPr>
          <w:rFonts w:ascii="Times New Roman" w:hAnsi="Times New Roman" w:cs="Times New Roman"/>
          <w:sz w:val="24"/>
          <w:szCs w:val="24"/>
        </w:rPr>
        <w:t xml:space="preserve">ależności za okres nieobecności oraz </w:t>
      </w:r>
      <w:r w:rsidRPr="00F300D4">
        <w:rPr>
          <w:rFonts w:ascii="Times New Roman" w:hAnsi="Times New Roman" w:cs="Times New Roman"/>
          <w:sz w:val="24"/>
          <w:szCs w:val="24"/>
        </w:rPr>
        <w:t>podjęcia działań dyscyplinarnych</w:t>
      </w:r>
      <w:r>
        <w:rPr>
          <w:rFonts w:ascii="Times New Roman" w:hAnsi="Times New Roman" w:cs="Times New Roman"/>
          <w:sz w:val="24"/>
          <w:szCs w:val="24"/>
        </w:rPr>
        <w:t xml:space="preserve"> w razie potrzeby.</w:t>
      </w:r>
    </w:p>
    <w:p w:rsidR="00474760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474760" w:rsidRDefault="00474760" w:rsidP="00474760">
      <w:pPr>
        <w:spacing w:line="260" w:lineRule="atLeast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proofErr w:type="spellStart"/>
      <w:r w:rsidRPr="00474760">
        <w:rPr>
          <w:rFonts w:ascii="Arial" w:hAnsi="Arial" w:cs="Arial"/>
          <w:color w:val="FF0000"/>
          <w:sz w:val="24"/>
          <w:szCs w:val="24"/>
          <w:u w:val="single"/>
        </w:rPr>
        <w:t>Sample</w:t>
      </w:r>
      <w:proofErr w:type="spellEnd"/>
      <w:r w:rsidRPr="00474760">
        <w:rPr>
          <w:rFonts w:ascii="Arial" w:hAnsi="Arial" w:cs="Arial"/>
          <w:color w:val="FF0000"/>
          <w:sz w:val="24"/>
          <w:szCs w:val="24"/>
          <w:u w:val="single"/>
        </w:rPr>
        <w:t xml:space="preserve"> 2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0D4">
        <w:rPr>
          <w:rFonts w:ascii="Times New Roman" w:hAnsi="Times New Roman" w:cs="Times New Roman"/>
          <w:sz w:val="24"/>
          <w:szCs w:val="24"/>
        </w:rPr>
        <w:t>Mintel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ujawnia trzy najważniejsze trendy zdrowotne, które wpłyną na polski rynek spożywczy w 2014 roku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0D4">
        <w:rPr>
          <w:rFonts w:ascii="Times New Roman" w:hAnsi="Times New Roman" w:cs="Times New Roman"/>
          <w:i/>
          <w:sz w:val="24"/>
          <w:szCs w:val="24"/>
        </w:rPr>
        <w:t>Produkty, na których ocenę wpływa zdrowotny efekt halo podbiją serca polskich konsumentów w 2014 roku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Produkty postrzegane jako zdrowe stopniowo zyskują na popularności w Polsce wraz z coraz częstszym stosowaniem przez konsumentów zdrowych diet jako sposobu na poprawę ogólnego samopoczucia. W poniższym artykule analityczki ds. żywności i żywienia w Polsce z firmy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Mintel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, Honorata Jarocka i Regina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Maiseviciute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>, badają trzy najważniejsze trendy zdrowotne, które wpłyną na polski rynek spożywczy w 2014 roku.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4">
        <w:rPr>
          <w:rFonts w:ascii="Times New Roman" w:hAnsi="Times New Roman" w:cs="Times New Roman"/>
          <w:b/>
          <w:sz w:val="24"/>
          <w:szCs w:val="24"/>
        </w:rPr>
        <w:t xml:space="preserve">Zdrowy tryb życia staje się modny 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Polscy konsumenci coraz bardziej dbają o swoje zdrowie, zwracając większą uwagę na codzienne wybory żywieniowe i poszukując produktów, które dostarczają korzyści zdrowotnych.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Badania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konsumentów w firmie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Mintel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pokazują, że w wielu kategoriach polscy konsumenci domagają się produktów korzystniejszych </w:t>
      </w:r>
      <w:r>
        <w:rPr>
          <w:rFonts w:ascii="Times New Roman" w:hAnsi="Times New Roman" w:cs="Times New Roman"/>
          <w:sz w:val="24"/>
          <w:szCs w:val="24"/>
        </w:rPr>
        <w:t>dla zdrowia. Przykładowo</w:t>
      </w:r>
      <w:r w:rsidRPr="00F300D4">
        <w:rPr>
          <w:rFonts w:ascii="Times New Roman" w:hAnsi="Times New Roman" w:cs="Times New Roman"/>
          <w:sz w:val="24"/>
          <w:szCs w:val="24"/>
        </w:rPr>
        <w:t xml:space="preserve"> ponad siedem osób na dziesięć życzyłoby sobie większego wyboru batonów zbożowych korzystnych dla zdrowia, a ponad sześć osób na dziesięć twierdzi, że warto zapłacić więcej za masło/produkt do smarowania, który ma dobroczynny wpływ</w:t>
      </w:r>
      <w:r>
        <w:rPr>
          <w:rFonts w:ascii="Times New Roman" w:hAnsi="Times New Roman" w:cs="Times New Roman"/>
          <w:sz w:val="24"/>
          <w:szCs w:val="24"/>
        </w:rPr>
        <w:t xml:space="preserve"> na zdrowie. Tymczasem</w:t>
      </w:r>
      <w:r w:rsidRPr="00F300D4">
        <w:rPr>
          <w:rFonts w:ascii="Times New Roman" w:hAnsi="Times New Roman" w:cs="Times New Roman"/>
          <w:sz w:val="24"/>
          <w:szCs w:val="24"/>
        </w:rPr>
        <w:t xml:space="preserve"> 65% badanych pije soki i napoje owocowe lu</w:t>
      </w:r>
      <w:r>
        <w:rPr>
          <w:rFonts w:ascii="Times New Roman" w:hAnsi="Times New Roman" w:cs="Times New Roman"/>
          <w:sz w:val="24"/>
          <w:szCs w:val="24"/>
        </w:rPr>
        <w:t>b koktajle dla zdrowia. Ponadto</w:t>
      </w:r>
      <w:r w:rsidRPr="00F300D4">
        <w:rPr>
          <w:rFonts w:ascii="Times New Roman" w:hAnsi="Times New Roman" w:cs="Times New Roman"/>
          <w:sz w:val="24"/>
          <w:szCs w:val="24"/>
        </w:rPr>
        <w:t xml:space="preserve"> coraz większym zainteresowaniem cieszą się składniki wspomagające zarządzanie masą ciała, takie jak białko: przykł</w:t>
      </w:r>
      <w:r>
        <w:rPr>
          <w:rFonts w:ascii="Times New Roman" w:hAnsi="Times New Roman" w:cs="Times New Roman"/>
          <w:sz w:val="24"/>
          <w:szCs w:val="24"/>
        </w:rPr>
        <w:t>adowo 66% konsumentów chętnie s</w:t>
      </w:r>
      <w:r w:rsidRPr="00F300D4">
        <w:rPr>
          <w:rFonts w:ascii="Times New Roman" w:hAnsi="Times New Roman" w:cs="Times New Roman"/>
          <w:sz w:val="24"/>
          <w:szCs w:val="24"/>
        </w:rPr>
        <w:t>próbowałoby pieczywa wysokobiałkowego.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Porównanie powyższych danych statystycznych z innymi krajami Europy Zachodniej pokazuje, że wśród Polaków panuje ponadprzeciętne zapotrzebowanie na produkty korzystne dla zdrowia i często kierują się oni względami zdrowotnymi w wyborze żywności.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Kwestionariusz na temat zdrowia i żywności, Polska, listopad 2013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Podstawa: 1,991 badanych w wieku 16 +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lastRenderedPageBreak/>
        <w:t>% konsumentów zgadzających z poniższymi stwierdzeniami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Życzyłbym/abym sobie większego wyboru batonów zbożowych korzystnych dla zdrowia (np. bogatych w błonnik, uzupełniających moje dzienne spożycie owoców i warzyw) 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s</w:t>
      </w:r>
      <w:r w:rsidRPr="00F300D4">
        <w:rPr>
          <w:rFonts w:ascii="Times New Roman" w:hAnsi="Times New Roman" w:cs="Times New Roman"/>
          <w:sz w:val="24"/>
          <w:szCs w:val="24"/>
        </w:rPr>
        <w:t>próbowałbym/abym pieczywa wysokobiałkowego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Piję soki, napoje lub koktajle owocowe dla zdrowia (np. ze względu na zawartość witaminy C w soku pomarańczowym)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Warto zapłacić więcej za masło/produkt do smarowania mające dobroczynny wpływ na zdrowie (np. wzmacnia kości)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Ogólne zainteresowanie zdrową żywnością i napojami przekłada się również na nowe zwyczaje zakupowe. Konsumenci chętniej odwiedzają sklepy ze zdrową żywnością, gdyż oferują one szeroki wybór produktów opatrzonych etykietami: organiczne, naturalne, wolne od, wzmacniające/funkcjonalne czy lepsze dla Twojego organizmu. To z kolei napędza dynamiczną ekspansję czołowych graczy rynkowych w</w:t>
      </w:r>
      <w:r>
        <w:rPr>
          <w:rFonts w:ascii="Times New Roman" w:hAnsi="Times New Roman" w:cs="Times New Roman"/>
          <w:sz w:val="24"/>
          <w:szCs w:val="24"/>
        </w:rPr>
        <w:t xml:space="preserve"> tym sektorze</w:t>
      </w:r>
      <w:r w:rsidRPr="00F300D4">
        <w:rPr>
          <w:rFonts w:ascii="Times New Roman" w:hAnsi="Times New Roman" w:cs="Times New Roman"/>
          <w:sz w:val="24"/>
          <w:szCs w:val="24"/>
        </w:rPr>
        <w:t xml:space="preserve">, takich jak sieć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Farma Zdrowia prowadzona</w:t>
      </w:r>
      <w:r w:rsidRPr="00F300D4">
        <w:rPr>
          <w:rFonts w:ascii="Times New Roman" w:hAnsi="Times New Roman" w:cs="Times New Roman"/>
          <w:sz w:val="24"/>
          <w:szCs w:val="24"/>
        </w:rPr>
        <w:t xml:space="preserve"> przez firmę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Farma Zdrowia SA.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4">
        <w:rPr>
          <w:rFonts w:ascii="Times New Roman" w:hAnsi="Times New Roman" w:cs="Times New Roman"/>
          <w:b/>
          <w:sz w:val="24"/>
          <w:szCs w:val="24"/>
        </w:rPr>
        <w:t>Producenci chętnie wykorzystują trend związany ze zdrowiem i dobrym samopoczuciem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Polski rynek spożywczy jest pod ogromnym wpływem rosnącego znaczenia zdrowia i dobrego samopoczucia. Producenci coraz częściej korzystają z tego trend</w:t>
      </w:r>
      <w:r>
        <w:rPr>
          <w:rFonts w:ascii="Times New Roman" w:hAnsi="Times New Roman" w:cs="Times New Roman"/>
          <w:sz w:val="24"/>
          <w:szCs w:val="24"/>
        </w:rPr>
        <w:t>u, jak również dalej go promują</w:t>
      </w:r>
      <w:r w:rsidRPr="00F300D4">
        <w:rPr>
          <w:rFonts w:ascii="Times New Roman" w:hAnsi="Times New Roman" w:cs="Times New Roman"/>
          <w:sz w:val="24"/>
          <w:szCs w:val="24"/>
        </w:rPr>
        <w:t xml:space="preserve"> i dlatego rozszerzają swój asortyment o nowe produkty oferujące konkretne korzyści zdrowotne lub podkreślają naturalność swojego dotychczasowego asortymentu.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Przykładowo</w:t>
      </w:r>
      <w:r w:rsidRPr="00F300D4">
        <w:rPr>
          <w:rFonts w:ascii="Times New Roman" w:hAnsi="Times New Roman" w:cs="Times New Roman"/>
          <w:sz w:val="24"/>
          <w:szCs w:val="24"/>
        </w:rPr>
        <w:t xml:space="preserve"> firma Jogo Łódzka Spółdzielnia Mleczarska szczyci się swoją ofertą prawdziwych lodów sprzedawanych pod marką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>, jako że lody te produkowane są ze śmietanki i nie zawierają sztucznych ani szkodliwych dodatków, takich jak rynkowe oleje roślinne, substancje wypełniające i zagęszczacze.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</w:t>
      </w:r>
      <w:r w:rsidRPr="00F300D4">
        <w:rPr>
          <w:rFonts w:ascii="Times New Roman" w:hAnsi="Times New Roman" w:cs="Times New Roman"/>
          <w:sz w:val="24"/>
          <w:szCs w:val="24"/>
        </w:rPr>
        <w:t xml:space="preserve"> niektórzy producenci tacy jak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Sante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A. Kowalski Sp. j. starają się zostać ekspertami w zakresie zdrowych produktów spożywczych i napojów. Firma oferuje płatki śniadaniowe, batoniki zbożowe i kasze, a także zajmuje się dystrybucją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beznabiałowych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produktów firmy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Alpro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, produkowanych głównie na bazie soi. Firma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Sante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A. Kowalski Sp. j. pragnie być kojarzona z kwestiami zdrowotnymi, dlatego zwraca szczególną uwagę na promowanie zdrowego stylu życia wśród Polaków. Oprócz podawania konsumentom obszernych informacji na temat zdrowych diet</w:t>
      </w:r>
      <w:r>
        <w:rPr>
          <w:rFonts w:ascii="Times New Roman" w:hAnsi="Times New Roman" w:cs="Times New Roman"/>
          <w:sz w:val="24"/>
          <w:szCs w:val="24"/>
        </w:rPr>
        <w:t xml:space="preserve"> na swojej stronie internetowej</w:t>
      </w:r>
      <w:r w:rsidRPr="00F300D4">
        <w:rPr>
          <w:rFonts w:ascii="Times New Roman" w:hAnsi="Times New Roman" w:cs="Times New Roman"/>
          <w:sz w:val="24"/>
          <w:szCs w:val="24"/>
        </w:rPr>
        <w:t xml:space="preserve"> firma angażuje się również w rozmaite projekty związane z ochroną zdrowia i generalnie dobrym samopoczuciem. Na przykład w październiku 2013 roku firma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Sante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A. Kowalski Sp. j. otworzyła centrum Day Spa w Warszawie o nazwie OVO Studio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Sante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>, oferując kompleksowe zabiegi relaksacyjne obejmujące kuracje pielęgnacyjne, takie jak masaże i zabiegi kosmetyczne, a także zajęcia jogi i medytacji.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4">
        <w:rPr>
          <w:rFonts w:ascii="Times New Roman" w:hAnsi="Times New Roman" w:cs="Times New Roman"/>
          <w:b/>
          <w:sz w:val="24"/>
          <w:szCs w:val="24"/>
        </w:rPr>
        <w:t>Naturalne jako silne oświadczenie zdrowotne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Stopniowo zwiększa się wybór polskich produktów spożywczych i napojów, które opatrzone są oświadczeniami zdrowotnymi. Oświadczenie </w:t>
      </w:r>
      <w:r w:rsidRPr="00F300D4">
        <w:rPr>
          <w:rFonts w:ascii="Times New Roman" w:hAnsi="Times New Roman" w:cs="Times New Roman"/>
          <w:sz w:val="24"/>
          <w:szCs w:val="24"/>
          <w:cs/>
        </w:rPr>
        <w:t>„</w:t>
      </w:r>
      <w:r w:rsidRPr="00F300D4">
        <w:rPr>
          <w:rFonts w:ascii="Times New Roman" w:hAnsi="Times New Roman" w:cs="Times New Roman"/>
          <w:sz w:val="24"/>
          <w:szCs w:val="24"/>
        </w:rPr>
        <w:t>nie zawiera dodatków/konserwantów</w:t>
      </w:r>
      <w:r w:rsidRPr="00F300D4">
        <w:rPr>
          <w:rFonts w:ascii="Times New Roman" w:hAnsi="Times New Roman" w:cs="Times New Roman"/>
          <w:sz w:val="24"/>
          <w:szCs w:val="24"/>
          <w:cs/>
        </w:rPr>
        <w:t xml:space="preserve">“ </w:t>
      </w:r>
      <w:r w:rsidRPr="00F300D4">
        <w:rPr>
          <w:rFonts w:ascii="Times New Roman" w:hAnsi="Times New Roman" w:cs="Times New Roman"/>
          <w:sz w:val="24"/>
          <w:szCs w:val="24"/>
        </w:rPr>
        <w:t>okazuje się być szczególnie popularne, gdyż pojawiło się ono na 16% produktów wprowadzonych na rynek w 2013 roku. Konsumenci często kojarzą powyższe oświa</w:t>
      </w:r>
      <w:r>
        <w:rPr>
          <w:rFonts w:ascii="Times New Roman" w:hAnsi="Times New Roman" w:cs="Times New Roman"/>
          <w:sz w:val="24"/>
          <w:szCs w:val="24"/>
        </w:rPr>
        <w:t>dczenie z prostotą i czystością</w:t>
      </w:r>
      <w:r w:rsidRPr="00F300D4">
        <w:rPr>
          <w:rFonts w:ascii="Times New Roman" w:hAnsi="Times New Roman" w:cs="Times New Roman"/>
          <w:sz w:val="24"/>
          <w:szCs w:val="24"/>
        </w:rPr>
        <w:t xml:space="preserve"> oraz uznają takie produkty za mniej przetworzone. To z kolei zachęca </w:t>
      </w:r>
      <w:r w:rsidRPr="00F300D4">
        <w:rPr>
          <w:rFonts w:ascii="Times New Roman" w:hAnsi="Times New Roman" w:cs="Times New Roman"/>
          <w:sz w:val="24"/>
          <w:szCs w:val="24"/>
        </w:rPr>
        <w:lastRenderedPageBreak/>
        <w:t>producentów do podkreślania naturalności swoich produktów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0D4">
        <w:rPr>
          <w:rFonts w:ascii="Times New Roman" w:hAnsi="Times New Roman" w:cs="Times New Roman"/>
          <w:sz w:val="24"/>
          <w:szCs w:val="24"/>
        </w:rPr>
        <w:t xml:space="preserve"> promując informację, że w produkcji wykorzystuj</w:t>
      </w:r>
      <w:r>
        <w:rPr>
          <w:rFonts w:ascii="Times New Roman" w:hAnsi="Times New Roman" w:cs="Times New Roman"/>
          <w:sz w:val="24"/>
          <w:szCs w:val="24"/>
        </w:rPr>
        <w:t>ą ograniczoną liczbę składników</w:t>
      </w:r>
      <w:r w:rsidRPr="00F300D4">
        <w:rPr>
          <w:rFonts w:ascii="Times New Roman" w:hAnsi="Times New Roman" w:cs="Times New Roman"/>
          <w:sz w:val="24"/>
          <w:szCs w:val="24"/>
        </w:rPr>
        <w:t xml:space="preserve"> bez sztucznych i/lub szkodliwych dodatków.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Na przykład w październiku 2013 roku Okręgowa Spółdzielnia Mleczarska w Piątnicy zmodyfikowała skład swojego serka do smarowania o nazwie Twój Smak, aby produkt stał się bardziej naturalny. Zamiast</w:t>
      </w:r>
      <w:r>
        <w:rPr>
          <w:rFonts w:ascii="Times New Roman" w:hAnsi="Times New Roman" w:cs="Times New Roman"/>
          <w:sz w:val="24"/>
          <w:szCs w:val="24"/>
        </w:rPr>
        <w:t xml:space="preserve"> używać roślinnych zagęszczaczy</w:t>
      </w:r>
      <w:r w:rsidRPr="00F300D4">
        <w:rPr>
          <w:rFonts w:ascii="Times New Roman" w:hAnsi="Times New Roman" w:cs="Times New Roman"/>
          <w:sz w:val="24"/>
          <w:szCs w:val="24"/>
        </w:rPr>
        <w:t xml:space="preserve"> firma wprowadziła do recep</w:t>
      </w:r>
      <w:r>
        <w:rPr>
          <w:rFonts w:ascii="Times New Roman" w:hAnsi="Times New Roman" w:cs="Times New Roman"/>
          <w:sz w:val="24"/>
          <w:szCs w:val="24"/>
        </w:rPr>
        <w:t>tury białka mleka. W rezultacie</w:t>
      </w:r>
      <w:r w:rsidRPr="00F300D4">
        <w:rPr>
          <w:rFonts w:ascii="Times New Roman" w:hAnsi="Times New Roman" w:cs="Times New Roman"/>
          <w:sz w:val="24"/>
          <w:szCs w:val="24"/>
        </w:rPr>
        <w:t xml:space="preserve"> na opakowaniu znalazła się nowa informacja o braku substancji konserwujących, sztucznych barwników, zagęszczaczy i składzie w 100% naturalnym.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Wprowadzone na rynek produkty spożywcze z oświadczeniami zdrowotnymi, Polska, 2012-13 r.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% nowych produktów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Bez dodatków/konserwantów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Niska/brak/obniżona zawartość cukru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Wzbogacony o witaminy/minerały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Niska/brak/obniżona zawartość alergenów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Oświadczenie o niskiej/braku/ograniczonej zawartości cukru również zyskuje popularność w Polsce, gdyż coraz więcej konsumentów pragnie ograniczyć cukier, aby zmniejszyć dzienne spożycie kalorii. Trend ten rozwijają producenci coraz szerzej wykorzystu</w:t>
      </w:r>
      <w:r>
        <w:rPr>
          <w:rFonts w:ascii="Times New Roman" w:hAnsi="Times New Roman" w:cs="Times New Roman"/>
          <w:sz w:val="24"/>
          <w:szCs w:val="24"/>
        </w:rPr>
        <w:t xml:space="preserve">jąc zastępcze słodziki, zarówno </w:t>
      </w:r>
      <w:r w:rsidRPr="00F300D4">
        <w:rPr>
          <w:rFonts w:ascii="Times New Roman" w:hAnsi="Times New Roman" w:cs="Times New Roman"/>
          <w:sz w:val="24"/>
          <w:szCs w:val="24"/>
        </w:rPr>
        <w:t>sztuczne</w:t>
      </w:r>
      <w:r>
        <w:rPr>
          <w:rFonts w:ascii="Times New Roman" w:hAnsi="Times New Roman" w:cs="Times New Roman"/>
          <w:sz w:val="24"/>
          <w:szCs w:val="24"/>
        </w:rPr>
        <w:t xml:space="preserve">, jak  </w:t>
      </w:r>
      <w:r w:rsidRPr="00F300D4">
        <w:rPr>
          <w:rFonts w:ascii="Times New Roman" w:hAnsi="Times New Roman" w:cs="Times New Roman"/>
          <w:sz w:val="24"/>
          <w:szCs w:val="24"/>
        </w:rPr>
        <w:t xml:space="preserve">i naturalne. Stewię, naturalną substancję słodzącą pochodzenia roślinnego, wprowadzono w różnych kategoriach spożywczych, reklamując ją jako naturalny słodzik o zerowej kaloryczności. Ostatnio wprowadzone na rynek produkty na bazie stewii obejmują niegazowane wody aromatyzowane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Veron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 (Zbyszko Company S</w:t>
      </w:r>
      <w:r w:rsidRPr="00F300D4">
        <w:rPr>
          <w:rFonts w:ascii="Times New Roman" w:hAnsi="Times New Roman" w:cs="Times New Roman"/>
          <w:sz w:val="24"/>
          <w:szCs w:val="24"/>
        </w:rPr>
        <w:t xml:space="preserve">p. z o.o.), jogurty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Amorozo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(Okręgowa Spółdzielnia Mleczarska w Ozorkowie) i piwa smakowe (Perła - Browary Lubelskie SA).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Pokaz slajdów w nagłówku: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Nowe produkty na bazie stewii w Polsce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Woda niegazowana o smaku truskawkowym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Veroni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Mineral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Fit jest wzbogacona w wapń. Produkt ponoć zawiera o 30% mniej cukru i mniejszą ilość kalorii,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300D4">
        <w:rPr>
          <w:rFonts w:ascii="Times New Roman" w:hAnsi="Times New Roman" w:cs="Times New Roman"/>
          <w:sz w:val="24"/>
          <w:szCs w:val="24"/>
        </w:rPr>
        <w:t>dosładzany jest za pomocą ekstraktu ze stewii.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Jogurt truskawkowy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Amorozo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4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zawierający stewię jest nowym jogurtem o niskiej zawartości cukru i tłuszczu.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Piwo smakowe Perła Winter to unikalne połączenie piwa ze smakiem dzikiej róży i czarnego bzu. Produkt nie zawiera konserwantów.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Polscy konsumenci są coraz bardziej skłonni wypróbowywać nowości i wzbogacać swoje codzienne diety o nowe produkty; zatem potencjał rozwoju w zakresie produktów związanych ze zdrowiem i dobrym samopoczuciem</w:t>
      </w:r>
      <w:r>
        <w:rPr>
          <w:rFonts w:ascii="Times New Roman" w:hAnsi="Times New Roman" w:cs="Times New Roman"/>
          <w:sz w:val="24"/>
          <w:szCs w:val="24"/>
        </w:rPr>
        <w:t xml:space="preserve"> wydaje się dość znaczący</w:t>
      </w:r>
      <w:r w:rsidRPr="00F300D4">
        <w:rPr>
          <w:rFonts w:ascii="Times New Roman" w:hAnsi="Times New Roman" w:cs="Times New Roman"/>
          <w:sz w:val="24"/>
          <w:szCs w:val="24"/>
        </w:rPr>
        <w:t>. Media odgrywają istotną rolę w promowaniu trendu zdrowego odżywiania, który powinien przyczynić się do zachęcenia większej liczby Polaków do zmiany swoich nawyków żywieniowych i starań w kierunku prowadzenia zdrowego i zrównoważonego stylu życia.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lastRenderedPageBreak/>
        <w:t>Oczekuje się, że nowe korzystne dla zdrowia produkty będą w dalszym ciągu występować we wszystkich kategoriach spożywczych.</w:t>
      </w: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poświęcić</w:t>
      </w:r>
      <w:r w:rsidRPr="00F300D4">
        <w:rPr>
          <w:rFonts w:ascii="Times New Roman" w:hAnsi="Times New Roman" w:cs="Times New Roman"/>
          <w:sz w:val="24"/>
          <w:szCs w:val="24"/>
        </w:rPr>
        <w:t xml:space="preserve"> więcej uwagi na promowanie zdrowego stylu życia, by rozszerzyć istniejącą bazę konsumentów kupujących zdrową żywność i napoje.</w:t>
      </w:r>
    </w:p>
    <w:p w:rsidR="00474760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Chociaż słowo </w:t>
      </w:r>
      <w:r w:rsidRPr="00F300D4">
        <w:rPr>
          <w:rFonts w:ascii="Times New Roman" w:hAnsi="Times New Roman" w:cs="Times New Roman"/>
          <w:sz w:val="24"/>
          <w:szCs w:val="24"/>
          <w:cs/>
        </w:rPr>
        <w:t>„</w:t>
      </w:r>
      <w:r w:rsidRPr="00F300D4">
        <w:rPr>
          <w:rFonts w:ascii="Times New Roman" w:hAnsi="Times New Roman" w:cs="Times New Roman"/>
          <w:sz w:val="24"/>
          <w:szCs w:val="24"/>
        </w:rPr>
        <w:t>naturalne</w:t>
      </w:r>
      <w:r w:rsidRPr="00F300D4">
        <w:rPr>
          <w:rFonts w:ascii="Times New Roman" w:hAnsi="Times New Roman" w:cs="Times New Roman"/>
          <w:sz w:val="24"/>
          <w:szCs w:val="24"/>
          <w:cs/>
        </w:rPr>
        <w:t xml:space="preserve">“ </w:t>
      </w:r>
      <w:r w:rsidRPr="00F300D4">
        <w:rPr>
          <w:rFonts w:ascii="Times New Roman" w:hAnsi="Times New Roman" w:cs="Times New Roman"/>
          <w:sz w:val="24"/>
          <w:szCs w:val="24"/>
        </w:rPr>
        <w:t>to nadal dość ogólnikowe stwierdzenie, przewiduje się, że przyciągnie ono o wiele więcej zwolenników, biorąc pod uwagę autentyczność i prostotę, której poszukują w produktach konsumenci.</w:t>
      </w:r>
    </w:p>
    <w:p w:rsidR="00474760" w:rsidRDefault="00474760" w:rsidP="00474760">
      <w:pPr>
        <w:shd w:val="clear" w:color="auto" w:fill="FFFFFF"/>
        <w:ind w:left="65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474760" w:rsidRDefault="00474760" w:rsidP="00474760">
      <w:pPr>
        <w:shd w:val="clear" w:color="auto" w:fill="FFFFFF"/>
        <w:ind w:left="65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Sample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3</w:t>
      </w:r>
      <w:bookmarkStart w:id="630" w:name="_GoBack"/>
      <w:bookmarkEnd w:id="630"/>
    </w:p>
    <w:p w:rsidR="00474760" w:rsidRPr="00F300D4" w:rsidRDefault="00474760" w:rsidP="00474760">
      <w:pPr>
        <w:shd w:val="clear" w:color="auto" w:fill="FFFFFF"/>
        <w:ind w:left="65"/>
        <w:jc w:val="center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pacing w:val="-8"/>
          <w:sz w:val="24"/>
          <w:szCs w:val="24"/>
        </w:rPr>
        <w:t>ZOBOWIĄZANIE DO ZACHOWANIA POUFNOŚCI</w:t>
      </w:r>
    </w:p>
    <w:p w:rsidR="00474760" w:rsidRPr="00F300D4" w:rsidRDefault="00474760" w:rsidP="00474760">
      <w:pPr>
        <w:shd w:val="clear" w:color="auto" w:fill="FFFFFF"/>
        <w:spacing w:before="158"/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I</w:t>
      </w:r>
    </w:p>
    <w:p w:rsidR="00474760" w:rsidRPr="00F300D4" w:rsidRDefault="00474760" w:rsidP="00474760">
      <w:pPr>
        <w:shd w:val="clear" w:color="auto" w:fill="FFFFFF"/>
        <w:spacing w:before="130" w:line="302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pacing w:val="-8"/>
          <w:sz w:val="24"/>
          <w:szCs w:val="24"/>
        </w:rPr>
        <w:t xml:space="preserve">W odniesieniu do uzyskania informacji udostępnionych przez firmę X Sp. z </w:t>
      </w:r>
      <w:proofErr w:type="spellStart"/>
      <w:r w:rsidRPr="00F300D4">
        <w:rPr>
          <w:rFonts w:ascii="Times New Roman" w:hAnsi="Times New Roman" w:cs="Times New Roman"/>
          <w:spacing w:val="-8"/>
          <w:sz w:val="24"/>
          <w:szCs w:val="24"/>
        </w:rPr>
        <w:t>o.o</w:t>
      </w:r>
      <w:proofErr w:type="spellEnd"/>
      <w:r w:rsidRPr="00F300D4">
        <w:rPr>
          <w:rFonts w:ascii="Times New Roman" w:hAnsi="Times New Roman" w:cs="Times New Roman"/>
          <w:spacing w:val="-8"/>
          <w:sz w:val="24"/>
          <w:szCs w:val="24"/>
        </w:rPr>
        <w:t xml:space="preserve"> z siedzibą w Warszawie, XXX </w:t>
      </w:r>
      <w:r>
        <w:rPr>
          <w:rFonts w:ascii="Times New Roman" w:hAnsi="Times New Roman" w:cs="Times New Roman"/>
          <w:spacing w:val="-8"/>
          <w:sz w:val="24"/>
          <w:szCs w:val="24"/>
        </w:rPr>
        <w:t>i jej jednostki zależne (zwane</w:t>
      </w:r>
      <w:r w:rsidRPr="00F300D4">
        <w:rPr>
          <w:rFonts w:ascii="Times New Roman" w:hAnsi="Times New Roman" w:cs="Times New Roman"/>
          <w:spacing w:val="-8"/>
          <w:sz w:val="24"/>
          <w:szCs w:val="24"/>
        </w:rPr>
        <w:t xml:space="preserve"> dalej łącznie jako </w:t>
      </w:r>
      <w:r w:rsidRPr="00F300D4">
        <w:rPr>
          <w:rFonts w:ascii="Times New Roman" w:hAnsi="Times New Roman" w:cs="Times New Roman"/>
          <w:b/>
          <w:spacing w:val="-8"/>
          <w:sz w:val="24"/>
          <w:szCs w:val="24"/>
        </w:rPr>
        <w:t>„</w:t>
      </w:r>
      <w:r w:rsidRPr="00F300D4">
        <w:rPr>
          <w:rFonts w:ascii="Times New Roman" w:hAnsi="Times New Roman" w:cs="Times New Roman"/>
          <w:b/>
          <w:spacing w:val="-10"/>
          <w:sz w:val="24"/>
          <w:szCs w:val="24"/>
        </w:rPr>
        <w:t>Spółka”)</w:t>
      </w:r>
      <w:r w:rsidRPr="00F300D4">
        <w:rPr>
          <w:rFonts w:ascii="Times New Roman" w:hAnsi="Times New Roman" w:cs="Times New Roman"/>
          <w:sz w:val="24"/>
          <w:szCs w:val="24"/>
        </w:rPr>
        <w:t xml:space="preserve"> </w:t>
      </w:r>
      <w:r w:rsidRPr="00F300D4">
        <w:rPr>
          <w:rFonts w:ascii="Times New Roman" w:hAnsi="Times New Roman" w:cs="Times New Roman"/>
          <w:spacing w:val="-10"/>
          <w:sz w:val="24"/>
          <w:szCs w:val="24"/>
        </w:rPr>
        <w:t>w celu oceny proponowanej transakcji dotyczącej nieruchomości Y znajdującej się w</w:t>
      </w:r>
      <w:r w:rsidRPr="00F30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Warszawie</w:t>
      </w:r>
      <w:r w:rsidRPr="00F300D4">
        <w:rPr>
          <w:rFonts w:ascii="Times New Roman" w:hAnsi="Times New Roman" w:cs="Times New Roman"/>
          <w:spacing w:val="-6"/>
          <w:sz w:val="24"/>
          <w:szCs w:val="24"/>
        </w:rPr>
        <w:t xml:space="preserve"> pomiędzy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A</w:t>
      </w:r>
      <w:r w:rsidRPr="00F300D4">
        <w:rPr>
          <w:rFonts w:ascii="Times New Roman" w:hAnsi="Times New Roman" w:cs="Times New Roman"/>
          <w:spacing w:val="-6"/>
          <w:sz w:val="24"/>
          <w:szCs w:val="24"/>
        </w:rPr>
        <w:t xml:space="preserve"> Sp. z </w:t>
      </w:r>
      <w:proofErr w:type="spellStart"/>
      <w:r w:rsidRPr="00F300D4">
        <w:rPr>
          <w:rFonts w:ascii="Times New Roman" w:hAnsi="Times New Roman" w:cs="Times New Roman"/>
          <w:spacing w:val="-6"/>
          <w:sz w:val="24"/>
          <w:szCs w:val="24"/>
        </w:rPr>
        <w:t>o.o</w:t>
      </w:r>
      <w:proofErr w:type="spellEnd"/>
      <w:r w:rsidRPr="00F300D4">
        <w:rPr>
          <w:rFonts w:ascii="Times New Roman" w:hAnsi="Times New Roman" w:cs="Times New Roman"/>
          <w:spacing w:val="-6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-6"/>
          <w:sz w:val="24"/>
          <w:szCs w:val="24"/>
        </w:rPr>
        <w:t>/lub B z grupy A („Potencjalny i</w:t>
      </w:r>
      <w:r w:rsidRPr="00F300D4">
        <w:rPr>
          <w:rFonts w:ascii="Times New Roman" w:hAnsi="Times New Roman" w:cs="Times New Roman"/>
          <w:spacing w:val="-6"/>
          <w:sz w:val="24"/>
          <w:szCs w:val="24"/>
        </w:rPr>
        <w:t>nwestor”) i</w:t>
      </w:r>
      <w:r w:rsidRPr="00F300D4">
        <w:rPr>
          <w:rFonts w:ascii="Times New Roman" w:hAnsi="Times New Roman" w:cs="Times New Roman"/>
          <w:sz w:val="24"/>
          <w:szCs w:val="24"/>
        </w:rPr>
        <w:t xml:space="preserve"> udziałowcami Spółki („Transakcja”),</w:t>
      </w:r>
    </w:p>
    <w:p w:rsidR="00474760" w:rsidRPr="00F300D4" w:rsidRDefault="00474760" w:rsidP="00474760">
      <w:pPr>
        <w:shd w:val="clear" w:color="auto" w:fill="FFFFFF"/>
        <w:spacing w:before="115" w:line="302" w:lineRule="exact"/>
        <w:ind w:left="50" w:right="14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pacing w:val="-9"/>
          <w:sz w:val="24"/>
          <w:szCs w:val="24"/>
        </w:rPr>
        <w:t>Ja, niżej podpisany,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członek zespołu Potencjalnego inwestora przeprowadzającego analizę</w:t>
      </w:r>
      <w:r w:rsidRPr="00F300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300D4">
        <w:rPr>
          <w:rFonts w:ascii="Times New Roman" w:hAnsi="Times New Roman" w:cs="Times New Roman"/>
          <w:spacing w:val="-9"/>
          <w:sz w:val="24"/>
          <w:szCs w:val="24"/>
        </w:rPr>
        <w:t>due</w:t>
      </w:r>
      <w:proofErr w:type="spellEnd"/>
      <w:r w:rsidRPr="00F300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300D4">
        <w:rPr>
          <w:rFonts w:ascii="Times New Roman" w:hAnsi="Times New Roman" w:cs="Times New Roman"/>
          <w:spacing w:val="-9"/>
          <w:sz w:val="24"/>
          <w:szCs w:val="24"/>
        </w:rPr>
        <w:t>diligence</w:t>
      </w:r>
      <w:proofErr w:type="spellEnd"/>
      <w:r w:rsidRPr="00F300D4">
        <w:rPr>
          <w:rFonts w:ascii="Times New Roman" w:hAnsi="Times New Roman" w:cs="Times New Roman"/>
          <w:spacing w:val="-9"/>
          <w:sz w:val="24"/>
          <w:szCs w:val="24"/>
        </w:rPr>
        <w:t xml:space="preserve"> Spółki w związ</w:t>
      </w:r>
      <w:r>
        <w:rPr>
          <w:rFonts w:ascii="Times New Roman" w:hAnsi="Times New Roman" w:cs="Times New Roman"/>
          <w:spacing w:val="-9"/>
          <w:sz w:val="24"/>
          <w:szCs w:val="24"/>
        </w:rPr>
        <w:t>ku z oceną transakcji („Analiza”)</w:t>
      </w:r>
      <w:r w:rsidRPr="00F300D4">
        <w:rPr>
          <w:rFonts w:ascii="Times New Roman" w:hAnsi="Times New Roman" w:cs="Times New Roman"/>
          <w:spacing w:val="-9"/>
          <w:sz w:val="24"/>
          <w:szCs w:val="24"/>
        </w:rPr>
        <w:t xml:space="preserve"> niniejszym zobowiązuję się do:</w:t>
      </w:r>
    </w:p>
    <w:p w:rsidR="00474760" w:rsidRPr="00F300D4" w:rsidRDefault="00474760" w:rsidP="0047476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8" w:after="0" w:line="331" w:lineRule="exact"/>
        <w:ind w:left="720" w:right="22" w:hanging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F300D4">
        <w:rPr>
          <w:rFonts w:ascii="Times New Roman" w:hAnsi="Times New Roman" w:cs="Times New Roman"/>
          <w:spacing w:val="-1"/>
          <w:sz w:val="24"/>
          <w:szCs w:val="24"/>
        </w:rPr>
        <w:t>traktowania wszelkich i</w:t>
      </w:r>
      <w:r>
        <w:rPr>
          <w:rFonts w:ascii="Times New Roman" w:hAnsi="Times New Roman" w:cs="Times New Roman"/>
          <w:spacing w:val="-1"/>
          <w:sz w:val="24"/>
          <w:szCs w:val="24"/>
        </w:rPr>
        <w:t>nformacji w związku z Analizą</w:t>
      </w:r>
      <w:r w:rsidRPr="00F300D4">
        <w:rPr>
          <w:rFonts w:ascii="Times New Roman" w:hAnsi="Times New Roman" w:cs="Times New Roman"/>
          <w:spacing w:val="-1"/>
          <w:sz w:val="24"/>
          <w:szCs w:val="24"/>
        </w:rPr>
        <w:t xml:space="preserve"> uzyskanych w formie pisemnej lub ustnej od </w:t>
      </w:r>
      <w:r w:rsidRPr="00F300D4">
        <w:rPr>
          <w:rFonts w:ascii="Times New Roman" w:hAnsi="Times New Roman" w:cs="Times New Roman"/>
          <w:sz w:val="24"/>
          <w:szCs w:val="24"/>
        </w:rPr>
        <w:t xml:space="preserve">Spółki, jej pracowników i doradców </w:t>
      </w:r>
      <w:r w:rsidRPr="00F300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(„Informacje”) </w:t>
      </w:r>
      <w:r w:rsidRPr="00F300D4">
        <w:rPr>
          <w:rFonts w:ascii="Times New Roman" w:hAnsi="Times New Roman" w:cs="Times New Roman"/>
          <w:sz w:val="24"/>
          <w:szCs w:val="24"/>
        </w:rPr>
        <w:t xml:space="preserve">jako ściśle poufne, </w:t>
      </w:r>
      <w:r w:rsidRPr="00F300D4">
        <w:rPr>
          <w:rFonts w:ascii="Times New Roman" w:hAnsi="Times New Roman" w:cs="Times New Roman"/>
          <w:spacing w:val="-2"/>
          <w:sz w:val="24"/>
          <w:szCs w:val="24"/>
        </w:rPr>
        <w:t>chyba że 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kie informacje zostały </w:t>
      </w:r>
      <w:r w:rsidRPr="00F300D4"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odane do powszechnej wiadomości;</w:t>
      </w:r>
    </w:p>
    <w:p w:rsidR="00474760" w:rsidRPr="00F300D4" w:rsidRDefault="00474760" w:rsidP="0047476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8" w:after="0" w:line="331" w:lineRule="exact"/>
        <w:ind w:left="720" w:right="22" w:hanging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wykorzystywania Informacji wyłącznie </w:t>
      </w:r>
      <w:r>
        <w:rPr>
          <w:rFonts w:ascii="Times New Roman" w:hAnsi="Times New Roman" w:cs="Times New Roman"/>
          <w:sz w:val="24"/>
          <w:szCs w:val="24"/>
        </w:rPr>
        <w:t>w celach związanych z Analizą</w:t>
      </w:r>
      <w:r w:rsidRPr="00F300D4">
        <w:rPr>
          <w:rFonts w:ascii="Times New Roman" w:hAnsi="Times New Roman" w:cs="Times New Roman"/>
          <w:sz w:val="24"/>
          <w:szCs w:val="24"/>
        </w:rPr>
        <w:t xml:space="preserve"> lub w innych celach związanych z przygotowaniem i realizacją Transakcji; Informacji nie można wykorzystywać w innych celach, a w szczególności sprzecznych z interesem Spółki;</w:t>
      </w:r>
    </w:p>
    <w:p w:rsidR="00474760" w:rsidRPr="00F300D4" w:rsidRDefault="00474760" w:rsidP="0047476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8" w:after="0" w:line="331" w:lineRule="exact"/>
        <w:ind w:left="720" w:right="36"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300D4">
        <w:rPr>
          <w:rFonts w:ascii="Times New Roman" w:hAnsi="Times New Roman" w:cs="Times New Roman"/>
          <w:spacing w:val="-1"/>
          <w:sz w:val="24"/>
          <w:szCs w:val="24"/>
        </w:rPr>
        <w:t xml:space="preserve">nieujawniania lub nierozgłaszania żadnych Informacji osobom trzecim bez </w:t>
      </w:r>
      <w:r w:rsidRPr="00F300D4">
        <w:rPr>
          <w:rFonts w:ascii="Times New Roman" w:hAnsi="Times New Roman" w:cs="Times New Roman"/>
          <w:spacing w:val="-2"/>
          <w:sz w:val="24"/>
          <w:szCs w:val="24"/>
        </w:rPr>
        <w:t>uprzedniej pisemnej zgody Spółki, z wyjątkiem osób, które (i) podpisały zobowiązanie do zachowania poufności</w:t>
      </w:r>
      <w:r w:rsidRPr="00F300D4">
        <w:rPr>
          <w:rFonts w:ascii="Times New Roman" w:hAnsi="Times New Roman" w:cs="Times New Roman"/>
          <w:sz w:val="24"/>
          <w:szCs w:val="24"/>
        </w:rPr>
        <w:t xml:space="preserve"> identyczne w formie i treści, jak niniejsze Zobowiązanie, (ii) zawarli inne istotne zobowiązania o zachowaniu poufności ze Spółką lub innymi członkami grupy Spółki, lub (iii) zostały upoważnione przez Spółkę do posiadania lub uzyskania takich </w:t>
      </w:r>
      <w:r w:rsidRPr="00F300D4">
        <w:rPr>
          <w:rFonts w:ascii="Times New Roman" w:hAnsi="Times New Roman" w:cs="Times New Roman"/>
          <w:spacing w:val="-1"/>
          <w:sz w:val="24"/>
          <w:szCs w:val="24"/>
        </w:rPr>
        <w:t xml:space="preserve">Informacji; </w:t>
      </w:r>
      <w:r>
        <w:rPr>
          <w:rFonts w:ascii="Times New Roman" w:hAnsi="Times New Roman" w:cs="Times New Roman"/>
          <w:spacing w:val="-1"/>
          <w:sz w:val="24"/>
          <w:szCs w:val="24"/>
        </w:rPr>
        <w:t>lub są doradcami Potencjalnego i</w:t>
      </w:r>
      <w:r w:rsidRPr="00F300D4">
        <w:rPr>
          <w:rFonts w:ascii="Times New Roman" w:hAnsi="Times New Roman" w:cs="Times New Roman"/>
          <w:spacing w:val="-1"/>
          <w:sz w:val="24"/>
          <w:szCs w:val="24"/>
        </w:rPr>
        <w:t>nwestora lub należą do instytucji finansującej;</w:t>
      </w:r>
    </w:p>
    <w:p w:rsidR="00474760" w:rsidRPr="00F300D4" w:rsidRDefault="00474760" w:rsidP="0047476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8" w:after="0" w:line="331" w:lineRule="exact"/>
        <w:ind w:left="720" w:right="43" w:hanging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zabezpieczenia Informacji przed utratą i zniszczeniem, ujawnieniem lub przekazaniem jakimkolwiek osobom, które nie podpisały stosownego zobowiązania do zachowania poufności lub nie zostały upoważnione do uzyskania lub posiadania informacji, oraz stosowania procedur zapobiegających nieuprawnionemu ujawnianiu informacji;</w:t>
      </w:r>
    </w:p>
    <w:p w:rsidR="00474760" w:rsidRPr="00F300D4" w:rsidRDefault="00474760" w:rsidP="0047476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8" w:after="0" w:line="331" w:lineRule="exact"/>
        <w:ind w:left="720" w:right="29" w:hanging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przestrzegania postanowień umowy o zachowaniu poufnośc</w:t>
      </w:r>
      <w:r>
        <w:rPr>
          <w:rFonts w:ascii="Times New Roman" w:hAnsi="Times New Roman" w:cs="Times New Roman"/>
          <w:sz w:val="24"/>
          <w:szCs w:val="24"/>
        </w:rPr>
        <w:t>i zawartej przez Potencjalnego i</w:t>
      </w:r>
      <w:r w:rsidRPr="00F300D4">
        <w:rPr>
          <w:rFonts w:ascii="Times New Roman" w:hAnsi="Times New Roman" w:cs="Times New Roman"/>
          <w:sz w:val="24"/>
          <w:szCs w:val="24"/>
        </w:rPr>
        <w:t>nwestora ze Spółką, o ile odnoszą się do osoby uzyskującej poufne informacje od Spółki zgodnie z postanowieniami niniejszego Zobowiązania, oraz</w:t>
      </w:r>
    </w:p>
    <w:p w:rsidR="00474760" w:rsidRPr="00F300D4" w:rsidRDefault="00474760" w:rsidP="00474760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8" w:after="0" w:line="331" w:lineRule="exact"/>
        <w:ind w:left="720" w:right="58" w:hanging="36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lastRenderedPageBreak/>
        <w:t>niereproduko</w:t>
      </w:r>
      <w:r>
        <w:rPr>
          <w:rFonts w:ascii="Times New Roman" w:hAnsi="Times New Roman" w:cs="Times New Roman"/>
          <w:sz w:val="24"/>
          <w:szCs w:val="24"/>
        </w:rPr>
        <w:t>wania udostępnionych informacji</w:t>
      </w:r>
      <w:r w:rsidRPr="00F300D4">
        <w:rPr>
          <w:rFonts w:ascii="Times New Roman" w:hAnsi="Times New Roman" w:cs="Times New Roman"/>
          <w:sz w:val="24"/>
          <w:szCs w:val="24"/>
        </w:rPr>
        <w:t xml:space="preserve"> bez wcześniejszej wyraźnej zgody Spółki.</w:t>
      </w:r>
    </w:p>
    <w:p w:rsidR="00474760" w:rsidRPr="00F300D4" w:rsidRDefault="00474760" w:rsidP="00474760">
      <w:pPr>
        <w:shd w:val="clear" w:color="auto" w:fill="FFFFFF"/>
        <w:spacing w:before="115" w:line="331" w:lineRule="exact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</w:t>
      </w:r>
      <w:r w:rsidRPr="00F300D4">
        <w:rPr>
          <w:rFonts w:ascii="Times New Roman" w:hAnsi="Times New Roman" w:cs="Times New Roman"/>
          <w:sz w:val="24"/>
          <w:szCs w:val="24"/>
        </w:rPr>
        <w:t xml:space="preserve"> uznaję, że w każdej chwili Spółka może zażądać zwrotu wszys</w:t>
      </w:r>
      <w:r>
        <w:rPr>
          <w:rFonts w:ascii="Times New Roman" w:hAnsi="Times New Roman" w:cs="Times New Roman"/>
          <w:sz w:val="24"/>
          <w:szCs w:val="24"/>
        </w:rPr>
        <w:t>tkich udostępnionych Informacji</w:t>
      </w:r>
      <w:r w:rsidRPr="00F300D4">
        <w:rPr>
          <w:rFonts w:ascii="Times New Roman" w:hAnsi="Times New Roman" w:cs="Times New Roman"/>
          <w:sz w:val="24"/>
          <w:szCs w:val="24"/>
        </w:rPr>
        <w:t xml:space="preserve"> bez ponoszenia jakiejkolwiek odpowiedzialności z ich strony</w:t>
      </w:r>
      <w:r>
        <w:rPr>
          <w:rFonts w:ascii="Times New Roman" w:hAnsi="Times New Roman" w:cs="Times New Roman"/>
          <w:sz w:val="24"/>
          <w:szCs w:val="24"/>
        </w:rPr>
        <w:t xml:space="preserve"> za szkody lub koszty związane</w:t>
      </w:r>
      <w:r w:rsidRPr="00F300D4">
        <w:rPr>
          <w:rFonts w:ascii="Times New Roman" w:hAnsi="Times New Roman" w:cs="Times New Roman"/>
          <w:sz w:val="24"/>
          <w:szCs w:val="24"/>
        </w:rPr>
        <w:t xml:space="preserve"> z takim żądaniem.</w:t>
      </w:r>
    </w:p>
    <w:p w:rsidR="00474760" w:rsidRPr="00F300D4" w:rsidRDefault="00474760" w:rsidP="00474760">
      <w:pPr>
        <w:shd w:val="clear" w:color="auto" w:fill="FFFFFF"/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II</w:t>
      </w:r>
    </w:p>
    <w:p w:rsidR="00474760" w:rsidRPr="00F300D4" w:rsidRDefault="00474760" w:rsidP="00474760">
      <w:pPr>
        <w:shd w:val="clear" w:color="auto" w:fill="FFFFFF"/>
        <w:spacing w:before="122" w:line="331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Zmiana niniejszego Zobowiązania lub zwolnienie z jakiegokolwiek obowiązku Potencjaln</w:t>
      </w:r>
      <w:r>
        <w:rPr>
          <w:rFonts w:ascii="Times New Roman" w:hAnsi="Times New Roman" w:cs="Times New Roman"/>
          <w:sz w:val="24"/>
          <w:szCs w:val="24"/>
        </w:rPr>
        <w:t>ego i</w:t>
      </w:r>
      <w:r w:rsidRPr="00F300D4">
        <w:rPr>
          <w:rFonts w:ascii="Times New Roman" w:hAnsi="Times New Roman" w:cs="Times New Roman"/>
          <w:sz w:val="24"/>
          <w:szCs w:val="24"/>
        </w:rPr>
        <w:t xml:space="preserve">nwestora lub jego </w:t>
      </w:r>
      <w:r w:rsidRPr="00F300D4">
        <w:rPr>
          <w:rFonts w:ascii="Times New Roman" w:hAnsi="Times New Roman" w:cs="Times New Roman"/>
          <w:spacing w:val="-1"/>
          <w:sz w:val="24"/>
          <w:szCs w:val="24"/>
        </w:rPr>
        <w:t xml:space="preserve">przedstawicieli może nastąpić tylko w formie pisemnej pod rygorem </w:t>
      </w:r>
      <w:r w:rsidRPr="00F300D4">
        <w:rPr>
          <w:rFonts w:ascii="Times New Roman" w:hAnsi="Times New Roman" w:cs="Times New Roman"/>
          <w:sz w:val="24"/>
          <w:szCs w:val="24"/>
        </w:rPr>
        <w:t>nieważności.</w:t>
      </w:r>
    </w:p>
    <w:p w:rsidR="00474760" w:rsidRPr="00F300D4" w:rsidRDefault="00474760" w:rsidP="00474760">
      <w:pPr>
        <w:shd w:val="clear" w:color="auto" w:fill="FFFFFF"/>
        <w:spacing w:before="22" w:line="446" w:lineRule="exact"/>
        <w:ind w:left="36" w:right="2887" w:firstLine="4378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III</w:t>
      </w:r>
    </w:p>
    <w:p w:rsidR="00474760" w:rsidRPr="00F300D4" w:rsidRDefault="00474760" w:rsidP="00474760">
      <w:pPr>
        <w:shd w:val="clear" w:color="auto" w:fill="FFFFFF"/>
        <w:spacing w:before="22" w:line="446" w:lineRule="exact"/>
        <w:ind w:left="36" w:right="2887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pacing w:val="-2"/>
          <w:sz w:val="24"/>
          <w:szCs w:val="24"/>
        </w:rPr>
        <w:t>Niniejsze Zobowiązanie zostało zawarte na czas nieokreślony.</w:t>
      </w:r>
    </w:p>
    <w:p w:rsidR="00474760" w:rsidRPr="00F300D4" w:rsidRDefault="00474760" w:rsidP="00474760">
      <w:pPr>
        <w:shd w:val="clear" w:color="auto" w:fill="FFFFFF"/>
        <w:spacing w:line="446" w:lineRule="exact"/>
        <w:ind w:left="29" w:right="1886" w:firstLine="4370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474760" w:rsidRPr="00F300D4" w:rsidRDefault="00474760" w:rsidP="00474760">
      <w:pPr>
        <w:shd w:val="clear" w:color="auto" w:fill="FFFFFF"/>
        <w:spacing w:line="446" w:lineRule="exact"/>
        <w:ind w:left="29" w:right="538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pacing w:val="-2"/>
          <w:sz w:val="24"/>
          <w:szCs w:val="24"/>
        </w:rPr>
        <w:t>Obowiązki nałożone niniejszym Zobowiązaniem podlegają prawu polskiemu.</w:t>
      </w:r>
    </w:p>
    <w:p w:rsidR="00474760" w:rsidRPr="00F300D4" w:rsidRDefault="00474760" w:rsidP="00474760">
      <w:pPr>
        <w:shd w:val="clear" w:color="auto" w:fill="FFFFFF"/>
        <w:spacing w:line="446" w:lineRule="exact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V</w:t>
      </w:r>
    </w:p>
    <w:p w:rsidR="00474760" w:rsidRDefault="00474760" w:rsidP="00474760">
      <w:pPr>
        <w:shd w:val="clear" w:color="auto" w:fill="FFFFFF"/>
        <w:spacing w:before="94" w:after="209" w:line="331" w:lineRule="exact"/>
        <w:ind w:left="36" w:right="22"/>
        <w:jc w:val="both"/>
        <w:rPr>
          <w:rFonts w:ascii="Times New Roman" w:hAnsi="Times New Roman" w:cs="Times New Roman"/>
          <w:sz w:val="24"/>
          <w:szCs w:val="24"/>
        </w:rPr>
      </w:pPr>
      <w:r w:rsidRPr="00F300D4">
        <w:rPr>
          <w:rFonts w:ascii="Times New Roman" w:hAnsi="Times New Roman" w:cs="Times New Roman"/>
          <w:sz w:val="24"/>
          <w:szCs w:val="24"/>
        </w:rPr>
        <w:t>Niniejszym potwierdzam, że przeczytałem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300D4">
        <w:rPr>
          <w:rFonts w:ascii="Times New Roman" w:hAnsi="Times New Roman" w:cs="Times New Roman"/>
          <w:sz w:val="24"/>
          <w:szCs w:val="24"/>
        </w:rPr>
        <w:t xml:space="preserve"> i zobowiązuję się do przestrzegania postanowie</w:t>
      </w:r>
      <w:r>
        <w:rPr>
          <w:rFonts w:ascii="Times New Roman" w:hAnsi="Times New Roman" w:cs="Times New Roman"/>
          <w:sz w:val="24"/>
          <w:szCs w:val="24"/>
        </w:rPr>
        <w:t>ń niniejszego „Zobowiązania do zachowania p</w:t>
      </w:r>
      <w:r w:rsidRPr="00F300D4">
        <w:rPr>
          <w:rFonts w:ascii="Times New Roman" w:hAnsi="Times New Roman" w:cs="Times New Roman"/>
          <w:sz w:val="24"/>
          <w:szCs w:val="24"/>
        </w:rPr>
        <w:t>oufności”.</w:t>
      </w:r>
    </w:p>
    <w:p w:rsidR="00474760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760" w:rsidRPr="00F300D4" w:rsidRDefault="00474760" w:rsidP="00474760">
      <w:pPr>
        <w:spacing w:line="26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p w:rsidR="00474760" w:rsidRDefault="00474760" w:rsidP="00474760">
      <w:pPr>
        <w:spacing w:line="260" w:lineRule="atLeast"/>
        <w:rPr>
          <w:rFonts w:ascii="Times New Roman" w:eastAsia="MS Mincho" w:hAnsi="Times New Roman" w:cs="Times New Roman"/>
          <w:color w:val="C00000"/>
          <w:sz w:val="28"/>
          <w:szCs w:val="28"/>
          <w:u w:val="single"/>
        </w:rPr>
      </w:pPr>
    </w:p>
    <w:p w:rsidR="00A91521" w:rsidRDefault="00A91521"/>
    <w:sectPr w:rsidR="00A9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swiss"/>
    <w:pitch w:val="variable"/>
    <w:sig w:usb0="A00000AF" w:usb1="5000205B" w:usb2="00000000" w:usb3="00000000" w:csb0="000001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DC2C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FE3BC4"/>
    <w:multiLevelType w:val="hybridMultilevel"/>
    <w:tmpl w:val="FD7C4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3884"/>
    <w:multiLevelType w:val="hybridMultilevel"/>
    <w:tmpl w:val="A522BC98"/>
    <w:lvl w:ilvl="0" w:tplc="EA3CBD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391CC2"/>
    <w:multiLevelType w:val="singleLevel"/>
    <w:tmpl w:val="E870D4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0"/>
    <w:rsid w:val="00474760"/>
    <w:rsid w:val="00A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3103-DDF6-4F38-9486-D6DE7ED0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760"/>
  </w:style>
  <w:style w:type="paragraph" w:styleId="Nagwek1">
    <w:name w:val="heading 1"/>
    <w:basedOn w:val="Normalny"/>
    <w:next w:val="Normalny"/>
    <w:link w:val="Nagwek1Znak"/>
    <w:qFormat/>
    <w:rsid w:val="0047476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474760"/>
    <w:pPr>
      <w:spacing w:before="240" w:after="60" w:line="240" w:lineRule="auto"/>
      <w:outlineLvl w:val="1"/>
    </w:pPr>
    <w:rPr>
      <w:rFonts w:ascii="Frutiger 45 Light" w:eastAsia="Times New Roman" w:hAnsi="Frutiger 45 Light" w:cs="Times New Roman"/>
      <w:b/>
      <w:color w:val="000000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760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474760"/>
    <w:rPr>
      <w:rFonts w:ascii="Frutiger 45 Light" w:eastAsia="Times New Roman" w:hAnsi="Frutiger 45 Light" w:cs="Times New Roman"/>
      <w:b/>
      <w:color w:val="000000"/>
      <w:sz w:val="24"/>
      <w:szCs w:val="20"/>
      <w:lang w:val="en-US"/>
    </w:rPr>
  </w:style>
  <w:style w:type="paragraph" w:styleId="Nagwek">
    <w:name w:val="header"/>
    <w:basedOn w:val="Normalny"/>
    <w:link w:val="NagwekZnak"/>
    <w:rsid w:val="00474760"/>
    <w:pPr>
      <w:tabs>
        <w:tab w:val="center" w:pos="4153"/>
        <w:tab w:val="right" w:pos="8306"/>
      </w:tabs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474760"/>
    <w:rPr>
      <w:rFonts w:ascii="CG Times (W1)" w:eastAsia="Times New Roman" w:hAnsi="CG Times (W1)" w:cs="Times New Roman"/>
      <w:sz w:val="20"/>
      <w:szCs w:val="20"/>
      <w:lang w:val="en-GB"/>
    </w:rPr>
  </w:style>
  <w:style w:type="character" w:styleId="Hipercze">
    <w:name w:val="Hyperlink"/>
    <w:rsid w:val="00474760"/>
    <w:rPr>
      <w:color w:val="0000FF"/>
      <w:u w:val="single"/>
    </w:rPr>
  </w:style>
  <w:style w:type="character" w:styleId="Pogrubienie">
    <w:name w:val="Strong"/>
    <w:qFormat/>
    <w:rsid w:val="00474760"/>
    <w:rPr>
      <w:b/>
    </w:rPr>
  </w:style>
  <w:style w:type="paragraph" w:styleId="NormalnyWeb">
    <w:name w:val="Normal (Web)"/>
    <w:basedOn w:val="Normalny"/>
    <w:rsid w:val="00474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w.policies.ubs.com/policies/1/13/1/documents.html" TargetMode="External"/><Relationship Id="rId5" Type="http://schemas.openxmlformats.org/officeDocument/2006/relationships/hyperlink" Target="http://bw.policies.ubs.com/policies/search.html?bgid=1&amp;bgid=9&amp;ctid=0&amp;type=P&amp;type=S&amp;ou=0&amp;lang=0&amp;state=0&amp;tss=titles&amp;tss=summaries&amp;tss=documents&amp;qt=&amp;era=0&amp;fromdate=&amp;todate=&amp;page=1&amp;chapter=&amp;documentType=3&amp;reviewdate=&amp;find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3229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popęda</dc:creator>
  <cp:keywords/>
  <dc:description/>
  <cp:lastModifiedBy>maja popęda</cp:lastModifiedBy>
  <cp:revision>1</cp:revision>
  <dcterms:created xsi:type="dcterms:W3CDTF">2019-02-20T16:48:00Z</dcterms:created>
  <dcterms:modified xsi:type="dcterms:W3CDTF">2019-02-20T16:53:00Z</dcterms:modified>
</cp:coreProperties>
</file>