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51E" w:rsidRPr="0045051E" w:rsidRDefault="0045051E" w:rsidP="0045051E">
      <w:pPr>
        <w:widowControl w:val="0"/>
        <w:spacing w:before="188" w:after="0" w:line="240" w:lineRule="auto"/>
        <w:ind w:left="153" w:right="620"/>
        <w:rPr>
          <w:rFonts w:ascii="Arial" w:eastAsia="Arial" w:hAnsi="Arial" w:cs="Arial"/>
          <w:sz w:val="52"/>
          <w:szCs w:val="52"/>
        </w:rPr>
      </w:pPr>
      <w:r w:rsidRPr="0045051E">
        <w:rPr>
          <w:rFonts w:ascii="Arial" w:eastAsia="Calibri" w:hAnsi="Calibri" w:cs="Times New Roman"/>
          <w:color w:val="494B4E"/>
          <w:sz w:val="52"/>
        </w:rPr>
        <w:t>Manual de privacidad</w:t>
      </w:r>
    </w:p>
    <w:p w:rsidR="0045051E" w:rsidRPr="0045051E" w:rsidRDefault="0045051E" w:rsidP="0045051E">
      <w:pPr>
        <w:widowControl w:val="0"/>
        <w:spacing w:before="1" w:after="0" w:line="240" w:lineRule="auto"/>
        <w:rPr>
          <w:rFonts w:ascii="Arial" w:eastAsia="Arial" w:hAnsi="Arial" w:cs="Arial"/>
          <w:sz w:val="7"/>
          <w:szCs w:val="7"/>
        </w:rPr>
      </w:pPr>
    </w:p>
    <w:p w:rsidR="0045051E" w:rsidRPr="0045051E" w:rsidRDefault="0045051E" w:rsidP="0045051E">
      <w:pPr>
        <w:widowControl w:val="0"/>
        <w:spacing w:after="0" w:line="20" w:lineRule="exact"/>
        <w:ind w:left="114"/>
        <w:rPr>
          <w:rFonts w:ascii="Arial" w:eastAsia="Arial" w:hAnsi="Arial" w:cs="Arial"/>
          <w:sz w:val="2"/>
          <w:szCs w:val="2"/>
        </w:rPr>
      </w:pPr>
      <w:r w:rsidRPr="0045051E">
        <w:rPr>
          <w:rFonts w:ascii="Arial" w:eastAsia="Arial" w:hAnsi="Arial" w:cs="Arial"/>
          <w:noProof/>
          <w:sz w:val="2"/>
          <w:szCs w:val="2"/>
          <w:lang w:eastAsia="es-ES"/>
        </w:rPr>
        <mc:AlternateContent>
          <mc:Choice Requires="wpg">
            <w:drawing>
              <wp:inline distT="0" distB="0" distL="0" distR="0">
                <wp:extent cx="6171565" cy="12700"/>
                <wp:effectExtent l="8890" t="1905" r="1270" b="4445"/>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1565" cy="12700"/>
                          <a:chOff x="0" y="0"/>
                          <a:chExt cx="9719" cy="20"/>
                        </a:xfrm>
                      </wpg:grpSpPr>
                      <wpg:grpSp>
                        <wpg:cNvPr id="2" name="3097"/>
                        <wpg:cNvGrpSpPr>
                          <a:grpSpLocks/>
                        </wpg:cNvGrpSpPr>
                        <wpg:grpSpPr bwMode="auto">
                          <a:xfrm>
                            <a:off x="10" y="10"/>
                            <a:ext cx="9700" cy="2"/>
                            <a:chOff x="10" y="10"/>
                            <a:chExt cx="9700" cy="2"/>
                          </a:xfrm>
                        </wpg:grpSpPr>
                        <wps:wsp>
                          <wps:cNvPr id="3" name="3206"/>
                          <wps:cNvSpPr>
                            <a:spLocks/>
                          </wps:cNvSpPr>
                          <wps:spPr bwMode="auto">
                            <a:xfrm>
                              <a:off x="10" y="10"/>
                              <a:ext cx="9700" cy="2"/>
                            </a:xfrm>
                            <a:custGeom>
                              <a:avLst/>
                              <a:gdLst>
                                <a:gd name="T0" fmla="+- 0 10 10"/>
                                <a:gd name="T1" fmla="*/ T0 w 9700"/>
                                <a:gd name="T2" fmla="+- 0 9709 10"/>
                                <a:gd name="T3" fmla="*/ T2 w 9700"/>
                              </a:gdLst>
                              <a:ahLst/>
                              <a:cxnLst>
                                <a:cxn ang="0">
                                  <a:pos x="T1" y="0"/>
                                </a:cxn>
                                <a:cxn ang="0">
                                  <a:pos x="T3" y="0"/>
                                </a:cxn>
                              </a:cxnLst>
                              <a:rect l="0" t="0" r="r" b="b"/>
                              <a:pathLst>
                                <a:path w="9700">
                                  <a:moveTo>
                                    <a:pt x="0" y="0"/>
                                  </a:moveTo>
                                  <a:lnTo>
                                    <a:pt x="9699" y="0"/>
                                  </a:lnTo>
                                </a:path>
                              </a:pathLst>
                            </a:custGeom>
                            <a:noFill/>
                            <a:ln w="12192">
                              <a:solidFill>
                                <a:srgbClr val="D200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E321A4" id="Grupo 1" o:spid="_x0000_s1026" style="width:485.95pt;height:1pt;mso-position-horizontal-relative:char;mso-position-vertical-relative:line" coordsize="97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">
                <v:group id="3097" o:spid="_x0000_s1027" style="position:absolute;left:10;top:10;width:9700;height:2" coordorigin="10,10" coordsize="97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3206" o:spid="_x0000_s1028" style="position:absolute;left:10;top:10;width:9700;height:2;visibility:visible;mso-wrap-style:square;v-text-anchor:top" coordsize="97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Qf98EA&#10;AADaAAAADwAAAGRycy9kb3ducmV2LnhtbESPzWrDMBCE74W8g9hCLyWR6kIS3CghFAq9NXH7AIu1&#10;kUyslbEU/7x9VSjkOMzMN8zuMPlWDNTHJrCGl5UCQVwH07DV8PP9sdyCiAnZYBuYNMwU4bBfPOyw&#10;NGHkMw1VsiJDOJaowaXUlVLG2pHHuAodcfYuofeYsuytND2OGe5bWSi1lh4bzgsOO3p3VF+rm9fw&#10;9Ww2sz1dbzwOU7VW4eSKaLV+epyObyASTeke/m9/Gg2v8Hcl3w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kH/fBAAAA2gAAAA8AAAAAAAAAAAAAAAAAmAIAAGRycy9kb3du&#10;cmV2LnhtbFBLBQYAAAAABAAEAPUAAACGAwAAAAA=&#10;" path="m,l9699,e" filled="f" strokecolor="#d20013" strokeweight=".96pt">
                    <v:path arrowok="t" o:connecttype="custom" o:connectlocs="0,0;9699,0" o:connectangles="0,0"/>
                  </v:shape>
                </v:group>
                <w10:anchorlock/>
              </v:group>
            </w:pict>
          </mc:Fallback>
        </mc:AlternateContent>
      </w:r>
    </w:p>
    <w:p w:rsidR="0045051E" w:rsidRPr="0045051E" w:rsidRDefault="0045051E" w:rsidP="0045051E">
      <w:pPr>
        <w:widowControl w:val="0"/>
        <w:spacing w:before="2" w:after="0" w:line="240" w:lineRule="auto"/>
        <w:rPr>
          <w:rFonts w:ascii="Arial" w:eastAsia="Arial" w:hAnsi="Arial" w:cs="Arial"/>
          <w:sz w:val="19"/>
          <w:szCs w:val="19"/>
        </w:rPr>
      </w:pPr>
    </w:p>
    <w:p w:rsidR="0045051E" w:rsidRPr="0045051E" w:rsidRDefault="0045051E" w:rsidP="0045051E">
      <w:pPr>
        <w:widowControl w:val="0"/>
        <w:spacing w:before="75" w:after="0" w:line="240" w:lineRule="auto"/>
        <w:ind w:left="153" w:right="620"/>
        <w:rPr>
          <w:rFonts w:ascii="Arial" w:eastAsia="Arial" w:hAnsi="Arial" w:cs="Arial"/>
          <w:sz w:val="20"/>
          <w:szCs w:val="20"/>
        </w:rPr>
      </w:pPr>
      <w:r w:rsidRPr="0045051E">
        <w:rPr>
          <w:rFonts w:ascii="Arial" w:eastAsia="Arial" w:hAnsi="Arial" w:cs="Times New Roman"/>
          <w:sz w:val="20"/>
          <w:szCs w:val="20"/>
        </w:rPr>
        <w:t>Este manual establece las normas y procedimientos que deben cumplirse al procesar datos personales en del Grupo. Si tiene alguna pregunta sobre el contenido de este manual, contacte con el responsable global de protección de datos («GDPO») en Asuntos legales del Grupo.</w:t>
      </w:r>
    </w:p>
    <w:p w:rsidR="0045051E" w:rsidRPr="0045051E" w:rsidRDefault="0045051E" w:rsidP="0045051E">
      <w:pPr>
        <w:widowControl w:val="0"/>
        <w:spacing w:before="10" w:after="0" w:line="240" w:lineRule="auto"/>
        <w:rPr>
          <w:rFonts w:ascii="Arial" w:eastAsia="Arial" w:hAnsi="Arial" w:cs="Arial"/>
          <w:sz w:val="15"/>
          <w:szCs w:val="15"/>
        </w:rPr>
      </w:pPr>
    </w:p>
    <w:p w:rsidR="0045051E" w:rsidRPr="0045051E" w:rsidRDefault="0045051E" w:rsidP="0045051E">
      <w:pPr>
        <w:widowControl w:val="0"/>
        <w:spacing w:after="0" w:line="240" w:lineRule="auto"/>
        <w:ind w:left="153" w:right="620"/>
        <w:rPr>
          <w:rFonts w:ascii="Arial" w:eastAsia="Arial" w:hAnsi="Arial" w:cs="Times New Roman"/>
          <w:sz w:val="20"/>
          <w:szCs w:val="20"/>
        </w:rPr>
      </w:pPr>
      <w:r w:rsidRPr="0045051E">
        <w:rPr>
          <w:rFonts w:ascii="Arial" w:eastAsia="Arial" w:hAnsi="Arial" w:cs="Times New Roman"/>
          <w:sz w:val="20"/>
          <w:szCs w:val="20"/>
        </w:rPr>
        <w:t xml:space="preserve">Para mayor información, consulte el manual de privacidad de ROCKWOOL </w:t>
      </w:r>
      <w:r w:rsidRPr="0045051E">
        <w:rPr>
          <w:rFonts w:ascii="Arial" w:eastAsia="Arial" w:hAnsi="Arial" w:cs="Times New Roman"/>
          <w:sz w:val="20"/>
          <w:szCs w:val="20"/>
          <w:u w:val="single" w:color="000000"/>
        </w:rPr>
        <w:t>aquí</w:t>
      </w:r>
      <w:r w:rsidRPr="0045051E">
        <w:rPr>
          <w:rFonts w:ascii="Arial" w:eastAsia="Arial" w:hAnsi="Arial" w:cs="Times New Roman"/>
          <w:sz w:val="20"/>
          <w:szCs w:val="20"/>
        </w:rPr>
        <w:t>.</w:t>
      </w:r>
    </w:p>
    <w:p w:rsidR="0045051E" w:rsidRPr="0045051E" w:rsidRDefault="0045051E" w:rsidP="0045051E">
      <w:pPr>
        <w:widowControl w:val="0"/>
        <w:spacing w:after="0" w:line="240" w:lineRule="auto"/>
        <w:rPr>
          <w:rFonts w:ascii="Arial" w:eastAsia="Arial" w:hAnsi="Arial" w:cs="Arial"/>
          <w:sz w:val="20"/>
          <w:szCs w:val="20"/>
        </w:rPr>
      </w:pPr>
    </w:p>
    <w:p w:rsidR="0045051E" w:rsidRPr="0045051E" w:rsidRDefault="0045051E" w:rsidP="0045051E">
      <w:pPr>
        <w:widowControl w:val="0"/>
        <w:spacing w:before="7" w:after="0" w:line="240" w:lineRule="auto"/>
        <w:rPr>
          <w:rFonts w:ascii="Arial" w:eastAsia="Arial" w:hAnsi="Arial" w:cs="Arial"/>
          <w:sz w:val="17"/>
          <w:szCs w:val="17"/>
        </w:rPr>
      </w:pPr>
    </w:p>
    <w:p w:rsidR="0045051E" w:rsidRPr="0045051E" w:rsidRDefault="0045051E" w:rsidP="0045051E">
      <w:pPr>
        <w:widowControl w:val="0"/>
        <w:numPr>
          <w:ilvl w:val="0"/>
          <w:numId w:val="1"/>
        </w:numPr>
        <w:tabs>
          <w:tab w:val="left" w:pos="1004"/>
        </w:tabs>
        <w:spacing w:after="0" w:line="240" w:lineRule="auto"/>
        <w:ind w:right="620" w:hanging="850"/>
        <w:outlineLvl w:val="0"/>
        <w:rPr>
          <w:rFonts w:ascii="Arial" w:eastAsia="Arial" w:hAnsi="Arial" w:cs="Times New Roman"/>
          <w:sz w:val="20"/>
          <w:szCs w:val="20"/>
        </w:rPr>
      </w:pPr>
      <w:r w:rsidRPr="0045051E">
        <w:rPr>
          <w:rFonts w:ascii="Arial" w:eastAsia="Arial" w:hAnsi="Arial" w:cs="Times New Roman"/>
          <w:b/>
          <w:bCs/>
          <w:color w:val="D20013"/>
          <w:sz w:val="20"/>
          <w:szCs w:val="20"/>
        </w:rPr>
        <w:t>Propietario de la política</w:t>
      </w:r>
    </w:p>
    <w:p w:rsidR="0045051E" w:rsidRPr="0045051E" w:rsidRDefault="0045051E" w:rsidP="0045051E">
      <w:pPr>
        <w:widowControl w:val="0"/>
        <w:numPr>
          <w:ilvl w:val="1"/>
          <w:numId w:val="1"/>
        </w:numPr>
        <w:tabs>
          <w:tab w:val="left" w:pos="1004"/>
        </w:tabs>
        <w:spacing w:before="39" w:after="0" w:line="271" w:lineRule="auto"/>
        <w:ind w:right="590" w:hanging="850"/>
        <w:jc w:val="both"/>
        <w:rPr>
          <w:rFonts w:ascii="Arial" w:eastAsia="Arial" w:hAnsi="Arial" w:cs="Arial"/>
          <w:sz w:val="20"/>
          <w:szCs w:val="20"/>
        </w:rPr>
      </w:pPr>
      <w:r w:rsidRPr="0045051E">
        <w:rPr>
          <w:rFonts w:ascii="Arial" w:eastAsia="Calibri" w:hAnsi="Calibri" w:cs="Times New Roman"/>
          <w:sz w:val="20"/>
        </w:rPr>
        <w:t>El Director financiero es el propietario general de la pol</w:t>
      </w:r>
      <w:r w:rsidRPr="0045051E">
        <w:rPr>
          <w:rFonts w:ascii="Arial" w:eastAsia="Calibri" w:hAnsi="Calibri" w:cs="Times New Roman"/>
          <w:sz w:val="20"/>
        </w:rPr>
        <w:t>í</w:t>
      </w:r>
      <w:r w:rsidRPr="0045051E">
        <w:rPr>
          <w:rFonts w:ascii="Arial" w:eastAsia="Calibri" w:hAnsi="Calibri" w:cs="Times New Roman"/>
          <w:sz w:val="20"/>
        </w:rPr>
        <w:t>tica y es responsable del programa de cumplimiento establecido en este manual.</w:t>
      </w:r>
    </w:p>
    <w:p w:rsidR="0045051E" w:rsidRPr="0045051E" w:rsidRDefault="0045051E" w:rsidP="0045051E">
      <w:pPr>
        <w:widowControl w:val="0"/>
        <w:spacing w:after="0" w:line="240" w:lineRule="auto"/>
        <w:rPr>
          <w:rFonts w:ascii="Arial" w:eastAsia="Arial" w:hAnsi="Arial" w:cs="Arial"/>
          <w:sz w:val="20"/>
          <w:szCs w:val="20"/>
        </w:rPr>
      </w:pPr>
    </w:p>
    <w:p w:rsidR="0045051E" w:rsidRPr="0045051E" w:rsidRDefault="0045051E" w:rsidP="0045051E">
      <w:pPr>
        <w:widowControl w:val="0"/>
        <w:numPr>
          <w:ilvl w:val="0"/>
          <w:numId w:val="1"/>
        </w:numPr>
        <w:tabs>
          <w:tab w:val="left" w:pos="1004"/>
        </w:tabs>
        <w:spacing w:before="173" w:after="0" w:line="240" w:lineRule="auto"/>
        <w:ind w:right="620" w:hanging="850"/>
        <w:outlineLvl w:val="0"/>
        <w:rPr>
          <w:rFonts w:ascii="Arial" w:eastAsia="Arial" w:hAnsi="Arial" w:cs="Times New Roman"/>
          <w:sz w:val="20"/>
          <w:szCs w:val="20"/>
        </w:rPr>
      </w:pPr>
      <w:r w:rsidRPr="0045051E">
        <w:rPr>
          <w:rFonts w:ascii="Arial" w:eastAsia="Arial" w:hAnsi="Arial" w:cs="Times New Roman"/>
          <w:b/>
          <w:bCs/>
          <w:color w:val="D20013"/>
          <w:sz w:val="20"/>
          <w:szCs w:val="20"/>
        </w:rPr>
        <w:t>Dirección</w:t>
      </w:r>
    </w:p>
    <w:p w:rsidR="0045051E" w:rsidRPr="0045051E" w:rsidRDefault="0045051E" w:rsidP="0045051E">
      <w:pPr>
        <w:widowControl w:val="0"/>
        <w:numPr>
          <w:ilvl w:val="1"/>
          <w:numId w:val="1"/>
        </w:numPr>
        <w:tabs>
          <w:tab w:val="left" w:pos="1004"/>
        </w:tabs>
        <w:spacing w:before="34" w:after="0" w:line="271" w:lineRule="auto"/>
        <w:ind w:right="587" w:hanging="850"/>
        <w:jc w:val="both"/>
        <w:rPr>
          <w:rFonts w:ascii="Arial" w:eastAsia="Arial" w:hAnsi="Arial" w:cs="Arial"/>
          <w:sz w:val="20"/>
          <w:szCs w:val="20"/>
        </w:rPr>
      </w:pPr>
      <w:r w:rsidRPr="0045051E">
        <w:rPr>
          <w:rFonts w:ascii="Arial" w:eastAsia="Calibri" w:hAnsi="Arial" w:cs="Times New Roman"/>
          <w:sz w:val="20"/>
          <w:szCs w:val="20"/>
        </w:rPr>
        <w:t xml:space="preserve">Para garantizar el cumplimiento de las BCR y la normativa general de privacidad, se ha establecido una organización global responsable de protección de datos («Organización DPO») que consta de un responsable global de protección de datos («GDPO») y los responsables locales/regionales de protección de datos («LDPO»). </w:t>
      </w:r>
      <w:r w:rsidRPr="0045051E">
        <w:rPr>
          <w:rFonts w:ascii="Arial" w:eastAsia="Calibri" w:hAnsi="Arial" w:cs="Times New Roman"/>
          <w:sz w:val="20"/>
          <w:szCs w:val="20"/>
          <w:u w:val="single" w:color="000000"/>
        </w:rPr>
        <w:t>Aquí</w:t>
      </w:r>
      <w:r w:rsidRPr="0045051E">
        <w:rPr>
          <w:rFonts w:ascii="Arial" w:eastAsia="Calibri" w:hAnsi="Arial" w:cs="Times New Roman"/>
          <w:sz w:val="20"/>
          <w:szCs w:val="20"/>
        </w:rPr>
        <w:t xml:space="preserve"> encontrará un resumen de la Organización DPO actual.</w:t>
      </w:r>
    </w:p>
    <w:p w:rsidR="0045051E" w:rsidRPr="0045051E" w:rsidRDefault="0045051E" w:rsidP="0045051E">
      <w:pPr>
        <w:widowControl w:val="0"/>
        <w:spacing w:before="4" w:after="0" w:line="240" w:lineRule="auto"/>
        <w:rPr>
          <w:rFonts w:ascii="Arial" w:eastAsia="Arial" w:hAnsi="Arial" w:cs="Arial"/>
          <w:sz w:val="29"/>
          <w:szCs w:val="29"/>
        </w:rPr>
      </w:pPr>
    </w:p>
    <w:p w:rsidR="0045051E" w:rsidRPr="0045051E" w:rsidRDefault="0045051E" w:rsidP="0045051E">
      <w:pPr>
        <w:widowControl w:val="0"/>
        <w:numPr>
          <w:ilvl w:val="1"/>
          <w:numId w:val="1"/>
        </w:numPr>
        <w:tabs>
          <w:tab w:val="left" w:pos="1004"/>
        </w:tabs>
        <w:spacing w:before="75" w:after="0" w:line="271" w:lineRule="auto"/>
        <w:ind w:right="593" w:hanging="850"/>
        <w:jc w:val="both"/>
        <w:rPr>
          <w:rFonts w:ascii="Arial" w:eastAsia="Arial" w:hAnsi="Arial" w:cs="Arial"/>
          <w:sz w:val="20"/>
          <w:szCs w:val="20"/>
        </w:rPr>
      </w:pPr>
      <w:r w:rsidRPr="0045051E">
        <w:rPr>
          <w:rFonts w:ascii="Arial" w:eastAsia="Calibri" w:hAnsi="Calibri" w:cs="Times New Roman"/>
          <w:sz w:val="20"/>
        </w:rPr>
        <w:t>La Organizaci</w:t>
      </w:r>
      <w:r w:rsidRPr="0045051E">
        <w:rPr>
          <w:rFonts w:ascii="Arial" w:eastAsia="Calibri" w:hAnsi="Calibri" w:cs="Times New Roman"/>
          <w:sz w:val="20"/>
        </w:rPr>
        <w:t>ó</w:t>
      </w:r>
      <w:r w:rsidRPr="0045051E">
        <w:rPr>
          <w:rFonts w:ascii="Arial" w:eastAsia="Calibri" w:hAnsi="Calibri" w:cs="Times New Roman"/>
          <w:sz w:val="20"/>
        </w:rPr>
        <w:t>n DPO garantiza que se establezcan pol</w:t>
      </w:r>
      <w:r w:rsidRPr="0045051E">
        <w:rPr>
          <w:rFonts w:ascii="Arial" w:eastAsia="Calibri" w:hAnsi="Calibri" w:cs="Times New Roman"/>
          <w:sz w:val="20"/>
        </w:rPr>
        <w:t>í</w:t>
      </w:r>
      <w:r w:rsidRPr="0045051E">
        <w:rPr>
          <w:rFonts w:ascii="Arial" w:eastAsia="Calibri" w:hAnsi="Calibri" w:cs="Times New Roman"/>
          <w:sz w:val="20"/>
        </w:rPr>
        <w:t>ticas y procesos de privacidad, que cualquier queja o pregunta con respecto a los datos personales se trate de manera adecuada y que se supervise el uso de procesadores de datos y la transferencia de datos personales fuera del Grupo.</w:t>
      </w:r>
    </w:p>
    <w:p w:rsidR="0045051E" w:rsidRPr="0045051E" w:rsidRDefault="0045051E" w:rsidP="0045051E">
      <w:pPr>
        <w:widowControl w:val="0"/>
        <w:spacing w:before="7" w:after="0" w:line="240" w:lineRule="auto"/>
        <w:rPr>
          <w:rFonts w:ascii="Arial" w:eastAsia="Arial" w:hAnsi="Arial" w:cs="Arial"/>
        </w:rPr>
      </w:pPr>
    </w:p>
    <w:p w:rsidR="0045051E" w:rsidRPr="0045051E" w:rsidRDefault="0045051E" w:rsidP="0045051E">
      <w:pPr>
        <w:widowControl w:val="0"/>
        <w:numPr>
          <w:ilvl w:val="1"/>
          <w:numId w:val="1"/>
        </w:numPr>
        <w:tabs>
          <w:tab w:val="left" w:pos="1004"/>
        </w:tabs>
        <w:spacing w:after="0" w:line="271" w:lineRule="auto"/>
        <w:ind w:right="587" w:hanging="850"/>
        <w:jc w:val="both"/>
        <w:rPr>
          <w:rFonts w:ascii="Arial" w:eastAsia="Arial" w:hAnsi="Arial" w:cs="Arial"/>
          <w:sz w:val="20"/>
          <w:szCs w:val="20"/>
        </w:rPr>
      </w:pPr>
      <w:r w:rsidRPr="0045051E">
        <w:rPr>
          <w:rFonts w:ascii="Arial" w:eastAsia="Calibri" w:hAnsi="Arial" w:cs="Times New Roman"/>
          <w:sz w:val="20"/>
          <w:szCs w:val="20"/>
        </w:rPr>
        <w:t xml:space="preserve">El GDPO informa directamente a la Dirección del Grupo. Los informes del GDPO se estructuran formalmente a través de las reuniones del Comité de integridad del Grupo o </w:t>
      </w:r>
      <w:r w:rsidRPr="0045051E">
        <w:rPr>
          <w:rFonts w:ascii="Arial" w:eastAsia="Calibri" w:hAnsi="Arial" w:cs="Times New Roman"/>
          <w:i/>
          <w:sz w:val="20"/>
          <w:szCs w:val="20"/>
        </w:rPr>
        <w:t>ad hoc</w:t>
      </w:r>
      <w:r w:rsidRPr="0045051E">
        <w:rPr>
          <w:rFonts w:ascii="Arial" w:eastAsia="Calibri" w:hAnsi="Arial" w:cs="Times New Roman"/>
          <w:sz w:val="20"/>
          <w:szCs w:val="20"/>
        </w:rPr>
        <w:t xml:space="preserve"> en asuntos urgentes. El responsable de integridad del Grupo garantiza que los informes del GDPO se presenten al Comité sin modificaciones y, si el GDPO así lo requiere en situaciones especiales, sin fisuras.</w:t>
      </w:r>
    </w:p>
    <w:p w:rsidR="0045051E" w:rsidRPr="0045051E" w:rsidRDefault="0045051E" w:rsidP="0045051E">
      <w:pPr>
        <w:widowControl w:val="0"/>
        <w:spacing w:before="6" w:after="0" w:line="240" w:lineRule="auto"/>
        <w:rPr>
          <w:rFonts w:ascii="Arial" w:eastAsia="Arial" w:hAnsi="Arial" w:cs="Arial"/>
        </w:rPr>
      </w:pPr>
    </w:p>
    <w:p w:rsidR="0045051E" w:rsidRPr="0045051E" w:rsidRDefault="0045051E" w:rsidP="0045051E">
      <w:pPr>
        <w:widowControl w:val="0"/>
        <w:numPr>
          <w:ilvl w:val="1"/>
          <w:numId w:val="1"/>
        </w:numPr>
        <w:tabs>
          <w:tab w:val="left" w:pos="1004"/>
        </w:tabs>
        <w:spacing w:after="0" w:line="271" w:lineRule="auto"/>
        <w:ind w:right="588" w:hanging="850"/>
        <w:jc w:val="both"/>
        <w:rPr>
          <w:rFonts w:ascii="Arial" w:eastAsia="Arial" w:hAnsi="Arial" w:cs="Arial"/>
          <w:sz w:val="20"/>
          <w:szCs w:val="20"/>
        </w:rPr>
      </w:pPr>
      <w:bookmarkStart w:id="0" w:name="_bookmark0"/>
      <w:bookmarkEnd w:id="0"/>
      <w:r w:rsidRPr="0045051E">
        <w:rPr>
          <w:rFonts w:ascii="Arial" w:eastAsia="Calibri" w:hAnsi="Calibri" w:cs="Times New Roman"/>
          <w:sz w:val="20"/>
        </w:rPr>
        <w:t>El GDPO est</w:t>
      </w:r>
      <w:r w:rsidRPr="0045051E">
        <w:rPr>
          <w:rFonts w:ascii="Arial" w:eastAsia="Calibri" w:hAnsi="Calibri" w:cs="Times New Roman"/>
          <w:sz w:val="20"/>
        </w:rPr>
        <w:t>á</w:t>
      </w:r>
      <w:r w:rsidRPr="0045051E">
        <w:rPr>
          <w:rFonts w:ascii="Arial" w:eastAsia="Calibri" w:hAnsi="Calibri" w:cs="Times New Roman"/>
          <w:sz w:val="20"/>
        </w:rPr>
        <w:t xml:space="preserve"> autorizado a introducir normas internas que establezcan requisitos de aprobaci</w:t>
      </w:r>
      <w:r w:rsidRPr="0045051E">
        <w:rPr>
          <w:rFonts w:ascii="Arial" w:eastAsia="Calibri" w:hAnsi="Calibri" w:cs="Times New Roman"/>
          <w:sz w:val="20"/>
        </w:rPr>
        <w:t>ó</w:t>
      </w:r>
      <w:r w:rsidRPr="0045051E">
        <w:rPr>
          <w:rFonts w:ascii="Arial" w:eastAsia="Calibri" w:hAnsi="Calibri" w:cs="Times New Roman"/>
          <w:sz w:val="20"/>
        </w:rPr>
        <w:t>n para el procesamiento de datos personales, por ejemplo, en relaci</w:t>
      </w:r>
      <w:r w:rsidRPr="0045051E">
        <w:rPr>
          <w:rFonts w:ascii="Arial" w:eastAsia="Calibri" w:hAnsi="Calibri" w:cs="Times New Roman"/>
          <w:sz w:val="20"/>
        </w:rPr>
        <w:t>ó</w:t>
      </w:r>
      <w:r w:rsidRPr="0045051E">
        <w:rPr>
          <w:rFonts w:ascii="Arial" w:eastAsia="Calibri" w:hAnsi="Calibri" w:cs="Times New Roman"/>
          <w:sz w:val="20"/>
        </w:rPr>
        <w:t>n con los acuerdos de procesamiento de datos, protecci</w:t>
      </w:r>
      <w:r w:rsidRPr="0045051E">
        <w:rPr>
          <w:rFonts w:ascii="Arial" w:eastAsia="Calibri" w:hAnsi="Calibri" w:cs="Times New Roman"/>
          <w:sz w:val="20"/>
        </w:rPr>
        <w:t>ó</w:t>
      </w:r>
      <w:r w:rsidRPr="0045051E">
        <w:rPr>
          <w:rFonts w:ascii="Arial" w:eastAsia="Calibri" w:hAnsi="Calibri" w:cs="Times New Roman"/>
          <w:sz w:val="20"/>
        </w:rPr>
        <w:t>n de datos por dise</w:t>
      </w:r>
      <w:r w:rsidRPr="0045051E">
        <w:rPr>
          <w:rFonts w:ascii="Arial" w:eastAsia="Calibri" w:hAnsi="Calibri" w:cs="Times New Roman"/>
          <w:sz w:val="20"/>
        </w:rPr>
        <w:t>ñ</w:t>
      </w:r>
      <w:r w:rsidRPr="0045051E">
        <w:rPr>
          <w:rFonts w:ascii="Arial" w:eastAsia="Calibri" w:hAnsi="Calibri" w:cs="Times New Roman"/>
          <w:sz w:val="20"/>
        </w:rPr>
        <w:t>o, protecci</w:t>
      </w:r>
      <w:r w:rsidRPr="0045051E">
        <w:rPr>
          <w:rFonts w:ascii="Arial" w:eastAsia="Calibri" w:hAnsi="Calibri" w:cs="Times New Roman"/>
          <w:sz w:val="20"/>
        </w:rPr>
        <w:t>ó</w:t>
      </w:r>
      <w:r w:rsidRPr="0045051E">
        <w:rPr>
          <w:rFonts w:ascii="Arial" w:eastAsia="Calibri" w:hAnsi="Calibri" w:cs="Times New Roman"/>
          <w:sz w:val="20"/>
        </w:rPr>
        <w:t>n de datos predeterminada, EIPD, etc.</w:t>
      </w:r>
    </w:p>
    <w:p w:rsidR="0045051E" w:rsidRPr="0045051E" w:rsidRDefault="0045051E" w:rsidP="0045051E">
      <w:pPr>
        <w:widowControl w:val="0"/>
        <w:spacing w:after="0" w:line="240" w:lineRule="auto"/>
        <w:rPr>
          <w:rFonts w:ascii="Arial" w:eastAsia="Arial" w:hAnsi="Arial" w:cs="Arial"/>
          <w:sz w:val="20"/>
          <w:szCs w:val="20"/>
        </w:rPr>
      </w:pPr>
    </w:p>
    <w:p w:rsidR="0045051E" w:rsidRPr="0045051E" w:rsidRDefault="0045051E" w:rsidP="0045051E">
      <w:pPr>
        <w:widowControl w:val="0"/>
        <w:numPr>
          <w:ilvl w:val="0"/>
          <w:numId w:val="1"/>
        </w:numPr>
        <w:tabs>
          <w:tab w:val="left" w:pos="1004"/>
        </w:tabs>
        <w:spacing w:before="178" w:after="0" w:line="240" w:lineRule="auto"/>
        <w:ind w:right="620" w:hanging="850"/>
        <w:outlineLvl w:val="0"/>
        <w:rPr>
          <w:rFonts w:ascii="Arial" w:eastAsia="Arial" w:hAnsi="Arial" w:cs="Times New Roman"/>
          <w:sz w:val="20"/>
          <w:szCs w:val="20"/>
        </w:rPr>
      </w:pPr>
      <w:r w:rsidRPr="0045051E">
        <w:rPr>
          <w:rFonts w:ascii="Arial" w:eastAsia="Arial" w:hAnsi="Arial" w:cs="Times New Roman"/>
          <w:b/>
          <w:bCs/>
          <w:color w:val="D20013"/>
          <w:sz w:val="20"/>
          <w:szCs w:val="20"/>
        </w:rPr>
        <w:t>Normas corporativas vinculantes del Grupo ROCKWOOL</w:t>
      </w:r>
    </w:p>
    <w:p w:rsidR="0045051E" w:rsidRPr="0045051E" w:rsidRDefault="0045051E" w:rsidP="0045051E">
      <w:pPr>
        <w:widowControl w:val="0"/>
        <w:numPr>
          <w:ilvl w:val="1"/>
          <w:numId w:val="1"/>
        </w:numPr>
        <w:tabs>
          <w:tab w:val="left" w:pos="1004"/>
        </w:tabs>
        <w:spacing w:before="34" w:after="0" w:line="271" w:lineRule="auto"/>
        <w:ind w:right="585" w:hanging="850"/>
        <w:jc w:val="both"/>
        <w:rPr>
          <w:rFonts w:ascii="Arial" w:eastAsia="Arial" w:hAnsi="Arial" w:cs="Arial"/>
          <w:sz w:val="20"/>
          <w:szCs w:val="20"/>
        </w:rPr>
      </w:pPr>
      <w:r w:rsidRPr="0045051E">
        <w:rPr>
          <w:rFonts w:ascii="Arial" w:eastAsia="Calibri" w:hAnsi="Arial" w:cs="Times New Roman"/>
          <w:sz w:val="20"/>
          <w:szCs w:val="20"/>
        </w:rPr>
        <w:t xml:space="preserve">Para cumplir con la creciente y compleja normativa de procesamiento de datos personales en todo el mundo pero, concretamente, en la UE, el Grupo ha implantado un conjunto de normas globales de privacidad de datos que todos los empleados y miembros de la dirección y juntas de cada entidad dentro del Grupo deben cumplir: Normas corporativas vinculantes (las «BCR»).  La política de privacidad y este manual establecen los requisitos generales de las BCR, que están disponibles </w:t>
      </w:r>
      <w:r w:rsidRPr="0045051E">
        <w:rPr>
          <w:rFonts w:ascii="Arial" w:eastAsia="Calibri" w:hAnsi="Arial" w:cs="Times New Roman"/>
          <w:sz w:val="20"/>
          <w:szCs w:val="20"/>
          <w:u w:val="single" w:color="000000"/>
        </w:rPr>
        <w:t>aquí</w:t>
      </w:r>
      <w:r w:rsidRPr="0045051E">
        <w:rPr>
          <w:rFonts w:ascii="Arial" w:eastAsia="Calibri" w:hAnsi="Arial" w:cs="Times New Roman"/>
          <w:sz w:val="20"/>
          <w:szCs w:val="20"/>
        </w:rPr>
        <w:t>.</w:t>
      </w:r>
    </w:p>
    <w:p w:rsidR="0045051E" w:rsidRPr="0045051E" w:rsidRDefault="0045051E" w:rsidP="0045051E">
      <w:pPr>
        <w:widowControl w:val="0"/>
        <w:spacing w:before="6" w:after="0" w:line="240" w:lineRule="auto"/>
        <w:rPr>
          <w:rFonts w:ascii="Arial" w:eastAsia="Arial" w:hAnsi="Arial" w:cs="Arial"/>
          <w:sz w:val="28"/>
          <w:szCs w:val="28"/>
        </w:rPr>
      </w:pPr>
    </w:p>
    <w:p w:rsidR="0045051E" w:rsidRPr="0045051E" w:rsidRDefault="0045051E" w:rsidP="0045051E">
      <w:pPr>
        <w:widowControl w:val="0"/>
        <w:numPr>
          <w:ilvl w:val="0"/>
          <w:numId w:val="1"/>
        </w:numPr>
        <w:tabs>
          <w:tab w:val="left" w:pos="1004"/>
        </w:tabs>
        <w:spacing w:before="75" w:after="0" w:line="240" w:lineRule="auto"/>
        <w:ind w:right="620" w:hanging="850"/>
        <w:outlineLvl w:val="0"/>
        <w:rPr>
          <w:rFonts w:ascii="Arial" w:eastAsia="Arial" w:hAnsi="Arial" w:cs="Times New Roman"/>
          <w:sz w:val="20"/>
          <w:szCs w:val="20"/>
        </w:rPr>
      </w:pPr>
      <w:r w:rsidRPr="0045051E">
        <w:rPr>
          <w:rFonts w:ascii="Arial" w:eastAsia="Arial" w:hAnsi="Arial" w:cs="Times New Roman"/>
          <w:b/>
          <w:bCs/>
          <w:color w:val="D20013"/>
          <w:sz w:val="20"/>
          <w:szCs w:val="20"/>
        </w:rPr>
        <w:t>Alcance</w:t>
      </w:r>
    </w:p>
    <w:p w:rsidR="0045051E" w:rsidRPr="0045051E" w:rsidRDefault="0045051E" w:rsidP="0045051E">
      <w:pPr>
        <w:widowControl w:val="0"/>
        <w:numPr>
          <w:ilvl w:val="1"/>
          <w:numId w:val="1"/>
        </w:numPr>
        <w:tabs>
          <w:tab w:val="left" w:pos="1004"/>
        </w:tabs>
        <w:spacing w:before="39" w:after="0" w:line="271" w:lineRule="auto"/>
        <w:ind w:right="590" w:hanging="850"/>
        <w:rPr>
          <w:rFonts w:ascii="Arial" w:eastAsia="Arial" w:hAnsi="Arial" w:cs="Arial"/>
          <w:sz w:val="20"/>
          <w:szCs w:val="20"/>
        </w:rPr>
      </w:pPr>
      <w:r w:rsidRPr="0045051E">
        <w:rPr>
          <w:rFonts w:ascii="Arial" w:eastAsia="Calibri" w:hAnsi="Calibri" w:cs="Times New Roman"/>
          <w:sz w:val="20"/>
        </w:rPr>
        <w:lastRenderedPageBreak/>
        <w:t xml:space="preserve">El manual se aplica a todos los miembros del Grupo </w:t>
      </w:r>
      <w:proofErr w:type="spellStart"/>
      <w:r w:rsidRPr="0045051E">
        <w:rPr>
          <w:rFonts w:ascii="Arial" w:eastAsia="Calibri" w:hAnsi="Calibri" w:cs="Times New Roman"/>
          <w:sz w:val="20"/>
        </w:rPr>
        <w:t>Rockwool</w:t>
      </w:r>
      <w:proofErr w:type="spellEnd"/>
      <w:r w:rsidRPr="0045051E">
        <w:rPr>
          <w:rFonts w:ascii="Arial" w:eastAsia="Calibri" w:hAnsi="Calibri" w:cs="Times New Roman"/>
          <w:sz w:val="20"/>
        </w:rPr>
        <w:t xml:space="preserve"> y a todos los empleados. No obstante, pueden aplicarse diferencias locales en funci</w:t>
      </w:r>
      <w:r w:rsidRPr="0045051E">
        <w:rPr>
          <w:rFonts w:ascii="Arial" w:eastAsia="Calibri" w:hAnsi="Calibri" w:cs="Times New Roman"/>
          <w:sz w:val="20"/>
        </w:rPr>
        <w:t>ó</w:t>
      </w:r>
      <w:r w:rsidRPr="0045051E">
        <w:rPr>
          <w:rFonts w:ascii="Arial" w:eastAsia="Calibri" w:hAnsi="Calibri" w:cs="Times New Roman"/>
          <w:sz w:val="20"/>
        </w:rPr>
        <w:t>n de la ley.</w:t>
      </w:r>
    </w:p>
    <w:p w:rsidR="00225930" w:rsidRDefault="00225930">
      <w:bookmarkStart w:id="1" w:name="_GoBack"/>
      <w:bookmarkEnd w:id="1"/>
    </w:p>
    <w:sectPr w:rsidR="002259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465F2"/>
    <w:multiLevelType w:val="multilevel"/>
    <w:tmpl w:val="22602CA4"/>
    <w:lvl w:ilvl="0">
      <w:start w:val="1"/>
      <w:numFmt w:val="decimal"/>
      <w:lvlText w:val="%1."/>
      <w:lvlJc w:val="left"/>
      <w:pPr>
        <w:ind w:left="1003" w:hanging="851"/>
        <w:jc w:val="left"/>
      </w:pPr>
      <w:rPr>
        <w:rFonts w:ascii="Arial" w:eastAsia="Arial" w:hAnsi="Arial" w:hint="default"/>
        <w:b/>
        <w:bCs/>
        <w:color w:val="D20013"/>
        <w:w w:val="100"/>
        <w:sz w:val="20"/>
        <w:szCs w:val="20"/>
      </w:rPr>
    </w:lvl>
    <w:lvl w:ilvl="1">
      <w:start w:val="1"/>
      <w:numFmt w:val="decimal"/>
      <w:lvlText w:val="%1.%2"/>
      <w:lvlJc w:val="left"/>
      <w:pPr>
        <w:ind w:left="1003" w:hanging="851"/>
        <w:jc w:val="left"/>
      </w:pPr>
      <w:rPr>
        <w:rFonts w:ascii="Arial" w:eastAsia="Arial" w:hAnsi="Arial" w:hint="default"/>
        <w:w w:val="100"/>
        <w:sz w:val="20"/>
        <w:szCs w:val="20"/>
      </w:rPr>
    </w:lvl>
    <w:lvl w:ilvl="2">
      <w:start w:val="1"/>
      <w:numFmt w:val="decimal"/>
      <w:lvlText w:val="%1.%2.%3"/>
      <w:lvlJc w:val="left"/>
      <w:pPr>
        <w:ind w:left="963" w:hanging="851"/>
        <w:jc w:val="left"/>
      </w:pPr>
      <w:rPr>
        <w:rFonts w:ascii="Arial" w:eastAsia="Arial" w:hAnsi="Arial" w:hint="default"/>
        <w:w w:val="100"/>
        <w:sz w:val="20"/>
        <w:szCs w:val="20"/>
      </w:rPr>
    </w:lvl>
    <w:lvl w:ilvl="3">
      <w:start w:val="1"/>
      <w:numFmt w:val="bullet"/>
      <w:lvlText w:val="•"/>
      <w:lvlJc w:val="left"/>
      <w:pPr>
        <w:ind w:left="2969" w:hanging="851"/>
      </w:pPr>
      <w:rPr>
        <w:rFonts w:hint="default"/>
      </w:rPr>
    </w:lvl>
    <w:lvl w:ilvl="4">
      <w:start w:val="1"/>
      <w:numFmt w:val="bullet"/>
      <w:lvlText w:val="•"/>
      <w:lvlJc w:val="left"/>
      <w:pPr>
        <w:ind w:left="3954" w:hanging="851"/>
      </w:pPr>
      <w:rPr>
        <w:rFonts w:hint="default"/>
      </w:rPr>
    </w:lvl>
    <w:lvl w:ilvl="5">
      <w:start w:val="1"/>
      <w:numFmt w:val="bullet"/>
      <w:lvlText w:val="•"/>
      <w:lvlJc w:val="left"/>
      <w:pPr>
        <w:ind w:left="4939" w:hanging="851"/>
      </w:pPr>
      <w:rPr>
        <w:rFonts w:hint="default"/>
      </w:rPr>
    </w:lvl>
    <w:lvl w:ilvl="6">
      <w:start w:val="1"/>
      <w:numFmt w:val="bullet"/>
      <w:lvlText w:val="•"/>
      <w:lvlJc w:val="left"/>
      <w:pPr>
        <w:ind w:left="5924" w:hanging="851"/>
      </w:pPr>
      <w:rPr>
        <w:rFonts w:hint="default"/>
      </w:rPr>
    </w:lvl>
    <w:lvl w:ilvl="7">
      <w:start w:val="1"/>
      <w:numFmt w:val="bullet"/>
      <w:lvlText w:val="•"/>
      <w:lvlJc w:val="left"/>
      <w:pPr>
        <w:ind w:left="6909" w:hanging="851"/>
      </w:pPr>
      <w:rPr>
        <w:rFonts w:hint="default"/>
      </w:rPr>
    </w:lvl>
    <w:lvl w:ilvl="8">
      <w:start w:val="1"/>
      <w:numFmt w:val="bullet"/>
      <w:lvlText w:val="•"/>
      <w:lvlJc w:val="left"/>
      <w:pPr>
        <w:ind w:left="7894" w:hanging="85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1E"/>
    <w:rsid w:val="00225930"/>
    <w:rsid w:val="004505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3A06C-227C-4917-B0B3-614154E5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2187</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Rebolledo</dc:creator>
  <cp:keywords/>
  <dc:description/>
  <cp:lastModifiedBy>Chico Rebolledo</cp:lastModifiedBy>
  <cp:revision>1</cp:revision>
  <dcterms:created xsi:type="dcterms:W3CDTF">2019-03-07T17:20:00Z</dcterms:created>
  <dcterms:modified xsi:type="dcterms:W3CDTF">2019-03-07T17:21:00Z</dcterms:modified>
</cp:coreProperties>
</file>