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2106" w14:textId="77777777" w:rsidR="00547A84" w:rsidRPr="000F6D82" w:rsidRDefault="00547A84" w:rsidP="00547A84">
      <w:pPr>
        <w:ind w:firstLineChars="100" w:firstLine="210"/>
        <w:rPr>
          <w:rFonts w:asciiTheme="minorEastAsia" w:hAnsiTheme="minorEastAsia"/>
        </w:rPr>
      </w:pPr>
      <w:bookmarkStart w:id="0" w:name="_GoBack"/>
      <w:bookmarkEnd w:id="0"/>
      <w:r>
        <w:rPr>
          <w:rFonts w:ascii="游明朝" w:eastAsia="游明朝" w:hAnsi="游明朝" w:hint="eastAsia"/>
        </w:rPr>
        <w:t>近年、障害者などの政治参加から排除されたグループを、いかに政治的に包摂しうるかという点に注目が集まっている</w:t>
      </w:r>
      <w:r w:rsidRPr="00275209">
        <w:rPr>
          <w:rFonts w:ascii="游明朝" w:eastAsia="游明朝" w:hAnsi="游明朝" w:hint="eastAsia"/>
        </w:rPr>
        <w:t>（</w:t>
      </w:r>
      <w:r w:rsidRPr="000F6D82">
        <w:rPr>
          <w:rFonts w:asciiTheme="minorEastAsia" w:hAnsiTheme="minorEastAsia" w:hint="eastAsia"/>
          <w:kern w:val="0"/>
        </w:rPr>
        <w:t xml:space="preserve">Schur, Kruse, and </w:t>
      </w:r>
      <w:proofErr w:type="spellStart"/>
      <w:r w:rsidRPr="000F6D82">
        <w:rPr>
          <w:rFonts w:asciiTheme="minorEastAsia" w:hAnsiTheme="minorEastAsia" w:hint="eastAsia"/>
          <w:kern w:val="0"/>
        </w:rPr>
        <w:t>Blanck</w:t>
      </w:r>
      <w:proofErr w:type="spellEnd"/>
      <w:r w:rsidRPr="000F6D82">
        <w:rPr>
          <w:rFonts w:asciiTheme="minorEastAsia" w:hAnsiTheme="minorEastAsia" w:hint="eastAsia"/>
          <w:kern w:val="0"/>
        </w:rPr>
        <w:t>, 2013</w:t>
      </w:r>
      <w:r w:rsidRPr="000F6D82">
        <w:rPr>
          <w:rFonts w:asciiTheme="minorEastAsia" w:hAnsiTheme="minorEastAsia"/>
          <w:kern w:val="0"/>
        </w:rPr>
        <w:t>;</w:t>
      </w:r>
      <w:r>
        <w:rPr>
          <w:rFonts w:asciiTheme="minorEastAsia" w:hAnsiTheme="minorEastAsia" w:hint="eastAsia"/>
          <w:kern w:val="0"/>
        </w:rPr>
        <w:t xml:space="preserve"> </w:t>
      </w:r>
      <w:proofErr w:type="spellStart"/>
      <w:r w:rsidRPr="00275209">
        <w:rPr>
          <w:rFonts w:ascii="游明朝" w:eastAsia="游明朝" w:hAnsi="游明朝" w:hint="eastAsia"/>
        </w:rPr>
        <w:t>S</w:t>
      </w:r>
      <w:r w:rsidRPr="00275209">
        <w:rPr>
          <w:rFonts w:ascii="游明朝" w:eastAsia="游明朝" w:hAnsi="游明朝"/>
        </w:rPr>
        <w:t>avery</w:t>
      </w:r>
      <w:proofErr w:type="spellEnd"/>
      <w:r w:rsidRPr="00275209">
        <w:rPr>
          <w:rFonts w:ascii="游明朝" w:eastAsia="游明朝" w:hAnsi="游明朝"/>
        </w:rPr>
        <w:t>, 2015; Ryan,</w:t>
      </w:r>
      <w:r w:rsidRPr="00DB1A88">
        <w:rPr>
          <w:rFonts w:ascii="游明朝" w:eastAsia="游明朝" w:hAnsi="游明朝"/>
        </w:rPr>
        <w:t xml:space="preserve"> Henderson, and Bonython</w:t>
      </w:r>
      <w:r>
        <w:rPr>
          <w:rFonts w:ascii="游明朝" w:eastAsia="游明朝" w:hAnsi="游明朝" w:hint="eastAsia"/>
        </w:rPr>
        <w:t xml:space="preserve">, </w:t>
      </w:r>
      <w:r w:rsidRPr="00DB1A88">
        <w:rPr>
          <w:rFonts w:ascii="游明朝" w:eastAsia="游明朝" w:hAnsi="游明朝"/>
        </w:rPr>
        <w:t>2016</w:t>
      </w:r>
      <w:r>
        <w:rPr>
          <w:rFonts w:ascii="游明朝" w:eastAsia="游明朝" w:hAnsi="游明朝" w:hint="eastAsia"/>
        </w:rPr>
        <w:t>）。これまでの研究では、</w:t>
      </w:r>
      <w:r>
        <w:rPr>
          <w:rFonts w:eastAsiaTheme="minorHAnsi" w:hint="eastAsia"/>
        </w:rPr>
        <w:t>多くの障害者が投票する能力と意思をもっていながら投票に必要な知識や情報の不足、投票に必要なサポートの不足などによって投票できないことが明らかにされてきた</w:t>
      </w:r>
      <w:r w:rsidRPr="000F6D82">
        <w:rPr>
          <w:rFonts w:asciiTheme="minorEastAsia" w:hAnsiTheme="minorEastAsia" w:hint="eastAsia"/>
        </w:rPr>
        <w:t>が（</w:t>
      </w:r>
      <w:r w:rsidRPr="000F6D82">
        <w:rPr>
          <w:rFonts w:asciiTheme="minorEastAsia" w:hAnsiTheme="minorEastAsia" w:hint="eastAsia"/>
          <w:kern w:val="0"/>
        </w:rPr>
        <w:t xml:space="preserve">井上,1993; </w:t>
      </w:r>
      <w:proofErr w:type="spellStart"/>
      <w:r w:rsidRPr="000F6D82">
        <w:rPr>
          <w:rFonts w:asciiTheme="minorEastAsia" w:hAnsiTheme="minorEastAsia" w:hint="eastAsia"/>
          <w:kern w:val="0"/>
        </w:rPr>
        <w:t>Schriner</w:t>
      </w:r>
      <w:proofErr w:type="spellEnd"/>
      <w:r w:rsidRPr="000F6D82">
        <w:rPr>
          <w:rFonts w:asciiTheme="minorEastAsia" w:hAnsiTheme="minorEastAsia" w:hint="eastAsia"/>
          <w:kern w:val="0"/>
        </w:rPr>
        <w:t xml:space="preserve">, Ochs, and Shields, 1997; </w:t>
      </w:r>
      <w:proofErr w:type="spellStart"/>
      <w:r w:rsidRPr="000F6D82">
        <w:rPr>
          <w:rFonts w:asciiTheme="minorEastAsia" w:hAnsiTheme="minorEastAsia" w:hint="eastAsia"/>
          <w:kern w:val="0"/>
        </w:rPr>
        <w:t>Schriner</w:t>
      </w:r>
      <w:proofErr w:type="spellEnd"/>
      <w:r w:rsidRPr="000F6D82">
        <w:rPr>
          <w:rFonts w:asciiTheme="minorEastAsia" w:hAnsiTheme="minorEastAsia" w:hint="eastAsia"/>
          <w:kern w:val="0"/>
        </w:rPr>
        <w:t xml:space="preserve"> and Ochs, 2000; Scotch, 1988, 2001; </w:t>
      </w:r>
      <w:proofErr w:type="spellStart"/>
      <w:r w:rsidRPr="000F6D82">
        <w:rPr>
          <w:rFonts w:asciiTheme="minorEastAsia" w:hAnsiTheme="minorEastAsia" w:hint="eastAsia"/>
        </w:rPr>
        <w:t>K</w:t>
      </w:r>
      <w:r w:rsidRPr="000F6D82">
        <w:rPr>
          <w:rFonts w:asciiTheme="minorEastAsia" w:hAnsiTheme="minorEastAsia"/>
        </w:rPr>
        <w:t>jellberg</w:t>
      </w:r>
      <w:proofErr w:type="spellEnd"/>
      <w:r w:rsidRPr="000F6D82">
        <w:rPr>
          <w:rFonts w:asciiTheme="minorEastAsia" w:hAnsiTheme="minorEastAsia"/>
        </w:rPr>
        <w:t xml:space="preserve"> 2002; </w:t>
      </w:r>
      <w:proofErr w:type="spellStart"/>
      <w:r w:rsidRPr="000F6D82">
        <w:rPr>
          <w:rFonts w:asciiTheme="minorEastAsia" w:hAnsiTheme="minorEastAsia" w:hint="eastAsia"/>
          <w:kern w:val="0"/>
        </w:rPr>
        <w:t>Argan</w:t>
      </w:r>
      <w:proofErr w:type="spellEnd"/>
      <w:r w:rsidRPr="000F6D82">
        <w:rPr>
          <w:rFonts w:asciiTheme="minorEastAsia" w:hAnsiTheme="minorEastAsia" w:hint="eastAsia"/>
          <w:kern w:val="0"/>
        </w:rPr>
        <w:t xml:space="preserve"> and Hughes,</w:t>
      </w:r>
      <w:r w:rsidRPr="000F6D82">
        <w:rPr>
          <w:rFonts w:asciiTheme="minorEastAsia" w:hAnsiTheme="minorEastAsia"/>
          <w:kern w:val="0"/>
        </w:rPr>
        <w:t xml:space="preserve"> </w:t>
      </w:r>
      <w:r w:rsidRPr="000F6D82">
        <w:rPr>
          <w:rFonts w:asciiTheme="minorEastAsia" w:hAnsiTheme="minorEastAsia" w:hint="eastAsia"/>
          <w:kern w:val="0"/>
        </w:rPr>
        <w:t>2013</w:t>
      </w:r>
      <w:r w:rsidRPr="000F6D82">
        <w:rPr>
          <w:rFonts w:asciiTheme="minorEastAsia" w:hAnsiTheme="minorEastAsia"/>
          <w:kern w:val="0"/>
        </w:rPr>
        <w:t xml:space="preserve">; </w:t>
      </w:r>
      <w:proofErr w:type="spellStart"/>
      <w:r w:rsidRPr="000F6D82">
        <w:rPr>
          <w:rFonts w:asciiTheme="minorEastAsia" w:hAnsiTheme="minorEastAsia" w:hint="eastAsia"/>
        </w:rPr>
        <w:t>Argan</w:t>
      </w:r>
      <w:proofErr w:type="spellEnd"/>
      <w:r w:rsidRPr="000F6D82">
        <w:rPr>
          <w:rFonts w:asciiTheme="minorEastAsia" w:hAnsiTheme="minorEastAsia" w:hint="eastAsia"/>
        </w:rPr>
        <w:t xml:space="preserve">, </w:t>
      </w:r>
      <w:r w:rsidRPr="000F6D82">
        <w:rPr>
          <w:rFonts w:asciiTheme="minorEastAsia" w:hAnsiTheme="minorEastAsia"/>
        </w:rPr>
        <w:t xml:space="preserve">MacLean, and Kitchen, 2016; Bell and </w:t>
      </w:r>
      <w:proofErr w:type="spellStart"/>
      <w:r w:rsidRPr="000F6D82">
        <w:rPr>
          <w:rFonts w:asciiTheme="minorEastAsia" w:hAnsiTheme="minorEastAsia"/>
        </w:rPr>
        <w:t>Horsler</w:t>
      </w:r>
      <w:proofErr w:type="spellEnd"/>
      <w:r w:rsidRPr="000F6D82">
        <w:rPr>
          <w:rFonts w:asciiTheme="minorEastAsia" w:hAnsiTheme="minorEastAsia"/>
        </w:rPr>
        <w:t xml:space="preserve">, 2003; </w:t>
      </w:r>
      <w:proofErr w:type="spellStart"/>
      <w:r w:rsidRPr="000F6D82">
        <w:rPr>
          <w:rFonts w:asciiTheme="minorEastAsia" w:hAnsiTheme="minorEastAsia"/>
        </w:rPr>
        <w:t>Femec</w:t>
      </w:r>
      <w:proofErr w:type="spellEnd"/>
      <w:r w:rsidRPr="000F6D82">
        <w:rPr>
          <w:rFonts w:asciiTheme="minorEastAsia" w:hAnsiTheme="minorEastAsia"/>
        </w:rPr>
        <w:t xml:space="preserve">, </w:t>
      </w:r>
      <w:proofErr w:type="spellStart"/>
      <w:r w:rsidRPr="000F6D82">
        <w:rPr>
          <w:rFonts w:asciiTheme="minorEastAsia" w:hAnsiTheme="minorEastAsia"/>
        </w:rPr>
        <w:t>Kis-Glavas</w:t>
      </w:r>
      <w:proofErr w:type="spellEnd"/>
      <w:r w:rsidRPr="000F6D82">
        <w:rPr>
          <w:rFonts w:asciiTheme="minorEastAsia" w:hAnsiTheme="minorEastAsia"/>
        </w:rPr>
        <w:t xml:space="preserve">, and </w:t>
      </w:r>
      <w:proofErr w:type="spellStart"/>
      <w:r w:rsidRPr="000F6D82">
        <w:rPr>
          <w:rFonts w:asciiTheme="minorEastAsia" w:hAnsiTheme="minorEastAsia"/>
        </w:rPr>
        <w:t>Masic</w:t>
      </w:r>
      <w:proofErr w:type="spellEnd"/>
      <w:r w:rsidRPr="000F6D82">
        <w:rPr>
          <w:rFonts w:asciiTheme="minorEastAsia" w:hAnsiTheme="minorEastAsia"/>
        </w:rPr>
        <w:t>, 2017</w:t>
      </w:r>
      <w:r w:rsidRPr="000F6D82">
        <w:rPr>
          <w:rFonts w:asciiTheme="minorEastAsia" w:hAnsiTheme="minorEastAsia" w:hint="eastAsia"/>
        </w:rPr>
        <w:t>）、本稿で注目するのは政治参加のもっとも基本的な</w:t>
      </w:r>
      <w:r>
        <w:rPr>
          <w:rFonts w:asciiTheme="minorEastAsia" w:hAnsiTheme="minorEastAsia" w:hint="eastAsia"/>
        </w:rPr>
        <w:t>条件</w:t>
      </w:r>
      <w:r w:rsidRPr="000F6D82">
        <w:rPr>
          <w:rFonts w:asciiTheme="minorEastAsia" w:hAnsiTheme="minorEastAsia" w:hint="eastAsia"/>
        </w:rPr>
        <w:t>である</w:t>
      </w:r>
      <w:r>
        <w:rPr>
          <w:rFonts w:asciiTheme="minorEastAsia" w:hAnsiTheme="minorEastAsia" w:hint="eastAsia"/>
        </w:rPr>
        <w:t>選挙権</w:t>
      </w:r>
      <w:r w:rsidRPr="000F6D82">
        <w:rPr>
          <w:rFonts w:asciiTheme="minorEastAsia" w:hAnsiTheme="minorEastAsia" w:hint="eastAsia"/>
        </w:rPr>
        <w:t>である。</w:t>
      </w:r>
    </w:p>
    <w:p w14:paraId="5C62AB7C" w14:textId="7B9F2EEF" w:rsidR="00547A84" w:rsidRDefault="00547A84" w:rsidP="00547A84">
      <w:pPr>
        <w:ind w:firstLineChars="100" w:firstLine="210"/>
        <w:rPr>
          <w:rFonts w:ascii="游明朝" w:eastAsia="游明朝" w:hAnsi="游明朝"/>
        </w:rPr>
      </w:pPr>
      <w:r>
        <w:rPr>
          <w:rFonts w:ascii="游明朝" w:eastAsia="游明朝" w:hAnsi="游明朝" w:hint="eastAsia"/>
        </w:rPr>
        <w:t>選挙権</w:t>
      </w:r>
      <w:r w:rsidRPr="00B9144F">
        <w:rPr>
          <w:rFonts w:ascii="游明朝" w:eastAsia="游明朝" w:hAnsi="游明朝" w:hint="eastAsia"/>
        </w:rPr>
        <w:t>は民主主義の重要な構成要素である。</w:t>
      </w:r>
      <w:r>
        <w:rPr>
          <w:rFonts w:ascii="游明朝" w:eastAsia="游明朝" w:hAnsi="游明朝" w:hint="eastAsia"/>
        </w:rPr>
        <w:t>しかしながら、</w:t>
      </w:r>
      <w:r w:rsidRPr="00AD7BA3">
        <w:rPr>
          <w:rFonts w:ascii="游明朝" w:eastAsia="游明朝" w:hAnsi="游明朝" w:hint="eastAsia"/>
        </w:rPr>
        <w:t>多くの</w:t>
      </w:r>
      <w:r>
        <w:rPr>
          <w:rFonts w:ascii="游明朝" w:eastAsia="游明朝" w:hAnsi="游明朝" w:hint="eastAsia"/>
        </w:rPr>
        <w:t>民主的な国々でさえ</w:t>
      </w:r>
      <w:r w:rsidRPr="00AD7BA3">
        <w:rPr>
          <w:rFonts w:ascii="游明朝" w:eastAsia="游明朝" w:hAnsi="游明朝" w:hint="eastAsia"/>
        </w:rPr>
        <w:t>、</w:t>
      </w:r>
      <w:r w:rsidRPr="009F34F3">
        <w:rPr>
          <w:rFonts w:ascii="游明朝" w:eastAsia="游明朝" w:hAnsi="游明朝" w:hint="eastAsia"/>
        </w:rPr>
        <w:t>知的障害がある、精神障害がある、</w:t>
      </w:r>
      <w:r>
        <w:rPr>
          <w:rFonts w:ascii="游明朝" w:eastAsia="游明朝" w:hAnsi="游明朝" w:hint="eastAsia"/>
        </w:rPr>
        <w:t>認知</w:t>
      </w:r>
      <w:r w:rsidRPr="009F34F3">
        <w:rPr>
          <w:rFonts w:ascii="游明朝" w:eastAsia="游明朝" w:hAnsi="游明朝" w:hint="eastAsia"/>
        </w:rPr>
        <w:t>能力が低下しているなどの理由により、</w:t>
      </w:r>
      <w:r>
        <w:rPr>
          <w:rFonts w:ascii="游明朝" w:eastAsia="游明朝" w:hAnsi="游明朝" w:hint="eastAsia"/>
        </w:rPr>
        <w:t>選挙権</w:t>
      </w:r>
      <w:r w:rsidRPr="00AD7BA3">
        <w:rPr>
          <w:rFonts w:ascii="游明朝" w:eastAsia="游明朝" w:hAnsi="游明朝" w:hint="eastAsia"/>
        </w:rPr>
        <w:t>が制限されることがある</w:t>
      </w:r>
      <w:r>
        <w:rPr>
          <w:rFonts w:ascii="游明朝" w:eastAsia="游明朝" w:hAnsi="游明朝" w:hint="eastAsia"/>
        </w:rPr>
        <w:t>。選挙権の制限は、典型的には、成年後見制度を利用している者や裁判所によって法的能力が制限される者に対する選挙権の制限という形で現れる</w:t>
      </w:r>
      <w:r w:rsidRPr="00AD7BA3">
        <w:rPr>
          <w:rFonts w:ascii="游明朝" w:eastAsia="游明朝" w:hAnsi="游明朝" w:hint="eastAsia"/>
        </w:rPr>
        <w:t>（</w:t>
      </w:r>
      <w:r w:rsidRPr="00AD7BA3">
        <w:rPr>
          <w:rFonts w:ascii="游明朝" w:eastAsia="游明朝" w:hAnsi="游明朝"/>
        </w:rPr>
        <w:t>Beckman, 2012, pp.167-17</w:t>
      </w:r>
      <w:r>
        <w:rPr>
          <w:rFonts w:ascii="游明朝" w:eastAsia="游明朝" w:hAnsi="游明朝"/>
        </w:rPr>
        <w:t>1</w:t>
      </w:r>
      <w:r>
        <w:rPr>
          <w:rFonts w:ascii="游明朝" w:eastAsia="游明朝" w:hAnsi="游明朝" w:hint="eastAsia"/>
        </w:rPr>
        <w:t>;</w:t>
      </w:r>
      <w:r>
        <w:rPr>
          <w:rFonts w:ascii="游明朝" w:eastAsia="游明朝" w:hAnsi="游明朝"/>
        </w:rPr>
        <w:t xml:space="preserve"> </w:t>
      </w:r>
      <w:r w:rsidRPr="00F1341F">
        <w:rPr>
          <w:rFonts w:asciiTheme="minorEastAsia" w:hAnsiTheme="minorEastAsia"/>
        </w:rPr>
        <w:t>European Union Agency for Fundamental Rights</w:t>
      </w:r>
      <w:r>
        <w:rPr>
          <w:rFonts w:asciiTheme="minorEastAsia" w:hAnsiTheme="minorEastAsia"/>
        </w:rPr>
        <w:t>,</w:t>
      </w:r>
      <w:r w:rsidRPr="00F1341F">
        <w:rPr>
          <w:rFonts w:asciiTheme="minorEastAsia" w:hAnsiTheme="minorEastAsia" w:hint="eastAsia"/>
        </w:rPr>
        <w:t xml:space="preserve"> </w:t>
      </w:r>
      <w:r w:rsidRPr="00F1341F">
        <w:rPr>
          <w:rFonts w:asciiTheme="minorEastAsia" w:hAnsiTheme="minorEastAsia"/>
        </w:rPr>
        <w:t>2010</w:t>
      </w:r>
      <w:r>
        <w:rPr>
          <w:rFonts w:asciiTheme="minorEastAsia" w:hAnsiTheme="minorEastAsia"/>
        </w:rPr>
        <w:t xml:space="preserve">, </w:t>
      </w:r>
      <w:r>
        <w:rPr>
          <w:rFonts w:ascii="游明朝" w:eastAsia="游明朝" w:hAnsi="游明朝"/>
        </w:rPr>
        <w:t>p.15</w:t>
      </w:r>
      <w:r w:rsidRPr="00AD7BA3">
        <w:rPr>
          <w:rFonts w:ascii="游明朝" w:eastAsia="游明朝" w:hAnsi="游明朝" w:hint="eastAsia"/>
        </w:rPr>
        <w:t>）。</w:t>
      </w:r>
      <w:r>
        <w:rPr>
          <w:rFonts w:ascii="游明朝" w:eastAsia="游明朝" w:hAnsi="游明朝" w:hint="eastAsia"/>
        </w:rPr>
        <w:t>具体的に</w:t>
      </w:r>
      <w:r w:rsidRPr="004C0FA8">
        <w:rPr>
          <w:rFonts w:ascii="游明朝" w:eastAsia="游明朝" w:hAnsi="游明朝" w:hint="eastAsia"/>
        </w:rPr>
        <w:t>は、</w:t>
      </w:r>
      <w:r w:rsidRPr="004C0FA8">
        <w:rPr>
          <w:rFonts w:ascii="游明朝" w:eastAsia="游明朝" w:hAnsi="游明朝"/>
        </w:rPr>
        <w:t>1990年代、</w:t>
      </w:r>
      <w:r w:rsidRPr="004C0FA8">
        <w:rPr>
          <w:rFonts w:ascii="游明朝" w:eastAsia="游明朝" w:hAnsi="游明朝" w:hint="eastAsia"/>
        </w:rPr>
        <w:t>十分に民主的であると評価できる</w:t>
      </w:r>
      <w:r w:rsidRPr="004C0FA8">
        <w:rPr>
          <w:rFonts w:ascii="游明朝" w:eastAsia="游明朝" w:hAnsi="游明朝"/>
        </w:rPr>
        <w:t>63</w:t>
      </w:r>
      <w:r w:rsidRPr="004C0FA8">
        <w:rPr>
          <w:rFonts w:ascii="游明朝" w:eastAsia="游明朝" w:hAnsi="游明朝" w:hint="eastAsia"/>
        </w:rPr>
        <w:t>か国の選挙法について調査を行った結果によると、精神障害者や知的障害者の選挙権を制限しないのは</w:t>
      </w:r>
      <w:r w:rsidRPr="004C0FA8">
        <w:rPr>
          <w:rFonts w:ascii="游明朝" w:eastAsia="游明朝" w:hAnsi="游明朝"/>
        </w:rPr>
        <w:t>4か国のみ</w:t>
      </w:r>
      <w:r w:rsidRPr="004C0FA8">
        <w:rPr>
          <w:rFonts w:ascii="游明朝" w:eastAsia="游明朝" w:hAnsi="游明朝" w:hint="eastAsia"/>
        </w:rPr>
        <w:t>であることが示された（</w:t>
      </w:r>
      <w:proofErr w:type="spellStart"/>
      <w:r w:rsidRPr="004C0FA8">
        <w:rPr>
          <w:rFonts w:ascii="游明朝" w:eastAsia="游明朝" w:hAnsi="游明朝"/>
        </w:rPr>
        <w:t>Massicotte</w:t>
      </w:r>
      <w:proofErr w:type="spellEnd"/>
      <w:r w:rsidRPr="004C0FA8">
        <w:rPr>
          <w:rFonts w:ascii="游明朝" w:eastAsia="游明朝" w:hAnsi="游明朝"/>
        </w:rPr>
        <w:t xml:space="preserve">, </w:t>
      </w:r>
      <w:proofErr w:type="spellStart"/>
      <w:r w:rsidRPr="004C0FA8">
        <w:rPr>
          <w:rFonts w:ascii="游明朝" w:eastAsia="游明朝" w:hAnsi="游明朝"/>
        </w:rPr>
        <w:t>Blais</w:t>
      </w:r>
      <w:proofErr w:type="spellEnd"/>
      <w:r w:rsidRPr="004C0FA8">
        <w:rPr>
          <w:rFonts w:ascii="游明朝" w:eastAsia="游明朝" w:hAnsi="游明朝"/>
        </w:rPr>
        <w:t>, and Yoshinaka, 2003, pp.17-27</w:t>
      </w:r>
      <w:r w:rsidRPr="004C0FA8">
        <w:rPr>
          <w:rFonts w:ascii="游明朝" w:eastAsia="游明朝" w:hAnsi="游明朝" w:hint="eastAsia"/>
        </w:rPr>
        <w:t>）。もっとも、近年では、</w:t>
      </w:r>
      <w:r w:rsidRPr="004C0FA8">
        <w:rPr>
          <w:rFonts w:hint="eastAsia"/>
        </w:rPr>
        <w:t>このような機能障害に由来する行為能力の低下を理由とした選挙権の制限は見直されつつある。詳しくはのちに検討するが、</w:t>
      </w:r>
      <w:r w:rsidRPr="004C0FA8">
        <w:rPr>
          <w:rFonts w:ascii="游明朝" w:eastAsia="游明朝" w:hAnsi="游明朝"/>
        </w:rPr>
        <w:t>2000年代の後半の時点で、</w:t>
      </w:r>
      <w:r w:rsidRPr="004C0FA8">
        <w:rPr>
          <w:rFonts w:ascii="游明朝" w:eastAsia="游明朝" w:hAnsi="游明朝" w:hint="eastAsia"/>
        </w:rPr>
        <w:t>これらの理由で選挙権を制限しないのは、日本を含む</w:t>
      </w:r>
      <w:r w:rsidRPr="004C0FA8">
        <w:rPr>
          <w:rFonts w:ascii="游明朝" w:eastAsia="游明朝" w:hAnsi="游明朝"/>
        </w:rPr>
        <w:t>11か国</w:t>
      </w:r>
      <w:r w:rsidRPr="004C0FA8">
        <w:rPr>
          <w:rFonts w:ascii="游明朝" w:eastAsia="游明朝" w:hAnsi="游明朝" w:hint="eastAsia"/>
        </w:rPr>
        <w:t>まで増加した。</w:t>
      </w:r>
    </w:p>
    <w:p w14:paraId="24D876D8" w14:textId="1F54053A" w:rsidR="009511E5" w:rsidRDefault="009511E5" w:rsidP="00547A84">
      <w:pPr>
        <w:ind w:firstLineChars="100" w:firstLine="210"/>
        <w:rPr>
          <w:rFonts w:ascii="游明朝" w:eastAsia="游明朝" w:hAnsi="游明朝"/>
        </w:rPr>
      </w:pPr>
    </w:p>
    <w:p w14:paraId="505998C0" w14:textId="77777777" w:rsidR="00DD0001" w:rsidRPr="00547A84" w:rsidRDefault="00DD0001"/>
    <w:sectPr w:rsidR="00DD0001" w:rsidRPr="00547A8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1FF8E" w14:textId="77777777" w:rsidR="00C25E40" w:rsidRDefault="00C25E40" w:rsidP="00547A84">
      <w:r>
        <w:separator/>
      </w:r>
    </w:p>
  </w:endnote>
  <w:endnote w:type="continuationSeparator" w:id="0">
    <w:p w14:paraId="38EF002B" w14:textId="77777777" w:rsidR="00C25E40" w:rsidRDefault="00C25E40" w:rsidP="0054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4815" w14:textId="77777777" w:rsidR="00547A84" w:rsidRDefault="0054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CC97" w14:textId="77777777" w:rsidR="00547A84" w:rsidRDefault="00547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B65A" w14:textId="77777777" w:rsidR="00547A84" w:rsidRDefault="0054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C210" w14:textId="77777777" w:rsidR="00C25E40" w:rsidRDefault="00C25E40" w:rsidP="00547A84">
      <w:r>
        <w:separator/>
      </w:r>
    </w:p>
  </w:footnote>
  <w:footnote w:type="continuationSeparator" w:id="0">
    <w:p w14:paraId="266DCAE7" w14:textId="77777777" w:rsidR="00C25E40" w:rsidRDefault="00C25E40" w:rsidP="0054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85A6" w14:textId="77777777" w:rsidR="00547A84" w:rsidRDefault="0054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9026" w14:textId="77777777" w:rsidR="00547A84" w:rsidRDefault="00547A84" w:rsidP="00547A84">
    <w:pPr>
      <w:pStyle w:val="Header"/>
      <w:jc w:val="right"/>
    </w:pPr>
    <w:r>
      <w:rPr>
        <w:rFonts w:hint="eastAsia"/>
      </w:rPr>
      <w:t>Sample Translation Excerpt</w:t>
    </w:r>
  </w:p>
  <w:p w14:paraId="1693B582" w14:textId="77777777" w:rsidR="00547A84" w:rsidRDefault="00547A84" w:rsidP="00547A84">
    <w:pPr>
      <w:pStyle w:val="Header"/>
      <w:jc w:val="right"/>
    </w:pPr>
    <w:r>
      <w:rPr>
        <w:rFonts w:hint="eastAsia"/>
      </w:rPr>
      <w:t>Isaac Gagn</w:t>
    </w:r>
    <w:r>
      <w:rPr>
        <w:rFonts w:eastAsiaTheme="minorHAnsi"/>
      </w:rPr>
      <w: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883D" w14:textId="77777777" w:rsidR="00547A84" w:rsidRDefault="00547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84"/>
    <w:rsid w:val="00547A84"/>
    <w:rsid w:val="008B0C4F"/>
    <w:rsid w:val="009511E5"/>
    <w:rsid w:val="00C25E40"/>
    <w:rsid w:val="00DD00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7B1"/>
  <w15:chartTrackingRefBased/>
  <w15:docId w15:val="{88A5D154-43DF-41B2-A00C-9BF32041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A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84"/>
    <w:pPr>
      <w:tabs>
        <w:tab w:val="center" w:pos="4252"/>
        <w:tab w:val="right" w:pos="8504"/>
      </w:tabs>
      <w:snapToGrid w:val="0"/>
    </w:pPr>
  </w:style>
  <w:style w:type="character" w:customStyle="1" w:styleId="HeaderChar">
    <w:name w:val="Header Char"/>
    <w:basedOn w:val="DefaultParagraphFont"/>
    <w:link w:val="Header"/>
    <w:uiPriority w:val="99"/>
    <w:rsid w:val="00547A84"/>
  </w:style>
  <w:style w:type="paragraph" w:styleId="Footer">
    <w:name w:val="footer"/>
    <w:basedOn w:val="Normal"/>
    <w:link w:val="FooterChar"/>
    <w:uiPriority w:val="99"/>
    <w:unhideWhenUsed/>
    <w:rsid w:val="00547A84"/>
    <w:pPr>
      <w:tabs>
        <w:tab w:val="center" w:pos="4252"/>
        <w:tab w:val="right" w:pos="8504"/>
      </w:tabs>
      <w:snapToGrid w:val="0"/>
    </w:pPr>
  </w:style>
  <w:style w:type="character" w:customStyle="1" w:styleId="FooterChar">
    <w:name w:val="Footer Char"/>
    <w:basedOn w:val="DefaultParagraphFont"/>
    <w:link w:val="Footer"/>
    <w:uiPriority w:val="99"/>
    <w:rsid w:val="0054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DIJ Tokyo</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Gagne Isaac</dc:creator>
  <cp:keywords/>
  <dc:description/>
  <cp:lastModifiedBy>Author</cp:lastModifiedBy>
  <cp:revision>2</cp:revision>
  <dcterms:created xsi:type="dcterms:W3CDTF">2018-07-02T14:51:00Z</dcterms:created>
  <dcterms:modified xsi:type="dcterms:W3CDTF">2018-07-02T14:51:00Z</dcterms:modified>
</cp:coreProperties>
</file>