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89338" w14:textId="51C45925" w:rsidR="009B6C45" w:rsidRPr="00BC609E" w:rsidRDefault="00247051">
      <w:pPr>
        <w:rPr>
          <w:b/>
          <w:bCs/>
        </w:rPr>
      </w:pPr>
      <w:proofErr w:type="spellStart"/>
      <w:r w:rsidRPr="00BC609E">
        <w:rPr>
          <w:b/>
          <w:bCs/>
        </w:rPr>
        <w:t>Legal</w:t>
      </w:r>
      <w:proofErr w:type="spellEnd"/>
      <w:r w:rsidRPr="00BC609E">
        <w:rPr>
          <w:b/>
          <w:bCs/>
        </w:rPr>
        <w:t xml:space="preserve"> EN</w:t>
      </w:r>
      <w:r w:rsidR="00BC609E">
        <w:rPr>
          <w:b/>
          <w:bCs/>
        </w:rPr>
        <w:t xml:space="preserve"> (</w:t>
      </w:r>
      <w:proofErr w:type="spellStart"/>
      <w:r w:rsidR="00BC609E">
        <w:rPr>
          <w:b/>
          <w:bCs/>
        </w:rPr>
        <w:t>source</w:t>
      </w:r>
      <w:proofErr w:type="spellEnd"/>
      <w:r w:rsidR="00BC609E">
        <w:rPr>
          <w:b/>
          <w:bCs/>
        </w:rPr>
        <w:t xml:space="preserve"> in EN)</w:t>
      </w:r>
    </w:p>
    <w:p w14:paraId="67BCC9D0" w14:textId="77777777" w:rsidR="00247051" w:rsidRPr="00BC609E" w:rsidRDefault="00247051" w:rsidP="00247051">
      <w:pPr>
        <w:shd w:val="clear" w:color="auto" w:fill="FFFFFF"/>
        <w:tabs>
          <w:tab w:val="left" w:pos="292"/>
        </w:tabs>
        <w:spacing w:before="263"/>
        <w:ind w:left="15"/>
      </w:pPr>
      <w:r w:rsidRPr="00BC609E">
        <w:rPr>
          <w:b/>
          <w:bCs/>
          <w:color w:val="000000"/>
        </w:rPr>
        <w:t>1.</w:t>
      </w:r>
      <w:r w:rsidRPr="00BC609E">
        <w:rPr>
          <w:b/>
          <w:bCs/>
          <w:color w:val="000000"/>
        </w:rPr>
        <w:tab/>
      </w:r>
      <w:r w:rsidRPr="00BC609E">
        <w:rPr>
          <w:b/>
          <w:bCs/>
          <w:color w:val="000000"/>
          <w:lang w:val="en-US"/>
        </w:rPr>
        <w:t>Subject Matter of the Contract</w:t>
      </w:r>
    </w:p>
    <w:p w14:paraId="50970D53" w14:textId="7EB74D36" w:rsidR="00247051" w:rsidRPr="00BC609E" w:rsidRDefault="00247051" w:rsidP="00247051">
      <w:pPr>
        <w:shd w:val="clear" w:color="auto" w:fill="FFFFFF"/>
        <w:tabs>
          <w:tab w:val="left" w:pos="521"/>
        </w:tabs>
        <w:spacing w:before="29" w:line="243" w:lineRule="exact"/>
        <w:ind w:left="10" w:right="496"/>
        <w:jc w:val="both"/>
      </w:pPr>
      <w:r w:rsidRPr="00BC609E">
        <w:rPr>
          <w:b/>
          <w:bCs/>
          <w:color w:val="000000"/>
        </w:rPr>
        <w:t>1.1.</w:t>
      </w:r>
      <w:r w:rsidRPr="00BC609E">
        <w:rPr>
          <w:b/>
          <w:bCs/>
          <w:color w:val="000000"/>
        </w:rPr>
        <w:tab/>
      </w:r>
      <w:r w:rsidRPr="00BC609E">
        <w:rPr>
          <w:color w:val="000000"/>
          <w:lang w:val="en-US"/>
        </w:rPr>
        <w:t>The Principal uses products (hardware and/or software) made by X (“X-</w:t>
      </w:r>
      <w:r w:rsidRPr="00BC609E">
        <w:rPr>
          <w:color w:val="000000"/>
          <w:lang w:val="en-US"/>
        </w:rPr>
        <w:br/>
        <w:t>products”) which the Principal acquires and/or acquired in accordance with separate provisions.</w:t>
      </w:r>
      <w:r w:rsidRPr="00BC609E">
        <w:rPr>
          <w:color w:val="000000"/>
          <w:lang w:val="en-US"/>
        </w:rPr>
        <w:br/>
        <w:t>X renders services for such products in the scope determined by the Principal and in</w:t>
      </w:r>
      <w:r w:rsidRPr="00BC609E">
        <w:rPr>
          <w:color w:val="000000"/>
          <w:lang w:val="en-US"/>
        </w:rPr>
        <w:br/>
        <w:t>accordance with these Service Conditions and other provisions contained in this Contract.</w:t>
      </w:r>
    </w:p>
    <w:p w14:paraId="4DE6FE0C" w14:textId="2A8E0F32" w:rsidR="00247051" w:rsidRPr="00BC609E" w:rsidRDefault="00247051" w:rsidP="00247051">
      <w:pPr>
        <w:widowControl w:val="0"/>
        <w:numPr>
          <w:ilvl w:val="0"/>
          <w:numId w:val="1"/>
        </w:numPr>
        <w:shd w:val="clear" w:color="auto" w:fill="FFFFFF"/>
        <w:tabs>
          <w:tab w:val="left" w:pos="521"/>
        </w:tabs>
        <w:autoSpaceDE w:val="0"/>
        <w:autoSpaceDN w:val="0"/>
        <w:adjustRightInd w:val="0"/>
        <w:spacing w:after="0" w:line="243" w:lineRule="exact"/>
        <w:ind w:left="5" w:right="486"/>
        <w:jc w:val="both"/>
        <w:rPr>
          <w:b/>
          <w:bCs/>
          <w:color w:val="000000"/>
        </w:rPr>
      </w:pPr>
      <w:r w:rsidRPr="00BC609E">
        <w:rPr>
          <w:color w:val="000000"/>
          <w:lang w:val="en-US"/>
        </w:rPr>
        <w:t>Principal is able to choose between various services which are divided in modules (“Modules”) by checking the appropriate box in the Offer. This decision of Principal is legally valid and binding. X pledge to perform the services as described in the Offer and its appendices. This also applies to orders via the X Service Portal.</w:t>
      </w:r>
    </w:p>
    <w:p w14:paraId="31ACE47B" w14:textId="674FC04C" w:rsidR="00247051" w:rsidRPr="00BC609E" w:rsidRDefault="00247051" w:rsidP="00247051">
      <w:pPr>
        <w:widowControl w:val="0"/>
        <w:numPr>
          <w:ilvl w:val="0"/>
          <w:numId w:val="1"/>
        </w:numPr>
        <w:shd w:val="clear" w:color="auto" w:fill="FFFFFF"/>
        <w:tabs>
          <w:tab w:val="left" w:pos="521"/>
        </w:tabs>
        <w:autoSpaceDE w:val="0"/>
        <w:autoSpaceDN w:val="0"/>
        <w:adjustRightInd w:val="0"/>
        <w:spacing w:after="0" w:line="243" w:lineRule="exact"/>
        <w:ind w:left="5" w:right="482"/>
        <w:jc w:val="both"/>
        <w:rPr>
          <w:b/>
          <w:bCs/>
          <w:color w:val="000000"/>
        </w:rPr>
      </w:pPr>
      <w:r w:rsidRPr="00BC609E">
        <w:rPr>
          <w:color w:val="000000"/>
          <w:lang w:val="en-US"/>
        </w:rPr>
        <w:t>X shall render the services covered by these Service Conditions only for the X-products stated in this Contract and not for any third-party products, unless otherwise expressly agreed upon. If the Principal purchases other products from X, such other products shall only be included in the services to the extent such inclusion is expressly agreed upon and included in the contract.</w:t>
      </w:r>
    </w:p>
    <w:p w14:paraId="50C61F85" w14:textId="4BCAC5C4" w:rsidR="00247051" w:rsidRPr="00BC609E" w:rsidRDefault="00247051" w:rsidP="00247051">
      <w:pPr>
        <w:widowControl w:val="0"/>
        <w:numPr>
          <w:ilvl w:val="0"/>
          <w:numId w:val="1"/>
        </w:numPr>
        <w:shd w:val="clear" w:color="auto" w:fill="FFFFFF"/>
        <w:tabs>
          <w:tab w:val="left" w:pos="521"/>
        </w:tabs>
        <w:autoSpaceDE w:val="0"/>
        <w:autoSpaceDN w:val="0"/>
        <w:adjustRightInd w:val="0"/>
        <w:spacing w:after="0" w:line="243" w:lineRule="exact"/>
        <w:ind w:left="5" w:right="482"/>
        <w:jc w:val="both"/>
        <w:rPr>
          <w:b/>
          <w:bCs/>
          <w:color w:val="000000"/>
        </w:rPr>
      </w:pPr>
      <w:r w:rsidRPr="00BC609E">
        <w:rPr>
          <w:color w:val="000000"/>
          <w:lang w:val="en-US"/>
        </w:rPr>
        <w:t>In case of any conflicts between individual parts of this Contract such as offer, annexes etc. concerning the selection of the individual service modules (e.g. “</w:t>
      </w:r>
      <w:proofErr w:type="spellStart"/>
      <w:r w:rsidRPr="00BC609E">
        <w:rPr>
          <w:color w:val="000000"/>
          <w:lang w:val="en-US"/>
        </w:rPr>
        <w:t>Maintenance.Care</w:t>
      </w:r>
      <w:proofErr w:type="spellEnd"/>
      <w:r w:rsidRPr="00BC609E">
        <w:rPr>
          <w:color w:val="000000"/>
          <w:lang w:val="en-US"/>
        </w:rPr>
        <w:t>”), their extent, and the required specifications of these Service Conditions, then an offer, individually prepared by X and which particularly contains the prices to be paid for the services, shall have priority over any other agreements and specifications.</w:t>
      </w:r>
    </w:p>
    <w:p w14:paraId="5BB40D2D" w14:textId="2ADF6F14" w:rsidR="00247051" w:rsidRPr="00BC609E" w:rsidRDefault="00247051" w:rsidP="00247051">
      <w:pPr>
        <w:widowControl w:val="0"/>
        <w:numPr>
          <w:ilvl w:val="0"/>
          <w:numId w:val="1"/>
        </w:numPr>
        <w:shd w:val="clear" w:color="auto" w:fill="FFFFFF"/>
        <w:tabs>
          <w:tab w:val="left" w:pos="521"/>
        </w:tabs>
        <w:autoSpaceDE w:val="0"/>
        <w:autoSpaceDN w:val="0"/>
        <w:adjustRightInd w:val="0"/>
        <w:spacing w:after="0" w:line="243" w:lineRule="exact"/>
        <w:ind w:left="5" w:right="491"/>
        <w:jc w:val="both"/>
        <w:rPr>
          <w:b/>
          <w:bCs/>
          <w:color w:val="000000"/>
        </w:rPr>
      </w:pPr>
      <w:r w:rsidRPr="00BC609E">
        <w:rPr>
          <w:color w:val="000000"/>
          <w:lang w:val="en-US"/>
        </w:rPr>
        <w:t>Before concluding a service contract for Principal’s system, which contains components not covered by warranty, X reserves the right to conduct a fee for the repair of the system.</w:t>
      </w:r>
    </w:p>
    <w:p w14:paraId="58B513AD" w14:textId="35C0C3A4" w:rsidR="00247051" w:rsidRPr="00BC609E" w:rsidRDefault="00247051" w:rsidP="00247051">
      <w:pPr>
        <w:widowControl w:val="0"/>
        <w:shd w:val="clear" w:color="auto" w:fill="FFFFFF"/>
        <w:tabs>
          <w:tab w:val="left" w:pos="521"/>
        </w:tabs>
        <w:autoSpaceDE w:val="0"/>
        <w:autoSpaceDN w:val="0"/>
        <w:adjustRightInd w:val="0"/>
        <w:spacing w:after="0" w:line="243" w:lineRule="exact"/>
        <w:ind w:right="491"/>
        <w:jc w:val="both"/>
        <w:rPr>
          <w:color w:val="000000"/>
          <w:lang w:val="en-US"/>
        </w:rPr>
      </w:pPr>
    </w:p>
    <w:p w14:paraId="3F1E44B8" w14:textId="1BCD76D3" w:rsidR="00247051" w:rsidRPr="00BC609E" w:rsidRDefault="00247051" w:rsidP="00247051">
      <w:pPr>
        <w:widowControl w:val="0"/>
        <w:shd w:val="clear" w:color="auto" w:fill="FFFFFF"/>
        <w:tabs>
          <w:tab w:val="left" w:pos="521"/>
        </w:tabs>
        <w:autoSpaceDE w:val="0"/>
        <w:autoSpaceDN w:val="0"/>
        <w:adjustRightInd w:val="0"/>
        <w:spacing w:after="0" w:line="243" w:lineRule="exact"/>
        <w:ind w:right="491"/>
        <w:jc w:val="both"/>
        <w:rPr>
          <w:b/>
          <w:bCs/>
          <w:color w:val="000000"/>
          <w:lang w:val="en-US"/>
        </w:rPr>
      </w:pPr>
      <w:r w:rsidRPr="00BC609E">
        <w:rPr>
          <w:b/>
          <w:bCs/>
          <w:color w:val="000000"/>
          <w:lang w:val="en-US"/>
        </w:rPr>
        <w:t>Legal SK</w:t>
      </w:r>
    </w:p>
    <w:p w14:paraId="34544FC0" w14:textId="21843D16" w:rsidR="00247051" w:rsidRPr="00BC609E" w:rsidRDefault="00247051" w:rsidP="00247051">
      <w:pPr>
        <w:widowControl w:val="0"/>
        <w:shd w:val="clear" w:color="auto" w:fill="FFFFFF"/>
        <w:tabs>
          <w:tab w:val="left" w:pos="521"/>
        </w:tabs>
        <w:autoSpaceDE w:val="0"/>
        <w:autoSpaceDN w:val="0"/>
        <w:adjustRightInd w:val="0"/>
        <w:spacing w:after="0" w:line="243" w:lineRule="exact"/>
        <w:ind w:right="491"/>
        <w:jc w:val="both"/>
        <w:rPr>
          <w:color w:val="000000"/>
          <w:lang w:val="en-US"/>
        </w:rPr>
      </w:pPr>
    </w:p>
    <w:p w14:paraId="1D69EC7A" w14:textId="77777777" w:rsidR="00A01541" w:rsidRPr="00BC609E" w:rsidRDefault="00A01541" w:rsidP="00A01541">
      <w:pPr>
        <w:pStyle w:val="Odstavecseseznamem"/>
        <w:numPr>
          <w:ilvl w:val="0"/>
          <w:numId w:val="2"/>
        </w:numPr>
        <w:ind w:left="426"/>
        <w:jc w:val="both"/>
        <w:rPr>
          <w:rFonts w:cs="Times New Roman"/>
          <w:b/>
        </w:rPr>
      </w:pPr>
      <w:r w:rsidRPr="00BC609E">
        <w:rPr>
          <w:rFonts w:cs="Times New Roman"/>
          <w:b/>
        </w:rPr>
        <w:t>Hlavný predmet zmluvy</w:t>
      </w:r>
    </w:p>
    <w:p w14:paraId="03A1CA3B" w14:textId="57C20BD4" w:rsidR="00A01541" w:rsidRPr="00BC609E" w:rsidRDefault="00A01541" w:rsidP="00A01541">
      <w:pPr>
        <w:pStyle w:val="Odstavecseseznamem"/>
        <w:numPr>
          <w:ilvl w:val="0"/>
          <w:numId w:val="3"/>
        </w:numPr>
        <w:ind w:left="709" w:hanging="633"/>
        <w:jc w:val="both"/>
        <w:rPr>
          <w:rFonts w:cs="Times New Roman"/>
        </w:rPr>
      </w:pPr>
      <w:r w:rsidRPr="00BC609E">
        <w:rPr>
          <w:rFonts w:cs="Times New Roman"/>
        </w:rPr>
        <w:t>Užívateľ využíva produkty (hardvér a/alebo softvér) poskytované spoločnosťou X (ďalej len „X produkty“), ktoré Užívateľ získa a/alebo získal v súlade s ustanoveniami týchto podmienok. Spoločnosť X poskytuje služby pre tieto produkty v rozsahu pôsobnosti určenom Užívateľom a v súlade s týmito Servisnými podmienkami a ostatnými ustanoveniami uvedenými v tejto Zmluve.</w:t>
      </w:r>
    </w:p>
    <w:p w14:paraId="70D7FEF7" w14:textId="75180F03" w:rsidR="00A01541" w:rsidRPr="00BC609E" w:rsidRDefault="00A01541" w:rsidP="00A01541">
      <w:pPr>
        <w:pStyle w:val="Odstavecseseznamem"/>
        <w:numPr>
          <w:ilvl w:val="0"/>
          <w:numId w:val="3"/>
        </w:numPr>
        <w:ind w:left="709" w:hanging="633"/>
        <w:jc w:val="both"/>
        <w:rPr>
          <w:rFonts w:cs="Times New Roman"/>
        </w:rPr>
      </w:pPr>
      <w:r w:rsidRPr="00BC609E">
        <w:rPr>
          <w:rFonts w:cs="Times New Roman"/>
        </w:rPr>
        <w:t>Užívateľ má možnosť si vybrať z rôznych služieb, ktoré sú rozdelené do modulov (ďalej len „Moduly“) zvolením si príslušnej kolónky v Ponuke. Toto rozhodnutie Užívateľa je právoplatné a právne záväzné. Spoločnosť X sa zaväzuje poskytovať služby ako je uvedené v Ponuke a jej prílohách. Toto sa vzťahuje aj na objednávky cez X Portál služieb.</w:t>
      </w:r>
    </w:p>
    <w:p w14:paraId="295D3927" w14:textId="566A6248" w:rsidR="00A01541" w:rsidRPr="00BC609E" w:rsidRDefault="00A01541" w:rsidP="00A01541">
      <w:pPr>
        <w:pStyle w:val="Odstavecseseznamem"/>
        <w:numPr>
          <w:ilvl w:val="0"/>
          <w:numId w:val="3"/>
        </w:numPr>
        <w:ind w:left="709" w:hanging="633"/>
        <w:jc w:val="both"/>
        <w:rPr>
          <w:rFonts w:cs="Times New Roman"/>
        </w:rPr>
      </w:pPr>
      <w:r w:rsidRPr="00BC609E">
        <w:rPr>
          <w:rFonts w:cs="Times New Roman"/>
        </w:rPr>
        <w:t>Spoločnosť X poskytuje služby uvedené v týchto Servisných podmienkach iba pre produkty  spoločnosti X uvedené v tejto Zmluve a nevzťahuje sa na produkty tretích strán, pokiaľ sa zmluvné strany výslovne nedohodnú inak. Ak si Užívateľ kúpi iné produkty od spoločnosti X, takéto produkty sú zahrnuté do služieb iba v takom rozsahu v akom je zmluvne dohodnuté a zahrnuté do zmluvy.</w:t>
      </w:r>
    </w:p>
    <w:p w14:paraId="78664489" w14:textId="77ED4505" w:rsidR="00A01541" w:rsidRPr="00BC609E" w:rsidRDefault="00A01541" w:rsidP="00A01541">
      <w:pPr>
        <w:pStyle w:val="Odstavecseseznamem"/>
        <w:numPr>
          <w:ilvl w:val="0"/>
          <w:numId w:val="3"/>
        </w:numPr>
        <w:ind w:left="709" w:hanging="633"/>
        <w:jc w:val="both"/>
        <w:rPr>
          <w:rFonts w:cs="Times New Roman"/>
        </w:rPr>
      </w:pPr>
      <w:r w:rsidRPr="00BC609E">
        <w:rPr>
          <w:rFonts w:cs="Times New Roman"/>
        </w:rPr>
        <w:t>V prípade rozporov medzi jednotlivými časťami Zmluvy ako je ponuka, prílohy, atď., týkajúce sa výberu individuálnych modulov služieb (napr. „Údržba“), ich rozsahu a vyžadovaných špecifikácií týchto Servisných podmienok, ponuka, individuálne pripravená spoločnosťou X obsahuje najmä ceny, ktoré musia byť zaplatené za služby a majú prednosť pred  akýmikoľvek inými dohodami a špecifikáciami.</w:t>
      </w:r>
    </w:p>
    <w:p w14:paraId="066044E4" w14:textId="5B2170EF" w:rsidR="00A01541" w:rsidRPr="00BC609E" w:rsidRDefault="00A01541" w:rsidP="00A01541">
      <w:pPr>
        <w:pStyle w:val="Odstavecseseznamem"/>
        <w:numPr>
          <w:ilvl w:val="0"/>
          <w:numId w:val="3"/>
        </w:numPr>
        <w:ind w:left="709" w:hanging="633"/>
        <w:jc w:val="both"/>
        <w:rPr>
          <w:rFonts w:cs="Times New Roman"/>
        </w:rPr>
      </w:pPr>
      <w:r w:rsidRPr="00BC609E">
        <w:rPr>
          <w:rFonts w:cs="Times New Roman"/>
        </w:rPr>
        <w:t>Pred uzatvorením servisnej zmluvy pre systém Užívateľa, ktorý obsahuje komponenty, na ktoré sa nevzťahuje záruka si spoločnosť X vyhradzuje právo uložiť poplatok za opravu systému.</w:t>
      </w:r>
    </w:p>
    <w:p w14:paraId="2CF67231" w14:textId="43549338" w:rsidR="00A01541" w:rsidRPr="00BC609E" w:rsidRDefault="00A01541" w:rsidP="00A01541">
      <w:pPr>
        <w:jc w:val="both"/>
        <w:rPr>
          <w:rFonts w:cs="Times New Roman"/>
        </w:rPr>
      </w:pPr>
    </w:p>
    <w:p w14:paraId="271099EA" w14:textId="77777777" w:rsidR="001F35C0" w:rsidRPr="00BC609E" w:rsidRDefault="001F35C0" w:rsidP="00A01541">
      <w:pPr>
        <w:jc w:val="both"/>
        <w:rPr>
          <w:rFonts w:cs="Times New Roman"/>
        </w:rPr>
      </w:pPr>
    </w:p>
    <w:p w14:paraId="1EA09719" w14:textId="4FE19CA0" w:rsidR="00A01541" w:rsidRPr="00BC609E" w:rsidRDefault="000E0B32" w:rsidP="00A01541">
      <w:pPr>
        <w:jc w:val="both"/>
        <w:rPr>
          <w:rFonts w:cs="Times New Roman"/>
          <w:b/>
          <w:bCs/>
        </w:rPr>
      </w:pPr>
      <w:r w:rsidRPr="00BC609E">
        <w:rPr>
          <w:rFonts w:cs="Times New Roman"/>
          <w:b/>
          <w:bCs/>
        </w:rPr>
        <w:lastRenderedPageBreak/>
        <w:t>Marketing EN</w:t>
      </w:r>
      <w:r w:rsidR="00BC609E">
        <w:rPr>
          <w:rFonts w:cs="Times New Roman"/>
          <w:b/>
          <w:bCs/>
        </w:rPr>
        <w:t xml:space="preserve"> (</w:t>
      </w:r>
      <w:proofErr w:type="spellStart"/>
      <w:r w:rsidR="00BC609E">
        <w:rPr>
          <w:rFonts w:cs="Times New Roman"/>
          <w:b/>
          <w:bCs/>
        </w:rPr>
        <w:t>source</w:t>
      </w:r>
      <w:proofErr w:type="spellEnd"/>
      <w:r w:rsidR="00BC609E">
        <w:rPr>
          <w:rFonts w:cs="Times New Roman"/>
          <w:b/>
          <w:bCs/>
        </w:rPr>
        <w:t xml:space="preserve"> in EN)</w:t>
      </w:r>
    </w:p>
    <w:p w14:paraId="7F58E8DC" w14:textId="77777777" w:rsidR="00185825" w:rsidRPr="00BC609E" w:rsidRDefault="00185825" w:rsidP="00185825">
      <w:pPr>
        <w:spacing w:after="0"/>
        <w:outlineLvl w:val="0"/>
        <w:rPr>
          <w:rFonts w:cs="Tahoma"/>
          <w:b/>
          <w:color w:val="000000" w:themeColor="text1"/>
          <w:lang w:val="en-US"/>
        </w:rPr>
      </w:pPr>
      <w:r w:rsidRPr="00BC609E">
        <w:rPr>
          <w:rFonts w:cs="Tahoma"/>
          <w:b/>
          <w:color w:val="000000" w:themeColor="text1"/>
          <w:lang w:val="en-US"/>
        </w:rPr>
        <w:t>Perfect parking management begins at your customer’s home</w:t>
      </w:r>
    </w:p>
    <w:p w14:paraId="10EA4453" w14:textId="77777777" w:rsidR="00185825" w:rsidRPr="00BC609E" w:rsidRDefault="00185825" w:rsidP="00185825">
      <w:pPr>
        <w:spacing w:after="0"/>
        <w:outlineLvl w:val="0"/>
        <w:rPr>
          <w:rFonts w:cs="Tahoma"/>
          <w:b/>
          <w:color w:val="000000" w:themeColor="text1"/>
          <w:lang w:val="en-US"/>
        </w:rPr>
      </w:pPr>
    </w:p>
    <w:p w14:paraId="064BD622" w14:textId="20104CC3" w:rsidR="00185825" w:rsidRPr="00BC609E" w:rsidRDefault="00185825" w:rsidP="00185825">
      <w:pPr>
        <w:spacing w:after="0"/>
        <w:rPr>
          <w:rFonts w:cs="Tahoma"/>
          <w:bCs/>
          <w:color w:val="000000" w:themeColor="text1"/>
          <w:lang w:val="en-US"/>
        </w:rPr>
      </w:pPr>
      <w:r w:rsidRPr="00BC609E">
        <w:rPr>
          <w:rFonts w:cs="Tahoma"/>
          <w:color w:val="000000" w:themeColor="text1"/>
          <w:lang w:val="en"/>
        </w:rPr>
        <w:t>Perfect parking management does not only play an important role in the parking facility. It does not begin at the entry, but rather at your customer's home, such as with the reservation of a parking space. And it does not end at the exit. Because bonus points, a valuable overview of all the services used and numerous other benefits ensure that the perfect parking experience continues to have positive effects</w:t>
      </w:r>
      <w:r w:rsidRPr="00BC609E">
        <w:rPr>
          <w:rFonts w:cs="Tahoma"/>
          <w:bCs/>
          <w:color w:val="000000" w:themeColor="text1"/>
          <w:lang w:val="en"/>
        </w:rPr>
        <w:t xml:space="preserve"> – for your guests, and also for you. Having all relevant data at a glance ensures professional information post-processing as well as marketing activities and, therefore, a long-term, direct contact with your customers at home.</w:t>
      </w:r>
    </w:p>
    <w:p w14:paraId="26628FC0" w14:textId="77777777" w:rsidR="00185825" w:rsidRPr="00BC609E" w:rsidRDefault="00185825" w:rsidP="00185825">
      <w:pPr>
        <w:spacing w:after="0"/>
        <w:rPr>
          <w:rFonts w:cs="Tahoma"/>
          <w:color w:val="000000" w:themeColor="text1"/>
          <w:lang w:val="en-US"/>
        </w:rPr>
      </w:pPr>
    </w:p>
    <w:p w14:paraId="2E317179" w14:textId="11AE1C6D" w:rsidR="00185825" w:rsidRPr="00BC609E" w:rsidRDefault="00185825" w:rsidP="00185825">
      <w:pPr>
        <w:rPr>
          <w:rFonts w:cs="Tahoma"/>
          <w:color w:val="000000" w:themeColor="text1"/>
          <w:lang w:val="en"/>
        </w:rPr>
      </w:pPr>
      <w:r w:rsidRPr="00BC609E">
        <w:rPr>
          <w:rFonts w:cs="Tahoma"/>
          <w:color w:val="000000" w:themeColor="text1"/>
          <w:lang w:val="en"/>
        </w:rPr>
        <w:t xml:space="preserve">With </w:t>
      </w:r>
      <w:r w:rsidR="00BF649D" w:rsidRPr="00BC609E">
        <w:rPr>
          <w:rFonts w:cs="Tahoma"/>
          <w:color w:val="000000" w:themeColor="text1"/>
          <w:lang w:val="en"/>
        </w:rPr>
        <w:t>X</w:t>
      </w:r>
      <w:r w:rsidRPr="00BC609E">
        <w:rPr>
          <w:rFonts w:cs="Tahoma"/>
          <w:color w:val="000000" w:themeColor="text1"/>
          <w:lang w:val="en"/>
        </w:rPr>
        <w:t xml:space="preserve"> you have the right partner by your side to realize this system – which far exceeds the traditional concept of car park management – and so much more. The </w:t>
      </w:r>
      <w:r w:rsidR="00BF649D" w:rsidRPr="00BC609E">
        <w:rPr>
          <w:rFonts w:cs="Tahoma"/>
          <w:color w:val="000000" w:themeColor="text1"/>
          <w:lang w:val="en"/>
        </w:rPr>
        <w:t>X</w:t>
      </w:r>
      <w:r w:rsidRPr="00BC609E">
        <w:rPr>
          <w:rFonts w:cs="Tahoma"/>
          <w:color w:val="000000" w:themeColor="text1"/>
          <w:lang w:val="en"/>
        </w:rPr>
        <w:t xml:space="preserve"> total solution features a 360° perspective that takes not only your needs into account, but also the needs of your guests. Learn more about the </w:t>
      </w:r>
      <w:r w:rsidR="00BF649D" w:rsidRPr="00BC609E">
        <w:rPr>
          <w:rFonts w:cs="Tahoma"/>
          <w:color w:val="000000" w:themeColor="text1"/>
          <w:lang w:val="en"/>
        </w:rPr>
        <w:t>X</w:t>
      </w:r>
      <w:r w:rsidRPr="00BC609E">
        <w:rPr>
          <w:rFonts w:cs="Tahoma"/>
          <w:color w:val="000000" w:themeColor="text1"/>
          <w:lang w:val="en"/>
        </w:rPr>
        <w:t xml:space="preserve"> Customer Journey on the following pages.</w:t>
      </w:r>
    </w:p>
    <w:p w14:paraId="1D73E3E2" w14:textId="01FA0A28" w:rsidR="00185825" w:rsidRPr="00BC609E" w:rsidRDefault="00185825" w:rsidP="00185825">
      <w:pPr>
        <w:rPr>
          <w:rFonts w:cs="Tahoma"/>
          <w:color w:val="000000" w:themeColor="text1"/>
          <w:lang w:val="en"/>
        </w:rPr>
      </w:pPr>
    </w:p>
    <w:p w14:paraId="706444B8" w14:textId="2C7D0FAA" w:rsidR="00185825" w:rsidRPr="00BC609E" w:rsidRDefault="00185825" w:rsidP="00185825">
      <w:pPr>
        <w:rPr>
          <w:rFonts w:cs="Tahoma"/>
          <w:b/>
          <w:bCs/>
          <w:color w:val="000000" w:themeColor="text1"/>
          <w:lang w:val="en"/>
        </w:rPr>
      </w:pPr>
      <w:r w:rsidRPr="00BC609E">
        <w:rPr>
          <w:rFonts w:cs="Tahoma"/>
          <w:b/>
          <w:bCs/>
          <w:color w:val="000000" w:themeColor="text1"/>
          <w:lang w:val="en"/>
        </w:rPr>
        <w:t>Marketing SK</w:t>
      </w:r>
    </w:p>
    <w:p w14:paraId="018B7FB2" w14:textId="77777777" w:rsidR="008D588B" w:rsidRPr="00BC609E" w:rsidRDefault="008D588B" w:rsidP="008D588B">
      <w:pPr>
        <w:rPr>
          <w:rFonts w:cs="Tahoma"/>
          <w:b/>
        </w:rPr>
      </w:pPr>
      <w:r w:rsidRPr="00BC609E">
        <w:rPr>
          <w:rFonts w:cs="Tahoma"/>
          <w:b/>
        </w:rPr>
        <w:t xml:space="preserve">Perfektný manažment parkoviska začína už doma u vášho zákazníka </w:t>
      </w:r>
    </w:p>
    <w:p w14:paraId="5FAE7DAB" w14:textId="77777777" w:rsidR="008D588B" w:rsidRPr="00BC609E" w:rsidRDefault="008D588B" w:rsidP="008D588B">
      <w:pPr>
        <w:jc w:val="both"/>
        <w:rPr>
          <w:rFonts w:cs="Tahoma"/>
        </w:rPr>
      </w:pPr>
      <w:r w:rsidRPr="00BC609E">
        <w:rPr>
          <w:rFonts w:cs="Tahoma"/>
        </w:rPr>
        <w:t>Perfektný manažment parkoviska nehrá dôležitú úlohu len na parkovisku. Nezačína vjazdom na parkovisko, ale začína už doma u vášho zákazníka, napríklad rezerváciou parkovacieho miesta. A samozrejme nekončí výjazdom z garáže. Bonusové body poskytujú cenný prehľad všetkých využitých služieb a ďalšie nespočetné výhody, ktoré zaistia, že skvelý zážitok z parkovania zanechá pozitívny dojem – nielen vo vašich zákazníkoch, ale aj vo vás. Dostupnosť všetkých relevantných údajov umožňuje profesionálne spracovanie informácií rovnako ako pokrokové marketingové aktivity a z toho vyplývajúci dlhodobý priamy kontakt s vašimi zákazníkmi priamo doma.</w:t>
      </w:r>
    </w:p>
    <w:p w14:paraId="4417F731" w14:textId="12104B02" w:rsidR="008D588B" w:rsidRPr="00BC609E" w:rsidRDefault="008D588B" w:rsidP="008D588B">
      <w:pPr>
        <w:jc w:val="both"/>
        <w:rPr>
          <w:rFonts w:cs="Tahoma"/>
        </w:rPr>
      </w:pPr>
      <w:r w:rsidRPr="00BC609E">
        <w:rPr>
          <w:rFonts w:cs="Tahoma"/>
        </w:rPr>
        <w:t xml:space="preserve">So </w:t>
      </w:r>
      <w:r w:rsidR="00BF649D" w:rsidRPr="00BC609E">
        <w:rPr>
          <w:rFonts w:cs="Tahoma"/>
        </w:rPr>
        <w:t>X</w:t>
      </w:r>
      <w:r w:rsidRPr="00BC609E">
        <w:rPr>
          <w:rFonts w:cs="Tahoma"/>
        </w:rPr>
        <w:t xml:space="preserve"> máte po svojom boku toho správneho partnera na realizáciu každého projektu, ktorý prekoná vaše najtajnejšie očakávania v porovnaní s tradičným poňatím manažmentu parkoviska. </w:t>
      </w:r>
      <w:r w:rsidR="00BF649D" w:rsidRPr="00BC609E">
        <w:rPr>
          <w:rFonts w:cs="Tahoma"/>
        </w:rPr>
        <w:t>X</w:t>
      </w:r>
      <w:r w:rsidRPr="00BC609E">
        <w:rPr>
          <w:rFonts w:cs="Tahoma"/>
        </w:rPr>
        <w:t xml:space="preserve"> ponúka komplexné riešenie so širšej perspektívy, ktoré zohľadňuje nielen vaše požiadavky, ale aj potreby vašich zákazníkov. Zistite viac o </w:t>
      </w:r>
      <w:r w:rsidR="00BF649D" w:rsidRPr="00BC609E">
        <w:rPr>
          <w:rFonts w:cs="Tahoma"/>
        </w:rPr>
        <w:t>X</w:t>
      </w:r>
      <w:r w:rsidRPr="00BC609E">
        <w:rPr>
          <w:rFonts w:cs="Tahoma"/>
        </w:rPr>
        <w:t xml:space="preserve"> </w:t>
      </w:r>
      <w:proofErr w:type="spellStart"/>
      <w:r w:rsidRPr="00BC609E">
        <w:rPr>
          <w:rFonts w:cs="Tahoma"/>
        </w:rPr>
        <w:t>Customer</w:t>
      </w:r>
      <w:proofErr w:type="spellEnd"/>
      <w:r w:rsidRPr="00BC609E">
        <w:rPr>
          <w:rFonts w:cs="Tahoma"/>
        </w:rPr>
        <w:t xml:space="preserve"> </w:t>
      </w:r>
      <w:proofErr w:type="spellStart"/>
      <w:r w:rsidRPr="00BC609E">
        <w:rPr>
          <w:rFonts w:cs="Tahoma"/>
        </w:rPr>
        <w:t>Journey</w:t>
      </w:r>
      <w:proofErr w:type="spellEnd"/>
      <w:r w:rsidRPr="00BC609E">
        <w:rPr>
          <w:rFonts w:cs="Tahoma"/>
        </w:rPr>
        <w:t xml:space="preserve"> na nasledujúcich stránkach.</w:t>
      </w:r>
    </w:p>
    <w:p w14:paraId="161A4A4B" w14:textId="09A0EC6D" w:rsidR="00EA79AC" w:rsidRPr="00BC609E" w:rsidRDefault="00EA79AC" w:rsidP="008D588B">
      <w:pPr>
        <w:jc w:val="both"/>
        <w:rPr>
          <w:rFonts w:cs="Tahoma"/>
        </w:rPr>
      </w:pPr>
    </w:p>
    <w:p w14:paraId="7D9AC884" w14:textId="360B75A0" w:rsidR="00EA79AC" w:rsidRPr="00BC609E" w:rsidRDefault="00EA79AC" w:rsidP="008D588B">
      <w:pPr>
        <w:jc w:val="both"/>
        <w:rPr>
          <w:rFonts w:cs="Tahoma"/>
        </w:rPr>
      </w:pPr>
    </w:p>
    <w:p w14:paraId="70AC56C2" w14:textId="1E89564D" w:rsidR="00EA79AC" w:rsidRPr="00BC609E" w:rsidRDefault="00EA79AC" w:rsidP="008D588B">
      <w:pPr>
        <w:jc w:val="both"/>
        <w:rPr>
          <w:rFonts w:cs="Tahoma"/>
        </w:rPr>
      </w:pPr>
    </w:p>
    <w:p w14:paraId="15C08B56" w14:textId="16AE2109" w:rsidR="00EA79AC" w:rsidRPr="00BC609E" w:rsidRDefault="00EA79AC" w:rsidP="008D588B">
      <w:pPr>
        <w:jc w:val="both"/>
        <w:rPr>
          <w:rFonts w:cs="Tahoma"/>
        </w:rPr>
      </w:pPr>
    </w:p>
    <w:p w14:paraId="313611FD" w14:textId="025CE7D6" w:rsidR="00EA79AC" w:rsidRPr="00BC609E" w:rsidRDefault="00EA79AC" w:rsidP="008D588B">
      <w:pPr>
        <w:jc w:val="both"/>
        <w:rPr>
          <w:rFonts w:cs="Tahoma"/>
        </w:rPr>
      </w:pPr>
    </w:p>
    <w:p w14:paraId="4136B6D0" w14:textId="6B101AA3" w:rsidR="00EA79AC" w:rsidRPr="00BC609E" w:rsidRDefault="00EA79AC" w:rsidP="008D588B">
      <w:pPr>
        <w:jc w:val="both"/>
        <w:rPr>
          <w:rFonts w:cs="Tahoma"/>
        </w:rPr>
      </w:pPr>
    </w:p>
    <w:p w14:paraId="63DABE39" w14:textId="59C076D5" w:rsidR="00EA79AC" w:rsidRPr="00BC609E" w:rsidRDefault="00EA79AC" w:rsidP="008D588B">
      <w:pPr>
        <w:jc w:val="both"/>
        <w:rPr>
          <w:rFonts w:cs="Tahoma"/>
        </w:rPr>
      </w:pPr>
    </w:p>
    <w:p w14:paraId="479BB952" w14:textId="0CDD0136" w:rsidR="00EA79AC" w:rsidRDefault="00EA79AC" w:rsidP="008D588B">
      <w:pPr>
        <w:jc w:val="both"/>
        <w:rPr>
          <w:rFonts w:cs="Tahoma"/>
        </w:rPr>
      </w:pPr>
    </w:p>
    <w:p w14:paraId="15842CF7" w14:textId="0ABDC9FD" w:rsidR="00BC609E" w:rsidRDefault="00BC609E" w:rsidP="008D588B">
      <w:pPr>
        <w:jc w:val="both"/>
        <w:rPr>
          <w:rFonts w:cs="Tahoma"/>
        </w:rPr>
      </w:pPr>
    </w:p>
    <w:p w14:paraId="2DFAA29D" w14:textId="77777777" w:rsidR="00BC609E" w:rsidRPr="00BC609E" w:rsidRDefault="00BC609E" w:rsidP="008D588B">
      <w:pPr>
        <w:jc w:val="both"/>
        <w:rPr>
          <w:rFonts w:cs="Tahoma"/>
        </w:rPr>
      </w:pPr>
    </w:p>
    <w:p w14:paraId="68741196" w14:textId="31D8AAB5" w:rsidR="00EA79AC" w:rsidRPr="00BC609E" w:rsidRDefault="003A79AA" w:rsidP="008D588B">
      <w:pPr>
        <w:jc w:val="both"/>
        <w:rPr>
          <w:rFonts w:cs="Tahoma"/>
          <w:b/>
          <w:bCs/>
        </w:rPr>
      </w:pPr>
      <w:proofErr w:type="spellStart"/>
      <w:r w:rsidRPr="00BC609E">
        <w:rPr>
          <w:rFonts w:cs="Tahoma"/>
          <w:b/>
          <w:bCs/>
        </w:rPr>
        <w:lastRenderedPageBreak/>
        <w:t>Medical</w:t>
      </w:r>
      <w:proofErr w:type="spellEnd"/>
      <w:r w:rsidR="00EA79AC" w:rsidRPr="00BC609E">
        <w:rPr>
          <w:rFonts w:cs="Tahoma"/>
          <w:b/>
          <w:bCs/>
        </w:rPr>
        <w:t xml:space="preserve"> EN</w:t>
      </w:r>
      <w:r w:rsidR="00BC609E">
        <w:rPr>
          <w:rFonts w:cs="Tahoma"/>
          <w:b/>
          <w:bCs/>
        </w:rPr>
        <w:t xml:space="preserve"> (</w:t>
      </w:r>
      <w:proofErr w:type="spellStart"/>
      <w:r w:rsidR="00BC609E">
        <w:rPr>
          <w:rFonts w:cs="Tahoma"/>
          <w:b/>
          <w:bCs/>
        </w:rPr>
        <w:t>source</w:t>
      </w:r>
      <w:proofErr w:type="spellEnd"/>
      <w:r w:rsidR="00BC609E">
        <w:rPr>
          <w:rFonts w:cs="Tahoma"/>
          <w:b/>
          <w:bCs/>
        </w:rPr>
        <w:t xml:space="preserve"> in EN)</w:t>
      </w:r>
    </w:p>
    <w:p w14:paraId="180A3F39" w14:textId="31B0B79D" w:rsidR="00ED7FC7" w:rsidRPr="00BC609E" w:rsidRDefault="00ED7FC7" w:rsidP="00ED7FC7">
      <w:pPr>
        <w:pStyle w:val="Zkladntext"/>
        <w:spacing w:line="276" w:lineRule="auto"/>
        <w:ind w:left="110" w:right="38" w:firstLine="189"/>
        <w:jc w:val="both"/>
        <w:rPr>
          <w:rFonts w:asciiTheme="minorHAnsi" w:hAnsiTheme="minorHAnsi"/>
          <w:sz w:val="22"/>
          <w:szCs w:val="22"/>
        </w:rPr>
      </w:pPr>
      <w:r w:rsidRPr="00BC609E">
        <w:rPr>
          <w:rFonts w:asciiTheme="minorHAnsi" w:hAnsiTheme="minorHAnsi"/>
          <w:color w:val="231F20"/>
          <w:sz w:val="22"/>
          <w:szCs w:val="22"/>
        </w:rPr>
        <w:t xml:space="preserve">In </w:t>
      </w:r>
      <w:proofErr w:type="spellStart"/>
      <w:r w:rsidRPr="00BC609E">
        <w:rPr>
          <w:rFonts w:asciiTheme="minorHAnsi" w:hAnsiTheme="minorHAnsi"/>
          <w:color w:val="231F20"/>
          <w:sz w:val="22"/>
          <w:szCs w:val="22"/>
        </w:rPr>
        <w:t>the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same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clinical</w:t>
      </w:r>
      <w:proofErr w:type="spellEnd"/>
      <w:r w:rsidRPr="00BC609E">
        <w:rPr>
          <w:rFonts w:asciiTheme="minorHAnsi" w:hAnsiTheme="minorHAnsi"/>
          <w:color w:val="231F20"/>
          <w:sz w:val="22"/>
          <w:szCs w:val="22"/>
        </w:rPr>
        <w:t xml:space="preserve">  centre,  </w:t>
      </w:r>
      <w:proofErr w:type="spellStart"/>
      <w:r w:rsidRPr="00BC609E">
        <w:rPr>
          <w:rFonts w:asciiTheme="minorHAnsi" w:hAnsiTheme="minorHAnsi"/>
          <w:color w:val="231F20"/>
          <w:sz w:val="22"/>
          <w:szCs w:val="22"/>
        </w:rPr>
        <w:t>we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now</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demonstrate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that</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the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implementation</w:t>
      </w:r>
      <w:proofErr w:type="spellEnd"/>
      <w:r w:rsidRPr="00BC609E">
        <w:rPr>
          <w:rFonts w:asciiTheme="minorHAnsi" w:hAnsiTheme="minorHAnsi"/>
          <w:color w:val="231F20"/>
          <w:sz w:val="22"/>
          <w:szCs w:val="22"/>
        </w:rPr>
        <w:t xml:space="preserve">  of  </w:t>
      </w:r>
      <w:proofErr w:type="spellStart"/>
      <w:r w:rsidRPr="00BC609E">
        <w:rPr>
          <w:rFonts w:asciiTheme="minorHAnsi" w:hAnsiTheme="minorHAnsi"/>
          <w:color w:val="231F20"/>
          <w:sz w:val="22"/>
          <w:szCs w:val="22"/>
        </w:rPr>
        <w:t>amotosalen</w:t>
      </w:r>
      <w:proofErr w:type="spellEnd"/>
      <w:r w:rsidRPr="00BC609E">
        <w:rPr>
          <w:rFonts w:asciiTheme="minorHAnsi" w:hAnsiTheme="minorHAnsi"/>
          <w:color w:val="231F20"/>
          <w:sz w:val="22"/>
          <w:szCs w:val="22"/>
        </w:rPr>
        <w:t>/UVA-</w:t>
      </w:r>
      <w:proofErr w:type="spellStart"/>
      <w:r w:rsidRPr="00BC609E">
        <w:rPr>
          <w:rFonts w:asciiTheme="minorHAnsi" w:hAnsiTheme="minorHAnsi"/>
          <w:color w:val="231F20"/>
          <w:sz w:val="22"/>
          <w:szCs w:val="22"/>
        </w:rPr>
        <w:t>treated</w:t>
      </w:r>
      <w:proofErr w:type="spellEnd"/>
      <w:r w:rsidRPr="00BC609E">
        <w:rPr>
          <w:rFonts w:asciiTheme="minorHAnsi" w:hAnsiTheme="minorHAnsi"/>
          <w:color w:val="231F20"/>
          <w:sz w:val="22"/>
          <w:szCs w:val="22"/>
        </w:rPr>
        <w:t xml:space="preserve">  PC  </w:t>
      </w:r>
      <w:proofErr w:type="spellStart"/>
      <w:r w:rsidRPr="00BC609E">
        <w:rPr>
          <w:rFonts w:asciiTheme="minorHAnsi" w:hAnsiTheme="minorHAnsi"/>
          <w:color w:val="231F20"/>
          <w:sz w:val="22"/>
          <w:szCs w:val="22"/>
        </w:rPr>
        <w:t>did</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not</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adversely</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affect</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rates</w:t>
      </w:r>
      <w:proofErr w:type="spellEnd"/>
      <w:r w:rsidRPr="00BC609E">
        <w:rPr>
          <w:rFonts w:asciiTheme="minorHAnsi" w:hAnsiTheme="minorHAnsi"/>
          <w:color w:val="231F20"/>
          <w:sz w:val="22"/>
          <w:szCs w:val="22"/>
        </w:rPr>
        <w:t xml:space="preserve"> of </w:t>
      </w:r>
      <w:proofErr w:type="spellStart"/>
      <w:r w:rsidRPr="00BC609E">
        <w:rPr>
          <w:rFonts w:asciiTheme="minorHAnsi" w:hAnsiTheme="minorHAnsi"/>
          <w:color w:val="231F20"/>
          <w:sz w:val="22"/>
          <w:szCs w:val="22"/>
        </w:rPr>
        <w:t>transfusion</w:t>
      </w:r>
      <w:proofErr w:type="spellEnd"/>
      <w:r w:rsidRPr="00BC609E">
        <w:rPr>
          <w:rFonts w:asciiTheme="minorHAnsi" w:hAnsiTheme="minorHAnsi"/>
          <w:color w:val="231F20"/>
          <w:sz w:val="22"/>
          <w:szCs w:val="22"/>
        </w:rPr>
        <w:t xml:space="preserve"> in 1 and 7 </w:t>
      </w:r>
      <w:proofErr w:type="spellStart"/>
      <w:r w:rsidRPr="00BC609E">
        <w:rPr>
          <w:rFonts w:asciiTheme="minorHAnsi" w:hAnsiTheme="minorHAnsi"/>
          <w:color w:val="231F20"/>
          <w:sz w:val="22"/>
          <w:szCs w:val="22"/>
        </w:rPr>
        <w:t>days</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length</w:t>
      </w:r>
      <w:proofErr w:type="spellEnd"/>
      <w:r w:rsidRPr="00BC609E">
        <w:rPr>
          <w:rFonts w:asciiTheme="minorHAnsi" w:hAnsiTheme="minorHAnsi"/>
          <w:color w:val="231F20"/>
          <w:sz w:val="22"/>
          <w:szCs w:val="22"/>
        </w:rPr>
        <w:t xml:space="preserve"> of </w:t>
      </w:r>
      <w:proofErr w:type="spellStart"/>
      <w:r w:rsidRPr="00BC609E">
        <w:rPr>
          <w:rFonts w:asciiTheme="minorHAnsi" w:hAnsiTheme="minorHAnsi"/>
          <w:color w:val="231F20"/>
          <w:sz w:val="22"/>
          <w:szCs w:val="22"/>
        </w:rPr>
        <w:t>stay</w:t>
      </w:r>
      <w:proofErr w:type="spellEnd"/>
      <w:r w:rsidRPr="00BC609E">
        <w:rPr>
          <w:rFonts w:asciiTheme="minorHAnsi" w:hAnsiTheme="minorHAnsi"/>
          <w:color w:val="231F20"/>
          <w:sz w:val="22"/>
          <w:szCs w:val="22"/>
        </w:rPr>
        <w:t xml:space="preserve"> and mortality in </w:t>
      </w:r>
      <w:proofErr w:type="spellStart"/>
      <w:r w:rsidRPr="00BC609E">
        <w:rPr>
          <w:rFonts w:asciiTheme="minorHAnsi" w:hAnsiTheme="minorHAnsi"/>
          <w:color w:val="231F20"/>
          <w:sz w:val="22"/>
          <w:szCs w:val="22"/>
        </w:rPr>
        <w:t>patients</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who</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received</w:t>
      </w:r>
      <w:proofErr w:type="spellEnd"/>
      <w:r w:rsidRPr="00BC609E">
        <w:rPr>
          <w:rFonts w:asciiTheme="minorHAnsi" w:hAnsiTheme="minorHAnsi"/>
          <w:color w:val="231F20"/>
          <w:sz w:val="22"/>
          <w:szCs w:val="22"/>
        </w:rPr>
        <w:t xml:space="preserve"> MT, </w:t>
      </w:r>
      <w:proofErr w:type="spellStart"/>
      <w:r w:rsidRPr="00BC609E">
        <w:rPr>
          <w:rFonts w:asciiTheme="minorHAnsi" w:hAnsiTheme="minorHAnsi"/>
          <w:color w:val="231F20"/>
          <w:sz w:val="22"/>
          <w:szCs w:val="22"/>
        </w:rPr>
        <w:t>defined</w:t>
      </w:r>
      <w:proofErr w:type="spellEnd"/>
      <w:r w:rsidRPr="00BC609E">
        <w:rPr>
          <w:rFonts w:asciiTheme="minorHAnsi" w:hAnsiTheme="minorHAnsi"/>
          <w:color w:val="231F20"/>
          <w:sz w:val="22"/>
          <w:szCs w:val="22"/>
        </w:rPr>
        <w:t xml:space="preserve"> as ≥1PC plus ≥10 </w:t>
      </w:r>
      <w:proofErr w:type="spellStart"/>
      <w:r w:rsidRPr="00BC609E">
        <w:rPr>
          <w:rFonts w:asciiTheme="minorHAnsi" w:hAnsiTheme="minorHAnsi"/>
          <w:color w:val="231F20"/>
          <w:sz w:val="22"/>
          <w:szCs w:val="22"/>
        </w:rPr>
        <w:t>RBCs</w:t>
      </w:r>
      <w:proofErr w:type="spellEnd"/>
      <w:r w:rsidRPr="00BC609E">
        <w:rPr>
          <w:rFonts w:asciiTheme="minorHAnsi" w:hAnsiTheme="minorHAnsi"/>
          <w:color w:val="231F20"/>
          <w:sz w:val="22"/>
          <w:szCs w:val="22"/>
        </w:rPr>
        <w:t xml:space="preserve"> on a  single  </w:t>
      </w:r>
      <w:proofErr w:type="spellStart"/>
      <w:r w:rsidRPr="00BC609E">
        <w:rPr>
          <w:rFonts w:asciiTheme="minorHAnsi" w:hAnsiTheme="minorHAnsi"/>
          <w:color w:val="231F20"/>
          <w:sz w:val="22"/>
          <w:szCs w:val="22"/>
        </w:rPr>
        <w:t>calendar</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day.MTs</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were</w:t>
      </w:r>
      <w:proofErr w:type="spellEnd"/>
      <w:r w:rsidRPr="00BC609E">
        <w:rPr>
          <w:rFonts w:asciiTheme="minorHAnsi" w:hAnsiTheme="minorHAnsi"/>
          <w:color w:val="231F20"/>
          <w:sz w:val="22"/>
          <w:szCs w:val="22"/>
        </w:rPr>
        <w:t xml:space="preserve"> most </w:t>
      </w:r>
      <w:proofErr w:type="spellStart"/>
      <w:r w:rsidRPr="00BC609E">
        <w:rPr>
          <w:rFonts w:asciiTheme="minorHAnsi" w:hAnsiTheme="minorHAnsi"/>
          <w:color w:val="231F20"/>
          <w:sz w:val="22"/>
          <w:szCs w:val="22"/>
        </w:rPr>
        <w:t>frequently</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related</w:t>
      </w:r>
      <w:proofErr w:type="spellEnd"/>
      <w:r w:rsidRPr="00BC609E">
        <w:rPr>
          <w:rFonts w:asciiTheme="minorHAnsi" w:hAnsiTheme="minorHAnsi"/>
          <w:color w:val="231F20"/>
          <w:sz w:val="22"/>
          <w:szCs w:val="22"/>
        </w:rPr>
        <w:t xml:space="preserve"> to </w:t>
      </w:r>
      <w:proofErr w:type="spellStart"/>
      <w:r w:rsidRPr="00BC609E">
        <w:rPr>
          <w:rFonts w:asciiTheme="minorHAnsi" w:hAnsiTheme="minorHAnsi"/>
          <w:color w:val="231F20"/>
          <w:sz w:val="22"/>
          <w:szCs w:val="22"/>
        </w:rPr>
        <w:t>liver</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transplantation</w:t>
      </w:r>
      <w:proofErr w:type="spellEnd"/>
      <w:r w:rsidRPr="00BC609E">
        <w:rPr>
          <w:rFonts w:asciiTheme="minorHAnsi" w:hAnsiTheme="minorHAnsi"/>
          <w:color w:val="231F20"/>
          <w:sz w:val="22"/>
          <w:szCs w:val="22"/>
        </w:rPr>
        <w:t xml:space="preserve"> and </w:t>
      </w:r>
      <w:proofErr w:type="spellStart"/>
      <w:r w:rsidRPr="00BC609E">
        <w:rPr>
          <w:rFonts w:asciiTheme="minorHAnsi" w:hAnsiTheme="minorHAnsi"/>
          <w:color w:val="231F20"/>
          <w:sz w:val="22"/>
          <w:szCs w:val="22"/>
        </w:rPr>
        <w:t>cardiac</w:t>
      </w:r>
      <w:proofErr w:type="spellEnd"/>
      <w:r w:rsidRPr="00BC609E">
        <w:rPr>
          <w:rFonts w:asciiTheme="minorHAnsi" w:hAnsiTheme="minorHAnsi"/>
          <w:color w:val="231F20"/>
          <w:sz w:val="22"/>
          <w:szCs w:val="22"/>
        </w:rPr>
        <w:t xml:space="preserve"> and </w:t>
      </w:r>
      <w:proofErr w:type="spellStart"/>
      <w:r w:rsidRPr="00BC609E">
        <w:rPr>
          <w:rFonts w:asciiTheme="minorHAnsi" w:hAnsiTheme="minorHAnsi"/>
          <w:color w:val="231F20"/>
          <w:sz w:val="22"/>
          <w:szCs w:val="22"/>
        </w:rPr>
        <w:t>vascular</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surgeries</w:t>
      </w:r>
      <w:proofErr w:type="spellEnd"/>
      <w:r w:rsidRPr="00BC609E">
        <w:rPr>
          <w:rFonts w:asciiTheme="minorHAnsi" w:hAnsiTheme="minorHAnsi"/>
          <w:color w:val="231F20"/>
          <w:sz w:val="22"/>
          <w:szCs w:val="22"/>
        </w:rPr>
        <w:t xml:space="preserve"> in </w:t>
      </w:r>
      <w:proofErr w:type="spellStart"/>
      <w:r w:rsidRPr="00BC609E">
        <w:rPr>
          <w:rFonts w:asciiTheme="minorHAnsi" w:hAnsiTheme="minorHAnsi"/>
          <w:color w:val="231F20"/>
          <w:sz w:val="22"/>
          <w:szCs w:val="22"/>
        </w:rPr>
        <w:t>both</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periods</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Liver</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transplants</w:t>
      </w:r>
      <w:proofErr w:type="spellEnd"/>
      <w:r w:rsidRPr="00BC609E">
        <w:rPr>
          <w:rFonts w:asciiTheme="minorHAnsi" w:hAnsiTheme="minorHAnsi"/>
          <w:color w:val="231F20"/>
          <w:sz w:val="22"/>
          <w:szCs w:val="22"/>
        </w:rPr>
        <w:t xml:space="preserve">  are  </w:t>
      </w:r>
      <w:proofErr w:type="spellStart"/>
      <w:r w:rsidRPr="00BC609E">
        <w:rPr>
          <w:rFonts w:asciiTheme="minorHAnsi" w:hAnsiTheme="minorHAnsi"/>
          <w:color w:val="231F20"/>
          <w:sz w:val="22"/>
          <w:szCs w:val="22"/>
        </w:rPr>
        <w:t>usually</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elective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procedures</w:t>
      </w:r>
      <w:proofErr w:type="spellEnd"/>
      <w:r w:rsidRPr="00BC609E">
        <w:rPr>
          <w:rFonts w:asciiTheme="minorHAnsi" w:hAnsiTheme="minorHAnsi"/>
          <w:color w:val="231F20"/>
          <w:sz w:val="22"/>
          <w:szCs w:val="22"/>
        </w:rPr>
        <w:t xml:space="preserve">  in  </w:t>
      </w:r>
      <w:proofErr w:type="spellStart"/>
      <w:r w:rsidRPr="00BC609E">
        <w:rPr>
          <w:rFonts w:asciiTheme="minorHAnsi" w:hAnsiTheme="minorHAnsi"/>
          <w:color w:val="231F20"/>
          <w:sz w:val="22"/>
          <w:szCs w:val="22"/>
        </w:rPr>
        <w:t>patients</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with</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an</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underlying</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coagulopathy</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related</w:t>
      </w:r>
      <w:proofErr w:type="spellEnd"/>
      <w:r w:rsidRPr="00BC609E">
        <w:rPr>
          <w:rFonts w:asciiTheme="minorHAnsi" w:hAnsiTheme="minorHAnsi"/>
          <w:color w:val="231F20"/>
          <w:sz w:val="22"/>
          <w:szCs w:val="22"/>
        </w:rPr>
        <w:t xml:space="preserve"> to </w:t>
      </w:r>
      <w:proofErr w:type="spellStart"/>
      <w:r w:rsidRPr="00BC609E">
        <w:rPr>
          <w:rFonts w:asciiTheme="minorHAnsi" w:hAnsiTheme="minorHAnsi"/>
          <w:color w:val="231F20"/>
          <w:sz w:val="22"/>
          <w:szCs w:val="22"/>
        </w:rPr>
        <w:t>liver</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dysfunc</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tion</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While</w:t>
      </w:r>
      <w:proofErr w:type="spellEnd"/>
      <w:r w:rsidRPr="00BC609E">
        <w:rPr>
          <w:rFonts w:asciiTheme="minorHAnsi" w:hAnsiTheme="minorHAnsi"/>
          <w:color w:val="231F20"/>
          <w:sz w:val="22"/>
          <w:szCs w:val="22"/>
        </w:rPr>
        <w:t xml:space="preserve"> most </w:t>
      </w:r>
      <w:proofErr w:type="spellStart"/>
      <w:r w:rsidRPr="00BC609E">
        <w:rPr>
          <w:rFonts w:asciiTheme="minorHAnsi" w:hAnsiTheme="minorHAnsi"/>
          <w:color w:val="231F20"/>
          <w:sz w:val="22"/>
          <w:szCs w:val="22"/>
        </w:rPr>
        <w:t>liver</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transplants</w:t>
      </w:r>
      <w:proofErr w:type="spellEnd"/>
      <w:r w:rsidRPr="00BC609E">
        <w:rPr>
          <w:rFonts w:asciiTheme="minorHAnsi" w:hAnsiTheme="minorHAnsi"/>
          <w:color w:val="231F20"/>
          <w:sz w:val="22"/>
          <w:szCs w:val="22"/>
        </w:rPr>
        <w:t xml:space="preserve"> do </w:t>
      </w:r>
      <w:proofErr w:type="spellStart"/>
      <w:r w:rsidRPr="00BC609E">
        <w:rPr>
          <w:rFonts w:asciiTheme="minorHAnsi" w:hAnsiTheme="minorHAnsi"/>
          <w:color w:val="231F20"/>
          <w:sz w:val="22"/>
          <w:szCs w:val="22"/>
        </w:rPr>
        <w:t>not</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require</w:t>
      </w:r>
      <w:proofErr w:type="spellEnd"/>
      <w:r w:rsidRPr="00BC609E">
        <w:rPr>
          <w:rFonts w:asciiTheme="minorHAnsi" w:hAnsiTheme="minorHAnsi"/>
          <w:color w:val="231F20"/>
          <w:sz w:val="22"/>
          <w:szCs w:val="22"/>
        </w:rPr>
        <w:t xml:space="preserve"> MT [13], </w:t>
      </w:r>
      <w:proofErr w:type="spellStart"/>
      <w:r w:rsidRPr="00BC609E">
        <w:rPr>
          <w:rFonts w:asciiTheme="minorHAnsi" w:hAnsiTheme="minorHAnsi"/>
          <w:color w:val="231F20"/>
          <w:sz w:val="22"/>
          <w:szCs w:val="22"/>
        </w:rPr>
        <w:t>the</w:t>
      </w:r>
      <w:proofErr w:type="spellEnd"/>
      <w:r w:rsidRPr="00BC609E">
        <w:rPr>
          <w:rFonts w:asciiTheme="minorHAnsi" w:hAnsiTheme="minorHAnsi"/>
          <w:color w:val="231F20"/>
          <w:sz w:val="22"/>
          <w:szCs w:val="22"/>
        </w:rPr>
        <w:t xml:space="preserve"> major </w:t>
      </w:r>
      <w:proofErr w:type="spellStart"/>
      <w:r w:rsidRPr="00BC609E">
        <w:rPr>
          <w:rFonts w:asciiTheme="minorHAnsi" w:hAnsiTheme="minorHAnsi"/>
          <w:color w:val="231F20"/>
          <w:sz w:val="22"/>
          <w:szCs w:val="22"/>
        </w:rPr>
        <w:t>vascular</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anastomoses</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necessary</w:t>
      </w:r>
      <w:proofErr w:type="spellEnd"/>
      <w:r w:rsidRPr="00BC609E">
        <w:rPr>
          <w:rFonts w:asciiTheme="minorHAnsi" w:hAnsiTheme="minorHAnsi"/>
          <w:color w:val="231F20"/>
          <w:sz w:val="22"/>
          <w:szCs w:val="22"/>
        </w:rPr>
        <w:t xml:space="preserve"> and </w:t>
      </w:r>
      <w:proofErr w:type="spellStart"/>
      <w:r w:rsidRPr="00BC609E">
        <w:rPr>
          <w:rFonts w:asciiTheme="minorHAnsi" w:hAnsiTheme="minorHAnsi"/>
          <w:color w:val="231F20"/>
          <w:sz w:val="22"/>
          <w:szCs w:val="22"/>
        </w:rPr>
        <w:t>the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unavoidable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exacerbation</w:t>
      </w:r>
      <w:proofErr w:type="spellEnd"/>
      <w:r w:rsidRPr="00BC609E">
        <w:rPr>
          <w:rFonts w:asciiTheme="minorHAnsi" w:hAnsiTheme="minorHAnsi"/>
          <w:color w:val="231F20"/>
          <w:sz w:val="22"/>
          <w:szCs w:val="22"/>
        </w:rPr>
        <w:t xml:space="preserve"> of </w:t>
      </w:r>
      <w:proofErr w:type="spellStart"/>
      <w:r w:rsidRPr="00BC609E">
        <w:rPr>
          <w:rFonts w:asciiTheme="minorHAnsi" w:hAnsiTheme="minorHAnsi"/>
          <w:color w:val="231F20"/>
          <w:sz w:val="22"/>
          <w:szCs w:val="22"/>
        </w:rPr>
        <w:t>coagulopathy</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related</w:t>
      </w:r>
      <w:proofErr w:type="spellEnd"/>
      <w:r w:rsidRPr="00BC609E">
        <w:rPr>
          <w:rFonts w:asciiTheme="minorHAnsi" w:hAnsiTheme="minorHAnsi"/>
          <w:color w:val="231F20"/>
          <w:sz w:val="22"/>
          <w:szCs w:val="22"/>
        </w:rPr>
        <w:t xml:space="preserve"> to </w:t>
      </w:r>
      <w:proofErr w:type="spellStart"/>
      <w:r w:rsidRPr="00BC609E">
        <w:rPr>
          <w:rFonts w:asciiTheme="minorHAnsi" w:hAnsiTheme="minorHAnsi"/>
          <w:color w:val="231F20"/>
          <w:sz w:val="22"/>
          <w:szCs w:val="22"/>
        </w:rPr>
        <w:t>the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anhepatic</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phase</w:t>
      </w:r>
      <w:proofErr w:type="spellEnd"/>
      <w:r w:rsidRPr="00BC609E">
        <w:rPr>
          <w:rFonts w:asciiTheme="minorHAnsi" w:hAnsiTheme="minorHAnsi"/>
          <w:color w:val="231F20"/>
          <w:sz w:val="22"/>
          <w:szCs w:val="22"/>
        </w:rPr>
        <w:t xml:space="preserve"> of </w:t>
      </w:r>
      <w:proofErr w:type="spellStart"/>
      <w:r w:rsidRPr="00BC609E">
        <w:rPr>
          <w:rFonts w:asciiTheme="minorHAnsi" w:hAnsiTheme="minorHAnsi"/>
          <w:color w:val="231F20"/>
          <w:sz w:val="22"/>
          <w:szCs w:val="22"/>
        </w:rPr>
        <w:t>transplantation</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surgery</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cause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these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patients</w:t>
      </w:r>
      <w:proofErr w:type="spellEnd"/>
      <w:r w:rsidRPr="00BC609E">
        <w:rPr>
          <w:rFonts w:asciiTheme="minorHAnsi" w:hAnsiTheme="minorHAnsi"/>
          <w:color w:val="231F20"/>
          <w:sz w:val="22"/>
          <w:szCs w:val="22"/>
        </w:rPr>
        <w:t xml:space="preserve"> to </w:t>
      </w:r>
      <w:proofErr w:type="spellStart"/>
      <w:r w:rsidRPr="00BC609E">
        <w:rPr>
          <w:rFonts w:asciiTheme="minorHAnsi" w:hAnsiTheme="minorHAnsi"/>
          <w:color w:val="231F20"/>
          <w:sz w:val="22"/>
          <w:szCs w:val="22"/>
        </w:rPr>
        <w:t>be</w:t>
      </w:r>
      <w:proofErr w:type="spellEnd"/>
      <w:r w:rsidRPr="00BC609E">
        <w:rPr>
          <w:rFonts w:asciiTheme="minorHAnsi" w:hAnsiTheme="minorHAnsi"/>
          <w:color w:val="231F20"/>
          <w:sz w:val="22"/>
          <w:szCs w:val="22"/>
        </w:rPr>
        <w:t xml:space="preserve"> at </w:t>
      </w:r>
      <w:proofErr w:type="spellStart"/>
      <w:r w:rsidRPr="00BC609E">
        <w:rPr>
          <w:rFonts w:asciiTheme="minorHAnsi" w:hAnsiTheme="minorHAnsi"/>
          <w:color w:val="231F20"/>
          <w:sz w:val="22"/>
          <w:szCs w:val="22"/>
        </w:rPr>
        <w:t>high</w:t>
      </w:r>
      <w:proofErr w:type="spellEnd"/>
      <w:r w:rsidRPr="00BC609E">
        <w:rPr>
          <w:rFonts w:asciiTheme="minorHAnsi" w:hAnsiTheme="minorHAnsi"/>
          <w:color w:val="231F20"/>
          <w:sz w:val="22"/>
          <w:szCs w:val="22"/>
        </w:rPr>
        <w:t xml:space="preserve"> risk of </w:t>
      </w:r>
      <w:proofErr w:type="spellStart"/>
      <w:r w:rsidRPr="00BC609E">
        <w:rPr>
          <w:rFonts w:asciiTheme="minorHAnsi" w:hAnsiTheme="minorHAnsi"/>
          <w:color w:val="231F20"/>
          <w:sz w:val="22"/>
          <w:szCs w:val="22"/>
        </w:rPr>
        <w:t>excessive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bleeding</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While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plasma</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transfusion</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is</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critical</w:t>
      </w:r>
      <w:proofErr w:type="spellEnd"/>
      <w:r w:rsidRPr="00BC609E">
        <w:rPr>
          <w:rFonts w:asciiTheme="minorHAnsi" w:hAnsiTheme="minorHAnsi"/>
          <w:color w:val="231F20"/>
          <w:sz w:val="22"/>
          <w:szCs w:val="22"/>
        </w:rPr>
        <w:t xml:space="preserve"> to  </w:t>
      </w:r>
      <w:proofErr w:type="spellStart"/>
      <w:r w:rsidRPr="00BC609E">
        <w:rPr>
          <w:rFonts w:asciiTheme="minorHAnsi" w:hAnsiTheme="minorHAnsi"/>
          <w:color w:val="231F20"/>
          <w:sz w:val="22"/>
          <w:szCs w:val="22"/>
        </w:rPr>
        <w:t>replace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coagulation</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fac</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tors</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synthesized</w:t>
      </w:r>
      <w:proofErr w:type="spellEnd"/>
      <w:r w:rsidRPr="00BC609E">
        <w:rPr>
          <w:rFonts w:asciiTheme="minorHAnsi" w:hAnsiTheme="minorHAnsi"/>
          <w:color w:val="231F20"/>
          <w:sz w:val="22"/>
          <w:szCs w:val="22"/>
        </w:rPr>
        <w:t xml:space="preserve"> in </w:t>
      </w:r>
      <w:proofErr w:type="spellStart"/>
      <w:r w:rsidRPr="00BC609E">
        <w:rPr>
          <w:rFonts w:asciiTheme="minorHAnsi" w:hAnsiTheme="minorHAnsi"/>
          <w:color w:val="231F20"/>
          <w:sz w:val="22"/>
          <w:szCs w:val="22"/>
        </w:rPr>
        <w:t>the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liver</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platelets</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also</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play</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an</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impor</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tant</w:t>
      </w:r>
      <w:proofErr w:type="spellEnd"/>
      <w:r w:rsidRPr="00BC609E">
        <w:rPr>
          <w:rFonts w:asciiTheme="minorHAnsi" w:hAnsiTheme="minorHAnsi"/>
          <w:color w:val="231F20"/>
          <w:sz w:val="22"/>
          <w:szCs w:val="22"/>
        </w:rPr>
        <w:t xml:space="preserve"> role in </w:t>
      </w:r>
      <w:proofErr w:type="spellStart"/>
      <w:r w:rsidRPr="00BC609E">
        <w:rPr>
          <w:rFonts w:asciiTheme="minorHAnsi" w:hAnsiTheme="minorHAnsi"/>
          <w:color w:val="231F20"/>
          <w:sz w:val="22"/>
          <w:szCs w:val="22"/>
        </w:rPr>
        <w:t>achieving</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haemostasis</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The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low</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overall</w:t>
      </w:r>
      <w:proofErr w:type="spellEnd"/>
      <w:r w:rsidRPr="00BC609E">
        <w:rPr>
          <w:rFonts w:asciiTheme="minorHAnsi" w:hAnsiTheme="minorHAnsi"/>
          <w:color w:val="231F20"/>
          <w:sz w:val="22"/>
          <w:szCs w:val="22"/>
        </w:rPr>
        <w:t xml:space="preserve"> in- </w:t>
      </w:r>
      <w:proofErr w:type="spellStart"/>
      <w:r w:rsidRPr="00BC609E">
        <w:rPr>
          <w:rFonts w:asciiTheme="minorHAnsi" w:hAnsiTheme="minorHAnsi"/>
          <w:color w:val="231F20"/>
          <w:sz w:val="22"/>
          <w:szCs w:val="22"/>
        </w:rPr>
        <w:t>hospital</w:t>
      </w:r>
      <w:proofErr w:type="spellEnd"/>
      <w:r w:rsidRPr="00BC609E">
        <w:rPr>
          <w:rFonts w:asciiTheme="minorHAnsi" w:hAnsiTheme="minorHAnsi"/>
          <w:color w:val="231F20"/>
          <w:sz w:val="22"/>
          <w:szCs w:val="22"/>
        </w:rPr>
        <w:t xml:space="preserve"> mortality rate [4/93 </w:t>
      </w:r>
      <w:proofErr w:type="spellStart"/>
      <w:r w:rsidRPr="00BC609E">
        <w:rPr>
          <w:rFonts w:asciiTheme="minorHAnsi" w:hAnsiTheme="minorHAnsi"/>
          <w:color w:val="231F20"/>
          <w:sz w:val="22"/>
          <w:szCs w:val="22"/>
        </w:rPr>
        <w:t>patients</w:t>
      </w:r>
      <w:proofErr w:type="spellEnd"/>
      <w:r w:rsidRPr="00BC609E">
        <w:rPr>
          <w:rFonts w:asciiTheme="minorHAnsi" w:hAnsiTheme="minorHAnsi"/>
          <w:color w:val="231F20"/>
          <w:sz w:val="22"/>
          <w:szCs w:val="22"/>
        </w:rPr>
        <w:t xml:space="preserve"> (4·3  )]  </w:t>
      </w:r>
      <w:proofErr w:type="spellStart"/>
      <w:r w:rsidRPr="00BC609E">
        <w:rPr>
          <w:rFonts w:asciiTheme="minorHAnsi" w:hAnsiTheme="minorHAnsi"/>
          <w:color w:val="231F20"/>
          <w:sz w:val="22"/>
          <w:szCs w:val="22"/>
        </w:rPr>
        <w:t>despite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the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need</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for</w:t>
      </w:r>
      <w:proofErr w:type="spellEnd"/>
      <w:r w:rsidRPr="00BC609E">
        <w:rPr>
          <w:rFonts w:asciiTheme="minorHAnsi" w:hAnsiTheme="minorHAnsi"/>
          <w:color w:val="231F20"/>
          <w:sz w:val="22"/>
          <w:szCs w:val="22"/>
        </w:rPr>
        <w:t xml:space="preserve"> MT </w:t>
      </w:r>
      <w:proofErr w:type="spellStart"/>
      <w:r w:rsidRPr="00BC609E">
        <w:rPr>
          <w:rFonts w:asciiTheme="minorHAnsi" w:hAnsiTheme="minorHAnsi"/>
          <w:color w:val="231F20"/>
          <w:sz w:val="22"/>
          <w:szCs w:val="22"/>
        </w:rPr>
        <w:t>is</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reflective</w:t>
      </w:r>
      <w:proofErr w:type="spellEnd"/>
      <w:r w:rsidRPr="00BC609E">
        <w:rPr>
          <w:rFonts w:asciiTheme="minorHAnsi" w:hAnsiTheme="minorHAnsi"/>
          <w:color w:val="231F20"/>
          <w:sz w:val="22"/>
          <w:szCs w:val="22"/>
        </w:rPr>
        <w:t xml:space="preserve"> of </w:t>
      </w:r>
      <w:proofErr w:type="spellStart"/>
      <w:r w:rsidRPr="00BC609E">
        <w:rPr>
          <w:rFonts w:asciiTheme="minorHAnsi" w:hAnsiTheme="minorHAnsi"/>
          <w:color w:val="231F20"/>
          <w:sz w:val="22"/>
          <w:szCs w:val="22"/>
        </w:rPr>
        <w:t>the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elective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nature</w:t>
      </w:r>
      <w:proofErr w:type="spellEnd"/>
      <w:r w:rsidRPr="00BC609E">
        <w:rPr>
          <w:rFonts w:asciiTheme="minorHAnsi" w:hAnsiTheme="minorHAnsi"/>
          <w:color w:val="231F20"/>
          <w:sz w:val="22"/>
          <w:szCs w:val="22"/>
        </w:rPr>
        <w:t xml:space="preserve"> of </w:t>
      </w:r>
      <w:proofErr w:type="spellStart"/>
      <w:r w:rsidRPr="00BC609E">
        <w:rPr>
          <w:rFonts w:asciiTheme="minorHAnsi" w:hAnsiTheme="minorHAnsi"/>
          <w:color w:val="231F20"/>
          <w:sz w:val="22"/>
          <w:szCs w:val="22"/>
        </w:rPr>
        <w:t>liver</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transplant</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surgery</w:t>
      </w:r>
      <w:proofErr w:type="spellEnd"/>
      <w:r w:rsidRPr="00BC609E">
        <w:rPr>
          <w:rFonts w:asciiTheme="minorHAnsi" w:hAnsiTheme="minorHAnsi"/>
          <w:color w:val="231F20"/>
          <w:sz w:val="22"/>
          <w:szCs w:val="22"/>
        </w:rPr>
        <w:t xml:space="preserve">, and </w:t>
      </w:r>
      <w:proofErr w:type="spellStart"/>
      <w:r w:rsidRPr="00BC609E">
        <w:rPr>
          <w:rFonts w:asciiTheme="minorHAnsi" w:hAnsiTheme="minorHAnsi"/>
          <w:color w:val="231F20"/>
          <w:sz w:val="22"/>
          <w:szCs w:val="22"/>
        </w:rPr>
        <w:t>speaks</w:t>
      </w:r>
      <w:proofErr w:type="spellEnd"/>
      <w:r w:rsidRPr="00BC609E">
        <w:rPr>
          <w:rFonts w:asciiTheme="minorHAnsi" w:hAnsiTheme="minorHAnsi"/>
          <w:color w:val="231F20"/>
          <w:sz w:val="22"/>
          <w:szCs w:val="22"/>
        </w:rPr>
        <w:t xml:space="preserve"> to </w:t>
      </w:r>
      <w:proofErr w:type="spellStart"/>
      <w:r w:rsidRPr="00BC609E">
        <w:rPr>
          <w:rFonts w:asciiTheme="minorHAnsi" w:hAnsiTheme="minorHAnsi"/>
          <w:color w:val="231F20"/>
          <w:sz w:val="22"/>
          <w:szCs w:val="22"/>
        </w:rPr>
        <w:t>the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effectiveness</w:t>
      </w:r>
      <w:proofErr w:type="spellEnd"/>
      <w:r w:rsidRPr="00BC609E">
        <w:rPr>
          <w:rFonts w:asciiTheme="minorHAnsi" w:hAnsiTheme="minorHAnsi"/>
          <w:color w:val="231F20"/>
          <w:sz w:val="22"/>
          <w:szCs w:val="22"/>
        </w:rPr>
        <w:t xml:space="preserve">  of </w:t>
      </w:r>
      <w:proofErr w:type="spellStart"/>
      <w:r w:rsidRPr="00BC609E">
        <w:rPr>
          <w:rFonts w:asciiTheme="minorHAnsi" w:hAnsiTheme="minorHAnsi"/>
          <w:color w:val="231F20"/>
          <w:sz w:val="22"/>
          <w:szCs w:val="22"/>
        </w:rPr>
        <w:t>massive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transfusion</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strategies</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that</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now</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include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pathogen</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reduced</w:t>
      </w:r>
      <w:proofErr w:type="spellEnd"/>
      <w:r w:rsidRPr="00BC609E">
        <w:rPr>
          <w:rFonts w:asciiTheme="minorHAnsi" w:hAnsiTheme="minorHAnsi"/>
          <w:color w:val="231F20"/>
          <w:sz w:val="22"/>
          <w:szCs w:val="22"/>
        </w:rPr>
        <w:t xml:space="preserve"> PC. A </w:t>
      </w:r>
      <w:proofErr w:type="spellStart"/>
      <w:r w:rsidRPr="00BC609E">
        <w:rPr>
          <w:rFonts w:asciiTheme="minorHAnsi" w:hAnsiTheme="minorHAnsi"/>
          <w:color w:val="231F20"/>
          <w:sz w:val="22"/>
          <w:szCs w:val="22"/>
        </w:rPr>
        <w:t>similar</w:t>
      </w:r>
      <w:proofErr w:type="spellEnd"/>
      <w:r w:rsidRPr="00BC609E">
        <w:rPr>
          <w:rFonts w:asciiTheme="minorHAnsi" w:hAnsiTheme="minorHAnsi"/>
          <w:color w:val="231F20"/>
          <w:sz w:val="22"/>
          <w:szCs w:val="22"/>
        </w:rPr>
        <w:t xml:space="preserve">  study  </w:t>
      </w:r>
      <w:proofErr w:type="spellStart"/>
      <w:r w:rsidRPr="00BC609E">
        <w:rPr>
          <w:rFonts w:asciiTheme="minorHAnsi" w:hAnsiTheme="minorHAnsi"/>
          <w:color w:val="231F20"/>
          <w:sz w:val="22"/>
          <w:szCs w:val="22"/>
        </w:rPr>
        <w:t>previously</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showed</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that</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plasma</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treated</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with</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the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amotosalen</w:t>
      </w:r>
      <w:proofErr w:type="spellEnd"/>
      <w:r w:rsidRPr="00BC609E">
        <w:rPr>
          <w:rFonts w:asciiTheme="minorHAnsi" w:hAnsiTheme="minorHAnsi"/>
          <w:color w:val="231F20"/>
          <w:sz w:val="22"/>
          <w:szCs w:val="22"/>
        </w:rPr>
        <w:t xml:space="preserve">/UVA </w:t>
      </w:r>
      <w:proofErr w:type="spellStart"/>
      <w:r w:rsidRPr="00BC609E">
        <w:rPr>
          <w:rFonts w:asciiTheme="minorHAnsi" w:hAnsiTheme="minorHAnsi"/>
          <w:color w:val="231F20"/>
          <w:sz w:val="22"/>
          <w:szCs w:val="22"/>
        </w:rPr>
        <w:t>process</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was</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equivalent</w:t>
      </w:r>
      <w:proofErr w:type="spellEnd"/>
      <w:r w:rsidRPr="00BC609E">
        <w:rPr>
          <w:rFonts w:asciiTheme="minorHAnsi" w:hAnsiTheme="minorHAnsi"/>
          <w:color w:val="231F20"/>
          <w:sz w:val="22"/>
          <w:szCs w:val="22"/>
        </w:rPr>
        <w:t xml:space="preserve"> to </w:t>
      </w:r>
      <w:proofErr w:type="spellStart"/>
      <w:r w:rsidRPr="00BC609E">
        <w:rPr>
          <w:rFonts w:asciiTheme="minorHAnsi" w:hAnsiTheme="minorHAnsi"/>
          <w:color w:val="231F20"/>
          <w:sz w:val="22"/>
          <w:szCs w:val="22"/>
        </w:rPr>
        <w:t>conventional</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plasma</w:t>
      </w:r>
      <w:proofErr w:type="spellEnd"/>
      <w:r w:rsidRPr="00BC609E">
        <w:rPr>
          <w:rFonts w:asciiTheme="minorHAnsi" w:hAnsiTheme="minorHAnsi"/>
          <w:color w:val="231F20"/>
          <w:sz w:val="22"/>
          <w:szCs w:val="22"/>
        </w:rPr>
        <w:t xml:space="preserve"> in </w:t>
      </w:r>
      <w:proofErr w:type="spellStart"/>
      <w:r w:rsidRPr="00BC609E">
        <w:rPr>
          <w:rFonts w:asciiTheme="minorHAnsi" w:hAnsiTheme="minorHAnsi"/>
          <w:color w:val="231F20"/>
          <w:sz w:val="22"/>
          <w:szCs w:val="22"/>
        </w:rPr>
        <w:t>the</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liver</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transplan</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tation</w:t>
      </w:r>
      <w:proofErr w:type="spellEnd"/>
      <w:r w:rsidRPr="00BC609E">
        <w:rPr>
          <w:rFonts w:asciiTheme="minorHAnsi" w:hAnsiTheme="minorHAnsi"/>
          <w:color w:val="231F20"/>
          <w:sz w:val="22"/>
          <w:szCs w:val="22"/>
        </w:rPr>
        <w:t xml:space="preserve"> </w:t>
      </w:r>
      <w:proofErr w:type="spellStart"/>
      <w:r w:rsidRPr="00BC609E">
        <w:rPr>
          <w:rFonts w:asciiTheme="minorHAnsi" w:hAnsiTheme="minorHAnsi"/>
          <w:color w:val="231F20"/>
          <w:sz w:val="22"/>
          <w:szCs w:val="22"/>
        </w:rPr>
        <w:t>setting</w:t>
      </w:r>
      <w:proofErr w:type="spellEnd"/>
      <w:r w:rsidRPr="00BC609E">
        <w:rPr>
          <w:rFonts w:asciiTheme="minorHAnsi" w:hAnsiTheme="minorHAnsi"/>
          <w:color w:val="231F20"/>
          <w:sz w:val="22"/>
          <w:szCs w:val="22"/>
        </w:rPr>
        <w:t xml:space="preserve"> [13].</w:t>
      </w:r>
    </w:p>
    <w:p w14:paraId="2E30F219" w14:textId="3E6EAB08" w:rsidR="003A79AA" w:rsidRPr="00BC609E" w:rsidRDefault="003A79AA" w:rsidP="008D588B">
      <w:pPr>
        <w:jc w:val="both"/>
        <w:rPr>
          <w:rFonts w:cs="Tahoma"/>
        </w:rPr>
      </w:pPr>
    </w:p>
    <w:p w14:paraId="36A438BA" w14:textId="552111A2" w:rsidR="000C09BF" w:rsidRPr="00BC609E" w:rsidRDefault="000C09BF" w:rsidP="008D588B">
      <w:pPr>
        <w:jc w:val="both"/>
        <w:rPr>
          <w:rFonts w:cs="Tahoma"/>
        </w:rPr>
      </w:pPr>
    </w:p>
    <w:p w14:paraId="70AE5A6D" w14:textId="13B940C4" w:rsidR="000C09BF" w:rsidRPr="00BC609E" w:rsidRDefault="000C09BF" w:rsidP="008D588B">
      <w:pPr>
        <w:jc w:val="both"/>
        <w:rPr>
          <w:rFonts w:cs="Tahoma"/>
          <w:b/>
          <w:bCs/>
        </w:rPr>
      </w:pPr>
      <w:proofErr w:type="spellStart"/>
      <w:r w:rsidRPr="00BC609E">
        <w:rPr>
          <w:rFonts w:cs="Tahoma"/>
          <w:b/>
          <w:bCs/>
        </w:rPr>
        <w:t>Medical</w:t>
      </w:r>
      <w:proofErr w:type="spellEnd"/>
      <w:r w:rsidRPr="00BC609E">
        <w:rPr>
          <w:rFonts w:cs="Tahoma"/>
          <w:b/>
          <w:bCs/>
        </w:rPr>
        <w:t xml:space="preserve"> SK</w:t>
      </w:r>
    </w:p>
    <w:p w14:paraId="376A3EEC" w14:textId="77777777" w:rsidR="000C09BF" w:rsidRPr="00BC609E" w:rsidRDefault="000C09BF" w:rsidP="000C09BF">
      <w:pPr>
        <w:pStyle w:val="Zkladntext"/>
        <w:spacing w:before="60" w:line="228" w:lineRule="auto"/>
        <w:ind w:left="110" w:right="54"/>
        <w:jc w:val="both"/>
        <w:rPr>
          <w:rFonts w:asciiTheme="minorHAnsi" w:hAnsiTheme="minorHAnsi"/>
          <w:sz w:val="22"/>
          <w:szCs w:val="22"/>
        </w:rPr>
      </w:pPr>
      <w:r w:rsidRPr="00BC609E">
        <w:rPr>
          <w:rFonts w:asciiTheme="minorHAnsi" w:hAnsiTheme="minorHAnsi"/>
          <w:color w:val="231F20"/>
          <w:sz w:val="22"/>
          <w:szCs w:val="22"/>
        </w:rPr>
        <w:t xml:space="preserve">V rovnakom klinickom centre teraz preukazujeme, že implementácia PC ošetreného </w:t>
      </w:r>
      <w:proofErr w:type="spellStart"/>
      <w:r w:rsidRPr="00BC609E">
        <w:rPr>
          <w:rFonts w:asciiTheme="minorHAnsi" w:hAnsiTheme="minorHAnsi"/>
          <w:color w:val="231F20"/>
          <w:sz w:val="22"/>
          <w:szCs w:val="22"/>
        </w:rPr>
        <w:t>amotosalenom</w:t>
      </w:r>
      <w:proofErr w:type="spellEnd"/>
      <w:r w:rsidRPr="00BC609E">
        <w:rPr>
          <w:rFonts w:asciiTheme="minorHAnsi" w:hAnsiTheme="minorHAnsi"/>
          <w:color w:val="231F20"/>
          <w:sz w:val="22"/>
          <w:szCs w:val="22"/>
        </w:rPr>
        <w:t xml:space="preserve"> / UVA nepriaznivo neovplyvnila  rýchlosť transfúzie za 1 a 7 dní, dĺžku pobytu a úmrtnosť u pacientov, ktorí dostávali MT, definovanú ako ≥1PC plus ≥10 RBC v jeden kalendárny deň. MT boli najčastejšie spojené s transplantáciou pečene a srdcovými a cievnymi operáciami v obidvoch obdobiach. Transplantácie pečene sú zvyčajne voliteľné postupy u pacientov so základnou </w:t>
      </w:r>
      <w:proofErr w:type="spellStart"/>
      <w:r w:rsidRPr="00BC609E">
        <w:rPr>
          <w:rFonts w:asciiTheme="minorHAnsi" w:hAnsiTheme="minorHAnsi"/>
          <w:color w:val="231F20"/>
          <w:sz w:val="22"/>
          <w:szCs w:val="22"/>
        </w:rPr>
        <w:t>koagulopatiou</w:t>
      </w:r>
      <w:proofErr w:type="spellEnd"/>
      <w:r w:rsidRPr="00BC609E">
        <w:rPr>
          <w:rFonts w:asciiTheme="minorHAnsi" w:hAnsiTheme="minorHAnsi"/>
          <w:color w:val="231F20"/>
          <w:sz w:val="22"/>
          <w:szCs w:val="22"/>
        </w:rPr>
        <w:t xml:space="preserve"> spojenou s dysfunkciou pečene. Aj keď pri väčšine transplantácií pečenie nie je MT vyžadovaná  [13], </w:t>
      </w:r>
      <w:r w:rsidRPr="00BC609E">
        <w:rPr>
          <w:rFonts w:asciiTheme="minorHAnsi" w:hAnsiTheme="minorHAnsi"/>
          <w:sz w:val="22"/>
          <w:szCs w:val="22"/>
        </w:rPr>
        <w:t>nevyhnutné ve</w:t>
      </w:r>
      <w:r w:rsidRPr="00BC609E">
        <w:rPr>
          <w:rFonts w:asciiTheme="minorHAnsi" w:hAnsiTheme="minorHAnsi" w:cs="Cambria"/>
          <w:sz w:val="22"/>
          <w:szCs w:val="22"/>
        </w:rPr>
        <w:t>ľ</w:t>
      </w:r>
      <w:r w:rsidRPr="00BC609E">
        <w:rPr>
          <w:rFonts w:asciiTheme="minorHAnsi" w:hAnsiTheme="minorHAnsi"/>
          <w:sz w:val="22"/>
          <w:szCs w:val="22"/>
        </w:rPr>
        <w:t xml:space="preserve">ké vaskulárne </w:t>
      </w:r>
      <w:proofErr w:type="spellStart"/>
      <w:r w:rsidRPr="00BC609E">
        <w:rPr>
          <w:rFonts w:asciiTheme="minorHAnsi" w:hAnsiTheme="minorHAnsi"/>
          <w:sz w:val="22"/>
          <w:szCs w:val="22"/>
        </w:rPr>
        <w:t>anastomózy</w:t>
      </w:r>
      <w:proofErr w:type="spellEnd"/>
      <w:r w:rsidRPr="00BC609E">
        <w:rPr>
          <w:rFonts w:asciiTheme="minorHAnsi" w:hAnsiTheme="minorHAnsi"/>
          <w:sz w:val="22"/>
          <w:szCs w:val="22"/>
        </w:rPr>
        <w:t xml:space="preserve"> a nevyhnutná </w:t>
      </w:r>
      <w:proofErr w:type="spellStart"/>
      <w:r w:rsidRPr="00BC609E">
        <w:rPr>
          <w:rFonts w:asciiTheme="minorHAnsi" w:hAnsiTheme="minorHAnsi"/>
          <w:sz w:val="22"/>
          <w:szCs w:val="22"/>
        </w:rPr>
        <w:t>exacerbácia</w:t>
      </w:r>
      <w:proofErr w:type="spellEnd"/>
      <w:r w:rsidRPr="00BC609E">
        <w:rPr>
          <w:rFonts w:asciiTheme="minorHAnsi" w:hAnsiTheme="minorHAnsi"/>
          <w:sz w:val="22"/>
          <w:szCs w:val="22"/>
        </w:rPr>
        <w:t xml:space="preserve"> </w:t>
      </w:r>
      <w:proofErr w:type="spellStart"/>
      <w:r w:rsidRPr="00BC609E">
        <w:rPr>
          <w:rFonts w:asciiTheme="minorHAnsi" w:hAnsiTheme="minorHAnsi"/>
          <w:sz w:val="22"/>
          <w:szCs w:val="22"/>
        </w:rPr>
        <w:t>koagulopatie</w:t>
      </w:r>
      <w:proofErr w:type="spellEnd"/>
      <w:r w:rsidRPr="00BC609E">
        <w:rPr>
          <w:rFonts w:asciiTheme="minorHAnsi" w:hAnsiTheme="minorHAnsi"/>
          <w:sz w:val="22"/>
          <w:szCs w:val="22"/>
        </w:rPr>
        <w:t xml:space="preserve"> súvisiaca s </w:t>
      </w:r>
      <w:proofErr w:type="spellStart"/>
      <w:r w:rsidRPr="00BC609E">
        <w:rPr>
          <w:rFonts w:asciiTheme="minorHAnsi" w:hAnsiTheme="minorHAnsi"/>
          <w:sz w:val="22"/>
          <w:szCs w:val="22"/>
        </w:rPr>
        <w:t>anhepatickou</w:t>
      </w:r>
      <w:proofErr w:type="spellEnd"/>
      <w:r w:rsidRPr="00BC609E">
        <w:rPr>
          <w:rFonts w:asciiTheme="minorHAnsi" w:hAnsiTheme="minorHAnsi"/>
          <w:sz w:val="22"/>
          <w:szCs w:val="22"/>
        </w:rPr>
        <w:t xml:space="preserve"> fázou transplanta</w:t>
      </w:r>
      <w:r w:rsidRPr="00BC609E">
        <w:rPr>
          <w:rFonts w:asciiTheme="minorHAnsi" w:hAnsiTheme="minorHAnsi" w:cs="Cambria"/>
          <w:sz w:val="22"/>
          <w:szCs w:val="22"/>
        </w:rPr>
        <w:t>č</w:t>
      </w:r>
      <w:r w:rsidRPr="00BC609E">
        <w:rPr>
          <w:rFonts w:asciiTheme="minorHAnsi" w:hAnsiTheme="minorHAnsi"/>
          <w:sz w:val="22"/>
          <w:szCs w:val="22"/>
        </w:rPr>
        <w:t>nej chirurgie spôsobujú u pacientov vysoké riziko nadmerného krvácania.</w:t>
      </w:r>
      <w:r w:rsidRPr="00BC609E">
        <w:rPr>
          <w:rFonts w:asciiTheme="minorHAnsi" w:hAnsiTheme="minorHAnsi"/>
          <w:color w:val="231F20"/>
          <w:sz w:val="22"/>
          <w:szCs w:val="22"/>
        </w:rPr>
        <w:t xml:space="preserve">  Zatia</w:t>
      </w:r>
      <w:r w:rsidRPr="00BC609E">
        <w:rPr>
          <w:rFonts w:asciiTheme="minorHAnsi" w:hAnsiTheme="minorHAnsi" w:cs="Cambria"/>
          <w:color w:val="231F20"/>
          <w:sz w:val="22"/>
          <w:szCs w:val="22"/>
        </w:rPr>
        <w:t>ľ</w:t>
      </w:r>
      <w:r w:rsidRPr="00BC609E">
        <w:rPr>
          <w:rFonts w:asciiTheme="minorHAnsi" w:hAnsiTheme="minorHAnsi"/>
          <w:color w:val="231F20"/>
          <w:sz w:val="22"/>
          <w:szCs w:val="22"/>
        </w:rPr>
        <w:t xml:space="preserve"> </w:t>
      </w:r>
      <w:r w:rsidRPr="00BC609E">
        <w:rPr>
          <w:rFonts w:asciiTheme="minorHAnsi" w:hAnsiTheme="minorHAnsi" w:cs="Cambria"/>
          <w:color w:val="231F20"/>
          <w:sz w:val="22"/>
          <w:szCs w:val="22"/>
        </w:rPr>
        <w:t>č</w:t>
      </w:r>
      <w:r w:rsidRPr="00BC609E">
        <w:rPr>
          <w:rFonts w:asciiTheme="minorHAnsi" w:hAnsiTheme="minorHAnsi"/>
          <w:color w:val="231F20"/>
          <w:sz w:val="22"/>
          <w:szCs w:val="22"/>
        </w:rPr>
        <w:t>o plazmatická transfúzia je rozhodujúca pre nahradenie koagula</w:t>
      </w:r>
      <w:r w:rsidRPr="00BC609E">
        <w:rPr>
          <w:rFonts w:asciiTheme="minorHAnsi" w:hAnsiTheme="minorHAnsi" w:cs="Cambria"/>
          <w:color w:val="231F20"/>
          <w:sz w:val="22"/>
          <w:szCs w:val="22"/>
        </w:rPr>
        <w:t>č</w:t>
      </w:r>
      <w:r w:rsidRPr="00BC609E">
        <w:rPr>
          <w:rFonts w:asciiTheme="minorHAnsi" w:hAnsiTheme="minorHAnsi"/>
          <w:color w:val="231F20"/>
          <w:sz w:val="22"/>
          <w:szCs w:val="22"/>
        </w:rPr>
        <w:t>ných faktorov syntetizovaných v pe</w:t>
      </w:r>
      <w:r w:rsidRPr="00BC609E">
        <w:rPr>
          <w:rFonts w:asciiTheme="minorHAnsi" w:hAnsiTheme="minorHAnsi" w:cs="Cambria"/>
          <w:color w:val="231F20"/>
          <w:sz w:val="22"/>
          <w:szCs w:val="22"/>
        </w:rPr>
        <w:t>č</w:t>
      </w:r>
      <w:r w:rsidRPr="00BC609E">
        <w:rPr>
          <w:rFonts w:asciiTheme="minorHAnsi" w:hAnsiTheme="minorHAnsi"/>
          <w:color w:val="231F20"/>
          <w:sz w:val="22"/>
          <w:szCs w:val="22"/>
        </w:rPr>
        <w:t>eni, krvné došti</w:t>
      </w:r>
      <w:r w:rsidRPr="00BC609E">
        <w:rPr>
          <w:rFonts w:asciiTheme="minorHAnsi" w:hAnsiTheme="minorHAnsi" w:cs="Cambria"/>
          <w:color w:val="231F20"/>
          <w:sz w:val="22"/>
          <w:szCs w:val="22"/>
        </w:rPr>
        <w:t>č</w:t>
      </w:r>
      <w:r w:rsidRPr="00BC609E">
        <w:rPr>
          <w:rFonts w:asciiTheme="minorHAnsi" w:hAnsiTheme="minorHAnsi"/>
          <w:color w:val="231F20"/>
          <w:sz w:val="22"/>
          <w:szCs w:val="22"/>
        </w:rPr>
        <w:t>ky tie</w:t>
      </w:r>
      <w:r w:rsidRPr="00BC609E">
        <w:rPr>
          <w:rFonts w:asciiTheme="minorHAnsi" w:hAnsiTheme="minorHAnsi" w:cs="Cambria"/>
          <w:color w:val="231F20"/>
          <w:sz w:val="22"/>
          <w:szCs w:val="22"/>
        </w:rPr>
        <w:t>ž</w:t>
      </w:r>
      <w:r w:rsidRPr="00BC609E">
        <w:rPr>
          <w:rFonts w:asciiTheme="minorHAnsi" w:hAnsiTheme="minorHAnsi"/>
          <w:color w:val="231F20"/>
          <w:sz w:val="22"/>
          <w:szCs w:val="22"/>
        </w:rPr>
        <w:t xml:space="preserve"> hrajú dôle</w:t>
      </w:r>
      <w:r w:rsidRPr="00BC609E">
        <w:rPr>
          <w:rFonts w:asciiTheme="minorHAnsi" w:hAnsiTheme="minorHAnsi" w:cs="Cambria"/>
          <w:color w:val="231F20"/>
          <w:sz w:val="22"/>
          <w:szCs w:val="22"/>
        </w:rPr>
        <w:t>ž</w:t>
      </w:r>
      <w:r w:rsidRPr="00BC609E">
        <w:rPr>
          <w:rFonts w:asciiTheme="minorHAnsi" w:hAnsiTheme="minorHAnsi"/>
          <w:color w:val="231F20"/>
          <w:sz w:val="22"/>
          <w:szCs w:val="22"/>
        </w:rPr>
        <w:t xml:space="preserve">itú úlohu pri dosahovaní </w:t>
      </w:r>
      <w:proofErr w:type="spellStart"/>
      <w:r w:rsidRPr="00BC609E">
        <w:rPr>
          <w:rFonts w:asciiTheme="minorHAnsi" w:hAnsiTheme="minorHAnsi"/>
          <w:color w:val="231F20"/>
          <w:sz w:val="22"/>
          <w:szCs w:val="22"/>
        </w:rPr>
        <w:t>hemostázy</w:t>
      </w:r>
      <w:proofErr w:type="spellEnd"/>
      <w:r w:rsidRPr="00BC609E">
        <w:rPr>
          <w:rFonts w:asciiTheme="minorHAnsi" w:hAnsiTheme="minorHAnsi"/>
          <w:color w:val="231F20"/>
          <w:sz w:val="22"/>
          <w:szCs w:val="22"/>
        </w:rPr>
        <w:t>. Nízka celková miera úmrtnosti v nemocnici [4/93 pacientov (4,3%)] napriek potrebe MT odrá</w:t>
      </w:r>
      <w:r w:rsidRPr="00BC609E">
        <w:rPr>
          <w:rFonts w:asciiTheme="minorHAnsi" w:hAnsiTheme="minorHAnsi" w:cs="Cambria"/>
          <w:color w:val="231F20"/>
          <w:sz w:val="22"/>
          <w:szCs w:val="22"/>
        </w:rPr>
        <w:t>ž</w:t>
      </w:r>
      <w:r w:rsidRPr="00BC609E">
        <w:rPr>
          <w:rFonts w:asciiTheme="minorHAnsi" w:hAnsiTheme="minorHAnsi"/>
          <w:color w:val="231F20"/>
          <w:sz w:val="22"/>
          <w:szCs w:val="22"/>
        </w:rPr>
        <w:t xml:space="preserve">a </w:t>
      </w:r>
      <w:proofErr w:type="spellStart"/>
      <w:r w:rsidRPr="00BC609E">
        <w:rPr>
          <w:rFonts w:asciiTheme="minorHAnsi" w:hAnsiTheme="minorHAnsi"/>
          <w:color w:val="231F20"/>
          <w:sz w:val="22"/>
          <w:szCs w:val="22"/>
        </w:rPr>
        <w:t>elektívnu</w:t>
      </w:r>
      <w:proofErr w:type="spellEnd"/>
      <w:r w:rsidRPr="00BC609E">
        <w:rPr>
          <w:rFonts w:asciiTheme="minorHAnsi" w:hAnsiTheme="minorHAnsi"/>
          <w:color w:val="231F20"/>
          <w:sz w:val="22"/>
          <w:szCs w:val="22"/>
        </w:rPr>
        <w:t xml:space="preserve"> povahu operácie transplantácie pe</w:t>
      </w:r>
      <w:r w:rsidRPr="00BC609E">
        <w:rPr>
          <w:rFonts w:asciiTheme="minorHAnsi" w:hAnsiTheme="minorHAnsi" w:cs="Cambria"/>
          <w:color w:val="231F20"/>
          <w:sz w:val="22"/>
          <w:szCs w:val="22"/>
        </w:rPr>
        <w:t>č</w:t>
      </w:r>
      <w:r w:rsidRPr="00BC609E">
        <w:rPr>
          <w:rFonts w:asciiTheme="minorHAnsi" w:hAnsiTheme="minorHAnsi"/>
          <w:color w:val="231F20"/>
          <w:sz w:val="22"/>
          <w:szCs w:val="22"/>
        </w:rPr>
        <w:t>ene a hovorí o ú</w:t>
      </w:r>
      <w:r w:rsidRPr="00BC609E">
        <w:rPr>
          <w:rFonts w:asciiTheme="minorHAnsi" w:hAnsiTheme="minorHAnsi" w:cs="Cambria"/>
          <w:color w:val="231F20"/>
          <w:sz w:val="22"/>
          <w:szCs w:val="22"/>
        </w:rPr>
        <w:t>č</w:t>
      </w:r>
      <w:r w:rsidRPr="00BC609E">
        <w:rPr>
          <w:rFonts w:asciiTheme="minorHAnsi" w:hAnsiTheme="minorHAnsi"/>
          <w:color w:val="231F20"/>
          <w:sz w:val="22"/>
          <w:szCs w:val="22"/>
        </w:rPr>
        <w:t>innosti stratégií masívnej transfúzie, ktoré teraz zah</w:t>
      </w:r>
      <w:r w:rsidRPr="00BC609E">
        <w:rPr>
          <w:rFonts w:asciiTheme="minorHAnsi" w:hAnsiTheme="minorHAnsi" w:cs="Cambria"/>
          <w:color w:val="231F20"/>
          <w:sz w:val="22"/>
          <w:szCs w:val="22"/>
        </w:rPr>
        <w:t>ŕň</w:t>
      </w:r>
      <w:r w:rsidRPr="00BC609E">
        <w:rPr>
          <w:rFonts w:asciiTheme="minorHAnsi" w:hAnsiTheme="minorHAnsi"/>
          <w:color w:val="231F20"/>
          <w:sz w:val="22"/>
          <w:szCs w:val="22"/>
        </w:rPr>
        <w:t>ajú PC so zní</w:t>
      </w:r>
      <w:r w:rsidRPr="00BC609E">
        <w:rPr>
          <w:rFonts w:asciiTheme="minorHAnsi" w:hAnsiTheme="minorHAnsi" w:cs="Cambria"/>
          <w:color w:val="231F20"/>
          <w:sz w:val="22"/>
          <w:szCs w:val="22"/>
        </w:rPr>
        <w:t>ž</w:t>
      </w:r>
      <w:r w:rsidRPr="00BC609E">
        <w:rPr>
          <w:rFonts w:asciiTheme="minorHAnsi" w:hAnsiTheme="minorHAnsi"/>
          <w:color w:val="231F20"/>
          <w:sz w:val="22"/>
          <w:szCs w:val="22"/>
        </w:rPr>
        <w:t xml:space="preserve">eným obsahom patogénov. Podobná štúdia predtým preukázala, </w:t>
      </w:r>
      <w:r w:rsidRPr="00BC609E">
        <w:rPr>
          <w:rFonts w:asciiTheme="minorHAnsi" w:hAnsiTheme="minorHAnsi" w:cs="Cambria"/>
          <w:color w:val="231F20"/>
          <w:sz w:val="22"/>
          <w:szCs w:val="22"/>
        </w:rPr>
        <w:t>ž</w:t>
      </w:r>
      <w:r w:rsidRPr="00BC609E">
        <w:rPr>
          <w:rFonts w:asciiTheme="minorHAnsi" w:hAnsiTheme="minorHAnsi"/>
          <w:color w:val="231F20"/>
          <w:sz w:val="22"/>
          <w:szCs w:val="22"/>
        </w:rPr>
        <w:t xml:space="preserve">e plazma ošetrená  </w:t>
      </w:r>
      <w:proofErr w:type="spellStart"/>
      <w:r w:rsidRPr="00BC609E">
        <w:rPr>
          <w:rFonts w:asciiTheme="minorHAnsi" w:hAnsiTheme="minorHAnsi"/>
          <w:color w:val="231F20"/>
          <w:sz w:val="22"/>
          <w:szCs w:val="22"/>
        </w:rPr>
        <w:t>amotosalenom</w:t>
      </w:r>
      <w:proofErr w:type="spellEnd"/>
      <w:r w:rsidRPr="00BC609E">
        <w:rPr>
          <w:rFonts w:asciiTheme="minorHAnsi" w:hAnsiTheme="minorHAnsi"/>
          <w:color w:val="231F20"/>
          <w:sz w:val="22"/>
          <w:szCs w:val="22"/>
        </w:rPr>
        <w:t xml:space="preserve"> / UVA bola pri transplantácii pe</w:t>
      </w:r>
      <w:r w:rsidRPr="00BC609E">
        <w:rPr>
          <w:rFonts w:asciiTheme="minorHAnsi" w:hAnsiTheme="minorHAnsi" w:cs="Cambria"/>
          <w:color w:val="231F20"/>
          <w:sz w:val="22"/>
          <w:szCs w:val="22"/>
        </w:rPr>
        <w:t>č</w:t>
      </w:r>
      <w:r w:rsidRPr="00BC609E">
        <w:rPr>
          <w:rFonts w:asciiTheme="minorHAnsi" w:hAnsiTheme="minorHAnsi"/>
          <w:color w:val="231F20"/>
          <w:sz w:val="22"/>
          <w:szCs w:val="22"/>
        </w:rPr>
        <w:t>ene rovnocenná s konven</w:t>
      </w:r>
      <w:r w:rsidRPr="00BC609E">
        <w:rPr>
          <w:rFonts w:asciiTheme="minorHAnsi" w:hAnsiTheme="minorHAnsi" w:cs="Cambria"/>
          <w:color w:val="231F20"/>
          <w:sz w:val="22"/>
          <w:szCs w:val="22"/>
        </w:rPr>
        <w:t>č</w:t>
      </w:r>
      <w:r w:rsidRPr="00BC609E">
        <w:rPr>
          <w:rFonts w:asciiTheme="minorHAnsi" w:hAnsiTheme="minorHAnsi"/>
          <w:color w:val="231F20"/>
          <w:sz w:val="22"/>
          <w:szCs w:val="22"/>
        </w:rPr>
        <w:t>nou plazmou [13].</w:t>
      </w:r>
    </w:p>
    <w:p w14:paraId="44F64963" w14:textId="77777777" w:rsidR="000C09BF" w:rsidRPr="00BC609E" w:rsidRDefault="000C09BF" w:rsidP="008D588B">
      <w:pPr>
        <w:jc w:val="both"/>
        <w:rPr>
          <w:rFonts w:cs="Tahoma"/>
        </w:rPr>
      </w:pPr>
    </w:p>
    <w:p w14:paraId="1974795B" w14:textId="77777777" w:rsidR="00083680" w:rsidRPr="00BC609E" w:rsidRDefault="00083680" w:rsidP="008D588B">
      <w:pPr>
        <w:jc w:val="both"/>
        <w:rPr>
          <w:rFonts w:cs="Tahoma"/>
        </w:rPr>
      </w:pPr>
    </w:p>
    <w:p w14:paraId="1C52E30C" w14:textId="77777777" w:rsidR="00083680" w:rsidRPr="00BC609E" w:rsidRDefault="00083680" w:rsidP="008D588B">
      <w:pPr>
        <w:jc w:val="both"/>
        <w:rPr>
          <w:rFonts w:cs="Tahoma"/>
        </w:rPr>
      </w:pPr>
    </w:p>
    <w:p w14:paraId="668B0CA6" w14:textId="77777777" w:rsidR="00083680" w:rsidRPr="00BC609E" w:rsidRDefault="00083680" w:rsidP="008D588B">
      <w:pPr>
        <w:jc w:val="both"/>
        <w:rPr>
          <w:rFonts w:cs="Tahoma"/>
        </w:rPr>
      </w:pPr>
    </w:p>
    <w:p w14:paraId="31571082" w14:textId="77777777" w:rsidR="00083680" w:rsidRPr="00BC609E" w:rsidRDefault="00083680" w:rsidP="008D588B">
      <w:pPr>
        <w:jc w:val="both"/>
        <w:rPr>
          <w:rFonts w:cs="Tahoma"/>
        </w:rPr>
      </w:pPr>
    </w:p>
    <w:p w14:paraId="37A042F3" w14:textId="77777777" w:rsidR="00083680" w:rsidRPr="00BC609E" w:rsidRDefault="00083680" w:rsidP="008D588B">
      <w:pPr>
        <w:jc w:val="both"/>
        <w:rPr>
          <w:rFonts w:cs="Tahoma"/>
        </w:rPr>
      </w:pPr>
    </w:p>
    <w:p w14:paraId="083DCF55" w14:textId="77777777" w:rsidR="00083680" w:rsidRPr="00BC609E" w:rsidRDefault="00083680" w:rsidP="008D588B">
      <w:pPr>
        <w:jc w:val="both"/>
        <w:rPr>
          <w:rFonts w:cs="Tahoma"/>
        </w:rPr>
      </w:pPr>
    </w:p>
    <w:p w14:paraId="452A6D8A" w14:textId="77777777" w:rsidR="00083680" w:rsidRPr="00BC609E" w:rsidRDefault="00083680" w:rsidP="008D588B">
      <w:pPr>
        <w:jc w:val="both"/>
        <w:rPr>
          <w:rFonts w:cs="Tahoma"/>
        </w:rPr>
      </w:pPr>
    </w:p>
    <w:p w14:paraId="67072189" w14:textId="77777777" w:rsidR="00083680" w:rsidRPr="00BC609E" w:rsidRDefault="00083680" w:rsidP="008D588B">
      <w:pPr>
        <w:jc w:val="both"/>
        <w:rPr>
          <w:rFonts w:cs="Tahoma"/>
        </w:rPr>
      </w:pPr>
    </w:p>
    <w:p w14:paraId="310740EE" w14:textId="6B41C983" w:rsidR="00EA79AC" w:rsidRPr="00BC609E" w:rsidRDefault="00083680" w:rsidP="008D588B">
      <w:pPr>
        <w:jc w:val="both"/>
        <w:rPr>
          <w:rFonts w:cs="Tahoma"/>
          <w:b/>
          <w:bCs/>
        </w:rPr>
      </w:pPr>
      <w:r w:rsidRPr="00BC609E">
        <w:rPr>
          <w:rFonts w:cs="Tahoma"/>
          <w:b/>
          <w:bCs/>
        </w:rPr>
        <w:lastRenderedPageBreak/>
        <w:t xml:space="preserve">Marketing, </w:t>
      </w:r>
      <w:proofErr w:type="spellStart"/>
      <w:r w:rsidRPr="00BC609E">
        <w:rPr>
          <w:rFonts w:cs="Tahoma"/>
          <w:b/>
          <w:bCs/>
        </w:rPr>
        <w:t>other</w:t>
      </w:r>
      <w:proofErr w:type="spellEnd"/>
      <w:r w:rsidRPr="00BC609E">
        <w:rPr>
          <w:rFonts w:cs="Tahoma"/>
          <w:b/>
          <w:bCs/>
        </w:rPr>
        <w:t xml:space="preserve"> EN</w:t>
      </w:r>
    </w:p>
    <w:p w14:paraId="7902DD39" w14:textId="77777777" w:rsidR="00A62C6B" w:rsidRPr="00BC609E" w:rsidRDefault="00A62C6B" w:rsidP="00A62C6B">
      <w:pPr>
        <w:jc w:val="both"/>
        <w:rPr>
          <w:rFonts w:cs="Tahoma"/>
        </w:rPr>
      </w:pPr>
      <w:r w:rsidRPr="00BC609E">
        <w:rPr>
          <w:rFonts w:cs="Tahoma"/>
          <w:lang w:val="en-US"/>
        </w:rPr>
        <w:t>Every attendant must register himself before the event.</w:t>
      </w:r>
    </w:p>
    <w:p w14:paraId="7DEDCF8F" w14:textId="554C0BBF" w:rsidR="00A62C6B" w:rsidRPr="00BC609E" w:rsidRDefault="00A62C6B" w:rsidP="00A62C6B">
      <w:pPr>
        <w:jc w:val="both"/>
        <w:rPr>
          <w:rFonts w:cs="Tahoma"/>
        </w:rPr>
      </w:pPr>
      <w:r w:rsidRPr="00BC609E">
        <w:rPr>
          <w:rFonts w:cs="Tahoma"/>
          <w:lang w:val="en-US"/>
        </w:rPr>
        <w:t xml:space="preserve">Registration would be different this year. There would be 10 hostesses at your service and every employee must have his </w:t>
      </w:r>
      <w:r w:rsidRPr="00BC609E">
        <w:rPr>
          <w:rFonts w:cs="Tahoma"/>
          <w:b/>
          <w:bCs/>
          <w:lang w:val="en-US"/>
        </w:rPr>
        <w:t xml:space="preserve">employee card, </w:t>
      </w:r>
      <w:r w:rsidRPr="00BC609E">
        <w:rPr>
          <w:rFonts w:cs="Tahoma"/>
          <w:lang w:val="en-US"/>
        </w:rPr>
        <w:t xml:space="preserve">which the hostess would register with a reader. </w:t>
      </w:r>
    </w:p>
    <w:p w14:paraId="2740AAE5" w14:textId="77777777" w:rsidR="00A62C6B" w:rsidRPr="00BC609E" w:rsidRDefault="00A62C6B" w:rsidP="00A62C6B">
      <w:pPr>
        <w:jc w:val="both"/>
        <w:rPr>
          <w:rFonts w:cs="Tahoma"/>
        </w:rPr>
      </w:pPr>
      <w:r w:rsidRPr="00BC609E">
        <w:rPr>
          <w:rFonts w:cs="Tahoma"/>
          <w:lang w:val="en-US"/>
        </w:rPr>
        <w:t xml:space="preserve">The hostess would immediately know to which </w:t>
      </w:r>
      <w:r w:rsidRPr="00BC609E">
        <w:rPr>
          <w:rFonts w:cs="Tahoma"/>
          <w:b/>
          <w:bCs/>
          <w:lang w:val="en-US"/>
        </w:rPr>
        <w:t>team</w:t>
      </w:r>
      <w:r w:rsidRPr="00BC609E">
        <w:rPr>
          <w:rFonts w:cs="Tahoma"/>
          <w:lang w:val="en-US"/>
        </w:rPr>
        <w:t xml:space="preserve"> the employee </w:t>
      </w:r>
      <w:r w:rsidRPr="00BC609E">
        <w:rPr>
          <w:rFonts w:cs="Tahoma"/>
          <w:b/>
          <w:bCs/>
          <w:lang w:val="en-US"/>
        </w:rPr>
        <w:t>is assigned</w:t>
      </w:r>
      <w:r w:rsidRPr="00BC609E">
        <w:rPr>
          <w:rFonts w:cs="Tahoma"/>
          <w:lang w:val="en-US"/>
        </w:rPr>
        <w:t xml:space="preserve">, the </w:t>
      </w:r>
      <w:r w:rsidRPr="00BC609E">
        <w:rPr>
          <w:rFonts w:cs="Tahoma"/>
          <w:b/>
          <w:bCs/>
          <w:lang w:val="en-US"/>
        </w:rPr>
        <w:t xml:space="preserve">number of his pack </w:t>
      </w:r>
      <w:r w:rsidRPr="00BC609E">
        <w:rPr>
          <w:rFonts w:cs="Tahoma"/>
          <w:lang w:val="en-US"/>
        </w:rPr>
        <w:t xml:space="preserve">and the </w:t>
      </w:r>
      <w:r w:rsidRPr="00BC609E">
        <w:rPr>
          <w:rFonts w:cs="Tahoma"/>
          <w:b/>
          <w:bCs/>
          <w:lang w:val="en-US"/>
        </w:rPr>
        <w:t xml:space="preserve">size of T-shirt </w:t>
      </w:r>
      <w:r w:rsidRPr="00BC609E">
        <w:rPr>
          <w:rFonts w:cs="Tahoma"/>
          <w:lang w:val="en-US"/>
        </w:rPr>
        <w:t>(which would be ready one day in advance) and would provide him with the pack</w:t>
      </w:r>
      <w:r w:rsidRPr="00BC609E">
        <w:rPr>
          <w:rFonts w:cs="Tahoma"/>
        </w:rPr>
        <w:t xml:space="preserve">, </w:t>
      </w:r>
      <w:r w:rsidRPr="00BC609E">
        <w:rPr>
          <w:rFonts w:cs="Tahoma"/>
          <w:lang w:val="en-US"/>
        </w:rPr>
        <w:t>the T-shirt, program and map of the areal.</w:t>
      </w:r>
    </w:p>
    <w:p w14:paraId="76E8D619" w14:textId="77777777" w:rsidR="00A62C6B" w:rsidRPr="00BC609E" w:rsidRDefault="00A62C6B" w:rsidP="00A62C6B">
      <w:pPr>
        <w:jc w:val="both"/>
        <w:rPr>
          <w:rFonts w:cs="Tahoma"/>
        </w:rPr>
      </w:pPr>
      <w:r w:rsidRPr="00BC609E">
        <w:rPr>
          <w:rFonts w:cs="Tahoma"/>
          <w:lang w:val="en-US"/>
        </w:rPr>
        <w:t>After the registration would the guest go to the reception, where he</w:t>
      </w:r>
      <w:r w:rsidRPr="00BC609E">
        <w:rPr>
          <w:rFonts w:cs="Tahoma"/>
        </w:rPr>
        <w:t xml:space="preserve"> </w:t>
      </w:r>
      <w:r w:rsidRPr="00BC609E">
        <w:rPr>
          <w:rFonts w:cs="Tahoma"/>
          <w:lang w:val="en-US"/>
        </w:rPr>
        <w:t>would check in, take lodgings and get a bracelet.</w:t>
      </w:r>
    </w:p>
    <w:p w14:paraId="335E9461" w14:textId="616B90E0" w:rsidR="00083680" w:rsidRPr="00BC609E" w:rsidRDefault="00A62C6B" w:rsidP="00A62C6B">
      <w:pPr>
        <w:jc w:val="both"/>
        <w:rPr>
          <w:rFonts w:cs="Tahoma"/>
        </w:rPr>
      </w:pPr>
      <w:r w:rsidRPr="00BC609E">
        <w:rPr>
          <w:rFonts w:cs="Tahoma"/>
          <w:lang w:val="en-US"/>
        </w:rPr>
        <w:t>Registration must align with X, because there were some problems last year and we want everything to be faster and trouble-free this year.</w:t>
      </w:r>
    </w:p>
    <w:p w14:paraId="06E0494B" w14:textId="77777777" w:rsidR="00EA79AC" w:rsidRPr="00BC609E" w:rsidRDefault="00EA79AC" w:rsidP="008D588B">
      <w:pPr>
        <w:jc w:val="both"/>
        <w:rPr>
          <w:rFonts w:cs="Tahoma"/>
        </w:rPr>
      </w:pPr>
    </w:p>
    <w:p w14:paraId="54CEB67C" w14:textId="6BED15A4" w:rsidR="00185825" w:rsidRPr="00BC609E" w:rsidRDefault="00896365" w:rsidP="00185825">
      <w:pPr>
        <w:rPr>
          <w:rFonts w:cs="Tahoma"/>
          <w:b/>
          <w:bCs/>
          <w:color w:val="000000" w:themeColor="text1"/>
          <w:lang w:val="en-US"/>
        </w:rPr>
      </w:pPr>
      <w:r w:rsidRPr="00BC609E">
        <w:rPr>
          <w:rFonts w:cs="Tahoma"/>
          <w:b/>
          <w:bCs/>
          <w:color w:val="000000" w:themeColor="text1"/>
          <w:lang w:val="en-US"/>
        </w:rPr>
        <w:t>Marketing, other SK</w:t>
      </w:r>
      <w:r w:rsidR="00BC609E">
        <w:rPr>
          <w:rFonts w:cs="Tahoma"/>
          <w:b/>
          <w:bCs/>
          <w:color w:val="000000" w:themeColor="text1"/>
          <w:lang w:val="en-US"/>
        </w:rPr>
        <w:t xml:space="preserve"> (source in SK)</w:t>
      </w:r>
    </w:p>
    <w:p w14:paraId="6865A538" w14:textId="77777777" w:rsidR="00896365" w:rsidRPr="00BC609E" w:rsidRDefault="00896365" w:rsidP="00896365">
      <w:pPr>
        <w:rPr>
          <w:rFonts w:cs="Tahoma"/>
          <w:color w:val="000000" w:themeColor="text1"/>
        </w:rPr>
      </w:pPr>
      <w:r w:rsidRPr="00BC609E">
        <w:rPr>
          <w:rFonts w:cs="Tahoma"/>
          <w:color w:val="000000" w:themeColor="text1"/>
        </w:rPr>
        <w:t xml:space="preserve">Každý účastník sa musí prísť pred podujatím zaregistrovať. Registrácia bude tento rok prebiehať iným spôsobom. K dispozícii bude 10 hostesiek a každý účastník bude musieť mať pri sebe svoju </w:t>
      </w:r>
      <w:r w:rsidRPr="00BC609E">
        <w:rPr>
          <w:rFonts w:cs="Tahoma"/>
          <w:b/>
          <w:bCs/>
          <w:color w:val="000000" w:themeColor="text1"/>
        </w:rPr>
        <w:t>zamestnaneckú kartu</w:t>
      </w:r>
      <w:r w:rsidRPr="00BC609E">
        <w:rPr>
          <w:rFonts w:cs="Tahoma"/>
          <w:color w:val="000000" w:themeColor="text1"/>
        </w:rPr>
        <w:t xml:space="preserve">, ktorú hostesky načítajú pomocou </w:t>
      </w:r>
      <w:r w:rsidRPr="00BC609E">
        <w:rPr>
          <w:rFonts w:cs="Tahoma"/>
          <w:b/>
          <w:bCs/>
          <w:color w:val="000000" w:themeColor="text1"/>
        </w:rPr>
        <w:t>čítačky</w:t>
      </w:r>
      <w:r w:rsidRPr="00BC609E">
        <w:rPr>
          <w:rFonts w:cs="Tahoma"/>
          <w:color w:val="000000" w:themeColor="text1"/>
        </w:rPr>
        <w:t xml:space="preserve">. </w:t>
      </w:r>
    </w:p>
    <w:p w14:paraId="1E803C86" w14:textId="585CE5B4" w:rsidR="00896365" w:rsidRPr="00BC609E" w:rsidRDefault="00896365" w:rsidP="00896365">
      <w:pPr>
        <w:rPr>
          <w:rFonts w:cs="Tahoma"/>
          <w:color w:val="000000" w:themeColor="text1"/>
        </w:rPr>
      </w:pPr>
      <w:r w:rsidRPr="00BC609E">
        <w:rPr>
          <w:rFonts w:cs="Tahoma"/>
          <w:color w:val="000000" w:themeColor="text1"/>
        </w:rPr>
        <w:t xml:space="preserve">Hosteska bude okamžite vidieť do ktorého </w:t>
      </w:r>
      <w:r w:rsidRPr="00BC609E">
        <w:rPr>
          <w:rFonts w:cs="Tahoma"/>
          <w:b/>
          <w:bCs/>
          <w:color w:val="000000" w:themeColor="text1"/>
        </w:rPr>
        <w:t xml:space="preserve">tímu patrí, </w:t>
      </w:r>
      <w:r w:rsidRPr="00BC609E">
        <w:rPr>
          <w:rFonts w:cs="Tahoma"/>
          <w:color w:val="000000" w:themeColor="text1"/>
        </w:rPr>
        <w:t xml:space="preserve">aké má </w:t>
      </w:r>
      <w:r w:rsidRPr="00BC609E">
        <w:rPr>
          <w:rFonts w:cs="Tahoma"/>
          <w:b/>
          <w:bCs/>
          <w:color w:val="000000" w:themeColor="text1"/>
        </w:rPr>
        <w:t>číslo balíčka</w:t>
      </w:r>
      <w:r w:rsidRPr="00BC609E">
        <w:rPr>
          <w:rFonts w:cs="Tahoma"/>
          <w:color w:val="000000" w:themeColor="text1"/>
        </w:rPr>
        <w:t xml:space="preserve"> a </w:t>
      </w:r>
      <w:r w:rsidRPr="00BC609E">
        <w:rPr>
          <w:rFonts w:cs="Tahoma"/>
          <w:b/>
          <w:bCs/>
          <w:color w:val="000000" w:themeColor="text1"/>
        </w:rPr>
        <w:t>veľkosť trička</w:t>
      </w:r>
      <w:r w:rsidRPr="00BC609E">
        <w:rPr>
          <w:rFonts w:cs="Tahoma"/>
          <w:color w:val="000000" w:themeColor="text1"/>
        </w:rPr>
        <w:t xml:space="preserve"> (ktoré budú pripravené deň vopred) a už len odovzdá balíček, kde bude tričko, program a mapka areálu. </w:t>
      </w:r>
    </w:p>
    <w:p w14:paraId="389E98BA" w14:textId="3C347C3E" w:rsidR="00896365" w:rsidRPr="00BC609E" w:rsidRDefault="00896365" w:rsidP="00896365">
      <w:pPr>
        <w:rPr>
          <w:rFonts w:cs="Tahoma"/>
          <w:color w:val="000000" w:themeColor="text1"/>
        </w:rPr>
      </w:pPr>
      <w:r w:rsidRPr="00BC609E">
        <w:rPr>
          <w:rFonts w:cs="Tahoma"/>
          <w:color w:val="000000" w:themeColor="text1"/>
        </w:rPr>
        <w:t xml:space="preserve">Po registrácii na </w:t>
      </w:r>
      <w:proofErr w:type="spellStart"/>
      <w:r w:rsidRPr="00BC609E">
        <w:rPr>
          <w:rFonts w:cs="Tahoma"/>
          <w:color w:val="000000" w:themeColor="text1"/>
        </w:rPr>
        <w:t>teambuilding</w:t>
      </w:r>
      <w:proofErr w:type="spellEnd"/>
      <w:r w:rsidRPr="00BC609E">
        <w:rPr>
          <w:rFonts w:cs="Tahoma"/>
          <w:color w:val="000000" w:themeColor="text1"/>
        </w:rPr>
        <w:t xml:space="preserve"> sa presunie hosť na recepciu a tam si spraví </w:t>
      </w:r>
      <w:proofErr w:type="spellStart"/>
      <w:r w:rsidRPr="00BC609E">
        <w:rPr>
          <w:rFonts w:cs="Tahoma"/>
          <w:color w:val="000000" w:themeColor="text1"/>
        </w:rPr>
        <w:t>check</w:t>
      </w:r>
      <w:proofErr w:type="spellEnd"/>
      <w:r w:rsidRPr="00BC609E">
        <w:rPr>
          <w:rFonts w:cs="Tahoma"/>
          <w:color w:val="000000" w:themeColor="text1"/>
        </w:rPr>
        <w:t>-in, ubytuje sa a získa náramok. Spôsob registrácie na izby sa musí zladiť s X, keďže minulý rok tam boli problémy a chceme, aby to bolo rýchlejšie a bezproblémové.</w:t>
      </w:r>
    </w:p>
    <w:p w14:paraId="482DBAF0" w14:textId="77777777" w:rsidR="00896365" w:rsidRPr="00BC609E" w:rsidRDefault="00896365" w:rsidP="00185825">
      <w:pPr>
        <w:rPr>
          <w:rFonts w:cs="Tahoma"/>
          <w:color w:val="000000" w:themeColor="text1"/>
          <w:lang w:val="en-US"/>
        </w:rPr>
      </w:pPr>
    </w:p>
    <w:p w14:paraId="15C4F0FB" w14:textId="77777777" w:rsidR="001F35C0" w:rsidRPr="00BC609E" w:rsidRDefault="001F35C0" w:rsidP="00A01541">
      <w:pPr>
        <w:jc w:val="both"/>
        <w:rPr>
          <w:rFonts w:cs="Times New Roman"/>
        </w:rPr>
      </w:pPr>
    </w:p>
    <w:p w14:paraId="0A6EFE1C" w14:textId="77777777" w:rsidR="000E0B32" w:rsidRPr="00BC609E" w:rsidRDefault="000E0B32" w:rsidP="00A01541">
      <w:pPr>
        <w:jc w:val="both"/>
        <w:rPr>
          <w:rFonts w:cs="Times New Roman"/>
        </w:rPr>
      </w:pPr>
    </w:p>
    <w:p w14:paraId="692841A4" w14:textId="77777777" w:rsidR="00247051" w:rsidRPr="00BC609E" w:rsidRDefault="00247051" w:rsidP="00247051">
      <w:pPr>
        <w:widowControl w:val="0"/>
        <w:shd w:val="clear" w:color="auto" w:fill="FFFFFF"/>
        <w:tabs>
          <w:tab w:val="left" w:pos="521"/>
        </w:tabs>
        <w:autoSpaceDE w:val="0"/>
        <w:autoSpaceDN w:val="0"/>
        <w:adjustRightInd w:val="0"/>
        <w:spacing w:after="0" w:line="243" w:lineRule="exact"/>
        <w:ind w:right="491"/>
        <w:jc w:val="both"/>
        <w:rPr>
          <w:b/>
          <w:bCs/>
          <w:color w:val="000000"/>
        </w:rPr>
      </w:pPr>
    </w:p>
    <w:p w14:paraId="1C953F9E" w14:textId="77777777" w:rsidR="00247051" w:rsidRPr="00BC609E" w:rsidRDefault="00247051"/>
    <w:sectPr w:rsidR="00247051" w:rsidRPr="00BC6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57FD9"/>
    <w:multiLevelType w:val="singleLevel"/>
    <w:tmpl w:val="16B44DAE"/>
    <w:lvl w:ilvl="0">
      <w:start w:val="2"/>
      <w:numFmt w:val="decimal"/>
      <w:lvlText w:val="1.%1."/>
      <w:legacy w:legacy="1" w:legacySpace="0" w:legacyIndent="516"/>
      <w:lvlJc w:val="left"/>
      <w:rPr>
        <w:rFonts w:ascii="Arial" w:hAnsi="Arial" w:cs="Arial" w:hint="default"/>
      </w:rPr>
    </w:lvl>
  </w:abstractNum>
  <w:abstractNum w:abstractNumId="1" w15:restartNumberingAfterBreak="0">
    <w:nsid w:val="2C6A21CB"/>
    <w:multiLevelType w:val="hybridMultilevel"/>
    <w:tmpl w:val="036A3414"/>
    <w:lvl w:ilvl="0" w:tplc="458459E0">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C857BC"/>
    <w:multiLevelType w:val="hybridMultilevel"/>
    <w:tmpl w:val="038A1842"/>
    <w:lvl w:ilvl="0" w:tplc="DE7E3B60">
      <w:start w:val="1"/>
      <w:numFmt w:val="decimal"/>
      <w:lvlText w:val="%1."/>
      <w:lvlJc w:val="left"/>
      <w:pPr>
        <w:ind w:left="502"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54"/>
    <w:rsid w:val="00083680"/>
    <w:rsid w:val="000C09BF"/>
    <w:rsid w:val="000E0B32"/>
    <w:rsid w:val="00185825"/>
    <w:rsid w:val="001F35C0"/>
    <w:rsid w:val="00247051"/>
    <w:rsid w:val="003A79AA"/>
    <w:rsid w:val="00537A54"/>
    <w:rsid w:val="005D7404"/>
    <w:rsid w:val="00896365"/>
    <w:rsid w:val="008D588B"/>
    <w:rsid w:val="009B6C45"/>
    <w:rsid w:val="00A01541"/>
    <w:rsid w:val="00A62C6B"/>
    <w:rsid w:val="00B2180C"/>
    <w:rsid w:val="00BC609E"/>
    <w:rsid w:val="00BF649D"/>
    <w:rsid w:val="00EA79AC"/>
    <w:rsid w:val="00ED7F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2ACA"/>
  <w15:chartTrackingRefBased/>
  <w15:docId w15:val="{4761BACE-0154-4D9D-9DE7-A8831FE3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1541"/>
    <w:pPr>
      <w:ind w:left="720"/>
      <w:contextualSpacing/>
    </w:pPr>
  </w:style>
  <w:style w:type="paragraph" w:styleId="Textbubliny">
    <w:name w:val="Balloon Text"/>
    <w:basedOn w:val="Normln"/>
    <w:link w:val="TextbublinyChar"/>
    <w:uiPriority w:val="99"/>
    <w:semiHidden/>
    <w:unhideWhenUsed/>
    <w:rsid w:val="001858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5825"/>
    <w:rPr>
      <w:rFonts w:ascii="Segoe UI" w:hAnsi="Segoe UI" w:cs="Segoe UI"/>
      <w:sz w:val="18"/>
      <w:szCs w:val="18"/>
    </w:rPr>
  </w:style>
  <w:style w:type="character" w:styleId="Odkaznakoment">
    <w:name w:val="annotation reference"/>
    <w:basedOn w:val="Standardnpsmoodstavce"/>
    <w:uiPriority w:val="99"/>
    <w:semiHidden/>
    <w:unhideWhenUsed/>
    <w:rsid w:val="008D588B"/>
    <w:rPr>
      <w:sz w:val="16"/>
      <w:szCs w:val="16"/>
    </w:rPr>
  </w:style>
  <w:style w:type="paragraph" w:styleId="Textkomente">
    <w:name w:val="annotation text"/>
    <w:basedOn w:val="Normln"/>
    <w:link w:val="TextkomenteChar"/>
    <w:uiPriority w:val="99"/>
    <w:semiHidden/>
    <w:unhideWhenUsed/>
    <w:rsid w:val="008D588B"/>
    <w:pPr>
      <w:spacing w:after="200" w:line="240" w:lineRule="auto"/>
    </w:pPr>
    <w:rPr>
      <w:sz w:val="20"/>
      <w:szCs w:val="20"/>
    </w:rPr>
  </w:style>
  <w:style w:type="character" w:customStyle="1" w:styleId="TextkomenteChar">
    <w:name w:val="Text komentáře Char"/>
    <w:basedOn w:val="Standardnpsmoodstavce"/>
    <w:link w:val="Textkomente"/>
    <w:uiPriority w:val="99"/>
    <w:semiHidden/>
    <w:rsid w:val="008D588B"/>
    <w:rPr>
      <w:sz w:val="20"/>
      <w:szCs w:val="20"/>
    </w:rPr>
  </w:style>
  <w:style w:type="paragraph" w:styleId="Zkladntext">
    <w:name w:val="Body Text"/>
    <w:basedOn w:val="Normln"/>
    <w:link w:val="ZkladntextChar"/>
    <w:uiPriority w:val="1"/>
    <w:qFormat/>
    <w:rsid w:val="000C09BF"/>
    <w:pPr>
      <w:widowControl w:val="0"/>
      <w:autoSpaceDE w:val="0"/>
      <w:autoSpaceDN w:val="0"/>
      <w:spacing w:after="0" w:line="240" w:lineRule="auto"/>
    </w:pPr>
    <w:rPr>
      <w:rFonts w:ascii="PMingLiU" w:eastAsia="PMingLiU" w:hAnsi="PMingLiU" w:cs="PMingLiU"/>
      <w:sz w:val="18"/>
      <w:szCs w:val="18"/>
      <w:lang w:bidi="en-US"/>
    </w:rPr>
  </w:style>
  <w:style w:type="character" w:customStyle="1" w:styleId="ZkladntextChar">
    <w:name w:val="Základní text Char"/>
    <w:basedOn w:val="Standardnpsmoodstavce"/>
    <w:link w:val="Zkladntext"/>
    <w:uiPriority w:val="1"/>
    <w:rsid w:val="000C09BF"/>
    <w:rPr>
      <w:rFonts w:ascii="PMingLiU" w:eastAsia="PMingLiU" w:hAnsi="PMingLiU" w:cs="PMingLiU"/>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19780">
      <w:bodyDiv w:val="1"/>
      <w:marLeft w:val="0"/>
      <w:marRight w:val="0"/>
      <w:marTop w:val="0"/>
      <w:marBottom w:val="0"/>
      <w:divBdr>
        <w:top w:val="none" w:sz="0" w:space="0" w:color="auto"/>
        <w:left w:val="none" w:sz="0" w:space="0" w:color="auto"/>
        <w:bottom w:val="none" w:sz="0" w:space="0" w:color="auto"/>
        <w:right w:val="none" w:sz="0" w:space="0" w:color="auto"/>
      </w:divBdr>
    </w:div>
    <w:div w:id="12539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1475</Words>
  <Characters>8409</Characters>
  <Application>Microsoft Office Word</Application>
  <DocSecurity>0</DocSecurity>
  <Lines>70</Lines>
  <Paragraphs>19</Paragraphs>
  <ScaleCrop>false</ScaleCrop>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2020-06-03T18:51:00Z</dcterms:created>
  <dcterms:modified xsi:type="dcterms:W3CDTF">2020-07-23T17:35:00Z</dcterms:modified>
</cp:coreProperties>
</file>