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3816"/>
      </w:tblGrid>
      <w:tr w:rsidR="0050489B" w:rsidRPr="00A65E89" w14:paraId="13FA411B" w14:textId="77777777" w:rsidTr="0050489B">
        <w:trPr>
          <w:trHeight w:val="50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86BBA" w14:textId="77777777" w:rsidR="0050489B" w:rsidRPr="0050489B" w:rsidRDefault="0050489B" w:rsidP="0050489B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  <w:r w:rsidRPr="0050489B">
              <w:rPr>
                <w:rFonts w:eastAsia="Times New Roman" w:cstheme="minorHAnsi"/>
                <w:color w:val="000000"/>
                <w:sz w:val="22"/>
                <w:szCs w:val="22"/>
                <w:lang w:val="en-GB" w:eastAsia="es-ES_tradnl"/>
              </w:rPr>
              <w:t>Source segment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9889A" w14:textId="77777777" w:rsidR="0050489B" w:rsidRPr="0050489B" w:rsidRDefault="0050489B" w:rsidP="0050489B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  <w:r w:rsidRPr="0050489B">
              <w:rPr>
                <w:rFonts w:eastAsia="Times New Roman" w:cstheme="minorHAnsi"/>
                <w:color w:val="000000"/>
                <w:sz w:val="22"/>
                <w:szCs w:val="22"/>
                <w:lang w:val="en-GB" w:eastAsia="es-ES_tradnl"/>
              </w:rPr>
              <w:t>Target segment</w:t>
            </w:r>
          </w:p>
        </w:tc>
      </w:tr>
      <w:tr w:rsidR="0050489B" w:rsidRPr="00A65E89" w14:paraId="5F7A7890" w14:textId="77777777" w:rsidTr="0050489B">
        <w:trPr>
          <w:trHeight w:val="50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07564" w14:textId="5D7E05F4" w:rsidR="0050489B" w:rsidRPr="0050489B" w:rsidRDefault="0050489B" w:rsidP="0050489B">
            <w:pPr>
              <w:rPr>
                <w:rFonts w:eastAsia="Times New Roman" w:cstheme="minorHAnsi"/>
                <w:b/>
                <w:bCs/>
                <w:sz w:val="22"/>
                <w:szCs w:val="22"/>
                <w:lang w:val="en-GB" w:eastAsia="es-ES_tradnl"/>
              </w:rPr>
            </w:pPr>
            <w:r w:rsidRPr="00A65E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s-ES_tradnl"/>
              </w:rPr>
              <w:t xml:space="preserve">Los </w:t>
            </w:r>
            <w:proofErr w:type="spellStart"/>
            <w:r w:rsidRPr="00A65E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s-ES_tradnl"/>
              </w:rPr>
              <w:t>desfíos</w:t>
            </w:r>
            <w:proofErr w:type="spellEnd"/>
            <w:r w:rsidRPr="00A65E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s-ES_tradnl"/>
              </w:rPr>
              <w:t xml:space="preserve"> para </w:t>
            </w:r>
            <w:proofErr w:type="spellStart"/>
            <w:r w:rsidRPr="00A65E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s-ES_tradnl"/>
              </w:rPr>
              <w:t>Améríca</w:t>
            </w:r>
            <w:proofErr w:type="spellEnd"/>
            <w:r w:rsidRPr="00A65E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es-ES_tradnl"/>
              </w:rPr>
              <w:t xml:space="preserve"> Latina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22DE" w14:textId="78EE0F69" w:rsidR="0050489B" w:rsidRPr="0050489B" w:rsidRDefault="0050489B" w:rsidP="0050489B">
            <w:pPr>
              <w:rPr>
                <w:rFonts w:eastAsia="Times New Roman" w:cstheme="minorHAnsi"/>
                <w:b/>
                <w:bCs/>
                <w:sz w:val="22"/>
                <w:szCs w:val="22"/>
                <w:lang w:val="en-GB" w:eastAsia="es-ES_tradnl"/>
              </w:rPr>
            </w:pPr>
            <w:r w:rsidRPr="00A65E89">
              <w:rPr>
                <w:rFonts w:eastAsia="Times New Roman" w:cstheme="minorHAnsi"/>
                <w:b/>
                <w:bCs/>
                <w:sz w:val="22"/>
                <w:szCs w:val="22"/>
                <w:lang w:val="en-GB" w:eastAsia="es-ES_tradnl"/>
              </w:rPr>
              <w:t>Challenges that Latin America faces</w:t>
            </w:r>
          </w:p>
        </w:tc>
      </w:tr>
      <w:tr w:rsidR="0050489B" w:rsidRPr="00A65E89" w14:paraId="4E778AC1" w14:textId="77777777" w:rsidTr="0050489B">
        <w:trPr>
          <w:trHeight w:val="246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5EA1B" w14:textId="783E6180" w:rsidR="0050489B" w:rsidRPr="00A65E89" w:rsidRDefault="0050489B" w:rsidP="005048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Uno de los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ejes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centrales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Diálogo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Alto Nivel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fue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crisis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económica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cómo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esta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imposibilitado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que los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países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América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Latina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avancen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materia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climática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el panel “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Mecanismos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innovadores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medios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implementación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”,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representantes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instituciones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financieras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organismos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multilaterales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resaltaron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necesidad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aliviar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deudas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soberanas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buscar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nuevos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mecanismos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financiamiento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climático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</w:p>
          <w:p w14:paraId="78701BF4" w14:textId="7E99ED8B" w:rsidR="0050489B" w:rsidRPr="0050489B" w:rsidRDefault="0050489B" w:rsidP="0050489B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D5234" w14:textId="37B0EBA4" w:rsidR="0050489B" w:rsidRPr="0050489B" w:rsidRDefault="00B83D2A" w:rsidP="005048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One of the core topics of the High-Level Dialogue was the economic crisis and how th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crisis has hindered Latin American countries from making progress on climate action.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Representatives of financial institutions and multilateral organisations</w:t>
            </w:r>
            <w:r w:rsidR="00831B07"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highlighted </w:t>
            </w:r>
            <w:r w:rsidR="00831B07"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need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alleviate </w:t>
            </w:r>
            <w:r w:rsidR="00A65E89"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</w:t>
            </w:r>
            <w:r w:rsidR="00831B07"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overnment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debts and seek new climate finance mechanisms, during their intervention in the panel </w:t>
            </w:r>
            <w:r w:rsidR="00831B07"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‘</w:t>
            </w: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Innovative Mechanisms for Means of Implementation</w:t>
            </w:r>
            <w:r w:rsidR="00831B07"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’.</w:t>
            </w:r>
          </w:p>
        </w:tc>
      </w:tr>
      <w:tr w:rsidR="0050489B" w:rsidRPr="00A65E89" w14:paraId="74E912FA" w14:textId="77777777" w:rsidTr="0050489B">
        <w:trPr>
          <w:trHeight w:val="246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2D447" w14:textId="5C9AB43B" w:rsidR="0050489B" w:rsidRPr="00A65E89" w:rsidRDefault="0050489B" w:rsidP="005048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El PIB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América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Latina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cayo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́ </w:t>
            </w:r>
            <w:proofErr w:type="gram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 7,7</w:t>
            </w:r>
            <w:proofErr w:type="gram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%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2020 y no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volvera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́ a los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niveles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anteriores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la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pandemia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hasta 2024,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según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Comisión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Económica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América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Latina y el Caribe (CEPAL). Como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mundo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se ha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instado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los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países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proofErr w:type="gram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aprovechar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crisis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oportunidad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iniciar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recuperación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sostenible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especialmente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considerando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sus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vastos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amenazados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recursos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naturales. </w:t>
            </w:r>
          </w:p>
          <w:p w14:paraId="5B12DD50" w14:textId="71274C53" w:rsidR="0050489B" w:rsidRPr="0050489B" w:rsidRDefault="0050489B" w:rsidP="0050489B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97EDC" w14:textId="6F1F18DE" w:rsidR="00831B07" w:rsidRPr="00A65E89" w:rsidRDefault="00831B07" w:rsidP="00831B07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Latin America's GDP </w:t>
            </w:r>
            <w:r w:rsidR="0054620B"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dropped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 by 7.7 </w:t>
            </w:r>
            <w:r w:rsidR="0054620B"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% 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in 2020 and </w:t>
            </w:r>
            <w:r w:rsidR="0054620B"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it’s unlikely to 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return to pre-pandemic levels until 2024, according to the Economic Commission for Latin America and the Caribbean (ECLAC). Like everywhere else in the world, countries in the region have been urged to </w:t>
            </w:r>
            <w:r w:rsidRP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seize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 the crisis as an opportunity to initiate a sustainable recovery, especially considering their </w:t>
            </w:r>
            <w:r w:rsidR="00A65E89"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abundant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 but imperil</w:t>
            </w:r>
            <w:r w:rsidR="00A65E89"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l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ed natural resources. </w:t>
            </w:r>
          </w:p>
          <w:p w14:paraId="7DC11FAC" w14:textId="5474A2AB" w:rsidR="0050489B" w:rsidRPr="0050489B" w:rsidRDefault="0050489B" w:rsidP="00831B07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</w:p>
        </w:tc>
      </w:tr>
      <w:tr w:rsidR="0050489B" w:rsidRPr="00A65E89" w14:paraId="719C0EF0" w14:textId="77777777" w:rsidTr="0050489B">
        <w:trPr>
          <w:trHeight w:val="189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24DA5" w14:textId="1E402A13" w:rsidR="0050489B" w:rsidRPr="00A65E89" w:rsidRDefault="0050489B" w:rsidP="0050489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Europea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 ha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presentado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Pacto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Verde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Europeo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(EGD, por sus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siglas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inglés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), con el que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espera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transformar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economía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bloque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abordar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 triple crisis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biodiversidad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clima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contaminación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Para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ello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se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plantean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acciones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áreas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energía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industria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edificación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movilidad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agricultura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alimentación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Sanahuja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2021). Del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mismo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modo,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Estados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Unidos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introdujo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un plan de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recuperación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economía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con un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foco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especial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las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energías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renovables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tal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también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ha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sido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el </w:t>
            </w:r>
            <w:proofErr w:type="spellStart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caso</w:t>
            </w:r>
            <w:proofErr w:type="spellEnd"/>
            <w:r w:rsidRPr="00A65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 China. </w:t>
            </w:r>
          </w:p>
          <w:p w14:paraId="2C89E6A6" w14:textId="479BA011" w:rsidR="0050489B" w:rsidRPr="0050489B" w:rsidRDefault="0050489B" w:rsidP="0050489B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24273" w14:textId="4D3E171C" w:rsidR="0050489B" w:rsidRPr="0050489B" w:rsidRDefault="0054620B" w:rsidP="0054620B">
            <w:pPr>
              <w:rPr>
                <w:rFonts w:eastAsia="Times New Roman" w:cstheme="minorHAnsi"/>
                <w:sz w:val="22"/>
                <w:szCs w:val="22"/>
                <w:lang w:val="en-GB" w:eastAsia="es-ES_tradnl"/>
              </w:rPr>
            </w:pP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The European Union has presented the European Green Deal (EGD), which aims to overhaul the bloc's economy and tackle the triple crisis of </w:t>
            </w:r>
            <w:r w:rsidRP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biodiversity</w:t>
            </w:r>
            <w:r w:rsidR="00A65E89" w:rsidRP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,</w:t>
            </w:r>
            <w:r w:rsidRP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 climate</w:t>
            </w:r>
            <w:r w:rsidR="00A65E89" w:rsidRP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,</w:t>
            </w:r>
            <w:r w:rsidRP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 and pollution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. To this end, new measures are proposed in the areas of energy, industry, </w:t>
            </w:r>
            <w:r w:rsidR="00F9672C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construction,</w:t>
            </w:r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 mobility, and agriculture and food (</w:t>
            </w:r>
            <w:proofErr w:type="spellStart"/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>Sanahuja</w:t>
            </w:r>
            <w:proofErr w:type="spellEnd"/>
            <w:r w:rsidRPr="00A65E89">
              <w:rPr>
                <w:rFonts w:eastAsia="Times New Roman" w:cstheme="minorHAnsi"/>
                <w:sz w:val="22"/>
                <w:szCs w:val="22"/>
                <w:lang w:val="en-GB" w:eastAsia="es-ES_tradnl"/>
              </w:rPr>
              <w:t xml:space="preserve">, 2021). Similarly, the United States introduced a recovery plan for its economy with a special focus on renewable energies, as has also been the case in China. </w:t>
            </w:r>
          </w:p>
        </w:tc>
      </w:tr>
    </w:tbl>
    <w:p w14:paraId="7EE3CD00" w14:textId="77777777" w:rsidR="0050489B" w:rsidRPr="0050489B" w:rsidRDefault="0050489B" w:rsidP="0050489B">
      <w:pPr>
        <w:rPr>
          <w:rFonts w:eastAsia="Times New Roman" w:cstheme="minorHAnsi"/>
          <w:sz w:val="22"/>
          <w:szCs w:val="22"/>
          <w:lang w:val="en-GB" w:eastAsia="es-ES_tradnl"/>
        </w:rPr>
      </w:pPr>
    </w:p>
    <w:p w14:paraId="043C7AB4" w14:textId="77777777" w:rsidR="0050489B" w:rsidRPr="00A65E89" w:rsidRDefault="0050489B">
      <w:pPr>
        <w:rPr>
          <w:rFonts w:cstheme="minorHAnsi"/>
          <w:sz w:val="22"/>
          <w:szCs w:val="22"/>
          <w:lang w:val="en-GB"/>
        </w:rPr>
      </w:pPr>
    </w:p>
    <w:sectPr w:rsidR="0050489B" w:rsidRPr="00A65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9B"/>
    <w:rsid w:val="0050489B"/>
    <w:rsid w:val="0054620B"/>
    <w:rsid w:val="00831B07"/>
    <w:rsid w:val="00A65E89"/>
    <w:rsid w:val="00B83D2A"/>
    <w:rsid w:val="00F22016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B6474"/>
  <w15:chartTrackingRefBased/>
  <w15:docId w15:val="{3BE6B5A7-4655-0647-9E4C-E64E8C75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8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483</Words>
  <Characters>2333</Characters>
  <Application>Microsoft Office Word</Application>
  <DocSecurity>0</DocSecurity>
  <Lines>44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Ferrer Aguilar</dc:creator>
  <cp:keywords/>
  <dc:description/>
  <cp:lastModifiedBy>Aida Ferrer Aguilar</cp:lastModifiedBy>
  <cp:revision>4</cp:revision>
  <dcterms:created xsi:type="dcterms:W3CDTF">2021-11-26T12:27:00Z</dcterms:created>
  <dcterms:modified xsi:type="dcterms:W3CDTF">2021-11-26T13:14:00Z</dcterms:modified>
</cp:coreProperties>
</file>