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7967E" w14:textId="77777777" w:rsidR="00002DAC" w:rsidRPr="00181510" w:rsidRDefault="00002DAC" w:rsidP="00002DAC">
      <w:pPr>
        <w:pStyle w:val="Titre9"/>
        <w:rPr>
          <w:lang w:val="fr-FR"/>
        </w:rPr>
      </w:pPr>
      <w:bookmarkStart w:id="0" w:name="_Toc411365682"/>
      <w:bookmarkStart w:id="1" w:name="_Toc417545120"/>
      <w:r w:rsidRPr="00181510">
        <w:rPr>
          <w:lang w:val="fr-FR"/>
        </w:rPr>
        <w:t>Introduction</w:t>
      </w:r>
      <w:bookmarkEnd w:id="0"/>
      <w:bookmarkEnd w:id="1"/>
    </w:p>
    <w:p w14:paraId="3567967F" w14:textId="77777777" w:rsidR="00002DAC" w:rsidRPr="00181510" w:rsidRDefault="00002DAC" w:rsidP="00002DAC">
      <w:pPr>
        <w:pStyle w:val="NaKop1"/>
        <w:jc w:val="both"/>
        <w:rPr>
          <w:rFonts w:ascii="Trebuchet MS" w:hAnsi="Trebuchet MS"/>
          <w:lang w:val="fr-FR"/>
        </w:rPr>
      </w:pPr>
    </w:p>
    <w:p w14:paraId="35679680" w14:textId="77777777" w:rsidR="00002DAC" w:rsidRPr="00181510" w:rsidRDefault="00002DAC" w:rsidP="00002DAC">
      <w:pPr>
        <w:pStyle w:val="Intro"/>
        <w:jc w:val="both"/>
        <w:rPr>
          <w:rFonts w:ascii="Trebuchet MS" w:hAnsi="Trebuchet MS"/>
          <w:sz w:val="20"/>
          <w:szCs w:val="20"/>
          <w:lang w:val="fr-FR"/>
        </w:rPr>
      </w:pPr>
      <w:r w:rsidRPr="00181510">
        <w:rPr>
          <w:rFonts w:ascii="Trebuchet MS" w:hAnsi="Trebuchet MS"/>
          <w:sz w:val="20"/>
          <w:szCs w:val="20"/>
          <w:lang w:val="fr-FR"/>
        </w:rPr>
        <w:t>En l'an 2000, le Conseil de sécurité de l'ONU a adopté à l'unanimité sa première résolution sur les femmes, la paix et la sécurité (</w:t>
      </w:r>
      <w:proofErr w:type="spellStart"/>
      <w:r w:rsidRPr="00181510">
        <w:rPr>
          <w:rFonts w:ascii="Trebuchet MS" w:hAnsi="Trebuchet MS"/>
          <w:sz w:val="20"/>
          <w:szCs w:val="20"/>
          <w:lang w:val="fr-FR"/>
        </w:rPr>
        <w:t>WPS</w:t>
      </w:r>
      <w:proofErr w:type="spellEnd"/>
      <w:r w:rsidRPr="00181510">
        <w:rPr>
          <w:rFonts w:ascii="Trebuchet MS" w:hAnsi="Trebuchet MS"/>
          <w:sz w:val="20"/>
          <w:szCs w:val="20"/>
          <w:lang w:val="fr-FR"/>
        </w:rPr>
        <w:t xml:space="preserve">). Cette résolution historique a non seulement reconnu l'impact disproportionné que les conflits armés exercent sur les femmes, mais a aussi souligné la contribution sous-utilisée et sous-estimée de celles-ci aux processus de paix et à la prévention, la résolution et la transformation des conflits. La résolution 1325 s'appuie sur un ensemble de résolutions, traités, conventions et rapports traitant des conflits armés et de leur impact sur les femmes et les populations civiles en général. La </w:t>
      </w:r>
      <w:proofErr w:type="spellStart"/>
      <w:r w:rsidRPr="00181510">
        <w:rPr>
          <w:rFonts w:ascii="Trebuchet MS" w:hAnsi="Trebuchet MS"/>
          <w:sz w:val="20"/>
          <w:szCs w:val="20"/>
          <w:lang w:val="fr-FR"/>
        </w:rPr>
        <w:t>RCSNU</w:t>
      </w:r>
      <w:proofErr w:type="spellEnd"/>
      <w:r w:rsidRPr="00181510">
        <w:rPr>
          <w:rFonts w:ascii="Trebuchet MS" w:hAnsi="Trebuchet MS"/>
          <w:sz w:val="20"/>
          <w:szCs w:val="20"/>
          <w:lang w:val="fr-FR"/>
        </w:rPr>
        <w:t xml:space="preserve"> 1325 est contraignante pour tous les États membres de l'ONU et ses dispositions doivent être systématiquement intégrées au travail des entités de l'ONU chargées du maintien de la paix et de la sécurité à travers le monde. Les engagements pour les femmes, la paix et la sécurité concernent l'implication des femmes dans toutes les affaires liées à la paix et la sécurité, la protection des femmes et des petites filles et l'intégration systématique d'une approche par le genre aux opérations de soutien à la paix des Nations Unies, et aux formations de l'ONU, aux missions du Conseil de sécurité, aux processus </w:t>
      </w:r>
      <w:proofErr w:type="spellStart"/>
      <w:r w:rsidRPr="00181510">
        <w:rPr>
          <w:rFonts w:ascii="Trebuchet MS" w:hAnsi="Trebuchet MS"/>
          <w:sz w:val="20"/>
          <w:szCs w:val="20"/>
          <w:lang w:val="fr-FR"/>
        </w:rPr>
        <w:t>postconflit</w:t>
      </w:r>
      <w:proofErr w:type="spellEnd"/>
      <w:r w:rsidRPr="00181510">
        <w:rPr>
          <w:rFonts w:ascii="Trebuchet MS" w:hAnsi="Trebuchet MS"/>
          <w:sz w:val="20"/>
          <w:szCs w:val="20"/>
          <w:lang w:val="fr-FR"/>
        </w:rPr>
        <w:t xml:space="preserve"> et à la planification.</w:t>
      </w:r>
    </w:p>
    <w:p w14:paraId="35679681"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En 2004 et 2005, le Président du Conseil de sécurité a exhorté les États membres de l'ONU à développer des Plans d'action nationaux pour la mise en œuvre de la </w:t>
      </w:r>
      <w:proofErr w:type="spellStart"/>
      <w:r w:rsidRPr="00181510">
        <w:rPr>
          <w:rFonts w:ascii="Trebuchet MS" w:hAnsi="Trebuchet MS"/>
          <w:lang w:val="fr-FR"/>
        </w:rPr>
        <w:t>RCSNU</w:t>
      </w:r>
      <w:proofErr w:type="spellEnd"/>
      <w:r w:rsidRPr="00181510">
        <w:rPr>
          <w:rFonts w:ascii="Trebuchet MS" w:hAnsi="Trebuchet MS"/>
          <w:lang w:val="fr-FR"/>
        </w:rPr>
        <w:t xml:space="preserve"> 1325 ou le développement d'autres stratégies garantissant l'inclusion des femmes dans les processus de paix et de sécurité. Actuellement, il existe plus de quarante Plans d'action nationaux à l'échelle mondiale, en comptant le PAN afghan approuvé au dernier trimestre 2014 et celui du Japon, sur le point d'être finalisé (pour plus d'informations, consultez </w:t>
      </w:r>
      <w:hyperlink r:id="rId8" w:history="1">
        <w:r w:rsidRPr="00181510">
          <w:rPr>
            <w:rStyle w:val="Lienhypertexte"/>
            <w:rFonts w:ascii="Trebuchet MS" w:hAnsi="Trebuchet MS"/>
            <w:lang w:val="fr-FR"/>
          </w:rPr>
          <w:t>www.peacewomen.org</w:t>
        </w:r>
      </w:hyperlink>
      <w:r w:rsidRPr="00181510">
        <w:rPr>
          <w:rFonts w:ascii="Trebuchet MS" w:hAnsi="Trebuchet MS"/>
          <w:lang w:val="fr-FR"/>
        </w:rPr>
        <w:t xml:space="preserve">). </w:t>
      </w:r>
    </w:p>
    <w:p w14:paraId="35679682" w14:textId="77777777" w:rsidR="00002DAC" w:rsidRPr="00181510" w:rsidRDefault="00002DAC" w:rsidP="00002DAC">
      <w:pPr>
        <w:jc w:val="both"/>
        <w:rPr>
          <w:rFonts w:ascii="Trebuchet MS" w:hAnsi="Trebuchet MS"/>
          <w:lang w:val="fr-FR"/>
        </w:rPr>
      </w:pPr>
    </w:p>
    <w:p w14:paraId="35679683"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Aux Pays-Bas, la </w:t>
      </w:r>
      <w:proofErr w:type="spellStart"/>
      <w:r w:rsidRPr="00181510">
        <w:rPr>
          <w:rFonts w:ascii="Trebuchet MS" w:hAnsi="Trebuchet MS"/>
          <w:lang w:val="fr-FR"/>
        </w:rPr>
        <w:t>RCSNU</w:t>
      </w:r>
      <w:proofErr w:type="spellEnd"/>
      <w:r w:rsidRPr="00181510">
        <w:rPr>
          <w:rFonts w:ascii="Trebuchet MS" w:hAnsi="Trebuchet MS"/>
          <w:lang w:val="fr-FR"/>
        </w:rPr>
        <w:t> 1325 s'est imposée comme la pierre angulaire de la politique spécifiquement consacrée au genre, à la paix et à la sécurité, ainsi que le document de référence pour l'intégration du genre à la politique globale du Ministère des Affaires étrangères sur la paix et la sécurité. Actuellement, les Pays-Bas mettent en place leur second Plan d'action national, qui met en place un cadre de travail unique pour la collaboration entre gouvernement (quatre ministères et la police néerlandaise) et société civile (y compris les centres d'études, ou "</w:t>
      </w:r>
      <w:proofErr w:type="spellStart"/>
      <w:r w:rsidRPr="00181510">
        <w:rPr>
          <w:rFonts w:ascii="Trebuchet MS" w:hAnsi="Trebuchet MS"/>
          <w:lang w:val="fr-FR"/>
        </w:rPr>
        <w:t>knowledge</w:t>
      </w:r>
      <w:proofErr w:type="spellEnd"/>
      <w:r w:rsidRPr="00181510">
        <w:rPr>
          <w:rFonts w:ascii="Trebuchet MS" w:hAnsi="Trebuchet MS"/>
          <w:lang w:val="fr-FR"/>
        </w:rPr>
        <w:t xml:space="preserve"> institutes"). Les Pays-Bas participent aussi activement à l'Étude mondiale et au processus d'Examen de haut niveau de l'ONU sur les femmes, la paix et la sécurité. La conférence internationale d'experts accueillie par les Pays-Bas les 16 et 17 février 2015 faisait partie intégrante de ces processus. Cette conférence a servi de plateforme d'échange de connaissances pour différents acteurs (représentants des organisations de la société civile, gouvernements, organisations internationales et </w:t>
      </w:r>
      <w:r w:rsidRPr="00181510">
        <w:rPr>
          <w:rFonts w:ascii="Trebuchet MS" w:hAnsi="Trebuchet MS"/>
          <w:lang w:val="fr-FR"/>
        </w:rPr>
        <w:lastRenderedPageBreak/>
        <w:t>chercheurs), et a permis de rédiger des recommandations nationales, régionales, et internationales sur le renforcement des engagements en faveur des femmes, de la paix et de la sécurité.</w:t>
      </w:r>
    </w:p>
    <w:p w14:paraId="35679684" w14:textId="77777777" w:rsidR="001D14C2" w:rsidRPr="00181510" w:rsidRDefault="001D14C2" w:rsidP="00002DAC">
      <w:pPr>
        <w:jc w:val="both"/>
        <w:rPr>
          <w:rFonts w:ascii="Trebuchet MS" w:hAnsi="Trebuchet MS"/>
          <w:lang w:val="fr-FR"/>
        </w:rPr>
      </w:pPr>
    </w:p>
    <w:p w14:paraId="35679685" w14:textId="77777777" w:rsidR="00002DAC" w:rsidRPr="00181510" w:rsidRDefault="00002DAC" w:rsidP="00002DAC">
      <w:pPr>
        <w:jc w:val="both"/>
        <w:rPr>
          <w:rFonts w:ascii="Trebuchet MS" w:hAnsi="Trebuchet MS"/>
          <w:lang w:val="fr-FR"/>
        </w:rPr>
      </w:pPr>
      <w:r w:rsidRPr="00181510">
        <w:rPr>
          <w:rFonts w:ascii="Trebuchet MS" w:hAnsi="Trebuchet MS"/>
          <w:lang w:val="fr-FR"/>
        </w:rPr>
        <w:t>Afin de fournir un point de départ commun à tous les débats, trois experts ont été invités à présenter leurs documents de travail au cours d'une session de réflexion collective. Ces documents de travail dressent un bref état des lieux concernant :</w:t>
      </w:r>
    </w:p>
    <w:p w14:paraId="35679686" w14:textId="77777777" w:rsidR="00002DAC" w:rsidRPr="00181510" w:rsidRDefault="00002DAC" w:rsidP="00002DAC">
      <w:pPr>
        <w:jc w:val="both"/>
        <w:rPr>
          <w:rFonts w:ascii="Trebuchet MS" w:hAnsi="Trebuchet MS"/>
          <w:lang w:val="fr-FR"/>
        </w:rPr>
      </w:pPr>
    </w:p>
    <w:p w14:paraId="35679687" w14:textId="77777777" w:rsidR="00002DAC" w:rsidRPr="00181510" w:rsidRDefault="00002DAC" w:rsidP="00002DAC">
      <w:pPr>
        <w:pStyle w:val="Listenumros"/>
        <w:jc w:val="both"/>
        <w:rPr>
          <w:rFonts w:ascii="Trebuchet MS" w:hAnsi="Trebuchet MS"/>
          <w:lang w:val="fr-FR"/>
        </w:rPr>
      </w:pPr>
      <w:r w:rsidRPr="00181510">
        <w:rPr>
          <w:rFonts w:ascii="Trebuchet MS" w:hAnsi="Trebuchet MS"/>
          <w:lang w:val="fr-FR"/>
        </w:rPr>
        <w:t>Le secteur de la sécurité, les femmes et la consolidation de la paix ;</w:t>
      </w:r>
      <w:r w:rsidRPr="00181510" w:rsidDel="004664DE">
        <w:rPr>
          <w:rFonts w:ascii="Trebuchet MS" w:hAnsi="Trebuchet MS"/>
          <w:lang w:val="fr-FR"/>
        </w:rPr>
        <w:t xml:space="preserve"> </w:t>
      </w:r>
    </w:p>
    <w:p w14:paraId="35679688" w14:textId="77777777" w:rsidR="00002DAC" w:rsidRPr="00181510" w:rsidRDefault="00002DAC" w:rsidP="00002DAC">
      <w:pPr>
        <w:pStyle w:val="Listenumros"/>
        <w:jc w:val="both"/>
        <w:rPr>
          <w:rFonts w:ascii="Trebuchet MS" w:hAnsi="Trebuchet MS"/>
          <w:lang w:val="fr-FR"/>
        </w:rPr>
      </w:pPr>
      <w:r w:rsidRPr="00181510">
        <w:rPr>
          <w:rFonts w:ascii="Trebuchet MS" w:hAnsi="Trebuchet MS"/>
          <w:lang w:val="fr-FR"/>
        </w:rPr>
        <w:t xml:space="preserve">La participation des femmes aux processus </w:t>
      </w:r>
      <w:proofErr w:type="spellStart"/>
      <w:r w:rsidRPr="00181510">
        <w:rPr>
          <w:rFonts w:ascii="Trebuchet MS" w:hAnsi="Trebuchet MS"/>
          <w:lang w:val="fr-FR"/>
        </w:rPr>
        <w:t>postconflit</w:t>
      </w:r>
      <w:proofErr w:type="spellEnd"/>
      <w:r w:rsidRPr="00181510">
        <w:rPr>
          <w:rFonts w:ascii="Trebuchet MS" w:hAnsi="Trebuchet MS"/>
          <w:lang w:val="fr-FR"/>
        </w:rPr>
        <w:t xml:space="preserve"> comme le renforcement de l'État et la consolidation de la paix ; et</w:t>
      </w:r>
    </w:p>
    <w:p w14:paraId="35679689" w14:textId="77777777" w:rsidR="00002DAC" w:rsidRPr="00181510" w:rsidRDefault="00002DAC" w:rsidP="00002DAC">
      <w:pPr>
        <w:pStyle w:val="Listenumros"/>
        <w:jc w:val="both"/>
        <w:rPr>
          <w:rFonts w:ascii="Trebuchet MS" w:hAnsi="Trebuchet MS"/>
          <w:lang w:val="fr-FR"/>
        </w:rPr>
      </w:pPr>
      <w:r w:rsidRPr="00181510">
        <w:rPr>
          <w:rFonts w:ascii="Trebuchet MS" w:hAnsi="Trebuchet MS"/>
          <w:lang w:val="fr-FR"/>
        </w:rPr>
        <w:t>Les masculinités et le rôle des hommes dans la mise en œuvre des engagements relatifs aux femmes, à la paix et à la sécurité de la résolution 1325.</w:t>
      </w:r>
      <w:r w:rsidRPr="00181510" w:rsidDel="004664DE">
        <w:rPr>
          <w:rFonts w:ascii="Trebuchet MS" w:hAnsi="Trebuchet MS"/>
          <w:lang w:val="fr-FR"/>
        </w:rPr>
        <w:t xml:space="preserve"> </w:t>
      </w:r>
    </w:p>
    <w:p w14:paraId="3567968A" w14:textId="77777777" w:rsidR="00002DAC" w:rsidRPr="00181510" w:rsidRDefault="00002DAC" w:rsidP="00002DAC">
      <w:pPr>
        <w:pStyle w:val="Listenumros"/>
        <w:numPr>
          <w:ilvl w:val="0"/>
          <w:numId w:val="0"/>
        </w:numPr>
        <w:ind w:left="397"/>
        <w:jc w:val="both"/>
        <w:rPr>
          <w:rFonts w:ascii="Trebuchet MS" w:hAnsi="Trebuchet MS"/>
          <w:lang w:val="fr-FR"/>
        </w:rPr>
      </w:pPr>
    </w:p>
    <w:p w14:paraId="3567968B" w14:textId="77777777" w:rsidR="00002DAC" w:rsidRPr="00181510" w:rsidRDefault="00002DAC" w:rsidP="00002DAC">
      <w:pPr>
        <w:pStyle w:val="Intro"/>
        <w:jc w:val="both"/>
        <w:rPr>
          <w:rFonts w:ascii="Trebuchet MS" w:hAnsi="Trebuchet MS"/>
          <w:sz w:val="18"/>
          <w:lang w:val="fr-FR"/>
        </w:rPr>
      </w:pPr>
    </w:p>
    <w:p w14:paraId="3567968C" w14:textId="77777777" w:rsidR="00002DAC" w:rsidRPr="003B37C2" w:rsidRDefault="00002DAC" w:rsidP="003B37C2">
      <w:pPr>
        <w:pStyle w:val="HoofdstukNummer"/>
        <w:numPr>
          <w:ilvl w:val="0"/>
          <w:numId w:val="15"/>
        </w:numPr>
        <w:rPr>
          <w:rFonts w:ascii="Trebuchet MS" w:hAnsi="Trebuchet MS"/>
          <w:lang w:val="fr-FR"/>
        </w:rPr>
      </w:pPr>
      <w:r w:rsidRPr="003B37C2">
        <w:rPr>
          <w:rFonts w:ascii="Trebuchet MS" w:hAnsi="Trebuchet MS"/>
          <w:lang w:val="fr-FR"/>
        </w:rPr>
        <w:lastRenderedPageBreak/>
        <w:t xml:space="preserve"> </w:t>
      </w:r>
    </w:p>
    <w:p w14:paraId="3567968D" w14:textId="77777777" w:rsidR="00002DAC" w:rsidRPr="00181510" w:rsidRDefault="00002DAC" w:rsidP="00002DAC">
      <w:pPr>
        <w:pStyle w:val="Titre1"/>
        <w:rPr>
          <w:szCs w:val="42"/>
          <w:lang w:val="fr-FR"/>
        </w:rPr>
      </w:pPr>
      <w:bookmarkStart w:id="2" w:name="_Toc411365684"/>
      <w:bookmarkStart w:id="3" w:name="_Toc417545121"/>
      <w:r w:rsidRPr="00181510">
        <w:rPr>
          <w:szCs w:val="42"/>
          <w:lang w:val="fr-FR"/>
        </w:rPr>
        <w:t>La participation des femmes à la réforme du secteur de la sécurité et aux opérations de maintien de la paix</w:t>
      </w:r>
      <w:bookmarkEnd w:id="2"/>
      <w:bookmarkEnd w:id="3"/>
      <w:r w:rsidRPr="00181510">
        <w:rPr>
          <w:szCs w:val="42"/>
          <w:lang w:val="fr-FR"/>
        </w:rPr>
        <w:t xml:space="preserve"> </w:t>
      </w:r>
    </w:p>
    <w:p w14:paraId="3567968E" w14:textId="77777777" w:rsidR="00002DAC" w:rsidRPr="00181510" w:rsidRDefault="00002DAC" w:rsidP="00002DAC">
      <w:pPr>
        <w:pStyle w:val="Titre1"/>
        <w:rPr>
          <w:sz w:val="24"/>
          <w:szCs w:val="24"/>
          <w:lang w:val="fr-FR"/>
        </w:rPr>
      </w:pPr>
      <w:bookmarkStart w:id="4" w:name="_Toc411364427"/>
      <w:bookmarkStart w:id="5" w:name="_Toc411365685"/>
      <w:bookmarkStart w:id="6" w:name="_Toc417545122"/>
      <w:r w:rsidRPr="00181510">
        <w:rPr>
          <w:sz w:val="24"/>
          <w:szCs w:val="24"/>
          <w:lang w:val="fr-FR"/>
        </w:rPr>
        <w:t>Karen Barnes Robinson</w:t>
      </w:r>
      <w:bookmarkEnd w:id="4"/>
      <w:bookmarkEnd w:id="5"/>
      <w:r w:rsidRPr="00181510">
        <w:rPr>
          <w:sz w:val="24"/>
          <w:szCs w:val="24"/>
          <w:lang w:val="fr-FR"/>
        </w:rPr>
        <w:t>, O</w:t>
      </w:r>
      <w:bookmarkEnd w:id="6"/>
      <w:r w:rsidR="005D4EB1" w:rsidRPr="00181510">
        <w:rPr>
          <w:sz w:val="24"/>
          <w:szCs w:val="24"/>
          <w:lang w:val="fr-FR"/>
        </w:rPr>
        <w:t xml:space="preserve">verseas Development Institute (Institut du développement de l'outre-mer) </w:t>
      </w:r>
    </w:p>
    <w:p w14:paraId="3567968F" w14:textId="77777777" w:rsidR="00002DAC" w:rsidRPr="00181510" w:rsidRDefault="00002DAC" w:rsidP="00002DAC">
      <w:pPr>
        <w:pStyle w:val="NaKop1"/>
        <w:rPr>
          <w:rFonts w:ascii="Trebuchet MS" w:hAnsi="Trebuchet MS"/>
          <w:lang w:val="fr-FR"/>
        </w:rPr>
      </w:pPr>
    </w:p>
    <w:p w14:paraId="35679690" w14:textId="77777777" w:rsidR="00002DAC" w:rsidRPr="00181510" w:rsidRDefault="00002DAC" w:rsidP="00002DAC">
      <w:pPr>
        <w:pStyle w:val="Intro"/>
        <w:jc w:val="both"/>
        <w:rPr>
          <w:rFonts w:ascii="Trebuchet MS" w:hAnsi="Trebuchet MS"/>
          <w:sz w:val="20"/>
          <w:szCs w:val="20"/>
          <w:lang w:val="fr-FR"/>
        </w:rPr>
      </w:pPr>
      <w:r w:rsidRPr="00181510">
        <w:rPr>
          <w:rFonts w:ascii="Trebuchet MS" w:hAnsi="Trebuchet MS"/>
          <w:sz w:val="20"/>
          <w:szCs w:val="20"/>
          <w:lang w:val="fr-FR"/>
        </w:rPr>
        <w:t>Les missions de maintien de la paix et les réformes du secteur de la sécurité (RSS), tout en relevant de processus distincts, sont tou</w:t>
      </w:r>
      <w:r w:rsidR="00396179">
        <w:rPr>
          <w:rFonts w:ascii="Trebuchet MS" w:hAnsi="Trebuchet MS"/>
          <w:sz w:val="20"/>
          <w:szCs w:val="20"/>
          <w:lang w:val="fr-FR"/>
        </w:rPr>
        <w:t>te</w:t>
      </w:r>
      <w:r w:rsidRPr="00181510">
        <w:rPr>
          <w:rFonts w:ascii="Trebuchet MS" w:hAnsi="Trebuchet MS"/>
          <w:sz w:val="20"/>
          <w:szCs w:val="20"/>
          <w:lang w:val="fr-FR"/>
        </w:rPr>
        <w:t xml:space="preserve">s deux des étapes essentielles s'agissant de rétablir la sécurité et l'État de droit dans les contextes </w:t>
      </w:r>
      <w:proofErr w:type="spellStart"/>
      <w:r w:rsidRPr="00181510">
        <w:rPr>
          <w:rFonts w:ascii="Trebuchet MS" w:hAnsi="Trebuchet MS"/>
          <w:sz w:val="20"/>
          <w:szCs w:val="20"/>
          <w:lang w:val="fr-FR"/>
        </w:rPr>
        <w:t>postconflit</w:t>
      </w:r>
      <w:proofErr w:type="spellEnd"/>
      <w:r w:rsidRPr="00181510">
        <w:rPr>
          <w:rFonts w:ascii="Trebuchet MS" w:hAnsi="Trebuchet MS"/>
          <w:sz w:val="20"/>
          <w:szCs w:val="20"/>
          <w:lang w:val="fr-FR"/>
        </w:rPr>
        <w:t>. Le maintien de la paix, qu'il soit conduit par les Nations Unies ou par d'autres acteurs internationaux, désigne généralement les opérations de maintien de la paix et de la sécurité dans les pays émergeant d'un conflit, et comprend des activités comme la protection des civils, la coordination du désarmement, la démobilisation des troupes et la promotion des droits de l'homme. La RSS est quant à elle un processus plus large, englobant tous les acteurs et institutions veillant à la sécurité d'un État et de sa population, qu'ils relèvent du secteur formel ou informel. Ces deux processus sont source d'importantes opportunités de réforme des institutions, des acteurs et des processus de sécurité d'un pays en vue de les rendre plus démocratiques, de les responsabiliser et de les légitimer. Ils peuvent fonctionner en tandem ou être mis en place à différents stades de la sortie du conflit. Ils sont aussi pertinents dans le contexte des pays développés ou des donateurs, dont les institutions de sécurité continuent à faire l'objet de réformes et font face à de nombreux défis s'agissant d'intégrer l'approche par le genre.</w:t>
      </w:r>
    </w:p>
    <w:p w14:paraId="35679691"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Cet article analyse quelques-uns des facteurs, défis et opportunités clés quant à l'intégration de l'approche par le genre et de la participation des femmes aux processus de maintien de la paix et de réforme du secteur de la sécurité. Les deux processus sont traités simultanément car ils présentent de nombreuses similitudes, aussi bien en termes d'enjeux qu'en termes d'acteurs et d'institutions, les distinctions pertinentes étant par ailleurs mentionnées. </w:t>
      </w:r>
    </w:p>
    <w:p w14:paraId="35679692" w14:textId="77777777" w:rsidR="00002DAC" w:rsidRPr="00181510" w:rsidRDefault="00002DAC" w:rsidP="00002DAC">
      <w:pPr>
        <w:ind w:right="26"/>
        <w:jc w:val="both"/>
        <w:rPr>
          <w:rFonts w:ascii="Trebuchet MS" w:hAnsi="Trebuchet MS"/>
          <w:lang w:val="fr-FR"/>
        </w:rPr>
      </w:pPr>
    </w:p>
    <w:p w14:paraId="35679693"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L'adoption d'une approche sensible au genre dans le cadre du maintien de la paix et de la RSS répond à un argument fort. Efficacement menée, elle permet non seulement la prise en </w:t>
      </w:r>
      <w:r w:rsidRPr="00181510">
        <w:rPr>
          <w:rFonts w:ascii="Trebuchet MS" w:hAnsi="Trebuchet MS"/>
          <w:lang w:val="fr-FR"/>
        </w:rPr>
        <w:lastRenderedPageBreak/>
        <w:t>compte des besoins de sécurité des hommes et des femmes, mais aussi une amélioration de la qualité des services du secteur de la sécurité, de la représentation des sexes et de leur intégration, de l'appropriation du genre à l'échelle locale, de la responsabilisation, ainsi que du respect des droits de l'homme. Toutefois, malgré l'adoption de plusieurs résolutions sur les femmes, la paix et la sécurité par le Conseil de sécurité de l'ONU, et la prolifération des politiques, recommandations et plans d'action établis par des acteurs nationaux, régionaux et internationaux sur l'intégration du genre au maintien de la paix et à la réforme du secteur de la sécurité, il est urgent de porter une attention renouvelée à cette problématique. Plusieurs raisons justifient l'importance de cet enjeu :</w:t>
      </w:r>
    </w:p>
    <w:p w14:paraId="35679694" w14:textId="77777777" w:rsidR="00002DAC" w:rsidRPr="00181510" w:rsidRDefault="00002DAC" w:rsidP="00002DAC">
      <w:pPr>
        <w:ind w:right="26"/>
        <w:jc w:val="both"/>
        <w:rPr>
          <w:rFonts w:ascii="Trebuchet MS" w:hAnsi="Trebuchet MS"/>
          <w:lang w:val="fr-FR"/>
        </w:rPr>
      </w:pPr>
    </w:p>
    <w:p w14:paraId="35679695" w14:textId="77777777" w:rsidR="00002DAC" w:rsidRPr="00181510" w:rsidRDefault="00002DAC" w:rsidP="00002DAC">
      <w:pPr>
        <w:pStyle w:val="Listepuces"/>
        <w:jc w:val="both"/>
        <w:rPr>
          <w:rFonts w:ascii="Trebuchet MS" w:hAnsi="Trebuchet MS"/>
          <w:lang w:val="fr-FR"/>
        </w:rPr>
      </w:pPr>
      <w:bookmarkStart w:id="7" w:name="_Toc417545123"/>
      <w:r w:rsidRPr="00181510">
        <w:rPr>
          <w:rStyle w:val="Titre2Car"/>
          <w:rFonts w:ascii="Trebuchet MS" w:hAnsi="Trebuchet MS"/>
          <w:b w:val="0"/>
          <w:i/>
          <w:lang w:val="fr-FR"/>
        </w:rPr>
        <w:t>Les expériences, besoins et priorités des hommes et des femmes en matière de sécurité sont différents</w:t>
      </w:r>
      <w:bookmarkEnd w:id="7"/>
      <w:r w:rsidRPr="00181510">
        <w:rPr>
          <w:rFonts w:ascii="Trebuchet MS" w:hAnsi="Trebuchet MS"/>
          <w:b/>
          <w:lang w:val="fr-FR"/>
        </w:rPr>
        <w:t>.</w:t>
      </w:r>
      <w:r w:rsidRPr="00181510">
        <w:rPr>
          <w:rFonts w:ascii="Trebuchet MS" w:hAnsi="Trebuchet MS"/>
          <w:lang w:val="fr-FR"/>
        </w:rPr>
        <w:t xml:space="preserve"> Par exemple, bien que la prolifération des armes légères et de petit calibre présente des risques pour l'ensemble de la communauté, ces risques ont des manifestations distinctes selon les sexes. Les femmes et les petites filles peuvent avoir besoin d'être protégées face à la violence domestique, tandis que les hommes et les petits garçons peuvent avoir besoin d'être soutenus pour éviter leur recrutement par des gangs ou leur implication dans la violence urbaine. </w:t>
      </w:r>
    </w:p>
    <w:p w14:paraId="35679696" w14:textId="77777777" w:rsidR="00002DAC" w:rsidRPr="00181510" w:rsidRDefault="00002DAC" w:rsidP="00002DAC">
      <w:pPr>
        <w:pStyle w:val="Listepuces"/>
        <w:numPr>
          <w:ilvl w:val="0"/>
          <w:numId w:val="0"/>
        </w:numPr>
        <w:ind w:left="397"/>
        <w:jc w:val="both"/>
        <w:rPr>
          <w:rFonts w:ascii="Trebuchet MS" w:hAnsi="Trebuchet MS"/>
          <w:lang w:val="fr-FR"/>
        </w:rPr>
      </w:pPr>
    </w:p>
    <w:p w14:paraId="35679697" w14:textId="77777777" w:rsidR="00002DAC" w:rsidRPr="00181510" w:rsidRDefault="00002DAC" w:rsidP="00002DAC">
      <w:pPr>
        <w:pStyle w:val="Listepuces"/>
        <w:jc w:val="both"/>
        <w:rPr>
          <w:rFonts w:ascii="Trebuchet MS" w:hAnsi="Trebuchet MS" w:cs="Times New Roman"/>
          <w:lang w:val="fr-FR"/>
        </w:rPr>
      </w:pPr>
      <w:bookmarkStart w:id="8" w:name="_Toc417545124"/>
      <w:r w:rsidRPr="00181510">
        <w:rPr>
          <w:rStyle w:val="Titre2Car"/>
          <w:rFonts w:ascii="Trebuchet MS" w:hAnsi="Trebuchet MS"/>
          <w:b w:val="0"/>
          <w:i/>
          <w:lang w:val="fr-FR"/>
        </w:rPr>
        <w:t>L'efficacité opérationnelle des interventions peut être renforcée par l'intégration du genre et l'implication des femmes.</w:t>
      </w:r>
      <w:bookmarkEnd w:id="8"/>
      <w:r w:rsidRPr="00181510">
        <w:rPr>
          <w:rFonts w:ascii="Trebuchet MS" w:hAnsi="Trebuchet MS" w:cs="Times New Roman"/>
          <w:lang w:val="fr-FR"/>
        </w:rPr>
        <w:t xml:space="preserve"> Au-delà de ces arguments normatifs, de plus en plus d'éléments tendent à indiquer que cette approche peut aussi améliorer l'efficacité des processus de réforme du secteur de la sécurité et de maintien de la paix, ainsi que l'appropriation et la responsabilisation à l'échelle locale.</w:t>
      </w:r>
    </w:p>
    <w:p w14:paraId="35679698" w14:textId="77777777" w:rsidR="00002DAC" w:rsidRPr="00181510" w:rsidRDefault="00002DAC" w:rsidP="00002DAC">
      <w:pPr>
        <w:pStyle w:val="Listepuces"/>
        <w:numPr>
          <w:ilvl w:val="0"/>
          <w:numId w:val="0"/>
        </w:numPr>
        <w:jc w:val="both"/>
        <w:rPr>
          <w:rFonts w:ascii="Trebuchet MS" w:hAnsi="Trebuchet MS" w:cs="Times New Roman"/>
          <w:lang w:val="fr-FR"/>
        </w:rPr>
      </w:pPr>
    </w:p>
    <w:p w14:paraId="35679699" w14:textId="77777777" w:rsidR="00002DAC" w:rsidRPr="00181510" w:rsidRDefault="00002DAC" w:rsidP="00002DAC">
      <w:pPr>
        <w:pStyle w:val="Listepuces"/>
        <w:jc w:val="both"/>
        <w:rPr>
          <w:rFonts w:ascii="Trebuchet MS" w:hAnsi="Trebuchet MS" w:cs="Times New Roman"/>
          <w:lang w:val="fr-FR"/>
        </w:rPr>
      </w:pPr>
      <w:bookmarkStart w:id="9" w:name="_Toc417545125"/>
      <w:r w:rsidRPr="005A06ED">
        <w:rPr>
          <w:rFonts w:cs="Times New Roman"/>
          <w:bCs/>
          <w:lang w:val="fr-FR"/>
        </w:rPr>
        <w:t xml:space="preserve">Elle peut </w:t>
      </w:r>
      <w:r w:rsidR="00396179" w:rsidRPr="00396179">
        <w:rPr>
          <w:rFonts w:cs="Times New Roman"/>
          <w:bCs/>
          <w:lang w:val="fr-FR"/>
        </w:rPr>
        <w:t>représenter</w:t>
      </w:r>
      <w:r w:rsidRPr="00181510">
        <w:rPr>
          <w:rStyle w:val="Titre2Car"/>
          <w:rFonts w:ascii="Trebuchet MS" w:hAnsi="Trebuchet MS"/>
          <w:b w:val="0"/>
          <w:i/>
          <w:lang w:val="fr-FR"/>
        </w:rPr>
        <w:t xml:space="preserve"> un instrument </w:t>
      </w:r>
      <w:r w:rsidR="00396179" w:rsidRPr="00181510">
        <w:rPr>
          <w:rStyle w:val="Titre2Car"/>
          <w:rFonts w:ascii="Trebuchet MS" w:hAnsi="Trebuchet MS"/>
          <w:b w:val="0"/>
          <w:i/>
          <w:lang w:val="fr-FR"/>
        </w:rPr>
        <w:t xml:space="preserve">puissant </w:t>
      </w:r>
      <w:r w:rsidRPr="00181510">
        <w:rPr>
          <w:rStyle w:val="Titre2Car"/>
          <w:rFonts w:ascii="Trebuchet MS" w:hAnsi="Trebuchet MS"/>
          <w:b w:val="0"/>
          <w:i/>
          <w:lang w:val="fr-FR"/>
        </w:rPr>
        <w:t>au service de la lutte contre les attitudes et cultures discriminatoires quant au rôle des femmes dans la société.</w:t>
      </w:r>
      <w:bookmarkEnd w:id="9"/>
      <w:r w:rsidRPr="00181510">
        <w:rPr>
          <w:rFonts w:ascii="Trebuchet MS" w:hAnsi="Trebuchet MS" w:cs="Times New Roman"/>
          <w:lang w:val="fr-FR"/>
        </w:rPr>
        <w:t xml:space="preserve"> Augmenter la représentation et la participation effective des femmes dans les missions de maintien de la paix et les institutions du secteur de la sécurité peut favoriser la prise en compte et le traitement des problématiques de sécurité spécifiques au genre. L'approche par le genre peut aussi permettre de faire émerger des modèles positifs et d'influencer la conscience et les perceptions collectives sur les questions de sécurité, de justice et de gouvernance </w:t>
      </w:r>
      <w:proofErr w:type="spellStart"/>
      <w:r w:rsidRPr="00181510">
        <w:rPr>
          <w:rFonts w:ascii="Trebuchet MS" w:hAnsi="Trebuchet MS" w:cs="Times New Roman"/>
          <w:lang w:val="fr-FR"/>
        </w:rPr>
        <w:t>postconflit</w:t>
      </w:r>
      <w:proofErr w:type="spellEnd"/>
      <w:r w:rsidRPr="00181510">
        <w:rPr>
          <w:rFonts w:ascii="Trebuchet MS" w:hAnsi="Trebuchet MS" w:cs="Times New Roman"/>
          <w:lang w:val="fr-FR"/>
        </w:rPr>
        <w:t>.</w:t>
      </w:r>
    </w:p>
    <w:p w14:paraId="3567969A" w14:textId="77777777" w:rsidR="00002DAC" w:rsidRPr="00181510" w:rsidRDefault="00002DAC" w:rsidP="00002DAC">
      <w:pPr>
        <w:pStyle w:val="Listepuces"/>
        <w:numPr>
          <w:ilvl w:val="0"/>
          <w:numId w:val="0"/>
        </w:numPr>
        <w:jc w:val="both"/>
        <w:rPr>
          <w:rFonts w:ascii="Trebuchet MS" w:hAnsi="Trebuchet MS" w:cs="Times New Roman"/>
          <w:lang w:val="fr-FR"/>
        </w:rPr>
      </w:pPr>
    </w:p>
    <w:p w14:paraId="3567969B" w14:textId="77777777" w:rsidR="00002DAC" w:rsidRPr="00181510" w:rsidRDefault="00002DAC" w:rsidP="00002DAC">
      <w:pPr>
        <w:pStyle w:val="Listepuces"/>
        <w:jc w:val="both"/>
        <w:rPr>
          <w:rFonts w:ascii="Trebuchet MS" w:hAnsi="Trebuchet MS" w:cs="Times New Roman"/>
          <w:lang w:val="fr-FR"/>
        </w:rPr>
      </w:pPr>
      <w:bookmarkStart w:id="10" w:name="_Toc417545126"/>
      <w:r w:rsidRPr="005A06ED">
        <w:rPr>
          <w:rFonts w:cs="Times New Roman"/>
          <w:bCs/>
          <w:lang w:val="fr-FR"/>
        </w:rPr>
        <w:t xml:space="preserve">Cette étape est essentielle pour </w:t>
      </w:r>
      <w:r w:rsidRPr="00181510">
        <w:rPr>
          <w:rStyle w:val="Titre2Car"/>
          <w:rFonts w:ascii="Trebuchet MS" w:hAnsi="Trebuchet MS"/>
          <w:b w:val="0"/>
          <w:i/>
          <w:lang w:val="fr-FR"/>
        </w:rPr>
        <w:t>pouvoir répondre efficacement aux violences sexuelles et sexistes,</w:t>
      </w:r>
      <w:bookmarkEnd w:id="10"/>
      <w:r w:rsidRPr="00181510">
        <w:rPr>
          <w:rFonts w:ascii="Trebuchet MS" w:hAnsi="Trebuchet MS" w:cs="Times New Roman"/>
          <w:lang w:val="fr-FR"/>
        </w:rPr>
        <w:t xml:space="preserve"> enjeu majeur pour tous les pays émergeant d'une situation de conflit. En tant que points d'entrée clés, les missions de maintien de la paix et les institutions du secteur de la sécurité ont un rôle crucial à jouer dans la prévention et la prise en charge des crimes, à condition que des mesures spécifiques soient intégrées à leurs mandats, à leurs proc</w:t>
      </w:r>
      <w:r w:rsidR="00396179">
        <w:rPr>
          <w:rFonts w:ascii="Trebuchet MS" w:hAnsi="Trebuchet MS" w:cs="Times New Roman"/>
          <w:lang w:val="fr-FR"/>
        </w:rPr>
        <w:t>édures opérationnelles et à leurs programmes</w:t>
      </w:r>
      <w:r w:rsidRPr="00181510">
        <w:rPr>
          <w:rFonts w:ascii="Trebuchet MS" w:hAnsi="Trebuchet MS" w:cs="Times New Roman"/>
          <w:lang w:val="fr-FR"/>
        </w:rPr>
        <w:t>.</w:t>
      </w:r>
    </w:p>
    <w:p w14:paraId="3567969C" w14:textId="77777777" w:rsidR="00002DAC" w:rsidRPr="00181510" w:rsidRDefault="00002DAC" w:rsidP="00002DAC">
      <w:pPr>
        <w:pStyle w:val="Listepuces"/>
        <w:numPr>
          <w:ilvl w:val="0"/>
          <w:numId w:val="0"/>
        </w:numPr>
        <w:jc w:val="both"/>
        <w:rPr>
          <w:rFonts w:ascii="Trebuchet MS" w:hAnsi="Trebuchet MS" w:cs="Times New Roman"/>
          <w:lang w:val="fr-FR"/>
        </w:rPr>
      </w:pPr>
    </w:p>
    <w:p w14:paraId="3567969D" w14:textId="77777777" w:rsidR="00002DAC" w:rsidRPr="00181510" w:rsidRDefault="00002DAC" w:rsidP="00002DAC">
      <w:pPr>
        <w:pStyle w:val="Listepuces"/>
        <w:jc w:val="both"/>
        <w:rPr>
          <w:rFonts w:ascii="Trebuchet MS" w:hAnsi="Trebuchet MS" w:cs="Times New Roman"/>
          <w:lang w:val="fr-FR"/>
        </w:rPr>
      </w:pPr>
      <w:r w:rsidRPr="00181510">
        <w:rPr>
          <w:rFonts w:ascii="Trebuchet MS" w:hAnsi="Trebuchet MS" w:cs="Times New Roman"/>
          <w:lang w:val="fr-FR"/>
        </w:rPr>
        <w:t xml:space="preserve">Soutenir la </w:t>
      </w:r>
      <w:r w:rsidRPr="00181510">
        <w:rPr>
          <w:rStyle w:val="Titre2Car"/>
          <w:rFonts w:ascii="Trebuchet MS" w:hAnsi="Trebuchet MS"/>
          <w:b w:val="0"/>
          <w:i/>
          <w:lang w:val="fr-FR"/>
        </w:rPr>
        <w:t>participation des femmes</w:t>
      </w:r>
      <w:r w:rsidRPr="00181510">
        <w:rPr>
          <w:rFonts w:ascii="Trebuchet MS" w:hAnsi="Trebuchet MS"/>
          <w:lang w:val="fr-FR"/>
        </w:rPr>
        <w:t xml:space="preserve"> à la réforme du secteur de la sécurité et au maintien de la paix est aussi un enjeu stratégique dans la mesure où les données disponibles </w:t>
      </w:r>
      <w:r w:rsidR="00396179">
        <w:rPr>
          <w:rFonts w:ascii="Trebuchet MS" w:hAnsi="Trebuchet MS"/>
          <w:lang w:val="fr-FR"/>
        </w:rPr>
        <w:t>montrent</w:t>
      </w:r>
      <w:r w:rsidRPr="00181510">
        <w:rPr>
          <w:rFonts w:ascii="Trebuchet MS" w:hAnsi="Trebuchet MS"/>
          <w:lang w:val="fr-FR"/>
        </w:rPr>
        <w:t xml:space="preserve"> que cette participation </w:t>
      </w:r>
      <w:r w:rsidR="00396179">
        <w:rPr>
          <w:rFonts w:ascii="Trebuchet MS" w:hAnsi="Trebuchet MS"/>
          <w:lang w:val="fr-FR"/>
        </w:rPr>
        <w:t xml:space="preserve">tend à </w:t>
      </w:r>
      <w:r w:rsidRPr="00181510">
        <w:rPr>
          <w:rFonts w:ascii="Trebuchet MS" w:hAnsi="Trebuchet MS"/>
          <w:lang w:val="fr-FR"/>
        </w:rPr>
        <w:t>améliore</w:t>
      </w:r>
      <w:r w:rsidR="00396179">
        <w:rPr>
          <w:rFonts w:ascii="Trebuchet MS" w:hAnsi="Trebuchet MS"/>
          <w:lang w:val="fr-FR"/>
        </w:rPr>
        <w:t>r</w:t>
      </w:r>
      <w:r w:rsidRPr="00181510">
        <w:rPr>
          <w:rFonts w:ascii="Trebuchet MS" w:hAnsi="Trebuchet MS"/>
          <w:lang w:val="fr-FR"/>
        </w:rPr>
        <w:t xml:space="preserve"> les perspectives d'intégration du genre aux processus de paix et de gouvernance </w:t>
      </w:r>
      <w:proofErr w:type="spellStart"/>
      <w:r w:rsidRPr="00181510">
        <w:rPr>
          <w:rFonts w:ascii="Trebuchet MS" w:hAnsi="Trebuchet MS"/>
          <w:lang w:val="fr-FR"/>
        </w:rPr>
        <w:t>postconflit</w:t>
      </w:r>
      <w:proofErr w:type="spellEnd"/>
      <w:r w:rsidRPr="00181510">
        <w:rPr>
          <w:rFonts w:ascii="Trebuchet MS" w:hAnsi="Trebuchet MS"/>
          <w:lang w:val="fr-FR"/>
        </w:rPr>
        <w:t xml:space="preserve"> ultérieurs (tel que mentionné dans l'article sur la gouvernance </w:t>
      </w:r>
      <w:proofErr w:type="spellStart"/>
      <w:r w:rsidRPr="00181510">
        <w:rPr>
          <w:rFonts w:ascii="Trebuchet MS" w:hAnsi="Trebuchet MS"/>
          <w:lang w:val="fr-FR"/>
        </w:rPr>
        <w:t>postconflit</w:t>
      </w:r>
      <w:proofErr w:type="spellEnd"/>
      <w:r w:rsidRPr="00181510">
        <w:rPr>
          <w:rFonts w:ascii="Trebuchet MS" w:hAnsi="Trebuchet MS"/>
          <w:lang w:val="fr-FR"/>
        </w:rPr>
        <w:t>).</w:t>
      </w:r>
    </w:p>
    <w:p w14:paraId="3567969E" w14:textId="77777777" w:rsidR="00002DAC" w:rsidRPr="00181510" w:rsidRDefault="006A0F0A" w:rsidP="006A0F0A">
      <w:pPr>
        <w:pStyle w:val="Titre2"/>
        <w:rPr>
          <w:lang w:val="fr-FR"/>
        </w:rPr>
      </w:pPr>
      <w:r w:rsidRPr="006A0F0A">
        <w:rPr>
          <w:lang w:val="fr-FR"/>
        </w:rPr>
        <w:lastRenderedPageBreak/>
        <w:t>Ce qui fait la différence : facteurs favorables</w:t>
      </w:r>
    </w:p>
    <w:p w14:paraId="3567969F"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Bien qu'il reste beaucoup de chemin à parcourir avant que le genre et la participation des femmes soient pleinement intégrés aux processus de maintien de la paix et de réforme du secteur de la sécurité, des progrès ont été constatés au cours des quinze dernières années. Ces expériences permettent d'identifier certains facteurs pouvant favoriser l'émergence d'institutions et d'indicateurs sensibles au genre, ainsi que d'une participation accrue des femmes en tant qu'actrices de la sécurité. </w:t>
      </w:r>
    </w:p>
    <w:p w14:paraId="356796A0" w14:textId="77777777" w:rsidR="00002DAC" w:rsidRPr="00181510" w:rsidRDefault="00002DAC" w:rsidP="00002DAC">
      <w:pPr>
        <w:ind w:right="26"/>
        <w:jc w:val="both"/>
        <w:rPr>
          <w:rFonts w:ascii="Trebuchet MS" w:hAnsi="Trebuchet MS"/>
          <w:b/>
          <w:lang w:val="fr-FR"/>
        </w:rPr>
      </w:pPr>
    </w:p>
    <w:p w14:paraId="356796A1"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Au-delà des enjeux de maintien de la paix et de RSS, il faut insister sur </w:t>
      </w:r>
      <w:r w:rsidRPr="00396179">
        <w:rPr>
          <w:rFonts w:ascii="Trebuchet MS" w:hAnsi="Trebuchet MS"/>
          <w:lang w:val="fr-FR"/>
        </w:rPr>
        <w:t>l'importance d'</w:t>
      </w:r>
      <w:r w:rsidRPr="00181510">
        <w:rPr>
          <w:rFonts w:ascii="Trebuchet MS" w:hAnsi="Trebuchet MS"/>
          <w:b/>
          <w:lang w:val="fr-FR"/>
        </w:rPr>
        <w:t xml:space="preserve">introduire en amont une approche intégrale tenant compte du contexte, </w:t>
      </w:r>
      <w:r w:rsidRPr="00181510">
        <w:rPr>
          <w:rFonts w:ascii="Trebuchet MS" w:hAnsi="Trebuchet MS"/>
          <w:lang w:val="fr-FR"/>
        </w:rPr>
        <w:t>principe général renforçant l'impact des efforts en matière de genre. Chaque pays et chaque communauté connaît des opportunités et des contraintes spécifiques, et c'est la sécurité des populations locales, masculines et féminines, plutôt que la seule participation des femmes, qui doit être le point de départ de toutes les interventions sensibles au genre. Plus le genre est introduit tôt, plus ces interventions sont efficaces. Les approches intégrales, combinant approche par le bas et approche par le haut, ainsi que celles impliquant côte à côte acteurs formels et informels, sont probablement les plus durables et les plus efficaces. À partir de ces observations générales, il est possible d'identifier les facteurs clés ci-dessous comme étant favorables à l'intégration du genre aux opérations de maintien de la paix et de réforme du secteur de la sécurité :</w:t>
      </w:r>
    </w:p>
    <w:p w14:paraId="356796A2" w14:textId="77777777" w:rsidR="00002DAC" w:rsidRPr="00181510" w:rsidRDefault="00002DAC" w:rsidP="00002DAC">
      <w:pPr>
        <w:ind w:right="26"/>
        <w:jc w:val="both"/>
        <w:rPr>
          <w:rFonts w:ascii="Trebuchet MS" w:hAnsi="Trebuchet MS"/>
          <w:lang w:val="fr-FR"/>
        </w:rPr>
      </w:pPr>
    </w:p>
    <w:p w14:paraId="356796A3" w14:textId="77777777" w:rsidR="00002DAC" w:rsidRPr="00181510" w:rsidRDefault="00002DAC" w:rsidP="00002DAC">
      <w:pPr>
        <w:ind w:right="26"/>
        <w:jc w:val="both"/>
        <w:rPr>
          <w:rFonts w:ascii="Trebuchet MS" w:hAnsi="Trebuchet MS"/>
          <w:lang w:val="fr-FR"/>
        </w:rPr>
      </w:pPr>
      <w:bookmarkStart w:id="11" w:name="_Toc417545128"/>
      <w:r w:rsidRPr="00181510">
        <w:rPr>
          <w:rStyle w:val="Titre2Car"/>
          <w:rFonts w:ascii="Trebuchet MS" w:hAnsi="Trebuchet MS"/>
          <w:b w:val="0"/>
          <w:i/>
          <w:lang w:val="fr-FR"/>
        </w:rPr>
        <w:t>L'engagement et le leadership des hauts responsables</w:t>
      </w:r>
      <w:bookmarkEnd w:id="11"/>
      <w:r w:rsidRPr="00181510">
        <w:rPr>
          <w:rFonts w:ascii="Trebuchet MS" w:hAnsi="Trebuchet MS"/>
          <w:lang w:val="fr-FR"/>
        </w:rPr>
        <w:t xml:space="preserve"> (par exemple, </w:t>
      </w:r>
      <w:r w:rsidR="00396179">
        <w:rPr>
          <w:rFonts w:ascii="Trebuchet MS" w:hAnsi="Trebuchet MS"/>
          <w:lang w:val="fr-FR"/>
        </w:rPr>
        <w:t xml:space="preserve">des </w:t>
      </w:r>
      <w:r w:rsidRPr="00181510">
        <w:rPr>
          <w:rFonts w:ascii="Trebuchet MS" w:hAnsi="Trebuchet MS"/>
          <w:lang w:val="fr-FR"/>
        </w:rPr>
        <w:t xml:space="preserve">Commandants des forces des Nations Unies, </w:t>
      </w:r>
      <w:r w:rsidR="00396179">
        <w:rPr>
          <w:rFonts w:ascii="Trebuchet MS" w:hAnsi="Trebuchet MS"/>
          <w:lang w:val="fr-FR"/>
        </w:rPr>
        <w:t xml:space="preserve">des </w:t>
      </w:r>
      <w:r w:rsidRPr="00181510">
        <w:rPr>
          <w:rFonts w:ascii="Trebuchet MS" w:hAnsi="Trebuchet MS"/>
          <w:lang w:val="fr-FR"/>
        </w:rPr>
        <w:t xml:space="preserve">Représentants spéciaux du Secrétaire général ou </w:t>
      </w:r>
      <w:r w:rsidR="00396179">
        <w:rPr>
          <w:rFonts w:ascii="Trebuchet MS" w:hAnsi="Trebuchet MS"/>
          <w:lang w:val="fr-FR"/>
        </w:rPr>
        <w:t xml:space="preserve">des </w:t>
      </w:r>
      <w:r w:rsidRPr="00181510">
        <w:rPr>
          <w:rFonts w:ascii="Trebuchet MS" w:hAnsi="Trebuchet MS"/>
          <w:lang w:val="fr-FR"/>
        </w:rPr>
        <w:t xml:space="preserve">Ministres de la Défense) en faveur de l'égalité des sexes, s'ils se traduisent par des mesures concrètes, peuvent favoriser la prise en compte effective de cet enjeu </w:t>
      </w:r>
      <w:r w:rsidR="00396179">
        <w:rPr>
          <w:rFonts w:ascii="Trebuchet MS" w:hAnsi="Trebuchet MS"/>
          <w:lang w:val="fr-FR"/>
        </w:rPr>
        <w:t>ainsi qu</w:t>
      </w:r>
      <w:r w:rsidR="006A0F0A" w:rsidRPr="00181510">
        <w:rPr>
          <w:rFonts w:ascii="Trebuchet MS" w:hAnsi="Trebuchet MS"/>
          <w:lang w:val="fr-FR"/>
        </w:rPr>
        <w:t>'</w:t>
      </w:r>
      <w:r w:rsidRPr="00181510">
        <w:rPr>
          <w:rFonts w:ascii="Trebuchet MS" w:hAnsi="Trebuchet MS"/>
          <w:lang w:val="fr-FR"/>
        </w:rPr>
        <w:t xml:space="preserve">un réel ancrage des réformes adoptées au sein des institutions du secteur de la sécurité. Par exemple, dans le cas des opérations de maintien de la paix, une évaluation de l'expérience de la </w:t>
      </w:r>
      <w:proofErr w:type="spellStart"/>
      <w:r w:rsidR="00396179">
        <w:rPr>
          <w:rFonts w:ascii="Trebuchet MS" w:hAnsi="Trebuchet MS"/>
          <w:lang w:val="fr-FR"/>
        </w:rPr>
        <w:t>MONUSCO</w:t>
      </w:r>
      <w:proofErr w:type="spellEnd"/>
      <w:r w:rsidR="00396179">
        <w:rPr>
          <w:rFonts w:ascii="Trebuchet MS" w:hAnsi="Trebuchet MS"/>
          <w:lang w:val="fr-FR"/>
        </w:rPr>
        <w:t xml:space="preserve"> (ex-</w:t>
      </w:r>
      <w:r w:rsidRPr="00181510">
        <w:rPr>
          <w:rFonts w:ascii="Trebuchet MS" w:hAnsi="Trebuchet MS"/>
          <w:lang w:val="fr-FR"/>
        </w:rPr>
        <w:t>MONUC</w:t>
      </w:r>
      <w:r w:rsidR="00396179">
        <w:rPr>
          <w:rFonts w:ascii="Trebuchet MS" w:hAnsi="Trebuchet MS"/>
          <w:lang w:val="fr-FR"/>
        </w:rPr>
        <w:t>)</w:t>
      </w:r>
      <w:r w:rsidRPr="00181510">
        <w:rPr>
          <w:rFonts w:ascii="Trebuchet MS" w:hAnsi="Trebuchet MS"/>
          <w:lang w:val="fr-FR"/>
        </w:rPr>
        <w:t xml:space="preserve"> du point de vue du genre a montré que l'engagement du </w:t>
      </w:r>
      <w:proofErr w:type="spellStart"/>
      <w:r w:rsidRPr="00181510">
        <w:rPr>
          <w:rFonts w:ascii="Trebuchet MS" w:hAnsi="Trebuchet MS"/>
          <w:lang w:val="fr-FR"/>
        </w:rPr>
        <w:t>RSSG</w:t>
      </w:r>
      <w:proofErr w:type="spellEnd"/>
      <w:r w:rsidRPr="00181510">
        <w:rPr>
          <w:rFonts w:ascii="Trebuchet MS" w:hAnsi="Trebuchet MS"/>
          <w:lang w:val="fr-FR"/>
        </w:rPr>
        <w:t xml:space="preserve"> ou, le cas échéant, du Commandant des forces, en faveur de l'intégration du genre au mandat et au travail de la mission est gage de résultats positifs. Cette remarque s'applique également aux décideurs de haut rang de l'ensemble des institutions du secteur de la sécurité, qui peuvent s'ériger en tant que modèles de responsabilité et influencer l'orientation des réformes sensibles au genre, ou fixer leurs objectifs.</w:t>
      </w:r>
    </w:p>
    <w:p w14:paraId="356796A4" w14:textId="77777777" w:rsidR="00002DAC" w:rsidRPr="00181510" w:rsidRDefault="00002DAC" w:rsidP="00002DAC">
      <w:pPr>
        <w:pStyle w:val="Paragraphedeliste"/>
        <w:ind w:right="26"/>
        <w:jc w:val="both"/>
        <w:rPr>
          <w:rFonts w:ascii="Trebuchet MS" w:hAnsi="Trebuchet MS" w:cs="Times New Roman"/>
          <w:sz w:val="18"/>
          <w:szCs w:val="18"/>
          <w:lang w:val="fr-FR"/>
        </w:rPr>
      </w:pPr>
    </w:p>
    <w:p w14:paraId="356796A5" w14:textId="77777777" w:rsidR="00002DAC" w:rsidRPr="00181510" w:rsidRDefault="00002DAC" w:rsidP="00002DAC">
      <w:pPr>
        <w:ind w:right="26"/>
        <w:jc w:val="both"/>
        <w:rPr>
          <w:rFonts w:ascii="Trebuchet MS" w:hAnsi="Trebuchet MS"/>
          <w:lang w:val="fr-FR"/>
        </w:rPr>
      </w:pPr>
      <w:bookmarkStart w:id="12" w:name="_Toc417545129"/>
      <w:r w:rsidRPr="00181510">
        <w:rPr>
          <w:rStyle w:val="Titre2Car"/>
          <w:rFonts w:ascii="Trebuchet MS" w:hAnsi="Trebuchet MS"/>
          <w:b w:val="0"/>
          <w:i/>
          <w:lang w:val="fr-FR"/>
        </w:rPr>
        <w:t>L'existence d'une expertise en matière de genre</w:t>
      </w:r>
      <w:bookmarkEnd w:id="12"/>
      <w:r w:rsidRPr="00181510">
        <w:rPr>
          <w:rFonts w:ascii="Trebuchet MS" w:hAnsi="Trebuchet MS"/>
          <w:b/>
          <w:lang w:val="fr-FR"/>
        </w:rPr>
        <w:t xml:space="preserve"> </w:t>
      </w:r>
      <w:r w:rsidRPr="00181510">
        <w:rPr>
          <w:rFonts w:ascii="Trebuchet MS" w:hAnsi="Trebuchet MS"/>
          <w:lang w:val="fr-FR"/>
        </w:rPr>
        <w:t>au sein des missions de maintien de la paix et des institutions du secteur de la sécurité soutient l'intégration du genre aux politiques et aux programmes de sécurité. Quelques progrès sont observables dans ce domaine : les neuf missions multidimensionnelles de maintien de la paix</w:t>
      </w:r>
      <w:r w:rsidR="00DA73E2">
        <w:rPr>
          <w:rFonts w:ascii="Trebuchet MS" w:hAnsi="Trebuchet MS"/>
          <w:lang w:val="fr-FR"/>
        </w:rPr>
        <w:t xml:space="preserve"> </w:t>
      </w:r>
      <w:r w:rsidR="00DA73E2" w:rsidRPr="00181510">
        <w:rPr>
          <w:rFonts w:ascii="Trebuchet MS" w:hAnsi="Trebuchet MS"/>
          <w:lang w:val="fr-FR"/>
        </w:rPr>
        <w:t>de l'ONU</w:t>
      </w:r>
      <w:r w:rsidRPr="00181510">
        <w:rPr>
          <w:rFonts w:ascii="Trebuchet MS" w:hAnsi="Trebuchet MS"/>
          <w:lang w:val="fr-FR"/>
        </w:rPr>
        <w:t xml:space="preserve"> actuellement actives disposent depuis décembre 2013 d'unités dédiées au genre, supervisées par des Conseillers en genre (niveau P-5 et P-4), et les sept missions traditionnelles disposent désormais de points focaux sur le genre (ONU 2014). Des progrès ont donc été constatés depuis 2011, époque à laquelle 100 % des missions de terrain du Département des opérations de maintien de la paix disposaient d'une composante genre, mais seulement 60 % de ces dernières étaient supervisées par un expert en genre senior (ONU Femmes, 2012). Toutefois, à ce stade, tous les postes ne sont pas assurés à temps plein, et les conseillers en genre ne participent pas toujours aux processus décisionnels de l'encadrement supérieur </w:t>
      </w:r>
      <w:r w:rsidR="00DA73E2">
        <w:rPr>
          <w:rFonts w:ascii="Trebuchet MS" w:hAnsi="Trebuchet MS"/>
          <w:lang w:val="fr-FR"/>
        </w:rPr>
        <w:t>ni ne</w:t>
      </w:r>
      <w:r w:rsidRPr="00181510">
        <w:rPr>
          <w:rFonts w:ascii="Trebuchet MS" w:hAnsi="Trebuchet MS"/>
          <w:lang w:val="fr-FR"/>
        </w:rPr>
        <w:t xml:space="preserve"> jouissent nécessairement d'un accès direct aux chefs de mission. Le contexte diffère selon les </w:t>
      </w:r>
      <w:r w:rsidRPr="00181510">
        <w:rPr>
          <w:rFonts w:ascii="Trebuchet MS" w:hAnsi="Trebuchet MS"/>
          <w:lang w:val="fr-FR"/>
        </w:rPr>
        <w:lastRenderedPageBreak/>
        <w:t>pays, mais les conseillers en genre des institutions impliquées dans la réforme du secteur de la sécurité sont généralement des cadres junior, souvent de sexe féminin, dont certains se retrouvent de fait à travailler en silo. Les entités n'étant pas tenues de rendre des comptes sur l'intégration du genre, l'efficacité des conseillers peut pâtir d'un manque de responsabilisation. Néanmoins, les données disponibles montrent que ces derniers jouent un rôle crucial s'agissant d'impulser l'approche par le genre au sein des institutions du secteur de la sécurité et de fournir une expertise sur le sujet. Il est important d'identifier des stratégies pouvant augmenter leur impact, par exemple en créant des canaux de communication directs avec l'encadrement supérieur ou en créant des réseaux de points focaux sur le genre reliant différents départements.</w:t>
      </w:r>
    </w:p>
    <w:p w14:paraId="356796A6" w14:textId="77777777" w:rsidR="00002DAC" w:rsidRPr="00181510" w:rsidRDefault="00002DAC" w:rsidP="00002DAC">
      <w:pPr>
        <w:ind w:right="26"/>
        <w:jc w:val="both"/>
        <w:rPr>
          <w:rFonts w:ascii="Trebuchet MS" w:hAnsi="Trebuchet MS"/>
          <w:lang w:val="fr-FR"/>
        </w:rPr>
      </w:pPr>
    </w:p>
    <w:p w14:paraId="356796A7" w14:textId="77777777" w:rsidR="00002DAC" w:rsidRPr="00181510" w:rsidRDefault="00002DAC" w:rsidP="00002DAC">
      <w:pPr>
        <w:jc w:val="both"/>
        <w:rPr>
          <w:rFonts w:ascii="Trebuchet MS" w:hAnsi="Trebuchet MS"/>
          <w:lang w:val="fr-FR"/>
        </w:rPr>
      </w:pPr>
      <w:r w:rsidRPr="00181510">
        <w:rPr>
          <w:rFonts w:ascii="Trebuchet MS" w:hAnsi="Trebuchet MS"/>
          <w:lang w:val="fr-FR"/>
        </w:rPr>
        <w:t>Comme mentionné précédemment, la sécurité des individus et des communautés est le point de départ et l'objectif ultime du maintien de la paix et de la réforme du secteur de la sécurité. Prioriser l'</w:t>
      </w:r>
      <w:r w:rsidRPr="00181510">
        <w:rPr>
          <w:rStyle w:val="Titre2Car"/>
          <w:rFonts w:ascii="Trebuchet MS" w:hAnsi="Trebuchet MS"/>
          <w:b w:val="0"/>
          <w:i/>
          <w:lang w:val="fr-FR"/>
        </w:rPr>
        <w:t>investissement des communautés locales</w:t>
      </w:r>
      <w:r w:rsidRPr="00181510">
        <w:rPr>
          <w:rFonts w:ascii="Trebuchet MS" w:hAnsi="Trebuchet MS"/>
          <w:lang w:val="fr-FR"/>
        </w:rPr>
        <w:t>, y compris des groupes de femmes, dans la détermination des besoins et des priorités en termes de sécurité et dans la conception et la fourniture des services peut favoriser l'appropriation, la durabilité et l'efficacité des réformes à l'échelle locale. Adopter une approche par le bas, appuyée sur les initiatives et acteurs existants à l'échelle locale, peut aussi permettre de garantir que ces réformes so</w:t>
      </w:r>
      <w:r w:rsidR="00DA73E2">
        <w:rPr>
          <w:rFonts w:ascii="Trebuchet MS" w:hAnsi="Trebuchet MS"/>
          <w:lang w:val="fr-FR"/>
        </w:rPr>
        <w:t>ie</w:t>
      </w:r>
      <w:r w:rsidRPr="00181510">
        <w:rPr>
          <w:rFonts w:ascii="Trebuchet MS" w:hAnsi="Trebuchet MS"/>
          <w:lang w:val="fr-FR"/>
        </w:rPr>
        <w:t xml:space="preserve">nt adaptées aux normes et cultures locales (OCDE 2013, p. 44). Par exemple, une étude récente de l'OTAN sur l'impact de l'approche de genre sur ses opérations a identifié plusieurs initiatives simples d'implication des communautés locales ayant débouché sur une meilleure sensibilisation aux besoins de sécurité </w:t>
      </w:r>
      <w:r w:rsidR="00DA73E2">
        <w:rPr>
          <w:rFonts w:ascii="Trebuchet MS" w:hAnsi="Trebuchet MS"/>
          <w:lang w:val="fr-FR"/>
        </w:rPr>
        <w:t>spécifiques de</w:t>
      </w:r>
      <w:r w:rsidRPr="00181510">
        <w:rPr>
          <w:rFonts w:ascii="Trebuchet MS" w:hAnsi="Trebuchet MS"/>
          <w:lang w:val="fr-FR"/>
        </w:rPr>
        <w:t xml:space="preserve"> chaque sexe, et ayant permis à la communauté internationale d'améliorer son efficacité. L'une de ces initiatives comprenait la mise en place de marchés de femmes au sein des bases de l'OTAN, ainsi que de rencontres ciblées entre femmes locales et représentants de l'OTAN pour débattre des priorités de sécurité en Afghanistan. Les femmes peuvent avoir accès à différentes catégories d'information sur les menaces pesant sur la sécurité, comme l'emplacement des dépôts d'armes secrets. Valoriser le rôle des femmes dans la consolidation de la paix et la réconciliation à l'échelle locale peut améliorer la confiance accordée au secteur de la sécurité. </w:t>
      </w:r>
    </w:p>
    <w:p w14:paraId="356796A8" w14:textId="77777777" w:rsidR="00002DAC" w:rsidRPr="00181510" w:rsidRDefault="00002DAC" w:rsidP="00002DAC">
      <w:pPr>
        <w:ind w:right="26"/>
        <w:jc w:val="both"/>
        <w:rPr>
          <w:rFonts w:ascii="Trebuchet MS" w:hAnsi="Trebuchet MS"/>
          <w:lang w:val="fr-FR"/>
        </w:rPr>
      </w:pPr>
    </w:p>
    <w:p w14:paraId="356796A9"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Une </w:t>
      </w:r>
      <w:r w:rsidRPr="00181510">
        <w:rPr>
          <w:rStyle w:val="Titre2Car"/>
          <w:rFonts w:ascii="Trebuchet MS" w:hAnsi="Trebuchet MS"/>
          <w:b w:val="0"/>
          <w:i/>
          <w:lang w:val="fr-FR"/>
        </w:rPr>
        <w:t>r</w:t>
      </w:r>
      <w:r w:rsidR="00DA73E2">
        <w:rPr>
          <w:rStyle w:val="Titre2Car"/>
          <w:rFonts w:ascii="Trebuchet MS" w:hAnsi="Trebuchet MS"/>
          <w:b w:val="0"/>
          <w:i/>
          <w:lang w:val="fr-FR"/>
        </w:rPr>
        <w:t>eprésentation accrue des femmes</w:t>
      </w:r>
      <w:r w:rsidRPr="00181510">
        <w:rPr>
          <w:rStyle w:val="Titre2Car"/>
          <w:rFonts w:ascii="Trebuchet MS" w:hAnsi="Trebuchet MS"/>
          <w:b w:val="0"/>
          <w:i/>
          <w:lang w:val="fr-FR"/>
        </w:rPr>
        <w:t xml:space="preserve"> et leur participation visible</w:t>
      </w:r>
      <w:r w:rsidRPr="00181510">
        <w:rPr>
          <w:rFonts w:ascii="Trebuchet MS" w:hAnsi="Trebuchet MS"/>
          <w:lang w:val="fr-FR"/>
        </w:rPr>
        <w:t xml:space="preserve"> aux missions de maintien de la paix et institutions du secteur de la sécurité, peuvent aussi avoir un impact positif sur la remise en cause des rôles traditionnels et des attitudes discriminatoires. Bien qu'une simple amélioration quantitative de la parité ne garantisse pas une meilleure intégration du genre à l'échelle institutionnelle, la mise en place des structures et processus nécessaires à la participation effective des femmes au maintien de la paix et à la RSS est une étape cruciale. Cela étant dit, dans la plupart des pays, la progression de la parité au sein du secteur de la sécurité reste faible malgré l'adoption de politiques de recrutement favorables. Dans le domaine du maintien de la paix, les données du </w:t>
      </w:r>
      <w:proofErr w:type="spellStart"/>
      <w:r w:rsidRPr="00181510">
        <w:rPr>
          <w:rFonts w:ascii="Trebuchet MS" w:hAnsi="Trebuchet MS"/>
          <w:lang w:val="fr-FR"/>
        </w:rPr>
        <w:t>DOMP</w:t>
      </w:r>
      <w:proofErr w:type="spellEnd"/>
      <w:r w:rsidRPr="00181510">
        <w:rPr>
          <w:rFonts w:ascii="Trebuchet MS" w:hAnsi="Trebuchet MS"/>
          <w:lang w:val="fr-FR"/>
        </w:rPr>
        <w:t xml:space="preserve"> montrent que, depuis 2010, la proportion de femmes a augmenté au sein des contingents militaires (de 2,35 % à 2,9 %), des forces de police individuelles (de 11,8 à 16,7 %) et des unités de police (5,7 % à 5,9 %). Nonobstant, à l'échelle de l'ensemble des missions de maintien de la paix de l'ONU, le nombre d'expertes militaires féminines a récemment diminué à nouveau. Ces chiffres sont loin de satisfaire l'objectif de l'ONU, fixé à 20 % d'agents de police féminins pour les missions de maintien de la paix (ONU 2014). La nomination en 2014 du Général de division norvégien </w:t>
      </w:r>
      <w:r w:rsidRPr="00181510">
        <w:rPr>
          <w:rFonts w:ascii="Trebuchet MS" w:hAnsi="Trebuchet MS"/>
          <w:lang w:val="fr-FR"/>
        </w:rPr>
        <w:lastRenderedPageBreak/>
        <w:t>Kristin Lund à la tête de l'</w:t>
      </w:r>
      <w:proofErr w:type="spellStart"/>
      <w:r w:rsidRPr="00181510">
        <w:rPr>
          <w:rFonts w:ascii="Trebuchet MS" w:hAnsi="Trebuchet MS"/>
          <w:lang w:val="fr-FR"/>
        </w:rPr>
        <w:t>UNFICYP</w:t>
      </w:r>
      <w:proofErr w:type="spellEnd"/>
      <w:r w:rsidRPr="00181510">
        <w:rPr>
          <w:rFonts w:ascii="Trebuchet MS" w:hAnsi="Trebuchet MS"/>
          <w:lang w:val="fr-FR"/>
        </w:rPr>
        <w:t>, première femme Commandant des forces de maintien de la paix des Nations Unies, reste un événement positif. Malgré cela, la parité a généralement décliné au sein de l'encadrement supérieur. Dans le cas de la RSS, le contexte diffère selon les pays, mais les études de l'ONU Femmes (2011) ont montré qu'une participation accrue des femmes aux institutions du secteur de la sécurité a produit des améliorations dans les domaines du renseignement, du signalement des crimes relevant des violences sexuelles et sexistes, et de la protection accordée aux victimes et témoins féminines. Toutefois, le même rapport constate qu'à l'échelle mondiale, les femmes ne représentent en moyenne que 9 % des forces de police, illustrant le chemin qu'il reste à parcourir pour parvenir à la parité dans le secteur de la sécurité.</w:t>
      </w:r>
    </w:p>
    <w:p w14:paraId="356796AA" w14:textId="77777777" w:rsidR="00002DAC" w:rsidRPr="00181510" w:rsidRDefault="00002DAC" w:rsidP="00002DAC">
      <w:pPr>
        <w:ind w:right="26"/>
        <w:jc w:val="both"/>
        <w:rPr>
          <w:rFonts w:ascii="Trebuchet MS" w:hAnsi="Trebuchet MS"/>
          <w:lang w:val="fr-FR"/>
        </w:rPr>
      </w:pPr>
    </w:p>
    <w:p w14:paraId="356796AB" w14:textId="77777777" w:rsidR="00002DAC" w:rsidRPr="00181510" w:rsidRDefault="00002DAC" w:rsidP="00002DAC">
      <w:pPr>
        <w:ind w:right="26"/>
        <w:jc w:val="both"/>
        <w:rPr>
          <w:rFonts w:ascii="Trebuchet MS" w:hAnsi="Trebuchet MS"/>
          <w:lang w:val="fr-FR"/>
        </w:rPr>
      </w:pPr>
      <w:bookmarkStart w:id="13" w:name="_Toc417545130"/>
      <w:r w:rsidRPr="00181510">
        <w:rPr>
          <w:rStyle w:val="Titre2Car"/>
          <w:rFonts w:ascii="Trebuchet MS" w:hAnsi="Trebuchet MS"/>
          <w:b w:val="0"/>
          <w:i/>
          <w:lang w:val="fr-FR"/>
        </w:rPr>
        <w:t>L'intégration d'analyses et de données spécifiques au genre et ventilées par sexe</w:t>
      </w:r>
      <w:bookmarkEnd w:id="13"/>
      <w:r w:rsidRPr="00181510">
        <w:rPr>
          <w:rFonts w:ascii="Trebuchet MS" w:hAnsi="Trebuchet MS"/>
          <w:b/>
          <w:lang w:val="fr-FR"/>
        </w:rPr>
        <w:t xml:space="preserve"> </w:t>
      </w:r>
      <w:r w:rsidRPr="00181510">
        <w:rPr>
          <w:rFonts w:ascii="Trebuchet MS" w:hAnsi="Trebuchet MS"/>
          <w:lang w:val="fr-FR"/>
        </w:rPr>
        <w:t xml:space="preserve">est une étape nécessaire pour favoriser l'émergence de processus de maintien de la paix et de RSS plus sensibles au genre. Par exemple, insérer des références aux femmes ou aux besoins de sécurité spécifiques de chaque sexe dans les rapports concernant la sécurité des États fragiles et en situation de conflit permet leur reconnaissance et leur prise en compte dans les processus de maintien de la paix et de RSS. C'est également un enjeu essentiel s'agissant de concevoir des programmes efficaces et de suivre l'impact des réformes mises en place. Les données de 2013 montrent que 14 des 20 résolutions du Conseil de sécurité de l'ONU relatives à la mise en œuvre ou au renouvellement de missions de maintien de la paix conduites ou non par l'ONU incluaient des références aux femmes, à la paix et à la sécurité, soit une augmentation de 23 % depuis 2012 (ONU 2014). L'adoption de Plans d'action nationaux (PAN) sur les femmes, la paix et la sécurité ouvre des opportunités de renforcement des actions mises en place dans ce domaine. À ce jour, plus de quarante pays ont développé des plans répertoriant les engagements, programmes et activités dédiés à l'échelle nationale, dont certains relèvent du maintien de la paix et de la RSS. Intégrer les PAN aux efforts de redéfinition des politiques, institutions et stratégies de sécurité menés au sortir d'un conflit permettrait de mieux coordonner les interventions et de les rendre plus efficaces et plus pertinentes. </w:t>
      </w:r>
    </w:p>
    <w:p w14:paraId="356796AC" w14:textId="77777777" w:rsidR="00002DAC" w:rsidRPr="00181510" w:rsidRDefault="00002DAC" w:rsidP="00002DAC">
      <w:pPr>
        <w:pStyle w:val="Titre2"/>
        <w:rPr>
          <w:lang w:val="fr-FR"/>
        </w:rPr>
      </w:pPr>
      <w:bookmarkStart w:id="14" w:name="_Toc411365687"/>
      <w:bookmarkStart w:id="15" w:name="_Toc417545131"/>
      <w:r w:rsidRPr="00181510">
        <w:rPr>
          <w:lang w:val="fr-FR"/>
        </w:rPr>
        <w:t>Obstacles et contraintes</w:t>
      </w:r>
      <w:bookmarkEnd w:id="14"/>
      <w:bookmarkEnd w:id="15"/>
    </w:p>
    <w:p w14:paraId="356796AD"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En dépit de quelques bonnes pratiques observables et de la reconnaissance croissante (au moins </w:t>
      </w:r>
      <w:r w:rsidR="00DA73E2">
        <w:rPr>
          <w:rFonts w:ascii="Trebuchet MS" w:hAnsi="Trebuchet MS"/>
          <w:lang w:val="fr-FR"/>
        </w:rPr>
        <w:t>dans le discours</w:t>
      </w:r>
      <w:r w:rsidRPr="00181510">
        <w:rPr>
          <w:rFonts w:ascii="Trebuchet MS" w:hAnsi="Trebuchet MS"/>
          <w:lang w:val="fr-FR"/>
        </w:rPr>
        <w:t xml:space="preserve">) des enjeux de genre dans le maintien de la paix et la réforme du secteur de la sécurité, des contraintes significatives subsistent, aussi bien en termes de défis structurels que de fonctionnement des acteurs. </w:t>
      </w:r>
    </w:p>
    <w:p w14:paraId="356796AE" w14:textId="77777777" w:rsidR="00002DAC" w:rsidRPr="00181510" w:rsidRDefault="00002DAC" w:rsidP="00002DAC">
      <w:pPr>
        <w:pStyle w:val="Corpsdetexte"/>
        <w:spacing w:after="0" w:line="240" w:lineRule="auto"/>
        <w:ind w:right="26"/>
        <w:rPr>
          <w:rFonts w:ascii="Trebuchet MS" w:hAnsi="Trebuchet MS"/>
          <w:sz w:val="18"/>
          <w:szCs w:val="18"/>
          <w:lang w:val="fr-FR"/>
        </w:rPr>
      </w:pPr>
    </w:p>
    <w:p w14:paraId="356796AF"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L'ancrage ancien et profond des</w:t>
      </w:r>
      <w:r w:rsidRPr="00181510">
        <w:rPr>
          <w:rFonts w:ascii="Trebuchet MS" w:hAnsi="Trebuchet MS"/>
          <w:b/>
          <w:lang w:val="fr-FR"/>
        </w:rPr>
        <w:t xml:space="preserve"> cultures masculines</w:t>
      </w:r>
      <w:r w:rsidRPr="00181510">
        <w:rPr>
          <w:rFonts w:ascii="Trebuchet MS" w:hAnsi="Trebuchet MS"/>
          <w:lang w:val="fr-FR"/>
        </w:rPr>
        <w:t xml:space="preserve"> dans les institutions militaires et de sécurité reste un obstacle majeur, autant pour les opérations de maintien de la paix que pour les processus de RSS</w:t>
      </w:r>
      <w:r w:rsidRPr="00181510">
        <w:rPr>
          <w:rFonts w:ascii="Trebuchet MS" w:hAnsi="Trebuchet MS"/>
          <w:b/>
          <w:lang w:val="fr-FR"/>
        </w:rPr>
        <w:t xml:space="preserve">. </w:t>
      </w:r>
      <w:r w:rsidRPr="00181510">
        <w:rPr>
          <w:rFonts w:ascii="Trebuchet MS" w:hAnsi="Trebuchet MS"/>
          <w:lang w:val="fr-FR"/>
        </w:rPr>
        <w:t xml:space="preserve">Il se manifeste entre autres par la dominance des acteurs masculins, par la persistance de l'impunité, par la normalisation de la violence envers les femmes et par la perception de ces dernières en tant que victimes, plutôt qu'en tant qu'agents capables de définir et de défendre leurs propres besoins en termes de sécurité. Les liens entre masculinité et consolidation de la paix sont encore mal compris, ce qui constitue un autre obstacle majeur. Les liens </w:t>
      </w:r>
      <w:r w:rsidR="00DA73E2">
        <w:rPr>
          <w:rFonts w:ascii="Trebuchet MS" w:hAnsi="Trebuchet MS"/>
          <w:lang w:val="fr-FR"/>
        </w:rPr>
        <w:t>reliant</w:t>
      </w:r>
      <w:r w:rsidRPr="00181510">
        <w:rPr>
          <w:rFonts w:ascii="Trebuchet MS" w:hAnsi="Trebuchet MS"/>
          <w:lang w:val="fr-FR"/>
        </w:rPr>
        <w:t xml:space="preserve"> l'(in)sécurité des hommes </w:t>
      </w:r>
      <w:r w:rsidR="00DA73E2">
        <w:rPr>
          <w:rFonts w:ascii="Trebuchet MS" w:hAnsi="Trebuchet MS"/>
          <w:lang w:val="fr-FR"/>
        </w:rPr>
        <w:t>à</w:t>
      </w:r>
      <w:r w:rsidRPr="00181510">
        <w:rPr>
          <w:rFonts w:ascii="Trebuchet MS" w:hAnsi="Trebuchet MS"/>
          <w:lang w:val="fr-FR"/>
        </w:rPr>
        <w:t xml:space="preserve"> celle des femmes sont rarement reconnus, réduisant d'autant l'efficacité des programmes. Bien que la formation, la sensibilisation et le développement de mécanismes de responsabilisation </w:t>
      </w:r>
      <w:r w:rsidR="00DA73E2" w:rsidRPr="00181510">
        <w:rPr>
          <w:rFonts w:ascii="Trebuchet MS" w:hAnsi="Trebuchet MS"/>
          <w:lang w:val="fr-FR"/>
        </w:rPr>
        <w:t xml:space="preserve">stricts </w:t>
      </w:r>
      <w:r w:rsidRPr="00181510">
        <w:rPr>
          <w:rFonts w:ascii="Trebuchet MS" w:hAnsi="Trebuchet MS"/>
          <w:lang w:val="fr-FR"/>
        </w:rPr>
        <w:t xml:space="preserve">soient tous </w:t>
      </w:r>
      <w:r w:rsidRPr="00181510">
        <w:rPr>
          <w:rFonts w:ascii="Trebuchet MS" w:hAnsi="Trebuchet MS"/>
          <w:lang w:val="fr-FR"/>
        </w:rPr>
        <w:lastRenderedPageBreak/>
        <w:t>utiles à la lutte contre les cultures discriminatoires au sein des institutions du secteur de la sécurité, l'impact positif de ces efforts n'est observable qu'au terme de plusieurs années.</w:t>
      </w:r>
    </w:p>
    <w:p w14:paraId="356796B0" w14:textId="77777777" w:rsidR="00002DAC" w:rsidRPr="00181510" w:rsidRDefault="00002DAC" w:rsidP="00002DAC">
      <w:pPr>
        <w:ind w:right="26"/>
        <w:jc w:val="both"/>
        <w:rPr>
          <w:rFonts w:ascii="Trebuchet MS" w:hAnsi="Trebuchet MS"/>
          <w:lang w:val="fr-FR"/>
        </w:rPr>
      </w:pPr>
    </w:p>
    <w:p w14:paraId="356796B1"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À l'échelle mondiale, les données témoignant de la faible représentation des femmes au sein du maintien de la paix et des institutions du secteur de la sécurité reflètent les </w:t>
      </w:r>
      <w:r w:rsidRPr="00DA73E2">
        <w:rPr>
          <w:rFonts w:ascii="Trebuchet MS" w:hAnsi="Trebuchet MS"/>
          <w:b/>
          <w:lang w:val="fr-FR"/>
        </w:rPr>
        <w:t>difficultés de</w:t>
      </w:r>
      <w:r w:rsidRPr="00181510">
        <w:rPr>
          <w:rFonts w:ascii="Trebuchet MS" w:hAnsi="Trebuchet MS"/>
          <w:lang w:val="fr-FR"/>
        </w:rPr>
        <w:t xml:space="preserve"> </w:t>
      </w:r>
      <w:r w:rsidRPr="00181510">
        <w:rPr>
          <w:rFonts w:ascii="Trebuchet MS" w:hAnsi="Trebuchet MS"/>
          <w:b/>
          <w:lang w:val="fr-FR"/>
        </w:rPr>
        <w:t xml:space="preserve">recrutement et de rétention des femmes </w:t>
      </w:r>
      <w:r w:rsidR="00DA73E2">
        <w:rPr>
          <w:rFonts w:ascii="Trebuchet MS" w:hAnsi="Trebuchet MS"/>
          <w:b/>
          <w:lang w:val="fr-FR"/>
        </w:rPr>
        <w:t>dans</w:t>
      </w:r>
      <w:r w:rsidRPr="00181510">
        <w:rPr>
          <w:rFonts w:ascii="Trebuchet MS" w:hAnsi="Trebuchet MS"/>
          <w:b/>
          <w:lang w:val="fr-FR"/>
        </w:rPr>
        <w:t xml:space="preserve"> le secteur</w:t>
      </w:r>
      <w:r w:rsidRPr="00181510">
        <w:rPr>
          <w:rFonts w:ascii="Trebuchet MS" w:hAnsi="Trebuchet MS"/>
          <w:lang w:val="fr-FR"/>
        </w:rPr>
        <w:t xml:space="preserve">, aussi bien dans les pays en situation de conflit que dans les pays fournisseurs de contingents militaires. Ces difficultés peuvent s'expliquer par un manque de soutien et d'accompagnement spécifiques, par la faible diversification des rôles féminins au sein des unités de maintien de la paix et des institutions du secteur de la sécurité (telles que la police), qui restent soumises à des hiérarchies de genre, et par la difficulté pour les femmes à mener de front vie de famille et carrière militaire. Les initiatives positives comme le partenariat </w:t>
      </w:r>
      <w:proofErr w:type="spellStart"/>
      <w:r w:rsidRPr="00181510">
        <w:rPr>
          <w:rFonts w:ascii="Trebuchet MS" w:hAnsi="Trebuchet MS"/>
          <w:lang w:val="fr-FR"/>
        </w:rPr>
        <w:t>Genderforce</w:t>
      </w:r>
      <w:proofErr w:type="spellEnd"/>
      <w:r w:rsidRPr="00181510">
        <w:rPr>
          <w:rFonts w:ascii="Trebuchet MS" w:hAnsi="Trebuchet MS"/>
          <w:lang w:val="fr-FR"/>
        </w:rPr>
        <w:t xml:space="preserve"> en Suède sont des exemples de stratégies innovantes favorisant l'émergence d'institutions plus sensibles au genre.</w:t>
      </w:r>
    </w:p>
    <w:p w14:paraId="356796B2" w14:textId="77777777" w:rsidR="00002DAC" w:rsidRPr="00181510" w:rsidRDefault="00002DAC" w:rsidP="00002DAC">
      <w:pPr>
        <w:ind w:right="26"/>
        <w:jc w:val="both"/>
        <w:rPr>
          <w:rFonts w:ascii="Trebuchet MS" w:hAnsi="Trebuchet MS"/>
          <w:lang w:val="fr-FR"/>
        </w:rPr>
      </w:pPr>
    </w:p>
    <w:p w14:paraId="356796B3"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La lutte contre l'inégalité des sexes est fréquemment présentée comme un exercice technique, alors qu'il s'agit en réalité d'une problématique politique complexe. L'établissement de la sécurité et de l'État de droit est aussi étroitement corrélé à la distribution et à l'exercice du pouvoir politique au sein de la société. </w:t>
      </w:r>
    </w:p>
    <w:p w14:paraId="356796B4" w14:textId="77777777" w:rsidR="00002DAC" w:rsidRPr="00181510" w:rsidRDefault="00002DAC" w:rsidP="00002DAC">
      <w:pPr>
        <w:ind w:right="26"/>
        <w:jc w:val="both"/>
        <w:rPr>
          <w:rFonts w:ascii="Trebuchet MS" w:hAnsi="Trebuchet MS"/>
          <w:lang w:val="fr-FR"/>
        </w:rPr>
      </w:pPr>
    </w:p>
    <w:p w14:paraId="356796B5"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Cette réalité peut générer d'importantes résistances s'agissant d'adopter une approche de genre. En particulier,</w:t>
      </w:r>
      <w:r w:rsidRPr="002A274D">
        <w:rPr>
          <w:rFonts w:ascii="Trebuchet MS" w:hAnsi="Trebuchet MS"/>
          <w:b/>
          <w:lang w:val="fr-FR"/>
        </w:rPr>
        <w:t xml:space="preserve"> l'attention</w:t>
      </w:r>
      <w:r w:rsidRPr="00181510">
        <w:rPr>
          <w:rFonts w:ascii="Trebuchet MS" w:hAnsi="Trebuchet MS"/>
          <w:b/>
          <w:lang w:val="fr-FR"/>
        </w:rPr>
        <w:t xml:space="preserve"> peut </w:t>
      </w:r>
      <w:r w:rsidR="002A274D">
        <w:rPr>
          <w:rFonts w:ascii="Trebuchet MS" w:hAnsi="Trebuchet MS"/>
          <w:b/>
          <w:lang w:val="fr-FR"/>
        </w:rPr>
        <w:t xml:space="preserve">être centrée </w:t>
      </w:r>
      <w:r w:rsidRPr="00181510">
        <w:rPr>
          <w:rFonts w:ascii="Trebuchet MS" w:hAnsi="Trebuchet MS"/>
          <w:b/>
          <w:lang w:val="fr-FR"/>
        </w:rPr>
        <w:t>sur la sécurité "concrète"</w:t>
      </w:r>
      <w:r w:rsidRPr="00181510">
        <w:rPr>
          <w:rFonts w:ascii="Trebuchet MS" w:hAnsi="Trebuchet MS"/>
          <w:lang w:val="fr-FR"/>
        </w:rPr>
        <w:t xml:space="preserve">, </w:t>
      </w:r>
      <w:r w:rsidRPr="00181510">
        <w:rPr>
          <w:rFonts w:ascii="Trebuchet MS" w:hAnsi="Trebuchet MS"/>
          <w:b/>
          <w:lang w:val="fr-FR"/>
        </w:rPr>
        <w:t>excluant ainsi les problématiques de genre et de participation des femmes du débat</w:t>
      </w:r>
      <w:r w:rsidRPr="00181510">
        <w:rPr>
          <w:rFonts w:ascii="Trebuchet MS" w:hAnsi="Trebuchet MS"/>
          <w:lang w:val="fr-FR"/>
        </w:rPr>
        <w:t xml:space="preserve"> malgré l'existence de politiques et engagements dans ce domaine. Bien que le genre soit souvent cité en tant que "problématique transversale", les expériences de pays aussi divers que le Kosovo ou l'Afghanistan montrent que d'un point de vue stratégique, cette question reste trop souvent ignorée. Les femmes et leurs intérêts sont rarement mentionnés dans les négociations, stratégies et politiques relatives à la sécurité. Par exemple, bien que l'analyse de genre soit de plus en plus souvent intégrée aux évaluations internationales sur la sécurité, des études récentes ont révélé que le genre reste largement exclu des débats sur l</w:t>
      </w:r>
      <w:r w:rsidR="002A274D">
        <w:rPr>
          <w:rFonts w:ascii="Trebuchet MS" w:hAnsi="Trebuchet MS"/>
          <w:lang w:val="fr-FR"/>
        </w:rPr>
        <w:t>es</w:t>
      </w:r>
      <w:r w:rsidRPr="00181510">
        <w:rPr>
          <w:rFonts w:ascii="Trebuchet MS" w:hAnsi="Trebuchet MS"/>
          <w:lang w:val="fr-FR"/>
        </w:rPr>
        <w:t xml:space="preserve"> RSS nationale</w:t>
      </w:r>
      <w:r w:rsidR="002A274D">
        <w:rPr>
          <w:rFonts w:ascii="Trebuchet MS" w:hAnsi="Trebuchet MS"/>
          <w:lang w:val="fr-FR"/>
        </w:rPr>
        <w:t>s</w:t>
      </w:r>
      <w:r w:rsidRPr="00181510">
        <w:rPr>
          <w:rFonts w:ascii="Trebuchet MS" w:hAnsi="Trebuchet MS"/>
          <w:lang w:val="fr-FR"/>
        </w:rPr>
        <w:t xml:space="preserve"> conduits par le Conseil de sécurité de l'ONU (</w:t>
      </w:r>
      <w:proofErr w:type="spellStart"/>
      <w:r w:rsidR="003048D0">
        <w:rPr>
          <w:rFonts w:ascii="Trebuchet MS" w:hAnsi="Trebuchet MS"/>
          <w:lang w:val="fr-FR"/>
        </w:rPr>
        <w:t>GTONG</w:t>
      </w:r>
      <w:proofErr w:type="spellEnd"/>
      <w:r w:rsidR="00BD2ABD">
        <w:rPr>
          <w:rFonts w:ascii="Trebuchet MS" w:hAnsi="Trebuchet MS"/>
          <w:lang w:val="fr-FR"/>
        </w:rPr>
        <w:t> </w:t>
      </w:r>
      <w:r w:rsidRPr="00181510">
        <w:rPr>
          <w:rFonts w:ascii="Trebuchet MS" w:hAnsi="Trebuchet MS"/>
          <w:lang w:val="fr-FR"/>
        </w:rPr>
        <w:t>2014). Étant donné</w:t>
      </w:r>
      <w:r w:rsidR="002A274D">
        <w:rPr>
          <w:rFonts w:ascii="Trebuchet MS" w:hAnsi="Trebuchet MS"/>
          <w:lang w:val="fr-FR"/>
        </w:rPr>
        <w:t>e</w:t>
      </w:r>
      <w:r w:rsidRPr="00181510">
        <w:rPr>
          <w:rFonts w:ascii="Trebuchet MS" w:hAnsi="Trebuchet MS"/>
          <w:lang w:val="fr-FR"/>
        </w:rPr>
        <w:t xml:space="preserve"> la difficulté des femmes à atteindre des postes de haut rang au sein des institutions du secteur de la sécurité et le manque de soutien déclaré de la part des hommes, les individus engagés dans le maintien de la paix ou la RSS disposant d'une capacité d'action ou d'une autorité suffisante pour plaidoyer efficacement en faveur du genre sont peu nombreux. Similairement, le </w:t>
      </w:r>
      <w:r w:rsidRPr="00181510">
        <w:rPr>
          <w:rFonts w:ascii="Trebuchet MS" w:hAnsi="Trebuchet MS"/>
          <w:b/>
          <w:lang w:val="fr-FR"/>
        </w:rPr>
        <w:t>manque de ressources et de volonté politique</w:t>
      </w:r>
      <w:r w:rsidRPr="00181510">
        <w:rPr>
          <w:rFonts w:ascii="Trebuchet MS" w:hAnsi="Trebuchet MS"/>
          <w:lang w:val="fr-FR"/>
        </w:rPr>
        <w:t xml:space="preserve"> s'agissant de transformer le statu quo, en particulier à l'échelle nationale, peut décourager les efforts menés pour l'intégration du genre au secteur de la sécurité. </w:t>
      </w:r>
    </w:p>
    <w:p w14:paraId="356796B6" w14:textId="77777777" w:rsidR="00002DAC" w:rsidRPr="00181510" w:rsidRDefault="00002DAC" w:rsidP="00002DAC">
      <w:pPr>
        <w:ind w:right="26"/>
        <w:jc w:val="both"/>
        <w:rPr>
          <w:rFonts w:ascii="Trebuchet MS" w:hAnsi="Trebuchet MS"/>
          <w:lang w:val="fr-FR"/>
        </w:rPr>
      </w:pPr>
    </w:p>
    <w:p w14:paraId="356796B7" w14:textId="77777777" w:rsidR="00002DAC" w:rsidRPr="00181510" w:rsidRDefault="00002DAC" w:rsidP="00002DAC">
      <w:pPr>
        <w:ind w:right="26"/>
        <w:jc w:val="both"/>
        <w:rPr>
          <w:rFonts w:ascii="Trebuchet MS" w:hAnsi="Trebuchet MS"/>
          <w:lang w:val="fr-FR"/>
        </w:rPr>
      </w:pPr>
      <w:r w:rsidRPr="00181510">
        <w:rPr>
          <w:rFonts w:ascii="Trebuchet MS" w:hAnsi="Trebuchet MS"/>
          <w:b/>
          <w:lang w:val="fr-FR"/>
        </w:rPr>
        <w:t xml:space="preserve">Les acteurs et institutions de sécurité informels </w:t>
      </w:r>
      <w:r w:rsidRPr="00181510">
        <w:rPr>
          <w:rFonts w:ascii="Trebuchet MS" w:hAnsi="Trebuchet MS"/>
          <w:lang w:val="fr-FR"/>
        </w:rPr>
        <w:t xml:space="preserve">jouent souvent un rôle clé dans les sociétés </w:t>
      </w:r>
      <w:proofErr w:type="spellStart"/>
      <w:r w:rsidRPr="00181510">
        <w:rPr>
          <w:rFonts w:ascii="Trebuchet MS" w:hAnsi="Trebuchet MS"/>
          <w:lang w:val="fr-FR"/>
        </w:rPr>
        <w:t>postconflit</w:t>
      </w:r>
      <w:proofErr w:type="spellEnd"/>
      <w:r w:rsidRPr="00181510">
        <w:rPr>
          <w:rFonts w:ascii="Trebuchet MS" w:hAnsi="Trebuchet MS"/>
          <w:lang w:val="fr-FR"/>
        </w:rPr>
        <w:t xml:space="preserve">, et présentent des défis supplémentaires pour la participation des femmes et l'intégration du genre. Comme dans la sphère formelle, les femmes sont souvent sous-représentées dans les structures de leadership traditionnelles et coutumières, et peuvent avoir des difficultés à faire valoir leurs besoins en termes de sécurité. Développer des manières efficaces de travailler avec ces groupes, en particulier sur le sujet des violences </w:t>
      </w:r>
      <w:r w:rsidRPr="00181510">
        <w:rPr>
          <w:rFonts w:ascii="Trebuchet MS" w:hAnsi="Trebuchet MS"/>
          <w:lang w:val="fr-FR"/>
        </w:rPr>
        <w:lastRenderedPageBreak/>
        <w:t xml:space="preserve">contre les femmes, est un défi autant qu'un enjeu majeur, car de nombreux problèmes de sécurité peuvent être résolus à cette échelle. </w:t>
      </w:r>
    </w:p>
    <w:p w14:paraId="356796B8" w14:textId="77777777" w:rsidR="00002DAC" w:rsidRPr="00181510" w:rsidRDefault="00002DAC" w:rsidP="00002DAC">
      <w:pPr>
        <w:ind w:right="26"/>
        <w:jc w:val="both"/>
        <w:rPr>
          <w:rFonts w:ascii="Trebuchet MS" w:hAnsi="Trebuchet MS"/>
          <w:lang w:val="fr-FR"/>
        </w:rPr>
      </w:pPr>
    </w:p>
    <w:p w14:paraId="356796B9"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Reconstruire la confiance entre communautés locales et acteurs de la sécurité est une tâche incroyablement difficile dans les pays sortant d'une guerre civile. Lorsque les femmes sont exclues des négociations de paix et des institutions </w:t>
      </w:r>
      <w:proofErr w:type="spellStart"/>
      <w:r w:rsidRPr="00181510">
        <w:rPr>
          <w:rFonts w:ascii="Trebuchet MS" w:hAnsi="Trebuchet MS"/>
          <w:lang w:val="fr-FR"/>
        </w:rPr>
        <w:t>postconflit</w:t>
      </w:r>
      <w:proofErr w:type="spellEnd"/>
      <w:r w:rsidRPr="00181510">
        <w:rPr>
          <w:rFonts w:ascii="Trebuchet MS" w:hAnsi="Trebuchet MS"/>
          <w:lang w:val="fr-FR"/>
        </w:rPr>
        <w:t xml:space="preserve">, en particulier, leurs besoins risquent de ne pas être pris en compte. </w:t>
      </w:r>
      <w:proofErr w:type="spellStart"/>
      <w:r w:rsidRPr="00181510">
        <w:rPr>
          <w:rFonts w:ascii="Trebuchet MS" w:hAnsi="Trebuchet MS"/>
          <w:lang w:val="fr-FR"/>
        </w:rPr>
        <w:t>Postconflit</w:t>
      </w:r>
      <w:proofErr w:type="spellEnd"/>
      <w:r w:rsidRPr="00181510">
        <w:rPr>
          <w:rFonts w:ascii="Trebuchet MS" w:hAnsi="Trebuchet MS"/>
          <w:lang w:val="fr-FR"/>
        </w:rPr>
        <w:t xml:space="preserve">, les femmes peuvent être poussées à retourner à leurs rôles traditionnels, ce qui peut impliquer de nouveaux risques pour leur sécurité, risques pouvant ne pas être reconnus dans les processus de RSS. Le manque d'expérience et de capacités des organisations de défense des femmes, et leur difficulté d'accès aux acteurs et institutions du secteur de la sécurité, signifie que </w:t>
      </w:r>
      <w:r w:rsidRPr="002A274D">
        <w:rPr>
          <w:rFonts w:ascii="Trebuchet MS" w:hAnsi="Trebuchet MS"/>
          <w:b/>
          <w:lang w:val="fr-FR"/>
        </w:rPr>
        <w:t>les</w:t>
      </w:r>
      <w:r w:rsidRPr="00181510">
        <w:rPr>
          <w:rFonts w:ascii="Trebuchet MS" w:hAnsi="Trebuchet MS"/>
          <w:lang w:val="fr-FR"/>
        </w:rPr>
        <w:t xml:space="preserve"> </w:t>
      </w:r>
      <w:r w:rsidRPr="00181510">
        <w:rPr>
          <w:rFonts w:ascii="Trebuchet MS" w:hAnsi="Trebuchet MS"/>
          <w:b/>
          <w:lang w:val="fr-FR"/>
        </w:rPr>
        <w:t>connaissances et les ressources dont elles disposent sont soit perdues, soit sous-exploitées</w:t>
      </w:r>
      <w:r w:rsidRPr="00181510">
        <w:rPr>
          <w:rFonts w:ascii="Trebuchet MS" w:hAnsi="Trebuchet MS"/>
          <w:lang w:val="fr-FR"/>
        </w:rPr>
        <w:t>. Des initiatives comme les Journées portes ouvertes de l'ONU sur les femmes, la paix et la sécurité ou d'autres événements annuels ou symboliques peuvent contribuer à éliminer ces barrières, mais elles ne peuvent remplacer des mécanismes d'engagement systématiques et institutionnalisés.</w:t>
      </w:r>
    </w:p>
    <w:p w14:paraId="356796BA" w14:textId="77777777" w:rsidR="00002DAC" w:rsidRPr="00181510" w:rsidRDefault="00002DAC" w:rsidP="00002DAC">
      <w:pPr>
        <w:ind w:right="26"/>
        <w:jc w:val="both"/>
        <w:rPr>
          <w:rFonts w:ascii="Trebuchet MS" w:hAnsi="Trebuchet MS"/>
          <w:lang w:val="fr-FR"/>
        </w:rPr>
      </w:pPr>
    </w:p>
    <w:p w14:paraId="356796BB"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Les missions de RSS et de maintien de la paix sont des points d'entrée clés pour la lutte contre les violences sexuelles et sexistes, mais à ce jour, il subsiste un manque d'initiative en la matière. Cet état de fait s'explique par l'absence de données, par la persistance des attitudes discriminatoires au sein des institutions du secteur de la sécurité et au sein de la société dans son ensemble, par un accès difficile aux services de protection et de sécurité, et par la difficulté des acteurs de la sécurité à traiter de problèmes perçus comme relevant de la sphère privée ou domestique et non de leur compétence.</w:t>
      </w:r>
    </w:p>
    <w:p w14:paraId="356796BC" w14:textId="77777777" w:rsidR="00002DAC" w:rsidRPr="00181510" w:rsidRDefault="00002DAC" w:rsidP="00002DAC">
      <w:pPr>
        <w:pStyle w:val="Titre2"/>
        <w:rPr>
          <w:lang w:val="fr-FR"/>
        </w:rPr>
      </w:pPr>
      <w:bookmarkStart w:id="16" w:name="_Toc411365688"/>
      <w:bookmarkStart w:id="17" w:name="_Toc417545132"/>
      <w:r w:rsidRPr="00181510">
        <w:rPr>
          <w:lang w:val="fr-FR"/>
        </w:rPr>
        <w:t>Points d'entrée pour les soutiens internationaux</w:t>
      </w:r>
      <w:bookmarkEnd w:id="16"/>
      <w:bookmarkEnd w:id="17"/>
    </w:p>
    <w:p w14:paraId="356796BD"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Différents outils sont disponibles pour appuyer une participation accrue des femmes et l'intégration d'une approche par le genre au maintien de la paix et à la RSS. Là encore, il faut souligner la nécessité d'adapter toutes les initiatives au contexte, dans une démarche intégrale et politiquement pertinente. L'intégration du genre au secteur de la sécurité est nécessairement un processus de longue haleine, qui implique une remise en cause de croyances</w:t>
      </w:r>
      <w:r w:rsidR="00B42BB7">
        <w:rPr>
          <w:rFonts w:ascii="Trebuchet MS" w:hAnsi="Trebuchet MS"/>
          <w:lang w:val="fr-FR"/>
        </w:rPr>
        <w:t>,</w:t>
      </w:r>
      <w:r w:rsidRPr="00181510">
        <w:rPr>
          <w:rFonts w:ascii="Trebuchet MS" w:hAnsi="Trebuchet MS"/>
          <w:lang w:val="fr-FR"/>
        </w:rPr>
        <w:t xml:space="preserve"> de cultures et </w:t>
      </w:r>
      <w:r w:rsidR="00B42BB7">
        <w:rPr>
          <w:rFonts w:ascii="Trebuchet MS" w:hAnsi="Trebuchet MS"/>
          <w:lang w:val="fr-FR"/>
        </w:rPr>
        <w:t xml:space="preserve">de </w:t>
      </w:r>
      <w:r w:rsidRPr="00181510">
        <w:rPr>
          <w:rFonts w:ascii="Trebuchet MS" w:hAnsi="Trebuchet MS"/>
          <w:lang w:val="fr-FR"/>
        </w:rPr>
        <w:t>pratiques discriminatoires profondément ancrées. Cependant, les acteurs internationaux peuvent tirer parti d'un certain nombre de points d'entrée pour soutenir les efforts visant à intégrer le genre au maintien de la paix et à la RSS. Cet article s'intéresse à l'échelle internationale, mais un changement effectif exige une collaboration active à tous les niveaux, du niveau local au niveau international, en passant par le niveau national. Sans exhaustivité, les exemples ci-dessous montrent les instruments mis en place dans différents contextes en vue d'amener des changements positifs :</w:t>
      </w:r>
    </w:p>
    <w:p w14:paraId="356796BE" w14:textId="77777777" w:rsidR="00002DAC" w:rsidRPr="00181510" w:rsidRDefault="00002DAC" w:rsidP="00002DAC">
      <w:pPr>
        <w:ind w:right="26"/>
        <w:jc w:val="both"/>
        <w:rPr>
          <w:rFonts w:ascii="Trebuchet MS" w:hAnsi="Trebuchet MS"/>
          <w:lang w:val="fr-FR"/>
        </w:rPr>
      </w:pPr>
    </w:p>
    <w:p w14:paraId="356796BF" w14:textId="77777777" w:rsidR="00002DAC" w:rsidRPr="00181510" w:rsidRDefault="00002DAC" w:rsidP="00002DAC">
      <w:pPr>
        <w:ind w:right="26"/>
        <w:jc w:val="both"/>
        <w:rPr>
          <w:rFonts w:ascii="Trebuchet MS" w:hAnsi="Trebuchet MS"/>
          <w:lang w:val="fr-FR"/>
        </w:rPr>
      </w:pPr>
      <w:r w:rsidRPr="00B42BB7">
        <w:rPr>
          <w:rFonts w:ascii="Trebuchet MS" w:hAnsi="Trebuchet MS"/>
          <w:lang w:val="fr-FR"/>
        </w:rPr>
        <w:t>La</w:t>
      </w:r>
      <w:r w:rsidRPr="00181510">
        <w:rPr>
          <w:rFonts w:ascii="Trebuchet MS" w:hAnsi="Trebuchet MS"/>
          <w:lang w:val="fr-FR"/>
        </w:rPr>
        <w:t xml:space="preserve"> </w:t>
      </w:r>
      <w:r w:rsidRPr="00B42BB7">
        <w:rPr>
          <w:rFonts w:ascii="Trebuchet MS" w:hAnsi="Trebuchet MS"/>
          <w:b/>
          <w:lang w:val="fr-FR"/>
        </w:rPr>
        <w:t xml:space="preserve">formation </w:t>
      </w:r>
      <w:r w:rsidR="00B42BB7" w:rsidRPr="00B42BB7">
        <w:rPr>
          <w:rFonts w:ascii="Trebuchet MS" w:hAnsi="Trebuchet MS"/>
          <w:b/>
          <w:lang w:val="fr-FR"/>
        </w:rPr>
        <w:t>sur le genre</w:t>
      </w:r>
      <w:r w:rsidR="00B42BB7" w:rsidRPr="00181510">
        <w:rPr>
          <w:rFonts w:ascii="Trebuchet MS" w:hAnsi="Trebuchet MS"/>
          <w:lang w:val="fr-FR"/>
        </w:rPr>
        <w:t xml:space="preserve"> </w:t>
      </w:r>
      <w:r w:rsidRPr="00181510">
        <w:rPr>
          <w:rFonts w:ascii="Trebuchet MS" w:hAnsi="Trebuchet MS"/>
          <w:lang w:val="fr-FR"/>
        </w:rPr>
        <w:t xml:space="preserve">des représentants du secteur de la sécurité peut permettre de sensibiliser ces derniers aux besoins de sécurité spécifiques de chaque sexe et de les informer sur les stratégies applicables s'agissant d'assurer la participation des femmes et l'intégration du genre à l'ensemble des politiques, programmes et activités. Les actions de formation peuvent porter sur des compétences concrètes, comme la conduite d'analyses de genre, ou sur la remise en question des attitudes et croyances concernant la sécurité et le rôle des </w:t>
      </w:r>
      <w:r w:rsidRPr="00181510">
        <w:rPr>
          <w:rFonts w:ascii="Trebuchet MS" w:hAnsi="Trebuchet MS"/>
          <w:lang w:val="fr-FR"/>
        </w:rPr>
        <w:lastRenderedPageBreak/>
        <w:t xml:space="preserve">femmes dans la société. Elles peuvent contribuer efficacement à sensibiliser les acteurs, développer les compétences, transformer les pratiques et créer une culture organisationnelle plus favorable à l'intégration du genre. Elles peuvent aussi être utilisées pour mettre en relation différents acteurs, par exemple différentes institutions du secteur de la sécurité, du gouvernement ou de la société civile, afin de traiter de leurs problématiques communes. Des organisations aussi diverses que le Centre genevois pour le contrôle démocratique des forces armées, le </w:t>
      </w:r>
      <w:proofErr w:type="spellStart"/>
      <w:r w:rsidRPr="00181510">
        <w:rPr>
          <w:rFonts w:ascii="Trebuchet MS" w:hAnsi="Trebuchet MS"/>
          <w:lang w:val="fr-FR"/>
        </w:rPr>
        <w:t>DOMP</w:t>
      </w:r>
      <w:proofErr w:type="spellEnd"/>
      <w:r w:rsidRPr="00181510">
        <w:rPr>
          <w:rFonts w:ascii="Trebuchet MS" w:hAnsi="Trebuchet MS"/>
          <w:lang w:val="fr-FR"/>
        </w:rPr>
        <w:t xml:space="preserve"> et </w:t>
      </w:r>
      <w:proofErr w:type="spellStart"/>
      <w:r w:rsidRPr="00181510">
        <w:rPr>
          <w:rFonts w:ascii="Trebuchet MS" w:hAnsi="Trebuchet MS"/>
          <w:lang w:val="fr-FR"/>
        </w:rPr>
        <w:t>Saferworld</w:t>
      </w:r>
      <w:proofErr w:type="spellEnd"/>
      <w:r w:rsidRPr="00181510">
        <w:rPr>
          <w:rFonts w:ascii="Trebuchet MS" w:hAnsi="Trebuchet MS"/>
          <w:lang w:val="fr-FR"/>
        </w:rPr>
        <w:t xml:space="preserve"> ont développé des modules de formation pouvant présenter un point de départ utile pour informer les acteurs et développer leurs capacités en faveur d'un maintien de la paix et d'une RSS sensibles au genre. Cependant, il reste difficile de mesurer l'impact des actions de formation en termes de rétention des apprentissages, d'évolution des pratiques et comportements, et de résultats pour les programmes. Il est donc nécessaire de développer des méthodes innovantes de suivi et d'évaluation des efforts de formation, aussi bien pour le secteur de la sécurité que pour les missions de maintien de la paix. </w:t>
      </w:r>
    </w:p>
    <w:p w14:paraId="356796C0"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 </w:t>
      </w:r>
    </w:p>
    <w:p w14:paraId="356796C1"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Plusieurs organisations et pays ont adopté des </w:t>
      </w:r>
      <w:r w:rsidRPr="00181510">
        <w:rPr>
          <w:rFonts w:ascii="Trebuchet MS" w:hAnsi="Trebuchet MS"/>
          <w:b/>
          <w:lang w:val="fr-FR"/>
        </w:rPr>
        <w:t>mesures spéciales de soutien au recrutement des femmes</w:t>
      </w:r>
      <w:r w:rsidRPr="00181510">
        <w:rPr>
          <w:rFonts w:ascii="Trebuchet MS" w:hAnsi="Trebuchet MS"/>
          <w:lang w:val="fr-FR"/>
        </w:rPr>
        <w:t xml:space="preserve"> pour palier au déficit de parité dans les institutions du secteur de la sécurité. Par exemple, le gouvernement du Liberia a lancé un programme d'éducation secondaire accéléré pour les jeunes filles dont la scolarité a été interrompue par le conflit, reconnaissant là que, sans diplôme de fin d'études secondaires, celles-ci ne peuvent pas candidater aux postes du secteur de la sécurité. Il est toutefois important de pousser la réflexion au-delà du recrutement. Se concentrer uniquement sur la parité peut occulter d'autres facteurs critiques, tels que le type de postes occupés respectivement par les hommes et les femmes au sein des institutions du secteur de la sécurité ou les taux de rétention. Les réformes favorisant l'émergence d'institutions plus sensibles au genre</w:t>
      </w:r>
      <w:r w:rsidRPr="00181510">
        <w:rPr>
          <w:rFonts w:ascii="Trebuchet MS" w:hAnsi="Trebuchet MS"/>
          <w:color w:val="FF0000"/>
          <w:lang w:val="fr-FR"/>
        </w:rPr>
        <w:t xml:space="preserve"> </w:t>
      </w:r>
      <w:r w:rsidRPr="00181510">
        <w:rPr>
          <w:rFonts w:ascii="Trebuchet MS" w:hAnsi="Trebuchet MS"/>
          <w:lang w:val="fr-FR"/>
        </w:rPr>
        <w:t>comme l'</w:t>
      </w:r>
      <w:r w:rsidRPr="00181510">
        <w:rPr>
          <w:rFonts w:ascii="Trebuchet MS" w:hAnsi="Trebuchet MS"/>
          <w:b/>
          <w:lang w:val="fr-FR"/>
        </w:rPr>
        <w:t xml:space="preserve">établissement d'associations de police féminine à l'échelle nationale et régionale </w:t>
      </w:r>
      <w:r w:rsidRPr="00181510">
        <w:rPr>
          <w:rFonts w:ascii="Trebuchet MS" w:hAnsi="Trebuchet MS"/>
          <w:lang w:val="fr-FR"/>
        </w:rPr>
        <w:t>peuvent aussi contribuer au recrutement et à la rétention des femmes. Ces réformes préparent le terrain pour d'autres réformes portant sur les cultures et pratiques de travail qui entravent la participation des femmes au secteur de la sécurité.</w:t>
      </w:r>
    </w:p>
    <w:p w14:paraId="356796C2" w14:textId="77777777" w:rsidR="00002DAC" w:rsidRPr="00181510" w:rsidRDefault="00002DAC" w:rsidP="00002DAC">
      <w:pPr>
        <w:ind w:right="26"/>
        <w:jc w:val="both"/>
        <w:rPr>
          <w:rFonts w:ascii="Trebuchet MS" w:hAnsi="Trebuchet MS"/>
          <w:lang w:val="fr-FR"/>
        </w:rPr>
      </w:pPr>
    </w:p>
    <w:p w14:paraId="356796C3"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L'un des points d'entrée les plus importants pour les acteurs internationaux cherchant à promouvoir la sécurité et à lutter efficacement contre les conflits et la violence consiste à </w:t>
      </w:r>
      <w:r w:rsidRPr="00181510">
        <w:rPr>
          <w:rFonts w:ascii="Trebuchet MS" w:hAnsi="Trebuchet MS"/>
          <w:b/>
          <w:lang w:val="fr-FR"/>
        </w:rPr>
        <w:t>travailler en étroite collaboration avec les organisations de la société civile et les autres acteurs locaux</w:t>
      </w:r>
      <w:r w:rsidRPr="00B42BB7">
        <w:rPr>
          <w:rFonts w:ascii="Trebuchet MS" w:hAnsi="Trebuchet MS"/>
          <w:lang w:val="fr-FR"/>
        </w:rPr>
        <w:t>, et à développer leurs capacités.</w:t>
      </w:r>
      <w:r w:rsidRPr="00181510">
        <w:rPr>
          <w:rFonts w:ascii="Trebuchet MS" w:hAnsi="Trebuchet MS"/>
          <w:lang w:val="fr-FR"/>
        </w:rPr>
        <w:t xml:space="preserve"> Ceux-ci peuvent en effet partager des connaissances sur les priorités de sécurité de leurs communautés, contribuer à assurer la sécurité ou (en </w:t>
      </w:r>
      <w:r w:rsidR="00B42BB7">
        <w:rPr>
          <w:rFonts w:ascii="Trebuchet MS" w:hAnsi="Trebuchet MS"/>
          <w:lang w:val="fr-FR"/>
        </w:rPr>
        <w:t>tant</w:t>
      </w:r>
      <w:r w:rsidRPr="00181510">
        <w:rPr>
          <w:rFonts w:ascii="Trebuchet MS" w:hAnsi="Trebuchet MS"/>
          <w:lang w:val="fr-FR"/>
        </w:rPr>
        <w:t xml:space="preserve"> que superviseurs) favoriser l'adhésion et le soutien de la communauté aux processus de RSS. Ils peuvent aussi contribuer à développer une expertise sur le genre au sein des institutions du secteur de la sécurité via des actions de formation et d'accompagnement (</w:t>
      </w:r>
      <w:proofErr w:type="spellStart"/>
      <w:r w:rsidRPr="00181510">
        <w:rPr>
          <w:rFonts w:ascii="Trebuchet MS" w:hAnsi="Trebuchet MS"/>
          <w:lang w:val="fr-FR"/>
        </w:rPr>
        <w:t>Bastick</w:t>
      </w:r>
      <w:proofErr w:type="spellEnd"/>
      <w:r w:rsidRPr="00181510">
        <w:rPr>
          <w:rFonts w:ascii="Trebuchet MS" w:hAnsi="Trebuchet MS"/>
          <w:lang w:val="fr-FR"/>
        </w:rPr>
        <w:t xml:space="preserve"> et Whitman 2013). Parmi les exemples de bonnes pratiques souvent citées figurent l'implication des femmes dans le processus DDR au Liberia et la participation des organisations de femmes au processus d'examen de la défense en Afrique du Sud.</w:t>
      </w:r>
    </w:p>
    <w:p w14:paraId="356796C4" w14:textId="77777777" w:rsidR="00002DAC" w:rsidRPr="00181510" w:rsidRDefault="00002DAC" w:rsidP="00002DAC">
      <w:pPr>
        <w:ind w:right="26"/>
        <w:jc w:val="both"/>
        <w:rPr>
          <w:rFonts w:ascii="Trebuchet MS" w:hAnsi="Trebuchet MS"/>
          <w:lang w:val="fr-FR"/>
        </w:rPr>
      </w:pPr>
    </w:p>
    <w:p w14:paraId="356796C5"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Améliorer l'accès des femmes aux services de sécurité est un enjeu important pour les missions de maintien de la paix comme pour les processus de RSS. Dans de nombreux pays, le </w:t>
      </w:r>
      <w:r w:rsidRPr="00181510">
        <w:rPr>
          <w:rFonts w:ascii="Trebuchet MS" w:hAnsi="Trebuchet MS"/>
          <w:b/>
          <w:lang w:val="fr-FR"/>
        </w:rPr>
        <w:t>développement de services dédiés aux femmes ou sensibles au genre</w:t>
      </w:r>
      <w:r w:rsidRPr="00181510">
        <w:rPr>
          <w:rFonts w:ascii="Trebuchet MS" w:hAnsi="Trebuchet MS"/>
          <w:lang w:val="fr-FR"/>
        </w:rPr>
        <w:t xml:space="preserve">, tels que, par </w:t>
      </w:r>
      <w:r w:rsidRPr="00181510">
        <w:rPr>
          <w:rFonts w:ascii="Trebuchet MS" w:hAnsi="Trebuchet MS"/>
          <w:lang w:val="fr-FR"/>
        </w:rPr>
        <w:lastRenderedPageBreak/>
        <w:t>exemple, les unités de soutien familial au sein de la police, s'est imposé comme un moyen efficace de favoriser le signalement des crimes sexistes. Même</w:t>
      </w:r>
      <w:r w:rsidR="00B42BB7">
        <w:rPr>
          <w:rFonts w:ascii="Trebuchet MS" w:hAnsi="Trebuchet MS"/>
          <w:lang w:val="fr-FR"/>
        </w:rPr>
        <w:t xml:space="preserve"> si</w:t>
      </w:r>
      <w:r w:rsidRPr="00181510">
        <w:rPr>
          <w:rFonts w:ascii="Trebuchet MS" w:hAnsi="Trebuchet MS"/>
          <w:lang w:val="fr-FR"/>
        </w:rPr>
        <w:t xml:space="preserve"> les solutions de ce type peuvent sembler emprisonner le genre dans un silo et avoir une valeur symbolique plutôt que réellement transformatrice, elles restent vectrices d'opportunités significatives pour des pays comme le Brésil ou la Sierra Leone. La création d'</w:t>
      </w:r>
      <w:r w:rsidRPr="00181510">
        <w:rPr>
          <w:rFonts w:ascii="Trebuchet MS" w:hAnsi="Trebuchet MS"/>
          <w:b/>
          <w:lang w:val="fr-FR"/>
        </w:rPr>
        <w:t>unités exclusivement féminines au sein des forces de maintien de la paix et de police</w:t>
      </w:r>
      <w:r w:rsidRPr="00181510">
        <w:rPr>
          <w:rFonts w:ascii="Trebuchet MS" w:hAnsi="Trebuchet MS"/>
          <w:lang w:val="fr-FR"/>
        </w:rPr>
        <w:t xml:space="preserve"> peut être efficace pour entrer en contact avec les femmes des communautés locales et déconstruire les stéréotypes sociétaux. Toutefois, ces unités ne sont pas la panacée, et leur éventuel impact doit faire l'objet d'études supplémentaires.</w:t>
      </w:r>
    </w:p>
    <w:p w14:paraId="356796C6" w14:textId="77777777" w:rsidR="00002DAC" w:rsidRPr="00181510" w:rsidRDefault="00002DAC" w:rsidP="00002DAC">
      <w:pPr>
        <w:pStyle w:val="Paragraphedeliste"/>
        <w:ind w:right="26"/>
        <w:jc w:val="both"/>
        <w:rPr>
          <w:rFonts w:ascii="Trebuchet MS" w:hAnsi="Trebuchet MS" w:cs="Times New Roman"/>
          <w:sz w:val="18"/>
          <w:szCs w:val="18"/>
          <w:lang w:val="fr-FR"/>
        </w:rPr>
      </w:pPr>
    </w:p>
    <w:p w14:paraId="356796C7" w14:textId="77777777" w:rsidR="00002DAC" w:rsidRPr="00181510" w:rsidRDefault="00002DAC" w:rsidP="00002DAC">
      <w:pPr>
        <w:ind w:right="26"/>
        <w:jc w:val="both"/>
        <w:rPr>
          <w:rFonts w:ascii="Trebuchet MS" w:hAnsi="Trebuchet MS"/>
          <w:lang w:val="fr-FR"/>
        </w:rPr>
      </w:pPr>
      <w:r w:rsidRPr="00181510">
        <w:rPr>
          <w:rFonts w:ascii="Trebuchet MS" w:hAnsi="Trebuchet MS"/>
          <w:b/>
          <w:lang w:val="fr-FR"/>
        </w:rPr>
        <w:t xml:space="preserve">Les organisations </w:t>
      </w:r>
      <w:r w:rsidR="003B7F1D" w:rsidRPr="00181510">
        <w:rPr>
          <w:rFonts w:ascii="Trebuchet MS" w:hAnsi="Trebuchet MS"/>
          <w:b/>
          <w:lang w:val="fr-FR"/>
        </w:rPr>
        <w:t>de</w:t>
      </w:r>
      <w:r w:rsidRPr="00181510">
        <w:rPr>
          <w:rFonts w:ascii="Trebuchet MS" w:hAnsi="Trebuchet MS"/>
          <w:b/>
          <w:lang w:val="fr-FR"/>
        </w:rPr>
        <w:t xml:space="preserve"> femmes</w:t>
      </w:r>
      <w:r w:rsidR="00382D03">
        <w:rPr>
          <w:rFonts w:ascii="Trebuchet MS" w:hAnsi="Trebuchet MS"/>
          <w:b/>
          <w:lang w:val="fr-FR"/>
        </w:rPr>
        <w:t xml:space="preserve"> </w:t>
      </w:r>
      <w:r w:rsidR="00382D03" w:rsidRPr="00181510">
        <w:rPr>
          <w:rFonts w:ascii="Trebuchet MS" w:hAnsi="Trebuchet MS"/>
          <w:b/>
          <w:lang w:val="fr-FR"/>
        </w:rPr>
        <w:t>locales</w:t>
      </w:r>
      <w:r w:rsidRPr="00181510">
        <w:rPr>
          <w:rFonts w:ascii="Trebuchet MS" w:hAnsi="Trebuchet MS"/>
          <w:b/>
          <w:lang w:val="fr-FR"/>
        </w:rPr>
        <w:t xml:space="preserve"> </w:t>
      </w:r>
      <w:r w:rsidRPr="00181510">
        <w:rPr>
          <w:rFonts w:ascii="Trebuchet MS" w:hAnsi="Trebuchet MS"/>
          <w:lang w:val="fr-FR"/>
        </w:rPr>
        <w:t>ont besoin de développer leurs capacités pour pouvoir interagir plus efficacement avec les acteurs de la sécurité et acquérir les compétences nécessaires à leur participation aux processus décisionnels en matière de sécurité. Il est aussi nécessaire d'aider les acteurs des secteurs militaire et de la sécurité à reconnaître et à trait</w:t>
      </w:r>
      <w:r w:rsidR="00382D03">
        <w:rPr>
          <w:rFonts w:ascii="Trebuchet MS" w:hAnsi="Trebuchet MS"/>
          <w:lang w:val="fr-FR"/>
        </w:rPr>
        <w:t>er les problématiques de genre,</w:t>
      </w:r>
      <w:r w:rsidRPr="00181510">
        <w:rPr>
          <w:rFonts w:ascii="Trebuchet MS" w:hAnsi="Trebuchet MS"/>
          <w:lang w:val="fr-FR"/>
        </w:rPr>
        <w:t xml:space="preserve"> à soutenir l</w:t>
      </w:r>
      <w:r w:rsidR="00382D03">
        <w:rPr>
          <w:rFonts w:ascii="Trebuchet MS" w:hAnsi="Trebuchet MS"/>
          <w:lang w:val="fr-FR"/>
        </w:rPr>
        <w:t>es femmes et les acteurs locaux</w:t>
      </w:r>
      <w:r w:rsidRPr="00181510">
        <w:rPr>
          <w:rFonts w:ascii="Trebuchet MS" w:hAnsi="Trebuchet MS"/>
          <w:lang w:val="fr-FR"/>
        </w:rPr>
        <w:t xml:space="preserve"> et à collaborer avec eux, dans la mesure où ceux-ci peuvent répondre aux facteurs d'insécurité et de violence pesant non seulement sur les femmes, mais sur la société toute entière. </w:t>
      </w:r>
      <w:r w:rsidRPr="00382D03">
        <w:rPr>
          <w:rFonts w:ascii="Trebuchet MS" w:hAnsi="Trebuchet MS"/>
          <w:b/>
          <w:lang w:val="fr-FR"/>
        </w:rPr>
        <w:t xml:space="preserve">Les consultations régulières et institutionnalisées sur la sécurité </w:t>
      </w:r>
      <w:r w:rsidRPr="00181510">
        <w:rPr>
          <w:rFonts w:ascii="Trebuchet MS" w:hAnsi="Trebuchet MS"/>
          <w:b/>
          <w:lang w:val="fr-FR"/>
        </w:rPr>
        <w:t xml:space="preserve">avec les communautés locales </w:t>
      </w:r>
      <w:r w:rsidRPr="00181510">
        <w:rPr>
          <w:rFonts w:ascii="Trebuchet MS" w:hAnsi="Trebuchet MS"/>
          <w:lang w:val="fr-FR"/>
        </w:rPr>
        <w:t>sont particulièrement propices aux transferts mutuels de connaissances et d'expertise. Ce type de rencontre est aussi l'opportunité de former les organisations locales cherchant à intervenir dans la RSS, et de développer leurs capacités. Les politiques élaborées à l'échelle des communautés rencontrent un certain succès s'agissant de réorienter les services de sécurité locaux, et sont en cela une opportunité de répondre spécifiquement aux problématiques de genre et aux besoins de protection des femmes.</w:t>
      </w:r>
    </w:p>
    <w:p w14:paraId="356796C8" w14:textId="77777777" w:rsidR="00002DAC" w:rsidRPr="00181510" w:rsidRDefault="00002DAC" w:rsidP="00002DAC">
      <w:pPr>
        <w:ind w:right="26"/>
        <w:jc w:val="both"/>
        <w:rPr>
          <w:rFonts w:ascii="Trebuchet MS" w:hAnsi="Trebuchet MS"/>
          <w:lang w:val="fr-FR"/>
        </w:rPr>
      </w:pPr>
    </w:p>
    <w:p w14:paraId="356796C9" w14:textId="77777777" w:rsidR="00002DAC" w:rsidRPr="00181510" w:rsidRDefault="00002DAC" w:rsidP="00002DAC">
      <w:pPr>
        <w:ind w:right="26"/>
        <w:jc w:val="both"/>
        <w:rPr>
          <w:rFonts w:ascii="Trebuchet MS" w:hAnsi="Trebuchet MS"/>
          <w:b/>
          <w:lang w:val="fr-FR"/>
        </w:rPr>
      </w:pPr>
      <w:r w:rsidRPr="00181510">
        <w:rPr>
          <w:rFonts w:ascii="Trebuchet MS" w:hAnsi="Trebuchet MS"/>
          <w:b/>
          <w:lang w:val="fr-FR"/>
        </w:rPr>
        <w:t>Soutenir les réformes politiques</w:t>
      </w:r>
      <w:r w:rsidRPr="00181510">
        <w:rPr>
          <w:rFonts w:ascii="Trebuchet MS" w:hAnsi="Trebuchet MS"/>
          <w:lang w:val="fr-FR"/>
        </w:rPr>
        <w:t xml:space="preserve"> à tous les niveaux, y compris en introduisant des recommandations et des procédures disciplinaires au sein des institutions du secteur de la sécurité, peut contribuer à créer un environnement propice à la généralisation de l'approche de genre, mais des défis majeurs subsistent en matière de mise en œuvre. Par exemple, les références à la tolérance zéro en matière d'exploitation et d'abus sexuels sont de plus en plus répandues dans les mandats des missions de maintien de la paix (ONU 2014), et de nombreux gouvernements ont inclus des références à une RSS sensible au genre dans leurs Plans d'action nationaux au titre de la </w:t>
      </w:r>
      <w:proofErr w:type="spellStart"/>
      <w:r w:rsidRPr="00181510">
        <w:rPr>
          <w:rFonts w:ascii="Trebuchet MS" w:hAnsi="Trebuchet MS"/>
          <w:lang w:val="fr-FR"/>
        </w:rPr>
        <w:t>RCSNU</w:t>
      </w:r>
      <w:proofErr w:type="spellEnd"/>
      <w:r w:rsidRPr="00181510">
        <w:rPr>
          <w:rFonts w:ascii="Trebuchet MS" w:hAnsi="Trebuchet MS"/>
          <w:lang w:val="fr-FR"/>
        </w:rPr>
        <w:t xml:space="preserve"> 1325. </w:t>
      </w:r>
    </w:p>
    <w:p w14:paraId="356796CA" w14:textId="77777777" w:rsidR="00002DAC" w:rsidRPr="00181510" w:rsidRDefault="00002DAC" w:rsidP="00002DAC">
      <w:pPr>
        <w:ind w:right="26"/>
        <w:jc w:val="both"/>
        <w:rPr>
          <w:rFonts w:ascii="Trebuchet MS" w:hAnsi="Trebuchet MS"/>
          <w:b/>
          <w:lang w:val="fr-FR"/>
        </w:rPr>
      </w:pPr>
    </w:p>
    <w:p w14:paraId="356796CB" w14:textId="77777777" w:rsidR="00002DAC" w:rsidRPr="00181510" w:rsidRDefault="00002DAC" w:rsidP="00002DAC">
      <w:pPr>
        <w:ind w:right="26"/>
        <w:jc w:val="both"/>
        <w:rPr>
          <w:rFonts w:ascii="Trebuchet MS" w:hAnsi="Trebuchet MS"/>
          <w:lang w:val="fr-FR"/>
        </w:rPr>
      </w:pPr>
      <w:r w:rsidRPr="00382D03">
        <w:rPr>
          <w:rFonts w:ascii="Trebuchet MS" w:hAnsi="Trebuchet MS"/>
          <w:lang w:val="fr-FR"/>
        </w:rPr>
        <w:t>Une autre point d'entrée crucial est</w:t>
      </w:r>
      <w:r w:rsidRPr="00181510">
        <w:rPr>
          <w:rFonts w:ascii="Trebuchet MS" w:hAnsi="Trebuchet MS"/>
          <w:b/>
          <w:lang w:val="fr-FR"/>
        </w:rPr>
        <w:t xml:space="preserve"> l'augmentation du nombre d'experts, de conseillers et de points focaux</w:t>
      </w:r>
      <w:r w:rsidRPr="00181510">
        <w:rPr>
          <w:rFonts w:ascii="Trebuchet MS" w:hAnsi="Trebuchet MS"/>
          <w:lang w:val="fr-FR"/>
        </w:rPr>
        <w:t xml:space="preserve"> sur le genre en soutien à la généralisation de l'approche de genre au sein des missions de maintien de la paix et des institutions du secteur de la sécurité. Toutefois, pour maximiser l'impact potentiel des conseillers en genre, il est essentiel de leur fournir les ressources nécessaires ainsi qu'un accès direct aux décideurs de l'encadrement supérieur, et de mettre en place des mesures responsabilisant l'ensemble des entités de l'organisation quant aux engagements sur le genre. Un examen récent des opérations de l'OTAN au Kosovo et en Afghanistan a montré qu'une plus grande proportion de soldats féminins peut améliorer l'efficacité des opérations et qu'il est important de positionner l'expertise en genre à proximité du haut commandement. Le soutien affiché et actif de certains hommes aux questions de genre et aux droits des femmes, en particulier celui de ceux qui occupent des positions de leaders, est également efficace. Cet effet a pu être observé en RDC, où le Général de division Patrick </w:t>
      </w:r>
      <w:proofErr w:type="spellStart"/>
      <w:r w:rsidRPr="00181510">
        <w:rPr>
          <w:rFonts w:ascii="Trebuchet MS" w:hAnsi="Trebuchet MS"/>
          <w:lang w:val="fr-FR"/>
        </w:rPr>
        <w:t>Cammaert</w:t>
      </w:r>
      <w:proofErr w:type="spellEnd"/>
      <w:r w:rsidRPr="00181510">
        <w:rPr>
          <w:rFonts w:ascii="Trebuchet MS" w:hAnsi="Trebuchet MS"/>
          <w:lang w:val="fr-FR"/>
        </w:rPr>
        <w:t xml:space="preserve"> s'est imposé comme tête de proue des efforts de lutte </w:t>
      </w:r>
      <w:r w:rsidRPr="00181510">
        <w:rPr>
          <w:rFonts w:ascii="Trebuchet MS" w:hAnsi="Trebuchet MS"/>
          <w:lang w:val="fr-FR"/>
        </w:rPr>
        <w:lastRenderedPageBreak/>
        <w:t xml:space="preserve">contre les violences sexuelles et sexistes alors qu'il commandait la division orientale de la </w:t>
      </w:r>
      <w:proofErr w:type="spellStart"/>
      <w:r w:rsidR="00382D03">
        <w:rPr>
          <w:rFonts w:ascii="Trebuchet MS" w:hAnsi="Trebuchet MS"/>
          <w:lang w:val="fr-FR"/>
        </w:rPr>
        <w:t>MONUSCO</w:t>
      </w:r>
      <w:proofErr w:type="spellEnd"/>
      <w:r w:rsidR="00382D03">
        <w:rPr>
          <w:rFonts w:ascii="Trebuchet MS" w:hAnsi="Trebuchet MS"/>
          <w:lang w:val="fr-FR"/>
        </w:rPr>
        <w:t xml:space="preserve"> (ex-</w:t>
      </w:r>
      <w:r w:rsidRPr="00181510">
        <w:rPr>
          <w:rFonts w:ascii="Trebuchet MS" w:hAnsi="Trebuchet MS"/>
          <w:lang w:val="fr-FR"/>
        </w:rPr>
        <w:t>MONUC</w:t>
      </w:r>
      <w:r w:rsidR="00382D03">
        <w:rPr>
          <w:rFonts w:ascii="Trebuchet MS" w:hAnsi="Trebuchet MS"/>
          <w:lang w:val="fr-FR"/>
        </w:rPr>
        <w:t>)</w:t>
      </w:r>
      <w:r w:rsidRPr="00181510">
        <w:rPr>
          <w:rFonts w:ascii="Trebuchet MS" w:hAnsi="Trebuchet MS"/>
          <w:lang w:val="fr-FR"/>
        </w:rPr>
        <w:t xml:space="preserve">. </w:t>
      </w:r>
    </w:p>
    <w:p w14:paraId="356796CC" w14:textId="77777777" w:rsidR="00002DAC" w:rsidRPr="00181510" w:rsidRDefault="00002DAC" w:rsidP="00002DAC">
      <w:pPr>
        <w:ind w:right="26"/>
        <w:jc w:val="both"/>
        <w:rPr>
          <w:rFonts w:ascii="Trebuchet MS" w:hAnsi="Trebuchet MS"/>
          <w:lang w:val="fr-FR"/>
        </w:rPr>
      </w:pPr>
    </w:p>
    <w:p w14:paraId="356796CD" w14:textId="77777777" w:rsidR="00002DAC" w:rsidRPr="00181510" w:rsidRDefault="00002DAC" w:rsidP="00002DAC">
      <w:pPr>
        <w:ind w:right="26"/>
        <w:jc w:val="both"/>
        <w:rPr>
          <w:rFonts w:ascii="Trebuchet MS" w:hAnsi="Trebuchet MS"/>
          <w:lang w:val="fr-FR"/>
        </w:rPr>
      </w:pPr>
      <w:r w:rsidRPr="00181510">
        <w:rPr>
          <w:rFonts w:ascii="Trebuchet MS" w:hAnsi="Trebuchet MS"/>
          <w:lang w:val="fr-FR"/>
        </w:rPr>
        <w:t xml:space="preserve">Enfin, la communauté internationale joue un rôle critique s'agissant d'assurer les financements nécessaires au développement des capacités, à l'application des réformes institutionnelles et à la mise en œuvre des programmes favorables à un maintien de la paix et une RSS sensibles au genre. Cela étant dit, les études montrent que les financements destinés aux activités de genre dans les processus de maintien de la paix et de RSS sont grandement insuffisants s'agissant d'amener un changement effectif. Par exemple, l'engagement d'allocation de 15 % des fonds de consolidation de la paix gérés par l'ONU à des projets sur le genre n'est pas tenu. Similairement, en 2010, l'OCDE a rapporté que 10 % seulement des financements mis à disposition par les donateurs pour la gestion et la réforme des systèmes de sécurité étaient consacrés à l'égalité des sexes dans les États fragiles. </w:t>
      </w:r>
      <w:r w:rsidRPr="00181510">
        <w:rPr>
          <w:rFonts w:ascii="Trebuchet MS" w:hAnsi="Trebuchet MS"/>
          <w:b/>
          <w:lang w:val="fr-FR"/>
        </w:rPr>
        <w:t>La prise en compte du genre dans les budgets</w:t>
      </w:r>
      <w:r w:rsidRPr="00181510">
        <w:rPr>
          <w:rFonts w:ascii="Trebuchet MS" w:hAnsi="Trebuchet MS"/>
          <w:lang w:val="fr-FR"/>
        </w:rPr>
        <w:t xml:space="preserve">, par exemple en allouant des fonds spécifiques aux initiatives de genre dans les plans et budgets nationaux du secteur de la sécurité, peut permettre d'acheminer efficacement des ressources supplémentaires vers la sensibilisation du secteur au genre. L'affectation des flux de financement, associée à un suivi étroit des montants alloués dans les PAN aux activités de RSS et de maintien de la paix, peut aussi parer aux défauts de financements persistants. </w:t>
      </w:r>
    </w:p>
    <w:p w14:paraId="356796CE" w14:textId="77777777" w:rsidR="00002DAC" w:rsidRPr="00181510" w:rsidRDefault="00002DAC" w:rsidP="00002DAC">
      <w:pPr>
        <w:pStyle w:val="Titre2"/>
        <w:rPr>
          <w:lang w:val="fr-FR"/>
        </w:rPr>
      </w:pPr>
      <w:bookmarkStart w:id="18" w:name="_Toc411365689"/>
      <w:bookmarkStart w:id="19" w:name="_Toc417545133"/>
      <w:r w:rsidRPr="00181510">
        <w:rPr>
          <w:lang w:val="fr-FR"/>
        </w:rPr>
        <w:t>Observations finales et domaines d'étude complémentaires</w:t>
      </w:r>
      <w:bookmarkEnd w:id="18"/>
      <w:bookmarkEnd w:id="19"/>
    </w:p>
    <w:p w14:paraId="356796CF" w14:textId="77777777" w:rsidR="00002DAC" w:rsidRPr="00181510" w:rsidRDefault="00002DAC" w:rsidP="00002DAC">
      <w:pPr>
        <w:tabs>
          <w:tab w:val="left" w:pos="6930"/>
        </w:tabs>
        <w:ind w:right="26"/>
        <w:jc w:val="both"/>
        <w:rPr>
          <w:rFonts w:ascii="Trebuchet MS" w:hAnsi="Trebuchet MS"/>
          <w:lang w:val="fr-FR"/>
        </w:rPr>
      </w:pPr>
      <w:r w:rsidRPr="00181510">
        <w:rPr>
          <w:rFonts w:ascii="Trebuchet MS" w:hAnsi="Trebuchet MS"/>
          <w:lang w:val="fr-FR"/>
        </w:rPr>
        <w:t xml:space="preserve">Bien que certains progrès aient été faits s'agissant de reconnaître les besoins de sécurité des femmes dans l'élaboration des politiques et l'application des réformes visant à mieux les protéger dans les contextes de conflit, il reste beaucoup de chemin à parcourir pour intégrer l'approche de genre au maintien de la paix et à la RSS. Le </w:t>
      </w:r>
      <w:proofErr w:type="spellStart"/>
      <w:r w:rsidRPr="00181510">
        <w:rPr>
          <w:rFonts w:ascii="Trebuchet MS" w:hAnsi="Trebuchet MS"/>
          <w:lang w:val="fr-FR"/>
        </w:rPr>
        <w:t>15e</w:t>
      </w:r>
      <w:proofErr w:type="spellEnd"/>
      <w:r w:rsidRPr="00181510">
        <w:rPr>
          <w:rFonts w:ascii="Trebuchet MS" w:hAnsi="Trebuchet MS"/>
          <w:lang w:val="fr-FR"/>
        </w:rPr>
        <w:t xml:space="preserve"> anniversaire de la </w:t>
      </w:r>
      <w:proofErr w:type="spellStart"/>
      <w:r w:rsidRPr="00181510">
        <w:rPr>
          <w:rFonts w:ascii="Trebuchet MS" w:hAnsi="Trebuchet MS"/>
          <w:lang w:val="fr-FR"/>
        </w:rPr>
        <w:t>RCSNU</w:t>
      </w:r>
      <w:proofErr w:type="spellEnd"/>
      <w:r w:rsidRPr="00181510">
        <w:rPr>
          <w:rFonts w:ascii="Trebuchet MS" w:hAnsi="Trebuchet MS"/>
          <w:lang w:val="fr-FR"/>
        </w:rPr>
        <w:t> 1325 est l'occasion d'attirer une attention particulière sur les domaines nécessitant des réformes et des progrès urgents en termes d'intégration du genre et de participation des femmes à la réforme du secteur de la sécurité et au maintien de la paix. Voici quelques domaines appelant une attention et des études complémentaires :</w:t>
      </w:r>
    </w:p>
    <w:p w14:paraId="356796D0" w14:textId="77777777" w:rsidR="00002DAC" w:rsidRPr="00181510" w:rsidRDefault="00002DAC" w:rsidP="00002DAC">
      <w:pPr>
        <w:pStyle w:val="Listepuces"/>
        <w:numPr>
          <w:ilvl w:val="0"/>
          <w:numId w:val="0"/>
        </w:numPr>
        <w:ind w:left="397"/>
        <w:rPr>
          <w:rFonts w:ascii="Trebuchet MS" w:hAnsi="Trebuchet MS"/>
          <w:lang w:val="fr-FR"/>
        </w:rPr>
      </w:pPr>
    </w:p>
    <w:p w14:paraId="356796D1" w14:textId="77777777" w:rsidR="00002DAC" w:rsidRPr="00181510" w:rsidRDefault="00002DAC" w:rsidP="00002DAC">
      <w:pPr>
        <w:pStyle w:val="Listepuces"/>
        <w:numPr>
          <w:ilvl w:val="0"/>
          <w:numId w:val="0"/>
        </w:numPr>
        <w:ind w:left="397"/>
        <w:jc w:val="both"/>
        <w:rPr>
          <w:rFonts w:ascii="Trebuchet MS" w:hAnsi="Trebuchet MS" w:cs="Times New Roman"/>
          <w:lang w:val="fr-FR"/>
        </w:rPr>
      </w:pPr>
      <w:r w:rsidRPr="00181510">
        <w:rPr>
          <w:rFonts w:ascii="Trebuchet MS" w:hAnsi="Trebuchet MS" w:cs="Times New Roman"/>
          <w:lang w:val="fr-FR"/>
        </w:rPr>
        <w:t xml:space="preserve">Les consultations régulières entre gardiens de la paix, représentants du secteur de la sécurité et groupes de femmes locaux, ainsi que tous les mécanismes mettant en relation les différentes parties prenantes sur une base durable et institutionnalisée </w:t>
      </w:r>
      <w:r w:rsidR="00382D03">
        <w:rPr>
          <w:rFonts w:ascii="Trebuchet MS" w:hAnsi="Trebuchet MS" w:cs="Times New Roman"/>
          <w:lang w:val="fr-FR"/>
        </w:rPr>
        <w:t>pour</w:t>
      </w:r>
      <w:r w:rsidRPr="00181510">
        <w:rPr>
          <w:rFonts w:ascii="Trebuchet MS" w:hAnsi="Trebuchet MS" w:cs="Times New Roman"/>
          <w:lang w:val="fr-FR"/>
        </w:rPr>
        <w:t xml:space="preserve"> traiter des besoins et priorités relatifs au genre, ont une importance critique s'agissant de renforcer l'efficacité opérationnelle et les programmes en faveur de la sécurité. Toutefois, ces efforts sont rarement permanents ou suffisamment financés. De plus, la volonté n'est pas toujours au rendez-vous pour créer des opportunités de rencontre en différents groupes de parties prenantes. </w:t>
      </w:r>
    </w:p>
    <w:p w14:paraId="356796D2" w14:textId="77777777" w:rsidR="00002DAC" w:rsidRPr="00181510" w:rsidRDefault="00002DAC" w:rsidP="00002DAC">
      <w:pPr>
        <w:pStyle w:val="Listepuces"/>
        <w:jc w:val="both"/>
        <w:rPr>
          <w:rFonts w:ascii="Trebuchet MS" w:hAnsi="Trebuchet MS" w:cs="Times New Roman"/>
          <w:lang w:val="fr-FR"/>
        </w:rPr>
      </w:pPr>
      <w:r w:rsidRPr="00181510">
        <w:rPr>
          <w:rFonts w:ascii="Trebuchet MS" w:hAnsi="Trebuchet MS" w:cs="Times New Roman"/>
          <w:lang w:val="fr-FR"/>
        </w:rPr>
        <w:t xml:space="preserve">L'évaluation et le suivi d'impact des formations sur le genre développées à destination des représentants du secteur de la sécurité au sein des missions de maintien de la paix et des institutions nationales doit faire l'objet d'une attention supplémentaire afin de renforcer leur efficacité. Les activités de formation sont le plus souvent ponctuelles et de courte durée. Des études complémentaires sont nécessaires pour comprendre quel type d'apprentissage et d'acquisition de compétences peut influencer positivement les comportements des acteurs de la sécurité. </w:t>
      </w:r>
    </w:p>
    <w:p w14:paraId="356796D3" w14:textId="77777777" w:rsidR="00002DAC" w:rsidRPr="00181510" w:rsidRDefault="00002DAC" w:rsidP="00002DAC">
      <w:pPr>
        <w:pStyle w:val="Listepuces"/>
        <w:jc w:val="both"/>
        <w:rPr>
          <w:rFonts w:ascii="Trebuchet MS" w:hAnsi="Trebuchet MS" w:cs="Times New Roman"/>
          <w:lang w:val="fr-FR"/>
        </w:rPr>
      </w:pPr>
      <w:r w:rsidRPr="00181510">
        <w:rPr>
          <w:rFonts w:ascii="Trebuchet MS" w:hAnsi="Trebuchet MS" w:cs="Times New Roman"/>
          <w:lang w:val="fr-FR"/>
        </w:rPr>
        <w:lastRenderedPageBreak/>
        <w:t xml:space="preserve">Plus d'études sont également nécessaires pour </w:t>
      </w:r>
      <w:r w:rsidR="00382D03">
        <w:rPr>
          <w:rFonts w:ascii="Trebuchet MS" w:hAnsi="Trebuchet MS" w:cs="Times New Roman"/>
          <w:lang w:val="fr-FR"/>
        </w:rPr>
        <w:t>identifier</w:t>
      </w:r>
      <w:r w:rsidRPr="00181510">
        <w:rPr>
          <w:rFonts w:ascii="Trebuchet MS" w:hAnsi="Trebuchet MS" w:cs="Times New Roman"/>
          <w:lang w:val="fr-FR"/>
        </w:rPr>
        <w:t xml:space="preserve"> les stratégies efficaces en matière de lutte contre les stéréotypes et cultures masculines au sein des institutions du secteur de la sécurité, et pour mettre en lumière les interactions complexes entre sécurité des hommes et sécurité des femmes en contexte </w:t>
      </w:r>
      <w:proofErr w:type="spellStart"/>
      <w:r w:rsidRPr="00181510">
        <w:rPr>
          <w:rFonts w:ascii="Trebuchet MS" w:hAnsi="Trebuchet MS" w:cs="Times New Roman"/>
          <w:lang w:val="fr-FR"/>
        </w:rPr>
        <w:t>postconflit</w:t>
      </w:r>
      <w:proofErr w:type="spellEnd"/>
      <w:r w:rsidRPr="00181510">
        <w:rPr>
          <w:rFonts w:ascii="Trebuchet MS" w:hAnsi="Trebuchet MS" w:cs="Times New Roman"/>
          <w:lang w:val="fr-FR"/>
        </w:rPr>
        <w:t xml:space="preserve">. Dans cette perspective, la nomination à des postes d'encadrement </w:t>
      </w:r>
      <w:r w:rsidR="00382D03">
        <w:rPr>
          <w:rFonts w:ascii="Trebuchet MS" w:hAnsi="Trebuchet MS" w:cs="Times New Roman"/>
          <w:lang w:val="fr-FR"/>
        </w:rPr>
        <w:t>dans le</w:t>
      </w:r>
      <w:r w:rsidRPr="00181510">
        <w:rPr>
          <w:rFonts w:ascii="Trebuchet MS" w:hAnsi="Trebuchet MS" w:cs="Times New Roman"/>
          <w:lang w:val="fr-FR"/>
        </w:rPr>
        <w:t xml:space="preserve"> secteur de la sécurité de plus de promoteurs actifs et déclarés de l'approche de genre, en particulier masculins, doit être encouragée. En parallèle, des manières innovantes de responsabiliser les institutions quant à l'intégration du genre doivent être développées. </w:t>
      </w:r>
    </w:p>
    <w:p w14:paraId="356796D4" w14:textId="77777777" w:rsidR="00002DAC" w:rsidRPr="00181510" w:rsidRDefault="00002DAC" w:rsidP="00002DAC">
      <w:pPr>
        <w:pStyle w:val="Listepuces"/>
        <w:jc w:val="both"/>
        <w:rPr>
          <w:rFonts w:ascii="Trebuchet MS" w:hAnsi="Trebuchet MS" w:cs="Times New Roman"/>
          <w:lang w:val="fr-FR"/>
        </w:rPr>
      </w:pPr>
      <w:r w:rsidRPr="00181510">
        <w:rPr>
          <w:rFonts w:ascii="Trebuchet MS" w:hAnsi="Trebuchet MS" w:cs="Times New Roman"/>
          <w:lang w:val="fr-FR"/>
        </w:rPr>
        <w:t>L'un des défis majeurs de l'intégration du genre au maintien de la paix et à la RSS est l'absence de systèmes de collect</w:t>
      </w:r>
      <w:r w:rsidR="00382D03">
        <w:rPr>
          <w:rFonts w:ascii="Trebuchet MS" w:hAnsi="Trebuchet MS" w:cs="Times New Roman"/>
          <w:lang w:val="fr-FR"/>
        </w:rPr>
        <w:t>e de données ventilées par sexe</w:t>
      </w:r>
      <w:r w:rsidRPr="00181510">
        <w:rPr>
          <w:rFonts w:ascii="Trebuchet MS" w:hAnsi="Trebuchet MS" w:cs="Times New Roman"/>
          <w:lang w:val="fr-FR"/>
        </w:rPr>
        <w:t xml:space="preserve"> qui permettraient de mieux comprendre le contexte de sécurité et de cibler les initiatives en fonction des besoins. </w:t>
      </w:r>
    </w:p>
    <w:p w14:paraId="356796D5" w14:textId="77777777" w:rsidR="00AD11E6" w:rsidRPr="00181510" w:rsidRDefault="00002DAC" w:rsidP="00002DAC">
      <w:pPr>
        <w:pStyle w:val="Listepuces"/>
        <w:jc w:val="both"/>
        <w:rPr>
          <w:rFonts w:ascii="Trebuchet MS" w:hAnsi="Trebuchet MS" w:cs="Times New Roman"/>
          <w:lang w:val="fr-FR"/>
        </w:rPr>
      </w:pPr>
      <w:r w:rsidRPr="00181510">
        <w:rPr>
          <w:rFonts w:ascii="Trebuchet MS" w:hAnsi="Trebuchet MS" w:cs="Times New Roman"/>
          <w:lang w:val="fr-FR"/>
        </w:rPr>
        <w:t xml:space="preserve">Dans de nombreux contextes, en particulier dans le cas des violences contre les femmes, les acteurs et institutions traditionnels et informels de la sécurité sont plus à même de répondre aux besoins des femmes que les acteurs formels nationaux et internationaux. Les besoins en matière de collecte de données sont donc significatifs s'agissant d'impliquer plus efficacement </w:t>
      </w:r>
      <w:r w:rsidR="00382D03" w:rsidRPr="00181510">
        <w:rPr>
          <w:rFonts w:ascii="Trebuchet MS" w:hAnsi="Trebuchet MS" w:cs="Times New Roman"/>
          <w:lang w:val="fr-FR"/>
        </w:rPr>
        <w:t xml:space="preserve">ces acteurs </w:t>
      </w:r>
      <w:r w:rsidRPr="00181510">
        <w:rPr>
          <w:rFonts w:ascii="Trebuchet MS" w:hAnsi="Trebuchet MS" w:cs="Times New Roman"/>
          <w:lang w:val="fr-FR"/>
        </w:rPr>
        <w:t xml:space="preserve">dans le maintien de la paix et la RSS, et de relier approches formelles par le haut et approches informelles par le bas. </w:t>
      </w:r>
    </w:p>
    <w:p w14:paraId="356796D6" w14:textId="77777777" w:rsidR="00AD11E6" w:rsidRPr="00181510" w:rsidRDefault="00AD11E6">
      <w:pPr>
        <w:rPr>
          <w:rFonts w:ascii="Trebuchet MS" w:hAnsi="Trebuchet MS" w:cs="Times New Roman"/>
          <w:lang w:val="fr-FR"/>
        </w:rPr>
      </w:pPr>
      <w:r w:rsidRPr="00181510">
        <w:rPr>
          <w:rFonts w:ascii="Trebuchet MS" w:hAnsi="Trebuchet MS" w:cs="Times New Roman"/>
          <w:lang w:val="fr-FR"/>
        </w:rPr>
        <w:br w:type="page"/>
      </w:r>
    </w:p>
    <w:p w14:paraId="356796D7" w14:textId="77777777" w:rsidR="00002DAC" w:rsidRPr="00181510" w:rsidRDefault="00002DAC" w:rsidP="00002DAC">
      <w:pPr>
        <w:pStyle w:val="Titre2"/>
        <w:rPr>
          <w:lang w:val="fr-FR"/>
        </w:rPr>
      </w:pPr>
      <w:bookmarkStart w:id="20" w:name="_Toc411365690"/>
      <w:bookmarkStart w:id="21" w:name="_Toc417545134"/>
      <w:r w:rsidRPr="00181510">
        <w:rPr>
          <w:lang w:val="fr-FR"/>
        </w:rPr>
        <w:lastRenderedPageBreak/>
        <w:t>Références et ressources utiles</w:t>
      </w:r>
      <w:bookmarkEnd w:id="20"/>
      <w:bookmarkEnd w:id="21"/>
    </w:p>
    <w:p w14:paraId="356796D8" w14:textId="77777777" w:rsidR="00002DAC" w:rsidRPr="005A06ED" w:rsidRDefault="00002DAC" w:rsidP="00002DAC">
      <w:pPr>
        <w:rPr>
          <w:rFonts w:ascii="Trebuchet MS" w:hAnsi="Trebuchet MS"/>
        </w:rPr>
      </w:pPr>
      <w:proofErr w:type="spellStart"/>
      <w:r w:rsidRPr="005A06ED">
        <w:rPr>
          <w:rFonts w:ascii="Trebuchet MS" w:hAnsi="Trebuchet MS"/>
        </w:rPr>
        <w:t>Bastick</w:t>
      </w:r>
      <w:proofErr w:type="spellEnd"/>
      <w:r w:rsidRPr="005A06ED">
        <w:rPr>
          <w:rFonts w:ascii="Trebuchet MS" w:hAnsi="Trebuchet MS"/>
        </w:rPr>
        <w:t xml:space="preserve">, Megan et Whitman, Tobie. </w:t>
      </w:r>
      <w:r w:rsidRPr="00181510">
        <w:rPr>
          <w:rFonts w:ascii="Trebuchet MS" w:hAnsi="Trebuchet MS"/>
          <w:lang w:val="fr-FR"/>
        </w:rPr>
        <w:t xml:space="preserve">2013. </w:t>
      </w:r>
      <w:r w:rsidRPr="00181510">
        <w:rPr>
          <w:rFonts w:ascii="Trebuchet MS" w:hAnsi="Trebuchet MS"/>
          <w:i/>
          <w:lang w:val="fr-FR"/>
        </w:rPr>
        <w:t>Guide pour les femmes sur la réforme du secteur de la sécurité</w:t>
      </w:r>
      <w:r w:rsidRPr="00181510">
        <w:rPr>
          <w:rFonts w:ascii="Trebuchet MS" w:hAnsi="Trebuchet MS"/>
          <w:lang w:val="fr-FR"/>
        </w:rPr>
        <w:t xml:space="preserve">. </w:t>
      </w:r>
      <w:r w:rsidRPr="005A06ED">
        <w:rPr>
          <w:rFonts w:ascii="Trebuchet MS" w:hAnsi="Trebuchet MS"/>
        </w:rPr>
        <w:t xml:space="preserve">Genève/Washington, </w:t>
      </w:r>
      <w:proofErr w:type="gramStart"/>
      <w:r w:rsidRPr="005A06ED">
        <w:rPr>
          <w:rFonts w:ascii="Trebuchet MS" w:hAnsi="Trebuchet MS"/>
        </w:rPr>
        <w:t>DC :</w:t>
      </w:r>
      <w:proofErr w:type="gramEnd"/>
      <w:r w:rsidRPr="005A06ED">
        <w:rPr>
          <w:rFonts w:ascii="Trebuchet MS" w:hAnsi="Trebuchet MS"/>
        </w:rPr>
        <w:t xml:space="preserve"> </w:t>
      </w:r>
      <w:proofErr w:type="spellStart"/>
      <w:r w:rsidRPr="005A06ED">
        <w:rPr>
          <w:rFonts w:ascii="Trebuchet MS" w:hAnsi="Trebuchet MS"/>
        </w:rPr>
        <w:t>DCAF</w:t>
      </w:r>
      <w:proofErr w:type="spellEnd"/>
      <w:r w:rsidRPr="005A06ED">
        <w:rPr>
          <w:rFonts w:ascii="Trebuchet MS" w:hAnsi="Trebuchet MS"/>
        </w:rPr>
        <w:t xml:space="preserve"> et Institute for Inclusive Security.</w:t>
      </w:r>
    </w:p>
    <w:p w14:paraId="356796D9" w14:textId="77777777" w:rsidR="00002DAC" w:rsidRPr="005A06ED" w:rsidRDefault="00002DAC" w:rsidP="00002DAC">
      <w:pPr>
        <w:rPr>
          <w:rFonts w:ascii="Trebuchet MS" w:hAnsi="Trebuchet MS"/>
        </w:rPr>
      </w:pPr>
    </w:p>
    <w:p w14:paraId="356796DA" w14:textId="77777777" w:rsidR="00002DAC" w:rsidRPr="00181510" w:rsidRDefault="00002DAC" w:rsidP="00002DAC">
      <w:pPr>
        <w:rPr>
          <w:rFonts w:ascii="Trebuchet MS" w:hAnsi="Trebuchet MS"/>
          <w:lang w:val="fr-FR"/>
        </w:rPr>
      </w:pPr>
      <w:proofErr w:type="spellStart"/>
      <w:r w:rsidRPr="005A06ED">
        <w:rPr>
          <w:rFonts w:ascii="Trebuchet MS" w:hAnsi="Trebuchet MS"/>
        </w:rPr>
        <w:t>DCAF</w:t>
      </w:r>
      <w:proofErr w:type="spellEnd"/>
      <w:r w:rsidRPr="005A06ED">
        <w:rPr>
          <w:rFonts w:ascii="Trebuchet MS" w:hAnsi="Trebuchet MS"/>
        </w:rPr>
        <w:t xml:space="preserve">, 2011. </w:t>
      </w:r>
      <w:r w:rsidRPr="00181510">
        <w:rPr>
          <w:rFonts w:ascii="Trebuchet MS" w:hAnsi="Trebuchet MS"/>
          <w:i/>
          <w:lang w:val="fr-FR"/>
        </w:rPr>
        <w:t>La réforme du secteur de la sécurité et le genre : exemples du terrain</w:t>
      </w:r>
      <w:r w:rsidRPr="00181510">
        <w:rPr>
          <w:rFonts w:ascii="Trebuchet MS" w:hAnsi="Trebuchet MS"/>
          <w:lang w:val="fr-FR"/>
        </w:rPr>
        <w:t xml:space="preserve">. Genève : </w:t>
      </w:r>
      <w:proofErr w:type="spellStart"/>
      <w:r w:rsidRPr="00181510">
        <w:rPr>
          <w:rFonts w:ascii="Trebuchet MS" w:hAnsi="Trebuchet MS"/>
          <w:lang w:val="fr-FR"/>
        </w:rPr>
        <w:t>DCAF</w:t>
      </w:r>
      <w:proofErr w:type="spellEnd"/>
      <w:r w:rsidRPr="00181510">
        <w:rPr>
          <w:rFonts w:ascii="Trebuchet MS" w:hAnsi="Trebuchet MS"/>
          <w:lang w:val="fr-FR"/>
        </w:rPr>
        <w:t>.</w:t>
      </w:r>
    </w:p>
    <w:p w14:paraId="356796DB" w14:textId="77777777" w:rsidR="00002DAC" w:rsidRPr="00181510" w:rsidRDefault="00002DAC" w:rsidP="00002DAC">
      <w:pPr>
        <w:rPr>
          <w:rFonts w:ascii="Trebuchet MS" w:hAnsi="Trebuchet MS"/>
          <w:lang w:val="fr-FR"/>
        </w:rPr>
      </w:pPr>
    </w:p>
    <w:p w14:paraId="356796DC" w14:textId="77777777" w:rsidR="00002DAC" w:rsidRPr="005A06ED" w:rsidRDefault="00002DAC" w:rsidP="00002DAC">
      <w:pPr>
        <w:rPr>
          <w:rFonts w:ascii="Trebuchet MS" w:hAnsi="Trebuchet MS"/>
        </w:rPr>
      </w:pPr>
      <w:proofErr w:type="spellStart"/>
      <w:r w:rsidRPr="00181510">
        <w:rPr>
          <w:rFonts w:ascii="Trebuchet MS" w:hAnsi="Trebuchet MS"/>
          <w:lang w:val="fr-FR"/>
        </w:rPr>
        <w:t>DOMP</w:t>
      </w:r>
      <w:proofErr w:type="spellEnd"/>
      <w:r w:rsidRPr="00181510">
        <w:rPr>
          <w:rFonts w:ascii="Trebuchet MS" w:hAnsi="Trebuchet MS"/>
          <w:lang w:val="fr-FR"/>
        </w:rPr>
        <w:t xml:space="preserve">, 2010. </w:t>
      </w:r>
      <w:r w:rsidRPr="00181510">
        <w:rPr>
          <w:rFonts w:ascii="Trebuchet MS" w:hAnsi="Trebuchet MS"/>
          <w:i/>
          <w:lang w:val="fr-FR"/>
        </w:rPr>
        <w:t>Étude d'impact sur dix ans de la mise en œuvre de la Résolution 1325 du Conseil de sécurité des Nations Unies (2000) sur les femmes, la paix et la sécurité</w:t>
      </w:r>
      <w:r w:rsidRPr="00181510">
        <w:rPr>
          <w:rFonts w:ascii="Trebuchet MS" w:hAnsi="Trebuchet MS"/>
          <w:lang w:val="fr-FR"/>
        </w:rPr>
        <w:t>, Rapport final du Département des opérations de maintien de la paix des Nations Unies, Département de l'appui aux missions</w:t>
      </w:r>
      <w:r w:rsidRPr="00181510">
        <w:rPr>
          <w:rFonts w:ascii="Trebuchet MS" w:hAnsi="Trebuchet MS"/>
          <w:i/>
          <w:lang w:val="fr-FR"/>
        </w:rPr>
        <w:t xml:space="preserve">. </w:t>
      </w:r>
      <w:r w:rsidRPr="005A06ED">
        <w:rPr>
          <w:rFonts w:ascii="Trebuchet MS" w:hAnsi="Trebuchet MS"/>
        </w:rPr>
        <w:t xml:space="preserve">New </w:t>
      </w:r>
      <w:proofErr w:type="gramStart"/>
      <w:r w:rsidRPr="005A06ED">
        <w:rPr>
          <w:rFonts w:ascii="Trebuchet MS" w:hAnsi="Trebuchet MS"/>
        </w:rPr>
        <w:t>York :</w:t>
      </w:r>
      <w:proofErr w:type="gramEnd"/>
      <w:r w:rsidRPr="005A06ED">
        <w:rPr>
          <w:rFonts w:ascii="Trebuchet MS" w:hAnsi="Trebuchet MS"/>
        </w:rPr>
        <w:t xml:space="preserve"> </w:t>
      </w:r>
      <w:proofErr w:type="spellStart"/>
      <w:r w:rsidRPr="005A06ED">
        <w:rPr>
          <w:rFonts w:ascii="Trebuchet MS" w:hAnsi="Trebuchet MS"/>
        </w:rPr>
        <w:t>ONU</w:t>
      </w:r>
      <w:proofErr w:type="spellEnd"/>
      <w:r w:rsidRPr="005A06ED">
        <w:rPr>
          <w:rFonts w:ascii="Trebuchet MS" w:hAnsi="Trebuchet MS"/>
        </w:rPr>
        <w:t xml:space="preserve">. </w:t>
      </w:r>
      <w:hyperlink r:id="rId9" w:history="1">
        <w:r w:rsidRPr="005A06ED">
          <w:rPr>
            <w:rStyle w:val="Lienhypertexte"/>
            <w:rFonts w:ascii="Trebuchet MS" w:hAnsi="Trebuchet MS"/>
          </w:rPr>
          <w:t>http://www.un.org/en/peacekeeping/documents/10year_impact_study_1325.pdf</w:t>
        </w:r>
      </w:hyperlink>
      <w:r w:rsidRPr="005A06ED">
        <w:rPr>
          <w:rFonts w:ascii="Trebuchet MS" w:hAnsi="Trebuchet MS"/>
        </w:rPr>
        <w:t xml:space="preserve">. </w:t>
      </w:r>
    </w:p>
    <w:p w14:paraId="356796DD" w14:textId="77777777" w:rsidR="00002DAC" w:rsidRPr="005A06ED" w:rsidRDefault="00002DAC" w:rsidP="00002DAC">
      <w:pPr>
        <w:rPr>
          <w:rFonts w:ascii="Trebuchet MS" w:hAnsi="Trebuchet MS"/>
        </w:rPr>
      </w:pPr>
    </w:p>
    <w:p w14:paraId="356796DE" w14:textId="77777777" w:rsidR="00002DAC" w:rsidRPr="00181510" w:rsidRDefault="00002DAC" w:rsidP="00002DAC">
      <w:pPr>
        <w:rPr>
          <w:rFonts w:ascii="Trebuchet MS" w:hAnsi="Trebuchet MS"/>
          <w:lang w:val="fr-FR"/>
        </w:rPr>
      </w:pPr>
      <w:proofErr w:type="spellStart"/>
      <w:r w:rsidRPr="00181510">
        <w:rPr>
          <w:rFonts w:ascii="Trebuchet MS" w:hAnsi="Trebuchet MS"/>
          <w:lang w:val="fr-FR"/>
        </w:rPr>
        <w:t>ONGFG</w:t>
      </w:r>
      <w:proofErr w:type="spellEnd"/>
      <w:r w:rsidRPr="00181510">
        <w:rPr>
          <w:rFonts w:ascii="Trebuchet MS" w:hAnsi="Trebuchet MS"/>
          <w:lang w:val="fr-FR"/>
        </w:rPr>
        <w:t xml:space="preserve"> 2014. </w:t>
      </w:r>
      <w:r w:rsidRPr="00181510">
        <w:rPr>
          <w:rFonts w:ascii="Trebuchet MS" w:hAnsi="Trebuchet MS"/>
          <w:i/>
          <w:lang w:val="fr-FR"/>
        </w:rPr>
        <w:t xml:space="preserve">Mapping </w:t>
      </w:r>
      <w:proofErr w:type="spellStart"/>
      <w:r w:rsidRPr="00181510">
        <w:rPr>
          <w:rFonts w:ascii="Trebuchet MS" w:hAnsi="Trebuchet MS"/>
          <w:i/>
          <w:lang w:val="fr-FR"/>
        </w:rPr>
        <w:t>Women</w:t>
      </w:r>
      <w:proofErr w:type="spellEnd"/>
      <w:r w:rsidRPr="00181510">
        <w:rPr>
          <w:rFonts w:ascii="Trebuchet MS" w:hAnsi="Trebuchet MS"/>
          <w:i/>
          <w:lang w:val="fr-FR"/>
        </w:rPr>
        <w:t xml:space="preserve">, </w:t>
      </w:r>
      <w:proofErr w:type="spellStart"/>
      <w:r w:rsidRPr="00181510">
        <w:rPr>
          <w:rFonts w:ascii="Trebuchet MS" w:hAnsi="Trebuchet MS"/>
          <w:i/>
          <w:lang w:val="fr-FR"/>
        </w:rPr>
        <w:t>Peace</w:t>
      </w:r>
      <w:proofErr w:type="spellEnd"/>
      <w:r w:rsidRPr="00181510">
        <w:rPr>
          <w:rFonts w:ascii="Trebuchet MS" w:hAnsi="Trebuchet MS"/>
          <w:i/>
          <w:lang w:val="fr-FR"/>
        </w:rPr>
        <w:t xml:space="preserve"> and Security in the UN Security Council for 2013-2014: Trends and </w:t>
      </w:r>
      <w:proofErr w:type="spellStart"/>
      <w:r w:rsidRPr="00382D03">
        <w:rPr>
          <w:rFonts w:ascii="Trebuchet MS" w:hAnsi="Trebuchet MS"/>
          <w:i/>
          <w:lang w:val="fr-FR"/>
        </w:rPr>
        <w:t>Recommendations</w:t>
      </w:r>
      <w:proofErr w:type="spellEnd"/>
      <w:r w:rsidRPr="00382D03">
        <w:rPr>
          <w:rFonts w:ascii="Trebuchet MS" w:hAnsi="Trebuchet MS"/>
          <w:i/>
          <w:lang w:val="fr-FR"/>
        </w:rPr>
        <w:t xml:space="preserve"> (Cartographier les femmes, la paix et la sécurité dans le Conseil de sécurité des Nations Unies pour 2013-2014 : tendances et recommandations).</w:t>
      </w:r>
      <w:r w:rsidRPr="00181510">
        <w:rPr>
          <w:rFonts w:ascii="Trebuchet MS" w:hAnsi="Trebuchet MS"/>
          <w:lang w:val="fr-FR"/>
        </w:rPr>
        <w:t xml:space="preserve"> New York : Groupe de travail des ONG sur les femmes, la paix et la sécurité</w:t>
      </w:r>
    </w:p>
    <w:p w14:paraId="356796DF" w14:textId="77777777" w:rsidR="00002DAC" w:rsidRPr="00181510" w:rsidRDefault="00002DAC" w:rsidP="00002DAC">
      <w:pPr>
        <w:rPr>
          <w:rFonts w:ascii="Trebuchet MS" w:hAnsi="Trebuchet MS"/>
          <w:lang w:val="fr-FR"/>
        </w:rPr>
      </w:pPr>
    </w:p>
    <w:p w14:paraId="356796E0" w14:textId="77777777" w:rsidR="00002DAC" w:rsidRPr="00181510" w:rsidRDefault="00002DAC" w:rsidP="00002DAC">
      <w:pPr>
        <w:rPr>
          <w:rFonts w:ascii="Trebuchet MS" w:hAnsi="Trebuchet MS"/>
          <w:lang w:val="fr-FR"/>
        </w:rPr>
      </w:pPr>
      <w:r w:rsidRPr="00181510">
        <w:rPr>
          <w:rFonts w:ascii="Trebuchet MS" w:hAnsi="Trebuchet MS"/>
          <w:lang w:val="fr-FR"/>
        </w:rPr>
        <w:t xml:space="preserve">OCDE 2013. </w:t>
      </w:r>
      <w:r w:rsidRPr="00181510">
        <w:rPr>
          <w:rFonts w:ascii="Trebuchet MS" w:hAnsi="Trebuchet MS"/>
          <w:i/>
          <w:lang w:val="fr-FR"/>
        </w:rPr>
        <w:t>Genre et renforcement de l'État dans les pays en situation de conflit ou de fragilité</w:t>
      </w:r>
      <w:r w:rsidRPr="00181510">
        <w:rPr>
          <w:rFonts w:ascii="Trebuchet MS" w:hAnsi="Trebuchet MS"/>
          <w:lang w:val="fr-FR"/>
        </w:rPr>
        <w:t>. Paris : OCDE</w:t>
      </w:r>
    </w:p>
    <w:p w14:paraId="356796E1" w14:textId="77777777" w:rsidR="00002DAC" w:rsidRPr="00181510" w:rsidRDefault="00002DAC" w:rsidP="00002DAC">
      <w:pPr>
        <w:rPr>
          <w:rFonts w:ascii="Trebuchet MS" w:hAnsi="Trebuchet MS"/>
          <w:lang w:val="fr-FR"/>
        </w:rPr>
      </w:pPr>
    </w:p>
    <w:p w14:paraId="356796E2" w14:textId="77777777" w:rsidR="00002DAC" w:rsidRPr="00181510" w:rsidRDefault="00ED3DB1" w:rsidP="00002DAC">
      <w:pPr>
        <w:rPr>
          <w:rFonts w:ascii="Trebuchet MS" w:hAnsi="Trebuchet MS"/>
          <w:lang w:val="fr-FR"/>
        </w:rPr>
      </w:pPr>
      <w:r>
        <w:rPr>
          <w:rFonts w:ascii="Trebuchet MS" w:hAnsi="Trebuchet MS"/>
          <w:lang w:val="fr-FR"/>
        </w:rPr>
        <w:t xml:space="preserve">ONU Femmes, 2011. </w:t>
      </w:r>
      <w:r w:rsidR="00002DAC" w:rsidRPr="00181510">
        <w:rPr>
          <w:rFonts w:ascii="Trebuchet MS" w:hAnsi="Trebuchet MS"/>
          <w:i/>
          <w:lang w:val="fr-FR"/>
        </w:rPr>
        <w:t>Les progrès des femmes dans le monde : en quête de justice</w:t>
      </w:r>
      <w:r w:rsidR="00002DAC" w:rsidRPr="00181510">
        <w:rPr>
          <w:rFonts w:ascii="Trebuchet MS" w:hAnsi="Trebuchet MS"/>
          <w:lang w:val="fr-FR"/>
        </w:rPr>
        <w:t>. New York : ONU</w:t>
      </w:r>
    </w:p>
    <w:p w14:paraId="356796E3" w14:textId="77777777" w:rsidR="00002DAC" w:rsidRPr="00181510" w:rsidRDefault="00002DAC" w:rsidP="00002DAC">
      <w:pPr>
        <w:rPr>
          <w:rFonts w:ascii="Trebuchet MS" w:hAnsi="Trebuchet MS"/>
          <w:lang w:val="fr-FR"/>
        </w:rPr>
      </w:pPr>
    </w:p>
    <w:p w14:paraId="356796E4" w14:textId="77777777" w:rsidR="00002DAC" w:rsidRPr="00181510" w:rsidRDefault="00002DAC" w:rsidP="00002DAC">
      <w:pPr>
        <w:rPr>
          <w:rFonts w:ascii="Trebuchet MS" w:hAnsi="Trebuchet MS"/>
          <w:lang w:val="fr-FR"/>
        </w:rPr>
      </w:pPr>
      <w:r w:rsidRPr="00181510">
        <w:rPr>
          <w:rFonts w:ascii="Trebuchet MS" w:hAnsi="Trebuchet MS"/>
          <w:lang w:val="fr-FR"/>
        </w:rPr>
        <w:t xml:space="preserve">ONU Femmes, 2012. </w:t>
      </w:r>
      <w:r w:rsidRPr="00181510">
        <w:rPr>
          <w:rFonts w:ascii="Trebuchet MS" w:hAnsi="Trebuchet MS"/>
          <w:i/>
          <w:lang w:val="fr-FR"/>
        </w:rPr>
        <w:t>Suivi de l'application de la résolution 1325 (2000)</w:t>
      </w:r>
      <w:r w:rsidRPr="00181510">
        <w:rPr>
          <w:rFonts w:ascii="Trebuchet MS" w:hAnsi="Trebuchet MS"/>
          <w:lang w:val="fr-FR"/>
        </w:rPr>
        <w:t>. New York : ONU.</w:t>
      </w:r>
    </w:p>
    <w:p w14:paraId="356796E5" w14:textId="77777777" w:rsidR="00002DAC" w:rsidRPr="00181510" w:rsidRDefault="00002DAC" w:rsidP="00002DAC">
      <w:pPr>
        <w:rPr>
          <w:rFonts w:ascii="Trebuchet MS" w:hAnsi="Trebuchet MS"/>
          <w:lang w:val="fr-FR"/>
        </w:rPr>
      </w:pPr>
    </w:p>
    <w:p w14:paraId="356796E6" w14:textId="77777777" w:rsidR="00002DAC" w:rsidRPr="00181510" w:rsidRDefault="00002DAC" w:rsidP="00002DAC">
      <w:pPr>
        <w:rPr>
          <w:rFonts w:ascii="Trebuchet MS" w:hAnsi="Trebuchet MS"/>
          <w:lang w:val="fr-FR"/>
        </w:rPr>
      </w:pPr>
      <w:r w:rsidRPr="00181510">
        <w:rPr>
          <w:rFonts w:ascii="Trebuchet MS" w:hAnsi="Trebuchet MS"/>
          <w:lang w:val="fr-FR"/>
        </w:rPr>
        <w:t xml:space="preserve">ONU, 2014. </w:t>
      </w:r>
      <w:r w:rsidRPr="00181510">
        <w:rPr>
          <w:rFonts w:ascii="Trebuchet MS" w:hAnsi="Trebuchet MS"/>
          <w:i/>
          <w:lang w:val="fr-FR"/>
        </w:rPr>
        <w:t>Rapport du Secrétaire général des Nations Unies sur les femmes, la paix et la sécurité</w:t>
      </w:r>
      <w:r w:rsidRPr="00181510">
        <w:rPr>
          <w:rFonts w:ascii="Trebuchet MS" w:hAnsi="Trebuchet MS"/>
          <w:lang w:val="fr-FR"/>
        </w:rPr>
        <w:t>, 24 septembre 2014. S/2014/693.</w:t>
      </w:r>
    </w:p>
    <w:p w14:paraId="356796E7" w14:textId="77777777" w:rsidR="00002DAC" w:rsidRPr="00181510" w:rsidRDefault="00002DAC" w:rsidP="00002DAC">
      <w:pPr>
        <w:tabs>
          <w:tab w:val="left" w:pos="6930"/>
        </w:tabs>
        <w:ind w:right="26"/>
        <w:jc w:val="both"/>
        <w:rPr>
          <w:rFonts w:ascii="Trebuchet MS" w:hAnsi="Trebuchet MS"/>
          <w:lang w:val="fr-FR"/>
        </w:rPr>
      </w:pPr>
    </w:p>
    <w:p w14:paraId="356796E8" w14:textId="77777777" w:rsidR="00002DAC" w:rsidRPr="00181510" w:rsidRDefault="00002DAC" w:rsidP="00002DAC">
      <w:pPr>
        <w:pStyle w:val="HoofdstukNummer"/>
        <w:numPr>
          <w:ilvl w:val="0"/>
          <w:numId w:val="15"/>
        </w:numPr>
        <w:rPr>
          <w:lang w:val="fr-FR"/>
        </w:rPr>
      </w:pPr>
      <w:r w:rsidRPr="00181510">
        <w:rPr>
          <w:lang w:val="fr-FR"/>
        </w:rPr>
        <w:lastRenderedPageBreak/>
        <w:t xml:space="preserve"> </w:t>
      </w:r>
    </w:p>
    <w:p w14:paraId="356796E9" w14:textId="77777777" w:rsidR="00002DAC" w:rsidRPr="00181510" w:rsidRDefault="00002DAC" w:rsidP="00002DAC">
      <w:pPr>
        <w:pStyle w:val="Titre1"/>
        <w:rPr>
          <w:szCs w:val="42"/>
          <w:lang w:val="fr-FR"/>
        </w:rPr>
      </w:pPr>
      <w:bookmarkStart w:id="22" w:name="_Toc411365691"/>
      <w:bookmarkStart w:id="23" w:name="_Toc417545135"/>
      <w:r w:rsidRPr="00181510">
        <w:rPr>
          <w:szCs w:val="42"/>
          <w:lang w:val="fr-FR"/>
        </w:rPr>
        <w:t xml:space="preserve">La participation des femmes à la vie politique et à la gouvernance de la transition </w:t>
      </w:r>
      <w:proofErr w:type="spellStart"/>
      <w:r w:rsidRPr="00181510">
        <w:rPr>
          <w:szCs w:val="42"/>
          <w:lang w:val="fr-FR"/>
        </w:rPr>
        <w:t>postconflit</w:t>
      </w:r>
      <w:bookmarkEnd w:id="22"/>
      <w:bookmarkEnd w:id="23"/>
      <w:proofErr w:type="spellEnd"/>
      <w:r w:rsidRPr="00181510">
        <w:rPr>
          <w:szCs w:val="42"/>
          <w:lang w:val="fr-FR"/>
        </w:rPr>
        <w:t xml:space="preserve"> </w:t>
      </w:r>
    </w:p>
    <w:p w14:paraId="356796EA" w14:textId="77777777" w:rsidR="00002DAC" w:rsidRPr="00181510" w:rsidRDefault="00002DAC" w:rsidP="00002DAC">
      <w:pPr>
        <w:pStyle w:val="Titre1"/>
        <w:rPr>
          <w:sz w:val="24"/>
          <w:szCs w:val="24"/>
          <w:lang w:val="fr-FR"/>
        </w:rPr>
      </w:pPr>
      <w:bookmarkStart w:id="24" w:name="_Toc411364434"/>
      <w:bookmarkStart w:id="25" w:name="_Toc411365692"/>
      <w:bookmarkStart w:id="26" w:name="_Toc417545136"/>
      <w:r w:rsidRPr="00181510">
        <w:rPr>
          <w:sz w:val="24"/>
          <w:szCs w:val="24"/>
          <w:lang w:val="fr-FR"/>
        </w:rPr>
        <w:t xml:space="preserve">Pilar Domingo et </w:t>
      </w:r>
      <w:proofErr w:type="spellStart"/>
      <w:r w:rsidRPr="00181510">
        <w:rPr>
          <w:sz w:val="24"/>
          <w:szCs w:val="24"/>
          <w:lang w:val="fr-FR"/>
        </w:rPr>
        <w:t>Clare</w:t>
      </w:r>
      <w:proofErr w:type="spellEnd"/>
      <w:r w:rsidRPr="00181510">
        <w:rPr>
          <w:sz w:val="24"/>
          <w:szCs w:val="24"/>
          <w:lang w:val="fr-FR"/>
        </w:rPr>
        <w:t xml:space="preserve"> Cummings</w:t>
      </w:r>
      <w:bookmarkEnd w:id="24"/>
      <w:bookmarkEnd w:id="25"/>
      <w:r w:rsidRPr="00181510">
        <w:rPr>
          <w:sz w:val="24"/>
          <w:szCs w:val="24"/>
          <w:lang w:val="fr-FR"/>
        </w:rPr>
        <w:t>, O</w:t>
      </w:r>
      <w:bookmarkEnd w:id="26"/>
      <w:r w:rsidR="005D4EB1" w:rsidRPr="00181510">
        <w:rPr>
          <w:sz w:val="24"/>
          <w:szCs w:val="24"/>
          <w:lang w:val="fr-FR"/>
        </w:rPr>
        <w:t xml:space="preserve">verseas Development Institute (Institut du développement de l'outre-mer) </w:t>
      </w:r>
    </w:p>
    <w:p w14:paraId="356796EB" w14:textId="77777777" w:rsidR="00002DAC" w:rsidRPr="00181510" w:rsidRDefault="00002DAC" w:rsidP="00002DAC">
      <w:pPr>
        <w:pStyle w:val="Titre1"/>
        <w:rPr>
          <w:lang w:val="fr-FR"/>
        </w:rPr>
      </w:pPr>
    </w:p>
    <w:p w14:paraId="356796EC" w14:textId="77777777" w:rsidR="00002DAC" w:rsidRPr="00181510" w:rsidRDefault="00002DAC" w:rsidP="00002DAC">
      <w:pPr>
        <w:pStyle w:val="NaKop1"/>
        <w:rPr>
          <w:lang w:val="fr-FR"/>
        </w:rPr>
      </w:pPr>
    </w:p>
    <w:p w14:paraId="356796ED" w14:textId="77777777" w:rsidR="00002DAC" w:rsidRPr="00181510" w:rsidRDefault="00002DAC" w:rsidP="00002DAC">
      <w:pPr>
        <w:pStyle w:val="Intro"/>
        <w:jc w:val="both"/>
        <w:rPr>
          <w:rFonts w:ascii="Trebuchet MS" w:hAnsi="Trebuchet MS"/>
          <w:sz w:val="20"/>
          <w:szCs w:val="20"/>
          <w:lang w:val="fr-FR"/>
        </w:rPr>
      </w:pPr>
      <w:r w:rsidRPr="00181510">
        <w:rPr>
          <w:rFonts w:ascii="Trebuchet MS" w:hAnsi="Trebuchet MS"/>
          <w:sz w:val="20"/>
          <w:szCs w:val="20"/>
          <w:lang w:val="fr-FR"/>
        </w:rPr>
        <w:t xml:space="preserve">Cet article général présente un état des savoirs sur la participation des femmes à la transition </w:t>
      </w:r>
      <w:proofErr w:type="spellStart"/>
      <w:r w:rsidRPr="00181510">
        <w:rPr>
          <w:rFonts w:ascii="Trebuchet MS" w:hAnsi="Trebuchet MS"/>
          <w:sz w:val="20"/>
          <w:szCs w:val="20"/>
          <w:lang w:val="fr-FR"/>
        </w:rPr>
        <w:t>postconflit</w:t>
      </w:r>
      <w:proofErr w:type="spellEnd"/>
      <w:r w:rsidRPr="00181510">
        <w:rPr>
          <w:rFonts w:ascii="Trebuchet MS" w:hAnsi="Trebuchet MS"/>
          <w:sz w:val="20"/>
          <w:szCs w:val="20"/>
          <w:lang w:val="fr-FR"/>
        </w:rPr>
        <w:t xml:space="preserve">. Premièrement, il résume les connaissances actuelles sur la participation des femmes à la négociation des accords de paix et aux processus de réforme constitutionnelle. Il met ensuite en évidence les facteurs clés favorisant la participation des femmes et les défis récurrents auxquels celles-ci et les défenseurs du genre font face. S'ensuit un bref examen des types de points d'entrée et d'interventions observés parmi les actions internationales visant à soutenir la participation de femmes à la gouvernance </w:t>
      </w:r>
      <w:proofErr w:type="spellStart"/>
      <w:r w:rsidRPr="00181510">
        <w:rPr>
          <w:rFonts w:ascii="Trebuchet MS" w:hAnsi="Trebuchet MS"/>
          <w:sz w:val="20"/>
          <w:szCs w:val="20"/>
          <w:lang w:val="fr-FR"/>
        </w:rPr>
        <w:t>postconflit</w:t>
      </w:r>
      <w:proofErr w:type="spellEnd"/>
      <w:r w:rsidRPr="00181510">
        <w:rPr>
          <w:rFonts w:ascii="Trebuchet MS" w:hAnsi="Trebuchet MS"/>
          <w:sz w:val="20"/>
          <w:szCs w:val="20"/>
          <w:lang w:val="fr-FR"/>
        </w:rPr>
        <w:t>. Le contexte plus large des héritages de conflit non</w:t>
      </w:r>
      <w:r w:rsidR="00D027A4">
        <w:rPr>
          <w:rFonts w:ascii="Trebuchet MS" w:hAnsi="Trebuchet MS"/>
          <w:sz w:val="20"/>
          <w:szCs w:val="20"/>
          <w:lang w:val="fr-FR"/>
        </w:rPr>
        <w:t>-</w:t>
      </w:r>
      <w:r w:rsidRPr="00181510">
        <w:rPr>
          <w:rFonts w:ascii="Trebuchet MS" w:hAnsi="Trebuchet MS"/>
          <w:sz w:val="20"/>
          <w:szCs w:val="20"/>
          <w:lang w:val="fr-FR"/>
        </w:rPr>
        <w:t xml:space="preserve">résolus et des défis de sécurité permanents </w:t>
      </w:r>
      <w:r w:rsidR="00D027A4">
        <w:rPr>
          <w:rFonts w:ascii="Trebuchet MS" w:hAnsi="Trebuchet MS"/>
          <w:sz w:val="20"/>
          <w:szCs w:val="20"/>
          <w:lang w:val="fr-FR"/>
        </w:rPr>
        <w:t>est</w:t>
      </w:r>
      <w:r w:rsidRPr="00181510">
        <w:rPr>
          <w:rFonts w:ascii="Trebuchet MS" w:hAnsi="Trebuchet MS"/>
          <w:sz w:val="20"/>
          <w:szCs w:val="20"/>
          <w:lang w:val="fr-FR"/>
        </w:rPr>
        <w:t xml:space="preserve"> souvent</w:t>
      </w:r>
      <w:r w:rsidR="00D027A4">
        <w:rPr>
          <w:rFonts w:ascii="Trebuchet MS" w:hAnsi="Trebuchet MS"/>
          <w:sz w:val="20"/>
          <w:szCs w:val="20"/>
          <w:lang w:val="fr-FR"/>
        </w:rPr>
        <w:t xml:space="preserve"> source d</w:t>
      </w:r>
      <w:r w:rsidR="006A0F0A" w:rsidRPr="00181510">
        <w:rPr>
          <w:rFonts w:ascii="Trebuchet MS" w:hAnsi="Trebuchet MS"/>
          <w:lang w:val="fr-FR"/>
        </w:rPr>
        <w:t>'</w:t>
      </w:r>
      <w:r w:rsidRPr="00181510">
        <w:rPr>
          <w:rFonts w:ascii="Trebuchet MS" w:hAnsi="Trebuchet MS"/>
          <w:sz w:val="20"/>
          <w:szCs w:val="20"/>
          <w:lang w:val="fr-FR"/>
        </w:rPr>
        <w:t xml:space="preserve">obstacles majeurs à une participation significative des femmes aux compromis politiques </w:t>
      </w:r>
      <w:proofErr w:type="spellStart"/>
      <w:r w:rsidRPr="00181510">
        <w:rPr>
          <w:rFonts w:ascii="Trebuchet MS" w:hAnsi="Trebuchet MS"/>
          <w:sz w:val="20"/>
          <w:szCs w:val="20"/>
          <w:lang w:val="fr-FR"/>
        </w:rPr>
        <w:t>postconflit</w:t>
      </w:r>
      <w:proofErr w:type="spellEnd"/>
      <w:r w:rsidR="00D027A4">
        <w:rPr>
          <w:rFonts w:ascii="Trebuchet MS" w:hAnsi="Trebuchet MS"/>
          <w:sz w:val="20"/>
          <w:szCs w:val="20"/>
          <w:lang w:val="fr-FR"/>
        </w:rPr>
        <w:t>,</w:t>
      </w:r>
      <w:r w:rsidRPr="00181510">
        <w:rPr>
          <w:rFonts w:ascii="Trebuchet MS" w:hAnsi="Trebuchet MS"/>
          <w:sz w:val="20"/>
          <w:szCs w:val="20"/>
          <w:lang w:val="fr-FR"/>
        </w:rPr>
        <w:t xml:space="preserve"> et plus généralement à leur engagement dans la vie politique. Ces obstacles doivent être pris en compte. L'article se termine par une réflexion finale sur l'état des connaissances au sujet de la place des femmes dans les contextes </w:t>
      </w:r>
      <w:proofErr w:type="spellStart"/>
      <w:r w:rsidRPr="00181510">
        <w:rPr>
          <w:rFonts w:ascii="Trebuchet MS" w:hAnsi="Trebuchet MS"/>
          <w:sz w:val="20"/>
          <w:szCs w:val="20"/>
          <w:lang w:val="fr-FR"/>
        </w:rPr>
        <w:t>postconflit</w:t>
      </w:r>
      <w:proofErr w:type="spellEnd"/>
      <w:r w:rsidRPr="00181510">
        <w:rPr>
          <w:rFonts w:ascii="Trebuchet MS" w:hAnsi="Trebuchet MS"/>
          <w:sz w:val="20"/>
          <w:szCs w:val="20"/>
          <w:lang w:val="fr-FR"/>
        </w:rPr>
        <w:t xml:space="preserve"> et de fragilité. Les thèmes clés suivants doivent être pris en considération :</w:t>
      </w:r>
    </w:p>
    <w:p w14:paraId="356796EE" w14:textId="77777777" w:rsidR="00002DAC" w:rsidRPr="00181510" w:rsidRDefault="00002DAC" w:rsidP="00002DAC">
      <w:pPr>
        <w:pStyle w:val="Intro"/>
        <w:numPr>
          <w:ilvl w:val="0"/>
          <w:numId w:val="16"/>
        </w:numPr>
        <w:jc w:val="both"/>
        <w:rPr>
          <w:rFonts w:ascii="Trebuchet MS" w:hAnsi="Trebuchet MS"/>
          <w:sz w:val="18"/>
          <w:lang w:val="fr-FR"/>
        </w:rPr>
      </w:pPr>
      <w:r w:rsidRPr="00181510">
        <w:rPr>
          <w:rFonts w:ascii="Trebuchet MS" w:hAnsi="Trebuchet MS"/>
          <w:sz w:val="18"/>
          <w:lang w:val="fr-FR"/>
        </w:rPr>
        <w:t xml:space="preserve">Les processus </w:t>
      </w:r>
      <w:proofErr w:type="spellStart"/>
      <w:r w:rsidRPr="00181510">
        <w:rPr>
          <w:rFonts w:ascii="Trebuchet MS" w:hAnsi="Trebuchet MS"/>
          <w:sz w:val="18"/>
          <w:lang w:val="fr-FR"/>
        </w:rPr>
        <w:t>postconflit</w:t>
      </w:r>
      <w:proofErr w:type="spellEnd"/>
      <w:r w:rsidRPr="00181510">
        <w:rPr>
          <w:rFonts w:ascii="Trebuchet MS" w:hAnsi="Trebuchet MS"/>
          <w:sz w:val="18"/>
          <w:lang w:val="fr-FR"/>
        </w:rPr>
        <w:t xml:space="preserve"> présentent différentes voies et opportunités de négociation d'un nouveau compromis politique. Dans ce contexte, </w:t>
      </w:r>
      <w:r w:rsidRPr="00181510">
        <w:rPr>
          <w:rFonts w:ascii="Trebuchet MS" w:hAnsi="Trebuchet MS"/>
          <w:b/>
          <w:bCs/>
          <w:sz w:val="18"/>
          <w:lang w:val="fr-FR"/>
        </w:rPr>
        <w:t>les processus de négociation de paix et de réforme constitutionnelle sont des fenêtres d'opportunité pour les femmes et les défenseurs du genre</w:t>
      </w:r>
      <w:r w:rsidRPr="00181510">
        <w:rPr>
          <w:rFonts w:ascii="Trebuchet MS" w:hAnsi="Trebuchet MS"/>
          <w:sz w:val="18"/>
          <w:lang w:val="fr-FR"/>
        </w:rPr>
        <w:t>, qui peuvent promouvoir l'intégration des principes d'égalité des sexes et d'inclusivité</w:t>
      </w:r>
      <w:r w:rsidR="00D027A4">
        <w:rPr>
          <w:rFonts w:ascii="Trebuchet MS" w:hAnsi="Trebuchet MS"/>
          <w:sz w:val="18"/>
          <w:lang w:val="fr-FR"/>
        </w:rPr>
        <w:t xml:space="preserve"> </w:t>
      </w:r>
      <w:r w:rsidR="00D027A4" w:rsidRPr="00181510">
        <w:rPr>
          <w:rFonts w:ascii="Trebuchet MS" w:hAnsi="Trebuchet MS"/>
          <w:sz w:val="18"/>
          <w:lang w:val="fr-FR"/>
        </w:rPr>
        <w:t>au compromis politique émergeant</w:t>
      </w:r>
      <w:r w:rsidRPr="00181510">
        <w:rPr>
          <w:rFonts w:ascii="Trebuchet MS" w:hAnsi="Trebuchet MS"/>
          <w:sz w:val="18"/>
          <w:lang w:val="fr-FR"/>
        </w:rPr>
        <w:t>, y compris en matière de partic</w:t>
      </w:r>
      <w:r w:rsidR="00D027A4">
        <w:rPr>
          <w:rFonts w:ascii="Trebuchet MS" w:hAnsi="Trebuchet MS"/>
          <w:sz w:val="18"/>
          <w:lang w:val="fr-FR"/>
        </w:rPr>
        <w:t>ipation politique</w:t>
      </w:r>
      <w:r w:rsidRPr="00181510">
        <w:rPr>
          <w:rFonts w:ascii="Trebuchet MS" w:hAnsi="Trebuchet MS"/>
          <w:sz w:val="18"/>
          <w:lang w:val="fr-FR"/>
        </w:rPr>
        <w:t xml:space="preserve">. </w:t>
      </w:r>
    </w:p>
    <w:p w14:paraId="356796EF" w14:textId="77777777" w:rsidR="00002DAC" w:rsidRPr="00D027A4" w:rsidRDefault="00002DAC" w:rsidP="00002DAC">
      <w:pPr>
        <w:pStyle w:val="Intro"/>
        <w:numPr>
          <w:ilvl w:val="0"/>
          <w:numId w:val="16"/>
        </w:numPr>
        <w:jc w:val="both"/>
        <w:rPr>
          <w:rFonts w:ascii="Trebuchet MS" w:hAnsi="Trebuchet MS"/>
          <w:sz w:val="18"/>
          <w:lang w:val="fr-FR"/>
        </w:rPr>
      </w:pPr>
      <w:r w:rsidRPr="00181510">
        <w:rPr>
          <w:rFonts w:ascii="Trebuchet MS" w:hAnsi="Trebuchet MS"/>
          <w:sz w:val="18"/>
          <w:lang w:val="fr-FR"/>
        </w:rPr>
        <w:lastRenderedPageBreak/>
        <w:t xml:space="preserve">Dans les quinze années qui ont suivi l'adoption de la </w:t>
      </w:r>
      <w:proofErr w:type="spellStart"/>
      <w:r w:rsidRPr="00181510">
        <w:rPr>
          <w:rFonts w:ascii="Trebuchet MS" w:hAnsi="Trebuchet MS"/>
          <w:sz w:val="18"/>
          <w:lang w:val="fr-FR"/>
        </w:rPr>
        <w:t>RCSNU</w:t>
      </w:r>
      <w:proofErr w:type="spellEnd"/>
      <w:r w:rsidRPr="00181510">
        <w:rPr>
          <w:rFonts w:ascii="Trebuchet MS" w:hAnsi="Trebuchet MS"/>
          <w:sz w:val="18"/>
          <w:lang w:val="fr-FR"/>
        </w:rPr>
        <w:t xml:space="preserve"> 1325, </w:t>
      </w:r>
      <w:r w:rsidRPr="00D027A4">
        <w:rPr>
          <w:rFonts w:ascii="Trebuchet MS" w:hAnsi="Trebuchet MS"/>
          <w:b/>
          <w:sz w:val="18"/>
          <w:lang w:val="fr-FR"/>
        </w:rPr>
        <w:t>les problématiques de genre ont</w:t>
      </w:r>
      <w:r w:rsidRPr="00181510">
        <w:rPr>
          <w:rFonts w:ascii="Trebuchet MS" w:hAnsi="Trebuchet MS"/>
          <w:sz w:val="18"/>
          <w:lang w:val="fr-FR"/>
        </w:rPr>
        <w:t xml:space="preserve"> </w:t>
      </w:r>
      <w:r w:rsidRPr="00181510">
        <w:rPr>
          <w:rFonts w:ascii="Trebuchet MS" w:hAnsi="Trebuchet MS"/>
          <w:b/>
          <w:bCs/>
          <w:sz w:val="18"/>
          <w:lang w:val="fr-FR"/>
        </w:rPr>
        <w:t>gagné en visibilité</w:t>
      </w:r>
      <w:r w:rsidRPr="00181510">
        <w:rPr>
          <w:rFonts w:ascii="Trebuchet MS" w:hAnsi="Trebuchet MS"/>
          <w:sz w:val="18"/>
          <w:lang w:val="fr-FR"/>
        </w:rPr>
        <w:t xml:space="preserve"> et certaines avancées constitutionnelles ont été réalisées en matière d'égalité des sexes et de représentation politique des femmes dans les fonctions publiques et élues en contexte </w:t>
      </w:r>
      <w:proofErr w:type="spellStart"/>
      <w:r w:rsidRPr="00181510">
        <w:rPr>
          <w:rFonts w:ascii="Trebuchet MS" w:hAnsi="Trebuchet MS"/>
          <w:sz w:val="18"/>
          <w:lang w:val="fr-FR"/>
        </w:rPr>
        <w:t>postconflit</w:t>
      </w:r>
      <w:proofErr w:type="spellEnd"/>
      <w:r w:rsidRPr="00181510">
        <w:rPr>
          <w:rFonts w:ascii="Trebuchet MS" w:hAnsi="Trebuchet MS"/>
          <w:sz w:val="18"/>
          <w:lang w:val="fr-FR"/>
        </w:rPr>
        <w:t xml:space="preserve">. </w:t>
      </w:r>
    </w:p>
    <w:p w14:paraId="356796F0" w14:textId="77777777" w:rsidR="00002DAC" w:rsidRPr="00181510" w:rsidRDefault="00002DAC" w:rsidP="00002DAC">
      <w:pPr>
        <w:pStyle w:val="Intro"/>
        <w:numPr>
          <w:ilvl w:val="0"/>
          <w:numId w:val="16"/>
        </w:numPr>
        <w:jc w:val="both"/>
        <w:rPr>
          <w:rFonts w:ascii="Trebuchet MS" w:hAnsi="Trebuchet MS"/>
          <w:sz w:val="18"/>
          <w:lang w:val="fr-FR"/>
        </w:rPr>
      </w:pPr>
      <w:r w:rsidRPr="00181510">
        <w:rPr>
          <w:rFonts w:ascii="Trebuchet MS" w:hAnsi="Trebuchet MS"/>
          <w:sz w:val="18"/>
          <w:lang w:val="fr-FR"/>
        </w:rPr>
        <w:t xml:space="preserve">Cependant, dans la majorité des cas, </w:t>
      </w:r>
      <w:r w:rsidRPr="00181510">
        <w:rPr>
          <w:rFonts w:ascii="Trebuchet MS" w:hAnsi="Trebuchet MS"/>
          <w:b/>
          <w:bCs/>
          <w:sz w:val="18"/>
          <w:lang w:val="fr-FR"/>
        </w:rPr>
        <w:t>les femmes sont encore marginalisées</w:t>
      </w:r>
      <w:r w:rsidRPr="00181510">
        <w:rPr>
          <w:rFonts w:ascii="Trebuchet MS" w:hAnsi="Trebuchet MS"/>
          <w:sz w:val="18"/>
          <w:lang w:val="fr-FR"/>
        </w:rPr>
        <w:t xml:space="preserve"> dans les processus de négociation de paix et de réforme constitutionnelle. De plus, les femmes sont souvent exclues des rôles décisionnels et rencontres politiques</w:t>
      </w:r>
      <w:r w:rsidR="00D027A4">
        <w:rPr>
          <w:rFonts w:ascii="Trebuchet MS" w:hAnsi="Trebuchet MS"/>
          <w:sz w:val="18"/>
          <w:lang w:val="fr-FR"/>
        </w:rPr>
        <w:t xml:space="preserve"> </w:t>
      </w:r>
      <w:r w:rsidR="00D027A4" w:rsidRPr="00181510">
        <w:rPr>
          <w:rFonts w:ascii="Trebuchet MS" w:hAnsi="Trebuchet MS"/>
          <w:sz w:val="18"/>
          <w:lang w:val="fr-FR"/>
        </w:rPr>
        <w:t>clés</w:t>
      </w:r>
      <w:r w:rsidRPr="00181510">
        <w:rPr>
          <w:rFonts w:ascii="Trebuchet MS" w:hAnsi="Trebuchet MS"/>
          <w:sz w:val="18"/>
          <w:lang w:val="fr-FR"/>
        </w:rPr>
        <w:t xml:space="preserve">, et leur participation politique en général reste marquée par des partis pris structurels en matière de genre, tant au niveau national que local. </w:t>
      </w:r>
    </w:p>
    <w:p w14:paraId="356796F1" w14:textId="77777777" w:rsidR="00002DAC" w:rsidRPr="00181510" w:rsidRDefault="00002DAC" w:rsidP="00002DAC">
      <w:pPr>
        <w:pStyle w:val="Intro"/>
        <w:numPr>
          <w:ilvl w:val="0"/>
          <w:numId w:val="16"/>
        </w:numPr>
        <w:jc w:val="both"/>
        <w:rPr>
          <w:rFonts w:ascii="Trebuchet MS" w:hAnsi="Trebuchet MS" w:cs="Times New Roman"/>
          <w:sz w:val="18"/>
          <w:lang w:val="fr-FR"/>
        </w:rPr>
      </w:pPr>
      <w:r w:rsidRPr="00181510">
        <w:rPr>
          <w:rFonts w:ascii="Trebuchet MS" w:hAnsi="Trebuchet MS"/>
          <w:sz w:val="18"/>
          <w:lang w:val="fr-FR"/>
        </w:rPr>
        <w:t xml:space="preserve">La qualité de la participation des femmes aux processus de gouvernance </w:t>
      </w:r>
      <w:proofErr w:type="spellStart"/>
      <w:r w:rsidRPr="00181510">
        <w:rPr>
          <w:rFonts w:ascii="Trebuchet MS" w:hAnsi="Trebuchet MS"/>
          <w:sz w:val="18"/>
          <w:lang w:val="fr-FR"/>
        </w:rPr>
        <w:t>postconflit</w:t>
      </w:r>
      <w:proofErr w:type="spellEnd"/>
      <w:r w:rsidRPr="00181510">
        <w:rPr>
          <w:rFonts w:ascii="Trebuchet MS" w:hAnsi="Trebuchet MS"/>
          <w:sz w:val="18"/>
          <w:lang w:val="fr-FR"/>
        </w:rPr>
        <w:t xml:space="preserve"> est aussi tributaire de la résolution des héritages du conflit et de la persistance des violences basées sur le genre visant à saboter l</w:t>
      </w:r>
      <w:r w:rsidR="00D027A4">
        <w:rPr>
          <w:rFonts w:ascii="Trebuchet MS" w:hAnsi="Trebuchet MS"/>
          <w:sz w:val="18"/>
          <w:lang w:val="fr-FR"/>
        </w:rPr>
        <w:t>eur</w:t>
      </w:r>
      <w:r w:rsidRPr="00181510">
        <w:rPr>
          <w:rFonts w:ascii="Trebuchet MS" w:hAnsi="Trebuchet MS"/>
          <w:sz w:val="18"/>
          <w:lang w:val="fr-FR"/>
        </w:rPr>
        <w:t xml:space="preserve"> participation politique. L'évolution de cette participation dépend aussi de la façon dont les femmes contribuent aux efforts de justice au cours de la transition </w:t>
      </w:r>
      <w:proofErr w:type="spellStart"/>
      <w:r w:rsidRPr="00181510">
        <w:rPr>
          <w:rFonts w:ascii="Trebuchet MS" w:hAnsi="Trebuchet MS"/>
          <w:sz w:val="18"/>
          <w:lang w:val="fr-FR"/>
        </w:rPr>
        <w:t>postconflit</w:t>
      </w:r>
      <w:proofErr w:type="spellEnd"/>
      <w:r w:rsidRPr="00181510">
        <w:rPr>
          <w:rFonts w:ascii="Trebuchet MS" w:hAnsi="Trebuchet MS"/>
          <w:sz w:val="18"/>
          <w:lang w:val="fr-FR"/>
        </w:rPr>
        <w:t>, ainsi qu'aux processus de réforme à long-terme des secteurs de la sécurité et de la justice.</w:t>
      </w:r>
    </w:p>
    <w:p w14:paraId="356796F2" w14:textId="77777777" w:rsidR="00002DAC" w:rsidRPr="006A0F0A" w:rsidRDefault="006A0F0A" w:rsidP="006A0F0A">
      <w:pPr>
        <w:pStyle w:val="Titre2"/>
        <w:numPr>
          <w:ilvl w:val="1"/>
          <w:numId w:val="2"/>
        </w:numPr>
        <w:rPr>
          <w:lang w:val="fr-FR"/>
        </w:rPr>
      </w:pPr>
      <w:r w:rsidRPr="006A0F0A">
        <w:rPr>
          <w:lang w:val="fr-FR"/>
        </w:rPr>
        <w:t>Ce qui fait la différence : facteurs favorables</w:t>
      </w:r>
      <w:r w:rsidR="00002DAC" w:rsidRPr="006A0F0A">
        <w:rPr>
          <w:lang w:val="fr-FR"/>
        </w:rPr>
        <w:t xml:space="preserve"> </w:t>
      </w:r>
    </w:p>
    <w:p w14:paraId="356796F3" w14:textId="77777777" w:rsidR="00002DAC" w:rsidRPr="00181510" w:rsidRDefault="00002DAC" w:rsidP="00002DAC">
      <w:pPr>
        <w:jc w:val="both"/>
        <w:rPr>
          <w:rFonts w:ascii="Trebuchet MS" w:hAnsi="Trebuchet MS"/>
          <w:lang w:val="fr-FR"/>
        </w:rPr>
      </w:pPr>
      <w:r w:rsidRPr="00181510">
        <w:rPr>
          <w:rFonts w:ascii="Trebuchet MS" w:hAnsi="Trebuchet MS"/>
          <w:lang w:val="fr-FR"/>
        </w:rPr>
        <w:t>Les femmes restent le plus souvent exclues des négociations politiques sous-tendant les négociations de paix</w:t>
      </w:r>
      <w:r w:rsidR="00D027A4">
        <w:rPr>
          <w:rFonts w:ascii="Trebuchet MS" w:hAnsi="Trebuchet MS"/>
          <w:lang w:val="fr-FR"/>
        </w:rPr>
        <w:t>, ainsi que</w:t>
      </w:r>
      <w:r w:rsidRPr="00181510">
        <w:rPr>
          <w:rFonts w:ascii="Trebuchet MS" w:hAnsi="Trebuchet MS"/>
          <w:lang w:val="fr-FR"/>
        </w:rPr>
        <w:t xml:space="preserve"> des exercices de réforme constitutionnelle. Là où les femmes ont réussi à influencer les négociations de paix, la probabilité de les voir participer à la gouvernance </w:t>
      </w:r>
      <w:proofErr w:type="spellStart"/>
      <w:r w:rsidRPr="00181510">
        <w:rPr>
          <w:rFonts w:ascii="Trebuchet MS" w:hAnsi="Trebuchet MS"/>
          <w:lang w:val="fr-FR"/>
        </w:rPr>
        <w:t>postconflit</w:t>
      </w:r>
      <w:proofErr w:type="spellEnd"/>
      <w:r w:rsidRPr="00181510">
        <w:rPr>
          <w:rFonts w:ascii="Trebuchet MS" w:hAnsi="Trebuchet MS"/>
          <w:lang w:val="fr-FR"/>
        </w:rPr>
        <w:t xml:space="preserve"> et faire valoir leurs droits est plus élevée. C'est le cas en Afrique du Sud, au Népal, au Kenya, au Timor oriental et au Burundi. Dans ces pays, la mobilisation effective des groupes de femmes dans les processus de maintien de la paix et de réforme constitutionnelle a permis des avancées constitutionnelles et politiques concrètes en faveur des femmes, y compris la mise en place de quotas et de certains droits sociaux et économiques, avec des variations selon les pays et dans les degrés d'application. Ces acquis sont également importants s'agissant de rappeler que, malgré des régressions récentes, la consolidation de la paix et le renforcement de l'État sont rarement linéaires, et que les relations de genre discriminatoires sont résilientes. </w:t>
      </w:r>
    </w:p>
    <w:p w14:paraId="356796F4" w14:textId="77777777" w:rsidR="00002DAC" w:rsidRPr="00181510" w:rsidRDefault="00002DAC" w:rsidP="00002DAC">
      <w:pPr>
        <w:jc w:val="both"/>
        <w:rPr>
          <w:rFonts w:ascii="Trebuchet MS" w:hAnsi="Trebuchet MS"/>
          <w:lang w:val="fr-FR"/>
        </w:rPr>
      </w:pPr>
    </w:p>
    <w:p w14:paraId="356796F5" w14:textId="77777777" w:rsidR="00002DAC" w:rsidRPr="00181510" w:rsidRDefault="00002DAC" w:rsidP="00002DAC">
      <w:pPr>
        <w:jc w:val="both"/>
        <w:rPr>
          <w:rFonts w:ascii="Trebuchet MS" w:hAnsi="Trebuchet MS"/>
          <w:lang w:val="fr-FR"/>
        </w:rPr>
      </w:pPr>
      <w:r w:rsidRPr="00181510">
        <w:rPr>
          <w:rFonts w:ascii="Trebuchet MS" w:hAnsi="Trebuchet MS"/>
          <w:lang w:val="fr-FR"/>
        </w:rPr>
        <w:t>Exemple typique, l'introduction de quotas garantissant l'accès des femmes aux différentes fonctions élues et leur présence au sein de l'administration publique est un résultat important de ces processus. Ces quotas partent du principe qu'une présence accrue des femmes dans la vie politique et publique est source de progrès pour l'égalité des sexes. Cependant, il faut aussi souligner que les femmes ne constituent pas un groupe homogène. Toutes les femmes ne sont pas favorables à l'égalité des sexes, et elles ne partagent pas nécessairement la même</w:t>
      </w:r>
      <w:r w:rsidR="00ED3DB1">
        <w:rPr>
          <w:rFonts w:ascii="Trebuchet MS" w:hAnsi="Trebuchet MS"/>
          <w:lang w:val="fr-FR"/>
        </w:rPr>
        <w:t xml:space="preserve"> vision des objectifs de genre.</w:t>
      </w:r>
      <w:r w:rsidRPr="00181510">
        <w:rPr>
          <w:rFonts w:ascii="Trebuchet MS" w:hAnsi="Trebuchet MS"/>
          <w:lang w:val="fr-FR"/>
        </w:rPr>
        <w:t xml:space="preserve"> Les militantes et les femmes politiques (tout comme les militants de sexe masculin) représentent des programmes et intérêts différents, et les distinctions de classe, d'ethnie, de religion, d'idées ou autres identités socio-politiques qui les divisent doivent être pris</w:t>
      </w:r>
      <w:r w:rsidR="00BE5525">
        <w:rPr>
          <w:rFonts w:ascii="Trebuchet MS" w:hAnsi="Trebuchet MS"/>
          <w:lang w:val="fr-FR"/>
        </w:rPr>
        <w:t>es</w:t>
      </w:r>
      <w:r w:rsidRPr="00181510">
        <w:rPr>
          <w:rFonts w:ascii="Trebuchet MS" w:hAnsi="Trebuchet MS"/>
          <w:lang w:val="fr-FR"/>
        </w:rPr>
        <w:t xml:space="preserve"> en compte. Ainsi, la présence de femmes dans la vie politique ne garantit aucune priorité à la défense des droits des femmes. </w:t>
      </w:r>
    </w:p>
    <w:p w14:paraId="356796F6" w14:textId="77777777" w:rsidR="00002DAC" w:rsidRPr="00181510" w:rsidRDefault="00002DAC" w:rsidP="00002DAC">
      <w:pPr>
        <w:jc w:val="both"/>
        <w:rPr>
          <w:rFonts w:ascii="Trebuchet MS" w:hAnsi="Trebuchet MS"/>
          <w:lang w:val="fr-FR"/>
        </w:rPr>
      </w:pPr>
    </w:p>
    <w:p w14:paraId="356796F7" w14:textId="77777777" w:rsidR="00002DAC" w:rsidRPr="00181510" w:rsidRDefault="00002DAC" w:rsidP="00002DAC">
      <w:pPr>
        <w:jc w:val="both"/>
        <w:rPr>
          <w:rFonts w:ascii="Trebuchet MS" w:hAnsi="Trebuchet MS"/>
          <w:lang w:val="fr-FR"/>
        </w:rPr>
      </w:pPr>
      <w:r w:rsidRPr="00181510">
        <w:rPr>
          <w:rFonts w:ascii="Trebuchet MS" w:hAnsi="Trebuchet MS"/>
          <w:lang w:val="fr-FR"/>
        </w:rPr>
        <w:lastRenderedPageBreak/>
        <w:t xml:space="preserve">Depuis l'adoption de la </w:t>
      </w:r>
      <w:proofErr w:type="spellStart"/>
      <w:r w:rsidRPr="00181510">
        <w:rPr>
          <w:rFonts w:ascii="Trebuchet MS" w:hAnsi="Trebuchet MS"/>
          <w:lang w:val="fr-FR"/>
        </w:rPr>
        <w:t>RCSNU</w:t>
      </w:r>
      <w:proofErr w:type="spellEnd"/>
      <w:r w:rsidRPr="00181510">
        <w:rPr>
          <w:rFonts w:ascii="Trebuchet MS" w:hAnsi="Trebuchet MS"/>
          <w:lang w:val="fr-FR"/>
        </w:rPr>
        <w:t xml:space="preserve"> 1325, la participation des femmes aux négociations de paix et les références au genre dans les accords de paix ont certes augmenté, mais la plupart des accords de paix s'abstiennent encore de toute référence au genre (Bell et </w:t>
      </w:r>
      <w:proofErr w:type="spellStart"/>
      <w:r w:rsidRPr="00181510">
        <w:rPr>
          <w:rFonts w:ascii="Trebuchet MS" w:hAnsi="Trebuchet MS"/>
          <w:lang w:val="fr-FR"/>
        </w:rPr>
        <w:t>O'Rourke</w:t>
      </w:r>
      <w:proofErr w:type="spellEnd"/>
      <w:r w:rsidRPr="00181510">
        <w:rPr>
          <w:rFonts w:ascii="Trebuchet MS" w:hAnsi="Trebuchet MS"/>
          <w:lang w:val="fr-FR"/>
        </w:rPr>
        <w:t xml:space="preserve"> 2012 ; ONU Femmes 2012). Un rapport de l'ONU Femmes (2012) a montré que, dans les 31 processus de paix les plus importants entre 1992 et 2011, seuls 4 % des signataires, 2,4 % des médiateurs en chef, 3,7 % des témoins et 9 % des négociateurs étaient des femmes. </w:t>
      </w:r>
    </w:p>
    <w:p w14:paraId="356796F8" w14:textId="77777777" w:rsidR="00002DAC" w:rsidRPr="00181510" w:rsidRDefault="00002DAC" w:rsidP="00002DAC">
      <w:pPr>
        <w:jc w:val="both"/>
        <w:rPr>
          <w:rFonts w:ascii="Trebuchet MS" w:hAnsi="Trebuchet MS"/>
          <w:lang w:val="fr-FR"/>
        </w:rPr>
      </w:pPr>
    </w:p>
    <w:p w14:paraId="356796F9"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Entre 1990 et 2010, seuls 16 % des accords de paix contenaient des références spécifiques aux femmes. Depuis l'adoption de la résolution 1325, les références aux femmes sont passées de 11 % à 27 %, et cette augmentation a été encore plus importante pour les processus impliquant l'ONU. </w:t>
      </w:r>
    </w:p>
    <w:p w14:paraId="356796FA" w14:textId="77777777" w:rsidR="00002DAC" w:rsidRPr="00181510" w:rsidRDefault="00002DAC" w:rsidP="00002DAC">
      <w:pPr>
        <w:jc w:val="both"/>
        <w:rPr>
          <w:rFonts w:ascii="Trebuchet MS" w:hAnsi="Trebuchet MS"/>
          <w:lang w:val="fr-FR"/>
        </w:rPr>
      </w:pPr>
    </w:p>
    <w:p w14:paraId="356796FB"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Au cours du temps, la </w:t>
      </w:r>
      <w:proofErr w:type="spellStart"/>
      <w:r w:rsidRPr="00181510">
        <w:rPr>
          <w:rFonts w:ascii="Trebuchet MS" w:hAnsi="Trebuchet MS"/>
          <w:lang w:val="fr-FR"/>
        </w:rPr>
        <w:t>RCSNU</w:t>
      </w:r>
      <w:proofErr w:type="spellEnd"/>
      <w:r w:rsidRPr="00181510">
        <w:rPr>
          <w:rFonts w:ascii="Trebuchet MS" w:hAnsi="Trebuchet MS"/>
          <w:lang w:val="fr-FR"/>
        </w:rPr>
        <w:t xml:space="preserve"> 1325 a soutenu l'émergence d'environnements favorables à la participation des femmes à la vie politique </w:t>
      </w:r>
      <w:proofErr w:type="spellStart"/>
      <w:r w:rsidRPr="00181510">
        <w:rPr>
          <w:rFonts w:ascii="Trebuchet MS" w:hAnsi="Trebuchet MS"/>
          <w:lang w:val="fr-FR"/>
        </w:rPr>
        <w:t>postconflit</w:t>
      </w:r>
      <w:proofErr w:type="spellEnd"/>
      <w:r w:rsidRPr="00181510">
        <w:rPr>
          <w:rFonts w:ascii="Trebuchet MS" w:hAnsi="Trebuchet MS"/>
          <w:lang w:val="fr-FR"/>
        </w:rPr>
        <w:t xml:space="preserve">, et plusieurs Plans d'action nationaux sont maintenant en place (plus de quarante actuellement). Cette évolution a vu "l'épaississement" des cadres de travail législatifs et politiques dont les femmes et les militants du genre peuvent tirer parti pour faire avancer l'égalité des sexes et la participation politique des femmes. Bien qu'il n'existe aucun mécanisme de responsabilisation vis-à-vis des engagements concrets pris par les États ou les acteurs internationaux, la valeur conceptuelle et discursive de ce cadre de travail politique n'est pas sans importance. Toutefois, les données générales disponibles ne permettent pas de déterminer si la </w:t>
      </w:r>
      <w:proofErr w:type="spellStart"/>
      <w:r w:rsidRPr="00181510">
        <w:rPr>
          <w:rFonts w:ascii="Trebuchet MS" w:hAnsi="Trebuchet MS"/>
          <w:lang w:val="fr-FR"/>
        </w:rPr>
        <w:t>RCSNU</w:t>
      </w:r>
      <w:proofErr w:type="spellEnd"/>
      <w:r w:rsidRPr="00181510">
        <w:rPr>
          <w:rFonts w:ascii="Trebuchet MS" w:hAnsi="Trebuchet MS"/>
          <w:lang w:val="fr-FR"/>
        </w:rPr>
        <w:t xml:space="preserve"> 1325 ou même le développement des Plans d'action nationaux ont permis des évolutions substantielles et concrètes de la participation de femmes aux processus politiques </w:t>
      </w:r>
      <w:proofErr w:type="spellStart"/>
      <w:r w:rsidRPr="00181510">
        <w:rPr>
          <w:rFonts w:ascii="Trebuchet MS" w:hAnsi="Trebuchet MS"/>
          <w:lang w:val="fr-FR"/>
        </w:rPr>
        <w:t>postconflit</w:t>
      </w:r>
      <w:proofErr w:type="spellEnd"/>
      <w:r w:rsidRPr="00181510">
        <w:rPr>
          <w:rFonts w:ascii="Trebuchet MS" w:hAnsi="Trebuchet MS"/>
          <w:lang w:val="fr-FR"/>
        </w:rPr>
        <w:t xml:space="preserve">. Il semble plutôt que ces instruments soient efficaces uniquement en renforcement </w:t>
      </w:r>
      <w:r w:rsidR="00BE5525">
        <w:rPr>
          <w:rFonts w:ascii="Trebuchet MS" w:hAnsi="Trebuchet MS"/>
          <w:lang w:val="fr-FR"/>
        </w:rPr>
        <w:t>de</w:t>
      </w:r>
      <w:r w:rsidRPr="00181510">
        <w:rPr>
          <w:rFonts w:ascii="Trebuchet MS" w:hAnsi="Trebuchet MS"/>
          <w:lang w:val="fr-FR"/>
        </w:rPr>
        <w:t xml:space="preserve"> processus impulsés localement et en soutien stratégique aux agents locaux du changement, hommes ou femmes. </w:t>
      </w:r>
    </w:p>
    <w:p w14:paraId="356796FC" w14:textId="77777777" w:rsidR="00002DAC" w:rsidRPr="00181510" w:rsidRDefault="00002DAC" w:rsidP="00002DAC">
      <w:pPr>
        <w:jc w:val="both"/>
        <w:rPr>
          <w:rFonts w:ascii="Trebuchet MS" w:hAnsi="Trebuchet MS"/>
          <w:lang w:val="fr-FR"/>
        </w:rPr>
      </w:pPr>
    </w:p>
    <w:p w14:paraId="356796FD"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Peu de données sont disponibles concernant le type d'initiatives à mettre en place pour garantir des acquis substantiels en matière de participation et de représentation des femmes dans la vie politique et sociale de la transition </w:t>
      </w:r>
      <w:proofErr w:type="spellStart"/>
      <w:r w:rsidRPr="00181510">
        <w:rPr>
          <w:rFonts w:ascii="Trebuchet MS" w:hAnsi="Trebuchet MS"/>
          <w:lang w:val="fr-FR"/>
        </w:rPr>
        <w:t>postconflit</w:t>
      </w:r>
      <w:proofErr w:type="spellEnd"/>
      <w:r w:rsidRPr="00181510">
        <w:rPr>
          <w:rFonts w:ascii="Trebuchet MS" w:hAnsi="Trebuchet MS"/>
          <w:lang w:val="fr-FR"/>
        </w:rPr>
        <w:t xml:space="preserve">. Certains facteurs favorables peuvent néanmoins être mis en évidence. Ceux-ci varient significativement en fonction de l'économie politique du contexte. Par ailleurs, la capacité des femmes à influencer la gouvernance </w:t>
      </w:r>
      <w:proofErr w:type="spellStart"/>
      <w:r w:rsidRPr="00181510">
        <w:rPr>
          <w:rFonts w:ascii="Trebuchet MS" w:hAnsi="Trebuchet MS"/>
          <w:lang w:val="fr-FR"/>
        </w:rPr>
        <w:t>postconflit</w:t>
      </w:r>
      <w:proofErr w:type="spellEnd"/>
      <w:r w:rsidRPr="00181510">
        <w:rPr>
          <w:rFonts w:ascii="Trebuchet MS" w:hAnsi="Trebuchet MS"/>
          <w:lang w:val="fr-FR"/>
        </w:rPr>
        <w:t xml:space="preserve"> ne se limite en aucun cas à leur participation formelle aux négociations ou à leur présence au sein de l'espace politique formel. Au contraire, les femmes et les militants du genre participent à la définition des compromis politiques de différentes manières, y compris à travers leur mobilisation sociale, et à différentes échelles, local</w:t>
      </w:r>
      <w:r w:rsidR="00ED3DB1">
        <w:rPr>
          <w:rFonts w:ascii="Trebuchet MS" w:hAnsi="Trebuchet MS"/>
          <w:lang w:val="fr-FR"/>
        </w:rPr>
        <w:t>e, nationale et transnationale.</w:t>
      </w:r>
      <w:r w:rsidRPr="00181510">
        <w:rPr>
          <w:rFonts w:ascii="Trebuchet MS" w:hAnsi="Trebuchet MS"/>
          <w:lang w:val="fr-FR"/>
        </w:rPr>
        <w:t xml:space="preserve"> Les facteurs favorables sont les suivants :</w:t>
      </w:r>
    </w:p>
    <w:p w14:paraId="356796FE" w14:textId="77777777" w:rsidR="00002DAC" w:rsidRPr="00181510" w:rsidRDefault="00002DAC" w:rsidP="00002DAC">
      <w:pPr>
        <w:jc w:val="both"/>
        <w:rPr>
          <w:rFonts w:ascii="Trebuchet MS" w:hAnsi="Trebuchet MS"/>
          <w:lang w:val="fr-FR"/>
        </w:rPr>
      </w:pPr>
    </w:p>
    <w:p w14:paraId="356796FF" w14:textId="77777777" w:rsidR="00002DAC" w:rsidRPr="00181510" w:rsidRDefault="00002DAC" w:rsidP="00002DAC">
      <w:pPr>
        <w:jc w:val="both"/>
        <w:rPr>
          <w:rFonts w:ascii="Trebuchet MS" w:hAnsi="Trebuchet MS"/>
          <w:lang w:val="fr-FR"/>
        </w:rPr>
      </w:pPr>
      <w:r w:rsidRPr="00181510">
        <w:rPr>
          <w:rFonts w:ascii="Trebuchet MS" w:hAnsi="Trebuchet MS"/>
          <w:lang w:val="fr-FR"/>
        </w:rPr>
        <w:t>Premièrement,</w:t>
      </w:r>
      <w:r w:rsidRPr="00181510">
        <w:rPr>
          <w:rFonts w:ascii="Trebuchet MS" w:hAnsi="Trebuchet MS"/>
          <w:b/>
          <w:lang w:val="fr-FR"/>
        </w:rPr>
        <w:t xml:space="preserve"> </w:t>
      </w:r>
      <w:r w:rsidRPr="00DA3CDA">
        <w:rPr>
          <w:rStyle w:val="Titre2Car"/>
          <w:rFonts w:ascii="Trebuchet MS" w:hAnsi="Trebuchet MS"/>
          <w:b w:val="0"/>
          <w:i/>
          <w:lang w:val="fr-FR"/>
        </w:rPr>
        <w:t>les rôles attribués à chaque sexe peuvent</w:t>
      </w:r>
      <w:r w:rsidRPr="00DA3CDA">
        <w:rPr>
          <w:rFonts w:ascii="Trebuchet MS" w:hAnsi="Trebuchet MS"/>
          <w:b/>
          <w:lang w:val="fr-FR"/>
        </w:rPr>
        <w:t xml:space="preserve"> </w:t>
      </w:r>
      <w:r w:rsidRPr="00DA3CDA">
        <w:rPr>
          <w:rStyle w:val="Titre2Car"/>
          <w:rFonts w:ascii="Trebuchet MS" w:hAnsi="Trebuchet MS"/>
          <w:b w:val="0"/>
          <w:i/>
          <w:lang w:val="fr-FR"/>
        </w:rPr>
        <w:t>évoluer</w:t>
      </w:r>
      <w:r w:rsidRPr="00181510">
        <w:rPr>
          <w:rStyle w:val="Titre2Car"/>
          <w:rFonts w:ascii="Trebuchet MS" w:hAnsi="Trebuchet MS"/>
          <w:b w:val="0"/>
          <w:i/>
          <w:lang w:val="fr-FR"/>
        </w:rPr>
        <w:t xml:space="preserve"> avec l'expérience du conflit</w:t>
      </w:r>
      <w:r w:rsidRPr="00181510">
        <w:rPr>
          <w:rFonts w:ascii="Trebuchet MS" w:hAnsi="Trebuchet MS"/>
          <w:b/>
          <w:lang w:val="fr-FR"/>
        </w:rPr>
        <w:t>.</w:t>
      </w:r>
      <w:r w:rsidRPr="00181510">
        <w:rPr>
          <w:rFonts w:ascii="Trebuchet MS" w:hAnsi="Trebuchet MS"/>
          <w:lang w:val="fr-FR"/>
        </w:rPr>
        <w:t xml:space="preserve"> En situation de conflit, les femmes peuvent devoir assurer la subsistance de leur famille, ou </w:t>
      </w:r>
      <w:r w:rsidRPr="00181510">
        <w:rPr>
          <w:rStyle w:val="BodyTextChar"/>
          <w:rFonts w:ascii="Trebuchet MS" w:hAnsi="Trebuchet MS"/>
          <w:lang w:val="fr-FR"/>
        </w:rPr>
        <w:t>devenir</w:t>
      </w:r>
      <w:r w:rsidRPr="00181510">
        <w:rPr>
          <w:rFonts w:ascii="Trebuchet MS" w:hAnsi="Trebuchet MS"/>
          <w:lang w:val="fr-FR"/>
        </w:rPr>
        <w:t xml:space="preserve"> combattantes, ébranlant ainsi les relations de genre traditionnelles. Ces évolutions peuvent entraîner une prise de conscience critique quant aux inégalités entre les sexes, ou des attitudes d'</w:t>
      </w:r>
      <w:proofErr w:type="spellStart"/>
      <w:r w:rsidRPr="00181510">
        <w:rPr>
          <w:rFonts w:ascii="Trebuchet MS" w:hAnsi="Trebuchet MS"/>
          <w:lang w:val="fr-FR"/>
        </w:rPr>
        <w:t>auto-affirmation</w:t>
      </w:r>
      <w:proofErr w:type="spellEnd"/>
      <w:r w:rsidRPr="00181510">
        <w:rPr>
          <w:rFonts w:ascii="Trebuchet MS" w:hAnsi="Trebuchet MS"/>
          <w:lang w:val="fr-FR"/>
        </w:rPr>
        <w:t xml:space="preserve"> incarnées dans une activité politique. Ces expériences peuvent motiver des changements individuels chez les femmes, ainsi qu'une évolution des capacités de mobilisation collective. Toutefois, selon la nature du conflit, elles peuvent aussi aggraver les divergences entre militantes. De plus, il faut s'abstenir de tout essentialisme consistant à représenter les femmes en tant que victimes ou </w:t>
      </w:r>
      <w:r w:rsidRPr="00181510">
        <w:rPr>
          <w:rFonts w:ascii="Trebuchet MS" w:hAnsi="Trebuchet MS"/>
          <w:lang w:val="fr-FR"/>
        </w:rPr>
        <w:lastRenderedPageBreak/>
        <w:t>bâtisseuses de paix, tout comme il est impossible de prétendre que toutes les militantes s'accordent sur l'égalité des sexes et l'inclusivité, ou sur la priorité à accorder à ces enjeux.</w:t>
      </w:r>
    </w:p>
    <w:p w14:paraId="35679700" w14:textId="77777777" w:rsidR="00002DAC" w:rsidRPr="00181510" w:rsidRDefault="00002DAC" w:rsidP="00002DAC">
      <w:pPr>
        <w:jc w:val="both"/>
        <w:rPr>
          <w:rFonts w:ascii="Trebuchet MS" w:hAnsi="Trebuchet MS"/>
          <w:lang w:val="fr-FR"/>
        </w:rPr>
      </w:pPr>
    </w:p>
    <w:p w14:paraId="35679701" w14:textId="77777777" w:rsidR="00002DAC" w:rsidRPr="00181510" w:rsidRDefault="00002DAC" w:rsidP="00002DAC">
      <w:pPr>
        <w:jc w:val="both"/>
        <w:rPr>
          <w:rFonts w:ascii="Trebuchet MS" w:hAnsi="Trebuchet MS"/>
          <w:lang w:val="fr-FR"/>
        </w:rPr>
      </w:pPr>
      <w:r w:rsidRPr="00181510">
        <w:rPr>
          <w:rFonts w:ascii="Trebuchet MS" w:hAnsi="Trebuchet MS"/>
          <w:lang w:val="fr-FR"/>
        </w:rPr>
        <w:t>Deuxièmement,</w:t>
      </w:r>
      <w:r w:rsidRPr="00181510">
        <w:rPr>
          <w:rFonts w:ascii="Trebuchet MS" w:hAnsi="Trebuchet MS"/>
          <w:b/>
          <w:lang w:val="fr-FR"/>
        </w:rPr>
        <w:t xml:space="preserve"> </w:t>
      </w:r>
      <w:r w:rsidRPr="00181510">
        <w:rPr>
          <w:rStyle w:val="Titre2Car"/>
          <w:rFonts w:ascii="Trebuchet MS" w:hAnsi="Trebuchet MS"/>
          <w:b w:val="0"/>
          <w:i/>
          <w:lang w:val="fr-FR"/>
        </w:rPr>
        <w:t xml:space="preserve">les processus de paix </w:t>
      </w:r>
      <w:proofErr w:type="spellStart"/>
      <w:r w:rsidRPr="00181510">
        <w:rPr>
          <w:rStyle w:val="Titre2Car"/>
          <w:rFonts w:ascii="Trebuchet MS" w:hAnsi="Trebuchet MS"/>
          <w:b w:val="0"/>
          <w:i/>
          <w:lang w:val="fr-FR"/>
        </w:rPr>
        <w:t>postconflit</w:t>
      </w:r>
      <w:proofErr w:type="spellEnd"/>
      <w:r w:rsidRPr="00181510">
        <w:rPr>
          <w:rStyle w:val="Titre2Car"/>
          <w:rFonts w:ascii="Trebuchet MS" w:hAnsi="Trebuchet MS"/>
          <w:b w:val="0"/>
          <w:i/>
          <w:lang w:val="fr-FR"/>
        </w:rPr>
        <w:t xml:space="preserve"> et les exercices de réforme constitutionnelle sont une fenêtre d'opportunité</w:t>
      </w:r>
      <w:r w:rsidRPr="00181510">
        <w:rPr>
          <w:rFonts w:ascii="Trebuchet MS" w:hAnsi="Trebuchet MS"/>
          <w:lang w:val="fr-FR"/>
        </w:rPr>
        <w:t xml:space="preserve"> </w:t>
      </w:r>
      <w:r w:rsidRPr="00DA3CDA">
        <w:rPr>
          <w:rStyle w:val="Titre2Car"/>
          <w:rFonts w:ascii="Trebuchet MS" w:hAnsi="Trebuchet MS"/>
          <w:b w:val="0"/>
          <w:i/>
          <w:lang w:val="fr-FR"/>
        </w:rPr>
        <w:t>exceptionnelle</w:t>
      </w:r>
      <w:r w:rsidRPr="00181510">
        <w:rPr>
          <w:rFonts w:ascii="Trebuchet MS" w:hAnsi="Trebuchet MS"/>
          <w:lang w:val="fr-FR"/>
        </w:rPr>
        <w:t xml:space="preserve"> pour les défenseurs du genre et les autres acteurs du paysage socio-politique s'agissant d'influencer leurs résultats. Les accords de paix et les réformes constitutionnelles sont des occasions particulièrement importantes de renégocier les termes du compromis politique sous-jacent et </w:t>
      </w:r>
      <w:r w:rsidR="00DA3CDA">
        <w:rPr>
          <w:rFonts w:ascii="Trebuchet MS" w:hAnsi="Trebuchet MS"/>
          <w:lang w:val="fr-FR"/>
        </w:rPr>
        <w:t xml:space="preserve">de </w:t>
      </w:r>
      <w:r w:rsidRPr="00181510">
        <w:rPr>
          <w:rFonts w:ascii="Trebuchet MS" w:hAnsi="Trebuchet MS"/>
          <w:lang w:val="fr-FR"/>
        </w:rPr>
        <w:t>s'attaquer aux causes structurelles de</w:t>
      </w:r>
      <w:r w:rsidR="00DA3CDA">
        <w:rPr>
          <w:rFonts w:ascii="Trebuchet MS" w:hAnsi="Trebuchet MS"/>
          <w:lang w:val="fr-FR"/>
        </w:rPr>
        <w:t>s</w:t>
      </w:r>
      <w:r w:rsidRPr="00181510">
        <w:rPr>
          <w:rFonts w:ascii="Trebuchet MS" w:hAnsi="Trebuchet MS"/>
          <w:lang w:val="fr-FR"/>
        </w:rPr>
        <w:t xml:space="preserve"> conflit</w:t>
      </w:r>
      <w:r w:rsidR="00DA3CDA">
        <w:rPr>
          <w:rFonts w:ascii="Trebuchet MS" w:hAnsi="Trebuchet MS"/>
          <w:lang w:val="fr-FR"/>
        </w:rPr>
        <w:t>s</w:t>
      </w:r>
      <w:r w:rsidRPr="00181510">
        <w:rPr>
          <w:rFonts w:ascii="Trebuchet MS" w:hAnsi="Trebuchet MS"/>
          <w:lang w:val="fr-FR"/>
        </w:rPr>
        <w:t xml:space="preserve"> et de</w:t>
      </w:r>
      <w:r w:rsidR="00DA3CDA">
        <w:rPr>
          <w:rFonts w:ascii="Trebuchet MS" w:hAnsi="Trebuchet MS"/>
          <w:lang w:val="fr-FR"/>
        </w:rPr>
        <w:t>s</w:t>
      </w:r>
      <w:r w:rsidRPr="00181510">
        <w:rPr>
          <w:rFonts w:ascii="Trebuchet MS" w:hAnsi="Trebuchet MS"/>
          <w:lang w:val="fr-FR"/>
        </w:rPr>
        <w:t xml:space="preserve"> discrimination</w:t>
      </w:r>
      <w:r w:rsidR="00DA3CDA">
        <w:rPr>
          <w:rFonts w:ascii="Trebuchet MS" w:hAnsi="Trebuchet MS"/>
          <w:lang w:val="fr-FR"/>
        </w:rPr>
        <w:t>s</w:t>
      </w:r>
      <w:r w:rsidRPr="00181510">
        <w:rPr>
          <w:rFonts w:ascii="Trebuchet MS" w:hAnsi="Trebuchet MS"/>
          <w:lang w:val="fr-FR"/>
        </w:rPr>
        <w:t xml:space="preserve">. Ils sont l'opportunité de modifier les compromis politiques fixant les règles clés des engagements sociaux, politiques et économiques. </w:t>
      </w:r>
    </w:p>
    <w:p w14:paraId="35679702" w14:textId="77777777" w:rsidR="00002DAC" w:rsidRPr="00181510" w:rsidRDefault="00002DAC" w:rsidP="00002DAC">
      <w:pPr>
        <w:jc w:val="both"/>
        <w:rPr>
          <w:rFonts w:ascii="Trebuchet MS" w:hAnsi="Trebuchet MS"/>
          <w:lang w:val="fr-FR"/>
        </w:rPr>
      </w:pPr>
    </w:p>
    <w:p w14:paraId="35679703" w14:textId="77777777" w:rsidR="00002DAC" w:rsidRPr="00181510" w:rsidRDefault="00002DAC" w:rsidP="00002DAC">
      <w:pPr>
        <w:jc w:val="both"/>
        <w:rPr>
          <w:rFonts w:ascii="Trebuchet MS" w:hAnsi="Trebuchet MS"/>
          <w:lang w:val="fr-FR"/>
        </w:rPr>
      </w:pPr>
      <w:r w:rsidRPr="00181510">
        <w:rPr>
          <w:rFonts w:ascii="Trebuchet MS" w:hAnsi="Trebuchet MS"/>
          <w:lang w:val="fr-FR"/>
        </w:rPr>
        <w:t>Lorsque les femmes et les militants du genre sont invités à participer à ces processus fondateurs en matière de c</w:t>
      </w:r>
      <w:r w:rsidR="00DA3CDA">
        <w:rPr>
          <w:rFonts w:ascii="Trebuchet MS" w:hAnsi="Trebuchet MS"/>
          <w:lang w:val="fr-FR"/>
        </w:rPr>
        <w:t>hangement politique</w:t>
      </w:r>
      <w:r w:rsidRPr="00181510">
        <w:rPr>
          <w:rFonts w:ascii="Trebuchet MS" w:hAnsi="Trebuchet MS"/>
          <w:lang w:val="fr-FR"/>
        </w:rPr>
        <w:t xml:space="preserve"> et à influencer leurs résultats, la progression vers l'égalit</w:t>
      </w:r>
      <w:r w:rsidR="00ED3DB1">
        <w:rPr>
          <w:rFonts w:ascii="Trebuchet MS" w:hAnsi="Trebuchet MS"/>
          <w:lang w:val="fr-FR"/>
        </w:rPr>
        <w:t>é des sexes semble s'accélérer.</w:t>
      </w:r>
    </w:p>
    <w:p w14:paraId="35679704" w14:textId="77777777" w:rsidR="00002DAC" w:rsidRPr="00181510" w:rsidRDefault="00002DAC" w:rsidP="00002DAC">
      <w:pPr>
        <w:jc w:val="both"/>
        <w:rPr>
          <w:rFonts w:ascii="Trebuchet MS" w:hAnsi="Trebuchet MS"/>
          <w:lang w:val="fr-FR"/>
        </w:rPr>
      </w:pPr>
    </w:p>
    <w:p w14:paraId="35679705"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Troisièmement, le lobbying des militants féministes et leur participation active au processus constitutionnel déterminent le degré d'intégration des droits des femmes aux nouvelles constitutions. Même lorsque les militants ont été exclus des processus décisionnels formels, ils peuvent encore avoir un impact clair sur l'accord de paix. Il est essentiel de </w:t>
      </w:r>
      <w:r w:rsidRPr="00DA3CDA">
        <w:rPr>
          <w:rStyle w:val="Titre2Car"/>
          <w:rFonts w:ascii="Trebuchet MS" w:hAnsi="Trebuchet MS"/>
          <w:b w:val="0"/>
          <w:i/>
          <w:lang w:val="fr-FR"/>
        </w:rPr>
        <w:t>mobiliser les</w:t>
      </w:r>
      <w:r w:rsidRPr="00181510">
        <w:rPr>
          <w:rFonts w:ascii="Trebuchet MS" w:hAnsi="Trebuchet MS"/>
          <w:lang w:val="fr-FR"/>
        </w:rPr>
        <w:t xml:space="preserve"> </w:t>
      </w:r>
      <w:r w:rsidRPr="00181510">
        <w:rPr>
          <w:rStyle w:val="Titre2Car"/>
          <w:rFonts w:ascii="Trebuchet MS" w:hAnsi="Trebuchet MS"/>
          <w:b w:val="0"/>
          <w:i/>
          <w:lang w:val="fr-FR"/>
        </w:rPr>
        <w:t>mouvements de femmes et les militants du genre en amont et tout au long des processus de négociation de paix et de réforme constitutionnelle.</w:t>
      </w:r>
      <w:r w:rsidRPr="00181510">
        <w:rPr>
          <w:rFonts w:ascii="Trebuchet MS" w:hAnsi="Trebuchet MS"/>
          <w:b/>
          <w:lang w:val="fr-FR"/>
        </w:rPr>
        <w:t xml:space="preserve"> </w:t>
      </w:r>
      <w:r w:rsidRPr="00181510">
        <w:rPr>
          <w:rFonts w:ascii="Trebuchet MS" w:hAnsi="Trebuchet MS"/>
          <w:lang w:val="fr-FR"/>
        </w:rPr>
        <w:t xml:space="preserve">Les données disponibles établissent clairement que la présence d'une </w:t>
      </w:r>
      <w:r w:rsidRPr="00181510">
        <w:rPr>
          <w:rStyle w:val="Titre2Car"/>
          <w:rFonts w:ascii="Trebuchet MS" w:hAnsi="Trebuchet MS"/>
          <w:b w:val="0"/>
          <w:i/>
          <w:lang w:val="fr-FR"/>
        </w:rPr>
        <w:t>société civile dynamique et active et de réseaux de mouvements de femmes</w:t>
      </w:r>
      <w:r w:rsidRPr="00181510">
        <w:rPr>
          <w:rFonts w:ascii="Trebuchet MS" w:hAnsi="Trebuchet MS"/>
          <w:lang w:val="fr-FR"/>
        </w:rPr>
        <w:t xml:space="preserve"> à l'échelle locale, nationale et transnationale est décisive pour la progression de l'égalité des sexes. Là où l'espace politique formel est inaccessible, l'opposition politique représentée par les groupes de femmes donne une visibilité aux inégalités entre les sexes et aux besoins et demandes des femmes. Les groupes de femmes locaux et nationaux restent un espace clé pour la promotion des objectifs politiques en termes d'égalité des sexes et pour le suivi de l'application des engagements législatifs et politiques adoptés.</w:t>
      </w:r>
    </w:p>
    <w:p w14:paraId="35679706" w14:textId="77777777" w:rsidR="00002DAC" w:rsidRPr="00181510" w:rsidRDefault="00002DAC" w:rsidP="00002DAC">
      <w:pPr>
        <w:jc w:val="both"/>
        <w:rPr>
          <w:rFonts w:ascii="Trebuchet MS" w:hAnsi="Trebuchet MS"/>
          <w:lang w:val="fr-FR"/>
        </w:rPr>
      </w:pPr>
    </w:p>
    <w:p w14:paraId="35679707" w14:textId="77777777" w:rsidR="00002DAC" w:rsidRPr="00181510" w:rsidRDefault="00002DAC" w:rsidP="00002DAC">
      <w:pPr>
        <w:jc w:val="both"/>
        <w:rPr>
          <w:rFonts w:ascii="Trebuchet MS" w:hAnsi="Trebuchet MS"/>
          <w:lang w:val="fr-FR"/>
        </w:rPr>
      </w:pPr>
      <w:r w:rsidRPr="00181510">
        <w:rPr>
          <w:rFonts w:ascii="Trebuchet MS" w:hAnsi="Trebuchet MS"/>
          <w:lang w:val="fr-FR"/>
        </w:rPr>
        <w:t>Quatr</w:t>
      </w:r>
      <w:r w:rsidR="00ED3DB1">
        <w:rPr>
          <w:rFonts w:ascii="Trebuchet MS" w:hAnsi="Trebuchet MS"/>
          <w:lang w:val="fr-FR"/>
        </w:rPr>
        <w:t>ième point, il est important de</w:t>
      </w:r>
      <w:r w:rsidRPr="00181510">
        <w:rPr>
          <w:rFonts w:ascii="Trebuchet MS" w:hAnsi="Trebuchet MS"/>
          <w:b/>
          <w:lang w:val="fr-FR"/>
        </w:rPr>
        <w:t xml:space="preserve"> </w:t>
      </w:r>
      <w:r w:rsidRPr="00181510">
        <w:rPr>
          <w:rStyle w:val="Titre2Car"/>
          <w:rFonts w:ascii="Trebuchet MS" w:hAnsi="Trebuchet MS"/>
          <w:b w:val="0"/>
          <w:i/>
          <w:lang w:val="fr-FR"/>
        </w:rPr>
        <w:t>surmonter les divergences entre mouvements de femmes</w:t>
      </w:r>
      <w:r w:rsidRPr="00181510">
        <w:rPr>
          <w:rFonts w:ascii="Trebuchet MS" w:hAnsi="Trebuchet MS"/>
          <w:lang w:val="fr-FR"/>
        </w:rPr>
        <w:t>, même quand celles-ci sont transitionnelles ou ne font surface q</w:t>
      </w:r>
      <w:r w:rsidR="00ED3DB1">
        <w:rPr>
          <w:rFonts w:ascii="Trebuchet MS" w:hAnsi="Trebuchet MS"/>
          <w:lang w:val="fr-FR"/>
        </w:rPr>
        <w:t>u'à certains moments critiques.</w:t>
      </w:r>
      <w:r w:rsidRPr="00181510">
        <w:rPr>
          <w:rFonts w:ascii="Trebuchet MS" w:hAnsi="Trebuchet MS"/>
          <w:b/>
          <w:lang w:val="fr-FR"/>
        </w:rPr>
        <w:t xml:space="preserve"> </w:t>
      </w:r>
      <w:r w:rsidRPr="00181510">
        <w:rPr>
          <w:rFonts w:ascii="Trebuchet MS" w:hAnsi="Trebuchet MS"/>
          <w:lang w:val="fr-FR"/>
        </w:rPr>
        <w:t>La formation d'alliances stratégiques entre les militants des droits des femmes et les autres mouvements féminins ou sociaux, ainsi qu'avec les législateurs, les partis politiques et les gouvernements, a donné la preuve de son efficacité. Ces alliances ont joué un rôle important en Afrique du Sud, où les femmes se sont rassemblées malgré leurs différentes ori</w:t>
      </w:r>
      <w:r w:rsidR="00DA3CDA">
        <w:rPr>
          <w:rFonts w:ascii="Trebuchet MS" w:hAnsi="Trebuchet MS"/>
          <w:lang w:val="fr-FR"/>
        </w:rPr>
        <w:t>gines ethniques et orientations</w:t>
      </w:r>
      <w:r w:rsidRPr="00181510">
        <w:rPr>
          <w:rFonts w:ascii="Trebuchet MS" w:hAnsi="Trebuchet MS"/>
          <w:lang w:val="fr-FR"/>
        </w:rPr>
        <w:t xml:space="preserve"> idéologiques, au Burundi, où femmes Hutu et Tutsi se sont réunies, et en Irlande du Nord, où les femmes ont surmonté leurs divergences religieuses. Par contraste, au Népal, le groupe des femmes de l'Assemblée constituante a été incapable de surmonter ses différences de caste, de classe et de culture (International </w:t>
      </w:r>
      <w:proofErr w:type="spellStart"/>
      <w:r w:rsidRPr="00181510">
        <w:rPr>
          <w:rFonts w:ascii="Trebuchet MS" w:hAnsi="Trebuchet MS"/>
          <w:lang w:val="fr-FR"/>
        </w:rPr>
        <w:t>Idea</w:t>
      </w:r>
      <w:proofErr w:type="spellEnd"/>
      <w:r w:rsidRPr="00181510">
        <w:rPr>
          <w:rFonts w:ascii="Trebuchet MS" w:hAnsi="Trebuchet MS"/>
          <w:lang w:val="fr-FR"/>
        </w:rPr>
        <w:t xml:space="preserve"> 2009). La diversité des intérêts des femmes ne doit donc pas être ignorée, et il ne faut pas supposer que ces dernières constituent un front uni en soutien à l'approche par le genre. </w:t>
      </w:r>
    </w:p>
    <w:p w14:paraId="35679708" w14:textId="77777777" w:rsidR="00002DAC" w:rsidRPr="00181510" w:rsidRDefault="00002DAC" w:rsidP="00002DAC">
      <w:pPr>
        <w:jc w:val="both"/>
        <w:rPr>
          <w:rFonts w:ascii="Trebuchet MS" w:hAnsi="Trebuchet MS"/>
          <w:lang w:val="fr-FR"/>
        </w:rPr>
      </w:pPr>
    </w:p>
    <w:p w14:paraId="35679709" w14:textId="77777777" w:rsidR="00002DAC" w:rsidRPr="00181510" w:rsidRDefault="00002DAC" w:rsidP="00002DAC">
      <w:pPr>
        <w:jc w:val="both"/>
        <w:rPr>
          <w:rFonts w:ascii="Trebuchet MS" w:hAnsi="Trebuchet MS"/>
          <w:lang w:val="fr-FR"/>
        </w:rPr>
      </w:pPr>
      <w:r w:rsidRPr="00181510">
        <w:rPr>
          <w:rFonts w:ascii="Trebuchet MS" w:hAnsi="Trebuchet MS"/>
          <w:lang w:val="fr-FR"/>
        </w:rPr>
        <w:t>Cinquième point,</w:t>
      </w:r>
      <w:r w:rsidRPr="00181510">
        <w:rPr>
          <w:rFonts w:ascii="Trebuchet MS" w:hAnsi="Trebuchet MS"/>
          <w:b/>
          <w:lang w:val="fr-FR"/>
        </w:rPr>
        <w:t xml:space="preserve"> </w:t>
      </w:r>
      <w:r w:rsidRPr="00181510">
        <w:rPr>
          <w:rStyle w:val="Titre2Car"/>
          <w:rFonts w:ascii="Trebuchet MS" w:hAnsi="Trebuchet MS"/>
          <w:b w:val="0"/>
          <w:i/>
          <w:lang w:val="fr-FR"/>
        </w:rPr>
        <w:t>l'engagement stratégique d'un ensemble d'acteurs clés</w:t>
      </w:r>
      <w:r w:rsidRPr="00181510">
        <w:rPr>
          <w:rFonts w:ascii="Trebuchet MS" w:hAnsi="Trebuchet MS"/>
          <w:b/>
          <w:lang w:val="fr-FR"/>
        </w:rPr>
        <w:t xml:space="preserve"> </w:t>
      </w:r>
      <w:r w:rsidRPr="00181510">
        <w:rPr>
          <w:rFonts w:ascii="Trebuchet MS" w:hAnsi="Trebuchet MS"/>
          <w:lang w:val="fr-FR"/>
        </w:rPr>
        <w:t xml:space="preserve">ayant accès aux processus décisionnels est essentiel. Les femmes sont souvent exclues des processus </w:t>
      </w:r>
      <w:r w:rsidRPr="00181510">
        <w:rPr>
          <w:rFonts w:ascii="Trebuchet MS" w:hAnsi="Trebuchet MS"/>
          <w:lang w:val="fr-FR"/>
        </w:rPr>
        <w:lastRenderedPageBreak/>
        <w:t>décisionnels formels, ainsi que des négociations secrètes ou informelles. Néanmoins, les militants du genre (hommes et femmes) peuvent influencer les résultats des processus d'accord de paix et de réforme constitutionnelle grâce à un engagement politique stratégique et à un travail de réseau sous la forme de rencontres et d'actions de lobbying parallèles, ciblant des individus clés ayant accès aux espaces décisionnels. La formation de coalitions avec les négociateurs politiques ayant effectivement accès à l'espace politique formel peut permettre de prendre place indirectement à la table des négociations. Dans ce type de situations critiques, le processus de participation et d'établissement de réseaux stratégiques contribue en lui-même à développer les capacités des militants féministes.</w:t>
      </w:r>
    </w:p>
    <w:p w14:paraId="3567970A" w14:textId="77777777" w:rsidR="00002DAC" w:rsidRPr="00181510" w:rsidRDefault="00002DAC" w:rsidP="00002DAC">
      <w:pPr>
        <w:jc w:val="both"/>
        <w:rPr>
          <w:rFonts w:ascii="Trebuchet MS" w:hAnsi="Trebuchet MS"/>
          <w:lang w:val="fr-FR"/>
        </w:rPr>
      </w:pPr>
    </w:p>
    <w:p w14:paraId="3567970B" w14:textId="77777777" w:rsidR="00002DAC" w:rsidRPr="00181510" w:rsidRDefault="00002DAC" w:rsidP="00002DAC">
      <w:pPr>
        <w:jc w:val="both"/>
        <w:rPr>
          <w:rFonts w:ascii="Trebuchet MS" w:hAnsi="Trebuchet MS"/>
          <w:lang w:val="fr-FR"/>
        </w:rPr>
      </w:pPr>
      <w:r w:rsidRPr="00181510">
        <w:rPr>
          <w:rFonts w:ascii="Trebuchet MS" w:hAnsi="Trebuchet MS"/>
          <w:lang w:val="fr-FR"/>
        </w:rPr>
        <w:t>Sixième point,</w:t>
      </w:r>
      <w:r w:rsidRPr="00DD27CD">
        <w:rPr>
          <w:rFonts w:ascii="Trebuchet MS" w:hAnsi="Trebuchet MS"/>
          <w:lang w:val="fr-FR"/>
        </w:rPr>
        <w:t xml:space="preserve"> </w:t>
      </w:r>
      <w:r w:rsidRPr="00DD27CD">
        <w:rPr>
          <w:bCs/>
          <w:lang w:val="fr-FR"/>
        </w:rPr>
        <w:t>l'existence</w:t>
      </w:r>
      <w:r w:rsidRPr="005A06ED">
        <w:rPr>
          <w:bCs/>
          <w:lang w:val="fr-FR"/>
        </w:rPr>
        <w:t xml:space="preserve"> d'</w:t>
      </w:r>
      <w:r w:rsidRPr="00181510">
        <w:rPr>
          <w:rStyle w:val="Titre2Car"/>
          <w:rFonts w:ascii="Trebuchet MS" w:hAnsi="Trebuchet MS"/>
          <w:b w:val="0"/>
          <w:i/>
          <w:lang w:val="fr-FR"/>
        </w:rPr>
        <w:t>une expertise technique, juridique ou thématique sur le genre</w:t>
      </w:r>
      <w:r w:rsidRPr="00181510">
        <w:rPr>
          <w:rFonts w:ascii="Trebuchet MS" w:hAnsi="Trebuchet MS"/>
          <w:lang w:val="fr-FR"/>
        </w:rPr>
        <w:t xml:space="preserve"> favorise une participation et une capacité d'influence plus efficaces en termes de résultats législatifs, politiques et constitutionnels. Cette expertise peut aussi éviter que les programmes en faveur de l'égalité des sexes ne soient écartés du débat. Pour cela, elle doit impérativement participer des processus locaux et du développement des compétences des défenseurs du genre </w:t>
      </w:r>
      <w:r w:rsidR="00DA3CDA">
        <w:rPr>
          <w:rFonts w:ascii="Trebuchet MS" w:hAnsi="Trebuchet MS"/>
          <w:lang w:val="fr-FR"/>
        </w:rPr>
        <w:t>à l</w:t>
      </w:r>
      <w:r w:rsidR="006A0F0A" w:rsidRPr="00181510">
        <w:rPr>
          <w:rFonts w:ascii="Trebuchet MS" w:hAnsi="Trebuchet MS"/>
          <w:lang w:val="fr-FR"/>
        </w:rPr>
        <w:t>'</w:t>
      </w:r>
      <w:r w:rsidR="00DA3CDA">
        <w:rPr>
          <w:rFonts w:ascii="Trebuchet MS" w:hAnsi="Trebuchet MS"/>
          <w:lang w:val="fr-FR"/>
        </w:rPr>
        <w:t>échelle nationale</w:t>
      </w:r>
      <w:r w:rsidRPr="00181510">
        <w:rPr>
          <w:rFonts w:ascii="Trebuchet MS" w:hAnsi="Trebuchet MS"/>
          <w:lang w:val="fr-FR"/>
        </w:rPr>
        <w:t>. Parachuter sur le terrain des experts internationaux disposant d'une expérience et d'une connaissance superficielles du contexte est inefficace voire contre-productif, à moins que ceux-ci</w:t>
      </w:r>
      <w:r w:rsidR="00DA3CDA">
        <w:rPr>
          <w:rFonts w:ascii="Trebuchet MS" w:hAnsi="Trebuchet MS"/>
          <w:lang w:val="fr-FR"/>
        </w:rPr>
        <w:t xml:space="preserve"> ne</w:t>
      </w:r>
      <w:r w:rsidRPr="00181510">
        <w:rPr>
          <w:rFonts w:ascii="Trebuchet MS" w:hAnsi="Trebuchet MS"/>
          <w:lang w:val="fr-FR"/>
        </w:rPr>
        <w:t xml:space="preserve"> s'intègrent aux processus de changement impulsés localement et aux capacités locales.</w:t>
      </w:r>
    </w:p>
    <w:p w14:paraId="3567970C" w14:textId="77777777" w:rsidR="00002DAC" w:rsidRPr="00181510" w:rsidRDefault="00002DAC" w:rsidP="00002DAC">
      <w:pPr>
        <w:jc w:val="both"/>
        <w:rPr>
          <w:rFonts w:ascii="Trebuchet MS" w:hAnsi="Trebuchet MS"/>
          <w:lang w:val="fr-FR"/>
        </w:rPr>
      </w:pPr>
    </w:p>
    <w:p w14:paraId="3567970D"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Septième point, la participation des femmes reflète aussi les </w:t>
      </w:r>
      <w:r w:rsidRPr="00181510">
        <w:rPr>
          <w:rStyle w:val="Titre2Car"/>
          <w:rFonts w:ascii="Trebuchet MS" w:hAnsi="Trebuchet MS"/>
          <w:b w:val="0"/>
          <w:i/>
          <w:lang w:val="fr-FR"/>
        </w:rPr>
        <w:t>capacités collectives et individuelles</w:t>
      </w:r>
      <w:r w:rsidRPr="00181510">
        <w:rPr>
          <w:rFonts w:ascii="Trebuchet MS" w:hAnsi="Trebuchet MS"/>
          <w:lang w:val="fr-FR"/>
        </w:rPr>
        <w:t xml:space="preserve"> existantes en vue de l'exercice d'une participation active. Les ressources comme l'éducation et l'alphabétisation sont importantes pour permettre à cette participation d'être entendue. Les militants féministes localisés dans les capitales ou en zone urbaine disposent souvent d'un meilleur accès à ces ressources. Un accès difficile à l'éducation ou des taux élevés d'analphabétisme parmi les populations féminines locales, comme c'est le cas en Afghanistan, prive de fait les femmes de leurs droits. Les </w:t>
      </w:r>
      <w:r w:rsidRPr="00181510">
        <w:rPr>
          <w:rStyle w:val="Titre2Car"/>
          <w:rFonts w:ascii="Trebuchet MS" w:hAnsi="Trebuchet MS"/>
          <w:b w:val="0"/>
          <w:i/>
          <w:lang w:val="fr-FR"/>
        </w:rPr>
        <w:t>ressources matérielles</w:t>
      </w:r>
      <w:r w:rsidRPr="00181510">
        <w:rPr>
          <w:rFonts w:ascii="Trebuchet MS" w:hAnsi="Trebuchet MS"/>
          <w:b/>
          <w:lang w:val="fr-FR"/>
        </w:rPr>
        <w:t xml:space="preserve">, </w:t>
      </w:r>
      <w:r w:rsidRPr="00181510">
        <w:rPr>
          <w:rFonts w:ascii="Trebuchet MS" w:hAnsi="Trebuchet MS"/>
          <w:lang w:val="fr-FR"/>
        </w:rPr>
        <w:t xml:space="preserve">sous la forme d'un appui logistique et du financement de besoins concrets tels que l'organisation des déplacements des militants vers le lieu des négociations, sont également importantes. </w:t>
      </w:r>
    </w:p>
    <w:p w14:paraId="3567970E" w14:textId="77777777" w:rsidR="00002DAC" w:rsidRPr="00181510" w:rsidRDefault="00002DAC" w:rsidP="00002DAC">
      <w:pPr>
        <w:jc w:val="both"/>
        <w:rPr>
          <w:rFonts w:ascii="Trebuchet MS" w:hAnsi="Trebuchet MS"/>
          <w:lang w:val="fr-FR"/>
        </w:rPr>
      </w:pPr>
    </w:p>
    <w:p w14:paraId="3567970F"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Enfin, les caractéristiques de l'économie politique du </w:t>
      </w:r>
      <w:r w:rsidR="00AD11E6" w:rsidRPr="00181510">
        <w:rPr>
          <w:rFonts w:ascii="Trebuchet MS" w:hAnsi="Trebuchet MS"/>
          <w:lang w:val="fr-FR"/>
        </w:rPr>
        <w:t>contexte</w:t>
      </w:r>
      <w:r w:rsidRPr="00DD27CD">
        <w:rPr>
          <w:rFonts w:ascii="Trebuchet MS" w:hAnsi="Trebuchet MS"/>
          <w:b/>
          <w:lang w:val="fr-FR"/>
        </w:rPr>
        <w:t xml:space="preserve"> </w:t>
      </w:r>
      <w:r w:rsidRPr="00DD27CD">
        <w:rPr>
          <w:bCs/>
          <w:lang w:val="fr-FR"/>
        </w:rPr>
        <w:t>déterminent</w:t>
      </w:r>
      <w:r w:rsidRPr="00181510">
        <w:rPr>
          <w:rStyle w:val="Titre2Car"/>
          <w:rFonts w:ascii="Trebuchet MS" w:hAnsi="Trebuchet MS"/>
          <w:b w:val="0"/>
          <w:i/>
          <w:lang w:val="fr-FR"/>
        </w:rPr>
        <w:t xml:space="preserve"> la "réceptivité" du système politique</w:t>
      </w:r>
      <w:r w:rsidRPr="00181510">
        <w:rPr>
          <w:rStyle w:val="Titre2Car"/>
          <w:rFonts w:ascii="Trebuchet MS" w:hAnsi="Trebuchet MS"/>
          <w:b w:val="0"/>
          <w:lang w:val="fr-FR"/>
        </w:rPr>
        <w:t xml:space="preserve"> </w:t>
      </w:r>
      <w:r w:rsidRPr="005A06ED">
        <w:rPr>
          <w:bCs/>
          <w:lang w:val="fr-FR"/>
        </w:rPr>
        <w:t>face aux programmes de genre,</w:t>
      </w:r>
      <w:r w:rsidRPr="00181510">
        <w:rPr>
          <w:rStyle w:val="Titre2Car"/>
          <w:rFonts w:ascii="Trebuchet MS" w:hAnsi="Trebuchet MS"/>
          <w:b w:val="0"/>
          <w:lang w:val="fr-FR"/>
        </w:rPr>
        <w:t xml:space="preserve"> </w:t>
      </w:r>
      <w:r w:rsidRPr="00181510">
        <w:rPr>
          <w:rFonts w:ascii="Trebuchet MS" w:hAnsi="Trebuchet MS"/>
          <w:lang w:val="fr-FR"/>
        </w:rPr>
        <w:t>et l'équilibre des forces en la matière. Parmi ces caractéristiques figurent le type de régime politique en place et le degré d'ouverture du système politique. Dans les processus de transition naissants, où les compromis politiques sont encore fluides et incertains, l'équilibre des forces, et ses conséquences en termes de genre, sont particulièrement significatifs. La réceptivité des autres acteurs clés quant aux questions de genre a une influence extrêmement importante. Il ne faut pas sous-estimer les rési</w:t>
      </w:r>
      <w:r w:rsidR="00DA3CDA">
        <w:rPr>
          <w:rFonts w:ascii="Trebuchet MS" w:hAnsi="Trebuchet MS"/>
          <w:lang w:val="fr-FR"/>
        </w:rPr>
        <w:t>stances à la mise en place de</w:t>
      </w:r>
      <w:r w:rsidRPr="00181510">
        <w:rPr>
          <w:rFonts w:ascii="Trebuchet MS" w:hAnsi="Trebuchet MS"/>
          <w:lang w:val="fr-FR"/>
        </w:rPr>
        <w:t xml:space="preserve"> droits relatifs au genre, y compris de la part des personnalités politiques féminines, notamment parce que les enjeux associés portent sur la redistribution du pouvoir et des ressources. </w:t>
      </w:r>
    </w:p>
    <w:p w14:paraId="35679710" w14:textId="77777777" w:rsidR="00002DAC" w:rsidRPr="00181510" w:rsidRDefault="00002DAC" w:rsidP="00002DAC">
      <w:pPr>
        <w:pStyle w:val="Titre2"/>
        <w:rPr>
          <w:lang w:val="fr-FR"/>
        </w:rPr>
      </w:pPr>
      <w:bookmarkStart w:id="27" w:name="_Toc411365694"/>
      <w:bookmarkStart w:id="28" w:name="_Toc417545138"/>
      <w:r w:rsidRPr="00181510">
        <w:rPr>
          <w:lang w:val="fr-FR"/>
        </w:rPr>
        <w:t>Obstacles et contraintes</w:t>
      </w:r>
      <w:bookmarkEnd w:id="27"/>
      <w:bookmarkEnd w:id="28"/>
      <w:r w:rsidRPr="00181510">
        <w:rPr>
          <w:lang w:val="fr-FR"/>
        </w:rPr>
        <w:t xml:space="preserve"> </w:t>
      </w:r>
    </w:p>
    <w:p w14:paraId="35679711"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Une participation formelle accrue des femmes à la gouvernance </w:t>
      </w:r>
      <w:proofErr w:type="spellStart"/>
      <w:r w:rsidRPr="00181510">
        <w:rPr>
          <w:rFonts w:ascii="Trebuchet MS" w:hAnsi="Trebuchet MS"/>
          <w:lang w:val="fr-FR"/>
        </w:rPr>
        <w:t>postconflit</w:t>
      </w:r>
      <w:proofErr w:type="spellEnd"/>
      <w:r w:rsidRPr="00181510">
        <w:rPr>
          <w:rFonts w:ascii="Trebuchet MS" w:hAnsi="Trebuchet MS"/>
          <w:lang w:val="fr-FR"/>
        </w:rPr>
        <w:t>, que ce soit dans le cadre des processus</w:t>
      </w:r>
      <w:r w:rsidR="00AD11E6" w:rsidRPr="00181510">
        <w:rPr>
          <w:rFonts w:ascii="Trebuchet MS" w:hAnsi="Trebuchet MS"/>
          <w:lang w:val="fr-FR"/>
        </w:rPr>
        <w:t xml:space="preserve"> de paix, des réformes constitutionnelles</w:t>
      </w:r>
      <w:r w:rsidRPr="00181510">
        <w:rPr>
          <w:rFonts w:ascii="Trebuchet MS" w:hAnsi="Trebuchet MS"/>
          <w:lang w:val="fr-FR"/>
        </w:rPr>
        <w:t xml:space="preserve"> ou des élections </w:t>
      </w:r>
      <w:proofErr w:type="spellStart"/>
      <w:r w:rsidRPr="00181510">
        <w:rPr>
          <w:rFonts w:ascii="Trebuchet MS" w:hAnsi="Trebuchet MS"/>
          <w:lang w:val="fr-FR"/>
        </w:rPr>
        <w:t>postconflit</w:t>
      </w:r>
      <w:proofErr w:type="spellEnd"/>
      <w:r w:rsidR="00AD11E6" w:rsidRPr="00181510">
        <w:rPr>
          <w:rFonts w:ascii="Trebuchet MS" w:hAnsi="Trebuchet MS"/>
          <w:lang w:val="fr-FR"/>
        </w:rPr>
        <w:t>, à n'importe quel niveau, est</w:t>
      </w:r>
      <w:r w:rsidRPr="00181510">
        <w:rPr>
          <w:rFonts w:ascii="Trebuchet MS" w:hAnsi="Trebuchet MS"/>
          <w:lang w:val="fr-FR"/>
        </w:rPr>
        <w:t xml:space="preserve"> une avancée considérable. Toutefois, cette augmentation ne </w:t>
      </w:r>
      <w:r w:rsidRPr="00181510">
        <w:rPr>
          <w:rFonts w:ascii="Trebuchet MS" w:hAnsi="Trebuchet MS"/>
          <w:lang w:val="fr-FR"/>
        </w:rPr>
        <w:lastRenderedPageBreak/>
        <w:t xml:space="preserve">garantit pas en elle-même des résultats positifs en termes de genre. Même là où de solides dispositions </w:t>
      </w:r>
      <w:r w:rsidRPr="00181510">
        <w:rPr>
          <w:rFonts w:ascii="Trebuchet MS" w:hAnsi="Trebuchet MS"/>
          <w:i/>
          <w:lang w:val="fr-FR"/>
        </w:rPr>
        <w:t>législatives</w:t>
      </w:r>
      <w:r w:rsidRPr="00181510">
        <w:rPr>
          <w:rFonts w:ascii="Trebuchet MS" w:hAnsi="Trebuchet MS"/>
          <w:lang w:val="fr-FR"/>
        </w:rPr>
        <w:t xml:space="preserve"> ont été obtenues en faveur du genre, leur application pratique fait face à de nombreux obstacles et pressions. </w:t>
      </w:r>
    </w:p>
    <w:p w14:paraId="35679712" w14:textId="77777777" w:rsidR="00002DAC" w:rsidRPr="00181510" w:rsidRDefault="00002DAC" w:rsidP="00002DAC">
      <w:pPr>
        <w:jc w:val="both"/>
        <w:rPr>
          <w:rFonts w:ascii="Trebuchet MS" w:hAnsi="Trebuchet MS"/>
          <w:lang w:val="fr-FR"/>
        </w:rPr>
      </w:pPr>
    </w:p>
    <w:p w14:paraId="35679713" w14:textId="77777777" w:rsidR="00002DAC" w:rsidRPr="00181510" w:rsidRDefault="00002DAC" w:rsidP="00002DAC">
      <w:pPr>
        <w:jc w:val="both"/>
        <w:rPr>
          <w:rFonts w:ascii="Trebuchet MS" w:hAnsi="Trebuchet MS"/>
          <w:lang w:val="fr-FR"/>
        </w:rPr>
      </w:pPr>
      <w:r w:rsidRPr="00181510">
        <w:rPr>
          <w:rFonts w:ascii="Trebuchet MS" w:hAnsi="Trebuchet MS"/>
          <w:lang w:val="fr-FR"/>
        </w:rPr>
        <w:t>Le</w:t>
      </w:r>
      <w:r w:rsidRPr="00181510">
        <w:rPr>
          <w:rFonts w:ascii="Trebuchet MS" w:hAnsi="Trebuchet MS"/>
          <w:b/>
          <w:lang w:val="fr-FR"/>
        </w:rPr>
        <w:t xml:space="preserve"> </w:t>
      </w:r>
      <w:r w:rsidRPr="00181510">
        <w:rPr>
          <w:rStyle w:val="Titre2Car"/>
          <w:rFonts w:ascii="Trebuchet MS" w:hAnsi="Trebuchet MS"/>
          <w:b w:val="0"/>
          <w:i/>
          <w:lang w:val="fr-FR"/>
        </w:rPr>
        <w:t>poids des normes sociales</w:t>
      </w:r>
      <w:r w:rsidRPr="00181510">
        <w:rPr>
          <w:rFonts w:ascii="Trebuchet MS" w:hAnsi="Trebuchet MS"/>
          <w:lang w:val="fr-FR"/>
        </w:rPr>
        <w:t xml:space="preserve"> est un formidable obstacle à une participation significative des femmes à la vie politique. L'observation montre que, nonobstant une éventuelle mobilisation initiale des groupes de femmes, </w:t>
      </w:r>
      <w:proofErr w:type="spellStart"/>
      <w:r w:rsidRPr="00181510">
        <w:rPr>
          <w:rFonts w:ascii="Trebuchet MS" w:hAnsi="Trebuchet MS"/>
          <w:lang w:val="fr-FR"/>
        </w:rPr>
        <w:t>postconflit</w:t>
      </w:r>
      <w:proofErr w:type="spellEnd"/>
      <w:r w:rsidRPr="00181510">
        <w:rPr>
          <w:rFonts w:ascii="Trebuchet MS" w:hAnsi="Trebuchet MS"/>
          <w:lang w:val="fr-FR"/>
        </w:rPr>
        <w:t>, les rôles et relations de genre traditionnels se trouvent généralement réaffirmés. Les intérêts propres de chaque sexe sont rarement une priorité, l</w:t>
      </w:r>
      <w:r w:rsidR="00DA3CDA">
        <w:rPr>
          <w:rFonts w:ascii="Trebuchet MS" w:hAnsi="Trebuchet MS"/>
          <w:lang w:val="fr-FR"/>
        </w:rPr>
        <w:t xml:space="preserve">es </w:t>
      </w:r>
      <w:r w:rsidRPr="00181510">
        <w:rPr>
          <w:rFonts w:ascii="Trebuchet MS" w:hAnsi="Trebuchet MS"/>
          <w:lang w:val="fr-FR"/>
        </w:rPr>
        <w:t>préoccupations se portant</w:t>
      </w:r>
      <w:r w:rsidR="00DA3CDA">
        <w:rPr>
          <w:rFonts w:ascii="Trebuchet MS" w:hAnsi="Trebuchet MS"/>
          <w:lang w:val="fr-FR"/>
        </w:rPr>
        <w:t xml:space="preserve"> avant tout</w:t>
      </w:r>
      <w:r w:rsidRPr="00181510">
        <w:rPr>
          <w:rFonts w:ascii="Trebuchet MS" w:hAnsi="Trebuchet MS"/>
          <w:lang w:val="fr-FR"/>
        </w:rPr>
        <w:t xml:space="preserve"> sur la consolidation du nouveau régime. Les normes sociales discriminatoires en matière de genre et les attitudes quant au rôle des femmes dans la vie publique et privée sont particulièrement tenaces. De plus, elles revêtent une signification différente selon que le contexte soit urbain ou rural, national ou </w:t>
      </w:r>
      <w:r w:rsidR="003B7F1D" w:rsidRPr="00181510">
        <w:rPr>
          <w:rFonts w:ascii="Trebuchet MS" w:hAnsi="Trebuchet MS"/>
          <w:lang w:val="fr-FR"/>
        </w:rPr>
        <w:t>infranational</w:t>
      </w:r>
      <w:r w:rsidRPr="00181510">
        <w:rPr>
          <w:rFonts w:ascii="Trebuchet MS" w:hAnsi="Trebuchet MS"/>
          <w:lang w:val="fr-FR"/>
        </w:rPr>
        <w:t>, etc.</w:t>
      </w:r>
    </w:p>
    <w:p w14:paraId="35679714" w14:textId="77777777" w:rsidR="00002DAC" w:rsidRPr="00181510" w:rsidRDefault="00002DAC" w:rsidP="00002DAC">
      <w:pPr>
        <w:jc w:val="both"/>
        <w:rPr>
          <w:rFonts w:ascii="Trebuchet MS" w:hAnsi="Trebuchet MS"/>
          <w:lang w:val="fr-FR"/>
        </w:rPr>
      </w:pPr>
    </w:p>
    <w:p w14:paraId="35679715"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Comme mentionné précédemment, concilier égalité des sexes et autres divergences entre femmes est un défi complexe. Ce défi est exacerbé par la réaffirmation des normes de genre traditionnelles, qui attribuent aux femmes un rôle subordonné dans la vie publique et privée. Il est aussi extrêmement délicat d'utiliser le genre en tant que catégorie influençant les priorités et politiques traditionnelles sans céder à un certain essentialisme à l'égard des femmes. De plus, la perception des femmes en tant que victimes et bénéficiaires plutôt qu'en tant qu'agents du changement est problématique. </w:t>
      </w:r>
    </w:p>
    <w:p w14:paraId="35679716" w14:textId="77777777" w:rsidR="00002DAC" w:rsidRPr="00181510" w:rsidRDefault="00002DAC" w:rsidP="00002DAC">
      <w:pPr>
        <w:jc w:val="both"/>
        <w:rPr>
          <w:rFonts w:ascii="Trebuchet MS" w:hAnsi="Trebuchet MS"/>
          <w:lang w:val="fr-FR"/>
        </w:rPr>
      </w:pPr>
    </w:p>
    <w:p w14:paraId="35679717"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Les initiatives </w:t>
      </w:r>
      <w:r w:rsidRPr="00181510">
        <w:rPr>
          <w:rStyle w:val="Titre2Car"/>
          <w:rFonts w:ascii="Trebuchet MS" w:hAnsi="Trebuchet MS"/>
          <w:b w:val="0"/>
          <w:i/>
          <w:lang w:val="fr-FR"/>
        </w:rPr>
        <w:t>visant à remettre en cause les relations et normes de genre peuvent générer des réactions violentes</w:t>
      </w:r>
      <w:r w:rsidRPr="005A06ED">
        <w:rPr>
          <w:bCs/>
          <w:lang w:val="fr-FR"/>
        </w:rPr>
        <w:t>.</w:t>
      </w:r>
      <w:r w:rsidRPr="00181510">
        <w:rPr>
          <w:rFonts w:ascii="Trebuchet MS" w:hAnsi="Trebuchet MS"/>
          <w:b/>
          <w:lang w:val="fr-FR"/>
        </w:rPr>
        <w:t xml:space="preserve"> </w:t>
      </w:r>
      <w:r w:rsidRPr="00181510">
        <w:rPr>
          <w:rFonts w:ascii="Trebuchet MS" w:hAnsi="Trebuchet MS"/>
          <w:lang w:val="fr-FR"/>
        </w:rPr>
        <w:t>Quand ces interventions de promotion de l'égalité des sexes sont perçues comme une menace pour les membres masculins de la communauté ou pour l'ordre établi, le risque de réaction violente est augmenté. Ces réactions prennent la forme de violences et de tentatives d'intimidation, sources de conséquences graves pour la participation politique des femmes à l'échelle locale et nationale. Les récits de femmes et de militants du genre ayant été victimes de violences visant à les décourager de toute participation politique sont monnaie courante à l'échelle locale comme à l'échelle nationale, et ont récemment fait l'o</w:t>
      </w:r>
      <w:r w:rsidR="00A628B9">
        <w:rPr>
          <w:rFonts w:ascii="Trebuchet MS" w:hAnsi="Trebuchet MS"/>
          <w:lang w:val="fr-FR"/>
        </w:rPr>
        <w:t xml:space="preserve">bjet d'un rapport de </w:t>
      </w:r>
      <w:proofErr w:type="spellStart"/>
      <w:r w:rsidR="00A628B9">
        <w:rPr>
          <w:rFonts w:ascii="Trebuchet MS" w:hAnsi="Trebuchet MS"/>
          <w:lang w:val="fr-FR"/>
        </w:rPr>
        <w:t>Saferworld</w:t>
      </w:r>
      <w:proofErr w:type="spellEnd"/>
      <w:r w:rsidR="00A628B9">
        <w:rPr>
          <w:rFonts w:ascii="Trebuchet MS" w:hAnsi="Trebuchet MS"/>
          <w:lang w:val="fr-FR"/>
        </w:rPr>
        <w:t> </w:t>
      </w:r>
      <w:r w:rsidRPr="00181510">
        <w:rPr>
          <w:rFonts w:ascii="Trebuchet MS" w:hAnsi="Trebuchet MS"/>
          <w:lang w:val="fr-FR"/>
        </w:rPr>
        <w:t xml:space="preserve">(2013) sur l'Égypte, la Lybie et le Yémen. La domination des normes patriarcales au sein des organes de l'État ou dans les services de sécurité </w:t>
      </w:r>
      <w:r w:rsidR="00A628B9">
        <w:rPr>
          <w:rFonts w:ascii="Trebuchet MS" w:hAnsi="Trebuchet MS"/>
          <w:lang w:val="fr-FR"/>
        </w:rPr>
        <w:t xml:space="preserve">fait échouer la </w:t>
      </w:r>
      <w:r w:rsidRPr="00181510">
        <w:rPr>
          <w:rFonts w:ascii="Trebuchet MS" w:hAnsi="Trebuchet MS"/>
          <w:lang w:val="fr-FR"/>
        </w:rPr>
        <w:t>protection des femmes et témoigne d'une forte complicité entre les</w:t>
      </w:r>
      <w:r w:rsidR="00A628B9">
        <w:rPr>
          <w:rFonts w:ascii="Trebuchet MS" w:hAnsi="Trebuchet MS"/>
          <w:lang w:val="fr-FR"/>
        </w:rPr>
        <w:t xml:space="preserve"> institutions et les auteurs de</w:t>
      </w:r>
      <w:r w:rsidRPr="00181510">
        <w:rPr>
          <w:rFonts w:ascii="Trebuchet MS" w:hAnsi="Trebuchet MS"/>
          <w:lang w:val="fr-FR"/>
        </w:rPr>
        <w:t xml:space="preserve"> violences ou d</w:t>
      </w:r>
      <w:r w:rsidR="006A0F0A" w:rsidRPr="00181510">
        <w:rPr>
          <w:rFonts w:ascii="Trebuchet MS" w:hAnsi="Trebuchet MS"/>
          <w:lang w:val="fr-FR"/>
        </w:rPr>
        <w:t>'</w:t>
      </w:r>
      <w:r w:rsidRPr="00181510">
        <w:rPr>
          <w:rFonts w:ascii="Trebuchet MS" w:hAnsi="Trebuchet MS"/>
          <w:lang w:val="fr-FR"/>
        </w:rPr>
        <w:t xml:space="preserve">abus contre les femmes. En règle générale, les héritages de conflit </w:t>
      </w:r>
      <w:r w:rsidR="003B7F1D" w:rsidRPr="00181510">
        <w:rPr>
          <w:rFonts w:ascii="Trebuchet MS" w:hAnsi="Trebuchet MS"/>
          <w:lang w:val="fr-FR"/>
        </w:rPr>
        <w:t>non résolus</w:t>
      </w:r>
      <w:r w:rsidR="00AD11E6" w:rsidRPr="00181510">
        <w:rPr>
          <w:rFonts w:ascii="Trebuchet MS" w:hAnsi="Trebuchet MS"/>
          <w:lang w:val="fr-FR"/>
        </w:rPr>
        <w:t xml:space="preserve"> et un</w:t>
      </w:r>
      <w:r w:rsidRPr="00181510">
        <w:rPr>
          <w:rFonts w:ascii="Trebuchet MS" w:hAnsi="Trebuchet MS"/>
          <w:lang w:val="fr-FR"/>
        </w:rPr>
        <w:t xml:space="preserve"> recours continu à la violence de la part des différents acteurs de l'État et de la société</w:t>
      </w:r>
      <w:r w:rsidR="00AD11E6" w:rsidRPr="00181510">
        <w:rPr>
          <w:rFonts w:ascii="Trebuchet MS" w:hAnsi="Trebuchet MS"/>
          <w:lang w:val="fr-FR"/>
        </w:rPr>
        <w:t xml:space="preserve"> </w:t>
      </w:r>
      <w:r w:rsidRPr="00181510">
        <w:rPr>
          <w:rFonts w:ascii="Trebuchet MS" w:hAnsi="Trebuchet MS"/>
          <w:lang w:val="fr-FR"/>
        </w:rPr>
        <w:t xml:space="preserve">ont une influence profondément négative sur le sentiment de sécurité des femmes, affaiblissant leurs capacités et leurs opportunités de participation active. Concrètement, les femmes qui participent à la vie politique et publique peuvent être punies ou ostracisées par leur communauté. Cette situation est largement documentée dans le cas de l'Afghanistan, par exemple, mais elle a aussi été observée dans d'autres contextes. </w:t>
      </w:r>
    </w:p>
    <w:p w14:paraId="35679718" w14:textId="77777777" w:rsidR="00002DAC" w:rsidRPr="00181510" w:rsidRDefault="00002DAC" w:rsidP="00002DAC">
      <w:pPr>
        <w:jc w:val="both"/>
        <w:rPr>
          <w:rFonts w:ascii="Trebuchet MS" w:hAnsi="Trebuchet MS"/>
          <w:lang w:val="fr-FR"/>
        </w:rPr>
      </w:pPr>
    </w:p>
    <w:p w14:paraId="35679719" w14:textId="77777777" w:rsidR="00002DAC" w:rsidRPr="00181510" w:rsidRDefault="00A628B9" w:rsidP="00002DAC">
      <w:pPr>
        <w:jc w:val="both"/>
        <w:rPr>
          <w:rFonts w:ascii="Trebuchet MS" w:hAnsi="Trebuchet MS"/>
          <w:lang w:val="fr-FR"/>
        </w:rPr>
      </w:pPr>
      <w:bookmarkStart w:id="29" w:name="_Toc417545139"/>
      <w:r>
        <w:rPr>
          <w:rStyle w:val="Titre2Car"/>
          <w:rFonts w:ascii="Trebuchet MS" w:hAnsi="Trebuchet MS"/>
          <w:b w:val="0"/>
          <w:i/>
          <w:lang w:val="fr-FR"/>
        </w:rPr>
        <w:t xml:space="preserve">Les faibles </w:t>
      </w:r>
      <w:r w:rsidR="00002DAC" w:rsidRPr="00181510">
        <w:rPr>
          <w:rStyle w:val="Titre2Car"/>
          <w:rFonts w:ascii="Trebuchet MS" w:hAnsi="Trebuchet MS"/>
          <w:b w:val="0"/>
          <w:i/>
          <w:lang w:val="fr-FR"/>
        </w:rPr>
        <w:t>capacités des femmes</w:t>
      </w:r>
      <w:bookmarkEnd w:id="29"/>
      <w:r w:rsidR="00002DAC" w:rsidRPr="00181510">
        <w:rPr>
          <w:rFonts w:ascii="Trebuchet MS" w:hAnsi="Trebuchet MS"/>
          <w:lang w:val="fr-FR"/>
        </w:rPr>
        <w:t xml:space="preserve"> en raison d'un accès limité à l'éducation et à </w:t>
      </w:r>
      <w:r>
        <w:rPr>
          <w:rFonts w:ascii="Trebuchet MS" w:hAnsi="Trebuchet MS"/>
          <w:lang w:val="fr-FR"/>
        </w:rPr>
        <w:t>l</w:t>
      </w:r>
      <w:r w:rsidR="006A0F0A" w:rsidRPr="00181510">
        <w:rPr>
          <w:rFonts w:ascii="Trebuchet MS" w:hAnsi="Trebuchet MS"/>
          <w:lang w:val="fr-FR"/>
        </w:rPr>
        <w:t>'</w:t>
      </w:r>
      <w:r w:rsidR="00002DAC" w:rsidRPr="00181510">
        <w:rPr>
          <w:rFonts w:ascii="Trebuchet MS" w:hAnsi="Trebuchet MS"/>
          <w:lang w:val="fr-FR"/>
        </w:rPr>
        <w:t xml:space="preserve">expertise juridique et technique, ainsi que d'opportunités réduites d'acquérir des compétences politiques, affecte négativement l'efficacité de leur participation. Les études disponibles pointent du doigt l'échelle locale et communautaire, où les normes de genre </w:t>
      </w:r>
      <w:r w:rsidR="00002DAC" w:rsidRPr="00181510">
        <w:rPr>
          <w:rFonts w:ascii="Trebuchet MS" w:hAnsi="Trebuchet MS"/>
          <w:lang w:val="fr-FR"/>
        </w:rPr>
        <w:lastRenderedPageBreak/>
        <w:t xml:space="preserve">traditionnelles entravent l'accès des femmes à l'espace politique formel et à l'ensemble des réunions informelles, le plus souvent exclusivement masculines, où les décideurs clés statuent sur les affaires de la communauté. À l'échelle nationale, cette situation est problématique s'agissant d'intégrer les programmes de genre aux accords de paix ou aux textes constitutionnels. </w:t>
      </w:r>
    </w:p>
    <w:p w14:paraId="3567971A" w14:textId="77777777" w:rsidR="00002DAC" w:rsidRPr="00181510" w:rsidRDefault="00002DAC" w:rsidP="00002DAC">
      <w:pPr>
        <w:jc w:val="both"/>
        <w:rPr>
          <w:rFonts w:ascii="Trebuchet MS" w:hAnsi="Trebuchet MS"/>
          <w:lang w:val="fr-FR"/>
        </w:rPr>
      </w:pPr>
    </w:p>
    <w:p w14:paraId="3567971B"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La </w:t>
      </w:r>
      <w:r w:rsidRPr="00A628B9">
        <w:rPr>
          <w:rStyle w:val="Titre2Car"/>
          <w:rFonts w:ascii="Trebuchet MS" w:hAnsi="Trebuchet MS"/>
          <w:b w:val="0"/>
          <w:i/>
          <w:lang w:val="fr-FR"/>
        </w:rPr>
        <w:t>domination des hiérarchies</w:t>
      </w:r>
      <w:r w:rsidRPr="00181510">
        <w:rPr>
          <w:rStyle w:val="Titre2Car"/>
          <w:rFonts w:ascii="Trebuchet MS" w:hAnsi="Trebuchet MS"/>
          <w:b w:val="0"/>
          <w:i/>
          <w:lang w:val="fr-FR"/>
        </w:rPr>
        <w:t xml:space="preserve"> de genre dans l'espace politique formel</w:t>
      </w:r>
      <w:r w:rsidRPr="00181510">
        <w:rPr>
          <w:rFonts w:ascii="Trebuchet MS" w:hAnsi="Trebuchet MS"/>
          <w:b/>
          <w:lang w:val="fr-FR"/>
        </w:rPr>
        <w:t xml:space="preserve"> </w:t>
      </w:r>
      <w:r w:rsidRPr="00181510">
        <w:rPr>
          <w:rFonts w:ascii="Trebuchet MS" w:hAnsi="Trebuchet MS"/>
          <w:lang w:val="fr-FR"/>
        </w:rPr>
        <w:t xml:space="preserve">reste une barrière formidable, limitant l'accès effectif des femmes aux rôles décisionnels ou à une participation significative. Les quotas peuvent se révéler très utiles pour garantir la présence des femmes dans la vie politique et publique, mais la qualité de cette présence est influencée par la manière dont ces quotas s'insèrent dans les systèmes électoraux et les mécanismes partisans, et par les règles informelles qui régissent souvent les résultats politiques, comme le patriarcat ou le clientélisme. Plus d'études sont nécessaires au sujet des </w:t>
      </w:r>
      <w:r w:rsidRPr="00181510">
        <w:rPr>
          <w:rFonts w:ascii="Trebuchet MS" w:hAnsi="Trebuchet MS"/>
          <w:i/>
          <w:lang w:val="fr-FR"/>
        </w:rPr>
        <w:t>processus politiques institutionnels</w:t>
      </w:r>
      <w:r w:rsidRPr="00181510">
        <w:rPr>
          <w:rFonts w:ascii="Trebuchet MS" w:hAnsi="Trebuchet MS"/>
          <w:lang w:val="fr-FR"/>
        </w:rPr>
        <w:t xml:space="preserve"> qui déterminent quelles femmes intègrent la vie politique et publique, et quels facteurs institutionnels ou politiques définissent leurs allégeances politiques </w:t>
      </w:r>
      <w:r w:rsidR="00A628B9">
        <w:rPr>
          <w:rFonts w:ascii="Trebuchet MS" w:hAnsi="Trebuchet MS"/>
          <w:lang w:val="fr-FR"/>
        </w:rPr>
        <w:t>et</w:t>
      </w:r>
      <w:r w:rsidRPr="00181510">
        <w:rPr>
          <w:rFonts w:ascii="Trebuchet MS" w:hAnsi="Trebuchet MS"/>
          <w:lang w:val="fr-FR"/>
        </w:rPr>
        <w:t xml:space="preserve"> la probabilité, la qualité et l'indépendance de leur plaidoyer en faveur </w:t>
      </w:r>
      <w:r w:rsidR="00A628B9">
        <w:rPr>
          <w:rFonts w:ascii="Trebuchet MS" w:hAnsi="Trebuchet MS"/>
          <w:lang w:val="fr-FR"/>
        </w:rPr>
        <w:t xml:space="preserve">du </w:t>
      </w:r>
      <w:r w:rsidRPr="00181510">
        <w:rPr>
          <w:rFonts w:ascii="Trebuchet MS" w:hAnsi="Trebuchet MS"/>
          <w:lang w:val="fr-FR"/>
        </w:rPr>
        <w:t xml:space="preserve">genre, le cas échéant. </w:t>
      </w:r>
    </w:p>
    <w:p w14:paraId="3567971C" w14:textId="77777777" w:rsidR="00002DAC" w:rsidRPr="00181510" w:rsidRDefault="00002DAC" w:rsidP="00002DAC">
      <w:pPr>
        <w:pStyle w:val="Titre2"/>
        <w:rPr>
          <w:lang w:val="fr-FR"/>
        </w:rPr>
      </w:pPr>
      <w:bookmarkStart w:id="30" w:name="_Toc411365695"/>
      <w:bookmarkStart w:id="31" w:name="_Toc417545140"/>
      <w:r w:rsidRPr="00181510">
        <w:rPr>
          <w:lang w:val="fr-FR"/>
        </w:rPr>
        <w:t>Points d'entrée pour les acteurs internationaux</w:t>
      </w:r>
      <w:bookmarkEnd w:id="30"/>
      <w:bookmarkEnd w:id="31"/>
    </w:p>
    <w:p w14:paraId="3567971D"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Les acteurs internationaux ont tiré parti de différents points d'entrée avec des degrés d'efficacité et d'engagement variables. Les éléments ci-dessous sont caractéristiques du soutien apporté par les acteurs internationaux à la participation politique des femmes aux processus </w:t>
      </w:r>
      <w:proofErr w:type="spellStart"/>
      <w:r w:rsidRPr="00181510">
        <w:rPr>
          <w:rFonts w:ascii="Trebuchet MS" w:hAnsi="Trebuchet MS"/>
          <w:lang w:val="fr-FR"/>
        </w:rPr>
        <w:t>postconflit</w:t>
      </w:r>
      <w:proofErr w:type="spellEnd"/>
      <w:r w:rsidRPr="00181510">
        <w:rPr>
          <w:rFonts w:ascii="Trebuchet MS" w:hAnsi="Trebuchet MS"/>
          <w:lang w:val="fr-FR"/>
        </w:rPr>
        <w:t> :</w:t>
      </w:r>
    </w:p>
    <w:p w14:paraId="3567971E" w14:textId="77777777" w:rsidR="00002DAC" w:rsidRPr="00181510" w:rsidRDefault="00002DAC" w:rsidP="00002DAC">
      <w:pPr>
        <w:jc w:val="both"/>
        <w:rPr>
          <w:rFonts w:ascii="Trebuchet MS" w:hAnsi="Trebuchet MS"/>
          <w:lang w:val="fr-FR"/>
        </w:rPr>
      </w:pPr>
    </w:p>
    <w:p w14:paraId="3567971F"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t>Travailler à la création de réseaux et coalitions nationaux et internationaux de mouvements de femmes ou autres militants pour influencer les négociations peut représenter un soutien clé dans les situations de changement politique critique. Par exemple, le soutien apporté aux groupes de femmes du Timor oriental a joué un rôle important dans l'élaboration collective de demandes communes. Une coalition d'organisations nationales et internationales a appuyé la mise en place d'un Groupe de travail sur le genre et la constitution, qui a développé une Charte des droits des femmes en dix articles, obtenant des avancées concrètes en termes de droits sociaux et politiques pour les femmes.</w:t>
      </w:r>
    </w:p>
    <w:p w14:paraId="35679720"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t>De manière similaire, les acteurs internationaux qui facilitent le dialogue entre groupes de femmes et acteurs gouvernementaux ou décideurs clés renforcent l'influence et la participation des femmes. Ce dialogue peut être difficile à mettre en</w:t>
      </w:r>
      <w:r w:rsidR="00A628B9">
        <w:rPr>
          <w:rFonts w:ascii="Trebuchet MS" w:hAnsi="Trebuchet MS"/>
          <w:lang w:val="fr-FR"/>
        </w:rPr>
        <w:t xml:space="preserve"> place </w:t>
      </w:r>
      <w:proofErr w:type="spellStart"/>
      <w:r w:rsidR="00A628B9">
        <w:rPr>
          <w:rFonts w:ascii="Trebuchet MS" w:hAnsi="Trebuchet MS"/>
          <w:lang w:val="fr-FR"/>
        </w:rPr>
        <w:t>postconflit</w:t>
      </w:r>
      <w:proofErr w:type="spellEnd"/>
      <w:r w:rsidR="00A628B9">
        <w:rPr>
          <w:rFonts w:ascii="Trebuchet MS" w:hAnsi="Trebuchet MS"/>
          <w:lang w:val="fr-FR"/>
        </w:rPr>
        <w:t>, étant donné</w:t>
      </w:r>
      <w:r w:rsidRPr="00181510">
        <w:rPr>
          <w:rFonts w:ascii="Trebuchet MS" w:hAnsi="Trebuchet MS"/>
          <w:lang w:val="fr-FR"/>
        </w:rPr>
        <w:t xml:space="preserve"> le sentiment de méfiance et la peur des représailles et des réactions violentes. En Colombie, l'ONU Femmes a joué un rôle </w:t>
      </w:r>
      <w:r w:rsidR="00A628B9">
        <w:rPr>
          <w:rFonts w:ascii="Trebuchet MS" w:hAnsi="Trebuchet MS"/>
          <w:lang w:val="fr-FR"/>
        </w:rPr>
        <w:t>désigné par la suite comme un "</w:t>
      </w:r>
      <w:r w:rsidRPr="00181510">
        <w:rPr>
          <w:rFonts w:ascii="Trebuchet MS" w:hAnsi="Trebuchet MS"/>
          <w:lang w:val="fr-FR"/>
        </w:rPr>
        <w:t xml:space="preserve">accompagnement" pour encourager les échanges entre groupes de femmes, acteurs législatifs et gouvernement. L'organisation a ainsi contribué par exemple à imposer la participation des groupes de femmes au travail législatif sur la justice de transition et la restitution des terres, et à leur donner un sentiment de sécurité dans le cadre de leurs échanges avec les acteurs étatiques </w:t>
      </w:r>
      <w:r w:rsidR="00A628B9">
        <w:rPr>
          <w:rFonts w:ascii="Trebuchet MS" w:hAnsi="Trebuchet MS"/>
          <w:lang w:val="fr-FR"/>
        </w:rPr>
        <w:t>du fait de</w:t>
      </w:r>
      <w:r w:rsidRPr="00181510">
        <w:rPr>
          <w:rFonts w:ascii="Trebuchet MS" w:hAnsi="Trebuchet MS"/>
          <w:lang w:val="fr-FR"/>
        </w:rPr>
        <w:t xml:space="preserve"> sa présence en tant qu'un acteur international.</w:t>
      </w:r>
    </w:p>
    <w:p w14:paraId="35679721"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lastRenderedPageBreak/>
        <w:t xml:space="preserve">L'objectif visant à soutenir les capacités d'engagement politique et militant des femmes par la formation et le développement des compétences de négociation et de leadership a du mérite. Néanmoins, les données disponibles ne permettent pas d'apprécier l'efficacité de ce type d'initiative. Il s'agit là d'une lacune majeure dans le corpus de connaissances. Il est cependant clair que ces interventions doivent se garder d'importer des modèles internationaux. Ce type d'activités de développement de capacités doit s'appuyer sur une connaissance approfondie de l'économie politique du contexte. De plus, les démarches à long-terme de soutien aux capacités sont probablement plus efficaces quand elles adoptent une approche intégrale de l'autonomisation des femmes et des petites filles promouvant l'accès aux différents niveaux d'éducation. </w:t>
      </w:r>
    </w:p>
    <w:p w14:paraId="35679722" w14:textId="77777777" w:rsidR="00A628B9" w:rsidRDefault="00002DAC" w:rsidP="00A628B9">
      <w:pPr>
        <w:pStyle w:val="Listepuces"/>
        <w:jc w:val="both"/>
        <w:rPr>
          <w:rFonts w:ascii="Trebuchet MS" w:hAnsi="Trebuchet MS"/>
          <w:lang w:val="fr-FR"/>
        </w:rPr>
      </w:pPr>
      <w:r w:rsidRPr="00181510">
        <w:rPr>
          <w:rFonts w:ascii="Trebuchet MS" w:hAnsi="Trebuchet MS"/>
          <w:lang w:val="fr-FR"/>
        </w:rPr>
        <w:t xml:space="preserve">Un soutien pratique immédiat à la participation des femmes est souvent critique dans le cadre des négociations de paix et des réformes constitutionnelles </w:t>
      </w:r>
      <w:proofErr w:type="spellStart"/>
      <w:r w:rsidRPr="00181510">
        <w:rPr>
          <w:rFonts w:ascii="Trebuchet MS" w:hAnsi="Trebuchet MS"/>
          <w:lang w:val="fr-FR"/>
        </w:rPr>
        <w:t>postconflit</w:t>
      </w:r>
      <w:proofErr w:type="spellEnd"/>
      <w:r w:rsidRPr="00181510">
        <w:rPr>
          <w:rFonts w:ascii="Trebuchet MS" w:hAnsi="Trebuchet MS"/>
          <w:lang w:val="fr-FR"/>
        </w:rPr>
        <w:t xml:space="preserve"> à court-terme. Un soutien matériel, sous la forme de financements pour le transport, l'hébergement et les dépenses, est nécessaire pour amener les militants féministes sur le lieu des négociations de paix ou des débats constitutionnels. Enfin, les femmes politiques elles-mêmes ont besoin de ressources pour leurs campagnes électorales. Très peu d'études se sont intéressées aux liens entre l'accès autonome des femmes aux ressources et participation politique </w:t>
      </w:r>
      <w:r w:rsidR="00A628B9">
        <w:rPr>
          <w:rFonts w:ascii="Trebuchet MS" w:hAnsi="Trebuchet MS"/>
          <w:lang w:val="fr-FR"/>
        </w:rPr>
        <w:t>féminine effective.</w:t>
      </w:r>
    </w:p>
    <w:p w14:paraId="35679723" w14:textId="77777777" w:rsidR="00002DAC" w:rsidRPr="00A628B9" w:rsidRDefault="00002DAC" w:rsidP="00A628B9">
      <w:pPr>
        <w:pStyle w:val="Listepuces"/>
        <w:jc w:val="both"/>
        <w:rPr>
          <w:rFonts w:ascii="Trebuchet MS" w:hAnsi="Trebuchet MS"/>
          <w:lang w:val="fr-FR"/>
        </w:rPr>
      </w:pPr>
      <w:r w:rsidRPr="00A628B9">
        <w:rPr>
          <w:rFonts w:ascii="Trebuchet MS" w:hAnsi="Trebuchet MS"/>
          <w:lang w:val="fr-FR"/>
        </w:rPr>
        <w:t>Soutenir la mise en place de quotas lors des réformes législatives ou constitutionnelles permet des avancées rapides en matière de présence politique des femmes. L'utilisation de quotas s'est imposée comme l'une des méthodes les plus efficaces pour garantir un pourcentage minimum de femmes dans les négociations officielles et les fonctions publiques. Toutefois, tel que mentionné précédemment, si les quotas permettent aux femmes d'accéder aux postes, ils ne garantissent pas que leurs besoins spécifiques seront pris en compte, ni</w:t>
      </w:r>
      <w:r w:rsidR="00AD11E6" w:rsidRPr="00A628B9">
        <w:rPr>
          <w:rFonts w:ascii="Trebuchet MS" w:hAnsi="Trebuchet MS"/>
          <w:lang w:val="fr-FR"/>
        </w:rPr>
        <w:t xml:space="preserve"> </w:t>
      </w:r>
      <w:r w:rsidRPr="00A628B9">
        <w:rPr>
          <w:rFonts w:ascii="Trebuchet MS" w:hAnsi="Trebuchet MS"/>
          <w:lang w:val="fr-FR"/>
        </w:rPr>
        <w:t xml:space="preserve">que les femmes en poste feront de l'égalité des sexes une priorité. De plus, l'impact des quotas sur la qualité de la participation politique est étroitement corrélé aux caractéristiques du système électoral et des politiques partisanes internes, ainsi qu'aux caractéristiques globales du régime. </w:t>
      </w:r>
    </w:p>
    <w:p w14:paraId="35679724"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t xml:space="preserve">Soutenir l'implication en amont à la fois des groupes de femmes et des militants du genre avec des financements à long-terme semble favoriser la consolidation des avancées initiales. Un tel soutien implique d'anticiper la fin du conflit pour mobiliser les capacités des groupes de femmes en vue des opportunités d'engagement politique </w:t>
      </w:r>
      <w:proofErr w:type="spellStart"/>
      <w:r w:rsidRPr="00181510">
        <w:rPr>
          <w:rFonts w:ascii="Trebuchet MS" w:hAnsi="Trebuchet MS"/>
          <w:lang w:val="fr-FR"/>
        </w:rPr>
        <w:t>postconflit</w:t>
      </w:r>
      <w:proofErr w:type="spellEnd"/>
      <w:r w:rsidRPr="00181510">
        <w:rPr>
          <w:rFonts w:ascii="Trebuchet MS" w:hAnsi="Trebuchet MS"/>
          <w:lang w:val="fr-FR"/>
        </w:rPr>
        <w:t xml:space="preserve">. Dans le même temps, les financements à long-terme sont essentiels car toute transformation en profondeur s'inscrit dans une perspective de longue durée. La continuité de l'engagement est nécessaire pour soutenir les groupes de femmes et les autres organisations de la société civile dans la mise en œuvre des accords de paix et des évolutions constitutionnelles, et pour entretenir la participation politique des femmes à l'échelle nationale et </w:t>
      </w:r>
      <w:r w:rsidR="003B7F1D" w:rsidRPr="00181510">
        <w:rPr>
          <w:rFonts w:ascii="Trebuchet MS" w:hAnsi="Trebuchet MS"/>
          <w:lang w:val="fr-FR"/>
        </w:rPr>
        <w:t>infranationale</w:t>
      </w:r>
      <w:r w:rsidRPr="00181510">
        <w:rPr>
          <w:rFonts w:ascii="Trebuchet MS" w:hAnsi="Trebuchet MS"/>
          <w:lang w:val="fr-FR"/>
        </w:rPr>
        <w:t>.</w:t>
      </w:r>
    </w:p>
    <w:p w14:paraId="35679725" w14:textId="77777777" w:rsidR="00002DAC" w:rsidRPr="00181510" w:rsidRDefault="00002DAC" w:rsidP="001D14C2">
      <w:pPr>
        <w:pStyle w:val="Titre2"/>
        <w:rPr>
          <w:lang w:val="fr-FR"/>
        </w:rPr>
      </w:pPr>
      <w:bookmarkStart w:id="32" w:name="_Toc411365696"/>
      <w:bookmarkStart w:id="33" w:name="_Toc417545141"/>
      <w:r w:rsidRPr="00181510">
        <w:rPr>
          <w:lang w:val="fr-FR"/>
        </w:rPr>
        <w:t>Héritages de la violence, contraintes de sécurité et participation politique des femmes</w:t>
      </w:r>
      <w:bookmarkEnd w:id="32"/>
      <w:bookmarkEnd w:id="33"/>
      <w:r w:rsidRPr="00181510">
        <w:rPr>
          <w:lang w:val="fr-FR"/>
        </w:rPr>
        <w:t xml:space="preserve"> </w:t>
      </w:r>
    </w:p>
    <w:p w14:paraId="35679726"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Les héritages non-résolus des violences liées au conflit et </w:t>
      </w:r>
      <w:r w:rsidR="00A628B9">
        <w:rPr>
          <w:rFonts w:ascii="Trebuchet MS" w:hAnsi="Trebuchet MS"/>
          <w:lang w:val="fr-FR"/>
        </w:rPr>
        <w:t>l</w:t>
      </w:r>
      <w:r w:rsidRPr="00181510">
        <w:rPr>
          <w:rFonts w:ascii="Trebuchet MS" w:hAnsi="Trebuchet MS"/>
          <w:lang w:val="fr-FR"/>
        </w:rPr>
        <w:t xml:space="preserve">es situations d'impunité persistantes ont pour effet de "faire taire" les victimes individuelles et collectives pendant la transition </w:t>
      </w:r>
      <w:proofErr w:type="spellStart"/>
      <w:r w:rsidRPr="00181510">
        <w:rPr>
          <w:rFonts w:ascii="Trebuchet MS" w:hAnsi="Trebuchet MS"/>
          <w:lang w:val="fr-FR"/>
        </w:rPr>
        <w:t>postconflit</w:t>
      </w:r>
      <w:proofErr w:type="spellEnd"/>
      <w:r w:rsidRPr="00181510">
        <w:rPr>
          <w:rFonts w:ascii="Trebuchet MS" w:hAnsi="Trebuchet MS"/>
          <w:lang w:val="fr-FR"/>
        </w:rPr>
        <w:t xml:space="preserve"> et présentent donc un obstacle puissant à la participation politique active des femmes. Comme le montre l</w:t>
      </w:r>
      <w:r w:rsidR="00A628B9">
        <w:rPr>
          <w:rFonts w:ascii="Trebuchet MS" w:hAnsi="Trebuchet MS"/>
          <w:lang w:val="fr-FR"/>
        </w:rPr>
        <w:t>e premier</w:t>
      </w:r>
      <w:r w:rsidRPr="00181510">
        <w:rPr>
          <w:rFonts w:ascii="Trebuchet MS" w:hAnsi="Trebuchet MS"/>
          <w:lang w:val="fr-FR"/>
        </w:rPr>
        <w:t xml:space="preserve"> article général sur le maintien de la paix et </w:t>
      </w:r>
      <w:r w:rsidRPr="00181510">
        <w:rPr>
          <w:rFonts w:ascii="Trebuchet MS" w:hAnsi="Trebuchet MS"/>
          <w:lang w:val="fr-FR"/>
        </w:rPr>
        <w:lastRenderedPageBreak/>
        <w:t xml:space="preserve">la réforme du secteur de la sécurité, l'analyse </w:t>
      </w:r>
      <w:r w:rsidR="006F1777">
        <w:rPr>
          <w:rFonts w:ascii="Trebuchet MS" w:hAnsi="Trebuchet MS"/>
          <w:lang w:val="fr-FR"/>
        </w:rPr>
        <w:t xml:space="preserve">de genre </w:t>
      </w:r>
      <w:r w:rsidRPr="00181510">
        <w:rPr>
          <w:rFonts w:ascii="Trebuchet MS" w:hAnsi="Trebuchet MS"/>
          <w:lang w:val="fr-FR"/>
        </w:rPr>
        <w:t xml:space="preserve">des expériences de la violence et de l'insécurité au cours des conflits met en évidence la nécessité d'impliquer les femmes dans la résolution des problématiques transversales, du développement de mécanismes de justice </w:t>
      </w:r>
      <w:r w:rsidR="003B7F1D" w:rsidRPr="00181510">
        <w:rPr>
          <w:rFonts w:ascii="Trebuchet MS" w:hAnsi="Trebuchet MS"/>
          <w:lang w:val="fr-FR"/>
        </w:rPr>
        <w:t>transitionnelle</w:t>
      </w:r>
      <w:r w:rsidRPr="00181510">
        <w:rPr>
          <w:rFonts w:ascii="Trebuchet MS" w:hAnsi="Trebuchet MS"/>
          <w:lang w:val="fr-FR"/>
        </w:rPr>
        <w:t xml:space="preserve"> à la participation aux processus de réforme du secteur de la sécurité. </w:t>
      </w:r>
    </w:p>
    <w:p w14:paraId="35679727" w14:textId="77777777" w:rsidR="00002DAC" w:rsidRPr="00181510" w:rsidRDefault="00002DAC" w:rsidP="00002DAC">
      <w:pPr>
        <w:jc w:val="both"/>
        <w:rPr>
          <w:rFonts w:ascii="Trebuchet MS" w:hAnsi="Trebuchet MS"/>
          <w:lang w:val="fr-FR"/>
        </w:rPr>
      </w:pPr>
    </w:p>
    <w:p w14:paraId="35679728"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La justice transitionnelle est de plus en plus caractéristique du paysage politique </w:t>
      </w:r>
      <w:proofErr w:type="spellStart"/>
      <w:r w:rsidRPr="00181510">
        <w:rPr>
          <w:rFonts w:ascii="Trebuchet MS" w:hAnsi="Trebuchet MS"/>
          <w:lang w:val="fr-FR"/>
        </w:rPr>
        <w:t>postconflit</w:t>
      </w:r>
      <w:proofErr w:type="spellEnd"/>
      <w:r w:rsidRPr="00181510">
        <w:rPr>
          <w:rFonts w:ascii="Trebuchet MS" w:hAnsi="Trebuchet MS"/>
          <w:lang w:val="fr-FR"/>
        </w:rPr>
        <w:t xml:space="preserve">. Elle englobe différents objectifs : faire entendre les victimes de violences, établir la véracité des faits, tenir les coupables de violences responsables à la fois de la justice due aux victimes et de la prévention des récidives, fournir des réparations matérielles aux victimes et à leurs familles, reconstruire l'État de droit et la justice, travailler à la réconciliation. La justice transitionnelle prend différentes formes, parmi lesquelles : les mécanismes de rétablissement de la vérité et d'enregistrement des abus passés, ceux permettant de redonner une voix aux victimes et à leur expérience, ainsi que la justice (redistributive) via les mécanismes formels de justice à l'échelle internationale, régionale et domestique, ou les systèmes coutumiers comme le </w:t>
      </w:r>
      <w:proofErr w:type="spellStart"/>
      <w:r w:rsidRPr="00181510">
        <w:rPr>
          <w:rFonts w:ascii="Trebuchet MS" w:hAnsi="Trebuchet MS"/>
          <w:i/>
          <w:lang w:val="fr-FR"/>
        </w:rPr>
        <w:t>gacaca</w:t>
      </w:r>
      <w:proofErr w:type="spellEnd"/>
      <w:r w:rsidRPr="00181510">
        <w:rPr>
          <w:rFonts w:ascii="Trebuchet MS" w:hAnsi="Trebuchet MS"/>
          <w:lang w:val="fr-FR"/>
        </w:rPr>
        <w:t xml:space="preserve"> au Rwanda, et les réparations (justice </w:t>
      </w:r>
      <w:r w:rsidR="003B7F1D" w:rsidRPr="00181510">
        <w:rPr>
          <w:rFonts w:ascii="Trebuchet MS" w:hAnsi="Trebuchet MS"/>
          <w:lang w:val="fr-FR"/>
        </w:rPr>
        <w:t>restauratrice</w:t>
      </w:r>
      <w:r w:rsidRPr="00181510">
        <w:rPr>
          <w:rFonts w:ascii="Trebuchet MS" w:hAnsi="Trebuchet MS"/>
          <w:lang w:val="fr-FR"/>
        </w:rPr>
        <w:t>). En pratique, les évolutions de la justice transitionnelle sont importantes en ce qu'elles reflètent l'étendue des possibles dans le cadre des conditions politiques et de l'équilibre des pouvoirs existants, y compris en termes de genre.</w:t>
      </w:r>
    </w:p>
    <w:p w14:paraId="35679729" w14:textId="77777777" w:rsidR="00002DAC" w:rsidRPr="00181510" w:rsidRDefault="00002DAC" w:rsidP="00002DAC">
      <w:pPr>
        <w:jc w:val="both"/>
        <w:rPr>
          <w:rFonts w:ascii="Trebuchet MS" w:hAnsi="Trebuchet MS"/>
          <w:lang w:val="fr-FR"/>
        </w:rPr>
      </w:pPr>
    </w:p>
    <w:p w14:paraId="3567972A"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De plus en plus d'efforts sont consacrés à l'intégration du genre et de l'expérience de conflit des femmes à la justice transitionnelle, en quête d'une forme de responsabilisation. En 2007, par exemple, la Déclaration de Nairobi sur le droit des femmes et des petites filles à un recours et à </w:t>
      </w:r>
      <w:r w:rsidRPr="00181510">
        <w:rPr>
          <w:rFonts w:ascii="Trebuchet MS" w:hAnsi="Trebuchet MS"/>
          <w:i/>
          <w:lang w:val="fr-FR"/>
        </w:rPr>
        <w:t>réparation</w:t>
      </w:r>
      <w:r w:rsidRPr="00181510">
        <w:rPr>
          <w:rFonts w:ascii="Trebuchet MS" w:hAnsi="Trebuchet MS"/>
          <w:lang w:val="fr-FR"/>
        </w:rPr>
        <w:t xml:space="preserve"> a mis les réparations au service de l'élimination structurelle des inégalités entre les sexes et les a mises à profit en tant que processus participatif permettant aux femmes d'acquérir du pouvoir politique. Cela étant dit, les sources disponibles sur le rôle et l'expérience des femmes dans la justice transitionnelle sont principalement normatives et prescriptives, et les données ne permettent pas de déterminer quelles méthodes fonctionnent, et avec quel impact.</w:t>
      </w:r>
    </w:p>
    <w:p w14:paraId="3567972B" w14:textId="77777777" w:rsidR="00002DAC" w:rsidRPr="00181510" w:rsidRDefault="00002DAC" w:rsidP="00002DAC">
      <w:pPr>
        <w:jc w:val="both"/>
        <w:rPr>
          <w:rFonts w:ascii="Trebuchet MS" w:hAnsi="Trebuchet MS"/>
          <w:lang w:val="fr-FR"/>
        </w:rPr>
      </w:pPr>
    </w:p>
    <w:p w14:paraId="3567972C" w14:textId="77777777" w:rsidR="00AD11E6" w:rsidRPr="00181510" w:rsidRDefault="00002DAC" w:rsidP="00002DAC">
      <w:pPr>
        <w:jc w:val="both"/>
        <w:rPr>
          <w:rFonts w:ascii="Trebuchet MS" w:hAnsi="Trebuchet MS"/>
          <w:lang w:val="fr-FR"/>
        </w:rPr>
      </w:pPr>
      <w:r w:rsidRPr="00181510">
        <w:rPr>
          <w:rFonts w:ascii="Trebuchet MS" w:hAnsi="Trebuchet MS"/>
          <w:lang w:val="fr-FR"/>
        </w:rPr>
        <w:t xml:space="preserve">Il est crucial de rappeler que l'existence et le fonctionnement des mécanismes de justice transitionnelle en situation </w:t>
      </w:r>
      <w:proofErr w:type="spellStart"/>
      <w:r w:rsidRPr="00181510">
        <w:rPr>
          <w:rFonts w:ascii="Trebuchet MS" w:hAnsi="Trebuchet MS"/>
          <w:lang w:val="fr-FR"/>
        </w:rPr>
        <w:t>postconflit</w:t>
      </w:r>
      <w:proofErr w:type="spellEnd"/>
      <w:r w:rsidRPr="00181510">
        <w:rPr>
          <w:rFonts w:ascii="Trebuchet MS" w:hAnsi="Trebuchet MS"/>
          <w:lang w:val="fr-FR"/>
        </w:rPr>
        <w:t xml:space="preserve">, comme </w:t>
      </w:r>
      <w:r w:rsidR="006F1777">
        <w:rPr>
          <w:rFonts w:ascii="Trebuchet MS" w:hAnsi="Trebuchet MS"/>
          <w:lang w:val="fr-FR"/>
        </w:rPr>
        <w:t>dans les cas de réforme</w:t>
      </w:r>
      <w:r w:rsidRPr="00181510">
        <w:rPr>
          <w:rFonts w:ascii="Trebuchet MS" w:hAnsi="Trebuchet MS"/>
          <w:lang w:val="fr-FR"/>
        </w:rPr>
        <w:t xml:space="preserve"> du secteur de la sécurité, sont tributaires de facteurs politiques. Ignorer le passé entretient l'impunité, ce qui a d'importantes implications pour l'équilibre des forces sous-tendant les négociations de paix et les processus de renforcement de l'État. Dans le même temps, les voies suivies par la justice transitionnelle et la réforme du secteur de la sécurité sont en elles-mêmes le reflet (et le résultat) de l'équilibre des forces entre les différents intérêts politiques se disputant le pouvoir, l</w:t>
      </w:r>
      <w:r w:rsidR="00ED3DB1">
        <w:rPr>
          <w:rFonts w:ascii="Trebuchet MS" w:hAnsi="Trebuchet MS"/>
          <w:lang w:val="fr-FR"/>
        </w:rPr>
        <w:t>'impunité ou la responsabilité.</w:t>
      </w:r>
      <w:r w:rsidRPr="00181510">
        <w:rPr>
          <w:rFonts w:ascii="Trebuchet MS" w:hAnsi="Trebuchet MS"/>
          <w:lang w:val="fr-FR"/>
        </w:rPr>
        <w:t xml:space="preserve"> En conséquence, la justice transitionnelle, comme les autres programmes de promotion des droits ou de compromis politiques inclusifs, est un enjeu avant tout politique, qui implique de remettre en cause les structures de pouvoir sexistes. Pour soutenir la participation des femmes dans la justice transitionnelle, les facteurs suivants doivent être pris en compte : premièrement, les femmes ne doivent pas être envisagées en tant que victimes, mais </w:t>
      </w:r>
      <w:r w:rsidR="006F1777">
        <w:rPr>
          <w:rFonts w:ascii="Trebuchet MS" w:hAnsi="Trebuchet MS"/>
          <w:lang w:val="fr-FR"/>
        </w:rPr>
        <w:t>en tant qu'agents du changement</w:t>
      </w:r>
      <w:r w:rsidRPr="00181510">
        <w:rPr>
          <w:rFonts w:ascii="Trebuchet MS" w:hAnsi="Trebuchet MS"/>
          <w:lang w:val="fr-FR"/>
        </w:rPr>
        <w:t xml:space="preserve"> dont la participation peut donner corps aux processus de responsabilisation et de justice ; et deuxièmement, l'économie politique globale du contexte de transition doit être considérée comme un facteur déterminant, sans oublier que cette transition est rarement linéaire et comprend de multiples couches de résistance et d'impunité. </w:t>
      </w:r>
    </w:p>
    <w:p w14:paraId="3567972D" w14:textId="77777777" w:rsidR="00002DAC" w:rsidRPr="00181510" w:rsidRDefault="00002DAC" w:rsidP="00002DAC">
      <w:pPr>
        <w:jc w:val="both"/>
        <w:rPr>
          <w:rFonts w:ascii="Trebuchet MS" w:hAnsi="Trebuchet MS"/>
          <w:lang w:val="fr-FR"/>
        </w:rPr>
      </w:pPr>
      <w:r w:rsidRPr="00181510">
        <w:rPr>
          <w:rFonts w:ascii="Trebuchet MS" w:hAnsi="Trebuchet MS"/>
          <w:lang w:val="fr-FR"/>
        </w:rPr>
        <w:lastRenderedPageBreak/>
        <w:t xml:space="preserve">Évoluer dans des réalités spécifiques à chaque contexte, à chaque type d'opposition au compromis politique en cours </w:t>
      </w:r>
      <w:r w:rsidR="006F1777">
        <w:rPr>
          <w:rFonts w:ascii="Trebuchet MS" w:hAnsi="Trebuchet MS"/>
          <w:lang w:val="fr-FR"/>
        </w:rPr>
        <w:t>et à chaque catégorie de risque</w:t>
      </w:r>
      <w:r w:rsidRPr="00181510">
        <w:rPr>
          <w:rFonts w:ascii="Trebuchet MS" w:hAnsi="Trebuchet MS"/>
          <w:lang w:val="fr-FR"/>
        </w:rPr>
        <w:t xml:space="preserve"> de réaction violente, menaces et violences sexistes</w:t>
      </w:r>
      <w:r w:rsidR="006F1777">
        <w:rPr>
          <w:rFonts w:ascii="Trebuchet MS" w:hAnsi="Trebuchet MS"/>
          <w:lang w:val="fr-FR"/>
        </w:rPr>
        <w:t xml:space="preserve"> comprises</w:t>
      </w:r>
      <w:r w:rsidRPr="00181510">
        <w:rPr>
          <w:rFonts w:ascii="Trebuchet MS" w:hAnsi="Trebuchet MS"/>
          <w:lang w:val="fr-FR"/>
        </w:rPr>
        <w:t xml:space="preserve">, est un défi que les acteurs internationaux doivent relever pour soutenir la participation des femmes de façon informée et pertinente. L'adaptation au contexte est critique </w:t>
      </w:r>
      <w:r w:rsidR="006F1777">
        <w:rPr>
          <w:rFonts w:ascii="Trebuchet MS" w:hAnsi="Trebuchet MS"/>
          <w:lang w:val="fr-FR"/>
        </w:rPr>
        <w:t>pour</w:t>
      </w:r>
      <w:r w:rsidRPr="00181510">
        <w:rPr>
          <w:rFonts w:ascii="Trebuchet MS" w:hAnsi="Trebuchet MS"/>
          <w:lang w:val="fr-FR"/>
        </w:rPr>
        <w:t xml:space="preserve"> toutes les questions de transition politique </w:t>
      </w:r>
      <w:proofErr w:type="spellStart"/>
      <w:r w:rsidRPr="00181510">
        <w:rPr>
          <w:rFonts w:ascii="Trebuchet MS" w:hAnsi="Trebuchet MS"/>
          <w:lang w:val="fr-FR"/>
        </w:rPr>
        <w:t>postconflit</w:t>
      </w:r>
      <w:proofErr w:type="spellEnd"/>
      <w:r w:rsidRPr="00181510">
        <w:rPr>
          <w:rFonts w:ascii="Trebuchet MS" w:hAnsi="Trebuchet MS"/>
          <w:lang w:val="fr-FR"/>
        </w:rPr>
        <w:t>, que ce soit pour soutenir l'accès des femmes à l'espace politique formel ou pour soutenir la mise en place de la justice transitionnelle et de la réf</w:t>
      </w:r>
      <w:r w:rsidR="006F1777">
        <w:rPr>
          <w:rFonts w:ascii="Trebuchet MS" w:hAnsi="Trebuchet MS"/>
          <w:lang w:val="fr-FR"/>
        </w:rPr>
        <w:t xml:space="preserve">orme du secteur de la sécurité </w:t>
      </w:r>
      <w:r w:rsidRPr="00181510">
        <w:rPr>
          <w:rFonts w:ascii="Trebuchet MS" w:hAnsi="Trebuchet MS"/>
          <w:lang w:val="fr-FR"/>
        </w:rPr>
        <w:t>ou les processus de redéfinition à long-terme des normes sociales et des relations de genre.</w:t>
      </w:r>
    </w:p>
    <w:p w14:paraId="3567972E" w14:textId="77777777" w:rsidR="00002DAC" w:rsidRPr="00181510" w:rsidRDefault="00002DAC" w:rsidP="001D14C2">
      <w:pPr>
        <w:pStyle w:val="Titre2"/>
        <w:rPr>
          <w:lang w:val="fr-FR"/>
        </w:rPr>
      </w:pPr>
      <w:bookmarkStart w:id="34" w:name="_Toc411365697"/>
      <w:bookmarkStart w:id="35" w:name="_Toc417545142"/>
      <w:r w:rsidRPr="00181510">
        <w:rPr>
          <w:lang w:val="fr-FR"/>
        </w:rPr>
        <w:t>Observations finales et domaines d'étude complémentaires</w:t>
      </w:r>
      <w:bookmarkEnd w:id="34"/>
      <w:bookmarkEnd w:id="35"/>
    </w:p>
    <w:p w14:paraId="3567972F"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Le corpus de connaissances analysant les compromis politiques </w:t>
      </w:r>
      <w:proofErr w:type="spellStart"/>
      <w:r w:rsidR="006F1777">
        <w:rPr>
          <w:rFonts w:ascii="Trebuchet MS" w:hAnsi="Trebuchet MS"/>
          <w:lang w:val="fr-FR"/>
        </w:rPr>
        <w:t>postconflit</w:t>
      </w:r>
      <w:proofErr w:type="spellEnd"/>
      <w:r w:rsidR="006F1777">
        <w:rPr>
          <w:rFonts w:ascii="Trebuchet MS" w:hAnsi="Trebuchet MS"/>
          <w:lang w:val="fr-FR"/>
        </w:rPr>
        <w:t xml:space="preserve"> en termes de genre </w:t>
      </w:r>
      <w:r w:rsidRPr="00181510">
        <w:rPr>
          <w:rFonts w:ascii="Trebuchet MS" w:hAnsi="Trebuchet MS"/>
          <w:lang w:val="fr-FR"/>
        </w:rPr>
        <w:t>et la façon dont les femmes peuvent y participer, les influencer, et s'imposer en tant que citoyennes et agents politiques actifs bénéficie d'une attention croissante de la part de la recherche académique et appliquée. Les données disponibles accusent encore d'importantes lacunes, mais certains problèmes récurrents peuvent être mis en évidence en vue d'améliorer les politiques de soutien à la participation politique des femmes.</w:t>
      </w:r>
    </w:p>
    <w:p w14:paraId="35679730" w14:textId="77777777" w:rsidR="00002DAC" w:rsidRPr="00181510" w:rsidRDefault="00002DAC" w:rsidP="00002DAC">
      <w:pPr>
        <w:jc w:val="both"/>
        <w:rPr>
          <w:rFonts w:ascii="Trebuchet MS" w:hAnsi="Trebuchet MS"/>
          <w:lang w:val="fr-FR"/>
        </w:rPr>
      </w:pPr>
    </w:p>
    <w:p w14:paraId="35679731" w14:textId="77777777" w:rsidR="00B30024" w:rsidRDefault="00002DAC" w:rsidP="00B30024">
      <w:pPr>
        <w:pStyle w:val="Listepuces"/>
        <w:jc w:val="both"/>
        <w:rPr>
          <w:rFonts w:ascii="Trebuchet MS" w:hAnsi="Trebuchet MS"/>
          <w:lang w:val="fr-FR"/>
        </w:rPr>
      </w:pPr>
      <w:r w:rsidRPr="00181510">
        <w:rPr>
          <w:rFonts w:ascii="Trebuchet MS" w:hAnsi="Trebuchet MS"/>
          <w:lang w:val="fr-FR"/>
        </w:rPr>
        <w:t>Les accords de paix et les réformes constitutionnelles fournissent d'importantes fenêtres d'opportunité aux femmes et aux militants du genre cherchant à intégrer des programmes de droits des femmes et d'égalité des sexes aux compromis politiques émergeants. L'implication des groupes de femmes et des militants du genre en amont de ces processus semble améliorer la probabilité d'une prise en compte de la participation et du rôle politique des femmes dans l</w:t>
      </w:r>
      <w:r w:rsidR="00B30024">
        <w:rPr>
          <w:rFonts w:ascii="Trebuchet MS" w:hAnsi="Trebuchet MS"/>
          <w:lang w:val="fr-FR"/>
        </w:rPr>
        <w:t xml:space="preserve">e nouveau compromis politique. </w:t>
      </w:r>
    </w:p>
    <w:p w14:paraId="35679732" w14:textId="77777777" w:rsidR="00002DAC" w:rsidRPr="00B30024" w:rsidRDefault="00002DAC" w:rsidP="00B30024">
      <w:pPr>
        <w:pStyle w:val="Listepuces"/>
        <w:jc w:val="both"/>
        <w:rPr>
          <w:rFonts w:ascii="Trebuchet MS" w:hAnsi="Trebuchet MS"/>
          <w:lang w:val="fr-FR"/>
        </w:rPr>
      </w:pPr>
      <w:r w:rsidRPr="00B30024">
        <w:rPr>
          <w:rFonts w:ascii="Trebuchet MS" w:hAnsi="Trebuchet MS"/>
          <w:lang w:val="fr-FR"/>
        </w:rPr>
        <w:t>Les mouvements de femmes et les groupes de la société civile à l'échelle locale, nationale et transnationale sont régulièrement identifiés en tant qu'acteurs clés en faveur du changement politique et législatif, et représentent une forme d'opposition qui donne de la visibilité aux injustices de genre. Ils constituent aussi un espace d'expression politique là où l'accès à l'espace politique formel est restreint. Par ailleurs, il ne faut pas perdre de vue la diversité des identités et intérêts politico-sociaux des femmes, et ne pas considérer que la simple présence politique de ces dernières est gage d'avancées en termes d'égalité des sexes.</w:t>
      </w:r>
    </w:p>
    <w:p w14:paraId="35679733"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t>Les progrès en termes d'accès des femmes à l'espace politique doivent être envisagés comme un enjeu avant tout politique, dans la mesure où ils favorisent l'influence des militants du genre dans les processus décisionnels relatifs à la justice transitionnelle, aux réformes de sécurité et de délivrance de la justice, à la fourniture de services, ou à la répartition du pouvoir et des ressources (y compris la terre, les héritages et l'accès à l'éducation). Les quotas et la présence des femmes ne garantissent pas à eux seuls une participation significative de celles-ci, en partie à cause des divergences existant entre les femmes elles-mêmes. Il est plutôt nécessaire d'investir en continu dans le développement de capacités en vue de la participation des femmes, et d'adopter un engagement politique stratégique pour contrer les résistances et obstacles persistants à la remise en cau</w:t>
      </w:r>
      <w:r w:rsidR="005313C9">
        <w:rPr>
          <w:rFonts w:ascii="Trebuchet MS" w:hAnsi="Trebuchet MS"/>
          <w:lang w:val="fr-FR"/>
        </w:rPr>
        <w:t>se des rôles et normes de genre</w:t>
      </w:r>
      <w:r w:rsidRPr="00181510">
        <w:rPr>
          <w:rFonts w:ascii="Trebuchet MS" w:hAnsi="Trebuchet MS"/>
          <w:lang w:val="fr-FR"/>
        </w:rPr>
        <w:t xml:space="preserve"> et soutenir des programmes plus inclusifs.</w:t>
      </w:r>
    </w:p>
    <w:p w14:paraId="35679734"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t xml:space="preserve">Les acteurs internationaux reconnaissent l'importance du contexte. Cela étant dit, il est non seulement difficile d'intégrer une analyse nuancée des relations de genre aux </w:t>
      </w:r>
      <w:r w:rsidRPr="00181510">
        <w:rPr>
          <w:rFonts w:ascii="Trebuchet MS" w:hAnsi="Trebuchet MS"/>
          <w:lang w:val="fr-FR"/>
        </w:rPr>
        <w:lastRenderedPageBreak/>
        <w:t xml:space="preserve">programmes, mais il est tout aussi complexe de mettre ces analyses en pratique sur le terrain dans le cadre d'une approche des pratiques internationales volontiers </w:t>
      </w:r>
      <w:r w:rsidR="005313C9">
        <w:rPr>
          <w:rFonts w:ascii="Trebuchet MS" w:hAnsi="Trebuchet MS"/>
          <w:lang w:val="fr-FR"/>
        </w:rPr>
        <w:t>qualifiée d</w:t>
      </w:r>
      <w:r w:rsidR="005313C9" w:rsidRPr="00181510">
        <w:rPr>
          <w:rFonts w:ascii="Trebuchet MS" w:hAnsi="Trebuchet MS"/>
          <w:lang w:val="fr-FR"/>
        </w:rPr>
        <w:t>'</w:t>
      </w:r>
      <w:r w:rsidRPr="00181510">
        <w:rPr>
          <w:rFonts w:ascii="Trebuchet MS" w:hAnsi="Trebuchet MS"/>
          <w:lang w:val="fr-FR"/>
        </w:rPr>
        <w:t>"itérative et adaptative". Cette approche implique de se confronter directement aux enjeux politiques en s'engageant de façon politiquement stratégique et adaptable, en identifiant les opportunités de changement à mesure qu'elles surgissent, et en restant attentif au risque de réaction violente ou de "nuisance", afin d'éviter de mettre en danger la vie des individus et des collectivités.</w:t>
      </w:r>
    </w:p>
    <w:p w14:paraId="35679735" w14:textId="77777777" w:rsidR="00002DAC" w:rsidRPr="00181510" w:rsidRDefault="00002DAC" w:rsidP="00002DAC">
      <w:pPr>
        <w:pStyle w:val="Listepuces"/>
        <w:jc w:val="both"/>
        <w:rPr>
          <w:rFonts w:ascii="Trebuchet MS" w:hAnsi="Trebuchet MS"/>
          <w:lang w:val="fr-FR"/>
        </w:rPr>
      </w:pPr>
      <w:r w:rsidRPr="00181510">
        <w:rPr>
          <w:rFonts w:ascii="Trebuchet MS" w:hAnsi="Trebuchet MS"/>
          <w:lang w:val="fr-FR"/>
        </w:rPr>
        <w:t xml:space="preserve">Les différentes caractéristiques des contextes </w:t>
      </w:r>
      <w:r w:rsidR="003B7F1D" w:rsidRPr="00181510">
        <w:rPr>
          <w:rFonts w:ascii="Trebuchet MS" w:hAnsi="Trebuchet MS"/>
          <w:lang w:val="fr-FR"/>
        </w:rPr>
        <w:t>infranationaux</w:t>
      </w:r>
      <w:r w:rsidRPr="00181510">
        <w:rPr>
          <w:rFonts w:ascii="Trebuchet MS" w:hAnsi="Trebuchet MS"/>
          <w:lang w:val="fr-FR"/>
        </w:rPr>
        <w:t xml:space="preserve"> et socio-politiques sont elles aussi déterminantes. Lorsque les processus politiques centraux sont déconnectés de la gouvernance à l'échelle locale, les avancées en termes de participation politique des femmes à l'échelle nationale risquent d'avoir un effet limité sur la remise en cause des discriminations basées sur le genre et des normes sociales traditionnelles à l'échelle locale. Une des lacunes importantes du corpus de connaissances disponible reste la compréhension des différentes dynamiques de pouvoir existant au niveau national et </w:t>
      </w:r>
      <w:r w:rsidR="003B7F1D" w:rsidRPr="00181510">
        <w:rPr>
          <w:rFonts w:ascii="Trebuchet MS" w:hAnsi="Trebuchet MS"/>
          <w:lang w:val="fr-FR"/>
        </w:rPr>
        <w:t>infranational</w:t>
      </w:r>
      <w:r w:rsidRPr="00181510">
        <w:rPr>
          <w:rFonts w:ascii="Trebuchet MS" w:hAnsi="Trebuchet MS"/>
          <w:lang w:val="fr-FR"/>
        </w:rPr>
        <w:t xml:space="preserve"> de la transition </w:t>
      </w:r>
      <w:proofErr w:type="spellStart"/>
      <w:r w:rsidRPr="00181510">
        <w:rPr>
          <w:rFonts w:ascii="Trebuchet MS" w:hAnsi="Trebuchet MS"/>
          <w:lang w:val="fr-FR"/>
        </w:rPr>
        <w:t>postconflit</w:t>
      </w:r>
      <w:proofErr w:type="spellEnd"/>
      <w:r w:rsidRPr="00181510">
        <w:rPr>
          <w:rFonts w:ascii="Trebuchet MS" w:hAnsi="Trebuchet MS"/>
          <w:lang w:val="fr-FR"/>
        </w:rPr>
        <w:t>, et des mécanismes du changement à l'échelle locale.</w:t>
      </w:r>
    </w:p>
    <w:p w14:paraId="35679736" w14:textId="77777777" w:rsidR="00AD11E6" w:rsidRPr="00181510" w:rsidRDefault="00002DAC" w:rsidP="00002DAC">
      <w:pPr>
        <w:pStyle w:val="Listepuces"/>
        <w:jc w:val="both"/>
        <w:rPr>
          <w:rFonts w:ascii="Trebuchet MS" w:hAnsi="Trebuchet MS"/>
          <w:lang w:val="fr-FR"/>
        </w:rPr>
      </w:pPr>
      <w:r w:rsidRPr="00181510">
        <w:rPr>
          <w:rFonts w:ascii="Trebuchet MS" w:hAnsi="Trebuchet MS"/>
          <w:lang w:val="fr-FR"/>
        </w:rPr>
        <w:t>Les données montrent néanmoins qu'un changement significatif réussit à s'opérer lorsqu</w:t>
      </w:r>
      <w:r w:rsidR="005313C9" w:rsidRPr="00181510">
        <w:rPr>
          <w:rFonts w:ascii="Trebuchet MS" w:hAnsi="Trebuchet MS"/>
          <w:lang w:val="fr-FR"/>
        </w:rPr>
        <w:t>'</w:t>
      </w:r>
      <w:r w:rsidR="005313C9">
        <w:rPr>
          <w:rFonts w:ascii="Trebuchet MS" w:hAnsi="Trebuchet MS"/>
          <w:lang w:val="fr-FR"/>
        </w:rPr>
        <w:t xml:space="preserve">il </w:t>
      </w:r>
      <w:r w:rsidRPr="00181510">
        <w:rPr>
          <w:rFonts w:ascii="Trebuchet MS" w:hAnsi="Trebuchet MS"/>
          <w:lang w:val="fr-FR"/>
        </w:rPr>
        <w:t xml:space="preserve">fait l'objet d'une appropriation et d'une prise en main à l'échelle locale, et qu'il est relayé à tous les niveaux, y compris nationaux et </w:t>
      </w:r>
      <w:r w:rsidR="003B7F1D" w:rsidRPr="00181510">
        <w:rPr>
          <w:rFonts w:ascii="Trebuchet MS" w:hAnsi="Trebuchet MS"/>
          <w:lang w:val="fr-FR"/>
        </w:rPr>
        <w:t>infranationaux</w:t>
      </w:r>
      <w:r w:rsidRPr="00181510">
        <w:rPr>
          <w:rFonts w:ascii="Trebuchet MS" w:hAnsi="Trebuchet MS"/>
          <w:lang w:val="fr-FR"/>
        </w:rPr>
        <w:t xml:space="preserve">. Les cadres de travail internationaux réglementaires comme la </w:t>
      </w:r>
      <w:proofErr w:type="spellStart"/>
      <w:r w:rsidRPr="00181510">
        <w:rPr>
          <w:rFonts w:ascii="Trebuchet MS" w:hAnsi="Trebuchet MS"/>
          <w:lang w:val="fr-FR"/>
        </w:rPr>
        <w:t>RCSNU</w:t>
      </w:r>
      <w:proofErr w:type="spellEnd"/>
      <w:r w:rsidRPr="00181510">
        <w:rPr>
          <w:rFonts w:ascii="Trebuchet MS" w:hAnsi="Trebuchet MS"/>
          <w:lang w:val="fr-FR"/>
        </w:rPr>
        <w:t> 1325 fournissent un ancrage juridique important pour l'action stratégique des mouvements de femmes et des militants du genre au service des programmes d'égalité des sexes sur le terrain. Un objectif important en matière d'intervention internationale est de comprendre comment les acteurs internationaux peuvent soutenir les initiatives locales sans les dominer.</w:t>
      </w:r>
    </w:p>
    <w:p w14:paraId="35679737" w14:textId="77777777" w:rsidR="00AD11E6" w:rsidRPr="00181510" w:rsidRDefault="00AD11E6">
      <w:pPr>
        <w:rPr>
          <w:rFonts w:ascii="Trebuchet MS" w:hAnsi="Trebuchet MS"/>
          <w:lang w:val="fr-FR"/>
        </w:rPr>
      </w:pPr>
      <w:r w:rsidRPr="00181510">
        <w:rPr>
          <w:rFonts w:ascii="Trebuchet MS" w:hAnsi="Trebuchet MS"/>
          <w:lang w:val="fr-FR"/>
        </w:rPr>
        <w:br w:type="page"/>
      </w:r>
    </w:p>
    <w:p w14:paraId="35679738" w14:textId="77777777" w:rsidR="00002DAC" w:rsidRPr="00181510" w:rsidRDefault="00002DAC" w:rsidP="00002DAC">
      <w:pPr>
        <w:pStyle w:val="Titre2"/>
        <w:rPr>
          <w:lang w:val="fr-FR"/>
        </w:rPr>
      </w:pPr>
      <w:bookmarkStart w:id="36" w:name="_Toc411365698"/>
      <w:bookmarkStart w:id="37" w:name="_Toc417545143"/>
      <w:r w:rsidRPr="00181510">
        <w:rPr>
          <w:lang w:val="fr-FR"/>
        </w:rPr>
        <w:lastRenderedPageBreak/>
        <w:t>Références et ressources utiles</w:t>
      </w:r>
      <w:bookmarkEnd w:id="36"/>
      <w:bookmarkEnd w:id="37"/>
    </w:p>
    <w:p w14:paraId="35679739" w14:textId="77777777" w:rsidR="00002DAC" w:rsidRPr="00181510" w:rsidRDefault="00002DAC" w:rsidP="00002DAC">
      <w:pPr>
        <w:jc w:val="both"/>
        <w:rPr>
          <w:rFonts w:ascii="Trebuchet MS" w:hAnsi="Trebuchet MS"/>
          <w:lang w:val="fr-FR"/>
        </w:rPr>
      </w:pPr>
      <w:r w:rsidRPr="00181510">
        <w:rPr>
          <w:rFonts w:ascii="Trebuchet MS" w:hAnsi="Trebuchet MS"/>
          <w:lang w:val="fr-FR"/>
        </w:rPr>
        <w:t>Cette section fournit une sélection de ressources utiles. Cette liste est indicative uniquement, et s'appuie sur un corpus croissant d'études académiques et appliquées dans le domaine de la participation politique des femmes aux processus de compromis politique et de transition.</w:t>
      </w:r>
    </w:p>
    <w:p w14:paraId="3567973A" w14:textId="77777777" w:rsidR="00002DAC" w:rsidRPr="00181510" w:rsidRDefault="00002DAC" w:rsidP="00002DAC">
      <w:pPr>
        <w:jc w:val="both"/>
        <w:rPr>
          <w:rFonts w:ascii="Trebuchet MS" w:hAnsi="Trebuchet MS"/>
          <w:iCs/>
          <w:lang w:val="fr-FR"/>
        </w:rPr>
      </w:pPr>
    </w:p>
    <w:p w14:paraId="3567973B" w14:textId="77777777" w:rsidR="00002DAC" w:rsidRPr="00181510" w:rsidRDefault="00002DAC" w:rsidP="00002DAC">
      <w:pPr>
        <w:spacing w:after="240"/>
        <w:ind w:right="26"/>
        <w:jc w:val="both"/>
        <w:rPr>
          <w:rFonts w:ascii="Trebuchet MS" w:hAnsi="Trebuchet MS"/>
          <w:lang w:val="fr-FR"/>
        </w:rPr>
      </w:pPr>
      <w:r w:rsidRPr="00181510">
        <w:rPr>
          <w:rFonts w:ascii="Trebuchet MS" w:hAnsi="Trebuchet MS"/>
          <w:iCs/>
          <w:lang w:val="fr-FR"/>
        </w:rPr>
        <w:t>Accord (2013) ‘</w:t>
      </w:r>
      <w:proofErr w:type="spellStart"/>
      <w:r w:rsidRPr="00181510">
        <w:rPr>
          <w:rFonts w:ascii="Trebuchet MS" w:hAnsi="Trebuchet MS"/>
          <w:iCs/>
          <w:lang w:val="fr-FR"/>
        </w:rPr>
        <w:t>Women</w:t>
      </w:r>
      <w:proofErr w:type="spellEnd"/>
      <w:r w:rsidRPr="00181510">
        <w:rPr>
          <w:rFonts w:ascii="Trebuchet MS" w:hAnsi="Trebuchet MS"/>
          <w:iCs/>
          <w:lang w:val="fr-FR"/>
        </w:rPr>
        <w:t xml:space="preserve"> building </w:t>
      </w:r>
      <w:proofErr w:type="spellStart"/>
      <w:r w:rsidRPr="00181510">
        <w:rPr>
          <w:rFonts w:ascii="Trebuchet MS" w:hAnsi="Trebuchet MS"/>
          <w:iCs/>
          <w:lang w:val="fr-FR"/>
        </w:rPr>
        <w:t>Peace</w:t>
      </w:r>
      <w:proofErr w:type="spellEnd"/>
      <w:r w:rsidRPr="00181510">
        <w:rPr>
          <w:rFonts w:ascii="Trebuchet MS" w:hAnsi="Trebuchet MS"/>
          <w:iCs/>
          <w:lang w:val="fr-FR"/>
        </w:rPr>
        <w:t xml:space="preserve">’ (Les femmes qui construisent la paix), Londres : Conciliation </w:t>
      </w:r>
      <w:proofErr w:type="spellStart"/>
      <w:r w:rsidRPr="00181510">
        <w:rPr>
          <w:rFonts w:ascii="Trebuchet MS" w:hAnsi="Trebuchet MS"/>
          <w:iCs/>
          <w:lang w:val="fr-FR"/>
        </w:rPr>
        <w:t>Resources</w:t>
      </w:r>
      <w:proofErr w:type="spellEnd"/>
      <w:r w:rsidRPr="00181510">
        <w:rPr>
          <w:rFonts w:ascii="Trebuchet MS" w:hAnsi="Trebuchet MS"/>
          <w:iCs/>
          <w:lang w:val="fr-FR"/>
        </w:rPr>
        <w:t>.</w:t>
      </w:r>
    </w:p>
    <w:p w14:paraId="3567973C" w14:textId="77777777" w:rsidR="00002DAC" w:rsidRPr="00181510" w:rsidRDefault="00002DAC" w:rsidP="001D14C2">
      <w:pPr>
        <w:widowControl w:val="0"/>
        <w:tabs>
          <w:tab w:val="left" w:pos="1702"/>
        </w:tabs>
        <w:spacing w:after="240"/>
        <w:ind w:right="26"/>
        <w:jc w:val="both"/>
        <w:rPr>
          <w:rFonts w:ascii="Trebuchet MS" w:hAnsi="Trebuchet MS"/>
          <w:lang w:val="fr-FR"/>
        </w:rPr>
      </w:pPr>
      <w:r w:rsidRPr="005A06ED">
        <w:rPr>
          <w:rFonts w:ascii="Trebuchet MS" w:hAnsi="Trebuchet MS"/>
        </w:rPr>
        <w:t xml:space="preserve">Bell, C. et O’Rourke, C. (2010) ‘Peace Agreements or Pieces of Paper? </w:t>
      </w:r>
      <w:r w:rsidRPr="00181510">
        <w:rPr>
          <w:rFonts w:ascii="Trebuchet MS" w:hAnsi="Trebuchet MS"/>
          <w:lang w:val="fr-FR"/>
        </w:rPr>
        <w:t xml:space="preserve">The Impact of </w:t>
      </w:r>
      <w:proofErr w:type="spellStart"/>
      <w:r w:rsidRPr="00181510">
        <w:rPr>
          <w:rFonts w:ascii="Trebuchet MS" w:hAnsi="Trebuchet MS"/>
          <w:lang w:val="fr-FR"/>
        </w:rPr>
        <w:t>UNSC</w:t>
      </w:r>
      <w:proofErr w:type="spellEnd"/>
      <w:r w:rsidRPr="00181510">
        <w:rPr>
          <w:rFonts w:ascii="Trebuchet MS" w:hAnsi="Trebuchet MS"/>
          <w:lang w:val="fr-FR"/>
        </w:rPr>
        <w:t xml:space="preserve"> </w:t>
      </w:r>
      <w:proofErr w:type="spellStart"/>
      <w:r w:rsidRPr="00181510">
        <w:rPr>
          <w:rFonts w:ascii="Trebuchet MS" w:hAnsi="Trebuchet MS"/>
          <w:lang w:val="fr-FR"/>
        </w:rPr>
        <w:t>Resolution</w:t>
      </w:r>
      <w:proofErr w:type="spellEnd"/>
      <w:r w:rsidRPr="00181510">
        <w:rPr>
          <w:rFonts w:ascii="Trebuchet MS" w:hAnsi="Trebuchet MS"/>
          <w:lang w:val="fr-FR"/>
        </w:rPr>
        <w:t xml:space="preserve"> 1325 on </w:t>
      </w:r>
      <w:proofErr w:type="spellStart"/>
      <w:r w:rsidRPr="00181510">
        <w:rPr>
          <w:rFonts w:ascii="Trebuchet MS" w:hAnsi="Trebuchet MS"/>
          <w:lang w:val="fr-FR"/>
        </w:rPr>
        <w:t>Peace</w:t>
      </w:r>
      <w:proofErr w:type="spellEnd"/>
      <w:r w:rsidRPr="00181510">
        <w:rPr>
          <w:rFonts w:ascii="Trebuchet MS" w:hAnsi="Trebuchet MS"/>
          <w:lang w:val="fr-FR"/>
        </w:rPr>
        <w:t xml:space="preserve"> </w:t>
      </w:r>
      <w:proofErr w:type="spellStart"/>
      <w:r w:rsidRPr="00181510">
        <w:rPr>
          <w:rFonts w:ascii="Trebuchet MS" w:hAnsi="Trebuchet MS"/>
          <w:lang w:val="fr-FR"/>
        </w:rPr>
        <w:t>Processes</w:t>
      </w:r>
      <w:proofErr w:type="spellEnd"/>
      <w:r w:rsidRPr="00181510">
        <w:rPr>
          <w:rFonts w:ascii="Trebuchet MS" w:hAnsi="Trebuchet MS"/>
          <w:lang w:val="fr-FR"/>
        </w:rPr>
        <w:t xml:space="preserve"> and </w:t>
      </w:r>
      <w:proofErr w:type="spellStart"/>
      <w:r w:rsidRPr="00181510">
        <w:rPr>
          <w:rFonts w:ascii="Trebuchet MS" w:hAnsi="Trebuchet MS"/>
          <w:lang w:val="fr-FR"/>
        </w:rPr>
        <w:t>Their</w:t>
      </w:r>
      <w:proofErr w:type="spellEnd"/>
      <w:r w:rsidRPr="00181510">
        <w:rPr>
          <w:rFonts w:ascii="Trebuchet MS" w:hAnsi="Trebuchet MS"/>
          <w:lang w:val="fr-FR"/>
        </w:rPr>
        <w:t xml:space="preserve"> </w:t>
      </w:r>
      <w:proofErr w:type="spellStart"/>
      <w:r w:rsidRPr="00181510">
        <w:rPr>
          <w:rFonts w:ascii="Trebuchet MS" w:hAnsi="Trebuchet MS"/>
          <w:lang w:val="fr-FR"/>
        </w:rPr>
        <w:t>Agreements</w:t>
      </w:r>
      <w:proofErr w:type="spellEnd"/>
      <w:r w:rsidRPr="00181510">
        <w:rPr>
          <w:rFonts w:ascii="Trebuchet MS" w:hAnsi="Trebuchet MS"/>
          <w:lang w:val="fr-FR"/>
        </w:rPr>
        <w:t xml:space="preserve">’ (Accords de paix ou bouts de papier ? L'impact de la résolution 1325 du Conseil de sécurité des Nations Unies sur les processus et les accords de paix). </w:t>
      </w:r>
      <w:r w:rsidRPr="00181510">
        <w:rPr>
          <w:rFonts w:ascii="Trebuchet MS" w:hAnsi="Trebuchet MS"/>
          <w:i/>
          <w:iCs/>
          <w:lang w:val="fr-FR"/>
        </w:rPr>
        <w:t xml:space="preserve">International and Comparative Law </w:t>
      </w:r>
      <w:proofErr w:type="spellStart"/>
      <w:r w:rsidRPr="00181510">
        <w:rPr>
          <w:rFonts w:ascii="Trebuchet MS" w:hAnsi="Trebuchet MS"/>
          <w:i/>
          <w:iCs/>
          <w:lang w:val="fr-FR"/>
        </w:rPr>
        <w:t>Quarterly</w:t>
      </w:r>
      <w:proofErr w:type="spellEnd"/>
      <w:r w:rsidRPr="00181510">
        <w:rPr>
          <w:rFonts w:ascii="Trebuchet MS" w:hAnsi="Trebuchet MS"/>
          <w:i/>
          <w:iCs/>
          <w:lang w:val="fr-FR"/>
        </w:rPr>
        <w:t xml:space="preserve"> </w:t>
      </w:r>
      <w:r w:rsidRPr="00181510">
        <w:rPr>
          <w:rFonts w:ascii="Trebuchet MS" w:hAnsi="Trebuchet MS"/>
          <w:lang w:val="fr-FR"/>
        </w:rPr>
        <w:t>59(4) : 941-980.</w:t>
      </w:r>
    </w:p>
    <w:p w14:paraId="3567973D" w14:textId="77777777" w:rsidR="00002DAC" w:rsidRPr="00181510" w:rsidRDefault="00002DAC" w:rsidP="00002DAC">
      <w:pPr>
        <w:spacing w:after="240"/>
        <w:ind w:right="26"/>
        <w:jc w:val="both"/>
        <w:rPr>
          <w:rFonts w:ascii="Trebuchet MS" w:hAnsi="Trebuchet MS"/>
          <w:iCs/>
          <w:lang w:val="fr-FR"/>
        </w:rPr>
      </w:pPr>
      <w:r w:rsidRPr="00181510">
        <w:rPr>
          <w:rFonts w:ascii="Trebuchet MS" w:hAnsi="Trebuchet MS"/>
          <w:lang w:val="fr-FR"/>
        </w:rPr>
        <w:t>Campbell, P. (2005) ‘</w:t>
      </w:r>
      <w:proofErr w:type="spellStart"/>
      <w:r w:rsidRPr="00181510">
        <w:rPr>
          <w:rFonts w:ascii="Trebuchet MS" w:hAnsi="Trebuchet MS"/>
          <w:lang w:val="fr-FR"/>
        </w:rPr>
        <w:t>Gender</w:t>
      </w:r>
      <w:proofErr w:type="spellEnd"/>
      <w:r w:rsidRPr="00181510">
        <w:rPr>
          <w:rFonts w:ascii="Trebuchet MS" w:hAnsi="Trebuchet MS"/>
          <w:lang w:val="fr-FR"/>
        </w:rPr>
        <w:t xml:space="preserve"> and post-</w:t>
      </w:r>
      <w:proofErr w:type="spellStart"/>
      <w:r w:rsidRPr="00181510">
        <w:rPr>
          <w:rFonts w:ascii="Trebuchet MS" w:hAnsi="Trebuchet MS"/>
          <w:lang w:val="fr-FR"/>
        </w:rPr>
        <w:t>conflict</w:t>
      </w:r>
      <w:proofErr w:type="spellEnd"/>
      <w:r w:rsidRPr="00181510">
        <w:rPr>
          <w:rFonts w:ascii="Trebuchet MS" w:hAnsi="Trebuchet MS"/>
          <w:lang w:val="fr-FR"/>
        </w:rPr>
        <w:t xml:space="preserve"> civil society’ (Le genre et la société civile </w:t>
      </w:r>
      <w:proofErr w:type="spellStart"/>
      <w:r w:rsidRPr="00181510">
        <w:rPr>
          <w:rFonts w:ascii="Trebuchet MS" w:hAnsi="Trebuchet MS"/>
          <w:lang w:val="fr-FR"/>
        </w:rPr>
        <w:t>postconflit</w:t>
      </w:r>
      <w:proofErr w:type="spellEnd"/>
      <w:r w:rsidRPr="00181510">
        <w:rPr>
          <w:rFonts w:ascii="Trebuchet MS" w:hAnsi="Trebuchet MS"/>
          <w:lang w:val="fr-FR"/>
        </w:rPr>
        <w:t xml:space="preserve">), </w:t>
      </w:r>
      <w:r w:rsidRPr="00181510">
        <w:rPr>
          <w:rFonts w:ascii="Trebuchet MS" w:hAnsi="Trebuchet MS"/>
          <w:i/>
          <w:lang w:val="fr-FR"/>
        </w:rPr>
        <w:t xml:space="preserve">International </w:t>
      </w:r>
      <w:proofErr w:type="spellStart"/>
      <w:r w:rsidRPr="00181510">
        <w:rPr>
          <w:rFonts w:ascii="Trebuchet MS" w:hAnsi="Trebuchet MS"/>
          <w:i/>
          <w:lang w:val="fr-FR"/>
        </w:rPr>
        <w:t>Feminist</w:t>
      </w:r>
      <w:proofErr w:type="spellEnd"/>
      <w:r w:rsidRPr="00181510">
        <w:rPr>
          <w:rFonts w:ascii="Trebuchet MS" w:hAnsi="Trebuchet MS"/>
          <w:i/>
          <w:lang w:val="fr-FR"/>
        </w:rPr>
        <w:t xml:space="preserve"> Journal of </w:t>
      </w:r>
      <w:proofErr w:type="spellStart"/>
      <w:r w:rsidRPr="00181510">
        <w:rPr>
          <w:rFonts w:ascii="Trebuchet MS" w:hAnsi="Trebuchet MS"/>
          <w:i/>
          <w:lang w:val="fr-FR"/>
        </w:rPr>
        <w:t>Politics</w:t>
      </w:r>
      <w:proofErr w:type="spellEnd"/>
      <w:r w:rsidRPr="00181510">
        <w:rPr>
          <w:rFonts w:ascii="Trebuchet MS" w:hAnsi="Trebuchet MS"/>
          <w:lang w:val="fr-FR"/>
        </w:rPr>
        <w:t>, 7 :3, pp. 377-399,</w:t>
      </w:r>
    </w:p>
    <w:p w14:paraId="3567973E" w14:textId="77777777" w:rsidR="00002DAC" w:rsidRPr="00181510" w:rsidRDefault="00002DAC" w:rsidP="00002DAC">
      <w:pPr>
        <w:spacing w:after="240"/>
        <w:ind w:right="26"/>
        <w:jc w:val="both"/>
        <w:rPr>
          <w:rFonts w:ascii="Trebuchet MS" w:hAnsi="Trebuchet MS"/>
          <w:lang w:val="fr-FR"/>
        </w:rPr>
      </w:pPr>
      <w:r w:rsidRPr="00181510">
        <w:rPr>
          <w:rFonts w:ascii="Trebuchet MS" w:hAnsi="Trebuchet MS"/>
          <w:iCs/>
          <w:lang w:val="fr-FR"/>
        </w:rPr>
        <w:t>CARE (2010) ‘</w:t>
      </w:r>
      <w:proofErr w:type="spellStart"/>
      <w:r w:rsidRPr="00181510">
        <w:rPr>
          <w:rFonts w:ascii="Trebuchet MS" w:hAnsi="Trebuchet MS"/>
          <w:iCs/>
          <w:lang w:val="fr-FR"/>
        </w:rPr>
        <w:t>From</w:t>
      </w:r>
      <w:proofErr w:type="spellEnd"/>
      <w:r w:rsidRPr="00181510">
        <w:rPr>
          <w:rFonts w:ascii="Trebuchet MS" w:hAnsi="Trebuchet MS"/>
          <w:iCs/>
          <w:lang w:val="fr-FR"/>
        </w:rPr>
        <w:t xml:space="preserve"> </w:t>
      </w:r>
      <w:proofErr w:type="spellStart"/>
      <w:r w:rsidRPr="00181510">
        <w:rPr>
          <w:rFonts w:ascii="Trebuchet MS" w:hAnsi="Trebuchet MS"/>
          <w:iCs/>
          <w:lang w:val="fr-FR"/>
        </w:rPr>
        <w:t>Resolution</w:t>
      </w:r>
      <w:proofErr w:type="spellEnd"/>
      <w:r w:rsidRPr="00181510">
        <w:rPr>
          <w:rFonts w:ascii="Trebuchet MS" w:hAnsi="Trebuchet MS"/>
          <w:iCs/>
          <w:lang w:val="fr-FR"/>
        </w:rPr>
        <w:t xml:space="preserve"> to Reality; </w:t>
      </w:r>
      <w:proofErr w:type="spellStart"/>
      <w:r w:rsidRPr="00181510">
        <w:rPr>
          <w:rFonts w:ascii="Trebuchet MS" w:hAnsi="Trebuchet MS"/>
          <w:iCs/>
          <w:lang w:val="fr-FR"/>
        </w:rPr>
        <w:t>Lessons</w:t>
      </w:r>
      <w:proofErr w:type="spellEnd"/>
      <w:r w:rsidRPr="00181510">
        <w:rPr>
          <w:rFonts w:ascii="Trebuchet MS" w:hAnsi="Trebuchet MS"/>
          <w:iCs/>
          <w:lang w:val="fr-FR"/>
        </w:rPr>
        <w:t xml:space="preserve"> </w:t>
      </w:r>
      <w:proofErr w:type="spellStart"/>
      <w:r w:rsidRPr="00181510">
        <w:rPr>
          <w:rFonts w:ascii="Trebuchet MS" w:hAnsi="Trebuchet MS"/>
          <w:iCs/>
          <w:lang w:val="fr-FR"/>
        </w:rPr>
        <w:t>learned</w:t>
      </w:r>
      <w:proofErr w:type="spellEnd"/>
      <w:r w:rsidRPr="00181510">
        <w:rPr>
          <w:rFonts w:ascii="Trebuchet MS" w:hAnsi="Trebuchet MS"/>
          <w:iCs/>
          <w:lang w:val="fr-FR"/>
        </w:rPr>
        <w:t xml:space="preserve"> </w:t>
      </w:r>
      <w:proofErr w:type="spellStart"/>
      <w:r w:rsidRPr="00181510">
        <w:rPr>
          <w:rFonts w:ascii="Trebuchet MS" w:hAnsi="Trebuchet MS"/>
          <w:iCs/>
          <w:lang w:val="fr-FR"/>
        </w:rPr>
        <w:t>from</w:t>
      </w:r>
      <w:proofErr w:type="spellEnd"/>
      <w:r w:rsidRPr="00181510">
        <w:rPr>
          <w:rFonts w:ascii="Trebuchet MS" w:hAnsi="Trebuchet MS"/>
          <w:iCs/>
          <w:lang w:val="fr-FR"/>
        </w:rPr>
        <w:t xml:space="preserve"> Afghanistan, </w:t>
      </w:r>
      <w:proofErr w:type="spellStart"/>
      <w:r w:rsidRPr="00181510">
        <w:rPr>
          <w:rFonts w:ascii="Trebuchet MS" w:hAnsi="Trebuchet MS"/>
          <w:iCs/>
          <w:lang w:val="fr-FR"/>
        </w:rPr>
        <w:t>Nepal</w:t>
      </w:r>
      <w:proofErr w:type="spellEnd"/>
      <w:r w:rsidRPr="00181510">
        <w:rPr>
          <w:rFonts w:ascii="Trebuchet MS" w:hAnsi="Trebuchet MS"/>
          <w:iCs/>
          <w:lang w:val="fr-FR"/>
        </w:rPr>
        <w:t xml:space="preserve"> and Uganda on </w:t>
      </w:r>
      <w:proofErr w:type="spellStart"/>
      <w:r w:rsidRPr="00181510">
        <w:rPr>
          <w:rFonts w:ascii="Trebuchet MS" w:hAnsi="Trebuchet MS"/>
          <w:iCs/>
          <w:lang w:val="fr-FR"/>
        </w:rPr>
        <w:t>women’s</w:t>
      </w:r>
      <w:proofErr w:type="spellEnd"/>
      <w:r w:rsidRPr="00181510">
        <w:rPr>
          <w:rFonts w:ascii="Trebuchet MS" w:hAnsi="Trebuchet MS"/>
          <w:iCs/>
          <w:lang w:val="fr-FR"/>
        </w:rPr>
        <w:t xml:space="preserve"> participation in </w:t>
      </w:r>
      <w:proofErr w:type="spellStart"/>
      <w:r w:rsidRPr="00181510">
        <w:rPr>
          <w:rFonts w:ascii="Trebuchet MS" w:hAnsi="Trebuchet MS"/>
          <w:iCs/>
          <w:lang w:val="fr-FR"/>
        </w:rPr>
        <w:t>peacebuilding</w:t>
      </w:r>
      <w:proofErr w:type="spellEnd"/>
      <w:r w:rsidRPr="00181510">
        <w:rPr>
          <w:rFonts w:ascii="Trebuchet MS" w:hAnsi="Trebuchet MS"/>
          <w:iCs/>
          <w:lang w:val="fr-FR"/>
        </w:rPr>
        <w:t xml:space="preserve"> and post-</w:t>
      </w:r>
      <w:proofErr w:type="spellStart"/>
      <w:r w:rsidRPr="00181510">
        <w:rPr>
          <w:rFonts w:ascii="Trebuchet MS" w:hAnsi="Trebuchet MS"/>
          <w:iCs/>
          <w:lang w:val="fr-FR"/>
        </w:rPr>
        <w:t>conflict</w:t>
      </w:r>
      <w:proofErr w:type="spellEnd"/>
      <w:r w:rsidRPr="00181510">
        <w:rPr>
          <w:rFonts w:ascii="Trebuchet MS" w:hAnsi="Trebuchet MS"/>
          <w:iCs/>
          <w:lang w:val="fr-FR"/>
        </w:rPr>
        <w:t xml:space="preserve"> </w:t>
      </w:r>
      <w:proofErr w:type="spellStart"/>
      <w:r w:rsidRPr="00181510">
        <w:rPr>
          <w:rFonts w:ascii="Trebuchet MS" w:hAnsi="Trebuchet MS"/>
          <w:iCs/>
          <w:lang w:val="fr-FR"/>
        </w:rPr>
        <w:t>governance</w:t>
      </w:r>
      <w:proofErr w:type="spellEnd"/>
      <w:r w:rsidRPr="00181510">
        <w:rPr>
          <w:rFonts w:ascii="Trebuchet MS" w:hAnsi="Trebuchet MS"/>
          <w:iCs/>
          <w:lang w:val="fr-FR"/>
        </w:rPr>
        <w:t xml:space="preserve">’ (De la résolution à la réalité ; Leçons apprises en Afghanistan, au Népal et en Uganda sur la participation des femmes à la consolidation de la paix et la gouvernance </w:t>
      </w:r>
      <w:proofErr w:type="spellStart"/>
      <w:r w:rsidRPr="00181510">
        <w:rPr>
          <w:rFonts w:ascii="Trebuchet MS" w:hAnsi="Trebuchet MS"/>
          <w:iCs/>
          <w:lang w:val="fr-FR"/>
        </w:rPr>
        <w:t>postconflit</w:t>
      </w:r>
      <w:proofErr w:type="spellEnd"/>
      <w:r w:rsidRPr="00181510">
        <w:rPr>
          <w:rFonts w:ascii="Trebuchet MS" w:hAnsi="Trebuchet MS"/>
          <w:iCs/>
          <w:lang w:val="fr-FR"/>
        </w:rPr>
        <w:t>), CARE International</w:t>
      </w:r>
    </w:p>
    <w:p w14:paraId="3567973F" w14:textId="77777777" w:rsidR="00002DAC" w:rsidRPr="00181510" w:rsidRDefault="00002DAC" w:rsidP="00002DAC">
      <w:pPr>
        <w:widowControl w:val="0"/>
        <w:tabs>
          <w:tab w:val="left" w:pos="1702"/>
        </w:tabs>
        <w:spacing w:after="240"/>
        <w:ind w:right="26"/>
        <w:jc w:val="both"/>
        <w:rPr>
          <w:rFonts w:ascii="Trebuchet MS" w:eastAsia="Times New Roman" w:hAnsi="Trebuchet MS"/>
          <w:lang w:val="fr-FR"/>
        </w:rPr>
      </w:pPr>
      <w:r w:rsidRPr="00181510">
        <w:rPr>
          <w:rFonts w:ascii="Trebuchet MS" w:hAnsi="Trebuchet MS"/>
          <w:lang w:val="fr-FR"/>
        </w:rPr>
        <w:t xml:space="preserve">Domingo, P., Holmes, R., Rocha </w:t>
      </w:r>
      <w:proofErr w:type="spellStart"/>
      <w:r w:rsidRPr="00181510">
        <w:rPr>
          <w:rFonts w:ascii="Trebuchet MS" w:hAnsi="Trebuchet MS"/>
          <w:lang w:val="fr-FR"/>
        </w:rPr>
        <w:t>Menocal</w:t>
      </w:r>
      <w:proofErr w:type="spellEnd"/>
      <w:r w:rsidRPr="00181510">
        <w:rPr>
          <w:rFonts w:ascii="Trebuchet MS" w:hAnsi="Trebuchet MS"/>
          <w:lang w:val="fr-FR"/>
        </w:rPr>
        <w:t xml:space="preserve">, A. et Jones, N. avec </w:t>
      </w:r>
      <w:proofErr w:type="spellStart"/>
      <w:r w:rsidRPr="00181510">
        <w:rPr>
          <w:rFonts w:ascii="Trebuchet MS" w:hAnsi="Trebuchet MS"/>
          <w:lang w:val="fr-FR"/>
        </w:rPr>
        <w:t>Bhuvanendra</w:t>
      </w:r>
      <w:proofErr w:type="spellEnd"/>
      <w:r w:rsidRPr="00181510">
        <w:rPr>
          <w:rFonts w:ascii="Trebuchet MS" w:hAnsi="Trebuchet MS"/>
          <w:lang w:val="fr-FR"/>
        </w:rPr>
        <w:t>, D. et Wood, J. (2013) ‘</w:t>
      </w:r>
      <w:proofErr w:type="spellStart"/>
      <w:r w:rsidRPr="00181510">
        <w:rPr>
          <w:rFonts w:ascii="Trebuchet MS" w:hAnsi="Trebuchet MS"/>
          <w:lang w:val="fr-FR"/>
        </w:rPr>
        <w:t>Assessment</w:t>
      </w:r>
      <w:proofErr w:type="spellEnd"/>
      <w:r w:rsidRPr="00181510">
        <w:rPr>
          <w:rFonts w:ascii="Trebuchet MS" w:hAnsi="Trebuchet MS"/>
          <w:lang w:val="fr-FR"/>
        </w:rPr>
        <w:t xml:space="preserve"> of the </w:t>
      </w:r>
      <w:proofErr w:type="spellStart"/>
      <w:r w:rsidRPr="00181510">
        <w:rPr>
          <w:rFonts w:ascii="Trebuchet MS" w:hAnsi="Trebuchet MS"/>
          <w:lang w:val="fr-FR"/>
        </w:rPr>
        <w:t>evidence</w:t>
      </w:r>
      <w:proofErr w:type="spellEnd"/>
      <w:r w:rsidRPr="00181510">
        <w:rPr>
          <w:rFonts w:ascii="Trebuchet MS" w:hAnsi="Trebuchet MS"/>
          <w:lang w:val="fr-FR"/>
        </w:rPr>
        <w:t xml:space="preserve"> of links </w:t>
      </w:r>
      <w:proofErr w:type="spellStart"/>
      <w:r w:rsidRPr="00181510">
        <w:rPr>
          <w:rFonts w:ascii="Trebuchet MS" w:hAnsi="Trebuchet MS"/>
          <w:lang w:val="fr-FR"/>
        </w:rPr>
        <w:t>between</w:t>
      </w:r>
      <w:proofErr w:type="spellEnd"/>
      <w:r w:rsidRPr="00181510">
        <w:rPr>
          <w:rFonts w:ascii="Trebuchet MS" w:hAnsi="Trebuchet MS"/>
          <w:lang w:val="fr-FR"/>
        </w:rPr>
        <w:t xml:space="preserve"> </w:t>
      </w:r>
      <w:proofErr w:type="spellStart"/>
      <w:r w:rsidRPr="00181510">
        <w:rPr>
          <w:rFonts w:ascii="Trebuchet MS" w:hAnsi="Trebuchet MS"/>
          <w:lang w:val="fr-FR"/>
        </w:rPr>
        <w:t>gender</w:t>
      </w:r>
      <w:proofErr w:type="spellEnd"/>
      <w:r w:rsidRPr="00181510">
        <w:rPr>
          <w:rFonts w:ascii="Trebuchet MS" w:hAnsi="Trebuchet MS"/>
          <w:lang w:val="fr-FR"/>
        </w:rPr>
        <w:t xml:space="preserve"> </w:t>
      </w:r>
      <w:proofErr w:type="spellStart"/>
      <w:r w:rsidRPr="00181510">
        <w:rPr>
          <w:rFonts w:ascii="Trebuchet MS" w:hAnsi="Trebuchet MS"/>
          <w:lang w:val="fr-FR"/>
        </w:rPr>
        <w:t>equality</w:t>
      </w:r>
      <w:proofErr w:type="spellEnd"/>
      <w:r w:rsidRPr="00181510">
        <w:rPr>
          <w:rFonts w:ascii="Trebuchet MS" w:hAnsi="Trebuchet MS"/>
          <w:lang w:val="fr-FR"/>
        </w:rPr>
        <w:t xml:space="preserve">, </w:t>
      </w:r>
      <w:proofErr w:type="spellStart"/>
      <w:r w:rsidRPr="00181510">
        <w:rPr>
          <w:rFonts w:ascii="Trebuchet MS" w:hAnsi="Trebuchet MS"/>
          <w:lang w:val="fr-FR"/>
        </w:rPr>
        <w:t>peacebuilding</w:t>
      </w:r>
      <w:proofErr w:type="spellEnd"/>
      <w:r w:rsidRPr="00181510">
        <w:rPr>
          <w:rFonts w:ascii="Trebuchet MS" w:hAnsi="Trebuchet MS"/>
          <w:lang w:val="fr-FR"/>
        </w:rPr>
        <w:t xml:space="preserve"> and statebuilding’ (Évaluation des données sur les relations entre genre, égalité, consolidation de la paix et renforcement de l'État), Londres : </w:t>
      </w:r>
      <w:proofErr w:type="spellStart"/>
      <w:r w:rsidRPr="00181510">
        <w:rPr>
          <w:rFonts w:ascii="Trebuchet MS" w:hAnsi="Trebuchet MS"/>
          <w:lang w:val="fr-FR"/>
        </w:rPr>
        <w:t>ODI</w:t>
      </w:r>
      <w:proofErr w:type="spellEnd"/>
      <w:r w:rsidRPr="00181510">
        <w:rPr>
          <w:rFonts w:ascii="Trebuchet MS" w:hAnsi="Trebuchet MS"/>
          <w:lang w:val="fr-FR"/>
        </w:rPr>
        <w:t>.</w:t>
      </w:r>
    </w:p>
    <w:p w14:paraId="35679740" w14:textId="77777777" w:rsidR="00002DAC" w:rsidRPr="00181510" w:rsidRDefault="00002DAC" w:rsidP="00002DAC">
      <w:pPr>
        <w:widowControl w:val="0"/>
        <w:tabs>
          <w:tab w:val="left" w:pos="1702"/>
        </w:tabs>
        <w:spacing w:after="240"/>
        <w:ind w:right="26"/>
        <w:jc w:val="both"/>
        <w:rPr>
          <w:rFonts w:ascii="Trebuchet MS" w:hAnsi="Trebuchet MS"/>
          <w:lang w:val="fr-FR"/>
        </w:rPr>
      </w:pPr>
      <w:r w:rsidRPr="00181510">
        <w:rPr>
          <w:rFonts w:ascii="Trebuchet MS" w:eastAsia="Times New Roman" w:hAnsi="Trebuchet MS"/>
          <w:lang w:val="fr-FR"/>
        </w:rPr>
        <w:t xml:space="preserve">El </w:t>
      </w:r>
      <w:proofErr w:type="spellStart"/>
      <w:r w:rsidRPr="00181510">
        <w:rPr>
          <w:rFonts w:ascii="Trebuchet MS" w:eastAsia="Times New Roman" w:hAnsi="Trebuchet MS"/>
          <w:lang w:val="fr-FR"/>
        </w:rPr>
        <w:t>Bushra</w:t>
      </w:r>
      <w:proofErr w:type="spellEnd"/>
      <w:r w:rsidRPr="00181510">
        <w:rPr>
          <w:rFonts w:ascii="Trebuchet MS" w:eastAsia="Times New Roman" w:hAnsi="Trebuchet MS"/>
          <w:lang w:val="fr-FR"/>
        </w:rPr>
        <w:t xml:space="preserve">, J. (2012) </w:t>
      </w:r>
      <w:proofErr w:type="spellStart"/>
      <w:r w:rsidRPr="00181510">
        <w:rPr>
          <w:rFonts w:ascii="Trebuchet MS" w:eastAsia="Times New Roman" w:hAnsi="Trebuchet MS"/>
          <w:lang w:val="fr-FR"/>
        </w:rPr>
        <w:t>Gender</w:t>
      </w:r>
      <w:proofErr w:type="spellEnd"/>
      <w:r w:rsidRPr="00181510">
        <w:rPr>
          <w:rFonts w:ascii="Trebuchet MS" w:eastAsia="Times New Roman" w:hAnsi="Trebuchet MS"/>
          <w:lang w:val="fr-FR"/>
        </w:rPr>
        <w:t xml:space="preserve"> in </w:t>
      </w:r>
      <w:proofErr w:type="spellStart"/>
      <w:r w:rsidRPr="00181510">
        <w:rPr>
          <w:rFonts w:ascii="Trebuchet MS" w:eastAsia="Times New Roman" w:hAnsi="Trebuchet MS"/>
          <w:lang w:val="fr-FR"/>
        </w:rPr>
        <w:t>Peacebuilding</w:t>
      </w:r>
      <w:proofErr w:type="spellEnd"/>
      <w:r w:rsidRPr="00181510">
        <w:rPr>
          <w:rFonts w:ascii="Trebuchet MS" w:eastAsia="Times New Roman" w:hAnsi="Trebuchet MS"/>
          <w:lang w:val="fr-FR"/>
        </w:rPr>
        <w:t xml:space="preserve">: </w:t>
      </w:r>
      <w:proofErr w:type="spellStart"/>
      <w:r w:rsidRPr="00181510">
        <w:rPr>
          <w:rFonts w:ascii="Trebuchet MS" w:eastAsia="Times New Roman" w:hAnsi="Trebuchet MS"/>
          <w:lang w:val="fr-FR"/>
        </w:rPr>
        <w:t>Taking</w:t>
      </w:r>
      <w:proofErr w:type="spellEnd"/>
      <w:r w:rsidRPr="00181510">
        <w:rPr>
          <w:rFonts w:ascii="Trebuchet MS" w:eastAsia="Times New Roman" w:hAnsi="Trebuchet MS"/>
          <w:lang w:val="fr-FR"/>
        </w:rPr>
        <w:t xml:space="preserve"> Stock (Le genre dans la consolidation de la paix : bilan). International </w:t>
      </w:r>
      <w:proofErr w:type="spellStart"/>
      <w:r w:rsidRPr="00181510">
        <w:rPr>
          <w:rFonts w:ascii="Trebuchet MS" w:eastAsia="Times New Roman" w:hAnsi="Trebuchet MS"/>
          <w:lang w:val="fr-FR"/>
        </w:rPr>
        <w:t>Alert</w:t>
      </w:r>
      <w:proofErr w:type="spellEnd"/>
      <w:r w:rsidRPr="00181510">
        <w:rPr>
          <w:rFonts w:ascii="Trebuchet MS" w:eastAsia="Times New Roman" w:hAnsi="Trebuchet MS"/>
          <w:lang w:val="fr-FR"/>
        </w:rPr>
        <w:t xml:space="preserve">, Londres. </w:t>
      </w:r>
    </w:p>
    <w:p w14:paraId="35679741" w14:textId="77777777" w:rsidR="00002DAC" w:rsidRPr="00181510" w:rsidRDefault="00002DAC" w:rsidP="00002DAC">
      <w:pPr>
        <w:widowControl w:val="0"/>
        <w:tabs>
          <w:tab w:val="left" w:pos="1702"/>
        </w:tabs>
        <w:spacing w:after="240"/>
        <w:ind w:right="26"/>
        <w:jc w:val="both"/>
        <w:rPr>
          <w:rFonts w:ascii="Trebuchet MS" w:hAnsi="Trebuchet MS"/>
          <w:lang w:val="fr-FR"/>
        </w:rPr>
      </w:pPr>
      <w:proofErr w:type="spellStart"/>
      <w:r w:rsidRPr="00181510">
        <w:rPr>
          <w:rFonts w:ascii="Trebuchet MS" w:hAnsi="Trebuchet MS"/>
          <w:lang w:val="fr-FR"/>
        </w:rPr>
        <w:t>Falch</w:t>
      </w:r>
      <w:proofErr w:type="spellEnd"/>
      <w:r w:rsidRPr="00181510">
        <w:rPr>
          <w:rFonts w:ascii="Trebuchet MS" w:hAnsi="Trebuchet MS"/>
          <w:lang w:val="fr-FR"/>
        </w:rPr>
        <w:t xml:space="preserve">, A. (2010) </w:t>
      </w:r>
      <w:proofErr w:type="spellStart"/>
      <w:r w:rsidRPr="00181510">
        <w:rPr>
          <w:rFonts w:ascii="Trebuchet MS" w:hAnsi="Trebuchet MS"/>
          <w:lang w:val="fr-FR"/>
        </w:rPr>
        <w:t>Women’s</w:t>
      </w:r>
      <w:proofErr w:type="spellEnd"/>
      <w:r w:rsidRPr="00181510">
        <w:rPr>
          <w:rFonts w:ascii="Trebuchet MS" w:hAnsi="Trebuchet MS"/>
          <w:lang w:val="fr-FR"/>
        </w:rPr>
        <w:t xml:space="preserve"> </w:t>
      </w:r>
      <w:proofErr w:type="spellStart"/>
      <w:r w:rsidRPr="00181510">
        <w:rPr>
          <w:rFonts w:ascii="Trebuchet MS" w:hAnsi="Trebuchet MS"/>
          <w:lang w:val="fr-FR"/>
        </w:rPr>
        <w:t>Political</w:t>
      </w:r>
      <w:proofErr w:type="spellEnd"/>
      <w:r w:rsidRPr="00181510">
        <w:rPr>
          <w:rFonts w:ascii="Trebuchet MS" w:hAnsi="Trebuchet MS"/>
          <w:lang w:val="fr-FR"/>
        </w:rPr>
        <w:t xml:space="preserve"> Participation and Influence in Post-</w:t>
      </w:r>
      <w:proofErr w:type="spellStart"/>
      <w:r w:rsidRPr="00181510">
        <w:rPr>
          <w:rFonts w:ascii="Trebuchet MS" w:hAnsi="Trebuchet MS"/>
          <w:lang w:val="fr-FR"/>
        </w:rPr>
        <w:t>Conflict</w:t>
      </w:r>
      <w:proofErr w:type="spellEnd"/>
      <w:r w:rsidRPr="00181510">
        <w:rPr>
          <w:rFonts w:ascii="Trebuchet MS" w:hAnsi="Trebuchet MS"/>
          <w:lang w:val="fr-FR"/>
        </w:rPr>
        <w:t xml:space="preserve"> Burundi and </w:t>
      </w:r>
      <w:proofErr w:type="spellStart"/>
      <w:r w:rsidRPr="00181510">
        <w:rPr>
          <w:rFonts w:ascii="Trebuchet MS" w:hAnsi="Trebuchet MS"/>
          <w:lang w:val="fr-FR"/>
        </w:rPr>
        <w:t>Nepal</w:t>
      </w:r>
      <w:proofErr w:type="spellEnd"/>
      <w:r w:rsidRPr="00181510">
        <w:rPr>
          <w:rFonts w:ascii="Trebuchet MS" w:hAnsi="Trebuchet MS"/>
          <w:lang w:val="fr-FR"/>
        </w:rPr>
        <w:t xml:space="preserve"> (La participation et l'influence des femmes après le conflit au Burundi et au Népal), Oslo : </w:t>
      </w:r>
      <w:proofErr w:type="spellStart"/>
      <w:r w:rsidRPr="00181510">
        <w:rPr>
          <w:rFonts w:ascii="Trebuchet MS" w:hAnsi="Trebuchet MS"/>
          <w:lang w:val="fr-FR"/>
        </w:rPr>
        <w:t>Peace</w:t>
      </w:r>
      <w:proofErr w:type="spellEnd"/>
      <w:r w:rsidRPr="00181510">
        <w:rPr>
          <w:rFonts w:ascii="Trebuchet MS" w:hAnsi="Trebuchet MS"/>
          <w:lang w:val="fr-FR"/>
        </w:rPr>
        <w:t xml:space="preserve"> Research Institute</w:t>
      </w:r>
    </w:p>
    <w:p w14:paraId="35679742" w14:textId="77777777" w:rsidR="00002DAC" w:rsidRPr="00181510" w:rsidRDefault="00002DAC" w:rsidP="00002DAC">
      <w:pPr>
        <w:widowControl w:val="0"/>
        <w:tabs>
          <w:tab w:val="left" w:pos="1702"/>
        </w:tabs>
        <w:spacing w:after="240"/>
        <w:ind w:right="26"/>
        <w:jc w:val="both"/>
        <w:rPr>
          <w:rFonts w:ascii="Trebuchet MS" w:hAnsi="Trebuchet MS"/>
          <w:lang w:val="fr-FR"/>
        </w:rPr>
      </w:pPr>
      <w:r w:rsidRPr="00181510">
        <w:rPr>
          <w:rFonts w:ascii="Trebuchet MS" w:hAnsi="Trebuchet MS"/>
          <w:lang w:val="fr-FR"/>
        </w:rPr>
        <w:t xml:space="preserve">Haynes, </w:t>
      </w:r>
      <w:proofErr w:type="spellStart"/>
      <w:r w:rsidRPr="00181510">
        <w:rPr>
          <w:rFonts w:ascii="Trebuchet MS" w:hAnsi="Trebuchet MS"/>
          <w:lang w:val="fr-FR"/>
        </w:rPr>
        <w:t>D.F</w:t>
      </w:r>
      <w:proofErr w:type="spellEnd"/>
      <w:r w:rsidRPr="00181510">
        <w:rPr>
          <w:rFonts w:ascii="Trebuchet MS" w:hAnsi="Trebuchet MS"/>
          <w:lang w:val="fr-FR"/>
        </w:rPr>
        <w:t xml:space="preserve">., Cahn, N. et Ni </w:t>
      </w:r>
      <w:proofErr w:type="spellStart"/>
      <w:r w:rsidRPr="00181510">
        <w:rPr>
          <w:rFonts w:ascii="Trebuchet MS" w:hAnsi="Trebuchet MS"/>
          <w:lang w:val="fr-FR"/>
        </w:rPr>
        <w:t>Aoláin</w:t>
      </w:r>
      <w:proofErr w:type="spellEnd"/>
      <w:r w:rsidRPr="00181510">
        <w:rPr>
          <w:rFonts w:ascii="Trebuchet MS" w:hAnsi="Trebuchet MS"/>
          <w:lang w:val="fr-FR"/>
        </w:rPr>
        <w:t>, F. (2011) ‘</w:t>
      </w:r>
      <w:proofErr w:type="spellStart"/>
      <w:r w:rsidRPr="00181510">
        <w:rPr>
          <w:rFonts w:ascii="Trebuchet MS" w:hAnsi="Trebuchet MS"/>
          <w:lang w:val="fr-FR"/>
        </w:rPr>
        <w:t>Gendering</w:t>
      </w:r>
      <w:proofErr w:type="spellEnd"/>
      <w:r w:rsidRPr="00181510">
        <w:rPr>
          <w:rFonts w:ascii="Trebuchet MS" w:hAnsi="Trebuchet MS"/>
          <w:lang w:val="fr-FR"/>
        </w:rPr>
        <w:t xml:space="preserve"> </w:t>
      </w:r>
      <w:proofErr w:type="spellStart"/>
      <w:r w:rsidRPr="00181510">
        <w:rPr>
          <w:rFonts w:ascii="Trebuchet MS" w:hAnsi="Trebuchet MS"/>
          <w:lang w:val="fr-FR"/>
        </w:rPr>
        <w:t>Constitutional</w:t>
      </w:r>
      <w:proofErr w:type="spellEnd"/>
      <w:r w:rsidRPr="00181510">
        <w:rPr>
          <w:rFonts w:ascii="Trebuchet MS" w:hAnsi="Trebuchet MS"/>
          <w:lang w:val="fr-FR"/>
        </w:rPr>
        <w:t xml:space="preserve"> Design in Post-</w:t>
      </w:r>
      <w:proofErr w:type="spellStart"/>
      <w:r w:rsidRPr="00181510">
        <w:rPr>
          <w:rFonts w:ascii="Trebuchet MS" w:hAnsi="Trebuchet MS"/>
          <w:lang w:val="fr-FR"/>
        </w:rPr>
        <w:t>conflict</w:t>
      </w:r>
      <w:proofErr w:type="spellEnd"/>
      <w:r w:rsidRPr="00181510">
        <w:rPr>
          <w:rFonts w:ascii="Trebuchet MS" w:hAnsi="Trebuchet MS"/>
          <w:lang w:val="fr-FR"/>
        </w:rPr>
        <w:t xml:space="preserve"> </w:t>
      </w:r>
      <w:proofErr w:type="spellStart"/>
      <w:r w:rsidRPr="00181510">
        <w:rPr>
          <w:rFonts w:ascii="Trebuchet MS" w:hAnsi="Trebuchet MS"/>
          <w:lang w:val="fr-FR"/>
        </w:rPr>
        <w:t>Societies</w:t>
      </w:r>
      <w:proofErr w:type="spellEnd"/>
      <w:r w:rsidRPr="00181510">
        <w:rPr>
          <w:rFonts w:ascii="Trebuchet MS" w:hAnsi="Trebuchet MS"/>
          <w:lang w:val="fr-FR"/>
        </w:rPr>
        <w:t xml:space="preserve">’ (L'intégration du genre à l'élaboration des constitutions dans les sociétés </w:t>
      </w:r>
      <w:proofErr w:type="spellStart"/>
      <w:r w:rsidRPr="00181510">
        <w:rPr>
          <w:rFonts w:ascii="Trebuchet MS" w:hAnsi="Trebuchet MS"/>
          <w:lang w:val="fr-FR"/>
        </w:rPr>
        <w:t>postconflit</w:t>
      </w:r>
      <w:proofErr w:type="spellEnd"/>
      <w:r w:rsidRPr="00181510">
        <w:rPr>
          <w:rFonts w:ascii="Trebuchet MS" w:hAnsi="Trebuchet MS"/>
          <w:lang w:val="fr-FR"/>
        </w:rPr>
        <w:t xml:space="preserve">). </w:t>
      </w:r>
      <w:r w:rsidRPr="00181510">
        <w:rPr>
          <w:rFonts w:ascii="Trebuchet MS" w:hAnsi="Trebuchet MS"/>
          <w:i/>
          <w:iCs/>
          <w:lang w:val="fr-FR"/>
        </w:rPr>
        <w:t xml:space="preserve">William &amp; Mary Journal of </w:t>
      </w:r>
      <w:proofErr w:type="spellStart"/>
      <w:r w:rsidRPr="00181510">
        <w:rPr>
          <w:rFonts w:ascii="Trebuchet MS" w:hAnsi="Trebuchet MS"/>
          <w:i/>
          <w:iCs/>
          <w:lang w:val="fr-FR"/>
        </w:rPr>
        <w:t>Women</w:t>
      </w:r>
      <w:proofErr w:type="spellEnd"/>
      <w:r w:rsidRPr="00181510">
        <w:rPr>
          <w:rFonts w:ascii="Trebuchet MS" w:hAnsi="Trebuchet MS"/>
          <w:i/>
          <w:iCs/>
          <w:lang w:val="fr-FR"/>
        </w:rPr>
        <w:t xml:space="preserve"> and the Law </w:t>
      </w:r>
      <w:r w:rsidRPr="00181510">
        <w:rPr>
          <w:rFonts w:ascii="Trebuchet MS" w:hAnsi="Trebuchet MS"/>
          <w:lang w:val="fr-FR"/>
        </w:rPr>
        <w:t>17(3).</w:t>
      </w:r>
    </w:p>
    <w:p w14:paraId="35679743" w14:textId="77777777" w:rsidR="00002DAC" w:rsidRPr="00181510" w:rsidRDefault="00002DAC" w:rsidP="00002DAC">
      <w:pPr>
        <w:widowControl w:val="0"/>
        <w:tabs>
          <w:tab w:val="left" w:pos="1702"/>
        </w:tabs>
        <w:spacing w:after="240"/>
        <w:ind w:right="26"/>
        <w:jc w:val="both"/>
        <w:rPr>
          <w:rFonts w:ascii="Trebuchet MS" w:hAnsi="Trebuchet MS"/>
          <w:lang w:val="fr-FR"/>
        </w:rPr>
      </w:pPr>
      <w:r w:rsidRPr="00181510">
        <w:rPr>
          <w:rFonts w:ascii="Trebuchet MS" w:hAnsi="Trebuchet MS"/>
          <w:lang w:val="fr-FR"/>
        </w:rPr>
        <w:t xml:space="preserve">OCDE (2013) </w:t>
      </w:r>
      <w:r w:rsidRPr="00181510">
        <w:rPr>
          <w:rFonts w:ascii="Trebuchet MS" w:hAnsi="Trebuchet MS"/>
          <w:i/>
          <w:lang w:val="fr-FR"/>
        </w:rPr>
        <w:t>Genre et renforcement de l'État dans les pays en situation de conflit ou de fragilité</w:t>
      </w:r>
      <w:r w:rsidRPr="00181510">
        <w:rPr>
          <w:rFonts w:ascii="Trebuchet MS" w:hAnsi="Trebuchet MS"/>
          <w:lang w:val="fr-FR"/>
        </w:rPr>
        <w:t>, Conflit et fragilité, éditions de l'OCDE</w:t>
      </w:r>
    </w:p>
    <w:p w14:paraId="35679744" w14:textId="77777777" w:rsidR="00002DAC" w:rsidRPr="00181510" w:rsidRDefault="00002DAC" w:rsidP="00002DAC">
      <w:pPr>
        <w:widowControl w:val="0"/>
        <w:tabs>
          <w:tab w:val="left" w:pos="1702"/>
        </w:tabs>
        <w:spacing w:after="240"/>
        <w:ind w:right="26"/>
        <w:jc w:val="both"/>
        <w:rPr>
          <w:rFonts w:ascii="Trebuchet MS" w:hAnsi="Trebuchet MS"/>
          <w:lang w:val="fr-FR"/>
        </w:rPr>
      </w:pPr>
      <w:proofErr w:type="spellStart"/>
      <w:r w:rsidRPr="00181510">
        <w:rPr>
          <w:rFonts w:ascii="Trebuchet MS" w:hAnsi="Trebuchet MS"/>
          <w:lang w:val="fr-FR"/>
        </w:rPr>
        <w:t>Olonisakin</w:t>
      </w:r>
      <w:proofErr w:type="spellEnd"/>
      <w:r w:rsidRPr="00181510">
        <w:rPr>
          <w:rFonts w:ascii="Trebuchet MS" w:hAnsi="Trebuchet MS"/>
          <w:lang w:val="fr-FR"/>
        </w:rPr>
        <w:t xml:space="preserve">, F, K. Barnes et E. </w:t>
      </w:r>
      <w:proofErr w:type="spellStart"/>
      <w:r w:rsidRPr="00181510">
        <w:rPr>
          <w:rFonts w:ascii="Trebuchet MS" w:hAnsi="Trebuchet MS"/>
          <w:lang w:val="fr-FR"/>
        </w:rPr>
        <w:t>Ikpe</w:t>
      </w:r>
      <w:proofErr w:type="spellEnd"/>
      <w:r w:rsidRPr="00181510">
        <w:rPr>
          <w:rFonts w:ascii="Trebuchet MS" w:hAnsi="Trebuchet MS"/>
          <w:lang w:val="fr-FR"/>
        </w:rPr>
        <w:t xml:space="preserve"> (éd.) (2011) </w:t>
      </w:r>
      <w:proofErr w:type="spellStart"/>
      <w:r w:rsidRPr="00181510">
        <w:rPr>
          <w:rFonts w:ascii="Trebuchet MS" w:hAnsi="Trebuchet MS"/>
          <w:i/>
          <w:iCs/>
          <w:lang w:val="fr-FR"/>
        </w:rPr>
        <w:t>Women</w:t>
      </w:r>
      <w:proofErr w:type="spellEnd"/>
      <w:r w:rsidRPr="00181510">
        <w:rPr>
          <w:rFonts w:ascii="Trebuchet MS" w:hAnsi="Trebuchet MS"/>
          <w:i/>
          <w:iCs/>
          <w:lang w:val="fr-FR"/>
        </w:rPr>
        <w:t xml:space="preserve">, </w:t>
      </w:r>
      <w:proofErr w:type="spellStart"/>
      <w:r w:rsidRPr="00181510">
        <w:rPr>
          <w:rFonts w:ascii="Trebuchet MS" w:hAnsi="Trebuchet MS"/>
          <w:i/>
          <w:iCs/>
          <w:lang w:val="fr-FR"/>
        </w:rPr>
        <w:t>Peace</w:t>
      </w:r>
      <w:proofErr w:type="spellEnd"/>
      <w:r w:rsidRPr="00181510">
        <w:rPr>
          <w:rFonts w:ascii="Trebuchet MS" w:hAnsi="Trebuchet MS"/>
          <w:i/>
          <w:iCs/>
          <w:lang w:val="fr-FR"/>
        </w:rPr>
        <w:t xml:space="preserve"> </w:t>
      </w:r>
      <w:r w:rsidR="003B7F1D" w:rsidRPr="00181510">
        <w:rPr>
          <w:rFonts w:ascii="Trebuchet MS" w:hAnsi="Trebuchet MS"/>
          <w:i/>
          <w:iCs/>
          <w:lang w:val="fr-FR"/>
        </w:rPr>
        <w:t>a</w:t>
      </w:r>
      <w:r w:rsidR="003B7F1D">
        <w:rPr>
          <w:rFonts w:ascii="Trebuchet MS" w:hAnsi="Trebuchet MS"/>
          <w:i/>
          <w:iCs/>
          <w:lang w:val="fr-FR"/>
        </w:rPr>
        <w:t>n</w:t>
      </w:r>
      <w:r w:rsidR="003B7F1D" w:rsidRPr="00181510">
        <w:rPr>
          <w:rFonts w:ascii="Trebuchet MS" w:hAnsi="Trebuchet MS"/>
          <w:i/>
          <w:iCs/>
          <w:lang w:val="fr-FR"/>
        </w:rPr>
        <w:t>d</w:t>
      </w:r>
      <w:r w:rsidRPr="00181510">
        <w:rPr>
          <w:rFonts w:ascii="Trebuchet MS" w:hAnsi="Trebuchet MS"/>
          <w:i/>
          <w:iCs/>
          <w:lang w:val="fr-FR"/>
        </w:rPr>
        <w:t xml:space="preserve"> Security (Les femmes, la paix et la sécurité)</w:t>
      </w:r>
      <w:r w:rsidRPr="00181510">
        <w:rPr>
          <w:rFonts w:ascii="Trebuchet MS" w:hAnsi="Trebuchet MS"/>
          <w:lang w:val="fr-FR"/>
        </w:rPr>
        <w:t xml:space="preserve">. </w:t>
      </w:r>
      <w:proofErr w:type="spellStart"/>
      <w:r w:rsidRPr="00181510">
        <w:rPr>
          <w:rFonts w:ascii="Trebuchet MS" w:hAnsi="Trebuchet MS"/>
          <w:lang w:val="fr-FR"/>
        </w:rPr>
        <w:t>Abingdon</w:t>
      </w:r>
      <w:proofErr w:type="spellEnd"/>
      <w:r w:rsidRPr="00181510">
        <w:rPr>
          <w:rFonts w:ascii="Trebuchet MS" w:hAnsi="Trebuchet MS"/>
          <w:lang w:val="fr-FR"/>
        </w:rPr>
        <w:t> : Routledge</w:t>
      </w:r>
    </w:p>
    <w:p w14:paraId="35679745" w14:textId="77777777" w:rsidR="00002DAC" w:rsidRPr="00181510" w:rsidRDefault="00002DAC" w:rsidP="00002DAC">
      <w:pPr>
        <w:widowControl w:val="0"/>
        <w:tabs>
          <w:tab w:val="left" w:pos="1702"/>
        </w:tabs>
        <w:spacing w:after="240"/>
        <w:ind w:right="26"/>
        <w:jc w:val="both"/>
        <w:rPr>
          <w:rFonts w:ascii="Trebuchet MS" w:hAnsi="Trebuchet MS"/>
          <w:lang w:val="fr-FR"/>
        </w:rPr>
      </w:pPr>
      <w:proofErr w:type="spellStart"/>
      <w:r w:rsidRPr="00181510">
        <w:rPr>
          <w:rFonts w:ascii="Trebuchet MS" w:hAnsi="Trebuchet MS"/>
          <w:lang w:val="fr-FR"/>
        </w:rPr>
        <w:t>Pankhurst</w:t>
      </w:r>
      <w:proofErr w:type="spellEnd"/>
      <w:r w:rsidRPr="00181510">
        <w:rPr>
          <w:rFonts w:ascii="Trebuchet MS" w:hAnsi="Trebuchet MS"/>
          <w:lang w:val="fr-FR"/>
        </w:rPr>
        <w:t xml:space="preserve">, D. (2008) </w:t>
      </w:r>
      <w:proofErr w:type="spellStart"/>
      <w:r w:rsidRPr="00181510">
        <w:rPr>
          <w:rFonts w:ascii="Trebuchet MS" w:hAnsi="Trebuchet MS"/>
          <w:lang w:val="fr-FR"/>
        </w:rPr>
        <w:t>Gendered</w:t>
      </w:r>
      <w:proofErr w:type="spellEnd"/>
      <w:r w:rsidRPr="00181510">
        <w:rPr>
          <w:rFonts w:ascii="Trebuchet MS" w:hAnsi="Trebuchet MS"/>
          <w:lang w:val="fr-FR"/>
        </w:rPr>
        <w:t xml:space="preserve"> </w:t>
      </w:r>
      <w:proofErr w:type="spellStart"/>
      <w:r w:rsidRPr="00181510">
        <w:rPr>
          <w:rFonts w:ascii="Trebuchet MS" w:hAnsi="Trebuchet MS"/>
          <w:lang w:val="fr-FR"/>
        </w:rPr>
        <w:t>Peace</w:t>
      </w:r>
      <w:proofErr w:type="spellEnd"/>
      <w:r w:rsidRPr="00181510">
        <w:rPr>
          <w:rFonts w:ascii="Trebuchet MS" w:hAnsi="Trebuchet MS"/>
          <w:lang w:val="fr-FR"/>
        </w:rPr>
        <w:t xml:space="preserve">: </w:t>
      </w:r>
      <w:proofErr w:type="spellStart"/>
      <w:r w:rsidRPr="00181510">
        <w:rPr>
          <w:rFonts w:ascii="Trebuchet MS" w:hAnsi="Trebuchet MS"/>
          <w:lang w:val="fr-FR"/>
        </w:rPr>
        <w:t>Women’s</w:t>
      </w:r>
      <w:proofErr w:type="spellEnd"/>
      <w:r w:rsidRPr="00181510">
        <w:rPr>
          <w:rFonts w:ascii="Trebuchet MS" w:hAnsi="Trebuchet MS"/>
          <w:lang w:val="fr-FR"/>
        </w:rPr>
        <w:t xml:space="preserve"> </w:t>
      </w:r>
      <w:proofErr w:type="spellStart"/>
      <w:r w:rsidRPr="00181510">
        <w:rPr>
          <w:rFonts w:ascii="Trebuchet MS" w:hAnsi="Trebuchet MS"/>
          <w:lang w:val="fr-FR"/>
        </w:rPr>
        <w:t>Struggles</w:t>
      </w:r>
      <w:proofErr w:type="spellEnd"/>
      <w:r w:rsidRPr="00181510">
        <w:rPr>
          <w:rFonts w:ascii="Trebuchet MS" w:hAnsi="Trebuchet MS"/>
          <w:lang w:val="fr-FR"/>
        </w:rPr>
        <w:t xml:space="preserve"> for Post-</w:t>
      </w:r>
      <w:proofErr w:type="spellStart"/>
      <w:r w:rsidRPr="00181510">
        <w:rPr>
          <w:rFonts w:ascii="Trebuchet MS" w:hAnsi="Trebuchet MS"/>
          <w:lang w:val="fr-FR"/>
        </w:rPr>
        <w:t>War</w:t>
      </w:r>
      <w:proofErr w:type="spellEnd"/>
      <w:r w:rsidRPr="00181510">
        <w:rPr>
          <w:rFonts w:ascii="Trebuchet MS" w:hAnsi="Trebuchet MS"/>
          <w:lang w:val="fr-FR"/>
        </w:rPr>
        <w:t xml:space="preserve"> Justice and </w:t>
      </w:r>
      <w:proofErr w:type="spellStart"/>
      <w:r w:rsidRPr="00181510">
        <w:rPr>
          <w:rFonts w:ascii="Trebuchet MS" w:hAnsi="Trebuchet MS"/>
          <w:lang w:val="fr-FR"/>
        </w:rPr>
        <w:t>Reconciliation</w:t>
      </w:r>
      <w:proofErr w:type="spellEnd"/>
      <w:r w:rsidRPr="00181510">
        <w:rPr>
          <w:rFonts w:ascii="Trebuchet MS" w:hAnsi="Trebuchet MS"/>
          <w:lang w:val="fr-FR"/>
        </w:rPr>
        <w:t xml:space="preserve"> (La paix selon le genre : luttes des femmes pour la justice et la réconciliation </w:t>
      </w:r>
      <w:r w:rsidR="003B7F1D" w:rsidRPr="00181510">
        <w:rPr>
          <w:rFonts w:ascii="Trebuchet MS" w:hAnsi="Trebuchet MS"/>
          <w:lang w:val="fr-FR"/>
        </w:rPr>
        <w:lastRenderedPageBreak/>
        <w:t>après-guerre</w:t>
      </w:r>
      <w:r w:rsidRPr="00181510">
        <w:rPr>
          <w:rFonts w:ascii="Trebuchet MS" w:hAnsi="Trebuchet MS"/>
          <w:lang w:val="fr-FR"/>
        </w:rPr>
        <w:t xml:space="preserve">), New York : Routledge et </w:t>
      </w:r>
      <w:proofErr w:type="spellStart"/>
      <w:r w:rsidRPr="00181510">
        <w:rPr>
          <w:rFonts w:ascii="Trebuchet MS" w:hAnsi="Trebuchet MS"/>
          <w:lang w:val="fr-FR"/>
        </w:rPr>
        <w:t>UNRISD</w:t>
      </w:r>
      <w:proofErr w:type="spellEnd"/>
      <w:r w:rsidRPr="00181510">
        <w:rPr>
          <w:rFonts w:ascii="Trebuchet MS" w:hAnsi="Trebuchet MS"/>
          <w:lang w:val="fr-FR"/>
        </w:rPr>
        <w:t>.</w:t>
      </w:r>
    </w:p>
    <w:p w14:paraId="35679746" w14:textId="77777777" w:rsidR="00002DAC" w:rsidRPr="00181510" w:rsidRDefault="00002DAC" w:rsidP="00002DAC">
      <w:pPr>
        <w:widowControl w:val="0"/>
        <w:tabs>
          <w:tab w:val="left" w:pos="1702"/>
        </w:tabs>
        <w:spacing w:after="240"/>
        <w:ind w:right="26"/>
        <w:jc w:val="both"/>
        <w:rPr>
          <w:rFonts w:ascii="Trebuchet MS" w:hAnsi="Trebuchet MS"/>
          <w:lang w:val="fr-FR"/>
        </w:rPr>
      </w:pPr>
      <w:proofErr w:type="spellStart"/>
      <w:r w:rsidRPr="00181510">
        <w:rPr>
          <w:rFonts w:ascii="Trebuchet MS" w:hAnsi="Trebuchet MS"/>
          <w:lang w:val="fr-FR"/>
        </w:rPr>
        <w:t>Saferworld</w:t>
      </w:r>
      <w:proofErr w:type="spellEnd"/>
      <w:r w:rsidRPr="00181510">
        <w:rPr>
          <w:rFonts w:ascii="Trebuchet MS" w:hAnsi="Trebuchet MS"/>
          <w:lang w:val="fr-FR"/>
        </w:rPr>
        <w:t xml:space="preserve">, (2013) Security </w:t>
      </w:r>
      <w:proofErr w:type="spellStart"/>
      <w:r w:rsidRPr="00181510">
        <w:rPr>
          <w:rFonts w:ascii="Trebuchet MS" w:hAnsi="Trebuchet MS"/>
          <w:lang w:val="fr-FR"/>
        </w:rPr>
        <w:t>barriers</w:t>
      </w:r>
      <w:proofErr w:type="spellEnd"/>
      <w:r w:rsidRPr="00181510">
        <w:rPr>
          <w:rFonts w:ascii="Trebuchet MS" w:hAnsi="Trebuchet MS"/>
          <w:lang w:val="fr-FR"/>
        </w:rPr>
        <w:t xml:space="preserve"> to </w:t>
      </w:r>
      <w:proofErr w:type="spellStart"/>
      <w:r w:rsidRPr="00181510">
        <w:rPr>
          <w:rFonts w:ascii="Trebuchet MS" w:hAnsi="Trebuchet MS"/>
          <w:lang w:val="fr-FR"/>
        </w:rPr>
        <w:t>women’s</w:t>
      </w:r>
      <w:proofErr w:type="spellEnd"/>
      <w:r w:rsidRPr="00181510">
        <w:rPr>
          <w:rFonts w:ascii="Trebuchet MS" w:hAnsi="Trebuchet MS"/>
          <w:lang w:val="fr-FR"/>
        </w:rPr>
        <w:t xml:space="preserve"> public participation in </w:t>
      </w:r>
      <w:proofErr w:type="spellStart"/>
      <w:r w:rsidRPr="00181510">
        <w:rPr>
          <w:rFonts w:ascii="Trebuchet MS" w:hAnsi="Trebuchet MS"/>
          <w:lang w:val="fr-FR"/>
        </w:rPr>
        <w:t>Egypt</w:t>
      </w:r>
      <w:proofErr w:type="spellEnd"/>
      <w:r w:rsidRPr="00181510">
        <w:rPr>
          <w:rFonts w:ascii="Trebuchet MS" w:hAnsi="Trebuchet MS"/>
          <w:lang w:val="fr-FR"/>
        </w:rPr>
        <w:t xml:space="preserve">, </w:t>
      </w:r>
      <w:proofErr w:type="spellStart"/>
      <w:r w:rsidRPr="00181510">
        <w:rPr>
          <w:rFonts w:ascii="Trebuchet MS" w:hAnsi="Trebuchet MS"/>
          <w:lang w:val="fr-FR"/>
        </w:rPr>
        <w:t>Libya</w:t>
      </w:r>
      <w:proofErr w:type="spellEnd"/>
      <w:r w:rsidRPr="00181510">
        <w:rPr>
          <w:rFonts w:ascii="Trebuchet MS" w:hAnsi="Trebuchet MS"/>
          <w:lang w:val="fr-FR"/>
        </w:rPr>
        <w:t xml:space="preserve">, and </w:t>
      </w:r>
      <w:proofErr w:type="spellStart"/>
      <w:r w:rsidRPr="00181510">
        <w:rPr>
          <w:rFonts w:ascii="Trebuchet MS" w:hAnsi="Trebuchet MS"/>
          <w:lang w:val="fr-FR"/>
        </w:rPr>
        <w:t>Yemen</w:t>
      </w:r>
      <w:proofErr w:type="spellEnd"/>
      <w:r w:rsidRPr="00181510">
        <w:rPr>
          <w:rFonts w:ascii="Trebuchet MS" w:hAnsi="Trebuchet MS"/>
          <w:lang w:val="fr-FR"/>
        </w:rPr>
        <w:t xml:space="preserve"> (Les barrières à la participation publique des femmes en termes de sécurité en Égypte, en Lybie ou au Yémen)</w:t>
      </w:r>
    </w:p>
    <w:p w14:paraId="35679747" w14:textId="77777777" w:rsidR="00002DAC" w:rsidRPr="00181510" w:rsidRDefault="00002DAC" w:rsidP="00002DAC">
      <w:pPr>
        <w:widowControl w:val="0"/>
        <w:tabs>
          <w:tab w:val="left" w:pos="1702"/>
        </w:tabs>
        <w:spacing w:after="240"/>
        <w:ind w:right="26"/>
        <w:jc w:val="both"/>
        <w:rPr>
          <w:rFonts w:ascii="Trebuchet MS" w:hAnsi="Trebuchet MS"/>
          <w:lang w:val="fr-FR"/>
        </w:rPr>
      </w:pPr>
      <w:proofErr w:type="spellStart"/>
      <w:r w:rsidRPr="00181510">
        <w:rPr>
          <w:rFonts w:ascii="Trebuchet MS" w:hAnsi="Trebuchet MS"/>
          <w:lang w:val="fr-FR"/>
        </w:rPr>
        <w:t>Tripp</w:t>
      </w:r>
      <w:proofErr w:type="spellEnd"/>
      <w:r w:rsidRPr="00181510">
        <w:rPr>
          <w:rFonts w:ascii="Trebuchet MS" w:hAnsi="Trebuchet MS"/>
          <w:lang w:val="fr-FR"/>
        </w:rPr>
        <w:t xml:space="preserve">, A. M. (2012). </w:t>
      </w:r>
      <w:proofErr w:type="spellStart"/>
      <w:r w:rsidRPr="00181510">
        <w:rPr>
          <w:rFonts w:ascii="Trebuchet MS" w:hAnsi="Trebuchet MS"/>
          <w:lang w:val="fr-FR"/>
        </w:rPr>
        <w:t>Women’s</w:t>
      </w:r>
      <w:proofErr w:type="spellEnd"/>
      <w:r w:rsidRPr="00181510">
        <w:rPr>
          <w:rFonts w:ascii="Trebuchet MS" w:hAnsi="Trebuchet MS"/>
          <w:lang w:val="fr-FR"/>
        </w:rPr>
        <w:t xml:space="preserve"> </w:t>
      </w:r>
      <w:proofErr w:type="spellStart"/>
      <w:r w:rsidRPr="00181510">
        <w:rPr>
          <w:rFonts w:ascii="Trebuchet MS" w:hAnsi="Trebuchet MS"/>
          <w:lang w:val="fr-FR"/>
        </w:rPr>
        <w:t>Political</w:t>
      </w:r>
      <w:proofErr w:type="spellEnd"/>
      <w:r w:rsidRPr="00181510">
        <w:rPr>
          <w:rFonts w:ascii="Trebuchet MS" w:hAnsi="Trebuchet MS"/>
          <w:lang w:val="fr-FR"/>
        </w:rPr>
        <w:t xml:space="preserve"> </w:t>
      </w:r>
      <w:proofErr w:type="spellStart"/>
      <w:r w:rsidRPr="00181510">
        <w:rPr>
          <w:rFonts w:ascii="Trebuchet MS" w:hAnsi="Trebuchet MS"/>
          <w:lang w:val="fr-FR"/>
        </w:rPr>
        <w:t>Empowerment</w:t>
      </w:r>
      <w:proofErr w:type="spellEnd"/>
      <w:r w:rsidRPr="00181510">
        <w:rPr>
          <w:rFonts w:ascii="Trebuchet MS" w:hAnsi="Trebuchet MS"/>
          <w:lang w:val="fr-FR"/>
        </w:rPr>
        <w:t xml:space="preserve"> in Statebuilding and </w:t>
      </w:r>
      <w:proofErr w:type="spellStart"/>
      <w:r w:rsidRPr="00181510">
        <w:rPr>
          <w:rFonts w:ascii="Trebuchet MS" w:hAnsi="Trebuchet MS"/>
          <w:lang w:val="fr-FR"/>
        </w:rPr>
        <w:t>Peacebuilding</w:t>
      </w:r>
      <w:proofErr w:type="spellEnd"/>
      <w:r w:rsidRPr="00181510">
        <w:rPr>
          <w:rFonts w:ascii="Trebuchet MS" w:hAnsi="Arial" w:cs="Arial"/>
          <w:lang w:val="fr-FR"/>
        </w:rPr>
        <w:t> </w:t>
      </w:r>
      <w:r w:rsidRPr="00181510">
        <w:rPr>
          <w:rFonts w:ascii="Trebuchet MS" w:hAnsi="Trebuchet MS"/>
          <w:lang w:val="fr-FR"/>
        </w:rPr>
        <w:t xml:space="preserve">: A Baseline </w:t>
      </w:r>
      <w:proofErr w:type="spellStart"/>
      <w:r w:rsidRPr="00181510">
        <w:rPr>
          <w:rFonts w:ascii="Trebuchet MS" w:hAnsi="Trebuchet MS"/>
          <w:lang w:val="fr-FR"/>
        </w:rPr>
        <w:t>Study</w:t>
      </w:r>
      <w:proofErr w:type="spellEnd"/>
      <w:r w:rsidRPr="00181510">
        <w:rPr>
          <w:rFonts w:ascii="Trebuchet MS" w:hAnsi="Trebuchet MS"/>
          <w:lang w:val="fr-FR"/>
        </w:rPr>
        <w:t xml:space="preserve"> (L'autonomisation politique des femmes dans le renforcement de l'État et la consolidation de la paix : étude initiale) Novembre 2012</w:t>
      </w:r>
    </w:p>
    <w:p w14:paraId="35679748"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ONU Femmes (2012) </w:t>
      </w:r>
      <w:r w:rsidRPr="00181510">
        <w:rPr>
          <w:rFonts w:ascii="Trebuchet MS" w:hAnsi="Trebuchet MS"/>
          <w:i/>
          <w:lang w:val="fr-FR"/>
        </w:rPr>
        <w:t>“</w:t>
      </w:r>
      <w:proofErr w:type="spellStart"/>
      <w:r w:rsidRPr="00181510">
        <w:rPr>
          <w:rFonts w:ascii="Trebuchet MS" w:hAnsi="Trebuchet MS"/>
          <w:lang w:val="fr-FR"/>
        </w:rPr>
        <w:t>Women’s</w:t>
      </w:r>
      <w:proofErr w:type="spellEnd"/>
      <w:r w:rsidRPr="00181510">
        <w:rPr>
          <w:rFonts w:ascii="Trebuchet MS" w:hAnsi="Trebuchet MS"/>
          <w:lang w:val="fr-FR"/>
        </w:rPr>
        <w:t xml:space="preserve"> participation in </w:t>
      </w:r>
      <w:proofErr w:type="spellStart"/>
      <w:r w:rsidRPr="00181510">
        <w:rPr>
          <w:rFonts w:ascii="Trebuchet MS" w:hAnsi="Trebuchet MS"/>
          <w:lang w:val="fr-FR"/>
        </w:rPr>
        <w:t>peace</w:t>
      </w:r>
      <w:proofErr w:type="spellEnd"/>
      <w:r w:rsidRPr="00181510">
        <w:rPr>
          <w:rFonts w:ascii="Trebuchet MS" w:hAnsi="Trebuchet MS"/>
          <w:lang w:val="fr-FR"/>
        </w:rPr>
        <w:t xml:space="preserve"> </w:t>
      </w:r>
      <w:proofErr w:type="spellStart"/>
      <w:r w:rsidRPr="00181510">
        <w:rPr>
          <w:rFonts w:ascii="Trebuchet MS" w:hAnsi="Trebuchet MS"/>
          <w:lang w:val="fr-FR"/>
        </w:rPr>
        <w:t>neg</w:t>
      </w:r>
      <w:r w:rsidR="00ED3DB1">
        <w:rPr>
          <w:rFonts w:ascii="Trebuchet MS" w:hAnsi="Trebuchet MS"/>
          <w:lang w:val="fr-FR"/>
        </w:rPr>
        <w:t>otiations</w:t>
      </w:r>
      <w:proofErr w:type="spellEnd"/>
      <w:r w:rsidR="00ED3DB1">
        <w:rPr>
          <w:rFonts w:ascii="Trebuchet MS" w:hAnsi="Trebuchet MS"/>
          <w:lang w:val="fr-FR"/>
        </w:rPr>
        <w:t xml:space="preserve">: Connections </w:t>
      </w:r>
      <w:proofErr w:type="spellStart"/>
      <w:r w:rsidR="00ED3DB1">
        <w:rPr>
          <w:rFonts w:ascii="Trebuchet MS" w:hAnsi="Trebuchet MS"/>
          <w:lang w:val="fr-FR"/>
        </w:rPr>
        <w:t>between</w:t>
      </w:r>
      <w:proofErr w:type="spellEnd"/>
      <w:r w:rsidR="00ED3DB1">
        <w:rPr>
          <w:rFonts w:ascii="Trebuchet MS" w:hAnsi="Trebuchet MS"/>
          <w:lang w:val="fr-FR"/>
        </w:rPr>
        <w:t xml:space="preserve"> </w:t>
      </w:r>
      <w:proofErr w:type="spellStart"/>
      <w:r w:rsidRPr="00181510">
        <w:rPr>
          <w:rFonts w:ascii="Trebuchet MS" w:hAnsi="Trebuchet MS"/>
          <w:lang w:val="fr-FR"/>
        </w:rPr>
        <w:t>presence</w:t>
      </w:r>
      <w:proofErr w:type="spellEnd"/>
      <w:r w:rsidRPr="00181510">
        <w:rPr>
          <w:rFonts w:ascii="Trebuchet MS" w:hAnsi="Trebuchet MS"/>
          <w:lang w:val="fr-FR"/>
        </w:rPr>
        <w:t xml:space="preserve"> and influence” (Participation des femmes aux négociations de paix : présence et influence) dans le </w:t>
      </w:r>
      <w:r w:rsidRPr="00181510">
        <w:rPr>
          <w:rFonts w:ascii="Trebuchet MS" w:hAnsi="Trebuchet MS"/>
          <w:i/>
          <w:lang w:val="fr-FR"/>
        </w:rPr>
        <w:t>Recueil d</w:t>
      </w:r>
      <w:r w:rsidR="006A0F0A" w:rsidRPr="00181510">
        <w:rPr>
          <w:rFonts w:ascii="Trebuchet MS" w:hAnsi="Trebuchet MS"/>
          <w:lang w:val="fr-FR"/>
        </w:rPr>
        <w:t>'</w:t>
      </w:r>
      <w:r w:rsidRPr="00181510">
        <w:rPr>
          <w:rFonts w:ascii="Trebuchet MS" w:hAnsi="Trebuchet MS"/>
          <w:i/>
          <w:lang w:val="fr-FR"/>
        </w:rPr>
        <w:t>informations d</w:t>
      </w:r>
      <w:r w:rsidR="006A0F0A" w:rsidRPr="00181510">
        <w:rPr>
          <w:rFonts w:ascii="Trebuchet MS" w:hAnsi="Trebuchet MS"/>
          <w:lang w:val="fr-FR"/>
        </w:rPr>
        <w:t>'</w:t>
      </w:r>
      <w:r w:rsidRPr="00181510">
        <w:rPr>
          <w:rFonts w:ascii="Trebuchet MS" w:hAnsi="Trebuchet MS"/>
          <w:i/>
          <w:lang w:val="fr-FR"/>
        </w:rPr>
        <w:t xml:space="preserve">ONU Femmes consacré aux femmes, à la paix et à la sécurité. </w:t>
      </w:r>
      <w:r w:rsidRPr="00181510">
        <w:rPr>
          <w:rFonts w:ascii="Trebuchet MS" w:hAnsi="Trebuchet MS"/>
          <w:lang w:val="fr-FR"/>
        </w:rPr>
        <w:t>New York : ONU Femmes.</w:t>
      </w:r>
    </w:p>
    <w:p w14:paraId="35679749" w14:textId="77777777" w:rsidR="00002DAC" w:rsidRPr="00181510" w:rsidRDefault="00002DAC" w:rsidP="00002DAC">
      <w:pPr>
        <w:tabs>
          <w:tab w:val="left" w:pos="6930"/>
        </w:tabs>
        <w:ind w:right="26"/>
        <w:jc w:val="both"/>
        <w:rPr>
          <w:rFonts w:ascii="Trebuchet MS" w:hAnsi="Trebuchet MS"/>
          <w:lang w:val="fr-FR"/>
        </w:rPr>
      </w:pPr>
    </w:p>
    <w:p w14:paraId="3567974A" w14:textId="77777777" w:rsidR="00002DAC" w:rsidRPr="003B37C2" w:rsidRDefault="00002DAC" w:rsidP="003B37C2">
      <w:pPr>
        <w:pStyle w:val="HoofdstukNummer"/>
      </w:pPr>
      <w:r w:rsidRPr="003B37C2">
        <w:lastRenderedPageBreak/>
        <w:t xml:space="preserve"> </w:t>
      </w:r>
    </w:p>
    <w:p w14:paraId="3567974B" w14:textId="77777777" w:rsidR="00002DAC" w:rsidRPr="00181510" w:rsidRDefault="00002DAC" w:rsidP="00002DAC">
      <w:pPr>
        <w:pStyle w:val="Titre1"/>
        <w:rPr>
          <w:szCs w:val="42"/>
          <w:lang w:val="fr-FR"/>
        </w:rPr>
      </w:pPr>
      <w:bookmarkStart w:id="38" w:name="_Toc411365699"/>
      <w:bookmarkStart w:id="39" w:name="_Toc417545144"/>
      <w:r w:rsidRPr="00181510">
        <w:rPr>
          <w:szCs w:val="42"/>
          <w:lang w:val="fr-FR"/>
        </w:rPr>
        <w:t>Les hommes, les masculinités et la résolution 1325 dans la mise en œuvre des engagements relatifs aux femmes, à la paix et à la sécurité (1325)</w:t>
      </w:r>
      <w:bookmarkEnd w:id="38"/>
      <w:bookmarkEnd w:id="39"/>
      <w:r w:rsidRPr="00181510">
        <w:rPr>
          <w:szCs w:val="42"/>
          <w:lang w:val="fr-FR"/>
        </w:rPr>
        <w:t xml:space="preserve"> </w:t>
      </w:r>
    </w:p>
    <w:p w14:paraId="3567974C" w14:textId="77777777" w:rsidR="00002DAC" w:rsidRPr="00181510" w:rsidRDefault="00002DAC" w:rsidP="00002DAC">
      <w:pPr>
        <w:pStyle w:val="Titre1"/>
        <w:rPr>
          <w:sz w:val="24"/>
          <w:szCs w:val="24"/>
          <w:lang w:val="fr-FR"/>
        </w:rPr>
      </w:pPr>
      <w:bookmarkStart w:id="40" w:name="_Toc411364442"/>
      <w:bookmarkStart w:id="41" w:name="_Toc411365700"/>
      <w:bookmarkStart w:id="42" w:name="_Toc417545145"/>
      <w:proofErr w:type="spellStart"/>
      <w:r w:rsidRPr="00181510">
        <w:rPr>
          <w:rFonts w:ascii="Times New Roman" w:hAnsi="Times New Roman" w:cs="Times New Roman"/>
          <w:sz w:val="24"/>
          <w:szCs w:val="24"/>
          <w:lang w:val="fr-FR"/>
        </w:rPr>
        <w:t>Ă</w:t>
      </w:r>
      <w:r w:rsidRPr="00181510">
        <w:rPr>
          <w:sz w:val="24"/>
          <w:szCs w:val="24"/>
          <w:lang w:val="fr-FR"/>
        </w:rPr>
        <w:t>sa</w:t>
      </w:r>
      <w:proofErr w:type="spellEnd"/>
      <w:r w:rsidRPr="00181510">
        <w:rPr>
          <w:sz w:val="24"/>
          <w:szCs w:val="24"/>
          <w:lang w:val="fr-FR"/>
        </w:rPr>
        <w:t xml:space="preserve"> </w:t>
      </w:r>
      <w:proofErr w:type="spellStart"/>
      <w:r w:rsidRPr="00181510">
        <w:rPr>
          <w:sz w:val="24"/>
          <w:szCs w:val="24"/>
          <w:lang w:val="fr-FR"/>
        </w:rPr>
        <w:t>Ekval</w:t>
      </w:r>
      <w:bookmarkEnd w:id="40"/>
      <w:bookmarkEnd w:id="41"/>
      <w:r w:rsidRPr="00181510">
        <w:rPr>
          <w:sz w:val="24"/>
          <w:szCs w:val="24"/>
          <w:lang w:val="fr-FR"/>
        </w:rPr>
        <w:t>l</w:t>
      </w:r>
      <w:bookmarkEnd w:id="42"/>
      <w:proofErr w:type="spellEnd"/>
      <w:r w:rsidRPr="00181510">
        <w:rPr>
          <w:sz w:val="24"/>
          <w:szCs w:val="24"/>
          <w:lang w:val="fr-FR"/>
        </w:rPr>
        <w:t xml:space="preserve"> </w:t>
      </w:r>
    </w:p>
    <w:p w14:paraId="3567974D" w14:textId="77777777" w:rsidR="00002DAC" w:rsidRPr="00181510" w:rsidRDefault="00002DAC" w:rsidP="00002DAC">
      <w:pPr>
        <w:pStyle w:val="NaKop1"/>
        <w:rPr>
          <w:lang w:val="fr-FR"/>
        </w:rPr>
      </w:pPr>
    </w:p>
    <w:p w14:paraId="3567974E" w14:textId="77777777" w:rsidR="00002DAC" w:rsidRPr="00181510" w:rsidRDefault="00002DAC" w:rsidP="00002DAC">
      <w:pPr>
        <w:pStyle w:val="Intro"/>
        <w:jc w:val="both"/>
        <w:rPr>
          <w:rFonts w:ascii="Trebuchet MS" w:hAnsi="Trebuchet MS"/>
          <w:sz w:val="20"/>
          <w:szCs w:val="20"/>
          <w:lang w:val="fr-FR"/>
        </w:rPr>
      </w:pPr>
      <w:r w:rsidRPr="00181510">
        <w:rPr>
          <w:rFonts w:ascii="Trebuchet MS" w:hAnsi="Trebuchet MS"/>
          <w:sz w:val="20"/>
          <w:szCs w:val="20"/>
          <w:lang w:val="fr-FR"/>
        </w:rPr>
        <w:t xml:space="preserve">La plupart des efforts en faveur de l'égalité des sexes, qu'ils s'inscrivent ou non dans le contexte de la </w:t>
      </w:r>
      <w:proofErr w:type="spellStart"/>
      <w:r w:rsidRPr="00181510">
        <w:rPr>
          <w:rFonts w:ascii="Trebuchet MS" w:hAnsi="Trebuchet MS"/>
          <w:sz w:val="20"/>
          <w:szCs w:val="20"/>
          <w:lang w:val="fr-FR"/>
        </w:rPr>
        <w:t>RCSNU</w:t>
      </w:r>
      <w:proofErr w:type="spellEnd"/>
      <w:r w:rsidRPr="00181510">
        <w:rPr>
          <w:rFonts w:ascii="Trebuchet MS" w:hAnsi="Trebuchet MS"/>
          <w:sz w:val="20"/>
          <w:szCs w:val="20"/>
          <w:lang w:val="fr-FR"/>
        </w:rPr>
        <w:t xml:space="preserve"> 1325, ont consisté à autonomiser les femmes et </w:t>
      </w:r>
      <w:r w:rsidR="00295FBD">
        <w:rPr>
          <w:rFonts w:ascii="Trebuchet MS" w:hAnsi="Trebuchet MS"/>
          <w:sz w:val="20"/>
          <w:szCs w:val="20"/>
          <w:lang w:val="fr-FR"/>
        </w:rPr>
        <w:t xml:space="preserve">à </w:t>
      </w:r>
      <w:r w:rsidRPr="00181510">
        <w:rPr>
          <w:rFonts w:ascii="Trebuchet MS" w:hAnsi="Trebuchet MS"/>
          <w:sz w:val="20"/>
          <w:szCs w:val="20"/>
          <w:lang w:val="fr-FR"/>
        </w:rPr>
        <w:t xml:space="preserve">combattre </w:t>
      </w:r>
      <w:r w:rsidR="00295FBD">
        <w:rPr>
          <w:rFonts w:ascii="Trebuchet MS" w:hAnsi="Trebuchet MS"/>
          <w:sz w:val="20"/>
          <w:szCs w:val="20"/>
          <w:lang w:val="fr-FR"/>
        </w:rPr>
        <w:t>la</w:t>
      </w:r>
      <w:r w:rsidRPr="00181510">
        <w:rPr>
          <w:rFonts w:ascii="Trebuchet MS" w:hAnsi="Trebuchet MS"/>
          <w:sz w:val="20"/>
          <w:szCs w:val="20"/>
          <w:lang w:val="fr-FR"/>
        </w:rPr>
        <w:t xml:space="preserve"> violence </w:t>
      </w:r>
      <w:r w:rsidR="00295FBD">
        <w:rPr>
          <w:rFonts w:ascii="Trebuchet MS" w:hAnsi="Trebuchet MS"/>
          <w:sz w:val="20"/>
          <w:szCs w:val="20"/>
          <w:lang w:val="fr-FR"/>
        </w:rPr>
        <w:t>à leur encontre</w:t>
      </w:r>
      <w:r w:rsidRPr="00181510">
        <w:rPr>
          <w:rFonts w:ascii="Trebuchet MS" w:hAnsi="Trebuchet MS"/>
          <w:sz w:val="20"/>
          <w:szCs w:val="20"/>
          <w:lang w:val="fr-FR"/>
        </w:rPr>
        <w:t xml:space="preserve">, tout en accordant une attention </w:t>
      </w:r>
      <w:r w:rsidR="00295FBD">
        <w:rPr>
          <w:rFonts w:ascii="Trebuchet MS" w:hAnsi="Trebuchet MS"/>
          <w:sz w:val="20"/>
          <w:szCs w:val="20"/>
          <w:lang w:val="fr-FR"/>
        </w:rPr>
        <w:t>réduite</w:t>
      </w:r>
      <w:r w:rsidRPr="00181510">
        <w:rPr>
          <w:rFonts w:ascii="Trebuchet MS" w:hAnsi="Trebuchet MS"/>
          <w:sz w:val="20"/>
          <w:szCs w:val="20"/>
          <w:lang w:val="fr-FR"/>
        </w:rPr>
        <w:t xml:space="preserve"> ou nulle au rôle des hommes.</w:t>
      </w:r>
      <w:r w:rsidR="00295FBD">
        <w:rPr>
          <w:rFonts w:ascii="Trebuchet MS" w:hAnsi="Trebuchet MS"/>
          <w:sz w:val="20"/>
          <w:szCs w:val="20"/>
          <w:lang w:val="fr-FR"/>
        </w:rPr>
        <w:t xml:space="preserve"> Il existe pourtant de nombreux arguments en faveur d</w:t>
      </w:r>
      <w:r w:rsidRPr="00181510">
        <w:rPr>
          <w:rFonts w:ascii="Trebuchet MS" w:hAnsi="Trebuchet MS"/>
          <w:sz w:val="20"/>
          <w:szCs w:val="20"/>
          <w:lang w:val="fr-FR"/>
        </w:rPr>
        <w:t>'</w:t>
      </w:r>
      <w:r w:rsidR="00295FBD">
        <w:rPr>
          <w:rFonts w:ascii="Trebuchet MS" w:hAnsi="Trebuchet MS"/>
          <w:sz w:val="20"/>
          <w:szCs w:val="20"/>
          <w:lang w:val="fr-FR"/>
        </w:rPr>
        <w:t xml:space="preserve">une </w:t>
      </w:r>
      <w:r w:rsidRPr="00181510">
        <w:rPr>
          <w:rFonts w:ascii="Trebuchet MS" w:hAnsi="Trebuchet MS"/>
          <w:sz w:val="20"/>
          <w:szCs w:val="20"/>
          <w:lang w:val="fr-FR"/>
        </w:rPr>
        <w:t>implication des hommes et d'un travail sur les normes de masculinité en lien avec la violence et les conflits</w:t>
      </w:r>
      <w:r w:rsidR="00295FBD">
        <w:rPr>
          <w:rFonts w:ascii="Trebuchet MS" w:hAnsi="Trebuchet MS"/>
          <w:sz w:val="20"/>
          <w:szCs w:val="20"/>
          <w:lang w:val="fr-FR"/>
        </w:rPr>
        <w:t> </w:t>
      </w:r>
      <w:r w:rsidRPr="00181510">
        <w:rPr>
          <w:rFonts w:ascii="Trebuchet MS" w:hAnsi="Trebuchet MS"/>
          <w:sz w:val="20"/>
          <w:szCs w:val="20"/>
          <w:lang w:val="fr-FR"/>
        </w:rPr>
        <w:t xml:space="preserve">: 1) sans la sensibilité et l'adhésion des </w:t>
      </w:r>
      <w:r w:rsidR="003B7F1D" w:rsidRPr="00181510">
        <w:rPr>
          <w:rFonts w:ascii="Trebuchet MS" w:hAnsi="Trebuchet MS"/>
          <w:sz w:val="20"/>
          <w:szCs w:val="20"/>
          <w:lang w:val="fr-FR"/>
        </w:rPr>
        <w:t>hommes, il</w:t>
      </w:r>
      <w:r w:rsidRPr="00181510">
        <w:rPr>
          <w:rFonts w:ascii="Trebuchet MS" w:hAnsi="Trebuchet MS"/>
          <w:sz w:val="20"/>
          <w:szCs w:val="20"/>
          <w:lang w:val="fr-FR"/>
        </w:rPr>
        <w:t xml:space="preserve"> est beaucoup plus difficile pour les femmes d'accéder à des positions de leadership dans la société ; 2) l'implication des hommes et la remise en cause des normes en vigueur est d'autant plus importante que la majorité des auteurs de violences, </w:t>
      </w:r>
      <w:r w:rsidR="00295FBD">
        <w:rPr>
          <w:rFonts w:ascii="Trebuchet MS" w:hAnsi="Trebuchet MS"/>
          <w:sz w:val="20"/>
          <w:szCs w:val="20"/>
          <w:lang w:val="fr-FR"/>
        </w:rPr>
        <w:t>dans le cadre d</w:t>
      </w:r>
      <w:r w:rsidR="006A0F0A" w:rsidRPr="00181510">
        <w:rPr>
          <w:rFonts w:ascii="Trebuchet MS" w:hAnsi="Trebuchet MS"/>
          <w:lang w:val="fr-FR"/>
        </w:rPr>
        <w:t>'</w:t>
      </w:r>
      <w:r w:rsidR="00295FBD">
        <w:rPr>
          <w:rFonts w:ascii="Trebuchet MS" w:hAnsi="Trebuchet MS"/>
          <w:sz w:val="20"/>
          <w:szCs w:val="20"/>
          <w:lang w:val="fr-FR"/>
        </w:rPr>
        <w:t xml:space="preserve">un </w:t>
      </w:r>
      <w:r w:rsidRPr="00181510">
        <w:rPr>
          <w:rFonts w:ascii="Trebuchet MS" w:hAnsi="Trebuchet MS"/>
          <w:sz w:val="20"/>
          <w:szCs w:val="20"/>
          <w:lang w:val="fr-FR"/>
        </w:rPr>
        <w:t xml:space="preserve">conflit armé ou non, sont des hommes ; 3) le monde militaire et le militarisme sont tous deux construits sur une certaine idée de la masculinité et des hommes ; 4) les hommes sont </w:t>
      </w:r>
      <w:r w:rsidR="00295FBD" w:rsidRPr="00181510">
        <w:rPr>
          <w:rFonts w:ascii="Trebuchet MS" w:hAnsi="Trebuchet MS"/>
          <w:sz w:val="20"/>
          <w:szCs w:val="20"/>
          <w:lang w:val="fr-FR"/>
        </w:rPr>
        <w:t xml:space="preserve">aussi </w:t>
      </w:r>
      <w:r w:rsidRPr="00181510">
        <w:rPr>
          <w:rFonts w:ascii="Trebuchet MS" w:hAnsi="Trebuchet MS"/>
          <w:sz w:val="20"/>
          <w:szCs w:val="20"/>
          <w:lang w:val="fr-FR"/>
        </w:rPr>
        <w:t xml:space="preserve">victimes de normes de masculinité destructrices, comme celles qui les obligent à se montrer forts, à assurer la subsistance de leur famille, et, dans bien des cas, à combattre et à ne pas se laisser percevoir comme victimes ; 5) de plus en plus d'études montrent que les sources de conflit diffèrent selon les sexes, que les normes patriarcales de la féminité et </w:t>
      </w:r>
      <w:r w:rsidR="00295FBD">
        <w:rPr>
          <w:rFonts w:ascii="Trebuchet MS" w:hAnsi="Trebuchet MS"/>
          <w:sz w:val="20"/>
          <w:szCs w:val="20"/>
          <w:lang w:val="fr-FR"/>
        </w:rPr>
        <w:t xml:space="preserve">de </w:t>
      </w:r>
      <w:r w:rsidRPr="00181510">
        <w:rPr>
          <w:rFonts w:ascii="Trebuchet MS" w:hAnsi="Trebuchet MS"/>
          <w:sz w:val="20"/>
          <w:szCs w:val="20"/>
          <w:lang w:val="fr-FR"/>
        </w:rPr>
        <w:t xml:space="preserve">la masculinité influencent la dynamique du conflit, en qu'en conséquence, travailler avec les masculinités a une valeur préventive. Envisager le genre comme une question limitée à </w:t>
      </w:r>
      <w:r w:rsidR="00295FBD">
        <w:rPr>
          <w:rFonts w:ascii="Trebuchet MS" w:hAnsi="Trebuchet MS"/>
          <w:sz w:val="20"/>
          <w:szCs w:val="20"/>
          <w:lang w:val="fr-FR"/>
        </w:rPr>
        <w:t xml:space="preserve">celle </w:t>
      </w:r>
      <w:r w:rsidRPr="00181510">
        <w:rPr>
          <w:rFonts w:ascii="Trebuchet MS" w:hAnsi="Trebuchet MS"/>
          <w:sz w:val="20"/>
          <w:szCs w:val="20"/>
          <w:lang w:val="fr-FR"/>
        </w:rPr>
        <w:t xml:space="preserve">des femmes et l'approche par le genre comme </w:t>
      </w:r>
      <w:r w:rsidR="00295FBD">
        <w:rPr>
          <w:rFonts w:ascii="Trebuchet MS" w:hAnsi="Trebuchet MS"/>
          <w:sz w:val="20"/>
          <w:szCs w:val="20"/>
          <w:lang w:val="fr-FR"/>
        </w:rPr>
        <w:t>une</w:t>
      </w:r>
      <w:r w:rsidRPr="00181510">
        <w:rPr>
          <w:rFonts w:ascii="Trebuchet MS" w:hAnsi="Trebuchet MS"/>
          <w:sz w:val="20"/>
          <w:szCs w:val="20"/>
          <w:lang w:val="fr-FR"/>
        </w:rPr>
        <w:t xml:space="preserve"> simple prise en compte des femmes et des petites filles est problématique pour plusieurs raisons. Ne pas analyser ni prendre en compte la façon dont les no</w:t>
      </w:r>
      <w:r w:rsidR="00295FBD">
        <w:rPr>
          <w:rFonts w:ascii="Trebuchet MS" w:hAnsi="Trebuchet MS"/>
          <w:sz w:val="20"/>
          <w:szCs w:val="20"/>
          <w:lang w:val="fr-FR"/>
        </w:rPr>
        <w:t>rmes de masculinité</w:t>
      </w:r>
      <w:r w:rsidRPr="00181510">
        <w:rPr>
          <w:rFonts w:ascii="Trebuchet MS" w:hAnsi="Trebuchet MS"/>
          <w:sz w:val="20"/>
          <w:szCs w:val="20"/>
          <w:lang w:val="fr-FR"/>
        </w:rPr>
        <w:t xml:space="preserve"> influencent la violence, le conflit et la militarisation peut gravement entraver l'établissement d'une paix durable. </w:t>
      </w:r>
    </w:p>
    <w:p w14:paraId="3567974F" w14:textId="77777777" w:rsidR="00002DAC" w:rsidRPr="00181510" w:rsidRDefault="00295FBD" w:rsidP="00295FBD">
      <w:pPr>
        <w:pStyle w:val="Titre2"/>
        <w:numPr>
          <w:ilvl w:val="0"/>
          <w:numId w:val="0"/>
        </w:numPr>
        <w:rPr>
          <w:lang w:val="fr-FR"/>
        </w:rPr>
      </w:pPr>
      <w:bookmarkStart w:id="43" w:name="_Toc411365701"/>
      <w:bookmarkStart w:id="44" w:name="_Toc417545146"/>
      <w:r w:rsidRPr="00661D61">
        <w:rPr>
          <w:sz w:val="18"/>
          <w:szCs w:val="18"/>
          <w:lang w:val="fr-FR"/>
        </w:rPr>
        <w:lastRenderedPageBreak/>
        <w:t>3.1</w:t>
      </w:r>
      <w:r w:rsidR="00661D61" w:rsidRPr="00661D61">
        <w:rPr>
          <w:sz w:val="18"/>
          <w:szCs w:val="18"/>
          <w:lang w:val="fr-FR"/>
        </w:rPr>
        <w:t xml:space="preserve"> </w:t>
      </w:r>
      <w:r w:rsidR="00002DAC" w:rsidRPr="00181510">
        <w:rPr>
          <w:lang w:val="fr-FR"/>
        </w:rPr>
        <w:t>Pourquoi travailler avec les hommes et les masculinités ?</w:t>
      </w:r>
      <w:bookmarkEnd w:id="43"/>
      <w:bookmarkEnd w:id="44"/>
    </w:p>
    <w:p w14:paraId="35679750"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Cet article dresse un état des lieux en commençant par s'intéresser au cadre de travail conceptuel </w:t>
      </w:r>
      <w:r w:rsidR="003C51DB">
        <w:rPr>
          <w:rFonts w:ascii="Trebuchet MS" w:hAnsi="Trebuchet MS"/>
          <w:lang w:val="fr-FR"/>
        </w:rPr>
        <w:t>autour des</w:t>
      </w:r>
      <w:r w:rsidRPr="00181510">
        <w:rPr>
          <w:rFonts w:ascii="Trebuchet MS" w:hAnsi="Trebuchet MS"/>
          <w:lang w:val="fr-FR"/>
        </w:rPr>
        <w:t xml:space="preserve"> normes de genre, et en par</w:t>
      </w:r>
      <w:r w:rsidR="003C51DB">
        <w:rPr>
          <w:rFonts w:ascii="Trebuchet MS" w:hAnsi="Trebuchet MS"/>
          <w:lang w:val="fr-FR"/>
        </w:rPr>
        <w:t>ticulier d</w:t>
      </w:r>
      <w:r w:rsidRPr="00181510">
        <w:rPr>
          <w:rFonts w:ascii="Trebuchet MS" w:hAnsi="Trebuchet MS"/>
          <w:lang w:val="fr-FR"/>
        </w:rPr>
        <w:t xml:space="preserve">es masculinités et </w:t>
      </w:r>
      <w:r w:rsidR="003C51DB">
        <w:rPr>
          <w:rFonts w:ascii="Trebuchet MS" w:hAnsi="Trebuchet MS"/>
          <w:lang w:val="fr-FR"/>
        </w:rPr>
        <w:t xml:space="preserve">de </w:t>
      </w:r>
      <w:r w:rsidRPr="00181510">
        <w:rPr>
          <w:rFonts w:ascii="Trebuchet MS" w:hAnsi="Trebuchet MS"/>
          <w:lang w:val="fr-FR"/>
        </w:rPr>
        <w:t>leurs liens avec la violence et le conflit. L'article fournit ensuite une série d'exemples montrant comment différentes organisations et institutions travaillent avec les hommes, les masculinités et la résolution 1325, avant de finalement répertorier un certain nombre de questions méritant une réflexion, des débats, et éventuellement, des actions</w:t>
      </w:r>
      <w:r w:rsidRPr="00181510">
        <w:rPr>
          <w:rFonts w:ascii="Trebuchet MS" w:hAnsi="Trebuchet MS"/>
          <w:sz w:val="22"/>
          <w:lang w:val="fr-FR"/>
        </w:rPr>
        <w:t xml:space="preserve"> </w:t>
      </w:r>
      <w:r w:rsidRPr="003C51DB">
        <w:rPr>
          <w:rFonts w:ascii="Trebuchet MS" w:hAnsi="Trebuchet MS"/>
          <w:lang w:val="fr-FR"/>
        </w:rPr>
        <w:t>supplémentaires.</w:t>
      </w:r>
    </w:p>
    <w:p w14:paraId="35679751" w14:textId="77777777" w:rsidR="00002DAC" w:rsidRPr="00181510" w:rsidRDefault="003C51DB" w:rsidP="003C51DB">
      <w:pPr>
        <w:pStyle w:val="Titre2"/>
        <w:numPr>
          <w:ilvl w:val="0"/>
          <w:numId w:val="0"/>
        </w:numPr>
        <w:rPr>
          <w:lang w:val="fr-FR"/>
        </w:rPr>
      </w:pPr>
      <w:bookmarkStart w:id="45" w:name="_Toc411365702"/>
      <w:bookmarkStart w:id="46" w:name="_Toc417545147"/>
      <w:r w:rsidRPr="00661D61">
        <w:rPr>
          <w:sz w:val="18"/>
          <w:szCs w:val="18"/>
          <w:lang w:val="fr-FR"/>
        </w:rPr>
        <w:t>3.2</w:t>
      </w:r>
      <w:r w:rsidR="00661D61">
        <w:rPr>
          <w:sz w:val="19"/>
          <w:szCs w:val="19"/>
          <w:lang w:val="fr-FR"/>
        </w:rPr>
        <w:t xml:space="preserve"> </w:t>
      </w:r>
      <w:r w:rsidR="00002DAC" w:rsidRPr="00181510">
        <w:rPr>
          <w:lang w:val="fr-FR"/>
        </w:rPr>
        <w:t>Cadre conceptuel</w:t>
      </w:r>
      <w:bookmarkEnd w:id="45"/>
      <w:bookmarkEnd w:id="46"/>
    </w:p>
    <w:p w14:paraId="35679752" w14:textId="77777777" w:rsidR="00002DAC" w:rsidRPr="00181510" w:rsidRDefault="00002DAC" w:rsidP="00002DAC">
      <w:pPr>
        <w:jc w:val="both"/>
        <w:rPr>
          <w:rFonts w:ascii="Trebuchet MS" w:hAnsi="Trebuchet MS"/>
          <w:lang w:val="fr-FR"/>
        </w:rPr>
      </w:pPr>
      <w:r w:rsidRPr="00181510">
        <w:rPr>
          <w:rFonts w:ascii="Trebuchet MS" w:hAnsi="Trebuchet MS"/>
          <w:lang w:val="fr-FR"/>
        </w:rPr>
        <w:t>Premièrement, il faut rappeler que les questions de genre ne se résument pas à la question des femmes. Chaque être humain a un sexe. De plus, masculinité</w:t>
      </w:r>
      <w:r w:rsidR="003C51DB">
        <w:rPr>
          <w:rFonts w:ascii="Trebuchet MS" w:hAnsi="Trebuchet MS"/>
          <w:lang w:val="fr-FR"/>
        </w:rPr>
        <w:t xml:space="preserve"> n'est pas synonyme d</w:t>
      </w:r>
      <w:r w:rsidR="006A0F0A" w:rsidRPr="00181510">
        <w:rPr>
          <w:rFonts w:ascii="Trebuchet MS" w:hAnsi="Trebuchet MS"/>
          <w:lang w:val="fr-FR"/>
        </w:rPr>
        <w:t>'</w:t>
      </w:r>
      <w:r w:rsidRPr="00181510">
        <w:rPr>
          <w:rFonts w:ascii="Trebuchet MS" w:hAnsi="Trebuchet MS"/>
          <w:lang w:val="fr-FR"/>
        </w:rPr>
        <w:t>homme</w:t>
      </w:r>
      <w:r w:rsidR="003C51DB">
        <w:rPr>
          <w:rFonts w:ascii="Trebuchet MS" w:hAnsi="Trebuchet MS"/>
          <w:lang w:val="fr-FR"/>
        </w:rPr>
        <w:t>.</w:t>
      </w:r>
      <w:r w:rsidRPr="00181510">
        <w:rPr>
          <w:rFonts w:ascii="Trebuchet MS" w:hAnsi="Trebuchet MS"/>
          <w:lang w:val="fr-FR"/>
        </w:rPr>
        <w:t xml:space="preserve"> </w:t>
      </w:r>
      <w:r w:rsidR="003C51DB">
        <w:rPr>
          <w:rFonts w:ascii="Trebuchet MS" w:hAnsi="Trebuchet MS"/>
          <w:lang w:val="fr-FR"/>
        </w:rPr>
        <w:t>La masculinité est</w:t>
      </w:r>
      <w:r w:rsidRPr="00181510">
        <w:rPr>
          <w:rFonts w:ascii="Trebuchet MS" w:hAnsi="Trebuchet MS"/>
          <w:lang w:val="fr-FR"/>
        </w:rPr>
        <w:t xml:space="preserve"> plutôt un concept englobant une certaine idée de la manière dont un homme doit être, paraître, penser et agir. Étant donné qu'il existe de nombreuses normes sociales, culturelles et religieuses définissant l'être et l'agir de l'homme idéal, il existe une multitude de masculinités différentes. De manière générale, les normes de masculinité (et de féminité) </w:t>
      </w:r>
      <w:r w:rsidR="003C51DB">
        <w:rPr>
          <w:rFonts w:ascii="Trebuchet MS" w:hAnsi="Trebuchet MS"/>
          <w:lang w:val="fr-FR"/>
        </w:rPr>
        <w:t>se répartissent</w:t>
      </w:r>
      <w:r w:rsidRPr="00181510">
        <w:rPr>
          <w:rFonts w:ascii="Trebuchet MS" w:hAnsi="Trebuchet MS"/>
          <w:lang w:val="fr-FR"/>
        </w:rPr>
        <w:t xml:space="preserve"> le long d'un spectre continu allant de patriarcales à égalitaires. Aucune société n'est 100 % patriarcale ou 100 % égalitaire. Toutes les sociétés s'échelonnent entre les deux extrêmes du spectre, et leur position peut évoluer avec le temps. Les normes de genre sont produites, entretenues et transmises par des institutions et structures telles que la religion, l'éducation, les systèmes de sécurité sociale, la législation, l'armée et les médias. Les normes patriarcales de la masculinité encouragent notamment la dominance, la compétition, la prise de risque, le pouvoir exercé sur les femmes, le mépris des homosexuels, la force et le contrôle des émotions. Les normes patriarcales peuvent aussi être hégémoniques, affirmant non seulement que les hommes doivent dominer les femmes, empêchant de fait l'autonomisation </w:t>
      </w:r>
      <w:r w:rsidR="00BB5801">
        <w:rPr>
          <w:rFonts w:ascii="Trebuchet MS" w:hAnsi="Trebuchet MS"/>
          <w:lang w:val="fr-FR"/>
        </w:rPr>
        <w:t>de celles-ci</w:t>
      </w:r>
      <w:r w:rsidRPr="00181510">
        <w:rPr>
          <w:rFonts w:ascii="Trebuchet MS" w:hAnsi="Trebuchet MS"/>
          <w:lang w:val="fr-FR"/>
        </w:rPr>
        <w:t xml:space="preserve">, mais que certains hommes doivent aussi dominer les autres hommes. Ces normes créent des structures hiérarchiques où les personnes sont classées non seulement en fonction de leur sexe, origine ethnique, âge, éducation, orientation sexuelle, </w:t>
      </w:r>
      <w:r w:rsidR="003B7F1D" w:rsidRPr="00181510">
        <w:rPr>
          <w:rFonts w:ascii="Trebuchet MS" w:hAnsi="Trebuchet MS"/>
          <w:lang w:val="fr-FR"/>
        </w:rPr>
        <w:t>etc.</w:t>
      </w:r>
      <w:r w:rsidRPr="00181510">
        <w:rPr>
          <w:rFonts w:ascii="Trebuchet MS" w:hAnsi="Trebuchet MS"/>
          <w:lang w:val="fr-FR"/>
        </w:rPr>
        <w:t xml:space="preserve">, mais aussi en fonction de leur conformité aux normes patriarcales. Les normes patriarcales de la féminité et de la masculinité interagissent avec différents facteurs sociaux, parmi lesquels la religion, l'éducation, le statut socio-économique, la classe d'âge, </w:t>
      </w:r>
      <w:r w:rsidR="003B7F1D" w:rsidRPr="00181510">
        <w:rPr>
          <w:rFonts w:ascii="Trebuchet MS" w:hAnsi="Trebuchet MS"/>
          <w:lang w:val="fr-FR"/>
        </w:rPr>
        <w:t>etc.</w:t>
      </w:r>
      <w:r w:rsidRPr="00181510">
        <w:rPr>
          <w:rFonts w:ascii="Trebuchet MS" w:hAnsi="Trebuchet MS"/>
          <w:lang w:val="fr-FR"/>
        </w:rPr>
        <w:t xml:space="preserve">, créant différents contextes devant chacun être analysé séparément pour être compris. </w:t>
      </w:r>
    </w:p>
    <w:p w14:paraId="35679753" w14:textId="77777777" w:rsidR="00002DAC" w:rsidRPr="00181510" w:rsidRDefault="00002DAC" w:rsidP="00002DAC">
      <w:pPr>
        <w:jc w:val="both"/>
        <w:rPr>
          <w:rFonts w:ascii="Trebuchet MS" w:hAnsi="Trebuchet MS"/>
          <w:sz w:val="22"/>
          <w:lang w:val="fr-FR"/>
        </w:rPr>
      </w:pPr>
    </w:p>
    <w:p w14:paraId="35679754" w14:textId="77777777" w:rsidR="00002DAC" w:rsidRPr="00181510" w:rsidRDefault="00002DAC" w:rsidP="00002DAC">
      <w:pPr>
        <w:jc w:val="both"/>
        <w:rPr>
          <w:rFonts w:ascii="Trebuchet MS" w:hAnsi="Trebuchet MS"/>
          <w:sz w:val="22"/>
          <w:lang w:val="fr-FR"/>
        </w:rPr>
      </w:pPr>
      <w:r w:rsidRPr="00181510">
        <w:rPr>
          <w:rFonts w:ascii="Trebuchet MS" w:hAnsi="Trebuchet MS"/>
          <w:lang w:val="fr-FR"/>
        </w:rPr>
        <w:t xml:space="preserve">Les structures sociales patriarcales de la plupart des pays du monde, </w:t>
      </w:r>
      <w:r w:rsidR="00BB5801">
        <w:rPr>
          <w:rFonts w:ascii="Trebuchet MS" w:hAnsi="Trebuchet MS"/>
          <w:lang w:val="fr-FR"/>
        </w:rPr>
        <w:t>lesquelles</w:t>
      </w:r>
      <w:r w:rsidRPr="00181510">
        <w:rPr>
          <w:rFonts w:ascii="Trebuchet MS" w:hAnsi="Trebuchet MS"/>
          <w:lang w:val="fr-FR"/>
        </w:rPr>
        <w:t xml:space="preserve"> ne sont pas cantonnées aux pays en voie de développement ou en situation de conflit, incitent les hommes à recourir à la violence pour se faire respecter et pour venger les affronts perçus. Cette violence prescrite en tant que méthode préférentielle de rétribution et de résolution des conflits est encore plus exacerbée dans les cultures dites d'honneur, répandues dans le monde entier et non uniquement au Moyen-Orient, comme le </w:t>
      </w:r>
      <w:r w:rsidR="00BB5801">
        <w:rPr>
          <w:rFonts w:ascii="Trebuchet MS" w:hAnsi="Trebuchet MS"/>
          <w:lang w:val="fr-FR"/>
        </w:rPr>
        <w:t>prétendent</w:t>
      </w:r>
      <w:r w:rsidRPr="00181510">
        <w:rPr>
          <w:rFonts w:ascii="Trebuchet MS" w:hAnsi="Trebuchet MS"/>
          <w:lang w:val="fr-FR"/>
        </w:rPr>
        <w:t xml:space="preserve"> les idées reçues. Ces structures patriarcales et marquées par la notion d'honneur peuvent favoriser la violence interpersonnelle, comme les bagarres entre hommes en réponse à une insulte ou une rayure de carrosserie, ou la violence exercée contre les femmes par leurs partenaires en réponse à un affront perçu. Elles peuvent aussi favoriser la violence sociétale lorsque des groupes se sentent insultés ou discri</w:t>
      </w:r>
      <w:r w:rsidR="00ED3DB1">
        <w:rPr>
          <w:rFonts w:ascii="Trebuchet MS" w:hAnsi="Trebuchet MS"/>
          <w:lang w:val="fr-FR"/>
        </w:rPr>
        <w:t>minés pour différentes raisons.</w:t>
      </w:r>
      <w:r w:rsidRPr="00181510">
        <w:rPr>
          <w:rFonts w:ascii="Trebuchet MS" w:hAnsi="Trebuchet MS"/>
          <w:lang w:val="fr-FR"/>
        </w:rPr>
        <w:t xml:space="preserve"> Ces normes approbatrices de la </w:t>
      </w:r>
      <w:r w:rsidRPr="00181510">
        <w:rPr>
          <w:rFonts w:ascii="Trebuchet MS" w:hAnsi="Trebuchet MS"/>
          <w:lang w:val="fr-FR"/>
        </w:rPr>
        <w:lastRenderedPageBreak/>
        <w:t>violence sont entretenues et promues à différents niveaux de la société, par exemple à travers une législation laxiste sur les armes, ainsi que par le biais de</w:t>
      </w:r>
      <w:r w:rsidR="00BB5801">
        <w:rPr>
          <w:rFonts w:ascii="Trebuchet MS" w:hAnsi="Trebuchet MS"/>
          <w:lang w:val="fr-FR"/>
        </w:rPr>
        <w:t>s</w:t>
      </w:r>
      <w:r w:rsidRPr="00181510">
        <w:rPr>
          <w:rFonts w:ascii="Trebuchet MS" w:hAnsi="Trebuchet MS"/>
          <w:lang w:val="fr-FR"/>
        </w:rPr>
        <w:t xml:space="preserve"> communautés fermées, de la religion et de la pression des pairs. Il est donc essentiel de prendre en compte les normes de masculinité patriarcales et hégémoniques dans le travail de prévention et de gestion de la violence, étant donné que ces normes forment des croyances collectives puissantes sur ce qui est bon et ce qui est mauvais, </w:t>
      </w:r>
      <w:r w:rsidR="00BB5801">
        <w:rPr>
          <w:rFonts w:ascii="Trebuchet MS" w:hAnsi="Trebuchet MS"/>
          <w:lang w:val="fr-FR"/>
        </w:rPr>
        <w:t>et s</w:t>
      </w:r>
      <w:r w:rsidR="006A0F0A" w:rsidRPr="00181510">
        <w:rPr>
          <w:rFonts w:ascii="Trebuchet MS" w:hAnsi="Trebuchet MS"/>
          <w:lang w:val="fr-FR"/>
        </w:rPr>
        <w:t>'</w:t>
      </w:r>
      <w:r w:rsidR="00BB5801">
        <w:rPr>
          <w:rFonts w:ascii="Trebuchet MS" w:hAnsi="Trebuchet MS"/>
          <w:lang w:val="fr-FR"/>
        </w:rPr>
        <w:t>imposent</w:t>
      </w:r>
      <w:r w:rsidRPr="00181510">
        <w:rPr>
          <w:rFonts w:ascii="Trebuchet MS" w:hAnsi="Trebuchet MS"/>
          <w:lang w:val="fr-FR"/>
        </w:rPr>
        <w:t xml:space="preserve"> en tant que règles (in)formelles définissant les comportements acceptés et attendus à titre personnel et collectif.</w:t>
      </w:r>
    </w:p>
    <w:p w14:paraId="35679755" w14:textId="77777777" w:rsidR="00002DAC" w:rsidRPr="00181510" w:rsidRDefault="00002DAC" w:rsidP="00002DAC">
      <w:pPr>
        <w:jc w:val="both"/>
        <w:rPr>
          <w:rFonts w:ascii="Trebuchet MS" w:hAnsi="Trebuchet MS"/>
          <w:sz w:val="22"/>
          <w:lang w:val="fr-FR"/>
        </w:rPr>
      </w:pPr>
    </w:p>
    <w:p w14:paraId="35679756" w14:textId="77777777" w:rsidR="00002DAC" w:rsidRPr="00181510" w:rsidRDefault="00002DAC" w:rsidP="00002DAC">
      <w:pPr>
        <w:jc w:val="both"/>
        <w:rPr>
          <w:rFonts w:ascii="Trebuchet MS" w:hAnsi="Trebuchet MS"/>
          <w:lang w:val="fr-FR"/>
        </w:rPr>
      </w:pPr>
      <w:r w:rsidRPr="00181510">
        <w:rPr>
          <w:rFonts w:ascii="Trebuchet MS" w:hAnsi="Trebuchet MS"/>
          <w:lang w:val="fr-FR"/>
        </w:rPr>
        <w:t>Les normes acceptées expliquent un grand nombre de comportements, et c'est pourquoi il est nécessaire d'analyser les normes de masculinité et leurs liens avec la violence pour comprendre et prévenir les comportements violents. Par exemple, dans les sociétés qui autorisent les hommes à reconnaître leur peur, chose interdite par les normes de type patriarcal, les niveaux de violence sont relativement faibles. Par contraste, dans les sociétés qui idéalisent la bravoure masculine et le déni de la peur chez les hommes, les niveaux de violence sont bien plus élevés. Les normes patriarcales nuisent souvent aux hommes, et pas seulement à ceux qui sont perçu</w:t>
      </w:r>
      <w:r w:rsidR="00BB5801">
        <w:rPr>
          <w:rFonts w:ascii="Trebuchet MS" w:hAnsi="Trebuchet MS"/>
          <w:lang w:val="fr-FR"/>
        </w:rPr>
        <w:t>s</w:t>
      </w:r>
      <w:r w:rsidRPr="00181510">
        <w:rPr>
          <w:rFonts w:ascii="Trebuchet MS" w:hAnsi="Trebuchet MS"/>
          <w:lang w:val="fr-FR"/>
        </w:rPr>
        <w:t xml:space="preserve"> comme "peu virils", tels que les homosexuels, ou ceux qui ne correspondent pas, pour diverses raisons, aux critères </w:t>
      </w:r>
      <w:r w:rsidR="00BB5801">
        <w:rPr>
          <w:rFonts w:ascii="Trebuchet MS" w:hAnsi="Trebuchet MS"/>
          <w:lang w:val="fr-FR"/>
        </w:rPr>
        <w:t>définissant</w:t>
      </w:r>
      <w:r w:rsidRPr="00181510">
        <w:rPr>
          <w:rFonts w:ascii="Trebuchet MS" w:hAnsi="Trebuchet MS"/>
          <w:lang w:val="fr-FR"/>
        </w:rPr>
        <w:t xml:space="preserve"> l'homme idéal. En période de difficultés économiques et d'insécurité, il est souvent difficile pour les hommes de se conformer aux attentes de la société quant à leur masculinité, par exemple en assurant la subsistance de leur famille, ce qui peut pousser </w:t>
      </w:r>
      <w:r w:rsidR="00BB5801">
        <w:rPr>
          <w:rFonts w:ascii="Trebuchet MS" w:hAnsi="Trebuchet MS"/>
          <w:lang w:val="fr-FR"/>
        </w:rPr>
        <w:t xml:space="preserve">ces derniers </w:t>
      </w:r>
      <w:r w:rsidRPr="00181510">
        <w:rPr>
          <w:rFonts w:ascii="Trebuchet MS" w:hAnsi="Trebuchet MS"/>
          <w:lang w:val="fr-FR"/>
        </w:rPr>
        <w:t xml:space="preserve">à recourir à la violence dans l'espoir de récupérer respect et pouvoir. De fait, les études prouvent que le sentiment d'impuissance, associé à celui de mériter un </w:t>
      </w:r>
      <w:r w:rsidR="00BB5801">
        <w:rPr>
          <w:rFonts w:ascii="Trebuchet MS" w:hAnsi="Trebuchet MS"/>
          <w:lang w:val="fr-FR"/>
        </w:rPr>
        <w:t xml:space="preserve">certain </w:t>
      </w:r>
      <w:r w:rsidRPr="00181510">
        <w:rPr>
          <w:rFonts w:ascii="Trebuchet MS" w:hAnsi="Trebuchet MS"/>
          <w:lang w:val="fr-FR"/>
        </w:rPr>
        <w:t xml:space="preserve">statut, respect et pouvoir dans la société est corrélé à une agressivité et une violence comportementale accrues. Il faut </w:t>
      </w:r>
      <w:r w:rsidR="00BB5801">
        <w:rPr>
          <w:rFonts w:ascii="Trebuchet MS" w:hAnsi="Trebuchet MS"/>
          <w:lang w:val="fr-FR"/>
        </w:rPr>
        <w:t xml:space="preserve">également </w:t>
      </w:r>
      <w:r w:rsidRPr="00181510">
        <w:rPr>
          <w:rFonts w:ascii="Trebuchet MS" w:hAnsi="Trebuchet MS"/>
          <w:lang w:val="fr-FR"/>
        </w:rPr>
        <w:t xml:space="preserve">rappeler que les normes patriarcales de masculinité peuvent aussi être défendues par les femmes. </w:t>
      </w:r>
    </w:p>
    <w:p w14:paraId="35679757" w14:textId="77777777" w:rsidR="00002DAC" w:rsidRPr="00181510" w:rsidRDefault="00002DAC" w:rsidP="00002DAC">
      <w:pPr>
        <w:jc w:val="both"/>
        <w:rPr>
          <w:rFonts w:ascii="Trebuchet MS" w:hAnsi="Trebuchet MS"/>
          <w:lang w:val="fr-FR"/>
        </w:rPr>
      </w:pPr>
    </w:p>
    <w:p w14:paraId="35679758"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Il </w:t>
      </w:r>
      <w:r w:rsidR="001D14C2" w:rsidRPr="00181510">
        <w:rPr>
          <w:rFonts w:ascii="Trebuchet MS" w:hAnsi="Trebuchet MS"/>
          <w:lang w:val="fr-FR"/>
        </w:rPr>
        <w:t>ex</w:t>
      </w:r>
      <w:r w:rsidRPr="00181510">
        <w:rPr>
          <w:rFonts w:ascii="Trebuchet MS" w:hAnsi="Trebuchet MS"/>
          <w:lang w:val="fr-FR"/>
        </w:rPr>
        <w:t xml:space="preserve">iste de nombreux exemples de situations dans lesquelles des femmes ont incité des hommes à agir avec violence, et ont ridiculisé ceux qui ont refusé. Les femmes aussi peuvent être violentes. Une étude récente publiée en Suède montre que les adolescents des deux sexes qui sont </w:t>
      </w:r>
      <w:r w:rsidR="00BB5801">
        <w:rPr>
          <w:rFonts w:ascii="Trebuchet MS" w:hAnsi="Trebuchet MS"/>
          <w:lang w:val="fr-FR"/>
        </w:rPr>
        <w:t>d</w:t>
      </w:r>
      <w:r w:rsidR="006A0F0A" w:rsidRPr="00181510">
        <w:rPr>
          <w:rFonts w:ascii="Trebuchet MS" w:hAnsi="Trebuchet MS"/>
          <w:lang w:val="fr-FR"/>
        </w:rPr>
        <w:t>'</w:t>
      </w:r>
      <w:r w:rsidRPr="00181510">
        <w:rPr>
          <w:rFonts w:ascii="Trebuchet MS" w:hAnsi="Trebuchet MS"/>
          <w:lang w:val="fr-FR"/>
        </w:rPr>
        <w:t xml:space="preserve">accord avec des déclarations patriarcales et stéréotypées sur les normes de genre et la masculinité sont largement plus susceptibles </w:t>
      </w:r>
      <w:r w:rsidR="00BB5801" w:rsidRPr="00181510">
        <w:rPr>
          <w:rFonts w:ascii="Trebuchet MS" w:hAnsi="Trebuchet MS"/>
          <w:lang w:val="fr-FR"/>
        </w:rPr>
        <w:t xml:space="preserve">que leurs pairs </w:t>
      </w:r>
      <w:r w:rsidRPr="00181510">
        <w:rPr>
          <w:rFonts w:ascii="Trebuchet MS" w:hAnsi="Trebuchet MS"/>
          <w:lang w:val="fr-FR"/>
        </w:rPr>
        <w:t xml:space="preserve">de commettre des actes violents. Le militarisme est défini comme l'ensemble des processus </w:t>
      </w:r>
      <w:r w:rsidR="00C10DA4">
        <w:rPr>
          <w:rFonts w:ascii="Trebuchet MS" w:hAnsi="Trebuchet MS"/>
          <w:lang w:val="fr-FR"/>
        </w:rPr>
        <w:t>conduisant</w:t>
      </w:r>
      <w:r w:rsidRPr="00181510">
        <w:rPr>
          <w:rFonts w:ascii="Trebuchet MS" w:hAnsi="Trebuchet MS"/>
          <w:lang w:val="fr-FR"/>
        </w:rPr>
        <w:t xml:space="preserve"> des pratiques caractéristiques du milieu militaire à se répandre dans la sphère civile, brouillant les frontières entre guerre et paix et entre militaires et civils, et normalisant ainsi </w:t>
      </w:r>
      <w:r w:rsidR="00C10DA4">
        <w:rPr>
          <w:rFonts w:ascii="Trebuchet MS" w:hAnsi="Trebuchet MS"/>
          <w:lang w:val="fr-FR"/>
        </w:rPr>
        <w:t>l</w:t>
      </w:r>
      <w:r w:rsidRPr="00181510">
        <w:rPr>
          <w:rFonts w:ascii="Trebuchet MS" w:hAnsi="Trebuchet MS"/>
          <w:lang w:val="fr-FR"/>
        </w:rPr>
        <w:t>es méthodes armées et militaires de résolution des conflits. Le militarisme est, de plus, lourdement influencé par les normes patriarcales et hégémoniques, qui envisagent le soldat comme l'archétype de l'homme idéal au sein d'un système strictement hiérarchique. De fait, les normes patriarcales définissant l'homme comme fort, puissant, agressif, prenant des risques et faisant fi de ses émotions, s'associent facilement aux normes liées aux armes, conduisant de nombreuses cultures et sous-cultures dans le monde à définir le "vrai homme" comme un homme armé.</w:t>
      </w:r>
      <w:r w:rsidRPr="00181510">
        <w:rPr>
          <w:rFonts w:ascii="Trebuchet MS" w:hAnsi="Trebuchet MS" w:cs="Minion-Regular"/>
          <w:lang w:val="fr-FR"/>
        </w:rPr>
        <w:t xml:space="preserve"> Les institutions, éducations et identités militaires créent et entretiennent aussi souvent la misogynie et le sexisme, y compris envers les hommes co</w:t>
      </w:r>
      <w:r w:rsidR="00ED3DB1">
        <w:rPr>
          <w:rFonts w:ascii="Trebuchet MS" w:hAnsi="Trebuchet MS" w:cs="Minion-Regular"/>
          <w:lang w:val="fr-FR"/>
        </w:rPr>
        <w:t>nsidérés comme trop peu virils.</w:t>
      </w:r>
    </w:p>
    <w:p w14:paraId="35679759" w14:textId="77777777" w:rsidR="00002DAC" w:rsidRPr="00181510" w:rsidRDefault="00002DAC" w:rsidP="00002DAC">
      <w:pPr>
        <w:jc w:val="both"/>
        <w:rPr>
          <w:rFonts w:ascii="Trebuchet MS" w:hAnsi="Trebuchet MS"/>
          <w:lang w:val="fr-FR"/>
        </w:rPr>
      </w:pPr>
    </w:p>
    <w:p w14:paraId="3567975A" w14:textId="77777777" w:rsidR="00002DAC" w:rsidRPr="00181510" w:rsidRDefault="00002DAC" w:rsidP="00002DAC">
      <w:pPr>
        <w:jc w:val="both"/>
        <w:rPr>
          <w:rFonts w:ascii="Trebuchet MS" w:hAnsi="Trebuchet MS"/>
          <w:lang w:val="fr-FR"/>
        </w:rPr>
      </w:pPr>
      <w:r w:rsidRPr="00181510">
        <w:rPr>
          <w:rFonts w:ascii="Trebuchet MS" w:hAnsi="Trebuchet MS"/>
          <w:lang w:val="fr-FR"/>
        </w:rPr>
        <w:lastRenderedPageBreak/>
        <w:t xml:space="preserve">De plus, selon les normes patriarcales, les hommes sont censés protéger les membres supposés "faibles" de la société (les femmes, les enfants, les personnes âgées et les hommes peu virils), ainsi que la communauté dans son ensemble. Ce type de protection est </w:t>
      </w:r>
      <w:r w:rsidR="003B7F1D" w:rsidRPr="00181510">
        <w:rPr>
          <w:rFonts w:ascii="Trebuchet MS" w:hAnsi="Trebuchet MS"/>
          <w:lang w:val="fr-FR"/>
        </w:rPr>
        <w:t>prompt</w:t>
      </w:r>
      <w:r w:rsidRPr="00181510">
        <w:rPr>
          <w:rFonts w:ascii="Trebuchet MS" w:hAnsi="Trebuchet MS"/>
          <w:lang w:val="fr-FR"/>
        </w:rPr>
        <w:t xml:space="preserve"> à s'armer. Les armes peuvent être utilisées aussi bien en tant que symbole qu'en tant qu'instrument d'affirmation et de renforcement d'un pouvoir et d'une hégémonie sur les autres. C'est souvent le cas pendant et après un conflit. Les sociétés qui ne sont pas en situation de conflit armé, ainsi que les pays considérés comme étant en paix alors même qu'ils participent à des interventions militaires internationales, peuvent aussi être militarisés et militaristes : consacrant une part importante de leur PNB à l'armée ; développant, produisant et vendant des armes ; recourant à la conscription et transmettant ainsi des valeurs militaires à (une majorité de) jeunes hommes ; mettant les soldats en scène dans les médias en tant que héros ; adoptant une législation laxiste sur les armes ; etc. Travailler à diminuer les degrés de militarisation permet de </w:t>
      </w:r>
      <w:r w:rsidR="00C10DA4">
        <w:rPr>
          <w:rFonts w:ascii="Trebuchet MS" w:hAnsi="Trebuchet MS"/>
          <w:lang w:val="fr-FR"/>
        </w:rPr>
        <w:t>palier à</w:t>
      </w:r>
      <w:r w:rsidRPr="00181510">
        <w:rPr>
          <w:rFonts w:ascii="Trebuchet MS" w:hAnsi="Trebuchet MS"/>
          <w:lang w:val="fr-FR"/>
        </w:rPr>
        <w:t xml:space="preserve"> normalisation des actions militaires en tant que moyen préférentiel de résolution des conflits plutôt qu'en tant que dernier recours.</w:t>
      </w:r>
    </w:p>
    <w:p w14:paraId="3567975B" w14:textId="77777777" w:rsidR="00002DAC" w:rsidRPr="00181510" w:rsidRDefault="00002DAC" w:rsidP="00002DAC">
      <w:pPr>
        <w:jc w:val="both"/>
        <w:rPr>
          <w:rFonts w:ascii="Trebuchet MS" w:hAnsi="Trebuchet MS"/>
          <w:lang w:val="fr-FR"/>
        </w:rPr>
      </w:pPr>
    </w:p>
    <w:p w14:paraId="3567975C"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Étant données les articulations existant entre les normes patriarcales et les deux </w:t>
      </w:r>
      <w:r w:rsidR="00C10DA4">
        <w:rPr>
          <w:rFonts w:ascii="Trebuchet MS" w:hAnsi="Trebuchet MS"/>
          <w:lang w:val="fr-FR"/>
        </w:rPr>
        <w:t>catégories</w:t>
      </w:r>
      <w:r w:rsidRPr="00181510">
        <w:rPr>
          <w:rFonts w:ascii="Trebuchet MS" w:hAnsi="Trebuchet MS"/>
          <w:lang w:val="fr-FR"/>
        </w:rPr>
        <w:t xml:space="preserve"> de normes approbatrices de</w:t>
      </w:r>
      <w:r w:rsidR="00C10DA4">
        <w:rPr>
          <w:rFonts w:ascii="Trebuchet MS" w:hAnsi="Trebuchet MS"/>
          <w:lang w:val="fr-FR"/>
        </w:rPr>
        <w:t xml:space="preserve"> divers types de violence et </w:t>
      </w:r>
      <w:r w:rsidRPr="00181510">
        <w:rPr>
          <w:rFonts w:ascii="Trebuchet MS" w:hAnsi="Trebuchet MS"/>
          <w:lang w:val="fr-FR"/>
        </w:rPr>
        <w:t xml:space="preserve">comportements violents à différents niveaux de la société, cet article considère que les conflits violents répondent, entre autres, à des déterminants de genre. </w:t>
      </w:r>
    </w:p>
    <w:p w14:paraId="3567975D" w14:textId="77777777" w:rsidR="00002DAC" w:rsidRPr="00181510" w:rsidRDefault="00C10DA4" w:rsidP="00C10DA4">
      <w:pPr>
        <w:pStyle w:val="Titre2"/>
        <w:numPr>
          <w:ilvl w:val="0"/>
          <w:numId w:val="0"/>
        </w:numPr>
        <w:ind w:left="142"/>
        <w:rPr>
          <w:lang w:val="fr-FR"/>
        </w:rPr>
      </w:pPr>
      <w:bookmarkStart w:id="47" w:name="_Toc411365703"/>
      <w:bookmarkStart w:id="48" w:name="_Toc417545148"/>
      <w:r w:rsidRPr="00661D61">
        <w:rPr>
          <w:sz w:val="18"/>
          <w:szCs w:val="18"/>
          <w:lang w:val="fr-FR"/>
        </w:rPr>
        <w:t>3.3</w:t>
      </w:r>
      <w:r w:rsidR="00661D61">
        <w:rPr>
          <w:sz w:val="19"/>
          <w:lang w:val="fr-FR"/>
        </w:rPr>
        <w:t xml:space="preserve"> </w:t>
      </w:r>
      <w:r w:rsidR="00002DAC" w:rsidRPr="00181510">
        <w:rPr>
          <w:lang w:val="fr-FR"/>
        </w:rPr>
        <w:t>Implications et conséquences pour les engagements de la résolution 1325</w:t>
      </w:r>
      <w:bookmarkEnd w:id="47"/>
      <w:bookmarkEnd w:id="48"/>
    </w:p>
    <w:p w14:paraId="3567975E" w14:textId="77777777" w:rsidR="00002DAC" w:rsidRPr="00181510" w:rsidRDefault="00C10DA4" w:rsidP="00002DAC">
      <w:pPr>
        <w:jc w:val="both"/>
        <w:rPr>
          <w:rFonts w:ascii="Trebuchet MS" w:hAnsi="Trebuchet MS"/>
          <w:lang w:val="fr-FR"/>
        </w:rPr>
      </w:pPr>
      <w:r>
        <w:rPr>
          <w:rFonts w:ascii="Trebuchet MS" w:hAnsi="Trebuchet MS"/>
          <w:lang w:val="fr-FR"/>
        </w:rPr>
        <w:t>D</w:t>
      </w:r>
      <w:r w:rsidR="00002DAC" w:rsidRPr="00181510">
        <w:rPr>
          <w:rFonts w:ascii="Trebuchet MS" w:hAnsi="Trebuchet MS"/>
          <w:lang w:val="fr-FR"/>
        </w:rPr>
        <w:t>es études récentes révèlent qu'un niveau élevé de violence contre les femmes est le plus fiable prédicteur de conflit armé. Autrement dit, dans les sociétés en proie à un degré élevé de violence contre les femmes, la probabilité de voir les conflits sociétaux devenir violents est très élevée. D'ailleurs, les second et troisième meilleurs prédicteurs de conflit armé, une législation inéquitable sur la famille</w:t>
      </w:r>
      <w:r>
        <w:rPr>
          <w:rFonts w:ascii="Trebuchet MS" w:hAnsi="Trebuchet MS"/>
          <w:lang w:val="fr-FR"/>
        </w:rPr>
        <w:t xml:space="preserve">, et </w:t>
      </w:r>
      <w:r w:rsidR="00002DAC" w:rsidRPr="00181510">
        <w:rPr>
          <w:rFonts w:ascii="Trebuchet MS" w:hAnsi="Trebuchet MS"/>
          <w:lang w:val="fr-FR"/>
        </w:rPr>
        <w:t xml:space="preserve">la polygamie, sont aussi </w:t>
      </w:r>
      <w:r>
        <w:rPr>
          <w:rFonts w:ascii="Trebuchet MS" w:hAnsi="Trebuchet MS"/>
          <w:lang w:val="fr-FR"/>
        </w:rPr>
        <w:t>révélateurs</w:t>
      </w:r>
      <w:r w:rsidR="00002DAC" w:rsidRPr="00181510">
        <w:rPr>
          <w:rFonts w:ascii="Trebuchet MS" w:hAnsi="Trebuchet MS"/>
          <w:lang w:val="fr-FR"/>
        </w:rPr>
        <w:t xml:space="preserve"> d'inégalité</w:t>
      </w:r>
      <w:r>
        <w:rPr>
          <w:rFonts w:ascii="Trebuchet MS" w:hAnsi="Trebuchet MS"/>
          <w:lang w:val="fr-FR"/>
        </w:rPr>
        <w:t>s</w:t>
      </w:r>
      <w:r w:rsidR="00002DAC" w:rsidRPr="00181510">
        <w:rPr>
          <w:rFonts w:ascii="Trebuchet MS" w:hAnsi="Trebuchet MS"/>
          <w:lang w:val="fr-FR"/>
        </w:rPr>
        <w:t xml:space="preserve"> </w:t>
      </w:r>
      <w:r>
        <w:rPr>
          <w:rFonts w:ascii="Trebuchet MS" w:hAnsi="Trebuchet MS"/>
          <w:lang w:val="fr-FR"/>
        </w:rPr>
        <w:t>entre les</w:t>
      </w:r>
      <w:r w:rsidR="00002DAC" w:rsidRPr="00181510">
        <w:rPr>
          <w:rFonts w:ascii="Trebuchet MS" w:hAnsi="Trebuchet MS"/>
          <w:lang w:val="fr-FR"/>
        </w:rPr>
        <w:t xml:space="preserve"> sexes et de normes patriarcales. Ces prédicteurs sont bien plus fiables que les prédicteurs utilisés par le passé comme la démocratie et le PIB par habitant. Il semble donc que les cultures dans lesquelles la violence contre les femmes est normalisée créent des contextes de violence et d'exploitation généralisées à l'échelle sociétale. Les données montrent que ces normes de violence sont corrélées à de nombreux phénomènes, de la croissance démographique au type de régime. Travailler à éliminer la violence contre les femmes serait donc un volet important de la prévention des conflits. De plus, transformer les normes de masculinité </w:t>
      </w:r>
      <w:proofErr w:type="gramStart"/>
      <w:r w:rsidR="00002DAC" w:rsidRPr="00181510">
        <w:rPr>
          <w:rFonts w:ascii="Trebuchet MS" w:hAnsi="Trebuchet MS"/>
          <w:lang w:val="fr-FR"/>
        </w:rPr>
        <w:t>de façon à ce</w:t>
      </w:r>
      <w:proofErr w:type="gramEnd"/>
      <w:r w:rsidR="00002DAC" w:rsidRPr="00181510">
        <w:rPr>
          <w:rFonts w:ascii="Trebuchet MS" w:hAnsi="Trebuchet MS"/>
          <w:lang w:val="fr-FR"/>
        </w:rPr>
        <w:t xml:space="preserve"> que les hommes ne se sentent plus obligés de recourir à la violence pour prouver leur </w:t>
      </w:r>
      <w:r>
        <w:rPr>
          <w:rFonts w:ascii="Trebuchet MS" w:hAnsi="Trebuchet MS"/>
          <w:lang w:val="fr-FR"/>
        </w:rPr>
        <w:t>virilité</w:t>
      </w:r>
      <w:r w:rsidR="00002DAC" w:rsidRPr="00181510">
        <w:rPr>
          <w:rFonts w:ascii="Trebuchet MS" w:hAnsi="Trebuchet MS"/>
          <w:lang w:val="fr-FR"/>
        </w:rPr>
        <w:t xml:space="preserve">, parallèlement à un travail de réduction de la pauvreté et des inégalités socio-économiques, est tout aussi important pour diminuer et prévenir la violence. Par exemple, le désarmement, la démobilisation et les mesures de réintégration qui ne tiennent pas compte de la relation entre les identités des hommes démobilisés et le pouvoir conféré par le port des armes risquent de s'avérer inefficaces. </w:t>
      </w:r>
    </w:p>
    <w:p w14:paraId="3567975F" w14:textId="77777777" w:rsidR="00002DAC" w:rsidRPr="00181510" w:rsidRDefault="00002DAC" w:rsidP="00002DAC">
      <w:pPr>
        <w:jc w:val="both"/>
        <w:rPr>
          <w:rFonts w:ascii="Trebuchet MS" w:hAnsi="Trebuchet MS"/>
          <w:lang w:val="fr-FR"/>
        </w:rPr>
      </w:pPr>
    </w:p>
    <w:p w14:paraId="35679760"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Au cours d'un conflit, la violence basée sur le genre qui </w:t>
      </w:r>
      <w:r w:rsidR="003B7F1D" w:rsidRPr="00181510">
        <w:rPr>
          <w:rFonts w:ascii="Trebuchet MS" w:hAnsi="Trebuchet MS"/>
          <w:lang w:val="fr-FR"/>
        </w:rPr>
        <w:t>préexistait</w:t>
      </w:r>
      <w:r w:rsidRPr="00181510">
        <w:rPr>
          <w:rFonts w:ascii="Trebuchet MS" w:hAnsi="Trebuchet MS"/>
          <w:lang w:val="fr-FR"/>
        </w:rPr>
        <w:t xml:space="preserve"> au conflit tend à devenir plus visible et plus extrême. La victimisation sexuelle aussi bien des femmes que des hommes au cours d'un conflit est souvent performative et a pour fonction de réifier, de féminiser et de dénigrer la victime, et, par extension, sa communauté, tout en réaffirmant le pouvoir et la </w:t>
      </w:r>
      <w:r w:rsidRPr="00181510">
        <w:rPr>
          <w:rFonts w:ascii="Trebuchet MS" w:hAnsi="Trebuchet MS"/>
          <w:lang w:val="fr-FR"/>
        </w:rPr>
        <w:lastRenderedPageBreak/>
        <w:t xml:space="preserve">masculinité de celui qui l'opère. Parfois, ce dernier est contraint par ses supérieurs à perpétrer les abus, sous peine de faire lui-même l'objet d'abus (ou pire). Là encore, les interventions de prévention de la violence sexualisée et de promotion d'une évolution des masculinités en temps de paix constituent des mesures préventives importantes s'agissant à la fois de diminuer la vulnérabilité des hommes et de prévenir ou de réduire les violences sexuelles </w:t>
      </w:r>
      <w:r w:rsidR="00C10DA4">
        <w:rPr>
          <w:rFonts w:ascii="Trebuchet MS" w:hAnsi="Trebuchet MS"/>
          <w:lang w:val="fr-FR"/>
        </w:rPr>
        <w:t>dans le cas</w:t>
      </w:r>
      <w:r w:rsidR="00ED3DB1">
        <w:rPr>
          <w:rFonts w:ascii="Trebuchet MS" w:hAnsi="Trebuchet MS"/>
          <w:lang w:val="fr-FR"/>
        </w:rPr>
        <w:t xml:space="preserve"> d'un éventuel conflit.</w:t>
      </w:r>
    </w:p>
    <w:p w14:paraId="35679761" w14:textId="77777777" w:rsidR="00002DAC" w:rsidRPr="00181510" w:rsidRDefault="00002DAC" w:rsidP="00002DAC">
      <w:pPr>
        <w:jc w:val="both"/>
        <w:rPr>
          <w:rFonts w:ascii="Trebuchet MS" w:hAnsi="Trebuchet MS"/>
          <w:lang w:val="fr-FR"/>
        </w:rPr>
      </w:pPr>
    </w:p>
    <w:p w14:paraId="35679762" w14:textId="77777777" w:rsidR="00002DAC" w:rsidRPr="00181510" w:rsidRDefault="00002DAC" w:rsidP="00002DAC">
      <w:pPr>
        <w:jc w:val="both"/>
        <w:rPr>
          <w:rFonts w:ascii="Trebuchet MS" w:hAnsi="Trebuchet MS"/>
          <w:lang w:val="fr-FR"/>
        </w:rPr>
      </w:pPr>
      <w:r w:rsidRPr="00181510">
        <w:rPr>
          <w:rFonts w:ascii="Trebuchet MS" w:hAnsi="Trebuchet MS"/>
          <w:lang w:val="fr-FR"/>
        </w:rPr>
        <w:t>Les données disponibles pour différents pays, parmi lesquels le Soudan du Sud, la Somalie, le Kosovo, l</w:t>
      </w:r>
      <w:r w:rsidR="00C10DA4">
        <w:rPr>
          <w:rFonts w:ascii="Trebuchet MS" w:hAnsi="Trebuchet MS"/>
          <w:lang w:val="fr-FR"/>
        </w:rPr>
        <w:t>a Colombie, l'Afghanistan et l'Ou</w:t>
      </w:r>
      <w:r w:rsidRPr="00181510">
        <w:rPr>
          <w:rFonts w:ascii="Trebuchet MS" w:hAnsi="Trebuchet MS"/>
          <w:lang w:val="fr-FR"/>
        </w:rPr>
        <w:t>ganda montrent que les normes de masculinité militarisées, qui valorisent la domination et la violence, ont motivé les hommes à rejoindre les armées et les groupes de milice. De plus, dans les situations où il est difficile pour les hommes de satisfaire aux normes de masculinité imposées par la société dans laquelle ils vivent, par exemple s'ils ne parviennent pas à trouver de travail pour subvenir aux besoins de leur famille, rejoindre les forces armées, formelles ou non, est potentiellement une manière d'acquérir un statut et de satisf</w:t>
      </w:r>
      <w:r w:rsidR="00ED3DB1">
        <w:rPr>
          <w:rFonts w:ascii="Trebuchet MS" w:hAnsi="Trebuchet MS"/>
          <w:lang w:val="fr-FR"/>
        </w:rPr>
        <w:t>aire aux idéaux de masculinité.</w:t>
      </w:r>
      <w:r w:rsidRPr="00181510">
        <w:rPr>
          <w:rFonts w:ascii="Trebuchet MS" w:hAnsi="Trebuchet MS"/>
          <w:lang w:val="fr-FR"/>
        </w:rPr>
        <w:t xml:space="preserve"> Dans certains cas, par exemple au Rwanda et en ex-Yougoslavie, les responsables politiques ont promu des masculinités violentes et militarisées pour servir leurs propres intérêts, motivant les hommes à participer à la violence, et les femmes à encourager ou pousser ces derniers sur cette voie. </w:t>
      </w:r>
    </w:p>
    <w:p w14:paraId="35679763" w14:textId="77777777" w:rsidR="00002DAC" w:rsidRPr="00181510" w:rsidRDefault="00002DAC" w:rsidP="00002DAC">
      <w:pPr>
        <w:jc w:val="both"/>
        <w:rPr>
          <w:rFonts w:ascii="Trebuchet MS" w:hAnsi="Trebuchet MS"/>
          <w:lang w:val="fr-FR"/>
        </w:rPr>
      </w:pPr>
    </w:p>
    <w:p w14:paraId="35679764"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Même quand les femmes représentent une part importante des combattants dans un conflit, comme cela a été le cas au Népal, au Nicaragua, au Liberia, en Colombie et au Sri Lanka, entre autres, leur participation est souvent perçue comme une transgression des rôles traditionnels, les comportements violents n'étant pas considérés comme des attributs féminins, mais plutôt masculins. Si ces transgressions peuvent être perçues comme nécessaires en situation de conflit armé, le plus souvent, les combattantes féminines des guérillas et milices ne sont pas autorisées à rejoindre les forces armées régulières une fois le conflit terminé, ce qui vient confirmer le caractère irrégulier et exceptionnel de la violence féminine. </w:t>
      </w:r>
    </w:p>
    <w:p w14:paraId="35679765" w14:textId="77777777" w:rsidR="00002DAC" w:rsidRPr="00181510" w:rsidRDefault="00C10DA4" w:rsidP="00C10DA4">
      <w:pPr>
        <w:pStyle w:val="Titre2"/>
        <w:numPr>
          <w:ilvl w:val="0"/>
          <w:numId w:val="0"/>
        </w:numPr>
        <w:ind w:left="142"/>
        <w:rPr>
          <w:lang w:val="fr-FR"/>
        </w:rPr>
      </w:pPr>
      <w:bookmarkStart w:id="49" w:name="_Toc411365704"/>
      <w:bookmarkStart w:id="50" w:name="_Toc417545149"/>
      <w:r w:rsidRPr="00661D61">
        <w:rPr>
          <w:sz w:val="18"/>
          <w:szCs w:val="18"/>
          <w:lang w:val="fr-FR"/>
        </w:rPr>
        <w:t>3.4</w:t>
      </w:r>
      <w:r w:rsidR="00661D61">
        <w:rPr>
          <w:sz w:val="19"/>
          <w:lang w:val="fr-FR"/>
        </w:rPr>
        <w:t xml:space="preserve"> </w:t>
      </w:r>
      <w:r w:rsidR="00002DAC" w:rsidRPr="00181510">
        <w:rPr>
          <w:lang w:val="fr-FR"/>
        </w:rPr>
        <w:t>Travailler avec les hommes et les masculinités – quelques exemples</w:t>
      </w:r>
      <w:bookmarkEnd w:id="49"/>
      <w:bookmarkEnd w:id="50"/>
    </w:p>
    <w:p w14:paraId="35679766"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Différentes stratégies ont été mises en place pour travailler avec les hommes </w:t>
      </w:r>
      <w:r w:rsidR="008B565E">
        <w:rPr>
          <w:rFonts w:ascii="Trebuchet MS" w:hAnsi="Trebuchet MS"/>
          <w:lang w:val="fr-FR"/>
        </w:rPr>
        <w:t>dans diverses</w:t>
      </w:r>
      <w:r w:rsidRPr="00181510">
        <w:rPr>
          <w:rFonts w:ascii="Trebuchet MS" w:hAnsi="Trebuchet MS"/>
          <w:lang w:val="fr-FR"/>
        </w:rPr>
        <w:t xml:space="preserve"> organisations et contextes. Ces stratégies présentent aussi d'importantes variations à l'échelle internationale. Cette section fournit quelques exemples. La stratégie principale des forces armées néerlandaises, de l'OTAN et de la police néerlandaise s'agissant de convaincre les hommes de l'armée et de la police de l'importance de </w:t>
      </w:r>
      <w:r w:rsidR="008D7986">
        <w:rPr>
          <w:rFonts w:ascii="Trebuchet MS" w:hAnsi="Trebuchet MS"/>
          <w:lang w:val="fr-FR"/>
        </w:rPr>
        <w:t>l</w:t>
      </w:r>
      <w:r w:rsidR="006A0F0A" w:rsidRPr="00181510">
        <w:rPr>
          <w:rFonts w:ascii="Trebuchet MS" w:hAnsi="Trebuchet MS"/>
          <w:lang w:val="fr-FR"/>
        </w:rPr>
        <w:t>'</w:t>
      </w:r>
      <w:r w:rsidR="008D7986">
        <w:rPr>
          <w:rFonts w:ascii="Trebuchet MS" w:hAnsi="Trebuchet MS"/>
          <w:lang w:val="fr-FR"/>
        </w:rPr>
        <w:t>intégration</w:t>
      </w:r>
      <w:r w:rsidRPr="00181510">
        <w:rPr>
          <w:rFonts w:ascii="Trebuchet MS" w:hAnsi="Trebuchet MS"/>
          <w:lang w:val="fr-FR"/>
        </w:rPr>
        <w:t xml:space="preserve"> de femmes </w:t>
      </w:r>
      <w:r w:rsidR="008D7986">
        <w:rPr>
          <w:rFonts w:ascii="Trebuchet MS" w:hAnsi="Trebuchet MS"/>
          <w:lang w:val="fr-FR"/>
        </w:rPr>
        <w:t>à</w:t>
      </w:r>
      <w:r w:rsidRPr="00181510">
        <w:rPr>
          <w:rFonts w:ascii="Trebuchet MS" w:hAnsi="Trebuchet MS"/>
          <w:lang w:val="fr-FR"/>
        </w:rPr>
        <w:t xml:space="preserve"> leurs rangs, que ce soit au sein de leurs propres forces ou de celles des pays d'intervention, consiste à souligner la pertinence opérationnelle de cette intégration. L'idée défendue est que, sans soldats ou policiers féminins, il est difficile et parfois impossible d'obtenir des renseignements de la part des femmes locales, renseignements cruciaux autant pour la sécurité que pour le succès des opérations. Augmenter la parité au sein des forces armées n'est pas envisagé ou présenté comme un enjeu de droits des femmes ou de transformation des dynamiques de genre qui pourrait avoir un impact sur les niveaux de violence, mais comme un moyen d'améliorer l'efficacité des opérations. La stratégie de l'OTAN consiste à charger des officiers masculins de former les soldats des pays de déploiement sur les questions de genre, tirant </w:t>
      </w:r>
      <w:r w:rsidRPr="00181510">
        <w:rPr>
          <w:rFonts w:ascii="Trebuchet MS" w:hAnsi="Trebuchet MS"/>
          <w:lang w:val="fr-FR"/>
        </w:rPr>
        <w:lastRenderedPageBreak/>
        <w:t>parti de la hiérarchie inhérente aux structures militaires pour faire plus facilement accepter le message par les soldats locaux.</w:t>
      </w:r>
    </w:p>
    <w:p w14:paraId="35679767" w14:textId="77777777" w:rsidR="00002DAC" w:rsidRPr="00181510" w:rsidRDefault="00002DAC" w:rsidP="00002DAC">
      <w:pPr>
        <w:jc w:val="both"/>
        <w:rPr>
          <w:rFonts w:ascii="Trebuchet MS" w:hAnsi="Trebuchet MS"/>
          <w:lang w:val="fr-FR"/>
        </w:rPr>
      </w:pPr>
    </w:p>
    <w:p w14:paraId="35679768" w14:textId="77777777" w:rsidR="00002DAC" w:rsidRPr="00181510" w:rsidRDefault="00002DAC" w:rsidP="00002DAC">
      <w:pPr>
        <w:jc w:val="both"/>
        <w:rPr>
          <w:rFonts w:ascii="Trebuchet MS" w:hAnsi="Trebuchet MS"/>
          <w:lang w:val="fr-FR"/>
        </w:rPr>
      </w:pPr>
      <w:r w:rsidRPr="00181510">
        <w:rPr>
          <w:rFonts w:ascii="Trebuchet MS" w:hAnsi="Trebuchet MS"/>
          <w:lang w:val="fr-FR"/>
        </w:rPr>
        <w:t>Dans la société civile, les stratégies et axes de travail concernant l'implication des hommes dans l'égalité des sexes sont un peu plus variés selon les organisations et les contextes. Ces stratégies ont généralement une visée transformatrice, différente de la vision opérationnelle adoptée par le secteur de la sécurité, et peuvent être catégorisées en deux groupes : celles qui annoncent ouvertement la thématique de leurs programmes comme portant sur les normes, les masculinités, et leurs liens avec la violence et les inégalités, et celles qui utilisent d'autres points d'entrée, comme la non-violence active, pour questionner les normes de masculinité plus en aval.</w:t>
      </w:r>
    </w:p>
    <w:p w14:paraId="35679769" w14:textId="77777777" w:rsidR="00002DAC" w:rsidRPr="00181510" w:rsidRDefault="00002DAC" w:rsidP="00002DAC">
      <w:pPr>
        <w:jc w:val="both"/>
        <w:rPr>
          <w:rFonts w:ascii="Trebuchet MS" w:hAnsi="Trebuchet MS"/>
          <w:lang w:val="fr-FR"/>
        </w:rPr>
      </w:pPr>
    </w:p>
    <w:p w14:paraId="3567976A" w14:textId="77777777" w:rsidR="00002DAC" w:rsidRPr="00181510" w:rsidRDefault="00002DAC" w:rsidP="00002DAC">
      <w:pPr>
        <w:jc w:val="both"/>
        <w:rPr>
          <w:rFonts w:ascii="Trebuchet MS" w:hAnsi="Trebuchet MS"/>
          <w:lang w:val="fr-FR"/>
        </w:rPr>
      </w:pPr>
      <w:r w:rsidRPr="00181510">
        <w:rPr>
          <w:rFonts w:ascii="Trebuchet MS" w:hAnsi="Trebuchet MS"/>
          <w:lang w:val="fr-FR"/>
        </w:rPr>
        <w:t>Un exemple néerlandais d'organisation traitant directement de la masculinité et de ses liens avec la violence et le conflit e</w:t>
      </w:r>
      <w:r w:rsidR="008D7986">
        <w:rPr>
          <w:rFonts w:ascii="Trebuchet MS" w:hAnsi="Trebuchet MS"/>
          <w:lang w:val="fr-FR"/>
        </w:rPr>
        <w:t>s</w:t>
      </w:r>
      <w:r w:rsidRPr="00181510">
        <w:rPr>
          <w:rFonts w:ascii="Trebuchet MS" w:hAnsi="Trebuchet MS"/>
          <w:lang w:val="fr-FR"/>
        </w:rPr>
        <w:t xml:space="preserve">t le </w:t>
      </w:r>
      <w:proofErr w:type="spellStart"/>
      <w:r w:rsidRPr="00181510">
        <w:rPr>
          <w:rFonts w:ascii="Trebuchet MS" w:hAnsi="Trebuchet MS"/>
          <w:lang w:val="fr-FR"/>
        </w:rPr>
        <w:t>Women</w:t>
      </w:r>
      <w:proofErr w:type="spellEnd"/>
      <w:r w:rsidRPr="00181510">
        <w:rPr>
          <w:rFonts w:ascii="Trebuchet MS" w:hAnsi="Trebuchet MS"/>
          <w:lang w:val="fr-FR"/>
        </w:rPr>
        <w:t xml:space="preserve"> </w:t>
      </w:r>
      <w:proofErr w:type="spellStart"/>
      <w:r w:rsidRPr="00181510">
        <w:rPr>
          <w:rFonts w:ascii="Trebuchet MS" w:hAnsi="Trebuchet MS"/>
          <w:lang w:val="fr-FR"/>
        </w:rPr>
        <w:t>Peacemaker</w:t>
      </w:r>
      <w:r w:rsidR="006A0F0A" w:rsidRPr="00181510">
        <w:rPr>
          <w:rFonts w:ascii="Trebuchet MS" w:hAnsi="Trebuchet MS"/>
          <w:lang w:val="fr-FR"/>
        </w:rPr>
        <w:t>'</w:t>
      </w:r>
      <w:r w:rsidRPr="00181510">
        <w:rPr>
          <w:rFonts w:ascii="Trebuchet MS" w:hAnsi="Trebuchet MS"/>
          <w:lang w:val="fr-FR"/>
        </w:rPr>
        <w:t>s</w:t>
      </w:r>
      <w:proofErr w:type="spellEnd"/>
      <w:r w:rsidRPr="00181510">
        <w:rPr>
          <w:rFonts w:ascii="Trebuchet MS" w:hAnsi="Trebuchet MS"/>
          <w:lang w:val="fr-FR"/>
        </w:rPr>
        <w:t xml:space="preserve"> Program (Programme des femmes pour la paix). Son projet de formation de formateurs "</w:t>
      </w:r>
      <w:proofErr w:type="spellStart"/>
      <w:r w:rsidRPr="00181510">
        <w:rPr>
          <w:rFonts w:ascii="Trebuchet MS" w:hAnsi="Trebuchet MS"/>
          <w:lang w:val="fr-FR"/>
        </w:rPr>
        <w:t>Overcoming</w:t>
      </w:r>
      <w:proofErr w:type="spellEnd"/>
      <w:r w:rsidRPr="00181510">
        <w:rPr>
          <w:rFonts w:ascii="Trebuchet MS" w:hAnsi="Trebuchet MS"/>
          <w:lang w:val="fr-FR"/>
        </w:rPr>
        <w:t xml:space="preserve"> Violence : </w:t>
      </w:r>
      <w:proofErr w:type="spellStart"/>
      <w:r w:rsidRPr="00181510">
        <w:rPr>
          <w:rFonts w:ascii="Trebuchet MS" w:hAnsi="Trebuchet MS"/>
          <w:lang w:val="fr-FR"/>
        </w:rPr>
        <w:t>Exploring</w:t>
      </w:r>
      <w:proofErr w:type="spellEnd"/>
      <w:r w:rsidRPr="00181510">
        <w:rPr>
          <w:rFonts w:ascii="Trebuchet MS" w:hAnsi="Trebuchet MS"/>
          <w:lang w:val="fr-FR"/>
        </w:rPr>
        <w:t xml:space="preserve"> </w:t>
      </w:r>
      <w:proofErr w:type="spellStart"/>
      <w:r w:rsidRPr="00181510">
        <w:rPr>
          <w:rFonts w:ascii="Trebuchet MS" w:hAnsi="Trebuchet MS"/>
          <w:lang w:val="fr-FR"/>
        </w:rPr>
        <w:t>Masculinities</w:t>
      </w:r>
      <w:proofErr w:type="spellEnd"/>
      <w:r w:rsidRPr="00181510">
        <w:rPr>
          <w:rFonts w:ascii="Trebuchet MS" w:hAnsi="Trebuchet MS"/>
          <w:lang w:val="fr-FR"/>
        </w:rPr>
        <w:t xml:space="preserve">, Violence and </w:t>
      </w:r>
      <w:proofErr w:type="spellStart"/>
      <w:r w:rsidRPr="00181510">
        <w:rPr>
          <w:rFonts w:ascii="Trebuchet MS" w:hAnsi="Trebuchet MS"/>
          <w:lang w:val="fr-FR"/>
        </w:rPr>
        <w:t>Peace</w:t>
      </w:r>
      <w:proofErr w:type="spellEnd"/>
      <w:r w:rsidRPr="00181510">
        <w:rPr>
          <w:rFonts w:ascii="Trebuchet MS" w:hAnsi="Trebuchet MS"/>
          <w:lang w:val="fr-FR"/>
        </w:rPr>
        <w:t>" (Vaincre la violence : explorer les masculinités, la violence et la paix) a inspiré les participants à travailler sur le sujet dans leurs pays d'origine à travers le monde. Des exemples existent au Burundi, où un vaste projet de transformation des normes de genre et de prévention de la violence a été mis en place par l'organisation Fonta</w:t>
      </w:r>
      <w:r w:rsidR="008D7986">
        <w:rPr>
          <w:rFonts w:ascii="Trebuchet MS" w:hAnsi="Trebuchet MS"/>
          <w:lang w:val="fr-FR"/>
        </w:rPr>
        <w:t>in</w:t>
      </w:r>
      <w:r w:rsidR="004E7D1F">
        <w:rPr>
          <w:rFonts w:ascii="Trebuchet MS" w:hAnsi="Trebuchet MS"/>
          <w:lang w:val="fr-FR"/>
        </w:rPr>
        <w:t>e</w:t>
      </w:r>
      <w:r w:rsidRPr="00181510">
        <w:rPr>
          <w:rFonts w:ascii="Trebuchet MS" w:hAnsi="Trebuchet MS"/>
          <w:lang w:val="fr-FR"/>
        </w:rPr>
        <w:t>-</w:t>
      </w:r>
      <w:proofErr w:type="spellStart"/>
      <w:r w:rsidRPr="00181510">
        <w:rPr>
          <w:rFonts w:ascii="Trebuchet MS" w:hAnsi="Trebuchet MS"/>
          <w:lang w:val="fr-FR"/>
        </w:rPr>
        <w:t>Isoko</w:t>
      </w:r>
      <w:proofErr w:type="spellEnd"/>
      <w:r w:rsidRPr="00181510">
        <w:rPr>
          <w:rFonts w:ascii="Trebuchet MS" w:hAnsi="Trebuchet MS"/>
          <w:lang w:val="fr-FR"/>
        </w:rPr>
        <w:t xml:space="preserve">. L'organisation travaille </w:t>
      </w:r>
      <w:r w:rsidR="008D7986">
        <w:rPr>
          <w:rFonts w:ascii="Trebuchet MS" w:hAnsi="Trebuchet MS"/>
          <w:lang w:val="fr-FR"/>
        </w:rPr>
        <w:t xml:space="preserve">simultanément </w:t>
      </w:r>
      <w:r w:rsidRPr="00181510">
        <w:rPr>
          <w:rFonts w:ascii="Trebuchet MS" w:hAnsi="Trebuchet MS"/>
          <w:lang w:val="fr-FR"/>
        </w:rPr>
        <w:t>à différents niveaux de la société</w:t>
      </w:r>
      <w:r w:rsidR="008D7986">
        <w:rPr>
          <w:rFonts w:ascii="Trebuchet MS" w:hAnsi="Trebuchet MS"/>
          <w:lang w:val="fr-FR"/>
        </w:rPr>
        <w:t> </w:t>
      </w:r>
      <w:r w:rsidRPr="00181510">
        <w:rPr>
          <w:rFonts w:ascii="Trebuchet MS" w:hAnsi="Trebuchet MS"/>
          <w:lang w:val="fr-FR"/>
        </w:rPr>
        <w:t xml:space="preserve">: à l'échelle individuelle via des ateliers pédagogiques, à l'échelle relationnelle via un leadership par l'exemple et des réseaux de plaidoyer, à l'échelle des communautés via des tables rondes, des réseaux de plaidoyer et de suivi et des projections </w:t>
      </w:r>
      <w:proofErr w:type="gramStart"/>
      <w:r w:rsidRPr="00181510">
        <w:rPr>
          <w:rFonts w:ascii="Trebuchet MS" w:hAnsi="Trebuchet MS"/>
          <w:lang w:val="fr-FR"/>
        </w:rPr>
        <w:t>vidéos</w:t>
      </w:r>
      <w:proofErr w:type="gramEnd"/>
      <w:r w:rsidRPr="00181510">
        <w:rPr>
          <w:rFonts w:ascii="Trebuchet MS" w:hAnsi="Trebuchet MS"/>
          <w:lang w:val="fr-FR"/>
        </w:rPr>
        <w:t xml:space="preserve"> mobiles, ainsi qu'à l'échelle sociétale via des programmes radio. Ce projet fonctionne maintenant depuis trois ans et touche plus de 40 000 personnes. Son point d'entrée n'est toutefois pas l'analyse de genre. Afin d'attirer des participants et d'alimenter le débat, le projet commence par discuter de la violence en général, puis par enseigner la non-violence active. Petit à petit, il introduit les normes de genre. Il s'agit d'un choix stratégique, étant donné que l'organisation estime que peu d'hommes accepteraient de participer à un projet annoncé comme visant à transformer les masculinités. Une stratégie similaire est appliquée par d'autres organisations au Kenya, au Pakistan et en Israël. Certaines organisations dans d'autres pays, par exemple en Inde et au Nicaragua, utilisent une approche plus directe, affichant leurs formations et autres activités comme portant sur les normes de masculinité violentes et hégémoniques. </w:t>
      </w:r>
    </w:p>
    <w:p w14:paraId="3567976B" w14:textId="77777777" w:rsidR="00002DAC" w:rsidRPr="00181510" w:rsidRDefault="00002DAC" w:rsidP="00002DAC">
      <w:pPr>
        <w:jc w:val="both"/>
        <w:rPr>
          <w:rFonts w:ascii="Trebuchet MS" w:hAnsi="Trebuchet MS"/>
          <w:lang w:val="fr-FR"/>
        </w:rPr>
      </w:pPr>
    </w:p>
    <w:p w14:paraId="3567976C"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Afin de générer un changement efficace et durable, il est important que les différents acteurs se coordonnent et coopèrent entre eux. Cependant, aujourd'hui, il semble que la plupart des actions de coopération se limitent au partage d'information. Le secteur de la sécurité néerlandais, par exemple, n'interagit pas avec les ONG locales des pays de déploiement en vue de recevoir et diffuser de l'information, ou alors seulement de manière désorganisée. Aux Pays-Bas, le secteur de la sécurité bénéficie d'un soutien et d'un accompagnement pour le plaidoyer et le lobbying, notamment de la part de </w:t>
      </w:r>
      <w:proofErr w:type="spellStart"/>
      <w:r w:rsidRPr="00181510">
        <w:rPr>
          <w:rFonts w:ascii="Trebuchet MS" w:hAnsi="Trebuchet MS"/>
          <w:lang w:val="fr-FR"/>
        </w:rPr>
        <w:t>WO</w:t>
      </w:r>
      <w:proofErr w:type="spellEnd"/>
      <w:r w:rsidRPr="00181510">
        <w:rPr>
          <w:rFonts w:ascii="Trebuchet MS" w:hAnsi="Trebuchet MS"/>
          <w:lang w:val="fr-FR"/>
        </w:rPr>
        <w:t xml:space="preserve">=MEN, la plateforme du genre néerlandaise, qui rassemble de nombreuses organisations de la société civile néerlandaise travaillant sur le genre. La plupart des organisations locales et nationales travaillant avec les hommes et les petits garçons dans le monde coopèrent au sein du réseau </w:t>
      </w:r>
      <w:proofErr w:type="spellStart"/>
      <w:r w:rsidRPr="00181510">
        <w:rPr>
          <w:rFonts w:ascii="Trebuchet MS" w:hAnsi="Trebuchet MS"/>
          <w:lang w:val="fr-FR"/>
        </w:rPr>
        <w:t>MenEngage</w:t>
      </w:r>
      <w:proofErr w:type="spellEnd"/>
      <w:r w:rsidRPr="00181510">
        <w:rPr>
          <w:rFonts w:ascii="Trebuchet MS" w:hAnsi="Trebuchet MS"/>
          <w:lang w:val="fr-FR"/>
        </w:rPr>
        <w:t>, qui a récemment organisé une grande conférence sur le thème des hommes, de l'</w:t>
      </w:r>
      <w:r w:rsidR="003B7F1D" w:rsidRPr="00181510">
        <w:rPr>
          <w:rFonts w:ascii="Trebuchet MS" w:hAnsi="Trebuchet MS"/>
          <w:lang w:val="fr-FR"/>
        </w:rPr>
        <w:t>antiviolence</w:t>
      </w:r>
      <w:r w:rsidRPr="00181510">
        <w:rPr>
          <w:rFonts w:ascii="Trebuchet MS" w:hAnsi="Trebuchet MS"/>
          <w:lang w:val="fr-FR"/>
        </w:rPr>
        <w:t xml:space="preserve"> et de l'égalité des sexes, à laquelle ont assisté plus de 1 000 participants. Il semble toutefois que </w:t>
      </w:r>
      <w:r w:rsidRPr="00181510">
        <w:rPr>
          <w:rFonts w:ascii="Trebuchet MS" w:hAnsi="Trebuchet MS"/>
          <w:lang w:val="fr-FR"/>
        </w:rPr>
        <w:lastRenderedPageBreak/>
        <w:t xml:space="preserve">peu de mécanismes de coopération formels </w:t>
      </w:r>
      <w:r w:rsidR="008D7986">
        <w:rPr>
          <w:rFonts w:ascii="Trebuchet MS" w:hAnsi="Trebuchet MS"/>
          <w:lang w:val="fr-FR"/>
        </w:rPr>
        <w:t>aient été mis</w:t>
      </w:r>
      <w:r w:rsidRPr="00181510">
        <w:rPr>
          <w:rFonts w:ascii="Trebuchet MS" w:hAnsi="Trebuchet MS"/>
          <w:lang w:val="fr-FR"/>
        </w:rPr>
        <w:t xml:space="preserve"> en place entre les différents acteurs. </w:t>
      </w:r>
    </w:p>
    <w:p w14:paraId="3567976D" w14:textId="77777777" w:rsidR="00002DAC" w:rsidRPr="00181510" w:rsidRDefault="008D7986" w:rsidP="008D7986">
      <w:pPr>
        <w:pStyle w:val="Titre2"/>
        <w:numPr>
          <w:ilvl w:val="0"/>
          <w:numId w:val="0"/>
        </w:numPr>
        <w:ind w:left="142"/>
        <w:rPr>
          <w:lang w:val="fr-FR"/>
        </w:rPr>
      </w:pPr>
      <w:bookmarkStart w:id="51" w:name="_Toc411365705"/>
      <w:bookmarkStart w:id="52" w:name="_Toc417545150"/>
      <w:r w:rsidRPr="00661D61">
        <w:rPr>
          <w:sz w:val="18"/>
          <w:szCs w:val="18"/>
          <w:lang w:val="fr-FR"/>
        </w:rPr>
        <w:t>3.5</w:t>
      </w:r>
      <w:r w:rsidR="00661D61">
        <w:rPr>
          <w:sz w:val="19"/>
          <w:lang w:val="fr-FR"/>
        </w:rPr>
        <w:t xml:space="preserve"> </w:t>
      </w:r>
      <w:r w:rsidR="00002DAC" w:rsidRPr="00181510">
        <w:rPr>
          <w:lang w:val="fr-FR"/>
        </w:rPr>
        <w:t>Observations complémentaires</w:t>
      </w:r>
      <w:bookmarkEnd w:id="51"/>
      <w:bookmarkEnd w:id="52"/>
    </w:p>
    <w:p w14:paraId="3567976E" w14:textId="77777777" w:rsidR="00002DAC" w:rsidRPr="00181510" w:rsidRDefault="00002DAC" w:rsidP="00002DAC">
      <w:pPr>
        <w:jc w:val="both"/>
        <w:rPr>
          <w:rFonts w:ascii="Trebuchet MS" w:hAnsi="Trebuchet MS"/>
          <w:lang w:val="fr-FR"/>
        </w:rPr>
      </w:pPr>
      <w:r w:rsidRPr="00181510">
        <w:rPr>
          <w:rFonts w:ascii="Trebuchet MS" w:hAnsi="Trebuchet MS"/>
          <w:lang w:val="fr-FR"/>
        </w:rPr>
        <w:t>Les projets s'intéressant aux masculinités, à la violence et au conflit étant encore relativement rares comparé à l'ensemble des projets centrés sur l'autonomisation des femmes à travers le monde, les participants à la conférence ont été invités à réfléchir à la manière de développer et mettre en œuvre des projets et des actions pour progresser dans ce domaine.</w:t>
      </w:r>
    </w:p>
    <w:p w14:paraId="3567976F" w14:textId="77777777" w:rsidR="00002DAC" w:rsidRPr="00181510" w:rsidRDefault="00002DAC" w:rsidP="00002DAC">
      <w:pPr>
        <w:jc w:val="both"/>
        <w:rPr>
          <w:rFonts w:ascii="Trebuchet MS" w:hAnsi="Trebuchet MS"/>
          <w:lang w:val="fr-FR"/>
        </w:rPr>
      </w:pPr>
    </w:p>
    <w:p w14:paraId="35679770"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Un premier axe de réflexion est la question de savoir quels hommes doivent être inclus dans le travail sur la </w:t>
      </w:r>
      <w:proofErr w:type="spellStart"/>
      <w:r w:rsidRPr="00181510">
        <w:rPr>
          <w:rFonts w:ascii="Trebuchet MS" w:hAnsi="Trebuchet MS"/>
          <w:lang w:val="fr-FR"/>
        </w:rPr>
        <w:t>RCSNU</w:t>
      </w:r>
      <w:proofErr w:type="spellEnd"/>
      <w:r w:rsidRPr="00181510">
        <w:rPr>
          <w:rFonts w:ascii="Trebuchet MS" w:hAnsi="Trebuchet MS"/>
          <w:lang w:val="fr-FR"/>
        </w:rPr>
        <w:t> 1325</w:t>
      </w:r>
      <w:r w:rsidR="008D7986">
        <w:rPr>
          <w:rFonts w:ascii="Trebuchet MS" w:hAnsi="Trebuchet MS"/>
          <w:lang w:val="fr-FR"/>
        </w:rPr>
        <w:t>. Les militaires ? L</w:t>
      </w:r>
      <w:r w:rsidRPr="00181510">
        <w:rPr>
          <w:rFonts w:ascii="Trebuchet MS" w:hAnsi="Trebuchet MS"/>
          <w:lang w:val="fr-FR"/>
        </w:rPr>
        <w:t xml:space="preserve">a police ? Les représentants élus ? Les représentants de la société civile ? Les autres ? Il est possible que différents groupes cibles correspondent à différents objectifs de la résolution 1325. Par ailleurs, différentes organisations et institutions </w:t>
      </w:r>
      <w:r w:rsidR="008D7986">
        <w:rPr>
          <w:rFonts w:ascii="Trebuchet MS" w:hAnsi="Trebuchet MS"/>
          <w:lang w:val="fr-FR"/>
        </w:rPr>
        <w:t>s</w:t>
      </w:r>
      <w:r w:rsidR="006A0F0A" w:rsidRPr="00181510">
        <w:rPr>
          <w:rFonts w:ascii="Trebuchet MS" w:hAnsi="Trebuchet MS"/>
          <w:lang w:val="fr-FR"/>
        </w:rPr>
        <w:t>'</w:t>
      </w:r>
      <w:r w:rsidR="008D7986">
        <w:rPr>
          <w:rFonts w:ascii="Trebuchet MS" w:hAnsi="Trebuchet MS"/>
          <w:lang w:val="fr-FR"/>
        </w:rPr>
        <w:t>adressent à</w:t>
      </w:r>
      <w:r w:rsidRPr="00181510">
        <w:rPr>
          <w:rFonts w:ascii="Trebuchet MS" w:hAnsi="Trebuchet MS"/>
          <w:lang w:val="fr-FR"/>
        </w:rPr>
        <w:t xml:space="preserve"> différents groupes cibles</w:t>
      </w:r>
      <w:r w:rsidR="008D7986">
        <w:rPr>
          <w:rFonts w:ascii="Trebuchet MS" w:hAnsi="Trebuchet MS"/>
          <w:lang w:val="fr-FR"/>
        </w:rPr>
        <w:t>,</w:t>
      </w:r>
      <w:r w:rsidRPr="00181510">
        <w:rPr>
          <w:rFonts w:ascii="Trebuchet MS" w:hAnsi="Trebuchet MS"/>
          <w:lang w:val="fr-FR"/>
        </w:rPr>
        <w:t xml:space="preserve"> et partager </w:t>
      </w:r>
      <w:r w:rsidR="008D7986">
        <w:rPr>
          <w:rFonts w:ascii="Trebuchet MS" w:hAnsi="Trebuchet MS"/>
          <w:lang w:val="fr-FR"/>
        </w:rPr>
        <w:t>d</w:t>
      </w:r>
      <w:r w:rsidRPr="00181510">
        <w:rPr>
          <w:rFonts w:ascii="Trebuchet MS" w:hAnsi="Trebuchet MS"/>
          <w:lang w:val="fr-FR"/>
        </w:rPr>
        <w:t>es informations concernant qui travaille avec qui serait utile à la réflexion stratégique.</w:t>
      </w:r>
    </w:p>
    <w:p w14:paraId="35679771" w14:textId="77777777" w:rsidR="00002DAC" w:rsidRPr="00181510" w:rsidRDefault="00002DAC" w:rsidP="00002DAC">
      <w:pPr>
        <w:jc w:val="both"/>
        <w:rPr>
          <w:rFonts w:ascii="Trebuchet MS" w:hAnsi="Trebuchet MS"/>
          <w:lang w:val="fr-FR"/>
        </w:rPr>
      </w:pPr>
    </w:p>
    <w:p w14:paraId="35679772"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Étant donné le nombre limité de programmes de terrain travaillant sur la transformation des normes de masculinité, il serait utile de faire le bilan des actions mises en place à ce jour et de récolter les bonnes (et mauvaises) pratiques de manière organisée, au bénéfice des </w:t>
      </w:r>
      <w:r w:rsidR="00AD11E6" w:rsidRPr="00181510">
        <w:rPr>
          <w:rFonts w:ascii="Trebuchet MS" w:hAnsi="Trebuchet MS"/>
          <w:lang w:val="fr-FR"/>
        </w:rPr>
        <w:t>décideurs</w:t>
      </w:r>
      <w:r w:rsidR="008D7986">
        <w:rPr>
          <w:rFonts w:ascii="Trebuchet MS" w:hAnsi="Trebuchet MS"/>
          <w:lang w:val="fr-FR"/>
        </w:rPr>
        <w:t>,</w:t>
      </w:r>
      <w:r w:rsidRPr="00181510">
        <w:rPr>
          <w:rFonts w:ascii="Trebuchet MS" w:hAnsi="Trebuchet MS"/>
          <w:lang w:val="fr-FR"/>
        </w:rPr>
        <w:t xml:space="preserve"> donateurs et orga</w:t>
      </w:r>
      <w:r w:rsidR="00ED3DB1">
        <w:rPr>
          <w:rFonts w:ascii="Trebuchet MS" w:hAnsi="Trebuchet MS"/>
          <w:lang w:val="fr-FR"/>
        </w:rPr>
        <w:t>nisations de la société civile.</w:t>
      </w:r>
      <w:r w:rsidRPr="00181510">
        <w:rPr>
          <w:rFonts w:ascii="Trebuchet MS" w:hAnsi="Trebuchet MS"/>
          <w:lang w:val="fr-FR"/>
        </w:rPr>
        <w:t xml:space="preserve"> De plus, il serait intéressant que cette coopération et cette coordination ne se limitent pas à des institutions de type similaire, comme</w:t>
      </w:r>
      <w:r w:rsidR="008D7986">
        <w:rPr>
          <w:rFonts w:ascii="Trebuchet MS" w:hAnsi="Trebuchet MS"/>
          <w:lang w:val="fr-FR"/>
        </w:rPr>
        <w:t xml:space="preserve"> entre</w:t>
      </w:r>
      <w:r w:rsidRPr="00181510">
        <w:rPr>
          <w:rFonts w:ascii="Trebuchet MS" w:hAnsi="Trebuchet MS"/>
          <w:lang w:val="fr-FR"/>
        </w:rPr>
        <w:t xml:space="preserve"> les différentes forces de police déployées dans les missions internationales, mais soient transversales à différents types d'</w:t>
      </w:r>
      <w:r w:rsidR="008D7986">
        <w:rPr>
          <w:rFonts w:ascii="Trebuchet MS" w:hAnsi="Trebuchet MS"/>
          <w:lang w:val="fr-FR"/>
        </w:rPr>
        <w:t>institutions et d'organisations, afin d</w:t>
      </w:r>
      <w:r w:rsidR="006A0F0A" w:rsidRPr="00181510">
        <w:rPr>
          <w:rFonts w:ascii="Trebuchet MS" w:hAnsi="Trebuchet MS"/>
          <w:lang w:val="fr-FR"/>
        </w:rPr>
        <w:t>'</w:t>
      </w:r>
      <w:r w:rsidRPr="00181510">
        <w:rPr>
          <w:rFonts w:ascii="Trebuchet MS" w:hAnsi="Trebuchet MS"/>
          <w:lang w:val="fr-FR"/>
        </w:rPr>
        <w:t>augmenter leur impact à l'échelle internationale.</w:t>
      </w:r>
    </w:p>
    <w:p w14:paraId="35679773" w14:textId="77777777" w:rsidR="00002DAC" w:rsidRPr="00181510" w:rsidRDefault="00002DAC" w:rsidP="00002DAC">
      <w:pPr>
        <w:jc w:val="both"/>
        <w:rPr>
          <w:rFonts w:ascii="Trebuchet MS" w:hAnsi="Trebuchet MS"/>
          <w:lang w:val="fr-FR"/>
        </w:rPr>
      </w:pPr>
    </w:p>
    <w:p w14:paraId="35679774"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Aux Pays-Bas, il a été proposé de mettre en place plus de formations </w:t>
      </w:r>
      <w:r w:rsidR="00661D61">
        <w:rPr>
          <w:rFonts w:ascii="Trebuchet MS" w:hAnsi="Trebuchet MS"/>
          <w:lang w:val="fr-FR"/>
        </w:rPr>
        <w:t>en vue</w:t>
      </w:r>
      <w:r w:rsidRPr="00181510">
        <w:rPr>
          <w:rFonts w:ascii="Trebuchet MS" w:hAnsi="Trebuchet MS"/>
          <w:lang w:val="fr-FR"/>
        </w:rPr>
        <w:t xml:space="preserve"> d'améliorer l'appréhension du genre et des normes de genre par les forces armées néerlandaises, non seulement en cas de déploiement, mais aussi lors de la formation de départ dispensée au moment de l'engagement. Une formation approfondie en matière de normes et de rôles de genre, tenant compte à la fois des féminités et des masculinités, serait probablement bénéfique à la plupart des forces armées et de police dans le monde, ainsi qu'aux organisations internationales, o</w:t>
      </w:r>
      <w:r w:rsidR="00ED3DB1">
        <w:rPr>
          <w:rFonts w:ascii="Trebuchet MS" w:hAnsi="Trebuchet MS"/>
          <w:lang w:val="fr-FR"/>
        </w:rPr>
        <w:t>rganismes donateurs, et autres.</w:t>
      </w:r>
      <w:r w:rsidRPr="00181510">
        <w:rPr>
          <w:rFonts w:ascii="Trebuchet MS" w:hAnsi="Trebuchet MS"/>
          <w:lang w:val="fr-FR"/>
        </w:rPr>
        <w:t xml:space="preserve"> </w:t>
      </w:r>
    </w:p>
    <w:p w14:paraId="35679775" w14:textId="77777777" w:rsidR="00002DAC" w:rsidRPr="00181510" w:rsidRDefault="00002DAC" w:rsidP="00002DAC">
      <w:pPr>
        <w:jc w:val="both"/>
        <w:rPr>
          <w:rFonts w:ascii="Trebuchet MS" w:hAnsi="Trebuchet MS"/>
          <w:lang w:val="fr-FR"/>
        </w:rPr>
      </w:pPr>
    </w:p>
    <w:p w14:paraId="35679776" w14:textId="77777777" w:rsidR="00002DAC" w:rsidRPr="00181510" w:rsidRDefault="00002DAC" w:rsidP="00002DAC">
      <w:pPr>
        <w:jc w:val="both"/>
        <w:rPr>
          <w:rFonts w:ascii="Trebuchet MS" w:hAnsi="Trebuchet MS"/>
          <w:lang w:val="fr-FR"/>
        </w:rPr>
      </w:pPr>
      <w:r w:rsidRPr="00181510">
        <w:rPr>
          <w:rFonts w:ascii="Trebuchet MS" w:hAnsi="Trebuchet MS"/>
          <w:lang w:val="fr-FR"/>
        </w:rPr>
        <w:t>L'approche consistant à traiter l'intégration des femmes dans l'armée et la police du point de vue de sa seule valeur opérationnelle est problématique en ce qu'elle n</w:t>
      </w:r>
      <w:r w:rsidR="00661D61">
        <w:rPr>
          <w:rFonts w:ascii="Trebuchet MS" w:hAnsi="Trebuchet MS"/>
          <w:lang w:val="fr-FR"/>
        </w:rPr>
        <w:t xml:space="preserve">e propose aucune </w:t>
      </w:r>
      <w:r w:rsidRPr="00181510">
        <w:rPr>
          <w:rFonts w:ascii="Trebuchet MS" w:hAnsi="Trebuchet MS"/>
          <w:lang w:val="fr-FR"/>
        </w:rPr>
        <w:t>dimension analytique, et fait donc abstraction des potentiels effets transformateurs</w:t>
      </w:r>
      <w:r w:rsidR="00661D61">
        <w:rPr>
          <w:rFonts w:ascii="Trebuchet MS" w:hAnsi="Trebuchet MS"/>
          <w:lang w:val="fr-FR"/>
        </w:rPr>
        <w:t xml:space="preserve"> de cette intégration</w:t>
      </w:r>
      <w:r w:rsidRPr="00181510">
        <w:rPr>
          <w:rFonts w:ascii="Trebuchet MS" w:hAnsi="Trebuchet MS"/>
          <w:lang w:val="fr-FR"/>
        </w:rPr>
        <w:t>. Bien que les arguments opérationnels présentent un point d'entrée tout à fait légitime, il serait intéressant de s'ouvrir ensuite sur une perspective analytique.</w:t>
      </w:r>
    </w:p>
    <w:p w14:paraId="35679777" w14:textId="77777777" w:rsidR="00002DAC" w:rsidRPr="00181510" w:rsidRDefault="00002DAC" w:rsidP="00002DAC">
      <w:pPr>
        <w:jc w:val="both"/>
        <w:rPr>
          <w:rFonts w:ascii="Trebuchet MS" w:hAnsi="Trebuchet MS"/>
          <w:lang w:val="fr-FR"/>
        </w:rPr>
      </w:pPr>
    </w:p>
    <w:p w14:paraId="35679778" w14:textId="77777777" w:rsidR="00002DAC" w:rsidRPr="00181510" w:rsidRDefault="00002DAC" w:rsidP="00002DAC">
      <w:pPr>
        <w:jc w:val="both"/>
        <w:rPr>
          <w:rFonts w:ascii="Trebuchet MS" w:hAnsi="Trebuchet MS" w:cs="MinionPro-Regular"/>
          <w:lang w:val="fr-FR"/>
        </w:rPr>
      </w:pPr>
      <w:r w:rsidRPr="00181510">
        <w:rPr>
          <w:rFonts w:ascii="Trebuchet MS" w:hAnsi="Trebuchet MS"/>
          <w:lang w:val="fr-FR"/>
        </w:rPr>
        <w:t xml:space="preserve">Traiter des masculinités et travailler avec les hommes sont deux choses différentes. Certains programmes travaillant avec les hommes et les petits garçons dans le monde, en particulier certains projets centrés sur l'élimination de la violence envers les femmes, s'attachent à renforcer le rôle des hommes en tant que protecteurs des </w:t>
      </w:r>
      <w:r w:rsidR="00661D61">
        <w:rPr>
          <w:rFonts w:ascii="Trebuchet MS" w:hAnsi="Trebuchet MS"/>
          <w:lang w:val="fr-FR"/>
        </w:rPr>
        <w:t>femmes et des enfants plutôt qu</w:t>
      </w:r>
      <w:r w:rsidR="006A0F0A" w:rsidRPr="00181510">
        <w:rPr>
          <w:rFonts w:ascii="Trebuchet MS" w:hAnsi="Trebuchet MS"/>
          <w:lang w:val="fr-FR"/>
        </w:rPr>
        <w:t>'</w:t>
      </w:r>
      <w:r w:rsidR="00661D61">
        <w:rPr>
          <w:rFonts w:ascii="Trebuchet MS" w:hAnsi="Trebuchet MS"/>
          <w:lang w:val="fr-FR"/>
        </w:rPr>
        <w:t>à promouvoir</w:t>
      </w:r>
      <w:r w:rsidRPr="00181510">
        <w:rPr>
          <w:rFonts w:ascii="Trebuchet MS" w:hAnsi="Trebuchet MS"/>
          <w:lang w:val="fr-FR"/>
        </w:rPr>
        <w:t xml:space="preserve"> l'égalité </w:t>
      </w:r>
      <w:r w:rsidR="00661D61">
        <w:rPr>
          <w:rFonts w:ascii="Trebuchet MS" w:hAnsi="Trebuchet MS"/>
          <w:lang w:val="fr-FR"/>
        </w:rPr>
        <w:t>des</w:t>
      </w:r>
      <w:r w:rsidRPr="00181510">
        <w:rPr>
          <w:rFonts w:ascii="Trebuchet MS" w:hAnsi="Trebuchet MS"/>
          <w:lang w:val="fr-FR"/>
        </w:rPr>
        <w:t xml:space="preserve"> sexes, consolidant ainsi les normes patriarcales plutôt que de les remettre en question. Par ailleurs, pour que les hommes s'investissent de manière </w:t>
      </w:r>
      <w:r w:rsidRPr="00181510">
        <w:rPr>
          <w:rFonts w:ascii="Trebuchet MS" w:hAnsi="Trebuchet MS"/>
          <w:lang w:val="fr-FR"/>
        </w:rPr>
        <w:lastRenderedPageBreak/>
        <w:t xml:space="preserve">significative et durable dans la réduction des inégalités de genre, il est essentiel qu'ils y trouvent un intérêt propre. Les programmes efficaces questionnent les masculinités, démontrent que les normes de genre inéquitables nuisent aux hommes et aux petits garçons et </w:t>
      </w:r>
      <w:r w:rsidR="00661D61">
        <w:rPr>
          <w:rFonts w:ascii="Trebuchet MS" w:hAnsi="Trebuchet MS"/>
          <w:lang w:val="fr-FR"/>
        </w:rPr>
        <w:t>mettent en évidence que</w:t>
      </w:r>
      <w:r w:rsidRPr="00181510">
        <w:rPr>
          <w:rFonts w:ascii="Trebuchet MS" w:hAnsi="Trebuchet MS"/>
          <w:lang w:val="fr-FR"/>
        </w:rPr>
        <w:t xml:space="preserve"> le changement est avantageux pour ces derniers et pour la société dans son ensemble. Ces programmes s'attachent à démontrer que des attitudes et comportements plus équitables en termes de genre peuvent favoriser la santé physique et mentale des hommes, ainsi que leurs relations avec les femmes, les enfants, et les autres hommes. </w:t>
      </w:r>
      <w:r w:rsidRPr="00181510">
        <w:rPr>
          <w:rFonts w:ascii="Trebuchet MS" w:hAnsi="Trebuchet MS" w:cs="MinionPro-Regular"/>
          <w:lang w:val="fr-FR"/>
        </w:rPr>
        <w:t>Plusieurs organisations ont développé des programmes de qualité pour travailler avec les hommes sur les normes de masculinité, l'égalité des sexes, la violence et le conflit. Il existe de réelles opportunités d'améliorer l</w:t>
      </w:r>
      <w:r w:rsidR="00661D61">
        <w:rPr>
          <w:rFonts w:ascii="Trebuchet MS" w:hAnsi="Trebuchet MS" w:cs="MinionPro-Regular"/>
          <w:lang w:val="fr-FR"/>
        </w:rPr>
        <w:t>es</w:t>
      </w:r>
      <w:r w:rsidRPr="00181510">
        <w:rPr>
          <w:rFonts w:ascii="Trebuchet MS" w:hAnsi="Trebuchet MS" w:cs="MinionPro-Regular"/>
          <w:lang w:val="fr-FR"/>
        </w:rPr>
        <w:t xml:space="preserve"> collaboration</w:t>
      </w:r>
      <w:r w:rsidR="00661D61">
        <w:rPr>
          <w:rFonts w:ascii="Trebuchet MS" w:hAnsi="Trebuchet MS" w:cs="MinionPro-Regular"/>
          <w:lang w:val="fr-FR"/>
        </w:rPr>
        <w:t>s</w:t>
      </w:r>
      <w:r w:rsidRPr="00181510">
        <w:rPr>
          <w:rFonts w:ascii="Trebuchet MS" w:hAnsi="Trebuchet MS" w:cs="MinionPro-Regular"/>
          <w:lang w:val="fr-FR"/>
        </w:rPr>
        <w:t xml:space="preserve"> en la matière et de tirer des enseignements de ces organisations. Il serait aussi important de réfléchir à garantir que toutes les personnes, qu'elles s'identifient comme homme ou femme, soient protégées et incluses dans les activités liées à la </w:t>
      </w:r>
      <w:proofErr w:type="spellStart"/>
      <w:r w:rsidRPr="00181510">
        <w:rPr>
          <w:rFonts w:ascii="Trebuchet MS" w:hAnsi="Trebuchet MS" w:cs="MinionPro-Regular"/>
          <w:lang w:val="fr-FR"/>
        </w:rPr>
        <w:t>RCSNU</w:t>
      </w:r>
      <w:proofErr w:type="spellEnd"/>
      <w:r w:rsidRPr="00181510">
        <w:rPr>
          <w:rFonts w:ascii="Trebuchet MS" w:hAnsi="Trebuchet MS" w:cs="MinionPro-Regular"/>
          <w:lang w:val="fr-FR"/>
        </w:rPr>
        <w:t> 1325.</w:t>
      </w:r>
    </w:p>
    <w:p w14:paraId="35679779" w14:textId="77777777" w:rsidR="00002DAC" w:rsidRPr="00181510" w:rsidRDefault="00002DAC" w:rsidP="00002DAC">
      <w:pPr>
        <w:jc w:val="both"/>
        <w:rPr>
          <w:rFonts w:ascii="Trebuchet MS" w:hAnsi="Trebuchet MS" w:cs="MinionPro-Regular"/>
          <w:lang w:val="fr-FR"/>
        </w:rPr>
      </w:pPr>
    </w:p>
    <w:p w14:paraId="3567977A" w14:textId="77777777" w:rsidR="00002DAC" w:rsidRPr="00181510" w:rsidRDefault="00002DAC" w:rsidP="00002DAC">
      <w:pPr>
        <w:jc w:val="both"/>
        <w:rPr>
          <w:rFonts w:ascii="Trebuchet MS" w:hAnsi="Trebuchet MS"/>
          <w:lang w:val="fr-FR"/>
        </w:rPr>
      </w:pPr>
      <w:r w:rsidRPr="00181510">
        <w:rPr>
          <w:rFonts w:ascii="Trebuchet MS" w:hAnsi="Trebuchet MS"/>
          <w:lang w:val="fr-FR"/>
        </w:rPr>
        <w:t>La présence croissante d'entreprises de sécurité ou de forces armées privées à travers le monde, et l'hyper-masculinité que celles-ci incarnent et projettent, est un phénom</w:t>
      </w:r>
      <w:r w:rsidR="00661D61">
        <w:rPr>
          <w:rFonts w:ascii="Trebuchet MS" w:hAnsi="Trebuchet MS"/>
          <w:lang w:val="fr-FR"/>
        </w:rPr>
        <w:t xml:space="preserve">ène lié au </w:t>
      </w:r>
      <w:r w:rsidRPr="00181510">
        <w:rPr>
          <w:rFonts w:ascii="Trebuchet MS" w:hAnsi="Trebuchet MS"/>
          <w:lang w:val="fr-FR"/>
        </w:rPr>
        <w:t xml:space="preserve">conflit encore peu étudié du point de vue des masculinités et de la violence. Analyser l'impact de ce phénomène sur les conflits, la violence, et les normes de genre serait une contribution intéressante au domaine de la prévention des conflits. </w:t>
      </w:r>
    </w:p>
    <w:p w14:paraId="3567977B" w14:textId="77777777" w:rsidR="00002DAC" w:rsidRPr="00181510" w:rsidRDefault="00002DAC" w:rsidP="00002DAC">
      <w:pPr>
        <w:jc w:val="both"/>
        <w:rPr>
          <w:rFonts w:ascii="Trebuchet MS" w:hAnsi="Trebuchet MS"/>
          <w:lang w:val="fr-FR"/>
        </w:rPr>
      </w:pPr>
    </w:p>
    <w:p w14:paraId="3567977C" w14:textId="77777777" w:rsidR="00002DAC" w:rsidRPr="00181510" w:rsidRDefault="00002DAC" w:rsidP="00002DAC">
      <w:pPr>
        <w:jc w:val="both"/>
        <w:rPr>
          <w:rFonts w:ascii="Trebuchet MS" w:hAnsi="Trebuchet MS"/>
          <w:lang w:val="fr-FR"/>
        </w:rPr>
      </w:pPr>
      <w:r w:rsidRPr="00181510">
        <w:rPr>
          <w:rFonts w:ascii="Trebuchet MS" w:hAnsi="Trebuchet MS"/>
          <w:lang w:val="fr-FR"/>
        </w:rPr>
        <w:t>Les projets de développement visant à autonomiser les femmes, notamment d'un point de vue économique, sans inclure les hommes, se sont souvent révélés contre-productifs. Dans les cultures où il est important que les hommes subviennent aux besoins de leur famille, ces projets peuvent accroître le sentiment d'impuissance des hommes sans emploi et les conduire à recourir à la violence pour regagner un statut. Ce phénomène est malheureusement assez répandu, confirmant qu'il est impératif de concevoir chaque intervention sur mesure, en fonction du contexte loc</w:t>
      </w:r>
      <w:r w:rsidR="00661D61">
        <w:rPr>
          <w:rFonts w:ascii="Trebuchet MS" w:hAnsi="Trebuchet MS"/>
          <w:lang w:val="fr-FR"/>
        </w:rPr>
        <w:t>al, et en tenant compte du genre</w:t>
      </w:r>
      <w:r w:rsidRPr="00181510">
        <w:rPr>
          <w:rFonts w:ascii="Trebuchet MS" w:hAnsi="Trebuchet MS"/>
          <w:lang w:val="fr-FR"/>
        </w:rPr>
        <w:t xml:space="preserve">. </w:t>
      </w:r>
    </w:p>
    <w:p w14:paraId="3567977D" w14:textId="77777777" w:rsidR="00002DAC" w:rsidRPr="00181510" w:rsidRDefault="00002DAC" w:rsidP="00002DAC">
      <w:pPr>
        <w:jc w:val="both"/>
        <w:rPr>
          <w:rFonts w:ascii="Trebuchet MS" w:hAnsi="Trebuchet MS"/>
          <w:lang w:val="fr-FR"/>
        </w:rPr>
      </w:pPr>
    </w:p>
    <w:p w14:paraId="3567977E" w14:textId="77777777" w:rsidR="00002DAC" w:rsidRPr="00181510" w:rsidRDefault="00002DAC" w:rsidP="00002DAC">
      <w:pPr>
        <w:jc w:val="both"/>
        <w:rPr>
          <w:rFonts w:ascii="Trebuchet MS" w:hAnsi="Trebuchet MS" w:cs="MinionPro-Regular"/>
          <w:lang w:val="fr-FR"/>
        </w:rPr>
      </w:pPr>
      <w:r w:rsidRPr="00181510">
        <w:rPr>
          <w:rFonts w:ascii="Trebuchet MS" w:hAnsi="Trebuchet MS" w:cs="MinionPro-Regular"/>
          <w:lang w:val="fr-FR"/>
        </w:rPr>
        <w:t xml:space="preserve">Les donateurs ont commencé à financer des projets visant à travailler avec les hommes sur le thème des masculinités patriarcales et violentes. Mais ces projets sont parfois financés au détriment de ceux des organisations de femmes. Il est important de ne pas exclure les femmes, mais plutôt de travailler avec les hommes et les masculinités en complément à l'activisme féministe (en non en substitution </w:t>
      </w:r>
      <w:r w:rsidR="00661D61">
        <w:rPr>
          <w:rFonts w:ascii="Trebuchet MS" w:hAnsi="Trebuchet MS" w:cs="MinionPro-Regular"/>
          <w:lang w:val="fr-FR"/>
        </w:rPr>
        <w:t>à</w:t>
      </w:r>
      <w:r w:rsidRPr="00181510">
        <w:rPr>
          <w:rFonts w:ascii="Trebuchet MS" w:hAnsi="Trebuchet MS" w:cs="MinionPro-Regular"/>
          <w:lang w:val="fr-FR"/>
        </w:rPr>
        <w:t xml:space="preserve"> celui-ci), et d'envisager les hommes comme les alliés potentiels des femmes, et non comme leurs concurrents. Il est également important de former les donateurs sur les liens existant entre normes de genre et violence (au contraire de l'accent porté actuellement sur la seule autonomisation des femmes), afin de les convaincre de la nécessité de financer des projets visant à transformer les normes de genre, particulièrement en ce qui concerne les masculinités à caractère patriarcal, hégémonique et destructeur. De plus, étant donné que les normes sociales évoluent lentement, les donateurs doivent accepter de financer des projets à long-terme qui ne peuvent donner de résultats immédiats. </w:t>
      </w:r>
    </w:p>
    <w:p w14:paraId="3567977F" w14:textId="77777777" w:rsidR="00002DAC" w:rsidRPr="00181510" w:rsidRDefault="00002DAC" w:rsidP="00002DAC">
      <w:pPr>
        <w:jc w:val="both"/>
        <w:rPr>
          <w:rFonts w:ascii="Trebuchet MS" w:hAnsi="Trebuchet MS" w:cs="MinionPro-Regular"/>
          <w:lang w:val="fr-FR"/>
        </w:rPr>
      </w:pPr>
    </w:p>
    <w:p w14:paraId="35679780" w14:textId="77777777" w:rsidR="00002DAC" w:rsidRPr="00181510" w:rsidRDefault="00002DAC" w:rsidP="00002DAC">
      <w:pPr>
        <w:jc w:val="both"/>
        <w:rPr>
          <w:rFonts w:ascii="Trebuchet MS" w:hAnsi="Trebuchet MS" w:cs="MinionPro-Regular"/>
          <w:lang w:val="fr-FR"/>
        </w:rPr>
      </w:pPr>
      <w:r w:rsidRPr="00181510">
        <w:rPr>
          <w:rFonts w:ascii="Trebuchet MS" w:hAnsi="Trebuchet MS" w:cs="MinionPro-Regular"/>
          <w:lang w:val="fr-FR"/>
        </w:rPr>
        <w:t xml:space="preserve">Enfin, l'absence d'outils d'évaluation s'agissant de changer les normes et comportements violents rendent souvent difficiles les mesures d'impact. Le développement d'outils de mesure et leur utilisation cohérente par les différents secteurs concernés serait utile pour créer des </w:t>
      </w:r>
      <w:r w:rsidRPr="00181510">
        <w:rPr>
          <w:rFonts w:ascii="Trebuchet MS" w:hAnsi="Trebuchet MS" w:cs="MinionPro-Regular"/>
          <w:lang w:val="fr-FR"/>
        </w:rPr>
        <w:lastRenderedPageBreak/>
        <w:t xml:space="preserve">programmes à fort impact. Il est aussi essentiel d'analyser chaque contexte en profondeur avant toute intervention, et d'adapter les programmes à chaque situation. </w:t>
      </w:r>
    </w:p>
    <w:p w14:paraId="35679781" w14:textId="77777777" w:rsidR="00002DAC" w:rsidRPr="00181510" w:rsidRDefault="00002DAC" w:rsidP="00002DAC">
      <w:pPr>
        <w:jc w:val="both"/>
        <w:rPr>
          <w:rFonts w:ascii="Trebuchet MS" w:hAnsi="Trebuchet MS" w:cs="MinionPro-Regular"/>
          <w:lang w:val="fr-FR"/>
        </w:rPr>
      </w:pPr>
    </w:p>
    <w:p w14:paraId="35679782" w14:textId="77777777" w:rsidR="00002DAC" w:rsidRPr="00181510" w:rsidRDefault="00002DAC" w:rsidP="00002DAC">
      <w:pPr>
        <w:jc w:val="both"/>
        <w:rPr>
          <w:rFonts w:ascii="Trebuchet MS" w:hAnsi="Trebuchet MS" w:cs="MinionPro-Regular"/>
          <w:lang w:val="fr-FR"/>
        </w:rPr>
      </w:pPr>
      <w:r w:rsidRPr="00181510">
        <w:rPr>
          <w:rFonts w:ascii="Trebuchet MS" w:hAnsi="Trebuchet MS" w:cs="MinionPro-Regular"/>
          <w:lang w:val="fr-FR"/>
        </w:rPr>
        <w:t xml:space="preserve">Par exemple, dans certaines situations instables, travailler directement sur l'autonomisation des femmes peut s'avérer contre-productif et contribuer à polariser encore les relations entre genres. Les programmes </w:t>
      </w:r>
      <w:r w:rsidR="00661D61">
        <w:rPr>
          <w:rFonts w:ascii="Trebuchet MS" w:hAnsi="Trebuchet MS" w:cs="MinionPro-Regular"/>
          <w:lang w:val="fr-FR"/>
        </w:rPr>
        <w:t>de</w:t>
      </w:r>
      <w:r w:rsidRPr="00181510">
        <w:rPr>
          <w:rFonts w:ascii="Trebuchet MS" w:hAnsi="Trebuchet MS" w:cs="MinionPro-Regular"/>
          <w:lang w:val="fr-FR"/>
        </w:rPr>
        <w:t xml:space="preserve"> gouvernance devraient quant à eux se concentrer sur la transformation des cultures politiques masculinisées, et les programmes de réduction de la pauvreté devraient prendre en compte les relations de genre afin d'éviter d'engendrer des réactions violentes en cas d'autonomisation des femmes n'incluant pas les hommes, etc. </w:t>
      </w:r>
    </w:p>
    <w:p w14:paraId="35679783" w14:textId="77777777" w:rsidR="00002DAC" w:rsidRPr="00181510" w:rsidRDefault="00661D61" w:rsidP="00661D61">
      <w:pPr>
        <w:pStyle w:val="Titre2"/>
        <w:numPr>
          <w:ilvl w:val="0"/>
          <w:numId w:val="0"/>
        </w:numPr>
        <w:ind w:left="142"/>
        <w:rPr>
          <w:lang w:val="fr-FR"/>
        </w:rPr>
      </w:pPr>
      <w:bookmarkStart w:id="53" w:name="_Toc411365706"/>
      <w:bookmarkStart w:id="54" w:name="_Toc417545151"/>
      <w:r w:rsidRPr="00661D61">
        <w:rPr>
          <w:sz w:val="18"/>
          <w:szCs w:val="18"/>
          <w:lang w:val="fr-FR"/>
        </w:rPr>
        <w:t>3.6</w:t>
      </w:r>
      <w:r>
        <w:rPr>
          <w:sz w:val="19"/>
          <w:lang w:val="fr-FR"/>
        </w:rPr>
        <w:t xml:space="preserve"> </w:t>
      </w:r>
      <w:r w:rsidR="00002DAC" w:rsidRPr="00181510">
        <w:rPr>
          <w:lang w:val="fr-FR"/>
        </w:rPr>
        <w:t>Références et ressources utiles</w:t>
      </w:r>
      <w:bookmarkEnd w:id="53"/>
      <w:bookmarkEnd w:id="54"/>
    </w:p>
    <w:p w14:paraId="35679784" w14:textId="77777777" w:rsidR="00002DAC" w:rsidRPr="005A06ED" w:rsidRDefault="00002DAC" w:rsidP="00002DAC">
      <w:pPr>
        <w:autoSpaceDE w:val="0"/>
        <w:autoSpaceDN w:val="0"/>
        <w:adjustRightInd w:val="0"/>
        <w:jc w:val="both"/>
        <w:rPr>
          <w:rFonts w:ascii="Trebuchet MS" w:hAnsi="Trebuchet MS" w:cs="MinionPro-Regular"/>
        </w:rPr>
      </w:pPr>
      <w:proofErr w:type="spellStart"/>
      <w:r w:rsidRPr="00181510">
        <w:rPr>
          <w:rFonts w:ascii="Trebuchet MS" w:hAnsi="Trebuchet MS" w:cs="MinionPro-Regular"/>
          <w:lang w:val="fr-FR"/>
        </w:rPr>
        <w:t>Breines</w:t>
      </w:r>
      <w:proofErr w:type="spellEnd"/>
      <w:r w:rsidRPr="00181510">
        <w:rPr>
          <w:rFonts w:ascii="Trebuchet MS" w:hAnsi="Trebuchet MS" w:cs="MinionPro-Regular"/>
          <w:lang w:val="fr-FR"/>
        </w:rPr>
        <w:t xml:space="preserve"> I., </w:t>
      </w:r>
      <w:proofErr w:type="spellStart"/>
      <w:r w:rsidRPr="00181510">
        <w:rPr>
          <w:rFonts w:ascii="Trebuchet MS" w:hAnsi="Trebuchet MS" w:cs="MinionPro-Regular"/>
          <w:lang w:val="fr-FR"/>
        </w:rPr>
        <w:t>Connell</w:t>
      </w:r>
      <w:proofErr w:type="spellEnd"/>
      <w:r w:rsidRPr="00181510">
        <w:rPr>
          <w:rFonts w:ascii="Trebuchet MS" w:hAnsi="Trebuchet MS" w:cs="MinionPro-Regular"/>
          <w:lang w:val="fr-FR"/>
        </w:rPr>
        <w:t xml:space="preserve"> R., </w:t>
      </w:r>
      <w:proofErr w:type="spellStart"/>
      <w:r w:rsidRPr="00181510">
        <w:rPr>
          <w:rFonts w:ascii="Trebuchet MS" w:hAnsi="Trebuchet MS" w:cs="MinionPro-Regular"/>
          <w:lang w:val="fr-FR"/>
        </w:rPr>
        <w:t>Eide</w:t>
      </w:r>
      <w:proofErr w:type="spellEnd"/>
      <w:r w:rsidRPr="00181510">
        <w:rPr>
          <w:rFonts w:ascii="Trebuchet MS" w:hAnsi="Trebuchet MS" w:cs="MinionPro-Regular"/>
          <w:lang w:val="fr-FR"/>
        </w:rPr>
        <w:t xml:space="preserve"> I., 2000. </w:t>
      </w:r>
      <w:r w:rsidRPr="00181510">
        <w:rPr>
          <w:rFonts w:ascii="Trebuchet MS" w:hAnsi="Trebuchet MS" w:cs="MinionPro-It"/>
          <w:i/>
          <w:iCs/>
          <w:lang w:val="fr-FR"/>
        </w:rPr>
        <w:t xml:space="preserve">Male </w:t>
      </w:r>
      <w:proofErr w:type="spellStart"/>
      <w:r w:rsidRPr="00181510">
        <w:rPr>
          <w:rFonts w:ascii="Trebuchet MS" w:hAnsi="Trebuchet MS" w:cs="MinionPro-It"/>
          <w:i/>
          <w:iCs/>
          <w:lang w:val="fr-FR"/>
        </w:rPr>
        <w:t>roles</w:t>
      </w:r>
      <w:proofErr w:type="spellEnd"/>
      <w:r w:rsidRPr="00181510">
        <w:rPr>
          <w:rFonts w:ascii="Trebuchet MS" w:hAnsi="Trebuchet MS" w:cs="MinionPro-It"/>
          <w:i/>
          <w:iCs/>
          <w:lang w:val="fr-FR"/>
        </w:rPr>
        <w:t xml:space="preserve">, </w:t>
      </w:r>
      <w:proofErr w:type="spellStart"/>
      <w:r w:rsidRPr="00181510">
        <w:rPr>
          <w:rFonts w:ascii="Trebuchet MS" w:hAnsi="Trebuchet MS" w:cs="MinionPro-It"/>
          <w:i/>
          <w:iCs/>
          <w:lang w:val="fr-FR"/>
        </w:rPr>
        <w:t>masculinities</w:t>
      </w:r>
      <w:proofErr w:type="spellEnd"/>
      <w:r w:rsidRPr="00181510">
        <w:rPr>
          <w:rFonts w:ascii="Trebuchet MS" w:hAnsi="Trebuchet MS" w:cs="MinionPro-It"/>
          <w:i/>
          <w:iCs/>
          <w:lang w:val="fr-FR"/>
        </w:rPr>
        <w:t xml:space="preserve"> and violence: a culture of </w:t>
      </w:r>
      <w:proofErr w:type="spellStart"/>
      <w:r w:rsidRPr="00181510">
        <w:rPr>
          <w:rFonts w:ascii="Trebuchet MS" w:hAnsi="Trebuchet MS" w:cs="MinionPro-It"/>
          <w:i/>
          <w:iCs/>
          <w:lang w:val="fr-FR"/>
        </w:rPr>
        <w:t>peace</w:t>
      </w:r>
      <w:proofErr w:type="spellEnd"/>
      <w:r w:rsidRPr="00181510">
        <w:rPr>
          <w:rFonts w:ascii="Trebuchet MS" w:hAnsi="Trebuchet MS" w:cs="MinionPro-It"/>
          <w:i/>
          <w:iCs/>
          <w:lang w:val="fr-FR"/>
        </w:rPr>
        <w:t xml:space="preserve"> perspective (Les rôles masculins, les masculinités et la violence : perspective d'une culture de la paix). </w:t>
      </w:r>
      <w:proofErr w:type="gramStart"/>
      <w:r w:rsidRPr="005A06ED">
        <w:rPr>
          <w:rFonts w:ascii="Trebuchet MS" w:hAnsi="Trebuchet MS" w:cs="MinionPro-Regular"/>
        </w:rPr>
        <w:t>Paris :</w:t>
      </w:r>
      <w:proofErr w:type="gramEnd"/>
      <w:r w:rsidRPr="005A06ED">
        <w:rPr>
          <w:rFonts w:ascii="Trebuchet MS" w:hAnsi="Trebuchet MS" w:cs="MinionPro-Regular"/>
        </w:rPr>
        <w:t xml:space="preserve"> UNESCO. </w:t>
      </w:r>
    </w:p>
    <w:p w14:paraId="35679785" w14:textId="77777777" w:rsidR="00002DAC" w:rsidRPr="005A06ED" w:rsidRDefault="00002DAC" w:rsidP="00002DAC">
      <w:pPr>
        <w:autoSpaceDE w:val="0"/>
        <w:autoSpaceDN w:val="0"/>
        <w:adjustRightInd w:val="0"/>
        <w:jc w:val="both"/>
        <w:rPr>
          <w:rFonts w:ascii="Trebuchet MS" w:hAnsi="Trebuchet MS" w:cs="Tahoma"/>
        </w:rPr>
      </w:pPr>
    </w:p>
    <w:p w14:paraId="35679786" w14:textId="77777777" w:rsidR="00002DAC" w:rsidRPr="005A06ED" w:rsidRDefault="00002DAC" w:rsidP="00002DAC">
      <w:pPr>
        <w:autoSpaceDE w:val="0"/>
        <w:autoSpaceDN w:val="0"/>
        <w:adjustRightInd w:val="0"/>
        <w:jc w:val="both"/>
        <w:rPr>
          <w:rFonts w:ascii="Trebuchet MS" w:hAnsi="Trebuchet MS" w:cs="HelveticaLTMM_1_1000"/>
        </w:rPr>
      </w:pPr>
      <w:r w:rsidRPr="005A06ED">
        <w:rPr>
          <w:rFonts w:ascii="Trebuchet MS" w:hAnsi="Trebuchet MS" w:cs="Tahoma"/>
        </w:rPr>
        <w:t>Cohn C.,</w:t>
      </w:r>
      <w:r w:rsidRPr="005A06ED">
        <w:rPr>
          <w:rFonts w:ascii="Trebuchet MS" w:hAnsi="Trebuchet MS" w:cs="Tahoma-Bold"/>
          <w:bCs/>
        </w:rPr>
        <w:t xml:space="preserve"> 2004. </w:t>
      </w:r>
      <w:r w:rsidRPr="005A06ED">
        <w:rPr>
          <w:rFonts w:ascii="Trebuchet MS" w:hAnsi="Trebuchet MS" w:cs="Tahoma-Bold"/>
          <w:bCs/>
          <w:i/>
        </w:rPr>
        <w:t>Mainstreaming</w:t>
      </w:r>
      <w:r w:rsidRPr="005A06ED">
        <w:rPr>
          <w:rFonts w:ascii="Trebuchet MS" w:hAnsi="Trebuchet MS" w:cs="Tahoma-Bold"/>
          <w:bCs/>
        </w:rPr>
        <w:t xml:space="preserve"> </w:t>
      </w:r>
      <w:r w:rsidRPr="005A06ED">
        <w:rPr>
          <w:rFonts w:ascii="Trebuchet MS" w:hAnsi="Trebuchet MS" w:cs="Tahoma-Bold"/>
          <w:bCs/>
          <w:i/>
        </w:rPr>
        <w:t>Gender in UN Security Policy: A Path to Political Transformation?</w:t>
      </w:r>
      <w:r w:rsidRPr="005A06ED">
        <w:rPr>
          <w:rFonts w:ascii="Trebuchet MS" w:hAnsi="Trebuchet MS" w:cs="Tahoma-Bold"/>
          <w:bCs/>
        </w:rPr>
        <w:t xml:space="preserve"> </w:t>
      </w:r>
      <w:r w:rsidRPr="00661D61">
        <w:rPr>
          <w:rFonts w:ascii="Trebuchet MS" w:hAnsi="Trebuchet MS" w:cs="Tahoma-Bold"/>
          <w:bCs/>
          <w:i/>
          <w:lang w:val="fr-FR"/>
        </w:rPr>
        <w:t>(Intégrer le genre à la politique de sécurité de l'ONU : une voie vers la transformation politique ?)</w:t>
      </w:r>
      <w:r w:rsidRPr="00181510">
        <w:rPr>
          <w:rFonts w:ascii="Trebuchet MS" w:hAnsi="Trebuchet MS" w:cs="Tahoma-Bold"/>
          <w:bCs/>
          <w:lang w:val="fr-FR"/>
        </w:rPr>
        <w:t xml:space="preserve"> </w:t>
      </w:r>
      <w:r w:rsidRPr="005A06ED">
        <w:rPr>
          <w:rFonts w:ascii="Trebuchet MS" w:hAnsi="Trebuchet MS" w:cs="Tahoma-Bold"/>
          <w:bCs/>
        </w:rPr>
        <w:t xml:space="preserve">Boston Consortium on Gender, Security and Human Rights </w:t>
      </w:r>
      <w:r w:rsidRPr="005A06ED">
        <w:rPr>
          <w:rFonts w:ascii="Trebuchet MS" w:hAnsi="Trebuchet MS" w:cs="HelveticaLTMM_1_1000"/>
        </w:rPr>
        <w:t>Docum</w:t>
      </w:r>
      <w:r w:rsidRPr="005A06ED">
        <w:rPr>
          <w:rFonts w:ascii="Trebuchet MS" w:hAnsi="Trebuchet MS" w:cs="HelveticaLTMM_1_600"/>
        </w:rPr>
        <w:t>e</w:t>
      </w:r>
      <w:r w:rsidRPr="005A06ED">
        <w:rPr>
          <w:rFonts w:ascii="Trebuchet MS" w:hAnsi="Trebuchet MS" w:cs="HelveticaLTMM_1_1000"/>
        </w:rPr>
        <w:t>nt de travail n°</w:t>
      </w:r>
      <w:r w:rsidR="00661D61" w:rsidRPr="005A06ED">
        <w:rPr>
          <w:rFonts w:ascii="Trebuchet MS" w:hAnsi="Trebuchet MS" w:cs="HelveticaLTMM_1_1000"/>
        </w:rPr>
        <w:t> </w:t>
      </w:r>
      <w:r w:rsidRPr="005A06ED">
        <w:rPr>
          <w:rFonts w:ascii="Trebuchet MS" w:hAnsi="Trebuchet MS" w:cs="HelveticaLTMM_1_1000"/>
        </w:rPr>
        <w:t>204</w:t>
      </w:r>
    </w:p>
    <w:p w14:paraId="35679787" w14:textId="77777777" w:rsidR="00002DAC" w:rsidRPr="005A06ED" w:rsidRDefault="00002DAC" w:rsidP="00002DAC">
      <w:pPr>
        <w:autoSpaceDE w:val="0"/>
        <w:autoSpaceDN w:val="0"/>
        <w:adjustRightInd w:val="0"/>
        <w:jc w:val="both"/>
        <w:rPr>
          <w:rFonts w:ascii="Trebuchet MS" w:hAnsi="Trebuchet MS" w:cs="MinionPro-Regular"/>
        </w:rPr>
      </w:pPr>
    </w:p>
    <w:p w14:paraId="35679788" w14:textId="77777777" w:rsidR="00002DAC" w:rsidRPr="00181510" w:rsidRDefault="00002DAC" w:rsidP="00002DAC">
      <w:pPr>
        <w:autoSpaceDE w:val="0"/>
        <w:autoSpaceDN w:val="0"/>
        <w:adjustRightInd w:val="0"/>
        <w:jc w:val="both"/>
        <w:rPr>
          <w:rFonts w:ascii="Trebuchet MS" w:hAnsi="Trebuchet MS" w:cs="MinionPro-Regular"/>
          <w:lang w:val="fr-FR"/>
        </w:rPr>
      </w:pPr>
      <w:proofErr w:type="spellStart"/>
      <w:r w:rsidRPr="00181510">
        <w:rPr>
          <w:rFonts w:ascii="Trebuchet MS" w:hAnsi="Trebuchet MS" w:cs="MinionPro-Regular"/>
          <w:lang w:val="fr-FR"/>
        </w:rPr>
        <w:t>Connell</w:t>
      </w:r>
      <w:proofErr w:type="spellEnd"/>
      <w:r w:rsidRPr="00181510">
        <w:rPr>
          <w:rFonts w:ascii="Trebuchet MS" w:hAnsi="Trebuchet MS" w:cs="MinionPro-Regular"/>
          <w:lang w:val="fr-FR"/>
        </w:rPr>
        <w:t xml:space="preserve"> R., 1995. </w:t>
      </w:r>
      <w:proofErr w:type="spellStart"/>
      <w:r w:rsidRPr="00181510">
        <w:rPr>
          <w:rFonts w:ascii="Trebuchet MS" w:hAnsi="Trebuchet MS" w:cs="MinionPro-It"/>
          <w:i/>
          <w:iCs/>
          <w:lang w:val="fr-FR"/>
        </w:rPr>
        <w:t>Masculinies</w:t>
      </w:r>
      <w:proofErr w:type="spellEnd"/>
      <w:r w:rsidRPr="00181510">
        <w:rPr>
          <w:rFonts w:ascii="Trebuchet MS" w:hAnsi="Trebuchet MS" w:cs="MinionPro-It"/>
          <w:i/>
          <w:iCs/>
          <w:lang w:val="fr-FR"/>
        </w:rPr>
        <w:t xml:space="preserve"> (Masculinités).</w:t>
      </w:r>
      <w:r w:rsidRPr="00181510">
        <w:rPr>
          <w:rFonts w:ascii="Trebuchet MS" w:hAnsi="Trebuchet MS" w:cs="MinionPro-Regular"/>
          <w:lang w:val="fr-FR"/>
        </w:rPr>
        <w:t xml:space="preserve"> Cambridge : </w:t>
      </w:r>
      <w:proofErr w:type="spellStart"/>
      <w:r w:rsidRPr="00181510">
        <w:rPr>
          <w:rFonts w:ascii="Trebuchet MS" w:hAnsi="Trebuchet MS" w:cs="MinionPro-Regular"/>
          <w:lang w:val="fr-FR"/>
        </w:rPr>
        <w:t>Polity</w:t>
      </w:r>
      <w:proofErr w:type="spellEnd"/>
      <w:r w:rsidRPr="00181510">
        <w:rPr>
          <w:rFonts w:ascii="Trebuchet MS" w:hAnsi="Trebuchet MS" w:cs="MinionPro-Regular"/>
          <w:lang w:val="fr-FR"/>
        </w:rPr>
        <w:t xml:space="preserve"> </w:t>
      </w:r>
      <w:proofErr w:type="spellStart"/>
      <w:r w:rsidRPr="00181510">
        <w:rPr>
          <w:rFonts w:ascii="Trebuchet MS" w:hAnsi="Trebuchet MS" w:cs="MinionPro-Regular"/>
          <w:lang w:val="fr-FR"/>
        </w:rPr>
        <w:t>Press</w:t>
      </w:r>
      <w:proofErr w:type="spellEnd"/>
      <w:r w:rsidRPr="00181510">
        <w:rPr>
          <w:rFonts w:ascii="Trebuchet MS" w:hAnsi="Trebuchet MS" w:cs="MinionPro-Regular"/>
          <w:lang w:val="fr-FR"/>
        </w:rPr>
        <w:t>.</w:t>
      </w:r>
    </w:p>
    <w:p w14:paraId="35679789" w14:textId="77777777" w:rsidR="00002DAC" w:rsidRPr="00181510" w:rsidRDefault="00002DAC" w:rsidP="00002DAC">
      <w:pPr>
        <w:autoSpaceDE w:val="0"/>
        <w:autoSpaceDN w:val="0"/>
        <w:adjustRightInd w:val="0"/>
        <w:jc w:val="both"/>
        <w:rPr>
          <w:rFonts w:ascii="Trebuchet MS" w:hAnsi="Trebuchet MS" w:cs="MinionPro-Regular"/>
          <w:lang w:val="fr-FR"/>
        </w:rPr>
      </w:pPr>
    </w:p>
    <w:p w14:paraId="3567978A" w14:textId="77777777" w:rsidR="00002DAC" w:rsidRPr="00181510" w:rsidRDefault="00002DAC" w:rsidP="00002DAC">
      <w:pPr>
        <w:autoSpaceDE w:val="0"/>
        <w:autoSpaceDN w:val="0"/>
        <w:adjustRightInd w:val="0"/>
        <w:jc w:val="both"/>
        <w:rPr>
          <w:rFonts w:ascii="Trebuchet MS" w:hAnsi="Trebuchet MS" w:cs="MinionPro-Regular"/>
          <w:lang w:val="fr-FR"/>
        </w:rPr>
      </w:pPr>
      <w:r w:rsidRPr="00181510">
        <w:rPr>
          <w:rFonts w:ascii="Trebuchet MS" w:hAnsi="Trebuchet MS" w:cs="MinionPro-Regular"/>
          <w:lang w:val="fr-FR"/>
        </w:rPr>
        <w:t>---, 2002. ‘</w:t>
      </w:r>
      <w:proofErr w:type="spellStart"/>
      <w:r w:rsidRPr="00181510">
        <w:rPr>
          <w:rFonts w:ascii="Trebuchet MS" w:hAnsi="Trebuchet MS" w:cs="MinionPro-Regular"/>
          <w:lang w:val="fr-FR"/>
        </w:rPr>
        <w:t>Masculinities</w:t>
      </w:r>
      <w:proofErr w:type="spellEnd"/>
      <w:r w:rsidRPr="00181510">
        <w:rPr>
          <w:rFonts w:ascii="Trebuchet MS" w:hAnsi="Trebuchet MS" w:cs="MinionPro-Regular"/>
          <w:lang w:val="fr-FR"/>
        </w:rPr>
        <w:t xml:space="preserve">, the </w:t>
      </w:r>
      <w:proofErr w:type="spellStart"/>
      <w:r w:rsidRPr="00181510">
        <w:rPr>
          <w:rFonts w:ascii="Trebuchet MS" w:hAnsi="Trebuchet MS" w:cs="MinionPro-Regular"/>
          <w:lang w:val="fr-FR"/>
        </w:rPr>
        <w:t>reduction</w:t>
      </w:r>
      <w:proofErr w:type="spellEnd"/>
      <w:r w:rsidRPr="00181510">
        <w:rPr>
          <w:rFonts w:ascii="Trebuchet MS" w:hAnsi="Trebuchet MS" w:cs="MinionPro-Regular"/>
          <w:lang w:val="fr-FR"/>
        </w:rPr>
        <w:t xml:space="preserve"> of violence and the </w:t>
      </w:r>
      <w:proofErr w:type="spellStart"/>
      <w:r w:rsidRPr="00181510">
        <w:rPr>
          <w:rFonts w:ascii="Trebuchet MS" w:hAnsi="Trebuchet MS" w:cs="MinionPro-Regular"/>
          <w:lang w:val="fr-FR"/>
        </w:rPr>
        <w:t>pursuit</w:t>
      </w:r>
      <w:proofErr w:type="spellEnd"/>
      <w:r w:rsidRPr="00181510">
        <w:rPr>
          <w:rFonts w:ascii="Trebuchet MS" w:hAnsi="Trebuchet MS" w:cs="MinionPro-Regular"/>
          <w:lang w:val="fr-FR"/>
        </w:rPr>
        <w:t xml:space="preserve"> of </w:t>
      </w:r>
      <w:proofErr w:type="spellStart"/>
      <w:r w:rsidRPr="00181510">
        <w:rPr>
          <w:rFonts w:ascii="Trebuchet MS" w:hAnsi="Trebuchet MS" w:cs="MinionPro-Regular"/>
          <w:lang w:val="fr-FR"/>
        </w:rPr>
        <w:t>peace</w:t>
      </w:r>
      <w:proofErr w:type="spellEnd"/>
      <w:r w:rsidRPr="00181510">
        <w:rPr>
          <w:rFonts w:ascii="Trebuchet MS" w:hAnsi="Trebuchet MS" w:cs="MinionPro-Regular"/>
          <w:lang w:val="fr-FR"/>
        </w:rPr>
        <w:t xml:space="preserve">’ (Masculinités, réduction de la violence et quête de la paix) dans </w:t>
      </w:r>
      <w:proofErr w:type="spellStart"/>
      <w:r w:rsidRPr="00181510">
        <w:rPr>
          <w:rFonts w:ascii="Trebuchet MS" w:hAnsi="Trebuchet MS" w:cs="MinionPro-Regular"/>
          <w:lang w:val="fr-FR"/>
        </w:rPr>
        <w:t>Cockburn</w:t>
      </w:r>
      <w:proofErr w:type="spellEnd"/>
      <w:r w:rsidRPr="00181510">
        <w:rPr>
          <w:rFonts w:ascii="Trebuchet MS" w:hAnsi="Trebuchet MS" w:cs="MinionPro-Regular"/>
          <w:lang w:val="fr-FR"/>
        </w:rPr>
        <w:t xml:space="preserve"> C., </w:t>
      </w:r>
      <w:proofErr w:type="spellStart"/>
      <w:r w:rsidRPr="00181510">
        <w:rPr>
          <w:rFonts w:ascii="Trebuchet MS" w:hAnsi="Trebuchet MS" w:cs="MinionPro-Regular"/>
          <w:lang w:val="fr-FR"/>
        </w:rPr>
        <w:t>Zarkov</w:t>
      </w:r>
      <w:proofErr w:type="spellEnd"/>
      <w:r w:rsidRPr="00181510">
        <w:rPr>
          <w:rFonts w:ascii="Trebuchet MS" w:hAnsi="Trebuchet MS" w:cs="MinionPro-Regular"/>
          <w:lang w:val="fr-FR"/>
        </w:rPr>
        <w:t xml:space="preserve"> D. (éd.), </w:t>
      </w:r>
      <w:r w:rsidRPr="00181510">
        <w:rPr>
          <w:rFonts w:ascii="Trebuchet MS" w:hAnsi="Trebuchet MS" w:cs="MinionPro-Regular"/>
          <w:i/>
          <w:lang w:val="fr-FR"/>
        </w:rPr>
        <w:t xml:space="preserve">The </w:t>
      </w:r>
      <w:proofErr w:type="spellStart"/>
      <w:r w:rsidRPr="00181510">
        <w:rPr>
          <w:rFonts w:ascii="Trebuchet MS" w:hAnsi="Trebuchet MS" w:cs="MinionPro-Regular"/>
          <w:i/>
          <w:lang w:val="fr-FR"/>
        </w:rPr>
        <w:t>Postwar</w:t>
      </w:r>
      <w:proofErr w:type="spellEnd"/>
      <w:r w:rsidRPr="00181510">
        <w:rPr>
          <w:rFonts w:ascii="Trebuchet MS" w:hAnsi="Trebuchet MS" w:cs="MinionPro-Regular"/>
          <w:i/>
          <w:lang w:val="fr-FR"/>
        </w:rPr>
        <w:t xml:space="preserve"> Moment:</w:t>
      </w:r>
      <w:r w:rsidRPr="00181510">
        <w:rPr>
          <w:rFonts w:ascii="Trebuchet MS" w:hAnsi="Trebuchet MS" w:cs="MinionPro-Regular"/>
          <w:lang w:val="fr-FR"/>
        </w:rPr>
        <w:t xml:space="preserve"> </w:t>
      </w:r>
      <w:proofErr w:type="spellStart"/>
      <w:r w:rsidRPr="00181510">
        <w:rPr>
          <w:rFonts w:ascii="Trebuchet MS" w:hAnsi="Trebuchet MS" w:cs="MinionPro-It"/>
          <w:i/>
          <w:iCs/>
          <w:lang w:val="fr-FR"/>
        </w:rPr>
        <w:t>Militaries</w:t>
      </w:r>
      <w:proofErr w:type="spellEnd"/>
      <w:r w:rsidRPr="00181510">
        <w:rPr>
          <w:rFonts w:ascii="Trebuchet MS" w:hAnsi="Trebuchet MS" w:cs="MinionPro-It"/>
          <w:i/>
          <w:iCs/>
          <w:lang w:val="fr-FR"/>
        </w:rPr>
        <w:t xml:space="preserve">, </w:t>
      </w:r>
      <w:proofErr w:type="spellStart"/>
      <w:r w:rsidRPr="00181510">
        <w:rPr>
          <w:rFonts w:ascii="Trebuchet MS" w:hAnsi="Trebuchet MS" w:cs="MinionPro-It"/>
          <w:i/>
          <w:iCs/>
          <w:lang w:val="fr-FR"/>
        </w:rPr>
        <w:t>Masculinities</w:t>
      </w:r>
      <w:proofErr w:type="spellEnd"/>
      <w:r w:rsidRPr="00181510">
        <w:rPr>
          <w:rFonts w:ascii="Trebuchet MS" w:hAnsi="Trebuchet MS" w:cs="MinionPro-It"/>
          <w:i/>
          <w:iCs/>
          <w:lang w:val="fr-FR"/>
        </w:rPr>
        <w:t xml:space="preserve"> and International </w:t>
      </w:r>
      <w:proofErr w:type="spellStart"/>
      <w:r w:rsidRPr="00181510">
        <w:rPr>
          <w:rFonts w:ascii="Trebuchet MS" w:hAnsi="Trebuchet MS" w:cs="MinionPro-It"/>
          <w:i/>
          <w:iCs/>
          <w:lang w:val="fr-FR"/>
        </w:rPr>
        <w:t>Peacekeeping</w:t>
      </w:r>
      <w:proofErr w:type="spellEnd"/>
      <w:r w:rsidRPr="00181510">
        <w:rPr>
          <w:rFonts w:ascii="Trebuchet MS" w:hAnsi="Trebuchet MS" w:cs="MinionPro-It"/>
          <w:i/>
          <w:iCs/>
          <w:lang w:val="fr-FR"/>
        </w:rPr>
        <w:t xml:space="preserve"> (Le moment de l'après-guerre : militaires, masculinités et maintien de la paix international). </w:t>
      </w:r>
      <w:r w:rsidRPr="00181510">
        <w:rPr>
          <w:rFonts w:ascii="Trebuchet MS" w:hAnsi="Trebuchet MS" w:cs="MinionPro-Regular"/>
          <w:lang w:val="fr-FR"/>
        </w:rPr>
        <w:t xml:space="preserve">Londres : Lawrence et </w:t>
      </w:r>
      <w:proofErr w:type="spellStart"/>
      <w:r w:rsidRPr="00181510">
        <w:rPr>
          <w:rFonts w:ascii="Trebuchet MS" w:hAnsi="Trebuchet MS" w:cs="MinionPro-Regular"/>
          <w:lang w:val="fr-FR"/>
        </w:rPr>
        <w:t>Wishart</w:t>
      </w:r>
      <w:proofErr w:type="spellEnd"/>
      <w:r w:rsidRPr="00181510">
        <w:rPr>
          <w:rFonts w:ascii="Trebuchet MS" w:hAnsi="Trebuchet MS" w:cs="MinionPro-Regular"/>
          <w:lang w:val="fr-FR"/>
        </w:rPr>
        <w:t>.</w:t>
      </w:r>
    </w:p>
    <w:p w14:paraId="3567978B" w14:textId="77777777" w:rsidR="00002DAC" w:rsidRPr="00181510" w:rsidRDefault="00002DAC" w:rsidP="00002DAC">
      <w:pPr>
        <w:autoSpaceDE w:val="0"/>
        <w:autoSpaceDN w:val="0"/>
        <w:adjustRightInd w:val="0"/>
        <w:jc w:val="both"/>
        <w:rPr>
          <w:rFonts w:ascii="Trebuchet MS" w:hAnsi="Trebuchet MS"/>
          <w:bCs/>
          <w:lang w:val="fr-FR"/>
        </w:rPr>
      </w:pPr>
    </w:p>
    <w:p w14:paraId="3567978C" w14:textId="77777777" w:rsidR="00002DAC" w:rsidRPr="00181510" w:rsidRDefault="00002DAC" w:rsidP="00002DAC">
      <w:pPr>
        <w:autoSpaceDE w:val="0"/>
        <w:autoSpaceDN w:val="0"/>
        <w:adjustRightInd w:val="0"/>
        <w:jc w:val="both"/>
        <w:rPr>
          <w:rFonts w:ascii="Trebuchet MS" w:hAnsi="Trebuchet MS" w:cs="MinionPro-Regular"/>
          <w:lang w:val="fr-FR"/>
        </w:rPr>
      </w:pPr>
      <w:r w:rsidRPr="00181510">
        <w:rPr>
          <w:rFonts w:ascii="Trebuchet MS" w:hAnsi="Trebuchet MS"/>
          <w:bCs/>
          <w:lang w:val="fr-FR"/>
        </w:rPr>
        <w:t xml:space="preserve">---, 2003. </w:t>
      </w:r>
      <w:r w:rsidRPr="00181510">
        <w:rPr>
          <w:rFonts w:ascii="Trebuchet MS" w:hAnsi="Trebuchet MS"/>
          <w:bCs/>
          <w:i/>
          <w:lang w:val="fr-FR"/>
        </w:rPr>
        <w:t xml:space="preserve">The </w:t>
      </w:r>
      <w:proofErr w:type="spellStart"/>
      <w:r w:rsidRPr="00181510">
        <w:rPr>
          <w:rFonts w:ascii="Trebuchet MS" w:hAnsi="Trebuchet MS"/>
          <w:bCs/>
          <w:i/>
          <w:lang w:val="fr-FR"/>
        </w:rPr>
        <w:t>Role</w:t>
      </w:r>
      <w:proofErr w:type="spellEnd"/>
      <w:r w:rsidRPr="00181510">
        <w:rPr>
          <w:rFonts w:ascii="Trebuchet MS" w:hAnsi="Trebuchet MS"/>
          <w:bCs/>
          <w:i/>
          <w:lang w:val="fr-FR"/>
        </w:rPr>
        <w:t xml:space="preserve"> of Men and Boys in </w:t>
      </w:r>
      <w:proofErr w:type="spellStart"/>
      <w:r w:rsidRPr="00181510">
        <w:rPr>
          <w:rFonts w:ascii="Trebuchet MS" w:hAnsi="Trebuchet MS"/>
          <w:bCs/>
          <w:i/>
          <w:lang w:val="fr-FR"/>
        </w:rPr>
        <w:t>Achieving</w:t>
      </w:r>
      <w:proofErr w:type="spellEnd"/>
      <w:r w:rsidRPr="00181510">
        <w:rPr>
          <w:rFonts w:ascii="Trebuchet MS" w:hAnsi="Trebuchet MS"/>
          <w:bCs/>
          <w:i/>
          <w:lang w:val="fr-FR"/>
        </w:rPr>
        <w:t xml:space="preserve"> </w:t>
      </w:r>
      <w:proofErr w:type="spellStart"/>
      <w:r w:rsidRPr="00181510">
        <w:rPr>
          <w:rFonts w:ascii="Trebuchet MS" w:hAnsi="Trebuchet MS"/>
          <w:bCs/>
          <w:i/>
          <w:lang w:val="fr-FR"/>
        </w:rPr>
        <w:t>Gender</w:t>
      </w:r>
      <w:proofErr w:type="spellEnd"/>
      <w:r w:rsidRPr="00181510">
        <w:rPr>
          <w:rFonts w:ascii="Trebuchet MS" w:hAnsi="Trebuchet MS"/>
          <w:bCs/>
          <w:i/>
          <w:lang w:val="fr-FR"/>
        </w:rPr>
        <w:t xml:space="preserve"> </w:t>
      </w:r>
      <w:proofErr w:type="spellStart"/>
      <w:r w:rsidRPr="00181510">
        <w:rPr>
          <w:rFonts w:ascii="Trebuchet MS" w:hAnsi="Trebuchet MS"/>
          <w:bCs/>
          <w:i/>
          <w:lang w:val="fr-FR"/>
        </w:rPr>
        <w:t>Equality</w:t>
      </w:r>
      <w:proofErr w:type="spellEnd"/>
      <w:r w:rsidRPr="00181510">
        <w:rPr>
          <w:rFonts w:ascii="Trebuchet MS" w:hAnsi="Trebuchet MS"/>
          <w:bCs/>
          <w:i/>
          <w:lang w:val="fr-FR"/>
        </w:rPr>
        <w:t xml:space="preserve"> (Le rôle des hommes et des petits garçons dans l'établissement de l'égalité des sexes). </w:t>
      </w:r>
      <w:r w:rsidRPr="00181510">
        <w:rPr>
          <w:rFonts w:ascii="Trebuchet MS" w:hAnsi="Trebuchet MS"/>
          <w:bCs/>
          <w:lang w:val="fr-FR"/>
        </w:rPr>
        <w:t>Division pour l'avancement des femmes des Nations Unies (</w:t>
      </w:r>
      <w:proofErr w:type="spellStart"/>
      <w:r w:rsidRPr="00181510">
        <w:rPr>
          <w:rFonts w:ascii="Trebuchet MS" w:hAnsi="Trebuchet MS"/>
          <w:bCs/>
          <w:lang w:val="fr-FR"/>
        </w:rPr>
        <w:t>DAW</w:t>
      </w:r>
      <w:proofErr w:type="spellEnd"/>
      <w:r w:rsidRPr="00181510">
        <w:rPr>
          <w:rFonts w:ascii="Trebuchet MS" w:hAnsi="Trebuchet MS"/>
          <w:bCs/>
          <w:lang w:val="fr-FR"/>
        </w:rPr>
        <w:t>) en collaboration avec l'Organisation Internationale du Travail (OIT) Programme commun des Nations Unies sur le VIH/SIDA (</w:t>
      </w:r>
      <w:proofErr w:type="spellStart"/>
      <w:r w:rsidRPr="00181510">
        <w:rPr>
          <w:rFonts w:ascii="Trebuchet MS" w:hAnsi="Trebuchet MS"/>
          <w:bCs/>
          <w:lang w:val="fr-FR"/>
        </w:rPr>
        <w:t>ONUSIDA</w:t>
      </w:r>
      <w:proofErr w:type="spellEnd"/>
      <w:r w:rsidRPr="00181510">
        <w:rPr>
          <w:rFonts w:ascii="Trebuchet MS" w:hAnsi="Trebuchet MS"/>
          <w:bCs/>
          <w:lang w:val="fr-FR"/>
        </w:rPr>
        <w:t>) Programme des Nations Unies pour le développement (PNUD) Réunion du groupe d'experts sur “Le rôle des hommes et des petits garçons dans l'établissement de l'égalité des sexes” du 21 au 24 octobre 2003 à Brasilia, Brésil.</w:t>
      </w:r>
    </w:p>
    <w:p w14:paraId="3567978D" w14:textId="77777777" w:rsidR="00002DAC" w:rsidRPr="00181510" w:rsidRDefault="00002DAC" w:rsidP="00002DAC">
      <w:pPr>
        <w:autoSpaceDE w:val="0"/>
        <w:autoSpaceDN w:val="0"/>
        <w:adjustRightInd w:val="0"/>
        <w:jc w:val="both"/>
        <w:rPr>
          <w:rFonts w:ascii="Trebuchet MS" w:hAnsi="Trebuchet MS" w:cs="MinionPro-Regular"/>
          <w:lang w:val="fr-FR"/>
        </w:rPr>
      </w:pPr>
    </w:p>
    <w:p w14:paraId="3567978E" w14:textId="77777777" w:rsidR="00002DAC" w:rsidRPr="00181510" w:rsidRDefault="00002DAC" w:rsidP="00002DAC">
      <w:pPr>
        <w:autoSpaceDE w:val="0"/>
        <w:autoSpaceDN w:val="0"/>
        <w:adjustRightInd w:val="0"/>
        <w:jc w:val="both"/>
        <w:rPr>
          <w:rFonts w:ascii="Trebuchet MS" w:hAnsi="Trebuchet MS" w:cs="Segoe UI"/>
          <w:lang w:val="fr-FR"/>
        </w:rPr>
      </w:pPr>
      <w:proofErr w:type="spellStart"/>
      <w:r w:rsidRPr="00181510">
        <w:rPr>
          <w:rFonts w:ascii="Trebuchet MS" w:hAnsi="Trebuchet MS" w:cs="Segoe UI"/>
          <w:color w:val="000000"/>
          <w:lang w:val="fr-FR"/>
        </w:rPr>
        <w:t>Ekvall</w:t>
      </w:r>
      <w:proofErr w:type="spellEnd"/>
      <w:r w:rsidRPr="00181510">
        <w:rPr>
          <w:rFonts w:ascii="Trebuchet MS" w:hAnsi="Trebuchet MS" w:cs="Segoe UI"/>
          <w:lang w:val="fr-FR"/>
        </w:rPr>
        <w:t xml:space="preserve">, Å. 2013. </w:t>
      </w:r>
      <w:proofErr w:type="spellStart"/>
      <w:r w:rsidRPr="00181510">
        <w:rPr>
          <w:rFonts w:ascii="Trebuchet MS" w:hAnsi="Trebuchet MS" w:cs="Segoe UI"/>
          <w:i/>
          <w:lang w:val="fr-FR"/>
        </w:rPr>
        <w:t>Gender</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equality</w:t>
      </w:r>
      <w:proofErr w:type="spellEnd"/>
      <w:r w:rsidRPr="00181510">
        <w:rPr>
          <w:rFonts w:ascii="Trebuchet MS" w:hAnsi="Trebuchet MS" w:cs="Segoe UI"/>
          <w:i/>
          <w:lang w:val="fr-FR"/>
        </w:rPr>
        <w:t xml:space="preserve">, attitudes to </w:t>
      </w:r>
      <w:proofErr w:type="spellStart"/>
      <w:r w:rsidRPr="00181510">
        <w:rPr>
          <w:rFonts w:ascii="Trebuchet MS" w:hAnsi="Trebuchet MS" w:cs="Segoe UI"/>
          <w:i/>
          <w:lang w:val="fr-FR"/>
        </w:rPr>
        <w:t>gender</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equality</w:t>
      </w:r>
      <w:proofErr w:type="spellEnd"/>
      <w:r w:rsidRPr="00181510">
        <w:rPr>
          <w:rFonts w:ascii="Trebuchet MS" w:hAnsi="Trebuchet MS" w:cs="Segoe UI"/>
          <w:i/>
          <w:lang w:val="fr-FR"/>
        </w:rPr>
        <w:t xml:space="preserve"> and </w:t>
      </w:r>
      <w:proofErr w:type="spellStart"/>
      <w:r w:rsidRPr="00181510">
        <w:rPr>
          <w:rFonts w:ascii="Trebuchet MS" w:hAnsi="Trebuchet MS" w:cs="Segoe UI"/>
          <w:i/>
          <w:lang w:val="fr-FR"/>
        </w:rPr>
        <w:t>conflict</w:t>
      </w:r>
      <w:proofErr w:type="spellEnd"/>
      <w:r w:rsidRPr="00181510">
        <w:rPr>
          <w:rFonts w:ascii="Trebuchet MS" w:hAnsi="Trebuchet MS" w:cs="Segoe UI"/>
          <w:lang w:val="fr-FR"/>
        </w:rPr>
        <w:t xml:space="preserve"> </w:t>
      </w:r>
      <w:r w:rsidRPr="0045560F">
        <w:rPr>
          <w:rFonts w:ascii="Trebuchet MS" w:hAnsi="Trebuchet MS" w:cs="Segoe UI"/>
          <w:i/>
          <w:lang w:val="fr-FR"/>
        </w:rPr>
        <w:t xml:space="preserve">(Égalité des sexes, attitudes face à l'égalité des sexes et au conflit) </w:t>
      </w:r>
      <w:r w:rsidRPr="00181510">
        <w:rPr>
          <w:rFonts w:ascii="Trebuchet MS" w:hAnsi="Trebuchet MS" w:cs="Segoe UI"/>
          <w:lang w:val="fr-FR"/>
        </w:rPr>
        <w:t xml:space="preserve">dans M. </w:t>
      </w:r>
      <w:proofErr w:type="spellStart"/>
      <w:r w:rsidRPr="00181510">
        <w:rPr>
          <w:rFonts w:ascii="Trebuchet MS" w:hAnsi="Trebuchet MS" w:cs="Segoe UI"/>
          <w:lang w:val="fr-FR"/>
        </w:rPr>
        <w:t>Texler</w:t>
      </w:r>
      <w:proofErr w:type="spellEnd"/>
      <w:r w:rsidRPr="00181510">
        <w:rPr>
          <w:rFonts w:ascii="Trebuchet MS" w:hAnsi="Trebuchet MS" w:cs="Segoe UI"/>
          <w:lang w:val="fr-FR"/>
        </w:rPr>
        <w:t xml:space="preserve"> Segal et V. Demos (éd.) </w:t>
      </w:r>
      <w:proofErr w:type="spellStart"/>
      <w:r w:rsidRPr="00181510">
        <w:rPr>
          <w:rFonts w:ascii="Trebuchet MS" w:hAnsi="Trebuchet MS" w:cs="Segoe UI"/>
          <w:lang w:val="fr-FR"/>
        </w:rPr>
        <w:t>Gendered</w:t>
      </w:r>
      <w:proofErr w:type="spellEnd"/>
      <w:r w:rsidRPr="00181510">
        <w:rPr>
          <w:rFonts w:ascii="Trebuchet MS" w:hAnsi="Trebuchet MS" w:cs="Segoe UI"/>
          <w:lang w:val="fr-FR"/>
        </w:rPr>
        <w:t xml:space="preserve"> Perspectives on </w:t>
      </w:r>
      <w:proofErr w:type="spellStart"/>
      <w:r w:rsidRPr="00181510">
        <w:rPr>
          <w:rFonts w:ascii="Trebuchet MS" w:hAnsi="Trebuchet MS" w:cs="Segoe UI"/>
          <w:lang w:val="fr-FR"/>
        </w:rPr>
        <w:t>Conflict</w:t>
      </w:r>
      <w:proofErr w:type="spellEnd"/>
      <w:r w:rsidRPr="00181510">
        <w:rPr>
          <w:rFonts w:ascii="Trebuchet MS" w:hAnsi="Trebuchet MS" w:cs="Segoe UI"/>
          <w:lang w:val="fr-FR"/>
        </w:rPr>
        <w:t xml:space="preserve"> and Violence (</w:t>
      </w:r>
      <w:proofErr w:type="spellStart"/>
      <w:r w:rsidRPr="00181510">
        <w:rPr>
          <w:rFonts w:ascii="Trebuchet MS" w:hAnsi="Trebuchet MS" w:cs="Segoe UI"/>
          <w:lang w:val="fr-FR"/>
        </w:rPr>
        <w:t>Advances</w:t>
      </w:r>
      <w:proofErr w:type="spellEnd"/>
      <w:r w:rsidRPr="00181510">
        <w:rPr>
          <w:rFonts w:ascii="Trebuchet MS" w:hAnsi="Trebuchet MS" w:cs="Segoe UI"/>
          <w:lang w:val="fr-FR"/>
        </w:rPr>
        <w:t xml:space="preserve"> in </w:t>
      </w:r>
      <w:proofErr w:type="spellStart"/>
      <w:r w:rsidRPr="00181510">
        <w:rPr>
          <w:rFonts w:ascii="Trebuchet MS" w:hAnsi="Trebuchet MS" w:cs="Segoe UI"/>
          <w:lang w:val="fr-FR"/>
        </w:rPr>
        <w:t>Gender</w:t>
      </w:r>
      <w:proofErr w:type="spellEnd"/>
      <w:r w:rsidRPr="00181510">
        <w:rPr>
          <w:rFonts w:ascii="Trebuchet MS" w:hAnsi="Trebuchet MS" w:cs="Segoe UI"/>
          <w:lang w:val="fr-FR"/>
        </w:rPr>
        <w:t xml:space="preserve"> Research Vol. </w:t>
      </w:r>
      <w:proofErr w:type="spellStart"/>
      <w:r w:rsidRPr="00181510">
        <w:rPr>
          <w:rFonts w:ascii="Trebuchet MS" w:hAnsi="Trebuchet MS" w:cs="Segoe UI"/>
          <w:lang w:val="fr-FR"/>
        </w:rPr>
        <w:t>18a</w:t>
      </w:r>
      <w:proofErr w:type="spellEnd"/>
      <w:r w:rsidRPr="00181510">
        <w:rPr>
          <w:rFonts w:ascii="Trebuchet MS" w:hAnsi="Trebuchet MS" w:cs="Segoe UI"/>
          <w:lang w:val="fr-FR"/>
        </w:rPr>
        <w:t>) (Perspectives de genre sur le conflit et la violence (Avancées de la recherche en genre Vol. </w:t>
      </w:r>
      <w:proofErr w:type="spellStart"/>
      <w:r w:rsidRPr="00181510">
        <w:rPr>
          <w:rFonts w:ascii="Trebuchet MS" w:hAnsi="Trebuchet MS" w:cs="Segoe UI"/>
          <w:lang w:val="fr-FR"/>
        </w:rPr>
        <w:t>18a</w:t>
      </w:r>
      <w:proofErr w:type="spellEnd"/>
      <w:r w:rsidRPr="00181510">
        <w:rPr>
          <w:rFonts w:ascii="Trebuchet MS" w:hAnsi="Trebuchet MS" w:cs="Segoe UI"/>
          <w:lang w:val="fr-FR"/>
        </w:rPr>
        <w:t>)),</w:t>
      </w:r>
      <w:r w:rsidRPr="00181510">
        <w:rPr>
          <w:rFonts w:ascii="Trebuchet MS" w:hAnsi="Trebuchet MS" w:cs="Segoe UI"/>
          <w:b/>
          <w:bCs/>
          <w:lang w:val="fr-FR"/>
        </w:rPr>
        <w:t xml:space="preserve"> </w:t>
      </w:r>
      <w:r w:rsidRPr="00181510">
        <w:rPr>
          <w:rFonts w:ascii="Trebuchet MS" w:hAnsi="Trebuchet MS" w:cs="Segoe UI"/>
          <w:lang w:val="fr-FR"/>
        </w:rPr>
        <w:t xml:space="preserve">273-295. Emerald Group </w:t>
      </w:r>
      <w:proofErr w:type="spellStart"/>
      <w:r w:rsidRPr="00181510">
        <w:rPr>
          <w:rFonts w:ascii="Trebuchet MS" w:hAnsi="Trebuchet MS" w:cs="Segoe UI"/>
          <w:lang w:val="fr-FR"/>
        </w:rPr>
        <w:t>Publishing</w:t>
      </w:r>
      <w:proofErr w:type="spellEnd"/>
      <w:r w:rsidRPr="00181510">
        <w:rPr>
          <w:rFonts w:ascii="Trebuchet MS" w:hAnsi="Trebuchet MS" w:cs="Segoe UI"/>
          <w:lang w:val="fr-FR"/>
        </w:rPr>
        <w:t xml:space="preserve"> Limited : </w:t>
      </w:r>
      <w:proofErr w:type="spellStart"/>
      <w:r w:rsidRPr="00181510">
        <w:rPr>
          <w:rFonts w:ascii="Trebuchet MS" w:hAnsi="Trebuchet MS" w:cs="Segoe UI"/>
          <w:lang w:val="fr-FR"/>
        </w:rPr>
        <w:t>Bingley</w:t>
      </w:r>
      <w:proofErr w:type="spellEnd"/>
      <w:r w:rsidRPr="00181510">
        <w:rPr>
          <w:rFonts w:ascii="Trebuchet MS" w:hAnsi="Trebuchet MS" w:cs="Segoe UI"/>
          <w:lang w:val="fr-FR"/>
        </w:rPr>
        <w:t>.</w:t>
      </w:r>
    </w:p>
    <w:p w14:paraId="3567978F" w14:textId="77777777" w:rsidR="00002DAC" w:rsidRPr="00181510" w:rsidRDefault="00002DAC" w:rsidP="00002DAC">
      <w:pPr>
        <w:autoSpaceDE w:val="0"/>
        <w:autoSpaceDN w:val="0"/>
        <w:adjustRightInd w:val="0"/>
        <w:jc w:val="both"/>
        <w:rPr>
          <w:rFonts w:ascii="Trebuchet MS" w:hAnsi="Trebuchet MS" w:cs="MinionPro-Regular"/>
          <w:lang w:val="fr-FR"/>
        </w:rPr>
      </w:pPr>
    </w:p>
    <w:p w14:paraId="35679790" w14:textId="77777777" w:rsidR="00002DAC" w:rsidRPr="00181510" w:rsidRDefault="00002DAC" w:rsidP="00002DAC">
      <w:pPr>
        <w:autoSpaceDE w:val="0"/>
        <w:autoSpaceDN w:val="0"/>
        <w:adjustRightInd w:val="0"/>
        <w:jc w:val="both"/>
        <w:rPr>
          <w:rFonts w:ascii="Trebuchet MS" w:hAnsi="Trebuchet MS" w:cs="MinionPro-Regular"/>
          <w:lang w:val="fr-FR"/>
        </w:rPr>
      </w:pPr>
      <w:proofErr w:type="spellStart"/>
      <w:r w:rsidRPr="00181510">
        <w:rPr>
          <w:rFonts w:ascii="Trebuchet MS" w:hAnsi="Trebuchet MS" w:cs="MinionPro-Regular"/>
          <w:lang w:val="fr-FR"/>
        </w:rPr>
        <w:t>Enloe</w:t>
      </w:r>
      <w:proofErr w:type="spellEnd"/>
      <w:r w:rsidRPr="00181510">
        <w:rPr>
          <w:rFonts w:ascii="Trebuchet MS" w:hAnsi="Trebuchet MS" w:cs="MinionPro-Regular"/>
          <w:lang w:val="fr-FR"/>
        </w:rPr>
        <w:t xml:space="preserve"> C., 2007. </w:t>
      </w:r>
      <w:proofErr w:type="spellStart"/>
      <w:r w:rsidRPr="00181510">
        <w:rPr>
          <w:rFonts w:ascii="Trebuchet MS" w:hAnsi="Trebuchet MS" w:cs="MinionPro-It"/>
          <w:i/>
          <w:iCs/>
          <w:lang w:val="fr-FR"/>
        </w:rPr>
        <w:t>Globalization</w:t>
      </w:r>
      <w:proofErr w:type="spellEnd"/>
      <w:r w:rsidRPr="00181510">
        <w:rPr>
          <w:rFonts w:ascii="Trebuchet MS" w:hAnsi="Trebuchet MS" w:cs="MinionPro-It"/>
          <w:i/>
          <w:iCs/>
          <w:lang w:val="fr-FR"/>
        </w:rPr>
        <w:t xml:space="preserve"> and </w:t>
      </w:r>
      <w:proofErr w:type="spellStart"/>
      <w:r w:rsidRPr="00181510">
        <w:rPr>
          <w:rFonts w:ascii="Trebuchet MS" w:hAnsi="Trebuchet MS" w:cs="MinionPro-It"/>
          <w:i/>
          <w:iCs/>
          <w:lang w:val="fr-FR"/>
        </w:rPr>
        <w:t>Militarism</w:t>
      </w:r>
      <w:proofErr w:type="spellEnd"/>
      <w:r w:rsidRPr="00181510">
        <w:rPr>
          <w:rFonts w:ascii="Trebuchet MS" w:hAnsi="Trebuchet MS" w:cs="MinionPro-It"/>
          <w:i/>
          <w:iCs/>
          <w:lang w:val="fr-FR"/>
        </w:rPr>
        <w:t xml:space="preserve">: </w:t>
      </w:r>
      <w:proofErr w:type="spellStart"/>
      <w:r w:rsidRPr="00181510">
        <w:rPr>
          <w:rFonts w:ascii="Trebuchet MS" w:hAnsi="Trebuchet MS" w:cs="MinionPro-It"/>
          <w:i/>
          <w:iCs/>
          <w:lang w:val="fr-FR"/>
        </w:rPr>
        <w:t>Feminists</w:t>
      </w:r>
      <w:proofErr w:type="spellEnd"/>
      <w:r w:rsidRPr="00181510">
        <w:rPr>
          <w:rFonts w:ascii="Trebuchet MS" w:hAnsi="Trebuchet MS" w:cs="MinionPro-It"/>
          <w:i/>
          <w:iCs/>
          <w:lang w:val="fr-FR"/>
        </w:rPr>
        <w:t xml:space="preserve"> </w:t>
      </w:r>
      <w:proofErr w:type="spellStart"/>
      <w:r w:rsidRPr="00181510">
        <w:rPr>
          <w:rFonts w:ascii="Trebuchet MS" w:hAnsi="Trebuchet MS" w:cs="MinionPro-It"/>
          <w:i/>
          <w:iCs/>
          <w:lang w:val="fr-FR"/>
        </w:rPr>
        <w:t>Make</w:t>
      </w:r>
      <w:proofErr w:type="spellEnd"/>
      <w:r w:rsidRPr="00181510">
        <w:rPr>
          <w:rFonts w:ascii="Trebuchet MS" w:hAnsi="Trebuchet MS" w:cs="MinionPro-It"/>
          <w:i/>
          <w:iCs/>
          <w:lang w:val="fr-FR"/>
        </w:rPr>
        <w:t xml:space="preserve"> the Link (Mondialisation et militarisme : les féministes font le lien). </w:t>
      </w:r>
      <w:r w:rsidRPr="00181510">
        <w:rPr>
          <w:rFonts w:ascii="Trebuchet MS" w:hAnsi="Trebuchet MS" w:cs="MinionPro-Regular"/>
          <w:lang w:val="fr-FR"/>
        </w:rPr>
        <w:t xml:space="preserve">Plymouth : </w:t>
      </w:r>
      <w:proofErr w:type="spellStart"/>
      <w:r w:rsidRPr="00181510">
        <w:rPr>
          <w:rFonts w:ascii="Trebuchet MS" w:hAnsi="Trebuchet MS" w:cs="MinionPro-Regular"/>
          <w:lang w:val="fr-FR"/>
        </w:rPr>
        <w:t>Rowman</w:t>
      </w:r>
      <w:proofErr w:type="spellEnd"/>
      <w:r w:rsidRPr="00181510">
        <w:rPr>
          <w:rFonts w:ascii="Trebuchet MS" w:hAnsi="Trebuchet MS" w:cs="MinionPro-Regular"/>
          <w:lang w:val="fr-FR"/>
        </w:rPr>
        <w:t xml:space="preserve"> and </w:t>
      </w:r>
      <w:proofErr w:type="spellStart"/>
      <w:r w:rsidRPr="00181510">
        <w:rPr>
          <w:rFonts w:ascii="Trebuchet MS" w:hAnsi="Trebuchet MS" w:cs="MinionPro-Regular"/>
          <w:lang w:val="fr-FR"/>
        </w:rPr>
        <w:t>Littlefield</w:t>
      </w:r>
      <w:proofErr w:type="spellEnd"/>
      <w:r w:rsidRPr="00181510">
        <w:rPr>
          <w:rFonts w:ascii="Trebuchet MS" w:hAnsi="Trebuchet MS" w:cs="MinionPro-Regular"/>
          <w:lang w:val="fr-FR"/>
        </w:rPr>
        <w:t>.</w:t>
      </w:r>
    </w:p>
    <w:p w14:paraId="35679791" w14:textId="77777777" w:rsidR="00002DAC" w:rsidRPr="00181510" w:rsidRDefault="00002DAC" w:rsidP="00002DAC">
      <w:pPr>
        <w:autoSpaceDE w:val="0"/>
        <w:autoSpaceDN w:val="0"/>
        <w:adjustRightInd w:val="0"/>
        <w:jc w:val="both"/>
        <w:rPr>
          <w:rFonts w:ascii="Trebuchet MS" w:hAnsi="Trebuchet MS" w:cs="MinionPro-Regular"/>
          <w:lang w:val="fr-FR"/>
        </w:rPr>
      </w:pPr>
    </w:p>
    <w:p w14:paraId="35679792" w14:textId="77777777" w:rsidR="00002DAC" w:rsidRPr="005A06ED" w:rsidRDefault="00002DAC" w:rsidP="00002DAC">
      <w:pPr>
        <w:autoSpaceDE w:val="0"/>
        <w:autoSpaceDN w:val="0"/>
        <w:adjustRightInd w:val="0"/>
        <w:jc w:val="both"/>
        <w:rPr>
          <w:rFonts w:ascii="Trebuchet MS" w:hAnsi="Trebuchet MS" w:cs="HelveticaLTMM_1_1000"/>
        </w:rPr>
      </w:pPr>
      <w:proofErr w:type="spellStart"/>
      <w:r w:rsidRPr="00181510">
        <w:rPr>
          <w:rFonts w:ascii="Trebuchet MS" w:hAnsi="Trebuchet MS" w:cs="MinionPro-Regular"/>
          <w:lang w:val="fr-FR"/>
        </w:rPr>
        <w:lastRenderedPageBreak/>
        <w:t>Esplen</w:t>
      </w:r>
      <w:proofErr w:type="spellEnd"/>
      <w:r w:rsidRPr="00181510">
        <w:rPr>
          <w:rFonts w:ascii="Trebuchet MS" w:hAnsi="Trebuchet MS" w:cs="MinionPro-Regular"/>
          <w:lang w:val="fr-FR"/>
        </w:rPr>
        <w:t xml:space="preserve"> E., 2006. </w:t>
      </w:r>
      <w:proofErr w:type="spellStart"/>
      <w:r w:rsidRPr="00181510">
        <w:rPr>
          <w:rFonts w:ascii="Trebuchet MS" w:hAnsi="Trebuchet MS" w:cs="MinionPro-Regular"/>
          <w:i/>
          <w:lang w:val="fr-FR"/>
        </w:rPr>
        <w:t>Engaging</w:t>
      </w:r>
      <w:proofErr w:type="spellEnd"/>
      <w:r w:rsidRPr="00181510">
        <w:rPr>
          <w:rFonts w:ascii="Trebuchet MS" w:hAnsi="Trebuchet MS" w:cs="MinionPro-Regular"/>
          <w:i/>
          <w:lang w:val="fr-FR"/>
        </w:rPr>
        <w:t xml:space="preserve"> men in </w:t>
      </w:r>
      <w:proofErr w:type="spellStart"/>
      <w:r w:rsidRPr="00181510">
        <w:rPr>
          <w:rFonts w:ascii="Trebuchet MS" w:hAnsi="Trebuchet MS" w:cs="MinionPro-Regular"/>
          <w:i/>
          <w:lang w:val="fr-FR"/>
        </w:rPr>
        <w:t>gender</w:t>
      </w:r>
      <w:proofErr w:type="spellEnd"/>
      <w:r w:rsidRPr="00181510">
        <w:rPr>
          <w:rFonts w:ascii="Trebuchet MS" w:hAnsi="Trebuchet MS" w:cs="MinionPro-Regular"/>
          <w:i/>
          <w:lang w:val="fr-FR"/>
        </w:rPr>
        <w:t xml:space="preserve"> </w:t>
      </w:r>
      <w:proofErr w:type="spellStart"/>
      <w:r w:rsidRPr="00181510">
        <w:rPr>
          <w:rFonts w:ascii="Trebuchet MS" w:hAnsi="Trebuchet MS" w:cs="MinionPro-Regular"/>
          <w:i/>
          <w:lang w:val="fr-FR"/>
        </w:rPr>
        <w:t>equality</w:t>
      </w:r>
      <w:proofErr w:type="spellEnd"/>
      <w:r w:rsidRPr="00181510">
        <w:rPr>
          <w:rFonts w:ascii="Trebuchet MS" w:hAnsi="Trebuchet MS" w:cs="MinionPro-Regular"/>
          <w:i/>
          <w:lang w:val="fr-FR"/>
        </w:rPr>
        <w:t xml:space="preserve">: positive </w:t>
      </w:r>
      <w:proofErr w:type="spellStart"/>
      <w:r w:rsidRPr="00181510">
        <w:rPr>
          <w:rFonts w:ascii="Trebuchet MS" w:hAnsi="Trebuchet MS" w:cs="MinionPro-Regular"/>
          <w:i/>
          <w:lang w:val="fr-FR"/>
        </w:rPr>
        <w:t>strategies</w:t>
      </w:r>
      <w:proofErr w:type="spellEnd"/>
      <w:r w:rsidRPr="00181510">
        <w:rPr>
          <w:rFonts w:ascii="Trebuchet MS" w:hAnsi="Trebuchet MS" w:cs="MinionPro-Regular"/>
          <w:i/>
          <w:lang w:val="fr-FR"/>
        </w:rPr>
        <w:t xml:space="preserve"> and </w:t>
      </w:r>
      <w:proofErr w:type="spellStart"/>
      <w:r w:rsidRPr="00181510">
        <w:rPr>
          <w:rFonts w:ascii="Trebuchet MS" w:hAnsi="Trebuchet MS" w:cs="MinionPro-Regular"/>
          <w:i/>
          <w:lang w:val="fr-FR"/>
        </w:rPr>
        <w:t>approaches</w:t>
      </w:r>
      <w:proofErr w:type="spellEnd"/>
      <w:r w:rsidRPr="00181510">
        <w:rPr>
          <w:rFonts w:ascii="Trebuchet MS" w:hAnsi="Trebuchet MS" w:cs="MinionPro-Regular"/>
          <w:i/>
          <w:lang w:val="fr-FR"/>
        </w:rPr>
        <w:t xml:space="preserve"> (Impliquer les hommes dans l'égalité des sexes : stratégies et approches positives). </w:t>
      </w:r>
      <w:proofErr w:type="gramStart"/>
      <w:r w:rsidRPr="005A06ED">
        <w:rPr>
          <w:rFonts w:ascii="Trebuchet MS" w:hAnsi="Trebuchet MS" w:cs="MinionPro-Regular"/>
        </w:rPr>
        <w:t>Brighton :</w:t>
      </w:r>
      <w:proofErr w:type="gramEnd"/>
      <w:r w:rsidRPr="005A06ED">
        <w:rPr>
          <w:rFonts w:ascii="Trebuchet MS" w:hAnsi="Trebuchet MS" w:cs="MinionPro-Regular"/>
        </w:rPr>
        <w:t xml:space="preserve"> Bridge/Institute of Development Studies.</w:t>
      </w:r>
    </w:p>
    <w:p w14:paraId="35679793" w14:textId="77777777" w:rsidR="00002DAC" w:rsidRPr="005A06ED" w:rsidRDefault="00002DAC" w:rsidP="00002DAC">
      <w:pPr>
        <w:autoSpaceDE w:val="0"/>
        <w:autoSpaceDN w:val="0"/>
        <w:adjustRightInd w:val="0"/>
        <w:jc w:val="both"/>
        <w:rPr>
          <w:rFonts w:ascii="Trebuchet MS" w:hAnsi="Trebuchet MS" w:cs="Segoe UI"/>
        </w:rPr>
      </w:pPr>
    </w:p>
    <w:p w14:paraId="35679794" w14:textId="77777777" w:rsidR="00002DAC" w:rsidRPr="00181510" w:rsidRDefault="00002DAC" w:rsidP="00002DAC">
      <w:pPr>
        <w:jc w:val="both"/>
        <w:rPr>
          <w:rFonts w:ascii="Trebuchet MS" w:hAnsi="Trebuchet MS"/>
          <w:lang w:val="fr-FR"/>
        </w:rPr>
      </w:pPr>
      <w:r w:rsidRPr="005A06ED">
        <w:rPr>
          <w:rFonts w:ascii="Trebuchet MS" w:hAnsi="Trebuchet MS" w:cs="Segoe UI"/>
        </w:rPr>
        <w:t>European Peacebuilding Liaison Office, 2013.</w:t>
      </w:r>
      <w:r w:rsidRPr="005A06ED">
        <w:rPr>
          <w:rFonts w:ascii="Trebuchet MS" w:hAnsi="Trebuchet MS"/>
        </w:rPr>
        <w:t xml:space="preserve"> </w:t>
      </w:r>
      <w:proofErr w:type="spellStart"/>
      <w:r w:rsidRPr="00181510">
        <w:rPr>
          <w:rFonts w:ascii="Trebuchet MS" w:hAnsi="Trebuchet MS"/>
          <w:lang w:val="fr-FR"/>
        </w:rPr>
        <w:t>UNSCR</w:t>
      </w:r>
      <w:proofErr w:type="spellEnd"/>
      <w:r w:rsidRPr="00181510">
        <w:rPr>
          <w:rFonts w:ascii="Trebuchet MS" w:hAnsi="Trebuchet MS"/>
          <w:lang w:val="fr-FR"/>
        </w:rPr>
        <w:t xml:space="preserve"> 1325 IN EUROPE 20 case </w:t>
      </w:r>
      <w:proofErr w:type="spellStart"/>
      <w:r w:rsidRPr="00181510">
        <w:rPr>
          <w:rFonts w:ascii="Trebuchet MS" w:hAnsi="Trebuchet MS"/>
          <w:lang w:val="fr-FR"/>
        </w:rPr>
        <w:t>studies</w:t>
      </w:r>
      <w:proofErr w:type="spellEnd"/>
      <w:r w:rsidRPr="00181510">
        <w:rPr>
          <w:rFonts w:ascii="Trebuchet MS" w:hAnsi="Trebuchet MS"/>
          <w:lang w:val="fr-FR"/>
        </w:rPr>
        <w:t xml:space="preserve"> of </w:t>
      </w:r>
      <w:proofErr w:type="spellStart"/>
      <w:r w:rsidRPr="00181510">
        <w:rPr>
          <w:rFonts w:ascii="Trebuchet MS" w:hAnsi="Trebuchet MS"/>
          <w:lang w:val="fr-FR"/>
        </w:rPr>
        <w:t>implementation</w:t>
      </w:r>
      <w:proofErr w:type="spellEnd"/>
      <w:r w:rsidRPr="00181510">
        <w:rPr>
          <w:rFonts w:ascii="Trebuchet MS" w:hAnsi="Trebuchet MS"/>
          <w:lang w:val="fr-FR"/>
        </w:rPr>
        <w:t xml:space="preserve"> (La </w:t>
      </w:r>
      <w:proofErr w:type="spellStart"/>
      <w:r w:rsidRPr="00181510">
        <w:rPr>
          <w:rFonts w:ascii="Trebuchet MS" w:hAnsi="Trebuchet MS"/>
          <w:lang w:val="fr-FR"/>
        </w:rPr>
        <w:t>RCSNU</w:t>
      </w:r>
      <w:proofErr w:type="spellEnd"/>
      <w:r w:rsidRPr="00181510">
        <w:rPr>
          <w:rFonts w:ascii="Trebuchet MS" w:hAnsi="Trebuchet MS"/>
          <w:lang w:val="fr-FR"/>
        </w:rPr>
        <w:t> 1325 EN EUROPE 20 études de cas sur son application).</w:t>
      </w:r>
      <w:r w:rsidR="004E7D1F">
        <w:rPr>
          <w:rFonts w:ascii="Trebuchet MS" w:hAnsi="Trebuchet MS"/>
          <w:lang w:val="fr-FR"/>
        </w:rPr>
        <w:t xml:space="preserve"> </w:t>
      </w:r>
      <w:r w:rsidRPr="00181510">
        <w:rPr>
          <w:rFonts w:ascii="Trebuchet MS" w:hAnsi="Trebuchet MS"/>
          <w:lang w:val="fr-FR"/>
        </w:rPr>
        <w:t>Bru</w:t>
      </w:r>
      <w:r w:rsidR="004E7D1F">
        <w:rPr>
          <w:rFonts w:ascii="Trebuchet MS" w:hAnsi="Trebuchet MS"/>
          <w:lang w:val="fr-FR"/>
        </w:rPr>
        <w:t>xelle</w:t>
      </w:r>
      <w:r w:rsidRPr="00181510">
        <w:rPr>
          <w:rFonts w:ascii="Trebuchet MS" w:hAnsi="Trebuchet MS"/>
          <w:lang w:val="fr-FR"/>
        </w:rPr>
        <w:t>s.</w:t>
      </w:r>
    </w:p>
    <w:p w14:paraId="35679795" w14:textId="77777777" w:rsidR="00002DAC" w:rsidRPr="00181510" w:rsidRDefault="00002DAC" w:rsidP="00002DAC">
      <w:pPr>
        <w:jc w:val="both"/>
        <w:rPr>
          <w:rFonts w:ascii="Trebuchet MS" w:hAnsi="Trebuchet MS"/>
          <w:lang w:val="fr-FR"/>
        </w:rPr>
      </w:pPr>
    </w:p>
    <w:p w14:paraId="35679796" w14:textId="77777777" w:rsidR="00002DAC" w:rsidRPr="005A06ED" w:rsidRDefault="00002DAC" w:rsidP="00002DAC">
      <w:pPr>
        <w:jc w:val="both"/>
        <w:rPr>
          <w:rFonts w:ascii="Trebuchet MS" w:hAnsi="Trebuchet MS"/>
        </w:rPr>
      </w:pPr>
      <w:r w:rsidRPr="00181510">
        <w:rPr>
          <w:rFonts w:ascii="Trebuchet MS" w:hAnsi="Trebuchet MS" w:cs="Cambria"/>
          <w:lang w:val="fr-FR"/>
        </w:rPr>
        <w:t>Fontain</w:t>
      </w:r>
      <w:r w:rsidR="004E7D1F">
        <w:rPr>
          <w:rFonts w:ascii="Trebuchet MS" w:hAnsi="Trebuchet MS" w:cs="Cambria"/>
          <w:lang w:val="fr-FR"/>
        </w:rPr>
        <w:t>e</w:t>
      </w:r>
      <w:r w:rsidRPr="00181510">
        <w:rPr>
          <w:rFonts w:ascii="Trebuchet MS" w:hAnsi="Trebuchet MS" w:cs="Cambria"/>
          <w:lang w:val="fr-FR"/>
        </w:rPr>
        <w:t>-</w:t>
      </w:r>
      <w:proofErr w:type="spellStart"/>
      <w:r w:rsidRPr="00181510">
        <w:rPr>
          <w:rFonts w:ascii="Trebuchet MS" w:hAnsi="Trebuchet MS" w:cs="Cambria"/>
          <w:lang w:val="fr-FR"/>
        </w:rPr>
        <w:t>ISOKO</w:t>
      </w:r>
      <w:proofErr w:type="spellEnd"/>
      <w:r w:rsidRPr="00181510">
        <w:rPr>
          <w:rFonts w:ascii="Trebuchet MS" w:hAnsi="Trebuchet MS" w:cs="Cambria"/>
          <w:lang w:val="fr-FR"/>
        </w:rPr>
        <w:t xml:space="preserve">, 2013. </w:t>
      </w:r>
      <w:proofErr w:type="spellStart"/>
      <w:r w:rsidRPr="00181510">
        <w:rPr>
          <w:rFonts w:ascii="Trebuchet MS" w:hAnsi="Trebuchet MS" w:cs="Cambria"/>
          <w:lang w:val="fr-FR"/>
        </w:rPr>
        <w:t>My</w:t>
      </w:r>
      <w:proofErr w:type="spellEnd"/>
      <w:r w:rsidRPr="00181510">
        <w:rPr>
          <w:rFonts w:ascii="Trebuchet MS" w:hAnsi="Trebuchet MS" w:cs="Cambria"/>
          <w:lang w:val="fr-FR"/>
        </w:rPr>
        <w:t xml:space="preserve"> </w:t>
      </w:r>
      <w:proofErr w:type="spellStart"/>
      <w:r w:rsidRPr="00181510">
        <w:rPr>
          <w:rFonts w:ascii="Trebuchet MS" w:hAnsi="Trebuchet MS" w:cs="Cambria"/>
          <w:lang w:val="fr-FR"/>
        </w:rPr>
        <w:t>role</w:t>
      </w:r>
      <w:proofErr w:type="spellEnd"/>
      <w:r w:rsidRPr="00181510">
        <w:rPr>
          <w:rFonts w:ascii="Trebuchet MS" w:hAnsi="Trebuchet MS" w:cs="Cambria"/>
          <w:lang w:val="fr-FR"/>
        </w:rPr>
        <w:t xml:space="preserve"> in </w:t>
      </w:r>
      <w:proofErr w:type="spellStart"/>
      <w:r w:rsidRPr="00181510">
        <w:rPr>
          <w:rFonts w:ascii="Trebuchet MS" w:hAnsi="Trebuchet MS" w:cs="Cambria"/>
          <w:lang w:val="fr-FR"/>
        </w:rPr>
        <w:t>ending</w:t>
      </w:r>
      <w:proofErr w:type="spellEnd"/>
      <w:r w:rsidRPr="00181510">
        <w:rPr>
          <w:rFonts w:ascii="Trebuchet MS" w:hAnsi="Trebuchet MS" w:cs="Cambria"/>
          <w:lang w:val="fr-FR"/>
        </w:rPr>
        <w:t xml:space="preserve"> </w:t>
      </w:r>
      <w:proofErr w:type="spellStart"/>
      <w:r w:rsidRPr="00181510">
        <w:rPr>
          <w:rFonts w:ascii="Trebuchet MS" w:hAnsi="Trebuchet MS" w:cs="Cambria"/>
          <w:lang w:val="fr-FR"/>
        </w:rPr>
        <w:t>gender-based</w:t>
      </w:r>
      <w:proofErr w:type="spellEnd"/>
      <w:r w:rsidRPr="00181510">
        <w:rPr>
          <w:rFonts w:ascii="Trebuchet MS" w:hAnsi="Trebuchet MS" w:cs="Cambria"/>
          <w:lang w:val="fr-FR"/>
        </w:rPr>
        <w:t xml:space="preserve"> violence: </w:t>
      </w:r>
      <w:proofErr w:type="spellStart"/>
      <w:r w:rsidRPr="00181510">
        <w:rPr>
          <w:rFonts w:ascii="Trebuchet MS" w:hAnsi="Trebuchet MS" w:cs="Cambria"/>
          <w:lang w:val="fr-FR"/>
        </w:rPr>
        <w:t>Engaging</w:t>
      </w:r>
      <w:proofErr w:type="spellEnd"/>
      <w:r w:rsidRPr="00181510">
        <w:rPr>
          <w:rFonts w:ascii="Trebuchet MS" w:hAnsi="Trebuchet MS" w:cs="Cambria"/>
          <w:lang w:val="fr-FR"/>
        </w:rPr>
        <w:t xml:space="preserve"> men in </w:t>
      </w:r>
      <w:proofErr w:type="spellStart"/>
      <w:r w:rsidRPr="00181510">
        <w:rPr>
          <w:rFonts w:ascii="Trebuchet MS" w:hAnsi="Trebuchet MS" w:cs="Cambria"/>
          <w:lang w:val="fr-FR"/>
        </w:rPr>
        <w:t>transforming</w:t>
      </w:r>
      <w:proofErr w:type="spellEnd"/>
      <w:r w:rsidRPr="00181510">
        <w:rPr>
          <w:rFonts w:ascii="Trebuchet MS" w:hAnsi="Trebuchet MS" w:cs="Cambria"/>
          <w:lang w:val="fr-FR"/>
        </w:rPr>
        <w:t xml:space="preserve"> </w:t>
      </w:r>
      <w:proofErr w:type="spellStart"/>
      <w:r w:rsidRPr="00181510">
        <w:rPr>
          <w:rFonts w:ascii="Trebuchet MS" w:hAnsi="Trebuchet MS" w:cs="Cambria"/>
          <w:lang w:val="fr-FR"/>
        </w:rPr>
        <w:t>masculinities</w:t>
      </w:r>
      <w:proofErr w:type="spellEnd"/>
      <w:r w:rsidRPr="00181510">
        <w:rPr>
          <w:rFonts w:ascii="Trebuchet MS" w:hAnsi="Trebuchet MS" w:cs="Cambria"/>
          <w:lang w:val="fr-FR"/>
        </w:rPr>
        <w:t xml:space="preserve"> and </w:t>
      </w:r>
      <w:proofErr w:type="spellStart"/>
      <w:r w:rsidRPr="00181510">
        <w:rPr>
          <w:rFonts w:ascii="Trebuchet MS" w:hAnsi="Trebuchet MS" w:cs="Cambria"/>
          <w:lang w:val="fr-FR"/>
        </w:rPr>
        <w:t>promoting</w:t>
      </w:r>
      <w:proofErr w:type="spellEnd"/>
      <w:r w:rsidRPr="00181510">
        <w:rPr>
          <w:rFonts w:ascii="Trebuchet MS" w:hAnsi="Trebuchet MS" w:cs="Cambria"/>
          <w:lang w:val="fr-FR"/>
        </w:rPr>
        <w:t xml:space="preserve"> </w:t>
      </w:r>
      <w:proofErr w:type="spellStart"/>
      <w:r w:rsidRPr="00181510">
        <w:rPr>
          <w:rFonts w:ascii="Trebuchet MS" w:hAnsi="Trebuchet MS" w:cs="Cambria"/>
          <w:lang w:val="fr-FR"/>
        </w:rPr>
        <w:t>women’s</w:t>
      </w:r>
      <w:proofErr w:type="spellEnd"/>
      <w:r w:rsidRPr="00181510">
        <w:rPr>
          <w:rFonts w:ascii="Trebuchet MS" w:hAnsi="Trebuchet MS" w:cs="Cambria"/>
          <w:lang w:val="fr-FR"/>
        </w:rPr>
        <w:t xml:space="preserve"> </w:t>
      </w:r>
      <w:proofErr w:type="spellStart"/>
      <w:r w:rsidRPr="00181510">
        <w:rPr>
          <w:rFonts w:ascii="Trebuchet MS" w:hAnsi="Trebuchet MS" w:cs="Cambria"/>
          <w:lang w:val="fr-FR"/>
        </w:rPr>
        <w:t>rights</w:t>
      </w:r>
      <w:proofErr w:type="spellEnd"/>
      <w:r w:rsidRPr="00181510">
        <w:rPr>
          <w:rFonts w:ascii="Trebuchet MS" w:hAnsi="Trebuchet MS" w:cs="Cambria"/>
          <w:lang w:val="fr-FR"/>
        </w:rPr>
        <w:t xml:space="preserve"> in post-</w:t>
      </w:r>
      <w:proofErr w:type="spellStart"/>
      <w:r w:rsidRPr="00181510">
        <w:rPr>
          <w:rFonts w:ascii="Trebuchet MS" w:hAnsi="Trebuchet MS" w:cs="Cambria"/>
          <w:lang w:val="fr-FR"/>
        </w:rPr>
        <w:t>conflict</w:t>
      </w:r>
      <w:proofErr w:type="spellEnd"/>
      <w:r w:rsidRPr="00181510">
        <w:rPr>
          <w:rFonts w:ascii="Trebuchet MS" w:hAnsi="Trebuchet MS" w:cs="Cambria"/>
          <w:lang w:val="fr-FR"/>
        </w:rPr>
        <w:t xml:space="preserve"> Burundi (Mon rôle dans l'élimination de la violence basée sur le genre : impliquer les hommes et transformer les masculinités pour promouvoir les droits des femmes dans le Burundi de l'après-conflit). </w:t>
      </w:r>
      <w:proofErr w:type="spellStart"/>
      <w:r w:rsidRPr="005A06ED">
        <w:rPr>
          <w:rFonts w:ascii="Trebuchet MS" w:hAnsi="Trebuchet MS" w:cs="Cambria"/>
        </w:rPr>
        <w:t>Théorie</w:t>
      </w:r>
      <w:proofErr w:type="spellEnd"/>
      <w:r w:rsidRPr="005A06ED">
        <w:rPr>
          <w:rFonts w:ascii="Trebuchet MS" w:hAnsi="Trebuchet MS" w:cs="Cambria"/>
        </w:rPr>
        <w:t xml:space="preserve"> du </w:t>
      </w:r>
      <w:proofErr w:type="spellStart"/>
      <w:r w:rsidRPr="005A06ED">
        <w:rPr>
          <w:rFonts w:ascii="Trebuchet MS" w:hAnsi="Trebuchet MS" w:cs="Cambria"/>
        </w:rPr>
        <w:t>changement</w:t>
      </w:r>
      <w:proofErr w:type="spellEnd"/>
      <w:r w:rsidRPr="005A06ED">
        <w:rPr>
          <w:rFonts w:ascii="Trebuchet MS" w:hAnsi="Trebuchet MS" w:cs="Cambria"/>
        </w:rPr>
        <w:t>. Bujumbura.</w:t>
      </w:r>
    </w:p>
    <w:p w14:paraId="35679797" w14:textId="77777777" w:rsidR="00002DAC" w:rsidRPr="005A06ED" w:rsidRDefault="00002DAC" w:rsidP="00002DAC">
      <w:pPr>
        <w:pStyle w:val="Default"/>
        <w:jc w:val="both"/>
        <w:rPr>
          <w:rFonts w:ascii="Trebuchet MS" w:hAnsi="Trebuchet MS"/>
          <w:bCs/>
          <w:sz w:val="18"/>
          <w:szCs w:val="18"/>
        </w:rPr>
      </w:pPr>
    </w:p>
    <w:p w14:paraId="35679798" w14:textId="77777777" w:rsidR="00002DAC" w:rsidRPr="00181510" w:rsidRDefault="00002DAC" w:rsidP="00002DAC">
      <w:pPr>
        <w:autoSpaceDE w:val="0"/>
        <w:autoSpaceDN w:val="0"/>
        <w:adjustRightInd w:val="0"/>
        <w:jc w:val="both"/>
        <w:rPr>
          <w:rFonts w:ascii="Trebuchet MS" w:hAnsi="Trebuchet MS" w:cs="Segoe UI"/>
          <w:lang w:val="fr-FR"/>
        </w:rPr>
      </w:pPr>
      <w:r w:rsidRPr="005A06ED">
        <w:rPr>
          <w:rFonts w:ascii="Trebuchet MS" w:hAnsi="Trebuchet MS"/>
          <w:bCs/>
        </w:rPr>
        <w:t xml:space="preserve">Gender Action for Peace and Security, 2007. </w:t>
      </w:r>
      <w:r w:rsidRPr="00181510">
        <w:rPr>
          <w:rFonts w:ascii="Trebuchet MS" w:hAnsi="Trebuchet MS" w:cs="Arial Narrow"/>
          <w:bCs/>
          <w:i/>
          <w:lang w:val="fr-FR"/>
        </w:rPr>
        <w:t xml:space="preserve">Report on </w:t>
      </w:r>
      <w:proofErr w:type="spellStart"/>
      <w:r w:rsidRPr="00181510">
        <w:rPr>
          <w:rFonts w:ascii="Trebuchet MS" w:hAnsi="Trebuchet MS" w:cs="Arial Narrow"/>
          <w:bCs/>
          <w:i/>
          <w:lang w:val="fr-FR"/>
        </w:rPr>
        <w:t>Involving</w:t>
      </w:r>
      <w:proofErr w:type="spellEnd"/>
      <w:r w:rsidRPr="00181510">
        <w:rPr>
          <w:rFonts w:ascii="Trebuchet MS" w:hAnsi="Trebuchet MS" w:cs="Arial Narrow"/>
          <w:bCs/>
          <w:i/>
          <w:lang w:val="fr-FR"/>
        </w:rPr>
        <w:t xml:space="preserve"> Men in the </w:t>
      </w:r>
      <w:proofErr w:type="spellStart"/>
      <w:r w:rsidRPr="00181510">
        <w:rPr>
          <w:rFonts w:ascii="Trebuchet MS" w:hAnsi="Trebuchet MS" w:cs="Arial Narrow"/>
          <w:bCs/>
          <w:i/>
          <w:lang w:val="fr-FR"/>
        </w:rPr>
        <w:t>Implementation</w:t>
      </w:r>
      <w:proofErr w:type="spellEnd"/>
      <w:r w:rsidRPr="00181510">
        <w:rPr>
          <w:rFonts w:ascii="Trebuchet MS" w:hAnsi="Trebuchet MS" w:cs="Arial Narrow"/>
          <w:bCs/>
          <w:i/>
          <w:lang w:val="fr-FR"/>
        </w:rPr>
        <w:t xml:space="preserve"> of UN Security Council </w:t>
      </w:r>
      <w:proofErr w:type="spellStart"/>
      <w:r w:rsidRPr="00181510">
        <w:rPr>
          <w:rFonts w:ascii="Trebuchet MS" w:hAnsi="Trebuchet MS" w:cs="Arial Narrow"/>
          <w:bCs/>
          <w:i/>
          <w:lang w:val="fr-FR"/>
        </w:rPr>
        <w:t>Resolution</w:t>
      </w:r>
      <w:proofErr w:type="spellEnd"/>
      <w:r w:rsidRPr="00181510">
        <w:rPr>
          <w:rFonts w:ascii="Trebuchet MS" w:hAnsi="Trebuchet MS" w:cs="Arial Narrow"/>
          <w:bCs/>
          <w:i/>
          <w:lang w:val="fr-FR"/>
        </w:rPr>
        <w:t xml:space="preserve"> 1325 on </w:t>
      </w:r>
      <w:proofErr w:type="spellStart"/>
      <w:r w:rsidRPr="00181510">
        <w:rPr>
          <w:rFonts w:ascii="Trebuchet MS" w:hAnsi="Trebuchet MS" w:cs="Arial Narrow"/>
          <w:bCs/>
          <w:i/>
          <w:lang w:val="fr-FR"/>
        </w:rPr>
        <w:t>Women</w:t>
      </w:r>
      <w:proofErr w:type="spellEnd"/>
      <w:r w:rsidRPr="00181510">
        <w:rPr>
          <w:rFonts w:ascii="Trebuchet MS" w:hAnsi="Trebuchet MS" w:cs="Arial Narrow"/>
          <w:bCs/>
          <w:i/>
          <w:lang w:val="fr-FR"/>
        </w:rPr>
        <w:t xml:space="preserve">, </w:t>
      </w:r>
      <w:proofErr w:type="spellStart"/>
      <w:r w:rsidRPr="00181510">
        <w:rPr>
          <w:rFonts w:ascii="Trebuchet MS" w:hAnsi="Trebuchet MS" w:cs="Arial Narrow"/>
          <w:bCs/>
          <w:i/>
          <w:lang w:val="fr-FR"/>
        </w:rPr>
        <w:t>Peace</w:t>
      </w:r>
      <w:proofErr w:type="spellEnd"/>
      <w:r w:rsidRPr="00181510">
        <w:rPr>
          <w:rFonts w:ascii="Trebuchet MS" w:hAnsi="Trebuchet MS" w:cs="Arial Narrow"/>
          <w:bCs/>
          <w:i/>
          <w:lang w:val="fr-FR"/>
        </w:rPr>
        <w:t xml:space="preserve"> and Security (Rapport sur l'implication des hommes dans l'application de la Résolution 1325 du Conseil de sécurité des Nations Unies sur les femmes, la paix et la sécurité). </w:t>
      </w:r>
      <w:r w:rsidRPr="00181510">
        <w:rPr>
          <w:rFonts w:ascii="Trebuchet MS" w:hAnsi="Trebuchet MS" w:cs="Arial Narrow"/>
          <w:bCs/>
          <w:lang w:val="fr-FR"/>
        </w:rPr>
        <w:t>Rapport basé sur un événement GAPS organisé par la Haute commission canadienne le 13 mars 2007 à la Maison du Canada.</w:t>
      </w:r>
    </w:p>
    <w:p w14:paraId="35679799" w14:textId="77777777" w:rsidR="00002DAC" w:rsidRPr="00181510" w:rsidRDefault="00002DAC" w:rsidP="00002DAC">
      <w:pPr>
        <w:autoSpaceDE w:val="0"/>
        <w:autoSpaceDN w:val="0"/>
        <w:adjustRightInd w:val="0"/>
        <w:jc w:val="both"/>
        <w:rPr>
          <w:rFonts w:ascii="Trebuchet MS" w:hAnsi="Trebuchet MS" w:cs="Segoe UI"/>
          <w:lang w:val="fr-FR"/>
        </w:rPr>
      </w:pPr>
    </w:p>
    <w:p w14:paraId="3567979A" w14:textId="77777777" w:rsidR="00002DAC" w:rsidRPr="005A06ED" w:rsidRDefault="00002DAC" w:rsidP="00002DAC">
      <w:pPr>
        <w:autoSpaceDE w:val="0"/>
        <w:autoSpaceDN w:val="0"/>
        <w:adjustRightInd w:val="0"/>
        <w:jc w:val="both"/>
        <w:rPr>
          <w:rFonts w:ascii="Trebuchet MS" w:hAnsi="Trebuchet MS" w:cs="Segoe UI"/>
        </w:rPr>
      </w:pPr>
      <w:r w:rsidRPr="00181510">
        <w:rPr>
          <w:rFonts w:ascii="Trebuchet MS" w:hAnsi="Trebuchet MS" w:cs="Segoe UI"/>
          <w:lang w:val="fr-FR"/>
        </w:rPr>
        <w:t xml:space="preserve">Hudson </w:t>
      </w:r>
      <w:proofErr w:type="spellStart"/>
      <w:r w:rsidRPr="00181510">
        <w:rPr>
          <w:rFonts w:ascii="Trebuchet MS" w:hAnsi="Trebuchet MS" w:cs="Segoe UI"/>
          <w:lang w:val="fr-FR"/>
        </w:rPr>
        <w:t>V.M</w:t>
      </w:r>
      <w:proofErr w:type="spellEnd"/>
      <w:r w:rsidRPr="00181510">
        <w:rPr>
          <w:rFonts w:ascii="Trebuchet MS" w:hAnsi="Trebuchet MS" w:cs="Segoe UI"/>
          <w:lang w:val="fr-FR"/>
        </w:rPr>
        <w:t xml:space="preserve">., </w:t>
      </w:r>
      <w:proofErr w:type="spellStart"/>
      <w:r w:rsidRPr="00181510">
        <w:rPr>
          <w:rFonts w:ascii="Trebuchet MS" w:hAnsi="Trebuchet MS" w:cs="Segoe UI"/>
          <w:lang w:val="fr-FR"/>
        </w:rPr>
        <w:t>Ballif-Spanvill</w:t>
      </w:r>
      <w:proofErr w:type="spellEnd"/>
      <w:r w:rsidRPr="00181510">
        <w:rPr>
          <w:rFonts w:ascii="Trebuchet MS" w:hAnsi="Trebuchet MS" w:cs="Segoe UI"/>
          <w:lang w:val="fr-FR"/>
        </w:rPr>
        <w:t xml:space="preserve"> B., </w:t>
      </w:r>
      <w:proofErr w:type="spellStart"/>
      <w:r w:rsidRPr="00181510">
        <w:rPr>
          <w:rFonts w:ascii="Trebuchet MS" w:hAnsi="Trebuchet MS" w:cs="Segoe UI"/>
          <w:lang w:val="fr-FR"/>
        </w:rPr>
        <w:t>Caprioli</w:t>
      </w:r>
      <w:proofErr w:type="spellEnd"/>
      <w:r w:rsidRPr="00181510">
        <w:rPr>
          <w:rFonts w:ascii="Trebuchet MS" w:hAnsi="Trebuchet MS" w:cs="Segoe UI"/>
          <w:lang w:val="fr-FR"/>
        </w:rPr>
        <w:t xml:space="preserve"> M., et </w:t>
      </w:r>
      <w:proofErr w:type="spellStart"/>
      <w:r w:rsidRPr="00181510">
        <w:rPr>
          <w:rFonts w:ascii="Trebuchet MS" w:hAnsi="Trebuchet MS" w:cs="Segoe UI"/>
          <w:lang w:val="fr-FR"/>
        </w:rPr>
        <w:t>Emmett</w:t>
      </w:r>
      <w:proofErr w:type="spellEnd"/>
      <w:r w:rsidRPr="00181510">
        <w:rPr>
          <w:rFonts w:ascii="Trebuchet MS" w:hAnsi="Trebuchet MS" w:cs="Segoe UI"/>
          <w:lang w:val="fr-FR"/>
        </w:rPr>
        <w:t xml:space="preserve"> </w:t>
      </w:r>
      <w:proofErr w:type="spellStart"/>
      <w:r w:rsidRPr="00181510">
        <w:rPr>
          <w:rFonts w:ascii="Trebuchet MS" w:hAnsi="Trebuchet MS" w:cs="Segoe UI"/>
          <w:lang w:val="fr-FR"/>
        </w:rPr>
        <w:t>C.F</w:t>
      </w:r>
      <w:proofErr w:type="spellEnd"/>
      <w:r w:rsidRPr="00181510">
        <w:rPr>
          <w:rFonts w:ascii="Trebuchet MS" w:hAnsi="Trebuchet MS" w:cs="Segoe UI"/>
          <w:lang w:val="fr-FR"/>
        </w:rPr>
        <w:t xml:space="preserve">. 2012. </w:t>
      </w:r>
      <w:proofErr w:type="spellStart"/>
      <w:r w:rsidRPr="00181510">
        <w:rPr>
          <w:rFonts w:ascii="Trebuchet MS" w:hAnsi="Trebuchet MS" w:cs="Segoe UI"/>
          <w:i/>
          <w:lang w:val="fr-FR"/>
        </w:rPr>
        <w:t>Sex</w:t>
      </w:r>
      <w:proofErr w:type="spellEnd"/>
      <w:r w:rsidRPr="00181510">
        <w:rPr>
          <w:rFonts w:ascii="Trebuchet MS" w:hAnsi="Trebuchet MS" w:cs="Segoe UI"/>
          <w:i/>
          <w:lang w:val="fr-FR"/>
        </w:rPr>
        <w:t xml:space="preserve"> and World </w:t>
      </w:r>
      <w:proofErr w:type="spellStart"/>
      <w:r w:rsidRPr="00181510">
        <w:rPr>
          <w:rFonts w:ascii="Trebuchet MS" w:hAnsi="Trebuchet MS" w:cs="Segoe UI"/>
          <w:i/>
          <w:lang w:val="fr-FR"/>
        </w:rPr>
        <w:t>Peace</w:t>
      </w:r>
      <w:proofErr w:type="spellEnd"/>
      <w:r w:rsidRPr="0045560F">
        <w:rPr>
          <w:rFonts w:ascii="Trebuchet MS" w:hAnsi="Trebuchet MS" w:cs="Segoe UI"/>
          <w:i/>
          <w:lang w:val="fr-FR"/>
        </w:rPr>
        <w:t xml:space="preserve"> (Le sexe et la paix dans le monde).</w:t>
      </w:r>
      <w:r w:rsidRPr="00181510">
        <w:rPr>
          <w:rFonts w:ascii="Trebuchet MS" w:hAnsi="Trebuchet MS" w:cs="Segoe UI"/>
          <w:lang w:val="fr-FR"/>
        </w:rPr>
        <w:t xml:space="preserve"> </w:t>
      </w:r>
      <w:r w:rsidRPr="005A06ED">
        <w:rPr>
          <w:rFonts w:ascii="Trebuchet MS" w:hAnsi="Trebuchet MS" w:cs="Segoe UI"/>
        </w:rPr>
        <w:t xml:space="preserve">New York et Chichester, West </w:t>
      </w:r>
      <w:proofErr w:type="gramStart"/>
      <w:r w:rsidRPr="005A06ED">
        <w:rPr>
          <w:rFonts w:ascii="Trebuchet MS" w:hAnsi="Trebuchet MS" w:cs="Segoe UI"/>
        </w:rPr>
        <w:t>Sussex :</w:t>
      </w:r>
      <w:proofErr w:type="gramEnd"/>
      <w:r w:rsidRPr="005A06ED">
        <w:rPr>
          <w:rFonts w:ascii="Trebuchet MS" w:hAnsi="Trebuchet MS" w:cs="Segoe UI"/>
        </w:rPr>
        <w:t xml:space="preserve"> Columbia University Press.</w:t>
      </w:r>
    </w:p>
    <w:p w14:paraId="3567979B" w14:textId="77777777" w:rsidR="00002DAC" w:rsidRPr="005A06ED" w:rsidRDefault="00002DAC" w:rsidP="00002DAC">
      <w:pPr>
        <w:autoSpaceDE w:val="0"/>
        <w:autoSpaceDN w:val="0"/>
        <w:adjustRightInd w:val="0"/>
        <w:jc w:val="both"/>
        <w:rPr>
          <w:rFonts w:ascii="Trebuchet MS" w:hAnsi="Trebuchet MS" w:cs="Segoe UI"/>
        </w:rPr>
      </w:pPr>
    </w:p>
    <w:p w14:paraId="3567979C" w14:textId="77777777" w:rsidR="00002DAC" w:rsidRPr="00181510" w:rsidRDefault="00002DAC" w:rsidP="00002DAC">
      <w:pPr>
        <w:autoSpaceDE w:val="0"/>
        <w:autoSpaceDN w:val="0"/>
        <w:adjustRightInd w:val="0"/>
        <w:jc w:val="both"/>
        <w:rPr>
          <w:rFonts w:ascii="Trebuchet MS" w:hAnsi="Trebuchet MS" w:cs="Segoe UI"/>
          <w:lang w:val="fr-FR"/>
        </w:rPr>
      </w:pPr>
      <w:proofErr w:type="spellStart"/>
      <w:r w:rsidRPr="005A06ED">
        <w:rPr>
          <w:rFonts w:ascii="Trebuchet MS" w:hAnsi="Trebuchet MS" w:cs="Segoe UI"/>
        </w:rPr>
        <w:t>Narby</w:t>
      </w:r>
      <w:proofErr w:type="spellEnd"/>
      <w:r w:rsidRPr="005A06ED">
        <w:rPr>
          <w:rFonts w:ascii="Trebuchet MS" w:hAnsi="Trebuchet MS" w:cs="Segoe UI"/>
        </w:rPr>
        <w:t xml:space="preserve">, C. et Austin, K. 2014. </w:t>
      </w:r>
      <w:proofErr w:type="spellStart"/>
      <w:r w:rsidRPr="005A06ED">
        <w:rPr>
          <w:rFonts w:ascii="Trebuchet MS" w:hAnsi="Trebuchet MS" w:cs="Segoe UI"/>
          <w:i/>
        </w:rPr>
        <w:t>Unga</w:t>
      </w:r>
      <w:proofErr w:type="spellEnd"/>
      <w:r w:rsidRPr="005A06ED">
        <w:rPr>
          <w:rFonts w:ascii="Trebuchet MS" w:hAnsi="Trebuchet MS" w:cs="Segoe UI"/>
          <w:i/>
        </w:rPr>
        <w:t xml:space="preserve">, </w:t>
      </w:r>
      <w:proofErr w:type="spellStart"/>
      <w:r w:rsidRPr="005A06ED">
        <w:rPr>
          <w:rFonts w:ascii="Trebuchet MS" w:hAnsi="Trebuchet MS" w:cs="Segoe UI"/>
          <w:i/>
        </w:rPr>
        <w:t>maskulinitet</w:t>
      </w:r>
      <w:proofErr w:type="spellEnd"/>
      <w:r w:rsidRPr="005A06ED">
        <w:rPr>
          <w:rFonts w:ascii="Trebuchet MS" w:hAnsi="Trebuchet MS" w:cs="Segoe UI"/>
          <w:i/>
        </w:rPr>
        <w:t xml:space="preserve"> </w:t>
      </w:r>
      <w:proofErr w:type="spellStart"/>
      <w:r w:rsidRPr="005A06ED">
        <w:rPr>
          <w:rFonts w:ascii="Trebuchet MS" w:hAnsi="Trebuchet MS" w:cs="Segoe UI"/>
          <w:i/>
        </w:rPr>
        <w:t>och</w:t>
      </w:r>
      <w:proofErr w:type="spellEnd"/>
      <w:r w:rsidRPr="005A06ED">
        <w:rPr>
          <w:rFonts w:ascii="Trebuchet MS" w:hAnsi="Trebuchet MS" w:cs="Segoe UI"/>
          <w:i/>
        </w:rPr>
        <w:t xml:space="preserve"> </w:t>
      </w:r>
      <w:proofErr w:type="spellStart"/>
      <w:r w:rsidRPr="005A06ED">
        <w:rPr>
          <w:rFonts w:ascii="Trebuchet MS" w:hAnsi="Trebuchet MS" w:cs="Segoe UI"/>
          <w:i/>
        </w:rPr>
        <w:t>våld</w:t>
      </w:r>
      <w:proofErr w:type="spellEnd"/>
      <w:r w:rsidRPr="005A06ED">
        <w:rPr>
          <w:rFonts w:ascii="Trebuchet MS" w:hAnsi="Trebuchet MS" w:cs="Segoe UI"/>
          <w:i/>
        </w:rPr>
        <w:t>.</w:t>
      </w:r>
      <w:r w:rsidRPr="005A06ED">
        <w:rPr>
          <w:rFonts w:ascii="Trebuchet MS" w:hAnsi="Trebuchet MS" w:cs="Segoe UI"/>
        </w:rPr>
        <w:t xml:space="preserve"> </w:t>
      </w:r>
      <w:proofErr w:type="spellStart"/>
      <w:r w:rsidRPr="005A06ED">
        <w:rPr>
          <w:rFonts w:ascii="Trebuchet MS" w:hAnsi="Trebuchet MS" w:cs="Segoe UI"/>
        </w:rPr>
        <w:t>Myndigheten</w:t>
      </w:r>
      <w:proofErr w:type="spellEnd"/>
      <w:r w:rsidRPr="005A06ED">
        <w:rPr>
          <w:rFonts w:ascii="Trebuchet MS" w:hAnsi="Trebuchet MS" w:cs="Segoe UI"/>
        </w:rPr>
        <w:t xml:space="preserve"> </w:t>
      </w:r>
      <w:proofErr w:type="spellStart"/>
      <w:r w:rsidRPr="005A06ED">
        <w:rPr>
          <w:rFonts w:ascii="Trebuchet MS" w:hAnsi="Trebuchet MS" w:cs="Segoe UI"/>
        </w:rPr>
        <w:t>för</w:t>
      </w:r>
      <w:proofErr w:type="spellEnd"/>
      <w:r w:rsidRPr="005A06ED">
        <w:rPr>
          <w:rFonts w:ascii="Trebuchet MS" w:hAnsi="Trebuchet MS" w:cs="Segoe UI"/>
        </w:rPr>
        <w:t xml:space="preserve"> </w:t>
      </w:r>
      <w:proofErr w:type="spellStart"/>
      <w:r w:rsidRPr="005A06ED">
        <w:rPr>
          <w:rFonts w:ascii="Trebuchet MS" w:hAnsi="Trebuchet MS" w:cs="Segoe UI"/>
        </w:rPr>
        <w:t>ungdoms</w:t>
      </w:r>
      <w:proofErr w:type="spellEnd"/>
      <w:r w:rsidRPr="005A06ED">
        <w:rPr>
          <w:rFonts w:ascii="Trebuchet MS" w:hAnsi="Trebuchet MS" w:cs="Segoe UI"/>
        </w:rPr>
        <w:t xml:space="preserve">- </w:t>
      </w:r>
      <w:proofErr w:type="spellStart"/>
      <w:r w:rsidRPr="005A06ED">
        <w:rPr>
          <w:rFonts w:ascii="Trebuchet MS" w:hAnsi="Trebuchet MS" w:cs="Segoe UI"/>
        </w:rPr>
        <w:t>och</w:t>
      </w:r>
      <w:proofErr w:type="spellEnd"/>
      <w:r w:rsidRPr="005A06ED">
        <w:rPr>
          <w:rFonts w:ascii="Trebuchet MS" w:hAnsi="Trebuchet MS" w:cs="Segoe UI"/>
        </w:rPr>
        <w:t xml:space="preserve"> </w:t>
      </w:r>
      <w:proofErr w:type="spellStart"/>
      <w:r w:rsidRPr="005A06ED">
        <w:rPr>
          <w:rFonts w:ascii="Trebuchet MS" w:hAnsi="Trebuchet MS" w:cs="Segoe UI"/>
        </w:rPr>
        <w:t>civilsamhällesfrågor</w:t>
      </w:r>
      <w:proofErr w:type="spellEnd"/>
      <w:r w:rsidRPr="005A06ED">
        <w:rPr>
          <w:rFonts w:ascii="Trebuchet MS" w:hAnsi="Trebuchet MS" w:cs="Segoe UI"/>
        </w:rPr>
        <w:t xml:space="preserve">. </w:t>
      </w:r>
      <w:r w:rsidRPr="00181510">
        <w:rPr>
          <w:rFonts w:ascii="Trebuchet MS" w:hAnsi="Trebuchet MS" w:cs="Segoe UI"/>
          <w:lang w:val="fr-FR"/>
        </w:rPr>
        <w:t>Stockholm.</w:t>
      </w:r>
    </w:p>
    <w:p w14:paraId="3567979D" w14:textId="77777777" w:rsidR="00002DAC" w:rsidRPr="00181510" w:rsidRDefault="00002DAC" w:rsidP="00002DAC">
      <w:pPr>
        <w:autoSpaceDE w:val="0"/>
        <w:autoSpaceDN w:val="0"/>
        <w:adjustRightInd w:val="0"/>
        <w:jc w:val="both"/>
        <w:rPr>
          <w:rFonts w:ascii="Trebuchet MS" w:hAnsi="Trebuchet MS" w:cs="Segoe UI"/>
          <w:lang w:val="fr-FR"/>
        </w:rPr>
      </w:pPr>
    </w:p>
    <w:p w14:paraId="3567979E" w14:textId="77777777" w:rsidR="00002DAC" w:rsidRPr="005A06ED" w:rsidRDefault="00002DAC" w:rsidP="00002DAC">
      <w:pPr>
        <w:autoSpaceDE w:val="0"/>
        <w:autoSpaceDN w:val="0"/>
        <w:adjustRightInd w:val="0"/>
        <w:jc w:val="both"/>
        <w:rPr>
          <w:rFonts w:ascii="Trebuchet MS" w:hAnsi="Trebuchet MS" w:cs="Segoe UI"/>
        </w:rPr>
      </w:pPr>
      <w:proofErr w:type="spellStart"/>
      <w:r w:rsidRPr="00181510">
        <w:rPr>
          <w:rFonts w:ascii="Trebuchet MS" w:hAnsi="Trebuchet MS"/>
          <w:lang w:val="fr-FR"/>
        </w:rPr>
        <w:t>Poteat</w:t>
      </w:r>
      <w:proofErr w:type="spellEnd"/>
      <w:r w:rsidRPr="00181510">
        <w:rPr>
          <w:rFonts w:ascii="Trebuchet MS" w:hAnsi="Trebuchet MS"/>
          <w:lang w:val="fr-FR"/>
        </w:rPr>
        <w:t>,</w:t>
      </w:r>
      <w:r w:rsidRPr="00181510">
        <w:rPr>
          <w:rFonts w:ascii="Trebuchet MS" w:hAnsi="Trebuchet MS" w:cs="Segoe UI"/>
          <w:lang w:val="fr-FR"/>
        </w:rPr>
        <w:t xml:space="preserve"> V. P., et al. 2011. </w:t>
      </w:r>
      <w:r w:rsidRPr="00181510">
        <w:rPr>
          <w:rFonts w:ascii="Trebuchet MS" w:hAnsi="Trebuchet MS" w:cs="Segoe UI"/>
          <w:i/>
          <w:lang w:val="fr-FR"/>
        </w:rPr>
        <w:t xml:space="preserve">The </w:t>
      </w:r>
      <w:proofErr w:type="spellStart"/>
      <w:r w:rsidRPr="00181510">
        <w:rPr>
          <w:rFonts w:ascii="Trebuchet MS" w:hAnsi="Trebuchet MS" w:cs="Segoe UI"/>
          <w:i/>
          <w:lang w:val="fr-FR"/>
        </w:rPr>
        <w:t>Moderating</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Effects</w:t>
      </w:r>
      <w:proofErr w:type="spellEnd"/>
      <w:r w:rsidRPr="00181510">
        <w:rPr>
          <w:rFonts w:ascii="Trebuchet MS" w:hAnsi="Trebuchet MS" w:cs="Segoe UI"/>
          <w:i/>
          <w:lang w:val="fr-FR"/>
        </w:rPr>
        <w:t xml:space="preserve"> of Support for Violence </w:t>
      </w:r>
      <w:proofErr w:type="spellStart"/>
      <w:r w:rsidRPr="00181510">
        <w:rPr>
          <w:rFonts w:ascii="Trebuchet MS" w:hAnsi="Trebuchet MS" w:cs="Segoe UI"/>
          <w:i/>
          <w:lang w:val="fr-FR"/>
        </w:rPr>
        <w:t>Beliefs</w:t>
      </w:r>
      <w:proofErr w:type="spellEnd"/>
      <w:r w:rsidRPr="00181510">
        <w:rPr>
          <w:rFonts w:ascii="Trebuchet MS" w:hAnsi="Trebuchet MS" w:cs="Segoe UI"/>
          <w:i/>
          <w:lang w:val="fr-FR"/>
        </w:rPr>
        <w:t xml:space="preserve"> on Masculine </w:t>
      </w:r>
      <w:proofErr w:type="spellStart"/>
      <w:r w:rsidRPr="00181510">
        <w:rPr>
          <w:rFonts w:ascii="Trebuchet MS" w:hAnsi="Trebuchet MS" w:cs="Segoe UI"/>
          <w:i/>
          <w:lang w:val="fr-FR"/>
        </w:rPr>
        <w:t>Norms</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Aggression</w:t>
      </w:r>
      <w:proofErr w:type="spellEnd"/>
      <w:r w:rsidRPr="00181510">
        <w:rPr>
          <w:rFonts w:ascii="Trebuchet MS" w:hAnsi="Trebuchet MS" w:cs="Segoe UI"/>
          <w:i/>
          <w:lang w:val="fr-FR"/>
        </w:rPr>
        <w:t xml:space="preserve">, and </w:t>
      </w:r>
      <w:proofErr w:type="spellStart"/>
      <w:r w:rsidRPr="00181510">
        <w:rPr>
          <w:rFonts w:ascii="Trebuchet MS" w:hAnsi="Trebuchet MS" w:cs="Segoe UI"/>
          <w:i/>
          <w:lang w:val="fr-FR"/>
        </w:rPr>
        <w:t>Homophobic</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Behavior</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During</w:t>
      </w:r>
      <w:proofErr w:type="spellEnd"/>
      <w:r w:rsidRPr="00181510">
        <w:rPr>
          <w:rFonts w:ascii="Trebuchet MS" w:hAnsi="Trebuchet MS" w:cs="Segoe UI"/>
          <w:i/>
          <w:lang w:val="fr-FR"/>
        </w:rPr>
        <w:t xml:space="preserve"> Adolescence</w:t>
      </w:r>
      <w:r w:rsidRPr="00181510">
        <w:rPr>
          <w:rFonts w:ascii="Trebuchet MS" w:hAnsi="Trebuchet MS" w:cs="Segoe UI"/>
          <w:lang w:val="fr-FR"/>
        </w:rPr>
        <w:t xml:space="preserve"> </w:t>
      </w:r>
      <w:r w:rsidRPr="0045560F">
        <w:rPr>
          <w:rFonts w:ascii="Trebuchet MS" w:hAnsi="Trebuchet MS" w:cs="Segoe UI"/>
          <w:i/>
          <w:lang w:val="fr-FR"/>
        </w:rPr>
        <w:t>(Les effets modérateurs de l'entretien de convictions violentes sur les normes masculines, l'agression et les comportements homophobes au cours de l'adolescence)</w:t>
      </w:r>
      <w:r w:rsidR="00ED3DB1">
        <w:rPr>
          <w:rFonts w:ascii="Trebuchet MS" w:hAnsi="Trebuchet MS" w:cs="Segoe UI"/>
          <w:lang w:val="fr-FR"/>
        </w:rPr>
        <w:t xml:space="preserve">. </w:t>
      </w:r>
      <w:r w:rsidRPr="005A06ED">
        <w:rPr>
          <w:rFonts w:ascii="Trebuchet MS" w:hAnsi="Trebuchet MS" w:cs="Segoe UI"/>
        </w:rPr>
        <w:t xml:space="preserve">Journal of Research on Adolescence </w:t>
      </w:r>
      <w:r w:rsidRPr="005A06ED">
        <w:rPr>
          <w:rFonts w:ascii="Trebuchet MS" w:hAnsi="Trebuchet MS" w:cs="Segoe UI"/>
          <w:bCs/>
        </w:rPr>
        <w:t>21</w:t>
      </w:r>
      <w:r w:rsidRPr="005A06ED">
        <w:rPr>
          <w:rFonts w:ascii="Trebuchet MS" w:hAnsi="Trebuchet MS" w:cs="Segoe UI"/>
        </w:rPr>
        <w:t>(2</w:t>
      </w:r>
      <w:proofErr w:type="gramStart"/>
      <w:r w:rsidRPr="005A06ED">
        <w:rPr>
          <w:rFonts w:ascii="Trebuchet MS" w:hAnsi="Trebuchet MS" w:cs="Segoe UI"/>
        </w:rPr>
        <w:t>) :</w:t>
      </w:r>
      <w:proofErr w:type="gramEnd"/>
      <w:r w:rsidRPr="005A06ED">
        <w:rPr>
          <w:rFonts w:ascii="Trebuchet MS" w:hAnsi="Trebuchet MS" w:cs="Segoe UI"/>
        </w:rPr>
        <w:t xml:space="preserve"> 434-447.</w:t>
      </w:r>
    </w:p>
    <w:p w14:paraId="3567979F" w14:textId="77777777" w:rsidR="00002DAC" w:rsidRPr="005A06ED" w:rsidRDefault="00002DAC" w:rsidP="00002DAC">
      <w:pPr>
        <w:autoSpaceDE w:val="0"/>
        <w:autoSpaceDN w:val="0"/>
        <w:adjustRightInd w:val="0"/>
        <w:jc w:val="both"/>
        <w:rPr>
          <w:rFonts w:ascii="Trebuchet MS" w:hAnsi="Trebuchet MS" w:cs="AntiqueOlive-BoldCond"/>
          <w:bCs/>
        </w:rPr>
      </w:pPr>
    </w:p>
    <w:p w14:paraId="356797A0" w14:textId="77777777" w:rsidR="00002DAC" w:rsidRPr="00181510" w:rsidRDefault="00002DAC" w:rsidP="00002DAC">
      <w:pPr>
        <w:autoSpaceDE w:val="0"/>
        <w:autoSpaceDN w:val="0"/>
        <w:adjustRightInd w:val="0"/>
        <w:jc w:val="both"/>
        <w:rPr>
          <w:rFonts w:ascii="Trebuchet MS" w:hAnsi="Trebuchet MS" w:cs="AmericanTypewriter-Cond"/>
          <w:color w:val="FFFFFF"/>
          <w:lang w:val="fr-FR"/>
        </w:rPr>
      </w:pPr>
      <w:r w:rsidRPr="005A06ED">
        <w:rPr>
          <w:rFonts w:ascii="Trebuchet MS" w:hAnsi="Trebuchet MS" w:cs="AntiqueOlive-BoldCond"/>
          <w:bCs/>
        </w:rPr>
        <w:t xml:space="preserve">Policy Brief de </w:t>
      </w:r>
      <w:proofErr w:type="spellStart"/>
      <w:r w:rsidRPr="005A06ED">
        <w:rPr>
          <w:rFonts w:ascii="Trebuchet MS" w:hAnsi="Trebuchet MS" w:cs="AntiqueOlive-BoldCond"/>
          <w:bCs/>
        </w:rPr>
        <w:t>Revcon</w:t>
      </w:r>
      <w:proofErr w:type="spellEnd"/>
      <w:r w:rsidRPr="005A06ED">
        <w:rPr>
          <w:rFonts w:ascii="Trebuchet MS" w:hAnsi="Trebuchet MS" w:cs="AntiqueOlive-BoldCond"/>
          <w:bCs/>
        </w:rPr>
        <w:t xml:space="preserve">. </w:t>
      </w:r>
      <w:r w:rsidRPr="005A06ED">
        <w:rPr>
          <w:rFonts w:ascii="Trebuchet MS" w:hAnsi="Trebuchet MS" w:cs="AntiqueOlive-BoldCond"/>
          <w:bCs/>
          <w:i/>
        </w:rPr>
        <w:t xml:space="preserve">Hitting the Target. </w:t>
      </w:r>
      <w:r w:rsidRPr="00181510">
        <w:rPr>
          <w:rFonts w:ascii="Trebuchet MS" w:hAnsi="Trebuchet MS" w:cs="AntiqueOlive-BoldCond"/>
          <w:bCs/>
          <w:i/>
          <w:lang w:val="fr-FR"/>
        </w:rPr>
        <w:t>Men and Guns</w:t>
      </w:r>
      <w:r w:rsidRPr="00181510">
        <w:rPr>
          <w:rFonts w:ascii="Trebuchet MS" w:hAnsi="Trebuchet MS" w:cs="AntiqueOlive-BoldCond"/>
          <w:bCs/>
          <w:lang w:val="fr-FR"/>
        </w:rPr>
        <w:t xml:space="preserve"> </w:t>
      </w:r>
      <w:r w:rsidRPr="0045560F">
        <w:rPr>
          <w:rFonts w:ascii="Trebuchet MS" w:hAnsi="Trebuchet MS" w:cs="AntiqueOlive-BoldCond"/>
          <w:bCs/>
          <w:i/>
          <w:lang w:val="fr-FR"/>
        </w:rPr>
        <w:t>(Toucher la cible. Les hommes et les armes)</w:t>
      </w:r>
      <w:r w:rsidRPr="00181510">
        <w:rPr>
          <w:rFonts w:ascii="Trebuchet MS" w:hAnsi="Trebuchet MS" w:cs="AntiqueOlive-BoldCond"/>
          <w:bCs/>
          <w:lang w:val="fr-FR"/>
        </w:rPr>
        <w:t xml:space="preserve">. Présenté à la première conférence d'examen sur l'application du Programme d'action des Nations Unies pour prévenir, combattre et éradiquer le commerce illicite d'armes légères et de petit calibre sous tous ses aspects, New York, 26 juin - 7 juillet. 2006. </w:t>
      </w:r>
      <w:r w:rsidRPr="00181510">
        <w:rPr>
          <w:rFonts w:ascii="Trebuchet MS" w:hAnsi="Trebuchet MS" w:cs="AmericanTypewriter-Cond"/>
          <w:color w:val="FFFFFF"/>
          <w:lang w:val="fr-FR"/>
        </w:rPr>
        <w:t xml:space="preserve">de </w:t>
      </w:r>
      <w:proofErr w:type="spellStart"/>
      <w:r w:rsidRPr="00181510">
        <w:rPr>
          <w:rFonts w:ascii="Trebuchet MS" w:hAnsi="Trebuchet MS" w:cs="AmericanTypewriter-Cond"/>
          <w:color w:val="FFFFFF"/>
          <w:lang w:val="fr-FR"/>
        </w:rPr>
        <w:t>Ac</w:t>
      </w:r>
      <w:proofErr w:type="spellEnd"/>
    </w:p>
    <w:p w14:paraId="356797A1" w14:textId="77777777" w:rsidR="00002DAC" w:rsidRPr="00181510" w:rsidRDefault="00002DAC" w:rsidP="00002DAC">
      <w:pPr>
        <w:autoSpaceDE w:val="0"/>
        <w:autoSpaceDN w:val="0"/>
        <w:adjustRightInd w:val="0"/>
        <w:jc w:val="both"/>
        <w:rPr>
          <w:rFonts w:ascii="Trebuchet MS" w:hAnsi="Trebuchet MS" w:cs="AmericanTypewriter-Cond"/>
          <w:color w:val="FFFFFF"/>
          <w:lang w:val="fr-FR"/>
        </w:rPr>
      </w:pPr>
    </w:p>
    <w:p w14:paraId="356797A2" w14:textId="77777777" w:rsidR="00002DAC" w:rsidRPr="00181510" w:rsidRDefault="00002DAC" w:rsidP="00002DAC">
      <w:pPr>
        <w:autoSpaceDE w:val="0"/>
        <w:autoSpaceDN w:val="0"/>
        <w:adjustRightInd w:val="0"/>
        <w:jc w:val="both"/>
        <w:rPr>
          <w:rFonts w:ascii="Trebuchet MS" w:hAnsi="Trebuchet MS" w:cs="Segoe UI"/>
          <w:lang w:val="fr-FR"/>
        </w:rPr>
      </w:pPr>
      <w:proofErr w:type="spellStart"/>
      <w:r w:rsidRPr="00181510">
        <w:rPr>
          <w:rFonts w:ascii="Trebuchet MS" w:hAnsi="Trebuchet MS"/>
          <w:lang w:val="fr-FR"/>
        </w:rPr>
        <w:t>Sjoberg</w:t>
      </w:r>
      <w:proofErr w:type="spellEnd"/>
      <w:r w:rsidRPr="00181510">
        <w:rPr>
          <w:rFonts w:ascii="Trebuchet MS" w:hAnsi="Trebuchet MS"/>
          <w:lang w:val="fr-FR"/>
        </w:rPr>
        <w:t>,</w:t>
      </w:r>
      <w:r w:rsidRPr="00181510">
        <w:rPr>
          <w:rFonts w:ascii="Trebuchet MS" w:hAnsi="Trebuchet MS" w:cs="Segoe UI"/>
          <w:lang w:val="fr-FR"/>
        </w:rPr>
        <w:t xml:space="preserve"> L. et S. Via, </w:t>
      </w:r>
      <w:proofErr w:type="gramStart"/>
      <w:r w:rsidRPr="00181510">
        <w:rPr>
          <w:rFonts w:ascii="Trebuchet MS" w:hAnsi="Trebuchet MS" w:cs="Segoe UI"/>
          <w:lang w:val="fr-FR"/>
        </w:rPr>
        <w:t>éd..</w:t>
      </w:r>
      <w:proofErr w:type="gramEnd"/>
      <w:r w:rsidRPr="00181510">
        <w:rPr>
          <w:rFonts w:ascii="Trebuchet MS" w:hAnsi="Trebuchet MS" w:cs="Segoe UI"/>
          <w:lang w:val="fr-FR"/>
        </w:rPr>
        <w:t xml:space="preserve"> 2010. </w:t>
      </w:r>
      <w:proofErr w:type="spellStart"/>
      <w:r w:rsidRPr="00181510">
        <w:rPr>
          <w:rFonts w:ascii="Trebuchet MS" w:hAnsi="Trebuchet MS" w:cs="Segoe UI"/>
          <w:i/>
          <w:lang w:val="fr-FR"/>
        </w:rPr>
        <w:t>Gender</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War</w:t>
      </w:r>
      <w:proofErr w:type="spellEnd"/>
      <w:r w:rsidRPr="00181510">
        <w:rPr>
          <w:rFonts w:ascii="Trebuchet MS" w:hAnsi="Trebuchet MS" w:cs="Segoe UI"/>
          <w:i/>
          <w:lang w:val="fr-FR"/>
        </w:rPr>
        <w:t xml:space="preserve"> and </w:t>
      </w:r>
      <w:proofErr w:type="spellStart"/>
      <w:r w:rsidRPr="00181510">
        <w:rPr>
          <w:rFonts w:ascii="Trebuchet MS" w:hAnsi="Trebuchet MS" w:cs="Segoe UI"/>
          <w:i/>
          <w:lang w:val="fr-FR"/>
        </w:rPr>
        <w:t>Militarism</w:t>
      </w:r>
      <w:proofErr w:type="spellEnd"/>
      <w:r w:rsidRPr="00181510">
        <w:rPr>
          <w:rFonts w:ascii="Trebuchet MS" w:hAnsi="Trebuchet MS" w:cs="Segoe UI"/>
          <w:i/>
          <w:lang w:val="fr-FR"/>
        </w:rPr>
        <w:t xml:space="preserve">: </w:t>
      </w:r>
      <w:proofErr w:type="spellStart"/>
      <w:r w:rsidRPr="00181510">
        <w:rPr>
          <w:rFonts w:ascii="Trebuchet MS" w:hAnsi="Trebuchet MS" w:cs="Segoe UI"/>
          <w:i/>
          <w:lang w:val="fr-FR"/>
        </w:rPr>
        <w:t>Feminist</w:t>
      </w:r>
      <w:proofErr w:type="spellEnd"/>
      <w:r w:rsidRPr="00181510">
        <w:rPr>
          <w:rFonts w:ascii="Trebuchet MS" w:hAnsi="Trebuchet MS" w:cs="Segoe UI"/>
          <w:i/>
          <w:lang w:val="fr-FR"/>
        </w:rPr>
        <w:t xml:space="preserve"> Perspectives</w:t>
      </w:r>
      <w:r w:rsidRPr="00181510">
        <w:rPr>
          <w:rFonts w:ascii="Trebuchet MS" w:hAnsi="Trebuchet MS" w:cs="Segoe UI"/>
          <w:lang w:val="fr-FR"/>
        </w:rPr>
        <w:t xml:space="preserve"> </w:t>
      </w:r>
      <w:r w:rsidRPr="0045560F">
        <w:rPr>
          <w:rFonts w:ascii="Trebuchet MS" w:hAnsi="Trebuchet MS" w:cs="Segoe UI"/>
          <w:i/>
          <w:lang w:val="fr-FR"/>
        </w:rPr>
        <w:t>(Genre, guerre et militarisme : perspectives féministes)</w:t>
      </w:r>
      <w:r w:rsidRPr="00181510">
        <w:rPr>
          <w:rFonts w:ascii="Trebuchet MS" w:hAnsi="Trebuchet MS" w:cs="Segoe UI"/>
          <w:lang w:val="fr-FR"/>
        </w:rPr>
        <w:t xml:space="preserve">. Santa Barbara, Denver et Oxford : </w:t>
      </w:r>
      <w:proofErr w:type="spellStart"/>
      <w:r w:rsidRPr="00181510">
        <w:rPr>
          <w:rFonts w:ascii="Trebuchet MS" w:hAnsi="Trebuchet MS" w:cs="Segoe UI"/>
          <w:lang w:val="fr-FR"/>
        </w:rPr>
        <w:t>Praeger</w:t>
      </w:r>
      <w:proofErr w:type="spellEnd"/>
      <w:r w:rsidRPr="00181510">
        <w:rPr>
          <w:rFonts w:ascii="Trebuchet MS" w:hAnsi="Trebuchet MS" w:cs="Segoe UI"/>
          <w:lang w:val="fr-FR"/>
        </w:rPr>
        <w:t>.</w:t>
      </w:r>
    </w:p>
    <w:p w14:paraId="356797A3" w14:textId="77777777" w:rsidR="00002DAC" w:rsidRPr="00181510" w:rsidRDefault="00002DAC" w:rsidP="00002DAC">
      <w:pPr>
        <w:autoSpaceDE w:val="0"/>
        <w:autoSpaceDN w:val="0"/>
        <w:adjustRightInd w:val="0"/>
        <w:jc w:val="both"/>
        <w:rPr>
          <w:rFonts w:ascii="Trebuchet MS" w:hAnsi="Trebuchet MS" w:cs="AmericanTypewriter-Cond"/>
          <w:color w:val="FFFFFF"/>
          <w:lang w:val="fr-FR"/>
        </w:rPr>
      </w:pPr>
      <w:r w:rsidRPr="00181510">
        <w:rPr>
          <w:rFonts w:ascii="Trebuchet MS" w:hAnsi="Trebuchet MS" w:cs="AmericanTypewriter-Cond"/>
          <w:color w:val="FFFFFF"/>
          <w:lang w:val="fr-FR"/>
        </w:rPr>
        <w:t>Aspects, New York, 26 juin–7 juillet 2006</w:t>
      </w:r>
    </w:p>
    <w:p w14:paraId="356797A4" w14:textId="77777777" w:rsidR="00002DAC" w:rsidRPr="00181510" w:rsidRDefault="00002DAC" w:rsidP="00002DAC">
      <w:pPr>
        <w:jc w:val="both"/>
        <w:rPr>
          <w:rFonts w:ascii="Trebuchet MS" w:hAnsi="Trebuchet MS" w:cs="MinionPro-Regular"/>
          <w:lang w:val="fr-FR"/>
        </w:rPr>
      </w:pPr>
      <w:proofErr w:type="spellStart"/>
      <w:r w:rsidRPr="00181510">
        <w:rPr>
          <w:rFonts w:ascii="Trebuchet MS" w:hAnsi="Trebuchet MS" w:cs="MinionPro-Regular"/>
          <w:lang w:val="fr-FR"/>
        </w:rPr>
        <w:t>Sonke</w:t>
      </w:r>
      <w:proofErr w:type="spellEnd"/>
      <w:r w:rsidRPr="00181510">
        <w:rPr>
          <w:rFonts w:ascii="Trebuchet MS" w:hAnsi="Trebuchet MS" w:cs="MinionPro-Regular"/>
          <w:lang w:val="fr-FR"/>
        </w:rPr>
        <w:t xml:space="preserve"> </w:t>
      </w:r>
      <w:proofErr w:type="spellStart"/>
      <w:r w:rsidRPr="00181510">
        <w:rPr>
          <w:rFonts w:ascii="Trebuchet MS" w:hAnsi="Trebuchet MS" w:cs="MinionPro-Regular"/>
          <w:lang w:val="fr-FR"/>
        </w:rPr>
        <w:t>Gender</w:t>
      </w:r>
      <w:proofErr w:type="spellEnd"/>
      <w:r w:rsidRPr="00181510">
        <w:rPr>
          <w:rFonts w:ascii="Trebuchet MS" w:hAnsi="Trebuchet MS" w:cs="MinionPro-Regular"/>
          <w:lang w:val="fr-FR"/>
        </w:rPr>
        <w:t xml:space="preserve"> Justice Network, 2012. </w:t>
      </w:r>
      <w:proofErr w:type="spellStart"/>
      <w:r w:rsidRPr="00181510">
        <w:rPr>
          <w:rFonts w:ascii="Trebuchet MS" w:eastAsia="Times New Roman" w:hAnsi="Trebuchet MS" w:cs="Arial"/>
          <w:i/>
          <w:lang w:val="fr-FR"/>
        </w:rPr>
        <w:t>Engaging</w:t>
      </w:r>
      <w:proofErr w:type="spellEnd"/>
      <w:r w:rsidRPr="00181510">
        <w:rPr>
          <w:rFonts w:ascii="Trebuchet MS" w:eastAsia="Times New Roman" w:hAnsi="Trebuchet MS" w:cs="Arial"/>
          <w:i/>
          <w:lang w:val="fr-FR"/>
        </w:rPr>
        <w:t xml:space="preserve"> Men for </w:t>
      </w:r>
      <w:proofErr w:type="spellStart"/>
      <w:r w:rsidRPr="00181510">
        <w:rPr>
          <w:rFonts w:ascii="Trebuchet MS" w:eastAsia="Times New Roman" w:hAnsi="Trebuchet MS" w:cs="Arial"/>
          <w:i/>
          <w:lang w:val="fr-FR"/>
        </w:rPr>
        <w:t>Gender</w:t>
      </w:r>
      <w:proofErr w:type="spellEnd"/>
      <w:r w:rsidRPr="00181510">
        <w:rPr>
          <w:rFonts w:ascii="Trebuchet MS" w:eastAsia="Times New Roman" w:hAnsi="Trebuchet MS" w:cs="Arial"/>
          <w:i/>
          <w:lang w:val="fr-FR"/>
        </w:rPr>
        <w:t xml:space="preserve"> </w:t>
      </w:r>
      <w:proofErr w:type="spellStart"/>
      <w:r w:rsidRPr="00181510">
        <w:rPr>
          <w:rFonts w:ascii="Trebuchet MS" w:eastAsia="Times New Roman" w:hAnsi="Trebuchet MS" w:cs="Arial"/>
          <w:i/>
          <w:lang w:val="fr-FR"/>
        </w:rPr>
        <w:t>equality</w:t>
      </w:r>
      <w:proofErr w:type="spellEnd"/>
      <w:r w:rsidRPr="00181510">
        <w:rPr>
          <w:rFonts w:ascii="Trebuchet MS" w:eastAsia="Times New Roman" w:hAnsi="Trebuchet MS" w:cs="Arial"/>
          <w:i/>
          <w:lang w:val="fr-FR"/>
        </w:rPr>
        <w:t xml:space="preserve"> and </w:t>
      </w:r>
      <w:proofErr w:type="spellStart"/>
      <w:r w:rsidRPr="00181510">
        <w:rPr>
          <w:rFonts w:ascii="Trebuchet MS" w:eastAsia="Times New Roman" w:hAnsi="Trebuchet MS" w:cs="Arial"/>
          <w:i/>
          <w:lang w:val="fr-FR"/>
        </w:rPr>
        <w:t>improved</w:t>
      </w:r>
      <w:proofErr w:type="spellEnd"/>
      <w:r w:rsidRPr="00181510">
        <w:rPr>
          <w:rFonts w:ascii="Trebuchet MS" w:eastAsia="Times New Roman" w:hAnsi="Trebuchet MS" w:cs="Arial"/>
          <w:i/>
          <w:lang w:val="fr-FR"/>
        </w:rPr>
        <w:t xml:space="preserve"> Reproductive </w:t>
      </w:r>
      <w:proofErr w:type="spellStart"/>
      <w:r w:rsidRPr="00181510">
        <w:rPr>
          <w:rFonts w:ascii="Trebuchet MS" w:eastAsia="Times New Roman" w:hAnsi="Trebuchet MS" w:cs="Arial"/>
          <w:i/>
          <w:lang w:val="fr-FR"/>
        </w:rPr>
        <w:t>Health</w:t>
      </w:r>
      <w:proofErr w:type="spellEnd"/>
      <w:r w:rsidRPr="00181510">
        <w:rPr>
          <w:rFonts w:ascii="Trebuchet MS" w:eastAsia="Times New Roman" w:hAnsi="Trebuchet MS" w:cs="Arial"/>
          <w:lang w:val="fr-FR"/>
        </w:rPr>
        <w:t xml:space="preserve"> </w:t>
      </w:r>
      <w:r w:rsidRPr="0045560F">
        <w:rPr>
          <w:rFonts w:ascii="Trebuchet MS" w:eastAsia="Times New Roman" w:hAnsi="Trebuchet MS" w:cs="Arial"/>
          <w:i/>
          <w:lang w:val="fr-FR"/>
        </w:rPr>
        <w:t>(Impliquer les hommes en faveur de l'égalité des sexes et de la santé reproductive)</w:t>
      </w:r>
      <w:r w:rsidR="00ED3DB1">
        <w:rPr>
          <w:rFonts w:ascii="Trebuchet MS" w:eastAsia="Times New Roman" w:hAnsi="Trebuchet MS" w:cs="Arial"/>
          <w:lang w:val="fr-FR"/>
        </w:rPr>
        <w:t xml:space="preserve"> </w:t>
      </w:r>
      <w:r w:rsidRPr="00181510">
        <w:rPr>
          <w:rFonts w:ascii="Trebuchet MS" w:hAnsi="Trebuchet MS" w:cs="MinionPro-Regular"/>
          <w:lang w:val="fr-FR"/>
        </w:rPr>
        <w:t>consulté sur http://www.genderjustice.org.za/101179-engaging-men-for-gender-equality-1/file</w:t>
      </w:r>
    </w:p>
    <w:p w14:paraId="356797A5" w14:textId="77777777" w:rsidR="00002DAC" w:rsidRPr="00181510" w:rsidRDefault="00002DAC" w:rsidP="00002DAC">
      <w:pPr>
        <w:autoSpaceDE w:val="0"/>
        <w:autoSpaceDN w:val="0"/>
        <w:adjustRightInd w:val="0"/>
        <w:jc w:val="both"/>
        <w:rPr>
          <w:rFonts w:ascii="Trebuchet MS" w:hAnsi="Trebuchet MS"/>
          <w:lang w:val="fr-FR"/>
        </w:rPr>
      </w:pPr>
    </w:p>
    <w:p w14:paraId="356797A6" w14:textId="77777777" w:rsidR="00002DAC" w:rsidRPr="00181510" w:rsidRDefault="00002DAC" w:rsidP="00002DAC">
      <w:pPr>
        <w:autoSpaceDE w:val="0"/>
        <w:autoSpaceDN w:val="0"/>
        <w:adjustRightInd w:val="0"/>
        <w:jc w:val="both"/>
        <w:rPr>
          <w:rFonts w:ascii="Trebuchet MS" w:hAnsi="Trebuchet MS"/>
          <w:lang w:val="fr-FR"/>
        </w:rPr>
      </w:pPr>
      <w:proofErr w:type="spellStart"/>
      <w:r w:rsidRPr="00181510">
        <w:rPr>
          <w:rFonts w:ascii="Trebuchet MS" w:hAnsi="Trebuchet MS"/>
          <w:lang w:val="fr-FR"/>
        </w:rPr>
        <w:lastRenderedPageBreak/>
        <w:t>Women</w:t>
      </w:r>
      <w:proofErr w:type="spellEnd"/>
      <w:r w:rsidRPr="00181510">
        <w:rPr>
          <w:rFonts w:ascii="Trebuchet MS" w:hAnsi="Trebuchet MS"/>
          <w:lang w:val="fr-FR"/>
        </w:rPr>
        <w:t xml:space="preserve"> </w:t>
      </w:r>
      <w:proofErr w:type="spellStart"/>
      <w:r w:rsidRPr="00181510">
        <w:rPr>
          <w:rFonts w:ascii="Trebuchet MS" w:hAnsi="Trebuchet MS"/>
          <w:lang w:val="fr-FR"/>
        </w:rPr>
        <w:t>Peacemakers</w:t>
      </w:r>
      <w:proofErr w:type="spellEnd"/>
      <w:r w:rsidRPr="00181510">
        <w:rPr>
          <w:rFonts w:ascii="Trebuchet MS" w:hAnsi="Trebuchet MS"/>
          <w:lang w:val="fr-FR"/>
        </w:rPr>
        <w:t xml:space="preserve"> Program, 2010. </w:t>
      </w:r>
      <w:proofErr w:type="spellStart"/>
      <w:r w:rsidRPr="00181510">
        <w:rPr>
          <w:rFonts w:ascii="Trebuchet MS" w:hAnsi="Trebuchet MS"/>
          <w:i/>
          <w:lang w:val="fr-FR"/>
        </w:rPr>
        <w:t>Together</w:t>
      </w:r>
      <w:proofErr w:type="spellEnd"/>
      <w:r w:rsidRPr="00181510">
        <w:rPr>
          <w:rFonts w:ascii="Trebuchet MS" w:hAnsi="Trebuchet MS"/>
          <w:i/>
          <w:lang w:val="fr-FR"/>
        </w:rPr>
        <w:t xml:space="preserve"> for Transformation: Men, </w:t>
      </w:r>
      <w:proofErr w:type="spellStart"/>
      <w:r w:rsidRPr="00181510">
        <w:rPr>
          <w:rFonts w:ascii="Trebuchet MS" w:hAnsi="Trebuchet MS"/>
          <w:i/>
          <w:lang w:val="fr-FR"/>
        </w:rPr>
        <w:t>Masculinities</w:t>
      </w:r>
      <w:proofErr w:type="spellEnd"/>
      <w:r w:rsidRPr="00181510">
        <w:rPr>
          <w:rFonts w:ascii="Trebuchet MS" w:hAnsi="Trebuchet MS"/>
          <w:i/>
          <w:lang w:val="fr-FR"/>
        </w:rPr>
        <w:t xml:space="preserve"> and </w:t>
      </w:r>
      <w:proofErr w:type="spellStart"/>
      <w:r w:rsidRPr="00181510">
        <w:rPr>
          <w:rFonts w:ascii="Trebuchet MS" w:hAnsi="Trebuchet MS"/>
          <w:i/>
          <w:lang w:val="fr-FR"/>
        </w:rPr>
        <w:t>Peacebuilding</w:t>
      </w:r>
      <w:proofErr w:type="spellEnd"/>
      <w:r w:rsidRPr="00181510">
        <w:rPr>
          <w:rFonts w:ascii="Trebuchet MS" w:hAnsi="Trebuchet MS"/>
          <w:lang w:val="fr-FR"/>
        </w:rPr>
        <w:t xml:space="preserve"> </w:t>
      </w:r>
      <w:r w:rsidRPr="0045560F">
        <w:rPr>
          <w:rFonts w:ascii="Trebuchet MS" w:hAnsi="Trebuchet MS"/>
          <w:i/>
          <w:lang w:val="fr-FR"/>
        </w:rPr>
        <w:t>(Ensemble pour la transformation : les hommes, les masculinités et le renforcement de la paix)</w:t>
      </w:r>
      <w:r w:rsidRPr="00181510">
        <w:rPr>
          <w:rFonts w:ascii="Trebuchet MS" w:hAnsi="Trebuchet MS"/>
          <w:lang w:val="fr-FR"/>
        </w:rPr>
        <w:t>. La Haye.</w:t>
      </w:r>
    </w:p>
    <w:p w14:paraId="356797A7" w14:textId="77777777" w:rsidR="00002DAC" w:rsidRPr="00181510" w:rsidRDefault="00002DAC" w:rsidP="00002DAC">
      <w:pPr>
        <w:autoSpaceDE w:val="0"/>
        <w:autoSpaceDN w:val="0"/>
        <w:adjustRightInd w:val="0"/>
        <w:jc w:val="both"/>
        <w:rPr>
          <w:rFonts w:ascii="Trebuchet MS" w:hAnsi="Trebuchet MS"/>
          <w:lang w:val="fr-FR"/>
        </w:rPr>
      </w:pPr>
    </w:p>
    <w:p w14:paraId="356797A8" w14:textId="77777777" w:rsidR="00002DAC" w:rsidRPr="005A06ED" w:rsidRDefault="00002DAC" w:rsidP="00002DAC">
      <w:pPr>
        <w:jc w:val="both"/>
        <w:rPr>
          <w:rFonts w:ascii="Trebuchet MS" w:hAnsi="Trebuchet MS"/>
        </w:rPr>
      </w:pPr>
      <w:r w:rsidRPr="00181510">
        <w:rPr>
          <w:rFonts w:ascii="Trebuchet MS" w:hAnsi="Trebuchet MS"/>
          <w:lang w:val="fr-FR"/>
        </w:rPr>
        <w:t xml:space="preserve">---, 2014. </w:t>
      </w:r>
      <w:proofErr w:type="spellStart"/>
      <w:r w:rsidRPr="00181510">
        <w:rPr>
          <w:rFonts w:ascii="Trebuchet MS" w:hAnsi="Trebuchet MS"/>
          <w:i/>
          <w:lang w:val="fr-FR"/>
        </w:rPr>
        <w:t>Gender</w:t>
      </w:r>
      <w:proofErr w:type="spellEnd"/>
      <w:r w:rsidRPr="00181510">
        <w:rPr>
          <w:rFonts w:ascii="Trebuchet MS" w:hAnsi="Trebuchet MS"/>
          <w:i/>
          <w:lang w:val="fr-FR"/>
        </w:rPr>
        <w:t xml:space="preserve"> and </w:t>
      </w:r>
      <w:proofErr w:type="spellStart"/>
      <w:r w:rsidRPr="00181510">
        <w:rPr>
          <w:rFonts w:ascii="Trebuchet MS" w:hAnsi="Trebuchet MS"/>
          <w:i/>
          <w:lang w:val="fr-FR"/>
        </w:rPr>
        <w:t>militarism</w:t>
      </w:r>
      <w:proofErr w:type="spellEnd"/>
      <w:r w:rsidRPr="00181510">
        <w:rPr>
          <w:rFonts w:ascii="Trebuchet MS" w:hAnsi="Trebuchet MS"/>
          <w:lang w:val="fr-FR"/>
        </w:rPr>
        <w:t xml:space="preserve">. </w:t>
      </w:r>
      <w:r w:rsidRPr="00181510">
        <w:rPr>
          <w:rFonts w:ascii="Trebuchet MS" w:hAnsi="Trebuchet MS"/>
          <w:i/>
          <w:lang w:val="fr-FR"/>
        </w:rPr>
        <w:t xml:space="preserve">Policy Brief (Genre et militarisme. </w:t>
      </w:r>
      <w:r w:rsidRPr="005A06ED">
        <w:rPr>
          <w:rFonts w:ascii="Trebuchet MS" w:hAnsi="Trebuchet MS"/>
          <w:i/>
        </w:rPr>
        <w:t xml:space="preserve">Policy Brief). </w:t>
      </w:r>
      <w:r w:rsidRPr="005A06ED">
        <w:rPr>
          <w:rFonts w:ascii="Trebuchet MS" w:hAnsi="Trebuchet MS"/>
        </w:rPr>
        <w:t>La Haye</w:t>
      </w:r>
    </w:p>
    <w:p w14:paraId="356797A9" w14:textId="77777777" w:rsidR="00002DAC" w:rsidRPr="005A06ED" w:rsidRDefault="00002DAC" w:rsidP="00002DAC">
      <w:pPr>
        <w:jc w:val="both"/>
        <w:rPr>
          <w:rFonts w:ascii="Trebuchet MS" w:hAnsi="Trebuchet MS"/>
        </w:rPr>
      </w:pPr>
    </w:p>
    <w:p w14:paraId="356797AA" w14:textId="77777777" w:rsidR="00002DAC" w:rsidRPr="00181510" w:rsidRDefault="00002DAC" w:rsidP="00002DAC">
      <w:pPr>
        <w:autoSpaceDE w:val="0"/>
        <w:autoSpaceDN w:val="0"/>
        <w:adjustRightInd w:val="0"/>
        <w:rPr>
          <w:rFonts w:ascii="Trebuchet MS" w:hAnsi="Trebuchet MS"/>
          <w:lang w:val="fr-FR"/>
        </w:rPr>
      </w:pPr>
      <w:proofErr w:type="spellStart"/>
      <w:r w:rsidRPr="005A06ED">
        <w:rPr>
          <w:rFonts w:ascii="Trebuchet MS" w:hAnsi="Trebuchet MS"/>
        </w:rPr>
        <w:t>Wrigth</w:t>
      </w:r>
      <w:proofErr w:type="spellEnd"/>
      <w:r w:rsidRPr="005A06ED">
        <w:rPr>
          <w:rFonts w:ascii="Trebuchet MS" w:hAnsi="Trebuchet MS"/>
        </w:rPr>
        <w:t xml:space="preserve">, H., 2014. </w:t>
      </w:r>
      <w:r w:rsidRPr="005A06ED">
        <w:rPr>
          <w:rFonts w:ascii="Trebuchet MS" w:hAnsi="Trebuchet MS"/>
          <w:i/>
        </w:rPr>
        <w:t xml:space="preserve">Masculinities, conflict and peacebuilding. </w:t>
      </w:r>
      <w:r w:rsidRPr="00181510">
        <w:rPr>
          <w:rFonts w:ascii="Trebuchet MS" w:hAnsi="Trebuchet MS"/>
          <w:i/>
          <w:lang w:val="fr-FR"/>
        </w:rPr>
        <w:t xml:space="preserve">Perspectives on men </w:t>
      </w:r>
      <w:proofErr w:type="spellStart"/>
      <w:r w:rsidRPr="00181510">
        <w:rPr>
          <w:rFonts w:ascii="Trebuchet MS" w:hAnsi="Trebuchet MS"/>
          <w:i/>
          <w:lang w:val="fr-FR"/>
        </w:rPr>
        <w:t>through</w:t>
      </w:r>
      <w:proofErr w:type="spellEnd"/>
      <w:r w:rsidRPr="00181510">
        <w:rPr>
          <w:rFonts w:ascii="Trebuchet MS" w:hAnsi="Trebuchet MS"/>
          <w:i/>
          <w:lang w:val="fr-FR"/>
        </w:rPr>
        <w:t xml:space="preserve"> a </w:t>
      </w:r>
      <w:proofErr w:type="spellStart"/>
      <w:r w:rsidRPr="00181510">
        <w:rPr>
          <w:rFonts w:ascii="Trebuchet MS" w:hAnsi="Trebuchet MS"/>
          <w:i/>
          <w:lang w:val="fr-FR"/>
        </w:rPr>
        <w:t>gender</w:t>
      </w:r>
      <w:proofErr w:type="spellEnd"/>
      <w:r w:rsidRPr="00181510">
        <w:rPr>
          <w:rFonts w:ascii="Trebuchet MS" w:hAnsi="Trebuchet MS"/>
          <w:i/>
          <w:lang w:val="fr-FR"/>
        </w:rPr>
        <w:t xml:space="preserve"> </w:t>
      </w:r>
      <w:proofErr w:type="spellStart"/>
      <w:r w:rsidRPr="00181510">
        <w:rPr>
          <w:rFonts w:ascii="Trebuchet MS" w:hAnsi="Trebuchet MS"/>
          <w:i/>
          <w:lang w:val="fr-FR"/>
        </w:rPr>
        <w:t>lens</w:t>
      </w:r>
      <w:proofErr w:type="spellEnd"/>
      <w:r w:rsidRPr="00181510">
        <w:rPr>
          <w:rFonts w:ascii="Trebuchet MS" w:hAnsi="Trebuchet MS"/>
          <w:i/>
          <w:lang w:val="fr-FR"/>
        </w:rPr>
        <w:t xml:space="preserve"> (Masculinités, conflit et renforcement de la paix. Perspectives sur les hommes sous l'angle du genre).</w:t>
      </w:r>
      <w:r w:rsidRPr="00181510">
        <w:rPr>
          <w:rFonts w:ascii="Trebuchet MS" w:hAnsi="Trebuchet MS"/>
          <w:lang w:val="fr-FR"/>
        </w:rPr>
        <w:t xml:space="preserve"> </w:t>
      </w:r>
      <w:proofErr w:type="spellStart"/>
      <w:r w:rsidRPr="00181510">
        <w:rPr>
          <w:rFonts w:ascii="Trebuchet MS" w:hAnsi="Trebuchet MS"/>
          <w:lang w:val="fr-FR"/>
        </w:rPr>
        <w:t>Saferworld</w:t>
      </w:r>
      <w:proofErr w:type="spellEnd"/>
      <w:r w:rsidR="0045560F">
        <w:rPr>
          <w:rFonts w:ascii="Trebuchet MS" w:hAnsi="Trebuchet MS"/>
          <w:lang w:val="fr-FR"/>
        </w:rPr>
        <w:t> : Londres</w:t>
      </w:r>
      <w:r w:rsidRPr="00181510">
        <w:rPr>
          <w:rFonts w:ascii="Trebuchet MS" w:hAnsi="Trebuchet MS"/>
          <w:lang w:val="fr-FR"/>
        </w:rPr>
        <w:t>.</w:t>
      </w:r>
    </w:p>
    <w:p w14:paraId="356797AB" w14:textId="77777777" w:rsidR="00002DAC" w:rsidRPr="00181510" w:rsidRDefault="00002DAC" w:rsidP="00002DAC">
      <w:pPr>
        <w:autoSpaceDE w:val="0"/>
        <w:autoSpaceDN w:val="0"/>
        <w:adjustRightInd w:val="0"/>
        <w:rPr>
          <w:rFonts w:ascii="Trebuchet MS" w:hAnsi="Trebuchet MS"/>
          <w:lang w:val="fr-FR"/>
        </w:rPr>
      </w:pPr>
    </w:p>
    <w:p w14:paraId="356797AC" w14:textId="77777777" w:rsidR="00002DAC" w:rsidRPr="00181510" w:rsidRDefault="00002DAC" w:rsidP="00002DAC">
      <w:pPr>
        <w:autoSpaceDE w:val="0"/>
        <w:autoSpaceDN w:val="0"/>
        <w:adjustRightInd w:val="0"/>
        <w:rPr>
          <w:rFonts w:ascii="Trebuchet MS" w:hAnsi="Trebuchet MS"/>
          <w:lang w:val="fr-FR"/>
        </w:rPr>
      </w:pPr>
    </w:p>
    <w:p w14:paraId="356797AD" w14:textId="77777777" w:rsidR="00AD11E6" w:rsidRPr="00181510" w:rsidRDefault="00AD11E6">
      <w:pPr>
        <w:rPr>
          <w:rFonts w:ascii="Trebuchet MS" w:hAnsi="Trebuchet MS"/>
          <w:lang w:val="fr-FR"/>
        </w:rPr>
      </w:pPr>
      <w:r w:rsidRPr="00181510">
        <w:rPr>
          <w:rFonts w:ascii="Trebuchet MS" w:hAnsi="Trebuchet MS"/>
          <w:lang w:val="fr-FR"/>
        </w:rPr>
        <w:br w:type="page"/>
      </w:r>
    </w:p>
    <w:p w14:paraId="356797AE" w14:textId="77777777" w:rsidR="00002DAC" w:rsidRPr="00181510" w:rsidRDefault="00002DAC" w:rsidP="00002DAC">
      <w:pPr>
        <w:autoSpaceDE w:val="0"/>
        <w:autoSpaceDN w:val="0"/>
        <w:adjustRightInd w:val="0"/>
        <w:rPr>
          <w:rFonts w:ascii="Trebuchet MS" w:hAnsi="Trebuchet MS"/>
          <w:lang w:val="fr-FR"/>
        </w:rPr>
      </w:pPr>
    </w:p>
    <w:p w14:paraId="356797AF" w14:textId="77777777" w:rsidR="00002DAC" w:rsidRPr="00181510" w:rsidRDefault="00002DAC" w:rsidP="00002DAC">
      <w:pPr>
        <w:pStyle w:val="HoofdstukNummer"/>
        <w:numPr>
          <w:ilvl w:val="0"/>
          <w:numId w:val="15"/>
        </w:numPr>
        <w:rPr>
          <w:rFonts w:ascii="Trebuchet MS" w:hAnsi="Trebuchet MS"/>
          <w:lang w:val="fr-FR"/>
        </w:rPr>
      </w:pPr>
    </w:p>
    <w:p w14:paraId="356797B0" w14:textId="77777777" w:rsidR="00002DAC" w:rsidRPr="00181510" w:rsidRDefault="00002DAC" w:rsidP="00002DAC">
      <w:pPr>
        <w:pStyle w:val="Titre1"/>
        <w:rPr>
          <w:lang w:val="fr-FR"/>
        </w:rPr>
      </w:pPr>
      <w:bookmarkStart w:id="55" w:name="_Toc417545152"/>
      <w:r w:rsidRPr="00181510">
        <w:rPr>
          <w:lang w:val="fr-FR"/>
        </w:rPr>
        <w:t>Des plans d'action nationaux à fort impact</w:t>
      </w:r>
      <w:bookmarkEnd w:id="55"/>
    </w:p>
    <w:p w14:paraId="356797B1" w14:textId="77777777" w:rsidR="00002DAC" w:rsidRPr="00181510" w:rsidRDefault="00002DAC" w:rsidP="00002DAC">
      <w:pPr>
        <w:pStyle w:val="Titre1"/>
        <w:ind w:right="29"/>
        <w:rPr>
          <w:sz w:val="24"/>
          <w:szCs w:val="24"/>
          <w:lang w:val="fr-FR"/>
        </w:rPr>
      </w:pPr>
      <w:bookmarkStart w:id="56" w:name="_Toc417545153"/>
      <w:proofErr w:type="spellStart"/>
      <w:r w:rsidRPr="00181510">
        <w:rPr>
          <w:sz w:val="24"/>
          <w:szCs w:val="24"/>
          <w:lang w:val="fr-FR"/>
        </w:rPr>
        <w:t>Angelic</w:t>
      </w:r>
      <w:proofErr w:type="spellEnd"/>
      <w:r w:rsidRPr="00181510">
        <w:rPr>
          <w:sz w:val="24"/>
          <w:szCs w:val="24"/>
          <w:lang w:val="fr-FR"/>
        </w:rPr>
        <w:t xml:space="preserve"> Young, Institute for Inclusive Security (Institut pour la sécurité inclusive)</w:t>
      </w:r>
      <w:bookmarkEnd w:id="56"/>
    </w:p>
    <w:p w14:paraId="356797B2" w14:textId="77777777" w:rsidR="00002DAC" w:rsidRPr="00181510" w:rsidRDefault="00002DAC" w:rsidP="001D14C2">
      <w:pPr>
        <w:pStyle w:val="NaKop1"/>
        <w:rPr>
          <w:lang w:val="fr-FR"/>
        </w:rPr>
      </w:pPr>
    </w:p>
    <w:p w14:paraId="356797B3" w14:textId="77777777" w:rsidR="00002DAC" w:rsidRPr="00181510" w:rsidRDefault="00002DAC" w:rsidP="00002DAC">
      <w:pPr>
        <w:pStyle w:val="Intro"/>
        <w:jc w:val="both"/>
        <w:rPr>
          <w:rFonts w:ascii="Trebuchet MS" w:hAnsi="Trebuchet MS"/>
          <w:sz w:val="20"/>
          <w:szCs w:val="20"/>
          <w:lang w:val="fr-FR"/>
        </w:rPr>
      </w:pPr>
      <w:r w:rsidRPr="00181510">
        <w:rPr>
          <w:rFonts w:ascii="Trebuchet MS" w:hAnsi="Trebuchet MS"/>
          <w:sz w:val="20"/>
          <w:szCs w:val="20"/>
          <w:lang w:val="fr-FR"/>
        </w:rPr>
        <w:t xml:space="preserve">Dans sa plus simple définition, un Plan d'action national est un document répertoriant les actions qu'un gouvernement compte mettre en place pour répondre aux </w:t>
      </w:r>
      <w:r w:rsidR="004215CC">
        <w:rPr>
          <w:rFonts w:ascii="Trebuchet MS" w:hAnsi="Trebuchet MS"/>
          <w:sz w:val="20"/>
          <w:szCs w:val="20"/>
          <w:lang w:val="fr-FR"/>
        </w:rPr>
        <w:t>dispositions</w:t>
      </w:r>
      <w:r w:rsidRPr="00181510">
        <w:rPr>
          <w:rFonts w:ascii="Trebuchet MS" w:hAnsi="Trebuchet MS"/>
          <w:sz w:val="20"/>
          <w:szCs w:val="20"/>
          <w:lang w:val="fr-FR"/>
        </w:rPr>
        <w:t xml:space="preserve"> de la résolution 1325 du Conseil de sécurité des Nations Unies. Ces plans sont l'un des instruments les plus puissants dont disposent les gouvernements et la société civile pour favoriser l'inclusion des femmes dans la vie politique et la consolidation de la paix, renforcer leur participation et leur rôle dans la prise de décision en matière de sécurité et assurer la protection des femmes et des petites filles en temps de guerre. Les Plans d'action nationaux s'appuient sur les objectifs, activités et stratégies existants en s'attachant à améliorer leur cohérence, éviter les redondances et combler les lacunes en matière d'inclusion. Un plan fort reflète l'engagement d'un gouvernement et sa prise de responsabilités quant aux objectifs de la résolution 1325. Le processus de développement d'un plan est aussi important que son produit. Pour maximiser leur impact, les gouvernements doivent travailler au développement, à la mise en œuvre, au suivi et à l'évaluation du plan</w:t>
      </w:r>
      <w:r w:rsidR="004215CC">
        <w:rPr>
          <w:rFonts w:ascii="Trebuchet MS" w:hAnsi="Trebuchet MS"/>
          <w:sz w:val="20"/>
          <w:szCs w:val="20"/>
          <w:lang w:val="fr-FR"/>
        </w:rPr>
        <w:t xml:space="preserve"> </w:t>
      </w:r>
      <w:r w:rsidR="004215CC" w:rsidRPr="00181510">
        <w:rPr>
          <w:rFonts w:ascii="Trebuchet MS" w:hAnsi="Trebuchet MS"/>
          <w:sz w:val="20"/>
          <w:szCs w:val="20"/>
          <w:lang w:val="fr-FR"/>
        </w:rPr>
        <w:t>en étroite collaboration avec la société civile</w:t>
      </w:r>
      <w:r w:rsidR="004215CC">
        <w:rPr>
          <w:rFonts w:ascii="Trebuchet MS" w:hAnsi="Trebuchet MS"/>
          <w:sz w:val="20"/>
          <w:szCs w:val="20"/>
          <w:lang w:val="fr-FR"/>
        </w:rPr>
        <w:t>.</w:t>
      </w:r>
    </w:p>
    <w:p w14:paraId="356797B4" w14:textId="77777777" w:rsidR="00002DAC" w:rsidRPr="00181510" w:rsidRDefault="00002DAC" w:rsidP="00002DAC">
      <w:pPr>
        <w:pStyle w:val="Titre2"/>
        <w:numPr>
          <w:ilvl w:val="1"/>
          <w:numId w:val="17"/>
        </w:numPr>
        <w:rPr>
          <w:lang w:val="fr-FR"/>
        </w:rPr>
      </w:pPr>
      <w:bookmarkStart w:id="57" w:name="_Toc417545154"/>
      <w:r w:rsidRPr="00181510">
        <w:rPr>
          <w:lang w:val="fr-FR"/>
        </w:rPr>
        <w:t>En quoi les PAN sont-ils des instruments de politique extérieure ?</w:t>
      </w:r>
      <w:bookmarkEnd w:id="57"/>
    </w:p>
    <w:p w14:paraId="356797B5" w14:textId="77777777" w:rsidR="00002DAC" w:rsidRPr="00181510" w:rsidRDefault="00002DAC" w:rsidP="00002DAC">
      <w:pPr>
        <w:jc w:val="both"/>
        <w:rPr>
          <w:rFonts w:ascii="Trebuchet MS" w:hAnsi="Trebuchet MS"/>
          <w:lang w:val="fr-FR"/>
        </w:rPr>
      </w:pPr>
      <w:r w:rsidRPr="00181510">
        <w:rPr>
          <w:rFonts w:ascii="Trebuchet MS" w:hAnsi="Trebuchet MS"/>
          <w:lang w:val="fr-FR"/>
        </w:rPr>
        <w:t>La politique extérieure inclus généralement une série de préoccupations prioritaires ou</w:t>
      </w:r>
      <w:r w:rsidR="004215CC">
        <w:rPr>
          <w:rFonts w:ascii="Trebuchet MS" w:hAnsi="Trebuchet MS"/>
          <w:lang w:val="fr-FR"/>
        </w:rPr>
        <w:t xml:space="preserve"> de</w:t>
      </w:r>
      <w:r w:rsidRPr="00181510">
        <w:rPr>
          <w:rFonts w:ascii="Trebuchet MS" w:hAnsi="Trebuchet MS"/>
          <w:lang w:val="fr-FR"/>
        </w:rPr>
        <w:t xml:space="preserve"> philosophies qu'une nation cherche à promouvoir. Les Plans d'action nationaux peuvent servir d'instrument de politique extérieure, intérieure, ou </w:t>
      </w:r>
      <w:r w:rsidR="004215CC">
        <w:rPr>
          <w:rFonts w:ascii="Trebuchet MS" w:hAnsi="Trebuchet MS"/>
          <w:lang w:val="fr-FR"/>
        </w:rPr>
        <w:t>d</w:t>
      </w:r>
      <w:r w:rsidRPr="00181510">
        <w:rPr>
          <w:rFonts w:ascii="Trebuchet MS" w:hAnsi="Trebuchet MS"/>
          <w:lang w:val="fr-FR"/>
        </w:rPr>
        <w:t xml:space="preserve">es deux à la fois. Si le plan est principalement tourné vers l'intérieur, s'attachant à transformer les vies des hommes, des femmes, des petits garçons et des petites filles du pays concerné, alors il est essentiel d'aligner et d'intégrer ses activités, objectifs et autres éléments aux politiques intérieures nationales. Si le plan est plutôt tourné vers l'extérieur, cherchant à transformer </w:t>
      </w:r>
      <w:r w:rsidR="004215CC">
        <w:rPr>
          <w:rFonts w:ascii="Trebuchet MS" w:hAnsi="Trebuchet MS"/>
          <w:lang w:val="fr-FR"/>
        </w:rPr>
        <w:t>d</w:t>
      </w:r>
      <w:r w:rsidRPr="00181510">
        <w:rPr>
          <w:rFonts w:ascii="Trebuchet MS" w:hAnsi="Trebuchet MS"/>
          <w:lang w:val="fr-FR"/>
        </w:rPr>
        <w:t>es vies dans d'autres pays ou régions, alors il est important de l'aligner et l'intégrer aux politiques extérieures. Certains plans sont tournés aussi bien vers l'intérieur que vers l'extérieur, cherchant</w:t>
      </w:r>
      <w:r w:rsidR="004215CC">
        <w:rPr>
          <w:rFonts w:ascii="Trebuchet MS" w:hAnsi="Trebuchet MS"/>
          <w:lang w:val="fr-FR"/>
        </w:rPr>
        <w:t xml:space="preserve"> autant</w:t>
      </w:r>
      <w:r w:rsidRPr="00181510">
        <w:rPr>
          <w:rFonts w:ascii="Trebuchet MS" w:hAnsi="Trebuchet MS"/>
          <w:lang w:val="fr-FR"/>
        </w:rPr>
        <w:t xml:space="preserve"> à transformer les priorités politiques nationales qu'étrangères. La plupart</w:t>
      </w:r>
      <w:r w:rsidR="004215CC">
        <w:rPr>
          <w:rFonts w:ascii="Trebuchet MS" w:hAnsi="Trebuchet MS"/>
          <w:lang w:val="fr-FR"/>
        </w:rPr>
        <w:t xml:space="preserve"> des plans</w:t>
      </w:r>
      <w:r w:rsidRPr="00181510">
        <w:rPr>
          <w:rFonts w:ascii="Trebuchet MS" w:hAnsi="Trebuchet MS"/>
          <w:lang w:val="fr-FR"/>
        </w:rPr>
        <w:t xml:space="preserve"> ont toutefois une orientation marquée. Certains plans tournés vers l'extérieur sont </w:t>
      </w:r>
      <w:r w:rsidRPr="00181510">
        <w:rPr>
          <w:rFonts w:ascii="Trebuchet MS" w:hAnsi="Trebuchet MS"/>
          <w:lang w:val="fr-FR"/>
        </w:rPr>
        <w:lastRenderedPageBreak/>
        <w:t>alignés sur les plans intérieurs d'autres pays, priorisant ainsi le soutien au développement et à la mise en œuvre d'autres plans.</w:t>
      </w:r>
    </w:p>
    <w:p w14:paraId="356797B6" w14:textId="77777777" w:rsidR="00002DAC" w:rsidRPr="00181510" w:rsidRDefault="00002DAC" w:rsidP="00002DAC">
      <w:pPr>
        <w:jc w:val="both"/>
        <w:rPr>
          <w:rFonts w:ascii="Trebuchet MS" w:hAnsi="Trebuchet MS"/>
          <w:lang w:val="fr-FR"/>
        </w:rPr>
      </w:pPr>
    </w:p>
    <w:p w14:paraId="356797B7" w14:textId="77777777" w:rsidR="00002DAC" w:rsidRPr="00181510" w:rsidRDefault="00002DAC" w:rsidP="00002DAC">
      <w:pPr>
        <w:jc w:val="both"/>
        <w:rPr>
          <w:rFonts w:ascii="Trebuchet MS" w:hAnsi="Trebuchet MS"/>
          <w:lang w:val="fr-FR"/>
        </w:rPr>
      </w:pPr>
      <w:r w:rsidRPr="00181510">
        <w:rPr>
          <w:rFonts w:ascii="Trebuchet MS" w:hAnsi="Trebuchet MS"/>
          <w:lang w:val="fr-FR"/>
        </w:rPr>
        <w:t>Pour qu'un Plan d'action national soit un instrument de politique extérieure efficace, ses résultats, impacts et activités doivent contribuer à la réalisation des objectifs de politique extérieure. Cette observation peut sembler évidente, mais dans les faits, un défaut d'alignement fait obstacle à l'application totale et réussie d</w:t>
      </w:r>
      <w:r w:rsidR="006A0F0A" w:rsidRPr="00181510">
        <w:rPr>
          <w:rFonts w:ascii="Trebuchet MS" w:hAnsi="Trebuchet MS"/>
          <w:lang w:val="fr-FR"/>
        </w:rPr>
        <w:t>'</w:t>
      </w:r>
      <w:r w:rsidR="004215CC">
        <w:rPr>
          <w:rFonts w:ascii="Trebuchet MS" w:hAnsi="Trebuchet MS"/>
          <w:lang w:val="fr-FR"/>
        </w:rPr>
        <w:t>un grand</w:t>
      </w:r>
      <w:r w:rsidRPr="00181510">
        <w:rPr>
          <w:rFonts w:ascii="Trebuchet MS" w:hAnsi="Trebuchet MS"/>
          <w:lang w:val="fr-FR"/>
        </w:rPr>
        <w:t xml:space="preserve"> nombre de plans.</w:t>
      </w:r>
    </w:p>
    <w:p w14:paraId="356797B8" w14:textId="77777777" w:rsidR="00002DAC" w:rsidRPr="00181510" w:rsidRDefault="00002DAC" w:rsidP="00002DAC">
      <w:pPr>
        <w:pStyle w:val="Titre2"/>
        <w:rPr>
          <w:lang w:val="fr-FR"/>
        </w:rPr>
      </w:pPr>
      <w:bookmarkStart w:id="58" w:name="_Toc417545155"/>
      <w:r w:rsidRPr="00181510">
        <w:rPr>
          <w:lang w:val="fr-FR"/>
        </w:rPr>
        <w:t>Le Plan d'action national néerlandais : quels sont les enseignements du modèle néerlandais ?</w:t>
      </w:r>
      <w:bookmarkEnd w:id="58"/>
      <w:r w:rsidRPr="00181510">
        <w:rPr>
          <w:lang w:val="fr-FR"/>
        </w:rPr>
        <w:t xml:space="preserve"> </w:t>
      </w:r>
    </w:p>
    <w:p w14:paraId="356797B9" w14:textId="77777777" w:rsidR="00002DAC" w:rsidRPr="00181510" w:rsidRDefault="00002DAC" w:rsidP="00002DAC">
      <w:pPr>
        <w:jc w:val="both"/>
        <w:rPr>
          <w:rFonts w:ascii="Trebuchet MS" w:hAnsi="Trebuchet MS"/>
          <w:lang w:val="fr-FR"/>
        </w:rPr>
      </w:pPr>
      <w:r w:rsidRPr="00181510">
        <w:rPr>
          <w:rFonts w:ascii="Trebuchet MS" w:hAnsi="Trebuchet MS"/>
          <w:lang w:val="fr-FR"/>
        </w:rPr>
        <w:t>Le Plan d'action national néerlandais actuel se concentre sur une problématique unique : augmenter la participation et le leadership des femmes dans les États fragiles, les pays en situation de conflit/</w:t>
      </w:r>
      <w:proofErr w:type="spellStart"/>
      <w:r w:rsidRPr="00181510">
        <w:rPr>
          <w:rFonts w:ascii="Trebuchet MS" w:hAnsi="Trebuchet MS"/>
          <w:lang w:val="fr-FR"/>
        </w:rPr>
        <w:t>postconflit</w:t>
      </w:r>
      <w:proofErr w:type="spellEnd"/>
      <w:r w:rsidRPr="00181510">
        <w:rPr>
          <w:rFonts w:ascii="Trebuchet MS" w:hAnsi="Trebuchet MS"/>
          <w:lang w:val="fr-FR"/>
        </w:rPr>
        <w:t>, et les pays en transition. Le Ministère des Affaires étrangères (MAE) alloue 4 millions d'euros par an au soutien des initiatives locales et régionales visant à augmenter le pouvoir politique et les compétences de leadership des femmes dans sept zones d'attention géographiques : l'Afghanistan, le Burundi, la Colombie, la République démocratique du Co</w:t>
      </w:r>
      <w:r w:rsidR="00A64B65">
        <w:rPr>
          <w:rFonts w:ascii="Trebuchet MS" w:hAnsi="Trebuchet MS"/>
          <w:lang w:val="fr-FR"/>
        </w:rPr>
        <w:t>ngo (RDC), le Soudan du Sud, le</w:t>
      </w:r>
      <w:r w:rsidRPr="00181510">
        <w:rPr>
          <w:rFonts w:ascii="Trebuchet MS" w:hAnsi="Trebuchet MS"/>
          <w:lang w:val="fr-FR"/>
        </w:rPr>
        <w:t xml:space="preserve"> Soudan et la région Moyen-Orient et Afrique du Nord. </w:t>
      </w:r>
    </w:p>
    <w:p w14:paraId="356797BA" w14:textId="77777777" w:rsidR="00002DAC" w:rsidRPr="00181510" w:rsidRDefault="00002DAC" w:rsidP="00002DAC">
      <w:pPr>
        <w:jc w:val="both"/>
        <w:rPr>
          <w:rFonts w:ascii="Trebuchet MS" w:hAnsi="Trebuchet MS"/>
          <w:lang w:val="fr-FR"/>
        </w:rPr>
      </w:pPr>
    </w:p>
    <w:p w14:paraId="356797BB" w14:textId="77777777" w:rsidR="00002DAC" w:rsidRPr="00181510" w:rsidRDefault="00002DAC" w:rsidP="00002DAC">
      <w:pPr>
        <w:jc w:val="both"/>
        <w:rPr>
          <w:rFonts w:ascii="Trebuchet MS" w:hAnsi="Trebuchet MS"/>
          <w:b/>
          <w:lang w:val="fr-FR"/>
        </w:rPr>
      </w:pPr>
      <w:r w:rsidRPr="00181510">
        <w:rPr>
          <w:rFonts w:ascii="Trebuchet MS" w:hAnsi="Trebuchet MS"/>
          <w:lang w:val="fr-FR"/>
        </w:rPr>
        <w:t>L'institut Inclusive Security a travaillé dans différents pays pour accompagner la conception, la mise en œuvre</w:t>
      </w:r>
      <w:r w:rsidR="00A64B65">
        <w:rPr>
          <w:rFonts w:ascii="Trebuchet MS" w:hAnsi="Trebuchet MS"/>
          <w:lang w:val="fr-FR"/>
        </w:rPr>
        <w:t xml:space="preserve">, </w:t>
      </w:r>
      <w:r w:rsidRPr="00181510">
        <w:rPr>
          <w:rFonts w:ascii="Trebuchet MS" w:hAnsi="Trebuchet MS"/>
          <w:lang w:val="fr-FR"/>
        </w:rPr>
        <w:t xml:space="preserve">le suivi et </w:t>
      </w:r>
      <w:r w:rsidR="00A64B65">
        <w:rPr>
          <w:rFonts w:ascii="Trebuchet MS" w:hAnsi="Trebuchet MS"/>
          <w:lang w:val="fr-FR"/>
        </w:rPr>
        <w:t>l</w:t>
      </w:r>
      <w:r w:rsidR="006A0F0A" w:rsidRPr="00181510">
        <w:rPr>
          <w:rFonts w:ascii="Trebuchet MS" w:hAnsi="Trebuchet MS"/>
          <w:lang w:val="fr-FR"/>
        </w:rPr>
        <w:t>'</w:t>
      </w:r>
      <w:r w:rsidRPr="00181510">
        <w:rPr>
          <w:rFonts w:ascii="Trebuchet MS" w:hAnsi="Trebuchet MS"/>
          <w:lang w:val="fr-FR"/>
        </w:rPr>
        <w:t>évaluation des PAN. Plusieurs enseignements clés ont été tirés de ce travail. Cette note de politique présente trois de ces enseignements : (1) aligner les PAN sur les priorités politiques nationales est un excellent moyen de garantir une volonté politique durable, (2) les plans ciblés qui cherchent à atteindre un ou deux objectifs sont plus faciles à aligner sur les priorités politiques nationales que les plans globaux, et (3) il est essentiel de collaborer avec la société civile en adaptant les modèles de coopération au contexte de chaque pays.</w:t>
      </w:r>
      <w:r w:rsidRPr="00181510">
        <w:rPr>
          <w:rFonts w:ascii="Trebuchet MS" w:hAnsi="Trebuchet MS"/>
          <w:b/>
          <w:lang w:val="fr-FR"/>
        </w:rPr>
        <w:t xml:space="preserve"> </w:t>
      </w:r>
    </w:p>
    <w:p w14:paraId="356797BC" w14:textId="77777777" w:rsidR="00002DAC" w:rsidRPr="00181510" w:rsidRDefault="00002DAC" w:rsidP="00002DAC">
      <w:pPr>
        <w:pStyle w:val="Titre2"/>
        <w:rPr>
          <w:lang w:val="fr-FR"/>
        </w:rPr>
      </w:pPr>
      <w:bookmarkStart w:id="59" w:name="_Toc417545156"/>
      <w:r w:rsidRPr="00181510">
        <w:rPr>
          <w:lang w:val="fr-FR"/>
        </w:rPr>
        <w:t>Enseignement 1 : aligner les PAN sur les priorités politiques nationales</w:t>
      </w:r>
      <w:bookmarkEnd w:id="59"/>
    </w:p>
    <w:p w14:paraId="356797BD"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L'un des facteurs de réussite clés pour l'application des PAN est la capacité de leurs architectes à </w:t>
      </w:r>
      <w:r w:rsidR="00A64B65">
        <w:rPr>
          <w:rFonts w:ascii="Trebuchet MS" w:hAnsi="Trebuchet MS"/>
          <w:lang w:val="fr-FR"/>
        </w:rPr>
        <w:t xml:space="preserve">assurer </w:t>
      </w:r>
      <w:r w:rsidRPr="00181510">
        <w:rPr>
          <w:rFonts w:ascii="Trebuchet MS" w:hAnsi="Trebuchet MS"/>
          <w:lang w:val="fr-FR"/>
        </w:rPr>
        <w:t>une volonté politique</w:t>
      </w:r>
      <w:r w:rsidR="00A64B65">
        <w:rPr>
          <w:rFonts w:ascii="Trebuchet MS" w:hAnsi="Trebuchet MS"/>
          <w:lang w:val="fr-FR"/>
        </w:rPr>
        <w:t xml:space="preserve"> durable</w:t>
      </w:r>
      <w:r w:rsidRPr="00181510">
        <w:rPr>
          <w:rFonts w:ascii="Trebuchet MS" w:hAnsi="Trebuchet MS"/>
          <w:lang w:val="fr-FR"/>
        </w:rPr>
        <w:t>. Si le leadership politique soutient le plan et le considère co</w:t>
      </w:r>
      <w:r w:rsidR="00A64B65">
        <w:rPr>
          <w:rFonts w:ascii="Trebuchet MS" w:hAnsi="Trebuchet MS"/>
          <w:lang w:val="fr-FR"/>
        </w:rPr>
        <w:t>mme faisant partie intégrante d</w:t>
      </w:r>
      <w:r w:rsidR="006A0F0A" w:rsidRPr="00181510">
        <w:rPr>
          <w:rFonts w:ascii="Trebuchet MS" w:hAnsi="Trebuchet MS"/>
          <w:lang w:val="fr-FR"/>
        </w:rPr>
        <w:t>'</w:t>
      </w:r>
      <w:r w:rsidRPr="00181510">
        <w:rPr>
          <w:rFonts w:ascii="Trebuchet MS" w:hAnsi="Trebuchet MS"/>
          <w:lang w:val="fr-FR"/>
        </w:rPr>
        <w:t xml:space="preserve">objectifs politiques globaux, le plan est plus susceptible d'être financé. Toutefois, il </w:t>
      </w:r>
      <w:r w:rsidR="00A64B65">
        <w:rPr>
          <w:rFonts w:ascii="Trebuchet MS" w:hAnsi="Trebuchet MS"/>
          <w:lang w:val="fr-FR"/>
        </w:rPr>
        <w:t>s</w:t>
      </w:r>
      <w:r w:rsidR="006A0F0A" w:rsidRPr="00181510">
        <w:rPr>
          <w:rFonts w:ascii="Trebuchet MS" w:hAnsi="Trebuchet MS"/>
          <w:lang w:val="fr-FR"/>
        </w:rPr>
        <w:t>'</w:t>
      </w:r>
      <w:r w:rsidR="00A64B65">
        <w:rPr>
          <w:rFonts w:ascii="Trebuchet MS" w:hAnsi="Trebuchet MS"/>
          <w:lang w:val="fr-FR"/>
        </w:rPr>
        <w:t>avère</w:t>
      </w:r>
      <w:r w:rsidRPr="00181510">
        <w:rPr>
          <w:rFonts w:ascii="Trebuchet MS" w:hAnsi="Trebuchet MS"/>
          <w:lang w:val="fr-FR"/>
        </w:rPr>
        <w:t xml:space="preserve"> souvent difficile de </w:t>
      </w:r>
      <w:r w:rsidR="00A64B65">
        <w:rPr>
          <w:rFonts w:ascii="Trebuchet MS" w:hAnsi="Trebuchet MS"/>
          <w:lang w:val="fr-FR"/>
        </w:rPr>
        <w:t>garantir</w:t>
      </w:r>
      <w:r w:rsidRPr="00181510">
        <w:rPr>
          <w:rFonts w:ascii="Trebuchet MS" w:hAnsi="Trebuchet MS"/>
          <w:lang w:val="fr-FR"/>
        </w:rPr>
        <w:t xml:space="preserve"> </w:t>
      </w:r>
      <w:r w:rsidR="00A64B65">
        <w:rPr>
          <w:rFonts w:ascii="Trebuchet MS" w:hAnsi="Trebuchet MS"/>
          <w:lang w:val="fr-FR"/>
        </w:rPr>
        <w:t>une telle</w:t>
      </w:r>
      <w:r w:rsidRPr="00181510">
        <w:rPr>
          <w:rFonts w:ascii="Trebuchet MS" w:hAnsi="Trebuchet MS"/>
          <w:lang w:val="fr-FR"/>
        </w:rPr>
        <w:t xml:space="preserve"> volonté politique. Les PAN sont souvent considérés comme complémentaires, mais rarement essentiels à la mise en œuvre des priorités politiques nationales. En d'autres termes, l'inclusion des femmes et la résolution 1325 sont importantes, mais pas cruciales. En alignant leur plan sur les priorités de politique extérieure existantes, les architectes du PAN néerlandais ont peut-être surmonté cet obstacle fréque</w:t>
      </w:r>
      <w:r w:rsidR="00A64B65">
        <w:rPr>
          <w:rFonts w:ascii="Trebuchet MS" w:hAnsi="Trebuchet MS"/>
          <w:lang w:val="fr-FR"/>
        </w:rPr>
        <w:t>nt</w:t>
      </w:r>
      <w:r w:rsidRPr="00181510">
        <w:rPr>
          <w:rFonts w:ascii="Trebuchet MS" w:hAnsi="Trebuchet MS"/>
          <w:lang w:val="fr-FR"/>
        </w:rPr>
        <w:t xml:space="preserve">. </w:t>
      </w:r>
    </w:p>
    <w:p w14:paraId="356797BE" w14:textId="77777777" w:rsidR="00002DAC" w:rsidRPr="00181510" w:rsidRDefault="00002DAC" w:rsidP="00002DAC">
      <w:pPr>
        <w:jc w:val="both"/>
        <w:rPr>
          <w:rFonts w:ascii="Trebuchet MS" w:hAnsi="Trebuchet MS"/>
          <w:lang w:val="fr-FR"/>
        </w:rPr>
      </w:pPr>
    </w:p>
    <w:p w14:paraId="356797BF"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Par exemple, les priorités de la politique extérieure néerlandaise en Afghanistan comprennent le développement des capacités des institutions </w:t>
      </w:r>
      <w:r w:rsidR="00A64B65">
        <w:rPr>
          <w:rFonts w:ascii="Trebuchet MS" w:hAnsi="Trebuchet MS"/>
          <w:lang w:val="fr-FR"/>
        </w:rPr>
        <w:t>de la justice pénale</w:t>
      </w:r>
      <w:r w:rsidRPr="00181510">
        <w:rPr>
          <w:rFonts w:ascii="Trebuchet MS" w:hAnsi="Trebuchet MS"/>
          <w:lang w:val="fr-FR"/>
        </w:rPr>
        <w:t xml:space="preserve"> et le soutien à l'égalité des sexes. L'objectif du PAN d'augmenter "la représentation des femmes à toutes les échelles décisionnelles de prévention, de gestion et de résolution des conflits dans </w:t>
      </w:r>
      <w:r w:rsidRPr="00181510">
        <w:rPr>
          <w:rFonts w:ascii="Trebuchet MS" w:hAnsi="Trebuchet MS"/>
          <w:lang w:val="fr-FR"/>
        </w:rPr>
        <w:lastRenderedPageBreak/>
        <w:t xml:space="preserve">les États fragiles" apparaît donc comme pertinent </w:t>
      </w:r>
      <w:r w:rsidR="00A64B65">
        <w:rPr>
          <w:rFonts w:ascii="Trebuchet MS" w:hAnsi="Trebuchet MS"/>
          <w:lang w:val="fr-FR"/>
        </w:rPr>
        <w:t xml:space="preserve">quant </w:t>
      </w:r>
      <w:r w:rsidRPr="00181510">
        <w:rPr>
          <w:rFonts w:ascii="Trebuchet MS" w:hAnsi="Trebuchet MS"/>
          <w:lang w:val="fr-FR"/>
        </w:rPr>
        <w:t>aux objectifs de politique extérieure en Afghanistan</w:t>
      </w:r>
      <w:r w:rsidR="00A64B65" w:rsidRPr="00181510">
        <w:rPr>
          <w:rStyle w:val="Appelnotedebasdep"/>
          <w:rFonts w:ascii="Trebuchet MS" w:hAnsi="Trebuchet MS"/>
          <w:sz w:val="18"/>
          <w:lang w:val="fr-FR"/>
        </w:rPr>
        <w:footnoteReference w:id="1"/>
      </w:r>
      <w:r w:rsidRPr="00181510">
        <w:rPr>
          <w:rFonts w:ascii="Trebuchet MS" w:hAnsi="Trebuchet MS"/>
          <w:lang w:val="fr-FR"/>
        </w:rPr>
        <w:t xml:space="preserve">. </w:t>
      </w:r>
    </w:p>
    <w:p w14:paraId="356797C0" w14:textId="77777777" w:rsidR="00002DAC" w:rsidRPr="00181510" w:rsidRDefault="00002DAC" w:rsidP="00002DAC">
      <w:pPr>
        <w:jc w:val="both"/>
        <w:rPr>
          <w:rFonts w:ascii="Trebuchet MS" w:hAnsi="Trebuchet MS"/>
          <w:highlight w:val="yellow"/>
          <w:lang w:val="fr-FR"/>
        </w:rPr>
      </w:pPr>
    </w:p>
    <w:p w14:paraId="356797C1" w14:textId="77777777" w:rsidR="00002DAC" w:rsidRPr="00181510" w:rsidRDefault="00002DAC" w:rsidP="00002DAC">
      <w:pPr>
        <w:spacing w:after="200"/>
        <w:jc w:val="both"/>
        <w:rPr>
          <w:rFonts w:ascii="Trebuchet MS" w:hAnsi="Trebuchet MS"/>
          <w:lang w:val="fr-FR"/>
        </w:rPr>
      </w:pPr>
      <w:r w:rsidRPr="00181510">
        <w:rPr>
          <w:rFonts w:ascii="Trebuchet MS" w:hAnsi="Trebuchet MS"/>
          <w:lang w:val="fr-FR"/>
        </w:rPr>
        <w:t>D'autres exemples de PAN reliés aux priorités politiques nationales sont celui de la Sierra Leone (</w:t>
      </w:r>
      <w:proofErr w:type="spellStart"/>
      <w:r w:rsidRPr="00181510">
        <w:rPr>
          <w:rFonts w:ascii="Trebuchet MS" w:hAnsi="Trebuchet MS"/>
          <w:lang w:val="fr-FR"/>
        </w:rPr>
        <w:t>SiLNAP</w:t>
      </w:r>
      <w:proofErr w:type="spellEnd"/>
      <w:r w:rsidRPr="00181510">
        <w:rPr>
          <w:rFonts w:ascii="Trebuchet MS" w:hAnsi="Trebuchet MS"/>
          <w:lang w:val="fr-FR"/>
        </w:rPr>
        <w:t xml:space="preserve">) et celui de l'Irlande. Le </w:t>
      </w:r>
      <w:proofErr w:type="spellStart"/>
      <w:r w:rsidRPr="00181510">
        <w:rPr>
          <w:rFonts w:ascii="Trebuchet MS" w:hAnsi="Trebuchet MS"/>
          <w:lang w:val="fr-FR"/>
        </w:rPr>
        <w:t>SiLNAP</w:t>
      </w:r>
      <w:proofErr w:type="spellEnd"/>
      <w:r w:rsidRPr="00181510">
        <w:rPr>
          <w:rFonts w:ascii="Trebuchet MS" w:hAnsi="Trebuchet MS"/>
          <w:lang w:val="fr-FR"/>
        </w:rPr>
        <w:t xml:space="preserve"> est aligné sur les priorités </w:t>
      </w:r>
      <w:r w:rsidR="00A64B65" w:rsidRPr="00181510">
        <w:rPr>
          <w:rFonts w:ascii="Trebuchet MS" w:hAnsi="Trebuchet MS"/>
          <w:lang w:val="fr-FR"/>
        </w:rPr>
        <w:t>stratégique</w:t>
      </w:r>
      <w:r w:rsidR="00A64B65">
        <w:rPr>
          <w:rFonts w:ascii="Trebuchet MS" w:hAnsi="Trebuchet MS"/>
          <w:lang w:val="fr-FR"/>
        </w:rPr>
        <w:t>s</w:t>
      </w:r>
      <w:r w:rsidR="00A64B65" w:rsidRPr="00181510">
        <w:rPr>
          <w:rFonts w:ascii="Trebuchet MS" w:hAnsi="Trebuchet MS"/>
          <w:lang w:val="fr-FR"/>
        </w:rPr>
        <w:t xml:space="preserve"> </w:t>
      </w:r>
      <w:r w:rsidRPr="00181510">
        <w:rPr>
          <w:rFonts w:ascii="Trebuchet MS" w:hAnsi="Trebuchet MS"/>
          <w:lang w:val="fr-FR"/>
        </w:rPr>
        <w:t>de réduction de la pauvreté du pays</w:t>
      </w:r>
      <w:r w:rsidR="00A64B65" w:rsidRPr="00181510">
        <w:rPr>
          <w:rStyle w:val="Appelnotedebasdep"/>
          <w:rFonts w:ascii="Trebuchet MS" w:hAnsi="Trebuchet MS"/>
          <w:sz w:val="18"/>
          <w:lang w:val="fr-FR"/>
        </w:rPr>
        <w:footnoteReference w:id="2"/>
      </w:r>
      <w:r w:rsidRPr="00181510">
        <w:rPr>
          <w:rFonts w:ascii="Trebuchet MS" w:hAnsi="Trebuchet MS"/>
          <w:lang w:val="fr-FR"/>
        </w:rPr>
        <w:t xml:space="preserve">, tandis que le PAN de l'Irlande comprend un pilier dédié à la promotion de la résolution 1325 par le biais de la politique extérieure régionale et internationale </w:t>
      </w:r>
      <w:r w:rsidR="00A64B65">
        <w:rPr>
          <w:rFonts w:ascii="Trebuchet MS" w:hAnsi="Trebuchet MS"/>
          <w:lang w:val="fr-FR"/>
        </w:rPr>
        <w:t>irlandaise</w:t>
      </w:r>
      <w:r w:rsidRPr="00181510">
        <w:rPr>
          <w:rFonts w:ascii="Trebuchet MS" w:hAnsi="Trebuchet MS"/>
          <w:lang w:val="fr-FR"/>
        </w:rPr>
        <w:t xml:space="preserve">. L'Irlande tire parti de son appartenance à l'UE pour </w:t>
      </w:r>
      <w:r w:rsidR="00A64B65">
        <w:rPr>
          <w:rFonts w:ascii="Trebuchet MS" w:hAnsi="Trebuchet MS"/>
          <w:lang w:val="fr-FR"/>
        </w:rPr>
        <w:t>promouvoir</w:t>
      </w:r>
      <w:r w:rsidRPr="00181510">
        <w:rPr>
          <w:rFonts w:ascii="Trebuchet MS" w:hAnsi="Trebuchet MS"/>
          <w:lang w:val="fr-FR"/>
        </w:rPr>
        <w:t xml:space="preserve"> cet objectif</w:t>
      </w:r>
      <w:r w:rsidR="00A64B65">
        <w:rPr>
          <w:rFonts w:ascii="Trebuchet MS" w:hAnsi="Trebuchet MS"/>
          <w:lang w:val="fr-FR"/>
        </w:rPr>
        <w:t xml:space="preserve">, </w:t>
      </w:r>
      <w:r w:rsidRPr="00181510">
        <w:rPr>
          <w:rFonts w:ascii="Trebuchet MS" w:hAnsi="Trebuchet MS"/>
          <w:lang w:val="fr-FR"/>
        </w:rPr>
        <w:t xml:space="preserve">que ce soit dans des contextes </w:t>
      </w:r>
      <w:r w:rsidR="00A64B65">
        <w:rPr>
          <w:rFonts w:ascii="Trebuchet MS" w:hAnsi="Trebuchet MS"/>
          <w:lang w:val="fr-FR"/>
        </w:rPr>
        <w:t>proches</w:t>
      </w:r>
      <w:r w:rsidRPr="00181510">
        <w:rPr>
          <w:rFonts w:ascii="Trebuchet MS" w:hAnsi="Trebuchet MS"/>
          <w:lang w:val="fr-FR"/>
        </w:rPr>
        <w:t xml:space="preserve"> comme auprès du Groupe de travail de l'UE sur les femmes, la paix et la sécurité, ou dans d'autr</w:t>
      </w:r>
      <w:r w:rsidR="00A64B65">
        <w:rPr>
          <w:rFonts w:ascii="Trebuchet MS" w:hAnsi="Trebuchet MS"/>
          <w:lang w:val="fr-FR"/>
        </w:rPr>
        <w:t>es contextes comme au cours de l</w:t>
      </w:r>
      <w:r w:rsidRPr="00181510">
        <w:rPr>
          <w:rFonts w:ascii="Trebuchet MS" w:hAnsi="Trebuchet MS"/>
          <w:lang w:val="fr-FR"/>
        </w:rPr>
        <w:t>a Présidence</w:t>
      </w:r>
      <w:r w:rsidR="00A64B65">
        <w:rPr>
          <w:rFonts w:ascii="Trebuchet MS" w:hAnsi="Trebuchet MS"/>
          <w:lang w:val="fr-FR"/>
        </w:rPr>
        <w:t xml:space="preserve"> irlandaise</w:t>
      </w:r>
      <w:r w:rsidRPr="00181510">
        <w:rPr>
          <w:rFonts w:ascii="Trebuchet MS" w:hAnsi="Trebuchet MS"/>
          <w:lang w:val="fr-FR"/>
        </w:rPr>
        <w:t xml:space="preserve"> de l'OCDE en 2012, auprès du Human Security Network (Réseau de sécurité humaine) ou auprès de l'International Network on </w:t>
      </w:r>
      <w:proofErr w:type="spellStart"/>
      <w:r w:rsidRPr="00181510">
        <w:rPr>
          <w:rFonts w:ascii="Trebuchet MS" w:hAnsi="Trebuchet MS"/>
          <w:lang w:val="fr-FR"/>
        </w:rPr>
        <w:t>Conflict</w:t>
      </w:r>
      <w:proofErr w:type="spellEnd"/>
      <w:r w:rsidRPr="00181510">
        <w:rPr>
          <w:rFonts w:ascii="Trebuchet MS" w:hAnsi="Trebuchet MS"/>
          <w:lang w:val="fr-FR"/>
        </w:rPr>
        <w:t xml:space="preserve"> and </w:t>
      </w:r>
      <w:proofErr w:type="spellStart"/>
      <w:r w:rsidRPr="00181510">
        <w:rPr>
          <w:rFonts w:ascii="Trebuchet MS" w:hAnsi="Trebuchet MS"/>
          <w:lang w:val="fr-FR"/>
        </w:rPr>
        <w:t>Fragility</w:t>
      </w:r>
      <w:proofErr w:type="spellEnd"/>
      <w:r w:rsidRPr="00181510">
        <w:rPr>
          <w:rFonts w:ascii="Trebuchet MS" w:hAnsi="Trebuchet MS"/>
          <w:lang w:val="fr-FR"/>
        </w:rPr>
        <w:t xml:space="preserve"> (Réseau international sur les situations de conflit et de fragilité)</w:t>
      </w:r>
      <w:r w:rsidR="00A64B65" w:rsidRPr="00A64B65">
        <w:rPr>
          <w:rStyle w:val="Appelnotedebasdep"/>
          <w:rFonts w:ascii="Trebuchet MS" w:hAnsi="Trebuchet MS"/>
          <w:sz w:val="18"/>
          <w:lang w:val="fr-FR"/>
        </w:rPr>
        <w:t xml:space="preserve"> </w:t>
      </w:r>
      <w:r w:rsidR="00A64B65" w:rsidRPr="00181510">
        <w:rPr>
          <w:rStyle w:val="Appelnotedebasdep"/>
          <w:rFonts w:ascii="Trebuchet MS" w:hAnsi="Trebuchet MS"/>
          <w:sz w:val="18"/>
          <w:lang w:val="fr-FR"/>
        </w:rPr>
        <w:footnoteReference w:id="3"/>
      </w:r>
      <w:r w:rsidRPr="00181510">
        <w:rPr>
          <w:rFonts w:ascii="Trebuchet MS" w:hAnsi="Trebuchet MS"/>
          <w:lang w:val="fr-FR"/>
        </w:rPr>
        <w:t>.</w:t>
      </w:r>
    </w:p>
    <w:p w14:paraId="356797C2" w14:textId="77777777" w:rsidR="00002DAC" w:rsidRPr="00181510" w:rsidRDefault="00002DAC" w:rsidP="00002DAC">
      <w:pPr>
        <w:pStyle w:val="Titre2"/>
        <w:rPr>
          <w:lang w:val="fr-FR"/>
        </w:rPr>
      </w:pPr>
      <w:bookmarkStart w:id="60" w:name="_Toc417545157"/>
      <w:r w:rsidRPr="00181510">
        <w:rPr>
          <w:lang w:val="fr-FR"/>
        </w:rPr>
        <w:t>Enseignement 2 : adopter une stratégie ciblée</w:t>
      </w:r>
      <w:bookmarkEnd w:id="60"/>
      <w:r w:rsidRPr="00181510">
        <w:rPr>
          <w:lang w:val="fr-FR"/>
        </w:rPr>
        <w:t xml:space="preserve"> </w:t>
      </w:r>
    </w:p>
    <w:p w14:paraId="356797C3" w14:textId="77777777" w:rsidR="00002DAC" w:rsidRPr="00181510" w:rsidRDefault="00002DAC" w:rsidP="00002DAC">
      <w:pPr>
        <w:jc w:val="both"/>
        <w:rPr>
          <w:rFonts w:ascii="Trebuchet MS" w:hAnsi="Trebuchet MS"/>
          <w:lang w:val="fr-FR"/>
        </w:rPr>
      </w:pPr>
      <w:r w:rsidRPr="00181510">
        <w:rPr>
          <w:rFonts w:ascii="Trebuchet MS" w:hAnsi="Trebuchet MS"/>
          <w:lang w:val="fr-FR"/>
        </w:rPr>
        <w:t>Disposer d'une série d'indicateurs SMART (spécifiques, mesurables, réalisables, pertinents et temporellement définis) est un facteur de réussite critique pour la mise en œuvre d'un plan à fort impact. Nombre de Plans d'action nationaux se contentent de détailler une série d'activités spécifiques</w:t>
      </w:r>
      <w:r w:rsidR="00A64B65">
        <w:rPr>
          <w:rFonts w:ascii="Trebuchet MS" w:hAnsi="Trebuchet MS"/>
          <w:lang w:val="fr-FR"/>
        </w:rPr>
        <w:t>,</w:t>
      </w:r>
      <w:r w:rsidRPr="00181510">
        <w:rPr>
          <w:rFonts w:ascii="Trebuchet MS" w:hAnsi="Trebuchet MS"/>
          <w:lang w:val="fr-FR"/>
        </w:rPr>
        <w:t xml:space="preserve"> sans s'attacher à établir des indicateurs précis. Certains plans se fixent des objectifs irréalistes au regard des ressources disponibles, ou de la volonté politique et des échéances existantes. </w:t>
      </w:r>
    </w:p>
    <w:p w14:paraId="356797C4" w14:textId="77777777" w:rsidR="00002DAC" w:rsidRPr="00181510" w:rsidRDefault="00002DAC" w:rsidP="00002DAC">
      <w:pPr>
        <w:jc w:val="both"/>
        <w:rPr>
          <w:rFonts w:ascii="Trebuchet MS" w:hAnsi="Trebuchet MS"/>
          <w:lang w:val="fr-FR"/>
        </w:rPr>
      </w:pPr>
    </w:p>
    <w:p w14:paraId="356797C5"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La majorité des pays disposant d'un Plan d'action national ont adopté des stratégies relatives aux quatre piliers de la résolution 1325 : la prévention, la participation, la protection et les opérations de secours et efforts de redressement. Toutefois, plusieurs pays peinent à appliquer pleinement ces stratégies, posant la question de savoir si un objectif plus étroit et plus ciblé ne </w:t>
      </w:r>
      <w:r w:rsidR="00A64B65">
        <w:rPr>
          <w:rFonts w:ascii="Trebuchet MS" w:hAnsi="Trebuchet MS"/>
          <w:lang w:val="fr-FR"/>
        </w:rPr>
        <w:t>pourrait</w:t>
      </w:r>
      <w:r w:rsidRPr="00181510">
        <w:rPr>
          <w:rFonts w:ascii="Trebuchet MS" w:hAnsi="Trebuchet MS"/>
          <w:lang w:val="fr-FR"/>
        </w:rPr>
        <w:t xml:space="preserve"> pas renforcer l'impact des PAN. Certains répondent que tous les piliers ne bénéficient pas d'une attention suffisante : la prévention, par exemple, n'est au cœur d'aucune stratégie nationale. </w:t>
      </w:r>
    </w:p>
    <w:p w14:paraId="356797C6" w14:textId="77777777" w:rsidR="00002DAC" w:rsidRPr="00181510" w:rsidRDefault="00002DAC" w:rsidP="00002DAC">
      <w:pPr>
        <w:jc w:val="both"/>
        <w:rPr>
          <w:rFonts w:ascii="Trebuchet MS" w:hAnsi="Trebuchet MS"/>
          <w:lang w:val="fr-FR"/>
        </w:rPr>
      </w:pPr>
    </w:p>
    <w:p w14:paraId="356797C7"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Enfin, les plans alignés sur les priorités nationales sont plus susceptibles de s'assurer un soutien politique, d'attirer des ressources et d'inspirer un engagement dans la durée. Cette réalité appelle une approche adaptée au contexte plutôt que standardisée. De plus, les piliers eux-mêmes ne sont pas toujours </w:t>
      </w:r>
      <w:r w:rsidR="00A64B65">
        <w:rPr>
          <w:rFonts w:ascii="Trebuchet MS" w:hAnsi="Trebuchet MS"/>
          <w:lang w:val="fr-FR"/>
        </w:rPr>
        <w:t>clairement définis</w:t>
      </w:r>
      <w:r w:rsidRPr="00181510">
        <w:rPr>
          <w:rFonts w:ascii="Trebuchet MS" w:hAnsi="Trebuchet MS"/>
          <w:lang w:val="fr-FR"/>
        </w:rPr>
        <w:t xml:space="preserve">. Par exemple, certains professionnels </w:t>
      </w:r>
      <w:r w:rsidRPr="00181510">
        <w:rPr>
          <w:rFonts w:ascii="Trebuchet MS" w:hAnsi="Trebuchet MS"/>
          <w:lang w:val="fr-FR"/>
        </w:rPr>
        <w:lastRenderedPageBreak/>
        <w:t>identifient le quatrième pilier comme concernant "l'intégration du genre" plutôt que "les opérations de secours et efforts de redressement". La formulation des piliers passe aussi à côté de certaines problématiques clés, comme la nécessité de modifier les comportements et attitudes sociéta</w:t>
      </w:r>
      <w:r w:rsidR="00FC1A8C">
        <w:rPr>
          <w:rFonts w:ascii="Trebuchet MS" w:hAnsi="Trebuchet MS"/>
          <w:lang w:val="fr-FR"/>
        </w:rPr>
        <w:t>les</w:t>
      </w:r>
      <w:r w:rsidRPr="00181510">
        <w:rPr>
          <w:rFonts w:ascii="Trebuchet MS" w:hAnsi="Trebuchet MS"/>
          <w:lang w:val="fr-FR"/>
        </w:rPr>
        <w:t xml:space="preserve"> envers les femmes. Et, bien que la résolution soit présentée comme portant sur les "femmes, la paix et la sécurité", les piliers dans leur ensemble semblent </w:t>
      </w:r>
      <w:r w:rsidR="00FC1A8C" w:rsidRPr="00181510">
        <w:rPr>
          <w:rFonts w:ascii="Trebuchet MS" w:hAnsi="Trebuchet MS"/>
          <w:lang w:val="fr-FR"/>
        </w:rPr>
        <w:t xml:space="preserve">plutôt </w:t>
      </w:r>
      <w:r w:rsidRPr="00181510">
        <w:rPr>
          <w:rFonts w:ascii="Trebuchet MS" w:hAnsi="Trebuchet MS"/>
          <w:lang w:val="fr-FR"/>
        </w:rPr>
        <w:t xml:space="preserve">concerner l'impact de l'insécurité sur les femmes (par exemple, prévenir la violence, protéger les femmes et les petites filles et répondre à leurs besoins par des efforts de secours et de redressement). Développer des liens forts entre </w:t>
      </w:r>
      <w:r w:rsidR="00FC1A8C">
        <w:rPr>
          <w:rFonts w:ascii="Trebuchet MS" w:hAnsi="Trebuchet MS"/>
          <w:lang w:val="fr-FR"/>
        </w:rPr>
        <w:t xml:space="preserve">les différents </w:t>
      </w:r>
      <w:r w:rsidRPr="00181510">
        <w:rPr>
          <w:rFonts w:ascii="Trebuchet MS" w:hAnsi="Trebuchet MS"/>
          <w:lang w:val="fr-FR"/>
        </w:rPr>
        <w:t xml:space="preserve">cadres de travail sur la sécurité nationale est un moyen de générer une volonté politique durable et </w:t>
      </w:r>
      <w:r w:rsidR="00FC1A8C">
        <w:rPr>
          <w:rFonts w:ascii="Trebuchet MS" w:hAnsi="Trebuchet MS"/>
          <w:lang w:val="fr-FR"/>
        </w:rPr>
        <w:t>d</w:t>
      </w:r>
      <w:r w:rsidR="006A0F0A" w:rsidRPr="00181510">
        <w:rPr>
          <w:rFonts w:ascii="Trebuchet MS" w:hAnsi="Trebuchet MS"/>
          <w:lang w:val="fr-FR"/>
        </w:rPr>
        <w:t>'</w:t>
      </w:r>
      <w:r w:rsidR="00FC1A8C">
        <w:rPr>
          <w:rFonts w:ascii="Trebuchet MS" w:hAnsi="Trebuchet MS"/>
          <w:lang w:val="fr-FR"/>
        </w:rPr>
        <w:t xml:space="preserve">affirmer </w:t>
      </w:r>
      <w:r w:rsidRPr="00181510">
        <w:rPr>
          <w:rFonts w:ascii="Trebuchet MS" w:hAnsi="Trebuchet MS"/>
          <w:lang w:val="fr-FR"/>
        </w:rPr>
        <w:t xml:space="preserve">la pertinence du PAN par rapport à la politique extérieure, à la politique intérieure, ou aux deux. </w:t>
      </w:r>
    </w:p>
    <w:p w14:paraId="356797C8" w14:textId="77777777" w:rsidR="00002DAC" w:rsidRPr="00181510" w:rsidRDefault="00002DAC" w:rsidP="00002DAC">
      <w:pPr>
        <w:jc w:val="both"/>
        <w:rPr>
          <w:rFonts w:ascii="Trebuchet MS" w:hAnsi="Trebuchet MS"/>
          <w:lang w:val="fr-FR"/>
        </w:rPr>
      </w:pPr>
    </w:p>
    <w:p w14:paraId="356797C9"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Plutôt que d'envisager la résolution 1325 sous l'angle de ces quatre piliers, les études de l'institut Inclusive Security, ainsi que son expérience de collaboration avec les gouvernements et la société civile, ont fait émerger un cadre de travail comprenant trois objectifs globaux. Ces objectifs prennent en compte les priorités établies par chaque pilier tout en permettant aux architectes du plan de développer une approche plus ciblée et plus adaptée de l'application de la résolution 1325. </w:t>
      </w:r>
    </w:p>
    <w:p w14:paraId="356797CA" w14:textId="77777777" w:rsidR="00002DAC" w:rsidRPr="00181510" w:rsidRDefault="00002DAC" w:rsidP="00002DAC">
      <w:pPr>
        <w:jc w:val="both"/>
        <w:rPr>
          <w:rFonts w:ascii="Trebuchet MS" w:hAnsi="Trebuchet MS"/>
          <w:lang w:val="fr-FR"/>
        </w:rPr>
      </w:pPr>
    </w:p>
    <w:p w14:paraId="356797CB" w14:textId="77777777" w:rsidR="00002DAC" w:rsidRPr="00181510" w:rsidRDefault="00002DAC" w:rsidP="00002DAC">
      <w:pPr>
        <w:pStyle w:val="Listenumros"/>
        <w:numPr>
          <w:ilvl w:val="0"/>
          <w:numId w:val="14"/>
        </w:numPr>
        <w:jc w:val="both"/>
        <w:rPr>
          <w:rFonts w:ascii="Trebuchet MS" w:hAnsi="Trebuchet MS"/>
          <w:lang w:val="fr-FR"/>
        </w:rPr>
      </w:pPr>
      <w:bookmarkStart w:id="61" w:name="_Toc417545158"/>
      <w:r w:rsidRPr="00181510">
        <w:rPr>
          <w:rStyle w:val="Titre3Car"/>
          <w:rFonts w:ascii="Trebuchet MS" w:hAnsi="Trebuchet MS"/>
          <w:lang w:val="fr-FR"/>
        </w:rPr>
        <w:t>Atteindre (</w:t>
      </w:r>
      <w:proofErr w:type="spellStart"/>
      <w:r w:rsidRPr="00181510">
        <w:rPr>
          <w:rStyle w:val="Titre3Car"/>
          <w:rFonts w:ascii="Trebuchet MS" w:hAnsi="Trebuchet MS"/>
          <w:lang w:val="fr-FR"/>
        </w:rPr>
        <w:t>Attain</w:t>
      </w:r>
      <w:proofErr w:type="spellEnd"/>
      <w:r w:rsidRPr="00181510">
        <w:rPr>
          <w:rStyle w:val="Titre3Car"/>
          <w:rFonts w:ascii="Trebuchet MS" w:hAnsi="Trebuchet MS"/>
          <w:lang w:val="fr-FR"/>
        </w:rPr>
        <w:t>) une participation significative des femmes dans les processus de paix et de sécurité</w:t>
      </w:r>
      <w:r w:rsidRPr="00181510">
        <w:rPr>
          <w:rStyle w:val="Titre3Car"/>
          <w:rFonts w:ascii="Trebuchet MS" w:hAnsi="Trebuchet MS"/>
          <w:sz w:val="18"/>
          <w:lang w:val="fr-FR"/>
        </w:rPr>
        <w:t>.</w:t>
      </w:r>
      <w:bookmarkEnd w:id="61"/>
      <w:r w:rsidRPr="00181510">
        <w:rPr>
          <w:rFonts w:ascii="Trebuchet MS" w:hAnsi="Trebuchet MS"/>
          <w:lang w:val="fr-FR"/>
        </w:rPr>
        <w:t xml:space="preserve"> Une participation significative ne se mesure pas que quantitativement : les femmes doivent être en capacité de participer, et les lois et réglementations clés doivent rendre cette participation possible. Cet objectif correspond exactement au pilier "participation" tel qu'il est décrit actuellement, car garantir la participation active des femmes à tous les niveaux décisionnels reste absolument essentiel. </w:t>
      </w:r>
    </w:p>
    <w:p w14:paraId="356797CC" w14:textId="77777777" w:rsidR="00002DAC" w:rsidRPr="00181510" w:rsidRDefault="00002DAC" w:rsidP="00002DAC">
      <w:pPr>
        <w:pStyle w:val="Listenumros"/>
        <w:jc w:val="both"/>
        <w:rPr>
          <w:rFonts w:ascii="Trebuchet MS" w:hAnsi="Trebuchet MS"/>
          <w:lang w:val="fr-FR"/>
        </w:rPr>
      </w:pPr>
      <w:bookmarkStart w:id="62" w:name="_Toc417545159"/>
      <w:r w:rsidRPr="00181510">
        <w:rPr>
          <w:rStyle w:val="Titre3Car"/>
          <w:rFonts w:ascii="Trebuchet MS" w:hAnsi="Trebuchet MS"/>
          <w:lang w:val="fr-FR"/>
        </w:rPr>
        <w:t>Affirmer (</w:t>
      </w:r>
      <w:proofErr w:type="spellStart"/>
      <w:r w:rsidRPr="00181510">
        <w:rPr>
          <w:rStyle w:val="Titre3Car"/>
          <w:rFonts w:ascii="Trebuchet MS" w:hAnsi="Trebuchet MS"/>
          <w:lang w:val="fr-FR"/>
        </w:rPr>
        <w:t>Affirm</w:t>
      </w:r>
      <w:proofErr w:type="spellEnd"/>
      <w:r w:rsidRPr="00181510">
        <w:rPr>
          <w:rStyle w:val="Titre3Car"/>
          <w:rFonts w:ascii="Trebuchet MS" w:hAnsi="Trebuchet MS"/>
          <w:lang w:val="fr-FR"/>
        </w:rPr>
        <w:t>) la contribution des femmes à la paix et la sécurité.</w:t>
      </w:r>
      <w:bookmarkEnd w:id="62"/>
      <w:r w:rsidRPr="00181510">
        <w:rPr>
          <w:rFonts w:ascii="Trebuchet MS" w:hAnsi="Trebuchet MS"/>
          <w:lang w:val="fr-FR"/>
        </w:rPr>
        <w:t xml:space="preserve"> La plupart des activités appuyant efficacement l'application de la résolution 1325 consistent à </w:t>
      </w:r>
      <w:r w:rsidR="00FC1A8C">
        <w:rPr>
          <w:rFonts w:ascii="Trebuchet MS" w:hAnsi="Trebuchet MS"/>
          <w:lang w:val="fr-FR"/>
        </w:rPr>
        <w:t>faire évoluer</w:t>
      </w:r>
      <w:r w:rsidRPr="00181510">
        <w:rPr>
          <w:rFonts w:ascii="Trebuchet MS" w:hAnsi="Trebuchet MS"/>
          <w:lang w:val="fr-FR"/>
        </w:rPr>
        <w:t xml:space="preserve"> les lois, politiques ou autres barrières institutionnelles ou juridiques à la pleine participation des femmes. Mais transformer en profondeur la manière dont la société envisage et traite les femmes est un processus de longue haleine, qui exige de porter une attention réelle à l'élément humain. Par exemple, criminaliser la violence sexuelle et sexiste n'a qu'un impact faible si les communautés ne comprennent pas, n'acceptent pas ou ne jouent pas leur rôle dans l'application et le respect des nouvelles lois. De plus, un trop grand nombre de Plans d'action nationaux n'intègrent aucune activité </w:t>
      </w:r>
      <w:r w:rsidR="00FC1A8C">
        <w:rPr>
          <w:rFonts w:ascii="Trebuchet MS" w:hAnsi="Trebuchet MS"/>
          <w:lang w:val="fr-FR"/>
        </w:rPr>
        <w:t>impliquant</w:t>
      </w:r>
      <w:r w:rsidRPr="00181510">
        <w:rPr>
          <w:rFonts w:ascii="Trebuchet MS" w:hAnsi="Trebuchet MS"/>
          <w:lang w:val="fr-FR"/>
        </w:rPr>
        <w:t xml:space="preserve"> les hommes. Accroître l'attention prêtée aux activités visant à transformer les comportements et attitudes sociéta</w:t>
      </w:r>
      <w:r w:rsidR="00FC1A8C">
        <w:rPr>
          <w:rFonts w:ascii="Trebuchet MS" w:hAnsi="Trebuchet MS"/>
          <w:lang w:val="fr-FR"/>
        </w:rPr>
        <w:t>ux</w:t>
      </w:r>
      <w:r w:rsidRPr="00181510">
        <w:rPr>
          <w:rFonts w:ascii="Trebuchet MS" w:hAnsi="Trebuchet MS"/>
          <w:lang w:val="fr-FR"/>
        </w:rPr>
        <w:t xml:space="preserve"> envers les femmes </w:t>
      </w:r>
      <w:r w:rsidR="00FC1A8C">
        <w:rPr>
          <w:rFonts w:ascii="Trebuchet MS" w:hAnsi="Trebuchet MS"/>
          <w:lang w:val="fr-FR"/>
        </w:rPr>
        <w:t>prolongerait</w:t>
      </w:r>
      <w:r w:rsidRPr="00181510">
        <w:rPr>
          <w:rFonts w:ascii="Trebuchet MS" w:hAnsi="Trebuchet MS"/>
          <w:lang w:val="fr-FR"/>
        </w:rPr>
        <w:t xml:space="preserve"> l'impact de la résolution 1325 dans le temps. </w:t>
      </w:r>
    </w:p>
    <w:p w14:paraId="356797CD" w14:textId="77777777" w:rsidR="00002DAC" w:rsidRPr="00181510" w:rsidRDefault="00002DAC" w:rsidP="00002DAC">
      <w:pPr>
        <w:pStyle w:val="Listenumros"/>
        <w:numPr>
          <w:ilvl w:val="0"/>
          <w:numId w:val="0"/>
        </w:numPr>
        <w:ind w:left="397"/>
        <w:jc w:val="both"/>
        <w:rPr>
          <w:rFonts w:ascii="Trebuchet MS" w:hAnsi="Trebuchet MS"/>
          <w:lang w:val="fr-FR"/>
        </w:rPr>
      </w:pPr>
    </w:p>
    <w:p w14:paraId="356797CE" w14:textId="77777777" w:rsidR="00002DAC" w:rsidRPr="00181510" w:rsidRDefault="00002DAC" w:rsidP="00002DAC">
      <w:pPr>
        <w:pStyle w:val="Listenumros"/>
        <w:jc w:val="both"/>
        <w:rPr>
          <w:rFonts w:ascii="Trebuchet MS" w:hAnsi="Trebuchet MS"/>
          <w:lang w:val="fr-FR"/>
        </w:rPr>
      </w:pPr>
      <w:bookmarkStart w:id="63" w:name="_Toc417545160"/>
      <w:r w:rsidRPr="00181510">
        <w:rPr>
          <w:rStyle w:val="Titre3Car"/>
          <w:rFonts w:ascii="Trebuchet MS" w:hAnsi="Trebuchet MS"/>
          <w:lang w:val="fr-FR"/>
        </w:rPr>
        <w:t>Accéder (</w:t>
      </w:r>
      <w:proofErr w:type="spellStart"/>
      <w:r w:rsidRPr="00181510">
        <w:rPr>
          <w:rStyle w:val="Titre3Car"/>
          <w:rFonts w:ascii="Trebuchet MS" w:hAnsi="Trebuchet MS"/>
          <w:lang w:val="fr-FR"/>
        </w:rPr>
        <w:t>Achieve</w:t>
      </w:r>
      <w:proofErr w:type="spellEnd"/>
      <w:r w:rsidRPr="00181510">
        <w:rPr>
          <w:rStyle w:val="Titre3Car"/>
          <w:rFonts w:ascii="Trebuchet MS" w:hAnsi="Trebuchet MS"/>
          <w:lang w:val="fr-FR"/>
        </w:rPr>
        <w:t>) à la sécurité humaine des femmes.</w:t>
      </w:r>
      <w:bookmarkEnd w:id="63"/>
      <w:r w:rsidRPr="00181510">
        <w:rPr>
          <w:rFonts w:ascii="Trebuchet MS" w:hAnsi="Trebuchet MS"/>
          <w:lang w:val="fr-FR"/>
        </w:rPr>
        <w:t xml:space="preserve"> Cet objectif vise à supprimer les entraves à l'égalité et à permettre aux femmes d'exercer leurs droits </w:t>
      </w:r>
      <w:r w:rsidR="00FC1A8C">
        <w:rPr>
          <w:rFonts w:ascii="Trebuchet MS" w:hAnsi="Trebuchet MS"/>
          <w:lang w:val="fr-FR"/>
        </w:rPr>
        <w:t xml:space="preserve">dans le </w:t>
      </w:r>
      <w:r w:rsidRPr="00181510">
        <w:rPr>
          <w:rFonts w:ascii="Trebuchet MS" w:hAnsi="Trebuchet MS"/>
          <w:lang w:val="fr-FR"/>
        </w:rPr>
        <w:t>contexte plus général de la sécurité humaine : celui</w:t>
      </w:r>
      <w:r w:rsidR="00FC1A8C">
        <w:rPr>
          <w:rFonts w:ascii="Trebuchet MS" w:hAnsi="Trebuchet MS"/>
          <w:lang w:val="fr-FR"/>
        </w:rPr>
        <w:t xml:space="preserve"> de la sécurité des populations</w:t>
      </w:r>
      <w:r w:rsidRPr="00181510">
        <w:rPr>
          <w:rFonts w:ascii="Trebuchet MS" w:hAnsi="Trebuchet MS"/>
          <w:lang w:val="fr-FR"/>
        </w:rPr>
        <w:t xml:space="preserve"> et non de l'État. Par exemple, les activités visant à assurer un accès équitable à la justice, aux réparations, aux opportunités économiques et à l'éducation pour les femmes font partie de cet objectif dans son volet de suppression des barrières à l'égalité. Mais il ne suffit pas de créer un cadre juridique favorable. Il est important de s'assurer que les femmes so</w:t>
      </w:r>
      <w:r w:rsidR="00FC1A8C">
        <w:rPr>
          <w:rFonts w:ascii="Trebuchet MS" w:hAnsi="Trebuchet MS"/>
          <w:lang w:val="fr-FR"/>
        </w:rPr>
        <w:t>ie</w:t>
      </w:r>
      <w:r w:rsidRPr="00181510">
        <w:rPr>
          <w:rFonts w:ascii="Trebuchet MS" w:hAnsi="Trebuchet MS"/>
          <w:lang w:val="fr-FR"/>
        </w:rPr>
        <w:t xml:space="preserve">nt en capacité d'exercer leurs droits, et qu'elles se saisissent de cette </w:t>
      </w:r>
      <w:r w:rsidRPr="00181510">
        <w:rPr>
          <w:rFonts w:ascii="Trebuchet MS" w:hAnsi="Trebuchet MS"/>
          <w:lang w:val="fr-FR"/>
        </w:rPr>
        <w:lastRenderedPageBreak/>
        <w:t xml:space="preserve">capacité. Les projets visant à informer les femmes et les hommes sur leurs droits, à les encourager à saisir de nouvelles opportunités, ou à favoriser leur accès concret à la justice (par exemple, en cassant les barrières structurelles </w:t>
      </w:r>
      <w:r w:rsidR="00FC1A8C">
        <w:rPr>
          <w:rFonts w:ascii="Trebuchet MS" w:hAnsi="Trebuchet MS"/>
          <w:lang w:val="fr-FR"/>
        </w:rPr>
        <w:t>par</w:t>
      </w:r>
      <w:r w:rsidRPr="00181510">
        <w:rPr>
          <w:rFonts w:ascii="Trebuchet MS" w:hAnsi="Trebuchet MS"/>
          <w:lang w:val="fr-FR"/>
        </w:rPr>
        <w:t xml:space="preserve"> la modification ou la création de lois ou politiques) </w:t>
      </w:r>
      <w:r w:rsidR="00FC1A8C">
        <w:rPr>
          <w:rFonts w:ascii="Trebuchet MS" w:hAnsi="Trebuchet MS"/>
          <w:lang w:val="fr-FR"/>
        </w:rPr>
        <w:t>relèvent de</w:t>
      </w:r>
      <w:r w:rsidRPr="00181510">
        <w:rPr>
          <w:rFonts w:ascii="Trebuchet MS" w:hAnsi="Trebuchet MS"/>
          <w:lang w:val="fr-FR"/>
        </w:rPr>
        <w:t xml:space="preserve"> cet objectif. </w:t>
      </w:r>
    </w:p>
    <w:p w14:paraId="356797CF" w14:textId="77777777" w:rsidR="00002DAC" w:rsidRPr="00181510" w:rsidRDefault="00002DAC" w:rsidP="00002DAC">
      <w:pPr>
        <w:pStyle w:val="Listenumros"/>
        <w:numPr>
          <w:ilvl w:val="0"/>
          <w:numId w:val="0"/>
        </w:numPr>
        <w:ind w:left="397"/>
        <w:jc w:val="both"/>
        <w:rPr>
          <w:rFonts w:ascii="Trebuchet MS" w:hAnsi="Trebuchet MS"/>
          <w:lang w:val="fr-FR"/>
        </w:rPr>
      </w:pPr>
    </w:p>
    <w:p w14:paraId="356797D0" w14:textId="77777777" w:rsidR="001D14C2" w:rsidRPr="00181510" w:rsidRDefault="00002DAC" w:rsidP="00FC1A8C">
      <w:pPr>
        <w:pStyle w:val="Listenumros"/>
        <w:numPr>
          <w:ilvl w:val="0"/>
          <w:numId w:val="0"/>
        </w:numPr>
        <w:jc w:val="both"/>
        <w:rPr>
          <w:rFonts w:ascii="Trebuchet MS" w:hAnsi="Trebuchet MS"/>
          <w:lang w:val="fr-FR"/>
        </w:rPr>
      </w:pPr>
      <w:bookmarkStart w:id="64" w:name="_Toc417545161"/>
      <w:r w:rsidRPr="00181510">
        <w:rPr>
          <w:rStyle w:val="Titre3Car"/>
          <w:rFonts w:ascii="Trebuchet MS" w:hAnsi="Trebuchet MS"/>
          <w:lang w:val="fr-FR"/>
        </w:rPr>
        <w:t>Atteindre, Affirmer et Accéder</w:t>
      </w:r>
      <w:bookmarkEnd w:id="64"/>
      <w:r w:rsidRPr="00181510">
        <w:rPr>
          <w:rFonts w:ascii="Trebuchet MS" w:hAnsi="Trebuchet MS"/>
          <w:lang w:val="fr-FR"/>
        </w:rPr>
        <w:t xml:space="preserve"> permettent d'intégrer les principes de base de la résolution 1325 à des objectifs plus larges et plus adaptables. L'institut Inclusive Security a utilisé cette approche efficacement pour soutenir les efforts de conception, d'application et de suivi de ses pays partenaires. Notre intention n'est pas d'inciter les autres pays à appliquer cette formule des "3 A", mais plutôt de les inviter à</w:t>
      </w:r>
      <w:r w:rsidR="00FC1A8C">
        <w:rPr>
          <w:rFonts w:ascii="Trebuchet MS" w:hAnsi="Trebuchet MS"/>
          <w:lang w:val="fr-FR"/>
        </w:rPr>
        <w:t xml:space="preserve"> </w:t>
      </w:r>
      <w:r w:rsidRPr="00181510">
        <w:rPr>
          <w:rFonts w:ascii="Trebuchet MS" w:hAnsi="Trebuchet MS"/>
          <w:lang w:val="fr-FR"/>
        </w:rPr>
        <w:t xml:space="preserve">aborder </w:t>
      </w:r>
      <w:r w:rsidR="00FC1A8C">
        <w:rPr>
          <w:rFonts w:ascii="Trebuchet MS" w:hAnsi="Trebuchet MS"/>
          <w:lang w:val="fr-FR"/>
        </w:rPr>
        <w:t xml:space="preserve">ces trois objectifs </w:t>
      </w:r>
      <w:r w:rsidRPr="00181510">
        <w:rPr>
          <w:rFonts w:ascii="Trebuchet MS" w:hAnsi="Trebuchet MS"/>
          <w:lang w:val="fr-FR"/>
        </w:rPr>
        <w:t xml:space="preserve">en tant que points de départ </w:t>
      </w:r>
      <w:r w:rsidR="00FC1A8C">
        <w:rPr>
          <w:rFonts w:ascii="Trebuchet MS" w:hAnsi="Trebuchet MS"/>
          <w:lang w:val="fr-FR"/>
        </w:rPr>
        <w:t>pouvant être adaptés</w:t>
      </w:r>
      <w:r w:rsidRPr="00181510">
        <w:rPr>
          <w:rFonts w:ascii="Trebuchet MS" w:hAnsi="Trebuchet MS"/>
          <w:lang w:val="fr-FR"/>
        </w:rPr>
        <w:t xml:space="preserve"> à leurs besoins et objectifs propres</w:t>
      </w:r>
      <w:r w:rsidR="00FC1A8C">
        <w:rPr>
          <w:rFonts w:ascii="Trebuchet MS" w:hAnsi="Trebuchet MS"/>
          <w:lang w:val="fr-FR"/>
        </w:rPr>
        <w:t xml:space="preserve">, en vue de </w:t>
      </w:r>
      <w:r w:rsidRPr="00181510">
        <w:rPr>
          <w:rFonts w:ascii="Trebuchet MS" w:hAnsi="Trebuchet MS"/>
          <w:lang w:val="fr-FR"/>
        </w:rPr>
        <w:t xml:space="preserve">s'assurer une adhésion, un soutien et un engagement plus larges et plus durables. </w:t>
      </w:r>
    </w:p>
    <w:p w14:paraId="356797D1" w14:textId="77777777" w:rsidR="001D14C2" w:rsidRPr="00181510" w:rsidRDefault="001D14C2">
      <w:pPr>
        <w:rPr>
          <w:rFonts w:ascii="Trebuchet MS" w:hAnsi="Trebuchet MS"/>
          <w:lang w:val="fr-FR"/>
        </w:rPr>
      </w:pPr>
      <w:r w:rsidRPr="00181510">
        <w:rPr>
          <w:rFonts w:ascii="Trebuchet MS" w:hAnsi="Trebuchet MS"/>
          <w:lang w:val="fr-FR"/>
        </w:rPr>
        <w:br w:type="page"/>
      </w:r>
    </w:p>
    <w:p w14:paraId="356797D2" w14:textId="77777777" w:rsidR="00002DAC" w:rsidRPr="00181510" w:rsidRDefault="00002DAC" w:rsidP="00002DAC">
      <w:pPr>
        <w:pStyle w:val="Titre2"/>
        <w:rPr>
          <w:lang w:val="fr-FR"/>
        </w:rPr>
      </w:pPr>
      <w:bookmarkStart w:id="65" w:name="_Toc417545162"/>
      <w:r w:rsidRPr="00181510">
        <w:rPr>
          <w:lang w:val="fr-FR"/>
        </w:rPr>
        <w:lastRenderedPageBreak/>
        <w:t>Enseignement 3 : travailler en partenariat avec la société civile</w:t>
      </w:r>
      <w:bookmarkEnd w:id="65"/>
      <w:r w:rsidRPr="00181510">
        <w:rPr>
          <w:lang w:val="fr-FR"/>
        </w:rPr>
        <w:t xml:space="preserve"> </w:t>
      </w:r>
    </w:p>
    <w:p w14:paraId="356797D3"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Dans le cas des plans à fort impact, le processus est tout aussi important que le contenu. Une analyse approfondie du problème, associée à une attention portée sur la construction et l'entretien </w:t>
      </w:r>
      <w:r w:rsidR="008365C5">
        <w:rPr>
          <w:rFonts w:ascii="Trebuchet MS" w:hAnsi="Trebuchet MS"/>
          <w:lang w:val="fr-FR"/>
        </w:rPr>
        <w:t>de la</w:t>
      </w:r>
      <w:r w:rsidRPr="00181510">
        <w:rPr>
          <w:rFonts w:ascii="Trebuchet MS" w:hAnsi="Trebuchet MS"/>
          <w:lang w:val="fr-FR"/>
        </w:rPr>
        <w:t xml:space="preserve"> volonté politique, sont des caractéristiques nécessaires de ces plans. Il est aussi important que les architectes du plan identifient et sécurisent des ressources et précisent des responsabilités, calendriers et </w:t>
      </w:r>
      <w:r w:rsidR="001D14C2" w:rsidRPr="00181510">
        <w:rPr>
          <w:rFonts w:ascii="Trebuchet MS" w:hAnsi="Trebuchet MS"/>
          <w:lang w:val="fr-FR"/>
        </w:rPr>
        <w:t>m</w:t>
      </w:r>
      <w:r w:rsidRPr="00181510">
        <w:rPr>
          <w:rFonts w:ascii="Trebuchet MS" w:hAnsi="Trebuchet MS"/>
          <w:lang w:val="fr-FR"/>
        </w:rPr>
        <w:t xml:space="preserve">écanismes de coordination pour la mise en œuvre des activités. De plus, les concepteurs doivent s'engager à développer un plan de suivi et d'évaluation et à communiquer publiquement les résultats des examens et/ou évaluations formelles. </w:t>
      </w:r>
    </w:p>
    <w:p w14:paraId="356797D4" w14:textId="77777777" w:rsidR="00002DAC" w:rsidRPr="00181510" w:rsidRDefault="00002DAC" w:rsidP="00002DAC">
      <w:pPr>
        <w:jc w:val="both"/>
        <w:rPr>
          <w:rFonts w:ascii="Trebuchet MS" w:hAnsi="Trebuchet MS"/>
          <w:lang w:val="fr-FR"/>
        </w:rPr>
      </w:pPr>
    </w:p>
    <w:p w14:paraId="356797D5" w14:textId="77777777" w:rsidR="00002DAC" w:rsidRPr="00181510" w:rsidRDefault="00002DAC" w:rsidP="00002DAC">
      <w:pPr>
        <w:jc w:val="both"/>
        <w:rPr>
          <w:rFonts w:ascii="Trebuchet MS" w:hAnsi="Trebuchet MS"/>
          <w:lang w:val="fr-FR"/>
        </w:rPr>
      </w:pPr>
    </w:p>
    <w:p w14:paraId="356797D6" w14:textId="77777777" w:rsidR="00002DAC" w:rsidRPr="00181510" w:rsidRDefault="00002DAC" w:rsidP="00002DAC">
      <w:pPr>
        <w:jc w:val="both"/>
        <w:rPr>
          <w:rFonts w:ascii="Trebuchet MS" w:hAnsi="Trebuchet MS"/>
          <w:lang w:val="fr-FR"/>
        </w:rPr>
      </w:pPr>
      <w:r w:rsidRPr="00181510">
        <w:rPr>
          <w:rFonts w:ascii="Trebuchet MS" w:hAnsi="Trebuchet MS"/>
          <w:noProof/>
          <w:lang w:val="fr-FR" w:eastAsia="fr-FR"/>
        </w:rPr>
        <w:drawing>
          <wp:anchor distT="0" distB="0" distL="114300" distR="114300" simplePos="0" relativeHeight="251662336" behindDoc="0" locked="0" layoutInCell="1" allowOverlap="1" wp14:anchorId="35679803" wp14:editId="35679804">
            <wp:simplePos x="0" y="0"/>
            <wp:positionH relativeFrom="column">
              <wp:posOffset>-10160</wp:posOffset>
            </wp:positionH>
            <wp:positionV relativeFrom="paragraph">
              <wp:posOffset>19050</wp:posOffset>
            </wp:positionV>
            <wp:extent cx="3145790" cy="2011680"/>
            <wp:effectExtent l="0" t="0" r="16510" b="26670"/>
            <wp:wrapSquare wrapText="bothSides"/>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56797D7" w14:textId="77777777" w:rsidR="00002DAC" w:rsidRPr="00181510" w:rsidRDefault="00002DAC" w:rsidP="00002DAC">
      <w:pPr>
        <w:jc w:val="both"/>
        <w:rPr>
          <w:rFonts w:ascii="Trebuchet MS" w:hAnsi="Trebuchet MS"/>
          <w:lang w:val="fr-FR"/>
        </w:rPr>
      </w:pPr>
    </w:p>
    <w:p w14:paraId="356797D8" w14:textId="77777777" w:rsidR="00002DAC" w:rsidRPr="00181510" w:rsidRDefault="00002DAC" w:rsidP="00002DAC">
      <w:pPr>
        <w:jc w:val="both"/>
        <w:rPr>
          <w:rFonts w:ascii="Trebuchet MS" w:hAnsi="Trebuchet MS"/>
          <w:lang w:val="fr-FR"/>
        </w:rPr>
      </w:pPr>
    </w:p>
    <w:p w14:paraId="356797D9" w14:textId="77777777" w:rsidR="00002DAC" w:rsidRPr="00181510" w:rsidRDefault="00002DAC" w:rsidP="00002DAC">
      <w:pPr>
        <w:jc w:val="both"/>
        <w:rPr>
          <w:rFonts w:ascii="Trebuchet MS" w:hAnsi="Trebuchet MS"/>
          <w:lang w:val="fr-FR"/>
        </w:rPr>
      </w:pPr>
    </w:p>
    <w:p w14:paraId="356797DA" w14:textId="77777777" w:rsidR="00002DAC" w:rsidRPr="00181510" w:rsidRDefault="00002DAC" w:rsidP="00002DAC">
      <w:pPr>
        <w:jc w:val="both"/>
        <w:rPr>
          <w:rFonts w:ascii="Trebuchet MS" w:hAnsi="Trebuchet MS"/>
          <w:lang w:val="fr-FR"/>
        </w:rPr>
      </w:pPr>
    </w:p>
    <w:p w14:paraId="356797DB" w14:textId="77777777" w:rsidR="00002DAC" w:rsidRPr="00181510" w:rsidRDefault="00002DAC" w:rsidP="00002DAC">
      <w:pPr>
        <w:jc w:val="both"/>
        <w:rPr>
          <w:rFonts w:ascii="Trebuchet MS" w:hAnsi="Trebuchet MS"/>
          <w:lang w:val="fr-FR"/>
        </w:rPr>
      </w:pPr>
    </w:p>
    <w:p w14:paraId="356797DC" w14:textId="77777777" w:rsidR="00002DAC" w:rsidRPr="00181510" w:rsidRDefault="00002DAC" w:rsidP="00002DAC">
      <w:pPr>
        <w:jc w:val="both"/>
        <w:rPr>
          <w:rFonts w:ascii="Trebuchet MS" w:hAnsi="Trebuchet MS"/>
          <w:lang w:val="fr-FR"/>
        </w:rPr>
      </w:pPr>
    </w:p>
    <w:p w14:paraId="356797DD" w14:textId="77777777" w:rsidR="00002DAC" w:rsidRPr="00181510" w:rsidRDefault="00002DAC" w:rsidP="00002DAC">
      <w:pPr>
        <w:jc w:val="both"/>
        <w:rPr>
          <w:rFonts w:ascii="Trebuchet MS" w:hAnsi="Trebuchet MS"/>
          <w:lang w:val="fr-FR"/>
        </w:rPr>
      </w:pPr>
    </w:p>
    <w:p w14:paraId="356797DE" w14:textId="77777777" w:rsidR="00002DAC" w:rsidRPr="00181510" w:rsidRDefault="00002DAC" w:rsidP="00002DAC">
      <w:pPr>
        <w:jc w:val="both"/>
        <w:rPr>
          <w:rFonts w:ascii="Trebuchet MS" w:hAnsi="Trebuchet MS"/>
          <w:lang w:val="fr-FR"/>
        </w:rPr>
      </w:pPr>
    </w:p>
    <w:p w14:paraId="356797DF" w14:textId="77777777" w:rsidR="00002DAC" w:rsidRPr="00181510" w:rsidRDefault="00002DAC" w:rsidP="00002DAC">
      <w:pPr>
        <w:jc w:val="both"/>
        <w:rPr>
          <w:rFonts w:ascii="Trebuchet MS" w:hAnsi="Trebuchet MS"/>
          <w:lang w:val="fr-FR"/>
        </w:rPr>
      </w:pPr>
    </w:p>
    <w:p w14:paraId="356797E0" w14:textId="77777777" w:rsidR="00002DAC" w:rsidRPr="00181510" w:rsidRDefault="00002DAC" w:rsidP="00002DAC">
      <w:pPr>
        <w:jc w:val="both"/>
        <w:rPr>
          <w:rFonts w:ascii="Trebuchet MS" w:hAnsi="Trebuchet MS"/>
          <w:lang w:val="fr-FR"/>
        </w:rPr>
      </w:pPr>
    </w:p>
    <w:p w14:paraId="356797E1" w14:textId="77777777" w:rsidR="00002DAC" w:rsidRPr="00181510" w:rsidRDefault="00002DAC" w:rsidP="00002DAC">
      <w:pPr>
        <w:jc w:val="both"/>
        <w:rPr>
          <w:rFonts w:ascii="Trebuchet MS" w:hAnsi="Trebuchet MS"/>
          <w:lang w:val="fr-FR"/>
        </w:rPr>
      </w:pPr>
      <w:r w:rsidRPr="00181510">
        <w:rPr>
          <w:rFonts w:ascii="Trebuchet MS" w:hAnsi="Trebuchet MS"/>
          <w:noProof/>
          <w:lang w:val="fr-FR" w:eastAsia="fr-FR"/>
        </w:rPr>
        <mc:AlternateContent>
          <mc:Choice Requires="wps">
            <w:drawing>
              <wp:anchor distT="0" distB="0" distL="114300" distR="114300" simplePos="0" relativeHeight="251661312" behindDoc="0" locked="0" layoutInCell="1" allowOverlap="1" wp14:anchorId="35679805" wp14:editId="35679806">
                <wp:simplePos x="0" y="0"/>
                <wp:positionH relativeFrom="column">
                  <wp:posOffset>-3270250</wp:posOffset>
                </wp:positionH>
                <wp:positionV relativeFrom="paragraph">
                  <wp:posOffset>74930</wp:posOffset>
                </wp:positionV>
                <wp:extent cx="3162300" cy="38163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7982D" w14:textId="77777777" w:rsidR="00DA3CDA" w:rsidRPr="005A06ED" w:rsidRDefault="00DA3CDA" w:rsidP="00002DAC">
                            <w:pPr>
                              <w:rPr>
                                <w:rFonts w:ascii="Trebuchet MS" w:hAnsi="Trebuchet MS"/>
                                <w:i/>
                                <w:sz w:val="16"/>
                                <w:szCs w:val="16"/>
                                <w:lang w:val="fr-FR"/>
                              </w:rPr>
                            </w:pPr>
                            <w:r w:rsidRPr="005A06ED">
                              <w:rPr>
                                <w:rFonts w:ascii="Trebuchet MS" w:hAnsi="Trebuchet MS"/>
                                <w:sz w:val="16"/>
                                <w:szCs w:val="16"/>
                                <w:lang w:val="fr-FR"/>
                              </w:rPr>
                              <w:t>Ill. </w:t>
                            </w:r>
                            <w:r w:rsidRPr="004868C1">
                              <w:rPr>
                                <w:rFonts w:ascii="Trebuchet MS" w:hAnsi="Trebuchet MS"/>
                                <w:sz w:val="16"/>
                                <w:szCs w:val="16"/>
                              </w:rPr>
                              <w:fldChar w:fldCharType="begin"/>
                            </w:r>
                            <w:r w:rsidRPr="005A06ED">
                              <w:rPr>
                                <w:rFonts w:ascii="Trebuchet MS" w:hAnsi="Trebuchet MS"/>
                                <w:sz w:val="16"/>
                                <w:szCs w:val="16"/>
                                <w:lang w:val="fr-FR"/>
                              </w:rPr>
                              <w:instrText xml:space="preserve"> SEQ Figure \* ARABIC</w:instrText>
                            </w:r>
                            <w:r w:rsidRPr="004868C1">
                              <w:rPr>
                                <w:rFonts w:ascii="Trebuchet MS" w:hAnsi="Trebuchet MS"/>
                                <w:sz w:val="16"/>
                                <w:szCs w:val="16"/>
                              </w:rPr>
                              <w:fldChar w:fldCharType="separate"/>
                            </w:r>
                            <w:r w:rsidRPr="005A06ED">
                              <w:rPr>
                                <w:rFonts w:ascii="Trebuchet MS" w:hAnsi="Trebuchet MS"/>
                                <w:noProof/>
                                <w:sz w:val="16"/>
                                <w:szCs w:val="16"/>
                                <w:lang w:val="fr-FR"/>
                              </w:rPr>
                              <w:t>1</w:t>
                            </w:r>
                            <w:r w:rsidRPr="004868C1">
                              <w:rPr>
                                <w:rFonts w:ascii="Trebuchet MS" w:hAnsi="Trebuchet MS"/>
                                <w:sz w:val="16"/>
                                <w:szCs w:val="16"/>
                              </w:rPr>
                              <w:fldChar w:fldCharType="end"/>
                            </w:r>
                            <w:r w:rsidRPr="005A06ED">
                              <w:rPr>
                                <w:rFonts w:ascii="Trebuchet MS" w:hAnsi="Trebuchet MS"/>
                                <w:sz w:val="16"/>
                                <w:szCs w:val="16"/>
                                <w:lang w:val="fr-FR"/>
                              </w:rPr>
                              <w:t> : niveaux d'implication de la société civile dans les Plans d'action nationaux existants</w:t>
                            </w:r>
                            <w:r w:rsidRPr="005A06ED">
                              <w:rPr>
                                <w:rFonts w:ascii="Trebuchet MS" w:hAnsi="Trebuchet MS"/>
                                <w:i/>
                                <w:sz w:val="16"/>
                                <w:szCs w:val="16"/>
                                <w:lang w:val="fr-FR"/>
                              </w:rPr>
                              <w:t xml:space="preserve"> (à l'exclusion du PAN gambien)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9805" id="Text Box 2" o:spid="_x0000_s1026" style="position:absolute;left:0;text-align:left;margin-left:-257.5pt;margin-top:5.9pt;width:249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" stroked="f">
                <v:path arrowok="t"/>
                <v:textbox inset="0,0,0,0">
                  <w:txbxContent>
                    <w:p w14:paraId="3567982D" w14:textId="77777777" w:rsidR="00DA3CDA" w:rsidRPr="005A06ED" w:rsidRDefault="00DA3CDA" w:rsidP="00002DAC">
                      <w:pPr>
                        <w:rPr>
                          <w:rFonts w:ascii="Trebuchet MS" w:hAnsi="Trebuchet MS"/>
                          <w:i/>
                          <w:sz w:val="16"/>
                          <w:szCs w:val="16"/>
                          <w:lang w:val="fr-FR"/>
                        </w:rPr>
                      </w:pPr>
                      <w:r w:rsidRPr="005A06ED">
                        <w:rPr>
                          <w:rFonts w:ascii="Trebuchet MS" w:hAnsi="Trebuchet MS"/>
                          <w:sz w:val="16"/>
                          <w:szCs w:val="16"/>
                          <w:lang w:val="fr-FR"/>
                        </w:rPr>
                        <w:t>Ill. </w:t>
                      </w:r>
                      <w:r w:rsidRPr="004868C1">
                        <w:rPr>
                          <w:rFonts w:ascii="Trebuchet MS" w:hAnsi="Trebuchet MS"/>
                          <w:sz w:val="16"/>
                          <w:szCs w:val="16"/>
                        </w:rPr>
                        <w:fldChar w:fldCharType="begin"/>
                      </w:r>
                      <w:r w:rsidRPr="005A06ED">
                        <w:rPr>
                          <w:rFonts w:ascii="Trebuchet MS" w:hAnsi="Trebuchet MS"/>
                          <w:sz w:val="16"/>
                          <w:szCs w:val="16"/>
                          <w:lang w:val="fr-FR"/>
                        </w:rPr>
                        <w:instrText xml:space="preserve"> SEQ Figure \* ARABIC</w:instrText>
                      </w:r>
                      <w:r w:rsidRPr="004868C1">
                        <w:rPr>
                          <w:rFonts w:ascii="Trebuchet MS" w:hAnsi="Trebuchet MS"/>
                          <w:sz w:val="16"/>
                          <w:szCs w:val="16"/>
                        </w:rPr>
                        <w:fldChar w:fldCharType="separate"/>
                      </w:r>
                      <w:r w:rsidRPr="005A06ED">
                        <w:rPr>
                          <w:rFonts w:ascii="Trebuchet MS" w:hAnsi="Trebuchet MS"/>
                          <w:noProof/>
                          <w:sz w:val="16"/>
                          <w:szCs w:val="16"/>
                          <w:lang w:val="fr-FR"/>
                        </w:rPr>
                        <w:t>1</w:t>
                      </w:r>
                      <w:r w:rsidRPr="004868C1">
                        <w:rPr>
                          <w:rFonts w:ascii="Trebuchet MS" w:hAnsi="Trebuchet MS"/>
                          <w:sz w:val="16"/>
                          <w:szCs w:val="16"/>
                        </w:rPr>
                        <w:fldChar w:fldCharType="end"/>
                      </w:r>
                      <w:r w:rsidRPr="005A06ED">
                        <w:rPr>
                          <w:rFonts w:ascii="Trebuchet MS" w:hAnsi="Trebuchet MS"/>
                          <w:sz w:val="16"/>
                          <w:szCs w:val="16"/>
                          <w:lang w:val="fr-FR"/>
                        </w:rPr>
                        <w:t> : niveaux d'implication de la société civile dans les Plans d'action nationaux existants</w:t>
                      </w:r>
                      <w:r w:rsidRPr="005A06ED">
                        <w:rPr>
                          <w:rFonts w:ascii="Trebuchet MS" w:hAnsi="Trebuchet MS"/>
                          <w:i/>
                          <w:sz w:val="16"/>
                          <w:szCs w:val="16"/>
                          <w:lang w:val="fr-FR"/>
                        </w:rPr>
                        <w:t xml:space="preserve"> (à l'exclusion du PAN gambien)</w:t>
                      </w:r>
                    </w:p>
                  </w:txbxContent>
                </v:textbox>
                <w10:wrap type="square"/>
              </v:rect>
            </w:pict>
          </mc:Fallback>
        </mc:AlternateContent>
      </w:r>
    </w:p>
    <w:p w14:paraId="356797E2" w14:textId="77777777" w:rsidR="00002DAC" w:rsidRPr="00181510" w:rsidRDefault="00002DAC" w:rsidP="00002DAC">
      <w:pPr>
        <w:jc w:val="both"/>
        <w:rPr>
          <w:rFonts w:ascii="Trebuchet MS" w:hAnsi="Trebuchet MS"/>
          <w:lang w:val="fr-FR"/>
        </w:rPr>
      </w:pPr>
    </w:p>
    <w:p w14:paraId="356797E3" w14:textId="77777777" w:rsidR="00002DAC" w:rsidRPr="00181510" w:rsidRDefault="00002DAC" w:rsidP="00002DAC">
      <w:pPr>
        <w:jc w:val="both"/>
        <w:rPr>
          <w:rFonts w:ascii="Trebuchet MS" w:hAnsi="Trebuchet MS"/>
          <w:lang w:val="fr-FR"/>
        </w:rPr>
      </w:pPr>
    </w:p>
    <w:p w14:paraId="356797E4" w14:textId="77777777" w:rsidR="00002DAC" w:rsidRPr="00181510" w:rsidRDefault="00002DAC" w:rsidP="00002DAC">
      <w:pPr>
        <w:jc w:val="both"/>
        <w:rPr>
          <w:rFonts w:ascii="Trebuchet MS" w:hAnsi="Trebuchet MS"/>
          <w:lang w:val="fr-FR"/>
        </w:rPr>
      </w:pPr>
    </w:p>
    <w:p w14:paraId="356797E5" w14:textId="77777777" w:rsidR="00002DAC" w:rsidRPr="00181510" w:rsidRDefault="00143EDC" w:rsidP="00002DAC">
      <w:pPr>
        <w:jc w:val="both"/>
        <w:rPr>
          <w:rFonts w:ascii="Trebuchet MS" w:hAnsi="Trebuchet MS"/>
          <w:lang w:val="fr-FR"/>
        </w:rPr>
      </w:pPr>
      <w:r>
        <w:rPr>
          <w:rFonts w:ascii="Trebuchet MS" w:hAnsi="Trebuchet MS"/>
          <w:lang w:val="fr-FR"/>
        </w:rPr>
        <w:t>Cela étant dit</w:t>
      </w:r>
      <w:r w:rsidR="00002DAC" w:rsidRPr="00181510">
        <w:rPr>
          <w:rFonts w:ascii="Trebuchet MS" w:hAnsi="Trebuchet MS"/>
          <w:lang w:val="fr-FR"/>
        </w:rPr>
        <w:t xml:space="preserve">, le facteur de réussite le plus important pour </w:t>
      </w:r>
      <w:r>
        <w:rPr>
          <w:rFonts w:ascii="Trebuchet MS" w:hAnsi="Trebuchet MS"/>
          <w:lang w:val="fr-FR"/>
        </w:rPr>
        <w:t>le</w:t>
      </w:r>
      <w:r w:rsidR="00002DAC" w:rsidRPr="00181510">
        <w:rPr>
          <w:rFonts w:ascii="Trebuchet MS" w:hAnsi="Trebuchet MS"/>
          <w:lang w:val="fr-FR"/>
        </w:rPr>
        <w:t xml:space="preserve"> processus de conception et d'application est probablement le </w:t>
      </w:r>
      <w:r>
        <w:rPr>
          <w:rFonts w:ascii="Trebuchet MS" w:hAnsi="Trebuchet MS"/>
          <w:lang w:val="fr-FR"/>
        </w:rPr>
        <w:t xml:space="preserve">choix du </w:t>
      </w:r>
      <w:r w:rsidR="00002DAC" w:rsidRPr="00181510">
        <w:rPr>
          <w:rFonts w:ascii="Trebuchet MS" w:hAnsi="Trebuchet MS"/>
          <w:lang w:val="fr-FR"/>
        </w:rPr>
        <w:t>modèle de coopération entre parties prenantes. La participation de la société civile est un ingrédient essentiel à la formulation d'un plan à fort impact, et s'avère souvent déterminante pour la portée et l'impact du plan</w:t>
      </w:r>
      <w:r w:rsidRPr="00181510">
        <w:rPr>
          <w:rStyle w:val="Appelnotedebasdep"/>
          <w:rFonts w:ascii="Trebuchet MS" w:hAnsi="Trebuchet MS"/>
          <w:sz w:val="18"/>
          <w:lang w:val="fr-FR"/>
        </w:rPr>
        <w:footnoteReference w:id="4"/>
      </w:r>
      <w:r w:rsidR="00002DAC" w:rsidRPr="00181510">
        <w:rPr>
          <w:rFonts w:ascii="Trebuchet MS" w:hAnsi="Trebuchet MS"/>
          <w:lang w:val="fr-FR"/>
        </w:rPr>
        <w:t xml:space="preserve">. Près de 15 ans après la résolution 1325, les presque 50 PAN développés dans le monde présentent </w:t>
      </w:r>
      <w:r>
        <w:rPr>
          <w:rFonts w:ascii="Trebuchet MS" w:hAnsi="Trebuchet MS"/>
          <w:lang w:val="fr-FR"/>
        </w:rPr>
        <w:t xml:space="preserve">tous des </w:t>
      </w:r>
      <w:r w:rsidR="00002DAC" w:rsidRPr="00181510">
        <w:rPr>
          <w:rFonts w:ascii="Trebuchet MS" w:hAnsi="Trebuchet MS"/>
          <w:lang w:val="fr-FR"/>
        </w:rPr>
        <w:t xml:space="preserve">approches différentes de la coopération avec la société civile. </w:t>
      </w:r>
      <w:r>
        <w:rPr>
          <w:rFonts w:ascii="Trebuchet MS" w:hAnsi="Trebuchet MS"/>
          <w:lang w:val="fr-FR"/>
        </w:rPr>
        <w:t>Le</w:t>
      </w:r>
      <w:r w:rsidR="00002DAC" w:rsidRPr="00181510">
        <w:rPr>
          <w:rFonts w:ascii="Trebuchet MS" w:hAnsi="Trebuchet MS"/>
          <w:lang w:val="fr-FR"/>
        </w:rPr>
        <w:t xml:space="preserve"> PAN néerlandais est souvent </w:t>
      </w:r>
      <w:r>
        <w:rPr>
          <w:rFonts w:ascii="Trebuchet MS" w:hAnsi="Trebuchet MS"/>
          <w:lang w:val="fr-FR"/>
        </w:rPr>
        <w:t>le</w:t>
      </w:r>
      <w:r w:rsidRPr="00181510">
        <w:rPr>
          <w:rFonts w:ascii="Trebuchet MS" w:hAnsi="Trebuchet MS"/>
          <w:lang w:val="fr-FR"/>
        </w:rPr>
        <w:t xml:space="preserve"> modèle </w:t>
      </w:r>
      <w:r w:rsidR="00002DAC" w:rsidRPr="00181510">
        <w:rPr>
          <w:rFonts w:ascii="Trebuchet MS" w:hAnsi="Trebuchet MS"/>
          <w:lang w:val="fr-FR"/>
        </w:rPr>
        <w:t xml:space="preserve">mis en avant en matière de collaboration avec la société civile. </w:t>
      </w:r>
    </w:p>
    <w:p w14:paraId="356797E6" w14:textId="77777777" w:rsidR="00AD11E6" w:rsidRPr="00181510" w:rsidRDefault="00AD11E6">
      <w:pPr>
        <w:rPr>
          <w:rFonts w:ascii="Trebuchet MS" w:hAnsi="Trebuchet MS"/>
          <w:lang w:val="fr-FR"/>
        </w:rPr>
      </w:pPr>
      <w:r w:rsidRPr="00181510">
        <w:rPr>
          <w:rFonts w:ascii="Trebuchet MS" w:hAnsi="Trebuchet MS"/>
          <w:lang w:val="fr-FR"/>
        </w:rPr>
        <w:br w:type="page"/>
      </w:r>
    </w:p>
    <w:p w14:paraId="356797E7" w14:textId="77777777" w:rsidR="00002DAC" w:rsidRPr="00181510" w:rsidRDefault="00002DAC" w:rsidP="00002DAC">
      <w:pPr>
        <w:jc w:val="both"/>
        <w:rPr>
          <w:rFonts w:ascii="Trebuchet MS" w:hAnsi="Trebuchet MS"/>
          <w:lang w:val="fr-FR"/>
        </w:rPr>
      </w:pPr>
      <w:r w:rsidRPr="00181510">
        <w:rPr>
          <w:rFonts w:ascii="Trebuchet MS" w:hAnsi="Trebuchet MS"/>
          <w:lang w:val="fr-FR"/>
        </w:rPr>
        <w:lastRenderedPageBreak/>
        <w:t>L'expérience de l'institut Inclusive Security montre que la majorité des modèles de coopérations peuvent être classés en quatre catégories</w:t>
      </w:r>
      <w:r w:rsidRPr="00181510">
        <w:rPr>
          <w:rStyle w:val="Appelnotedebasdep"/>
          <w:rFonts w:ascii="Trebuchet MS" w:hAnsi="Trebuchet MS"/>
          <w:sz w:val="18"/>
          <w:lang w:val="fr-FR"/>
        </w:rPr>
        <w:footnoteReference w:id="5"/>
      </w:r>
      <w:r w:rsidRPr="00181510">
        <w:rPr>
          <w:rFonts w:ascii="Trebuchet MS" w:hAnsi="Trebuchet MS"/>
          <w:lang w:val="fr-FR"/>
        </w:rPr>
        <w:t xml:space="preserve"> : </w:t>
      </w:r>
    </w:p>
    <w:p w14:paraId="356797E8" w14:textId="77777777" w:rsidR="00002DAC" w:rsidRPr="00181510" w:rsidRDefault="00002DAC" w:rsidP="00002DAC">
      <w:pPr>
        <w:jc w:val="both"/>
        <w:rPr>
          <w:rStyle w:val="Titre3Car"/>
          <w:rFonts w:ascii="Trebuchet MS" w:eastAsia="Calibri" w:hAnsi="Trebuchet MS" w:cs="Times New Roman"/>
          <w:sz w:val="18"/>
          <w:lang w:val="fr-FR"/>
        </w:rPr>
      </w:pPr>
    </w:p>
    <w:p w14:paraId="356797E9" w14:textId="77777777" w:rsidR="00002DAC" w:rsidRPr="00181510" w:rsidRDefault="00002DAC" w:rsidP="00002DAC">
      <w:pPr>
        <w:jc w:val="both"/>
        <w:rPr>
          <w:rFonts w:ascii="Trebuchet MS" w:hAnsi="Trebuchet MS"/>
          <w:lang w:val="fr-FR"/>
        </w:rPr>
      </w:pPr>
      <w:bookmarkStart w:id="66" w:name="_Toc417545163"/>
      <w:r w:rsidRPr="00181510">
        <w:rPr>
          <w:rStyle w:val="Titre3Car"/>
          <w:rFonts w:ascii="Trebuchet MS" w:eastAsia="Calibri" w:hAnsi="Trebuchet MS" w:cs="Times New Roman"/>
          <w:sz w:val="18"/>
          <w:lang w:val="fr-FR"/>
        </w:rPr>
        <w:t>Inclusion formelle</w:t>
      </w:r>
      <w:bookmarkEnd w:id="66"/>
      <w:r w:rsidRPr="00181510">
        <w:rPr>
          <w:rFonts w:ascii="Trebuchet MS" w:hAnsi="Trebuchet MS"/>
          <w:lang w:val="fr-FR"/>
        </w:rPr>
        <w:t xml:space="preserve"> </w:t>
      </w:r>
    </w:p>
    <w:p w14:paraId="356797EA" w14:textId="77777777" w:rsidR="00002DAC" w:rsidRPr="00181510" w:rsidRDefault="00002DAC" w:rsidP="00002DAC">
      <w:pPr>
        <w:jc w:val="both"/>
        <w:rPr>
          <w:rFonts w:ascii="Trebuchet MS" w:hAnsi="Trebuchet MS"/>
          <w:lang w:val="fr-FR"/>
        </w:rPr>
      </w:pPr>
      <w:r w:rsidRPr="00181510">
        <w:rPr>
          <w:rFonts w:ascii="Trebuchet MS" w:hAnsi="Trebuchet MS"/>
          <w:lang w:val="fr-FR"/>
        </w:rPr>
        <w:t>Certains pays ont choisi de mettre en place des commissions de coordination formelles, réunissant gouvernement et société civile. Ces mécanismes formels ne se contentent pas de favoriser la participation de la société civile, mais tendent aussi à répartir les responsabilités et les devoirs entre gouvernement et société civile. Treize des quarante-huit PAN existants appartiennent à cette catégorie, le plan néerlandais et celui de la Bosnie-Herzégovine étant</w:t>
      </w:r>
      <w:r w:rsidR="00ED3DB1">
        <w:rPr>
          <w:rFonts w:ascii="Trebuchet MS" w:hAnsi="Trebuchet MS"/>
          <w:lang w:val="fr-FR"/>
        </w:rPr>
        <w:t xml:space="preserve"> des exemples de premier plan.</w:t>
      </w:r>
    </w:p>
    <w:p w14:paraId="356797EB" w14:textId="77777777" w:rsidR="001D14C2" w:rsidRPr="00181510" w:rsidRDefault="001D14C2" w:rsidP="00002DAC">
      <w:pPr>
        <w:jc w:val="both"/>
        <w:rPr>
          <w:rStyle w:val="Titre3Car"/>
          <w:rFonts w:ascii="Trebuchet MS" w:eastAsia="Calibri" w:hAnsi="Trebuchet MS" w:cs="Times New Roman"/>
          <w:sz w:val="18"/>
          <w:lang w:val="fr-FR"/>
        </w:rPr>
      </w:pPr>
    </w:p>
    <w:p w14:paraId="356797EC" w14:textId="77777777" w:rsidR="00002DAC" w:rsidRPr="00181510" w:rsidRDefault="00002DAC" w:rsidP="00002DAC">
      <w:pPr>
        <w:jc w:val="both"/>
        <w:rPr>
          <w:rFonts w:ascii="Trebuchet MS" w:hAnsi="Trebuchet MS"/>
          <w:lang w:val="fr-FR"/>
        </w:rPr>
      </w:pPr>
      <w:bookmarkStart w:id="67" w:name="_Toc417545164"/>
      <w:r w:rsidRPr="00181510">
        <w:rPr>
          <w:rStyle w:val="Titre3Car"/>
          <w:rFonts w:ascii="Trebuchet MS" w:eastAsia="Calibri" w:hAnsi="Trebuchet MS" w:cs="Times New Roman"/>
          <w:sz w:val="18"/>
          <w:lang w:val="fr-FR"/>
        </w:rPr>
        <w:t>Inclusion informelle</w:t>
      </w:r>
      <w:bookmarkEnd w:id="67"/>
      <w:r w:rsidRPr="00181510">
        <w:rPr>
          <w:rFonts w:ascii="Trebuchet MS" w:hAnsi="Trebuchet MS"/>
          <w:lang w:val="fr-FR"/>
        </w:rPr>
        <w:t xml:space="preserve"> </w:t>
      </w:r>
    </w:p>
    <w:p w14:paraId="356797ED"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De nombreux pays ont choisi de mettre en place des groupes de travail informels réunissant gouvernement et société civile, mais sans leur attribuer de responsabilités formelles. Ces mécanismes informels </w:t>
      </w:r>
      <w:r w:rsidR="003B7F1D" w:rsidRPr="00181510">
        <w:rPr>
          <w:rFonts w:ascii="Trebuchet MS" w:hAnsi="Trebuchet MS"/>
          <w:lang w:val="fr-FR"/>
        </w:rPr>
        <w:t>permettent</w:t>
      </w:r>
      <w:r w:rsidRPr="00181510">
        <w:rPr>
          <w:rFonts w:ascii="Trebuchet MS" w:hAnsi="Trebuchet MS"/>
          <w:lang w:val="fr-FR"/>
        </w:rPr>
        <w:t xml:space="preserve"> à la société civile de participer et d'interagir avec les représentants du gouvernement, mais attribuent au seul gouvernement la responsabilité de la réussite du PAN et l</w:t>
      </w:r>
      <w:r w:rsidR="006A0F0A" w:rsidRPr="00181510">
        <w:rPr>
          <w:rFonts w:ascii="Trebuchet MS" w:hAnsi="Trebuchet MS"/>
          <w:lang w:val="fr-FR"/>
        </w:rPr>
        <w:t>'</w:t>
      </w:r>
      <w:r w:rsidR="00143EDC">
        <w:rPr>
          <w:rFonts w:ascii="Trebuchet MS" w:hAnsi="Trebuchet MS"/>
          <w:lang w:val="fr-FR"/>
        </w:rPr>
        <w:t xml:space="preserve">obligation de rendre des comptes. </w:t>
      </w:r>
      <w:r w:rsidRPr="00181510">
        <w:rPr>
          <w:rFonts w:ascii="Trebuchet MS" w:hAnsi="Trebuchet MS"/>
          <w:lang w:val="fr-FR"/>
        </w:rPr>
        <w:t xml:space="preserve">Sept des quarante-huit PAN existants appartiennent à cette catégorie, y compris celui de la Norvège. </w:t>
      </w:r>
    </w:p>
    <w:p w14:paraId="356797EE" w14:textId="77777777" w:rsidR="00002DAC" w:rsidRPr="00181510" w:rsidRDefault="00002DAC" w:rsidP="00002DAC">
      <w:pPr>
        <w:jc w:val="both"/>
        <w:rPr>
          <w:rStyle w:val="Titre3Car"/>
          <w:rFonts w:ascii="Trebuchet MS" w:eastAsia="Calibri" w:hAnsi="Trebuchet MS" w:cs="Times New Roman"/>
          <w:sz w:val="18"/>
          <w:lang w:val="fr-FR"/>
        </w:rPr>
      </w:pPr>
    </w:p>
    <w:p w14:paraId="356797EF" w14:textId="77777777" w:rsidR="00002DAC" w:rsidRPr="00181510" w:rsidRDefault="00002DAC" w:rsidP="00002DAC">
      <w:pPr>
        <w:jc w:val="both"/>
        <w:rPr>
          <w:rFonts w:ascii="Trebuchet MS" w:hAnsi="Trebuchet MS"/>
          <w:lang w:val="fr-FR"/>
        </w:rPr>
      </w:pPr>
      <w:bookmarkStart w:id="68" w:name="_Toc417545165"/>
      <w:r w:rsidRPr="00181510">
        <w:rPr>
          <w:rStyle w:val="Titre3Car"/>
          <w:rFonts w:ascii="Trebuchet MS" w:eastAsia="Calibri" w:hAnsi="Trebuchet MS" w:cs="Times New Roman"/>
          <w:sz w:val="18"/>
          <w:lang w:val="fr-FR"/>
        </w:rPr>
        <w:t>Interaction informelle</w:t>
      </w:r>
      <w:bookmarkEnd w:id="68"/>
      <w:r w:rsidRPr="00181510">
        <w:rPr>
          <w:rFonts w:ascii="Trebuchet MS" w:hAnsi="Trebuchet MS"/>
          <w:lang w:val="fr-FR"/>
        </w:rPr>
        <w:t xml:space="preserve"> </w:t>
      </w:r>
    </w:p>
    <w:p w14:paraId="356797F0"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Cette catégorie couvre différents types de situations. Certains pays adoptent d'emblée ce type de modèle, tandis que d'autres ont démarré avec un modèle d'inclusion formelle ou informelle qui s'est affaibli avec le temps. Dans de nombreux pays, les groupes de travail conjoints entre gouvernement et société civile se sont progressivement </w:t>
      </w:r>
      <w:r w:rsidR="00143EDC">
        <w:rPr>
          <w:rFonts w:ascii="Trebuchet MS" w:hAnsi="Trebuchet MS"/>
          <w:lang w:val="fr-FR"/>
        </w:rPr>
        <w:t>essoufflés,</w:t>
      </w:r>
      <w:r w:rsidRPr="00181510">
        <w:rPr>
          <w:rFonts w:ascii="Trebuchet MS" w:hAnsi="Trebuchet MS"/>
          <w:lang w:val="fr-FR"/>
        </w:rPr>
        <w:t xml:space="preserve"> ou se réunissent de manière trop peu régulière pour servir de mécanisme de coordination. Des groupes de travail incluant la société civile peuvent aussi fonctionner et se rencontrer régulièrement sans disposer de canal de communication établi et formalisé avec les parties prenantes gouvernementales. Dans ce modèle, le gouvernement est seul responsable du succès du PAN et la société civile joue généralement un rôle plus limité de garde-fou. Dans ces pays, la relation entre gouvernement et société civile est parfois fragile, voire antagoniste. La société civile peut ne pas disposer des ressources nécessaires pour s'organiser de manière efficace et sécurisée et fournir une contribution utile au gouvernement. Dans la plupart des cas, l'environnement politique montre que les représentants du gouvernement n'accordent pas de valeur ou de priorité à la coopération avec la société civile. La culture d'un pays joue un rôle essentiel s'agissant de déterminer jusqu'à quel point les interactions informelles </w:t>
      </w:r>
      <w:r w:rsidR="00143EDC">
        <w:rPr>
          <w:rFonts w:ascii="Trebuchet MS" w:hAnsi="Trebuchet MS"/>
          <w:lang w:val="fr-FR"/>
        </w:rPr>
        <w:t>peuvent avoir</w:t>
      </w:r>
      <w:r w:rsidRPr="00181510">
        <w:rPr>
          <w:rFonts w:ascii="Trebuchet MS" w:hAnsi="Trebuchet MS"/>
          <w:lang w:val="fr-FR"/>
        </w:rPr>
        <w:t xml:space="preserve"> un impact significatif sur la mise en œuvre du plan. Dix-neuf des quarante-huit PAN appartiennent à cette catégorie, y compris ceux des États-Unis, du Libéria, et du Japon</w:t>
      </w:r>
      <w:r w:rsidR="00143EDC">
        <w:rPr>
          <w:rFonts w:ascii="Trebuchet MS" w:hAnsi="Trebuchet MS"/>
          <w:lang w:val="fr-FR"/>
        </w:rPr>
        <w:t xml:space="preserve"> (</w:t>
      </w:r>
      <w:r w:rsidRPr="00181510">
        <w:rPr>
          <w:rFonts w:ascii="Trebuchet MS" w:hAnsi="Trebuchet MS"/>
          <w:lang w:val="fr-FR"/>
        </w:rPr>
        <w:t>sur le point d'être finalisé</w:t>
      </w:r>
      <w:r w:rsidR="00143EDC">
        <w:rPr>
          <w:rFonts w:ascii="Trebuchet MS" w:hAnsi="Trebuchet MS"/>
          <w:lang w:val="fr-FR"/>
        </w:rPr>
        <w:t>)</w:t>
      </w:r>
      <w:r w:rsidRPr="00181510">
        <w:rPr>
          <w:rFonts w:ascii="Trebuchet MS" w:hAnsi="Trebuchet MS"/>
          <w:lang w:val="fr-FR"/>
        </w:rPr>
        <w:t>.</w:t>
      </w:r>
    </w:p>
    <w:p w14:paraId="356797F1" w14:textId="77777777" w:rsidR="00002DAC" w:rsidRPr="00181510" w:rsidRDefault="00002DAC" w:rsidP="00002DAC">
      <w:pPr>
        <w:jc w:val="both"/>
        <w:rPr>
          <w:rStyle w:val="Titre3Car"/>
          <w:rFonts w:ascii="Trebuchet MS" w:eastAsia="Calibri" w:hAnsi="Trebuchet MS" w:cs="Times New Roman"/>
          <w:sz w:val="18"/>
          <w:lang w:val="fr-FR"/>
        </w:rPr>
      </w:pPr>
    </w:p>
    <w:p w14:paraId="356797F2" w14:textId="77777777" w:rsidR="00002DAC" w:rsidRPr="00181510" w:rsidRDefault="00002DAC" w:rsidP="00002DAC">
      <w:pPr>
        <w:jc w:val="both"/>
        <w:rPr>
          <w:rFonts w:ascii="Trebuchet MS" w:hAnsi="Trebuchet MS"/>
          <w:lang w:val="fr-FR"/>
        </w:rPr>
      </w:pPr>
      <w:bookmarkStart w:id="69" w:name="_Toc417545166"/>
      <w:r w:rsidRPr="00181510">
        <w:rPr>
          <w:rStyle w:val="Titre3Car"/>
          <w:rFonts w:ascii="Trebuchet MS" w:eastAsia="Calibri" w:hAnsi="Trebuchet MS" w:cs="Times New Roman"/>
          <w:sz w:val="18"/>
          <w:lang w:val="fr-FR"/>
        </w:rPr>
        <w:t>Limité à une absence d'interaction ou d'inclusion</w:t>
      </w:r>
      <w:bookmarkEnd w:id="69"/>
      <w:r w:rsidRPr="00181510">
        <w:rPr>
          <w:rFonts w:ascii="Trebuchet MS" w:hAnsi="Trebuchet MS"/>
          <w:lang w:val="fr-FR"/>
        </w:rPr>
        <w:t xml:space="preserve"> </w:t>
      </w:r>
    </w:p>
    <w:p w14:paraId="356797F3"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Sur les quarante-neuf PAN existants, dix ne mentionnent aucun mécanisme d'implication de la société civile, ou ne mentionnent tout simplement pas </w:t>
      </w:r>
      <w:r w:rsidR="00143EDC">
        <w:rPr>
          <w:rFonts w:ascii="Trebuchet MS" w:hAnsi="Trebuchet MS"/>
          <w:lang w:val="fr-FR"/>
        </w:rPr>
        <w:t>cette dernière. Dans ce</w:t>
      </w:r>
      <w:r w:rsidRPr="00181510">
        <w:rPr>
          <w:rFonts w:ascii="Trebuchet MS" w:hAnsi="Trebuchet MS"/>
          <w:lang w:val="fr-FR"/>
        </w:rPr>
        <w:t xml:space="preserve"> cas, la relation </w:t>
      </w:r>
      <w:r w:rsidRPr="00181510">
        <w:rPr>
          <w:rFonts w:ascii="Trebuchet MS" w:hAnsi="Trebuchet MS"/>
          <w:lang w:val="fr-FR"/>
        </w:rPr>
        <w:lastRenderedPageBreak/>
        <w:t>entre gouvernement et société civile est soit trop conflictuelle pour être productive, soit inexistante. Dans les situations où le gouvernement du pays n'a pas adopté de PAN, la société civile peut s'organiser de manière indépendante pour créer sa propre stratégie (comme c'est le cas en Israël) ou peut méconnaître ou refuser de soutenir les stratégies gouvernementales développées sans sa participation. Les plans suisses et islandais sont deux exemples de PAN ne mentionnant pas le rôle de la société civile ou ne la mentionnant pas du tout.</w:t>
      </w:r>
    </w:p>
    <w:p w14:paraId="356797F4" w14:textId="77777777" w:rsidR="00002DAC" w:rsidRPr="00181510" w:rsidRDefault="00002DAC" w:rsidP="00002DAC">
      <w:pPr>
        <w:jc w:val="both"/>
        <w:rPr>
          <w:rFonts w:ascii="Trebuchet MS" w:hAnsi="Trebuchet MS"/>
          <w:lang w:val="fr-FR"/>
        </w:rPr>
      </w:pPr>
    </w:p>
    <w:p w14:paraId="356797F5" w14:textId="77777777" w:rsidR="00002DAC" w:rsidRPr="00181510" w:rsidRDefault="000D6487" w:rsidP="00002DAC">
      <w:pPr>
        <w:jc w:val="both"/>
        <w:rPr>
          <w:rFonts w:ascii="Trebuchet MS" w:hAnsi="Trebuchet MS"/>
          <w:lang w:val="fr-FR"/>
        </w:rPr>
      </w:pPr>
      <w:r>
        <w:rPr>
          <w:rFonts w:ascii="Trebuchet MS" w:hAnsi="Trebuchet MS"/>
          <w:lang w:val="fr-FR"/>
        </w:rPr>
        <w:t>L</w:t>
      </w:r>
      <w:r w:rsidRPr="00181510">
        <w:rPr>
          <w:rFonts w:ascii="Trebuchet MS" w:hAnsi="Trebuchet MS"/>
          <w:lang w:val="fr-FR"/>
        </w:rPr>
        <w:t>'</w:t>
      </w:r>
      <w:r>
        <w:rPr>
          <w:rFonts w:ascii="Trebuchet MS" w:hAnsi="Trebuchet MS"/>
          <w:lang w:val="fr-FR"/>
        </w:rPr>
        <w:t>efficacité d</w:t>
      </w:r>
      <w:r w:rsidRPr="00181510">
        <w:rPr>
          <w:rFonts w:ascii="Trebuchet MS" w:hAnsi="Trebuchet MS"/>
          <w:lang w:val="fr-FR"/>
        </w:rPr>
        <w:t>'</w:t>
      </w:r>
      <w:r>
        <w:rPr>
          <w:rFonts w:ascii="Trebuchet MS" w:hAnsi="Trebuchet MS"/>
          <w:lang w:val="fr-FR"/>
        </w:rPr>
        <w:t>un</w:t>
      </w:r>
      <w:r w:rsidR="00002DAC" w:rsidRPr="00181510">
        <w:rPr>
          <w:rFonts w:ascii="Trebuchet MS" w:hAnsi="Trebuchet MS"/>
          <w:lang w:val="fr-FR"/>
        </w:rPr>
        <w:t xml:space="preserve"> modèle de coopération </w:t>
      </w:r>
      <w:r>
        <w:rPr>
          <w:rFonts w:ascii="Trebuchet MS" w:hAnsi="Trebuchet MS"/>
          <w:lang w:val="fr-FR"/>
        </w:rPr>
        <w:t>donné</w:t>
      </w:r>
      <w:r w:rsidR="00002DAC" w:rsidRPr="00181510">
        <w:rPr>
          <w:rFonts w:ascii="Trebuchet MS" w:hAnsi="Trebuchet MS"/>
          <w:lang w:val="fr-FR"/>
        </w:rPr>
        <w:t xml:space="preserve"> dépend de chaque environnement et de chaque culture. Si un gouvernement n'a pas confiance en la société civile (et vice-versa), un modèle d'inclusion formelle peut ne pas être approprié et il peut même entraver l'application du plan. Dans certains cas, la société civile préfère insister sur son rôle de garde-fou plutôt que de collaborat</w:t>
      </w:r>
      <w:r>
        <w:rPr>
          <w:rFonts w:ascii="Trebuchet MS" w:hAnsi="Trebuchet MS"/>
          <w:lang w:val="fr-FR"/>
        </w:rPr>
        <w:t>ion</w:t>
      </w:r>
      <w:r w:rsidR="00002DAC" w:rsidRPr="00181510">
        <w:rPr>
          <w:rFonts w:ascii="Trebuchet MS" w:hAnsi="Trebuchet MS"/>
          <w:lang w:val="fr-FR"/>
        </w:rPr>
        <w:t xml:space="preserve"> (bien que la plupart des organisations de la société civile choisissent d'endosser les deux rôles). Peu de pays ont atteint le degré de collaboration formelle observé aux Pays-Bas et en Bosnie-Herzégovine, et ce modèle peut ne pas être pertinent pour tous les architectes de PAN. </w:t>
      </w:r>
    </w:p>
    <w:p w14:paraId="356797F6" w14:textId="77777777" w:rsidR="00002DAC" w:rsidRPr="00181510" w:rsidRDefault="00002DAC" w:rsidP="00002DAC">
      <w:pPr>
        <w:jc w:val="both"/>
        <w:rPr>
          <w:rFonts w:ascii="Trebuchet MS" w:hAnsi="Trebuchet MS"/>
          <w:lang w:val="fr-FR"/>
        </w:rPr>
      </w:pPr>
    </w:p>
    <w:p w14:paraId="356797F7" w14:textId="77777777" w:rsidR="00002DAC" w:rsidRPr="00181510" w:rsidRDefault="00002DAC" w:rsidP="00002DAC">
      <w:pPr>
        <w:jc w:val="both"/>
        <w:rPr>
          <w:rFonts w:ascii="Trebuchet MS" w:hAnsi="Trebuchet MS"/>
          <w:lang w:val="fr-FR"/>
        </w:rPr>
      </w:pPr>
      <w:r w:rsidRPr="00181510">
        <w:rPr>
          <w:rFonts w:ascii="Trebuchet MS" w:hAnsi="Trebuchet MS"/>
          <w:b/>
          <w:lang w:val="fr-FR"/>
        </w:rPr>
        <w:t>Les parties prenantes de la société civile n'ont pas besoin d'être signataires du PAN pour que celui-ci soit inclusif</w:t>
      </w:r>
      <w:r w:rsidRPr="00181510">
        <w:rPr>
          <w:rFonts w:ascii="Trebuchet MS" w:hAnsi="Trebuchet MS"/>
          <w:lang w:val="fr-FR"/>
        </w:rPr>
        <w:t xml:space="preserve">. Il est plus important que les parties prenantes, </w:t>
      </w:r>
      <w:r w:rsidR="000D6487">
        <w:rPr>
          <w:rFonts w:ascii="Trebuchet MS" w:hAnsi="Trebuchet MS"/>
          <w:lang w:val="fr-FR"/>
        </w:rPr>
        <w:t>autant</w:t>
      </w:r>
      <w:r w:rsidRPr="00181510">
        <w:rPr>
          <w:rFonts w:ascii="Trebuchet MS" w:hAnsi="Trebuchet MS"/>
          <w:lang w:val="fr-FR"/>
        </w:rPr>
        <w:t xml:space="preserve"> du gouvernement </w:t>
      </w:r>
      <w:r w:rsidR="000D6487">
        <w:rPr>
          <w:rFonts w:ascii="Trebuchet MS" w:hAnsi="Trebuchet MS"/>
          <w:lang w:val="fr-FR"/>
        </w:rPr>
        <w:t>que</w:t>
      </w:r>
      <w:r w:rsidRPr="00181510">
        <w:rPr>
          <w:rFonts w:ascii="Trebuchet MS" w:hAnsi="Trebuchet MS"/>
          <w:lang w:val="fr-FR"/>
        </w:rPr>
        <w:t xml:space="preserve"> de la société civile, s'investissent dans un dialogue régulier et significatif. Une boucle de feedback authentique permettant aux parties prenantes d</w:t>
      </w:r>
      <w:r w:rsidR="000D6487">
        <w:rPr>
          <w:rFonts w:ascii="Trebuchet MS" w:hAnsi="Trebuchet MS"/>
          <w:lang w:val="fr-FR"/>
        </w:rPr>
        <w:t>e se mettre</w:t>
      </w:r>
      <w:r w:rsidRPr="00181510">
        <w:rPr>
          <w:rFonts w:ascii="Trebuchet MS" w:hAnsi="Trebuchet MS"/>
          <w:lang w:val="fr-FR"/>
        </w:rPr>
        <w:t xml:space="preserve"> "d'accord pour ne pas être d'</w:t>
      </w:r>
      <w:r w:rsidR="003B7F1D" w:rsidRPr="00181510">
        <w:rPr>
          <w:rFonts w:ascii="Trebuchet MS" w:hAnsi="Trebuchet MS"/>
          <w:lang w:val="fr-FR"/>
        </w:rPr>
        <w:t>accord</w:t>
      </w:r>
      <w:r w:rsidR="000D6487" w:rsidRPr="00181510">
        <w:rPr>
          <w:rFonts w:ascii="Trebuchet MS" w:hAnsi="Trebuchet MS"/>
          <w:lang w:val="fr-FR"/>
        </w:rPr>
        <w:t>"</w:t>
      </w:r>
      <w:r w:rsidR="003B7F1D" w:rsidRPr="00181510">
        <w:rPr>
          <w:rFonts w:ascii="Trebuchet MS" w:hAnsi="Trebuchet MS"/>
          <w:lang w:val="fr-FR"/>
        </w:rPr>
        <w:t xml:space="preserve"> peut</w:t>
      </w:r>
      <w:r w:rsidRPr="00181510">
        <w:rPr>
          <w:rFonts w:ascii="Trebuchet MS" w:hAnsi="Trebuchet MS"/>
          <w:lang w:val="fr-FR"/>
        </w:rPr>
        <w:t xml:space="preserve"> représenter une interaction plus significative qu'un mécanisme formel s'essoufflant avec le temps. Indépendamment de la structure sélectionnée par les concepteurs du plan, il est crucial de permettre au gouvernement et à la société civile d'établir un dialogue régulier pour entretenir leur engagement à appliquer, mesurer, évaluer e</w:t>
      </w:r>
      <w:r w:rsidR="00ED3DB1">
        <w:rPr>
          <w:rFonts w:ascii="Trebuchet MS" w:hAnsi="Trebuchet MS"/>
          <w:lang w:val="fr-FR"/>
        </w:rPr>
        <w:t>t communiquer leurs résultats.</w:t>
      </w:r>
    </w:p>
    <w:p w14:paraId="356797F8" w14:textId="77777777" w:rsidR="00002DAC" w:rsidRPr="00181510" w:rsidRDefault="00002DAC" w:rsidP="00002DAC">
      <w:pPr>
        <w:pStyle w:val="Titre2"/>
        <w:rPr>
          <w:lang w:val="fr-FR"/>
        </w:rPr>
      </w:pPr>
      <w:bookmarkStart w:id="70" w:name="_Toc417545167"/>
      <w:r w:rsidRPr="00181510">
        <w:rPr>
          <w:lang w:val="fr-FR"/>
        </w:rPr>
        <w:t>Conclusion</w:t>
      </w:r>
      <w:bookmarkEnd w:id="70"/>
    </w:p>
    <w:p w14:paraId="356797F9" w14:textId="77777777" w:rsidR="00002DAC" w:rsidRPr="00181510" w:rsidRDefault="00002DAC" w:rsidP="00002DAC">
      <w:pPr>
        <w:jc w:val="both"/>
        <w:rPr>
          <w:rFonts w:ascii="Trebuchet MS" w:hAnsi="Trebuchet MS"/>
          <w:lang w:val="fr-FR"/>
        </w:rPr>
      </w:pPr>
      <w:r w:rsidRPr="00181510">
        <w:rPr>
          <w:rFonts w:ascii="Trebuchet MS" w:hAnsi="Trebuchet MS"/>
          <w:lang w:val="fr-FR"/>
        </w:rPr>
        <w:t>Pour qu'un Plan d'action national soit un instrument de politique extérieure efficace, il doit être aligné sur les priorités nationales existantes d'un pays et les prolonger. Lorsqu'un PAN est compris en tant qu'élément clé pour la réalisation d'objectifs politiques nationaux plus larges, deux des composant</w:t>
      </w:r>
      <w:r w:rsidR="000D6487">
        <w:rPr>
          <w:rFonts w:ascii="Trebuchet MS" w:hAnsi="Trebuchet MS"/>
          <w:lang w:val="fr-FR"/>
        </w:rPr>
        <w:t>e</w:t>
      </w:r>
      <w:r w:rsidRPr="00181510">
        <w:rPr>
          <w:rFonts w:ascii="Trebuchet MS" w:hAnsi="Trebuchet MS"/>
          <w:lang w:val="fr-FR"/>
        </w:rPr>
        <w:t>s critiques à son application effective sont assuré</w:t>
      </w:r>
      <w:r w:rsidR="000D6487">
        <w:rPr>
          <w:rFonts w:ascii="Trebuchet MS" w:hAnsi="Trebuchet MS"/>
          <w:lang w:val="fr-FR"/>
        </w:rPr>
        <w:t>e</w:t>
      </w:r>
      <w:r w:rsidRPr="00181510">
        <w:rPr>
          <w:rFonts w:ascii="Trebuchet MS" w:hAnsi="Trebuchet MS"/>
          <w:lang w:val="fr-FR"/>
        </w:rPr>
        <w:t xml:space="preserve">s : la volonté politique et les ressources. </w:t>
      </w:r>
      <w:bookmarkStart w:id="71" w:name="_GoBack"/>
      <w:bookmarkEnd w:id="71"/>
    </w:p>
    <w:p w14:paraId="356797FA" w14:textId="77777777" w:rsidR="00002DAC" w:rsidRPr="00181510" w:rsidRDefault="00002DAC" w:rsidP="00002DAC">
      <w:pPr>
        <w:jc w:val="both"/>
        <w:rPr>
          <w:rFonts w:ascii="Trebuchet MS" w:hAnsi="Trebuchet MS"/>
          <w:lang w:val="fr-FR"/>
        </w:rPr>
      </w:pPr>
    </w:p>
    <w:p w14:paraId="356797FB" w14:textId="77777777" w:rsidR="00002DAC" w:rsidRPr="00181510" w:rsidRDefault="00002DAC" w:rsidP="00002DAC">
      <w:pPr>
        <w:jc w:val="both"/>
        <w:rPr>
          <w:rFonts w:ascii="Trebuchet MS" w:hAnsi="Trebuchet MS"/>
          <w:lang w:val="fr-FR"/>
        </w:rPr>
      </w:pPr>
      <w:r w:rsidRPr="00181510">
        <w:rPr>
          <w:rFonts w:ascii="Trebuchet MS" w:hAnsi="Trebuchet MS"/>
          <w:lang w:val="fr-FR"/>
        </w:rPr>
        <w:t xml:space="preserve">Pour concevoir des plans à fort impact, la coopération entre parties prenantes est un </w:t>
      </w:r>
      <w:r w:rsidR="000D6487">
        <w:rPr>
          <w:rFonts w:ascii="Trebuchet MS" w:hAnsi="Trebuchet MS"/>
          <w:lang w:val="fr-FR"/>
        </w:rPr>
        <w:t>enjeu</w:t>
      </w:r>
      <w:r w:rsidRPr="00181510">
        <w:rPr>
          <w:rFonts w:ascii="Trebuchet MS" w:hAnsi="Trebuchet MS"/>
          <w:lang w:val="fr-FR"/>
        </w:rPr>
        <w:t xml:space="preserve"> essentiel. L'implication de la société civile est souvent </w:t>
      </w:r>
      <w:r w:rsidR="003B7F1D" w:rsidRPr="00181510">
        <w:rPr>
          <w:rFonts w:ascii="Trebuchet MS" w:hAnsi="Trebuchet MS"/>
          <w:lang w:val="fr-FR"/>
        </w:rPr>
        <w:t>déterminante</w:t>
      </w:r>
      <w:r w:rsidRPr="00181510">
        <w:rPr>
          <w:rFonts w:ascii="Trebuchet MS" w:hAnsi="Trebuchet MS"/>
          <w:lang w:val="fr-FR"/>
        </w:rPr>
        <w:t xml:space="preserve"> pour la portée globale d'un PAN, et l'exemple de collaboration entre société civile et gouvernement du PAN néerlandais est reconnu dans le monde entier. </w:t>
      </w:r>
    </w:p>
    <w:p w14:paraId="356797FC" w14:textId="77777777" w:rsidR="00002DAC" w:rsidRPr="00181510" w:rsidRDefault="00002DAC" w:rsidP="00002DAC">
      <w:pPr>
        <w:jc w:val="both"/>
        <w:rPr>
          <w:rFonts w:ascii="Trebuchet MS" w:hAnsi="Trebuchet MS"/>
          <w:lang w:val="fr-FR"/>
        </w:rPr>
      </w:pPr>
    </w:p>
    <w:p w14:paraId="356797FD" w14:textId="77777777" w:rsidR="00002DAC" w:rsidRPr="00181510" w:rsidRDefault="00002DAC" w:rsidP="00002DAC">
      <w:pPr>
        <w:jc w:val="both"/>
        <w:rPr>
          <w:rFonts w:ascii="Trebuchet MS" w:hAnsi="Trebuchet MS"/>
          <w:lang w:val="fr-FR"/>
        </w:rPr>
      </w:pPr>
      <w:r w:rsidRPr="00181510">
        <w:rPr>
          <w:rFonts w:ascii="Trebuchet MS" w:hAnsi="Trebuchet MS"/>
          <w:lang w:val="fr-FR"/>
        </w:rPr>
        <w:t>Les plans fonctionnant en complément et en soutien à la politique extérieure ne doivent pas nécessairement s'appuyer sur les quatre piliers de la résolution 1325 pour être efficaces. Cet article propose une approche alternative</w:t>
      </w:r>
      <w:r w:rsidR="000D6487">
        <w:rPr>
          <w:rFonts w:ascii="Trebuchet MS" w:hAnsi="Trebuchet MS"/>
          <w:lang w:val="fr-FR"/>
        </w:rPr>
        <w:t xml:space="preserve"> en trois points</w:t>
      </w:r>
      <w:r w:rsidRPr="00181510">
        <w:rPr>
          <w:rFonts w:ascii="Trebuchet MS" w:hAnsi="Trebuchet MS"/>
          <w:lang w:val="fr-FR"/>
        </w:rPr>
        <w:t> :</w:t>
      </w:r>
      <w:r w:rsidR="000D6487">
        <w:rPr>
          <w:rFonts w:ascii="Trebuchet MS" w:hAnsi="Trebuchet MS"/>
          <w:lang w:val="fr-FR"/>
        </w:rPr>
        <w:t xml:space="preserve"> </w:t>
      </w:r>
      <w:r w:rsidRPr="00181510">
        <w:rPr>
          <w:rFonts w:ascii="Trebuchet MS" w:hAnsi="Trebuchet MS"/>
          <w:lang w:val="fr-FR"/>
        </w:rPr>
        <w:t xml:space="preserve">atteindre une participation significative des femmes à la paix et la sécurité, affirmer la contribution des femmes à la paix et la sécurité et accéder à la sécurité humaine des femmes. L'expérience de l'institut Inclusive Security avec ses partenaires dans des environnements politiques variés montre que </w:t>
      </w:r>
      <w:r w:rsidRPr="00181510">
        <w:rPr>
          <w:rFonts w:ascii="Trebuchet MS" w:hAnsi="Trebuchet MS"/>
          <w:lang w:val="fr-FR"/>
        </w:rPr>
        <w:lastRenderedPageBreak/>
        <w:t xml:space="preserve">ces objectifs globaux offrent un cadre de travail </w:t>
      </w:r>
      <w:r w:rsidR="000D6487">
        <w:rPr>
          <w:rFonts w:ascii="Trebuchet MS" w:hAnsi="Trebuchet MS"/>
          <w:lang w:val="fr-FR"/>
        </w:rPr>
        <w:t>et d</w:t>
      </w:r>
      <w:r w:rsidR="006A0F0A" w:rsidRPr="00181510">
        <w:rPr>
          <w:rFonts w:ascii="Trebuchet MS" w:hAnsi="Trebuchet MS"/>
          <w:lang w:val="fr-FR"/>
        </w:rPr>
        <w:t>'</w:t>
      </w:r>
      <w:r w:rsidR="000D6487">
        <w:rPr>
          <w:rFonts w:ascii="Trebuchet MS" w:hAnsi="Trebuchet MS"/>
          <w:lang w:val="fr-FR"/>
        </w:rPr>
        <w:t>activité</w:t>
      </w:r>
      <w:r w:rsidRPr="00181510">
        <w:rPr>
          <w:rFonts w:ascii="Trebuchet MS" w:hAnsi="Trebuchet MS"/>
          <w:lang w:val="fr-FR"/>
        </w:rPr>
        <w:t xml:space="preserve"> plus facile à adapter aux objectifs spécif</w:t>
      </w:r>
      <w:r w:rsidR="00ED3DB1">
        <w:rPr>
          <w:rFonts w:ascii="Trebuchet MS" w:hAnsi="Trebuchet MS"/>
          <w:lang w:val="fr-FR"/>
        </w:rPr>
        <w:t xml:space="preserve">iques de chaque pays. </w:t>
      </w:r>
    </w:p>
    <w:p w14:paraId="35679801" w14:textId="08C22E02" w:rsidR="00E63AA3" w:rsidRPr="00181510" w:rsidRDefault="00AD11E6" w:rsidP="00E63AA3">
      <w:pPr>
        <w:rPr>
          <w:lang w:val="fr-FR"/>
        </w:rPr>
        <w:sectPr w:rsidR="00E63AA3" w:rsidRPr="00181510" w:rsidSect="005A06ED">
          <w:headerReference w:type="default" r:id="rId11"/>
          <w:headerReference w:type="first" r:id="rId12"/>
          <w:endnotePr>
            <w:numFmt w:val="decimal"/>
          </w:endnotePr>
          <w:pgSz w:w="11906" w:h="16838" w:code="9"/>
          <w:pgMar w:top="2155" w:right="1701" w:bottom="1531" w:left="2552" w:header="567" w:footer="709" w:gutter="0"/>
          <w:cols w:space="708"/>
          <w:titlePg/>
          <w:docGrid w:linePitch="360"/>
        </w:sectPr>
      </w:pPr>
      <w:r w:rsidRPr="00181510">
        <w:rPr>
          <w:lang w:val="fr-FR"/>
        </w:rPr>
        <w:br w:type="page"/>
      </w:r>
    </w:p>
    <w:p w14:paraId="35679802" w14:textId="4AB61B9F" w:rsidR="003E3F3B" w:rsidRPr="00181510" w:rsidRDefault="003E3F3B" w:rsidP="00060E84">
      <w:pPr>
        <w:rPr>
          <w:lang w:val="fr-FR"/>
        </w:rPr>
      </w:pPr>
    </w:p>
    <w:sectPr w:rsidR="003E3F3B" w:rsidRPr="00181510" w:rsidSect="00E63AA3">
      <w:endnotePr>
        <w:numFmt w:val="decimal"/>
      </w:endnotePr>
      <w:pgSz w:w="11906" w:h="16838" w:code="9"/>
      <w:pgMar w:top="2155" w:right="1701" w:bottom="1531" w:left="2552" w:header="567"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980B" w14:textId="77777777" w:rsidR="00AD2E0D" w:rsidRDefault="00AD2E0D" w:rsidP="005B1AE8">
      <w:pPr>
        <w:spacing w:line="240" w:lineRule="auto"/>
      </w:pPr>
    </w:p>
  </w:endnote>
  <w:endnote w:type="continuationSeparator" w:id="0">
    <w:p w14:paraId="3567980C" w14:textId="77777777" w:rsidR="00AD2E0D" w:rsidRDefault="00AD2E0D" w:rsidP="005B1AE8">
      <w:pPr>
        <w:spacing w:line="240" w:lineRule="auto"/>
      </w:pPr>
    </w:p>
  </w:endnote>
  <w:endnote w:type="continuationNotice" w:id="1">
    <w:p w14:paraId="3567980D" w14:textId="77777777" w:rsidR="00AD2E0D" w:rsidRDefault="00AD2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B W4 SemiLight">
    <w:altName w:val="Segoe UI"/>
    <w:panose1 w:val="00000000000000000000"/>
    <w:charset w:val="00"/>
    <w:family w:val="swiss"/>
    <w:notTrueType/>
    <w:pitch w:val="variable"/>
    <w:sig w:usb0="00000001" w:usb1="5000200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erifOffice">
    <w:altName w:val="Courier New"/>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5 Plain">
    <w:altName w:val="Arial"/>
    <w:panose1 w:val="00000000000000000000"/>
    <w:charset w:val="00"/>
    <w:family w:val="swiss"/>
    <w:notTrueType/>
    <w:pitch w:val="variable"/>
    <w:sig w:usb0="00000001" w:usb1="5000200A" w:usb2="00000000" w:usb3="00000000" w:csb0="00000093" w:csb1="00000000"/>
  </w:font>
  <w:font w:name="TheSansB W8 ExtraBold">
    <w:altName w:val="Arial"/>
    <w:panose1 w:val="00000000000000000000"/>
    <w:charset w:val="00"/>
    <w:family w:val="swiss"/>
    <w:notTrueType/>
    <w:pitch w:val="variable"/>
    <w:sig w:usb0="00000001"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Regular">
    <w:altName w:val="Cambria"/>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HelveticaLTMM_1_1000">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HelveticaLTMM_1_6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Olive-BoldCond">
    <w:panose1 w:val="00000000000000000000"/>
    <w:charset w:val="00"/>
    <w:family w:val="swiss"/>
    <w:notTrueType/>
    <w:pitch w:val="default"/>
    <w:sig w:usb0="00000003" w:usb1="00000000" w:usb2="00000000" w:usb3="00000000" w:csb0="00000001" w:csb1="00000000"/>
  </w:font>
  <w:font w:name="AmericanTypewriter-Con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9809" w14:textId="77777777" w:rsidR="00AD2E0D" w:rsidRDefault="00AD2E0D" w:rsidP="005B1AE8">
      <w:pPr>
        <w:spacing w:line="240" w:lineRule="auto"/>
      </w:pPr>
      <w:r>
        <w:separator/>
      </w:r>
    </w:p>
  </w:footnote>
  <w:footnote w:type="continuationSeparator" w:id="0">
    <w:p w14:paraId="3567980A" w14:textId="77777777" w:rsidR="00AD2E0D" w:rsidRDefault="00AD2E0D" w:rsidP="005B1AE8">
      <w:pPr>
        <w:spacing w:line="240" w:lineRule="auto"/>
      </w:pPr>
      <w:r>
        <w:continuationSeparator/>
      </w:r>
    </w:p>
  </w:footnote>
  <w:footnote w:id="1">
    <w:p w14:paraId="35679828" w14:textId="77777777" w:rsidR="00DA3CDA" w:rsidRPr="00A64B65" w:rsidRDefault="00DA3CDA" w:rsidP="00A64B65">
      <w:pPr>
        <w:pStyle w:val="Notedebasdepage"/>
        <w:rPr>
          <w:lang w:val="fr-FR"/>
        </w:rPr>
      </w:pPr>
      <w:r w:rsidRPr="00A64B65">
        <w:rPr>
          <w:rStyle w:val="Appelnotedebasdep"/>
          <w:lang w:val="fr-FR"/>
        </w:rPr>
        <w:footnoteRef/>
      </w:r>
      <w:r w:rsidRPr="00A64B65">
        <w:rPr>
          <w:lang w:val="fr-FR"/>
        </w:rPr>
        <w:t xml:space="preserve"> Gouvernement des Pays-Bas. “The Dutch Do’s on Women, Peace and Security –</w:t>
      </w:r>
      <w:r>
        <w:rPr>
          <w:lang w:val="fr-FR"/>
        </w:rPr>
        <w:t xml:space="preserve"> </w:t>
      </w:r>
      <w:r w:rsidRPr="00A64B65">
        <w:rPr>
          <w:lang w:val="fr-FR"/>
        </w:rPr>
        <w:t>Diplomacy, Defence and Development in Partnership” (Recommandations néerlandaises sur les femmes, la paix et la sécurité - Diplomatie, défense et dévelop</w:t>
      </w:r>
      <w:r w:rsidR="00ED3DB1">
        <w:rPr>
          <w:lang w:val="fr-FR"/>
        </w:rPr>
        <w:t>pement en partenariat) (2010).</w:t>
      </w:r>
    </w:p>
  </w:footnote>
  <w:footnote w:id="2">
    <w:p w14:paraId="35679829" w14:textId="77777777" w:rsidR="00DA3CDA" w:rsidRPr="00A64B65" w:rsidRDefault="00DA3CDA" w:rsidP="00A64B65">
      <w:pPr>
        <w:pStyle w:val="Notedebasdepage"/>
        <w:rPr>
          <w:lang w:val="fr-FR"/>
        </w:rPr>
      </w:pPr>
      <w:r w:rsidRPr="00A64B65">
        <w:rPr>
          <w:rStyle w:val="Appelnotedebasdep"/>
          <w:lang w:val="fr-FR"/>
        </w:rPr>
        <w:footnoteRef/>
      </w:r>
      <w:r w:rsidRPr="00A64B65">
        <w:rPr>
          <w:lang w:val="fr-FR"/>
        </w:rPr>
        <w:t xml:space="preserve"> Gouvernement de la Sierra Leone. </w:t>
      </w:r>
      <w:r w:rsidRPr="005A06ED">
        <w:t xml:space="preserve">“The Sierra Leone National Action Plan for the Full Implementation of United Nations Security Council Resolutions 1325 (2000) &amp; 1820 (2008).” </w:t>
      </w:r>
      <w:r w:rsidRPr="00A64B65">
        <w:rPr>
          <w:lang w:val="fr-FR"/>
        </w:rPr>
        <w:t xml:space="preserve">(Plan d'action national de la Sierra Leone pour l'application intégrale des résolutions 1325 (2000) et 1820 (2008) du Conseil de sécurité des Nations Unies) consulté le 12 janvier 2015. </w:t>
      </w:r>
      <w:hyperlink r:id="rId1" w:history="1">
        <w:r w:rsidRPr="00A64B65">
          <w:rPr>
            <w:rStyle w:val="Lienhypertexte"/>
            <w:lang w:val="fr-FR"/>
          </w:rPr>
          <w:t>http://www.peacewomen.org/assets/file/NationalActionPlans/sierra_leone_nap.pdf</w:t>
        </w:r>
      </w:hyperlink>
      <w:r w:rsidRPr="00A64B65">
        <w:rPr>
          <w:lang w:val="fr-FR"/>
        </w:rPr>
        <w:t>.</w:t>
      </w:r>
    </w:p>
  </w:footnote>
  <w:footnote w:id="3">
    <w:p w14:paraId="3567982A" w14:textId="77777777" w:rsidR="00DA3CDA" w:rsidRPr="005A06ED" w:rsidRDefault="00DA3CDA" w:rsidP="00A64B65">
      <w:pPr>
        <w:pStyle w:val="Notedebasdepage"/>
        <w:rPr>
          <w:lang w:val="fr-FR"/>
        </w:rPr>
      </w:pPr>
      <w:r w:rsidRPr="00A64B65">
        <w:rPr>
          <w:rStyle w:val="Appelnotedebasdep"/>
          <w:lang w:val="fr-FR"/>
        </w:rPr>
        <w:footnoteRef/>
      </w:r>
      <w:r w:rsidRPr="00A64B65">
        <w:rPr>
          <w:lang w:val="fr-FR"/>
        </w:rPr>
        <w:t xml:space="preserve"> Gouvernement de l'Irlande. “Ireland’s National Action Plan for Implementation of UNSCR 1325, 2011 – 2014.” (Plan d'action national irlandais pour l'application de la RCSNU 1325, 2011 - 2014) </w:t>
      </w:r>
      <w:hyperlink r:id="rId2" w:history="1">
        <w:r w:rsidRPr="00A64B65">
          <w:rPr>
            <w:rStyle w:val="Lienhypertexte"/>
            <w:lang w:val="fr-FR"/>
          </w:rPr>
          <w:t>http://www.peacewomen.org/assets/file/NationalActionPlans/ire_nap_nov2011.pdf</w:t>
        </w:r>
      </w:hyperlink>
      <w:r w:rsidRPr="00A64B65">
        <w:rPr>
          <w:lang w:val="fr-FR"/>
        </w:rPr>
        <w:t>.</w:t>
      </w:r>
    </w:p>
  </w:footnote>
  <w:footnote w:id="4">
    <w:p w14:paraId="3567982B" w14:textId="77777777" w:rsidR="00DA3CDA" w:rsidRPr="005A06ED" w:rsidRDefault="00DA3CDA" w:rsidP="00143EDC">
      <w:pPr>
        <w:pStyle w:val="Notedebasdepage"/>
        <w:rPr>
          <w:lang w:val="fr-FR"/>
        </w:rPr>
      </w:pPr>
      <w:r>
        <w:rPr>
          <w:rStyle w:val="Appelnotedebasdep"/>
        </w:rPr>
        <w:footnoteRef/>
      </w:r>
      <w:r w:rsidRPr="005A06ED">
        <w:rPr>
          <w:lang w:val="fr-FR"/>
        </w:rPr>
        <w:t xml:space="preserve"> Miller, Pournik, Swaine, “Women in Peace and Security through United Nations Security Resolution 1325: Literature Review, Content Analysis of National Action Plans, and Implementation” (Les femmes dans la paix et la sécurité à travers la résolution 1325 du Conseil de sécurité des Nations Unies : analyse documentaire, analyse du contenu des Plans d'action nationaux, et application), The George Washington University Institute for Global and International Studies (mai 2014). http://www.peacewomen.org/assets/file/NationalActionPlans/miladpournikanalysisdocs/igis_womeninpeaceandsecuritythroughunsr1325</w:t>
      </w:r>
      <w:r w:rsidR="00ED3DB1" w:rsidRPr="005A06ED">
        <w:rPr>
          <w:lang w:val="fr-FR"/>
        </w:rPr>
        <w:t xml:space="preserve">_millerpournikswaine_2014.pdf. </w:t>
      </w:r>
      <w:r w:rsidRPr="005A06ED">
        <w:rPr>
          <w:lang w:val="fr-FR"/>
        </w:rPr>
        <w:t xml:space="preserve">Les treize PAN qui précisent le rôle des acteurs de la société civile dans la conception sont les plus détaillés, les dix-huit PAN qui mentionnent ce rôle sans en préciser les modalités sont moins détaillés, et les dix PAN qui ne font aucune mention du rôle de la société civile sont les moins détaillés. </w:t>
      </w:r>
    </w:p>
  </w:footnote>
  <w:footnote w:id="5">
    <w:p w14:paraId="3567982C" w14:textId="77777777" w:rsidR="00DA3CDA" w:rsidRPr="005A06ED" w:rsidRDefault="00DA3CDA" w:rsidP="00002DAC">
      <w:pPr>
        <w:pStyle w:val="Notedebasdepage"/>
        <w:rPr>
          <w:lang w:val="fr-FR"/>
        </w:rPr>
      </w:pPr>
      <w:r>
        <w:rPr>
          <w:rStyle w:val="Appelnotedebasdep"/>
        </w:rPr>
        <w:footnoteRef/>
      </w:r>
      <w:r w:rsidRPr="005A06ED">
        <w:rPr>
          <w:lang w:val="fr-FR"/>
        </w:rPr>
        <w:t xml:space="preserve"> </w:t>
      </w:r>
      <w:r w:rsidRPr="00143EDC">
        <w:rPr>
          <w:lang w:val="fr-FR"/>
        </w:rPr>
        <w:t>Ces quatre catégories, décrites dans les grandes lignes, ne reflètent pas les nuances spécifiques de chaque modèle de coopération. Ces catégories sont plutôt pensées pour mettre en évidence les différences essentielles entre Plans d'action nationaux s'agissant de l'interaction entre gouvernement et société civile.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77C7" w14:textId="77777777" w:rsidR="005A06ED" w:rsidRPr="00F6444C" w:rsidRDefault="005A06ED" w:rsidP="00F6444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981A" w14:textId="77777777" w:rsidR="00DA3CDA" w:rsidRDefault="00DA3CDA">
    <w:pPr>
      <w:pStyle w:val="En-tte"/>
    </w:pPr>
  </w:p>
  <w:p w14:paraId="3567981B" w14:textId="77777777" w:rsidR="00DA3CDA" w:rsidRDefault="00DA3CDA">
    <w:pPr>
      <w:pStyle w:val="En-tte"/>
    </w:pPr>
  </w:p>
  <w:p w14:paraId="3567981C" w14:textId="77777777" w:rsidR="00DA3CDA" w:rsidRDefault="00DA3C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E524D9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3F65D88"/>
    <w:lvl w:ilvl="0">
      <w:start w:val="1"/>
      <w:numFmt w:val="bullet"/>
      <w:pStyle w:val="Listepuce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6C586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6829B2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C26B5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8F2E0C"/>
    <w:multiLevelType w:val="multilevel"/>
    <w:tmpl w:val="A8902046"/>
    <w:name w:val="Nummering"/>
    <w:styleLink w:val="Nummers"/>
    <w:lvl w:ilvl="0">
      <w:start w:val="1"/>
      <w:numFmt w:val="decimal"/>
      <w:pStyle w:val="Listenumros"/>
      <w:lvlText w:val="%1"/>
      <w:lvlJc w:val="left"/>
      <w:pPr>
        <w:tabs>
          <w:tab w:val="num" w:pos="397"/>
        </w:tabs>
        <w:ind w:left="397" w:hanging="397"/>
      </w:pPr>
      <w:rPr>
        <w:rFonts w:hint="default"/>
      </w:rPr>
    </w:lvl>
    <w:lvl w:ilvl="1">
      <w:start w:val="1"/>
      <w:numFmt w:val="bullet"/>
      <w:pStyle w:val="Listenumros2"/>
      <w:lvlText w:val="­"/>
      <w:lvlJc w:val="left"/>
      <w:pPr>
        <w:tabs>
          <w:tab w:val="num" w:pos="737"/>
        </w:tabs>
        <w:ind w:left="737" w:hanging="340"/>
      </w:pPr>
      <w:rPr>
        <w:rFonts w:ascii="TheSansB W4 SemiLight" w:hAnsi="TheSansB W4 SemiLight" w:hint="default"/>
        <w:color w:val="474C3E"/>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7B61EAE"/>
    <w:multiLevelType w:val="hybridMultilevel"/>
    <w:tmpl w:val="CCDE1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342ED3"/>
    <w:multiLevelType w:val="multilevel"/>
    <w:tmpl w:val="5BF424D8"/>
    <w:name w:val="Opsommingstekens"/>
    <w:styleLink w:val="Opsommingstekens"/>
    <w:lvl w:ilvl="0">
      <w:start w:val="1"/>
      <w:numFmt w:val="bullet"/>
      <w:pStyle w:val="Listepuces"/>
      <w:lvlText w:val="●"/>
      <w:lvlJc w:val="left"/>
      <w:pPr>
        <w:tabs>
          <w:tab w:val="num" w:pos="397"/>
        </w:tabs>
        <w:ind w:left="397" w:hanging="397"/>
      </w:pPr>
      <w:rPr>
        <w:rFonts w:ascii="TheSansB W4 SemiLight" w:hAnsi="TheSansB W4 SemiLight" w:hint="default"/>
        <w:color w:val="474C3E"/>
        <w:sz w:val="12"/>
      </w:rPr>
    </w:lvl>
    <w:lvl w:ilvl="1">
      <w:start w:val="1"/>
      <w:numFmt w:val="bullet"/>
      <w:lvlRestart w:val="0"/>
      <w:pStyle w:val="Listepuces2"/>
      <w:lvlText w:val="­"/>
      <w:lvlJc w:val="left"/>
      <w:pPr>
        <w:tabs>
          <w:tab w:val="num" w:pos="737"/>
        </w:tabs>
        <w:ind w:left="737" w:hanging="340"/>
      </w:pPr>
      <w:rPr>
        <w:rFonts w:ascii="TheSansB W4 SemiLight" w:hAnsi="TheSansB W4 SemiLight" w:hint="default"/>
        <w:color w:val="474C3E"/>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519877E5"/>
    <w:multiLevelType w:val="multilevel"/>
    <w:tmpl w:val="2EF264E0"/>
    <w:name w:val="Hoofdstuknummers"/>
    <w:styleLink w:val="Hoofdstuknummering"/>
    <w:lvl w:ilvl="0">
      <w:start w:val="1"/>
      <w:numFmt w:val="decimal"/>
      <w:pStyle w:val="HoofdstukNummer"/>
      <w:suff w:val="space"/>
      <w:lvlText w:val="Chapitre %1"/>
      <w:lvlJc w:val="left"/>
      <w:pPr>
        <w:ind w:left="0" w:firstLine="0"/>
      </w:pPr>
      <w:rPr>
        <w:rFonts w:ascii="TheSerifOffice" w:hAnsi="TheSerifOffice" w:hint="default"/>
        <w:b w:val="0"/>
        <w:i w:val="0"/>
        <w:color w:val="967F5B"/>
        <w:sz w:val="28"/>
      </w:rPr>
    </w:lvl>
    <w:lvl w:ilvl="1">
      <w:start w:val="1"/>
      <w:numFmt w:val="decimal"/>
      <w:lvlRestart w:val="0"/>
      <w:pStyle w:val="Titre2"/>
      <w:lvlText w:val="%1.%2"/>
      <w:lvlJc w:val="left"/>
      <w:pPr>
        <w:tabs>
          <w:tab w:val="num" w:pos="539"/>
        </w:tabs>
        <w:ind w:left="539" w:hanging="397"/>
      </w:pPr>
      <w:rPr>
        <w:rFonts w:ascii="TheSerifOffice" w:hAnsi="TheSerifOffice" w:hint="default"/>
        <w:b/>
        <w:i w:val="0"/>
        <w:color w:val="967F5B"/>
        <w:sz w:val="18"/>
      </w:rPr>
    </w:lvl>
    <w:lvl w:ilvl="2">
      <w:start w:val="1"/>
      <w:numFmt w:val="decimal"/>
      <w:lvlRestart w:val="0"/>
      <w:pStyle w:val="Titre3"/>
      <w:lvlText w:val="%1.%2.%3"/>
      <w:lvlJc w:val="left"/>
      <w:pPr>
        <w:tabs>
          <w:tab w:val="num" w:pos="397"/>
        </w:tabs>
        <w:ind w:left="397" w:hanging="397"/>
      </w:pPr>
      <w:rPr>
        <w:rFonts w:ascii="TheSerifOffice" w:hAnsi="TheSerifOffice" w:hint="default"/>
        <w:b w:val="0"/>
        <w:i/>
        <w:color w:val="967F5B"/>
        <w:sz w:val="18"/>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52903870"/>
    <w:multiLevelType w:val="multilevel"/>
    <w:tmpl w:val="A84AC698"/>
    <w:name w:val="TOCNummering"/>
    <w:styleLink w:val="TOCnummering"/>
    <w:lvl w:ilvl="0">
      <w:start w:val="1"/>
      <w:numFmt w:val="decimal"/>
      <w:pStyle w:val="TM1"/>
      <w:lvlText w:val="%1"/>
      <w:lvlJc w:val="left"/>
      <w:pPr>
        <w:tabs>
          <w:tab w:val="num" w:pos="567"/>
        </w:tabs>
        <w:ind w:left="567" w:hanging="567"/>
      </w:pPr>
      <w:rPr>
        <w:rFonts w:ascii="TheSerifOffice" w:hAnsi="TheSerifOffice" w:hint="default"/>
        <w:b/>
        <w:i w:val="0"/>
        <w:sz w:val="18"/>
      </w:rPr>
    </w:lvl>
    <w:lvl w:ilvl="1">
      <w:start w:val="1"/>
      <w:numFmt w:val="none"/>
      <w:lvlRestart w:val="0"/>
      <w:suff w:val="nothing"/>
      <w:lvlText w:val=""/>
      <w:lvlJc w:val="left"/>
      <w:pPr>
        <w:ind w:left="720" w:hanging="360"/>
      </w:pPr>
      <w:rPr>
        <w:rFonts w:hint="default"/>
      </w:rPr>
    </w:lvl>
    <w:lvl w:ilvl="2">
      <w:start w:val="1"/>
      <w:numFmt w:val="none"/>
      <w:lvlRestart w:val="0"/>
      <w:suff w:val="nothing"/>
      <w:lvlText w:val=""/>
      <w:lvlJc w:val="left"/>
      <w:pPr>
        <w:ind w:left="-32767"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decimal"/>
        <w:pStyle w:val="TM1"/>
        <w:lvlText w:val="%1"/>
        <w:lvlJc w:val="left"/>
        <w:pPr>
          <w:tabs>
            <w:tab w:val="num" w:pos="567"/>
          </w:tabs>
          <w:ind w:left="567" w:hanging="567"/>
        </w:pPr>
        <w:rPr>
          <w:rFonts w:ascii="TheSerifOffice" w:hAnsi="TheSerifOffice" w:hint="default"/>
          <w:b/>
          <w:i w:val="0"/>
          <w:color w:val="474C3E"/>
          <w:sz w:val="18"/>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5"/>
  </w:num>
  <w:num w:numId="12">
    <w:abstractNumId w:val="3"/>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 w:ilvl="0">
        <w:start w:val="1"/>
        <w:numFmt w:val="decimal"/>
        <w:pStyle w:val="HoofdstukNummer"/>
        <w:suff w:val="space"/>
        <w:lvlText w:val="Chapitre %1"/>
        <w:lvlJc w:val="left"/>
        <w:pPr>
          <w:ind w:left="0" w:firstLine="0"/>
        </w:pPr>
        <w:rPr>
          <w:rFonts w:ascii="TheSerifOffice" w:hAnsi="TheSerifOffice" w:hint="default"/>
          <w:b w:val="0"/>
          <w:i w:val="0"/>
          <w:color w:val="967F5B"/>
          <w:sz w:val="28"/>
        </w:rPr>
      </w:lvl>
    </w:lvlOverride>
    <w:lvlOverride w:ilvl="1">
      <w:lvl w:ilvl="1">
        <w:start w:val="1"/>
        <w:numFmt w:val="decimal"/>
        <w:lvlRestart w:val="0"/>
        <w:pStyle w:val="Titre2"/>
        <w:lvlText w:val="%1.%2"/>
        <w:lvlJc w:val="left"/>
        <w:pPr>
          <w:tabs>
            <w:tab w:val="num" w:pos="539"/>
          </w:tabs>
          <w:ind w:left="539" w:hanging="397"/>
        </w:pPr>
        <w:rPr>
          <w:rFonts w:ascii="TheSerifOffice" w:hAnsi="TheSerifOffice" w:hint="default"/>
          <w:b/>
          <w:i w:val="0"/>
          <w:color w:val="967F5B"/>
          <w:sz w:val="18"/>
        </w:rPr>
      </w:lvl>
    </w:lvlOverride>
    <w:lvlOverride w:ilvl="2">
      <w:lvl w:ilvl="2">
        <w:start w:val="1"/>
        <w:numFmt w:val="decimal"/>
        <w:lvlRestart w:val="0"/>
        <w:pStyle w:val="Titre3"/>
        <w:lvlText w:val="%1.%2.%3"/>
        <w:lvlJc w:val="left"/>
        <w:pPr>
          <w:tabs>
            <w:tab w:val="num" w:pos="397"/>
          </w:tabs>
          <w:ind w:left="397" w:hanging="397"/>
        </w:pPr>
        <w:rPr>
          <w:rFonts w:ascii="TheSerifOffice" w:hAnsi="TheSerifOffice" w:hint="default"/>
          <w:b w:val="0"/>
          <w:i/>
          <w:color w:val="967F5B"/>
          <w:sz w:val="18"/>
        </w:rPr>
      </w:lvl>
    </w:lvlOverride>
    <w:lvlOverride w:ilvl="3">
      <w:lvl w:ilvl="3">
        <w:start w:val="1"/>
        <w:numFmt w:val="none"/>
        <w:lvlRestart w:val="0"/>
        <w:suff w:val="nothing"/>
        <w:lvlText w:val=""/>
        <w:lvlJc w:val="left"/>
        <w:pPr>
          <w:ind w:left="0" w:firstLine="0"/>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6">
    <w:abstractNumId w:val="6"/>
  </w:num>
  <w:num w:numId="17">
    <w:abstractNumId w:val="8"/>
    <w:lvlOverride w:ilvl="0">
      <w:startOverride w:val="1"/>
      <w:lvl w:ilvl="0">
        <w:start w:val="1"/>
        <w:numFmt w:val="decimal"/>
        <w:pStyle w:val="HoofdstukNummer"/>
        <w:lvlText w:val=""/>
        <w:lvlJc w:val="left"/>
      </w:lvl>
    </w:lvlOverride>
    <w:lvlOverride w:ilvl="1">
      <w:startOverride w:val="1"/>
      <w:lvl w:ilvl="1">
        <w:start w:val="1"/>
        <w:numFmt w:val="decimal"/>
        <w:lvlRestart w:val="0"/>
        <w:pStyle w:val="Titre2"/>
        <w:lvlText w:val="%1.%2"/>
        <w:lvlJc w:val="left"/>
        <w:pPr>
          <w:tabs>
            <w:tab w:val="num" w:pos="397"/>
          </w:tabs>
          <w:ind w:left="397" w:hanging="397"/>
        </w:pPr>
        <w:rPr>
          <w:rFonts w:ascii="TheSerifOffice" w:hAnsi="TheSerifOffice" w:hint="default"/>
          <w:b/>
          <w:i w:val="0"/>
          <w:color w:val="967F5B"/>
          <w:sz w:val="20"/>
          <w:szCs w:val="20"/>
        </w:rPr>
      </w:lvl>
    </w:lvlOverride>
    <w:lvlOverride w:ilvl="2">
      <w:startOverride w:val="1"/>
      <w:lvl w:ilvl="2">
        <w:start w:val="1"/>
        <w:numFmt w:val="decimal"/>
        <w:pStyle w:val="Titre3"/>
        <w:lvlText w:val=""/>
        <w:lvlJc w:val="left"/>
      </w:lvl>
    </w:lvlOverride>
  </w:num>
  <w:num w:numId="18">
    <w:abstractNumId w:val="8"/>
    <w:lvlOverride w:ilvl="0">
      <w:startOverride w:val="1"/>
      <w:lvl w:ilvl="0">
        <w:start w:val="1"/>
        <w:numFmt w:val="decimal"/>
        <w:pStyle w:val="HoofdstukNummer"/>
        <w:lvlText w:val=""/>
        <w:lvlJc w:val="left"/>
      </w:lvl>
    </w:lvlOverride>
    <w:lvlOverride w:ilvl="1">
      <w:startOverride w:val="1"/>
      <w:lvl w:ilvl="1">
        <w:start w:val="1"/>
        <w:numFmt w:val="decimal"/>
        <w:lvlRestart w:val="0"/>
        <w:pStyle w:val="Titre2"/>
        <w:lvlText w:val="%1.%2"/>
        <w:lvlJc w:val="left"/>
        <w:pPr>
          <w:tabs>
            <w:tab w:val="num" w:pos="397"/>
          </w:tabs>
          <w:ind w:left="397" w:hanging="39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Titre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9"/>
  </w:num>
  <w:num w:numId="20">
    <w:abstractNumId w:val="8"/>
  </w:num>
  <w:num w:numId="21">
    <w:abstractNumId w:val="8"/>
    <w:lvlOverride w:ilvl="0">
      <w:startOverride w:val="1"/>
      <w:lvl w:ilvl="0">
        <w:start w:val="1"/>
        <w:numFmt w:val="decimal"/>
        <w:pStyle w:val="HoofdstukNummer"/>
        <w:suff w:val="space"/>
        <w:lvlText w:val="Chapitre %1"/>
        <w:lvlJc w:val="left"/>
        <w:pPr>
          <w:ind w:left="0" w:firstLine="0"/>
        </w:pPr>
        <w:rPr>
          <w:rFonts w:ascii="TheSerifOffice" w:hAnsi="TheSerifOffice" w:hint="default"/>
          <w:b w:val="0"/>
          <w:i w:val="0"/>
          <w:color w:val="967F5B"/>
          <w:sz w:val="28"/>
        </w:rPr>
      </w:lvl>
    </w:lvlOverride>
    <w:lvlOverride w:ilvl="1">
      <w:startOverride w:val="1"/>
      <w:lvl w:ilvl="1">
        <w:start w:val="1"/>
        <w:numFmt w:val="decimal"/>
        <w:lvlRestart w:val="0"/>
        <w:pStyle w:val="Titre2"/>
        <w:lvlText w:val="%1.%2"/>
        <w:lvlJc w:val="left"/>
        <w:pPr>
          <w:tabs>
            <w:tab w:val="num" w:pos="539"/>
          </w:tabs>
          <w:ind w:left="539" w:hanging="397"/>
        </w:pPr>
        <w:rPr>
          <w:rFonts w:ascii="TheSerifOffice" w:hAnsi="TheSerifOffice" w:hint="default"/>
          <w:b/>
          <w:i w:val="0"/>
          <w:color w:val="967F5B"/>
          <w:sz w:val="18"/>
        </w:rPr>
      </w:lvl>
    </w:lvlOverride>
    <w:lvlOverride w:ilvl="2">
      <w:startOverride w:val="1"/>
      <w:lvl w:ilvl="2">
        <w:start w:val="1"/>
        <w:numFmt w:val="decimal"/>
        <w:lvlRestart w:val="0"/>
        <w:pStyle w:val="Titre3"/>
        <w:lvlText w:val="%1.%2.%3"/>
        <w:lvlJc w:val="left"/>
        <w:pPr>
          <w:tabs>
            <w:tab w:val="num" w:pos="397"/>
          </w:tabs>
          <w:ind w:left="397" w:hanging="397"/>
        </w:pPr>
        <w:rPr>
          <w:rFonts w:ascii="TheSerifOffice" w:hAnsi="TheSerifOffice" w:hint="default"/>
          <w:b w:val="0"/>
          <w:i/>
          <w:color w:val="967F5B"/>
          <w:sz w:val="18"/>
        </w:rPr>
      </w:lvl>
    </w:lvlOverride>
    <w:lvlOverride w:ilvl="3">
      <w:startOverride w:val="1"/>
      <w:lvl w:ilvl="3">
        <w:start w:val="1"/>
        <w:numFmt w:val="none"/>
        <w:lvlRestart w:val="0"/>
        <w:suff w:val="nothing"/>
        <w:lvlText w:val=""/>
        <w:lvlJc w:val="left"/>
        <w:pPr>
          <w:ind w:left="0" w:firstLine="0"/>
        </w:pPr>
        <w:rPr>
          <w:rFonts w:hint="default"/>
        </w:rPr>
      </w:lvl>
    </w:lvlOverride>
    <w:lvlOverride w:ilvl="4">
      <w:startOverride w:val="1"/>
      <w:lvl w:ilvl="4">
        <w:start w:val="1"/>
        <w:numFmt w:val="none"/>
        <w:lvlRestart w:val="0"/>
        <w:suff w:val="nothing"/>
        <w:lvlText w:val=""/>
        <w:lvlJc w:val="left"/>
        <w:pPr>
          <w:ind w:left="0" w:firstLine="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SortMethod w:val="0000"/>
  <w:defaultTabStop w:val="709"/>
  <w:hyphenationZone w:val="425"/>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DAC"/>
    <w:rsid w:val="00002DAC"/>
    <w:rsid w:val="0001192D"/>
    <w:rsid w:val="00013A4B"/>
    <w:rsid w:val="00015B6E"/>
    <w:rsid w:val="00027219"/>
    <w:rsid w:val="00034D48"/>
    <w:rsid w:val="00043589"/>
    <w:rsid w:val="00046C32"/>
    <w:rsid w:val="00056AEF"/>
    <w:rsid w:val="00060E84"/>
    <w:rsid w:val="00064897"/>
    <w:rsid w:val="00080DFE"/>
    <w:rsid w:val="00081115"/>
    <w:rsid w:val="00082BCD"/>
    <w:rsid w:val="00082FC0"/>
    <w:rsid w:val="000834E5"/>
    <w:rsid w:val="000B5984"/>
    <w:rsid w:val="000B7FE7"/>
    <w:rsid w:val="000C3B72"/>
    <w:rsid w:val="000C49FE"/>
    <w:rsid w:val="000C748D"/>
    <w:rsid w:val="000D5DE7"/>
    <w:rsid w:val="000D6487"/>
    <w:rsid w:val="000F3244"/>
    <w:rsid w:val="0011439D"/>
    <w:rsid w:val="00116348"/>
    <w:rsid w:val="001349C0"/>
    <w:rsid w:val="00143EDC"/>
    <w:rsid w:val="001444DD"/>
    <w:rsid w:val="001653CC"/>
    <w:rsid w:val="00177251"/>
    <w:rsid w:val="00177D7E"/>
    <w:rsid w:val="00181510"/>
    <w:rsid w:val="001B1F5F"/>
    <w:rsid w:val="001B7B60"/>
    <w:rsid w:val="001C6830"/>
    <w:rsid w:val="001D14C2"/>
    <w:rsid w:val="001E56C2"/>
    <w:rsid w:val="001E7706"/>
    <w:rsid w:val="001E7B68"/>
    <w:rsid w:val="001F072E"/>
    <w:rsid w:val="00202D6F"/>
    <w:rsid w:val="00203D69"/>
    <w:rsid w:val="00204323"/>
    <w:rsid w:val="00212905"/>
    <w:rsid w:val="0021796D"/>
    <w:rsid w:val="00220CAD"/>
    <w:rsid w:val="00226202"/>
    <w:rsid w:val="00232F2B"/>
    <w:rsid w:val="00236A26"/>
    <w:rsid w:val="00236AA5"/>
    <w:rsid w:val="0024667E"/>
    <w:rsid w:val="0025163A"/>
    <w:rsid w:val="00256F3D"/>
    <w:rsid w:val="0025767A"/>
    <w:rsid w:val="00266452"/>
    <w:rsid w:val="00271C90"/>
    <w:rsid w:val="00274D80"/>
    <w:rsid w:val="00290295"/>
    <w:rsid w:val="0029269F"/>
    <w:rsid w:val="00295FBD"/>
    <w:rsid w:val="0029629D"/>
    <w:rsid w:val="00296674"/>
    <w:rsid w:val="002A1963"/>
    <w:rsid w:val="002A274D"/>
    <w:rsid w:val="002B33BE"/>
    <w:rsid w:val="002B424E"/>
    <w:rsid w:val="002C0E55"/>
    <w:rsid w:val="002C2937"/>
    <w:rsid w:val="002E0418"/>
    <w:rsid w:val="003048D0"/>
    <w:rsid w:val="00320E65"/>
    <w:rsid w:val="00324714"/>
    <w:rsid w:val="00324AD2"/>
    <w:rsid w:val="00331D91"/>
    <w:rsid w:val="00336D1B"/>
    <w:rsid w:val="003411D0"/>
    <w:rsid w:val="00343AD8"/>
    <w:rsid w:val="003477AF"/>
    <w:rsid w:val="0035196C"/>
    <w:rsid w:val="00363779"/>
    <w:rsid w:val="00365444"/>
    <w:rsid w:val="00365B91"/>
    <w:rsid w:val="003671B4"/>
    <w:rsid w:val="0038273E"/>
    <w:rsid w:val="00382D03"/>
    <w:rsid w:val="00396179"/>
    <w:rsid w:val="00397E3E"/>
    <w:rsid w:val="003A1F4B"/>
    <w:rsid w:val="003A274C"/>
    <w:rsid w:val="003B2430"/>
    <w:rsid w:val="003B369A"/>
    <w:rsid w:val="003B37C2"/>
    <w:rsid w:val="003B7F1D"/>
    <w:rsid w:val="003C51DB"/>
    <w:rsid w:val="003E3F3B"/>
    <w:rsid w:val="003E6B02"/>
    <w:rsid w:val="003E7ABE"/>
    <w:rsid w:val="003F56FC"/>
    <w:rsid w:val="00412E5F"/>
    <w:rsid w:val="004215CC"/>
    <w:rsid w:val="00422071"/>
    <w:rsid w:val="00436371"/>
    <w:rsid w:val="00450CB7"/>
    <w:rsid w:val="0045560F"/>
    <w:rsid w:val="0046383E"/>
    <w:rsid w:val="004733EB"/>
    <w:rsid w:val="004760A8"/>
    <w:rsid w:val="00481F0B"/>
    <w:rsid w:val="0048218A"/>
    <w:rsid w:val="00491036"/>
    <w:rsid w:val="00491E6D"/>
    <w:rsid w:val="00496B3B"/>
    <w:rsid w:val="004A023D"/>
    <w:rsid w:val="004A33F2"/>
    <w:rsid w:val="004A3797"/>
    <w:rsid w:val="004C15BB"/>
    <w:rsid w:val="004C3767"/>
    <w:rsid w:val="004C4EAA"/>
    <w:rsid w:val="004E7D1F"/>
    <w:rsid w:val="004E7E3B"/>
    <w:rsid w:val="004F2095"/>
    <w:rsid w:val="004F4269"/>
    <w:rsid w:val="005028F2"/>
    <w:rsid w:val="005045F4"/>
    <w:rsid w:val="005059BB"/>
    <w:rsid w:val="00506113"/>
    <w:rsid w:val="00515D70"/>
    <w:rsid w:val="0052114E"/>
    <w:rsid w:val="005313C9"/>
    <w:rsid w:val="00540583"/>
    <w:rsid w:val="00542BCA"/>
    <w:rsid w:val="00543B59"/>
    <w:rsid w:val="00551C44"/>
    <w:rsid w:val="005537FC"/>
    <w:rsid w:val="00553F59"/>
    <w:rsid w:val="005574B9"/>
    <w:rsid w:val="00585B98"/>
    <w:rsid w:val="00593A58"/>
    <w:rsid w:val="005A06ED"/>
    <w:rsid w:val="005A0D42"/>
    <w:rsid w:val="005B0AF1"/>
    <w:rsid w:val="005B1AE8"/>
    <w:rsid w:val="005B6A45"/>
    <w:rsid w:val="005C3E28"/>
    <w:rsid w:val="005D4EB1"/>
    <w:rsid w:val="005D5808"/>
    <w:rsid w:val="005D6881"/>
    <w:rsid w:val="005E4B45"/>
    <w:rsid w:val="005E4D87"/>
    <w:rsid w:val="005F644C"/>
    <w:rsid w:val="005F735B"/>
    <w:rsid w:val="00600A4E"/>
    <w:rsid w:val="00600DEB"/>
    <w:rsid w:val="006352CB"/>
    <w:rsid w:val="00636751"/>
    <w:rsid w:val="006479BD"/>
    <w:rsid w:val="00652EFF"/>
    <w:rsid w:val="00655BC4"/>
    <w:rsid w:val="00661D61"/>
    <w:rsid w:val="006656FC"/>
    <w:rsid w:val="00690D04"/>
    <w:rsid w:val="00692344"/>
    <w:rsid w:val="00693A1C"/>
    <w:rsid w:val="006A0F0A"/>
    <w:rsid w:val="006A35CA"/>
    <w:rsid w:val="006A580F"/>
    <w:rsid w:val="006B2B6D"/>
    <w:rsid w:val="006B742E"/>
    <w:rsid w:val="006E0649"/>
    <w:rsid w:val="006E126C"/>
    <w:rsid w:val="006E5614"/>
    <w:rsid w:val="006E7C48"/>
    <w:rsid w:val="006F1777"/>
    <w:rsid w:val="007019DB"/>
    <w:rsid w:val="00715974"/>
    <w:rsid w:val="0071748B"/>
    <w:rsid w:val="00717595"/>
    <w:rsid w:val="00731B0D"/>
    <w:rsid w:val="00741115"/>
    <w:rsid w:val="0077253E"/>
    <w:rsid w:val="00793F9A"/>
    <w:rsid w:val="007969CB"/>
    <w:rsid w:val="007A1F3F"/>
    <w:rsid w:val="007A4E48"/>
    <w:rsid w:val="007A6EE2"/>
    <w:rsid w:val="007B7BCC"/>
    <w:rsid w:val="007C03E1"/>
    <w:rsid w:val="007E16A0"/>
    <w:rsid w:val="007E40FB"/>
    <w:rsid w:val="007E5F67"/>
    <w:rsid w:val="007E74C4"/>
    <w:rsid w:val="007F6B9C"/>
    <w:rsid w:val="00810D1C"/>
    <w:rsid w:val="00811322"/>
    <w:rsid w:val="00816D17"/>
    <w:rsid w:val="00830D2F"/>
    <w:rsid w:val="00834553"/>
    <w:rsid w:val="008365C5"/>
    <w:rsid w:val="00842FE5"/>
    <w:rsid w:val="00843908"/>
    <w:rsid w:val="00853167"/>
    <w:rsid w:val="008539F9"/>
    <w:rsid w:val="00871490"/>
    <w:rsid w:val="00892AD3"/>
    <w:rsid w:val="00894789"/>
    <w:rsid w:val="008B2C6E"/>
    <w:rsid w:val="008B565E"/>
    <w:rsid w:val="008C1B4D"/>
    <w:rsid w:val="008C652D"/>
    <w:rsid w:val="008D4AFE"/>
    <w:rsid w:val="008D6E89"/>
    <w:rsid w:val="008D70C4"/>
    <w:rsid w:val="008D7986"/>
    <w:rsid w:val="008E22AC"/>
    <w:rsid w:val="008F6F5A"/>
    <w:rsid w:val="008F7E15"/>
    <w:rsid w:val="009123C2"/>
    <w:rsid w:val="00916D8B"/>
    <w:rsid w:val="00943F8F"/>
    <w:rsid w:val="0094564D"/>
    <w:rsid w:val="00950770"/>
    <w:rsid w:val="009706FE"/>
    <w:rsid w:val="009726B0"/>
    <w:rsid w:val="00990429"/>
    <w:rsid w:val="009906A8"/>
    <w:rsid w:val="0099300E"/>
    <w:rsid w:val="009A3DFE"/>
    <w:rsid w:val="009C1CA6"/>
    <w:rsid w:val="009C53AD"/>
    <w:rsid w:val="009D03D8"/>
    <w:rsid w:val="009D0609"/>
    <w:rsid w:val="009D0F79"/>
    <w:rsid w:val="009D7170"/>
    <w:rsid w:val="009E5F5C"/>
    <w:rsid w:val="009F2898"/>
    <w:rsid w:val="00A00F79"/>
    <w:rsid w:val="00A05338"/>
    <w:rsid w:val="00A062B9"/>
    <w:rsid w:val="00A211E0"/>
    <w:rsid w:val="00A311CC"/>
    <w:rsid w:val="00A42AB7"/>
    <w:rsid w:val="00A50014"/>
    <w:rsid w:val="00A628B9"/>
    <w:rsid w:val="00A62F2B"/>
    <w:rsid w:val="00A64B65"/>
    <w:rsid w:val="00A70B39"/>
    <w:rsid w:val="00A743F2"/>
    <w:rsid w:val="00A77817"/>
    <w:rsid w:val="00A93BDB"/>
    <w:rsid w:val="00A9504B"/>
    <w:rsid w:val="00AC0313"/>
    <w:rsid w:val="00AC13C2"/>
    <w:rsid w:val="00AC16C8"/>
    <w:rsid w:val="00AC5DC6"/>
    <w:rsid w:val="00AD11E6"/>
    <w:rsid w:val="00AD2E0D"/>
    <w:rsid w:val="00AD4681"/>
    <w:rsid w:val="00AD4C63"/>
    <w:rsid w:val="00AE1E6F"/>
    <w:rsid w:val="00AE664F"/>
    <w:rsid w:val="00AF15F7"/>
    <w:rsid w:val="00AF315F"/>
    <w:rsid w:val="00B051FB"/>
    <w:rsid w:val="00B052F3"/>
    <w:rsid w:val="00B12578"/>
    <w:rsid w:val="00B130B1"/>
    <w:rsid w:val="00B23F07"/>
    <w:rsid w:val="00B24E44"/>
    <w:rsid w:val="00B30024"/>
    <w:rsid w:val="00B36006"/>
    <w:rsid w:val="00B40926"/>
    <w:rsid w:val="00B42BB7"/>
    <w:rsid w:val="00B45AC1"/>
    <w:rsid w:val="00B46B72"/>
    <w:rsid w:val="00B55EDD"/>
    <w:rsid w:val="00B57031"/>
    <w:rsid w:val="00B72445"/>
    <w:rsid w:val="00BA4EC9"/>
    <w:rsid w:val="00BB134C"/>
    <w:rsid w:val="00BB4FB3"/>
    <w:rsid w:val="00BB5801"/>
    <w:rsid w:val="00BC3D09"/>
    <w:rsid w:val="00BD2ABD"/>
    <w:rsid w:val="00BD3865"/>
    <w:rsid w:val="00BE5525"/>
    <w:rsid w:val="00BF2DB1"/>
    <w:rsid w:val="00BF6D5F"/>
    <w:rsid w:val="00C0361E"/>
    <w:rsid w:val="00C06142"/>
    <w:rsid w:val="00C10DA4"/>
    <w:rsid w:val="00C1633D"/>
    <w:rsid w:val="00C167FC"/>
    <w:rsid w:val="00C26E8F"/>
    <w:rsid w:val="00C26EAA"/>
    <w:rsid w:val="00C5322D"/>
    <w:rsid w:val="00C53816"/>
    <w:rsid w:val="00C53AC4"/>
    <w:rsid w:val="00C802D6"/>
    <w:rsid w:val="00C856CF"/>
    <w:rsid w:val="00C91937"/>
    <w:rsid w:val="00CA426E"/>
    <w:rsid w:val="00CB2A38"/>
    <w:rsid w:val="00CB52C7"/>
    <w:rsid w:val="00CD1817"/>
    <w:rsid w:val="00CE291B"/>
    <w:rsid w:val="00CF4FC5"/>
    <w:rsid w:val="00CF6A30"/>
    <w:rsid w:val="00CF6B8A"/>
    <w:rsid w:val="00D027A4"/>
    <w:rsid w:val="00D10B5F"/>
    <w:rsid w:val="00D21C36"/>
    <w:rsid w:val="00D2424A"/>
    <w:rsid w:val="00D26324"/>
    <w:rsid w:val="00D26FD7"/>
    <w:rsid w:val="00D27719"/>
    <w:rsid w:val="00D40DD2"/>
    <w:rsid w:val="00D44830"/>
    <w:rsid w:val="00D50EFA"/>
    <w:rsid w:val="00D52CC7"/>
    <w:rsid w:val="00D53EB7"/>
    <w:rsid w:val="00D57ECB"/>
    <w:rsid w:val="00D9353E"/>
    <w:rsid w:val="00D93F1E"/>
    <w:rsid w:val="00DA1A41"/>
    <w:rsid w:val="00DA3CDA"/>
    <w:rsid w:val="00DA5BA5"/>
    <w:rsid w:val="00DA73E2"/>
    <w:rsid w:val="00DB54BC"/>
    <w:rsid w:val="00DC4543"/>
    <w:rsid w:val="00DD27CD"/>
    <w:rsid w:val="00DE2CDB"/>
    <w:rsid w:val="00DF376D"/>
    <w:rsid w:val="00E01105"/>
    <w:rsid w:val="00E06F95"/>
    <w:rsid w:val="00E17305"/>
    <w:rsid w:val="00E17625"/>
    <w:rsid w:val="00E20BB8"/>
    <w:rsid w:val="00E21111"/>
    <w:rsid w:val="00E21FBE"/>
    <w:rsid w:val="00E257F5"/>
    <w:rsid w:val="00E25D93"/>
    <w:rsid w:val="00E27749"/>
    <w:rsid w:val="00E603A6"/>
    <w:rsid w:val="00E63AA3"/>
    <w:rsid w:val="00E63D09"/>
    <w:rsid w:val="00E7112D"/>
    <w:rsid w:val="00E72B03"/>
    <w:rsid w:val="00E82C2D"/>
    <w:rsid w:val="00E974FA"/>
    <w:rsid w:val="00EA1714"/>
    <w:rsid w:val="00EC577C"/>
    <w:rsid w:val="00EC666B"/>
    <w:rsid w:val="00ED3DB1"/>
    <w:rsid w:val="00EE0FEF"/>
    <w:rsid w:val="00EF1C87"/>
    <w:rsid w:val="00EF2782"/>
    <w:rsid w:val="00EF413F"/>
    <w:rsid w:val="00EF5503"/>
    <w:rsid w:val="00F01A5C"/>
    <w:rsid w:val="00F1157D"/>
    <w:rsid w:val="00F33469"/>
    <w:rsid w:val="00F44669"/>
    <w:rsid w:val="00F46897"/>
    <w:rsid w:val="00F473D2"/>
    <w:rsid w:val="00F61203"/>
    <w:rsid w:val="00F6444C"/>
    <w:rsid w:val="00F7580D"/>
    <w:rsid w:val="00F83639"/>
    <w:rsid w:val="00F972FB"/>
    <w:rsid w:val="00FA2CA1"/>
    <w:rsid w:val="00FC104E"/>
    <w:rsid w:val="00FC1A8C"/>
    <w:rsid w:val="00FD4CC2"/>
    <w:rsid w:val="00FE42E1"/>
    <w:rsid w:val="00FE5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79636"/>
  <w15:docId w15:val="{5D178557-8F4E-46D2-A3A1-EC103DE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SansB W4 SemiLight" w:eastAsiaTheme="minorHAnsi" w:hAnsi="TheSansB W4 SemiLight" w:cstheme="minorBidi"/>
        <w:color w:val="474C3E"/>
        <w:sz w:val="18"/>
        <w:szCs w:val="18"/>
        <w:lang w:val="nl-NL" w:eastAsia="en-US"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B03"/>
    <w:rPr>
      <w:lang w:val="en-US"/>
    </w:rPr>
  </w:style>
  <w:style w:type="paragraph" w:styleId="Titre1">
    <w:name w:val="heading 1"/>
    <w:basedOn w:val="Normal"/>
    <w:next w:val="NaKop1"/>
    <w:link w:val="Titre1Car"/>
    <w:uiPriority w:val="79"/>
    <w:rsid w:val="003B369A"/>
    <w:pPr>
      <w:keepNext/>
      <w:keepLines/>
      <w:spacing w:before="120" w:line="520" w:lineRule="exact"/>
      <w:outlineLvl w:val="0"/>
    </w:pPr>
    <w:rPr>
      <w:rFonts w:ascii="TheSerifOffice" w:eastAsiaTheme="majorEastAsia" w:hAnsi="TheSerifOffice" w:cstheme="majorBidi"/>
      <w:bCs/>
      <w:color w:val="DECD00"/>
      <w:sz w:val="42"/>
      <w:szCs w:val="28"/>
    </w:rPr>
  </w:style>
  <w:style w:type="paragraph" w:styleId="Titre2">
    <w:name w:val="heading 2"/>
    <w:basedOn w:val="Normal"/>
    <w:next w:val="Normal"/>
    <w:link w:val="Titre2Car"/>
    <w:uiPriority w:val="9"/>
    <w:qFormat/>
    <w:rsid w:val="003B37C2"/>
    <w:pPr>
      <w:keepNext/>
      <w:keepLines/>
      <w:numPr>
        <w:ilvl w:val="1"/>
        <w:numId w:val="1"/>
      </w:numPr>
      <w:spacing w:before="560"/>
      <w:outlineLvl w:val="1"/>
    </w:pPr>
    <w:rPr>
      <w:rFonts w:ascii="TheSerifOffice" w:eastAsiaTheme="majorEastAsia" w:hAnsi="TheSerifOffice" w:cstheme="majorBidi"/>
      <w:b/>
      <w:bCs/>
      <w:color w:val="967F5B"/>
      <w:sz w:val="21"/>
      <w:szCs w:val="26"/>
    </w:rPr>
  </w:style>
  <w:style w:type="paragraph" w:styleId="Titre3">
    <w:name w:val="heading 3"/>
    <w:basedOn w:val="Normal"/>
    <w:next w:val="Normal"/>
    <w:link w:val="Titre3Car"/>
    <w:uiPriority w:val="9"/>
    <w:qFormat/>
    <w:rsid w:val="003B37C2"/>
    <w:pPr>
      <w:keepNext/>
      <w:keepLines/>
      <w:numPr>
        <w:ilvl w:val="2"/>
        <w:numId w:val="1"/>
      </w:numPr>
      <w:spacing w:before="560"/>
      <w:outlineLvl w:val="2"/>
    </w:pPr>
    <w:rPr>
      <w:rFonts w:ascii="TheSerifOffice" w:eastAsiaTheme="majorEastAsia" w:hAnsi="TheSerifOffice" w:cstheme="majorBidi"/>
      <w:bCs/>
      <w:i/>
      <w:color w:val="967F5B"/>
      <w:sz w:val="21"/>
    </w:rPr>
  </w:style>
  <w:style w:type="paragraph" w:styleId="Titre9">
    <w:name w:val="heading 9"/>
    <w:aliases w:val="Chapter no number"/>
    <w:basedOn w:val="Normal"/>
    <w:next w:val="NaKop1"/>
    <w:link w:val="Titre9Car"/>
    <w:uiPriority w:val="9"/>
    <w:qFormat/>
    <w:rsid w:val="00060E84"/>
    <w:pPr>
      <w:keepNext/>
      <w:keepLines/>
      <w:pageBreakBefore/>
      <w:spacing w:before="120" w:line="520" w:lineRule="exact"/>
      <w:outlineLvl w:val="8"/>
    </w:pPr>
    <w:rPr>
      <w:rFonts w:ascii="TheSerifOffice" w:eastAsiaTheme="majorEastAsia" w:hAnsi="TheSerifOffice" w:cstheme="majorBidi"/>
      <w:iCs/>
      <w:color w:val="DECD00"/>
      <w:sz w:val="4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A1F4B"/>
    <w:pPr>
      <w:spacing w:line="240" w:lineRule="auto"/>
    </w:pPr>
    <w:rPr>
      <w:sz w:val="14"/>
    </w:rPr>
  </w:style>
  <w:style w:type="character" w:customStyle="1" w:styleId="En-tteCar">
    <w:name w:val="En-tête Car"/>
    <w:basedOn w:val="Policepardfaut"/>
    <w:link w:val="En-tte"/>
    <w:uiPriority w:val="99"/>
    <w:rsid w:val="003A1F4B"/>
    <w:rPr>
      <w:sz w:val="14"/>
    </w:rPr>
  </w:style>
  <w:style w:type="paragraph" w:styleId="Pieddepage">
    <w:name w:val="footer"/>
    <w:basedOn w:val="Normal"/>
    <w:link w:val="PieddepageCar"/>
    <w:uiPriority w:val="99"/>
    <w:rsid w:val="005B1AE8"/>
    <w:pPr>
      <w:tabs>
        <w:tab w:val="center" w:pos="4536"/>
        <w:tab w:val="right" w:pos="9072"/>
      </w:tabs>
      <w:spacing w:line="240" w:lineRule="auto"/>
    </w:pPr>
  </w:style>
  <w:style w:type="character" w:customStyle="1" w:styleId="PieddepageCar">
    <w:name w:val="Pied de page Car"/>
    <w:basedOn w:val="Policepardfaut"/>
    <w:link w:val="Pieddepage"/>
    <w:uiPriority w:val="99"/>
    <w:rsid w:val="005B1AE8"/>
  </w:style>
  <w:style w:type="paragraph" w:styleId="Textedebulles">
    <w:name w:val="Balloon Text"/>
    <w:basedOn w:val="Normal"/>
    <w:link w:val="TextedebullesCar"/>
    <w:uiPriority w:val="99"/>
    <w:semiHidden/>
    <w:unhideWhenUsed/>
    <w:rsid w:val="005B1AE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1AE8"/>
    <w:rPr>
      <w:rFonts w:ascii="Tahoma" w:hAnsi="Tahoma" w:cs="Tahoma"/>
      <w:sz w:val="16"/>
      <w:szCs w:val="16"/>
    </w:rPr>
  </w:style>
  <w:style w:type="character" w:customStyle="1" w:styleId="Titre2Car">
    <w:name w:val="Titre 2 Car"/>
    <w:basedOn w:val="Policepardfaut"/>
    <w:link w:val="Titre2"/>
    <w:uiPriority w:val="9"/>
    <w:rsid w:val="003B37C2"/>
    <w:rPr>
      <w:rFonts w:ascii="TheSerifOffice" w:eastAsiaTheme="majorEastAsia" w:hAnsi="TheSerifOffice" w:cstheme="majorBidi"/>
      <w:b/>
      <w:bCs/>
      <w:color w:val="967F5B"/>
      <w:sz w:val="21"/>
      <w:szCs w:val="26"/>
      <w:lang w:val="en-US"/>
    </w:rPr>
  </w:style>
  <w:style w:type="character" w:customStyle="1" w:styleId="Titre3Car">
    <w:name w:val="Titre 3 Car"/>
    <w:basedOn w:val="Policepardfaut"/>
    <w:link w:val="Titre3"/>
    <w:uiPriority w:val="9"/>
    <w:rsid w:val="003B37C2"/>
    <w:rPr>
      <w:rFonts w:ascii="TheSerifOffice" w:eastAsiaTheme="majorEastAsia" w:hAnsi="TheSerifOffice" w:cstheme="majorBidi"/>
      <w:bCs/>
      <w:i/>
      <w:color w:val="967F5B"/>
      <w:sz w:val="21"/>
      <w:lang w:val="en-US"/>
    </w:rPr>
  </w:style>
  <w:style w:type="table" w:styleId="Grilledutableau">
    <w:name w:val="Table Grid"/>
    <w:basedOn w:val="TableauNormal"/>
    <w:uiPriority w:val="59"/>
    <w:unhideWhenUsed/>
    <w:rsid w:val="003247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stukNummer">
    <w:name w:val="HoofdstukNummer"/>
    <w:basedOn w:val="Normal"/>
    <w:next w:val="Titre1"/>
    <w:qFormat/>
    <w:rsid w:val="003B37C2"/>
    <w:pPr>
      <w:keepNext/>
      <w:pageBreakBefore/>
      <w:numPr>
        <w:numId w:val="1"/>
      </w:numPr>
    </w:pPr>
    <w:rPr>
      <w:rFonts w:ascii="TheSerifOffice" w:hAnsi="TheSerifOffice"/>
      <w:color w:val="967F5B"/>
      <w:sz w:val="28"/>
    </w:rPr>
  </w:style>
  <w:style w:type="paragraph" w:customStyle="1" w:styleId="NaKop1">
    <w:name w:val="Na Kop 1"/>
    <w:basedOn w:val="Normal"/>
    <w:next w:val="Intro"/>
    <w:qFormat/>
    <w:rsid w:val="00CF6A30"/>
    <w:pPr>
      <w:pBdr>
        <w:top w:val="single" w:sz="2" w:space="1" w:color="auto"/>
      </w:pBdr>
      <w:spacing w:before="1560" w:after="280"/>
      <w:ind w:right="624"/>
    </w:pPr>
    <w:rPr>
      <w:color w:val="967F5B"/>
    </w:rPr>
  </w:style>
  <w:style w:type="character" w:customStyle="1" w:styleId="Titre1Car">
    <w:name w:val="Titre 1 Car"/>
    <w:basedOn w:val="Policepardfaut"/>
    <w:link w:val="Titre1"/>
    <w:uiPriority w:val="79"/>
    <w:rsid w:val="00B72445"/>
    <w:rPr>
      <w:rFonts w:ascii="TheSerifOffice" w:eastAsiaTheme="majorEastAsia" w:hAnsi="TheSerifOffice" w:cstheme="majorBidi"/>
      <w:bCs/>
      <w:color w:val="DECD00"/>
      <w:sz w:val="42"/>
      <w:szCs w:val="28"/>
    </w:rPr>
  </w:style>
  <w:style w:type="numbering" w:customStyle="1" w:styleId="Hoofdstuknummering">
    <w:name w:val="Hoofdstuknummering"/>
    <w:basedOn w:val="Aucuneliste"/>
    <w:uiPriority w:val="99"/>
    <w:rsid w:val="003B37C2"/>
    <w:pPr>
      <w:numPr>
        <w:numId w:val="1"/>
      </w:numPr>
    </w:pPr>
  </w:style>
  <w:style w:type="paragraph" w:customStyle="1" w:styleId="Intro">
    <w:name w:val="Intro"/>
    <w:basedOn w:val="Normal"/>
    <w:next w:val="Normal"/>
    <w:qFormat/>
    <w:rsid w:val="009D7170"/>
    <w:pPr>
      <w:spacing w:after="280"/>
    </w:pPr>
    <w:rPr>
      <w:rFonts w:ascii="TheSerifOffice" w:hAnsi="TheSerifOffice"/>
      <w:color w:val="967F5B"/>
      <w:sz w:val="22"/>
    </w:rPr>
  </w:style>
  <w:style w:type="character" w:customStyle="1" w:styleId="Titre9Car">
    <w:name w:val="Titre 9 Car"/>
    <w:aliases w:val="Chapter no number Car"/>
    <w:basedOn w:val="Policepardfaut"/>
    <w:link w:val="Titre9"/>
    <w:uiPriority w:val="9"/>
    <w:rsid w:val="00B72445"/>
    <w:rPr>
      <w:rFonts w:ascii="TheSerifOffice" w:eastAsiaTheme="majorEastAsia" w:hAnsi="TheSerifOffice" w:cstheme="majorBidi"/>
      <w:iCs/>
      <w:color w:val="DECD00"/>
      <w:sz w:val="42"/>
      <w:szCs w:val="20"/>
    </w:rPr>
  </w:style>
  <w:style w:type="numbering" w:customStyle="1" w:styleId="Opsommingstekens">
    <w:name w:val="Opsommingstekens"/>
    <w:basedOn w:val="Hoofdstuknummering"/>
    <w:uiPriority w:val="99"/>
    <w:rsid w:val="007969CB"/>
    <w:pPr>
      <w:numPr>
        <w:numId w:val="5"/>
      </w:numPr>
    </w:pPr>
  </w:style>
  <w:style w:type="paragraph" w:styleId="Titre">
    <w:name w:val="Title"/>
    <w:basedOn w:val="Normal"/>
    <w:next w:val="Sous-titre"/>
    <w:link w:val="TitreCar"/>
    <w:uiPriority w:val="99"/>
    <w:rsid w:val="003A274C"/>
    <w:pPr>
      <w:spacing w:after="640" w:line="520" w:lineRule="exact"/>
      <w:contextualSpacing/>
    </w:pPr>
    <w:rPr>
      <w:rFonts w:ascii="TheSerifOffice" w:eastAsiaTheme="majorEastAsia" w:hAnsi="TheSerifOffice" w:cstheme="majorBidi"/>
      <w:sz w:val="48"/>
      <w:szCs w:val="52"/>
    </w:rPr>
  </w:style>
  <w:style w:type="paragraph" w:styleId="Listepuces">
    <w:name w:val="List Bullet"/>
    <w:basedOn w:val="Normal"/>
    <w:uiPriority w:val="19"/>
    <w:qFormat/>
    <w:rsid w:val="007969CB"/>
    <w:pPr>
      <w:numPr>
        <w:numId w:val="5"/>
      </w:numPr>
      <w:contextualSpacing/>
    </w:pPr>
  </w:style>
  <w:style w:type="character" w:customStyle="1" w:styleId="TitreCar">
    <w:name w:val="Titre Car"/>
    <w:basedOn w:val="Policepardfaut"/>
    <w:link w:val="Titre"/>
    <w:uiPriority w:val="99"/>
    <w:rsid w:val="00B72445"/>
    <w:rPr>
      <w:rFonts w:ascii="TheSerifOffice" w:eastAsiaTheme="majorEastAsia" w:hAnsi="TheSerifOffice" w:cstheme="majorBidi"/>
      <w:sz w:val="48"/>
      <w:szCs w:val="52"/>
    </w:rPr>
  </w:style>
  <w:style w:type="paragraph" w:styleId="Sous-titre">
    <w:name w:val="Subtitle"/>
    <w:basedOn w:val="Normal"/>
    <w:next w:val="Normal"/>
    <w:link w:val="Sous-titreCar"/>
    <w:uiPriority w:val="11"/>
    <w:qFormat/>
    <w:rsid w:val="00E603A6"/>
    <w:pPr>
      <w:numPr>
        <w:ilvl w:val="1"/>
      </w:numPr>
      <w:spacing w:line="520" w:lineRule="exact"/>
    </w:pPr>
    <w:rPr>
      <w:rFonts w:ascii="TheSansB W5 Plain" w:eastAsiaTheme="majorEastAsia" w:hAnsi="TheSansB W5 Plain" w:cstheme="majorBidi"/>
      <w:iCs/>
      <w:sz w:val="36"/>
      <w:szCs w:val="24"/>
    </w:rPr>
  </w:style>
  <w:style w:type="character" w:customStyle="1" w:styleId="Sous-titreCar">
    <w:name w:val="Sous-titre Car"/>
    <w:basedOn w:val="Policepardfaut"/>
    <w:link w:val="Sous-titre"/>
    <w:uiPriority w:val="11"/>
    <w:rsid w:val="00B72445"/>
    <w:rPr>
      <w:rFonts w:ascii="TheSansB W5 Plain" w:eastAsiaTheme="majorEastAsia" w:hAnsi="TheSansB W5 Plain" w:cstheme="majorBidi"/>
      <w:iCs/>
      <w:sz w:val="36"/>
      <w:szCs w:val="24"/>
    </w:rPr>
  </w:style>
  <w:style w:type="paragraph" w:customStyle="1" w:styleId="KopInhoudsopgave">
    <w:name w:val="Kop Inhoudsopgave"/>
    <w:next w:val="Normal"/>
    <w:uiPriority w:val="99"/>
    <w:rsid w:val="00D21C36"/>
    <w:pPr>
      <w:spacing w:before="120" w:after="840"/>
    </w:pPr>
    <w:rPr>
      <w:rFonts w:ascii="TheSerifOffice" w:eastAsiaTheme="majorEastAsia" w:hAnsi="TheSerifOffice" w:cstheme="majorBidi"/>
      <w:iCs/>
      <w:color w:val="DECD00"/>
      <w:sz w:val="42"/>
      <w:szCs w:val="20"/>
    </w:rPr>
  </w:style>
  <w:style w:type="paragraph" w:styleId="TM9">
    <w:name w:val="toc 9"/>
    <w:basedOn w:val="Normal"/>
    <w:next w:val="Normal"/>
    <w:uiPriority w:val="39"/>
    <w:unhideWhenUsed/>
    <w:rsid w:val="00B55EDD"/>
    <w:pPr>
      <w:tabs>
        <w:tab w:val="right" w:pos="7643"/>
      </w:tabs>
      <w:spacing w:before="560"/>
      <w:ind w:left="567"/>
    </w:pPr>
    <w:rPr>
      <w:rFonts w:ascii="TheSerifOffice" w:hAnsi="TheSerifOffice"/>
      <w:b/>
    </w:rPr>
  </w:style>
  <w:style w:type="paragraph" w:styleId="TM1">
    <w:name w:val="toc 1"/>
    <w:basedOn w:val="Normal"/>
    <w:next w:val="Normal"/>
    <w:autoRedefine/>
    <w:uiPriority w:val="39"/>
    <w:rsid w:val="00B55EDD"/>
    <w:pPr>
      <w:numPr>
        <w:numId w:val="7"/>
      </w:numPr>
      <w:tabs>
        <w:tab w:val="right" w:pos="7643"/>
      </w:tabs>
      <w:spacing w:before="280"/>
    </w:pPr>
    <w:rPr>
      <w:rFonts w:ascii="TheSerifOffice" w:hAnsi="TheSerifOffice"/>
      <w:b/>
    </w:rPr>
  </w:style>
  <w:style w:type="paragraph" w:styleId="TM2">
    <w:name w:val="toc 2"/>
    <w:basedOn w:val="Normal"/>
    <w:next w:val="Normal"/>
    <w:uiPriority w:val="39"/>
    <w:rsid w:val="00B55EDD"/>
    <w:pPr>
      <w:tabs>
        <w:tab w:val="left" w:pos="567"/>
        <w:tab w:val="right" w:pos="7643"/>
      </w:tabs>
      <w:ind w:left="567" w:hanging="567"/>
    </w:pPr>
    <w:rPr>
      <w:rFonts w:ascii="TheSerifOffice" w:hAnsi="TheSerifOffice"/>
    </w:rPr>
  </w:style>
  <w:style w:type="paragraph" w:styleId="TM3">
    <w:name w:val="toc 3"/>
    <w:basedOn w:val="Normal"/>
    <w:next w:val="Normal"/>
    <w:uiPriority w:val="39"/>
    <w:rsid w:val="00B55EDD"/>
    <w:pPr>
      <w:tabs>
        <w:tab w:val="left" w:pos="567"/>
        <w:tab w:val="right" w:pos="7643"/>
      </w:tabs>
      <w:ind w:left="567" w:hanging="567"/>
    </w:pPr>
    <w:rPr>
      <w:rFonts w:ascii="TheSerifOffice" w:hAnsi="TheSerifOffice"/>
      <w:i/>
    </w:rPr>
  </w:style>
  <w:style w:type="character" w:styleId="Lienhypertexte">
    <w:name w:val="Hyperlink"/>
    <w:basedOn w:val="Policepardfaut"/>
    <w:uiPriority w:val="99"/>
    <w:unhideWhenUsed/>
    <w:rsid w:val="00D21C36"/>
    <w:rPr>
      <w:color w:val="0000FF" w:themeColor="hyperlink"/>
      <w:u w:val="single"/>
    </w:rPr>
  </w:style>
  <w:style w:type="numbering" w:customStyle="1" w:styleId="TOCnummering">
    <w:name w:val="TOC nummering"/>
    <w:basedOn w:val="Aucuneliste"/>
    <w:uiPriority w:val="99"/>
    <w:rsid w:val="008D70C4"/>
    <w:pPr>
      <w:numPr>
        <w:numId w:val="19"/>
      </w:numPr>
    </w:pPr>
  </w:style>
  <w:style w:type="paragraph" w:customStyle="1" w:styleId="Streamer">
    <w:name w:val="Streamer"/>
    <w:basedOn w:val="Normal"/>
    <w:next w:val="Normal"/>
    <w:uiPriority w:val="29"/>
    <w:qFormat/>
    <w:rsid w:val="00842FE5"/>
    <w:pPr>
      <w:pBdr>
        <w:bottom w:val="dotted" w:sz="2" w:space="21" w:color="DECD00"/>
      </w:pBdr>
      <w:spacing w:before="1000" w:after="1080" w:line="420" w:lineRule="exact"/>
      <w:ind w:left="340" w:right="1701"/>
    </w:pPr>
    <w:rPr>
      <w:rFonts w:ascii="TheSerifOffice" w:hAnsi="TheSerifOffice"/>
      <w:color w:val="DECD00"/>
      <w:sz w:val="36"/>
    </w:rPr>
  </w:style>
  <w:style w:type="paragraph" w:styleId="Listepuces2">
    <w:name w:val="List Bullet 2"/>
    <w:basedOn w:val="Normal"/>
    <w:uiPriority w:val="20"/>
    <w:qFormat/>
    <w:rsid w:val="007969CB"/>
    <w:pPr>
      <w:numPr>
        <w:ilvl w:val="1"/>
        <w:numId w:val="5"/>
      </w:numPr>
      <w:contextualSpacing/>
    </w:pPr>
  </w:style>
  <w:style w:type="paragraph" w:styleId="Listepuces3">
    <w:name w:val="List Bullet 3"/>
    <w:basedOn w:val="Normal"/>
    <w:uiPriority w:val="99"/>
    <w:semiHidden/>
    <w:rsid w:val="003E3F3B"/>
    <w:pPr>
      <w:numPr>
        <w:numId w:val="10"/>
      </w:numPr>
      <w:contextualSpacing/>
    </w:pPr>
  </w:style>
  <w:style w:type="paragraph" w:customStyle="1" w:styleId="LaatstePagina">
    <w:name w:val="LaatstePagina"/>
    <w:basedOn w:val="Normal"/>
    <w:next w:val="Normal"/>
    <w:uiPriority w:val="99"/>
    <w:rsid w:val="00082FC0"/>
    <w:pPr>
      <w:pageBreakBefore/>
      <w:widowControl w:val="0"/>
    </w:pPr>
    <w:rPr>
      <w:noProof/>
      <w:lang w:eastAsia="nl-NL"/>
    </w:rPr>
  </w:style>
  <w:style w:type="paragraph" w:customStyle="1" w:styleId="Foto">
    <w:name w:val="Foto"/>
    <w:basedOn w:val="Normal"/>
    <w:next w:val="Normal"/>
    <w:uiPriority w:val="99"/>
    <w:rsid w:val="00E17305"/>
    <w:pPr>
      <w:spacing w:before="560" w:after="700" w:line="240" w:lineRule="auto"/>
      <w:ind w:left="-737"/>
    </w:pPr>
  </w:style>
  <w:style w:type="table" w:customStyle="1" w:styleId="KPTabel">
    <w:name w:val="_KP Tabel"/>
    <w:basedOn w:val="TableauNormal"/>
    <w:uiPriority w:val="99"/>
    <w:rsid w:val="0025767A"/>
    <w:pPr>
      <w:spacing w:line="280" w:lineRule="atLeast"/>
    </w:pPr>
    <w:rPr>
      <w:color w:val="967F5B"/>
      <w:sz w:val="16"/>
    </w:rPr>
    <w:tblPr>
      <w:tblStyleRowBandSize w:val="1"/>
      <w:tblBorders>
        <w:bottom w:val="dotted" w:sz="2" w:space="0" w:color="auto"/>
      </w:tblBorders>
    </w:tblPr>
    <w:tblStylePr w:type="firstRow">
      <w:rPr>
        <w:rFonts w:ascii="TheSansB W8 ExtraBold" w:hAnsi="TheSansB W8 ExtraBold"/>
        <w:b w:val="0"/>
        <w:i w:val="0"/>
        <w:color w:val="967F5B"/>
        <w:sz w:val="16"/>
      </w:rPr>
      <w:tblPr/>
      <w:trPr>
        <w:tblHeader/>
      </w:trPr>
      <w:tcPr>
        <w:tcBorders>
          <w:top w:val="dotted" w:sz="2" w:space="0" w:color="auto"/>
          <w:left w:val="nil"/>
          <w:bottom w:val="dotted" w:sz="2" w:space="0" w:color="auto"/>
          <w:right w:val="nil"/>
          <w:insideH w:val="nil"/>
          <w:insideV w:val="nil"/>
          <w:tl2br w:val="nil"/>
          <w:tr2bl w:val="nil"/>
        </w:tcBorders>
      </w:tcPr>
    </w:tblStylePr>
    <w:tblStylePr w:type="firstCol">
      <w:rPr>
        <w:rFonts w:ascii="TheSansB W4 SemiLight" w:hAnsi="TheSansB W4 SemiLight"/>
        <w:b w:val="0"/>
        <w:i w:val="0"/>
        <w:sz w:val="16"/>
      </w:rPr>
    </w:tblStylePr>
  </w:style>
  <w:style w:type="paragraph" w:styleId="Lgende">
    <w:name w:val="caption"/>
    <w:basedOn w:val="Normal"/>
    <w:next w:val="Normal"/>
    <w:uiPriority w:val="53"/>
    <w:qFormat/>
    <w:rsid w:val="00320E65"/>
    <w:pPr>
      <w:keepNext/>
      <w:spacing w:before="700"/>
    </w:pPr>
    <w:rPr>
      <w:b/>
      <w:bCs/>
      <w:color w:val="967F5B"/>
    </w:rPr>
  </w:style>
  <w:style w:type="paragraph" w:customStyle="1" w:styleId="Source">
    <w:name w:val="Source"/>
    <w:basedOn w:val="Normal"/>
    <w:next w:val="Normal"/>
    <w:uiPriority w:val="52"/>
    <w:rsid w:val="00EF413F"/>
    <w:pPr>
      <w:jc w:val="right"/>
    </w:pPr>
    <w:rPr>
      <w:i/>
      <w:color w:val="967F5B"/>
      <w:sz w:val="14"/>
    </w:rPr>
  </w:style>
  <w:style w:type="paragraph" w:customStyle="1" w:styleId="TableHeading">
    <w:name w:val="Table Heading"/>
    <w:basedOn w:val="Normal"/>
    <w:uiPriority w:val="51"/>
    <w:qFormat/>
    <w:rsid w:val="0025767A"/>
    <w:pPr>
      <w:spacing w:line="280" w:lineRule="atLeast"/>
    </w:pPr>
    <w:rPr>
      <w:rFonts w:ascii="TheSansB W8 ExtraBold" w:hAnsi="TheSansB W8 ExtraBold"/>
      <w:color w:val="967F5B"/>
      <w:sz w:val="16"/>
    </w:rPr>
  </w:style>
  <w:style w:type="paragraph" w:customStyle="1" w:styleId="TableText">
    <w:name w:val="Table Text"/>
    <w:uiPriority w:val="49"/>
    <w:qFormat/>
    <w:rsid w:val="0025767A"/>
    <w:pPr>
      <w:spacing w:line="280" w:lineRule="atLeast"/>
    </w:pPr>
    <w:rPr>
      <w:color w:val="967F5B"/>
      <w:sz w:val="16"/>
    </w:rPr>
  </w:style>
  <w:style w:type="table" w:customStyle="1" w:styleId="KPTextboxTabel">
    <w:name w:val="_KP Textbox Tabel"/>
    <w:basedOn w:val="TableauNormal"/>
    <w:uiPriority w:val="99"/>
    <w:rsid w:val="00DB54BC"/>
    <w:rPr>
      <w:rFonts w:ascii="TheSerifOffice" w:hAnsi="TheSerifOffice"/>
      <w:color w:val="006273"/>
    </w:rPr>
    <w:tblPr>
      <w:tblBorders>
        <w:top w:val="single" w:sz="4" w:space="0" w:color="006273"/>
        <w:bottom w:val="single" w:sz="4" w:space="0" w:color="006273"/>
      </w:tblBorders>
      <w:tblCellMar>
        <w:top w:w="280" w:type="dxa"/>
        <w:left w:w="0" w:type="dxa"/>
        <w:bottom w:w="280" w:type="dxa"/>
        <w:right w:w="0" w:type="dxa"/>
      </w:tblCellMar>
    </w:tblPr>
  </w:style>
  <w:style w:type="paragraph" w:customStyle="1" w:styleId="TextboxTitle">
    <w:name w:val="Textbox Title"/>
    <w:basedOn w:val="Normal"/>
    <w:next w:val="Normal"/>
    <w:uiPriority w:val="41"/>
    <w:qFormat/>
    <w:rsid w:val="00DB54BC"/>
    <w:pPr>
      <w:keepNext/>
      <w:spacing w:after="280"/>
    </w:pPr>
    <w:rPr>
      <w:rFonts w:ascii="TheSerifOffice" w:hAnsi="TheSerifOffice"/>
      <w:caps/>
      <w:color w:val="006273"/>
      <w:sz w:val="28"/>
    </w:rPr>
  </w:style>
  <w:style w:type="paragraph" w:customStyle="1" w:styleId="TextboxText">
    <w:name w:val="Textbox Text"/>
    <w:basedOn w:val="Normal"/>
    <w:uiPriority w:val="39"/>
    <w:qFormat/>
    <w:rsid w:val="00DB54BC"/>
    <w:rPr>
      <w:rFonts w:ascii="TheSerifOffice" w:hAnsi="TheSerifOffice"/>
      <w:color w:val="006273"/>
    </w:rPr>
  </w:style>
  <w:style w:type="paragraph" w:customStyle="1" w:styleId="TextboxHeading">
    <w:name w:val="Textbox Heading"/>
    <w:basedOn w:val="Normal"/>
    <w:next w:val="TextboxText"/>
    <w:uiPriority w:val="40"/>
    <w:rsid w:val="00DB54BC"/>
    <w:pPr>
      <w:keepNext/>
      <w:spacing w:before="280"/>
    </w:pPr>
    <w:rPr>
      <w:rFonts w:ascii="TheSerifOffice" w:hAnsi="TheSerifOffice"/>
      <w:b/>
      <w:caps/>
      <w:color w:val="006273"/>
      <w:sz w:val="20"/>
    </w:rPr>
  </w:style>
  <w:style w:type="table" w:styleId="Effetsdetableau3D1">
    <w:name w:val="Table 3D effects 1"/>
    <w:basedOn w:val="TableauNormal"/>
    <w:uiPriority w:val="99"/>
    <w:semiHidden/>
    <w:unhideWhenUsed/>
    <w:rsid w:val="00B23F0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23F0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23F0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fonce">
    <w:name w:val="Dark List"/>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B23F07"/>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eausimple1">
    <w:name w:val="Table Simple 1"/>
    <w:basedOn w:val="TableauNormal"/>
    <w:uiPriority w:val="99"/>
    <w:semiHidden/>
    <w:unhideWhenUsed/>
    <w:rsid w:val="00B23F0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23F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23F0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B23F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23F0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moyenne1">
    <w:name w:val="Medium Grid 1"/>
    <w:basedOn w:val="TableauNormal"/>
    <w:uiPriority w:val="67"/>
    <w:semiHidden/>
    <w:unhideWhenUsed/>
    <w:rsid w:val="00B23F0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B23F07"/>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B23F07"/>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B23F07"/>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B23F07"/>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B23F07"/>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B23F07"/>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B23F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ramemoyenne1">
    <w:name w:val="Medium Shading 1"/>
    <w:basedOn w:val="TableauNormal"/>
    <w:uiPriority w:val="63"/>
    <w:semiHidden/>
    <w:unhideWhenUsed/>
    <w:rsid w:val="00B23F0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B23F07"/>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B23F07"/>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B23F07"/>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B23F07"/>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B23F07"/>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B23F07"/>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B23F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B23F07"/>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B23F0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classique1">
    <w:name w:val="Table Classic 1"/>
    <w:basedOn w:val="TableauNormal"/>
    <w:uiPriority w:val="99"/>
    <w:semiHidden/>
    <w:unhideWhenUsed/>
    <w:rsid w:val="00B23F0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23F0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23F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23F0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Grillecouleur">
    <w:name w:val="Colorful Grid"/>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B23F0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ouleur">
    <w:name w:val="Colorful Shading"/>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B23F07"/>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B23F07"/>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eaucolor1">
    <w:name w:val="Table Colorful 1"/>
    <w:basedOn w:val="TableauNormal"/>
    <w:uiPriority w:val="99"/>
    <w:semiHidden/>
    <w:unhideWhenUsed/>
    <w:rsid w:val="00B23F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23F0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23F0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Grilleclaire">
    <w:name w:val="Light Grid"/>
    <w:basedOn w:val="TableauNormal"/>
    <w:uiPriority w:val="62"/>
    <w:semiHidden/>
    <w:unhideWhenUsed/>
    <w:rsid w:val="00B23F0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B23F07"/>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B23F0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B23F0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B23F07"/>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B23F07"/>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B23F07"/>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mbrageclair">
    <w:name w:val="Light Shading"/>
    <w:basedOn w:val="TableauNormal"/>
    <w:uiPriority w:val="60"/>
    <w:semiHidden/>
    <w:unhideWhenUsed/>
    <w:rsid w:val="00B23F0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B23F07"/>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B23F07"/>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B23F07"/>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B23F07"/>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B23F07"/>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B23F07"/>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semiHidden/>
    <w:unhideWhenUsed/>
    <w:rsid w:val="00B23F0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B23F07"/>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B23F0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B23F0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B23F07"/>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B23F07"/>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B23F07"/>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auprofessionnel">
    <w:name w:val="Table Professional"/>
    <w:basedOn w:val="TableauNormal"/>
    <w:uiPriority w:val="99"/>
    <w:semiHidden/>
    <w:unhideWhenUsed/>
    <w:rsid w:val="00B23F0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23F0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23F0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23F0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23F0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23F0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liste1">
    <w:name w:val="Table List 1"/>
    <w:basedOn w:val="TableauNormal"/>
    <w:uiPriority w:val="99"/>
    <w:semiHidden/>
    <w:unhideWhenUsed/>
    <w:rsid w:val="00B23F0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23F0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23F0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23F0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23F0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23F0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23F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23F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uiPriority w:val="99"/>
    <w:semiHidden/>
    <w:unhideWhenUsed/>
    <w:rsid w:val="00B23F0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23F0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23F0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23F0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23F0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23F0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23F0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23F0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2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ple1">
    <w:name w:val="Table Subtle 1"/>
    <w:basedOn w:val="TableauNormal"/>
    <w:uiPriority w:val="99"/>
    <w:semiHidden/>
    <w:unhideWhenUsed/>
    <w:rsid w:val="00B23F0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23F0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uiPriority w:val="99"/>
    <w:semiHidden/>
    <w:unhideWhenUsed/>
    <w:rsid w:val="00B23F0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23F0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23F0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ummers">
    <w:name w:val="Nummers"/>
    <w:basedOn w:val="Aucuneliste"/>
    <w:uiPriority w:val="99"/>
    <w:rsid w:val="007969CB"/>
    <w:pPr>
      <w:numPr>
        <w:numId w:val="11"/>
      </w:numPr>
    </w:pPr>
  </w:style>
  <w:style w:type="paragraph" w:styleId="Notedefin">
    <w:name w:val="endnote text"/>
    <w:basedOn w:val="Normal"/>
    <w:link w:val="NotedefinCar"/>
    <w:uiPriority w:val="99"/>
    <w:unhideWhenUsed/>
    <w:rsid w:val="00943F8F"/>
    <w:rPr>
      <w:rFonts w:ascii="TheSerifOffice" w:hAnsi="TheSerifOffice"/>
      <w:sz w:val="16"/>
      <w:szCs w:val="20"/>
    </w:rPr>
  </w:style>
  <w:style w:type="character" w:customStyle="1" w:styleId="NotedefinCar">
    <w:name w:val="Note de fin Car"/>
    <w:basedOn w:val="Policepardfaut"/>
    <w:link w:val="Notedefin"/>
    <w:uiPriority w:val="99"/>
    <w:rsid w:val="00943F8F"/>
    <w:rPr>
      <w:rFonts w:ascii="TheSerifOffice" w:hAnsi="TheSerifOffice"/>
      <w:sz w:val="16"/>
      <w:szCs w:val="20"/>
      <w:lang w:val="en-US"/>
    </w:rPr>
  </w:style>
  <w:style w:type="character" w:styleId="Appeldenotedefin">
    <w:name w:val="endnote reference"/>
    <w:basedOn w:val="Policepardfaut"/>
    <w:uiPriority w:val="99"/>
    <w:semiHidden/>
    <w:unhideWhenUsed/>
    <w:rsid w:val="00B051FB"/>
    <w:rPr>
      <w:rFonts w:ascii="TheSerifOffice" w:hAnsi="TheSerifOffice"/>
      <w:b w:val="0"/>
      <w:i w:val="0"/>
      <w:color w:val="967F5B"/>
      <w:sz w:val="12"/>
      <w:vertAlign w:val="superscript"/>
    </w:rPr>
  </w:style>
  <w:style w:type="character" w:styleId="Appelnotedebasdep">
    <w:name w:val="footnote reference"/>
    <w:basedOn w:val="Policepardfaut"/>
    <w:unhideWhenUsed/>
    <w:qFormat/>
    <w:rsid w:val="00B051FB"/>
    <w:rPr>
      <w:rFonts w:ascii="TheSerifOffice" w:hAnsi="TheSerifOffice"/>
      <w:b w:val="0"/>
      <w:i w:val="0"/>
      <w:color w:val="967F5B"/>
      <w:sz w:val="12"/>
      <w:vertAlign w:val="superscript"/>
    </w:rPr>
  </w:style>
  <w:style w:type="paragraph" w:styleId="Notedebasdepage">
    <w:name w:val="footnote text"/>
    <w:basedOn w:val="Normal"/>
    <w:link w:val="NotedebasdepageCar"/>
    <w:unhideWhenUsed/>
    <w:qFormat/>
    <w:rsid w:val="00B051FB"/>
    <w:rPr>
      <w:rFonts w:ascii="TheSerifOffice" w:hAnsi="TheSerifOffice"/>
      <w:sz w:val="12"/>
      <w:szCs w:val="20"/>
    </w:rPr>
  </w:style>
  <w:style w:type="character" w:customStyle="1" w:styleId="NotedebasdepageCar">
    <w:name w:val="Note de bas de page Car"/>
    <w:basedOn w:val="Policepardfaut"/>
    <w:link w:val="Notedebasdepage"/>
    <w:rsid w:val="00B051FB"/>
    <w:rPr>
      <w:rFonts w:ascii="TheSerifOffice" w:hAnsi="TheSerifOffice"/>
      <w:sz w:val="12"/>
      <w:szCs w:val="20"/>
    </w:rPr>
  </w:style>
  <w:style w:type="paragraph" w:styleId="Listenumros">
    <w:name w:val="List Number"/>
    <w:basedOn w:val="Normal"/>
    <w:uiPriority w:val="19"/>
    <w:qFormat/>
    <w:rsid w:val="007969CB"/>
    <w:pPr>
      <w:numPr>
        <w:numId w:val="11"/>
      </w:numPr>
      <w:contextualSpacing/>
    </w:pPr>
  </w:style>
  <w:style w:type="paragraph" w:styleId="Listenumros2">
    <w:name w:val="List Number 2"/>
    <w:basedOn w:val="Normal"/>
    <w:uiPriority w:val="99"/>
    <w:semiHidden/>
    <w:unhideWhenUsed/>
    <w:rsid w:val="007969CB"/>
    <w:pPr>
      <w:numPr>
        <w:ilvl w:val="1"/>
        <w:numId w:val="11"/>
      </w:numPr>
      <w:contextualSpacing/>
    </w:pPr>
  </w:style>
  <w:style w:type="paragraph" w:styleId="Paragraphedeliste">
    <w:name w:val="List Paragraph"/>
    <w:basedOn w:val="Normal"/>
    <w:uiPriority w:val="26"/>
    <w:qFormat/>
    <w:rsid w:val="00002DAC"/>
    <w:pPr>
      <w:spacing w:line="240" w:lineRule="auto"/>
      <w:ind w:left="720"/>
      <w:contextualSpacing/>
    </w:pPr>
    <w:rPr>
      <w:rFonts w:asciiTheme="minorHAnsi" w:eastAsiaTheme="minorEastAsia" w:hAnsiTheme="minorHAnsi"/>
      <w:color w:val="auto"/>
      <w:sz w:val="24"/>
      <w:szCs w:val="24"/>
    </w:rPr>
  </w:style>
  <w:style w:type="paragraph" w:styleId="Corpsdetexte">
    <w:name w:val="Body Text"/>
    <w:basedOn w:val="Normal"/>
    <w:link w:val="CorpsdetexteCar"/>
    <w:qFormat/>
    <w:rsid w:val="00002DAC"/>
    <w:pPr>
      <w:spacing w:after="190" w:line="250" w:lineRule="atLeast"/>
      <w:jc w:val="both"/>
    </w:pPr>
    <w:rPr>
      <w:rFonts w:ascii="Times New Roman" w:eastAsia="Calibri" w:hAnsi="Times New Roman" w:cs="Times New Roman"/>
      <w:color w:val="auto"/>
      <w:sz w:val="20"/>
      <w:szCs w:val="22"/>
      <w:lang w:val="en-GB"/>
    </w:rPr>
  </w:style>
  <w:style w:type="character" w:customStyle="1" w:styleId="BodyTextChar">
    <w:name w:val="Body Text Char"/>
    <w:basedOn w:val="Policepardfaut"/>
    <w:rsid w:val="00002DAC"/>
    <w:rPr>
      <w:lang w:val="en-US"/>
    </w:rPr>
  </w:style>
  <w:style w:type="character" w:customStyle="1" w:styleId="CorpsdetexteCar">
    <w:name w:val="Corps de texte Car"/>
    <w:link w:val="Corpsdetexte"/>
    <w:rsid w:val="00002DAC"/>
    <w:rPr>
      <w:rFonts w:ascii="Times New Roman" w:eastAsia="Calibri" w:hAnsi="Times New Roman" w:cs="Times New Roman"/>
      <w:color w:val="auto"/>
      <w:sz w:val="20"/>
      <w:szCs w:val="22"/>
      <w:lang w:val="en-GB"/>
    </w:rPr>
  </w:style>
  <w:style w:type="paragraph" w:customStyle="1" w:styleId="Default">
    <w:name w:val="Default"/>
    <w:rsid w:val="00002DAC"/>
    <w:pPr>
      <w:autoSpaceDE w:val="0"/>
      <w:autoSpaceDN w:val="0"/>
      <w:adjustRightInd w:val="0"/>
      <w:spacing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ewome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un.org/en/peacekeeping/documents/10year_impact_study_1325.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acewomen.org/assets/file/NationalActionPlans/ire_nap_nov2011.pdf" TargetMode="External"/><Relationship Id="rId1" Type="http://schemas.openxmlformats.org/officeDocument/2006/relationships/hyperlink" Target="http://www.peacewomen.org/assets/file/NationalActionPlans/sierra_leone_nap.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e\Downloads\oDGP\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408558740411788E-2"/>
          <c:y val="8.2859599936371583E-2"/>
          <c:w val="0.54141414141414146"/>
          <c:h val="0.84676145339652453"/>
        </c:manualLayout>
      </c:layout>
      <c:pieChart>
        <c:varyColors val="1"/>
        <c:ser>
          <c:idx val="0"/>
          <c:order val="0"/>
          <c:tx>
            <c:strRef>
              <c:f>Sheet1!$A$2:$A$5</c:f>
              <c:strCache>
                <c:ptCount val="1"/>
                <c:pt idx="0">
                  <c:v>Inclusion formelle (17) Inclusion informelle (7) Interaction informelle (18) Absence d'interaction ou d'inclusion (10)</c:v>
                </c:pt>
              </c:strCache>
            </c:strRef>
          </c:tx>
          <c:cat>
            <c:strRef>
              <c:f>Sheet1!$A$2:$A$5</c:f>
              <c:strCache>
                <c:ptCount val="4"/>
                <c:pt idx="0">
                  <c:v>Inclusion formelle (17)</c:v>
                </c:pt>
                <c:pt idx="1">
                  <c:v>Inclusion informelle (7)</c:v>
                </c:pt>
                <c:pt idx="2">
                  <c:v>Interaction informelle (18)</c:v>
                </c:pt>
                <c:pt idx="3">
                  <c:v>Absence d'interaction ou d'inclusion (10)</c:v>
                </c:pt>
              </c:strCache>
            </c:strRef>
          </c:cat>
          <c:val>
            <c:numRef>
              <c:f>Sheet1!$B$2:$B$5</c:f>
              <c:numCache>
                <c:formatCode>General</c:formatCode>
                <c:ptCount val="4"/>
                <c:pt idx="0">
                  <c:v>17</c:v>
                </c:pt>
                <c:pt idx="1">
                  <c:v>7</c:v>
                </c:pt>
                <c:pt idx="2">
                  <c:v>18</c:v>
                </c:pt>
                <c:pt idx="3">
                  <c:v>10</c:v>
                </c:pt>
              </c:numCache>
            </c:numRef>
          </c:val>
          <c:extLst>
            <c:ext xmlns:c16="http://schemas.microsoft.com/office/drawing/2014/chart" uri="{C3380CC4-5D6E-409C-BE32-E72D297353CC}">
              <c16:uniqueId val="{00000000-E06D-4209-BBC3-CA41438BF033}"/>
            </c:ext>
          </c:extLst>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60596369726669996"/>
          <c:y val="0"/>
          <c:w val="0.33050407398074116"/>
          <c:h val="1"/>
        </c:manualLayout>
      </c:layout>
      <c:overlay val="0"/>
      <c:spPr>
        <a:noFill/>
        <a:ln>
          <a:noFill/>
        </a:ln>
      </c:spPr>
      <c:txPr>
        <a:bodyPr rot="0" vert="horz" anchor="t" anchorCtr="1"/>
        <a:lstStyle/>
        <a:p>
          <a:pPr rtl="0">
            <a:defRPr baseline="0">
              <a:solidFill>
                <a:srgbClr val="000000"/>
              </a:solidFill>
            </a:defRPr>
          </a:pPr>
          <a:endParaRPr lang="fr-FR"/>
        </a:p>
      </c:txPr>
    </c:legend>
    <c:plotVisOnly val="1"/>
    <c:dispBlanksAs val="gap"/>
    <c:showDLblsOverMax val="0"/>
  </c:chart>
  <c:spPr>
    <a:solidFill>
      <a:srgbClr val="FFFFFF"/>
    </a:solidFill>
    <a:ln>
      <a:solidFill>
        <a:srgbClr val="808080"/>
      </a:solidFill>
    </a:ln>
  </c:sp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ADC1-82A1-4094-B722-FE15ACF3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20655</Words>
  <Characters>113608</Characters>
  <Application>Microsoft Office Word</Application>
  <DocSecurity>0</DocSecurity>
  <Lines>946</Lines>
  <Paragraphs>267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Gouwenberg</dc:creator>
  <cp:lastModifiedBy>Marie Lechowicz</cp:lastModifiedBy>
  <cp:revision>6</cp:revision>
  <cp:lastPrinted>2015-04-23T08:11:00Z</cp:lastPrinted>
  <dcterms:created xsi:type="dcterms:W3CDTF">2015-07-06T16:59:00Z</dcterms:created>
  <dcterms:modified xsi:type="dcterms:W3CDTF">2019-01-14T16:03:00Z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140407 10:25</vt:lpwstr>
  </property>
  <property fmtid="{D5CDD505-2E9C-101B-9397-08002B2CF9AE}" pid="3" name="VerkorteDatum">
    <vt:lpwstr>10 Feb 2015</vt:lpwstr>
  </property>
  <property fmtid="{D5CDD505-2E9C-101B-9397-08002B2CF9AE}" pid="4" name="Titel">
    <vt:lpwstr>Women, Peace and Security</vt:lpwstr>
  </property>
  <property fmtid="{D5CDD505-2E9C-101B-9397-08002B2CF9AE}" pid="5" name="FrmCovers">
    <vt:lpwstr>Cover1</vt:lpwstr>
  </property>
  <property fmtid="{D5CDD505-2E9C-101B-9397-08002B2CF9AE}" pid="6" name="Logos0">
    <vt:lpwstr>G:\All\PR - Communication\LOGO\logos partners\Dutch ministry foreign affairs-RO_BZ_Logo_2_7462C_pos op wit_x_en copy.jpg</vt:lpwstr>
  </property>
  <property fmtid="{D5CDD505-2E9C-101B-9397-08002B2CF9AE}" pid="7" name="Logos1">
    <vt:lpwstr>G:\Projects\2. Active Projects\Knowledge Platform S&amp;J\2014\2015\Communications and Website\Pictures\Logo's\nap.png</vt:lpwstr>
  </property>
  <property fmtid="{D5CDD505-2E9C-101B-9397-08002B2CF9AE}" pid="8" name="Logos2">
    <vt:lpwstr>G:\Projects\2. Active Projects\Knowledge Platform S&amp;J\2014\2015\Communications and Website\Pictures\Logo's\WO=MEN logo_transparant.png</vt:lpwstr>
  </property>
  <property fmtid="{D5CDD505-2E9C-101B-9397-08002B2CF9AE}" pid="9" name="Subtitel">
    <vt:lpwstr>The current state of affairs</vt:lpwstr>
  </property>
  <property fmtid="{D5CDD505-2E9C-101B-9397-08002B2CF9AE}" pid="10" name="Van">
    <vt:lpwstr> </vt:lpwstr>
  </property>
  <property fmtid="{D5CDD505-2E9C-101B-9397-08002B2CF9AE}" pid="11" name="Auteur">
    <vt:lpwstr>K. Barnes Robinson_x000b_P. Domingo &amp; C. Cummings _x000b_A. Ekvall_x000b_A. Young</vt:lpwstr>
  </property>
  <property fmtid="{D5CDD505-2E9C-101B-9397-08002B2CF9AE}" pid="12" name="Versie">
    <vt:lpwstr> </vt:lpwstr>
  </property>
  <property fmtid="{D5CDD505-2E9C-101B-9397-08002B2CF9AE}" pid="13" name="DatumDoc">
    <vt:lpwstr>10 February 2015</vt:lpwstr>
  </property>
  <property fmtid="{D5CDD505-2E9C-101B-9397-08002B2CF9AE}" pid="14" name="VertaaldeDatum">
    <vt:lpwstr>10 02 2015</vt:lpwstr>
  </property>
  <property fmtid="{D5CDD505-2E9C-101B-9397-08002B2CF9AE}" pid="15" name="LogosOpnemen">
    <vt:lpwstr>-1</vt:lpwstr>
  </property>
  <property fmtid="{D5CDD505-2E9C-101B-9397-08002B2CF9AE}" pid="16" name="Huisstijl">
    <vt:lpwstr>Huisstijl</vt:lpwstr>
  </property>
</Properties>
</file>