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0B82" w14:textId="32BD600C" w:rsidR="00216240" w:rsidRDefault="00216240" w:rsidP="0021624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FIEDLER EDITORIAL LLC</w:t>
      </w:r>
    </w:p>
    <w:p w14:paraId="53FE296A" w14:textId="7263CA41" w:rsidR="00BA35E2" w:rsidRPr="00151CD5" w:rsidRDefault="00126446">
      <w:pPr>
        <w:rPr>
          <w:b/>
          <w:sz w:val="40"/>
          <w:szCs w:val="40"/>
          <w:u w:val="single"/>
        </w:rPr>
      </w:pPr>
      <w:r w:rsidRPr="00151CD5">
        <w:rPr>
          <w:b/>
          <w:sz w:val="40"/>
          <w:szCs w:val="40"/>
          <w:u w:val="single"/>
        </w:rPr>
        <w:t>SUZELLE FIEDLER</w:t>
      </w:r>
      <w:r w:rsidRPr="00151CD5">
        <w:rPr>
          <w:b/>
          <w:sz w:val="40"/>
          <w:szCs w:val="40"/>
          <w:u w:val="single"/>
        </w:rPr>
        <w:tab/>
      </w:r>
      <w:r w:rsidRPr="00151CD5">
        <w:rPr>
          <w:b/>
          <w:sz w:val="40"/>
          <w:szCs w:val="40"/>
          <w:u w:val="single"/>
        </w:rPr>
        <w:sym w:font="Wingdings" w:char="F077"/>
      </w:r>
      <w:r w:rsidRPr="00151CD5">
        <w:rPr>
          <w:b/>
          <w:sz w:val="40"/>
          <w:szCs w:val="40"/>
          <w:u w:val="single"/>
        </w:rPr>
        <w:t xml:space="preserve"> COPYEDITING AND PROOFREADING</w:t>
      </w:r>
    </w:p>
    <w:p w14:paraId="5887B653" w14:textId="77777777" w:rsidR="00126446" w:rsidRDefault="00126446" w:rsidP="00126446">
      <w:pPr>
        <w:contextualSpacing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800 Stratford Way, Unit L </w:t>
      </w:r>
      <w:r>
        <w:rPr>
          <w:sz w:val="20"/>
          <w:szCs w:val="20"/>
        </w:rPr>
        <w:sym w:font="Wingdings" w:char="F077"/>
      </w:r>
      <w:r>
        <w:rPr>
          <w:sz w:val="20"/>
          <w:szCs w:val="20"/>
        </w:rPr>
        <w:t xml:space="preserve"> Frederick, Maryland 21701 </w:t>
      </w:r>
      <w:r>
        <w:rPr>
          <w:sz w:val="20"/>
          <w:szCs w:val="20"/>
        </w:rPr>
        <w:sym w:font="Wingdings" w:char="F077"/>
      </w:r>
      <w:r>
        <w:rPr>
          <w:sz w:val="20"/>
          <w:szCs w:val="20"/>
        </w:rPr>
        <w:t xml:space="preserve"> (410) 274-4820 </w:t>
      </w:r>
      <w:r>
        <w:rPr>
          <w:sz w:val="20"/>
          <w:szCs w:val="20"/>
        </w:rPr>
        <w:sym w:font="Wingdings" w:char="F077"/>
      </w:r>
      <w:r>
        <w:rPr>
          <w:sz w:val="20"/>
          <w:szCs w:val="20"/>
        </w:rPr>
        <w:t xml:space="preserve"> </w:t>
      </w:r>
      <w:r w:rsidRPr="00151CD5">
        <w:rPr>
          <w:sz w:val="20"/>
          <w:szCs w:val="20"/>
          <w:u w:val="single"/>
        </w:rPr>
        <w:t>sfproofreader@gmail.com</w:t>
      </w:r>
    </w:p>
    <w:p w14:paraId="696A80CA" w14:textId="77777777" w:rsidR="00126446" w:rsidRDefault="00126446" w:rsidP="00126446">
      <w:pPr>
        <w:contextualSpacing/>
        <w:jc w:val="center"/>
        <w:rPr>
          <w:sz w:val="20"/>
          <w:szCs w:val="20"/>
          <w:u w:val="single"/>
        </w:rPr>
      </w:pPr>
      <w:r w:rsidRPr="00151CD5">
        <w:rPr>
          <w:sz w:val="20"/>
          <w:szCs w:val="20"/>
          <w:u w:val="single"/>
        </w:rPr>
        <w:t>https://sfcopyeditor.com</w:t>
      </w:r>
    </w:p>
    <w:p w14:paraId="604AE6B9" w14:textId="77777777" w:rsidR="0091662F" w:rsidRDefault="00126446" w:rsidP="007274EB">
      <w:pPr>
        <w:contextualSpacing/>
        <w:rPr>
          <w:b/>
        </w:rPr>
      </w:pPr>
      <w:r>
        <w:rPr>
          <w:b/>
        </w:rPr>
        <w:t>SUMMARY</w:t>
      </w:r>
    </w:p>
    <w:p w14:paraId="35DBC224" w14:textId="6C3C4C60" w:rsidR="004C3094" w:rsidRDefault="00126446" w:rsidP="007274EB">
      <w:pPr>
        <w:contextualSpacing/>
        <w:rPr>
          <w:b/>
        </w:rPr>
      </w:pPr>
      <w:r>
        <w:rPr>
          <w:b/>
        </w:rPr>
        <w:tab/>
      </w:r>
    </w:p>
    <w:p w14:paraId="4AB3A31D" w14:textId="1C0B3D4A" w:rsidR="00126446" w:rsidRDefault="00126446" w:rsidP="00AA0530">
      <w:pPr>
        <w:ind w:left="720"/>
        <w:contextualSpacing/>
      </w:pPr>
      <w:r>
        <w:t xml:space="preserve">Expert </w:t>
      </w:r>
      <w:r w:rsidR="004719BB">
        <w:t>copyedito</w:t>
      </w:r>
      <w:r w:rsidR="00260D33">
        <w:t>r and proofreader skilled in refining</w:t>
      </w:r>
      <w:r w:rsidR="004719BB">
        <w:t xml:space="preserve"> research papers, </w:t>
      </w:r>
      <w:r w:rsidR="004B31AF">
        <w:t>grant proposals</w:t>
      </w:r>
      <w:r w:rsidR="004719BB">
        <w:t xml:space="preserve">, </w:t>
      </w:r>
      <w:r w:rsidR="00365E94">
        <w:t xml:space="preserve">graduate theses, </w:t>
      </w:r>
      <w:r w:rsidR="004719BB">
        <w:t xml:space="preserve">and more. </w:t>
      </w:r>
      <w:r w:rsidR="00FF4C3D">
        <w:t xml:space="preserve">Outstanding </w:t>
      </w:r>
      <w:r w:rsidR="004719BB">
        <w:t>eye for detail and</w:t>
      </w:r>
      <w:r w:rsidR="00B10E8F">
        <w:t xml:space="preserve"> aptitude</w:t>
      </w:r>
      <w:r w:rsidR="004719BB">
        <w:t xml:space="preserve"> for</w:t>
      </w:r>
      <w:r w:rsidR="00B10E8F">
        <w:t xml:space="preserve"> making sentences flow. Especially talented at working with documents written by</w:t>
      </w:r>
      <w:r w:rsidR="00B92B25">
        <w:t xml:space="preserve"> </w:t>
      </w:r>
      <w:r w:rsidR="00DD3EAA">
        <w:t>multi-language authors.</w:t>
      </w:r>
    </w:p>
    <w:p w14:paraId="688566AD" w14:textId="77777777" w:rsidR="00661996" w:rsidRDefault="00661996" w:rsidP="00D474B8">
      <w:pPr>
        <w:ind w:left="2160" w:hanging="2160"/>
        <w:contextualSpacing/>
      </w:pPr>
    </w:p>
    <w:p w14:paraId="60C0DE33" w14:textId="1DD816F8" w:rsidR="004C3094" w:rsidRDefault="00D8744F" w:rsidP="007274EB">
      <w:pPr>
        <w:contextualSpacing/>
        <w:rPr>
          <w:b/>
        </w:rPr>
      </w:pPr>
      <w:r>
        <w:rPr>
          <w:b/>
        </w:rPr>
        <w:t xml:space="preserve">SAMPLE OF </w:t>
      </w:r>
      <w:r w:rsidR="00E12EEF">
        <w:rPr>
          <w:b/>
        </w:rPr>
        <w:t>WORKS EDITED</w:t>
      </w:r>
      <w:r w:rsidR="00661996">
        <w:rPr>
          <w:b/>
        </w:rPr>
        <w:tab/>
      </w:r>
    </w:p>
    <w:p w14:paraId="6219452F" w14:textId="2A31D2F3" w:rsidR="00E12EEF" w:rsidRPr="000C0B26" w:rsidRDefault="000C0B26" w:rsidP="00067DA7">
      <w:pPr>
        <w:pStyle w:val="ListParagraph"/>
        <w:numPr>
          <w:ilvl w:val="0"/>
          <w:numId w:val="8"/>
        </w:numPr>
        <w:shd w:val="clear" w:color="auto" w:fill="FFFFFF"/>
        <w:spacing w:after="0"/>
        <w:textAlignment w:val="baseline"/>
        <w:rPr>
          <w:rFonts w:cstheme="minorHAnsi"/>
          <w:color w:val="404040"/>
        </w:rPr>
      </w:pPr>
      <w:proofErr w:type="spellStart"/>
      <w:r w:rsidRPr="000C0B26">
        <w:rPr>
          <w:rFonts w:cstheme="minorHAnsi"/>
          <w:color w:val="222222"/>
          <w:shd w:val="clear" w:color="auto" w:fill="FFFFFF"/>
        </w:rPr>
        <w:t>Gilden</w:t>
      </w:r>
      <w:proofErr w:type="spellEnd"/>
      <w:r w:rsidRPr="000C0B26">
        <w:rPr>
          <w:rFonts w:cstheme="minorHAnsi"/>
          <w:color w:val="222222"/>
          <w:shd w:val="clear" w:color="auto" w:fill="FFFFFF"/>
        </w:rPr>
        <w:t xml:space="preserve">, R.; Friedmann, E.; Holmes, K.; </w:t>
      </w:r>
      <w:proofErr w:type="spellStart"/>
      <w:r w:rsidRPr="000C0B26">
        <w:rPr>
          <w:rFonts w:cstheme="minorHAnsi"/>
          <w:color w:val="222222"/>
          <w:shd w:val="clear" w:color="auto" w:fill="FFFFFF"/>
        </w:rPr>
        <w:t>Yolton</w:t>
      </w:r>
      <w:proofErr w:type="spellEnd"/>
      <w:r w:rsidRPr="000C0B26">
        <w:rPr>
          <w:rFonts w:cstheme="minorHAnsi"/>
          <w:color w:val="222222"/>
          <w:shd w:val="clear" w:color="auto" w:fill="FFFFFF"/>
        </w:rPr>
        <w:t xml:space="preserve">, K.; Xu, Y.; </w:t>
      </w:r>
      <w:proofErr w:type="spellStart"/>
      <w:r w:rsidRPr="000C0B26">
        <w:rPr>
          <w:rFonts w:cstheme="minorHAnsi"/>
          <w:color w:val="222222"/>
          <w:shd w:val="clear" w:color="auto" w:fill="FFFFFF"/>
        </w:rPr>
        <w:t>Lanphear</w:t>
      </w:r>
      <w:proofErr w:type="spellEnd"/>
      <w:r w:rsidRPr="000C0B26">
        <w:rPr>
          <w:rFonts w:cstheme="minorHAnsi"/>
          <w:color w:val="222222"/>
          <w:shd w:val="clear" w:color="auto" w:fill="FFFFFF"/>
        </w:rPr>
        <w:t xml:space="preserve">, B.; Chen, A.; Braun, J.; </w:t>
      </w:r>
      <w:proofErr w:type="spellStart"/>
      <w:r w:rsidRPr="000C0B26">
        <w:rPr>
          <w:rFonts w:cstheme="minorHAnsi"/>
          <w:color w:val="222222"/>
          <w:shd w:val="clear" w:color="auto" w:fill="FFFFFF"/>
        </w:rPr>
        <w:t>Spanier</w:t>
      </w:r>
      <w:proofErr w:type="spellEnd"/>
      <w:r w:rsidRPr="000C0B26">
        <w:rPr>
          <w:rFonts w:cstheme="minorHAnsi"/>
          <w:color w:val="222222"/>
          <w:shd w:val="clear" w:color="auto" w:fill="FFFFFF"/>
        </w:rPr>
        <w:t>, A. Gestational Pesticide Exposure and Child Respiratory Health. </w:t>
      </w:r>
      <w:r w:rsidRPr="000C0B26">
        <w:rPr>
          <w:rStyle w:val="Emphasis"/>
          <w:rFonts w:cstheme="minorHAnsi"/>
          <w:color w:val="222222"/>
          <w:shd w:val="clear" w:color="auto" w:fill="FFFFFF"/>
        </w:rPr>
        <w:t>Int. J. Environ. Res. Public Health</w:t>
      </w:r>
      <w:r w:rsidRPr="000C0B26">
        <w:rPr>
          <w:rFonts w:cstheme="minorHAnsi"/>
          <w:color w:val="222222"/>
          <w:shd w:val="clear" w:color="auto" w:fill="FFFFFF"/>
        </w:rPr>
        <w:t> </w:t>
      </w:r>
      <w:r w:rsidR="007E513F">
        <w:rPr>
          <w:rFonts w:cstheme="minorHAnsi"/>
          <w:color w:val="222222"/>
          <w:shd w:val="clear" w:color="auto" w:fill="FFFFFF"/>
        </w:rPr>
        <w:t>(</w:t>
      </w:r>
      <w:r w:rsidRPr="007E513F">
        <w:rPr>
          <w:rFonts w:cstheme="minorHAnsi"/>
          <w:color w:val="222222"/>
          <w:shd w:val="clear" w:color="auto" w:fill="FFFFFF"/>
        </w:rPr>
        <w:t>2020</w:t>
      </w:r>
      <w:r w:rsidR="007E513F">
        <w:rPr>
          <w:rFonts w:cstheme="minorHAnsi"/>
          <w:color w:val="222222"/>
          <w:shd w:val="clear" w:color="auto" w:fill="FFFFFF"/>
        </w:rPr>
        <w:t>).</w:t>
      </w:r>
      <w:r w:rsidRPr="000C0B26">
        <w:rPr>
          <w:rFonts w:cstheme="minorHAnsi"/>
          <w:color w:val="222222"/>
          <w:shd w:val="clear" w:color="auto" w:fill="FFFFFF"/>
        </w:rPr>
        <w:t> </w:t>
      </w:r>
      <w:r w:rsidRPr="000C0B26">
        <w:rPr>
          <w:rFonts w:ascii="Arial" w:hAnsi="Arial" w:cs="Arial"/>
          <w:color w:val="222222"/>
          <w:sz w:val="18"/>
          <w:szCs w:val="18"/>
          <w:u w:val="single"/>
          <w:shd w:val="clear" w:color="auto" w:fill="FFFFFF"/>
        </w:rPr>
        <w:t> </w:t>
      </w:r>
      <w:hyperlink r:id="rId6" w:history="1">
        <w:r w:rsidRPr="00E31C62">
          <w:rPr>
            <w:color w:val="365F91" w:themeColor="accent1" w:themeShade="BF"/>
            <w:u w:val="single"/>
          </w:rPr>
          <w:t>https://doi.org/10.3390/ijerph17197165</w:t>
        </w:r>
      </w:hyperlink>
    </w:p>
    <w:p w14:paraId="3FB7FAA9" w14:textId="77777777" w:rsidR="000C0B26" w:rsidRPr="00067DA7" w:rsidRDefault="000C0B26" w:rsidP="000C0B26">
      <w:pPr>
        <w:pStyle w:val="ListParagraph"/>
        <w:shd w:val="clear" w:color="auto" w:fill="FFFFFF"/>
        <w:spacing w:after="0"/>
        <w:textAlignment w:val="baseline"/>
        <w:rPr>
          <w:rFonts w:ascii="inherit" w:hAnsi="inherit" w:cs="Arial"/>
          <w:color w:val="404040"/>
        </w:rPr>
      </w:pPr>
    </w:p>
    <w:p w14:paraId="55A2312C" w14:textId="0193ED70" w:rsidR="007A69EA" w:rsidRPr="00EB7C2A" w:rsidRDefault="007A69EA" w:rsidP="00067DA7"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cstheme="minorHAnsi"/>
        </w:rPr>
      </w:pPr>
      <w:r w:rsidRPr="00EB7C2A">
        <w:rPr>
          <w:rFonts w:cstheme="minorHAnsi"/>
        </w:rPr>
        <w:t xml:space="preserve">Rajendran, V. </w:t>
      </w:r>
      <w:r w:rsidR="009C6A8F" w:rsidRPr="00EB7C2A">
        <w:rPr>
          <w:rFonts w:cstheme="minorHAnsi"/>
        </w:rPr>
        <w:t xml:space="preserve">(Principal Investigator). </w:t>
      </w:r>
      <w:r w:rsidRPr="00EB7C2A">
        <w:rPr>
          <w:rFonts w:cstheme="minorHAnsi"/>
        </w:rPr>
        <w:t xml:space="preserve">(2020). </w:t>
      </w:r>
      <w:r w:rsidRPr="00EB7C2A">
        <w:rPr>
          <w:rFonts w:cstheme="minorHAnsi"/>
          <w:i/>
          <w:iCs/>
          <w:shd w:val="clear" w:color="auto" w:fill="FFFFFF"/>
        </w:rPr>
        <w:t xml:space="preserve">Exosomes to treat ulcerative colitis. </w:t>
      </w:r>
      <w:r w:rsidR="009C6A8F" w:rsidRPr="00EB7C2A">
        <w:rPr>
          <w:rFonts w:cstheme="minorHAnsi"/>
          <w:shd w:val="clear" w:color="auto" w:fill="FFFFFF"/>
        </w:rPr>
        <w:t xml:space="preserve">[Grant]. </w:t>
      </w:r>
      <w:r w:rsidRPr="00EB7C2A">
        <w:rPr>
          <w:rFonts w:cstheme="minorHAnsi"/>
          <w:shd w:val="clear" w:color="auto" w:fill="FFFFFF"/>
        </w:rPr>
        <w:t>Department of Biochemistry, West Virginia University, Morgantown, West Virginia, USA.</w:t>
      </w:r>
    </w:p>
    <w:p w14:paraId="2C7805E9" w14:textId="77777777" w:rsidR="007A69EA" w:rsidRPr="007A69EA" w:rsidRDefault="007A69EA" w:rsidP="007A69EA">
      <w:pPr>
        <w:shd w:val="clear" w:color="auto" w:fill="FFFFFF"/>
        <w:spacing w:after="0"/>
        <w:ind w:left="2880"/>
        <w:textAlignment w:val="baseline"/>
        <w:rPr>
          <w:rFonts w:cstheme="minorHAnsi"/>
          <w:color w:val="404040"/>
        </w:rPr>
      </w:pPr>
    </w:p>
    <w:p w14:paraId="3B9160A7" w14:textId="63BDBCAE" w:rsidR="00560FF7" w:rsidRPr="004A6DD1" w:rsidRDefault="00560FF7" w:rsidP="00067DA7"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cstheme="minorHAnsi"/>
          <w:color w:val="404040"/>
        </w:rPr>
      </w:pPr>
      <w:proofErr w:type="spellStart"/>
      <w:r w:rsidRPr="00EB7C2A">
        <w:rPr>
          <w:rFonts w:cstheme="minorHAnsi"/>
          <w:shd w:val="clear" w:color="auto" w:fill="FCFCFC"/>
        </w:rPr>
        <w:t>Pryzhkova</w:t>
      </w:r>
      <w:proofErr w:type="spellEnd"/>
      <w:r w:rsidRPr="00EB7C2A">
        <w:rPr>
          <w:rFonts w:cstheme="minorHAnsi"/>
          <w:shd w:val="clear" w:color="auto" w:fill="FCFCFC"/>
        </w:rPr>
        <w:t>, M.V.</w:t>
      </w:r>
      <w:r w:rsidR="00A333E7" w:rsidRPr="00EB7C2A">
        <w:rPr>
          <w:rFonts w:cstheme="minorHAnsi"/>
          <w:shd w:val="clear" w:color="auto" w:fill="FCFCFC"/>
        </w:rPr>
        <w:t xml:space="preserve"> &amp;</w:t>
      </w:r>
      <w:r w:rsidRPr="00EB7C2A">
        <w:rPr>
          <w:rFonts w:cstheme="minorHAnsi"/>
          <w:shd w:val="clear" w:color="auto" w:fill="FCFCFC"/>
        </w:rPr>
        <w:t xml:space="preserve"> Jordan, P.W. Adaptation of Human Testicular Niche Cells for Pluripotent Stem Cell and Testis Development Research. </w:t>
      </w:r>
      <w:r w:rsidRPr="00EB7C2A">
        <w:rPr>
          <w:rFonts w:cstheme="minorHAnsi"/>
          <w:i/>
          <w:iCs/>
          <w:shd w:val="clear" w:color="auto" w:fill="FCFCFC"/>
        </w:rPr>
        <w:t xml:space="preserve">Tissue </w:t>
      </w:r>
      <w:proofErr w:type="spellStart"/>
      <w:r w:rsidRPr="00EB7C2A">
        <w:rPr>
          <w:rFonts w:cstheme="minorHAnsi"/>
          <w:i/>
          <w:iCs/>
          <w:shd w:val="clear" w:color="auto" w:fill="FCFCFC"/>
        </w:rPr>
        <w:t>Eng</w:t>
      </w:r>
      <w:proofErr w:type="spellEnd"/>
      <w:r w:rsidRPr="00EB7C2A">
        <w:rPr>
          <w:rFonts w:cstheme="minorHAnsi"/>
          <w:i/>
          <w:iCs/>
          <w:shd w:val="clear" w:color="auto" w:fill="FCFCFC"/>
        </w:rPr>
        <w:t xml:space="preserve"> Regen Med</w:t>
      </w:r>
      <w:r w:rsidRPr="00EB7C2A">
        <w:rPr>
          <w:rFonts w:cstheme="minorHAnsi"/>
          <w:shd w:val="clear" w:color="auto" w:fill="FCFCFC"/>
        </w:rPr>
        <w:t xml:space="preserve"> (2020). </w:t>
      </w:r>
      <w:hyperlink r:id="rId7" w:history="1">
        <w:r w:rsidR="004A6DD1" w:rsidRPr="00663BA6">
          <w:rPr>
            <w:rStyle w:val="Hyperlink"/>
            <w:rFonts w:cstheme="minorHAnsi"/>
            <w:shd w:val="clear" w:color="auto" w:fill="FCFCFC"/>
          </w:rPr>
          <w:t>https://doi.org/10.1007/s13770-020-00240-0</w:t>
        </w:r>
      </w:hyperlink>
    </w:p>
    <w:p w14:paraId="0987EACC" w14:textId="77777777" w:rsidR="00560FF7" w:rsidRDefault="00560FF7" w:rsidP="00475D2E">
      <w:pPr>
        <w:shd w:val="clear" w:color="auto" w:fill="FFFFFF"/>
        <w:spacing w:after="0"/>
        <w:textAlignment w:val="baseline"/>
        <w:rPr>
          <w:rFonts w:cstheme="minorHAnsi"/>
          <w:color w:val="404040"/>
        </w:rPr>
      </w:pPr>
    </w:p>
    <w:p w14:paraId="529C4118" w14:textId="4D6D702E" w:rsidR="00302FF5" w:rsidRPr="00475D2E" w:rsidRDefault="00E12EEF" w:rsidP="00067DA7"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cstheme="minorHAnsi"/>
        </w:rPr>
      </w:pPr>
      <w:r w:rsidRPr="00475D2E">
        <w:rPr>
          <w:rFonts w:cstheme="minorHAnsi"/>
        </w:rPr>
        <w:t>Wang, M. (2019). </w:t>
      </w:r>
      <w:r w:rsidRPr="00475D2E">
        <w:rPr>
          <w:rFonts w:cstheme="minorHAnsi"/>
          <w:i/>
          <w:iCs/>
        </w:rPr>
        <w:t>Characterizing the Cu-only SOD repeat protein of the zebrafish Danio rerio. </w:t>
      </w:r>
      <w:r w:rsidRPr="00475D2E">
        <w:rPr>
          <w:rFonts w:cstheme="minorHAnsi"/>
        </w:rPr>
        <w:t>Master’s thesis, Bloomberg School of Public Health, Johns Hopkins University, Baltimore, Maryland, USA.</w:t>
      </w:r>
    </w:p>
    <w:p w14:paraId="7A757DC2" w14:textId="7994ACA8" w:rsidR="00302FF5" w:rsidRDefault="00302FF5" w:rsidP="00302FF5">
      <w:pPr>
        <w:shd w:val="clear" w:color="auto" w:fill="FFFFFF"/>
        <w:spacing w:after="0"/>
        <w:textAlignment w:val="baseline"/>
        <w:rPr>
          <w:rFonts w:cstheme="minorHAnsi"/>
          <w:color w:val="404040"/>
        </w:rPr>
      </w:pPr>
    </w:p>
    <w:p w14:paraId="6301485E" w14:textId="4AFE8DD6" w:rsidR="00067DA7" w:rsidRPr="00067DA7" w:rsidRDefault="00067DA7" w:rsidP="00067DA7">
      <w:pPr>
        <w:pStyle w:val="Heading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b w:val="0"/>
          <w:bCs w:val="0"/>
          <w:color w:val="555555"/>
          <w:sz w:val="24"/>
          <w:szCs w:val="24"/>
        </w:rPr>
      </w:pPr>
      <w:r w:rsidRPr="00A557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Cohen, T.H., </w:t>
      </w:r>
      <w:proofErr w:type="spellStart"/>
      <w:r w:rsidRPr="00A5572A">
        <w:rPr>
          <w:rFonts w:asciiTheme="minorHAnsi" w:hAnsiTheme="minorHAnsi" w:cstheme="minorHAnsi"/>
          <w:b w:val="0"/>
          <w:bCs w:val="0"/>
          <w:sz w:val="24"/>
          <w:szCs w:val="24"/>
        </w:rPr>
        <w:t>Lowenkamp</w:t>
      </w:r>
      <w:proofErr w:type="spellEnd"/>
      <w:r w:rsidRPr="00A5572A">
        <w:rPr>
          <w:rFonts w:asciiTheme="minorHAnsi" w:hAnsiTheme="minorHAnsi" w:cstheme="minorHAnsi"/>
          <w:b w:val="0"/>
          <w:bCs w:val="0"/>
          <w:sz w:val="24"/>
          <w:szCs w:val="24"/>
        </w:rPr>
        <w:t>, C.T., Bechtel, K., &amp; Flores, A.W. Risk Assessment Overrides: Shuffling the Risk Deck Without Any Improvements in Prediction</w:t>
      </w:r>
      <w:r w:rsidR="009D7EAE" w:rsidRPr="00A557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r w:rsidR="009D7EAE" w:rsidRPr="00A5572A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Criminal Justice and Behavior</w:t>
      </w:r>
      <w:r w:rsidR="009D7EAE" w:rsidRPr="00A557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(2020). </w:t>
      </w:r>
      <w:hyperlink r:id="rId8" w:history="1">
        <w:r w:rsidR="009D7EAE" w:rsidRPr="009D7EAE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https://journals.sagepub.com/doi/10.1177/0093854820953449</w:t>
        </w:r>
      </w:hyperlink>
    </w:p>
    <w:p w14:paraId="57B09740" w14:textId="43421ECE" w:rsidR="00302FF5" w:rsidRPr="00302FF5" w:rsidRDefault="00302FF5" w:rsidP="00302FF5">
      <w:pPr>
        <w:shd w:val="clear" w:color="auto" w:fill="FFFFFF"/>
        <w:spacing w:after="0"/>
        <w:ind w:left="2880"/>
        <w:textAlignment w:val="baseline"/>
        <w:rPr>
          <w:rFonts w:cstheme="minorHAnsi"/>
          <w:color w:val="404040"/>
        </w:rPr>
      </w:pPr>
    </w:p>
    <w:p w14:paraId="1006ACCB" w14:textId="77777777" w:rsidR="00E12EEF" w:rsidRPr="00E12EEF" w:rsidRDefault="00E12EEF" w:rsidP="00E12EEF">
      <w:pPr>
        <w:shd w:val="clear" w:color="auto" w:fill="FFFFFF"/>
        <w:spacing w:after="0"/>
        <w:ind w:left="480"/>
        <w:textAlignment w:val="baseline"/>
        <w:rPr>
          <w:rFonts w:cstheme="minorHAnsi"/>
          <w:color w:val="404040"/>
        </w:rPr>
      </w:pPr>
    </w:p>
    <w:p w14:paraId="6B1F9A52" w14:textId="5530FC1F" w:rsidR="00E12EEF" w:rsidRPr="00E12EEF" w:rsidRDefault="00E12EEF" w:rsidP="00067DA7"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cstheme="minorHAnsi"/>
          <w:color w:val="404040"/>
        </w:rPr>
      </w:pPr>
      <w:r w:rsidRPr="00A5572A">
        <w:rPr>
          <w:rFonts w:cstheme="minorHAnsi"/>
        </w:rPr>
        <w:t xml:space="preserve">Cohen, T.H. &amp; </w:t>
      </w:r>
      <w:proofErr w:type="spellStart"/>
      <w:r w:rsidRPr="00A5572A">
        <w:rPr>
          <w:rFonts w:cstheme="minorHAnsi"/>
        </w:rPr>
        <w:t>Lowenkamp</w:t>
      </w:r>
      <w:proofErr w:type="spellEnd"/>
      <w:r w:rsidRPr="00A5572A">
        <w:rPr>
          <w:rFonts w:cstheme="minorHAnsi"/>
        </w:rPr>
        <w:t>, C.T. Revalidation of the Federal PTRA: Testing the PTRA for Predictive Biases. </w:t>
      </w:r>
      <w:r w:rsidRPr="00A5572A">
        <w:rPr>
          <w:rFonts w:cstheme="minorHAnsi"/>
          <w:i/>
          <w:iCs/>
        </w:rPr>
        <w:t>Criminal Justice and Behavior </w:t>
      </w:r>
      <w:r w:rsidR="00560FF7" w:rsidRPr="00A5572A">
        <w:rPr>
          <w:rFonts w:cstheme="minorHAnsi"/>
        </w:rPr>
        <w:t xml:space="preserve">(2018). </w:t>
      </w:r>
      <w:hyperlink r:id="rId9" w:history="1">
        <w:r w:rsidR="00C9745D" w:rsidRPr="00C9745D">
          <w:rPr>
            <w:rStyle w:val="Hyperlink"/>
            <w:rFonts w:cstheme="minorHAnsi"/>
          </w:rPr>
          <w:t>https://journals.sagepub.com/doi/10.1177/0093854818810315</w:t>
        </w:r>
      </w:hyperlink>
    </w:p>
    <w:p w14:paraId="36702CEF" w14:textId="77777777" w:rsidR="00E12EEF" w:rsidRPr="00E12EEF" w:rsidRDefault="00E12EEF" w:rsidP="00E12EEF">
      <w:pPr>
        <w:shd w:val="clear" w:color="auto" w:fill="FFFFFF"/>
        <w:spacing w:after="0"/>
        <w:ind w:left="480"/>
        <w:textAlignment w:val="baseline"/>
        <w:rPr>
          <w:rFonts w:cstheme="minorHAnsi"/>
          <w:color w:val="404040"/>
        </w:rPr>
      </w:pPr>
    </w:p>
    <w:p w14:paraId="6C01DD7F" w14:textId="77777777" w:rsidR="00125316" w:rsidRDefault="00125316">
      <w:pPr>
        <w:rPr>
          <w:b/>
        </w:rPr>
      </w:pPr>
      <w:r>
        <w:rPr>
          <w:b/>
        </w:rPr>
        <w:br w:type="page"/>
      </w:r>
    </w:p>
    <w:p w14:paraId="7CBF430B" w14:textId="1ED4FD30" w:rsidR="00260D33" w:rsidRDefault="00260D33" w:rsidP="00C23573">
      <w:pPr>
        <w:contextualSpacing/>
        <w:rPr>
          <w:b/>
        </w:rPr>
      </w:pPr>
      <w:r>
        <w:rPr>
          <w:b/>
        </w:rPr>
        <w:lastRenderedPageBreak/>
        <w:t>EDUCATION</w:t>
      </w:r>
    </w:p>
    <w:p w14:paraId="473EC4D0" w14:textId="77777777" w:rsidR="00125316" w:rsidRDefault="00125316" w:rsidP="00C23573">
      <w:pPr>
        <w:contextualSpacing/>
      </w:pPr>
    </w:p>
    <w:p w14:paraId="507BF7CE" w14:textId="308FD634" w:rsidR="00E12EEF" w:rsidRDefault="00260D33" w:rsidP="00E12EEF">
      <w:pPr>
        <w:contextualSpacing/>
      </w:pPr>
      <w:r>
        <w:tab/>
        <w:t>Master of Science in Biochemistry, West Virginia University, 1998</w:t>
      </w:r>
    </w:p>
    <w:p w14:paraId="3EDE6896" w14:textId="162FC76C" w:rsidR="00E12EEF" w:rsidRDefault="00365E94" w:rsidP="00B717D6">
      <w:pPr>
        <w:ind w:firstLine="720"/>
        <w:contextualSpacing/>
      </w:pPr>
      <w:r>
        <w:t>Bachelor of Arts in Biology, St. Mary’s College of Maryland, 1995</w:t>
      </w:r>
    </w:p>
    <w:p w14:paraId="755F18A8" w14:textId="77777777" w:rsidR="00E12EEF" w:rsidRDefault="00E12EEF" w:rsidP="00E12EEF">
      <w:pPr>
        <w:contextualSpacing/>
        <w:rPr>
          <w:rFonts w:cs="Times New Roman"/>
          <w:b/>
        </w:rPr>
      </w:pPr>
    </w:p>
    <w:p w14:paraId="5C41E0E3" w14:textId="331B1177" w:rsidR="00314093" w:rsidRDefault="00314093" w:rsidP="00E12EEF">
      <w:pPr>
        <w:contextualSpacing/>
        <w:rPr>
          <w:rFonts w:cs="Times New Roman"/>
          <w:b/>
        </w:rPr>
      </w:pPr>
      <w:r w:rsidRPr="004376B7">
        <w:rPr>
          <w:rFonts w:cs="Times New Roman"/>
          <w:b/>
        </w:rPr>
        <w:t>PUBLICATIONS</w:t>
      </w:r>
    </w:p>
    <w:p w14:paraId="3079CF09" w14:textId="77777777" w:rsidR="00822199" w:rsidRPr="00E12EEF" w:rsidRDefault="00822199" w:rsidP="00E12EEF">
      <w:pPr>
        <w:contextualSpacing/>
      </w:pPr>
    </w:p>
    <w:p w14:paraId="665D480B" w14:textId="77777777" w:rsidR="00314093" w:rsidRPr="004376B7" w:rsidRDefault="00314093" w:rsidP="00737548">
      <w:pPr>
        <w:spacing w:after="0"/>
        <w:ind w:left="720"/>
        <w:rPr>
          <w:rFonts w:eastAsia="Times New Roman" w:cs="Times New Roman"/>
        </w:rPr>
      </w:pPr>
      <w:r w:rsidRPr="004376B7">
        <w:rPr>
          <w:rFonts w:eastAsia="Times New Roman" w:cs="Times New Roman"/>
        </w:rPr>
        <w:t xml:space="preserve">Carlson, D. E., Chiu, W. C., </w:t>
      </w:r>
      <w:r w:rsidRPr="004376B7">
        <w:rPr>
          <w:rFonts w:eastAsia="Times New Roman" w:cs="Times New Roman"/>
          <w:b/>
          <w:bCs/>
        </w:rPr>
        <w:t>Fiedler, S. M.</w:t>
      </w:r>
      <w:r w:rsidRPr="004376B7">
        <w:rPr>
          <w:rFonts w:eastAsia="Times New Roman" w:cs="Times New Roman"/>
          <w:b/>
        </w:rPr>
        <w:t>,</w:t>
      </w:r>
      <w:r w:rsidRPr="004376B7">
        <w:rPr>
          <w:rFonts w:eastAsia="Times New Roman" w:cs="Times New Roman"/>
        </w:rPr>
        <w:t xml:space="preserve"> &amp; Hoffman, G. E. (2007). Central neural distribution of immunoreactive </w:t>
      </w:r>
      <w:proofErr w:type="spellStart"/>
      <w:r w:rsidRPr="004376B7">
        <w:rPr>
          <w:rFonts w:eastAsia="Times New Roman" w:cs="Times New Roman"/>
        </w:rPr>
        <w:t>Fos</w:t>
      </w:r>
      <w:proofErr w:type="spellEnd"/>
      <w:r w:rsidRPr="004376B7">
        <w:rPr>
          <w:rFonts w:eastAsia="Times New Roman" w:cs="Times New Roman"/>
        </w:rPr>
        <w:t xml:space="preserve"> and CRH in relation to plasma ACTH and corticosterone during sepsis in the rat.  </w:t>
      </w:r>
      <w:r w:rsidRPr="004376B7">
        <w:rPr>
          <w:rFonts w:eastAsia="Times New Roman" w:cs="Times New Roman"/>
          <w:i/>
        </w:rPr>
        <w:t>Experimental Neurology</w:t>
      </w:r>
      <w:r w:rsidRPr="004376B7">
        <w:rPr>
          <w:rFonts w:eastAsia="Times New Roman" w:cs="Times New Roman"/>
        </w:rPr>
        <w:t xml:space="preserve">, </w:t>
      </w:r>
      <w:r w:rsidRPr="004376B7">
        <w:rPr>
          <w:rFonts w:eastAsia="Times New Roman" w:cs="Times New Roman"/>
          <w:i/>
        </w:rPr>
        <w:t>205</w:t>
      </w:r>
      <w:r w:rsidRPr="004376B7">
        <w:rPr>
          <w:rFonts w:eastAsia="Times New Roman" w:cs="Times New Roman"/>
        </w:rPr>
        <w:t>(2), 485-500.</w:t>
      </w:r>
    </w:p>
    <w:p w14:paraId="23A1B733" w14:textId="77777777" w:rsidR="00314093" w:rsidRPr="004376B7" w:rsidRDefault="00314093" w:rsidP="00737548">
      <w:pPr>
        <w:spacing w:before="100" w:beforeAutospacing="1" w:after="100" w:afterAutospacing="1"/>
        <w:ind w:left="720"/>
        <w:rPr>
          <w:rFonts w:eastAsia="Times New Roman" w:cs="Times New Roman"/>
        </w:rPr>
      </w:pPr>
      <w:r w:rsidRPr="004376B7">
        <w:rPr>
          <w:rFonts w:eastAsia="Times New Roman" w:cs="Times New Roman"/>
        </w:rPr>
        <w:t xml:space="preserve">Carlson, D. E., Nguyen, P. X., Soane, L., </w:t>
      </w:r>
      <w:r w:rsidRPr="004376B7">
        <w:rPr>
          <w:rFonts w:eastAsia="Times New Roman" w:cs="Times New Roman"/>
          <w:b/>
          <w:bCs/>
        </w:rPr>
        <w:t>Fiedler, S. M.</w:t>
      </w:r>
      <w:r w:rsidRPr="004376B7">
        <w:rPr>
          <w:rFonts w:eastAsia="Times New Roman" w:cs="Times New Roman"/>
          <w:b/>
        </w:rPr>
        <w:t>,</w:t>
      </w:r>
      <w:r w:rsidRPr="004376B7">
        <w:rPr>
          <w:rFonts w:eastAsia="Times New Roman" w:cs="Times New Roman"/>
        </w:rPr>
        <w:t xml:space="preserve"> </w:t>
      </w:r>
      <w:proofErr w:type="spellStart"/>
      <w:r w:rsidRPr="004376B7">
        <w:rPr>
          <w:rFonts w:eastAsia="Times New Roman" w:cs="Times New Roman"/>
        </w:rPr>
        <w:t>Fiskum</w:t>
      </w:r>
      <w:proofErr w:type="spellEnd"/>
      <w:r w:rsidRPr="004376B7">
        <w:rPr>
          <w:rFonts w:eastAsia="Times New Roman" w:cs="Times New Roman"/>
        </w:rPr>
        <w:t xml:space="preserve">, G., Chiu, W. C., &amp; </w:t>
      </w:r>
      <w:proofErr w:type="spellStart"/>
      <w:r w:rsidRPr="004376B7">
        <w:rPr>
          <w:rFonts w:eastAsia="Times New Roman" w:cs="Times New Roman"/>
        </w:rPr>
        <w:t>Scalea</w:t>
      </w:r>
      <w:proofErr w:type="spellEnd"/>
      <w:r w:rsidRPr="004376B7">
        <w:rPr>
          <w:rFonts w:eastAsia="Times New Roman" w:cs="Times New Roman"/>
        </w:rPr>
        <w:t xml:space="preserve">, T. M.  (2007). Hypotensive hemorrhage increases calcium uptake capacity and </w:t>
      </w:r>
      <w:proofErr w:type="spellStart"/>
      <w:r w:rsidRPr="004376B7">
        <w:rPr>
          <w:rFonts w:eastAsia="Times New Roman" w:cs="Times New Roman"/>
        </w:rPr>
        <w:t>Bcl</w:t>
      </w:r>
      <w:proofErr w:type="spellEnd"/>
      <w:r w:rsidRPr="004376B7">
        <w:rPr>
          <w:rFonts w:eastAsia="Times New Roman" w:cs="Times New Roman"/>
        </w:rPr>
        <w:t xml:space="preserve">-XL content of liver mitochondria.  </w:t>
      </w:r>
      <w:r w:rsidRPr="004376B7">
        <w:rPr>
          <w:rFonts w:eastAsia="Times New Roman" w:cs="Times New Roman"/>
          <w:i/>
        </w:rPr>
        <w:t>Shock</w:t>
      </w:r>
      <w:r w:rsidRPr="004376B7">
        <w:rPr>
          <w:rFonts w:eastAsia="Times New Roman" w:cs="Times New Roman"/>
        </w:rPr>
        <w:t xml:space="preserve">, </w:t>
      </w:r>
      <w:r w:rsidRPr="004376B7">
        <w:rPr>
          <w:rFonts w:eastAsia="Times New Roman" w:cs="Times New Roman"/>
          <w:i/>
        </w:rPr>
        <w:t>27</w:t>
      </w:r>
      <w:r w:rsidRPr="004376B7">
        <w:rPr>
          <w:rFonts w:eastAsia="Times New Roman" w:cs="Times New Roman"/>
        </w:rPr>
        <w:t>(2), 192-8.</w:t>
      </w:r>
    </w:p>
    <w:p w14:paraId="0DFDD3E8" w14:textId="77777777" w:rsidR="00314093" w:rsidRPr="004376B7" w:rsidRDefault="00314093" w:rsidP="00737548">
      <w:pPr>
        <w:spacing w:before="100" w:beforeAutospacing="1" w:after="100" w:afterAutospacing="1"/>
        <w:ind w:left="720"/>
        <w:rPr>
          <w:rFonts w:eastAsia="Times New Roman" w:cs="Times New Roman"/>
        </w:rPr>
      </w:pPr>
      <w:r w:rsidRPr="004376B7">
        <w:rPr>
          <w:rFonts w:eastAsia="Times New Roman" w:cs="Times New Roman"/>
        </w:rPr>
        <w:t xml:space="preserve">Carlson, D. E., </w:t>
      </w:r>
      <w:proofErr w:type="spellStart"/>
      <w:r w:rsidRPr="004376B7">
        <w:rPr>
          <w:rFonts w:eastAsia="Times New Roman" w:cs="Times New Roman"/>
        </w:rPr>
        <w:t>Pumplin</w:t>
      </w:r>
      <w:proofErr w:type="spellEnd"/>
      <w:r w:rsidRPr="004376B7">
        <w:rPr>
          <w:rFonts w:eastAsia="Times New Roman" w:cs="Times New Roman"/>
        </w:rPr>
        <w:t xml:space="preserve">, D. W., </w:t>
      </w:r>
      <w:proofErr w:type="spellStart"/>
      <w:r w:rsidRPr="004376B7">
        <w:rPr>
          <w:rFonts w:eastAsia="Times New Roman" w:cs="Times New Roman"/>
        </w:rPr>
        <w:t>Ghavam</w:t>
      </w:r>
      <w:proofErr w:type="spellEnd"/>
      <w:r w:rsidRPr="004376B7">
        <w:rPr>
          <w:rFonts w:eastAsia="Times New Roman" w:cs="Times New Roman"/>
        </w:rPr>
        <w:t xml:space="preserve">, S., </w:t>
      </w:r>
      <w:r w:rsidRPr="004376B7">
        <w:rPr>
          <w:rFonts w:eastAsia="Times New Roman" w:cs="Times New Roman"/>
          <w:b/>
          <w:bCs/>
        </w:rPr>
        <w:t>Fiedler, S. M.</w:t>
      </w:r>
      <w:r w:rsidRPr="004376B7">
        <w:rPr>
          <w:rFonts w:eastAsia="Times New Roman" w:cs="Times New Roman"/>
          <w:b/>
        </w:rPr>
        <w:t>,</w:t>
      </w:r>
      <w:r w:rsidRPr="004376B7">
        <w:rPr>
          <w:rFonts w:eastAsia="Times New Roman" w:cs="Times New Roman"/>
        </w:rPr>
        <w:t xml:space="preserve"> Chiu, W. C., &amp; </w:t>
      </w:r>
      <w:proofErr w:type="spellStart"/>
      <w:r w:rsidRPr="004376B7">
        <w:rPr>
          <w:rFonts w:eastAsia="Times New Roman" w:cs="Times New Roman"/>
        </w:rPr>
        <w:t>Scalea</w:t>
      </w:r>
      <w:proofErr w:type="spellEnd"/>
      <w:r w:rsidRPr="004376B7">
        <w:rPr>
          <w:rFonts w:eastAsia="Times New Roman" w:cs="Times New Roman"/>
        </w:rPr>
        <w:t xml:space="preserve">, T. M. (2005). ATP accelerates respiration of mitochondria from rat lung and suppresses their release of hydrogen peroxide.  </w:t>
      </w:r>
      <w:r w:rsidRPr="004376B7">
        <w:rPr>
          <w:rFonts w:eastAsia="Times New Roman" w:cs="Times New Roman"/>
          <w:i/>
        </w:rPr>
        <w:t xml:space="preserve">Journal of Bioenergetics and </w:t>
      </w:r>
      <w:proofErr w:type="spellStart"/>
      <w:r w:rsidRPr="004376B7">
        <w:rPr>
          <w:rFonts w:eastAsia="Times New Roman" w:cs="Times New Roman"/>
          <w:i/>
        </w:rPr>
        <w:t>Biomembranes</w:t>
      </w:r>
      <w:proofErr w:type="spellEnd"/>
      <w:r w:rsidRPr="004376B7">
        <w:rPr>
          <w:rFonts w:eastAsia="Times New Roman" w:cs="Times New Roman"/>
        </w:rPr>
        <w:t xml:space="preserve">, </w:t>
      </w:r>
      <w:r w:rsidRPr="004376B7">
        <w:rPr>
          <w:rFonts w:eastAsia="Times New Roman" w:cs="Times New Roman"/>
          <w:i/>
        </w:rPr>
        <w:t>37</w:t>
      </w:r>
      <w:r w:rsidRPr="004376B7">
        <w:rPr>
          <w:rFonts w:eastAsia="Times New Roman" w:cs="Times New Roman"/>
        </w:rPr>
        <w:t>(5), 327-38.</w:t>
      </w:r>
    </w:p>
    <w:p w14:paraId="0661E50F" w14:textId="655F4AC8" w:rsidR="007F13AB" w:rsidRPr="00E2244D" w:rsidRDefault="00314093" w:rsidP="00737548">
      <w:pPr>
        <w:ind w:left="720"/>
        <w:rPr>
          <w:rFonts w:cs="Times New Roman"/>
        </w:rPr>
      </w:pPr>
      <w:proofErr w:type="spellStart"/>
      <w:r w:rsidRPr="004376B7">
        <w:rPr>
          <w:rFonts w:cs="Times New Roman"/>
        </w:rPr>
        <w:t>Obungu</w:t>
      </w:r>
      <w:proofErr w:type="spellEnd"/>
      <w:r w:rsidRPr="004376B7">
        <w:rPr>
          <w:rFonts w:cs="Times New Roman"/>
        </w:rPr>
        <w:t xml:space="preserve">, V. H., Wang, Y., </w:t>
      </w:r>
      <w:proofErr w:type="spellStart"/>
      <w:r w:rsidRPr="004376B7">
        <w:rPr>
          <w:rFonts w:cs="Times New Roman"/>
          <w:b/>
        </w:rPr>
        <w:t>Amyot</w:t>
      </w:r>
      <w:proofErr w:type="spellEnd"/>
      <w:r w:rsidRPr="004376B7">
        <w:rPr>
          <w:rFonts w:cs="Times New Roman"/>
          <w:b/>
        </w:rPr>
        <w:t>, S. M.,</w:t>
      </w:r>
      <w:r w:rsidRPr="004376B7">
        <w:rPr>
          <w:rFonts w:cs="Times New Roman"/>
        </w:rPr>
        <w:t xml:space="preserve"> Gocke, C. B., &amp; Beattie, D. S.  (2000). Mutations in the tether region of the iron-sulfur protein affect the activity and assembly of the cytochrome </w:t>
      </w:r>
      <w:proofErr w:type="spellStart"/>
      <w:r w:rsidRPr="004376B7">
        <w:rPr>
          <w:rFonts w:cs="Times New Roman"/>
        </w:rPr>
        <w:t>bc</w:t>
      </w:r>
      <w:proofErr w:type="spellEnd"/>
      <w:r w:rsidRPr="004376B7">
        <w:rPr>
          <w:rFonts w:cs="Times New Roman"/>
        </w:rPr>
        <w:t xml:space="preserve"> (1) complex of yeast mitochondria.  </w:t>
      </w:r>
      <w:proofErr w:type="spellStart"/>
      <w:r w:rsidRPr="004376B7">
        <w:rPr>
          <w:rFonts w:cs="Times New Roman"/>
          <w:i/>
        </w:rPr>
        <w:t>Biochimica</w:t>
      </w:r>
      <w:proofErr w:type="spellEnd"/>
      <w:r w:rsidRPr="004376B7">
        <w:rPr>
          <w:rFonts w:cs="Times New Roman"/>
          <w:i/>
        </w:rPr>
        <w:t xml:space="preserve"> et </w:t>
      </w:r>
      <w:proofErr w:type="spellStart"/>
      <w:r w:rsidRPr="004376B7">
        <w:rPr>
          <w:rFonts w:cs="Times New Roman"/>
          <w:i/>
        </w:rPr>
        <w:t>Biophysica</w:t>
      </w:r>
      <w:proofErr w:type="spellEnd"/>
      <w:r w:rsidRPr="004376B7">
        <w:rPr>
          <w:rFonts w:cs="Times New Roman"/>
          <w:i/>
        </w:rPr>
        <w:t xml:space="preserve"> Acta</w:t>
      </w:r>
      <w:r w:rsidRPr="004376B7">
        <w:rPr>
          <w:rFonts w:cs="Times New Roman"/>
        </w:rPr>
        <w:t xml:space="preserve">, </w:t>
      </w:r>
      <w:r w:rsidRPr="004376B7">
        <w:rPr>
          <w:rFonts w:eastAsia="Times New Roman" w:cstheme="minorHAnsi"/>
          <w:i/>
        </w:rPr>
        <w:t>1457</w:t>
      </w:r>
      <w:r w:rsidRPr="004376B7">
        <w:rPr>
          <w:rFonts w:eastAsia="Times New Roman" w:cs="Times New Roman"/>
        </w:rPr>
        <w:t xml:space="preserve">(1-2), 36-44.  </w:t>
      </w:r>
      <w:r w:rsidRPr="004376B7">
        <w:rPr>
          <w:rFonts w:eastAsia="Times New Roman" w:cs="Times New Roman"/>
          <w:b/>
        </w:rPr>
        <w:t xml:space="preserve">(Note:  Published under maiden name, Suzelle M. </w:t>
      </w:r>
      <w:proofErr w:type="spellStart"/>
      <w:r w:rsidRPr="004376B7">
        <w:rPr>
          <w:rFonts w:eastAsia="Times New Roman" w:cs="Times New Roman"/>
          <w:b/>
        </w:rPr>
        <w:t>Amyot</w:t>
      </w:r>
      <w:proofErr w:type="spellEnd"/>
      <w:r w:rsidRPr="004376B7">
        <w:rPr>
          <w:rFonts w:eastAsia="Times New Roman" w:cs="Times New Roman"/>
          <w:b/>
        </w:rPr>
        <w:t>.)</w:t>
      </w:r>
    </w:p>
    <w:sectPr w:rsidR="007F13AB" w:rsidRPr="00E2244D" w:rsidSect="00BA3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67AC"/>
    <w:multiLevelType w:val="hybridMultilevel"/>
    <w:tmpl w:val="DCA8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5E38"/>
    <w:multiLevelType w:val="multilevel"/>
    <w:tmpl w:val="8B7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CA7105"/>
    <w:multiLevelType w:val="hybridMultilevel"/>
    <w:tmpl w:val="27762310"/>
    <w:lvl w:ilvl="0" w:tplc="0409000B">
      <w:start w:val="1"/>
      <w:numFmt w:val="bullet"/>
      <w:lvlText w:val=""/>
      <w:lvlJc w:val="left"/>
      <w:pPr>
        <w:ind w:left="2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3" w15:restartNumberingAfterBreak="0">
    <w:nsid w:val="2D8B69DD"/>
    <w:multiLevelType w:val="multilevel"/>
    <w:tmpl w:val="1C2A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A462EF"/>
    <w:multiLevelType w:val="multilevel"/>
    <w:tmpl w:val="8786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95226A"/>
    <w:multiLevelType w:val="multilevel"/>
    <w:tmpl w:val="F4B8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24106B"/>
    <w:multiLevelType w:val="hybridMultilevel"/>
    <w:tmpl w:val="4CD2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E7E4A"/>
    <w:multiLevelType w:val="hybridMultilevel"/>
    <w:tmpl w:val="83B2D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97445"/>
    <w:multiLevelType w:val="multilevel"/>
    <w:tmpl w:val="B8D2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46"/>
    <w:rsid w:val="00067DA7"/>
    <w:rsid w:val="00074D42"/>
    <w:rsid w:val="0008018F"/>
    <w:rsid w:val="000C0B26"/>
    <w:rsid w:val="000F5323"/>
    <w:rsid w:val="000F604E"/>
    <w:rsid w:val="00125316"/>
    <w:rsid w:val="00126446"/>
    <w:rsid w:val="00151CD5"/>
    <w:rsid w:val="001679C1"/>
    <w:rsid w:val="00196FA2"/>
    <w:rsid w:val="001B1084"/>
    <w:rsid w:val="001B4612"/>
    <w:rsid w:val="001B70AA"/>
    <w:rsid w:val="001D647B"/>
    <w:rsid w:val="00216240"/>
    <w:rsid w:val="00222671"/>
    <w:rsid w:val="00260D33"/>
    <w:rsid w:val="00274846"/>
    <w:rsid w:val="002748D8"/>
    <w:rsid w:val="00302FF5"/>
    <w:rsid w:val="00313C64"/>
    <w:rsid w:val="00314093"/>
    <w:rsid w:val="00324A46"/>
    <w:rsid w:val="00326D38"/>
    <w:rsid w:val="00365E94"/>
    <w:rsid w:val="00367C45"/>
    <w:rsid w:val="003A6F06"/>
    <w:rsid w:val="004719BB"/>
    <w:rsid w:val="00475D2E"/>
    <w:rsid w:val="004840E0"/>
    <w:rsid w:val="004A6DD1"/>
    <w:rsid w:val="004B31AF"/>
    <w:rsid w:val="004C3094"/>
    <w:rsid w:val="004E6E4E"/>
    <w:rsid w:val="004F3108"/>
    <w:rsid w:val="00532CF7"/>
    <w:rsid w:val="00540D98"/>
    <w:rsid w:val="00545702"/>
    <w:rsid w:val="00547D70"/>
    <w:rsid w:val="00560FF7"/>
    <w:rsid w:val="00592A34"/>
    <w:rsid w:val="005A55F5"/>
    <w:rsid w:val="006231F8"/>
    <w:rsid w:val="00624C01"/>
    <w:rsid w:val="00661996"/>
    <w:rsid w:val="006704C5"/>
    <w:rsid w:val="00675F8D"/>
    <w:rsid w:val="006B613E"/>
    <w:rsid w:val="00716812"/>
    <w:rsid w:val="00727143"/>
    <w:rsid w:val="007274EB"/>
    <w:rsid w:val="00737548"/>
    <w:rsid w:val="007413E2"/>
    <w:rsid w:val="00741BA4"/>
    <w:rsid w:val="00777DB6"/>
    <w:rsid w:val="007A69EA"/>
    <w:rsid w:val="007C31CB"/>
    <w:rsid w:val="007E1C57"/>
    <w:rsid w:val="007E513F"/>
    <w:rsid w:val="007F13AB"/>
    <w:rsid w:val="0080052B"/>
    <w:rsid w:val="00812EBF"/>
    <w:rsid w:val="00822199"/>
    <w:rsid w:val="008248C8"/>
    <w:rsid w:val="008A5D9E"/>
    <w:rsid w:val="008B7363"/>
    <w:rsid w:val="008F2129"/>
    <w:rsid w:val="0090215B"/>
    <w:rsid w:val="0091662F"/>
    <w:rsid w:val="0092276A"/>
    <w:rsid w:val="009239FE"/>
    <w:rsid w:val="00943CB2"/>
    <w:rsid w:val="009570FA"/>
    <w:rsid w:val="009B7768"/>
    <w:rsid w:val="009C6A8F"/>
    <w:rsid w:val="009D7EAE"/>
    <w:rsid w:val="009E6C6D"/>
    <w:rsid w:val="00A333E7"/>
    <w:rsid w:val="00A36633"/>
    <w:rsid w:val="00A4498B"/>
    <w:rsid w:val="00A5572A"/>
    <w:rsid w:val="00AA0530"/>
    <w:rsid w:val="00AE1170"/>
    <w:rsid w:val="00B04A3F"/>
    <w:rsid w:val="00B10E8F"/>
    <w:rsid w:val="00B16F4B"/>
    <w:rsid w:val="00B26BA0"/>
    <w:rsid w:val="00B62AE1"/>
    <w:rsid w:val="00B717D6"/>
    <w:rsid w:val="00B92B25"/>
    <w:rsid w:val="00BA35E2"/>
    <w:rsid w:val="00BC1C5B"/>
    <w:rsid w:val="00BC49E0"/>
    <w:rsid w:val="00BD27F1"/>
    <w:rsid w:val="00BF63C6"/>
    <w:rsid w:val="00C23573"/>
    <w:rsid w:val="00C26930"/>
    <w:rsid w:val="00C521BE"/>
    <w:rsid w:val="00C9745D"/>
    <w:rsid w:val="00CE7EAB"/>
    <w:rsid w:val="00D07349"/>
    <w:rsid w:val="00D361F0"/>
    <w:rsid w:val="00D474B8"/>
    <w:rsid w:val="00D5080F"/>
    <w:rsid w:val="00D86FCC"/>
    <w:rsid w:val="00D8744F"/>
    <w:rsid w:val="00DB21CC"/>
    <w:rsid w:val="00DD3EAA"/>
    <w:rsid w:val="00E12EEF"/>
    <w:rsid w:val="00E2244D"/>
    <w:rsid w:val="00E26A21"/>
    <w:rsid w:val="00E3137D"/>
    <w:rsid w:val="00E31C62"/>
    <w:rsid w:val="00E368E6"/>
    <w:rsid w:val="00E81B74"/>
    <w:rsid w:val="00E9385E"/>
    <w:rsid w:val="00EA66A1"/>
    <w:rsid w:val="00EB16E0"/>
    <w:rsid w:val="00EB4EA2"/>
    <w:rsid w:val="00EB50FA"/>
    <w:rsid w:val="00EB7C2A"/>
    <w:rsid w:val="00F77E5C"/>
    <w:rsid w:val="00FB0FCC"/>
    <w:rsid w:val="00FC106A"/>
    <w:rsid w:val="00FE3D72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2BCF"/>
  <w15:docId w15:val="{67C5A46F-C2F7-42E5-AC37-8131B4CB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E2"/>
  </w:style>
  <w:style w:type="paragraph" w:styleId="Heading1">
    <w:name w:val="heading 1"/>
    <w:basedOn w:val="Normal"/>
    <w:link w:val="Heading1Char"/>
    <w:uiPriority w:val="9"/>
    <w:qFormat/>
    <w:rsid w:val="00067DA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barino">
    <w:name w:val="Barbarino"/>
    <w:basedOn w:val="Normal"/>
    <w:qFormat/>
    <w:rsid w:val="001B4612"/>
    <w:pPr>
      <w:spacing w:after="160" w:line="288" w:lineRule="auto"/>
      <w:ind w:left="2160"/>
    </w:pPr>
    <w:rPr>
      <w:rFonts w:ascii="Arial" w:eastAsiaTheme="minorEastAsia" w:hAnsi="Arial"/>
      <w:color w:val="5A5A5A" w:themeColor="text1" w:themeTint="A5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1264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0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0FF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67D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0C0B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doi/10.1177/0093854820953449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07/s13770-020-00240-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390/ijerph1719716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urnals.sagepub.com/doi/10.1177/00938548188103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A2F3-D5BE-466B-A92A-9B35DC49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Suzelle Fiedler</dc:creator>
  <cp:lastModifiedBy>Suzelle Fiedler</cp:lastModifiedBy>
  <cp:revision>18</cp:revision>
  <cp:lastPrinted>2020-12-15T14:32:00Z</cp:lastPrinted>
  <dcterms:created xsi:type="dcterms:W3CDTF">2021-08-04T14:24:00Z</dcterms:created>
  <dcterms:modified xsi:type="dcterms:W3CDTF">2021-08-04T14:47:00Z</dcterms:modified>
</cp:coreProperties>
</file>