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D008" w14:textId="77777777" w:rsidR="00177794" w:rsidRDefault="00177794" w:rsidP="00177794">
      <w:pPr>
        <w:spacing w:after="0"/>
        <w:rPr>
          <w:b/>
          <w:bCs/>
          <w:lang w:val="en-US"/>
        </w:rPr>
      </w:pPr>
    </w:p>
    <w:p w14:paraId="1E8C27C5" w14:textId="77777777" w:rsidR="00177794" w:rsidRPr="00F63939" w:rsidRDefault="00177794" w:rsidP="00177794">
      <w:pPr>
        <w:spacing w:after="0" w:line="480" w:lineRule="auto"/>
        <w:jc w:val="center"/>
        <w:rPr>
          <w:rFonts w:cstheme="minorHAnsi"/>
          <w:b/>
          <w:bCs/>
          <w:color w:val="222222"/>
          <w:shd w:val="clear" w:color="auto" w:fill="FFFFFF"/>
          <w:lang w:val="en-US"/>
        </w:rPr>
      </w:pPr>
      <w:r w:rsidRPr="00F63939">
        <w:rPr>
          <w:rFonts w:cstheme="minorHAnsi"/>
          <w:b/>
          <w:bCs/>
          <w:color w:val="222222"/>
          <w:shd w:val="clear" w:color="auto" w:fill="FFFFFF"/>
          <w:lang w:val="en-US"/>
        </w:rPr>
        <w:t>RESULTS</w:t>
      </w:r>
    </w:p>
    <w:p w14:paraId="01DE7D86" w14:textId="77777777" w:rsidR="00177794" w:rsidRDefault="00177794" w:rsidP="00177794">
      <w:pPr>
        <w:spacing w:after="0" w:line="480" w:lineRule="auto"/>
        <w:rPr>
          <w:rFonts w:cstheme="minorHAnsi"/>
          <w:color w:val="222222"/>
          <w:shd w:val="clear" w:color="auto" w:fill="FFFFFF"/>
          <w:lang w:val="en-US"/>
        </w:rPr>
      </w:pPr>
      <w:r w:rsidRPr="00F63939">
        <w:rPr>
          <w:rFonts w:cstheme="minorHAnsi"/>
          <w:color w:val="222222"/>
          <w:shd w:val="clear" w:color="auto" w:fill="FFFFFF"/>
          <w:lang w:val="en-US"/>
        </w:rPr>
        <w:t xml:space="preserve">A total of 161 positive blood culture bottles were included with Gram-negative bacilli belonging to 96 subjects hospitalized for different diagnoses. </w:t>
      </w:r>
      <w:proofErr w:type="gramStart"/>
      <w:r w:rsidRPr="00F63939">
        <w:rPr>
          <w:rFonts w:cstheme="minorHAnsi"/>
          <w:color w:val="222222"/>
          <w:shd w:val="clear" w:color="auto" w:fill="FFFFFF"/>
          <w:lang w:val="en-US"/>
        </w:rPr>
        <w:t>The majority of</w:t>
      </w:r>
      <w:proofErr w:type="gramEnd"/>
      <w:r w:rsidRPr="00F63939">
        <w:rPr>
          <w:rFonts w:cstheme="minorHAnsi"/>
          <w:color w:val="222222"/>
          <w:shd w:val="clear" w:color="auto" w:fill="FFFFFF"/>
          <w:lang w:val="en-US"/>
        </w:rPr>
        <w:t xml:space="preserve"> samples were obtained from women (53/96, 55.2%), with a mean (interquartile range, IQR) age of 73 years (59, 80). The arterial hypertension was the most frequently identified comorbidity (53/96, 55.2%). The infections were mainly acquired in the community (61/96, 63.5%), however, a significant percentage of intrahospital infections were also found (33/96, 34.4%). </w:t>
      </w:r>
      <w:proofErr w:type="gramStart"/>
      <w:r w:rsidRPr="00F63939">
        <w:rPr>
          <w:rFonts w:cstheme="minorHAnsi"/>
          <w:color w:val="222222"/>
          <w:shd w:val="clear" w:color="auto" w:fill="FFFFFF"/>
          <w:lang w:val="en-US"/>
        </w:rPr>
        <w:t>The vast majority of</w:t>
      </w:r>
      <w:proofErr w:type="gramEnd"/>
      <w:r w:rsidRPr="00F63939">
        <w:rPr>
          <w:rFonts w:cstheme="minorHAnsi"/>
          <w:color w:val="222222"/>
          <w:shd w:val="clear" w:color="auto" w:fill="FFFFFF"/>
          <w:lang w:val="en-US"/>
        </w:rPr>
        <w:t xml:space="preserve"> bacteremia was secondary </w:t>
      </w:r>
      <w:r>
        <w:rPr>
          <w:rFonts w:cstheme="minorHAnsi"/>
          <w:color w:val="222222"/>
          <w:shd w:val="clear" w:color="auto" w:fill="FFFFFF"/>
          <w:lang w:val="en-US"/>
        </w:rPr>
        <w:t>(89/96, 92.7%), with urinary sepsis being the main etiology (45/96, 46.9%), followed by abdominal sepsis (12/96, 12.5%), biliary sepsis (10/96, 10.4%) and pulmonary sepsis (8/96, 8.3%). The severity of the illness was moderate, calculated by APACHE II and SOFA (</w:t>
      </w:r>
      <w:r>
        <w:rPr>
          <w:rFonts w:cstheme="minorHAnsi"/>
          <w:b/>
          <w:bCs/>
          <w:color w:val="222222"/>
          <w:shd w:val="clear" w:color="auto" w:fill="FFFFFF"/>
          <w:lang w:val="en-US"/>
        </w:rPr>
        <w:t>Table 1</w:t>
      </w:r>
      <w:r>
        <w:rPr>
          <w:rFonts w:cstheme="minorHAnsi"/>
          <w:color w:val="222222"/>
          <w:shd w:val="clear" w:color="auto" w:fill="FFFFFF"/>
          <w:lang w:val="en-US"/>
        </w:rPr>
        <w:t>).</w:t>
      </w:r>
    </w:p>
    <w:p w14:paraId="4F821FB2" w14:textId="77777777" w:rsidR="00177794" w:rsidRDefault="00177794" w:rsidP="00177794">
      <w:pPr>
        <w:spacing w:after="0" w:line="480" w:lineRule="auto"/>
        <w:rPr>
          <w:rFonts w:cstheme="minorHAnsi"/>
          <w:color w:val="222222"/>
          <w:shd w:val="clear" w:color="auto" w:fill="FFFFFF"/>
          <w:lang w:val="en-US"/>
        </w:rPr>
      </w:pPr>
      <w:r>
        <w:rPr>
          <w:rFonts w:cstheme="minorHAnsi"/>
          <w:color w:val="222222"/>
          <w:shd w:val="clear" w:color="auto" w:fill="FFFFFF"/>
          <w:lang w:val="en-US"/>
        </w:rPr>
        <w:tab/>
        <w:t xml:space="preserve">The most frequent germ identified was </w:t>
      </w:r>
      <w:r>
        <w:rPr>
          <w:rFonts w:cstheme="minorHAnsi"/>
          <w:i/>
          <w:iCs/>
          <w:color w:val="222222"/>
          <w:shd w:val="clear" w:color="auto" w:fill="FFFFFF"/>
          <w:lang w:val="en-US"/>
        </w:rPr>
        <w:t>E. coli</w:t>
      </w:r>
      <w:r>
        <w:rPr>
          <w:rFonts w:cstheme="minorHAnsi"/>
          <w:color w:val="222222"/>
          <w:shd w:val="clear" w:color="auto" w:fill="FFFFFF"/>
          <w:lang w:val="en-US"/>
        </w:rPr>
        <w:t xml:space="preserve"> (81/161, 50.1%), followed by </w:t>
      </w:r>
      <w:r>
        <w:rPr>
          <w:rFonts w:cstheme="minorHAnsi"/>
          <w:i/>
          <w:iCs/>
          <w:color w:val="222222"/>
          <w:shd w:val="clear" w:color="auto" w:fill="FFFFFF"/>
          <w:lang w:val="en-US"/>
        </w:rPr>
        <w:t>K. pneumoniae</w:t>
      </w:r>
      <w:r>
        <w:rPr>
          <w:rFonts w:cstheme="minorHAnsi"/>
          <w:color w:val="222222"/>
          <w:shd w:val="clear" w:color="auto" w:fill="FFFFFF"/>
          <w:lang w:val="en-US"/>
        </w:rPr>
        <w:t xml:space="preserve"> (24/161, 14.9%) (</w:t>
      </w:r>
      <w:r>
        <w:rPr>
          <w:rFonts w:cstheme="minorHAnsi"/>
          <w:b/>
          <w:bCs/>
          <w:color w:val="222222"/>
          <w:shd w:val="clear" w:color="auto" w:fill="FFFFFF"/>
          <w:lang w:val="en-US"/>
        </w:rPr>
        <w:t>Figure 2</w:t>
      </w:r>
      <w:r>
        <w:rPr>
          <w:rFonts w:cstheme="minorHAnsi"/>
          <w:color w:val="222222"/>
          <w:shd w:val="clear" w:color="auto" w:fill="FFFFFF"/>
          <w:lang w:val="en-US"/>
        </w:rPr>
        <w:t>). Some degree of anti-microbial resistance was documented in 67% (109/161) of the samples, with carbapenemase resistance being the most frequently identified (34/161, 21%), followed ESBL (21/161, 13%) and amplified spectrum Beta-lactamase (18/161, 11%). It is important to highlight that in 33% (53/161) of the samples, a profile of usual sensitivity was observed (</w:t>
      </w:r>
      <w:r>
        <w:rPr>
          <w:rFonts w:cstheme="minorHAnsi"/>
          <w:b/>
          <w:bCs/>
          <w:color w:val="222222"/>
          <w:shd w:val="clear" w:color="auto" w:fill="FFFFFF"/>
          <w:lang w:val="en-US"/>
        </w:rPr>
        <w:t>Table 2</w:t>
      </w:r>
      <w:r>
        <w:rPr>
          <w:rFonts w:cstheme="minorHAnsi"/>
          <w:color w:val="222222"/>
          <w:shd w:val="clear" w:color="auto" w:fill="FFFFFF"/>
          <w:lang w:val="en-US"/>
        </w:rPr>
        <w:t>).</w:t>
      </w:r>
    </w:p>
    <w:p w14:paraId="3066E919" w14:textId="77777777" w:rsidR="005F3CB8" w:rsidRPr="00177794" w:rsidRDefault="005F3CB8" w:rsidP="00177794">
      <w:pPr>
        <w:spacing w:after="0"/>
        <w:rPr>
          <w:lang w:val="en-US"/>
        </w:rPr>
      </w:pPr>
      <w:bookmarkStart w:id="0" w:name="_GoBack"/>
      <w:bookmarkEnd w:id="0"/>
    </w:p>
    <w:sectPr w:rsidR="005F3CB8" w:rsidRPr="00177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94"/>
    <w:rsid w:val="00177794"/>
    <w:rsid w:val="00525504"/>
    <w:rsid w:val="005F3CB8"/>
    <w:rsid w:val="008473CC"/>
    <w:rsid w:val="0096763C"/>
    <w:rsid w:val="00F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D1AF"/>
  <w15:chartTrackingRefBased/>
  <w15:docId w15:val="{F349FC9A-0A68-480C-8211-90BE86D8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794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77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Barton</dc:creator>
  <cp:keywords/>
  <dc:description/>
  <cp:lastModifiedBy>Rachael Barton</cp:lastModifiedBy>
  <cp:revision>1</cp:revision>
  <dcterms:created xsi:type="dcterms:W3CDTF">2020-01-07T13:09:00Z</dcterms:created>
  <dcterms:modified xsi:type="dcterms:W3CDTF">2020-01-07T13:12:00Z</dcterms:modified>
</cp:coreProperties>
</file>