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D6" w:rsidRDefault="001117D6" w:rsidP="001117D6">
      <w:pPr>
        <w:pStyle w:val="Heading1"/>
      </w:pPr>
      <w:bookmarkStart w:id="0" w:name="_Toc496956242"/>
      <w:r>
        <w:t>The role of a t</w:t>
      </w:r>
      <w:r w:rsidRPr="009B5379">
        <w:t>emple in Mesopotamia and</w:t>
      </w:r>
      <w:r>
        <w:t xml:space="preserve"> the</w:t>
      </w:r>
      <w:r w:rsidRPr="009B5379">
        <w:t xml:space="preserve"> significance of the votive offerings</w:t>
      </w:r>
      <w:bookmarkEnd w:id="0"/>
    </w:p>
    <w:p w:rsidR="001117D6" w:rsidRPr="009A69F4" w:rsidRDefault="001117D6" w:rsidP="001117D6"/>
    <w:p w:rsidR="001117D6" w:rsidRPr="009B5379" w:rsidRDefault="001117D6" w:rsidP="001117D6">
      <w:pPr>
        <w:spacing w:line="480" w:lineRule="auto"/>
        <w:jc w:val="both"/>
        <w:rPr>
          <w:rFonts w:ascii="SemiramisUnicode" w:hAnsi="SemiramisUnicode" w:cs="SemiramisUnicode"/>
          <w:sz w:val="24"/>
          <w:szCs w:val="24"/>
        </w:rPr>
      </w:pPr>
      <w:r>
        <w:rPr>
          <w:rFonts w:ascii="SemiramisUnicode" w:hAnsi="SemiramisUnicode" w:cs="SemiramisUnicode"/>
          <w:sz w:val="24"/>
          <w:szCs w:val="24"/>
        </w:rPr>
        <w:t>A t</w:t>
      </w:r>
      <w:r w:rsidRPr="009B5379">
        <w:rPr>
          <w:rFonts w:ascii="SemiramisUnicode" w:hAnsi="SemiramisUnicode" w:cs="SemiramisUnicode"/>
          <w:sz w:val="24"/>
          <w:szCs w:val="24"/>
        </w:rPr>
        <w:t>emple is “a space or a building that houses a deity in its image”.</w:t>
      </w:r>
      <w:r w:rsidRPr="009B5379">
        <w:rPr>
          <w:rStyle w:val="FootnoteReference"/>
          <w:rFonts w:ascii="SemiramisUnicode" w:hAnsi="SemiramisUnicode" w:cs="SemiramisUnicode"/>
          <w:sz w:val="24"/>
          <w:szCs w:val="24"/>
        </w:rPr>
        <w:footnoteReference w:id="1"/>
      </w:r>
      <w:r w:rsidRPr="009B5379">
        <w:rPr>
          <w:rFonts w:ascii="SemiramisUnicode" w:hAnsi="SemiramisUnicode" w:cs="SemiramisUnicode"/>
          <w:sz w:val="24"/>
          <w:szCs w:val="24"/>
        </w:rPr>
        <w:t xml:space="preserve"> </w:t>
      </w:r>
      <w:r>
        <w:rPr>
          <w:rFonts w:ascii="SemiramisUnicode" w:hAnsi="SemiramisUnicode" w:cs="SemiramisUnicode"/>
          <w:sz w:val="24"/>
          <w:szCs w:val="24"/>
        </w:rPr>
        <w:t>It</w:t>
      </w:r>
      <w:r w:rsidRPr="009B5379">
        <w:rPr>
          <w:rFonts w:ascii="SemiramisUnicode" w:hAnsi="SemiramisUnicode" w:cs="SemiramisUnicode"/>
          <w:sz w:val="24"/>
          <w:szCs w:val="24"/>
        </w:rPr>
        <w:t xml:space="preserve"> is</w:t>
      </w:r>
      <w:r w:rsidRPr="009B5379">
        <w:rPr>
          <w:rFonts w:ascii="SemiramisUnicode" w:hAnsi="SemiramisUnicode" w:cs="SemiramisUnicode"/>
          <w:shd w:val="clear" w:color="auto" w:fill="FFFFFF"/>
        </w:rPr>
        <w:t xml:space="preserve"> constructed for religious</w:t>
      </w:r>
      <w:r w:rsidRPr="009B5379">
        <w:rPr>
          <w:rStyle w:val="apple-converted-space"/>
          <w:rFonts w:ascii="SemiramisUnicode" w:hAnsi="SemiramisUnicode" w:cs="SemiramisUnicode"/>
          <w:shd w:val="clear" w:color="auto" w:fill="FFFFFF"/>
        </w:rPr>
        <w:t> </w:t>
      </w:r>
      <w:hyperlink r:id="rId7" w:history="1">
        <w:r w:rsidRPr="009B5379">
          <w:rPr>
            <w:rStyle w:val="Hyperlink"/>
            <w:rFonts w:ascii="SemiramisUnicode" w:hAnsi="SemiramisUnicode" w:cs="SemiramisUnicode"/>
            <w:bdr w:val="none" w:sz="0" w:space="0" w:color="auto" w:frame="1"/>
          </w:rPr>
          <w:t>worship</w:t>
        </w:r>
      </w:hyperlink>
      <w:r w:rsidRPr="009B5379">
        <w:rPr>
          <w:rFonts w:ascii="SemiramisUnicode" w:hAnsi="SemiramisUnicode" w:cs="SemiramisUnicode"/>
          <w:sz w:val="24"/>
          <w:szCs w:val="24"/>
        </w:rPr>
        <w:t xml:space="preserve"> and </w:t>
      </w:r>
      <w:r>
        <w:rPr>
          <w:rFonts w:ascii="SemiramisUnicode" w:hAnsi="SemiramisUnicode" w:cs="SemiramisUnicode"/>
          <w:sz w:val="24"/>
          <w:szCs w:val="24"/>
        </w:rPr>
        <w:t>functions as</w:t>
      </w:r>
      <w:r w:rsidRPr="009B5379">
        <w:rPr>
          <w:rFonts w:ascii="SemiramisUnicode" w:hAnsi="SemiramisUnicode" w:cs="SemiramisUnicode"/>
          <w:sz w:val="24"/>
          <w:szCs w:val="24"/>
        </w:rPr>
        <w:t xml:space="preserve"> a central place of service and expression of reverence to the god. In Mesopotamia</w:t>
      </w:r>
      <w:r>
        <w:rPr>
          <w:rFonts w:ascii="SemiramisUnicode" w:hAnsi="SemiramisUnicode" w:cs="SemiramisUnicode"/>
          <w:sz w:val="24"/>
          <w:szCs w:val="24"/>
        </w:rPr>
        <w:t>, the</w:t>
      </w:r>
      <w:r w:rsidRPr="009B5379">
        <w:rPr>
          <w:rFonts w:ascii="SemiramisUnicode" w:hAnsi="SemiramisUnicode" w:cs="SemiramisUnicode"/>
          <w:sz w:val="24"/>
          <w:szCs w:val="24"/>
        </w:rPr>
        <w:t xml:space="preserve"> temple was a home for a single deity or even for a divine family. The life of</w:t>
      </w:r>
      <w:r>
        <w:rPr>
          <w:rFonts w:ascii="SemiramisUnicode" w:hAnsi="SemiramisUnicode" w:cs="SemiramisUnicode"/>
          <w:sz w:val="24"/>
          <w:szCs w:val="24"/>
        </w:rPr>
        <w:t xml:space="preserve"> the</w:t>
      </w:r>
      <w:r w:rsidRPr="009B5379">
        <w:rPr>
          <w:rFonts w:ascii="SemiramisUnicode" w:hAnsi="SemiramisUnicode" w:cs="SemiramisUnicode"/>
          <w:sz w:val="24"/>
          <w:szCs w:val="24"/>
        </w:rPr>
        <w:t xml:space="preserve"> inhabitants was organized around this divine household. The temple offered not only a practical way of managing </w:t>
      </w:r>
      <w:r>
        <w:rPr>
          <w:rFonts w:ascii="SemiramisUnicode" w:hAnsi="SemiramisUnicode" w:cs="SemiramisUnicode"/>
          <w:sz w:val="24"/>
          <w:szCs w:val="24"/>
        </w:rPr>
        <w:t xml:space="preserve">the </w:t>
      </w:r>
      <w:r w:rsidRPr="009B5379">
        <w:rPr>
          <w:rFonts w:ascii="SemiramisUnicode" w:hAnsi="SemiramisUnicode" w:cs="SemiramisUnicode"/>
          <w:sz w:val="24"/>
          <w:szCs w:val="24"/>
        </w:rPr>
        <w:t xml:space="preserve">people’s world, but also provided an understanding of different phenomena. In Babylonia, where </w:t>
      </w:r>
      <w:r>
        <w:rPr>
          <w:rFonts w:ascii="SemiramisUnicode" w:hAnsi="SemiramisUnicode" w:cs="SemiramisUnicode"/>
          <w:sz w:val="24"/>
          <w:szCs w:val="24"/>
        </w:rPr>
        <w:t>the</w:t>
      </w:r>
      <w:r w:rsidRPr="009B5379">
        <w:rPr>
          <w:rFonts w:ascii="SemiramisUnicode" w:hAnsi="SemiramisUnicode" w:cs="SemiramisUnicode"/>
          <w:sz w:val="24"/>
          <w:szCs w:val="24"/>
        </w:rPr>
        <w:t xml:space="preserve"> temple was a core of the state, by the end of the Early Dynastic period temples </w:t>
      </w:r>
      <w:r>
        <w:rPr>
          <w:rFonts w:ascii="SemiramisUnicode" w:hAnsi="SemiramisUnicode" w:cs="SemiramisUnicode"/>
          <w:sz w:val="24"/>
          <w:szCs w:val="24"/>
        </w:rPr>
        <w:t xml:space="preserve">had </w:t>
      </w:r>
      <w:r w:rsidRPr="009B5379">
        <w:rPr>
          <w:rFonts w:ascii="SemiramisUnicode" w:hAnsi="SemiramisUnicode" w:cs="SemiramisUnicode"/>
          <w:sz w:val="24"/>
          <w:szCs w:val="24"/>
        </w:rPr>
        <w:t>bec</w:t>
      </w:r>
      <w:r>
        <w:rPr>
          <w:rFonts w:ascii="SemiramisUnicode" w:hAnsi="SemiramisUnicode" w:cs="SemiramisUnicode"/>
          <w:sz w:val="24"/>
          <w:szCs w:val="24"/>
        </w:rPr>
        <w:t>o</w:t>
      </w:r>
      <w:r w:rsidRPr="009B5379">
        <w:rPr>
          <w:rFonts w:ascii="SemiramisUnicode" w:hAnsi="SemiramisUnicode" w:cs="SemiramisUnicode"/>
          <w:sz w:val="24"/>
          <w:szCs w:val="24"/>
        </w:rPr>
        <w:t xml:space="preserve">me the major owners of landed property and promoted </w:t>
      </w:r>
      <w:r>
        <w:rPr>
          <w:rFonts w:ascii="SemiramisUnicode" w:hAnsi="SemiramisUnicode" w:cs="SemiramisUnicode"/>
          <w:sz w:val="24"/>
          <w:szCs w:val="24"/>
        </w:rPr>
        <w:t>the</w:t>
      </w:r>
      <w:r w:rsidRPr="009B5379">
        <w:rPr>
          <w:rFonts w:ascii="SemiramisUnicode" w:hAnsi="SemiramisUnicode" w:cs="SemiramisUnicode"/>
          <w:sz w:val="24"/>
          <w:szCs w:val="24"/>
        </w:rPr>
        <w:t xml:space="preserve"> development of civilization.</w:t>
      </w:r>
      <w:r w:rsidRPr="009B5379">
        <w:rPr>
          <w:rStyle w:val="FootnoteReference"/>
          <w:rFonts w:ascii="SemiramisUnicode" w:hAnsi="SemiramisUnicode" w:cs="SemiramisUnicode"/>
          <w:sz w:val="24"/>
          <w:szCs w:val="24"/>
        </w:rPr>
        <w:footnoteReference w:id="2"/>
      </w:r>
      <w:r w:rsidRPr="009B5379">
        <w:rPr>
          <w:rFonts w:ascii="SemiramisUnicode" w:hAnsi="SemiramisUnicode" w:cs="SemiramisUnicode"/>
          <w:sz w:val="24"/>
          <w:szCs w:val="24"/>
        </w:rPr>
        <w:t xml:space="preserve"> </w:t>
      </w:r>
      <w:r>
        <w:rPr>
          <w:rFonts w:ascii="SemiramisUnicode" w:hAnsi="SemiramisUnicode" w:cs="SemiramisUnicode"/>
          <w:sz w:val="24"/>
          <w:szCs w:val="24"/>
        </w:rPr>
        <w:t xml:space="preserve">The </w:t>
      </w:r>
      <w:r w:rsidRPr="009B5379">
        <w:rPr>
          <w:rFonts w:ascii="SemiramisUnicode" w:hAnsi="SemiramisUnicode" w:cs="SemiramisUnicode"/>
          <w:sz w:val="24"/>
          <w:szCs w:val="24"/>
        </w:rPr>
        <w:t xml:space="preserve">cult of </w:t>
      </w:r>
      <w:r>
        <w:rPr>
          <w:rFonts w:ascii="SemiramisUnicode" w:hAnsi="SemiramisUnicode" w:cs="SemiramisUnicode"/>
          <w:sz w:val="24"/>
          <w:szCs w:val="24"/>
        </w:rPr>
        <w:t>a</w:t>
      </w:r>
      <w:r w:rsidRPr="009B5379">
        <w:rPr>
          <w:rFonts w:ascii="SemiramisUnicode" w:hAnsi="SemiramisUnicode" w:cs="SemiramisUnicode"/>
          <w:sz w:val="24"/>
          <w:szCs w:val="24"/>
        </w:rPr>
        <w:t xml:space="preserve"> particular deity in the temple-city-state was an expression of communal solidarity and ideological focus. The community was represented by the temple, and therefore contributions </w:t>
      </w:r>
      <w:r>
        <w:rPr>
          <w:rFonts w:ascii="SemiramisUnicode" w:hAnsi="SemiramisUnicode" w:cs="SemiramisUnicode"/>
          <w:sz w:val="24"/>
          <w:szCs w:val="24"/>
        </w:rPr>
        <w:t xml:space="preserve">to it </w:t>
      </w:r>
      <w:r w:rsidRPr="009B5379">
        <w:rPr>
          <w:rFonts w:ascii="SemiramisUnicode" w:hAnsi="SemiramisUnicode" w:cs="SemiramisUnicode"/>
          <w:sz w:val="24"/>
          <w:szCs w:val="24"/>
        </w:rPr>
        <w:t>were a moral obligation of citizens.</w:t>
      </w:r>
      <w:r w:rsidRPr="009B5379">
        <w:rPr>
          <w:rStyle w:val="FootnoteReference"/>
          <w:rFonts w:ascii="SemiramisUnicode" w:hAnsi="SemiramisUnicode" w:cs="SemiramisUnicode"/>
          <w:sz w:val="24"/>
          <w:szCs w:val="24"/>
        </w:rPr>
        <w:footnoteReference w:id="3"/>
      </w:r>
    </w:p>
    <w:p w:rsidR="001117D6" w:rsidRPr="009B5379" w:rsidRDefault="001117D6" w:rsidP="001117D6">
      <w:pPr>
        <w:spacing w:line="480" w:lineRule="auto"/>
        <w:ind w:firstLine="720"/>
        <w:jc w:val="both"/>
        <w:rPr>
          <w:rFonts w:ascii="SemiramisUnicode" w:hAnsi="SemiramisUnicode" w:cs="SemiramisUnicode"/>
          <w:sz w:val="24"/>
          <w:szCs w:val="24"/>
        </w:rPr>
      </w:pPr>
      <w:r w:rsidRPr="009B5379">
        <w:rPr>
          <w:rFonts w:ascii="SemiramisUnicode" w:hAnsi="SemiramisUnicode" w:cs="SemiramisUnicode"/>
          <w:sz w:val="24"/>
          <w:szCs w:val="24"/>
        </w:rPr>
        <w:t>Religious life is inconceivable without</w:t>
      </w:r>
      <w:r>
        <w:rPr>
          <w:rFonts w:ascii="SemiramisUnicode" w:hAnsi="SemiramisUnicode" w:cs="SemiramisUnicode"/>
          <w:sz w:val="24"/>
          <w:szCs w:val="24"/>
        </w:rPr>
        <w:t xml:space="preserve"> the</w:t>
      </w:r>
      <w:r w:rsidRPr="009B5379">
        <w:rPr>
          <w:rFonts w:ascii="SemiramisUnicode" w:hAnsi="SemiramisUnicode" w:cs="SemiramisUnicode"/>
          <w:sz w:val="24"/>
          <w:szCs w:val="24"/>
        </w:rPr>
        <w:t xml:space="preserve"> performance of rituals, which could </w:t>
      </w:r>
      <w:r>
        <w:rPr>
          <w:rFonts w:ascii="SemiramisUnicode" w:hAnsi="SemiramisUnicode" w:cs="SemiramisUnicode"/>
          <w:sz w:val="24"/>
          <w:szCs w:val="24"/>
        </w:rPr>
        <w:t>indicate the</w:t>
      </w:r>
      <w:r w:rsidRPr="009B5379">
        <w:rPr>
          <w:rFonts w:ascii="SemiramisUnicode" w:hAnsi="SemiramisUnicode" w:cs="SemiramisUnicode"/>
          <w:sz w:val="24"/>
          <w:szCs w:val="24"/>
        </w:rPr>
        <w:t xml:space="preserve"> status and level of influence of the performer. “The participation of the ruler in cult and ritual was essential to the practice and display of his position in his many functions as the religious, economic, administrative, political, and military leader of the community”</w:t>
      </w:r>
      <w:r>
        <w:rPr>
          <w:rFonts w:ascii="SemiramisUnicode" w:hAnsi="SemiramisUnicode" w:cs="SemiramisUnicode"/>
          <w:sz w:val="24"/>
          <w:szCs w:val="24"/>
        </w:rPr>
        <w:t>.</w:t>
      </w:r>
      <w:r w:rsidRPr="009B5379">
        <w:rPr>
          <w:rStyle w:val="FootnoteReference"/>
          <w:rFonts w:ascii="SemiramisUnicode" w:hAnsi="SemiramisUnicode" w:cs="SemiramisUnicode"/>
          <w:sz w:val="24"/>
          <w:szCs w:val="24"/>
        </w:rPr>
        <w:footnoteReference w:id="4"/>
      </w:r>
      <w:r w:rsidRPr="009B5379">
        <w:rPr>
          <w:rFonts w:ascii="SemiramisUnicode" w:hAnsi="SemiramisUnicode" w:cs="SemiramisUnicode"/>
          <w:sz w:val="24"/>
          <w:szCs w:val="24"/>
        </w:rPr>
        <w:t xml:space="preserve"> Moreover, there is a strong connection between ritual and sacred place. A place achieves its significance as sacred through </w:t>
      </w:r>
      <w:r>
        <w:rPr>
          <w:rFonts w:ascii="SemiramisUnicode" w:hAnsi="SemiramisUnicode" w:cs="SemiramisUnicode"/>
          <w:sz w:val="24"/>
          <w:szCs w:val="24"/>
        </w:rPr>
        <w:t xml:space="preserve">the </w:t>
      </w:r>
      <w:r w:rsidRPr="009B5379">
        <w:rPr>
          <w:rFonts w:ascii="SemiramisUnicode" w:hAnsi="SemiramisUnicode" w:cs="SemiramisUnicode"/>
          <w:sz w:val="24"/>
          <w:szCs w:val="24"/>
        </w:rPr>
        <w:t>repeti</w:t>
      </w:r>
      <w:r>
        <w:rPr>
          <w:rFonts w:ascii="SemiramisUnicode" w:hAnsi="SemiramisUnicode" w:cs="SemiramisUnicode"/>
          <w:sz w:val="24"/>
          <w:szCs w:val="24"/>
        </w:rPr>
        <w:t>tion of</w:t>
      </w:r>
      <w:r w:rsidRPr="009B5379">
        <w:rPr>
          <w:rFonts w:ascii="SemiramisUnicode" w:hAnsi="SemiramisUnicode" w:cs="SemiramisUnicode"/>
          <w:sz w:val="24"/>
          <w:szCs w:val="24"/>
        </w:rPr>
        <w:t xml:space="preserve"> ritual activity.</w:t>
      </w:r>
      <w:r w:rsidRPr="009B5379">
        <w:rPr>
          <w:rStyle w:val="FootnoteReference"/>
          <w:rFonts w:ascii="SemiramisUnicode" w:hAnsi="SemiramisUnicode" w:cs="SemiramisUnicode"/>
          <w:sz w:val="24"/>
          <w:szCs w:val="24"/>
        </w:rPr>
        <w:footnoteReference w:id="5"/>
      </w:r>
    </w:p>
    <w:p w:rsidR="001117D6" w:rsidRPr="009B5379" w:rsidRDefault="001117D6" w:rsidP="001117D6">
      <w:pPr>
        <w:spacing w:line="480" w:lineRule="auto"/>
        <w:ind w:firstLine="720"/>
        <w:jc w:val="both"/>
        <w:rPr>
          <w:rFonts w:ascii="SemiramisUnicode" w:hAnsi="SemiramisUnicode" w:cs="SemiramisUnicode"/>
          <w:sz w:val="24"/>
          <w:szCs w:val="24"/>
        </w:rPr>
      </w:pPr>
      <w:r>
        <w:rPr>
          <w:rFonts w:ascii="SemiramisUnicode" w:hAnsi="SemiramisUnicode" w:cs="SemiramisUnicode"/>
          <w:sz w:val="24"/>
          <w:szCs w:val="24"/>
        </w:rPr>
        <w:lastRenderedPageBreak/>
        <w:t>The</w:t>
      </w:r>
      <w:r w:rsidRPr="009B5379">
        <w:rPr>
          <w:rFonts w:ascii="SemiramisUnicode" w:hAnsi="SemiramisUnicode" w:cs="SemiramisUnicode"/>
          <w:sz w:val="24"/>
          <w:szCs w:val="24"/>
        </w:rPr>
        <w:t xml:space="preserve"> king, the one who was appointed by </w:t>
      </w:r>
      <w:r>
        <w:rPr>
          <w:rFonts w:ascii="SemiramisUnicode" w:hAnsi="SemiramisUnicode" w:cs="SemiramisUnicode"/>
          <w:sz w:val="24"/>
          <w:szCs w:val="24"/>
        </w:rPr>
        <w:t xml:space="preserve">the </w:t>
      </w:r>
      <w:r w:rsidRPr="009B5379">
        <w:rPr>
          <w:rFonts w:ascii="SemiramisUnicode" w:hAnsi="SemiramisUnicode" w:cs="SemiramisUnicode"/>
          <w:sz w:val="24"/>
          <w:szCs w:val="24"/>
        </w:rPr>
        <w:t xml:space="preserve">god to rule over </w:t>
      </w:r>
      <w:r>
        <w:rPr>
          <w:rFonts w:ascii="SemiramisUnicode" w:hAnsi="SemiramisUnicode" w:cs="SemiramisUnicode"/>
          <w:sz w:val="24"/>
          <w:szCs w:val="24"/>
        </w:rPr>
        <w:t>a</w:t>
      </w:r>
      <w:r w:rsidRPr="009B5379">
        <w:rPr>
          <w:rFonts w:ascii="SemiramisUnicode" w:hAnsi="SemiramisUnicode" w:cs="SemiramisUnicode"/>
          <w:sz w:val="24"/>
          <w:szCs w:val="24"/>
        </w:rPr>
        <w:t xml:space="preserve"> particular territory as well as a major representative of the community, was in charge of</w:t>
      </w:r>
      <w:r>
        <w:rPr>
          <w:rFonts w:ascii="SemiramisUnicode" w:hAnsi="SemiramisUnicode" w:cs="SemiramisUnicode"/>
          <w:sz w:val="24"/>
          <w:szCs w:val="24"/>
        </w:rPr>
        <w:t xml:space="preserve"> the</w:t>
      </w:r>
      <w:r w:rsidRPr="009B5379">
        <w:rPr>
          <w:rFonts w:ascii="SemiramisUnicode" w:hAnsi="SemiramisUnicode" w:cs="SemiramisUnicode"/>
          <w:sz w:val="24"/>
          <w:szCs w:val="24"/>
        </w:rPr>
        <w:t xml:space="preserve"> building and maintenance of a divine house, and responsible </w:t>
      </w:r>
      <w:r>
        <w:rPr>
          <w:rFonts w:ascii="SemiramisUnicode" w:hAnsi="SemiramisUnicode" w:cs="SemiramisUnicode"/>
          <w:sz w:val="24"/>
          <w:szCs w:val="24"/>
        </w:rPr>
        <w:t>for taking</w:t>
      </w:r>
      <w:r w:rsidRPr="009B5379">
        <w:rPr>
          <w:rFonts w:ascii="SemiramisUnicode" w:hAnsi="SemiramisUnicode" w:cs="SemiramisUnicode"/>
          <w:sz w:val="24"/>
          <w:szCs w:val="24"/>
        </w:rPr>
        <w:t xml:space="preserve"> care of its inhabitants by means of offerings. Presenting devotion and piety towards a deity, the king was promised abundance and peace for his land</w:t>
      </w:r>
      <w:r>
        <w:rPr>
          <w:rFonts w:ascii="SemiramisUnicode" w:hAnsi="SemiramisUnicode" w:cs="SemiramisUnicode"/>
          <w:sz w:val="24"/>
          <w:szCs w:val="24"/>
        </w:rPr>
        <w:t xml:space="preserve"> in return</w:t>
      </w:r>
      <w:r w:rsidRPr="009B5379">
        <w:rPr>
          <w:rFonts w:ascii="SemiramisUnicode" w:hAnsi="SemiramisUnicode" w:cs="SemiramisUnicode"/>
          <w:sz w:val="24"/>
          <w:szCs w:val="24"/>
        </w:rPr>
        <w:t xml:space="preserve">. The temple and the ruler had a strong connection and were dependent on each other. </w:t>
      </w:r>
    </w:p>
    <w:p w:rsidR="001117D6" w:rsidRPr="009B5379" w:rsidRDefault="001117D6" w:rsidP="001117D6">
      <w:pPr>
        <w:spacing w:line="480" w:lineRule="auto"/>
        <w:ind w:firstLine="720"/>
        <w:jc w:val="both"/>
        <w:rPr>
          <w:rFonts w:ascii="SemiramisUnicode" w:hAnsi="SemiramisUnicode" w:cs="SemiramisUnicode"/>
          <w:sz w:val="24"/>
          <w:szCs w:val="24"/>
        </w:rPr>
      </w:pPr>
      <w:r w:rsidRPr="009B5379">
        <w:rPr>
          <w:rFonts w:ascii="SemiramisUnicode" w:hAnsi="SemiramisUnicode" w:cs="SemiramisUnicode"/>
          <w:sz w:val="24"/>
          <w:szCs w:val="24"/>
        </w:rPr>
        <w:t xml:space="preserve">Worship, among other practices, included a gift-giving relationship between a human being and a deity. “Gifts” presented to gods by kings are </w:t>
      </w:r>
      <w:r>
        <w:rPr>
          <w:rFonts w:ascii="SemiramisUnicode" w:hAnsi="SemiramisUnicode" w:cs="SemiramisUnicode"/>
          <w:sz w:val="24"/>
          <w:szCs w:val="24"/>
        </w:rPr>
        <w:t>called</w:t>
      </w:r>
      <w:r w:rsidRPr="009B5379">
        <w:rPr>
          <w:rFonts w:ascii="SemiramisUnicode" w:hAnsi="SemiramisUnicode" w:cs="SemiramisUnicode"/>
          <w:sz w:val="24"/>
          <w:szCs w:val="24"/>
        </w:rPr>
        <w:t xml:space="preserve"> votive offerings or votive depositions. </w:t>
      </w:r>
      <w:r>
        <w:rPr>
          <w:rFonts w:ascii="SemiramisUnicode" w:hAnsi="SemiramisUnicode" w:cs="SemiramisUnicode"/>
          <w:sz w:val="24"/>
          <w:szCs w:val="24"/>
        </w:rPr>
        <w:t>The d</w:t>
      </w:r>
      <w:r w:rsidRPr="009B5379">
        <w:rPr>
          <w:rFonts w:ascii="SemiramisUnicode" w:hAnsi="SemiramisUnicode" w:cs="SemiramisUnicode"/>
          <w:sz w:val="24"/>
          <w:szCs w:val="24"/>
        </w:rPr>
        <w:t xml:space="preserve">edication of such items creates a lasting relationship with the deity, since material objects have </w:t>
      </w:r>
      <w:r>
        <w:rPr>
          <w:rFonts w:ascii="SemiramisUnicode" w:hAnsi="SemiramisUnicode" w:cs="SemiramisUnicode"/>
          <w:sz w:val="24"/>
          <w:szCs w:val="24"/>
        </w:rPr>
        <w:t>the</w:t>
      </w:r>
      <w:r w:rsidRPr="009B5379">
        <w:rPr>
          <w:rFonts w:ascii="SemiramisUnicode" w:hAnsi="SemiramisUnicode" w:cs="SemiramisUnicode"/>
          <w:sz w:val="24"/>
          <w:szCs w:val="24"/>
        </w:rPr>
        <w:t xml:space="preserve"> ability to invoke memory. The dedicatory inscription on the donated object functions as a reminder of the royal worshipper and lends him a physical presence in the sanctuary. It provides honour and prestige both to the king and to the divine recipient. The quantity and extravagance of votive offerings indicate the glorifying motives of the ruler and distin</w:t>
      </w:r>
      <w:r>
        <w:rPr>
          <w:rFonts w:ascii="SemiramisUnicode" w:hAnsi="SemiramisUnicode" w:cs="SemiramisUnicode"/>
          <w:sz w:val="24"/>
          <w:szCs w:val="24"/>
        </w:rPr>
        <w:t>guish</w:t>
      </w:r>
      <w:r w:rsidRPr="009B5379">
        <w:rPr>
          <w:rFonts w:ascii="SemiramisUnicode" w:hAnsi="SemiramisUnicode" w:cs="SemiramisUnicode"/>
          <w:sz w:val="24"/>
          <w:szCs w:val="24"/>
        </w:rPr>
        <w:t xml:space="preserve"> a particular god from other deities, affirming his </w:t>
      </w:r>
      <w:r>
        <w:rPr>
          <w:rFonts w:ascii="SemiramisUnicode" w:hAnsi="SemiramisUnicode" w:cs="SemiramisUnicode"/>
          <w:sz w:val="24"/>
          <w:szCs w:val="24"/>
        </w:rPr>
        <w:t xml:space="preserve">divine </w:t>
      </w:r>
      <w:r w:rsidRPr="009B5379">
        <w:rPr>
          <w:rFonts w:ascii="SemiramisUnicode" w:hAnsi="SemiramisUnicode" w:cs="SemiramisUnicode"/>
          <w:sz w:val="24"/>
          <w:szCs w:val="24"/>
        </w:rPr>
        <w:t xml:space="preserve">powers and </w:t>
      </w:r>
      <w:r>
        <w:rPr>
          <w:rFonts w:ascii="SemiramisUnicode" w:hAnsi="SemiramisUnicode" w:cs="SemiramisUnicode"/>
          <w:sz w:val="24"/>
          <w:szCs w:val="24"/>
        </w:rPr>
        <w:t>the ruler’s respect for him</w:t>
      </w:r>
      <w:r w:rsidRPr="009B5379">
        <w:rPr>
          <w:rFonts w:ascii="SemiramisUnicode" w:hAnsi="SemiramisUnicode" w:cs="SemiramisUnicode"/>
          <w:sz w:val="24"/>
          <w:szCs w:val="24"/>
        </w:rPr>
        <w:t>.</w:t>
      </w:r>
      <w:r w:rsidRPr="009B5379">
        <w:rPr>
          <w:rStyle w:val="FootnoteReference"/>
          <w:rFonts w:ascii="SemiramisUnicode" w:hAnsi="SemiramisUnicode" w:cs="SemiramisUnicode"/>
          <w:sz w:val="24"/>
          <w:szCs w:val="24"/>
        </w:rPr>
        <w:footnoteReference w:id="6"/>
      </w:r>
      <w:r w:rsidRPr="009B5379">
        <w:rPr>
          <w:rFonts w:ascii="SemiramisUnicode" w:hAnsi="SemiramisUnicode" w:cs="SemiramisUnicode"/>
          <w:sz w:val="24"/>
          <w:szCs w:val="24"/>
        </w:rPr>
        <w:t xml:space="preserve"> </w:t>
      </w:r>
    </w:p>
    <w:p w:rsidR="001117D6" w:rsidRPr="009B5379" w:rsidRDefault="001117D6" w:rsidP="001117D6">
      <w:pPr>
        <w:spacing w:line="480" w:lineRule="auto"/>
        <w:ind w:firstLine="720"/>
        <w:jc w:val="both"/>
        <w:rPr>
          <w:rFonts w:ascii="SemiramisUnicode" w:hAnsi="SemiramisUnicode" w:cs="SemiramisUnicode"/>
          <w:sz w:val="24"/>
          <w:szCs w:val="24"/>
        </w:rPr>
      </w:pPr>
      <w:r>
        <w:rPr>
          <w:rFonts w:ascii="SemiramisUnicode" w:hAnsi="SemiramisUnicode" w:cs="SemiramisUnicode"/>
          <w:sz w:val="24"/>
          <w:szCs w:val="24"/>
        </w:rPr>
        <w:t>The d</w:t>
      </w:r>
      <w:r w:rsidRPr="009B5379">
        <w:rPr>
          <w:rFonts w:ascii="SemiramisUnicode" w:hAnsi="SemiramisUnicode" w:cs="SemiramisUnicode"/>
          <w:sz w:val="24"/>
          <w:szCs w:val="24"/>
        </w:rPr>
        <w:t>edicator</w:t>
      </w:r>
      <w:r>
        <w:rPr>
          <w:rFonts w:ascii="SemiramisUnicode" w:hAnsi="SemiramisUnicode" w:cs="SemiramisUnicode"/>
          <w:sz w:val="24"/>
          <w:szCs w:val="24"/>
        </w:rPr>
        <w:t>y gifts of royal donors include</w:t>
      </w:r>
      <w:r w:rsidRPr="009B5379">
        <w:rPr>
          <w:rFonts w:ascii="SemiramisUnicode" w:hAnsi="SemiramisUnicode" w:cs="SemiramisUnicode"/>
          <w:sz w:val="24"/>
          <w:szCs w:val="24"/>
        </w:rPr>
        <w:t xml:space="preserve"> various objects such as furniture, weaponry, </w:t>
      </w:r>
      <w:r>
        <w:rPr>
          <w:rFonts w:ascii="SemiramisUnicode" w:hAnsi="SemiramisUnicode" w:cs="SemiramisUnicode"/>
          <w:sz w:val="24"/>
          <w:szCs w:val="24"/>
        </w:rPr>
        <w:t>cultic containers, vehicles</w:t>
      </w:r>
      <w:r w:rsidRPr="009B5379">
        <w:rPr>
          <w:rFonts w:ascii="SemiramisUnicode" w:hAnsi="SemiramisUnicode" w:cs="SemiramisUnicode"/>
          <w:sz w:val="24"/>
          <w:szCs w:val="24"/>
        </w:rPr>
        <w:t xml:space="preserve"> and images. Visual representations, either of a divinity or a human being, usually have an exceptional meaning. Despite their muteness, they are elements of social interaction and communication. In religion, images are effective for </w:t>
      </w:r>
      <w:r>
        <w:rPr>
          <w:rFonts w:ascii="SemiramisUnicode" w:hAnsi="SemiramisUnicode" w:cs="SemiramisUnicode"/>
          <w:sz w:val="24"/>
          <w:szCs w:val="24"/>
        </w:rPr>
        <w:t xml:space="preserve">the </w:t>
      </w:r>
      <w:r w:rsidRPr="009B5379">
        <w:rPr>
          <w:rFonts w:ascii="SemiramisUnicode" w:hAnsi="SemiramisUnicode" w:cs="SemiramisUnicode"/>
          <w:sz w:val="24"/>
          <w:szCs w:val="24"/>
        </w:rPr>
        <w:t>reinforcement of power and ideology.</w:t>
      </w:r>
      <w:r w:rsidRPr="009B5379">
        <w:rPr>
          <w:rStyle w:val="FootnoteReference"/>
          <w:rFonts w:ascii="SemiramisUnicode" w:hAnsi="SemiramisUnicode" w:cs="SemiramisUnicode"/>
          <w:sz w:val="24"/>
          <w:szCs w:val="24"/>
        </w:rPr>
        <w:footnoteReference w:id="7"/>
      </w:r>
      <w:r w:rsidRPr="009B5379">
        <w:rPr>
          <w:rFonts w:ascii="SemiramisUnicode" w:hAnsi="SemiramisUnicode" w:cs="SemiramisUnicode"/>
          <w:sz w:val="24"/>
          <w:szCs w:val="24"/>
        </w:rPr>
        <w:t xml:space="preserve"> </w:t>
      </w:r>
      <w:r>
        <w:rPr>
          <w:rFonts w:ascii="SemiramisUnicode" w:hAnsi="SemiramisUnicode" w:cs="SemiramisUnicode"/>
          <w:sz w:val="24"/>
          <w:szCs w:val="24"/>
        </w:rPr>
        <w:t>A</w:t>
      </w:r>
      <w:r w:rsidRPr="009B5379">
        <w:rPr>
          <w:rFonts w:ascii="SemiramisUnicode" w:hAnsi="SemiramisUnicode" w:cs="SemiramisUnicode"/>
          <w:sz w:val="24"/>
          <w:szCs w:val="24"/>
        </w:rPr>
        <w:t xml:space="preserve"> ruler</w:t>
      </w:r>
      <w:r>
        <w:rPr>
          <w:rFonts w:ascii="SemiramisUnicode" w:hAnsi="SemiramisUnicode" w:cs="SemiramisUnicode"/>
          <w:sz w:val="24"/>
          <w:szCs w:val="24"/>
        </w:rPr>
        <w:t>’s</w:t>
      </w:r>
      <w:r w:rsidRPr="009B5379">
        <w:rPr>
          <w:rFonts w:ascii="SemiramisUnicode" w:hAnsi="SemiramisUnicode" w:cs="SemiramisUnicode"/>
          <w:sz w:val="24"/>
          <w:szCs w:val="24"/>
        </w:rPr>
        <w:t xml:space="preserve"> </w:t>
      </w:r>
      <w:r>
        <w:rPr>
          <w:rFonts w:ascii="SemiramisUnicode" w:hAnsi="SemiramisUnicode" w:cs="SemiramisUnicode"/>
          <w:sz w:val="24"/>
          <w:szCs w:val="24"/>
        </w:rPr>
        <w:t>s</w:t>
      </w:r>
      <w:r w:rsidRPr="009B5379">
        <w:rPr>
          <w:rFonts w:ascii="SemiramisUnicode" w:hAnsi="SemiramisUnicode" w:cs="SemiramisUnicode"/>
          <w:sz w:val="24"/>
          <w:szCs w:val="24"/>
        </w:rPr>
        <w:t xml:space="preserve">elf-image in stone or metal has a special importance. It must impress the audience and to demonstrate the ability </w:t>
      </w:r>
      <w:r>
        <w:rPr>
          <w:rFonts w:ascii="SemiramisUnicode" w:hAnsi="SemiramisUnicode" w:cs="SemiramisUnicode"/>
          <w:sz w:val="24"/>
          <w:szCs w:val="24"/>
        </w:rPr>
        <w:t>to communicate</w:t>
      </w:r>
      <w:r w:rsidRPr="009B5379">
        <w:rPr>
          <w:rFonts w:ascii="SemiramisUnicode" w:hAnsi="SemiramisUnicode" w:cs="SemiramisUnicode"/>
          <w:sz w:val="24"/>
          <w:szCs w:val="24"/>
        </w:rPr>
        <w:t xml:space="preserve"> with </w:t>
      </w:r>
      <w:r>
        <w:rPr>
          <w:rFonts w:ascii="SemiramisUnicode" w:hAnsi="SemiramisUnicode" w:cs="SemiramisUnicode"/>
          <w:sz w:val="24"/>
          <w:szCs w:val="24"/>
        </w:rPr>
        <w:t xml:space="preserve">the </w:t>
      </w:r>
      <w:r w:rsidRPr="009B5379">
        <w:rPr>
          <w:rFonts w:ascii="SemiramisUnicode" w:hAnsi="SemiramisUnicode" w:cs="SemiramisUnicode"/>
          <w:sz w:val="24"/>
          <w:szCs w:val="24"/>
        </w:rPr>
        <w:t>god.</w:t>
      </w:r>
      <w:r>
        <w:rPr>
          <w:rFonts w:ascii="SemiramisUnicode" w:hAnsi="SemiramisUnicode" w:cs="SemiramisUnicode"/>
          <w:sz w:val="24"/>
          <w:szCs w:val="24"/>
        </w:rPr>
        <w:t xml:space="preserve"> The c</w:t>
      </w:r>
      <w:r w:rsidRPr="009B5379">
        <w:rPr>
          <w:rFonts w:ascii="SemiramisUnicode" w:hAnsi="SemiramisUnicode" w:cs="SemiramisUnicode"/>
          <w:sz w:val="24"/>
          <w:szCs w:val="24"/>
        </w:rPr>
        <w:t xml:space="preserve">reation of royal </w:t>
      </w:r>
      <w:r w:rsidRPr="009B5379">
        <w:rPr>
          <w:rFonts w:ascii="SemiramisUnicode" w:hAnsi="SemiramisUnicode" w:cs="SemiramisUnicode"/>
          <w:sz w:val="24"/>
          <w:szCs w:val="24"/>
        </w:rPr>
        <w:lastRenderedPageBreak/>
        <w:t xml:space="preserve">statuary was a complex process that included, inter alia, systematic rituals of consecration, installation and maintenance, </w:t>
      </w:r>
      <w:r>
        <w:rPr>
          <w:rFonts w:ascii="SemiramisUnicode" w:hAnsi="SemiramisUnicode" w:cs="SemiramisUnicode"/>
          <w:sz w:val="24"/>
          <w:szCs w:val="24"/>
        </w:rPr>
        <w:t>call</w:t>
      </w:r>
      <w:r w:rsidRPr="009B5379">
        <w:rPr>
          <w:rFonts w:ascii="SemiramisUnicode" w:hAnsi="SemiramisUnicode" w:cs="SemiramisUnicode"/>
          <w:sz w:val="24"/>
          <w:szCs w:val="24"/>
        </w:rPr>
        <w:t>ed “rituals of constitution”.</w:t>
      </w:r>
      <w:r w:rsidRPr="009B5379">
        <w:rPr>
          <w:rStyle w:val="FootnoteReference"/>
          <w:rFonts w:ascii="SemiramisUnicode" w:hAnsi="SemiramisUnicode" w:cs="SemiramisUnicode"/>
          <w:sz w:val="24"/>
          <w:szCs w:val="24"/>
        </w:rPr>
        <w:footnoteReference w:id="8"/>
      </w:r>
    </w:p>
    <w:p w:rsidR="001117D6" w:rsidRPr="009B5379" w:rsidRDefault="001117D6" w:rsidP="001117D6">
      <w:pPr>
        <w:spacing w:line="480" w:lineRule="auto"/>
        <w:ind w:firstLine="720"/>
        <w:jc w:val="both"/>
        <w:rPr>
          <w:rFonts w:ascii="SemiramisUnicode" w:hAnsi="SemiramisUnicode" w:cs="SemiramisUnicode"/>
          <w:sz w:val="24"/>
          <w:szCs w:val="24"/>
        </w:rPr>
      </w:pPr>
      <w:r w:rsidRPr="009B5379">
        <w:rPr>
          <w:rFonts w:ascii="SemiramisUnicode" w:hAnsi="SemiramisUnicode" w:cs="SemiramisUnicode"/>
          <w:sz w:val="24"/>
          <w:szCs w:val="24"/>
        </w:rPr>
        <w:t>Votive deposits often share common features, such as religious imagery, distinctive architectural context and precious or exotic material.</w:t>
      </w:r>
      <w:r w:rsidRPr="009B5379">
        <w:rPr>
          <w:rStyle w:val="FootnoteReference"/>
          <w:rFonts w:ascii="SemiramisUnicode" w:hAnsi="SemiramisUnicode" w:cs="SemiramisUnicode"/>
          <w:sz w:val="24"/>
          <w:szCs w:val="24"/>
        </w:rPr>
        <w:footnoteReference w:id="9"/>
      </w:r>
      <w:r w:rsidRPr="009B5379">
        <w:rPr>
          <w:rFonts w:ascii="SemiramisUnicode" w:hAnsi="SemiramisUnicode" w:cs="SemiramisUnicode"/>
          <w:sz w:val="24"/>
          <w:szCs w:val="24"/>
        </w:rPr>
        <w:t xml:space="preserve"> The latter attribute of dedicatory gifts is very important. Wood, metals</w:t>
      </w:r>
      <w:r>
        <w:rPr>
          <w:rFonts w:ascii="SemiramisUnicode" w:hAnsi="SemiramisUnicode" w:cs="SemiramisUnicode"/>
          <w:sz w:val="24"/>
          <w:szCs w:val="24"/>
        </w:rPr>
        <w:t xml:space="preserve"> </w:t>
      </w:r>
      <w:r w:rsidRPr="009B5379">
        <w:rPr>
          <w:rFonts w:ascii="SemiramisUnicode" w:hAnsi="SemiramisUnicode" w:cs="SemiramisUnicode"/>
          <w:sz w:val="24"/>
          <w:szCs w:val="24"/>
        </w:rPr>
        <w:t xml:space="preserve">and stone were </w:t>
      </w:r>
      <w:r>
        <w:rPr>
          <w:rFonts w:ascii="SemiramisUnicode" w:hAnsi="SemiramisUnicode" w:cs="SemiramisUnicode"/>
          <w:sz w:val="24"/>
          <w:szCs w:val="24"/>
        </w:rPr>
        <w:t>scarce</w:t>
      </w:r>
      <w:r w:rsidRPr="009B5379">
        <w:rPr>
          <w:rFonts w:ascii="SemiramisUnicode" w:hAnsi="SemiramisUnicode" w:cs="SemiramisUnicode"/>
          <w:sz w:val="24"/>
          <w:szCs w:val="24"/>
        </w:rPr>
        <w:t xml:space="preserve"> in Babylonia, therefore very precious. Commercial trade</w:t>
      </w:r>
      <w:r>
        <w:rPr>
          <w:rFonts w:ascii="SemiramisUnicode" w:hAnsi="SemiramisUnicode" w:cs="SemiramisUnicode"/>
          <w:sz w:val="24"/>
          <w:szCs w:val="24"/>
        </w:rPr>
        <w:t xml:space="preserve"> and wars provided </w:t>
      </w:r>
      <w:r w:rsidRPr="009B5379">
        <w:rPr>
          <w:rFonts w:ascii="SemiramisUnicode" w:hAnsi="SemiramisUnicode" w:cs="SemiramisUnicode"/>
          <w:sz w:val="24"/>
          <w:szCs w:val="24"/>
        </w:rPr>
        <w:t>acquisition not only of the raw material, but also the finished product.</w:t>
      </w:r>
      <w:r w:rsidRPr="009B5379">
        <w:rPr>
          <w:rStyle w:val="FootnoteReference"/>
          <w:rFonts w:ascii="SemiramisUnicode" w:hAnsi="SemiramisUnicode" w:cs="SemiramisUnicode"/>
          <w:sz w:val="24"/>
          <w:szCs w:val="24"/>
        </w:rPr>
        <w:footnoteReference w:id="10"/>
      </w:r>
      <w:r w:rsidRPr="009B5379">
        <w:rPr>
          <w:rFonts w:ascii="SemiramisUnicode" w:hAnsi="SemiramisUnicode" w:cs="SemiramisUnicode"/>
          <w:sz w:val="24"/>
          <w:szCs w:val="24"/>
        </w:rPr>
        <w:t xml:space="preserve"> </w:t>
      </w:r>
      <w:r>
        <w:rPr>
          <w:rFonts w:ascii="SemiramisUnicode" w:hAnsi="SemiramisUnicode" w:cs="SemiramisUnicode"/>
          <w:sz w:val="24"/>
          <w:szCs w:val="24"/>
        </w:rPr>
        <w:t>To present booty to the god, who supported the military campaign, or to gift an object that was made of a material coming from afar, as a result of successful trade, were admirable acts of piety, therefore mentioned in detail in royal inscriptions.</w:t>
      </w:r>
      <w:r>
        <w:rPr>
          <w:rStyle w:val="FootnoteReference"/>
          <w:rFonts w:ascii="SemiramisUnicode" w:hAnsi="SemiramisUnicode" w:cs="SemiramisUnicode"/>
          <w:sz w:val="24"/>
          <w:szCs w:val="24"/>
        </w:rPr>
        <w:footnoteReference w:id="11"/>
      </w:r>
      <w:r>
        <w:rPr>
          <w:rFonts w:ascii="SemiramisUnicode" w:hAnsi="SemiramisUnicode" w:cs="SemiramisUnicode"/>
          <w:sz w:val="24"/>
          <w:szCs w:val="24"/>
        </w:rPr>
        <w:t xml:space="preserve"> The wide-ranging production of gold that appears in textual references is almost absent from archaeological records. The reason for that is quite clear – precious metals were frequently reused. They were always a subject for plundering, especially during the destruction of cities</w:t>
      </w:r>
      <w:r>
        <w:rPr>
          <w:rFonts w:ascii="SemiramisUnicode" w:hAnsi="SemiramisUnicode" w:cs="SemiramisUnicode"/>
          <w:sz w:val="24"/>
          <w:szCs w:val="24"/>
        </w:rPr>
        <w:t>.</w:t>
      </w:r>
      <w:bookmarkStart w:id="1" w:name="_GoBack"/>
      <w:bookmarkEnd w:id="1"/>
    </w:p>
    <w:p w:rsidR="008575E6" w:rsidRDefault="008575E6"/>
    <w:sectPr w:rsidR="008575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E2" w:rsidRDefault="000772E2" w:rsidP="001117D6">
      <w:pPr>
        <w:spacing w:after="0" w:line="240" w:lineRule="auto"/>
      </w:pPr>
      <w:r>
        <w:separator/>
      </w:r>
    </w:p>
  </w:endnote>
  <w:endnote w:type="continuationSeparator" w:id="0">
    <w:p w:rsidR="000772E2" w:rsidRDefault="000772E2" w:rsidP="0011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miramisUnicode">
    <w:altName w:val="Times New Roman"/>
    <w:charset w:val="00"/>
    <w:family w:val="roman"/>
    <w:pitch w:val="variable"/>
    <w:sig w:usb0="A0002AFF" w:usb1="D00078FB" w:usb2="00000028" w:usb3="00000000" w:csb0="000000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E2" w:rsidRDefault="000772E2" w:rsidP="001117D6">
      <w:pPr>
        <w:spacing w:after="0" w:line="240" w:lineRule="auto"/>
      </w:pPr>
      <w:r>
        <w:separator/>
      </w:r>
    </w:p>
  </w:footnote>
  <w:footnote w:type="continuationSeparator" w:id="0">
    <w:p w:rsidR="000772E2" w:rsidRDefault="000772E2" w:rsidP="001117D6">
      <w:pPr>
        <w:spacing w:after="0" w:line="240" w:lineRule="auto"/>
      </w:pPr>
      <w:r>
        <w:continuationSeparator/>
      </w:r>
    </w:p>
  </w:footnote>
  <w:footnote w:id="1">
    <w:p w:rsidR="001117D6" w:rsidRDefault="001117D6" w:rsidP="001117D6">
      <w:pPr>
        <w:pStyle w:val="FootnoteText"/>
      </w:pPr>
      <w:r>
        <w:rPr>
          <w:rStyle w:val="FootnoteReference"/>
        </w:rPr>
        <w:footnoteRef/>
      </w:r>
      <w:r>
        <w:t xml:space="preserve"> </w:t>
      </w:r>
      <w:proofErr w:type="spellStart"/>
      <w:r>
        <w:rPr>
          <w:rFonts w:ascii="SemiramisUnicode" w:hAnsi="SemiramisUnicode" w:cs="SemiramisUnicode"/>
        </w:rPr>
        <w:t>Sallaberger</w:t>
      </w:r>
      <w:proofErr w:type="spellEnd"/>
      <w:r>
        <w:rPr>
          <w:rFonts w:ascii="SemiramisUnicode" w:hAnsi="SemiramisUnicode" w:cs="SemiramisUnicode"/>
        </w:rPr>
        <w:t xml:space="preserve"> 2013:519.</w:t>
      </w:r>
    </w:p>
  </w:footnote>
  <w:footnote w:id="2">
    <w:p w:rsidR="001117D6" w:rsidRPr="00E47DA2" w:rsidRDefault="001117D6" w:rsidP="001117D6">
      <w:pPr>
        <w:pStyle w:val="FootnoteText"/>
        <w:rPr>
          <w:rFonts w:ascii="SemiramisUnicode" w:hAnsi="SemiramisUnicode" w:cs="SemiramisUnicode"/>
        </w:rPr>
      </w:pPr>
      <w:r>
        <w:rPr>
          <w:rStyle w:val="FootnoteReference"/>
        </w:rPr>
        <w:footnoteRef/>
      </w:r>
      <w:r>
        <w:t xml:space="preserve"> </w:t>
      </w:r>
      <w:proofErr w:type="spellStart"/>
      <w:r>
        <w:rPr>
          <w:rFonts w:ascii="SemiramisUnicode" w:hAnsi="SemiramisUnicode" w:cs="SemiramisUnicode"/>
        </w:rPr>
        <w:t>Falkenstein</w:t>
      </w:r>
      <w:proofErr w:type="spellEnd"/>
      <w:r>
        <w:rPr>
          <w:rFonts w:ascii="SemiramisUnicode" w:hAnsi="SemiramisUnicode" w:cs="SemiramisUnicode"/>
        </w:rPr>
        <w:t xml:space="preserve"> 1974:</w:t>
      </w:r>
      <w:r w:rsidRPr="00E47DA2">
        <w:rPr>
          <w:rFonts w:ascii="SemiramisUnicode" w:hAnsi="SemiramisUnicode" w:cs="SemiramisUnicode"/>
        </w:rPr>
        <w:t>5-6</w:t>
      </w:r>
      <w:r>
        <w:rPr>
          <w:rFonts w:ascii="SemiramisUnicode" w:hAnsi="SemiramisUnicode" w:cs="SemiramisUnicode"/>
        </w:rPr>
        <w:t>.</w:t>
      </w:r>
    </w:p>
  </w:footnote>
  <w:footnote w:id="3">
    <w:p w:rsidR="001117D6" w:rsidRPr="002E1DAE" w:rsidRDefault="001117D6" w:rsidP="001117D6">
      <w:pPr>
        <w:pStyle w:val="FootnoteText"/>
        <w:rPr>
          <w:rFonts w:ascii="SemiramisUnicode" w:hAnsi="SemiramisUnicode" w:cs="SemiramisUnicode"/>
        </w:rPr>
      </w:pPr>
      <w:r>
        <w:rPr>
          <w:rStyle w:val="FootnoteReference"/>
        </w:rPr>
        <w:footnoteRef/>
      </w:r>
      <w:r>
        <w:t xml:space="preserve"> </w:t>
      </w:r>
      <w:proofErr w:type="spellStart"/>
      <w:r>
        <w:rPr>
          <w:rFonts w:ascii="SemiramisUnicode" w:hAnsi="SemiramisUnicode" w:cs="SemiramisUnicode"/>
        </w:rPr>
        <w:t>Postgate</w:t>
      </w:r>
      <w:proofErr w:type="spellEnd"/>
      <w:r>
        <w:rPr>
          <w:rFonts w:ascii="SemiramisUnicode" w:hAnsi="SemiramisUnicode" w:cs="SemiramisUnicode"/>
        </w:rPr>
        <w:t xml:space="preserve"> 1995:394.</w:t>
      </w:r>
    </w:p>
  </w:footnote>
  <w:footnote w:id="4">
    <w:p w:rsidR="001117D6" w:rsidRDefault="001117D6" w:rsidP="001117D6">
      <w:pPr>
        <w:pStyle w:val="FootnoteText"/>
      </w:pPr>
      <w:r>
        <w:rPr>
          <w:rStyle w:val="FootnoteReference"/>
        </w:rPr>
        <w:footnoteRef/>
      </w:r>
      <w:r>
        <w:t xml:space="preserve"> </w:t>
      </w:r>
      <w:proofErr w:type="spellStart"/>
      <w:r>
        <w:rPr>
          <w:rFonts w:ascii="SemiramisUnicode" w:hAnsi="SemiramisUnicode" w:cs="SemiramisUnicode"/>
        </w:rPr>
        <w:t>Averbeck</w:t>
      </w:r>
      <w:proofErr w:type="spellEnd"/>
      <w:r>
        <w:rPr>
          <w:rFonts w:ascii="SemiramisUnicode" w:hAnsi="SemiramisUnicode" w:cs="SemiramisUnicode"/>
        </w:rPr>
        <w:t xml:space="preserve"> 2006:</w:t>
      </w:r>
      <w:r w:rsidRPr="00FA1148">
        <w:rPr>
          <w:rFonts w:ascii="SemiramisUnicode" w:hAnsi="SemiramisUnicode" w:cs="SemiramisUnicode"/>
        </w:rPr>
        <w:t>44</w:t>
      </w:r>
      <w:r>
        <w:rPr>
          <w:rFonts w:ascii="SemiramisUnicode" w:hAnsi="SemiramisUnicode" w:cs="SemiramisUnicode"/>
        </w:rPr>
        <w:t>.</w:t>
      </w:r>
    </w:p>
  </w:footnote>
  <w:footnote w:id="5">
    <w:p w:rsidR="001117D6" w:rsidRPr="00F26924" w:rsidRDefault="001117D6" w:rsidP="001117D6">
      <w:pPr>
        <w:pStyle w:val="FootnoteText"/>
        <w:rPr>
          <w:rFonts w:ascii="SemiramisUnicode" w:hAnsi="SemiramisUnicode" w:cs="SemiramisUnicode"/>
        </w:rPr>
      </w:pPr>
      <w:r>
        <w:rPr>
          <w:rStyle w:val="FootnoteReference"/>
        </w:rPr>
        <w:footnoteRef/>
      </w:r>
      <w:r>
        <w:t xml:space="preserve"> </w:t>
      </w:r>
      <w:proofErr w:type="spellStart"/>
      <w:r>
        <w:rPr>
          <w:rFonts w:ascii="SemiramisUnicode" w:hAnsi="SemiramisUnicode" w:cs="SemiramisUnicode"/>
        </w:rPr>
        <w:t>Ragavan</w:t>
      </w:r>
      <w:proofErr w:type="spellEnd"/>
      <w:r>
        <w:rPr>
          <w:rFonts w:ascii="SemiramisUnicode" w:hAnsi="SemiramisUnicode" w:cs="SemiramisUnicode"/>
        </w:rPr>
        <w:t xml:space="preserve"> </w:t>
      </w:r>
      <w:proofErr w:type="gramStart"/>
      <w:r>
        <w:rPr>
          <w:rFonts w:ascii="SemiramisUnicode" w:hAnsi="SemiramisUnicode" w:cs="SemiramisUnicode"/>
        </w:rPr>
        <w:t>2012:6 .</w:t>
      </w:r>
      <w:proofErr w:type="gramEnd"/>
    </w:p>
  </w:footnote>
  <w:footnote w:id="6">
    <w:p w:rsidR="001117D6" w:rsidRPr="00347917" w:rsidRDefault="001117D6" w:rsidP="001117D6">
      <w:pPr>
        <w:pStyle w:val="FootnoteText"/>
        <w:rPr>
          <w:rFonts w:ascii="SemiramisUnicode" w:hAnsi="SemiramisUnicode" w:cs="SemiramisUnicode"/>
        </w:rPr>
      </w:pPr>
      <w:r>
        <w:rPr>
          <w:rStyle w:val="FootnoteReference"/>
        </w:rPr>
        <w:footnoteRef/>
      </w:r>
      <w:r>
        <w:t xml:space="preserve"> </w:t>
      </w:r>
      <w:r w:rsidRPr="006973B5">
        <w:rPr>
          <w:rFonts w:ascii="SemiramisUnicode" w:hAnsi="SemiramisUnicode" w:cs="SemiramisUnicode"/>
        </w:rPr>
        <w:t xml:space="preserve">Hemmer </w:t>
      </w:r>
      <w:proofErr w:type="spellStart"/>
      <w:r w:rsidRPr="006973B5">
        <w:rPr>
          <w:rFonts w:ascii="SemiramisUnicode" w:hAnsi="SemiramisUnicode" w:cs="SemiramisUnicode"/>
        </w:rPr>
        <w:t>Gudme</w:t>
      </w:r>
      <w:proofErr w:type="spellEnd"/>
      <w:r>
        <w:rPr>
          <w:rFonts w:ascii="SemiramisUnicode" w:hAnsi="SemiramisUnicode" w:cs="SemiramisUnicode"/>
        </w:rPr>
        <w:t xml:space="preserve"> 2012:8-13.</w:t>
      </w:r>
    </w:p>
  </w:footnote>
  <w:footnote w:id="7">
    <w:p w:rsidR="001117D6" w:rsidRDefault="001117D6" w:rsidP="001117D6">
      <w:pPr>
        <w:pStyle w:val="FootnoteText"/>
      </w:pPr>
      <w:r>
        <w:rPr>
          <w:rStyle w:val="FootnoteReference"/>
        </w:rPr>
        <w:footnoteRef/>
      </w:r>
      <w:r>
        <w:t xml:space="preserve"> </w:t>
      </w:r>
      <w:r>
        <w:rPr>
          <w:rFonts w:ascii="SemiramisUnicode" w:hAnsi="SemiramisUnicode" w:cs="SemiramisUnicode"/>
        </w:rPr>
        <w:t>Asher-</w:t>
      </w:r>
      <w:proofErr w:type="spellStart"/>
      <w:r>
        <w:rPr>
          <w:rFonts w:ascii="SemiramisUnicode" w:hAnsi="SemiramisUnicode" w:cs="SemiramisUnicode"/>
        </w:rPr>
        <w:t>Greve</w:t>
      </w:r>
      <w:proofErr w:type="spellEnd"/>
      <w:r>
        <w:rPr>
          <w:rFonts w:ascii="SemiramisUnicode" w:hAnsi="SemiramisUnicode" w:cs="SemiramisUnicode"/>
        </w:rPr>
        <w:t xml:space="preserve"> 2013:</w:t>
      </w:r>
      <w:r w:rsidRPr="00F56E7E">
        <w:rPr>
          <w:rFonts w:ascii="SemiramisUnicode" w:hAnsi="SemiramisUnicode" w:cs="SemiramisUnicode"/>
        </w:rPr>
        <w:t>150</w:t>
      </w:r>
      <w:r>
        <w:rPr>
          <w:rFonts w:ascii="SemiramisUnicode" w:hAnsi="SemiramisUnicode" w:cs="SemiramisUnicode"/>
        </w:rPr>
        <w:t>.</w:t>
      </w:r>
    </w:p>
  </w:footnote>
  <w:footnote w:id="8">
    <w:p w:rsidR="001117D6" w:rsidRPr="006973B5" w:rsidRDefault="001117D6" w:rsidP="001117D6">
      <w:pPr>
        <w:pStyle w:val="FootnoteText"/>
        <w:rPr>
          <w:rFonts w:ascii="SemiramisUnicode" w:hAnsi="SemiramisUnicode" w:cs="SemiramisUnicode"/>
        </w:rPr>
      </w:pPr>
      <w:r>
        <w:rPr>
          <w:rStyle w:val="FootnoteReference"/>
        </w:rPr>
        <w:footnoteRef/>
      </w:r>
      <w:r>
        <w:t xml:space="preserve"> </w:t>
      </w:r>
      <w:r>
        <w:rPr>
          <w:rFonts w:ascii="SemiramisUnicode" w:hAnsi="SemiramisUnicode" w:cs="SemiramisUnicode"/>
        </w:rPr>
        <w:t>Winter 2010:167.</w:t>
      </w:r>
    </w:p>
  </w:footnote>
  <w:footnote w:id="9">
    <w:p w:rsidR="001117D6" w:rsidRPr="00A744CD" w:rsidRDefault="001117D6" w:rsidP="001117D6">
      <w:pPr>
        <w:pStyle w:val="FootnoteText"/>
        <w:rPr>
          <w:rFonts w:ascii="SemiramisUnicode" w:hAnsi="SemiramisUnicode" w:cs="SemiramisUnicode"/>
        </w:rPr>
      </w:pPr>
      <w:r>
        <w:rPr>
          <w:rStyle w:val="FootnoteReference"/>
        </w:rPr>
        <w:footnoteRef/>
      </w:r>
      <w:r>
        <w:t xml:space="preserve"> </w:t>
      </w:r>
      <w:r>
        <w:rPr>
          <w:rFonts w:ascii="SemiramisUnicode" w:hAnsi="SemiramisUnicode" w:cs="SemiramisUnicode"/>
        </w:rPr>
        <w:t>Osborne 2004:4.</w:t>
      </w:r>
    </w:p>
  </w:footnote>
  <w:footnote w:id="10">
    <w:p w:rsidR="001117D6" w:rsidRDefault="001117D6" w:rsidP="001117D6">
      <w:pPr>
        <w:pStyle w:val="FootnoteText"/>
      </w:pPr>
      <w:r>
        <w:rPr>
          <w:rStyle w:val="FootnoteReference"/>
        </w:rPr>
        <w:footnoteRef/>
      </w:r>
      <w:r>
        <w:t xml:space="preserve"> </w:t>
      </w:r>
      <w:r>
        <w:rPr>
          <w:rFonts w:ascii="SemiramisUnicode" w:hAnsi="SemiramisUnicode" w:cs="SemiramisUnicode"/>
        </w:rPr>
        <w:t>Potts 1989:</w:t>
      </w:r>
      <w:r w:rsidRPr="0075653C">
        <w:rPr>
          <w:rFonts w:ascii="SemiramisUnicode" w:hAnsi="SemiramisUnicode" w:cs="SemiramisUnicode"/>
        </w:rPr>
        <w:t>124-125</w:t>
      </w:r>
      <w:r>
        <w:rPr>
          <w:rFonts w:ascii="SemiramisUnicode" w:hAnsi="SemiramisUnicode" w:cs="SemiramisUnicode"/>
        </w:rPr>
        <w:t>.</w:t>
      </w:r>
    </w:p>
  </w:footnote>
  <w:footnote w:id="11">
    <w:p w:rsidR="001117D6" w:rsidRPr="0075653C" w:rsidRDefault="001117D6" w:rsidP="001117D6">
      <w:pPr>
        <w:pStyle w:val="FootnoteText"/>
        <w:rPr>
          <w:rFonts w:ascii="SemiramisUnicode" w:hAnsi="SemiramisUnicode" w:cs="SemiramisUnicode"/>
        </w:rPr>
      </w:pPr>
      <w:r>
        <w:rPr>
          <w:rStyle w:val="FootnoteReference"/>
        </w:rPr>
        <w:footnoteRef/>
      </w:r>
      <w:r>
        <w:t xml:space="preserve"> </w:t>
      </w:r>
      <w:proofErr w:type="spellStart"/>
      <w:r>
        <w:rPr>
          <w:rFonts w:ascii="SemiramisUnicode" w:hAnsi="SemiramisUnicode" w:cs="SemiramisUnicode"/>
        </w:rPr>
        <w:t>Moorey</w:t>
      </w:r>
      <w:proofErr w:type="spellEnd"/>
      <w:r>
        <w:rPr>
          <w:rFonts w:ascii="SemiramisUnicode" w:hAnsi="SemiramisUnicode" w:cs="SemiramisUnicode"/>
        </w:rPr>
        <w:t xml:space="preserve"> 1994:219-220.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D6"/>
    <w:rsid w:val="000772E2"/>
    <w:rsid w:val="001117D6"/>
    <w:rsid w:val="008575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D6"/>
    <w:rPr>
      <w:lang w:val="en-GB" w:bidi="he-IL"/>
    </w:rPr>
  </w:style>
  <w:style w:type="paragraph" w:styleId="Heading1">
    <w:name w:val="heading 1"/>
    <w:basedOn w:val="Normal"/>
    <w:next w:val="Normal"/>
    <w:link w:val="Heading1Char"/>
    <w:uiPriority w:val="9"/>
    <w:qFormat/>
    <w:rsid w:val="001117D6"/>
    <w:pPr>
      <w:keepNext/>
      <w:keepLines/>
      <w:spacing w:before="480" w:after="0"/>
      <w:jc w:val="center"/>
      <w:outlineLvl w:val="0"/>
    </w:pPr>
    <w:rPr>
      <w:rFonts w:ascii="SemiramisUnicode" w:eastAsiaTheme="majorEastAsia" w:hAnsi="SemiramisUnicode"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D6"/>
    <w:rPr>
      <w:rFonts w:ascii="SemiramisUnicode" w:eastAsiaTheme="majorEastAsia" w:hAnsi="SemiramisUnicode" w:cstheme="majorBidi"/>
      <w:b/>
      <w:bCs/>
      <w:color w:val="000000" w:themeColor="text1"/>
      <w:sz w:val="28"/>
      <w:szCs w:val="28"/>
      <w:lang w:val="en-GB" w:bidi="he-IL"/>
    </w:rPr>
  </w:style>
  <w:style w:type="paragraph" w:styleId="FootnoteText">
    <w:name w:val="footnote text"/>
    <w:basedOn w:val="Normal"/>
    <w:link w:val="FootnoteTextChar"/>
    <w:uiPriority w:val="99"/>
    <w:semiHidden/>
    <w:unhideWhenUsed/>
    <w:rsid w:val="001117D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117D6"/>
    <w:rPr>
      <w:sz w:val="20"/>
      <w:szCs w:val="20"/>
      <w:lang w:bidi="he-IL"/>
    </w:rPr>
  </w:style>
  <w:style w:type="character" w:styleId="FootnoteReference">
    <w:name w:val="footnote reference"/>
    <w:basedOn w:val="DefaultParagraphFont"/>
    <w:uiPriority w:val="99"/>
    <w:semiHidden/>
    <w:unhideWhenUsed/>
    <w:rsid w:val="001117D6"/>
    <w:rPr>
      <w:vertAlign w:val="superscript"/>
    </w:rPr>
  </w:style>
  <w:style w:type="character" w:customStyle="1" w:styleId="apple-converted-space">
    <w:name w:val="apple-converted-space"/>
    <w:basedOn w:val="DefaultParagraphFont"/>
    <w:rsid w:val="001117D6"/>
  </w:style>
  <w:style w:type="character" w:styleId="Hyperlink">
    <w:name w:val="Hyperlink"/>
    <w:basedOn w:val="DefaultParagraphFont"/>
    <w:uiPriority w:val="99"/>
    <w:unhideWhenUsed/>
    <w:rsid w:val="001117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D6"/>
    <w:rPr>
      <w:lang w:val="en-GB" w:bidi="he-IL"/>
    </w:rPr>
  </w:style>
  <w:style w:type="paragraph" w:styleId="Heading1">
    <w:name w:val="heading 1"/>
    <w:basedOn w:val="Normal"/>
    <w:next w:val="Normal"/>
    <w:link w:val="Heading1Char"/>
    <w:uiPriority w:val="9"/>
    <w:qFormat/>
    <w:rsid w:val="001117D6"/>
    <w:pPr>
      <w:keepNext/>
      <w:keepLines/>
      <w:spacing w:before="480" w:after="0"/>
      <w:jc w:val="center"/>
      <w:outlineLvl w:val="0"/>
    </w:pPr>
    <w:rPr>
      <w:rFonts w:ascii="SemiramisUnicode" w:eastAsiaTheme="majorEastAsia" w:hAnsi="SemiramisUnicode"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D6"/>
    <w:rPr>
      <w:rFonts w:ascii="SemiramisUnicode" w:eastAsiaTheme="majorEastAsia" w:hAnsi="SemiramisUnicode" w:cstheme="majorBidi"/>
      <w:b/>
      <w:bCs/>
      <w:color w:val="000000" w:themeColor="text1"/>
      <w:sz w:val="28"/>
      <w:szCs w:val="28"/>
      <w:lang w:val="en-GB" w:bidi="he-IL"/>
    </w:rPr>
  </w:style>
  <w:style w:type="paragraph" w:styleId="FootnoteText">
    <w:name w:val="footnote text"/>
    <w:basedOn w:val="Normal"/>
    <w:link w:val="FootnoteTextChar"/>
    <w:uiPriority w:val="99"/>
    <w:semiHidden/>
    <w:unhideWhenUsed/>
    <w:rsid w:val="001117D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117D6"/>
    <w:rPr>
      <w:sz w:val="20"/>
      <w:szCs w:val="20"/>
      <w:lang w:bidi="he-IL"/>
    </w:rPr>
  </w:style>
  <w:style w:type="character" w:styleId="FootnoteReference">
    <w:name w:val="footnote reference"/>
    <w:basedOn w:val="DefaultParagraphFont"/>
    <w:uiPriority w:val="99"/>
    <w:semiHidden/>
    <w:unhideWhenUsed/>
    <w:rsid w:val="001117D6"/>
    <w:rPr>
      <w:vertAlign w:val="superscript"/>
    </w:rPr>
  </w:style>
  <w:style w:type="character" w:customStyle="1" w:styleId="apple-converted-space">
    <w:name w:val="apple-converted-space"/>
    <w:basedOn w:val="DefaultParagraphFont"/>
    <w:rsid w:val="001117D6"/>
  </w:style>
  <w:style w:type="character" w:styleId="Hyperlink">
    <w:name w:val="Hyperlink"/>
    <w:basedOn w:val="DefaultParagraphFont"/>
    <w:uiPriority w:val="99"/>
    <w:unhideWhenUsed/>
    <w:rsid w:val="00111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tannica.com/topic/worsh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2021-01-28T16:52:00Z</dcterms:created>
  <dcterms:modified xsi:type="dcterms:W3CDTF">2021-01-28T16:55:00Z</dcterms:modified>
</cp:coreProperties>
</file>