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cs="Arial"/>
        </w:rPr>
      </w:pPr>
      <w:r>
        <w:rPr>
          <w:rFonts w:cs="Arial"/>
        </w:rPr>
        <w:t>Table of Contents</w:t>
      </w:r>
    </w:p>
    <w:p>
      <w:pPr>
        <w:rPr>
          <w:rFonts w:hint="eastAsia"/>
        </w:rPr>
      </w:pPr>
      <w:r>
        <w:rPr>
          <w:rFonts w:hint="eastAsia"/>
        </w:rPr>
        <w:t>Chinese</w:t>
      </w:r>
      <w:r>
        <w:rPr>
          <w:rFonts w:hint="eastAsia"/>
          <w:lang w:val="en-US" w:eastAsia="zh-CN"/>
        </w:rPr>
        <w:t xml:space="preserve"> source</w:t>
      </w:r>
      <w:r>
        <w:rPr>
          <w:rFonts w:hint="eastAsia"/>
        </w:rPr>
        <w:t xml:space="preserve"> sample(Chemistry)</w:t>
      </w:r>
    </w:p>
    <w:p>
      <w:pPr>
        <w:spacing w:before="60" w:after="60"/>
        <w:rPr>
          <w:rStyle w:val="7"/>
          <w:rFonts w:cs="Arial"/>
          <w:szCs w:val="22"/>
        </w:rPr>
      </w:pPr>
      <w:r>
        <w:rPr>
          <w:rFonts w:cs="Arial"/>
          <w:b/>
          <w:szCs w:val="22"/>
        </w:rPr>
        <w:t xml:space="preserve"> </w:t>
      </w:r>
      <w:r>
        <w:rPr>
          <w:rFonts w:cs="Arial"/>
          <w:szCs w:val="22"/>
        </w:rPr>
        <w:tab/>
      </w:r>
      <w:r>
        <w:rPr>
          <w:rFonts w:cs="Arial"/>
          <w:szCs w:val="22"/>
        </w:rPr>
        <w:tab/>
      </w:r>
      <w:r>
        <w:rPr>
          <w:rFonts w:cs="Arial"/>
          <w:szCs w:val="22"/>
        </w:rPr>
        <w:tab/>
      </w:r>
      <w:r>
        <w:rPr>
          <w:rFonts w:hint="eastAsia" w:cs="Arial"/>
          <w:color w:val="auto"/>
          <w:szCs w:val="22"/>
          <w:u w:val="none"/>
        </w:rPr>
        <w:fldChar w:fldCharType="begin"/>
      </w:r>
      <w:r>
        <w:rPr>
          <w:rFonts w:hint="eastAsia" w:cs="Arial"/>
          <w:color w:val="auto"/>
          <w:szCs w:val="22"/>
          <w:u w:val="none"/>
        </w:rPr>
        <w:instrText xml:space="preserve"> HYPERLINK \l "OLE_LINK12" </w:instrText>
      </w:r>
      <w:r>
        <w:rPr>
          <w:rFonts w:hint="eastAsia" w:cs="Arial"/>
          <w:color w:val="auto"/>
          <w:szCs w:val="22"/>
          <w:u w:val="none"/>
        </w:rPr>
        <w:fldChar w:fldCharType="separate"/>
      </w:r>
      <w:r>
        <w:rPr>
          <w:rStyle w:val="7"/>
          <w:rFonts w:hint="eastAsia" w:cs="Arial"/>
          <w:szCs w:val="22"/>
        </w:rPr>
        <w:t>Chinese</w:t>
      </w:r>
      <w:r>
        <w:rPr>
          <w:rStyle w:val="7"/>
          <w:rFonts w:hint="eastAsia" w:cs="Arial"/>
          <w:szCs w:val="22"/>
          <w:lang w:val="en-US" w:eastAsia="zh-CN"/>
        </w:rPr>
        <w:t xml:space="preserve"> source</w:t>
      </w:r>
      <w:r>
        <w:rPr>
          <w:rStyle w:val="7"/>
          <w:rFonts w:hint="eastAsia" w:cs="Arial"/>
          <w:szCs w:val="22"/>
        </w:rPr>
        <w:t xml:space="preserve"> sample(Chemistry)</w:t>
      </w:r>
    </w:p>
    <w:p>
      <w:pPr>
        <w:spacing w:before="60" w:after="60"/>
        <w:rPr>
          <w:rFonts w:hint="eastAsia"/>
        </w:rPr>
      </w:pPr>
      <w:r>
        <w:rPr>
          <w:rFonts w:hint="eastAsia" w:cs="Arial"/>
          <w:color w:val="auto"/>
          <w:szCs w:val="22"/>
          <w:u w:val="none"/>
        </w:rPr>
        <w:fldChar w:fldCharType="end"/>
      </w:r>
      <w:r>
        <w:rPr>
          <w:rFonts w:hint="eastAsia"/>
        </w:rPr>
        <w:t>Chinese</w:t>
      </w:r>
      <w:r>
        <w:rPr>
          <w:rFonts w:hint="eastAsia"/>
          <w:lang w:val="en-US" w:eastAsia="zh-CN"/>
        </w:rPr>
        <w:t xml:space="preserve"> source</w:t>
      </w:r>
      <w:r>
        <w:rPr>
          <w:rFonts w:hint="eastAsia"/>
        </w:rPr>
        <w:t xml:space="preserve"> sample(Machinery)</w:t>
      </w:r>
    </w:p>
    <w:p>
      <w:pPr>
        <w:spacing w:before="60" w:after="60"/>
        <w:rPr>
          <w:rStyle w:val="8"/>
          <w:rFonts w:cs="Arial"/>
          <w:szCs w:val="22"/>
        </w:rPr>
      </w:pPr>
      <w:r>
        <w:rPr>
          <w:rFonts w:cs="Arial"/>
          <w:b/>
          <w:szCs w:val="22"/>
        </w:rPr>
        <w:t xml:space="preserve"> </w:t>
      </w:r>
      <w:r>
        <w:rPr>
          <w:rFonts w:cs="Arial"/>
          <w:szCs w:val="22"/>
        </w:rPr>
        <w:tab/>
      </w:r>
      <w:r>
        <w:rPr>
          <w:rFonts w:cs="Arial"/>
          <w:szCs w:val="22"/>
        </w:rPr>
        <w:tab/>
      </w:r>
      <w:r>
        <w:rPr>
          <w:rFonts w:cs="Arial"/>
          <w:szCs w:val="22"/>
        </w:rPr>
        <w:tab/>
      </w:r>
      <w:r>
        <w:rPr>
          <w:rFonts w:hint="eastAsia" w:cs="Arial"/>
          <w:szCs w:val="22"/>
        </w:rPr>
        <w:fldChar w:fldCharType="begin"/>
      </w:r>
      <w:r>
        <w:rPr>
          <w:rFonts w:hint="eastAsia" w:cs="Arial"/>
          <w:szCs w:val="22"/>
        </w:rPr>
        <w:instrText xml:space="preserve"> HYPERLINK \l "OLE_LINK9" </w:instrText>
      </w:r>
      <w:r>
        <w:rPr>
          <w:rFonts w:hint="eastAsia" w:cs="Arial"/>
          <w:szCs w:val="22"/>
        </w:rPr>
        <w:fldChar w:fldCharType="separate"/>
      </w:r>
      <w:r>
        <w:rPr>
          <w:rStyle w:val="7"/>
          <w:rFonts w:hint="eastAsia" w:cs="Arial"/>
          <w:szCs w:val="22"/>
        </w:rPr>
        <w:t>Chinese</w:t>
      </w:r>
      <w:r>
        <w:rPr>
          <w:rStyle w:val="7"/>
          <w:rFonts w:hint="eastAsia" w:cs="Arial"/>
          <w:szCs w:val="22"/>
          <w:lang w:val="en-US" w:eastAsia="zh-CN"/>
        </w:rPr>
        <w:t xml:space="preserve"> source</w:t>
      </w:r>
      <w:r>
        <w:rPr>
          <w:rStyle w:val="7"/>
          <w:rFonts w:hint="eastAsia" w:cs="Arial"/>
          <w:szCs w:val="22"/>
        </w:rPr>
        <w:t xml:space="preserve"> sample(Machinery)</w:t>
      </w:r>
      <w:r>
        <w:rPr>
          <w:rFonts w:hint="eastAsia" w:cs="Arial"/>
          <w:szCs w:val="22"/>
        </w:rPr>
        <w:fldChar w:fldCharType="end"/>
      </w:r>
    </w:p>
    <w:p>
      <w:pPr>
        <w:rPr>
          <w:rFonts w:hint="eastAsia"/>
        </w:rPr>
      </w:pPr>
      <w:r>
        <w:rPr>
          <w:rFonts w:hint="eastAsia"/>
        </w:rPr>
        <w:t>English</w:t>
      </w:r>
      <w:r>
        <w:rPr>
          <w:rFonts w:hint="eastAsia"/>
          <w:lang w:val="en-US" w:eastAsia="zh-CN"/>
        </w:rPr>
        <w:t xml:space="preserve"> source</w:t>
      </w:r>
      <w:r>
        <w:rPr>
          <w:rFonts w:hint="eastAsia"/>
        </w:rPr>
        <w:t xml:space="preserve"> sample(Pharmaceutical)</w:t>
      </w:r>
    </w:p>
    <w:p>
      <w:pPr>
        <w:ind w:left="840" w:leftChars="0" w:firstLine="420" w:firstLineChars="0"/>
        <w:rPr>
          <w:rFonts w:hint="eastAsia"/>
        </w:rPr>
      </w:pPr>
      <w:r>
        <w:rPr>
          <w:rFonts w:hint="eastAsia"/>
        </w:rPr>
        <w:fldChar w:fldCharType="begin"/>
      </w:r>
      <w:r>
        <w:rPr>
          <w:rFonts w:hint="eastAsia"/>
        </w:rPr>
        <w:instrText xml:space="preserve"> HYPERLINK \l "OLE_LINK5" </w:instrText>
      </w:r>
      <w:r>
        <w:rPr>
          <w:rFonts w:hint="eastAsia"/>
        </w:rPr>
        <w:fldChar w:fldCharType="separate"/>
      </w:r>
      <w:r>
        <w:rPr>
          <w:rStyle w:val="7"/>
          <w:rFonts w:hint="eastAsia"/>
        </w:rPr>
        <w:t>English</w:t>
      </w:r>
      <w:r>
        <w:rPr>
          <w:rStyle w:val="7"/>
          <w:rFonts w:hint="eastAsia"/>
          <w:lang w:val="en-US" w:eastAsia="zh-CN"/>
        </w:rPr>
        <w:t xml:space="preserve"> source </w:t>
      </w:r>
      <w:r>
        <w:rPr>
          <w:rStyle w:val="7"/>
          <w:rFonts w:hint="eastAsia"/>
        </w:rPr>
        <w:t>sample(Pharmaceutical)</w:t>
      </w:r>
      <w:r>
        <w:rPr>
          <w:rFonts w:hint="eastAsia"/>
        </w:rPr>
        <w:fldChar w:fldCharType="end"/>
      </w:r>
    </w:p>
    <w:p>
      <w:pPr>
        <w:rPr>
          <w:rFonts w:hint="eastAsia"/>
        </w:rPr>
      </w:pPr>
    </w:p>
    <w:p>
      <w:pPr>
        <w:rPr>
          <w:rFonts w:hint="eastAsia"/>
          <w:b/>
          <w:bCs/>
          <w:sz w:val="28"/>
          <w:szCs w:val="28"/>
        </w:rPr>
      </w:pPr>
      <w:bookmarkStart w:id="0" w:name="OLE_LINK12"/>
      <w:r>
        <w:rPr>
          <w:rFonts w:hint="eastAsia"/>
          <w:b/>
          <w:bCs/>
          <w:sz w:val="28"/>
          <w:szCs w:val="28"/>
        </w:rPr>
        <w:t>Chinese</w:t>
      </w:r>
      <w:r>
        <w:rPr>
          <w:rFonts w:hint="eastAsia"/>
          <w:b/>
          <w:bCs/>
          <w:sz w:val="28"/>
          <w:szCs w:val="28"/>
          <w:lang w:val="en-US" w:eastAsia="zh-CN"/>
        </w:rPr>
        <w:t xml:space="preserve"> source</w:t>
      </w:r>
      <w:r>
        <w:rPr>
          <w:rFonts w:hint="eastAsia"/>
          <w:b/>
          <w:bCs/>
          <w:sz w:val="28"/>
          <w:szCs w:val="28"/>
        </w:rPr>
        <w:t xml:space="preserve"> sample(Chemistry)</w:t>
      </w:r>
      <w:bookmarkEnd w:id="0"/>
    </w:p>
    <w:p>
      <w:pPr>
        <w:spacing w:line="360" w:lineRule="auto"/>
        <w:rPr>
          <w:rFonts w:hint="eastAsia" w:ascii="宋体" w:hAnsi="宋体" w:cs="宋体"/>
          <w:color w:val="000000"/>
          <w:kern w:val="0"/>
          <w:szCs w:val="21"/>
          <w:lang w:val="zh-CN"/>
        </w:rPr>
      </w:pPr>
      <w:r>
        <w:rPr>
          <w:rFonts w:hint="eastAsia" w:ascii="宋体" w:hAnsi="宋体"/>
          <w:szCs w:val="21"/>
        </w:rPr>
        <w:t>关于“在-20到80℃温度范围中至少一半的区域中”不清楚的问题：申请人需要陈述本发明的技术方案是通过各种实验从实验数据中选择具有显著有益效果的部分来进行保护，因此，申请人对本发明电介质材料的选择就是要其满足在-20到80℃温度范围中至少一半的区域中其相对介电常数随温度的增加而降低的电介质体（即选择（</w:t>
      </w:r>
      <w:r>
        <w:rPr>
          <w:rFonts w:ascii="宋体" w:hAnsi="宋体" w:cs="宋体"/>
          <w:color w:val="000000"/>
          <w:kern w:val="0"/>
          <w:szCs w:val="21"/>
          <w:lang w:val="zh-CN"/>
        </w:rPr>
        <w:t>Ba1-</w:t>
      </w:r>
      <w:r>
        <w:rPr>
          <w:rFonts w:hint="eastAsia" w:ascii="宋体" w:hAnsi="宋体" w:cs="宋体"/>
          <w:color w:val="000000"/>
          <w:kern w:val="0"/>
          <w:szCs w:val="21"/>
          <w:lang w:val="zh-CN"/>
        </w:rPr>
        <w:t>ｘ</w:t>
      </w:r>
      <w:r>
        <w:rPr>
          <w:rFonts w:ascii="宋体" w:hAnsi="宋体" w:cs="宋体"/>
          <w:color w:val="000000"/>
          <w:kern w:val="0"/>
          <w:szCs w:val="21"/>
          <w:lang w:val="zh-CN"/>
        </w:rPr>
        <w:t>Sr</w:t>
      </w:r>
      <w:r>
        <w:rPr>
          <w:rFonts w:hint="eastAsia" w:ascii="宋体" w:hAnsi="宋体" w:cs="宋体"/>
          <w:color w:val="000000"/>
          <w:kern w:val="0"/>
          <w:szCs w:val="21"/>
          <w:lang w:val="zh-CN"/>
        </w:rPr>
        <w:t>ｘ）ＴｉＯ</w:t>
      </w:r>
      <w:r>
        <w:rPr>
          <w:rFonts w:ascii="宋体" w:hAnsi="宋体" w:cs="宋体"/>
          <w:color w:val="000000"/>
          <w:kern w:val="0"/>
          <w:szCs w:val="21"/>
          <w:lang w:val="zh-CN"/>
        </w:rPr>
        <w:t>3</w:t>
      </w:r>
      <w:r>
        <w:rPr>
          <w:rFonts w:hint="eastAsia" w:ascii="宋体" w:hAnsi="宋体" w:cs="宋体"/>
          <w:color w:val="000000"/>
          <w:kern w:val="0"/>
          <w:szCs w:val="21"/>
          <w:lang w:val="zh-CN"/>
        </w:rPr>
        <w:t>中x合适的取值范围）为本发明的电介质材料。申请人已经具体限定了确切的温度范围，因此在此范围的至少一半区域中也就是指所述电介质体在该温度范围中主要呈现其相对介电常数随温度的增加而降低的特性，而在小部分范围中即使其相对介电常数随温度的增加而增加也不会影响本发明的效果，而并非完全要求其相对介电常数在整个温度范围中都随温度的增加而降低。</w:t>
      </w:r>
    </w:p>
    <w:p>
      <w:pPr>
        <w:rPr>
          <w:rFonts w:hint="eastAsia" w:ascii="宋体" w:hAnsi="宋体" w:cs="宋体"/>
          <w:color w:val="000000"/>
          <w:kern w:val="0"/>
          <w:szCs w:val="21"/>
          <w:lang w:val="zh-CN"/>
        </w:rPr>
      </w:pPr>
    </w:p>
    <w:p>
      <w:pPr>
        <w:rPr>
          <w:rFonts w:hint="eastAsia"/>
          <w:b/>
          <w:bCs/>
          <w:sz w:val="28"/>
          <w:szCs w:val="28"/>
        </w:rPr>
      </w:pPr>
      <w:bookmarkStart w:id="1" w:name="OLE_LINK9"/>
      <w:r>
        <w:rPr>
          <w:rFonts w:hint="eastAsia"/>
          <w:b/>
          <w:bCs/>
          <w:sz w:val="28"/>
          <w:szCs w:val="28"/>
        </w:rPr>
        <w:t>Chinese</w:t>
      </w:r>
      <w:r>
        <w:rPr>
          <w:rFonts w:hint="eastAsia"/>
          <w:b/>
          <w:bCs/>
          <w:sz w:val="28"/>
          <w:szCs w:val="28"/>
          <w:lang w:val="en-US" w:eastAsia="zh-CN"/>
        </w:rPr>
        <w:t xml:space="preserve"> source</w:t>
      </w:r>
      <w:r>
        <w:rPr>
          <w:rFonts w:hint="eastAsia"/>
          <w:b/>
          <w:bCs/>
          <w:sz w:val="28"/>
          <w:szCs w:val="28"/>
        </w:rPr>
        <w:t xml:space="preserve"> sample(Machinery)</w:t>
      </w:r>
      <w:bookmarkEnd w:id="1"/>
    </w:p>
    <w:tbl>
      <w:tblPr>
        <w:tblStyle w:val="5"/>
        <w:tblW w:w="4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shd w:val="clear" w:color="auto" w:fill="FFFFFF"/>
          </w:tcPr>
          <w:p>
            <w:pPr>
              <w:rPr>
                <w:kern w:val="0"/>
                <w:sz w:val="22"/>
                <w:lang w:val="zh-CN" w:eastAsia="zh-CN"/>
              </w:rPr>
            </w:pPr>
            <w:r>
              <w:rPr>
                <w:kern w:val="0"/>
                <w:sz w:val="22"/>
                <w:lang w:val="zh-CN" w:eastAsia="zh-CN"/>
              </w:rPr>
              <w:t>权   利   要   求   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shd w:val="clear" w:color="auto" w:fill="FFFFFF"/>
          </w:tcPr>
          <w:p>
            <w:pPr>
              <w:numPr>
                <w:ilvl w:val="0"/>
                <w:numId w:val="1"/>
              </w:numPr>
              <w:rPr>
                <w:rFonts w:hint="default"/>
                <w:kern w:val="0"/>
                <w:sz w:val="22"/>
                <w:highlight w:val="yellow"/>
                <w:lang w:val="en-US" w:eastAsia="zh-CN"/>
              </w:rPr>
            </w:pPr>
            <w:r>
              <w:rPr>
                <w:kern w:val="0"/>
                <w:sz w:val="22"/>
                <w:highlight w:val="yellow"/>
                <w:lang w:val="zh-CN" w:eastAsia="zh-CN"/>
              </w:rPr>
              <w:t>一种定位机构，其特征在于，所述定位机构包括固定构件以及设置在所述固定构件上的定位销和驱动构件；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shd w:val="clear" w:color="auto" w:fill="FFFFFF"/>
          </w:tcPr>
          <w:p>
            <w:pPr>
              <w:rPr>
                <w:rFonts w:hint="default"/>
                <w:kern w:val="0"/>
                <w:sz w:val="22"/>
                <w:highlight w:val="yellow"/>
                <w:lang w:val="en-US" w:eastAsia="zh-CN"/>
              </w:rPr>
            </w:pPr>
            <w:r>
              <w:rPr>
                <w:kern w:val="0"/>
                <w:sz w:val="22"/>
                <w:highlight w:val="yellow"/>
                <w:lang w:val="zh-CN" w:eastAsia="zh-CN"/>
              </w:rPr>
              <w:t>其中，所述驱动构件与所述定位销驱动连接，所述驱动构件用于驱动所述定位销沿自身轴线方向滑动，以便所述定位销伸出所述固定构件和/或缩回所述固定构件。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shd w:val="clear" w:color="auto" w:fill="FFFFFF"/>
          </w:tcPr>
          <w:p>
            <w:pPr>
              <w:numPr>
                <w:ilvl w:val="0"/>
                <w:numId w:val="1"/>
              </w:numPr>
              <w:ind w:left="0" w:leftChars="0" w:firstLine="0" w:firstLineChars="0"/>
              <w:rPr>
                <w:rFonts w:hint="default"/>
                <w:kern w:val="0"/>
                <w:sz w:val="22"/>
                <w:highlight w:val="yellow"/>
                <w:lang w:val="en-US" w:eastAsia="zh-CN"/>
              </w:rPr>
            </w:pPr>
            <w:r>
              <w:rPr>
                <w:kern w:val="0"/>
                <w:sz w:val="22"/>
                <w:highlight w:val="yellow"/>
                <w:lang w:val="zh-CN" w:eastAsia="zh-CN"/>
              </w:rPr>
              <w:t>根据权利要求1所述的定位机构，其特征在于，所述定位机构还包括在所述定位销和所述驱动构件之间</w:t>
            </w:r>
            <w:bookmarkStart w:id="2" w:name="OLE_LINK2"/>
            <w:r>
              <w:rPr>
                <w:kern w:val="0"/>
                <w:sz w:val="22"/>
                <w:highlight w:val="yellow"/>
                <w:lang w:val="zh-CN" w:eastAsia="zh-CN"/>
              </w:rPr>
              <w:t>传递驱动力</w:t>
            </w:r>
            <w:bookmarkEnd w:id="2"/>
            <w:r>
              <w:rPr>
                <w:kern w:val="0"/>
                <w:sz w:val="22"/>
                <w:highlight w:val="yellow"/>
                <w:lang w:val="zh-CN" w:eastAsia="zh-CN"/>
              </w:rPr>
              <w:t>的联动构件，所述联动构件具有多个输出端，分别对应连接多个所述定位销。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shd w:val="clear" w:color="auto" w:fill="FFFFFF"/>
          </w:tcPr>
          <w:p>
            <w:pPr>
              <w:numPr>
                <w:ilvl w:val="0"/>
                <w:numId w:val="1"/>
              </w:numPr>
              <w:ind w:left="0" w:leftChars="0" w:firstLine="0" w:firstLineChars="0"/>
              <w:rPr>
                <w:kern w:val="0"/>
                <w:sz w:val="22"/>
                <w:highlight w:val="yellow"/>
                <w:lang w:val="zh-CN" w:eastAsia="zh-CN"/>
              </w:rPr>
            </w:pPr>
            <w:r>
              <w:rPr>
                <w:kern w:val="0"/>
                <w:sz w:val="22"/>
                <w:highlight w:val="yellow"/>
                <w:lang w:val="zh-CN" w:eastAsia="zh-CN"/>
              </w:rPr>
              <w:t>根据权利要求2所述的定位机构，其特征在于，所述联动构件包括：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shd w:val="clear" w:color="auto" w:fill="FFFFFF"/>
          </w:tcPr>
          <w:p>
            <w:pPr>
              <w:rPr>
                <w:rFonts w:hint="default"/>
                <w:kern w:val="0"/>
                <w:sz w:val="22"/>
                <w:highlight w:val="yellow"/>
                <w:lang w:val="en-US" w:eastAsia="zh-CN"/>
              </w:rPr>
            </w:pPr>
            <w:r>
              <w:rPr>
                <w:kern w:val="0"/>
                <w:sz w:val="22"/>
                <w:highlight w:val="yellow"/>
                <w:lang w:val="zh-CN" w:eastAsia="zh-CN"/>
              </w:rPr>
              <w:t>联动轴，能够在所述驱动构件的驱动力作用下绕自身轴线旋转，所述联动轴的轴向与所述定位销的轴向具有夹角；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shd w:val="clear" w:color="auto" w:fill="FFFFFF"/>
          </w:tcPr>
          <w:p>
            <w:pPr>
              <w:rPr>
                <w:rFonts w:hint="default"/>
                <w:kern w:val="0"/>
                <w:sz w:val="22"/>
                <w:highlight w:val="yellow"/>
                <w:lang w:val="en-US" w:eastAsia="zh-CN"/>
              </w:rPr>
            </w:pPr>
            <w:r>
              <w:rPr>
                <w:kern w:val="0"/>
                <w:sz w:val="22"/>
                <w:highlight w:val="yellow"/>
                <w:lang w:val="zh-CN" w:eastAsia="zh-CN"/>
              </w:rPr>
              <w:t>第一驱动臂，沿所述联动轴的径向延伸，所述第一驱动臂的第一端固定于所述联动轴以随所述联动轴的旋转而摆动，第二端与所述定位销连接，以带动所述定位销沿自身轴线滑动。</w:t>
            </w:r>
          </w:p>
        </w:tc>
      </w:tr>
    </w:tbl>
    <w:p/>
    <w:p>
      <w:pPr>
        <w:rPr>
          <w:rFonts w:hint="eastAsia"/>
          <w:b/>
          <w:bCs/>
          <w:sz w:val="28"/>
          <w:szCs w:val="28"/>
        </w:rPr>
      </w:pPr>
      <w:bookmarkStart w:id="6" w:name="_GoBack"/>
      <w:bookmarkEnd w:id="6"/>
      <w:bookmarkStart w:id="3" w:name="OLE_LINK5"/>
      <w:r>
        <w:rPr>
          <w:rFonts w:hint="eastAsia"/>
          <w:b/>
          <w:bCs/>
          <w:sz w:val="28"/>
          <w:szCs w:val="28"/>
        </w:rPr>
        <w:t>English</w:t>
      </w:r>
      <w:r>
        <w:rPr>
          <w:rFonts w:hint="eastAsia"/>
          <w:b/>
          <w:bCs/>
          <w:sz w:val="28"/>
          <w:szCs w:val="28"/>
          <w:lang w:val="en-US" w:eastAsia="zh-CN"/>
        </w:rPr>
        <w:t xml:space="preserve"> source</w:t>
      </w:r>
      <w:r>
        <w:rPr>
          <w:rFonts w:hint="eastAsia"/>
          <w:b/>
          <w:bCs/>
          <w:sz w:val="28"/>
          <w:szCs w:val="28"/>
        </w:rPr>
        <w:t xml:space="preserve"> sample(Pharmaceutical)</w:t>
      </w:r>
      <w:bookmarkEnd w:id="3"/>
    </w:p>
    <w:p>
      <w:pPr>
        <w:numPr>
          <w:ilvl w:val="0"/>
          <w:numId w:val="2"/>
        </w:numPr>
        <w:autoSpaceDE w:val="0"/>
        <w:autoSpaceDN w:val="0"/>
        <w:adjustRightInd w:val="0"/>
        <w:spacing w:line="360" w:lineRule="auto"/>
        <w:jc w:val="both"/>
        <w:rPr>
          <w:rFonts w:ascii="Arial" w:hAnsi="Arial" w:eastAsia="TimesNewRoman" w:cs="Arial"/>
          <w:highlight w:val="yellow"/>
          <w:lang w:val="en-US"/>
        </w:rPr>
      </w:pPr>
      <w:r>
        <w:rPr>
          <w:rFonts w:ascii="Arial" w:hAnsi="Arial" w:eastAsia="TimesNewRoman" w:cs="Arial"/>
          <w:highlight w:val="yellow"/>
          <w:lang w:val="en-US"/>
        </w:rPr>
        <w:t xml:space="preserve">An agent comprising a terminal </w:t>
      </w:r>
      <w:bookmarkStart w:id="4" w:name="OLE_LINK1"/>
      <w:r>
        <w:rPr>
          <w:rFonts w:ascii="Arial" w:hAnsi="Arial" w:eastAsia="TimesNewRoman" w:cs="Arial"/>
          <w:highlight w:val="yellow"/>
          <w:lang w:val="en-US"/>
        </w:rPr>
        <w:t>α-</w:t>
      </w:r>
      <w:bookmarkEnd w:id="4"/>
      <w:r>
        <w:rPr>
          <w:rFonts w:ascii="Arial" w:hAnsi="Arial" w:eastAsia="TimesNewRoman" w:cs="Arial"/>
          <w:highlight w:val="yellow"/>
          <w:lang w:val="en-US"/>
        </w:rPr>
        <w:t xml:space="preserve">galactosyl moiety linked to a </w:t>
      </w:r>
      <w:bookmarkStart w:id="5" w:name="OLE_LINK3"/>
      <w:r>
        <w:rPr>
          <w:rFonts w:ascii="Arial" w:hAnsi="Arial" w:eastAsia="TimesNewRoman" w:cs="Arial"/>
          <w:highlight w:val="yellow"/>
          <w:lang w:val="en-US"/>
        </w:rPr>
        <w:t>support</w:t>
      </w:r>
      <w:bookmarkEnd w:id="5"/>
      <w:r>
        <w:rPr>
          <w:rFonts w:ascii="Arial" w:hAnsi="Arial" w:eastAsia="TimesNewRoman" w:cs="Arial"/>
          <w:highlight w:val="yellow"/>
          <w:lang w:val="en-US"/>
        </w:rPr>
        <w:t xml:space="preserve">, wherein the support is a </w:t>
      </w:r>
      <w:r>
        <w:rPr>
          <w:rFonts w:ascii="Arial" w:hAnsi="Arial" w:cs="Arial"/>
          <w:highlight w:val="yellow"/>
          <w:lang w:val="en-US"/>
        </w:rPr>
        <w:t>poly-L-lysine backbone</w:t>
      </w:r>
      <w:r>
        <w:rPr>
          <w:rFonts w:ascii="Arial" w:hAnsi="Arial" w:eastAsia="TimesNewRoman" w:cs="Arial"/>
          <w:highlight w:val="yellow"/>
          <w:lang w:val="en-US"/>
        </w:rPr>
        <w:t xml:space="preserve">, for use in the prevention and/or treatment of an infection in a subject, wherein said infection is caused by bacteria of the gastrointestinal tract, and </w:t>
      </w:r>
      <w:r>
        <w:rPr>
          <w:rFonts w:ascii="Arial" w:hAnsi="Arial" w:cs="Arial"/>
          <w:highlight w:val="yellow"/>
          <w:lang w:val="en-US"/>
        </w:rPr>
        <w:t>the infection occurs in blood, heart, cardiovascular system, liver, lung, respiratory tract, kidney, urinary tract, nervous central system, skin, subcutaneous tissues and surgical wounds</w:t>
      </w:r>
      <w:r>
        <w:rPr>
          <w:rFonts w:ascii="Arial" w:hAnsi="Arial" w:eastAsia="TimesNewRoman" w:cs="Arial"/>
          <w:highlight w:val="yellow"/>
          <w:lang w:val="en-US"/>
        </w:rPr>
        <w:t>.</w:t>
      </w:r>
    </w:p>
    <w:p>
      <w:pPr>
        <w:autoSpaceDE w:val="0"/>
        <w:autoSpaceDN w:val="0"/>
        <w:adjustRightInd w:val="0"/>
        <w:spacing w:line="360" w:lineRule="auto"/>
        <w:jc w:val="both"/>
        <w:rPr>
          <w:rFonts w:ascii="Arial" w:hAnsi="Arial" w:cs="Arial"/>
          <w:lang w:val="en-US"/>
        </w:rPr>
      </w:pPr>
    </w:p>
    <w:p>
      <w:pPr>
        <w:autoSpaceDE w:val="0"/>
        <w:autoSpaceDN w:val="0"/>
        <w:adjustRightInd w:val="0"/>
        <w:spacing w:line="360" w:lineRule="auto"/>
        <w:jc w:val="both"/>
        <w:rPr>
          <w:rFonts w:ascii="Arial" w:hAnsi="Arial" w:cs="Arial"/>
          <w:lang w:val="en-US"/>
        </w:rPr>
      </w:pPr>
      <w:r>
        <w:rPr>
          <w:rFonts w:ascii="Arial" w:hAnsi="Arial" w:cs="Arial"/>
          <w:highlight w:val="yellow"/>
          <w:lang w:val="en-US"/>
        </w:rPr>
        <w:t>20.</w:t>
      </w:r>
      <w:r>
        <w:rPr>
          <w:rFonts w:ascii="Arial" w:hAnsi="Arial" w:cs="Arial"/>
          <w:highlight w:val="yellow"/>
          <w:lang w:val="en-US"/>
        </w:rPr>
        <w:tab/>
      </w:r>
      <w:r>
        <w:rPr>
          <w:rFonts w:ascii="Arial" w:hAnsi="Arial" w:cs="Arial"/>
          <w:highlight w:val="yellow"/>
          <w:lang w:val="en-US"/>
        </w:rPr>
        <w:t>The composition according to any of claims 16 to 19, wherein the agent is the random copolymer GAS914 having the following structure:</w:t>
      </w:r>
    </w:p>
    <w:p>
      <w:pPr>
        <w:autoSpaceDE w:val="0"/>
        <w:autoSpaceDN w:val="0"/>
        <w:adjustRightInd w:val="0"/>
        <w:spacing w:line="360" w:lineRule="auto"/>
        <w:jc w:val="both"/>
        <w:rPr>
          <w:rFonts w:ascii="Arial" w:hAnsi="Arial" w:cs="Arial"/>
          <w:lang w:val="en-US"/>
        </w:rPr>
      </w:pPr>
      <w:r>
        <w:rPr>
          <w:rFonts w:ascii="Arial" w:hAnsi="Arial" w:cs="Arial"/>
          <w:lang w:val="en-US" w:eastAsia="zh-CN"/>
        </w:rPr>
        <w:drawing>
          <wp:inline distT="0" distB="0" distL="0" distR="0">
            <wp:extent cx="5760720" cy="3119120"/>
            <wp:effectExtent l="0" t="0" r="1143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760720" cy="3119120"/>
                    </a:xfrm>
                    <a:prstGeom prst="rect">
                      <a:avLst/>
                    </a:prstGeom>
                    <a:noFill/>
                    <a:ln>
                      <a:noFill/>
                    </a:ln>
                  </pic:spPr>
                </pic:pic>
              </a:graphicData>
            </a:graphic>
          </wp:inline>
        </w:drawing>
      </w:r>
    </w:p>
    <w:p>
      <w:pPr>
        <w:autoSpaceDE w:val="0"/>
        <w:autoSpaceDN w:val="0"/>
        <w:adjustRightInd w:val="0"/>
        <w:spacing w:line="360" w:lineRule="auto"/>
        <w:jc w:val="both"/>
        <w:rPr>
          <w:rFonts w:ascii="Arial" w:hAnsi="Arial" w:cs="Arial"/>
          <w:highlight w:val="yellow"/>
          <w:lang w:val="en-US"/>
        </w:rPr>
      </w:pPr>
      <w:r>
        <w:rPr>
          <w:rFonts w:ascii="Arial" w:hAnsi="Arial" w:cs="Arial"/>
          <w:highlight w:val="yellow"/>
          <w:lang w:val="en-US"/>
        </w:rPr>
        <w:t>wherein n represents the average degree of polymerization, x represents the fraction of glycosylated monomer; and 1 – x represents the fraction of thioglycerol-capped monomer.</w:t>
      </w:r>
    </w:p>
    <w:p>
      <w:pPr>
        <w:numPr>
          <w:ilvl w:val="0"/>
          <w:numId w:val="0"/>
        </w:numPr>
        <w:autoSpaceDE w:val="0"/>
        <w:autoSpaceDN w:val="0"/>
        <w:adjustRightInd w:val="0"/>
        <w:spacing w:line="360" w:lineRule="auto"/>
        <w:jc w:val="both"/>
        <w:rPr>
          <w:rFonts w:hint="default" w:ascii="Arial" w:hAnsi="Arial" w:cs="Arial"/>
          <w:lang w:val="en-US" w:eastAsia="zh-CN"/>
        </w:rPr>
      </w:pPr>
    </w:p>
    <w:p>
      <w:pPr>
        <w:numPr>
          <w:ilvl w:val="0"/>
          <w:numId w:val="3"/>
        </w:numPr>
        <w:autoSpaceDE w:val="0"/>
        <w:autoSpaceDN w:val="0"/>
        <w:adjustRightInd w:val="0"/>
        <w:spacing w:line="360" w:lineRule="auto"/>
        <w:jc w:val="both"/>
        <w:rPr>
          <w:rFonts w:ascii="Arial" w:hAnsi="Arial" w:cs="Arial"/>
          <w:highlight w:val="yellow"/>
          <w:lang w:val="en-US"/>
        </w:rPr>
      </w:pPr>
      <w:r>
        <w:rPr>
          <w:rFonts w:ascii="Arial" w:hAnsi="Arial" w:cs="Arial"/>
          <w:highlight w:val="yellow"/>
          <w:lang w:val="en-US"/>
        </w:rPr>
        <w:t>A composition according to any of claims 16 to 20 for use in medicine.</w:t>
      </w:r>
    </w:p>
    <w:p>
      <w:pPr>
        <w:numPr>
          <w:ilvl w:val="0"/>
          <w:numId w:val="0"/>
        </w:numPr>
        <w:autoSpaceDE w:val="0"/>
        <w:autoSpaceDN w:val="0"/>
        <w:adjustRightInd w:val="0"/>
        <w:spacing w:line="360" w:lineRule="auto"/>
        <w:jc w:val="both"/>
        <w:rPr>
          <w:rFonts w:hint="default" w:ascii="Arial" w:hAnsi="Arial" w:cs="Arial"/>
          <w:lang w:val="en-US" w:eastAsia="zh-CN"/>
        </w:rPr>
      </w:pPr>
    </w:p>
    <w:p>
      <w:pPr>
        <w:numPr>
          <w:ilvl w:val="0"/>
          <w:numId w:val="3"/>
        </w:numPr>
        <w:autoSpaceDE w:val="0"/>
        <w:autoSpaceDN w:val="0"/>
        <w:adjustRightInd w:val="0"/>
        <w:spacing w:line="360" w:lineRule="auto"/>
        <w:ind w:left="0" w:leftChars="0" w:firstLine="0" w:firstLineChars="0"/>
        <w:jc w:val="both"/>
        <w:rPr>
          <w:rFonts w:ascii="Arial" w:hAnsi="Arial" w:cs="Arial"/>
          <w:highlight w:val="yellow"/>
          <w:lang w:val="en-US"/>
        </w:rPr>
      </w:pPr>
      <w:r>
        <w:rPr>
          <w:rFonts w:ascii="Arial" w:hAnsi="Arial" w:cs="Arial"/>
          <w:highlight w:val="yellow"/>
          <w:lang w:val="en-US"/>
        </w:rPr>
        <w:t>A composition according to any of claims 16 to 21 for use in the prevention and/or treatment of infection caused by bacteria of the gastrointestinal tract in a subject.</w:t>
      </w:r>
    </w:p>
    <w:p>
      <w:pPr>
        <w:autoSpaceDE w:val="0"/>
        <w:autoSpaceDN w:val="0"/>
        <w:adjustRightInd w:val="0"/>
        <w:spacing w:line="360" w:lineRule="auto"/>
        <w:jc w:val="both"/>
        <w:rPr>
          <w:rFonts w:hint="default" w:ascii="Arial" w:hAnsi="Arial" w:cs="Arial"/>
          <w:lang w:val="en-US" w:eastAsia="zh-CN"/>
        </w:rPr>
      </w:pPr>
    </w:p>
    <w:p>
      <w:pPr>
        <w:numPr>
          <w:ilvl w:val="0"/>
          <w:numId w:val="3"/>
        </w:numPr>
        <w:autoSpaceDE w:val="0"/>
        <w:autoSpaceDN w:val="0"/>
        <w:adjustRightInd w:val="0"/>
        <w:spacing w:line="360" w:lineRule="auto"/>
        <w:ind w:left="0" w:leftChars="0" w:firstLine="0" w:firstLineChars="0"/>
        <w:jc w:val="both"/>
        <w:rPr>
          <w:rFonts w:ascii="Arial" w:hAnsi="Arial" w:cs="Arial"/>
          <w:highlight w:val="yellow"/>
          <w:lang w:val="en-US"/>
        </w:rPr>
      </w:pPr>
      <w:r>
        <w:rPr>
          <w:rFonts w:ascii="Arial" w:hAnsi="Arial" w:cs="Arial"/>
          <w:highlight w:val="yellow"/>
          <w:lang w:val="en-US"/>
        </w:rPr>
        <w:t>The composition for use according to claim 22, wherein the bacteria of the gastrointestinal tract are enteric bacteria.</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CA398"/>
    <w:multiLevelType w:val="singleLevel"/>
    <w:tmpl w:val="F1BCA398"/>
    <w:lvl w:ilvl="0" w:tentative="0">
      <w:start w:val="1"/>
      <w:numFmt w:val="decimal"/>
      <w:lvlText w:val="%1."/>
      <w:lvlJc w:val="left"/>
    </w:lvl>
  </w:abstractNum>
  <w:abstractNum w:abstractNumId="1">
    <w:nsid w:val="455CD441"/>
    <w:multiLevelType w:val="singleLevel"/>
    <w:tmpl w:val="455CD441"/>
    <w:lvl w:ilvl="0" w:tentative="0">
      <w:start w:val="1"/>
      <w:numFmt w:val="decimal"/>
      <w:suff w:val="nothing"/>
      <w:lvlText w:val="%1、"/>
      <w:lvlJc w:val="left"/>
    </w:lvl>
  </w:abstractNum>
  <w:abstractNum w:abstractNumId="2">
    <w:nsid w:val="6672733B"/>
    <w:multiLevelType w:val="singleLevel"/>
    <w:tmpl w:val="6672733B"/>
    <w:lvl w:ilvl="0" w:tentative="0">
      <w:start w:val="21"/>
      <w:numFmt w:val="decimal"/>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MDEzNDhlMDgyYTQ3YzllOWRkZmQ3YWIxYzBjYTYifQ=="/>
  </w:docVars>
  <w:rsids>
    <w:rsidRoot w:val="00000000"/>
    <w:rsid w:val="13873062"/>
    <w:rsid w:val="19061883"/>
    <w:rsid w:val="25B566C3"/>
    <w:rsid w:val="2E603535"/>
    <w:rsid w:val="4199221E"/>
    <w:rsid w:val="54D74270"/>
    <w:rsid w:val="6C5C4B7F"/>
    <w:rsid w:val="6CE13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after="60"/>
      <w:outlineLvl w:val="1"/>
    </w:pPr>
    <w:rPr>
      <w:b/>
      <w:bCs/>
      <w:color w:val="FF6600"/>
      <w:sz w:val="28"/>
      <w:szCs w:val="28"/>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eastAsia="zh-CN"/>
    </w:rPr>
  </w:style>
  <w:style w:type="table" w:styleId="5">
    <w:name w:val="Table Grid"/>
    <w:basedOn w:val="4"/>
    <w:uiPriority w:val="59"/>
    <w:rPr>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2023-10-12T08:54:00Z</dcterms:created>
  <dc:creator>Simon</dc:creator>
  <cp:lastModifiedBy>红猪</cp:lastModifiedBy>
  <dcterms:modified xsi:type="dcterms:W3CDTF">2023-10-12T09:24:30Z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59BF17FC1EC94251A37EE69C92B8E2CE_12</vt:lpwstr>
  </property>
</Properties>
</file>