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5D" w:rsidRDefault="00330A5D" w:rsidP="00330A5D">
      <w:r>
        <w:t xml:space="preserve">Этот пигмент обладал свойствами гистохимического окрашивания, что свидетельствовало о его </w:t>
      </w:r>
      <w:proofErr w:type="spellStart"/>
      <w:r>
        <w:t>липидоподобном</w:t>
      </w:r>
      <w:proofErr w:type="spellEnd"/>
      <w:r>
        <w:t xml:space="preserve"> происхождении, но он не окрашивался на наличие железа, что говорило о том, что он не является </w:t>
      </w:r>
      <w:proofErr w:type="spellStart"/>
      <w:r>
        <w:t>гемосидерином</w:t>
      </w:r>
      <w:proofErr w:type="spellEnd"/>
      <w:r>
        <w:t xml:space="preserve">. Применение дополнительного гистохимического окрашивания и электронной микроскопии в отношении этого пигмента в дополнительном исследовании также показало, что он обладает свойствами сложного углевода в дополнение к его </w:t>
      </w:r>
      <w:proofErr w:type="spellStart"/>
      <w:r>
        <w:t>липидоподобным</w:t>
      </w:r>
      <w:proofErr w:type="spellEnd"/>
      <w:r>
        <w:t xml:space="preserve"> свойствам.</w:t>
      </w:r>
    </w:p>
    <w:p w:rsidR="00330A5D" w:rsidRDefault="00330A5D" w:rsidP="00330A5D">
      <w:r>
        <w:t>Органы с соответствующими статистически значимыми изменениями в сравнениях временных интервалов уже обсуждались ранее.</w:t>
      </w:r>
    </w:p>
    <w:p w:rsidR="00330A5D" w:rsidRDefault="00330A5D" w:rsidP="00330A5D">
      <w:r>
        <w:t>Не было обнаружено никаких значимых половых различий в нормализованных по дозе значениях AUC.</w:t>
      </w:r>
    </w:p>
    <w:p w:rsidR="00330A5D" w:rsidRDefault="00330A5D" w:rsidP="00330A5D">
      <w:r>
        <w:t xml:space="preserve">Не была установлена окончательная причина смерти животных, которые умерли до завершения исследования. </w:t>
      </w:r>
      <w:proofErr w:type="gramStart"/>
      <w:r>
        <w:t>Результаты микроскопических исследований в целом были схожими у животных, которые умерли до запланированного умерщвления, и у животных, которые дожили до заключительного вскрытия тел. Результаты микроскопических исследований, связанные с [Название препарата], включали атрофию матки, шейки матки и влагалища, повышенную трансформацию клеток железистого эпителия в бокаловидные клетки и кистозные фолликулы яичников с кровотечением (которые не наблюдались у животных с преждевременной смертью).</w:t>
      </w:r>
      <w:proofErr w:type="gramEnd"/>
      <w:r>
        <w:t xml:space="preserve"> Другие результаты микроскопических исследований, связанных с [Название препарата], включали лимфоидную атрофию селезенки и тимуса, некроз </w:t>
      </w:r>
      <w:proofErr w:type="spellStart"/>
      <w:r>
        <w:t>адренокортикальной</w:t>
      </w:r>
      <w:proofErr w:type="spellEnd"/>
      <w:r>
        <w:t xml:space="preserve"> Х-зоны и вакуолизацию (только у самок) и дегенерацию почечных канальцев.</w:t>
      </w:r>
    </w:p>
    <w:p w:rsidR="00330A5D" w:rsidRDefault="00330A5D" w:rsidP="00330A5D">
      <w:pPr>
        <w:rPr>
          <w:b/>
        </w:rPr>
      </w:pPr>
      <w:r>
        <w:rPr>
          <w:b/>
        </w:rPr>
        <w:t>ИССЛЕДУЕМЫ</w:t>
      </w:r>
      <w:proofErr w:type="gramStart"/>
      <w:r>
        <w:rPr>
          <w:b/>
        </w:rPr>
        <w:t>Й(</w:t>
      </w:r>
      <w:proofErr w:type="gramEnd"/>
      <w:r>
        <w:rPr>
          <w:b/>
        </w:rPr>
        <w:t>Е) ПРЕПАРАТ(Ы) И КОНТРОЛЬНЫЙ(Е) ПРЕПАРАТ(Ы)</w:t>
      </w:r>
    </w:p>
    <w:p w:rsidR="00330A5D" w:rsidRDefault="00330A5D" w:rsidP="00330A5D">
      <w:pPr>
        <w:rPr>
          <w:b/>
        </w:rPr>
      </w:pPr>
      <w:r>
        <w:rPr>
          <w:b/>
        </w:rPr>
        <w:t>7.1 Информация</w:t>
      </w:r>
    </w:p>
    <w:p w:rsidR="00330A5D" w:rsidRDefault="00330A5D" w:rsidP="00330A5D">
      <w:r>
        <w:t xml:space="preserve">Информация </w:t>
      </w:r>
      <w:r>
        <w:rPr>
          <w:b/>
          <w:i/>
        </w:rPr>
        <w:t>(Раздел 7.1.1)</w:t>
      </w:r>
      <w:r>
        <w:t xml:space="preserve"> относиться к исходной серии или партии исследуемого препарата, предоставленного для начала исследования. В ходе проведения исследования могут потребоваться дополнительные серии препарата. Если возникнет такая необходимость, тогда необходимо зафиксировать подробную информацию об использовании серии или партии поставленного препарата в соответствующем документе, но поправки в протокол вносить не надо. Сертификат анализа будет предоставляться с каждой </w:t>
      </w:r>
      <w:proofErr w:type="spellStart"/>
      <w:r>
        <w:t>сериейили</w:t>
      </w:r>
      <w:proofErr w:type="spellEnd"/>
      <w:r>
        <w:t xml:space="preserve"> партией исследуемого препарата.</w:t>
      </w:r>
    </w:p>
    <w:p w:rsidR="00330A5D" w:rsidRDefault="00330A5D" w:rsidP="00330A5D">
      <w:pPr>
        <w:rPr>
          <w:b/>
        </w:rPr>
      </w:pPr>
      <w:r>
        <w:rPr>
          <w:b/>
        </w:rPr>
        <w:t>7.4. Введение препарата</w:t>
      </w:r>
    </w:p>
    <w:p w:rsidR="00600339" w:rsidRDefault="00330A5D" w:rsidP="00330A5D">
      <w:r>
        <w:t>Исследуемый препарат будут вводить в рацион, как минимум, на протяжении 13 недель и будет доступным в неограниченном количестве. Концентрация препарата в рационе будет оставаться неизменной, и рацион будет меняться, как минимум, один раз в неделю. Контрольный корм с наполнителем, сертифицированный корм для грызунов № 5002 (измельченные гранулы), будет предлагаться с той же частотой, что и корм, включающий исследуемый препарат.</w:t>
      </w:r>
      <w:bookmarkStart w:id="0" w:name="_GoBack"/>
      <w:bookmarkEnd w:id="0"/>
    </w:p>
    <w:sectPr w:rsidR="0060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9D"/>
    <w:rsid w:val="00330A5D"/>
    <w:rsid w:val="0047329D"/>
    <w:rsid w:val="0060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5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5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2024-09-30T12:43:00Z</dcterms:created>
  <dcterms:modified xsi:type="dcterms:W3CDTF">2024-09-30T12:44:00Z</dcterms:modified>
</cp:coreProperties>
</file>