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F7" w:rsidRPr="00A51FF7" w:rsidRDefault="00E26956" w:rsidP="00C402F7">
      <w:pPr>
        <w:spacing w:after="0" w:line="360" w:lineRule="auto"/>
        <w:ind w:firstLine="0"/>
        <w:jc w:val="left"/>
        <w:rPr>
          <w:b/>
          <w:szCs w:val="24"/>
          <w:lang w:val="en-GB"/>
        </w:rPr>
      </w:pPr>
      <w:bookmarkStart w:id="0" w:name="_GoBack"/>
      <w:bookmarkEnd w:id="0"/>
      <w:r w:rsidRPr="00A51FF7">
        <w:rPr>
          <w:b/>
          <w:szCs w:val="24"/>
          <w:lang w:val="en-GB"/>
        </w:rPr>
        <w:t>INSANE PERPETRATORS AND PUBLIC SAFETY IN POLAND</w:t>
      </w:r>
    </w:p>
    <w:p w:rsidR="00C402F7" w:rsidRPr="00C402F7" w:rsidRDefault="00E26956" w:rsidP="00C402F7">
      <w:pPr>
        <w:pStyle w:val="Nagwek1"/>
        <w:spacing w:before="0" w:after="0" w:line="360" w:lineRule="auto"/>
        <w:ind w:firstLine="0"/>
        <w:rPr>
          <w:b w:val="0"/>
          <w:sz w:val="24"/>
          <w:szCs w:val="24"/>
          <w:lang w:val="en-GB"/>
        </w:rPr>
      </w:pPr>
      <w:r w:rsidRPr="00C402F7">
        <w:rPr>
          <w:b w:val="0"/>
          <w:sz w:val="24"/>
          <w:szCs w:val="24"/>
          <w:lang w:val="en-GB"/>
        </w:rPr>
        <w:t>(…)</w:t>
      </w:r>
    </w:p>
    <w:p w:rsidR="00C402F7" w:rsidRPr="00601C98" w:rsidRDefault="00E26956" w:rsidP="00C402F7">
      <w:pPr>
        <w:pStyle w:val="Nagwek1"/>
        <w:spacing w:before="0" w:after="0" w:line="360" w:lineRule="auto"/>
        <w:ind w:firstLine="0"/>
        <w:rPr>
          <w:sz w:val="24"/>
          <w:szCs w:val="24"/>
          <w:lang w:val="en-GB"/>
        </w:rPr>
      </w:pPr>
      <w:r w:rsidRPr="00601C98">
        <w:rPr>
          <w:sz w:val="24"/>
          <w:szCs w:val="24"/>
          <w:lang w:val="en-GB"/>
        </w:rPr>
        <w:t xml:space="preserve">The idea of insanity and public safety  </w:t>
      </w:r>
    </w:p>
    <w:p w:rsidR="00C402F7" w:rsidRPr="00601C98" w:rsidRDefault="00E26956" w:rsidP="00C402F7">
      <w:pPr>
        <w:spacing w:after="0" w:line="360" w:lineRule="auto"/>
        <w:rPr>
          <w:szCs w:val="24"/>
          <w:lang w:val="en-GB"/>
        </w:rPr>
      </w:pPr>
      <w:r w:rsidRPr="00601C98">
        <w:rPr>
          <w:szCs w:val="24"/>
          <w:lang w:val="en-GB"/>
        </w:rPr>
        <w:t xml:space="preserve">Sanity and insanity (key terms in the Polish </w:t>
      </w:r>
      <w:r>
        <w:rPr>
          <w:szCs w:val="24"/>
          <w:lang w:val="en-GB"/>
        </w:rPr>
        <w:t>Penal</w:t>
      </w:r>
      <w:r w:rsidRPr="00601C98">
        <w:rPr>
          <w:szCs w:val="24"/>
          <w:lang w:val="en-GB"/>
        </w:rPr>
        <w:t xml:space="preserve"> Code) are of crucial importance for the issue of </w:t>
      </w:r>
      <w:r w:rsidRPr="00FF1A60">
        <w:rPr>
          <w:szCs w:val="24"/>
          <w:lang w:val="en-GB"/>
        </w:rPr>
        <w:t xml:space="preserve">criminal </w:t>
      </w:r>
      <w:r>
        <w:rPr>
          <w:szCs w:val="24"/>
          <w:lang w:val="en-GB"/>
        </w:rPr>
        <w:t>responsibility</w:t>
      </w:r>
      <w:r w:rsidRPr="00601C98">
        <w:rPr>
          <w:szCs w:val="24"/>
          <w:lang w:val="en-GB"/>
        </w:rPr>
        <w:t xml:space="preserve">, whereas the manner of treating insane </w:t>
      </w:r>
      <w:r>
        <w:rPr>
          <w:szCs w:val="24"/>
          <w:lang w:val="en-GB"/>
        </w:rPr>
        <w:t>perpetrators</w:t>
      </w:r>
      <w:r w:rsidRPr="00601C98">
        <w:rPr>
          <w:szCs w:val="24"/>
          <w:lang w:val="en-GB"/>
        </w:rPr>
        <w:t xml:space="preserve"> affects the social perception of</w:t>
      </w:r>
      <w:r>
        <w:rPr>
          <w:szCs w:val="24"/>
          <w:lang w:val="en-GB"/>
        </w:rPr>
        <w:t xml:space="preserve"> the</w:t>
      </w:r>
      <w:r w:rsidRPr="00601C98">
        <w:rPr>
          <w:szCs w:val="24"/>
          <w:lang w:val="en-GB"/>
        </w:rPr>
        <w:t xml:space="preserve"> sense of justice and broadly understood public safety. </w:t>
      </w:r>
    </w:p>
    <w:p w:rsidR="00C402F7" w:rsidRDefault="00E26956" w:rsidP="00C402F7">
      <w:pPr>
        <w:spacing w:after="0" w:line="360" w:lineRule="auto"/>
        <w:rPr>
          <w:szCs w:val="24"/>
          <w:lang w:val="en-GB"/>
        </w:rPr>
      </w:pPr>
      <w:r w:rsidRPr="00193C91">
        <w:rPr>
          <w:szCs w:val="24"/>
          <w:lang w:val="en-GB"/>
        </w:rPr>
        <w:t>Generally</w:t>
      </w:r>
      <w:r>
        <w:rPr>
          <w:szCs w:val="24"/>
          <w:lang w:val="en-GB"/>
        </w:rPr>
        <w:t xml:space="preserve"> speaking</w:t>
      </w:r>
      <w:r w:rsidRPr="00193C91">
        <w:rPr>
          <w:szCs w:val="24"/>
          <w:lang w:val="en-GB"/>
        </w:rPr>
        <w:t xml:space="preserve">, </w:t>
      </w:r>
      <w:r>
        <w:rPr>
          <w:szCs w:val="24"/>
          <w:lang w:val="en-GB"/>
        </w:rPr>
        <w:t xml:space="preserve">an </w:t>
      </w:r>
      <w:r w:rsidRPr="00193C91">
        <w:rPr>
          <w:szCs w:val="24"/>
          <w:lang w:val="en-GB"/>
        </w:rPr>
        <w:t xml:space="preserve">insane perpetrator does not commit a crime, </w:t>
      </w:r>
      <w:r>
        <w:rPr>
          <w:szCs w:val="24"/>
          <w:lang w:val="en-GB"/>
        </w:rPr>
        <w:t>whereas</w:t>
      </w:r>
      <w:r w:rsidRPr="00193C91">
        <w:rPr>
          <w:szCs w:val="24"/>
          <w:lang w:val="en-GB"/>
        </w:rPr>
        <w:t xml:space="preserve"> establishing </w:t>
      </w:r>
      <w:r>
        <w:rPr>
          <w:szCs w:val="24"/>
          <w:lang w:val="en-GB"/>
        </w:rPr>
        <w:t>his/her deg</w:t>
      </w:r>
      <w:r w:rsidRPr="00193C91">
        <w:rPr>
          <w:szCs w:val="24"/>
          <w:lang w:val="en-GB"/>
        </w:rPr>
        <w:t xml:space="preserve">ree of sanity </w:t>
      </w:r>
      <w:r>
        <w:rPr>
          <w:szCs w:val="24"/>
          <w:lang w:val="en-GB"/>
        </w:rPr>
        <w:t>at the moment of</w:t>
      </w:r>
      <w:r w:rsidRPr="00193C91">
        <w:rPr>
          <w:szCs w:val="24"/>
          <w:lang w:val="en-GB"/>
        </w:rPr>
        <w:t xml:space="preserve"> committing the </w:t>
      </w:r>
      <w:r>
        <w:rPr>
          <w:szCs w:val="24"/>
          <w:lang w:val="en-GB"/>
        </w:rPr>
        <w:t>prohibited act</w:t>
      </w:r>
      <w:r w:rsidRPr="00193C91">
        <w:rPr>
          <w:szCs w:val="24"/>
          <w:lang w:val="en-GB"/>
        </w:rPr>
        <w:t xml:space="preserve"> is </w:t>
      </w:r>
      <w:r>
        <w:rPr>
          <w:szCs w:val="24"/>
          <w:lang w:val="en-GB"/>
        </w:rPr>
        <w:t xml:space="preserve">of </w:t>
      </w:r>
      <w:r w:rsidRPr="00193C91">
        <w:rPr>
          <w:szCs w:val="24"/>
          <w:lang w:val="en-GB"/>
        </w:rPr>
        <w:t>substanti</w:t>
      </w:r>
      <w:r>
        <w:rPr>
          <w:szCs w:val="24"/>
          <w:lang w:val="en-GB"/>
        </w:rPr>
        <w:t>ve</w:t>
      </w:r>
      <w:r w:rsidRPr="00193C91">
        <w:rPr>
          <w:szCs w:val="24"/>
          <w:lang w:val="en-GB"/>
        </w:rPr>
        <w:t xml:space="preserve"> </w:t>
      </w:r>
      <w:r>
        <w:rPr>
          <w:szCs w:val="24"/>
          <w:lang w:val="en-GB"/>
        </w:rPr>
        <w:t>significance in view of</w:t>
      </w:r>
      <w:r w:rsidRPr="00193C91">
        <w:rPr>
          <w:szCs w:val="24"/>
          <w:lang w:val="en-GB"/>
        </w:rPr>
        <w:t xml:space="preserve"> </w:t>
      </w:r>
      <w:r>
        <w:rPr>
          <w:szCs w:val="24"/>
          <w:lang w:val="en-GB"/>
        </w:rPr>
        <w:t>criminal sanction</w:t>
      </w:r>
      <w:r w:rsidRPr="00193C91">
        <w:rPr>
          <w:szCs w:val="24"/>
          <w:lang w:val="en-GB"/>
        </w:rPr>
        <w:t xml:space="preserve"> itself, </w:t>
      </w:r>
      <w:r>
        <w:rPr>
          <w:szCs w:val="24"/>
          <w:lang w:val="en-GB"/>
        </w:rPr>
        <w:t xml:space="preserve">the </w:t>
      </w:r>
      <w:r w:rsidRPr="00193C91">
        <w:rPr>
          <w:szCs w:val="24"/>
          <w:lang w:val="en-GB"/>
        </w:rPr>
        <w:t xml:space="preserve">possible </w:t>
      </w:r>
      <w:r>
        <w:rPr>
          <w:szCs w:val="24"/>
          <w:lang w:val="en-GB"/>
        </w:rPr>
        <w:t>conviction</w:t>
      </w:r>
      <w:r w:rsidRPr="00193C91">
        <w:rPr>
          <w:szCs w:val="24"/>
          <w:lang w:val="en-GB"/>
        </w:rPr>
        <w:t xml:space="preserve"> or decision on  </w:t>
      </w:r>
      <w:r>
        <w:rPr>
          <w:szCs w:val="24"/>
          <w:lang w:val="en-GB"/>
        </w:rPr>
        <w:t>applying</w:t>
      </w:r>
      <w:r w:rsidRPr="00193C91">
        <w:rPr>
          <w:szCs w:val="24"/>
          <w:lang w:val="en-GB"/>
        </w:rPr>
        <w:t xml:space="preserve"> </w:t>
      </w:r>
      <w:r>
        <w:rPr>
          <w:szCs w:val="24"/>
          <w:lang w:val="en-GB"/>
        </w:rPr>
        <w:t>preventive</w:t>
      </w:r>
      <w:r w:rsidRPr="00193C91">
        <w:rPr>
          <w:szCs w:val="24"/>
          <w:lang w:val="en-GB"/>
        </w:rPr>
        <w:t xml:space="preserve"> measure, </w:t>
      </w:r>
      <w:r>
        <w:rPr>
          <w:szCs w:val="24"/>
          <w:lang w:val="en-GB"/>
        </w:rPr>
        <w:t>that is also</w:t>
      </w:r>
      <w:r w:rsidRPr="00193C91">
        <w:rPr>
          <w:szCs w:val="24"/>
          <w:lang w:val="en-GB"/>
        </w:rPr>
        <w:t xml:space="preserve"> – </w:t>
      </w:r>
      <w:r>
        <w:rPr>
          <w:szCs w:val="24"/>
          <w:lang w:val="en-GB"/>
        </w:rPr>
        <w:t>overall</w:t>
      </w:r>
      <w:r w:rsidRPr="00193C91">
        <w:rPr>
          <w:szCs w:val="24"/>
          <w:lang w:val="en-GB"/>
        </w:rPr>
        <w:t xml:space="preserve"> – </w:t>
      </w:r>
      <w:r>
        <w:rPr>
          <w:szCs w:val="24"/>
          <w:lang w:val="en-GB"/>
        </w:rPr>
        <w:t>for</w:t>
      </w:r>
      <w:r w:rsidRPr="00193C91">
        <w:rPr>
          <w:szCs w:val="24"/>
          <w:lang w:val="en-GB"/>
        </w:rPr>
        <w:t xml:space="preserve"> maintain</w:t>
      </w:r>
      <w:r>
        <w:rPr>
          <w:szCs w:val="24"/>
          <w:lang w:val="en-GB"/>
        </w:rPr>
        <w:t>ing</w:t>
      </w:r>
      <w:r w:rsidRPr="00193C91">
        <w:rPr>
          <w:szCs w:val="24"/>
          <w:lang w:val="en-GB"/>
        </w:rPr>
        <w:t xml:space="preserve"> and </w:t>
      </w:r>
      <w:r>
        <w:rPr>
          <w:szCs w:val="24"/>
          <w:lang w:val="en-GB"/>
        </w:rPr>
        <w:t>promoting</w:t>
      </w:r>
      <w:r w:rsidRPr="00193C91">
        <w:rPr>
          <w:szCs w:val="24"/>
          <w:lang w:val="en-GB"/>
        </w:rPr>
        <w:t xml:space="preserve"> public safety.</w:t>
      </w:r>
    </w:p>
    <w:p w:rsidR="00C402F7" w:rsidRPr="00852EBA" w:rsidRDefault="00E26956" w:rsidP="00C402F7">
      <w:pPr>
        <w:spacing w:after="0" w:line="360" w:lineRule="auto"/>
        <w:rPr>
          <w:szCs w:val="24"/>
          <w:lang w:val="en-GB"/>
        </w:rPr>
      </w:pPr>
      <w:r w:rsidRPr="00852EBA">
        <w:rPr>
          <w:szCs w:val="24"/>
          <w:lang w:val="en-GB"/>
        </w:rPr>
        <w:t xml:space="preserve">Polish law treats the state of sanity as a rule, thus defining normal </w:t>
      </w:r>
      <w:r>
        <w:rPr>
          <w:szCs w:val="24"/>
          <w:lang w:val="en-GB"/>
        </w:rPr>
        <w:t>health states</w:t>
      </w:r>
      <w:r w:rsidRPr="00852EBA">
        <w:rPr>
          <w:szCs w:val="24"/>
          <w:lang w:val="en-GB"/>
        </w:rPr>
        <w:t xml:space="preserve"> seems impracticable as a huge majority of adults </w:t>
      </w:r>
      <w:r>
        <w:rPr>
          <w:szCs w:val="24"/>
          <w:lang w:val="en-GB"/>
        </w:rPr>
        <w:t>i</w:t>
      </w:r>
      <w:r w:rsidRPr="00852EBA">
        <w:rPr>
          <w:szCs w:val="24"/>
          <w:lang w:val="en-GB"/>
        </w:rPr>
        <w:t>s</w:t>
      </w:r>
      <w:r>
        <w:rPr>
          <w:szCs w:val="24"/>
          <w:lang w:val="en-GB"/>
        </w:rPr>
        <w:t xml:space="preserve"> </w:t>
      </w:r>
      <w:r w:rsidRPr="00852EBA">
        <w:rPr>
          <w:szCs w:val="24"/>
          <w:lang w:val="en-GB"/>
        </w:rPr>
        <w:t xml:space="preserve">sane and bears </w:t>
      </w:r>
      <w:r>
        <w:rPr>
          <w:szCs w:val="24"/>
          <w:lang w:val="en-GB"/>
        </w:rPr>
        <w:t xml:space="preserve">criminal </w:t>
      </w:r>
      <w:r w:rsidRPr="00852EBA">
        <w:rPr>
          <w:szCs w:val="24"/>
          <w:lang w:val="en-GB"/>
        </w:rPr>
        <w:t>responsibility</w:t>
      </w:r>
      <w:r>
        <w:rPr>
          <w:szCs w:val="24"/>
          <w:lang w:val="en-GB"/>
        </w:rPr>
        <w:t>. Defining physiological states, particularly those relating to human mental sphere, is difficult as they cover a wide range of types and variants as well as many concepts and terms which are not fully definable</w:t>
      </w:r>
      <w:r>
        <w:rPr>
          <w:szCs w:val="24"/>
          <w:vertAlign w:val="superscript"/>
        </w:rPr>
        <w:footnoteReference w:id="1"/>
      </w:r>
      <w:r w:rsidRPr="00852EBA">
        <w:rPr>
          <w:szCs w:val="24"/>
          <w:lang w:val="en-GB"/>
        </w:rPr>
        <w:t>.</w:t>
      </w:r>
    </w:p>
    <w:p w:rsidR="00C402F7" w:rsidRPr="00AC1963" w:rsidRDefault="00E26956" w:rsidP="00C402F7">
      <w:pPr>
        <w:spacing w:after="0" w:line="360" w:lineRule="auto"/>
        <w:rPr>
          <w:szCs w:val="24"/>
          <w:lang w:val="en-GB"/>
        </w:rPr>
      </w:pPr>
      <w:r w:rsidRPr="00852EBA">
        <w:rPr>
          <w:szCs w:val="24"/>
          <w:lang w:val="en-GB"/>
        </w:rPr>
        <w:t xml:space="preserve">E. Krzymuski attempted to define the </w:t>
      </w:r>
      <w:r>
        <w:rPr>
          <w:szCs w:val="24"/>
          <w:lang w:val="en-GB"/>
        </w:rPr>
        <w:t>issue</w:t>
      </w:r>
      <w:r w:rsidRPr="00852EBA">
        <w:rPr>
          <w:szCs w:val="24"/>
          <w:lang w:val="en-GB"/>
        </w:rPr>
        <w:t xml:space="preserve"> of sanity. In his opinion, sanity is </w:t>
      </w:r>
      <w:r>
        <w:rPr>
          <w:szCs w:val="24"/>
          <w:lang w:val="en-GB"/>
        </w:rPr>
        <w:t xml:space="preserve">a </w:t>
      </w:r>
      <w:r w:rsidRPr="00852EBA">
        <w:rPr>
          <w:szCs w:val="24"/>
          <w:lang w:val="en-GB"/>
        </w:rPr>
        <w:t xml:space="preserve">human ability, entirely </w:t>
      </w:r>
      <w:r>
        <w:rPr>
          <w:szCs w:val="24"/>
          <w:lang w:val="en-GB"/>
        </w:rPr>
        <w:t>in</w:t>
      </w:r>
      <w:r w:rsidRPr="00852EBA">
        <w:rPr>
          <w:szCs w:val="24"/>
          <w:lang w:val="en-GB"/>
        </w:rPr>
        <w:t>depend</w:t>
      </w:r>
      <w:r>
        <w:rPr>
          <w:szCs w:val="24"/>
          <w:lang w:val="en-GB"/>
        </w:rPr>
        <w:t>ent</w:t>
      </w:r>
      <w:r w:rsidRPr="00852EBA">
        <w:rPr>
          <w:szCs w:val="24"/>
          <w:lang w:val="en-GB"/>
        </w:rPr>
        <w:t xml:space="preserve"> from </w:t>
      </w:r>
      <w:r>
        <w:rPr>
          <w:szCs w:val="24"/>
          <w:lang w:val="en-GB"/>
        </w:rPr>
        <w:t>the fact of committing a crime, defined by two powers</w:t>
      </w:r>
      <w:r w:rsidRPr="00AC1963">
        <w:rPr>
          <w:szCs w:val="24"/>
          <w:lang w:val="en-GB"/>
        </w:rPr>
        <w:t>:</w:t>
      </w:r>
    </w:p>
    <w:p w:rsidR="00C402F7" w:rsidRPr="00AC1963" w:rsidRDefault="00E26956" w:rsidP="00C402F7">
      <w:pPr>
        <w:numPr>
          <w:ilvl w:val="0"/>
          <w:numId w:val="1"/>
        </w:numPr>
        <w:tabs>
          <w:tab w:val="num" w:pos="480"/>
        </w:tabs>
        <w:spacing w:after="0" w:line="360" w:lineRule="auto"/>
        <w:rPr>
          <w:szCs w:val="24"/>
          <w:lang w:val="en-GB"/>
        </w:rPr>
      </w:pPr>
      <w:r w:rsidRPr="00AC1963">
        <w:rPr>
          <w:szCs w:val="24"/>
          <w:lang w:val="en-GB"/>
        </w:rPr>
        <w:t xml:space="preserve">The </w:t>
      </w:r>
      <w:r>
        <w:rPr>
          <w:szCs w:val="24"/>
          <w:lang w:val="en-GB"/>
        </w:rPr>
        <w:t>power to be</w:t>
      </w:r>
      <w:r w:rsidRPr="00AC1963">
        <w:rPr>
          <w:szCs w:val="24"/>
          <w:lang w:val="en-GB"/>
        </w:rPr>
        <w:t xml:space="preserve"> duly aware of the </w:t>
      </w:r>
      <w:r>
        <w:rPr>
          <w:szCs w:val="24"/>
          <w:lang w:val="en-GB"/>
        </w:rPr>
        <w:t>link</w:t>
      </w:r>
      <w:r w:rsidRPr="00AC1963">
        <w:rPr>
          <w:szCs w:val="24"/>
          <w:lang w:val="en-GB"/>
        </w:rPr>
        <w:t xml:space="preserve"> between </w:t>
      </w:r>
      <w:r>
        <w:rPr>
          <w:szCs w:val="24"/>
          <w:lang w:val="en-GB"/>
        </w:rPr>
        <w:t>one’s</w:t>
      </w:r>
      <w:r w:rsidRPr="00AC1963">
        <w:rPr>
          <w:szCs w:val="24"/>
          <w:lang w:val="en-GB"/>
        </w:rPr>
        <w:t xml:space="preserve"> act</w:t>
      </w:r>
      <w:r>
        <w:rPr>
          <w:szCs w:val="24"/>
          <w:lang w:val="en-GB"/>
        </w:rPr>
        <w:t>ions</w:t>
      </w:r>
      <w:r w:rsidRPr="00AC1963">
        <w:rPr>
          <w:szCs w:val="24"/>
          <w:lang w:val="en-GB"/>
        </w:rPr>
        <w:t xml:space="preserve"> and </w:t>
      </w:r>
      <w:r>
        <w:rPr>
          <w:szCs w:val="24"/>
          <w:lang w:val="en-GB"/>
        </w:rPr>
        <w:t xml:space="preserve">a </w:t>
      </w:r>
      <w:r w:rsidRPr="00AC1963">
        <w:rPr>
          <w:szCs w:val="24"/>
          <w:lang w:val="en-GB"/>
        </w:rPr>
        <w:t xml:space="preserve">legal norm sanctioning the </w:t>
      </w:r>
      <w:r>
        <w:rPr>
          <w:szCs w:val="24"/>
          <w:lang w:val="en-GB"/>
        </w:rPr>
        <w:t>prohibited act</w:t>
      </w:r>
      <w:r w:rsidRPr="00AC1963">
        <w:rPr>
          <w:szCs w:val="24"/>
          <w:lang w:val="en-GB"/>
        </w:rPr>
        <w:t>,</w:t>
      </w:r>
    </w:p>
    <w:p w:rsidR="00C402F7" w:rsidRPr="00390E0F" w:rsidRDefault="00E26956" w:rsidP="00C402F7">
      <w:pPr>
        <w:numPr>
          <w:ilvl w:val="0"/>
          <w:numId w:val="1"/>
        </w:numPr>
        <w:tabs>
          <w:tab w:val="num" w:pos="480"/>
        </w:tabs>
        <w:spacing w:after="0" w:line="360" w:lineRule="auto"/>
        <w:rPr>
          <w:szCs w:val="24"/>
          <w:lang w:val="en-GB"/>
        </w:rPr>
      </w:pPr>
      <w:r>
        <w:rPr>
          <w:szCs w:val="24"/>
          <w:lang w:val="en-GB"/>
        </w:rPr>
        <w:t>The so-</w:t>
      </w:r>
      <w:r w:rsidRPr="00390E0F">
        <w:rPr>
          <w:szCs w:val="24"/>
          <w:lang w:val="en-GB"/>
        </w:rPr>
        <w:t xml:space="preserve">called autonomy of will, i.e. the </w:t>
      </w:r>
      <w:r>
        <w:rPr>
          <w:szCs w:val="24"/>
          <w:lang w:val="en-GB"/>
        </w:rPr>
        <w:t xml:space="preserve">power to </w:t>
      </w:r>
      <w:r w:rsidRPr="00390E0F">
        <w:rPr>
          <w:szCs w:val="24"/>
          <w:lang w:val="en-GB"/>
        </w:rPr>
        <w:t>independent</w:t>
      </w:r>
      <w:r>
        <w:rPr>
          <w:szCs w:val="24"/>
          <w:lang w:val="en-GB"/>
        </w:rPr>
        <w:t>ly</w:t>
      </w:r>
      <w:r w:rsidRPr="00390E0F">
        <w:rPr>
          <w:szCs w:val="24"/>
          <w:lang w:val="en-GB"/>
        </w:rPr>
        <w:t xml:space="preserve"> </w:t>
      </w:r>
      <w:r>
        <w:rPr>
          <w:szCs w:val="24"/>
          <w:lang w:val="en-GB"/>
        </w:rPr>
        <w:t>control</w:t>
      </w:r>
      <w:r w:rsidRPr="00390E0F">
        <w:rPr>
          <w:szCs w:val="24"/>
          <w:lang w:val="en-GB"/>
        </w:rPr>
        <w:t xml:space="preserve"> one’s act</w:t>
      </w:r>
      <w:r>
        <w:rPr>
          <w:szCs w:val="24"/>
          <w:lang w:val="en-GB"/>
        </w:rPr>
        <w:t>ion</w:t>
      </w:r>
      <w:r w:rsidRPr="00390E0F">
        <w:rPr>
          <w:szCs w:val="24"/>
          <w:lang w:val="en-GB"/>
        </w:rPr>
        <w:t xml:space="preserve">s </w:t>
      </w:r>
      <w:r>
        <w:rPr>
          <w:szCs w:val="24"/>
          <w:lang w:val="en-GB"/>
        </w:rPr>
        <w:t>with the use of</w:t>
      </w:r>
      <w:r w:rsidRPr="00390E0F">
        <w:rPr>
          <w:szCs w:val="24"/>
          <w:lang w:val="en-GB"/>
        </w:rPr>
        <w:t xml:space="preserve"> such </w:t>
      </w:r>
      <w:r>
        <w:rPr>
          <w:szCs w:val="24"/>
          <w:lang w:val="en-GB"/>
        </w:rPr>
        <w:t>motives</w:t>
      </w:r>
      <w:r w:rsidRPr="00390E0F">
        <w:rPr>
          <w:szCs w:val="24"/>
          <w:lang w:val="en-GB"/>
        </w:rPr>
        <w:t xml:space="preserve"> that the law is to </w:t>
      </w:r>
      <w:r>
        <w:rPr>
          <w:szCs w:val="24"/>
          <w:lang w:val="en-GB"/>
        </w:rPr>
        <w:t>trigger</w:t>
      </w:r>
      <w:r w:rsidRPr="00390E0F">
        <w:rPr>
          <w:szCs w:val="24"/>
          <w:lang w:val="en-GB"/>
        </w:rPr>
        <w:t xml:space="preserve"> in persons being under its </w:t>
      </w:r>
      <w:r>
        <w:rPr>
          <w:szCs w:val="24"/>
          <w:lang w:val="en-GB"/>
        </w:rPr>
        <w:t>rule</w:t>
      </w:r>
      <w:r w:rsidRPr="00390E0F">
        <w:rPr>
          <w:szCs w:val="24"/>
          <w:lang w:val="en-GB"/>
        </w:rPr>
        <w:t>.</w:t>
      </w:r>
    </w:p>
    <w:p w:rsidR="00C402F7" w:rsidRPr="00390E0F" w:rsidRDefault="00E26956" w:rsidP="00C402F7">
      <w:pPr>
        <w:spacing w:after="0" w:line="360" w:lineRule="auto"/>
        <w:rPr>
          <w:szCs w:val="24"/>
          <w:lang w:val="en-GB"/>
        </w:rPr>
      </w:pPr>
      <w:r w:rsidRPr="00390E0F">
        <w:rPr>
          <w:szCs w:val="24"/>
          <w:lang w:val="en-GB"/>
        </w:rPr>
        <w:t xml:space="preserve">In this sense, the term </w:t>
      </w:r>
      <w:r>
        <w:rPr>
          <w:szCs w:val="24"/>
          <w:lang w:val="en-GB"/>
        </w:rPr>
        <w:t>“</w:t>
      </w:r>
      <w:r w:rsidRPr="00390E0F">
        <w:rPr>
          <w:szCs w:val="24"/>
          <w:lang w:val="en-GB"/>
        </w:rPr>
        <w:t xml:space="preserve">power” could be the equivalent of </w:t>
      </w:r>
      <w:r>
        <w:rPr>
          <w:szCs w:val="24"/>
          <w:lang w:val="en-GB"/>
        </w:rPr>
        <w:t>“</w:t>
      </w:r>
      <w:r w:rsidRPr="00390E0F">
        <w:rPr>
          <w:szCs w:val="24"/>
          <w:lang w:val="en-GB"/>
        </w:rPr>
        <w:t xml:space="preserve">ability", whereas the idea of the autonomy </w:t>
      </w:r>
      <w:r>
        <w:rPr>
          <w:szCs w:val="24"/>
          <w:lang w:val="en-GB"/>
        </w:rPr>
        <w:t xml:space="preserve">of will </w:t>
      </w:r>
      <w:r w:rsidRPr="00390E0F">
        <w:rPr>
          <w:szCs w:val="24"/>
          <w:lang w:val="en-GB"/>
        </w:rPr>
        <w:t>could correspond</w:t>
      </w:r>
      <w:r>
        <w:rPr>
          <w:szCs w:val="24"/>
          <w:lang w:val="en-GB"/>
        </w:rPr>
        <w:t xml:space="preserve"> to</w:t>
      </w:r>
      <w:r w:rsidRPr="00390E0F">
        <w:rPr>
          <w:szCs w:val="24"/>
          <w:lang w:val="en-GB"/>
        </w:rPr>
        <w:t xml:space="preserve"> the process of </w:t>
      </w:r>
      <w:r w:rsidRPr="00D76EE8">
        <w:rPr>
          <w:szCs w:val="24"/>
          <w:lang w:val="en-GB"/>
        </w:rPr>
        <w:t>norm internalisation</w:t>
      </w:r>
      <w:r>
        <w:rPr>
          <w:szCs w:val="24"/>
          <w:vertAlign w:val="superscript"/>
        </w:rPr>
        <w:footnoteReference w:id="2"/>
      </w:r>
      <w:r w:rsidRPr="00390E0F">
        <w:rPr>
          <w:szCs w:val="24"/>
          <w:lang w:val="en-GB"/>
        </w:rPr>
        <w:t>.</w:t>
      </w:r>
    </w:p>
    <w:p w:rsidR="00C402F7" w:rsidRPr="002A11A0" w:rsidRDefault="00E26956" w:rsidP="00C402F7">
      <w:pPr>
        <w:spacing w:after="0" w:line="360" w:lineRule="auto"/>
        <w:rPr>
          <w:szCs w:val="24"/>
          <w:lang w:val="en-GB"/>
        </w:rPr>
      </w:pPr>
      <w:r w:rsidRPr="00390E0F">
        <w:rPr>
          <w:szCs w:val="24"/>
          <w:lang w:val="en-GB"/>
        </w:rPr>
        <w:t xml:space="preserve">Of another opinion on the issue of sanity is C. Znamierowski who believes that a sane person </w:t>
      </w:r>
      <w:r>
        <w:rPr>
          <w:szCs w:val="24"/>
          <w:lang w:val="en-GB"/>
        </w:rPr>
        <w:t xml:space="preserve">is one that </w:t>
      </w:r>
      <w:r w:rsidRPr="00390E0F">
        <w:rPr>
          <w:szCs w:val="24"/>
          <w:lang w:val="en-GB"/>
        </w:rPr>
        <w:t>understands what is morally good or bad, what is ordered and prohibited by the applicable norms</w:t>
      </w:r>
      <w:r>
        <w:rPr>
          <w:szCs w:val="24"/>
          <w:lang w:val="en-GB"/>
        </w:rPr>
        <w:t xml:space="preserve">. He/she </w:t>
      </w:r>
      <w:r w:rsidRPr="00390E0F">
        <w:rPr>
          <w:szCs w:val="24"/>
          <w:lang w:val="en-GB"/>
        </w:rPr>
        <w:t xml:space="preserve">can </w:t>
      </w:r>
      <w:r>
        <w:rPr>
          <w:szCs w:val="24"/>
          <w:lang w:val="en-GB"/>
        </w:rPr>
        <w:t>plan</w:t>
      </w:r>
      <w:r w:rsidRPr="00390E0F">
        <w:rPr>
          <w:szCs w:val="24"/>
          <w:lang w:val="en-GB"/>
        </w:rPr>
        <w:t xml:space="preserve"> </w:t>
      </w:r>
      <w:r>
        <w:rPr>
          <w:szCs w:val="24"/>
          <w:lang w:val="en-GB"/>
        </w:rPr>
        <w:t>a malicious act</w:t>
      </w:r>
      <w:r w:rsidRPr="00390E0F">
        <w:rPr>
          <w:szCs w:val="24"/>
          <w:lang w:val="en-GB"/>
        </w:rPr>
        <w:t xml:space="preserve"> and </w:t>
      </w:r>
      <w:r>
        <w:rPr>
          <w:szCs w:val="24"/>
          <w:lang w:val="en-GB"/>
        </w:rPr>
        <w:t xml:space="preserve">wilfully </w:t>
      </w:r>
      <w:r w:rsidRPr="00390E0F">
        <w:rPr>
          <w:szCs w:val="24"/>
          <w:lang w:val="en-GB"/>
        </w:rPr>
        <w:t xml:space="preserve">implement it </w:t>
      </w:r>
      <w:r w:rsidRPr="00390E0F">
        <w:rPr>
          <w:szCs w:val="24"/>
          <w:lang w:val="en-GB"/>
        </w:rPr>
        <w:lastRenderedPageBreak/>
        <w:t xml:space="preserve">having prospective awareness of its </w:t>
      </w:r>
      <w:r>
        <w:rPr>
          <w:szCs w:val="24"/>
          <w:lang w:val="en-GB"/>
        </w:rPr>
        <w:t>criminality as well as can control his/her impulses by own will. Any person mentally sound is, therefore, sane</w:t>
      </w:r>
      <w:r>
        <w:rPr>
          <w:szCs w:val="24"/>
          <w:vertAlign w:val="superscript"/>
        </w:rPr>
        <w:footnoteReference w:id="3"/>
      </w:r>
      <w:r w:rsidRPr="002A11A0">
        <w:rPr>
          <w:szCs w:val="24"/>
          <w:lang w:val="en-GB"/>
        </w:rPr>
        <w:t>.</w:t>
      </w:r>
    </w:p>
    <w:p w:rsidR="00C402F7" w:rsidRPr="009558D0" w:rsidRDefault="00E26956" w:rsidP="00C402F7">
      <w:pPr>
        <w:spacing w:after="0" w:line="360" w:lineRule="auto"/>
        <w:rPr>
          <w:szCs w:val="24"/>
          <w:lang w:val="en-GB"/>
        </w:rPr>
      </w:pPr>
      <w:r w:rsidRPr="009558D0">
        <w:rPr>
          <w:szCs w:val="24"/>
          <w:lang w:val="en-GB"/>
        </w:rPr>
        <w:t>From a medical point of view, it is easier to define sanity by way of negation, assuming th</w:t>
      </w:r>
      <w:r>
        <w:rPr>
          <w:szCs w:val="24"/>
          <w:lang w:val="en-GB"/>
        </w:rPr>
        <w:t>at</w:t>
      </w:r>
      <w:r w:rsidRPr="009558D0">
        <w:rPr>
          <w:szCs w:val="24"/>
          <w:lang w:val="en-GB"/>
        </w:rPr>
        <w:t xml:space="preserve"> sanity is </w:t>
      </w:r>
      <w:r>
        <w:rPr>
          <w:szCs w:val="24"/>
          <w:lang w:val="en-GB"/>
        </w:rPr>
        <w:t xml:space="preserve">present </w:t>
      </w:r>
      <w:r w:rsidRPr="009558D0">
        <w:rPr>
          <w:szCs w:val="24"/>
          <w:lang w:val="en-GB"/>
        </w:rPr>
        <w:t>where</w:t>
      </w:r>
      <w:r>
        <w:rPr>
          <w:szCs w:val="24"/>
          <w:lang w:val="en-GB"/>
        </w:rPr>
        <w:t>ver</w:t>
      </w:r>
      <w:r w:rsidRPr="009558D0">
        <w:rPr>
          <w:szCs w:val="24"/>
          <w:lang w:val="en-GB"/>
        </w:rPr>
        <w:t xml:space="preserve"> it is not abolished or significantly limited. This definition, although it is not entirely </w:t>
      </w:r>
      <w:r>
        <w:rPr>
          <w:szCs w:val="24"/>
          <w:lang w:val="en-GB"/>
        </w:rPr>
        <w:t>accurate</w:t>
      </w:r>
      <w:r w:rsidRPr="009558D0">
        <w:rPr>
          <w:szCs w:val="24"/>
          <w:lang w:val="en-GB"/>
        </w:rPr>
        <w:t>, meets, however, the requirement of legal provision</w:t>
      </w:r>
      <w:r>
        <w:rPr>
          <w:szCs w:val="24"/>
          <w:vertAlign w:val="superscript"/>
        </w:rPr>
        <w:footnoteReference w:id="4"/>
      </w:r>
      <w:r w:rsidRPr="009558D0">
        <w:rPr>
          <w:szCs w:val="24"/>
          <w:lang w:val="en-GB"/>
        </w:rPr>
        <w:t>.</w:t>
      </w:r>
    </w:p>
    <w:p w:rsidR="00116C8B" w:rsidRPr="00C402F7" w:rsidRDefault="00E26956" w:rsidP="00C402F7">
      <w:pPr>
        <w:rPr>
          <w:lang w:val="en-US"/>
        </w:rPr>
      </w:pPr>
      <w:r>
        <w:rPr>
          <w:szCs w:val="24"/>
          <w:lang w:val="en-GB"/>
        </w:rPr>
        <w:t>Discussion on the issue of</w:t>
      </w:r>
      <w:r w:rsidRPr="009558D0">
        <w:rPr>
          <w:szCs w:val="24"/>
          <w:lang w:val="en-GB"/>
        </w:rPr>
        <w:t xml:space="preserve"> insanity </w:t>
      </w:r>
      <w:r>
        <w:rPr>
          <w:szCs w:val="24"/>
          <w:lang w:val="en-GB"/>
        </w:rPr>
        <w:t>should</w:t>
      </w:r>
      <w:r w:rsidRPr="009558D0">
        <w:rPr>
          <w:szCs w:val="24"/>
          <w:lang w:val="en-GB"/>
        </w:rPr>
        <w:t xml:space="preserve"> not be </w:t>
      </w:r>
      <w:r w:rsidRPr="00BD5EAA">
        <w:rPr>
          <w:szCs w:val="24"/>
          <w:lang w:val="en-GB"/>
        </w:rPr>
        <w:t xml:space="preserve">pursued without reference to </w:t>
      </w:r>
      <w:r w:rsidRPr="009558D0">
        <w:rPr>
          <w:szCs w:val="24"/>
          <w:lang w:val="en-GB"/>
        </w:rPr>
        <w:t xml:space="preserve">the provisions of </w:t>
      </w:r>
      <w:r>
        <w:rPr>
          <w:szCs w:val="24"/>
          <w:lang w:val="en-GB"/>
        </w:rPr>
        <w:t>Polish Penal</w:t>
      </w:r>
      <w:r w:rsidRPr="009558D0">
        <w:rPr>
          <w:szCs w:val="24"/>
          <w:lang w:val="en-GB"/>
        </w:rPr>
        <w:t xml:space="preserve"> Code, as the defini</w:t>
      </w:r>
      <w:r>
        <w:rPr>
          <w:szCs w:val="24"/>
          <w:lang w:val="en-GB"/>
        </w:rPr>
        <w:t>ti</w:t>
      </w:r>
      <w:r w:rsidRPr="009558D0">
        <w:rPr>
          <w:szCs w:val="24"/>
          <w:lang w:val="en-GB"/>
        </w:rPr>
        <w:t xml:space="preserve">on of </w:t>
      </w:r>
      <w:r>
        <w:rPr>
          <w:szCs w:val="24"/>
          <w:lang w:val="en-GB"/>
        </w:rPr>
        <w:t>in</w:t>
      </w:r>
      <w:r w:rsidRPr="009558D0">
        <w:rPr>
          <w:szCs w:val="24"/>
          <w:lang w:val="en-GB"/>
        </w:rPr>
        <w:t xml:space="preserve">sanity, while serving the </w:t>
      </w:r>
      <w:r>
        <w:rPr>
          <w:szCs w:val="24"/>
          <w:lang w:val="en-GB"/>
        </w:rPr>
        <w:t>criminal</w:t>
      </w:r>
      <w:r w:rsidRPr="009558D0">
        <w:rPr>
          <w:szCs w:val="24"/>
          <w:lang w:val="en-GB"/>
        </w:rPr>
        <w:t xml:space="preserve"> law, must relate, to a smaller or higher degree, to the penal </w:t>
      </w:r>
      <w:r>
        <w:rPr>
          <w:szCs w:val="24"/>
          <w:lang w:val="en-GB"/>
        </w:rPr>
        <w:t>legislature</w:t>
      </w:r>
      <w:r w:rsidRPr="009558D0">
        <w:rPr>
          <w:szCs w:val="24"/>
          <w:lang w:val="en-GB"/>
        </w:rPr>
        <w:t>.</w:t>
      </w:r>
    </w:p>
    <w:sectPr w:rsidR="00116C8B" w:rsidRPr="00C4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BB" w:rsidRDefault="007D0BBB">
      <w:pPr>
        <w:spacing w:after="0" w:line="240" w:lineRule="auto"/>
      </w:pPr>
      <w:r>
        <w:separator/>
      </w:r>
    </w:p>
  </w:endnote>
  <w:endnote w:type="continuationSeparator" w:id="0">
    <w:p w:rsidR="007D0BBB" w:rsidRDefault="007D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BB" w:rsidRDefault="007D0BBB" w:rsidP="00C402F7">
      <w:pPr>
        <w:spacing w:after="0" w:line="240" w:lineRule="auto"/>
      </w:pPr>
      <w:r>
        <w:separator/>
      </w:r>
    </w:p>
  </w:footnote>
  <w:footnote w:type="continuationSeparator" w:id="0">
    <w:p w:rsidR="007D0BBB" w:rsidRDefault="007D0BBB" w:rsidP="00C402F7">
      <w:pPr>
        <w:spacing w:after="0" w:line="240" w:lineRule="auto"/>
      </w:pPr>
      <w:r>
        <w:continuationSeparator/>
      </w:r>
    </w:p>
  </w:footnote>
  <w:footnote w:id="1">
    <w:p w:rsidR="00C402F7" w:rsidRDefault="00E26956" w:rsidP="00C402F7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Z. Falicki, L. Wandzel, Psychiatria sądowa dla studentów wydziału prawa [</w:t>
      </w:r>
      <w:r w:rsidRPr="007B6FD1">
        <w:t>Court psychiatry for law students</w:t>
      </w:r>
      <w:r>
        <w:t>], Białystok 1990, p. 205-206.</w:t>
      </w:r>
    </w:p>
  </w:footnote>
  <w:footnote w:id="2">
    <w:p w:rsidR="00C402F7" w:rsidRDefault="00E26956" w:rsidP="00C402F7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Z. Marten, Wstęp do psychologii sądowej [</w:t>
      </w:r>
      <w:r w:rsidRPr="007B6FD1">
        <w:t>Introduction to court psychiatry</w:t>
      </w:r>
      <w:r>
        <w:t>], Katowice 1990, p. 92-93.</w:t>
      </w:r>
    </w:p>
  </w:footnote>
  <w:footnote w:id="3">
    <w:p w:rsidR="00C402F7" w:rsidRDefault="00E26956" w:rsidP="00C402F7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C. Znamierowski, Wina i odpowiedzialność [</w:t>
      </w:r>
      <w:r w:rsidRPr="007B6FD1">
        <w:t>Fault and responsibility], Warsaw</w:t>
      </w:r>
      <w:r>
        <w:t xml:space="preserve"> 1957, p. 108.</w:t>
      </w:r>
    </w:p>
  </w:footnote>
  <w:footnote w:id="4">
    <w:p w:rsidR="00C402F7" w:rsidRDefault="00E26956" w:rsidP="00C402F7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Z. Falicki, L. Wandzel, op. cit., p. 207.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7EAF"/>
    <w:multiLevelType w:val="hybridMultilevel"/>
    <w:tmpl w:val="13063384"/>
    <w:lvl w:ilvl="0" w:tplc="D234B4E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4AA4C6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E39EC9C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44C539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2E08372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68C0E35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48CC1D2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CB703BC8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334E53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F7"/>
    <w:rsid w:val="00116C8B"/>
    <w:rsid w:val="00193C91"/>
    <w:rsid w:val="002A11A0"/>
    <w:rsid w:val="00390E0F"/>
    <w:rsid w:val="005401A4"/>
    <w:rsid w:val="00601C98"/>
    <w:rsid w:val="006779BC"/>
    <w:rsid w:val="007B6FD1"/>
    <w:rsid w:val="007D0BBB"/>
    <w:rsid w:val="00852EBA"/>
    <w:rsid w:val="009558D0"/>
    <w:rsid w:val="00A51FF7"/>
    <w:rsid w:val="00AC1963"/>
    <w:rsid w:val="00BD5EAA"/>
    <w:rsid w:val="00C364BB"/>
    <w:rsid w:val="00C402F7"/>
    <w:rsid w:val="00D76EE8"/>
    <w:rsid w:val="00E26956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2F7"/>
    <w:pPr>
      <w:spacing w:after="200" w:line="276" w:lineRule="auto"/>
      <w:ind w:firstLine="851"/>
      <w:jc w:val="both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2F7"/>
    <w:pPr>
      <w:keepNext/>
      <w:keepLines/>
      <w:spacing w:before="480" w:after="240"/>
      <w:outlineLvl w:val="0"/>
    </w:pPr>
    <w:rPr>
      <w:rFonts w:eastAsiaTheme="majorEastAs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2F7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woanieprzypisudolnego">
    <w:name w:val="footnote reference"/>
    <w:basedOn w:val="Domylnaczcionkaakapitu"/>
    <w:semiHidden/>
    <w:rsid w:val="00C402F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402F7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02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2F7"/>
    <w:pPr>
      <w:spacing w:after="200" w:line="276" w:lineRule="auto"/>
      <w:ind w:firstLine="851"/>
      <w:jc w:val="both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2F7"/>
    <w:pPr>
      <w:keepNext/>
      <w:keepLines/>
      <w:spacing w:before="480" w:after="240"/>
      <w:outlineLvl w:val="0"/>
    </w:pPr>
    <w:rPr>
      <w:rFonts w:eastAsiaTheme="majorEastAs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2F7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woanieprzypisudolnego">
    <w:name w:val="footnote reference"/>
    <w:basedOn w:val="Domylnaczcionkaakapitu"/>
    <w:semiHidden/>
    <w:rsid w:val="00C402F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402F7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02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Biczyk</dc:creator>
  <cp:lastModifiedBy>Uzytkownik</cp:lastModifiedBy>
  <cp:revision>2</cp:revision>
  <dcterms:created xsi:type="dcterms:W3CDTF">2019-03-14T09:24:00Z</dcterms:created>
  <dcterms:modified xsi:type="dcterms:W3CDTF">2019-03-14T09:24:00Z</dcterms:modified>
</cp:coreProperties>
</file>