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2D717" w14:textId="2FA88203" w:rsidR="00C878C7" w:rsidRPr="008333C4" w:rsidRDefault="00644983" w:rsidP="000124EA">
      <w:pPr>
        <w:tabs>
          <w:tab w:val="left" w:pos="360"/>
          <w:tab w:val="left" w:pos="720"/>
          <w:tab w:val="left" w:pos="1080"/>
          <w:tab w:val="left" w:pos="1440"/>
          <w:tab w:val="left" w:pos="1800"/>
          <w:tab w:val="left" w:pos="2160"/>
          <w:tab w:val="left" w:pos="2880"/>
          <w:tab w:val="left" w:pos="3600"/>
          <w:tab w:val="left" w:pos="4320"/>
        </w:tabs>
        <w:spacing w:after="240"/>
        <w:jc w:val="both"/>
        <w:rPr>
          <w:rFonts w:ascii="Times New Roman" w:eastAsia="Times New Roman" w:hAnsi="Times New Roman" w:cs="Times New Roman"/>
          <w:b/>
          <w:bCs/>
          <w:lang w:val="en-GB"/>
        </w:rPr>
      </w:pPr>
      <w:r w:rsidRPr="008333C4">
        <w:rPr>
          <w:rFonts w:ascii="Times New Roman" w:eastAsia="Times New Roman" w:hAnsi="Times New Roman" w:cs="Times New Roman"/>
          <w:b/>
          <w:bCs/>
          <w:lang w:val="en-GB"/>
        </w:rPr>
        <w:t>Excerpt from an 11,000-word academic article in the fields of contemporary history and migration.</w:t>
      </w:r>
    </w:p>
    <w:p w14:paraId="01535787" w14:textId="76D8FF37" w:rsidR="00C878C7" w:rsidRPr="008333C4" w:rsidRDefault="00644983" w:rsidP="000124EA">
      <w:pPr>
        <w:tabs>
          <w:tab w:val="left" w:pos="360"/>
          <w:tab w:val="left" w:pos="720"/>
          <w:tab w:val="left" w:pos="1080"/>
          <w:tab w:val="left" w:pos="1440"/>
          <w:tab w:val="left" w:pos="1800"/>
          <w:tab w:val="left" w:pos="2160"/>
          <w:tab w:val="left" w:pos="2880"/>
          <w:tab w:val="left" w:pos="3600"/>
          <w:tab w:val="left" w:pos="4320"/>
        </w:tabs>
        <w:spacing w:before="100" w:after="100"/>
        <w:jc w:val="both"/>
        <w:rPr>
          <w:rFonts w:ascii="Times New Roman" w:eastAsia="AvenirNext-Regular" w:hAnsi="Times New Roman" w:cs="Times New Roman"/>
          <w:lang w:val="en-GB"/>
        </w:rPr>
      </w:pPr>
      <w:r w:rsidRPr="008333C4">
        <w:rPr>
          <w:rFonts w:ascii="Times New Roman" w:eastAsia="Times New Roman" w:hAnsi="Times New Roman" w:cs="Times New Roman"/>
          <w:lang w:val="en-GB"/>
        </w:rPr>
        <w:t xml:space="preserve">Political </w:t>
      </w:r>
      <w:r w:rsidR="000124EA">
        <w:rPr>
          <w:rFonts w:ascii="Times New Roman" w:eastAsia="Times New Roman" w:hAnsi="Times New Roman" w:cs="Times New Roman"/>
          <w:lang w:val="en-GB"/>
        </w:rPr>
        <w:t xml:space="preserve">institutions </w:t>
      </w:r>
      <w:r w:rsidRPr="008333C4">
        <w:rPr>
          <w:rFonts w:ascii="Times New Roman" w:eastAsia="Times New Roman" w:hAnsi="Times New Roman" w:cs="Times New Roman"/>
          <w:lang w:val="en-GB"/>
        </w:rPr>
        <w:t xml:space="preserve">have a natural tendency to </w:t>
      </w:r>
      <w:r w:rsidR="00674BCE">
        <w:rPr>
          <w:rFonts w:ascii="Times New Roman" w:eastAsia="Times New Roman" w:hAnsi="Times New Roman" w:cs="Times New Roman"/>
          <w:lang w:val="en-GB"/>
        </w:rPr>
        <w:t xml:space="preserve">be </w:t>
      </w:r>
      <w:r w:rsidRPr="008333C4">
        <w:rPr>
          <w:rFonts w:ascii="Times New Roman" w:eastAsia="Times New Roman" w:hAnsi="Times New Roman" w:cs="Times New Roman"/>
          <w:lang w:val="en-GB"/>
        </w:rPr>
        <w:t>perpetuate</w:t>
      </w:r>
      <w:r w:rsidR="00674BCE">
        <w:rPr>
          <w:rFonts w:ascii="Times New Roman" w:eastAsia="Times New Roman" w:hAnsi="Times New Roman" w:cs="Times New Roman"/>
          <w:lang w:val="en-GB"/>
        </w:rPr>
        <w:t>d</w:t>
      </w:r>
      <w:r w:rsidRPr="008333C4">
        <w:rPr>
          <w:rFonts w:ascii="Times New Roman" w:eastAsia="Times New Roman" w:hAnsi="Times New Roman" w:cs="Times New Roman"/>
          <w:lang w:val="en-GB"/>
        </w:rPr>
        <w:t xml:space="preserve"> and move</w:t>
      </w:r>
      <w:r w:rsidR="00674BCE">
        <w:rPr>
          <w:rFonts w:ascii="Times New Roman" w:eastAsia="Times New Roman" w:hAnsi="Times New Roman" w:cs="Times New Roman"/>
          <w:lang w:val="en-GB"/>
        </w:rPr>
        <w:t>d</w:t>
      </w:r>
      <w:r w:rsidRPr="008333C4">
        <w:rPr>
          <w:rFonts w:ascii="Times New Roman" w:eastAsia="Times New Roman" w:hAnsi="Times New Roman" w:cs="Times New Roman"/>
          <w:lang w:val="en-GB"/>
        </w:rPr>
        <w:t xml:space="preserve"> by </w:t>
      </w:r>
      <w:r w:rsidRPr="008333C4">
        <w:rPr>
          <w:rFonts w:ascii="Times New Roman" w:eastAsia="Times New Roman" w:hAnsi="Times New Roman" w:cs="Times New Roman"/>
          <w:b/>
          <w:bCs/>
          <w:lang w:val="en-GB"/>
        </w:rPr>
        <w:t>inertia</w:t>
      </w:r>
      <w:r w:rsidRPr="008333C4">
        <w:rPr>
          <w:rFonts w:ascii="Times New Roman" w:eastAsia="Times New Roman" w:hAnsi="Times New Roman" w:cs="Times New Roman"/>
          <w:lang w:val="en-GB"/>
        </w:rPr>
        <w:t xml:space="preserve">. Usually, these creations transcend the will of their </w:t>
      </w:r>
      <w:r w:rsidR="00EA3159">
        <w:rPr>
          <w:rFonts w:ascii="Times New Roman" w:eastAsia="Times New Roman" w:hAnsi="Times New Roman" w:cs="Times New Roman"/>
          <w:lang w:val="en-GB"/>
        </w:rPr>
        <w:t>members</w:t>
      </w:r>
      <w:r w:rsidRPr="008333C4">
        <w:rPr>
          <w:rFonts w:ascii="Times New Roman" w:eastAsia="Times New Roman" w:hAnsi="Times New Roman" w:cs="Times New Roman"/>
          <w:lang w:val="en-GB"/>
        </w:rPr>
        <w:t xml:space="preserve"> and </w:t>
      </w:r>
      <w:r w:rsidRPr="008333C4">
        <w:rPr>
          <w:rFonts w:ascii="Times New Roman" w:eastAsia="Times New Roman" w:hAnsi="Times New Roman" w:cs="Times New Roman"/>
          <w:lang w:val="en-GB"/>
        </w:rPr>
        <w:t>acquire a life of their own. Their mechanisms become progressively more complex and, thus, more resistant to any external change. Sometimes these institutions even manage to emancipate themselves from their original purpose and fight only for their own sur</w:t>
      </w:r>
      <w:r w:rsidRPr="008333C4">
        <w:rPr>
          <w:rFonts w:ascii="Times New Roman" w:eastAsia="Times New Roman" w:hAnsi="Times New Roman" w:cs="Times New Roman"/>
          <w:lang w:val="en-GB"/>
        </w:rPr>
        <w:t>vival. In a broad study of political order throughout history, Francis Fukuyama refers to this concept as the ‘law of the conservation of institutions’:</w:t>
      </w:r>
    </w:p>
    <w:p w14:paraId="5161537E" w14:textId="77777777" w:rsidR="00762F5E" w:rsidRPr="00152740" w:rsidRDefault="00762F5E" w:rsidP="00762F5E">
      <w:pPr>
        <w:pStyle w:val="Bloquearcita"/>
        <w:spacing w:line="240" w:lineRule="auto"/>
        <w:jc w:val="both"/>
        <w:rPr>
          <w:rFonts w:ascii="Times New Roman" w:eastAsia="AvenirNext-Regular" w:hAnsi="Times New Roman" w:cs="Times New Roman"/>
          <w:sz w:val="24"/>
          <w:szCs w:val="24"/>
        </w:rPr>
      </w:pPr>
      <w:r w:rsidRPr="00152740">
        <w:rPr>
          <w:rFonts w:ascii="Times New Roman" w:eastAsia="AvenirNext-Regular" w:hAnsi="Times New Roman" w:cs="Times New Roman"/>
          <w:sz w:val="24"/>
          <w:szCs w:val="24"/>
        </w:rPr>
        <w:t xml:space="preserve">There is something like a </w:t>
      </w:r>
      <w:r w:rsidRPr="00152740">
        <w:rPr>
          <w:rFonts w:ascii="Times New Roman" w:eastAsia="AvenirNext-Bold" w:hAnsi="Times New Roman" w:cs="Times New Roman"/>
          <w:sz w:val="24"/>
          <w:szCs w:val="24"/>
        </w:rPr>
        <w:t>law of the conservation of institutions</w:t>
      </w:r>
      <w:r w:rsidRPr="00152740">
        <w:rPr>
          <w:rFonts w:ascii="Times New Roman" w:eastAsia="AvenirNext-Regular" w:hAnsi="Times New Roman" w:cs="Times New Roman"/>
          <w:sz w:val="24"/>
          <w:szCs w:val="24"/>
        </w:rPr>
        <w:t xml:space="preserve">. Human beings are rule-following animals by nature; they are born to conform to the social norms they see around them, and they entrench those rules with often </w:t>
      </w:r>
      <w:r w:rsidRPr="00152740">
        <w:rPr>
          <w:rStyle w:val="QuoteChar"/>
          <w:sz w:val="24"/>
          <w:szCs w:val="24"/>
        </w:rPr>
        <w:t>transcendent</w:t>
      </w:r>
      <w:r w:rsidRPr="00152740">
        <w:rPr>
          <w:rFonts w:ascii="Times New Roman" w:eastAsia="AvenirNext-Regular" w:hAnsi="Times New Roman" w:cs="Times New Roman"/>
          <w:sz w:val="24"/>
          <w:szCs w:val="24"/>
        </w:rPr>
        <w:t xml:space="preserve"> meaning and value. When the surrounding environment changes and new challenges arise, there is often a disjunction between existing institutions and present needs. Those institutions are supported by legions of entrenched stakeholders who oppose any fundamental change.</w:t>
      </w:r>
      <w:r w:rsidRPr="00152740">
        <w:rPr>
          <w:rFonts w:ascii="Times New Roman" w:eastAsia="AvenirNext-Regular" w:hAnsi="Times New Roman" w:cs="Times New Roman"/>
          <w:sz w:val="24"/>
          <w:szCs w:val="24"/>
          <w:vertAlign w:val="superscript"/>
        </w:rPr>
        <w:footnoteReference w:id="1"/>
      </w:r>
    </w:p>
    <w:p w14:paraId="56124E19" w14:textId="3B295E2F" w:rsidR="00C878C7" w:rsidRPr="008333C4" w:rsidRDefault="00644983" w:rsidP="000124EA">
      <w:pPr>
        <w:tabs>
          <w:tab w:val="left" w:pos="360"/>
          <w:tab w:val="left" w:pos="720"/>
          <w:tab w:val="left" w:pos="1080"/>
          <w:tab w:val="left" w:pos="1440"/>
          <w:tab w:val="left" w:pos="1800"/>
          <w:tab w:val="left" w:pos="2160"/>
          <w:tab w:val="left" w:pos="2880"/>
          <w:tab w:val="left" w:pos="3600"/>
          <w:tab w:val="left" w:pos="4320"/>
        </w:tabs>
        <w:spacing w:before="100" w:after="100"/>
        <w:jc w:val="both"/>
        <w:rPr>
          <w:rFonts w:ascii="Times New Roman" w:eastAsia="AvenirNext-Regular" w:hAnsi="Times New Roman" w:cs="Times New Roman"/>
          <w:bCs/>
          <w:lang w:val="en-GB"/>
        </w:rPr>
      </w:pPr>
      <w:r w:rsidRPr="008333C4">
        <w:rPr>
          <w:rFonts w:ascii="Times New Roman" w:eastAsia="Times New Roman" w:hAnsi="Times New Roman" w:cs="Times New Roman"/>
          <w:bCs/>
          <w:lang w:val="en-GB"/>
        </w:rPr>
        <w:t xml:space="preserve">Fukuyama considers this principle of self-preservation as inherent in political institutions, just as it is </w:t>
      </w:r>
      <w:r w:rsidR="003009D1">
        <w:rPr>
          <w:rFonts w:ascii="Times New Roman" w:eastAsia="Times New Roman" w:hAnsi="Times New Roman" w:cs="Times New Roman"/>
          <w:bCs/>
          <w:lang w:val="en-GB"/>
        </w:rPr>
        <w:t>in</w:t>
      </w:r>
      <w:r w:rsidRPr="008333C4">
        <w:rPr>
          <w:rFonts w:ascii="Times New Roman" w:eastAsia="Times New Roman" w:hAnsi="Times New Roman" w:cs="Times New Roman"/>
          <w:bCs/>
          <w:lang w:val="en-GB"/>
        </w:rPr>
        <w:t xml:space="preserve"> the human condition itself; likewise, he affirms that it is the main cause of political decay throughout history. Institutions created by society to meet specific needs become rigid and are incapable of adapting to new circumstances when those original ne</w:t>
      </w:r>
      <w:r w:rsidRPr="008333C4">
        <w:rPr>
          <w:rFonts w:ascii="Times New Roman" w:eastAsia="Times New Roman" w:hAnsi="Times New Roman" w:cs="Times New Roman"/>
          <w:bCs/>
          <w:lang w:val="en-GB"/>
        </w:rPr>
        <w:t>eds change or disappear. And that inefficiency inevitably leads to failure.</w:t>
      </w:r>
      <w:r>
        <w:rPr>
          <w:rFonts w:ascii="Times New Roman" w:eastAsia="AvenirNext-Regular" w:hAnsi="Times New Roman" w:cs="Times New Roman"/>
          <w:bCs/>
          <w:vertAlign w:val="superscript"/>
          <w:lang w:val="en-GB"/>
        </w:rPr>
        <w:footnoteReference w:id="2"/>
      </w:r>
      <w:r w:rsidRPr="008333C4">
        <w:rPr>
          <w:rFonts w:ascii="Times New Roman" w:eastAsia="Times New Roman" w:hAnsi="Times New Roman" w:cs="Times New Roman"/>
          <w:bCs/>
          <w:lang w:val="en-GB"/>
        </w:rPr>
        <w:t xml:space="preserve"> Some authors criticise this theory for its simplicity; they accuse Fukuyama of ignoring the fact that inertia is an inherent aspect of political development and avoiding a genuin</w:t>
      </w:r>
      <w:r w:rsidRPr="008333C4">
        <w:rPr>
          <w:rFonts w:ascii="Times New Roman" w:eastAsia="Times New Roman" w:hAnsi="Times New Roman" w:cs="Times New Roman"/>
          <w:bCs/>
          <w:lang w:val="en-GB"/>
        </w:rPr>
        <w:t xml:space="preserve">e analysis </w:t>
      </w:r>
      <w:r w:rsidR="00762F5E">
        <w:rPr>
          <w:rFonts w:ascii="Times New Roman" w:eastAsia="Times New Roman" w:hAnsi="Times New Roman" w:cs="Times New Roman"/>
          <w:bCs/>
          <w:lang w:val="en-GB"/>
        </w:rPr>
        <w:t>of</w:t>
      </w:r>
      <w:r w:rsidRPr="008333C4">
        <w:rPr>
          <w:rFonts w:ascii="Times New Roman" w:eastAsia="Times New Roman" w:hAnsi="Times New Roman" w:cs="Times New Roman"/>
          <w:bCs/>
          <w:lang w:val="en-GB"/>
        </w:rPr>
        <w:t xml:space="preserve"> 'how social and political inertia is related to the complex of social power, economic interest and ideology'.</w:t>
      </w:r>
      <w:r>
        <w:rPr>
          <w:rFonts w:ascii="Times New Roman" w:eastAsia="AvenirNext-Regular" w:hAnsi="Times New Roman" w:cs="Times New Roman"/>
          <w:bCs/>
          <w:vertAlign w:val="superscript"/>
          <w:lang w:val="en-GB"/>
        </w:rPr>
        <w:footnoteReference w:id="3"/>
      </w:r>
      <w:r w:rsidRPr="008333C4">
        <w:rPr>
          <w:rFonts w:ascii="Times New Roman" w:eastAsia="Times New Roman" w:hAnsi="Times New Roman" w:cs="Times New Roman"/>
          <w:bCs/>
          <w:lang w:val="en-GB"/>
        </w:rPr>
        <w:t xml:space="preserve"> However, even while considering these objections and remaining open to some nuance, </w:t>
      </w:r>
      <w:r w:rsidR="00EA3159">
        <w:rPr>
          <w:rFonts w:ascii="Times New Roman" w:eastAsia="Times New Roman" w:hAnsi="Times New Roman" w:cs="Times New Roman"/>
          <w:bCs/>
          <w:lang w:val="en-GB"/>
        </w:rPr>
        <w:t>this</w:t>
      </w:r>
      <w:r w:rsidRPr="008333C4">
        <w:rPr>
          <w:rFonts w:ascii="Times New Roman" w:eastAsia="Times New Roman" w:hAnsi="Times New Roman" w:cs="Times New Roman"/>
          <w:bCs/>
          <w:lang w:val="en-GB"/>
        </w:rPr>
        <w:t xml:space="preserve"> theory about the inertia of institutio</w:t>
      </w:r>
      <w:r w:rsidRPr="008333C4">
        <w:rPr>
          <w:rFonts w:ascii="Times New Roman" w:eastAsia="Times New Roman" w:hAnsi="Times New Roman" w:cs="Times New Roman"/>
          <w:bCs/>
          <w:lang w:val="en-GB"/>
        </w:rPr>
        <w:t>ns is undeniably astute; it offers an interesting point of view from which to analyse the political and social reality, past and present.</w:t>
      </w:r>
    </w:p>
    <w:p w14:paraId="3B636AEB" w14:textId="62B46675" w:rsidR="003F1554" w:rsidRPr="008333C4" w:rsidRDefault="00644983" w:rsidP="000124EA">
      <w:pPr>
        <w:rPr>
          <w:lang w:val="en-US"/>
        </w:rPr>
      </w:pPr>
      <w:r w:rsidRPr="008333C4">
        <w:rPr>
          <w:rFonts w:ascii="Times New Roman" w:eastAsia="Times New Roman" w:hAnsi="Times New Roman" w:cs="Times New Roman"/>
          <w:lang w:val="en-GB"/>
        </w:rPr>
        <w:tab/>
        <w:t>Migration is one of the areas in which this gap between political institutions and social reality is most evident.</w:t>
      </w:r>
      <w:r w:rsidRPr="008333C4">
        <w:rPr>
          <w:rFonts w:ascii="Times New Roman" w:eastAsia="Times New Roman" w:hAnsi="Times New Roman" w:cs="Times New Roman"/>
          <w:lang w:val="en-GB"/>
        </w:rPr>
        <w:t xml:space="preserve"> Fr</w:t>
      </w:r>
      <w:r w:rsidRPr="008333C4">
        <w:rPr>
          <w:rFonts w:ascii="Times New Roman" w:eastAsia="Times New Roman" w:hAnsi="Times New Roman" w:cs="Times New Roman"/>
          <w:lang w:val="en-GB"/>
        </w:rPr>
        <w:t>equently</w:t>
      </w:r>
      <w:r w:rsidRPr="008333C4">
        <w:rPr>
          <w:rFonts w:ascii="Times New Roman" w:eastAsia="Times New Roman" w:hAnsi="Times New Roman" w:cs="Times New Roman"/>
          <w:lang w:val="en-GB"/>
        </w:rPr>
        <w:t xml:space="preserve">, migration policies implemented by states and supranational organisations, such as the European Union, are </w:t>
      </w:r>
      <w:r w:rsidRPr="008333C4">
        <w:rPr>
          <w:rFonts w:ascii="Times New Roman" w:eastAsia="Times New Roman" w:hAnsi="Times New Roman" w:cs="Times New Roman"/>
          <w:lang w:val="en-GB"/>
        </w:rPr>
        <w:t>the subject of research that criticises precisely this lack of adaptability to the reality of migration. As Moya quips, 'political rhetoric,</w:t>
      </w:r>
      <w:r w:rsidRPr="008333C4">
        <w:rPr>
          <w:rFonts w:ascii="Times New Roman" w:eastAsia="Times New Roman" w:hAnsi="Times New Roman" w:cs="Times New Roman"/>
          <w:lang w:val="en-GB"/>
        </w:rPr>
        <w:t xml:space="preserve"> like bananas, is sometimes just that, and migration clearly obeyed mightier laws than those produced in national legislatures'.</w:t>
      </w:r>
      <w:r>
        <w:rPr>
          <w:rFonts w:ascii="Times New Roman" w:eastAsia="AvenirNext-Regular" w:hAnsi="Times New Roman" w:cs="Times New Roman"/>
          <w:vertAlign w:val="superscript"/>
          <w:lang w:val="en-GB"/>
        </w:rPr>
        <w:footnoteReference w:id="4"/>
      </w:r>
    </w:p>
    <w:sectPr w:rsidR="003F1554" w:rsidRPr="008333C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C4DA9" w14:textId="77777777" w:rsidR="00644983" w:rsidRDefault="00644983">
      <w:r>
        <w:separator/>
      </w:r>
    </w:p>
  </w:endnote>
  <w:endnote w:type="continuationSeparator" w:id="0">
    <w:p w14:paraId="38481396" w14:textId="77777777" w:rsidR="00644983" w:rsidRDefault="0064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IowanOldStyle-Roman">
    <w:altName w:val="Iowan Old Style Roman"/>
    <w:panose1 w:val="02040602040506020204"/>
    <w:charset w:val="4D"/>
    <w:family w:val="roman"/>
    <w:pitch w:val="variable"/>
    <w:sig w:usb0="A00000EF" w:usb1="400020CB" w:usb2="00000000" w:usb3="00000000" w:csb0="00000093" w:csb1="00000000"/>
  </w:font>
  <w:font w:name="AvenirNext-Regular">
    <w:altName w:val="Avenir Next Regular"/>
    <w:panose1 w:val="020B0503020202020204"/>
    <w:charset w:val="00"/>
    <w:family w:val="swiss"/>
    <w:pitch w:val="variable"/>
    <w:sig w:usb0="8000002F" w:usb1="5000204A" w:usb2="00000000" w:usb3="00000000" w:csb0="0000009B" w:csb1="00000000"/>
  </w:font>
  <w:font w:name="AvenirNext-Bold">
    <w:altName w:val="Avenir Next Bold"/>
    <w:panose1 w:val="020B0803020202020204"/>
    <w:charset w:val="00"/>
    <w:family w:val="swiss"/>
    <w:pitch w:val="variable"/>
    <w:sig w:usb0="8000002F" w:usb1="5000204A" w:usb2="00000000" w:usb3="00000000" w:csb0="0000009B" w:csb1="00000000"/>
  </w:font>
  <w:font w:name="TrebuchetMS">
    <w:altName w:val="Trebuchet MS"/>
    <w:panose1 w:val="020B0603020202020204"/>
    <w:charset w:val="00"/>
    <w:family w:val="swiss"/>
    <w:pitch w:val="variable"/>
    <w:sig w:usb0="00000287" w:usb1="00000000" w:usb2="00000000" w:usb3="00000000" w:csb0="0000009F" w:csb1="00000000"/>
  </w:font>
  <w:font w:name="TrebuchetMS-Italic">
    <w:altName w:val="Calibri"/>
    <w:panose1 w:val="020B060302020209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B12FE" w14:textId="77777777" w:rsidR="00644983" w:rsidRDefault="00644983" w:rsidP="00C878C7">
      <w:r>
        <w:separator/>
      </w:r>
    </w:p>
  </w:footnote>
  <w:footnote w:type="continuationSeparator" w:id="0">
    <w:p w14:paraId="5C4394C9" w14:textId="77777777" w:rsidR="00644983" w:rsidRDefault="00644983" w:rsidP="00C878C7">
      <w:r>
        <w:continuationSeparator/>
      </w:r>
    </w:p>
  </w:footnote>
  <w:footnote w:id="1">
    <w:p w14:paraId="1DCCF400" w14:textId="77777777" w:rsidR="00762F5E" w:rsidRPr="00756B20" w:rsidRDefault="00762F5E" w:rsidP="00762F5E">
      <w:pPr>
        <w:pStyle w:val="Footnote"/>
        <w:spacing w:beforeLines="50" w:before="120" w:afterLines="50" w:after="120"/>
        <w:jc w:val="both"/>
        <w:rPr>
          <w:rFonts w:ascii="Times New Roman" w:eastAsia="AvenirNext-Regular" w:hAnsi="Times New Roman" w:cs="Times New Roman"/>
        </w:rPr>
      </w:pPr>
      <w:r w:rsidRPr="00756B20">
        <w:rPr>
          <w:rFonts w:ascii="Times New Roman" w:hAnsi="Times New Roman" w:cs="Times New Roman"/>
          <w:vertAlign w:val="superscript"/>
        </w:rPr>
        <w:footnoteRef/>
      </w:r>
      <w:r w:rsidRPr="00756B20">
        <w:rPr>
          <w:rFonts w:ascii="Times New Roman" w:hAnsi="Times New Roman" w:cs="Times New Roman"/>
        </w:rPr>
        <w:t xml:space="preserve"> </w:t>
      </w:r>
      <w:r w:rsidRPr="00756B20">
        <w:rPr>
          <w:rFonts w:ascii="Times New Roman" w:eastAsia="TrebuchetMS" w:hAnsi="Times New Roman" w:cs="Times New Roman"/>
        </w:rPr>
        <w:t xml:space="preserve">F. Fukuyama, </w:t>
      </w:r>
      <w:r w:rsidRPr="00756B20">
        <w:rPr>
          <w:rFonts w:ascii="Times New Roman" w:eastAsia="TrebuchetMS-Italic" w:hAnsi="Times New Roman" w:cs="Times New Roman"/>
          <w:i/>
        </w:rPr>
        <w:t>The Origins of Political Order: From Prehuman Times to the French Revolution</w:t>
      </w:r>
      <w:r w:rsidRPr="00756B20">
        <w:rPr>
          <w:rFonts w:ascii="Times New Roman" w:eastAsia="TrebuchetMS" w:hAnsi="Times New Roman" w:cs="Times New Roman"/>
        </w:rPr>
        <w:t xml:space="preserve"> (New York 2011), 7.</w:t>
      </w:r>
    </w:p>
  </w:footnote>
  <w:footnote w:id="2">
    <w:p w14:paraId="7B311CA4" w14:textId="65BEDFE6" w:rsidR="00C878C7" w:rsidRPr="00984646" w:rsidRDefault="00644983" w:rsidP="00C878C7">
      <w:pPr>
        <w:pStyle w:val="Footnote"/>
        <w:spacing w:beforeLines="50" w:before="120" w:afterLines="50" w:after="120"/>
        <w:jc w:val="both"/>
        <w:rPr>
          <w:rFonts w:ascii="Times New Roman" w:eastAsia="AvenirNext-Regular" w:hAnsi="Times New Roman" w:cs="Times New Roman"/>
          <w:lang w:val="en-GB"/>
        </w:rPr>
      </w:pPr>
      <w:r w:rsidRPr="00984646">
        <w:rPr>
          <w:rFonts w:ascii="Times New Roman" w:hAnsi="Times New Roman" w:cs="Times New Roman"/>
          <w:vertAlign w:val="superscript"/>
          <w:lang w:val="en-GB"/>
        </w:rPr>
        <w:footnoteRef/>
      </w:r>
      <w:r w:rsidRPr="00984646">
        <w:rPr>
          <w:rFonts w:ascii="Times New Roman" w:eastAsia="Times New Roman" w:hAnsi="Times New Roman" w:cs="Times New Roman"/>
          <w:lang w:val="en-GB"/>
        </w:rPr>
        <w:t xml:space="preserve"> F. Fukuyama, </w:t>
      </w:r>
      <w:r w:rsidRPr="00984646">
        <w:rPr>
          <w:rFonts w:ascii="Times New Roman" w:eastAsia="Times New Roman" w:hAnsi="Times New Roman" w:cs="Times New Roman"/>
          <w:i/>
          <w:iCs/>
          <w:lang w:val="en-GB"/>
        </w:rPr>
        <w:t>Political Order and Political Decay: From the Industrial Revolution to the Globalization of Democracy</w:t>
      </w:r>
      <w:r w:rsidRPr="00984646">
        <w:rPr>
          <w:rFonts w:ascii="Times New Roman" w:eastAsia="Times New Roman" w:hAnsi="Times New Roman" w:cs="Times New Roman"/>
          <w:lang w:val="en-GB"/>
        </w:rPr>
        <w:t xml:space="preserve"> (New York 2014), 27. This </w:t>
      </w:r>
      <w:r w:rsidR="003009D1">
        <w:rPr>
          <w:rFonts w:ascii="Times New Roman" w:eastAsia="Times New Roman" w:hAnsi="Times New Roman" w:cs="Times New Roman"/>
          <w:lang w:val="en-GB"/>
        </w:rPr>
        <w:t>work</w:t>
      </w:r>
      <w:r w:rsidRPr="00984646">
        <w:rPr>
          <w:rFonts w:ascii="Times New Roman" w:eastAsia="Times New Roman" w:hAnsi="Times New Roman" w:cs="Times New Roman"/>
          <w:lang w:val="en-GB"/>
        </w:rPr>
        <w:t xml:space="preserve"> is a continuation of </w:t>
      </w:r>
      <w:r w:rsidR="00D1366F">
        <w:rPr>
          <w:rFonts w:ascii="Times New Roman" w:eastAsia="Times New Roman" w:hAnsi="Times New Roman" w:cs="Times New Roman"/>
          <w:lang w:val="en-GB"/>
        </w:rPr>
        <w:t xml:space="preserve">the </w:t>
      </w:r>
      <w:r w:rsidR="003009D1">
        <w:rPr>
          <w:rFonts w:ascii="Times New Roman" w:eastAsia="Times New Roman" w:hAnsi="Times New Roman" w:cs="Times New Roman"/>
          <w:lang w:val="en-GB"/>
        </w:rPr>
        <w:t>volume</w:t>
      </w:r>
      <w:r w:rsidR="00D1366F">
        <w:rPr>
          <w:rFonts w:ascii="Times New Roman" w:eastAsia="Times New Roman" w:hAnsi="Times New Roman" w:cs="Times New Roman"/>
          <w:lang w:val="en-GB"/>
        </w:rPr>
        <w:t xml:space="preserve"> cited above</w:t>
      </w:r>
      <w:r w:rsidRPr="00984646">
        <w:rPr>
          <w:rFonts w:ascii="Times New Roman" w:eastAsia="Times New Roman" w:hAnsi="Times New Roman" w:cs="Times New Roman"/>
          <w:lang w:val="en-GB"/>
        </w:rPr>
        <w:t>.</w:t>
      </w:r>
    </w:p>
  </w:footnote>
  <w:footnote w:id="3">
    <w:p w14:paraId="2624C301" w14:textId="77777777" w:rsidR="00C878C7" w:rsidRPr="00984646" w:rsidRDefault="00644983" w:rsidP="00C878C7">
      <w:pPr>
        <w:pStyle w:val="Footnote"/>
        <w:spacing w:beforeLines="50" w:before="120" w:afterLines="50" w:after="120"/>
        <w:jc w:val="both"/>
        <w:rPr>
          <w:rFonts w:ascii="Times New Roman" w:eastAsia="AvenirNext-Regular" w:hAnsi="Times New Roman" w:cs="Times New Roman"/>
          <w:lang w:val="en-GB"/>
        </w:rPr>
      </w:pPr>
      <w:r w:rsidRPr="00984646">
        <w:rPr>
          <w:rFonts w:ascii="Times New Roman" w:hAnsi="Times New Roman" w:cs="Times New Roman"/>
          <w:vertAlign w:val="superscript"/>
          <w:lang w:val="en-GB"/>
        </w:rPr>
        <w:footnoteRef/>
      </w:r>
      <w:r w:rsidRPr="00984646">
        <w:rPr>
          <w:rFonts w:ascii="Times New Roman" w:eastAsia="Times New Roman" w:hAnsi="Times New Roman" w:cs="Times New Roman"/>
          <w:lang w:val="en-GB"/>
        </w:rPr>
        <w:t xml:space="preserve"> B. Zantvoort, ‘Political Inertia and Social Acceleration’, </w:t>
      </w:r>
      <w:r w:rsidRPr="00984646">
        <w:rPr>
          <w:rFonts w:ascii="Times New Roman" w:eastAsia="Times New Roman" w:hAnsi="Times New Roman" w:cs="Times New Roman"/>
          <w:i/>
          <w:iCs/>
          <w:lang w:val="en-GB"/>
        </w:rPr>
        <w:t>Philosophy and Social Criticism</w:t>
      </w:r>
      <w:r w:rsidRPr="00984646">
        <w:rPr>
          <w:rFonts w:ascii="Times New Roman" w:eastAsia="Times New Roman" w:hAnsi="Times New Roman" w:cs="Times New Roman"/>
          <w:lang w:val="en-GB"/>
        </w:rPr>
        <w:t>, 43, 7 (2017), 715. In this case, the author refers to the thorough analysis found in Pierre Bourdieu and the first generation of the Frankfurt School. This article</w:t>
      </w:r>
      <w:r w:rsidRPr="00984646">
        <w:rPr>
          <w:rFonts w:ascii="Times New Roman" w:eastAsia="Times New Roman" w:hAnsi="Times New Roman" w:cs="Times New Roman"/>
          <w:lang w:val="en-GB"/>
        </w:rPr>
        <w:t xml:space="preserve"> focuses on an interesting comparison between Fukuyama’s proposal and the theory of social acceleration outlined by Hartmut Rosa. See H. Rosa, </w:t>
      </w:r>
      <w:r w:rsidRPr="00984646">
        <w:rPr>
          <w:rFonts w:ascii="Times New Roman" w:eastAsia="Times New Roman" w:hAnsi="Times New Roman" w:cs="Times New Roman"/>
          <w:i/>
          <w:iCs/>
          <w:lang w:val="en-GB"/>
        </w:rPr>
        <w:t>Social Acceleration: A New Theory of Modernity</w:t>
      </w:r>
      <w:r w:rsidRPr="00984646">
        <w:rPr>
          <w:rFonts w:ascii="Times New Roman" w:eastAsia="Times New Roman" w:hAnsi="Times New Roman" w:cs="Times New Roman"/>
          <w:lang w:val="en-GB"/>
        </w:rPr>
        <w:t xml:space="preserve"> (New York 2013). For a broader philosophical approach, see B. Zant</w:t>
      </w:r>
      <w:r w:rsidRPr="00984646">
        <w:rPr>
          <w:rFonts w:ascii="Times New Roman" w:eastAsia="Times New Roman" w:hAnsi="Times New Roman" w:cs="Times New Roman"/>
          <w:lang w:val="en-GB"/>
        </w:rPr>
        <w:t xml:space="preserve">voort and R. Comay (eds) </w:t>
      </w:r>
      <w:r w:rsidRPr="00984646">
        <w:rPr>
          <w:rFonts w:ascii="Times New Roman" w:eastAsia="Times New Roman" w:hAnsi="Times New Roman" w:cs="Times New Roman"/>
          <w:i/>
          <w:iCs/>
          <w:lang w:val="en-GB"/>
        </w:rPr>
        <w:t>Hegel and Resistance: History, Politics and Dialectics</w:t>
      </w:r>
      <w:r w:rsidRPr="00984646">
        <w:rPr>
          <w:rFonts w:ascii="Times New Roman" w:eastAsia="Times New Roman" w:hAnsi="Times New Roman" w:cs="Times New Roman"/>
          <w:lang w:val="en-GB"/>
        </w:rPr>
        <w:t xml:space="preserve"> (London 2019).</w:t>
      </w:r>
    </w:p>
  </w:footnote>
  <w:footnote w:id="4">
    <w:p w14:paraId="6B59C7EA" w14:textId="77777777" w:rsidR="00C878C7" w:rsidRPr="00984646" w:rsidRDefault="00644983" w:rsidP="00C878C7">
      <w:pPr>
        <w:pStyle w:val="Footnote"/>
        <w:spacing w:beforeLines="50" w:before="120" w:afterLines="50" w:after="120"/>
        <w:jc w:val="both"/>
        <w:rPr>
          <w:rFonts w:ascii="Times New Roman" w:eastAsia="AvenirNext-Regular" w:hAnsi="Times New Roman" w:cs="Times New Roman"/>
          <w:lang w:val="en-GB"/>
        </w:rPr>
      </w:pPr>
      <w:r w:rsidRPr="00984646">
        <w:rPr>
          <w:rFonts w:ascii="Times New Roman" w:hAnsi="Times New Roman" w:cs="Times New Roman"/>
          <w:vertAlign w:val="superscript"/>
          <w:lang w:val="en-GB"/>
        </w:rPr>
        <w:footnoteRef/>
      </w:r>
      <w:r w:rsidRPr="00984646">
        <w:rPr>
          <w:rFonts w:ascii="Times New Roman" w:eastAsia="Times New Roman" w:hAnsi="Times New Roman" w:cs="Times New Roman"/>
          <w:lang w:val="en-GB"/>
        </w:rPr>
        <w:t xml:space="preserve"> J.C. Moya, ‘A Continent of Immigrants: Postcolonial Shifts in the Western Hemisphere’, </w:t>
      </w:r>
      <w:r w:rsidRPr="00984646">
        <w:rPr>
          <w:rFonts w:ascii="Times New Roman" w:eastAsia="Times New Roman" w:hAnsi="Times New Roman" w:cs="Times New Roman"/>
          <w:i/>
          <w:iCs/>
          <w:lang w:val="en-GB"/>
        </w:rPr>
        <w:t>Hispanic American Historical Review</w:t>
      </w:r>
      <w:r w:rsidRPr="00984646">
        <w:rPr>
          <w:rFonts w:ascii="Times New Roman" w:eastAsia="Times New Roman" w:hAnsi="Times New Roman" w:cs="Times New Roman"/>
          <w:lang w:val="en-GB"/>
        </w:rPr>
        <w:t>, 86, 1 (2006),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removePersonalInformation/>
  <w:removeDateAndTime/>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C7"/>
    <w:rsid w:val="00004A39"/>
    <w:rsid w:val="000124EA"/>
    <w:rsid w:val="003009D1"/>
    <w:rsid w:val="00385B8C"/>
    <w:rsid w:val="003F1554"/>
    <w:rsid w:val="00503316"/>
    <w:rsid w:val="00584467"/>
    <w:rsid w:val="00622E00"/>
    <w:rsid w:val="00644983"/>
    <w:rsid w:val="00674BCE"/>
    <w:rsid w:val="00762F5E"/>
    <w:rsid w:val="008333C4"/>
    <w:rsid w:val="00984646"/>
    <w:rsid w:val="00C878C7"/>
    <w:rsid w:val="00C9530F"/>
    <w:rsid w:val="00D1366F"/>
    <w:rsid w:val="00DE109D"/>
    <w:rsid w:val="00EA3159"/>
    <w:rsid w:val="00EE7279"/>
  </w:rsids>
  <m:mathPr>
    <m:mathFont m:val="Cambria Math"/>
    <m:brkBin m:val="before"/>
    <m:brkBinSub m:val="--"/>
    <m:smallFrac m:val="0"/>
    <m:dispDef/>
    <m:lMargin m:val="0"/>
    <m:rMargin m:val="0"/>
    <m:defJc m:val="centerGroup"/>
    <m:wrapIndent m:val="1440"/>
    <m:intLim m:val="subSup"/>
    <m:naryLim m:val="undOvr"/>
  </m:mathPr>
  <w:themeFontLang w:val="en-E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764B2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E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8C7"/>
    <w:rPr>
      <w:rFonts w:eastAsiaTheme="minorHAnsi"/>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quearcita">
    <w:name w:val="Bloquear cita"/>
    <w:uiPriority w:val="99"/>
    <w:rsid w:val="00C878C7"/>
    <w:pPr>
      <w:widowControl w:val="0"/>
      <w:tabs>
        <w:tab w:val="left" w:pos="720"/>
        <w:tab w:val="left" w:pos="1080"/>
        <w:tab w:val="left" w:pos="1440"/>
      </w:tabs>
      <w:autoSpaceDE w:val="0"/>
      <w:autoSpaceDN w:val="0"/>
      <w:adjustRightInd w:val="0"/>
      <w:spacing w:before="110" w:after="110" w:line="264" w:lineRule="auto"/>
      <w:ind w:left="720"/>
    </w:pPr>
    <w:rPr>
      <w:rFonts w:eastAsia="IowanOldStyle-Roman"/>
      <w:sz w:val="22"/>
      <w:szCs w:val="20"/>
      <w:lang w:val="en-US" w:eastAsia="en-US"/>
    </w:rPr>
  </w:style>
  <w:style w:type="paragraph" w:customStyle="1" w:styleId="Footnote">
    <w:name w:val="Footnote"/>
    <w:uiPriority w:val="99"/>
    <w:rsid w:val="00C878C7"/>
    <w:pPr>
      <w:widowControl w:val="0"/>
      <w:autoSpaceDE w:val="0"/>
      <w:autoSpaceDN w:val="0"/>
      <w:adjustRightInd w:val="0"/>
    </w:pPr>
    <w:rPr>
      <w:rFonts w:eastAsia="IowanOldStyle-Roman"/>
      <w:sz w:val="20"/>
      <w:szCs w:val="20"/>
      <w:lang w:val="en-US" w:eastAsia="en-US"/>
    </w:rPr>
  </w:style>
  <w:style w:type="paragraph" w:styleId="Quote">
    <w:name w:val="Quote"/>
    <w:basedOn w:val="Bloquearcita"/>
    <w:next w:val="Normal"/>
    <w:link w:val="QuoteChar"/>
    <w:uiPriority w:val="29"/>
    <w:qFormat/>
    <w:rsid w:val="00762F5E"/>
    <w:pPr>
      <w:spacing w:line="276" w:lineRule="auto"/>
      <w:jc w:val="both"/>
    </w:pPr>
    <w:rPr>
      <w:rFonts w:ascii="Times New Roman" w:eastAsia="AvenirNext-Regular" w:hAnsi="Times New Roman" w:cs="Times New Roman"/>
      <w:sz w:val="20"/>
    </w:rPr>
  </w:style>
  <w:style w:type="character" w:customStyle="1" w:styleId="QuoteChar">
    <w:name w:val="Quote Char"/>
    <w:basedOn w:val="DefaultParagraphFont"/>
    <w:link w:val="Quote"/>
    <w:uiPriority w:val="29"/>
    <w:rsid w:val="00762F5E"/>
    <w:rPr>
      <w:rFonts w:ascii="Times New Roman" w:eastAsia="AvenirNext-Regular"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2284</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2021-05-07T09:08:00Z</dcterms:created>
  <dcterms:modified xsi:type="dcterms:W3CDTF">2021-05-07T09:08:00Z</dcterms:modified>
</cp:coreProperties>
</file>