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439E0" w14:textId="77777777" w:rsidR="00497B7D" w:rsidRPr="004462AB" w:rsidRDefault="00497B7D" w:rsidP="00346CA5">
      <w:pPr>
        <w:rPr>
          <w:rFonts w:ascii="Times New Roman" w:hAnsi="Times New Roman" w:cs="Times New Roman"/>
          <w:sz w:val="24"/>
          <w:szCs w:val="24"/>
          <w:lang w:val="en-US"/>
        </w:rPr>
      </w:pPr>
    </w:p>
    <w:p w14:paraId="36BCFCB3" w14:textId="77777777" w:rsidR="00497B7D" w:rsidRPr="000B4E2C" w:rsidRDefault="00497B7D" w:rsidP="00346CA5">
      <w:pPr>
        <w:jc w:val="center"/>
        <w:rPr>
          <w:rFonts w:ascii="Times New Roman" w:hAnsi="Times New Roman" w:cs="Times New Roman"/>
          <w:sz w:val="36"/>
          <w:szCs w:val="36"/>
        </w:rPr>
      </w:pPr>
      <w:r w:rsidRPr="000B4E2C">
        <w:rPr>
          <w:rFonts w:ascii="Times New Roman" w:hAnsi="Times New Roman" w:cs="Times New Roman"/>
          <w:sz w:val="36"/>
          <w:szCs w:val="36"/>
        </w:rPr>
        <w:t xml:space="preserve">GOLDSMITHS </w:t>
      </w:r>
    </w:p>
    <w:p w14:paraId="0B372CF5" w14:textId="77777777" w:rsidR="00497B7D" w:rsidRPr="000B4E2C" w:rsidRDefault="00497B7D" w:rsidP="00346CA5">
      <w:pPr>
        <w:jc w:val="center"/>
        <w:rPr>
          <w:rFonts w:ascii="Times New Roman" w:hAnsi="Times New Roman" w:cs="Times New Roman"/>
          <w:sz w:val="36"/>
          <w:szCs w:val="36"/>
        </w:rPr>
      </w:pPr>
      <w:r w:rsidRPr="000B4E2C">
        <w:rPr>
          <w:rFonts w:ascii="Times New Roman" w:hAnsi="Times New Roman" w:cs="Times New Roman"/>
          <w:sz w:val="36"/>
          <w:szCs w:val="36"/>
        </w:rPr>
        <w:t>UNIVERSITY OF LONDON</w:t>
      </w:r>
    </w:p>
    <w:p w14:paraId="5EC462E2" w14:textId="77777777" w:rsidR="00497B7D" w:rsidRPr="009B5102" w:rsidRDefault="00497B7D" w:rsidP="00346CA5">
      <w:pPr>
        <w:spacing w:line="360" w:lineRule="auto"/>
        <w:jc w:val="center"/>
        <w:rPr>
          <w:rFonts w:ascii="Times New Roman" w:hAnsi="Times New Roman" w:cs="Times New Roman"/>
          <w:b/>
          <w:sz w:val="24"/>
          <w:szCs w:val="24"/>
        </w:rPr>
      </w:pPr>
    </w:p>
    <w:p w14:paraId="2F125490" w14:textId="77777777" w:rsidR="00497B7D" w:rsidRPr="007C3D7D" w:rsidRDefault="00497B7D" w:rsidP="00346CA5">
      <w:pPr>
        <w:spacing w:line="360" w:lineRule="auto"/>
        <w:jc w:val="center"/>
        <w:rPr>
          <w:rFonts w:ascii="Times New Roman" w:hAnsi="Times New Roman" w:cs="Times New Roman"/>
          <w:b/>
          <w:sz w:val="44"/>
          <w:szCs w:val="44"/>
        </w:rPr>
      </w:pPr>
      <w:r w:rsidRPr="007C3D7D">
        <w:rPr>
          <w:rFonts w:ascii="Times New Roman" w:hAnsi="Times New Roman" w:cs="Times New Roman"/>
          <w:b/>
          <w:sz w:val="44"/>
          <w:szCs w:val="44"/>
        </w:rPr>
        <w:t>Branded Reality</w:t>
      </w:r>
    </w:p>
    <w:p w14:paraId="6D42F7B2" w14:textId="77777777" w:rsidR="00497B7D" w:rsidRPr="000B4E2C" w:rsidRDefault="00497B7D" w:rsidP="00346CA5">
      <w:pPr>
        <w:spacing w:line="360" w:lineRule="auto"/>
        <w:jc w:val="center"/>
        <w:rPr>
          <w:rFonts w:ascii="Times New Roman" w:hAnsi="Times New Roman" w:cs="Times New Roman"/>
          <w:b/>
          <w:sz w:val="44"/>
          <w:szCs w:val="44"/>
        </w:rPr>
      </w:pPr>
      <w:r w:rsidRPr="000B4E2C">
        <w:rPr>
          <w:rFonts w:ascii="Times New Roman" w:hAnsi="Times New Roman" w:cs="Times New Roman"/>
          <w:b/>
          <w:sz w:val="44"/>
          <w:szCs w:val="44"/>
        </w:rPr>
        <w:t>The Rise of Embedded Branding (</w:t>
      </w:r>
      <w:r>
        <w:rPr>
          <w:rFonts w:ascii="Times New Roman" w:hAnsi="Times New Roman" w:cs="Times New Roman"/>
          <w:b/>
          <w:sz w:val="44"/>
          <w:szCs w:val="44"/>
        </w:rPr>
        <w:t>‘</w:t>
      </w:r>
      <w:r w:rsidRPr="000B4E2C">
        <w:rPr>
          <w:rFonts w:ascii="Times New Roman" w:hAnsi="Times New Roman" w:cs="Times New Roman"/>
          <w:b/>
          <w:sz w:val="44"/>
          <w:szCs w:val="44"/>
        </w:rPr>
        <w:t>Branded Content</w:t>
      </w:r>
      <w:r>
        <w:rPr>
          <w:rFonts w:ascii="Times New Roman" w:hAnsi="Times New Roman" w:cs="Times New Roman"/>
          <w:b/>
          <w:sz w:val="44"/>
          <w:szCs w:val="44"/>
        </w:rPr>
        <w:t>’</w:t>
      </w:r>
      <w:r w:rsidRPr="000B4E2C">
        <w:rPr>
          <w:rFonts w:ascii="Times New Roman" w:hAnsi="Times New Roman" w:cs="Times New Roman"/>
          <w:b/>
          <w:sz w:val="44"/>
          <w:szCs w:val="44"/>
        </w:rPr>
        <w:t>): Implications for the Cultural Public Sphere</w:t>
      </w:r>
    </w:p>
    <w:p w14:paraId="3D254A45" w14:textId="77777777" w:rsidR="00497B7D" w:rsidRPr="009B5102" w:rsidRDefault="00497B7D" w:rsidP="00346CA5">
      <w:pPr>
        <w:rPr>
          <w:rFonts w:ascii="Times New Roman" w:hAnsi="Times New Roman" w:cs="Times New Roman"/>
          <w:sz w:val="24"/>
          <w:szCs w:val="24"/>
        </w:rPr>
      </w:pPr>
    </w:p>
    <w:p w14:paraId="5A9F1467" w14:textId="77777777" w:rsidR="00497B7D" w:rsidRPr="000B4E2C" w:rsidRDefault="00497B7D" w:rsidP="00346CA5">
      <w:pPr>
        <w:jc w:val="center"/>
        <w:rPr>
          <w:rFonts w:ascii="Times New Roman" w:hAnsi="Times New Roman" w:cs="Times New Roman"/>
          <w:sz w:val="28"/>
          <w:szCs w:val="28"/>
        </w:rPr>
      </w:pPr>
      <w:r w:rsidRPr="000B4E2C">
        <w:rPr>
          <w:rFonts w:ascii="Times New Roman" w:hAnsi="Times New Roman" w:cs="Times New Roman"/>
          <w:sz w:val="28"/>
          <w:szCs w:val="28"/>
        </w:rPr>
        <w:t>Thesis submitted for the degree of</w:t>
      </w:r>
    </w:p>
    <w:p w14:paraId="23DE9D5E" w14:textId="77777777" w:rsidR="00497B7D" w:rsidRPr="000B4E2C" w:rsidRDefault="00497B7D" w:rsidP="00346CA5">
      <w:pPr>
        <w:jc w:val="center"/>
        <w:rPr>
          <w:rFonts w:ascii="Times New Roman" w:hAnsi="Times New Roman" w:cs="Times New Roman"/>
          <w:sz w:val="28"/>
          <w:szCs w:val="28"/>
        </w:rPr>
      </w:pPr>
      <w:r w:rsidRPr="000B4E2C">
        <w:rPr>
          <w:rFonts w:ascii="Times New Roman" w:hAnsi="Times New Roman" w:cs="Times New Roman"/>
          <w:sz w:val="28"/>
          <w:szCs w:val="28"/>
        </w:rPr>
        <w:t>PhD in Media and Communications</w:t>
      </w:r>
    </w:p>
    <w:p w14:paraId="2E47F2D8" w14:textId="3EAFDB01" w:rsidR="00497B7D" w:rsidRPr="000B4E2C" w:rsidRDefault="00CD1F95" w:rsidP="00346CA5">
      <w:pPr>
        <w:jc w:val="center"/>
        <w:rPr>
          <w:rFonts w:ascii="Times New Roman" w:hAnsi="Times New Roman" w:cs="Times New Roman"/>
          <w:sz w:val="28"/>
          <w:szCs w:val="28"/>
        </w:rPr>
      </w:pPr>
      <w:r w:rsidRPr="000B4E2C">
        <w:rPr>
          <w:rFonts w:ascii="Times New Roman" w:hAnsi="Times New Roman" w:cs="Times New Roman"/>
          <w:sz w:val="28"/>
          <w:szCs w:val="28"/>
        </w:rPr>
        <w:t>By</w:t>
      </w:r>
    </w:p>
    <w:p w14:paraId="193C1E30" w14:textId="77777777" w:rsidR="00497B7D" w:rsidRPr="009B5102" w:rsidRDefault="00497B7D" w:rsidP="00346CA5">
      <w:pPr>
        <w:rPr>
          <w:rFonts w:ascii="Times New Roman" w:hAnsi="Times New Roman" w:cs="Times New Roman"/>
          <w:sz w:val="24"/>
          <w:szCs w:val="24"/>
        </w:rPr>
      </w:pPr>
    </w:p>
    <w:p w14:paraId="325EE97C" w14:textId="77777777" w:rsidR="00497B7D" w:rsidRPr="000B4E2C" w:rsidRDefault="00497B7D" w:rsidP="00346CA5">
      <w:pPr>
        <w:jc w:val="center"/>
        <w:rPr>
          <w:rFonts w:ascii="Times New Roman" w:hAnsi="Times New Roman" w:cs="Times New Roman"/>
          <w:b/>
          <w:bCs/>
          <w:sz w:val="36"/>
          <w:szCs w:val="36"/>
        </w:rPr>
      </w:pPr>
      <w:r w:rsidRPr="000B4E2C">
        <w:rPr>
          <w:rFonts w:ascii="Times New Roman" w:hAnsi="Times New Roman" w:cs="Times New Roman"/>
          <w:b/>
          <w:bCs/>
          <w:sz w:val="36"/>
          <w:szCs w:val="36"/>
        </w:rPr>
        <w:t>Anat Balint</w:t>
      </w:r>
    </w:p>
    <w:p w14:paraId="7E300FE9" w14:textId="77777777" w:rsidR="00497B7D" w:rsidRPr="009B5102" w:rsidRDefault="00497B7D" w:rsidP="00346CA5">
      <w:pPr>
        <w:rPr>
          <w:rFonts w:ascii="Times New Roman" w:hAnsi="Times New Roman" w:cs="Times New Roman"/>
          <w:sz w:val="24"/>
          <w:szCs w:val="24"/>
        </w:rPr>
      </w:pPr>
    </w:p>
    <w:p w14:paraId="14DF63FE" w14:textId="77777777" w:rsidR="00497B7D" w:rsidRPr="009B5102" w:rsidRDefault="00497B7D" w:rsidP="00346CA5">
      <w:pPr>
        <w:rPr>
          <w:rFonts w:ascii="Times New Roman" w:hAnsi="Times New Roman" w:cs="Times New Roman"/>
          <w:sz w:val="24"/>
          <w:szCs w:val="24"/>
        </w:rPr>
      </w:pPr>
      <w:r w:rsidRPr="009B5102">
        <w:rPr>
          <w:rFonts w:ascii="Times New Roman" w:hAnsi="Times New Roman" w:cs="Times New Roman"/>
          <w:sz w:val="24"/>
          <w:szCs w:val="24"/>
        </w:rPr>
        <w:br w:type="page"/>
      </w:r>
    </w:p>
    <w:p w14:paraId="3C148913" w14:textId="77777777" w:rsidR="00497B7D" w:rsidRPr="000B4E2C" w:rsidRDefault="00497B7D" w:rsidP="009962EC">
      <w:pPr>
        <w:pStyle w:val="Heading1"/>
      </w:pPr>
      <w:bookmarkStart w:id="0" w:name="_Toc445202618"/>
      <w:r w:rsidRPr="000B4E2C">
        <w:lastRenderedPageBreak/>
        <w:t>Abstract</w:t>
      </w:r>
      <w:bookmarkEnd w:id="0"/>
    </w:p>
    <w:p w14:paraId="7ADB8407"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This thesis explores the rise of </w:t>
      </w:r>
      <w:r>
        <w:rPr>
          <w:rFonts w:ascii="Times New Roman" w:hAnsi="Times New Roman" w:cs="Times New Roman"/>
          <w:sz w:val="24"/>
          <w:szCs w:val="24"/>
        </w:rPr>
        <w:t>embedded branding (</w:t>
      </w:r>
      <w:r w:rsidRPr="009B5102">
        <w:rPr>
          <w:rFonts w:ascii="Times New Roman" w:hAnsi="Times New Roman" w:cs="Times New Roman"/>
          <w:sz w:val="24"/>
          <w:szCs w:val="24"/>
        </w:rPr>
        <w:t>‘branded content’</w:t>
      </w:r>
      <w:r>
        <w:rPr>
          <w:rFonts w:ascii="Times New Roman" w:hAnsi="Times New Roman" w:cs="Times New Roman"/>
          <w:sz w:val="24"/>
          <w:szCs w:val="24"/>
        </w:rPr>
        <w:t>)</w:t>
      </w:r>
      <w:r w:rsidRPr="009B5102">
        <w:rPr>
          <w:rFonts w:ascii="Times New Roman" w:hAnsi="Times New Roman" w:cs="Times New Roman"/>
          <w:sz w:val="24"/>
          <w:szCs w:val="24"/>
        </w:rPr>
        <w:t xml:space="preserve"> since the early 2000s, a funding model in which sponsors are integrated into media content. It examines its implications for the functioning of the media as a cultural public sphere. Located within the political economy approach, the research takes a critical perspective, arguing that ‘branded content’ is, in Habermasian terms, an act of manipulation. </w:t>
      </w:r>
    </w:p>
    <w:p w14:paraId="5264F07C" w14:textId="5A7702E6" w:rsidR="00497B7D" w:rsidRPr="009B5102" w:rsidRDefault="00497B7D" w:rsidP="00F504C4">
      <w:pPr>
        <w:spacing w:line="360" w:lineRule="auto"/>
        <w:rPr>
          <w:rFonts w:ascii="Times New Roman" w:hAnsi="Times New Roman" w:cs="Times New Roman"/>
          <w:sz w:val="24"/>
          <w:szCs w:val="24"/>
        </w:rPr>
      </w:pPr>
      <w:r w:rsidRPr="009B5102">
        <w:rPr>
          <w:rFonts w:ascii="Times New Roman" w:hAnsi="Times New Roman" w:cs="Times New Roman"/>
          <w:sz w:val="24"/>
          <w:szCs w:val="24"/>
        </w:rPr>
        <w:t>Two case studies of British and Israeli reality television shows were used to explore three questions: 1. How does the ‘branded content’ market work? 2. Are we witnessing a new phase of content commercialisation and if so, what are its characteristics? 3. What are the implications for the media’s functioning as a cultural public sphere</w:t>
      </w:r>
      <w:r w:rsidR="00F504C4">
        <w:rPr>
          <w:rFonts w:ascii="Times New Roman" w:hAnsi="Times New Roman" w:cs="Times New Roman"/>
          <w:sz w:val="24"/>
          <w:szCs w:val="24"/>
        </w:rPr>
        <w:t xml:space="preserve"> and, consequently, how should regulators and policy makers cope with the phenomenon</w:t>
      </w:r>
      <w:r w:rsidRPr="009B5102">
        <w:rPr>
          <w:rFonts w:ascii="Times New Roman" w:hAnsi="Times New Roman" w:cs="Times New Roman"/>
          <w:sz w:val="24"/>
          <w:szCs w:val="24"/>
        </w:rPr>
        <w:t xml:space="preserve">? </w:t>
      </w:r>
    </w:p>
    <w:p w14:paraId="056AAD47"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findings uncover a niche market in which branded content agents facilitate formal agreements between sponsors and producers. As both sides have the need to look for alternative funding models in a growingly fragmented reality, these co-operations typically start as ‘synergetic’, however their implementation often becomes rife with conflict.  </w:t>
      </w:r>
    </w:p>
    <w:p w14:paraId="6886234E"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data further suggests sponsors influence media content in two key ways. First, through ‘deep integration’: brands appearing through abstract and surreptitious representations in programming (rather than ‘classic’ product placement). Second, through ‘continuous integration’: the tendency of these agreements to encompass multiple platforms, and predominantly the Internet, which enables personal data collection. Embedded branding therefore should be seen as a new commercialisation phase, typical of the digital age, in which brands gain omnipresence in the cultural public sphere. </w:t>
      </w:r>
    </w:p>
    <w:p w14:paraId="7D054F1C"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two main potential harms caused by these developments are first, the saturation of the media with manipulative messages by sponsors, which distorts the editorial process and threatens freedom of expression. The second relates to the gradual loss of audience trust in the media as a platform for public debate, which is the gravest threat ‘branded content’ presents to the role of the media in democracies. </w:t>
      </w:r>
    </w:p>
    <w:p w14:paraId="4FB8D4F7" w14:textId="13277CDA"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lastRenderedPageBreak/>
        <w:t xml:space="preserve">          </w:t>
      </w:r>
    </w:p>
    <w:sdt>
      <w:sdtPr>
        <w:rPr>
          <w:rFonts w:asciiTheme="minorHAnsi" w:eastAsiaTheme="minorHAnsi" w:hAnsiTheme="minorHAnsi" w:cstheme="minorBidi"/>
          <w:color w:val="auto"/>
          <w:sz w:val="22"/>
          <w:szCs w:val="22"/>
          <w:lang w:val="en-GB" w:bidi="he-IL"/>
        </w:rPr>
        <w:id w:val="835880158"/>
        <w:docPartObj>
          <w:docPartGallery w:val="Table of Contents"/>
          <w:docPartUnique/>
        </w:docPartObj>
      </w:sdtPr>
      <w:sdtEndPr>
        <w:rPr>
          <w:rFonts w:asciiTheme="majorBidi" w:hAnsiTheme="majorBidi" w:cstheme="majorBidi"/>
          <w:b/>
          <w:bCs/>
          <w:noProof/>
          <w:sz w:val="24"/>
          <w:szCs w:val="24"/>
        </w:rPr>
      </w:sdtEndPr>
      <w:sdtContent>
        <w:p w14:paraId="00CEE1E0" w14:textId="77777777" w:rsidR="00497B7D" w:rsidRDefault="00497B7D" w:rsidP="00346CA5">
          <w:pPr>
            <w:pStyle w:val="TOCHeading"/>
            <w:jc w:val="center"/>
            <w:rPr>
              <w:rFonts w:ascii="Times New Roman" w:hAnsi="Times New Roman" w:cs="Times New Roman"/>
              <w:b/>
              <w:bCs/>
              <w:color w:val="auto"/>
              <w:sz w:val="44"/>
              <w:szCs w:val="44"/>
            </w:rPr>
          </w:pPr>
          <w:r w:rsidRPr="00D8564F">
            <w:rPr>
              <w:rFonts w:ascii="Times New Roman" w:hAnsi="Times New Roman" w:cs="Times New Roman"/>
              <w:b/>
              <w:bCs/>
              <w:color w:val="auto"/>
              <w:sz w:val="44"/>
              <w:szCs w:val="44"/>
            </w:rPr>
            <w:t>Contents</w:t>
          </w:r>
        </w:p>
        <w:p w14:paraId="1BBBEF32" w14:textId="77777777" w:rsidR="00497B7D" w:rsidRPr="00D5254E" w:rsidRDefault="00497B7D" w:rsidP="00346CA5">
          <w:pPr>
            <w:rPr>
              <w:rFonts w:ascii="Times New Roman" w:hAnsi="Times New Roman" w:cs="Times New Roman"/>
              <w:lang w:val="en-US" w:bidi="ar-SA"/>
            </w:rPr>
          </w:pPr>
        </w:p>
        <w:p w14:paraId="0D64F192" w14:textId="77777777" w:rsidR="00BB5B5A" w:rsidRPr="00D5254E" w:rsidRDefault="008B6373" w:rsidP="00D5254E">
          <w:pPr>
            <w:pStyle w:val="TOC1"/>
            <w:rPr>
              <w:rFonts w:ascii="Times New Roman" w:eastAsiaTheme="minorEastAsia" w:hAnsi="Times New Roman" w:cs="Times New Roman"/>
              <w:noProof/>
              <w:lang w:val="en-US"/>
            </w:rPr>
          </w:pPr>
          <w:r w:rsidRPr="00D5254E">
            <w:rPr>
              <w:rFonts w:ascii="Times New Roman" w:hAnsi="Times New Roman" w:cs="Times New Roman"/>
            </w:rPr>
            <w:fldChar w:fldCharType="begin"/>
          </w:r>
          <w:r w:rsidR="00497B7D" w:rsidRPr="00D5254E">
            <w:rPr>
              <w:rFonts w:ascii="Times New Roman" w:hAnsi="Times New Roman" w:cs="Times New Roman"/>
            </w:rPr>
            <w:instrText xml:space="preserve"> TOC \o "1-3" \h \z \u </w:instrText>
          </w:r>
          <w:r w:rsidRPr="00D5254E">
            <w:rPr>
              <w:rFonts w:ascii="Times New Roman" w:hAnsi="Times New Roman" w:cs="Times New Roman"/>
            </w:rPr>
            <w:fldChar w:fldCharType="separate"/>
          </w:r>
          <w:hyperlink w:anchor="_Toc445202617" w:history="1">
            <w:r w:rsidR="00BB5B5A" w:rsidRPr="00D5254E">
              <w:rPr>
                <w:rStyle w:val="Hyperlink"/>
                <w:rFonts w:ascii="Times New Roman" w:hAnsi="Times New Roman" w:cs="Times New Roman"/>
                <w:b/>
                <w:bCs/>
                <w:noProof/>
                <w:lang w:bidi="ar-SA"/>
              </w:rPr>
              <w:t>Acknowledgments</w:t>
            </w:r>
            <w:r w:rsidR="00BB5B5A" w:rsidRPr="00D5254E">
              <w:rPr>
                <w:rFonts w:ascii="Times New Roman" w:hAnsi="Times New Roman" w:cs="Times New Roman"/>
                <w:noProof/>
                <w:webHidden/>
              </w:rPr>
              <w:tab/>
            </w:r>
            <w:r w:rsidR="00BB5B5A" w:rsidRPr="00D5254E">
              <w:rPr>
                <w:rFonts w:ascii="Times New Roman" w:hAnsi="Times New Roman" w:cs="Times New Roman"/>
                <w:noProof/>
                <w:webHidden/>
              </w:rPr>
              <w:fldChar w:fldCharType="begin"/>
            </w:r>
            <w:r w:rsidR="00BB5B5A" w:rsidRPr="00D5254E">
              <w:rPr>
                <w:rFonts w:ascii="Times New Roman" w:hAnsi="Times New Roman" w:cs="Times New Roman"/>
                <w:noProof/>
                <w:webHidden/>
              </w:rPr>
              <w:instrText xml:space="preserve"> PAGEREF _Toc445202617 \h </w:instrText>
            </w:r>
            <w:r w:rsidR="00BB5B5A" w:rsidRPr="00D5254E">
              <w:rPr>
                <w:rFonts w:ascii="Times New Roman" w:hAnsi="Times New Roman" w:cs="Times New Roman"/>
                <w:noProof/>
                <w:webHidden/>
              </w:rPr>
            </w:r>
            <w:r w:rsidR="00BB5B5A" w:rsidRPr="00D5254E">
              <w:rPr>
                <w:rFonts w:ascii="Times New Roman" w:hAnsi="Times New Roman" w:cs="Times New Roman"/>
                <w:noProof/>
                <w:webHidden/>
              </w:rPr>
              <w:fldChar w:fldCharType="separate"/>
            </w:r>
            <w:r w:rsidR="00C7351B">
              <w:rPr>
                <w:rFonts w:ascii="Times New Roman" w:hAnsi="Times New Roman" w:cs="Times New Roman"/>
                <w:noProof/>
                <w:webHidden/>
              </w:rPr>
              <w:t>1</w:t>
            </w:r>
            <w:r w:rsidR="00BB5B5A" w:rsidRPr="00D5254E">
              <w:rPr>
                <w:rFonts w:ascii="Times New Roman" w:hAnsi="Times New Roman" w:cs="Times New Roman"/>
                <w:noProof/>
                <w:webHidden/>
              </w:rPr>
              <w:fldChar w:fldCharType="end"/>
            </w:r>
          </w:hyperlink>
        </w:p>
        <w:p w14:paraId="749433DF" w14:textId="77777777" w:rsidR="00BB5B5A" w:rsidRPr="00D5254E" w:rsidRDefault="00BB5B5A" w:rsidP="00D5254E">
          <w:pPr>
            <w:pStyle w:val="TOC1"/>
            <w:rPr>
              <w:rFonts w:ascii="Times New Roman" w:eastAsiaTheme="minorEastAsia" w:hAnsi="Times New Roman" w:cs="Times New Roman"/>
              <w:noProof/>
              <w:lang w:val="en-US"/>
            </w:rPr>
          </w:pPr>
          <w:hyperlink w:anchor="_Toc445202618" w:history="1">
            <w:r w:rsidRPr="00D5254E">
              <w:rPr>
                <w:rStyle w:val="Hyperlink"/>
                <w:rFonts w:ascii="Times New Roman" w:hAnsi="Times New Roman" w:cs="Times New Roman"/>
                <w:b/>
                <w:bCs/>
                <w:noProof/>
                <w:lang w:bidi="ar-SA"/>
              </w:rPr>
              <w:t>Abstract</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_Toc445202618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3</w:t>
            </w:r>
            <w:r w:rsidRPr="00D5254E">
              <w:rPr>
                <w:rFonts w:ascii="Times New Roman" w:hAnsi="Times New Roman" w:cs="Times New Roman"/>
                <w:noProof/>
                <w:webHidden/>
              </w:rPr>
              <w:fldChar w:fldCharType="end"/>
            </w:r>
          </w:hyperlink>
        </w:p>
        <w:p w14:paraId="7496D6F0" w14:textId="77777777" w:rsidR="00BB5B5A" w:rsidRPr="00D5254E" w:rsidRDefault="00BB5B5A" w:rsidP="00D5254E">
          <w:pPr>
            <w:pStyle w:val="TOC1"/>
            <w:rPr>
              <w:rFonts w:ascii="Times New Roman" w:eastAsiaTheme="minorEastAsia" w:hAnsi="Times New Roman" w:cs="Times New Roman"/>
              <w:noProof/>
              <w:lang w:val="en-US"/>
            </w:rPr>
          </w:pPr>
          <w:hyperlink w:anchor="_Toc445202619" w:history="1">
            <w:r w:rsidRPr="00D5254E">
              <w:rPr>
                <w:rStyle w:val="Hyperlink"/>
                <w:rFonts w:ascii="Times New Roman" w:hAnsi="Times New Roman" w:cs="Times New Roman"/>
                <w:b/>
                <w:bCs/>
                <w:noProof/>
                <w:lang w:bidi="ar-SA"/>
              </w:rPr>
              <w:t>Table of Figures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_Toc445202619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8</w:t>
            </w:r>
            <w:r w:rsidRPr="00D5254E">
              <w:rPr>
                <w:rFonts w:ascii="Times New Roman" w:hAnsi="Times New Roman" w:cs="Times New Roman"/>
                <w:noProof/>
                <w:webHidden/>
              </w:rPr>
              <w:fldChar w:fldCharType="end"/>
            </w:r>
          </w:hyperlink>
        </w:p>
        <w:p w14:paraId="59C0A8CD" w14:textId="77777777" w:rsidR="00BB5B5A" w:rsidRPr="00D5254E" w:rsidRDefault="00BB5B5A" w:rsidP="00D5254E">
          <w:pPr>
            <w:pStyle w:val="TOC1"/>
            <w:rPr>
              <w:rFonts w:ascii="Times New Roman" w:eastAsiaTheme="minorEastAsia" w:hAnsi="Times New Roman" w:cs="Times New Roman"/>
              <w:noProof/>
              <w:lang w:val="en-US"/>
            </w:rPr>
          </w:pPr>
          <w:hyperlink w:anchor="_Toc445202620" w:history="1">
            <w:r w:rsidRPr="00D5254E">
              <w:rPr>
                <w:rStyle w:val="Hyperlink"/>
                <w:rFonts w:ascii="Times New Roman" w:hAnsi="Times New Roman" w:cs="Times New Roman"/>
                <w:b/>
                <w:bCs/>
                <w:noProof/>
                <w:lang w:bidi="ar-SA"/>
              </w:rPr>
              <w:t>Introduction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_Toc445202620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10</w:t>
            </w:r>
            <w:r w:rsidRPr="00D5254E">
              <w:rPr>
                <w:rFonts w:ascii="Times New Roman" w:hAnsi="Times New Roman" w:cs="Times New Roman"/>
                <w:noProof/>
                <w:webHidden/>
              </w:rPr>
              <w:fldChar w:fldCharType="end"/>
            </w:r>
          </w:hyperlink>
        </w:p>
        <w:p w14:paraId="4F18A4CD" w14:textId="77777777" w:rsidR="00BB5B5A" w:rsidRPr="00D5254E" w:rsidRDefault="00BB5B5A" w:rsidP="00D5254E">
          <w:pPr>
            <w:pStyle w:val="TOC1"/>
            <w:rPr>
              <w:rFonts w:ascii="Times New Roman" w:eastAsiaTheme="minorEastAsia" w:hAnsi="Times New Roman" w:cs="Times New Roman"/>
              <w:noProof/>
              <w:lang w:val="en-US"/>
            </w:rPr>
          </w:pPr>
          <w:hyperlink w:anchor="_Toc445202621" w:history="1">
            <w:r w:rsidRPr="00D5254E">
              <w:rPr>
                <w:rStyle w:val="Hyperlink"/>
                <w:rFonts w:ascii="Times New Roman" w:hAnsi="Times New Roman" w:cs="Times New Roman"/>
                <w:b/>
                <w:bCs/>
                <w:noProof/>
                <w:lang w:bidi="ar-SA"/>
              </w:rPr>
              <w:t xml:space="preserve">Chapter 1 </w:t>
            </w:r>
            <w:r w:rsidRPr="00D5254E">
              <w:rPr>
                <w:rStyle w:val="Hyperlink"/>
                <w:rFonts w:ascii="Times New Roman" w:hAnsi="Times New Roman" w:cs="Times New Roman"/>
                <w:noProof/>
                <w:lang w:bidi="ar-SA"/>
              </w:rPr>
              <w:t xml:space="preserve"> The Cultural Public Sphere in-between Content and Commerce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_Toc445202621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26</w:t>
            </w:r>
            <w:r w:rsidRPr="00D5254E">
              <w:rPr>
                <w:rFonts w:ascii="Times New Roman" w:hAnsi="Times New Roman" w:cs="Times New Roman"/>
                <w:noProof/>
                <w:webHidden/>
              </w:rPr>
              <w:fldChar w:fldCharType="end"/>
            </w:r>
          </w:hyperlink>
        </w:p>
        <w:p w14:paraId="7F772EA0"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22" w:history="1">
            <w:r w:rsidRPr="00D5254E">
              <w:rPr>
                <w:rStyle w:val="Hyperlink"/>
                <w:rFonts w:ascii="Times New Roman" w:hAnsi="Times New Roman" w:cs="Times New Roman"/>
                <w:noProof/>
                <w:lang w:bidi="ar-SA"/>
              </w:rPr>
              <w:t>Introduction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_Toc445202622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26</w:t>
            </w:r>
            <w:r w:rsidRPr="00D5254E">
              <w:rPr>
                <w:rFonts w:ascii="Times New Roman" w:hAnsi="Times New Roman" w:cs="Times New Roman"/>
                <w:noProof/>
                <w:webHidden/>
              </w:rPr>
              <w:fldChar w:fldCharType="end"/>
            </w:r>
          </w:hyperlink>
        </w:p>
        <w:p w14:paraId="1A44AE62"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23" w:history="1">
            <w:r w:rsidRPr="00D5254E">
              <w:rPr>
                <w:rStyle w:val="Hyperlink"/>
                <w:rFonts w:ascii="Times New Roman" w:hAnsi="Times New Roman" w:cs="Times New Roman"/>
                <w:noProof/>
                <w:lang w:bidi="ar-SA"/>
              </w:rPr>
              <w:t>Theoretical Framework</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_Toc445202623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28</w:t>
            </w:r>
            <w:r w:rsidRPr="00D5254E">
              <w:rPr>
                <w:rFonts w:ascii="Times New Roman" w:hAnsi="Times New Roman" w:cs="Times New Roman"/>
                <w:noProof/>
                <w:webHidden/>
              </w:rPr>
              <w:fldChar w:fldCharType="end"/>
            </w:r>
          </w:hyperlink>
        </w:p>
        <w:p w14:paraId="57E29BA0"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24" w:history="1">
            <w:r w:rsidRPr="00D5254E">
              <w:rPr>
                <w:rStyle w:val="Hyperlink"/>
                <w:rFonts w:ascii="Times New Roman" w:hAnsi="Times New Roman" w:cs="Times New Roman"/>
                <w:noProof/>
                <w:lang w:bidi="ar-SA"/>
              </w:rPr>
              <w:t>Normative Perspectives (1): The Public Sphere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_Toc445202624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29</w:t>
            </w:r>
            <w:r w:rsidRPr="00D5254E">
              <w:rPr>
                <w:rFonts w:ascii="Times New Roman" w:hAnsi="Times New Roman" w:cs="Times New Roman"/>
                <w:noProof/>
                <w:webHidden/>
              </w:rPr>
              <w:fldChar w:fldCharType="end"/>
            </w:r>
          </w:hyperlink>
        </w:p>
        <w:p w14:paraId="2B79218B"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25" w:history="1">
            <w:r w:rsidRPr="00D5254E">
              <w:rPr>
                <w:rStyle w:val="Hyperlink"/>
                <w:rFonts w:ascii="Times New Roman" w:hAnsi="Times New Roman" w:cs="Times New Roman"/>
                <w:noProof/>
                <w:lang w:bidi="ar-SA"/>
              </w:rPr>
              <w:t>Culture and Capital 1: A Culture Industry or Cultural Industries?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_Toc445202625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29</w:t>
            </w:r>
            <w:r w:rsidRPr="00D5254E">
              <w:rPr>
                <w:rFonts w:ascii="Times New Roman" w:hAnsi="Times New Roman" w:cs="Times New Roman"/>
                <w:noProof/>
                <w:webHidden/>
              </w:rPr>
              <w:fldChar w:fldCharType="end"/>
            </w:r>
          </w:hyperlink>
        </w:p>
        <w:p w14:paraId="610891DC"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26" w:history="1">
            <w:r w:rsidRPr="00D5254E">
              <w:rPr>
                <w:rStyle w:val="Hyperlink"/>
                <w:rFonts w:ascii="Times New Roman" w:hAnsi="Times New Roman" w:cs="Times New Roman"/>
                <w:noProof/>
                <w:lang w:bidi="ar-SA"/>
              </w:rPr>
              <w:t>Culture and Capital 2: What is the Commodity – Audience or Content?</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_Toc445202626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30</w:t>
            </w:r>
            <w:r w:rsidRPr="00D5254E">
              <w:rPr>
                <w:rFonts w:ascii="Times New Roman" w:hAnsi="Times New Roman" w:cs="Times New Roman"/>
                <w:noProof/>
                <w:webHidden/>
              </w:rPr>
              <w:fldChar w:fldCharType="end"/>
            </w:r>
          </w:hyperlink>
        </w:p>
        <w:p w14:paraId="20D07FE3"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27" w:history="1">
            <w:r w:rsidRPr="00D5254E">
              <w:rPr>
                <w:rStyle w:val="Hyperlink"/>
                <w:rFonts w:ascii="Times New Roman" w:hAnsi="Times New Roman" w:cs="Times New Roman"/>
                <w:noProof/>
                <w:lang w:bidi="ar-SA"/>
              </w:rPr>
              <w:t>Culture and Capital 3: The Rise and Fall of the Public Sphere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_Toc445202627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32</w:t>
            </w:r>
            <w:r w:rsidRPr="00D5254E">
              <w:rPr>
                <w:rFonts w:ascii="Times New Roman" w:hAnsi="Times New Roman" w:cs="Times New Roman"/>
                <w:noProof/>
                <w:webHidden/>
              </w:rPr>
              <w:fldChar w:fldCharType="end"/>
            </w:r>
          </w:hyperlink>
        </w:p>
        <w:p w14:paraId="79C6EE92"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28" w:history="1">
            <w:r w:rsidRPr="00D5254E">
              <w:rPr>
                <w:rStyle w:val="Hyperlink"/>
                <w:rFonts w:ascii="Times New Roman" w:hAnsi="Times New Roman" w:cs="Times New Roman"/>
                <w:noProof/>
                <w:lang w:bidi="ar-SA"/>
              </w:rPr>
              <w:t>Culture and Capital 4: Critique of the Public Sphere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_Toc445202628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36</w:t>
            </w:r>
            <w:r w:rsidRPr="00D5254E">
              <w:rPr>
                <w:rFonts w:ascii="Times New Roman" w:hAnsi="Times New Roman" w:cs="Times New Roman"/>
                <w:noProof/>
                <w:webHidden/>
              </w:rPr>
              <w:fldChar w:fldCharType="end"/>
            </w:r>
          </w:hyperlink>
        </w:p>
        <w:p w14:paraId="5FBB3F56"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29" w:history="1">
            <w:r w:rsidRPr="00D5254E">
              <w:rPr>
                <w:rStyle w:val="Hyperlink"/>
                <w:rFonts w:ascii="Times New Roman" w:hAnsi="Times New Roman" w:cs="Times New Roman"/>
                <w:noProof/>
                <w:lang w:bidi="ar-SA"/>
              </w:rPr>
              <w:t>Normative Perspectives (2): The Cultural Public Sphere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_Toc445202629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41</w:t>
            </w:r>
            <w:r w:rsidRPr="00D5254E">
              <w:rPr>
                <w:rFonts w:ascii="Times New Roman" w:hAnsi="Times New Roman" w:cs="Times New Roman"/>
                <w:noProof/>
                <w:webHidden/>
              </w:rPr>
              <w:fldChar w:fldCharType="end"/>
            </w:r>
          </w:hyperlink>
        </w:p>
        <w:p w14:paraId="2D79C074"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30" w:history="1">
            <w:r w:rsidRPr="00D5254E">
              <w:rPr>
                <w:rStyle w:val="Hyperlink"/>
                <w:rFonts w:ascii="Times New Roman" w:hAnsi="Times New Roman" w:cs="Times New Roman"/>
                <w:noProof/>
              </w:rPr>
              <w:t>The Contemporary Landscape (1): Beyond Journalism, Beyond Rationalism</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_Toc445202630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41</w:t>
            </w:r>
            <w:r w:rsidRPr="00D5254E">
              <w:rPr>
                <w:rFonts w:ascii="Times New Roman" w:hAnsi="Times New Roman" w:cs="Times New Roman"/>
                <w:noProof/>
                <w:webHidden/>
              </w:rPr>
              <w:fldChar w:fldCharType="end"/>
            </w:r>
          </w:hyperlink>
        </w:p>
        <w:p w14:paraId="32D8DF6F"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31" w:history="1">
            <w:r w:rsidRPr="00D5254E">
              <w:rPr>
                <w:rStyle w:val="Hyperlink"/>
                <w:rFonts w:ascii="Times New Roman" w:hAnsi="Times New Roman" w:cs="Times New Roman"/>
                <w:noProof/>
              </w:rPr>
              <w:t>The Contemporary Landscape (2): The Cultural Public Sphere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_Toc445202631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44</w:t>
            </w:r>
            <w:r w:rsidRPr="00D5254E">
              <w:rPr>
                <w:rFonts w:ascii="Times New Roman" w:hAnsi="Times New Roman" w:cs="Times New Roman"/>
                <w:noProof/>
                <w:webHidden/>
              </w:rPr>
              <w:fldChar w:fldCharType="end"/>
            </w:r>
          </w:hyperlink>
        </w:p>
        <w:p w14:paraId="45006F21"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32" w:history="1">
            <w:r w:rsidRPr="00D5254E">
              <w:rPr>
                <w:rStyle w:val="Hyperlink"/>
                <w:rFonts w:ascii="Times New Roman" w:hAnsi="Times New Roman" w:cs="Times New Roman"/>
                <w:noProof/>
                <w:lang w:bidi="ar-SA"/>
              </w:rPr>
              <w:t>The Cultural Public Sphere: Between Communicative Action and Strategic Action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_Toc445202632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47</w:t>
            </w:r>
            <w:r w:rsidRPr="00D5254E">
              <w:rPr>
                <w:rFonts w:ascii="Times New Roman" w:hAnsi="Times New Roman" w:cs="Times New Roman"/>
                <w:noProof/>
                <w:webHidden/>
              </w:rPr>
              <w:fldChar w:fldCharType="end"/>
            </w:r>
          </w:hyperlink>
        </w:p>
        <w:p w14:paraId="3CB41B9B"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33" w:history="1">
            <w:r w:rsidRPr="00D5254E">
              <w:rPr>
                <w:rStyle w:val="Hyperlink"/>
                <w:rFonts w:ascii="Times New Roman" w:hAnsi="Times New Roman" w:cs="Times New Roman"/>
                <w:noProof/>
              </w:rPr>
              <w:t>Discourse Ethics (1): Communicative Action and Strategic Action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_Toc445202633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47</w:t>
            </w:r>
            <w:r w:rsidRPr="00D5254E">
              <w:rPr>
                <w:rFonts w:ascii="Times New Roman" w:hAnsi="Times New Roman" w:cs="Times New Roman"/>
                <w:noProof/>
                <w:webHidden/>
              </w:rPr>
              <w:fldChar w:fldCharType="end"/>
            </w:r>
          </w:hyperlink>
        </w:p>
        <w:p w14:paraId="6493E23F"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34" w:history="1">
            <w:r w:rsidRPr="00D5254E">
              <w:rPr>
                <w:rStyle w:val="Hyperlink"/>
                <w:rFonts w:ascii="Times New Roman" w:hAnsi="Times New Roman" w:cs="Times New Roman"/>
                <w:noProof/>
              </w:rPr>
              <w:t>Discourse Ethics (2): Content and Commerce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_Toc445202634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50</w:t>
            </w:r>
            <w:r w:rsidRPr="00D5254E">
              <w:rPr>
                <w:rFonts w:ascii="Times New Roman" w:hAnsi="Times New Roman" w:cs="Times New Roman"/>
                <w:noProof/>
                <w:webHidden/>
              </w:rPr>
              <w:fldChar w:fldCharType="end"/>
            </w:r>
          </w:hyperlink>
        </w:p>
        <w:p w14:paraId="185B7C08"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35" w:history="1">
            <w:r w:rsidRPr="00D5254E">
              <w:rPr>
                <w:rStyle w:val="Hyperlink"/>
                <w:rFonts w:ascii="Times New Roman" w:hAnsi="Times New Roman" w:cs="Times New Roman"/>
                <w:noProof/>
                <w:lang w:bidi="ar-SA"/>
              </w:rPr>
              <w:t>Neoliberal Context: Commercial Television and Deregulation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_Toc445202635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52</w:t>
            </w:r>
            <w:r w:rsidRPr="00D5254E">
              <w:rPr>
                <w:rFonts w:ascii="Times New Roman" w:hAnsi="Times New Roman" w:cs="Times New Roman"/>
                <w:noProof/>
                <w:webHidden/>
              </w:rPr>
              <w:fldChar w:fldCharType="end"/>
            </w:r>
          </w:hyperlink>
        </w:p>
        <w:p w14:paraId="08B1FD07"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36" w:history="1">
            <w:r w:rsidRPr="00D5254E">
              <w:rPr>
                <w:rStyle w:val="Hyperlink"/>
                <w:rFonts w:ascii="Times New Roman" w:hAnsi="Times New Roman" w:cs="Times New Roman"/>
                <w:noProof/>
                <w:lang w:val="en-US" w:bidi="ar-SA"/>
              </w:rPr>
              <w:t>The Rise of Reality TV: an Engine for a New Business Model</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_Toc445202636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56</w:t>
            </w:r>
            <w:r w:rsidRPr="00D5254E">
              <w:rPr>
                <w:rFonts w:ascii="Times New Roman" w:hAnsi="Times New Roman" w:cs="Times New Roman"/>
                <w:noProof/>
                <w:webHidden/>
              </w:rPr>
              <w:fldChar w:fldCharType="end"/>
            </w:r>
          </w:hyperlink>
        </w:p>
        <w:p w14:paraId="2F4498E9"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37" w:history="1">
            <w:r w:rsidRPr="00D5254E">
              <w:rPr>
                <w:rStyle w:val="Hyperlink"/>
                <w:rFonts w:ascii="Times New Roman" w:hAnsi="Times New Roman" w:cs="Times New Roman"/>
                <w:noProof/>
                <w:lang w:bidi="ar-SA"/>
              </w:rPr>
              <w:t>Summary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_Toc445202637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62</w:t>
            </w:r>
            <w:r w:rsidRPr="00D5254E">
              <w:rPr>
                <w:rFonts w:ascii="Times New Roman" w:hAnsi="Times New Roman" w:cs="Times New Roman"/>
                <w:noProof/>
                <w:webHidden/>
              </w:rPr>
              <w:fldChar w:fldCharType="end"/>
            </w:r>
          </w:hyperlink>
        </w:p>
        <w:p w14:paraId="75AAF24A" w14:textId="77777777" w:rsidR="00BB5B5A" w:rsidRPr="00D5254E" w:rsidRDefault="00BB5B5A" w:rsidP="00D5254E">
          <w:pPr>
            <w:pStyle w:val="TOC1"/>
            <w:rPr>
              <w:rFonts w:ascii="Times New Roman" w:eastAsiaTheme="minorEastAsia" w:hAnsi="Times New Roman" w:cs="Times New Roman"/>
              <w:noProof/>
              <w:lang w:val="en-US"/>
            </w:rPr>
          </w:pPr>
          <w:hyperlink w:anchor="_Toc445202638" w:history="1">
            <w:r w:rsidRPr="00D5254E">
              <w:rPr>
                <w:rStyle w:val="Hyperlink"/>
                <w:rFonts w:ascii="Times New Roman" w:hAnsi="Times New Roman" w:cs="Times New Roman"/>
                <w:b/>
                <w:bCs/>
                <w:noProof/>
                <w:lang w:bidi="ar-SA"/>
              </w:rPr>
              <w:t xml:space="preserve">Chapter 2 </w:t>
            </w:r>
            <w:r w:rsidRPr="00D5254E">
              <w:rPr>
                <w:rStyle w:val="Hyperlink"/>
                <w:rFonts w:ascii="Times New Roman" w:hAnsi="Times New Roman" w:cs="Times New Roman"/>
                <w:noProof/>
                <w:lang w:bidi="ar-SA"/>
              </w:rPr>
              <w:t xml:space="preserve"> The Rise of Embedded Branding:  From product Placement to ‘Branded Content’</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_Toc445202638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65</w:t>
            </w:r>
            <w:r w:rsidRPr="00D5254E">
              <w:rPr>
                <w:rFonts w:ascii="Times New Roman" w:hAnsi="Times New Roman" w:cs="Times New Roman"/>
                <w:noProof/>
                <w:webHidden/>
              </w:rPr>
              <w:fldChar w:fldCharType="end"/>
            </w:r>
          </w:hyperlink>
        </w:p>
        <w:p w14:paraId="3A1E044F"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39" w:history="1">
            <w:r w:rsidRPr="00D5254E">
              <w:rPr>
                <w:rStyle w:val="Hyperlink"/>
                <w:rFonts w:ascii="Times New Roman" w:hAnsi="Times New Roman" w:cs="Times New Roman"/>
                <w:noProof/>
                <w:lang w:bidi="ar-SA"/>
              </w:rPr>
              <w:t>Introduction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_Toc445202639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65</w:t>
            </w:r>
            <w:r w:rsidRPr="00D5254E">
              <w:rPr>
                <w:rFonts w:ascii="Times New Roman" w:hAnsi="Times New Roman" w:cs="Times New Roman"/>
                <w:noProof/>
                <w:webHidden/>
              </w:rPr>
              <w:fldChar w:fldCharType="end"/>
            </w:r>
          </w:hyperlink>
        </w:p>
        <w:p w14:paraId="2C981541"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40" w:history="1">
            <w:r w:rsidRPr="00D5254E">
              <w:rPr>
                <w:rStyle w:val="Hyperlink"/>
                <w:rFonts w:ascii="Times New Roman" w:hAnsi="Times New Roman" w:cs="Times New Roman"/>
                <w:noProof/>
                <w:lang w:bidi="ar-SA"/>
              </w:rPr>
              <w:t>Content and Commerce: A Historical Account</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_Toc445202640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66</w:t>
            </w:r>
            <w:r w:rsidRPr="00D5254E">
              <w:rPr>
                <w:rFonts w:ascii="Times New Roman" w:hAnsi="Times New Roman" w:cs="Times New Roman"/>
                <w:noProof/>
                <w:webHidden/>
              </w:rPr>
              <w:fldChar w:fldCharType="end"/>
            </w:r>
          </w:hyperlink>
        </w:p>
        <w:p w14:paraId="61742E2F"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41" w:history="1">
            <w:r w:rsidRPr="00D5254E">
              <w:rPr>
                <w:rStyle w:val="Hyperlink"/>
                <w:rFonts w:ascii="Times New Roman" w:hAnsi="Times New Roman" w:cs="Times New Roman"/>
                <w:noProof/>
              </w:rPr>
              <w:t>Print Media: ‘Church’, ‘State’ and the Advertorial</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_Toc445202641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66</w:t>
            </w:r>
            <w:r w:rsidRPr="00D5254E">
              <w:rPr>
                <w:rFonts w:ascii="Times New Roman" w:hAnsi="Times New Roman" w:cs="Times New Roman"/>
                <w:noProof/>
                <w:webHidden/>
              </w:rPr>
              <w:fldChar w:fldCharType="end"/>
            </w:r>
          </w:hyperlink>
        </w:p>
        <w:p w14:paraId="411CBD88"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42" w:history="1">
            <w:r w:rsidRPr="00D5254E">
              <w:rPr>
                <w:rStyle w:val="Hyperlink"/>
                <w:rFonts w:ascii="Times New Roman" w:hAnsi="Times New Roman" w:cs="Times New Roman"/>
                <w:noProof/>
              </w:rPr>
              <w:t>American Radio and Television: The Sponsorship Model</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_Toc445202642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68</w:t>
            </w:r>
            <w:r w:rsidRPr="00D5254E">
              <w:rPr>
                <w:rFonts w:ascii="Times New Roman" w:hAnsi="Times New Roman" w:cs="Times New Roman"/>
                <w:noProof/>
                <w:webHidden/>
              </w:rPr>
              <w:fldChar w:fldCharType="end"/>
            </w:r>
          </w:hyperlink>
        </w:p>
        <w:p w14:paraId="069FD8EF"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43" w:history="1">
            <w:r w:rsidRPr="00D5254E">
              <w:rPr>
                <w:rStyle w:val="Hyperlink"/>
                <w:rFonts w:ascii="Times New Roman" w:hAnsi="Times New Roman" w:cs="Times New Roman"/>
                <w:noProof/>
              </w:rPr>
              <w:t>The Hollywood Film Industry: Product Placement</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_Toc445202643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71</w:t>
            </w:r>
            <w:r w:rsidRPr="00D5254E">
              <w:rPr>
                <w:rFonts w:ascii="Times New Roman" w:hAnsi="Times New Roman" w:cs="Times New Roman"/>
                <w:noProof/>
                <w:webHidden/>
              </w:rPr>
              <w:fldChar w:fldCharType="end"/>
            </w:r>
          </w:hyperlink>
        </w:p>
        <w:p w14:paraId="3D520A16"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44" w:history="1">
            <w:r w:rsidRPr="00D5254E">
              <w:rPr>
                <w:rStyle w:val="Hyperlink"/>
                <w:rFonts w:ascii="Times New Roman" w:hAnsi="Times New Roman" w:cs="Times New Roman"/>
                <w:noProof/>
              </w:rPr>
              <w:t>The UK: Public Broadcasting on Commercial Television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_Toc445202644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73</w:t>
            </w:r>
            <w:r w:rsidRPr="00D5254E">
              <w:rPr>
                <w:rFonts w:ascii="Times New Roman" w:hAnsi="Times New Roman" w:cs="Times New Roman"/>
                <w:noProof/>
                <w:webHidden/>
              </w:rPr>
              <w:fldChar w:fldCharType="end"/>
            </w:r>
          </w:hyperlink>
        </w:p>
        <w:p w14:paraId="0F59CFDA"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45" w:history="1">
            <w:r w:rsidRPr="00D5254E">
              <w:rPr>
                <w:rStyle w:val="Hyperlink"/>
                <w:rFonts w:ascii="Times New Roman" w:hAnsi="Times New Roman" w:cs="Times New Roman"/>
                <w:noProof/>
                <w:lang w:bidi="ar-SA"/>
              </w:rPr>
              <w:t>From Cable Television to the Internet: Audience Fragmentation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_Toc445202645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76</w:t>
            </w:r>
            <w:r w:rsidRPr="00D5254E">
              <w:rPr>
                <w:rFonts w:ascii="Times New Roman" w:hAnsi="Times New Roman" w:cs="Times New Roman"/>
                <w:noProof/>
                <w:webHidden/>
              </w:rPr>
              <w:fldChar w:fldCharType="end"/>
            </w:r>
          </w:hyperlink>
        </w:p>
        <w:p w14:paraId="03879A38"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46" w:history="1">
            <w:r w:rsidRPr="00D5254E">
              <w:rPr>
                <w:rStyle w:val="Hyperlink"/>
                <w:rFonts w:ascii="Times New Roman" w:hAnsi="Times New Roman" w:cs="Times New Roman"/>
                <w:noProof/>
              </w:rPr>
              <w:t>The First Wave of Fragmentation: The 1980s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_Toc445202646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76</w:t>
            </w:r>
            <w:r w:rsidRPr="00D5254E">
              <w:rPr>
                <w:rFonts w:ascii="Times New Roman" w:hAnsi="Times New Roman" w:cs="Times New Roman"/>
                <w:noProof/>
                <w:webHidden/>
              </w:rPr>
              <w:fldChar w:fldCharType="end"/>
            </w:r>
          </w:hyperlink>
        </w:p>
        <w:p w14:paraId="0433F66B"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47" w:history="1">
            <w:r w:rsidRPr="00D5254E">
              <w:rPr>
                <w:rStyle w:val="Hyperlink"/>
                <w:rFonts w:ascii="Times New Roman" w:hAnsi="Times New Roman" w:cs="Times New Roman"/>
                <w:noProof/>
              </w:rPr>
              <w:t>The Second Wave of Fragmentation: The Digital Revolution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_Toc445202647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79</w:t>
            </w:r>
            <w:r w:rsidRPr="00D5254E">
              <w:rPr>
                <w:rFonts w:ascii="Times New Roman" w:hAnsi="Times New Roman" w:cs="Times New Roman"/>
                <w:noProof/>
                <w:webHidden/>
              </w:rPr>
              <w:fldChar w:fldCharType="end"/>
            </w:r>
          </w:hyperlink>
        </w:p>
        <w:p w14:paraId="58811075"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48" w:history="1">
            <w:r w:rsidRPr="00D5254E">
              <w:rPr>
                <w:rStyle w:val="Hyperlink"/>
                <w:rFonts w:ascii="Times New Roman" w:hAnsi="Times New Roman" w:cs="Times New Roman"/>
                <w:noProof/>
                <w:lang w:bidi="ar-SA"/>
              </w:rPr>
              <w:t>Brands and Broadcasters in the 2000s: Elective Affinities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_Toc445202648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82</w:t>
            </w:r>
            <w:r w:rsidRPr="00D5254E">
              <w:rPr>
                <w:rFonts w:ascii="Times New Roman" w:hAnsi="Times New Roman" w:cs="Times New Roman"/>
                <w:noProof/>
                <w:webHidden/>
              </w:rPr>
              <w:fldChar w:fldCharType="end"/>
            </w:r>
          </w:hyperlink>
        </w:p>
        <w:p w14:paraId="6A612B13"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49" w:history="1">
            <w:r w:rsidRPr="00D5254E">
              <w:rPr>
                <w:rStyle w:val="Hyperlink"/>
                <w:rFonts w:ascii="Times New Roman" w:hAnsi="Times New Roman" w:cs="Times New Roman"/>
                <w:noProof/>
              </w:rPr>
              <w:t>The Historical Shift of Brands: Every Space is ‘Media’</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_Toc445202649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82</w:t>
            </w:r>
            <w:r w:rsidRPr="00D5254E">
              <w:rPr>
                <w:rFonts w:ascii="Times New Roman" w:hAnsi="Times New Roman" w:cs="Times New Roman"/>
                <w:noProof/>
                <w:webHidden/>
              </w:rPr>
              <w:fldChar w:fldCharType="end"/>
            </w:r>
          </w:hyperlink>
        </w:p>
        <w:p w14:paraId="2CBE5830"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50" w:history="1">
            <w:r w:rsidRPr="00D5254E">
              <w:rPr>
                <w:rStyle w:val="Hyperlink"/>
                <w:rFonts w:ascii="Times New Roman" w:hAnsi="Times New Roman" w:cs="Times New Roman"/>
                <w:noProof/>
              </w:rPr>
              <w:t>Content Convergence: From Broadcast to Multiple Platforms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_Toc445202650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89</w:t>
            </w:r>
            <w:r w:rsidRPr="00D5254E">
              <w:rPr>
                <w:rFonts w:ascii="Times New Roman" w:hAnsi="Times New Roman" w:cs="Times New Roman"/>
                <w:noProof/>
                <w:webHidden/>
              </w:rPr>
              <w:fldChar w:fldCharType="end"/>
            </w:r>
          </w:hyperlink>
        </w:p>
        <w:p w14:paraId="1D49EC93"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51" w:history="1">
            <w:r w:rsidRPr="00D5254E">
              <w:rPr>
                <w:rStyle w:val="Hyperlink"/>
                <w:rFonts w:ascii="Times New Roman" w:hAnsi="Times New Roman" w:cs="Times New Roman"/>
                <w:noProof/>
              </w:rPr>
              <w:t>Brands and Media Content: Mutual Attraction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_Toc445202651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93</w:t>
            </w:r>
            <w:r w:rsidRPr="00D5254E">
              <w:rPr>
                <w:rFonts w:ascii="Times New Roman" w:hAnsi="Times New Roman" w:cs="Times New Roman"/>
                <w:noProof/>
                <w:webHidden/>
              </w:rPr>
              <w:fldChar w:fldCharType="end"/>
            </w:r>
          </w:hyperlink>
        </w:p>
        <w:p w14:paraId="380593A7"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52" w:history="1">
            <w:r w:rsidRPr="00D5254E">
              <w:rPr>
                <w:rStyle w:val="Hyperlink"/>
                <w:rFonts w:ascii="Times New Roman" w:hAnsi="Times New Roman" w:cs="Times New Roman"/>
                <w:noProof/>
                <w:lang w:bidi="ar-SA"/>
              </w:rPr>
              <w:t>Summary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_Toc445202652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94</w:t>
            </w:r>
            <w:r w:rsidRPr="00D5254E">
              <w:rPr>
                <w:rFonts w:ascii="Times New Roman" w:hAnsi="Times New Roman" w:cs="Times New Roman"/>
                <w:noProof/>
                <w:webHidden/>
              </w:rPr>
              <w:fldChar w:fldCharType="end"/>
            </w:r>
          </w:hyperlink>
        </w:p>
        <w:p w14:paraId="43759EC7" w14:textId="77777777" w:rsidR="00BB5B5A" w:rsidRPr="00D5254E" w:rsidRDefault="00BB5B5A" w:rsidP="00D5254E">
          <w:pPr>
            <w:pStyle w:val="TOC1"/>
            <w:rPr>
              <w:rFonts w:ascii="Times New Roman" w:eastAsiaTheme="minorEastAsia" w:hAnsi="Times New Roman" w:cs="Times New Roman"/>
              <w:noProof/>
              <w:lang w:val="en-US"/>
            </w:rPr>
          </w:pPr>
          <w:hyperlink w:anchor="_Toc445202663" w:history="1">
            <w:r w:rsidRPr="00D5254E">
              <w:rPr>
                <w:rStyle w:val="Hyperlink"/>
                <w:rFonts w:ascii="Times New Roman" w:hAnsi="Times New Roman" w:cs="Times New Roman"/>
                <w:b/>
                <w:bCs/>
                <w:noProof/>
                <w:lang w:bidi="ar-SA"/>
              </w:rPr>
              <w:t xml:space="preserve">Chapter 4 </w:t>
            </w:r>
            <w:r w:rsidRPr="00D5254E">
              <w:rPr>
                <w:rStyle w:val="Hyperlink"/>
                <w:rFonts w:ascii="Times New Roman" w:hAnsi="Times New Roman" w:cs="Times New Roman"/>
                <w:noProof/>
                <w:lang w:bidi="ar-SA"/>
              </w:rPr>
              <w:t xml:space="preserve"> The Campaign and the Format: Introduction to the Case Studies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_Toc445202663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122</w:t>
            </w:r>
            <w:r w:rsidRPr="00D5254E">
              <w:rPr>
                <w:rFonts w:ascii="Times New Roman" w:hAnsi="Times New Roman" w:cs="Times New Roman"/>
                <w:noProof/>
                <w:webHidden/>
              </w:rPr>
              <w:fldChar w:fldCharType="end"/>
            </w:r>
          </w:hyperlink>
        </w:p>
        <w:p w14:paraId="125906D2"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64" w:history="1">
            <w:r w:rsidRPr="00D5254E">
              <w:rPr>
                <w:rStyle w:val="Hyperlink"/>
                <w:rFonts w:ascii="Times New Roman" w:hAnsi="Times New Roman" w:cs="Times New Roman"/>
                <w:noProof/>
                <w:lang w:bidi="ar-SA"/>
              </w:rPr>
              <w:t>Introduction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_Toc445202664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122</w:t>
            </w:r>
            <w:r w:rsidRPr="00D5254E">
              <w:rPr>
                <w:rFonts w:ascii="Times New Roman" w:hAnsi="Times New Roman" w:cs="Times New Roman"/>
                <w:noProof/>
                <w:webHidden/>
              </w:rPr>
              <w:fldChar w:fldCharType="end"/>
            </w:r>
          </w:hyperlink>
        </w:p>
        <w:p w14:paraId="7C67678C"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65" w:history="1">
            <w:r w:rsidRPr="00D5254E">
              <w:rPr>
                <w:rStyle w:val="Hyperlink"/>
                <w:rFonts w:ascii="Times New Roman" w:hAnsi="Times New Roman" w:cs="Times New Roman"/>
                <w:noProof/>
                <w:lang w:bidi="ar-SA"/>
              </w:rPr>
              <w:t>The Case Studies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_Toc445202665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123</w:t>
            </w:r>
            <w:r w:rsidRPr="00D5254E">
              <w:rPr>
                <w:rFonts w:ascii="Times New Roman" w:hAnsi="Times New Roman" w:cs="Times New Roman"/>
                <w:noProof/>
                <w:webHidden/>
              </w:rPr>
              <w:fldChar w:fldCharType="end"/>
            </w:r>
          </w:hyperlink>
        </w:p>
        <w:p w14:paraId="25FC6E15"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66" w:history="1">
            <w:r w:rsidRPr="00D5254E">
              <w:rPr>
                <w:rStyle w:val="Hyperlink"/>
                <w:rFonts w:ascii="Times New Roman" w:hAnsi="Times New Roman" w:cs="Times New Roman"/>
                <w:i/>
                <w:iCs/>
                <w:noProof/>
                <w:lang w:bidi="ar-SA"/>
              </w:rPr>
              <w:t>How to Look Good Naked</w:t>
            </w:r>
            <w:r w:rsidRPr="00D5254E">
              <w:rPr>
                <w:rStyle w:val="Hyperlink"/>
                <w:rFonts w:ascii="Times New Roman" w:hAnsi="Times New Roman" w:cs="Times New Roman"/>
                <w:noProof/>
                <w:lang w:bidi="ar-SA"/>
              </w:rPr>
              <w:t xml:space="preserve"> and Dove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_Toc445202666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125</w:t>
            </w:r>
            <w:r w:rsidRPr="00D5254E">
              <w:rPr>
                <w:rFonts w:ascii="Times New Roman" w:hAnsi="Times New Roman" w:cs="Times New Roman"/>
                <w:noProof/>
                <w:webHidden/>
              </w:rPr>
              <w:fldChar w:fldCharType="end"/>
            </w:r>
          </w:hyperlink>
        </w:p>
        <w:p w14:paraId="6017D7CB"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67" w:history="1">
            <w:r w:rsidRPr="00D5254E">
              <w:rPr>
                <w:rStyle w:val="Hyperlink"/>
                <w:rFonts w:ascii="Times New Roman" w:hAnsi="Times New Roman" w:cs="Times New Roman"/>
                <w:noProof/>
                <w:lang w:bidi="ar-SA"/>
              </w:rPr>
              <w:t xml:space="preserve">Dove’s </w:t>
            </w:r>
            <w:r w:rsidRPr="00D5254E">
              <w:rPr>
                <w:rStyle w:val="Hyperlink"/>
                <w:rFonts w:ascii="Times New Roman" w:hAnsi="Times New Roman" w:cs="Times New Roman"/>
                <w:i/>
                <w:iCs/>
                <w:noProof/>
                <w:lang w:bidi="ar-SA"/>
              </w:rPr>
              <w:t xml:space="preserve">Real Beauty </w:t>
            </w:r>
            <w:r w:rsidRPr="00D5254E">
              <w:rPr>
                <w:rStyle w:val="Hyperlink"/>
                <w:rFonts w:ascii="Times New Roman" w:hAnsi="Times New Roman" w:cs="Times New Roman"/>
                <w:noProof/>
                <w:lang w:bidi="ar-SA"/>
              </w:rPr>
              <w:t>Campaign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_Toc445202667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125</w:t>
            </w:r>
            <w:r w:rsidRPr="00D5254E">
              <w:rPr>
                <w:rFonts w:ascii="Times New Roman" w:hAnsi="Times New Roman" w:cs="Times New Roman"/>
                <w:noProof/>
                <w:webHidden/>
              </w:rPr>
              <w:fldChar w:fldCharType="end"/>
            </w:r>
          </w:hyperlink>
        </w:p>
        <w:p w14:paraId="0DBE817B"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68" w:history="1">
            <w:r w:rsidRPr="00D5254E">
              <w:rPr>
                <w:rStyle w:val="Hyperlink"/>
                <w:rFonts w:ascii="Times New Roman" w:hAnsi="Times New Roman" w:cs="Times New Roman"/>
                <w:noProof/>
              </w:rPr>
              <w:t xml:space="preserve">Channel 4’s format for </w:t>
            </w:r>
            <w:r w:rsidRPr="00D5254E">
              <w:rPr>
                <w:rStyle w:val="Hyperlink"/>
                <w:rFonts w:ascii="Times New Roman" w:hAnsi="Times New Roman" w:cs="Times New Roman"/>
                <w:i/>
                <w:iCs/>
                <w:noProof/>
              </w:rPr>
              <w:t>How to Look Good Naked</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_Toc445202668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128</w:t>
            </w:r>
            <w:r w:rsidRPr="00D5254E">
              <w:rPr>
                <w:rFonts w:ascii="Times New Roman" w:hAnsi="Times New Roman" w:cs="Times New Roman"/>
                <w:noProof/>
                <w:webHidden/>
              </w:rPr>
              <w:fldChar w:fldCharType="end"/>
            </w:r>
          </w:hyperlink>
        </w:p>
        <w:p w14:paraId="607A1363"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69" w:history="1">
            <w:r w:rsidRPr="00D5254E">
              <w:rPr>
                <w:rStyle w:val="Hyperlink"/>
                <w:rFonts w:ascii="Times New Roman" w:hAnsi="Times New Roman" w:cs="Times New Roman"/>
                <w:noProof/>
              </w:rPr>
              <w:t>The Sponsorship Agreement</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_Toc445202669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132</w:t>
            </w:r>
            <w:r w:rsidRPr="00D5254E">
              <w:rPr>
                <w:rFonts w:ascii="Times New Roman" w:hAnsi="Times New Roman" w:cs="Times New Roman"/>
                <w:noProof/>
                <w:webHidden/>
              </w:rPr>
              <w:fldChar w:fldCharType="end"/>
            </w:r>
          </w:hyperlink>
        </w:p>
        <w:p w14:paraId="4646B6A6"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70" w:history="1">
            <w:r w:rsidRPr="00D5254E">
              <w:rPr>
                <w:rStyle w:val="Hyperlink"/>
                <w:rFonts w:ascii="Times New Roman" w:hAnsi="Times New Roman" w:cs="Times New Roman"/>
                <w:i/>
                <w:iCs/>
                <w:noProof/>
                <w:lang w:bidi="ar-SA"/>
              </w:rPr>
              <w:t xml:space="preserve">Overdraft Family, </w:t>
            </w:r>
            <w:r w:rsidRPr="00D5254E">
              <w:rPr>
                <w:rStyle w:val="Hyperlink"/>
                <w:rFonts w:ascii="Times New Roman" w:hAnsi="Times New Roman" w:cs="Times New Roman"/>
                <w:noProof/>
                <w:lang w:bidi="ar-SA"/>
              </w:rPr>
              <w:t>Bank Hapo’alim and Shufersal-Deal</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_Toc445202670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134</w:t>
            </w:r>
            <w:r w:rsidRPr="00D5254E">
              <w:rPr>
                <w:rFonts w:ascii="Times New Roman" w:hAnsi="Times New Roman" w:cs="Times New Roman"/>
                <w:noProof/>
                <w:webHidden/>
              </w:rPr>
              <w:fldChar w:fldCharType="end"/>
            </w:r>
          </w:hyperlink>
        </w:p>
        <w:p w14:paraId="21D9D78C"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71" w:history="1">
            <w:r w:rsidRPr="00D5254E">
              <w:rPr>
                <w:rStyle w:val="Hyperlink"/>
                <w:rFonts w:ascii="Times New Roman" w:hAnsi="Times New Roman" w:cs="Times New Roman"/>
                <w:noProof/>
              </w:rPr>
              <w:t xml:space="preserve">Channel 2’s format for </w:t>
            </w:r>
            <w:r w:rsidRPr="00D5254E">
              <w:rPr>
                <w:rStyle w:val="Hyperlink"/>
                <w:rFonts w:ascii="Times New Roman" w:hAnsi="Times New Roman" w:cs="Times New Roman"/>
                <w:i/>
                <w:iCs/>
                <w:noProof/>
              </w:rPr>
              <w:t>Overdraft Family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_Toc445202671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134</w:t>
            </w:r>
            <w:r w:rsidRPr="00D5254E">
              <w:rPr>
                <w:rFonts w:ascii="Times New Roman" w:hAnsi="Times New Roman" w:cs="Times New Roman"/>
                <w:noProof/>
                <w:webHidden/>
              </w:rPr>
              <w:fldChar w:fldCharType="end"/>
            </w:r>
          </w:hyperlink>
        </w:p>
        <w:p w14:paraId="3D2ED626"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72" w:history="1">
            <w:r w:rsidRPr="00D5254E">
              <w:rPr>
                <w:rStyle w:val="Hyperlink"/>
                <w:rFonts w:ascii="Times New Roman" w:hAnsi="Times New Roman" w:cs="Times New Roman"/>
                <w:noProof/>
              </w:rPr>
              <w:t>The Sponsorship Agreement with Bank Hapo’alim</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_Toc445202672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136</w:t>
            </w:r>
            <w:r w:rsidRPr="00D5254E">
              <w:rPr>
                <w:rFonts w:ascii="Times New Roman" w:hAnsi="Times New Roman" w:cs="Times New Roman"/>
                <w:noProof/>
                <w:webHidden/>
              </w:rPr>
              <w:fldChar w:fldCharType="end"/>
            </w:r>
          </w:hyperlink>
        </w:p>
        <w:p w14:paraId="48DA43CD"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73" w:history="1">
            <w:r w:rsidRPr="00D5254E">
              <w:rPr>
                <w:rStyle w:val="Hyperlink"/>
                <w:rFonts w:ascii="Times New Roman" w:hAnsi="Times New Roman" w:cs="Times New Roman"/>
                <w:noProof/>
              </w:rPr>
              <w:t>The Sponsorship Agreement with Shufersal-Deal</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_Toc445202673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138</w:t>
            </w:r>
            <w:r w:rsidRPr="00D5254E">
              <w:rPr>
                <w:rFonts w:ascii="Times New Roman" w:hAnsi="Times New Roman" w:cs="Times New Roman"/>
                <w:noProof/>
                <w:webHidden/>
              </w:rPr>
              <w:fldChar w:fldCharType="end"/>
            </w:r>
          </w:hyperlink>
        </w:p>
        <w:p w14:paraId="7867DAB3"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74" w:history="1">
            <w:r w:rsidRPr="00D5254E">
              <w:rPr>
                <w:rStyle w:val="Hyperlink"/>
                <w:rFonts w:ascii="Times New Roman" w:hAnsi="Times New Roman" w:cs="Times New Roman"/>
                <w:noProof/>
                <w:lang w:bidi="ar-SA"/>
              </w:rPr>
              <w:t>Summary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_Toc445202674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140</w:t>
            </w:r>
            <w:r w:rsidRPr="00D5254E">
              <w:rPr>
                <w:rFonts w:ascii="Times New Roman" w:hAnsi="Times New Roman" w:cs="Times New Roman"/>
                <w:noProof/>
                <w:webHidden/>
              </w:rPr>
              <w:fldChar w:fldCharType="end"/>
            </w:r>
          </w:hyperlink>
        </w:p>
        <w:p w14:paraId="433DECF4" w14:textId="77777777" w:rsidR="00BB5B5A" w:rsidRPr="00D5254E" w:rsidRDefault="00BB5B5A" w:rsidP="00D5254E">
          <w:pPr>
            <w:pStyle w:val="TOC1"/>
            <w:rPr>
              <w:rFonts w:ascii="Times New Roman" w:eastAsiaTheme="minorEastAsia" w:hAnsi="Times New Roman" w:cs="Times New Roman"/>
              <w:noProof/>
              <w:lang w:val="en-US"/>
            </w:rPr>
          </w:pPr>
          <w:hyperlink w:anchor="_Toc445202675" w:history="1">
            <w:r w:rsidRPr="00D5254E">
              <w:rPr>
                <w:rStyle w:val="Hyperlink"/>
                <w:rFonts w:ascii="Times New Roman" w:hAnsi="Times New Roman" w:cs="Times New Roman"/>
                <w:b/>
                <w:bCs/>
                <w:noProof/>
                <w:lang w:bidi="ar-SA"/>
              </w:rPr>
              <w:t xml:space="preserve">Chapter </w:t>
            </w:r>
            <w:r w:rsidRPr="00D5254E">
              <w:rPr>
                <w:rStyle w:val="Hyperlink"/>
                <w:rFonts w:ascii="Times New Roman" w:hAnsi="Times New Roman" w:cs="Times New Roman"/>
                <w:b/>
                <w:bCs/>
                <w:noProof/>
                <w:rtl/>
                <w:lang w:bidi="ar-SA"/>
              </w:rPr>
              <w:t>5</w:t>
            </w:r>
            <w:r w:rsidRPr="00D5254E">
              <w:rPr>
                <w:rStyle w:val="Hyperlink"/>
                <w:rFonts w:ascii="Times New Roman" w:hAnsi="Times New Roman" w:cs="Times New Roman"/>
                <w:b/>
                <w:bCs/>
                <w:noProof/>
                <w:lang w:bidi="ar-SA"/>
              </w:rPr>
              <w:t xml:space="preserve"> </w:t>
            </w:r>
            <w:r w:rsidRPr="00D5254E">
              <w:rPr>
                <w:rStyle w:val="Hyperlink"/>
                <w:rFonts w:ascii="Times New Roman" w:hAnsi="Times New Roman" w:cs="Times New Roman"/>
                <w:noProof/>
                <w:lang w:bidi="ar-SA"/>
              </w:rPr>
              <w:t xml:space="preserve"> The Brand and the Programme: Deep Integration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_Toc445202675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142</w:t>
            </w:r>
            <w:r w:rsidRPr="00D5254E">
              <w:rPr>
                <w:rFonts w:ascii="Times New Roman" w:hAnsi="Times New Roman" w:cs="Times New Roman"/>
                <w:noProof/>
                <w:webHidden/>
              </w:rPr>
              <w:fldChar w:fldCharType="end"/>
            </w:r>
          </w:hyperlink>
        </w:p>
        <w:p w14:paraId="39B82415"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76" w:history="1">
            <w:r w:rsidRPr="00D5254E">
              <w:rPr>
                <w:rStyle w:val="Hyperlink"/>
                <w:rFonts w:ascii="Times New Roman" w:hAnsi="Times New Roman" w:cs="Times New Roman"/>
                <w:noProof/>
                <w:lang w:bidi="ar-SA"/>
              </w:rPr>
              <w:t>Introduction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_Toc445202676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142</w:t>
            </w:r>
            <w:r w:rsidRPr="00D5254E">
              <w:rPr>
                <w:rFonts w:ascii="Times New Roman" w:hAnsi="Times New Roman" w:cs="Times New Roman"/>
                <w:noProof/>
                <w:webHidden/>
              </w:rPr>
              <w:fldChar w:fldCharType="end"/>
            </w:r>
          </w:hyperlink>
        </w:p>
        <w:p w14:paraId="684D127E"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77" w:history="1">
            <w:r w:rsidRPr="00D5254E">
              <w:rPr>
                <w:rStyle w:val="Hyperlink"/>
                <w:rFonts w:ascii="Times New Roman" w:hAnsi="Times New Roman" w:cs="Times New Roman"/>
                <w:noProof/>
                <w:lang w:bidi="ar-SA"/>
              </w:rPr>
              <w:t>Diffusion of Messages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_Toc445202677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143</w:t>
            </w:r>
            <w:r w:rsidRPr="00D5254E">
              <w:rPr>
                <w:rFonts w:ascii="Times New Roman" w:hAnsi="Times New Roman" w:cs="Times New Roman"/>
                <w:noProof/>
                <w:webHidden/>
              </w:rPr>
              <w:fldChar w:fldCharType="end"/>
            </w:r>
          </w:hyperlink>
        </w:p>
        <w:p w14:paraId="6FCB55F2"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78" w:history="1">
            <w:r w:rsidRPr="00D5254E">
              <w:rPr>
                <w:rStyle w:val="Hyperlink"/>
                <w:rFonts w:ascii="Times New Roman" w:hAnsi="Times New Roman" w:cs="Times New Roman"/>
                <w:i/>
                <w:iCs/>
                <w:noProof/>
              </w:rPr>
              <w:t>How to Look Good Naked</w:t>
            </w:r>
            <w:r w:rsidRPr="00D5254E">
              <w:rPr>
                <w:rStyle w:val="Hyperlink"/>
                <w:rFonts w:ascii="Times New Roman" w:hAnsi="Times New Roman" w:cs="Times New Roman"/>
                <w:noProof/>
              </w:rPr>
              <w:t xml:space="preserve"> and Dove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_Toc445202678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143</w:t>
            </w:r>
            <w:r w:rsidRPr="00D5254E">
              <w:rPr>
                <w:rFonts w:ascii="Times New Roman" w:hAnsi="Times New Roman" w:cs="Times New Roman"/>
                <w:noProof/>
                <w:webHidden/>
              </w:rPr>
              <w:fldChar w:fldCharType="end"/>
            </w:r>
          </w:hyperlink>
        </w:p>
        <w:p w14:paraId="66AD0D83"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79" w:history="1">
            <w:r w:rsidRPr="00D5254E">
              <w:rPr>
                <w:rStyle w:val="Hyperlink"/>
                <w:rFonts w:ascii="Times New Roman" w:hAnsi="Times New Roman" w:cs="Times New Roman"/>
                <w:i/>
                <w:iCs/>
                <w:noProof/>
              </w:rPr>
              <w:t xml:space="preserve">Overdraft Family, </w:t>
            </w:r>
            <w:r w:rsidRPr="00D5254E">
              <w:rPr>
                <w:rStyle w:val="Hyperlink"/>
                <w:rFonts w:ascii="Times New Roman" w:hAnsi="Times New Roman" w:cs="Times New Roman"/>
                <w:noProof/>
              </w:rPr>
              <w:t>Bank Hapo’alim and Shufersal-Deal</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_Toc445202679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149</w:t>
            </w:r>
            <w:r w:rsidRPr="00D5254E">
              <w:rPr>
                <w:rFonts w:ascii="Times New Roman" w:hAnsi="Times New Roman" w:cs="Times New Roman"/>
                <w:noProof/>
                <w:webHidden/>
              </w:rPr>
              <w:fldChar w:fldCharType="end"/>
            </w:r>
          </w:hyperlink>
        </w:p>
        <w:p w14:paraId="17EC4A50"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80" w:history="1">
            <w:r w:rsidRPr="00D5254E">
              <w:rPr>
                <w:rStyle w:val="Hyperlink"/>
                <w:rFonts w:ascii="Times New Roman" w:hAnsi="Times New Roman" w:cs="Times New Roman"/>
                <w:noProof/>
                <w:lang w:bidi="ar-SA"/>
              </w:rPr>
              <w:t>Visual Diffusion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_Toc445202680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155</w:t>
            </w:r>
            <w:r w:rsidRPr="00D5254E">
              <w:rPr>
                <w:rFonts w:ascii="Times New Roman" w:hAnsi="Times New Roman" w:cs="Times New Roman"/>
                <w:noProof/>
                <w:webHidden/>
              </w:rPr>
              <w:fldChar w:fldCharType="end"/>
            </w:r>
          </w:hyperlink>
        </w:p>
        <w:p w14:paraId="5EEB8BDE"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81" w:history="1">
            <w:r w:rsidRPr="00D5254E">
              <w:rPr>
                <w:rStyle w:val="Hyperlink"/>
                <w:rFonts w:ascii="Times New Roman" w:hAnsi="Times New Roman" w:cs="Times New Roman"/>
                <w:i/>
                <w:iCs/>
                <w:noProof/>
              </w:rPr>
              <w:t>How to Look Good Naked</w:t>
            </w:r>
            <w:r w:rsidRPr="00D5254E">
              <w:rPr>
                <w:rStyle w:val="Hyperlink"/>
                <w:rFonts w:ascii="Times New Roman" w:hAnsi="Times New Roman" w:cs="Times New Roman"/>
                <w:noProof/>
              </w:rPr>
              <w:t xml:space="preserve"> and Dove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_Toc445202681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156</w:t>
            </w:r>
            <w:r w:rsidRPr="00D5254E">
              <w:rPr>
                <w:rFonts w:ascii="Times New Roman" w:hAnsi="Times New Roman" w:cs="Times New Roman"/>
                <w:noProof/>
                <w:webHidden/>
              </w:rPr>
              <w:fldChar w:fldCharType="end"/>
            </w:r>
          </w:hyperlink>
        </w:p>
        <w:p w14:paraId="0D61B551"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82" w:history="1">
            <w:r w:rsidRPr="00D5254E">
              <w:rPr>
                <w:rStyle w:val="Hyperlink"/>
                <w:rFonts w:ascii="Times New Roman" w:hAnsi="Times New Roman" w:cs="Times New Roman"/>
                <w:i/>
                <w:iCs/>
                <w:noProof/>
              </w:rPr>
              <w:t xml:space="preserve">Overdraft Family, </w:t>
            </w:r>
            <w:r w:rsidRPr="00D5254E">
              <w:rPr>
                <w:rStyle w:val="Hyperlink"/>
                <w:rFonts w:ascii="Times New Roman" w:hAnsi="Times New Roman" w:cs="Times New Roman"/>
                <w:noProof/>
              </w:rPr>
              <w:t>Bank Hapo’alim and Shufersal-Deal</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_Toc445202682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162</w:t>
            </w:r>
            <w:r w:rsidRPr="00D5254E">
              <w:rPr>
                <w:rFonts w:ascii="Times New Roman" w:hAnsi="Times New Roman" w:cs="Times New Roman"/>
                <w:noProof/>
                <w:webHidden/>
              </w:rPr>
              <w:fldChar w:fldCharType="end"/>
            </w:r>
          </w:hyperlink>
        </w:p>
        <w:p w14:paraId="7875ACF4"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83" w:history="1">
            <w:r w:rsidRPr="00D5254E">
              <w:rPr>
                <w:rStyle w:val="Hyperlink"/>
                <w:rFonts w:ascii="Times New Roman" w:hAnsi="Times New Roman" w:cs="Times New Roman"/>
                <w:noProof/>
                <w:lang w:bidi="ar-SA"/>
              </w:rPr>
              <w:t>Product Placement</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_Toc445202683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169</w:t>
            </w:r>
            <w:r w:rsidRPr="00D5254E">
              <w:rPr>
                <w:rFonts w:ascii="Times New Roman" w:hAnsi="Times New Roman" w:cs="Times New Roman"/>
                <w:noProof/>
                <w:webHidden/>
              </w:rPr>
              <w:fldChar w:fldCharType="end"/>
            </w:r>
          </w:hyperlink>
        </w:p>
        <w:p w14:paraId="55790640"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84" w:history="1">
            <w:r w:rsidRPr="00D5254E">
              <w:rPr>
                <w:rStyle w:val="Hyperlink"/>
                <w:rFonts w:ascii="Times New Roman" w:hAnsi="Times New Roman" w:cs="Times New Roman"/>
                <w:i/>
                <w:iCs/>
                <w:noProof/>
              </w:rPr>
              <w:t>How to Look Good Naked</w:t>
            </w:r>
            <w:r w:rsidRPr="00D5254E">
              <w:rPr>
                <w:rStyle w:val="Hyperlink"/>
                <w:rFonts w:ascii="Times New Roman" w:hAnsi="Times New Roman" w:cs="Times New Roman"/>
                <w:noProof/>
              </w:rPr>
              <w:t xml:space="preserve"> and Dove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_Toc445202684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170</w:t>
            </w:r>
            <w:r w:rsidRPr="00D5254E">
              <w:rPr>
                <w:rFonts w:ascii="Times New Roman" w:hAnsi="Times New Roman" w:cs="Times New Roman"/>
                <w:noProof/>
                <w:webHidden/>
              </w:rPr>
              <w:fldChar w:fldCharType="end"/>
            </w:r>
          </w:hyperlink>
        </w:p>
        <w:p w14:paraId="1EF19799"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85" w:history="1">
            <w:r w:rsidRPr="00D5254E">
              <w:rPr>
                <w:rStyle w:val="Hyperlink"/>
                <w:rFonts w:ascii="Times New Roman" w:hAnsi="Times New Roman" w:cs="Times New Roman"/>
                <w:i/>
                <w:iCs/>
                <w:noProof/>
              </w:rPr>
              <w:t xml:space="preserve">Overdraft Family, </w:t>
            </w:r>
            <w:r w:rsidRPr="00D5254E">
              <w:rPr>
                <w:rStyle w:val="Hyperlink"/>
                <w:rFonts w:ascii="Times New Roman" w:hAnsi="Times New Roman" w:cs="Times New Roman"/>
                <w:noProof/>
              </w:rPr>
              <w:t>Bank Hapo’alim and Shufersal-Deal</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_Toc445202685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174</w:t>
            </w:r>
            <w:r w:rsidRPr="00D5254E">
              <w:rPr>
                <w:rFonts w:ascii="Times New Roman" w:hAnsi="Times New Roman" w:cs="Times New Roman"/>
                <w:noProof/>
                <w:webHidden/>
              </w:rPr>
              <w:fldChar w:fldCharType="end"/>
            </w:r>
          </w:hyperlink>
        </w:p>
        <w:p w14:paraId="355193F6"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86" w:history="1">
            <w:r w:rsidRPr="00D5254E">
              <w:rPr>
                <w:rStyle w:val="Hyperlink"/>
                <w:rFonts w:ascii="Times New Roman" w:hAnsi="Times New Roman" w:cs="Times New Roman"/>
                <w:noProof/>
                <w:lang w:bidi="ar-SA"/>
              </w:rPr>
              <w:t>Summary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_Toc445202686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177</w:t>
            </w:r>
            <w:r w:rsidRPr="00D5254E">
              <w:rPr>
                <w:rFonts w:ascii="Times New Roman" w:hAnsi="Times New Roman" w:cs="Times New Roman"/>
                <w:noProof/>
                <w:webHidden/>
              </w:rPr>
              <w:fldChar w:fldCharType="end"/>
            </w:r>
          </w:hyperlink>
        </w:p>
        <w:p w14:paraId="15A613DE" w14:textId="77777777" w:rsidR="00BB5B5A" w:rsidRPr="00D5254E" w:rsidRDefault="00BB5B5A" w:rsidP="00D5254E">
          <w:pPr>
            <w:pStyle w:val="TOC1"/>
            <w:rPr>
              <w:rFonts w:ascii="Times New Roman" w:eastAsiaTheme="minorEastAsia" w:hAnsi="Times New Roman" w:cs="Times New Roman"/>
              <w:noProof/>
              <w:lang w:val="en-US"/>
            </w:rPr>
          </w:pPr>
          <w:hyperlink w:anchor="_Toc445202687" w:history="1">
            <w:r w:rsidRPr="00D5254E">
              <w:rPr>
                <w:rStyle w:val="Hyperlink"/>
                <w:rFonts w:ascii="Times New Roman" w:hAnsi="Times New Roman" w:cs="Times New Roman"/>
                <w:b/>
                <w:bCs/>
                <w:noProof/>
                <w:lang w:bidi="ar-SA"/>
              </w:rPr>
              <w:t>Chapter 6</w:t>
            </w:r>
            <w:r w:rsidRPr="00D5254E">
              <w:rPr>
                <w:rStyle w:val="Hyperlink"/>
                <w:rFonts w:ascii="Times New Roman" w:hAnsi="Times New Roman" w:cs="Times New Roman"/>
                <w:noProof/>
                <w:lang w:bidi="ar-SA"/>
              </w:rPr>
              <w:t xml:space="preserve">  Between Television and Online: Continuous Integration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_Toc445202687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180</w:t>
            </w:r>
            <w:r w:rsidRPr="00D5254E">
              <w:rPr>
                <w:rFonts w:ascii="Times New Roman" w:hAnsi="Times New Roman" w:cs="Times New Roman"/>
                <w:noProof/>
                <w:webHidden/>
              </w:rPr>
              <w:fldChar w:fldCharType="end"/>
            </w:r>
          </w:hyperlink>
        </w:p>
        <w:p w14:paraId="1F54FAC6"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88" w:history="1">
            <w:r w:rsidRPr="00D5254E">
              <w:rPr>
                <w:rStyle w:val="Hyperlink"/>
                <w:rFonts w:ascii="Times New Roman" w:hAnsi="Times New Roman" w:cs="Times New Roman"/>
                <w:noProof/>
                <w:lang w:bidi="ar-SA"/>
              </w:rPr>
              <w:t>Introduction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_Toc445202688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180</w:t>
            </w:r>
            <w:r w:rsidRPr="00D5254E">
              <w:rPr>
                <w:rFonts w:ascii="Times New Roman" w:hAnsi="Times New Roman" w:cs="Times New Roman"/>
                <w:noProof/>
                <w:webHidden/>
              </w:rPr>
              <w:fldChar w:fldCharType="end"/>
            </w:r>
          </w:hyperlink>
        </w:p>
        <w:p w14:paraId="1A255094"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89" w:history="1">
            <w:r w:rsidRPr="00D5254E">
              <w:rPr>
                <w:rStyle w:val="Hyperlink"/>
                <w:rFonts w:ascii="Times New Roman" w:hAnsi="Times New Roman" w:cs="Times New Roman"/>
                <w:noProof/>
                <w:lang w:bidi="ar-SA"/>
              </w:rPr>
              <w:t>Television: Between Advertising and Content</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_Toc445202689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181</w:t>
            </w:r>
            <w:r w:rsidRPr="00D5254E">
              <w:rPr>
                <w:rFonts w:ascii="Times New Roman" w:hAnsi="Times New Roman" w:cs="Times New Roman"/>
                <w:noProof/>
                <w:webHidden/>
              </w:rPr>
              <w:fldChar w:fldCharType="end"/>
            </w:r>
          </w:hyperlink>
        </w:p>
        <w:p w14:paraId="2490FEA8"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90" w:history="1">
            <w:r w:rsidRPr="00D5254E">
              <w:rPr>
                <w:rStyle w:val="Hyperlink"/>
                <w:rFonts w:ascii="Times New Roman" w:hAnsi="Times New Roman" w:cs="Times New Roman"/>
                <w:noProof/>
              </w:rPr>
              <w:t>Regulation of Sponsorship Credits and Commercial Vignettes in the UK and Israel</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_Toc445202690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182</w:t>
            </w:r>
            <w:r w:rsidRPr="00D5254E">
              <w:rPr>
                <w:rFonts w:ascii="Times New Roman" w:hAnsi="Times New Roman" w:cs="Times New Roman"/>
                <w:noProof/>
                <w:webHidden/>
              </w:rPr>
              <w:fldChar w:fldCharType="end"/>
            </w:r>
          </w:hyperlink>
        </w:p>
        <w:p w14:paraId="6986320B" w14:textId="48ECE7B7" w:rsidR="00BB5B5A" w:rsidRPr="00D5254E" w:rsidRDefault="00BB5B5A" w:rsidP="00115EBC">
          <w:pPr>
            <w:pStyle w:val="TOC3"/>
            <w:tabs>
              <w:tab w:val="right" w:leader="dot" w:pos="9350"/>
            </w:tabs>
            <w:rPr>
              <w:rFonts w:ascii="Times New Roman" w:eastAsiaTheme="minorEastAsia" w:hAnsi="Times New Roman" w:cs="Times New Roman"/>
              <w:noProof/>
              <w:lang w:val="en-US"/>
            </w:rPr>
          </w:pPr>
          <w:hyperlink w:anchor="_Toc445202691" w:history="1">
            <w:r w:rsidRPr="00D5254E">
              <w:rPr>
                <w:rStyle w:val="Hyperlink"/>
                <w:rFonts w:ascii="Times New Roman" w:hAnsi="Times New Roman" w:cs="Times New Roman"/>
                <w:i/>
                <w:iCs/>
                <w:noProof/>
              </w:rPr>
              <w:t>How to Look Good Naked</w:t>
            </w:r>
            <w:r w:rsidRPr="00D5254E">
              <w:rPr>
                <w:rStyle w:val="Hyperlink"/>
                <w:rFonts w:ascii="Times New Roman" w:hAnsi="Times New Roman" w:cs="Times New Roman"/>
                <w:noProof/>
              </w:rPr>
              <w:t xml:space="preserve"> and Dove: Sponsorship Credits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_Toc445202691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184</w:t>
            </w:r>
            <w:r w:rsidRPr="00D5254E">
              <w:rPr>
                <w:rFonts w:ascii="Times New Roman" w:hAnsi="Times New Roman" w:cs="Times New Roman"/>
                <w:noProof/>
                <w:webHidden/>
              </w:rPr>
              <w:fldChar w:fldCharType="end"/>
            </w:r>
          </w:hyperlink>
        </w:p>
        <w:p w14:paraId="5C3AC6FB"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92" w:history="1">
            <w:r w:rsidRPr="00D5254E">
              <w:rPr>
                <w:rStyle w:val="Hyperlink"/>
                <w:rFonts w:ascii="Times New Roman" w:hAnsi="Times New Roman" w:cs="Times New Roman"/>
                <w:i/>
                <w:iCs/>
                <w:noProof/>
              </w:rPr>
              <w:t>Overdraft Family</w:t>
            </w:r>
            <w:r w:rsidRPr="00D5254E">
              <w:rPr>
                <w:rStyle w:val="Hyperlink"/>
                <w:rFonts w:ascii="Times New Roman" w:hAnsi="Times New Roman" w:cs="Times New Roman"/>
                <w:noProof/>
              </w:rPr>
              <w:t>, Shufersal-Deal and Bank Hapo’alim: Commercial Vignettes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_Toc445202692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189</w:t>
            </w:r>
            <w:r w:rsidRPr="00D5254E">
              <w:rPr>
                <w:rFonts w:ascii="Times New Roman" w:hAnsi="Times New Roman" w:cs="Times New Roman"/>
                <w:noProof/>
                <w:webHidden/>
              </w:rPr>
              <w:fldChar w:fldCharType="end"/>
            </w:r>
          </w:hyperlink>
        </w:p>
        <w:p w14:paraId="55F0761B"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93" w:history="1">
            <w:r w:rsidRPr="00D5254E">
              <w:rPr>
                <w:rStyle w:val="Hyperlink"/>
                <w:rFonts w:ascii="Times New Roman" w:hAnsi="Times New Roman" w:cs="Times New Roman"/>
                <w:noProof/>
              </w:rPr>
              <w:t>Commercial ‘Shell’ to Programming</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_Toc445202693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197</w:t>
            </w:r>
            <w:r w:rsidRPr="00D5254E">
              <w:rPr>
                <w:rFonts w:ascii="Times New Roman" w:hAnsi="Times New Roman" w:cs="Times New Roman"/>
                <w:noProof/>
                <w:webHidden/>
              </w:rPr>
              <w:fldChar w:fldCharType="end"/>
            </w:r>
          </w:hyperlink>
        </w:p>
        <w:p w14:paraId="04EFCB5F"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694" w:history="1">
            <w:r w:rsidRPr="00D5254E">
              <w:rPr>
                <w:rStyle w:val="Hyperlink"/>
                <w:rFonts w:ascii="Times New Roman" w:hAnsi="Times New Roman" w:cs="Times New Roman"/>
                <w:noProof/>
                <w:lang w:bidi="ar-SA"/>
              </w:rPr>
              <w:t>Across Platforms: Shifting Audiences from Television to Other Platforms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_Toc445202694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198</w:t>
            </w:r>
            <w:r w:rsidRPr="00D5254E">
              <w:rPr>
                <w:rFonts w:ascii="Times New Roman" w:hAnsi="Times New Roman" w:cs="Times New Roman"/>
                <w:noProof/>
                <w:webHidden/>
              </w:rPr>
              <w:fldChar w:fldCharType="end"/>
            </w:r>
          </w:hyperlink>
        </w:p>
        <w:p w14:paraId="7E599BA7"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95" w:history="1">
            <w:r w:rsidRPr="00D5254E">
              <w:rPr>
                <w:rStyle w:val="Hyperlink"/>
                <w:rFonts w:ascii="Times New Roman" w:hAnsi="Times New Roman" w:cs="Times New Roman"/>
                <w:i/>
                <w:iCs/>
                <w:noProof/>
              </w:rPr>
              <w:t>How to Look Good Naked</w:t>
            </w:r>
            <w:r w:rsidRPr="00D5254E">
              <w:rPr>
                <w:rStyle w:val="Hyperlink"/>
                <w:rFonts w:ascii="Times New Roman" w:hAnsi="Times New Roman" w:cs="Times New Roman"/>
                <w:noProof/>
              </w:rPr>
              <w:t xml:space="preserve"> and Dove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_Toc445202695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199</w:t>
            </w:r>
            <w:r w:rsidRPr="00D5254E">
              <w:rPr>
                <w:rFonts w:ascii="Times New Roman" w:hAnsi="Times New Roman" w:cs="Times New Roman"/>
                <w:noProof/>
                <w:webHidden/>
              </w:rPr>
              <w:fldChar w:fldCharType="end"/>
            </w:r>
          </w:hyperlink>
        </w:p>
        <w:p w14:paraId="4EB552F3"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96" w:history="1">
            <w:r w:rsidRPr="00D5254E">
              <w:rPr>
                <w:rStyle w:val="Hyperlink"/>
                <w:rFonts w:ascii="Times New Roman" w:hAnsi="Times New Roman" w:cs="Times New Roman"/>
                <w:i/>
                <w:iCs/>
                <w:noProof/>
              </w:rPr>
              <w:t>Overdraft Family</w:t>
            </w:r>
            <w:r w:rsidRPr="00D5254E">
              <w:rPr>
                <w:rStyle w:val="Hyperlink"/>
                <w:rFonts w:ascii="Times New Roman" w:hAnsi="Times New Roman" w:cs="Times New Roman"/>
                <w:noProof/>
              </w:rPr>
              <w:t>, Shufersal-Deal and Bank Hapo’alim</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_Toc445202696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204</w:t>
            </w:r>
            <w:r w:rsidRPr="00D5254E">
              <w:rPr>
                <w:rFonts w:ascii="Times New Roman" w:hAnsi="Times New Roman" w:cs="Times New Roman"/>
                <w:noProof/>
                <w:webHidden/>
              </w:rPr>
              <w:fldChar w:fldCharType="end"/>
            </w:r>
          </w:hyperlink>
        </w:p>
        <w:p w14:paraId="1D3C02BB"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97" w:history="1">
            <w:r w:rsidRPr="00D5254E">
              <w:rPr>
                <w:rStyle w:val="Hyperlink"/>
                <w:rFonts w:ascii="Times New Roman" w:hAnsi="Times New Roman" w:cs="Times New Roman"/>
                <w:noProof/>
              </w:rPr>
              <w:t>Multiple Platforms: A Joint Venture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_Toc445202697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211</w:t>
            </w:r>
            <w:r w:rsidRPr="00D5254E">
              <w:rPr>
                <w:rFonts w:ascii="Times New Roman" w:hAnsi="Times New Roman" w:cs="Times New Roman"/>
                <w:noProof/>
                <w:webHidden/>
              </w:rPr>
              <w:fldChar w:fldCharType="end"/>
            </w:r>
          </w:hyperlink>
        </w:p>
        <w:p w14:paraId="22417A3B"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98" w:history="1">
            <w:r w:rsidRPr="00D5254E">
              <w:rPr>
                <w:rStyle w:val="Hyperlink"/>
                <w:rFonts w:ascii="Times New Roman" w:hAnsi="Times New Roman" w:cs="Times New Roman"/>
                <w:noProof/>
              </w:rPr>
              <w:t>Internet: Between Advertising and Content</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_Toc445202698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213</w:t>
            </w:r>
            <w:r w:rsidRPr="00D5254E">
              <w:rPr>
                <w:rFonts w:ascii="Times New Roman" w:hAnsi="Times New Roman" w:cs="Times New Roman"/>
                <w:noProof/>
                <w:webHidden/>
              </w:rPr>
              <w:fldChar w:fldCharType="end"/>
            </w:r>
          </w:hyperlink>
        </w:p>
        <w:p w14:paraId="44FAE90C"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699" w:history="1">
            <w:r w:rsidRPr="00D5254E">
              <w:rPr>
                <w:rStyle w:val="Hyperlink"/>
                <w:rFonts w:ascii="Times New Roman" w:hAnsi="Times New Roman" w:cs="Times New Roman"/>
                <w:i/>
                <w:iCs/>
                <w:noProof/>
              </w:rPr>
              <w:t>How to Look Good Naked</w:t>
            </w:r>
            <w:r w:rsidRPr="00D5254E">
              <w:rPr>
                <w:rStyle w:val="Hyperlink"/>
                <w:rFonts w:ascii="Times New Roman" w:hAnsi="Times New Roman" w:cs="Times New Roman"/>
                <w:noProof/>
              </w:rPr>
              <w:t xml:space="preserve"> and Dove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_Toc445202699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215</w:t>
            </w:r>
            <w:r w:rsidRPr="00D5254E">
              <w:rPr>
                <w:rFonts w:ascii="Times New Roman" w:hAnsi="Times New Roman" w:cs="Times New Roman"/>
                <w:noProof/>
                <w:webHidden/>
              </w:rPr>
              <w:fldChar w:fldCharType="end"/>
            </w:r>
          </w:hyperlink>
        </w:p>
        <w:p w14:paraId="68CB535D"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700" w:history="1">
            <w:r w:rsidRPr="00D5254E">
              <w:rPr>
                <w:rStyle w:val="Hyperlink"/>
                <w:rFonts w:ascii="Times New Roman" w:hAnsi="Times New Roman" w:cs="Times New Roman"/>
                <w:i/>
                <w:iCs/>
                <w:noProof/>
              </w:rPr>
              <w:t>Overdraft Family</w:t>
            </w:r>
            <w:r w:rsidRPr="00D5254E">
              <w:rPr>
                <w:rStyle w:val="Hyperlink"/>
                <w:rFonts w:ascii="Times New Roman" w:hAnsi="Times New Roman" w:cs="Times New Roman"/>
                <w:noProof/>
              </w:rPr>
              <w:t>, Shufersal-Deal and Bank Hapo’alim</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_Toc445202700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220</w:t>
            </w:r>
            <w:r w:rsidRPr="00D5254E">
              <w:rPr>
                <w:rFonts w:ascii="Times New Roman" w:hAnsi="Times New Roman" w:cs="Times New Roman"/>
                <w:noProof/>
                <w:webHidden/>
              </w:rPr>
              <w:fldChar w:fldCharType="end"/>
            </w:r>
          </w:hyperlink>
        </w:p>
        <w:p w14:paraId="5B4A071A"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01" w:history="1">
            <w:r w:rsidRPr="00D5254E">
              <w:rPr>
                <w:rStyle w:val="Hyperlink"/>
                <w:rFonts w:ascii="Times New Roman" w:hAnsi="Times New Roman" w:cs="Times New Roman"/>
                <w:noProof/>
                <w:lang w:bidi="ar-SA"/>
              </w:rPr>
              <w:t>Summary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_Toc445202701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225</w:t>
            </w:r>
            <w:r w:rsidRPr="00D5254E">
              <w:rPr>
                <w:rFonts w:ascii="Times New Roman" w:hAnsi="Times New Roman" w:cs="Times New Roman"/>
                <w:noProof/>
                <w:webHidden/>
              </w:rPr>
              <w:fldChar w:fldCharType="end"/>
            </w:r>
          </w:hyperlink>
        </w:p>
        <w:p w14:paraId="41FF5500" w14:textId="77777777" w:rsidR="00BB5B5A" w:rsidRPr="00D5254E" w:rsidRDefault="00BB5B5A" w:rsidP="00D5254E">
          <w:pPr>
            <w:pStyle w:val="TOC1"/>
            <w:rPr>
              <w:rFonts w:ascii="Times New Roman" w:eastAsiaTheme="minorEastAsia" w:hAnsi="Times New Roman" w:cs="Times New Roman"/>
              <w:noProof/>
              <w:lang w:val="en-US"/>
            </w:rPr>
          </w:pPr>
          <w:hyperlink w:anchor="_Toc445202702" w:history="1">
            <w:r w:rsidRPr="00D5254E">
              <w:rPr>
                <w:rStyle w:val="Hyperlink"/>
                <w:rFonts w:ascii="Times New Roman" w:hAnsi="Times New Roman" w:cs="Times New Roman"/>
                <w:b/>
                <w:bCs/>
                <w:noProof/>
                <w:lang w:bidi="ar-SA"/>
              </w:rPr>
              <w:t xml:space="preserve">Chapter 7 </w:t>
            </w:r>
            <w:r w:rsidRPr="00D5254E">
              <w:rPr>
                <w:rStyle w:val="Hyperlink"/>
                <w:rFonts w:ascii="Times New Roman" w:hAnsi="Times New Roman" w:cs="Times New Roman"/>
                <w:noProof/>
                <w:lang w:bidi="ar-SA"/>
              </w:rPr>
              <w:t xml:space="preserve"> Challenges to Regulation, Harms to the Public Sphere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_Toc445202702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229</w:t>
            </w:r>
            <w:r w:rsidRPr="00D5254E">
              <w:rPr>
                <w:rFonts w:ascii="Times New Roman" w:hAnsi="Times New Roman" w:cs="Times New Roman"/>
                <w:noProof/>
                <w:webHidden/>
              </w:rPr>
              <w:fldChar w:fldCharType="end"/>
            </w:r>
          </w:hyperlink>
        </w:p>
        <w:p w14:paraId="7B6CB1B2"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03" w:history="1">
            <w:r w:rsidRPr="00D5254E">
              <w:rPr>
                <w:rStyle w:val="Hyperlink"/>
                <w:rFonts w:ascii="Times New Roman" w:hAnsi="Times New Roman" w:cs="Times New Roman"/>
                <w:noProof/>
                <w:lang w:bidi="ar-SA"/>
              </w:rPr>
              <w:t>Introduction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_Toc445202703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229</w:t>
            </w:r>
            <w:r w:rsidRPr="00D5254E">
              <w:rPr>
                <w:rFonts w:ascii="Times New Roman" w:hAnsi="Times New Roman" w:cs="Times New Roman"/>
                <w:noProof/>
                <w:webHidden/>
              </w:rPr>
              <w:fldChar w:fldCharType="end"/>
            </w:r>
          </w:hyperlink>
        </w:p>
        <w:p w14:paraId="13E9EB8F"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04" w:history="1">
            <w:r w:rsidRPr="00D5254E">
              <w:rPr>
                <w:rStyle w:val="Hyperlink"/>
                <w:rFonts w:ascii="Times New Roman" w:hAnsi="Times New Roman" w:cs="Times New Roman"/>
                <w:noProof/>
                <w:lang w:bidi="ar-SA"/>
              </w:rPr>
              <w:t>A Conflict Zone</w:t>
            </w:r>
            <w:r w:rsidRPr="00D5254E">
              <w:rPr>
                <w:rFonts w:ascii="Times New Roman" w:hAnsi="Times New Roman" w:cs="Times New Roman"/>
                <w:noProof/>
                <w:webHidden/>
              </w:rPr>
              <w:tab/>
            </w:r>
            <w:r w:rsidRPr="008B4DC3">
              <w:rPr>
                <w:rFonts w:ascii="Times New Roman" w:hAnsi="Times New Roman" w:cs="Times New Roman"/>
                <w:noProof/>
                <w:webHidden/>
              </w:rPr>
              <w:fldChar w:fldCharType="begin"/>
            </w:r>
            <w:r w:rsidRPr="008B4DC3">
              <w:rPr>
                <w:rFonts w:ascii="Times New Roman" w:hAnsi="Times New Roman" w:cs="Times New Roman"/>
                <w:noProof/>
                <w:webHidden/>
              </w:rPr>
              <w:instrText xml:space="preserve"> PAGEREF _Toc445202704 \h </w:instrText>
            </w:r>
            <w:r w:rsidRPr="008B4DC3">
              <w:rPr>
                <w:rFonts w:ascii="Times New Roman" w:hAnsi="Times New Roman" w:cs="Times New Roman"/>
                <w:noProof/>
                <w:webHidden/>
              </w:rPr>
            </w:r>
            <w:r w:rsidRPr="008B4DC3">
              <w:rPr>
                <w:rFonts w:ascii="Times New Roman" w:hAnsi="Times New Roman" w:cs="Times New Roman"/>
                <w:noProof/>
                <w:webHidden/>
              </w:rPr>
              <w:fldChar w:fldCharType="separate"/>
            </w:r>
            <w:r w:rsidR="00C7351B">
              <w:rPr>
                <w:rFonts w:ascii="Times New Roman" w:hAnsi="Times New Roman" w:cs="Times New Roman"/>
                <w:noProof/>
                <w:webHidden/>
              </w:rPr>
              <w:t>230</w:t>
            </w:r>
            <w:r w:rsidRPr="008B4DC3">
              <w:rPr>
                <w:rFonts w:ascii="Times New Roman" w:hAnsi="Times New Roman" w:cs="Times New Roman"/>
                <w:noProof/>
                <w:webHidden/>
              </w:rPr>
              <w:fldChar w:fldCharType="end"/>
            </w:r>
          </w:hyperlink>
        </w:p>
        <w:p w14:paraId="0FFE8406"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05" w:history="1">
            <w:r w:rsidRPr="00D5254E">
              <w:rPr>
                <w:rStyle w:val="Hyperlink"/>
                <w:rFonts w:ascii="Times New Roman" w:hAnsi="Times New Roman" w:cs="Times New Roman"/>
                <w:noProof/>
                <w:lang w:bidi="ar-SA"/>
              </w:rPr>
              <w:t>Regulation of Product Placement, Sponsorship and Native Advertising</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_Toc445202705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236</w:t>
            </w:r>
            <w:r w:rsidRPr="00D5254E">
              <w:rPr>
                <w:rFonts w:ascii="Times New Roman" w:hAnsi="Times New Roman" w:cs="Times New Roman"/>
                <w:noProof/>
                <w:webHidden/>
              </w:rPr>
              <w:fldChar w:fldCharType="end"/>
            </w:r>
          </w:hyperlink>
        </w:p>
        <w:p w14:paraId="321BA110"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706" w:history="1">
            <w:r w:rsidRPr="00D5254E">
              <w:rPr>
                <w:rStyle w:val="Hyperlink"/>
                <w:rFonts w:ascii="Times New Roman" w:hAnsi="Times New Roman" w:cs="Times New Roman"/>
                <w:noProof/>
                <w:lang w:bidi="ar-SA"/>
              </w:rPr>
              <w:t>American Regulation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_Toc445202706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237</w:t>
            </w:r>
            <w:r w:rsidRPr="00D5254E">
              <w:rPr>
                <w:rFonts w:ascii="Times New Roman" w:hAnsi="Times New Roman" w:cs="Times New Roman"/>
                <w:noProof/>
                <w:webHidden/>
              </w:rPr>
              <w:fldChar w:fldCharType="end"/>
            </w:r>
          </w:hyperlink>
        </w:p>
        <w:p w14:paraId="68FEB635"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707" w:history="1">
            <w:r w:rsidRPr="00D5254E">
              <w:rPr>
                <w:rStyle w:val="Hyperlink"/>
                <w:rFonts w:ascii="Times New Roman" w:hAnsi="Times New Roman" w:cs="Times New Roman"/>
                <w:noProof/>
              </w:rPr>
              <w:t>European and British Regulation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_Toc445202707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239</w:t>
            </w:r>
            <w:r w:rsidRPr="00D5254E">
              <w:rPr>
                <w:rFonts w:ascii="Times New Roman" w:hAnsi="Times New Roman" w:cs="Times New Roman"/>
                <w:noProof/>
                <w:webHidden/>
              </w:rPr>
              <w:fldChar w:fldCharType="end"/>
            </w:r>
          </w:hyperlink>
        </w:p>
        <w:p w14:paraId="0EA0EF77" w14:textId="77777777" w:rsidR="00BB5B5A" w:rsidRPr="00D5254E" w:rsidRDefault="00BB5B5A">
          <w:pPr>
            <w:pStyle w:val="TOC3"/>
            <w:tabs>
              <w:tab w:val="right" w:leader="dot" w:pos="9350"/>
            </w:tabs>
            <w:rPr>
              <w:rFonts w:ascii="Times New Roman" w:eastAsiaTheme="minorEastAsia" w:hAnsi="Times New Roman" w:cs="Times New Roman"/>
              <w:noProof/>
              <w:lang w:val="en-US"/>
            </w:rPr>
          </w:pPr>
          <w:hyperlink w:anchor="_Toc445202708" w:history="1">
            <w:r w:rsidRPr="00D5254E">
              <w:rPr>
                <w:rStyle w:val="Hyperlink"/>
                <w:rFonts w:ascii="Times New Roman" w:hAnsi="Times New Roman" w:cs="Times New Roman"/>
                <w:noProof/>
                <w:lang w:bidi="ar-SA"/>
              </w:rPr>
              <w:t>Israeli Regulation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_Toc445202708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250</w:t>
            </w:r>
            <w:r w:rsidRPr="00D5254E">
              <w:rPr>
                <w:rFonts w:ascii="Times New Roman" w:hAnsi="Times New Roman" w:cs="Times New Roman"/>
                <w:noProof/>
                <w:webHidden/>
              </w:rPr>
              <w:fldChar w:fldCharType="end"/>
            </w:r>
          </w:hyperlink>
        </w:p>
        <w:p w14:paraId="4F0F6466" w14:textId="77777777"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09" w:history="1">
            <w:r w:rsidRPr="00D5254E">
              <w:rPr>
                <w:rStyle w:val="Hyperlink"/>
                <w:rFonts w:ascii="Times New Roman" w:hAnsi="Times New Roman" w:cs="Times New Roman"/>
                <w:noProof/>
                <w:lang w:bidi="ar-SA"/>
              </w:rPr>
              <w:t>The Case Studies and Regulation of Product Placement and Sponsorship</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_Toc445202709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253</w:t>
            </w:r>
            <w:r w:rsidRPr="00D5254E">
              <w:rPr>
                <w:rFonts w:ascii="Times New Roman" w:hAnsi="Times New Roman" w:cs="Times New Roman"/>
                <w:noProof/>
                <w:webHidden/>
              </w:rPr>
              <w:fldChar w:fldCharType="end"/>
            </w:r>
          </w:hyperlink>
        </w:p>
        <w:p w14:paraId="1C8B716D" w14:textId="589F0AC2"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10" w:history="1">
            <w:r w:rsidRPr="00D5254E">
              <w:rPr>
                <w:rStyle w:val="Hyperlink"/>
                <w:rFonts w:ascii="Times New Roman" w:hAnsi="Times New Roman" w:cs="Times New Roman"/>
                <w:noProof/>
                <w:lang w:bidi="ar-SA"/>
              </w:rPr>
              <w:t>Challenges to Regulation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_Toc445202710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256</w:t>
            </w:r>
            <w:r w:rsidRPr="00D5254E">
              <w:rPr>
                <w:rFonts w:ascii="Times New Roman" w:hAnsi="Times New Roman" w:cs="Times New Roman"/>
                <w:noProof/>
                <w:webHidden/>
              </w:rPr>
              <w:fldChar w:fldCharType="end"/>
            </w:r>
          </w:hyperlink>
        </w:p>
        <w:p w14:paraId="2C8B2A4E" w14:textId="686C8F70"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11" w:history="1">
            <w:r w:rsidRPr="00D5254E">
              <w:rPr>
                <w:rStyle w:val="Hyperlink"/>
                <w:rFonts w:ascii="Times New Roman" w:hAnsi="Times New Roman" w:cs="Times New Roman"/>
                <w:noProof/>
                <w:lang w:bidi="ar-SA"/>
              </w:rPr>
              <w:t>Harms to the Cultural Public Sphere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_Toc445202711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261</w:t>
            </w:r>
            <w:r w:rsidRPr="00D5254E">
              <w:rPr>
                <w:rFonts w:ascii="Times New Roman" w:hAnsi="Times New Roman" w:cs="Times New Roman"/>
                <w:noProof/>
                <w:webHidden/>
              </w:rPr>
              <w:fldChar w:fldCharType="end"/>
            </w:r>
          </w:hyperlink>
        </w:p>
        <w:p w14:paraId="71E2C5A7" w14:textId="4C6B1DBD"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12" w:history="1">
            <w:r w:rsidRPr="00D5254E">
              <w:rPr>
                <w:rStyle w:val="Hyperlink"/>
                <w:rFonts w:ascii="Times New Roman" w:hAnsi="Times New Roman" w:cs="Times New Roman"/>
                <w:noProof/>
                <w:lang w:bidi="ar-SA"/>
              </w:rPr>
              <w:t>Summary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_Toc445202712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265</w:t>
            </w:r>
            <w:r w:rsidRPr="00D5254E">
              <w:rPr>
                <w:rFonts w:ascii="Times New Roman" w:hAnsi="Times New Roman" w:cs="Times New Roman"/>
                <w:noProof/>
                <w:webHidden/>
              </w:rPr>
              <w:fldChar w:fldCharType="end"/>
            </w:r>
          </w:hyperlink>
        </w:p>
        <w:p w14:paraId="23C59746" w14:textId="4460C04A" w:rsidR="00BB5B5A" w:rsidRPr="00D5254E" w:rsidRDefault="00BB5B5A" w:rsidP="00D5254E">
          <w:pPr>
            <w:pStyle w:val="TOC1"/>
            <w:rPr>
              <w:rFonts w:ascii="Times New Roman" w:eastAsiaTheme="minorEastAsia" w:hAnsi="Times New Roman" w:cs="Times New Roman"/>
              <w:noProof/>
              <w:lang w:val="en-US"/>
            </w:rPr>
          </w:pPr>
          <w:hyperlink w:anchor="_Toc445202713" w:history="1">
            <w:r w:rsidRPr="00D5254E">
              <w:rPr>
                <w:rStyle w:val="Hyperlink"/>
                <w:rFonts w:ascii="Times New Roman" w:hAnsi="Times New Roman" w:cs="Times New Roman"/>
                <w:b/>
                <w:bCs/>
                <w:noProof/>
                <w:lang w:bidi="ar-SA"/>
              </w:rPr>
              <w:t>Conclusions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_Toc445202713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268</w:t>
            </w:r>
            <w:r w:rsidRPr="00D5254E">
              <w:rPr>
                <w:rFonts w:ascii="Times New Roman" w:hAnsi="Times New Roman" w:cs="Times New Roman"/>
                <w:noProof/>
                <w:webHidden/>
              </w:rPr>
              <w:fldChar w:fldCharType="end"/>
            </w:r>
          </w:hyperlink>
        </w:p>
        <w:p w14:paraId="6E4918CA" w14:textId="4EBDAE8C"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14" w:history="1">
            <w:r w:rsidRPr="00D5254E">
              <w:rPr>
                <w:rStyle w:val="Hyperlink"/>
                <w:rFonts w:ascii="Times New Roman" w:hAnsi="Times New Roman" w:cs="Times New Roman"/>
                <w:noProof/>
                <w:lang w:bidi="ar-SA"/>
              </w:rPr>
              <w:t>Research Topic and Research Questions</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_Toc445202714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268</w:t>
            </w:r>
            <w:r w:rsidRPr="00D5254E">
              <w:rPr>
                <w:rFonts w:ascii="Times New Roman" w:hAnsi="Times New Roman" w:cs="Times New Roman"/>
                <w:noProof/>
                <w:webHidden/>
              </w:rPr>
              <w:fldChar w:fldCharType="end"/>
            </w:r>
          </w:hyperlink>
        </w:p>
        <w:p w14:paraId="0548FEB7" w14:textId="5DDE1EA1"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15" w:history="1">
            <w:r w:rsidRPr="00D5254E">
              <w:rPr>
                <w:rStyle w:val="Hyperlink"/>
                <w:rFonts w:ascii="Times New Roman" w:hAnsi="Times New Roman" w:cs="Times New Roman"/>
                <w:noProof/>
                <w:lang w:bidi="ar-SA"/>
              </w:rPr>
              <w:t>The ‘Branded Content’ Market</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_Toc445202715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269</w:t>
            </w:r>
            <w:r w:rsidRPr="00D5254E">
              <w:rPr>
                <w:rFonts w:ascii="Times New Roman" w:hAnsi="Times New Roman" w:cs="Times New Roman"/>
                <w:noProof/>
                <w:webHidden/>
              </w:rPr>
              <w:fldChar w:fldCharType="end"/>
            </w:r>
          </w:hyperlink>
        </w:p>
        <w:p w14:paraId="5C60535F" w14:textId="2D49E44D"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16" w:history="1">
            <w:r w:rsidRPr="00D5254E">
              <w:rPr>
                <w:rStyle w:val="Hyperlink"/>
                <w:rFonts w:ascii="Times New Roman" w:hAnsi="Times New Roman" w:cs="Times New Roman"/>
                <w:noProof/>
                <w:lang w:bidi="ar-SA"/>
              </w:rPr>
              <w:t>The Age of Hyper-Hyper Commercialisation</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_Toc445202716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276</w:t>
            </w:r>
            <w:r w:rsidRPr="00D5254E">
              <w:rPr>
                <w:rFonts w:ascii="Times New Roman" w:hAnsi="Times New Roman" w:cs="Times New Roman"/>
                <w:noProof/>
                <w:webHidden/>
              </w:rPr>
              <w:fldChar w:fldCharType="end"/>
            </w:r>
          </w:hyperlink>
        </w:p>
        <w:p w14:paraId="766B59BF" w14:textId="06C82156"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17" w:history="1">
            <w:r w:rsidRPr="00D5254E">
              <w:rPr>
                <w:rStyle w:val="Hyperlink"/>
                <w:rFonts w:ascii="Times New Roman" w:hAnsi="Times New Roman" w:cs="Times New Roman"/>
                <w:noProof/>
                <w:lang w:bidi="ar-SA"/>
              </w:rPr>
              <w:t>Harms to the Cultural Public Sphere</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_Toc445202717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281</w:t>
            </w:r>
            <w:r w:rsidRPr="00D5254E">
              <w:rPr>
                <w:rFonts w:ascii="Times New Roman" w:hAnsi="Times New Roman" w:cs="Times New Roman"/>
                <w:noProof/>
                <w:webHidden/>
              </w:rPr>
              <w:fldChar w:fldCharType="end"/>
            </w:r>
          </w:hyperlink>
        </w:p>
        <w:p w14:paraId="0F5EE65B" w14:textId="153DF8A3" w:rsidR="00BB5B5A" w:rsidRPr="00D5254E" w:rsidRDefault="00BB5B5A">
          <w:pPr>
            <w:pStyle w:val="TOC2"/>
            <w:tabs>
              <w:tab w:val="right" w:leader="dot" w:pos="9350"/>
            </w:tabs>
            <w:rPr>
              <w:rFonts w:ascii="Times New Roman" w:eastAsiaTheme="minorEastAsia" w:hAnsi="Times New Roman" w:cs="Times New Roman"/>
              <w:noProof/>
              <w:lang w:val="en-US"/>
            </w:rPr>
          </w:pPr>
          <w:hyperlink w:anchor="_Toc445202718" w:history="1">
            <w:r w:rsidRPr="00D5254E">
              <w:rPr>
                <w:rStyle w:val="Hyperlink"/>
                <w:rFonts w:ascii="Times New Roman" w:hAnsi="Times New Roman" w:cs="Times New Roman"/>
                <w:noProof/>
                <w:lang w:bidi="ar-SA"/>
              </w:rPr>
              <w:t>Contribution to Knowledge, Policy Recommendations, Limitations of the Research and a Look Forward</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_Toc445202718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285</w:t>
            </w:r>
            <w:r w:rsidRPr="00D5254E">
              <w:rPr>
                <w:rFonts w:ascii="Times New Roman" w:hAnsi="Times New Roman" w:cs="Times New Roman"/>
                <w:noProof/>
                <w:webHidden/>
              </w:rPr>
              <w:fldChar w:fldCharType="end"/>
            </w:r>
          </w:hyperlink>
        </w:p>
        <w:p w14:paraId="46B7EF2D" w14:textId="169D5431" w:rsidR="00BB5B5A" w:rsidRPr="00D5254E" w:rsidRDefault="00BB5B5A" w:rsidP="00D5254E">
          <w:pPr>
            <w:pStyle w:val="TOC1"/>
            <w:rPr>
              <w:rFonts w:ascii="Times New Roman" w:eastAsiaTheme="minorEastAsia" w:hAnsi="Times New Roman" w:cs="Times New Roman"/>
              <w:noProof/>
              <w:lang w:val="en-US"/>
            </w:rPr>
          </w:pPr>
          <w:hyperlink w:anchor="_Toc445202719" w:history="1">
            <w:r w:rsidRPr="00D5254E">
              <w:rPr>
                <w:rStyle w:val="Hyperlink"/>
                <w:rFonts w:ascii="Times New Roman" w:hAnsi="Times New Roman" w:cs="Times New Roman"/>
                <w:b/>
                <w:bCs/>
                <w:noProof/>
                <w:lang w:bidi="ar-SA"/>
              </w:rPr>
              <w:t>Bibliography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_Toc445202719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294</w:t>
            </w:r>
            <w:r w:rsidRPr="00D5254E">
              <w:rPr>
                <w:rFonts w:ascii="Times New Roman" w:hAnsi="Times New Roman" w:cs="Times New Roman"/>
                <w:noProof/>
                <w:webHidden/>
              </w:rPr>
              <w:fldChar w:fldCharType="end"/>
            </w:r>
          </w:hyperlink>
        </w:p>
        <w:p w14:paraId="195F5B14" w14:textId="7EA412F9" w:rsidR="00BB5B5A" w:rsidRPr="00D5254E" w:rsidRDefault="00BB5B5A" w:rsidP="00D5254E">
          <w:pPr>
            <w:pStyle w:val="TOC1"/>
            <w:rPr>
              <w:rFonts w:ascii="Times New Roman" w:eastAsiaTheme="minorEastAsia" w:hAnsi="Times New Roman" w:cs="Times New Roman"/>
              <w:noProof/>
              <w:lang w:val="en-US"/>
            </w:rPr>
          </w:pPr>
          <w:hyperlink w:anchor="_Toc445202720" w:history="1">
            <w:r w:rsidRPr="00D5254E">
              <w:rPr>
                <w:rStyle w:val="Hyperlink"/>
                <w:rFonts w:ascii="Times New Roman" w:hAnsi="Times New Roman" w:cs="Times New Roman"/>
                <w:noProof/>
                <w:lang w:bidi="ar-SA"/>
              </w:rPr>
              <w:t>Appendix 1: Background Interviews, UK</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_Toc445202720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308</w:t>
            </w:r>
            <w:r w:rsidRPr="00D5254E">
              <w:rPr>
                <w:rFonts w:ascii="Times New Roman" w:hAnsi="Times New Roman" w:cs="Times New Roman"/>
                <w:noProof/>
                <w:webHidden/>
              </w:rPr>
              <w:fldChar w:fldCharType="end"/>
            </w:r>
          </w:hyperlink>
        </w:p>
        <w:p w14:paraId="7A35DDE9" w14:textId="7778DFAD" w:rsidR="00BB5B5A" w:rsidRPr="00D5254E" w:rsidRDefault="00BB5B5A" w:rsidP="00D5254E">
          <w:pPr>
            <w:pStyle w:val="TOC1"/>
            <w:rPr>
              <w:rFonts w:ascii="Times New Roman" w:eastAsiaTheme="minorEastAsia" w:hAnsi="Times New Roman" w:cs="Times New Roman"/>
              <w:noProof/>
              <w:lang w:val="en-US"/>
            </w:rPr>
          </w:pPr>
          <w:hyperlink w:anchor="_Toc445202721" w:history="1">
            <w:r w:rsidRPr="00D5254E">
              <w:rPr>
                <w:rStyle w:val="Hyperlink"/>
                <w:rFonts w:ascii="Times New Roman" w:hAnsi="Times New Roman" w:cs="Times New Roman"/>
                <w:noProof/>
                <w:lang w:bidi="ar-SA"/>
              </w:rPr>
              <w:t>Appendix 2: Background Interviews, Israel</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_Toc445202721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309</w:t>
            </w:r>
            <w:r w:rsidRPr="00D5254E">
              <w:rPr>
                <w:rFonts w:ascii="Times New Roman" w:hAnsi="Times New Roman" w:cs="Times New Roman"/>
                <w:noProof/>
                <w:webHidden/>
              </w:rPr>
              <w:fldChar w:fldCharType="end"/>
            </w:r>
          </w:hyperlink>
        </w:p>
        <w:p w14:paraId="7F8F3711" w14:textId="7329EE8C" w:rsidR="00BB5B5A" w:rsidRPr="00D5254E" w:rsidRDefault="00BB5B5A" w:rsidP="00D5254E">
          <w:pPr>
            <w:pStyle w:val="TOC1"/>
            <w:rPr>
              <w:rFonts w:ascii="Times New Roman" w:eastAsiaTheme="minorEastAsia" w:hAnsi="Times New Roman" w:cs="Times New Roman"/>
              <w:noProof/>
              <w:lang w:val="en-US"/>
            </w:rPr>
          </w:pPr>
          <w:hyperlink w:anchor="_Toc445202722" w:history="1">
            <w:r w:rsidRPr="00D5254E">
              <w:rPr>
                <w:rStyle w:val="Hyperlink"/>
                <w:rFonts w:ascii="Times New Roman" w:hAnsi="Times New Roman" w:cs="Times New Roman"/>
                <w:noProof/>
                <w:lang w:bidi="ar-SA"/>
              </w:rPr>
              <w:t>Appendix 3: Interviews for the British Case Study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_Toc445202722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310</w:t>
            </w:r>
            <w:r w:rsidRPr="00D5254E">
              <w:rPr>
                <w:rFonts w:ascii="Times New Roman" w:hAnsi="Times New Roman" w:cs="Times New Roman"/>
                <w:noProof/>
                <w:webHidden/>
              </w:rPr>
              <w:fldChar w:fldCharType="end"/>
            </w:r>
          </w:hyperlink>
        </w:p>
        <w:p w14:paraId="34407818" w14:textId="2AB1770F" w:rsidR="00BB5B5A" w:rsidRPr="00D5254E" w:rsidRDefault="00BB5B5A" w:rsidP="00D5254E">
          <w:pPr>
            <w:pStyle w:val="TOC1"/>
            <w:rPr>
              <w:rFonts w:ascii="Times New Roman" w:eastAsiaTheme="minorEastAsia" w:hAnsi="Times New Roman" w:cs="Times New Roman"/>
              <w:noProof/>
              <w:lang w:val="en-US"/>
            </w:rPr>
          </w:pPr>
          <w:hyperlink w:anchor="_Toc445202723" w:history="1">
            <w:r w:rsidRPr="00D5254E">
              <w:rPr>
                <w:rStyle w:val="Hyperlink"/>
                <w:rFonts w:ascii="Times New Roman" w:hAnsi="Times New Roman" w:cs="Times New Roman"/>
                <w:noProof/>
                <w:lang w:bidi="ar-SA"/>
              </w:rPr>
              <w:t>Appendix 4: Interviews for the Israeli Case Study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_Toc445202723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311</w:t>
            </w:r>
            <w:r w:rsidRPr="00D5254E">
              <w:rPr>
                <w:rFonts w:ascii="Times New Roman" w:hAnsi="Times New Roman" w:cs="Times New Roman"/>
                <w:noProof/>
                <w:webHidden/>
              </w:rPr>
              <w:fldChar w:fldCharType="end"/>
            </w:r>
          </w:hyperlink>
        </w:p>
        <w:p w14:paraId="284C005F" w14:textId="75313A36" w:rsidR="00BB5B5A" w:rsidRPr="00D5254E" w:rsidRDefault="00BB5B5A" w:rsidP="00D5254E">
          <w:pPr>
            <w:pStyle w:val="TOC1"/>
            <w:rPr>
              <w:rFonts w:ascii="Times New Roman" w:eastAsiaTheme="minorEastAsia" w:hAnsi="Times New Roman" w:cs="Times New Roman"/>
              <w:noProof/>
              <w:lang w:val="en-US"/>
            </w:rPr>
          </w:pPr>
          <w:hyperlink w:anchor="_Toc445202724" w:history="1">
            <w:r w:rsidRPr="00D5254E">
              <w:rPr>
                <w:rStyle w:val="Hyperlink"/>
                <w:rFonts w:ascii="Times New Roman" w:hAnsi="Times New Roman" w:cs="Times New Roman"/>
                <w:noProof/>
                <w:lang w:bidi="ar-SA"/>
              </w:rPr>
              <w:t>Appendix 5: Internal Documents, British Case Study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_Toc445202724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312</w:t>
            </w:r>
            <w:r w:rsidRPr="00D5254E">
              <w:rPr>
                <w:rFonts w:ascii="Times New Roman" w:hAnsi="Times New Roman" w:cs="Times New Roman"/>
                <w:noProof/>
                <w:webHidden/>
              </w:rPr>
              <w:fldChar w:fldCharType="end"/>
            </w:r>
          </w:hyperlink>
        </w:p>
        <w:p w14:paraId="06B6F337" w14:textId="7C93198F" w:rsidR="00BB5B5A" w:rsidRPr="00D5254E" w:rsidRDefault="00BB5B5A" w:rsidP="00D5254E">
          <w:pPr>
            <w:pStyle w:val="TOC1"/>
            <w:rPr>
              <w:rFonts w:ascii="Times New Roman" w:eastAsiaTheme="minorEastAsia" w:hAnsi="Times New Roman" w:cs="Times New Roman"/>
              <w:noProof/>
              <w:lang w:val="en-US"/>
            </w:rPr>
          </w:pPr>
          <w:hyperlink w:anchor="_Toc445202725" w:history="1">
            <w:r w:rsidRPr="00D5254E">
              <w:rPr>
                <w:rStyle w:val="Hyperlink"/>
                <w:rFonts w:ascii="Times New Roman" w:hAnsi="Times New Roman" w:cs="Times New Roman"/>
                <w:noProof/>
                <w:lang w:bidi="ar-SA"/>
              </w:rPr>
              <w:t>Appendix 6: Internal Documents, Israeli Case Study</w:t>
            </w:r>
            <w:r w:rsidRPr="00D5254E">
              <w:rPr>
                <w:rFonts w:ascii="Times New Roman" w:hAnsi="Times New Roman" w:cs="Times New Roman"/>
                <w:noProof/>
                <w:webHidden/>
              </w:rPr>
              <w:tab/>
            </w:r>
            <w:r w:rsidRPr="00D5254E">
              <w:rPr>
                <w:rFonts w:ascii="Times New Roman" w:hAnsi="Times New Roman" w:cs="Times New Roman"/>
                <w:noProof/>
                <w:webHidden/>
              </w:rPr>
              <w:fldChar w:fldCharType="begin"/>
            </w:r>
            <w:r w:rsidRPr="00D5254E">
              <w:rPr>
                <w:rFonts w:ascii="Times New Roman" w:hAnsi="Times New Roman" w:cs="Times New Roman"/>
                <w:noProof/>
                <w:webHidden/>
              </w:rPr>
              <w:instrText xml:space="preserve"> PAGEREF _Toc445202725 \h </w:instrText>
            </w:r>
            <w:r w:rsidRPr="00D5254E">
              <w:rPr>
                <w:rFonts w:ascii="Times New Roman" w:hAnsi="Times New Roman" w:cs="Times New Roman"/>
                <w:noProof/>
                <w:webHidden/>
              </w:rPr>
            </w:r>
            <w:r w:rsidRPr="00D5254E">
              <w:rPr>
                <w:rFonts w:ascii="Times New Roman" w:hAnsi="Times New Roman" w:cs="Times New Roman"/>
                <w:noProof/>
                <w:webHidden/>
              </w:rPr>
              <w:fldChar w:fldCharType="separate"/>
            </w:r>
            <w:r w:rsidR="00C7351B">
              <w:rPr>
                <w:rFonts w:ascii="Times New Roman" w:hAnsi="Times New Roman" w:cs="Times New Roman"/>
                <w:noProof/>
                <w:webHidden/>
              </w:rPr>
              <w:t>313</w:t>
            </w:r>
            <w:r w:rsidRPr="00D5254E">
              <w:rPr>
                <w:rFonts w:ascii="Times New Roman" w:hAnsi="Times New Roman" w:cs="Times New Roman"/>
                <w:noProof/>
                <w:webHidden/>
              </w:rPr>
              <w:fldChar w:fldCharType="end"/>
            </w:r>
          </w:hyperlink>
        </w:p>
        <w:p w14:paraId="62131670" w14:textId="77777777" w:rsidR="00497B7D" w:rsidRPr="009962EC" w:rsidRDefault="008B6373" w:rsidP="00346CA5">
          <w:pPr>
            <w:rPr>
              <w:rFonts w:asciiTheme="majorBidi" w:hAnsiTheme="majorBidi" w:cstheme="majorBidi"/>
              <w:sz w:val="24"/>
              <w:szCs w:val="24"/>
            </w:rPr>
          </w:pPr>
          <w:r w:rsidRPr="00D5254E">
            <w:rPr>
              <w:rFonts w:ascii="Times New Roman" w:hAnsi="Times New Roman" w:cs="Times New Roman"/>
              <w:b/>
              <w:bCs/>
              <w:noProof/>
            </w:rPr>
            <w:fldChar w:fldCharType="end"/>
          </w:r>
        </w:p>
      </w:sdtContent>
    </w:sdt>
    <w:p w14:paraId="1150C219" w14:textId="77777777" w:rsidR="00497B7D" w:rsidRPr="003D3BE3" w:rsidRDefault="00497B7D" w:rsidP="00346CA5">
      <w:pPr>
        <w:spacing w:line="360" w:lineRule="auto"/>
        <w:rPr>
          <w:rFonts w:ascii="Times New Roman" w:hAnsi="Times New Roman" w:cs="Times New Roman"/>
        </w:rPr>
      </w:pPr>
      <w:r w:rsidRPr="003D3BE3">
        <w:rPr>
          <w:rFonts w:ascii="Times New Roman" w:hAnsi="Times New Roman" w:cs="Times New Roman"/>
        </w:rPr>
        <w:br w:type="page"/>
      </w:r>
    </w:p>
    <w:p w14:paraId="6232F2C6" w14:textId="77777777" w:rsidR="003D3BE3" w:rsidRPr="003D3BE3" w:rsidRDefault="003D3BE3" w:rsidP="004D2F72">
      <w:pPr>
        <w:pStyle w:val="Heading1"/>
      </w:pPr>
      <w:bookmarkStart w:id="1" w:name="_Toc445202619"/>
      <w:r w:rsidRPr="003D3BE3">
        <w:lastRenderedPageBreak/>
        <w:t>Table of Figures</w:t>
      </w:r>
      <w:bookmarkEnd w:id="1"/>
    </w:p>
    <w:p w14:paraId="112E6052" w14:textId="77777777" w:rsidR="00D5254E" w:rsidRPr="00BF6DD3" w:rsidRDefault="008B6373"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r w:rsidRPr="003D3BE3">
        <w:rPr>
          <w:rFonts w:ascii="Times New Roman" w:hAnsi="Times New Roman" w:cs="Times New Roman"/>
        </w:rPr>
        <w:fldChar w:fldCharType="begin"/>
      </w:r>
      <w:r w:rsidR="00497B7D" w:rsidRPr="003D3BE3">
        <w:rPr>
          <w:rFonts w:ascii="Times New Roman" w:hAnsi="Times New Roman" w:cs="Times New Roman"/>
        </w:rPr>
        <w:instrText xml:space="preserve"> TOC \h \z \t "Heading 6" \c </w:instrText>
      </w:r>
      <w:r w:rsidRPr="003D3BE3">
        <w:rPr>
          <w:rFonts w:ascii="Times New Roman" w:hAnsi="Times New Roman" w:cs="Times New Roman"/>
        </w:rPr>
        <w:fldChar w:fldCharType="separate"/>
      </w:r>
      <w:hyperlink w:anchor="_Toc445120226" w:history="1">
        <w:r w:rsidR="00D5254E" w:rsidRPr="00BF6DD3">
          <w:rPr>
            <w:rStyle w:val="Hyperlink"/>
            <w:rFonts w:ascii="Times New Roman" w:hAnsi="Times New Roman" w:cs="Times New Roman"/>
            <w:noProof/>
            <w:sz w:val="24"/>
            <w:szCs w:val="24"/>
          </w:rPr>
          <w:t xml:space="preserve">Figure 1: ‘The </w:t>
        </w:r>
        <w:r w:rsidR="00D5254E" w:rsidRPr="00BF6DD3">
          <w:rPr>
            <w:rStyle w:val="Hyperlink"/>
            <w:rFonts w:ascii="Times New Roman" w:hAnsi="Times New Roman" w:cs="Times New Roman"/>
            <w:iCs/>
            <w:noProof/>
            <w:sz w:val="24"/>
            <w:szCs w:val="24"/>
          </w:rPr>
          <w:t>Dove</w:t>
        </w:r>
        <w:r w:rsidR="00D5254E" w:rsidRPr="00BF6DD3">
          <w:rPr>
            <w:rStyle w:val="Hyperlink"/>
            <w:rFonts w:ascii="Times New Roman" w:hAnsi="Times New Roman" w:cs="Times New Roman"/>
            <w:noProof/>
            <w:sz w:val="24"/>
            <w:szCs w:val="24"/>
          </w:rPr>
          <w:t xml:space="preserve"> moment’, </w:t>
        </w:r>
        <w:r w:rsidR="00D5254E" w:rsidRPr="00BF6DD3">
          <w:rPr>
            <w:rStyle w:val="Hyperlink"/>
            <w:rFonts w:ascii="Times New Roman" w:hAnsi="Times New Roman" w:cs="Times New Roman"/>
            <w:i/>
            <w:iCs/>
            <w:noProof/>
            <w:sz w:val="24"/>
            <w:szCs w:val="24"/>
          </w:rPr>
          <w:t>How to Look Good Naked</w:t>
        </w:r>
        <w:r w:rsidR="00D5254E" w:rsidRPr="00BF6DD3">
          <w:rPr>
            <w:rStyle w:val="Hyperlink"/>
            <w:rFonts w:ascii="Times New Roman" w:hAnsi="Times New Roman" w:cs="Times New Roman"/>
            <w:noProof/>
            <w:sz w:val="24"/>
            <w:szCs w:val="24"/>
          </w:rPr>
          <w:t>, Channel 4</w:t>
        </w:r>
        <w:r w:rsidR="00D5254E" w:rsidRPr="00BF6DD3">
          <w:rPr>
            <w:rFonts w:ascii="Times New Roman" w:hAnsi="Times New Roman" w:cs="Times New Roman"/>
            <w:noProof/>
            <w:webHidden/>
            <w:sz w:val="24"/>
            <w:szCs w:val="24"/>
          </w:rPr>
          <w:tab/>
        </w:r>
        <w:r w:rsidR="00D5254E" w:rsidRPr="00BF6DD3">
          <w:rPr>
            <w:rFonts w:ascii="Times New Roman" w:hAnsi="Times New Roman" w:cs="Times New Roman"/>
            <w:noProof/>
            <w:webHidden/>
            <w:sz w:val="24"/>
            <w:szCs w:val="24"/>
          </w:rPr>
          <w:fldChar w:fldCharType="begin"/>
        </w:r>
        <w:r w:rsidR="00D5254E" w:rsidRPr="00BF6DD3">
          <w:rPr>
            <w:rFonts w:ascii="Times New Roman" w:hAnsi="Times New Roman" w:cs="Times New Roman"/>
            <w:noProof/>
            <w:webHidden/>
            <w:sz w:val="24"/>
            <w:szCs w:val="24"/>
          </w:rPr>
          <w:instrText xml:space="preserve"> PAGEREF _Toc445120226 \h </w:instrText>
        </w:r>
        <w:r w:rsidR="00D5254E" w:rsidRPr="00BF6DD3">
          <w:rPr>
            <w:rFonts w:ascii="Times New Roman" w:hAnsi="Times New Roman" w:cs="Times New Roman"/>
            <w:noProof/>
            <w:webHidden/>
            <w:sz w:val="24"/>
            <w:szCs w:val="24"/>
          </w:rPr>
        </w:r>
        <w:r w:rsidR="00D5254E"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131</w:t>
        </w:r>
        <w:r w:rsidR="00D5254E" w:rsidRPr="00BF6DD3">
          <w:rPr>
            <w:rFonts w:ascii="Times New Roman" w:hAnsi="Times New Roman" w:cs="Times New Roman"/>
            <w:noProof/>
            <w:webHidden/>
            <w:sz w:val="24"/>
            <w:szCs w:val="24"/>
          </w:rPr>
          <w:fldChar w:fldCharType="end"/>
        </w:r>
      </w:hyperlink>
    </w:p>
    <w:p w14:paraId="3B31D9D2"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27" w:history="1">
        <w:r w:rsidRPr="006515A1">
          <w:rPr>
            <w:rStyle w:val="Hyperlink"/>
            <w:rFonts w:ascii="Times New Roman" w:hAnsi="Times New Roman" w:cs="Times New Roman"/>
            <w:noProof/>
            <w:sz w:val="24"/>
            <w:szCs w:val="24"/>
          </w:rPr>
          <w:t>Figure 2: Firming cream ad, group version, Dove</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_Toc445120227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147</w:t>
        </w:r>
        <w:r w:rsidRPr="00BF6DD3">
          <w:rPr>
            <w:rFonts w:ascii="Times New Roman" w:hAnsi="Times New Roman" w:cs="Times New Roman"/>
            <w:noProof/>
            <w:webHidden/>
            <w:sz w:val="24"/>
            <w:szCs w:val="24"/>
          </w:rPr>
          <w:fldChar w:fldCharType="end"/>
        </w:r>
      </w:hyperlink>
    </w:p>
    <w:p w14:paraId="396B744B"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29" w:history="1">
        <w:r w:rsidRPr="006515A1">
          <w:rPr>
            <w:rStyle w:val="Hyperlink"/>
            <w:rFonts w:ascii="Times New Roman" w:hAnsi="Times New Roman" w:cs="Times New Roman"/>
            <w:noProof/>
            <w:sz w:val="24"/>
            <w:szCs w:val="24"/>
          </w:rPr>
          <w:t xml:space="preserve">Figure 4: An ‘after’ nudity photo, </w:t>
        </w:r>
        <w:r w:rsidRPr="006515A1">
          <w:rPr>
            <w:rStyle w:val="Hyperlink"/>
            <w:rFonts w:ascii="Times New Roman" w:hAnsi="Times New Roman" w:cs="Times New Roman"/>
            <w:i/>
            <w:iCs/>
            <w:noProof/>
            <w:sz w:val="24"/>
            <w:szCs w:val="24"/>
          </w:rPr>
          <w:t>HTLGN</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_Toc445120229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149</w:t>
        </w:r>
        <w:r w:rsidRPr="00BF6DD3">
          <w:rPr>
            <w:rFonts w:ascii="Times New Roman" w:hAnsi="Times New Roman" w:cs="Times New Roman"/>
            <w:noProof/>
            <w:webHidden/>
            <w:sz w:val="24"/>
            <w:szCs w:val="24"/>
          </w:rPr>
          <w:fldChar w:fldCharType="end"/>
        </w:r>
      </w:hyperlink>
    </w:p>
    <w:p w14:paraId="6A59449A"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30" w:history="1">
        <w:r w:rsidRPr="006515A1">
          <w:rPr>
            <w:rStyle w:val="Hyperlink"/>
            <w:rFonts w:ascii="Times New Roman" w:hAnsi="Times New Roman" w:cs="Times New Roman"/>
            <w:noProof/>
            <w:sz w:val="24"/>
            <w:szCs w:val="24"/>
          </w:rPr>
          <w:t>Figure 5: Pro-Age product line</w:t>
        </w:r>
        <w:r>
          <w:rPr>
            <w:rStyle w:val="Hyperlink"/>
            <w:rFonts w:ascii="Times New Roman" w:hAnsi="Times New Roman" w:cs="Times New Roman"/>
            <w:noProof/>
            <w:sz w:val="24"/>
            <w:szCs w:val="24"/>
          </w:rPr>
          <w:t>,</w:t>
        </w:r>
        <w:r w:rsidRPr="006515A1">
          <w:rPr>
            <w:rStyle w:val="Hyperlink"/>
            <w:rFonts w:ascii="Times New Roman" w:hAnsi="Times New Roman" w:cs="Times New Roman"/>
            <w:noProof/>
            <w:sz w:val="24"/>
            <w:szCs w:val="24"/>
          </w:rPr>
          <w:t xml:space="preserve"> </w:t>
        </w:r>
        <w:r w:rsidRPr="006515A1">
          <w:rPr>
            <w:rStyle w:val="Hyperlink"/>
            <w:rFonts w:ascii="Times New Roman" w:hAnsi="Times New Roman" w:cs="Times New Roman"/>
            <w:i/>
            <w:iCs/>
            <w:noProof/>
            <w:sz w:val="24"/>
            <w:szCs w:val="24"/>
          </w:rPr>
          <w:t>Real Beauty</w:t>
        </w:r>
        <w:r w:rsidRPr="006515A1">
          <w:rPr>
            <w:rStyle w:val="Hyperlink"/>
            <w:rFonts w:ascii="Times New Roman" w:hAnsi="Times New Roman" w:cs="Times New Roman"/>
            <w:noProof/>
            <w:sz w:val="24"/>
            <w:szCs w:val="24"/>
          </w:rPr>
          <w:t xml:space="preserve"> campaign</w:t>
        </w:r>
        <w:r>
          <w:rPr>
            <w:rStyle w:val="Hyperlink"/>
            <w:rFonts w:ascii="Times New Roman" w:hAnsi="Times New Roman" w:cs="Times New Roman"/>
            <w:noProof/>
            <w:sz w:val="24"/>
            <w:szCs w:val="24"/>
          </w:rPr>
          <w:t xml:space="preserve"> ad, Dove</w:t>
        </w:r>
        <w:r w:rsidRPr="006515A1">
          <w:rPr>
            <w:rStyle w:val="Hyperlink"/>
            <w:rFonts w:ascii="Times New Roman" w:hAnsi="Times New Roman" w:cs="Times New Roman"/>
            <w:noProof/>
            <w:sz w:val="24"/>
            <w:szCs w:val="24"/>
          </w:rPr>
          <w:t>.</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_Toc445120230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157</w:t>
        </w:r>
        <w:r w:rsidRPr="00BF6DD3">
          <w:rPr>
            <w:rFonts w:ascii="Times New Roman" w:hAnsi="Times New Roman" w:cs="Times New Roman"/>
            <w:noProof/>
            <w:webHidden/>
            <w:sz w:val="24"/>
            <w:szCs w:val="24"/>
          </w:rPr>
          <w:fldChar w:fldCharType="end"/>
        </w:r>
      </w:hyperlink>
    </w:p>
    <w:p w14:paraId="7DA9B33D"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31" w:history="1">
        <w:r w:rsidRPr="006515A1">
          <w:rPr>
            <w:rStyle w:val="Hyperlink"/>
            <w:rFonts w:ascii="Times New Roman" w:hAnsi="Times New Roman" w:cs="Times New Roman"/>
            <w:noProof/>
            <w:sz w:val="24"/>
            <w:szCs w:val="24"/>
          </w:rPr>
          <w:t>Figure 6: The ‘line up’</w:t>
        </w:r>
        <w:r>
          <w:rPr>
            <w:rStyle w:val="Hyperlink"/>
            <w:rFonts w:ascii="Times New Roman" w:hAnsi="Times New Roman" w:cs="Times New Roman"/>
            <w:noProof/>
            <w:sz w:val="24"/>
            <w:szCs w:val="24"/>
          </w:rPr>
          <w:t>,</w:t>
        </w:r>
        <w:r w:rsidRPr="006515A1">
          <w:rPr>
            <w:rStyle w:val="Hyperlink"/>
            <w:rFonts w:ascii="Times New Roman" w:hAnsi="Times New Roman" w:cs="Times New Roman"/>
            <w:noProof/>
            <w:sz w:val="24"/>
            <w:szCs w:val="24"/>
          </w:rPr>
          <w:t xml:space="preserve"> </w:t>
        </w:r>
        <w:r w:rsidRPr="006515A1">
          <w:rPr>
            <w:rStyle w:val="Hyperlink"/>
            <w:rFonts w:ascii="Times New Roman" w:hAnsi="Times New Roman" w:cs="Times New Roman"/>
            <w:i/>
            <w:iCs/>
            <w:noProof/>
            <w:sz w:val="24"/>
            <w:szCs w:val="24"/>
          </w:rPr>
          <w:t>HTLGN</w:t>
        </w:r>
        <w:r>
          <w:rPr>
            <w:rStyle w:val="Hyperlink"/>
            <w:rFonts w:ascii="Times New Roman" w:hAnsi="Times New Roman" w:cs="Times New Roman"/>
            <w:i/>
            <w:iCs/>
            <w:noProof/>
            <w:sz w:val="24"/>
            <w:szCs w:val="24"/>
          </w:rPr>
          <w:t>,</w:t>
        </w:r>
        <w:r w:rsidRPr="006515A1">
          <w:rPr>
            <w:rStyle w:val="Hyperlink"/>
            <w:rFonts w:ascii="Times New Roman" w:hAnsi="Times New Roman" w:cs="Times New Roman"/>
            <w:noProof/>
            <w:sz w:val="24"/>
            <w:szCs w:val="24"/>
          </w:rPr>
          <w:t xml:space="preserve"> USA.</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_Toc445120231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159</w:t>
        </w:r>
        <w:r w:rsidRPr="00BF6DD3">
          <w:rPr>
            <w:rFonts w:ascii="Times New Roman" w:hAnsi="Times New Roman" w:cs="Times New Roman"/>
            <w:noProof/>
            <w:webHidden/>
            <w:sz w:val="24"/>
            <w:szCs w:val="24"/>
          </w:rPr>
          <w:fldChar w:fldCharType="end"/>
        </w:r>
      </w:hyperlink>
    </w:p>
    <w:p w14:paraId="724E2F8E"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32" w:history="1">
        <w:r w:rsidRPr="006515A1">
          <w:rPr>
            <w:rStyle w:val="Hyperlink"/>
            <w:rFonts w:ascii="Times New Roman" w:hAnsi="Times New Roman" w:cs="Times New Roman"/>
            <w:noProof/>
            <w:sz w:val="24"/>
            <w:szCs w:val="24"/>
          </w:rPr>
          <w:t>Figure 7: Dove’s Real Beauty campaign ad</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_Toc445120232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160</w:t>
        </w:r>
        <w:r w:rsidRPr="00BF6DD3">
          <w:rPr>
            <w:rFonts w:ascii="Times New Roman" w:hAnsi="Times New Roman" w:cs="Times New Roman"/>
            <w:noProof/>
            <w:webHidden/>
            <w:sz w:val="24"/>
            <w:szCs w:val="24"/>
          </w:rPr>
          <w:fldChar w:fldCharType="end"/>
        </w:r>
      </w:hyperlink>
    </w:p>
    <w:p w14:paraId="3C83594A"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33" w:history="1">
        <w:r w:rsidRPr="006515A1">
          <w:rPr>
            <w:rStyle w:val="Hyperlink"/>
            <w:rFonts w:ascii="Times New Roman" w:hAnsi="Times New Roman" w:cs="Times New Roman"/>
            <w:noProof/>
            <w:sz w:val="24"/>
            <w:szCs w:val="24"/>
          </w:rPr>
          <w:t>Figure 8: ‘</w:t>
        </w:r>
        <w:r>
          <w:rPr>
            <w:rStyle w:val="Hyperlink"/>
            <w:rFonts w:ascii="Times New Roman" w:hAnsi="Times New Roman" w:cs="Times New Roman"/>
            <w:noProof/>
            <w:sz w:val="24"/>
            <w:szCs w:val="24"/>
          </w:rPr>
          <w:t>B</w:t>
        </w:r>
        <w:r w:rsidRPr="006515A1">
          <w:rPr>
            <w:rStyle w:val="Hyperlink"/>
            <w:rFonts w:ascii="Times New Roman" w:hAnsi="Times New Roman" w:cs="Times New Roman"/>
            <w:noProof/>
            <w:sz w:val="24"/>
            <w:szCs w:val="24"/>
          </w:rPr>
          <w:t>eauty debate’ ad</w:t>
        </w:r>
        <w:r>
          <w:rPr>
            <w:rStyle w:val="Hyperlink"/>
            <w:rFonts w:ascii="Times New Roman" w:hAnsi="Times New Roman" w:cs="Times New Roman"/>
            <w:noProof/>
            <w:sz w:val="24"/>
            <w:szCs w:val="24"/>
          </w:rPr>
          <w:t>, Dove</w:t>
        </w:r>
        <w:r w:rsidRPr="006515A1">
          <w:rPr>
            <w:rStyle w:val="Hyperlink"/>
            <w:rFonts w:ascii="Times New Roman" w:hAnsi="Times New Roman" w:cs="Times New Roman"/>
            <w:noProof/>
            <w:sz w:val="24"/>
            <w:szCs w:val="24"/>
          </w:rPr>
          <w:t>.</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_Toc445120233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161</w:t>
        </w:r>
        <w:r w:rsidRPr="00BF6DD3">
          <w:rPr>
            <w:rFonts w:ascii="Times New Roman" w:hAnsi="Times New Roman" w:cs="Times New Roman"/>
            <w:noProof/>
            <w:webHidden/>
            <w:sz w:val="24"/>
            <w:szCs w:val="24"/>
          </w:rPr>
          <w:fldChar w:fldCharType="end"/>
        </w:r>
      </w:hyperlink>
    </w:p>
    <w:p w14:paraId="16054BB8"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34" w:history="1">
        <w:r w:rsidRPr="006515A1">
          <w:rPr>
            <w:rStyle w:val="Hyperlink"/>
            <w:rFonts w:ascii="Times New Roman" w:hAnsi="Times New Roman" w:cs="Times New Roman"/>
            <w:noProof/>
            <w:sz w:val="24"/>
            <w:szCs w:val="24"/>
          </w:rPr>
          <w:t xml:space="preserve">Figure 9: </w:t>
        </w:r>
        <w:r>
          <w:rPr>
            <w:rStyle w:val="Hyperlink"/>
            <w:rFonts w:ascii="Times New Roman" w:hAnsi="Times New Roman" w:cs="Times New Roman"/>
            <w:noProof/>
            <w:sz w:val="24"/>
            <w:szCs w:val="24"/>
          </w:rPr>
          <w:t>N</w:t>
        </w:r>
        <w:r w:rsidRPr="006515A1">
          <w:rPr>
            <w:rStyle w:val="Hyperlink"/>
            <w:rFonts w:ascii="Times New Roman" w:hAnsi="Times New Roman" w:cs="Times New Roman"/>
            <w:noProof/>
            <w:sz w:val="24"/>
            <w:szCs w:val="24"/>
          </w:rPr>
          <w:t>udity photo</w:t>
        </w:r>
        <w:r>
          <w:rPr>
            <w:rStyle w:val="Hyperlink"/>
            <w:rFonts w:ascii="Times New Roman" w:hAnsi="Times New Roman" w:cs="Times New Roman"/>
            <w:noProof/>
            <w:sz w:val="24"/>
            <w:szCs w:val="24"/>
          </w:rPr>
          <w:t xml:space="preserve">, </w:t>
        </w:r>
        <w:r w:rsidRPr="000E264D">
          <w:rPr>
            <w:rStyle w:val="Hyperlink"/>
            <w:rFonts w:ascii="Times New Roman" w:hAnsi="Times New Roman" w:cs="Times New Roman"/>
            <w:i/>
            <w:iCs/>
            <w:noProof/>
            <w:sz w:val="24"/>
            <w:szCs w:val="24"/>
          </w:rPr>
          <w:t>HTLGN</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_Toc445120234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161</w:t>
        </w:r>
        <w:r w:rsidRPr="00BF6DD3">
          <w:rPr>
            <w:rFonts w:ascii="Times New Roman" w:hAnsi="Times New Roman" w:cs="Times New Roman"/>
            <w:noProof/>
            <w:webHidden/>
            <w:sz w:val="24"/>
            <w:szCs w:val="24"/>
          </w:rPr>
          <w:fldChar w:fldCharType="end"/>
        </w:r>
      </w:hyperlink>
    </w:p>
    <w:p w14:paraId="64369188"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35" w:history="1">
        <w:r w:rsidRPr="006515A1">
          <w:rPr>
            <w:rStyle w:val="Hyperlink"/>
            <w:rFonts w:ascii="Times New Roman" w:hAnsi="Times New Roman" w:cs="Times New Roman"/>
            <w:noProof/>
            <w:sz w:val="24"/>
            <w:szCs w:val="24"/>
          </w:rPr>
          <w:t>Figure 10: Bank Hapo’alim’s ad.</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_Toc445120235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163</w:t>
        </w:r>
        <w:r w:rsidRPr="00BF6DD3">
          <w:rPr>
            <w:rFonts w:ascii="Times New Roman" w:hAnsi="Times New Roman" w:cs="Times New Roman"/>
            <w:noProof/>
            <w:webHidden/>
            <w:sz w:val="24"/>
            <w:szCs w:val="24"/>
          </w:rPr>
          <w:fldChar w:fldCharType="end"/>
        </w:r>
      </w:hyperlink>
    </w:p>
    <w:p w14:paraId="1C79F762"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36" w:history="1">
        <w:r w:rsidRPr="006515A1">
          <w:rPr>
            <w:rStyle w:val="Hyperlink"/>
            <w:rFonts w:ascii="Times New Roman" w:hAnsi="Times New Roman" w:cs="Times New Roman"/>
            <w:noProof/>
            <w:sz w:val="24"/>
            <w:szCs w:val="24"/>
          </w:rPr>
          <w:t xml:space="preserve">Figure 11: Graphic packaging of </w:t>
        </w:r>
        <w:r w:rsidRPr="006515A1">
          <w:rPr>
            <w:rStyle w:val="Hyperlink"/>
            <w:rFonts w:ascii="Times New Roman" w:hAnsi="Times New Roman" w:cs="Times New Roman"/>
            <w:i/>
            <w:iCs/>
            <w:noProof/>
            <w:sz w:val="24"/>
            <w:szCs w:val="24"/>
          </w:rPr>
          <w:t>Overdraft Family</w:t>
        </w:r>
        <w:r w:rsidRPr="006515A1">
          <w:rPr>
            <w:rStyle w:val="Hyperlink"/>
            <w:rFonts w:ascii="Times New Roman" w:hAnsi="Times New Roman" w:cs="Times New Roman"/>
            <w:noProof/>
            <w:sz w:val="24"/>
            <w:szCs w:val="24"/>
          </w:rPr>
          <w:t xml:space="preserve"> in</w:t>
        </w:r>
        <w:r>
          <w:rPr>
            <w:rStyle w:val="Hyperlink"/>
            <w:rFonts w:ascii="Times New Roman" w:hAnsi="Times New Roman" w:cs="Times New Roman"/>
            <w:noProof/>
            <w:sz w:val="24"/>
            <w:szCs w:val="24"/>
          </w:rPr>
          <w:t>spired by</w:t>
        </w:r>
        <w:r w:rsidRPr="006515A1">
          <w:rPr>
            <w:rStyle w:val="Hyperlink"/>
            <w:rFonts w:ascii="Times New Roman" w:hAnsi="Times New Roman" w:cs="Times New Roman"/>
            <w:noProof/>
            <w:sz w:val="24"/>
            <w:szCs w:val="24"/>
          </w:rPr>
          <w:t xml:space="preserve"> Bank Hapo’alim’s branding.</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_Toc445120236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163</w:t>
        </w:r>
        <w:r w:rsidRPr="00BF6DD3">
          <w:rPr>
            <w:rFonts w:ascii="Times New Roman" w:hAnsi="Times New Roman" w:cs="Times New Roman"/>
            <w:noProof/>
            <w:webHidden/>
            <w:sz w:val="24"/>
            <w:szCs w:val="24"/>
          </w:rPr>
          <w:fldChar w:fldCharType="end"/>
        </w:r>
      </w:hyperlink>
    </w:p>
    <w:p w14:paraId="0E143070"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37" w:history="1">
        <w:r w:rsidRPr="006515A1">
          <w:rPr>
            <w:rStyle w:val="Hyperlink"/>
            <w:rFonts w:ascii="Times New Roman" w:hAnsi="Times New Roman" w:cs="Times New Roman"/>
            <w:noProof/>
            <w:sz w:val="24"/>
            <w:szCs w:val="24"/>
          </w:rPr>
          <w:t>Figure 12: A red doorbell in the spirit of Bank Hapo’alim branding.</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_Toc445120237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164</w:t>
        </w:r>
        <w:r w:rsidRPr="00BF6DD3">
          <w:rPr>
            <w:rFonts w:ascii="Times New Roman" w:hAnsi="Times New Roman" w:cs="Times New Roman"/>
            <w:noProof/>
            <w:webHidden/>
            <w:sz w:val="24"/>
            <w:szCs w:val="24"/>
          </w:rPr>
          <w:fldChar w:fldCharType="end"/>
        </w:r>
      </w:hyperlink>
    </w:p>
    <w:p w14:paraId="3792F741"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38" w:history="1">
        <w:r w:rsidRPr="006515A1">
          <w:rPr>
            <w:rStyle w:val="Hyperlink"/>
            <w:rFonts w:ascii="Times New Roman" w:hAnsi="Times New Roman" w:cs="Times New Roman"/>
            <w:noProof/>
            <w:sz w:val="24"/>
            <w:szCs w:val="24"/>
          </w:rPr>
          <w:t>Figure 13: An icon with a green element in the spirit of Bank Discount.</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_Toc445120238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164</w:t>
        </w:r>
        <w:r w:rsidRPr="00BF6DD3">
          <w:rPr>
            <w:rFonts w:ascii="Times New Roman" w:hAnsi="Times New Roman" w:cs="Times New Roman"/>
            <w:noProof/>
            <w:webHidden/>
            <w:sz w:val="24"/>
            <w:szCs w:val="24"/>
          </w:rPr>
          <w:fldChar w:fldCharType="end"/>
        </w:r>
      </w:hyperlink>
    </w:p>
    <w:p w14:paraId="1C2445CB"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39" w:history="1">
        <w:r w:rsidRPr="006515A1">
          <w:rPr>
            <w:rStyle w:val="Hyperlink"/>
            <w:rFonts w:ascii="Times New Roman" w:hAnsi="Times New Roman" w:cs="Times New Roman"/>
            <w:noProof/>
            <w:sz w:val="24"/>
            <w:szCs w:val="24"/>
          </w:rPr>
          <w:t xml:space="preserve">Figure 14: </w:t>
        </w:r>
        <w:r>
          <w:rPr>
            <w:rStyle w:val="Hyperlink"/>
            <w:rFonts w:ascii="Times New Roman" w:hAnsi="Times New Roman" w:cs="Times New Roman"/>
            <w:noProof/>
            <w:sz w:val="24"/>
            <w:szCs w:val="24"/>
          </w:rPr>
          <w:t>G</w:t>
        </w:r>
        <w:r w:rsidRPr="006515A1">
          <w:rPr>
            <w:rStyle w:val="Hyperlink"/>
            <w:rFonts w:ascii="Times New Roman" w:hAnsi="Times New Roman" w:cs="Times New Roman"/>
            <w:noProof/>
            <w:sz w:val="24"/>
            <w:szCs w:val="24"/>
          </w:rPr>
          <w:t>raphic design of financial reports</w:t>
        </w:r>
        <w:r>
          <w:rPr>
            <w:rStyle w:val="Hyperlink"/>
            <w:rFonts w:ascii="Times New Roman" w:hAnsi="Times New Roman" w:cs="Times New Roman"/>
            <w:noProof/>
            <w:sz w:val="24"/>
            <w:szCs w:val="24"/>
          </w:rPr>
          <w:t xml:space="preserve">, </w:t>
        </w:r>
        <w:r>
          <w:rPr>
            <w:rStyle w:val="Hyperlink"/>
            <w:rFonts w:ascii="Times New Roman" w:hAnsi="Times New Roman" w:cs="Times New Roman"/>
            <w:i/>
            <w:iCs/>
            <w:noProof/>
            <w:sz w:val="24"/>
            <w:szCs w:val="24"/>
          </w:rPr>
          <w:t>Overdraft Family</w:t>
        </w:r>
        <w:r>
          <w:rPr>
            <w:rStyle w:val="Hyperlink"/>
            <w:rFonts w:ascii="Times New Roman" w:hAnsi="Times New Roman" w:cs="Times New Roman"/>
            <w:noProof/>
            <w:sz w:val="24"/>
            <w:szCs w:val="24"/>
          </w:rPr>
          <w:t>,</w:t>
        </w:r>
        <w:r w:rsidRPr="006515A1">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S</w:t>
        </w:r>
        <w:r w:rsidRPr="006515A1">
          <w:rPr>
            <w:rStyle w:val="Hyperlink"/>
            <w:rFonts w:ascii="Times New Roman" w:hAnsi="Times New Roman" w:cs="Times New Roman"/>
            <w:noProof/>
            <w:sz w:val="24"/>
            <w:szCs w:val="24"/>
          </w:rPr>
          <w:t xml:space="preserve">econd </w:t>
        </w:r>
        <w:r>
          <w:rPr>
            <w:rStyle w:val="Hyperlink"/>
            <w:rFonts w:ascii="Times New Roman" w:hAnsi="Times New Roman" w:cs="Times New Roman"/>
            <w:noProof/>
            <w:sz w:val="24"/>
            <w:szCs w:val="24"/>
          </w:rPr>
          <w:t>S</w:t>
        </w:r>
        <w:r w:rsidRPr="006515A1">
          <w:rPr>
            <w:rStyle w:val="Hyperlink"/>
            <w:rFonts w:ascii="Times New Roman" w:hAnsi="Times New Roman" w:cs="Times New Roman"/>
            <w:noProof/>
            <w:sz w:val="24"/>
            <w:szCs w:val="24"/>
          </w:rPr>
          <w:t>eries</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_Toc445120239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166</w:t>
        </w:r>
        <w:r w:rsidRPr="00BF6DD3">
          <w:rPr>
            <w:rFonts w:ascii="Times New Roman" w:hAnsi="Times New Roman" w:cs="Times New Roman"/>
            <w:noProof/>
            <w:webHidden/>
            <w:sz w:val="24"/>
            <w:szCs w:val="24"/>
          </w:rPr>
          <w:fldChar w:fldCharType="end"/>
        </w:r>
      </w:hyperlink>
    </w:p>
    <w:p w14:paraId="369633AB"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40" w:history="1">
        <w:r w:rsidRPr="006515A1">
          <w:rPr>
            <w:rStyle w:val="Hyperlink"/>
            <w:rFonts w:ascii="Times New Roman" w:hAnsi="Times New Roman" w:cs="Times New Roman"/>
            <w:noProof/>
            <w:sz w:val="24"/>
            <w:szCs w:val="24"/>
          </w:rPr>
          <w:t xml:space="preserve">Figure 15: </w:t>
        </w:r>
        <w:r>
          <w:rPr>
            <w:rStyle w:val="Hyperlink"/>
            <w:rFonts w:ascii="Times New Roman" w:hAnsi="Times New Roman" w:cs="Times New Roman"/>
            <w:noProof/>
            <w:sz w:val="24"/>
            <w:szCs w:val="24"/>
          </w:rPr>
          <w:t>‘B</w:t>
        </w:r>
        <w:r w:rsidRPr="006515A1">
          <w:rPr>
            <w:rStyle w:val="Hyperlink"/>
            <w:rFonts w:ascii="Times New Roman" w:hAnsi="Times New Roman" w:cs="Times New Roman"/>
            <w:noProof/>
            <w:sz w:val="24"/>
            <w:szCs w:val="24"/>
          </w:rPr>
          <w:t>randed’ graphic design of financial reports</w:t>
        </w:r>
        <w:r>
          <w:rPr>
            <w:rStyle w:val="Hyperlink"/>
            <w:rFonts w:ascii="Times New Roman" w:hAnsi="Times New Roman" w:cs="Times New Roman"/>
            <w:noProof/>
            <w:sz w:val="24"/>
            <w:szCs w:val="24"/>
          </w:rPr>
          <w:t xml:space="preserve">, </w:t>
        </w:r>
        <w:r w:rsidRPr="000E264D">
          <w:rPr>
            <w:rStyle w:val="Hyperlink"/>
            <w:rFonts w:ascii="Times New Roman" w:hAnsi="Times New Roman" w:cs="Times New Roman"/>
            <w:i/>
            <w:iCs/>
            <w:noProof/>
            <w:sz w:val="24"/>
            <w:szCs w:val="24"/>
          </w:rPr>
          <w:t>Overdraft Family</w:t>
        </w:r>
        <w:r w:rsidRPr="000E264D">
          <w:rPr>
            <w:rStyle w:val="Hyperlink"/>
            <w:rFonts w:ascii="Times New Roman" w:hAnsi="Times New Roman" w:cs="Times New Roman"/>
            <w:noProof/>
            <w:sz w:val="24"/>
            <w:szCs w:val="24"/>
          </w:rPr>
          <w:t>,</w:t>
        </w:r>
        <w:r>
          <w:rPr>
            <w:rStyle w:val="Hyperlink"/>
            <w:rFonts w:ascii="Times New Roman" w:hAnsi="Times New Roman" w:cs="Times New Roman"/>
            <w:noProof/>
            <w:sz w:val="24"/>
            <w:szCs w:val="24"/>
          </w:rPr>
          <w:t xml:space="preserve"> Third Series</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_Toc445120240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166</w:t>
        </w:r>
        <w:r w:rsidRPr="00BF6DD3">
          <w:rPr>
            <w:rFonts w:ascii="Times New Roman" w:hAnsi="Times New Roman" w:cs="Times New Roman"/>
            <w:noProof/>
            <w:webHidden/>
            <w:sz w:val="24"/>
            <w:szCs w:val="24"/>
          </w:rPr>
          <w:fldChar w:fldCharType="end"/>
        </w:r>
      </w:hyperlink>
    </w:p>
    <w:p w14:paraId="3B49066E"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41" w:history="1">
        <w:r w:rsidRPr="006515A1">
          <w:rPr>
            <w:rStyle w:val="Hyperlink"/>
            <w:rFonts w:ascii="Times New Roman" w:hAnsi="Times New Roman" w:cs="Times New Roman"/>
            <w:noProof/>
            <w:sz w:val="24"/>
            <w:szCs w:val="24"/>
          </w:rPr>
          <w:t xml:space="preserve">Figure 16: The ‘consumer strand’, a product testing segment on </w:t>
        </w:r>
        <w:r w:rsidRPr="006515A1">
          <w:rPr>
            <w:rStyle w:val="Hyperlink"/>
            <w:rFonts w:ascii="Times New Roman" w:hAnsi="Times New Roman" w:cs="Times New Roman"/>
            <w:i/>
            <w:iCs/>
            <w:noProof/>
            <w:sz w:val="24"/>
            <w:szCs w:val="24"/>
          </w:rPr>
          <w:t>HTLGN</w:t>
        </w:r>
        <w:r>
          <w:rPr>
            <w:rStyle w:val="Hyperlink"/>
            <w:rFonts w:ascii="Times New Roman" w:hAnsi="Times New Roman" w:cs="Times New Roman"/>
            <w:i/>
            <w:iCs/>
            <w:noProof/>
            <w:sz w:val="24"/>
            <w:szCs w:val="24"/>
          </w:rPr>
          <w:t>,</w:t>
        </w:r>
        <w:r w:rsidRPr="000E264D">
          <w:rPr>
            <w:noProof/>
          </w:rPr>
          <w:t xml:space="preserve"> </w:t>
        </w:r>
        <w:r w:rsidRPr="000E264D">
          <w:rPr>
            <w:rStyle w:val="Hyperlink"/>
            <w:rFonts w:ascii="Times New Roman" w:hAnsi="Times New Roman" w:cs="Times New Roman"/>
            <w:noProof/>
            <w:sz w:val="24"/>
            <w:szCs w:val="24"/>
          </w:rPr>
          <w:t>Second Series</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_Toc445120241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171</w:t>
        </w:r>
        <w:r w:rsidRPr="00BF6DD3">
          <w:rPr>
            <w:rFonts w:ascii="Times New Roman" w:hAnsi="Times New Roman" w:cs="Times New Roman"/>
            <w:noProof/>
            <w:webHidden/>
            <w:sz w:val="24"/>
            <w:szCs w:val="24"/>
          </w:rPr>
          <w:fldChar w:fldCharType="end"/>
        </w:r>
      </w:hyperlink>
    </w:p>
    <w:p w14:paraId="7B888598"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42" w:history="1">
        <w:r w:rsidRPr="006515A1">
          <w:rPr>
            <w:rStyle w:val="Hyperlink"/>
            <w:rFonts w:ascii="Times New Roman" w:hAnsi="Times New Roman" w:cs="Times New Roman"/>
            <w:noProof/>
            <w:sz w:val="24"/>
            <w:szCs w:val="24"/>
          </w:rPr>
          <w:t xml:space="preserve">Figure 17: </w:t>
        </w:r>
        <w:r>
          <w:rPr>
            <w:rStyle w:val="Hyperlink"/>
            <w:rFonts w:ascii="Times New Roman" w:hAnsi="Times New Roman" w:cs="Times New Roman"/>
            <w:noProof/>
            <w:sz w:val="24"/>
            <w:szCs w:val="24"/>
          </w:rPr>
          <w:t xml:space="preserve">Dove’s </w:t>
        </w:r>
        <w:r w:rsidRPr="006515A1">
          <w:rPr>
            <w:rStyle w:val="Hyperlink"/>
            <w:rFonts w:ascii="Times New Roman" w:hAnsi="Times New Roman" w:cs="Times New Roman"/>
            <w:noProof/>
            <w:sz w:val="24"/>
            <w:szCs w:val="24"/>
          </w:rPr>
          <w:t xml:space="preserve">sponsorship credits for </w:t>
        </w:r>
        <w:r w:rsidRPr="006515A1">
          <w:rPr>
            <w:rStyle w:val="Hyperlink"/>
            <w:rFonts w:ascii="Times New Roman" w:hAnsi="Times New Roman" w:cs="Times New Roman"/>
            <w:i/>
            <w:iCs/>
            <w:noProof/>
            <w:sz w:val="24"/>
            <w:szCs w:val="24"/>
          </w:rPr>
          <w:t>HTLGN</w:t>
        </w:r>
        <w:r w:rsidRPr="006515A1">
          <w:rPr>
            <w:rStyle w:val="Hyperlink"/>
            <w:rFonts w:ascii="Times New Roman" w:hAnsi="Times New Roman" w:cs="Times New Roman"/>
            <w:noProof/>
            <w:sz w:val="24"/>
            <w:szCs w:val="24"/>
          </w:rPr>
          <w:t>, Channel 4, 2006.</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515A1">
          <w:rPr>
            <w:rFonts w:ascii="Times New Roman" w:hAnsi="Times New Roman" w:cs="Times New Roman"/>
            <w:noProof/>
            <w:webHidden/>
            <w:sz w:val="24"/>
            <w:szCs w:val="24"/>
          </w:rPr>
          <w:instrText xml:space="preserve"> PAGEREF _Toc445120242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186</w:t>
        </w:r>
        <w:r w:rsidRPr="00BF6DD3">
          <w:rPr>
            <w:rFonts w:ascii="Times New Roman" w:hAnsi="Times New Roman" w:cs="Times New Roman"/>
            <w:noProof/>
            <w:webHidden/>
            <w:sz w:val="24"/>
            <w:szCs w:val="24"/>
          </w:rPr>
          <w:fldChar w:fldCharType="end"/>
        </w:r>
      </w:hyperlink>
    </w:p>
    <w:p w14:paraId="3F7A1E0B"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43" w:history="1">
        <w:r w:rsidRPr="006515A1">
          <w:rPr>
            <w:rStyle w:val="Hyperlink"/>
            <w:rFonts w:ascii="Times New Roman" w:hAnsi="Times New Roman" w:cs="Times New Roman"/>
            <w:noProof/>
            <w:sz w:val="24"/>
            <w:szCs w:val="24"/>
          </w:rPr>
          <w:t xml:space="preserve">Figure 18: </w:t>
        </w:r>
        <w:r w:rsidRPr="000E264D">
          <w:rPr>
            <w:rStyle w:val="Hyperlink"/>
            <w:rFonts w:ascii="Times New Roman" w:hAnsi="Times New Roman" w:cs="Times New Roman"/>
            <w:noProof/>
            <w:sz w:val="24"/>
            <w:szCs w:val="24"/>
          </w:rPr>
          <w:t>Dove’s sponsorship credits for HTLGN, Channel 4, 2006.</w:t>
        </w:r>
        <w:r w:rsidRPr="006515A1">
          <w:rPr>
            <w:rStyle w:val="Hyperlink"/>
            <w:rFonts w:ascii="Times New Roman" w:hAnsi="Times New Roman" w:cs="Times New Roman"/>
            <w:noProof/>
            <w:sz w:val="24"/>
            <w:szCs w:val="24"/>
          </w:rPr>
          <w:t>.</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_Toc445120243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187</w:t>
        </w:r>
        <w:r w:rsidRPr="00BF6DD3">
          <w:rPr>
            <w:rFonts w:ascii="Times New Roman" w:hAnsi="Times New Roman" w:cs="Times New Roman"/>
            <w:noProof/>
            <w:webHidden/>
            <w:sz w:val="24"/>
            <w:szCs w:val="24"/>
          </w:rPr>
          <w:fldChar w:fldCharType="end"/>
        </w:r>
      </w:hyperlink>
    </w:p>
    <w:p w14:paraId="4ADF4F5B"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44" w:history="1">
        <w:r w:rsidRPr="006515A1">
          <w:rPr>
            <w:rStyle w:val="Hyperlink"/>
            <w:rFonts w:ascii="Times New Roman" w:hAnsi="Times New Roman" w:cs="Times New Roman"/>
            <w:noProof/>
            <w:sz w:val="24"/>
            <w:szCs w:val="24"/>
          </w:rPr>
          <w:t xml:space="preserve">Figure 19: </w:t>
        </w:r>
        <w:r w:rsidRPr="000E264D">
          <w:rPr>
            <w:rStyle w:val="Hyperlink"/>
            <w:rFonts w:ascii="Times New Roman" w:hAnsi="Times New Roman" w:cs="Times New Roman"/>
            <w:noProof/>
            <w:sz w:val="24"/>
            <w:szCs w:val="24"/>
          </w:rPr>
          <w:t>Dove’s sponsorship credits for HTLGN, Channel 4, 2006.</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_Toc445120244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188</w:t>
        </w:r>
        <w:r w:rsidRPr="00BF6DD3">
          <w:rPr>
            <w:rFonts w:ascii="Times New Roman" w:hAnsi="Times New Roman" w:cs="Times New Roman"/>
            <w:noProof/>
            <w:webHidden/>
            <w:sz w:val="24"/>
            <w:szCs w:val="24"/>
          </w:rPr>
          <w:fldChar w:fldCharType="end"/>
        </w:r>
      </w:hyperlink>
    </w:p>
    <w:p w14:paraId="73F43B35" w14:textId="77777777" w:rsidR="00D5254E" w:rsidRPr="006515A1"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45" w:history="1">
        <w:r w:rsidRPr="006515A1">
          <w:rPr>
            <w:rStyle w:val="Hyperlink"/>
            <w:rFonts w:ascii="Times New Roman" w:hAnsi="Times New Roman" w:cs="Times New Roman"/>
            <w:noProof/>
            <w:sz w:val="24"/>
            <w:szCs w:val="24"/>
          </w:rPr>
          <w:t xml:space="preserve">Figure 20: </w:t>
        </w:r>
        <w:r>
          <w:rPr>
            <w:rStyle w:val="Hyperlink"/>
            <w:rFonts w:ascii="Times New Roman" w:hAnsi="Times New Roman" w:cs="Times New Roman"/>
            <w:noProof/>
            <w:sz w:val="24"/>
            <w:szCs w:val="24"/>
          </w:rPr>
          <w:t xml:space="preserve">A </w:t>
        </w:r>
        <w:r w:rsidRPr="000E264D">
          <w:rPr>
            <w:rStyle w:val="Hyperlink"/>
            <w:rFonts w:ascii="Times New Roman" w:hAnsi="Times New Roman" w:cs="Times New Roman"/>
            <w:noProof/>
            <w:sz w:val="24"/>
            <w:szCs w:val="24"/>
          </w:rPr>
          <w:t>Dove sponsorship credit for HTLGN, Channel 4, 2006.</w:t>
        </w:r>
        <w:r w:rsidRPr="006515A1">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_Toc445120245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189</w:t>
        </w:r>
        <w:r w:rsidRPr="00BF6DD3">
          <w:rPr>
            <w:rFonts w:ascii="Times New Roman" w:hAnsi="Times New Roman" w:cs="Times New Roman"/>
            <w:noProof/>
            <w:webHidden/>
            <w:sz w:val="24"/>
            <w:szCs w:val="24"/>
          </w:rPr>
          <w:fldChar w:fldCharType="end"/>
        </w:r>
      </w:hyperlink>
    </w:p>
    <w:p w14:paraId="7B9068B2"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46" w:history="1">
        <w:r w:rsidRPr="00E1726E">
          <w:rPr>
            <w:rStyle w:val="Hyperlink"/>
            <w:rFonts w:ascii="Times New Roman" w:hAnsi="Times New Roman" w:cs="Times New Roman"/>
            <w:noProof/>
            <w:sz w:val="24"/>
            <w:szCs w:val="24"/>
          </w:rPr>
          <w:t>Figure 21: A Bank Hapo’alim commercial vignette</w:t>
        </w:r>
        <w:r w:rsidRPr="000E264D">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 xml:space="preserve"> for</w:t>
        </w:r>
        <w:r w:rsidRPr="00E1726E">
          <w:rPr>
            <w:rStyle w:val="Hyperlink"/>
            <w:rFonts w:ascii="Times New Roman" w:hAnsi="Times New Roman" w:cs="Times New Roman"/>
            <w:noProof/>
            <w:sz w:val="24"/>
            <w:szCs w:val="24"/>
          </w:rPr>
          <w:t xml:space="preserve"> </w:t>
        </w:r>
        <w:r w:rsidRPr="00E1726E">
          <w:rPr>
            <w:rStyle w:val="Hyperlink"/>
            <w:rFonts w:ascii="Times New Roman" w:hAnsi="Times New Roman" w:cs="Times New Roman"/>
            <w:i/>
            <w:iCs/>
            <w:noProof/>
            <w:sz w:val="24"/>
            <w:szCs w:val="24"/>
          </w:rPr>
          <w:t>Overdraft Family</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_Toc445120246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191</w:t>
        </w:r>
        <w:r w:rsidRPr="00BF6DD3">
          <w:rPr>
            <w:rFonts w:ascii="Times New Roman" w:hAnsi="Times New Roman" w:cs="Times New Roman"/>
            <w:noProof/>
            <w:webHidden/>
            <w:sz w:val="24"/>
            <w:szCs w:val="24"/>
          </w:rPr>
          <w:fldChar w:fldCharType="end"/>
        </w:r>
      </w:hyperlink>
    </w:p>
    <w:p w14:paraId="6E0D6C06"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47" w:history="1">
        <w:r w:rsidRPr="00E1726E">
          <w:rPr>
            <w:rStyle w:val="Hyperlink"/>
            <w:rFonts w:ascii="Times New Roman" w:hAnsi="Times New Roman" w:cs="Times New Roman"/>
            <w:noProof/>
            <w:sz w:val="24"/>
            <w:szCs w:val="24"/>
          </w:rPr>
          <w:t>Figure 22: A Bank Hapo’alim commercial vignette</w:t>
        </w:r>
        <w:r w:rsidRPr="000E264D">
          <w:rPr>
            <w:rStyle w:val="Hyperlink"/>
            <w:rFonts w:ascii="Times New Roman" w:hAnsi="Times New Roman" w:cs="Times New Roman"/>
            <w:noProof/>
            <w:sz w:val="24"/>
            <w:szCs w:val="24"/>
          </w:rPr>
          <w:t xml:space="preserve">  for</w:t>
        </w:r>
        <w:r w:rsidRPr="00E1726E">
          <w:rPr>
            <w:rStyle w:val="Hyperlink"/>
            <w:rFonts w:ascii="Times New Roman" w:hAnsi="Times New Roman" w:cs="Times New Roman"/>
            <w:noProof/>
            <w:sz w:val="24"/>
            <w:szCs w:val="24"/>
          </w:rPr>
          <w:t xml:space="preserve"> </w:t>
        </w:r>
        <w:r w:rsidRPr="00E1726E">
          <w:rPr>
            <w:rStyle w:val="Hyperlink"/>
            <w:rFonts w:ascii="Times New Roman" w:hAnsi="Times New Roman" w:cs="Times New Roman"/>
            <w:i/>
            <w:iCs/>
            <w:noProof/>
            <w:sz w:val="24"/>
            <w:szCs w:val="24"/>
          </w:rPr>
          <w:t>Overdraft Family</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E1726E">
          <w:rPr>
            <w:rFonts w:ascii="Times New Roman" w:hAnsi="Times New Roman" w:cs="Times New Roman"/>
            <w:noProof/>
            <w:webHidden/>
            <w:sz w:val="24"/>
            <w:szCs w:val="24"/>
          </w:rPr>
          <w:instrText xml:space="preserve"> PAGEREF _Toc445120247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192</w:t>
        </w:r>
        <w:r w:rsidRPr="00BF6DD3">
          <w:rPr>
            <w:rFonts w:ascii="Times New Roman" w:hAnsi="Times New Roman" w:cs="Times New Roman"/>
            <w:noProof/>
            <w:webHidden/>
            <w:sz w:val="24"/>
            <w:szCs w:val="24"/>
          </w:rPr>
          <w:fldChar w:fldCharType="end"/>
        </w:r>
      </w:hyperlink>
    </w:p>
    <w:p w14:paraId="13F609A9"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48" w:history="1">
        <w:r w:rsidRPr="00E1726E">
          <w:rPr>
            <w:rStyle w:val="Hyperlink"/>
            <w:rFonts w:ascii="Times New Roman" w:hAnsi="Times New Roman" w:cs="Times New Roman"/>
            <w:noProof/>
            <w:sz w:val="24"/>
            <w:szCs w:val="24"/>
          </w:rPr>
          <w:t>Figure 23: A Bank Hapo’alim commercial vignette</w:t>
        </w:r>
        <w:r w:rsidRPr="000E264D">
          <w:rPr>
            <w:rStyle w:val="Hyperlink"/>
            <w:rFonts w:ascii="Times New Roman" w:hAnsi="Times New Roman" w:cs="Times New Roman"/>
            <w:noProof/>
            <w:sz w:val="24"/>
            <w:szCs w:val="24"/>
          </w:rPr>
          <w:t xml:space="preserve">  for</w:t>
        </w:r>
        <w:r w:rsidRPr="00E1726E">
          <w:rPr>
            <w:rStyle w:val="Hyperlink"/>
            <w:rFonts w:ascii="Times New Roman" w:hAnsi="Times New Roman" w:cs="Times New Roman"/>
            <w:noProof/>
            <w:sz w:val="24"/>
            <w:szCs w:val="24"/>
          </w:rPr>
          <w:t xml:space="preserve"> </w:t>
        </w:r>
        <w:r w:rsidRPr="00E1726E">
          <w:rPr>
            <w:rStyle w:val="Hyperlink"/>
            <w:rFonts w:ascii="Times New Roman" w:hAnsi="Times New Roman" w:cs="Times New Roman"/>
            <w:i/>
            <w:iCs/>
            <w:noProof/>
            <w:sz w:val="24"/>
            <w:szCs w:val="24"/>
          </w:rPr>
          <w:t>Overdraft Family</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_Toc445120248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192</w:t>
        </w:r>
        <w:r w:rsidRPr="00BF6DD3">
          <w:rPr>
            <w:rFonts w:ascii="Times New Roman" w:hAnsi="Times New Roman" w:cs="Times New Roman"/>
            <w:noProof/>
            <w:webHidden/>
            <w:sz w:val="24"/>
            <w:szCs w:val="24"/>
          </w:rPr>
          <w:fldChar w:fldCharType="end"/>
        </w:r>
      </w:hyperlink>
    </w:p>
    <w:p w14:paraId="60DD4606"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49" w:history="1">
        <w:r w:rsidRPr="00E1726E">
          <w:rPr>
            <w:rStyle w:val="Hyperlink"/>
            <w:rFonts w:ascii="Times New Roman" w:hAnsi="Times New Roman" w:cs="Times New Roman"/>
            <w:noProof/>
            <w:sz w:val="24"/>
            <w:szCs w:val="24"/>
          </w:rPr>
          <w:t>Figure 24: A Bank Hapo’alim commercial vignette</w:t>
        </w:r>
        <w:r w:rsidRPr="000E264D">
          <w:rPr>
            <w:rStyle w:val="Hyperlink"/>
            <w:rFonts w:ascii="Times New Roman" w:hAnsi="Times New Roman" w:cs="Times New Roman"/>
            <w:noProof/>
            <w:sz w:val="24"/>
            <w:szCs w:val="24"/>
          </w:rPr>
          <w:t xml:space="preserve">  for</w:t>
        </w:r>
        <w:r w:rsidRPr="00E1726E">
          <w:rPr>
            <w:rStyle w:val="Hyperlink"/>
            <w:rFonts w:ascii="Times New Roman" w:hAnsi="Times New Roman" w:cs="Times New Roman"/>
            <w:noProof/>
            <w:sz w:val="24"/>
            <w:szCs w:val="24"/>
          </w:rPr>
          <w:t xml:space="preserve"> </w:t>
        </w:r>
        <w:r w:rsidRPr="00E1726E">
          <w:rPr>
            <w:rStyle w:val="Hyperlink"/>
            <w:rFonts w:ascii="Times New Roman" w:hAnsi="Times New Roman" w:cs="Times New Roman"/>
            <w:i/>
            <w:iCs/>
            <w:noProof/>
            <w:sz w:val="24"/>
            <w:szCs w:val="24"/>
          </w:rPr>
          <w:t>Overdraft Family</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_Toc445120249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193</w:t>
        </w:r>
        <w:r w:rsidRPr="00BF6DD3">
          <w:rPr>
            <w:rFonts w:ascii="Times New Roman" w:hAnsi="Times New Roman" w:cs="Times New Roman"/>
            <w:noProof/>
            <w:webHidden/>
            <w:sz w:val="24"/>
            <w:szCs w:val="24"/>
          </w:rPr>
          <w:fldChar w:fldCharType="end"/>
        </w:r>
      </w:hyperlink>
    </w:p>
    <w:p w14:paraId="23D445C6"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50" w:history="1">
        <w:r w:rsidRPr="00E1726E">
          <w:rPr>
            <w:rStyle w:val="Hyperlink"/>
            <w:rFonts w:ascii="Times New Roman" w:hAnsi="Times New Roman" w:cs="Times New Roman"/>
            <w:noProof/>
            <w:sz w:val="24"/>
            <w:szCs w:val="24"/>
          </w:rPr>
          <w:t xml:space="preserve">Figure 25: </w:t>
        </w:r>
        <w:r>
          <w:rPr>
            <w:rStyle w:val="Hyperlink"/>
            <w:rFonts w:ascii="Times New Roman" w:hAnsi="Times New Roman" w:cs="Times New Roman"/>
            <w:noProof/>
            <w:sz w:val="24"/>
            <w:szCs w:val="24"/>
          </w:rPr>
          <w:t>B</w:t>
        </w:r>
        <w:r w:rsidRPr="00E1726E">
          <w:rPr>
            <w:rStyle w:val="Hyperlink"/>
            <w:rFonts w:ascii="Times New Roman" w:hAnsi="Times New Roman" w:cs="Times New Roman"/>
            <w:noProof/>
            <w:sz w:val="24"/>
            <w:szCs w:val="24"/>
          </w:rPr>
          <w:t>ank Hapo’alim</w:t>
        </w:r>
        <w:r>
          <w:rPr>
            <w:rStyle w:val="Hyperlink"/>
            <w:rFonts w:ascii="Times New Roman" w:hAnsi="Times New Roman" w:cs="Times New Roman"/>
            <w:noProof/>
            <w:sz w:val="24"/>
            <w:szCs w:val="24"/>
          </w:rPr>
          <w:t>’s</w:t>
        </w:r>
        <w:r w:rsidRPr="00E1726E">
          <w:rPr>
            <w:rStyle w:val="Hyperlink"/>
            <w:rFonts w:ascii="Times New Roman" w:hAnsi="Times New Roman" w:cs="Times New Roman"/>
            <w:noProof/>
            <w:sz w:val="24"/>
            <w:szCs w:val="24"/>
          </w:rPr>
          <w:t xml:space="preserve"> commercial </w:t>
        </w:r>
        <w:r w:rsidRPr="00E1726E">
          <w:rPr>
            <w:rStyle w:val="Hyperlink"/>
            <w:rFonts w:ascii="Times New Roman" w:hAnsi="Times New Roman" w:cs="Times New Roman"/>
            <w:i/>
            <w:iCs/>
            <w:noProof/>
            <w:sz w:val="24"/>
            <w:szCs w:val="24"/>
          </w:rPr>
          <w:t>vignette</w:t>
        </w:r>
        <w:r w:rsidRPr="000E264D">
          <w:rPr>
            <w:rStyle w:val="Hyperlink"/>
            <w:rFonts w:ascii="Times New Roman" w:hAnsi="Times New Roman" w:cs="Times New Roman"/>
            <w:i/>
            <w:iCs/>
            <w:noProof/>
            <w:sz w:val="24"/>
            <w:szCs w:val="24"/>
          </w:rPr>
          <w:t>s</w:t>
        </w:r>
        <w:r w:rsidRPr="000E264D">
          <w:rPr>
            <w:rStyle w:val="Hyperlink"/>
            <w:rFonts w:ascii="Times New Roman" w:hAnsi="Times New Roman" w:cs="Times New Roman"/>
            <w:noProof/>
            <w:sz w:val="24"/>
            <w:szCs w:val="24"/>
          </w:rPr>
          <w:t xml:space="preserve"> for</w:t>
        </w:r>
        <w:r w:rsidRPr="00E1726E">
          <w:rPr>
            <w:rStyle w:val="Hyperlink"/>
            <w:rFonts w:ascii="Times New Roman" w:hAnsi="Times New Roman" w:cs="Times New Roman"/>
            <w:noProof/>
            <w:sz w:val="24"/>
            <w:szCs w:val="24"/>
          </w:rPr>
          <w:t xml:space="preserve"> </w:t>
        </w:r>
        <w:r w:rsidRPr="00E1726E">
          <w:rPr>
            <w:rStyle w:val="Hyperlink"/>
            <w:rFonts w:ascii="Times New Roman" w:hAnsi="Times New Roman" w:cs="Times New Roman"/>
            <w:i/>
            <w:iCs/>
            <w:noProof/>
            <w:sz w:val="24"/>
            <w:szCs w:val="24"/>
          </w:rPr>
          <w:t>Overdraft Family</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E1726E">
          <w:rPr>
            <w:rFonts w:ascii="Times New Roman" w:hAnsi="Times New Roman" w:cs="Times New Roman"/>
            <w:noProof/>
            <w:webHidden/>
            <w:sz w:val="24"/>
            <w:szCs w:val="24"/>
          </w:rPr>
          <w:instrText xml:space="preserve"> PAGEREF _Toc445120250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194</w:t>
        </w:r>
        <w:r w:rsidRPr="00BF6DD3">
          <w:rPr>
            <w:rFonts w:ascii="Times New Roman" w:hAnsi="Times New Roman" w:cs="Times New Roman"/>
            <w:noProof/>
            <w:webHidden/>
            <w:sz w:val="24"/>
            <w:szCs w:val="24"/>
          </w:rPr>
          <w:fldChar w:fldCharType="end"/>
        </w:r>
      </w:hyperlink>
    </w:p>
    <w:p w14:paraId="21857E7E"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51" w:history="1">
        <w:r w:rsidRPr="00E1726E">
          <w:rPr>
            <w:rStyle w:val="Hyperlink"/>
            <w:rFonts w:ascii="Times New Roman" w:hAnsi="Times New Roman" w:cs="Times New Roman"/>
            <w:noProof/>
            <w:sz w:val="24"/>
            <w:szCs w:val="24"/>
          </w:rPr>
          <w:t>Figure 26: Shufersal-Deal</w:t>
        </w:r>
        <w:r>
          <w:rPr>
            <w:rStyle w:val="Hyperlink"/>
            <w:rFonts w:ascii="Times New Roman" w:hAnsi="Times New Roman" w:cs="Times New Roman"/>
            <w:noProof/>
            <w:sz w:val="24"/>
            <w:szCs w:val="24"/>
          </w:rPr>
          <w:t>’s</w:t>
        </w:r>
        <w:r w:rsidRPr="00E1726E">
          <w:rPr>
            <w:rStyle w:val="Hyperlink"/>
            <w:rFonts w:ascii="Times New Roman" w:hAnsi="Times New Roman" w:cs="Times New Roman"/>
            <w:noProof/>
            <w:sz w:val="24"/>
            <w:szCs w:val="24"/>
          </w:rPr>
          <w:t xml:space="preserve"> commercial vignette</w:t>
        </w:r>
        <w:r w:rsidRPr="000E264D">
          <w:rPr>
            <w:rStyle w:val="Hyperlink"/>
            <w:rFonts w:ascii="Times New Roman" w:hAnsi="Times New Roman" w:cs="Times New Roman"/>
            <w:noProof/>
            <w:sz w:val="24"/>
            <w:szCs w:val="24"/>
          </w:rPr>
          <w:t xml:space="preserve">s </w:t>
        </w:r>
        <w:r>
          <w:rPr>
            <w:rStyle w:val="Hyperlink"/>
            <w:rFonts w:ascii="Times New Roman" w:hAnsi="Times New Roman" w:cs="Times New Roman"/>
            <w:noProof/>
            <w:sz w:val="24"/>
            <w:szCs w:val="24"/>
          </w:rPr>
          <w:t>for</w:t>
        </w:r>
        <w:r w:rsidRPr="00E1726E">
          <w:rPr>
            <w:rStyle w:val="Hyperlink"/>
            <w:rFonts w:ascii="Times New Roman" w:hAnsi="Times New Roman" w:cs="Times New Roman"/>
            <w:noProof/>
            <w:sz w:val="24"/>
            <w:szCs w:val="24"/>
          </w:rPr>
          <w:t xml:space="preserve"> </w:t>
        </w:r>
        <w:r w:rsidRPr="00E1726E">
          <w:rPr>
            <w:rStyle w:val="Hyperlink"/>
            <w:rFonts w:ascii="Times New Roman" w:hAnsi="Times New Roman" w:cs="Times New Roman"/>
            <w:i/>
            <w:iCs/>
            <w:noProof/>
            <w:sz w:val="24"/>
            <w:szCs w:val="24"/>
          </w:rPr>
          <w:t>Overdraft Family</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E1726E">
          <w:rPr>
            <w:rFonts w:ascii="Times New Roman" w:hAnsi="Times New Roman" w:cs="Times New Roman"/>
            <w:noProof/>
            <w:webHidden/>
            <w:sz w:val="24"/>
            <w:szCs w:val="24"/>
          </w:rPr>
          <w:instrText xml:space="preserve"> PAGEREF _Toc445120251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196</w:t>
        </w:r>
        <w:r w:rsidRPr="00BF6DD3">
          <w:rPr>
            <w:rFonts w:ascii="Times New Roman" w:hAnsi="Times New Roman" w:cs="Times New Roman"/>
            <w:noProof/>
            <w:webHidden/>
            <w:sz w:val="24"/>
            <w:szCs w:val="24"/>
          </w:rPr>
          <w:fldChar w:fldCharType="end"/>
        </w:r>
      </w:hyperlink>
    </w:p>
    <w:p w14:paraId="19527F24"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52" w:history="1">
        <w:r w:rsidRPr="00E1726E">
          <w:rPr>
            <w:rStyle w:val="Hyperlink"/>
            <w:rFonts w:ascii="Times New Roman" w:hAnsi="Times New Roman" w:cs="Times New Roman"/>
            <w:noProof/>
            <w:sz w:val="24"/>
            <w:szCs w:val="24"/>
          </w:rPr>
          <w:t>Figure 27: Audience members at a</w:t>
        </w:r>
        <w:r>
          <w:rPr>
            <w:rStyle w:val="Hyperlink"/>
            <w:rFonts w:ascii="Times New Roman" w:hAnsi="Times New Roman" w:cs="Times New Roman"/>
            <w:noProof/>
            <w:sz w:val="24"/>
            <w:szCs w:val="24"/>
          </w:rPr>
          <w:t xml:space="preserve">n </w:t>
        </w:r>
        <w:r>
          <w:rPr>
            <w:rStyle w:val="Hyperlink"/>
            <w:rFonts w:ascii="Times New Roman" w:hAnsi="Times New Roman" w:cs="Times New Roman"/>
            <w:i/>
            <w:iCs/>
            <w:noProof/>
            <w:sz w:val="24"/>
            <w:szCs w:val="24"/>
          </w:rPr>
          <w:t>HTLGN</w:t>
        </w:r>
        <w:r w:rsidRPr="00E1726E">
          <w:rPr>
            <w:rStyle w:val="Hyperlink"/>
            <w:rFonts w:ascii="Times New Roman" w:hAnsi="Times New Roman" w:cs="Times New Roman"/>
            <w:noProof/>
            <w:sz w:val="24"/>
            <w:szCs w:val="24"/>
          </w:rPr>
          <w:t xml:space="preserve"> shooting day in Birmingham,</w:t>
        </w:r>
        <w:r>
          <w:rPr>
            <w:rStyle w:val="Hyperlink"/>
            <w:rFonts w:ascii="Times New Roman" w:hAnsi="Times New Roman" w:cs="Times New Roman"/>
            <w:noProof/>
            <w:sz w:val="24"/>
            <w:szCs w:val="24"/>
          </w:rPr>
          <w:t xml:space="preserve"> 2009</w:t>
        </w:r>
        <w:r w:rsidRPr="00E1726E">
          <w:rPr>
            <w:rStyle w:val="Hyperlink"/>
            <w:rFonts w:ascii="Times New Roman" w:hAnsi="Times New Roman" w:cs="Times New Roman"/>
            <w:noProof/>
            <w:sz w:val="24"/>
            <w:szCs w:val="24"/>
          </w:rPr>
          <w:t>.</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E1726E">
          <w:rPr>
            <w:rFonts w:ascii="Times New Roman" w:hAnsi="Times New Roman" w:cs="Times New Roman"/>
            <w:noProof/>
            <w:webHidden/>
            <w:sz w:val="24"/>
            <w:szCs w:val="24"/>
          </w:rPr>
          <w:instrText xml:space="preserve"> PAGEREF _Toc445120252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202</w:t>
        </w:r>
        <w:r w:rsidRPr="00BF6DD3">
          <w:rPr>
            <w:rFonts w:ascii="Times New Roman" w:hAnsi="Times New Roman" w:cs="Times New Roman"/>
            <w:noProof/>
            <w:webHidden/>
            <w:sz w:val="24"/>
            <w:szCs w:val="24"/>
          </w:rPr>
          <w:fldChar w:fldCharType="end"/>
        </w:r>
      </w:hyperlink>
    </w:p>
    <w:p w14:paraId="0CE459FA"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53" w:history="1">
        <w:r w:rsidRPr="00E1726E">
          <w:rPr>
            <w:rStyle w:val="Hyperlink"/>
            <w:rFonts w:ascii="Times New Roman" w:hAnsi="Times New Roman" w:cs="Times New Roman"/>
            <w:noProof/>
            <w:sz w:val="24"/>
            <w:szCs w:val="24"/>
          </w:rPr>
          <w:t>Figure 28: Shufersal-Deal’s bi-weekly bulletin,</w:t>
        </w:r>
        <w:r>
          <w:rPr>
            <w:rStyle w:val="Hyperlink"/>
            <w:rFonts w:ascii="Times New Roman" w:hAnsi="Times New Roman" w:cs="Times New Roman"/>
            <w:noProof/>
            <w:sz w:val="24"/>
            <w:szCs w:val="24"/>
          </w:rPr>
          <w:t xml:space="preserve"> 2011</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E1726E">
          <w:rPr>
            <w:rFonts w:ascii="Times New Roman" w:hAnsi="Times New Roman" w:cs="Times New Roman"/>
            <w:noProof/>
            <w:webHidden/>
            <w:sz w:val="24"/>
            <w:szCs w:val="24"/>
          </w:rPr>
          <w:instrText xml:space="preserve"> PAGEREF _Toc445120253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208</w:t>
        </w:r>
        <w:r w:rsidRPr="00BF6DD3">
          <w:rPr>
            <w:rFonts w:ascii="Times New Roman" w:hAnsi="Times New Roman" w:cs="Times New Roman"/>
            <w:noProof/>
            <w:webHidden/>
            <w:sz w:val="24"/>
            <w:szCs w:val="24"/>
          </w:rPr>
          <w:fldChar w:fldCharType="end"/>
        </w:r>
      </w:hyperlink>
    </w:p>
    <w:p w14:paraId="2F5C93C1"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54" w:history="1">
        <w:r w:rsidRPr="00E1726E">
          <w:rPr>
            <w:rStyle w:val="Hyperlink"/>
            <w:rFonts w:ascii="Times New Roman" w:hAnsi="Times New Roman" w:cs="Times New Roman"/>
            <w:noProof/>
            <w:sz w:val="24"/>
            <w:szCs w:val="24"/>
          </w:rPr>
          <w:t xml:space="preserve">Figure 29: </w:t>
        </w:r>
        <w:r w:rsidRPr="00E1726E">
          <w:rPr>
            <w:rStyle w:val="Hyperlink"/>
            <w:rFonts w:ascii="Times New Roman" w:hAnsi="Times New Roman" w:cs="Times New Roman"/>
            <w:i/>
            <w:iCs/>
            <w:noProof/>
            <w:sz w:val="24"/>
            <w:szCs w:val="24"/>
          </w:rPr>
          <w:t>HTLGN</w:t>
        </w:r>
        <w:r w:rsidRPr="00E1726E">
          <w:rPr>
            <w:rStyle w:val="Hyperlink"/>
            <w:rFonts w:ascii="Times New Roman" w:hAnsi="Times New Roman" w:cs="Times New Roman"/>
            <w:noProof/>
            <w:sz w:val="24"/>
            <w:szCs w:val="24"/>
          </w:rPr>
          <w:t>’s website on Channel 4’s domain, 2006-2007.</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E1726E">
          <w:rPr>
            <w:rFonts w:ascii="Times New Roman" w:hAnsi="Times New Roman" w:cs="Times New Roman"/>
            <w:noProof/>
            <w:webHidden/>
            <w:sz w:val="24"/>
            <w:szCs w:val="24"/>
          </w:rPr>
          <w:instrText xml:space="preserve"> PAGEREF _Toc445120254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216</w:t>
        </w:r>
        <w:r w:rsidRPr="00BF6DD3">
          <w:rPr>
            <w:rFonts w:ascii="Times New Roman" w:hAnsi="Times New Roman" w:cs="Times New Roman"/>
            <w:noProof/>
            <w:webHidden/>
            <w:sz w:val="24"/>
            <w:szCs w:val="24"/>
          </w:rPr>
          <w:fldChar w:fldCharType="end"/>
        </w:r>
      </w:hyperlink>
    </w:p>
    <w:p w14:paraId="0D9D14FB"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55" w:history="1">
        <w:r w:rsidRPr="00E1726E">
          <w:rPr>
            <w:rStyle w:val="Hyperlink"/>
            <w:rFonts w:ascii="Times New Roman" w:hAnsi="Times New Roman" w:cs="Times New Roman"/>
            <w:noProof/>
            <w:sz w:val="24"/>
            <w:szCs w:val="24"/>
          </w:rPr>
          <w:t>Figure 30: Dove Pro-Age</w:t>
        </w:r>
        <w:r>
          <w:rPr>
            <w:rStyle w:val="Hyperlink"/>
            <w:rFonts w:ascii="Times New Roman" w:hAnsi="Times New Roman" w:cs="Times New Roman"/>
            <w:noProof/>
            <w:sz w:val="24"/>
            <w:szCs w:val="24"/>
          </w:rPr>
          <w:t xml:space="preserve"> ad</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_Toc445120255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216</w:t>
        </w:r>
        <w:r w:rsidRPr="00BF6DD3">
          <w:rPr>
            <w:rFonts w:ascii="Times New Roman" w:hAnsi="Times New Roman" w:cs="Times New Roman"/>
            <w:noProof/>
            <w:webHidden/>
            <w:sz w:val="24"/>
            <w:szCs w:val="24"/>
          </w:rPr>
          <w:fldChar w:fldCharType="end"/>
        </w:r>
      </w:hyperlink>
    </w:p>
    <w:p w14:paraId="5E3A87B2"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56" w:history="1">
        <w:r w:rsidRPr="00E1726E">
          <w:rPr>
            <w:rStyle w:val="Hyperlink"/>
            <w:rFonts w:ascii="Times New Roman" w:hAnsi="Times New Roman" w:cs="Times New Roman"/>
            <w:noProof/>
            <w:sz w:val="24"/>
            <w:szCs w:val="24"/>
          </w:rPr>
          <w:t xml:space="preserve">Figure 31: The Dove Pro-Age micro-site on Channel 4’s </w:t>
        </w:r>
        <w:r w:rsidRPr="00E1726E">
          <w:rPr>
            <w:rStyle w:val="Hyperlink"/>
            <w:rFonts w:ascii="Times New Roman" w:hAnsi="Times New Roman" w:cs="Times New Roman"/>
            <w:i/>
            <w:iCs/>
            <w:noProof/>
            <w:sz w:val="24"/>
            <w:szCs w:val="24"/>
          </w:rPr>
          <w:t>HTLGN</w:t>
        </w:r>
        <w:r w:rsidRPr="00E1726E">
          <w:rPr>
            <w:rStyle w:val="Hyperlink"/>
            <w:rFonts w:ascii="Times New Roman" w:hAnsi="Times New Roman" w:cs="Times New Roman"/>
            <w:noProof/>
            <w:sz w:val="24"/>
            <w:szCs w:val="24"/>
          </w:rPr>
          <w:t xml:space="preserve"> website</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_Toc445120256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218</w:t>
        </w:r>
        <w:r w:rsidRPr="00BF6DD3">
          <w:rPr>
            <w:rFonts w:ascii="Times New Roman" w:hAnsi="Times New Roman" w:cs="Times New Roman"/>
            <w:noProof/>
            <w:webHidden/>
            <w:sz w:val="24"/>
            <w:szCs w:val="24"/>
          </w:rPr>
          <w:fldChar w:fldCharType="end"/>
        </w:r>
      </w:hyperlink>
    </w:p>
    <w:p w14:paraId="06749F72"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57" w:history="1">
        <w:r w:rsidRPr="00E1726E">
          <w:rPr>
            <w:rStyle w:val="Hyperlink"/>
            <w:rFonts w:ascii="Times New Roman" w:hAnsi="Times New Roman" w:cs="Times New Roman"/>
            <w:noProof/>
            <w:sz w:val="24"/>
            <w:szCs w:val="24"/>
          </w:rPr>
          <w:t xml:space="preserve">Figure 32: Dove’s Pro-Age micro-site on Channel 4’s </w:t>
        </w:r>
        <w:r w:rsidRPr="00E1726E">
          <w:rPr>
            <w:rStyle w:val="Hyperlink"/>
            <w:rFonts w:ascii="Times New Roman" w:hAnsi="Times New Roman" w:cs="Times New Roman"/>
            <w:i/>
            <w:iCs/>
            <w:noProof/>
            <w:sz w:val="24"/>
            <w:szCs w:val="24"/>
          </w:rPr>
          <w:t>HTLGN</w:t>
        </w:r>
        <w:r w:rsidRPr="00E1726E">
          <w:rPr>
            <w:rStyle w:val="Hyperlink"/>
            <w:rFonts w:ascii="Times New Roman" w:hAnsi="Times New Roman" w:cs="Times New Roman"/>
            <w:noProof/>
            <w:sz w:val="24"/>
            <w:szCs w:val="24"/>
          </w:rPr>
          <w:t xml:space="preserve"> website</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_Toc445120257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219</w:t>
        </w:r>
        <w:r w:rsidRPr="00BF6DD3">
          <w:rPr>
            <w:rFonts w:ascii="Times New Roman" w:hAnsi="Times New Roman" w:cs="Times New Roman"/>
            <w:noProof/>
            <w:webHidden/>
            <w:sz w:val="24"/>
            <w:szCs w:val="24"/>
          </w:rPr>
          <w:fldChar w:fldCharType="end"/>
        </w:r>
      </w:hyperlink>
    </w:p>
    <w:p w14:paraId="43157B7B"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58" w:history="1">
        <w:r w:rsidRPr="00E1726E">
          <w:rPr>
            <w:rStyle w:val="Hyperlink"/>
            <w:rFonts w:ascii="Times New Roman" w:hAnsi="Times New Roman" w:cs="Times New Roman"/>
            <w:noProof/>
            <w:sz w:val="24"/>
            <w:szCs w:val="24"/>
          </w:rPr>
          <w:t xml:space="preserve">Figure 33: Bank Hapo’alim’s micro-site on </w:t>
        </w:r>
        <w:r w:rsidRPr="00E1726E">
          <w:rPr>
            <w:rStyle w:val="Hyperlink"/>
            <w:rFonts w:ascii="Times New Roman" w:hAnsi="Times New Roman" w:cs="Times New Roman"/>
            <w:i/>
            <w:iCs/>
            <w:noProof/>
            <w:sz w:val="24"/>
            <w:szCs w:val="24"/>
          </w:rPr>
          <w:t>Overdraft Family</w:t>
        </w:r>
        <w:r w:rsidRPr="00E1726E">
          <w:rPr>
            <w:rStyle w:val="Hyperlink"/>
            <w:rFonts w:ascii="Times New Roman" w:hAnsi="Times New Roman" w:cs="Times New Roman"/>
            <w:noProof/>
            <w:sz w:val="24"/>
            <w:szCs w:val="24"/>
          </w:rPr>
          <w:t>’s website</w:t>
        </w:r>
        <w:r>
          <w:rPr>
            <w:rStyle w:val="Hyperlink"/>
            <w:rFonts w:ascii="Times New Roman" w:hAnsi="Times New Roman" w:cs="Times New Roman"/>
            <w:noProof/>
            <w:sz w:val="24"/>
            <w:szCs w:val="24"/>
          </w:rPr>
          <w:t>, T</w:t>
        </w:r>
        <w:r w:rsidRPr="00E1726E">
          <w:rPr>
            <w:rStyle w:val="Hyperlink"/>
            <w:rFonts w:ascii="Times New Roman" w:hAnsi="Times New Roman" w:cs="Times New Roman"/>
            <w:noProof/>
            <w:sz w:val="24"/>
            <w:szCs w:val="24"/>
          </w:rPr>
          <w:t xml:space="preserve">hird </w:t>
        </w:r>
        <w:r>
          <w:rPr>
            <w:rStyle w:val="Hyperlink"/>
            <w:rFonts w:ascii="Times New Roman" w:hAnsi="Times New Roman" w:cs="Times New Roman"/>
            <w:noProof/>
            <w:sz w:val="24"/>
            <w:szCs w:val="24"/>
          </w:rPr>
          <w:t>S</w:t>
        </w:r>
        <w:r w:rsidRPr="00E1726E">
          <w:rPr>
            <w:rStyle w:val="Hyperlink"/>
            <w:rFonts w:ascii="Times New Roman" w:hAnsi="Times New Roman" w:cs="Times New Roman"/>
            <w:noProof/>
            <w:sz w:val="24"/>
            <w:szCs w:val="24"/>
          </w:rPr>
          <w:t>eries</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_Toc445120258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221</w:t>
        </w:r>
        <w:r w:rsidRPr="00BF6DD3">
          <w:rPr>
            <w:rFonts w:ascii="Times New Roman" w:hAnsi="Times New Roman" w:cs="Times New Roman"/>
            <w:noProof/>
            <w:webHidden/>
            <w:sz w:val="24"/>
            <w:szCs w:val="24"/>
          </w:rPr>
          <w:fldChar w:fldCharType="end"/>
        </w:r>
      </w:hyperlink>
    </w:p>
    <w:p w14:paraId="2A2EF7D3" w14:textId="77777777" w:rsidR="00D5254E" w:rsidRPr="00E1726E" w:rsidRDefault="00D5254E" w:rsidP="00D5254E">
      <w:pPr>
        <w:pStyle w:val="TableofFigures"/>
        <w:tabs>
          <w:tab w:val="right" w:leader="dot" w:pos="9350"/>
        </w:tabs>
        <w:spacing w:line="360" w:lineRule="auto"/>
        <w:rPr>
          <w:rFonts w:ascii="Times New Roman" w:eastAsiaTheme="minorEastAsia" w:hAnsi="Times New Roman" w:cs="Times New Roman"/>
          <w:noProof/>
          <w:sz w:val="24"/>
          <w:szCs w:val="24"/>
          <w:lang w:val="en-US"/>
        </w:rPr>
      </w:pPr>
      <w:hyperlink w:anchor="_Toc445120259" w:history="1">
        <w:r w:rsidRPr="00E1726E">
          <w:rPr>
            <w:rStyle w:val="Hyperlink"/>
            <w:rFonts w:ascii="Times New Roman" w:hAnsi="Times New Roman" w:cs="Times New Roman"/>
            <w:noProof/>
            <w:sz w:val="24"/>
            <w:szCs w:val="24"/>
          </w:rPr>
          <w:t xml:space="preserve">Figure 34: Bank Hapo’alim’s micro-site on </w:t>
        </w:r>
        <w:r w:rsidRPr="00E1726E">
          <w:rPr>
            <w:rStyle w:val="Hyperlink"/>
            <w:rFonts w:ascii="Times New Roman" w:hAnsi="Times New Roman" w:cs="Times New Roman"/>
            <w:i/>
            <w:iCs/>
            <w:noProof/>
            <w:sz w:val="24"/>
            <w:szCs w:val="24"/>
          </w:rPr>
          <w:t>Overdraft Family</w:t>
        </w:r>
        <w:r w:rsidRPr="00E1726E">
          <w:rPr>
            <w:rStyle w:val="Hyperlink"/>
            <w:rFonts w:ascii="Times New Roman" w:hAnsi="Times New Roman" w:cs="Times New Roman"/>
            <w:noProof/>
            <w:sz w:val="24"/>
            <w:szCs w:val="24"/>
          </w:rPr>
          <w:t>’s website Third Series</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_Toc445120259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222</w:t>
        </w:r>
        <w:r w:rsidRPr="00BF6DD3">
          <w:rPr>
            <w:rFonts w:ascii="Times New Roman" w:hAnsi="Times New Roman" w:cs="Times New Roman"/>
            <w:noProof/>
            <w:webHidden/>
            <w:sz w:val="24"/>
            <w:szCs w:val="24"/>
          </w:rPr>
          <w:fldChar w:fldCharType="end"/>
        </w:r>
      </w:hyperlink>
    </w:p>
    <w:p w14:paraId="5B4AD0D9" w14:textId="66E620D5" w:rsidR="00D5254E" w:rsidRPr="00E1726E" w:rsidRDefault="00D5254E" w:rsidP="00D5254E">
      <w:pPr>
        <w:pStyle w:val="TableofFigures"/>
        <w:tabs>
          <w:tab w:val="right" w:leader="dot" w:pos="9350"/>
        </w:tabs>
        <w:spacing w:line="360" w:lineRule="auto"/>
        <w:rPr>
          <w:rFonts w:eastAsiaTheme="minorEastAsia"/>
          <w:noProof/>
          <w:sz w:val="24"/>
          <w:szCs w:val="24"/>
          <w:lang w:val="en-US"/>
        </w:rPr>
      </w:pPr>
      <w:hyperlink w:anchor="_Toc445120260" w:history="1">
        <w:r w:rsidRPr="00E1726E">
          <w:rPr>
            <w:rStyle w:val="Hyperlink"/>
            <w:rFonts w:ascii="Times New Roman" w:hAnsi="Times New Roman" w:cs="Times New Roman"/>
            <w:noProof/>
            <w:sz w:val="24"/>
            <w:szCs w:val="24"/>
          </w:rPr>
          <w:t xml:space="preserve">Figure 35: Shufersal-Deal’s micro-site on the </w:t>
        </w:r>
        <w:r w:rsidRPr="00E1726E">
          <w:rPr>
            <w:rStyle w:val="Hyperlink"/>
            <w:rFonts w:ascii="Times New Roman" w:hAnsi="Times New Roman" w:cs="Times New Roman"/>
            <w:i/>
            <w:iCs/>
            <w:noProof/>
            <w:sz w:val="24"/>
            <w:szCs w:val="24"/>
          </w:rPr>
          <w:t>Overdraft Family</w:t>
        </w:r>
        <w:r w:rsidRPr="00E1726E">
          <w:rPr>
            <w:rStyle w:val="Hyperlink"/>
            <w:rFonts w:ascii="Times New Roman" w:hAnsi="Times New Roman" w:cs="Times New Roman"/>
            <w:noProof/>
            <w:sz w:val="24"/>
            <w:szCs w:val="24"/>
          </w:rPr>
          <w:t xml:space="preserve"> website</w:t>
        </w:r>
        <w:r w:rsidRPr="00E1726E">
          <w:rPr>
            <w:rFonts w:ascii="Times New Roman" w:hAnsi="Times New Roman" w:cs="Times New Roman"/>
            <w:noProof/>
            <w:webHidden/>
            <w:sz w:val="24"/>
            <w:szCs w:val="24"/>
          </w:rPr>
          <w:tab/>
        </w:r>
        <w:r w:rsidRPr="00BF6DD3">
          <w:rPr>
            <w:rFonts w:ascii="Times New Roman" w:hAnsi="Times New Roman" w:cs="Times New Roman"/>
            <w:noProof/>
            <w:webHidden/>
            <w:sz w:val="24"/>
            <w:szCs w:val="24"/>
          </w:rPr>
          <w:fldChar w:fldCharType="begin"/>
        </w:r>
        <w:r w:rsidRPr="006639ED">
          <w:rPr>
            <w:rFonts w:ascii="Times New Roman" w:hAnsi="Times New Roman" w:cs="Times New Roman"/>
            <w:noProof/>
            <w:webHidden/>
            <w:sz w:val="24"/>
            <w:szCs w:val="24"/>
          </w:rPr>
          <w:instrText xml:space="preserve"> PAGEREF _Toc445120260 \h </w:instrText>
        </w:r>
        <w:r w:rsidRPr="00BF6DD3">
          <w:rPr>
            <w:rFonts w:ascii="Times New Roman" w:hAnsi="Times New Roman" w:cs="Times New Roman"/>
            <w:noProof/>
            <w:webHidden/>
            <w:sz w:val="24"/>
            <w:szCs w:val="24"/>
          </w:rPr>
        </w:r>
        <w:r w:rsidRPr="00BF6DD3">
          <w:rPr>
            <w:rFonts w:ascii="Times New Roman" w:hAnsi="Times New Roman" w:cs="Times New Roman"/>
            <w:noProof/>
            <w:webHidden/>
            <w:sz w:val="24"/>
            <w:szCs w:val="24"/>
          </w:rPr>
          <w:fldChar w:fldCharType="separate"/>
        </w:r>
        <w:r w:rsidR="00C7351B">
          <w:rPr>
            <w:rFonts w:ascii="Times New Roman" w:hAnsi="Times New Roman" w:cs="Times New Roman"/>
            <w:noProof/>
            <w:webHidden/>
            <w:sz w:val="24"/>
            <w:szCs w:val="24"/>
          </w:rPr>
          <w:t>223</w:t>
        </w:r>
        <w:r w:rsidRPr="00BF6DD3">
          <w:rPr>
            <w:rFonts w:ascii="Times New Roman" w:hAnsi="Times New Roman" w:cs="Times New Roman"/>
            <w:noProof/>
            <w:webHidden/>
            <w:sz w:val="24"/>
            <w:szCs w:val="24"/>
          </w:rPr>
          <w:fldChar w:fldCharType="end"/>
        </w:r>
      </w:hyperlink>
    </w:p>
    <w:p w14:paraId="1F53D5B4" w14:textId="6D69CF30" w:rsidR="00BF6DD3" w:rsidRPr="00E1726E" w:rsidRDefault="00BF6DD3" w:rsidP="00E1726E">
      <w:pPr>
        <w:pStyle w:val="TableofFigures"/>
        <w:tabs>
          <w:tab w:val="right" w:leader="dot" w:pos="9350"/>
        </w:tabs>
        <w:spacing w:line="360" w:lineRule="auto"/>
        <w:rPr>
          <w:rFonts w:eastAsiaTheme="minorEastAsia"/>
          <w:noProof/>
          <w:sz w:val="24"/>
          <w:szCs w:val="24"/>
          <w:lang w:val="en-US"/>
        </w:rPr>
      </w:pPr>
    </w:p>
    <w:p w14:paraId="1A052552" w14:textId="77777777" w:rsidR="00497B7D" w:rsidRPr="003D3BE3" w:rsidRDefault="008B6373" w:rsidP="00346CA5">
      <w:pPr>
        <w:spacing w:line="360" w:lineRule="auto"/>
        <w:rPr>
          <w:rFonts w:ascii="Times New Roman" w:hAnsi="Times New Roman" w:cs="Times New Roman"/>
        </w:rPr>
      </w:pPr>
      <w:r w:rsidRPr="003D3BE3">
        <w:rPr>
          <w:rFonts w:ascii="Times New Roman" w:hAnsi="Times New Roman" w:cs="Times New Roman"/>
        </w:rPr>
        <w:fldChar w:fldCharType="end"/>
      </w:r>
      <w:r w:rsidR="00497B7D" w:rsidRPr="003D3BE3">
        <w:rPr>
          <w:rFonts w:ascii="Times New Roman" w:hAnsi="Times New Roman" w:cs="Times New Roman"/>
        </w:rPr>
        <w:br w:type="page"/>
      </w:r>
    </w:p>
    <w:p w14:paraId="5275820C" w14:textId="77777777" w:rsidR="00497B7D" w:rsidRPr="009B5102" w:rsidRDefault="00497B7D" w:rsidP="00346CA5">
      <w:pPr>
        <w:pStyle w:val="Heading1"/>
      </w:pPr>
      <w:bookmarkStart w:id="2" w:name="_Toc445202620"/>
      <w:r w:rsidRPr="009B5102">
        <w:lastRenderedPageBreak/>
        <w:t>Introduction</w:t>
      </w:r>
      <w:bookmarkEnd w:id="2"/>
    </w:p>
    <w:p w14:paraId="010AD63D" w14:textId="77777777" w:rsidR="00497B7D" w:rsidRPr="009B5102" w:rsidRDefault="00497B7D" w:rsidP="00346CA5">
      <w:pPr>
        <w:spacing w:before="75" w:after="75" w:line="225" w:lineRule="atLeast"/>
        <w:ind w:right="1304"/>
        <w:jc w:val="both"/>
        <w:rPr>
          <w:rFonts w:ascii="Times New Roman" w:eastAsia="Times New Roman" w:hAnsi="Times New Roman" w:cs="Times New Roman"/>
          <w:i/>
          <w:iCs/>
          <w:color w:val="333333"/>
          <w:sz w:val="24"/>
          <w:szCs w:val="24"/>
        </w:rPr>
      </w:pPr>
    </w:p>
    <w:p w14:paraId="17C98767" w14:textId="77777777" w:rsidR="00497B7D" w:rsidRPr="009B5102" w:rsidRDefault="00497B7D" w:rsidP="00346CA5">
      <w:pPr>
        <w:spacing w:before="75" w:after="75" w:line="225" w:lineRule="atLeast"/>
        <w:ind w:right="1304"/>
        <w:jc w:val="both"/>
        <w:rPr>
          <w:rFonts w:ascii="Times New Roman" w:eastAsia="Times New Roman" w:hAnsi="Times New Roman" w:cs="Times New Roman"/>
          <w:i/>
          <w:iCs/>
          <w:color w:val="333333"/>
          <w:sz w:val="24"/>
          <w:szCs w:val="24"/>
        </w:rPr>
      </w:pPr>
      <w:r w:rsidRPr="009B5102">
        <w:rPr>
          <w:rFonts w:ascii="Times New Roman" w:eastAsia="Times New Roman" w:hAnsi="Times New Roman" w:cs="Times New Roman"/>
          <w:i/>
          <w:iCs/>
          <w:color w:val="333333"/>
          <w:sz w:val="24"/>
          <w:szCs w:val="24"/>
        </w:rPr>
        <w:t xml:space="preserve">Where will Coke go? To accelerate the convergence of Madison &amp; Vine - a convergence of the trinity in brand building - content, and media, and marketing. </w:t>
      </w:r>
    </w:p>
    <w:p w14:paraId="295C3876" w14:textId="77777777" w:rsidR="00497B7D" w:rsidRPr="009B5102" w:rsidRDefault="00497B7D" w:rsidP="00346CA5">
      <w:pPr>
        <w:spacing w:before="75" w:after="75" w:line="225" w:lineRule="atLeast"/>
        <w:ind w:right="1304"/>
        <w:jc w:val="both"/>
        <w:rPr>
          <w:rFonts w:ascii="Times New Roman" w:eastAsia="Times New Roman" w:hAnsi="Times New Roman" w:cs="Times New Roman"/>
          <w:i/>
          <w:iCs/>
          <w:color w:val="333333"/>
          <w:sz w:val="24"/>
          <w:szCs w:val="24"/>
        </w:rPr>
      </w:pPr>
      <w:r w:rsidRPr="009B5102">
        <w:rPr>
          <w:rFonts w:ascii="Times New Roman" w:eastAsia="Times New Roman" w:hAnsi="Times New Roman" w:cs="Times New Roman"/>
          <w:i/>
          <w:iCs/>
          <w:color w:val="333333"/>
          <w:sz w:val="24"/>
          <w:szCs w:val="24"/>
        </w:rPr>
        <w:t>This is a convergence born of necessity. Economic necessity and marketplace opportunity. We need each other - now more than ever. We need each other to capture people's attention and influence their attitudes and behaviors.</w:t>
      </w:r>
    </w:p>
    <w:p w14:paraId="51EED521" w14:textId="77777777" w:rsidR="00497B7D" w:rsidRPr="009B5102" w:rsidRDefault="00497B7D" w:rsidP="00346CA5">
      <w:pPr>
        <w:spacing w:line="360" w:lineRule="auto"/>
        <w:rPr>
          <w:rFonts w:ascii="Times New Roman" w:hAnsi="Times New Roman" w:cs="Times New Roman"/>
          <w:b/>
          <w:bCs/>
          <w:sz w:val="24"/>
          <w:szCs w:val="24"/>
        </w:rPr>
      </w:pPr>
    </w:p>
    <w:p w14:paraId="52733568" w14:textId="77777777" w:rsidR="00497B7D" w:rsidRPr="009B5102" w:rsidRDefault="00497B7D" w:rsidP="00346CA5">
      <w:pPr>
        <w:spacing w:before="75" w:after="75" w:line="225" w:lineRule="atLeast"/>
        <w:rPr>
          <w:rFonts w:ascii="Times New Roman" w:hAnsi="Times New Roman" w:cs="Times New Roman"/>
          <w:b/>
          <w:bCs/>
          <w:sz w:val="24"/>
          <w:szCs w:val="24"/>
        </w:rPr>
      </w:pPr>
      <w:r w:rsidRPr="009B5102">
        <w:rPr>
          <w:rFonts w:ascii="Times New Roman" w:hAnsi="Times New Roman" w:cs="Times New Roman"/>
          <w:b/>
          <w:bCs/>
          <w:sz w:val="24"/>
          <w:szCs w:val="24"/>
        </w:rPr>
        <w:t>Steven J. Heyer</w:t>
      </w:r>
      <w:r w:rsidR="00C6152C">
        <w:fldChar w:fldCharType="begin"/>
      </w:r>
      <w:r w:rsidR="00C6152C">
        <w:fldChar w:fldCharType="separate"/>
      </w:r>
      <w:r w:rsidRPr="009B5102">
        <w:rPr>
          <w:rFonts w:ascii="Times New Roman" w:hAnsi="Times New Roman" w:cs="Times New Roman"/>
          <w:b/>
          <w:bCs/>
          <w:sz w:val="24"/>
          <w:szCs w:val="24"/>
        </w:rPr>
        <w:t>{Heyer, 2003`, February 5, Steven Heyer's Manifesto for a New Age of Merketing}</w:t>
      </w:r>
      <w:r w:rsidR="00C6152C">
        <w:rPr>
          <w:rFonts w:ascii="Times New Roman" w:hAnsi="Times New Roman" w:cs="Times New Roman"/>
          <w:b/>
          <w:bCs/>
          <w:sz w:val="24"/>
          <w:szCs w:val="24"/>
        </w:rPr>
        <w:fldChar w:fldCharType="end"/>
      </w:r>
      <w:r w:rsidRPr="009B5102">
        <w:rPr>
          <w:rFonts w:ascii="Times New Roman" w:hAnsi="Times New Roman" w:cs="Times New Roman"/>
          <w:b/>
          <w:bCs/>
          <w:sz w:val="24"/>
          <w:szCs w:val="24"/>
        </w:rPr>
        <w:t>, Coca-Cola COO</w:t>
      </w:r>
      <w:r w:rsidRPr="009B5102">
        <w:rPr>
          <w:rFonts w:ascii="Times New Roman" w:hAnsi="Times New Roman" w:cs="Times New Roman"/>
          <w:b/>
          <w:bCs/>
          <w:sz w:val="24"/>
          <w:szCs w:val="24"/>
        </w:rPr>
        <w:br/>
        <w:t>Keynote speech at Madison + Vine conference</w:t>
      </w:r>
      <w:r w:rsidRPr="009B5102">
        <w:rPr>
          <w:rFonts w:ascii="Times New Roman" w:hAnsi="Times New Roman" w:cs="Times New Roman"/>
          <w:b/>
          <w:bCs/>
          <w:sz w:val="24"/>
          <w:szCs w:val="24"/>
        </w:rPr>
        <w:br/>
        <w:t>February 5</w:t>
      </w:r>
      <w:r w:rsidRPr="009B5102">
        <w:rPr>
          <w:rFonts w:ascii="Times New Roman" w:hAnsi="Times New Roman" w:cs="Times New Roman"/>
          <w:b/>
          <w:bCs/>
          <w:sz w:val="24"/>
          <w:szCs w:val="24"/>
          <w:vertAlign w:val="superscript"/>
        </w:rPr>
        <w:t>th</w:t>
      </w:r>
      <w:r w:rsidRPr="009B5102">
        <w:rPr>
          <w:rFonts w:ascii="Times New Roman" w:hAnsi="Times New Roman" w:cs="Times New Roman"/>
          <w:b/>
          <w:bCs/>
          <w:sz w:val="24"/>
          <w:szCs w:val="24"/>
        </w:rPr>
        <w:t xml:space="preserve">, 2003, Beverly Hills, California   </w:t>
      </w:r>
    </w:p>
    <w:p w14:paraId="28D4B3D8" w14:textId="77777777" w:rsidR="00497B7D" w:rsidRPr="009B5102" w:rsidRDefault="00497B7D" w:rsidP="00346CA5">
      <w:pPr>
        <w:spacing w:line="360" w:lineRule="auto"/>
        <w:rPr>
          <w:rFonts w:ascii="Times New Roman" w:hAnsi="Times New Roman" w:cs="Times New Roman"/>
          <w:sz w:val="24"/>
          <w:szCs w:val="24"/>
        </w:rPr>
      </w:pPr>
    </w:p>
    <w:p w14:paraId="03042FE0" w14:textId="77777777" w:rsidR="00497B7D" w:rsidRPr="009B5102" w:rsidRDefault="00497B7D" w:rsidP="001E6FEE">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Coca-Cola’s chief operating officer’s dramatic speech at the 2003 Advertising Age conference in Beverly Hills did not remain unnoticed at the time. Advertising Age’s unsigned editor’s note defined it as “electric” and “provocative”, “revolutionizing the </w:t>
      </w:r>
      <w:r w:rsidR="001E6FEE" w:rsidRPr="009B5102">
        <w:rPr>
          <w:rFonts w:ascii="Times New Roman" w:hAnsi="Times New Roman" w:cs="Times New Roman"/>
          <w:sz w:val="24"/>
          <w:szCs w:val="24"/>
        </w:rPr>
        <w:t>adverti</w:t>
      </w:r>
      <w:r w:rsidR="001E6FEE">
        <w:rPr>
          <w:rFonts w:ascii="Times New Roman" w:hAnsi="Times New Roman" w:cs="Times New Roman"/>
          <w:sz w:val="24"/>
          <w:szCs w:val="24"/>
        </w:rPr>
        <w:t>s</w:t>
      </w:r>
      <w:r w:rsidR="001E6FEE" w:rsidRPr="009B5102">
        <w:rPr>
          <w:rFonts w:ascii="Times New Roman" w:hAnsi="Times New Roman" w:cs="Times New Roman"/>
          <w:sz w:val="24"/>
          <w:szCs w:val="24"/>
        </w:rPr>
        <w:t xml:space="preserve">ing </w:t>
      </w:r>
      <w:r w:rsidRPr="009B5102">
        <w:rPr>
          <w:rFonts w:ascii="Times New Roman" w:hAnsi="Times New Roman" w:cs="Times New Roman"/>
          <w:sz w:val="24"/>
          <w:szCs w:val="24"/>
        </w:rPr>
        <w:t xml:space="preserve">and entertainment industries” </w:t>
      </w:r>
      <w:r w:rsidRPr="00B05575">
        <w:rPr>
          <w:rFonts w:ascii="Times New Roman" w:hAnsi="Times New Roman" w:cs="Times New Roman"/>
          <w:noProof/>
          <w:sz w:val="24"/>
          <w:szCs w:val="24"/>
        </w:rPr>
        <w:t>(Advertising Age, 2003, February 6th)</w:t>
      </w:r>
      <w:r w:rsidRPr="00B05575">
        <w:rPr>
          <w:rFonts w:ascii="Times New Roman" w:hAnsi="Times New Roman" w:cs="Times New Roman"/>
          <w:sz w:val="24"/>
          <w:szCs w:val="24"/>
        </w:rPr>
        <w:t>. In a follow-up analysis it was described by the writer, a marketing executive himself, as nothing less than a “war cry” (Rothenberg, 2003, February 17th).</w:t>
      </w:r>
    </w:p>
    <w:p w14:paraId="52AD6603"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However, not everyone in the marketing industry shared the same enthusiasm for the vision of convergence between show business and marketing. One of the readers of the influential magazine, an advertiser named Tomas Ito, wrote in response:</w:t>
      </w:r>
    </w:p>
    <w:p w14:paraId="612F5F6D" w14:textId="2F21B9BD" w:rsidR="00497B7D" w:rsidRPr="009B5102" w:rsidRDefault="00497B7D" w:rsidP="00655C81">
      <w:pPr>
        <w:spacing w:line="360" w:lineRule="auto"/>
        <w:ind w:left="1304" w:right="1304"/>
        <w:jc w:val="both"/>
        <w:rPr>
          <w:rFonts w:ascii="Times New Roman" w:hAnsi="Times New Roman" w:cs="Times New Roman"/>
          <w:sz w:val="24"/>
          <w:szCs w:val="24"/>
          <w:shd w:val="clear" w:color="auto" w:fill="FFFFFF"/>
        </w:rPr>
      </w:pPr>
      <w:r w:rsidRPr="009B5102">
        <w:rPr>
          <w:rFonts w:ascii="Times New Roman" w:hAnsi="Times New Roman" w:cs="Times New Roman"/>
          <w:sz w:val="24"/>
          <w:szCs w:val="24"/>
          <w:shd w:val="clear" w:color="auto" w:fill="FFFFFF"/>
        </w:rPr>
        <w:t>The convergence creep in advertising and human expression is simply appalling… What scares me about Mr. Heyer's comments at the Madison &amp; Vine conference is that he models a future where culture exists only to serve those who wish to manipulate others into buying sugar water</w:t>
      </w:r>
      <w:r w:rsidR="00925C9E" w:rsidRPr="009B5102">
        <w:rPr>
          <w:rFonts w:ascii="Times New Roman" w:hAnsi="Times New Roman" w:cs="Times New Roman"/>
          <w:sz w:val="24"/>
          <w:szCs w:val="24"/>
          <w:shd w:val="clear" w:color="auto" w:fill="FFFFFF"/>
        </w:rPr>
        <w:t xml:space="preserve">  (</w:t>
      </w:r>
      <w:r w:rsidRPr="00B05575">
        <w:rPr>
          <w:rFonts w:ascii="Times New Roman" w:hAnsi="Times New Roman" w:cs="Times New Roman"/>
          <w:noProof/>
          <w:sz w:val="24"/>
          <w:szCs w:val="24"/>
          <w:shd w:val="clear" w:color="auto" w:fill="FFFFFF"/>
        </w:rPr>
        <w:t>Advertising Age, 2003, February 10th)</w:t>
      </w:r>
      <w:r w:rsidRPr="00B05575">
        <w:rPr>
          <w:rFonts w:ascii="Times New Roman" w:hAnsi="Times New Roman" w:cs="Times New Roman"/>
          <w:sz w:val="24"/>
          <w:szCs w:val="24"/>
          <w:shd w:val="clear" w:color="auto" w:fill="FFFFFF"/>
        </w:rPr>
        <w:t>.</w:t>
      </w:r>
    </w:p>
    <w:p w14:paraId="716CBD60" w14:textId="77777777" w:rsidR="00497B7D" w:rsidRPr="009B5102" w:rsidRDefault="00497B7D" w:rsidP="00346CA5">
      <w:pPr>
        <w:spacing w:line="360" w:lineRule="auto"/>
        <w:rPr>
          <w:rFonts w:ascii="Times New Roman" w:hAnsi="Times New Roman" w:cs="Times New Roman"/>
          <w:sz w:val="24"/>
          <w:szCs w:val="24"/>
          <w:shd w:val="clear" w:color="auto" w:fill="FFFFFF"/>
        </w:rPr>
      </w:pPr>
      <w:r w:rsidRPr="009B5102">
        <w:rPr>
          <w:rFonts w:ascii="Times New Roman" w:hAnsi="Times New Roman" w:cs="Times New Roman"/>
          <w:sz w:val="24"/>
          <w:szCs w:val="24"/>
          <w:shd w:val="clear" w:color="auto" w:fill="FFFFFF"/>
        </w:rPr>
        <w:t xml:space="preserve">Another correspondent, a retired advertising executive, wrote: </w:t>
      </w:r>
    </w:p>
    <w:p w14:paraId="73A9F17A" w14:textId="77777777" w:rsidR="00497B7D" w:rsidRPr="009B5102" w:rsidRDefault="00497B7D" w:rsidP="00346CA5">
      <w:pPr>
        <w:pStyle w:val="Quote"/>
      </w:pPr>
      <w:r w:rsidRPr="009B5102">
        <w:t xml:space="preserve">The difference in the three cultures - show business, corporate behavior and advertising - is so huge and so ingrained as to make what Heyer's </w:t>
      </w:r>
      <w:r w:rsidRPr="009B5102">
        <w:lastRenderedPageBreak/>
        <w:t xml:space="preserve">speech proposes impossible. He says he is from all three worlds - but I think he understands none </w:t>
      </w:r>
      <w:r w:rsidRPr="00B05575">
        <w:t>(Advertising Age, 2003, February 10th).</w:t>
      </w:r>
    </w:p>
    <w:p w14:paraId="59A1BAD9" w14:textId="77777777" w:rsidR="00497B7D" w:rsidRPr="009B5102" w:rsidRDefault="00497B7D" w:rsidP="00346CA5">
      <w:pPr>
        <w:spacing w:line="360" w:lineRule="auto"/>
        <w:rPr>
          <w:rFonts w:ascii="Times New Roman" w:hAnsi="Times New Roman" w:cs="Times New Roman"/>
          <w:sz w:val="24"/>
          <w:szCs w:val="24"/>
          <w:shd w:val="clear" w:color="auto" w:fill="FFFFFF"/>
        </w:rPr>
      </w:pPr>
      <w:r w:rsidRPr="009B5102">
        <w:rPr>
          <w:rFonts w:ascii="Times New Roman" w:hAnsi="Times New Roman" w:cs="Times New Roman"/>
          <w:sz w:val="24"/>
          <w:szCs w:val="24"/>
          <w:shd w:val="clear" w:color="auto" w:fill="FFFFFF"/>
        </w:rPr>
        <w:t>Yet another reader, a former creative director in a big advertising firm, added:</w:t>
      </w:r>
    </w:p>
    <w:p w14:paraId="2C89F578" w14:textId="77777777" w:rsidR="00497B7D" w:rsidRPr="009B5102" w:rsidRDefault="00497B7D" w:rsidP="00346CA5">
      <w:pPr>
        <w:spacing w:line="360" w:lineRule="auto"/>
        <w:ind w:left="1310" w:right="1310"/>
        <w:jc w:val="both"/>
        <w:rPr>
          <w:rFonts w:ascii="Times New Roman" w:hAnsi="Times New Roman" w:cs="Times New Roman"/>
          <w:sz w:val="24"/>
          <w:szCs w:val="24"/>
          <w:shd w:val="clear" w:color="auto" w:fill="FFFFFF"/>
        </w:rPr>
      </w:pPr>
      <w:r w:rsidRPr="009B5102">
        <w:rPr>
          <w:rFonts w:ascii="Times New Roman" w:hAnsi="Times New Roman" w:cs="Times New Roman"/>
          <w:sz w:val="24"/>
          <w:szCs w:val="24"/>
          <w:shd w:val="clear" w:color="auto" w:fill="FFFFFF"/>
        </w:rPr>
        <w:t xml:space="preserve">This kind of thinking further corrupts the artistic integrity of the talented people who create our best work in the music, movies and television arts </w:t>
      </w:r>
      <w:r w:rsidRPr="009B5102">
        <w:rPr>
          <w:rFonts w:ascii="Times New Roman" w:hAnsi="Times New Roman" w:cs="Times New Roman"/>
          <w:noProof/>
          <w:sz w:val="24"/>
          <w:szCs w:val="24"/>
          <w:shd w:val="clear" w:color="auto" w:fill="FFFFFF"/>
        </w:rPr>
        <w:t>(Advertising Age, 2</w:t>
      </w:r>
      <w:r w:rsidRPr="00B05575">
        <w:rPr>
          <w:rFonts w:ascii="Times New Roman" w:hAnsi="Times New Roman" w:cs="Times New Roman"/>
          <w:noProof/>
          <w:sz w:val="24"/>
          <w:szCs w:val="24"/>
          <w:shd w:val="clear" w:color="auto" w:fill="FFFFFF"/>
        </w:rPr>
        <w:t>003, February 10th)</w:t>
      </w:r>
      <w:r w:rsidRPr="009B5102">
        <w:rPr>
          <w:rFonts w:ascii="Times New Roman" w:hAnsi="Times New Roman" w:cs="Times New Roman"/>
          <w:sz w:val="24"/>
          <w:szCs w:val="24"/>
          <w:shd w:val="clear" w:color="auto" w:fill="FFFFFF"/>
        </w:rPr>
        <w:t>.</w:t>
      </w:r>
      <w:r w:rsidRPr="009B5102" w:rsidDel="007A6652">
        <w:rPr>
          <w:rFonts w:ascii="Times New Roman" w:hAnsi="Times New Roman" w:cs="Times New Roman"/>
          <w:sz w:val="24"/>
          <w:szCs w:val="24"/>
          <w:shd w:val="clear" w:color="auto" w:fill="FFFFFF"/>
        </w:rPr>
        <w:t xml:space="preserve"> </w:t>
      </w:r>
    </w:p>
    <w:p w14:paraId="439ABFE1" w14:textId="77777777" w:rsidR="00497B7D" w:rsidRPr="009B5102" w:rsidRDefault="00497B7D" w:rsidP="00346CA5">
      <w:pPr>
        <w:spacing w:line="360" w:lineRule="auto"/>
        <w:rPr>
          <w:rFonts w:ascii="Times New Roman" w:hAnsi="Times New Roman" w:cs="Times New Roman"/>
          <w:sz w:val="24"/>
          <w:szCs w:val="24"/>
          <w:shd w:val="clear" w:color="auto" w:fill="FFFFFF"/>
        </w:rPr>
      </w:pPr>
      <w:r w:rsidRPr="009B5102">
        <w:rPr>
          <w:rFonts w:ascii="Times New Roman" w:hAnsi="Times New Roman" w:cs="Times New Roman"/>
          <w:sz w:val="24"/>
          <w:szCs w:val="24"/>
          <w:shd w:val="clear" w:color="auto" w:fill="FFFFFF"/>
        </w:rPr>
        <w:t xml:space="preserve">He concluded: “let’s hope he fails”. </w:t>
      </w:r>
    </w:p>
    <w:p w14:paraId="22BFF8ED" w14:textId="77777777" w:rsidR="00497B7D" w:rsidRPr="009B5102" w:rsidRDefault="00497B7D" w:rsidP="00346CA5">
      <w:pPr>
        <w:spacing w:line="360" w:lineRule="auto"/>
        <w:rPr>
          <w:rFonts w:ascii="Times New Roman" w:hAnsi="Times New Roman" w:cs="Times New Roman"/>
          <w:sz w:val="24"/>
          <w:szCs w:val="24"/>
          <w:shd w:val="clear" w:color="auto" w:fill="FFFFFF"/>
        </w:rPr>
      </w:pPr>
      <w:commentRangeStart w:id="3"/>
      <w:r w:rsidRPr="009B5102">
        <w:rPr>
          <w:rFonts w:ascii="Times New Roman" w:hAnsi="Times New Roman" w:cs="Times New Roman"/>
          <w:sz w:val="24"/>
          <w:szCs w:val="24"/>
          <w:shd w:val="clear" w:color="auto" w:fill="FFFFFF"/>
        </w:rPr>
        <w:t xml:space="preserve">More than a decade </w:t>
      </w:r>
      <w:commentRangeEnd w:id="3"/>
      <w:r w:rsidR="006556B3">
        <w:rPr>
          <w:rStyle w:val="CommentReference"/>
          <w:rFonts w:ascii="Times New Roman" w:hAnsi="Times New Roman" w:cs="Times New Roman"/>
        </w:rPr>
        <w:commentReference w:id="3"/>
      </w:r>
      <w:r w:rsidRPr="009B5102">
        <w:rPr>
          <w:rFonts w:ascii="Times New Roman" w:hAnsi="Times New Roman" w:cs="Times New Roman"/>
          <w:sz w:val="24"/>
          <w:szCs w:val="24"/>
          <w:shd w:val="clear" w:color="auto" w:fill="FFFFFF"/>
        </w:rPr>
        <w:t>has passed since this speech on branded entertainment, which can surely be marked as a historical one, and Heyer’s vision seems to have prospered and flourished, even if it has not been fulfilled to the extent of the original prophecy. Culture has not been completely taken over by brands, but the market for ‘branded content’, ‘branded entertainment’ ‘product placement’, ‘sponsorship’, ‘advertorials’ or ‘native advertising’ – different titles</w:t>
      </w:r>
      <w:r w:rsidRPr="00B93D25">
        <w:rPr>
          <w:rStyle w:val="FootnoteReference"/>
        </w:rPr>
        <w:footnoteReference w:id="1"/>
      </w:r>
      <w:r w:rsidRPr="009B5102">
        <w:rPr>
          <w:rFonts w:ascii="Times New Roman" w:hAnsi="Times New Roman" w:cs="Times New Roman"/>
          <w:sz w:val="24"/>
          <w:szCs w:val="24"/>
          <w:shd w:val="clear" w:color="auto" w:fill="FFFFFF"/>
        </w:rPr>
        <w:t xml:space="preserve"> that all relate, in one way or another, to a funding model in which sponsors are integrated into media content - is evidently on the rise.</w:t>
      </w:r>
    </w:p>
    <w:p w14:paraId="39BD5BF0" w14:textId="77777777" w:rsidR="00497B7D" w:rsidRPr="009B5102" w:rsidRDefault="00497B7D" w:rsidP="00346CA5">
      <w:pPr>
        <w:spacing w:line="360" w:lineRule="auto"/>
        <w:rPr>
          <w:rFonts w:ascii="Times New Roman" w:hAnsi="Times New Roman" w:cs="Times New Roman"/>
          <w:color w:val="333333"/>
          <w:sz w:val="24"/>
          <w:szCs w:val="24"/>
          <w:shd w:val="clear" w:color="auto" w:fill="FFFFFF"/>
        </w:rPr>
      </w:pPr>
      <w:r w:rsidRPr="009B5102">
        <w:rPr>
          <w:rFonts w:ascii="Times New Roman" w:hAnsi="Times New Roman" w:cs="Times New Roman"/>
          <w:sz w:val="24"/>
          <w:szCs w:val="24"/>
          <w:shd w:val="clear" w:color="auto" w:fill="FFFFFF"/>
        </w:rPr>
        <w:t>The report by the American research company PQ Media on global branded entertainment</w:t>
      </w:r>
      <w:r w:rsidRPr="00B93D25">
        <w:rPr>
          <w:rStyle w:val="FootnoteReference"/>
        </w:rPr>
        <w:footnoteReference w:id="2"/>
      </w:r>
      <w:r w:rsidRPr="009B5102">
        <w:rPr>
          <w:rFonts w:ascii="Times New Roman" w:hAnsi="Times New Roman" w:cs="Times New Roman"/>
          <w:sz w:val="24"/>
          <w:szCs w:val="24"/>
          <w:shd w:val="clear" w:color="auto" w:fill="FFFFFF"/>
        </w:rPr>
        <w:t xml:space="preserve"> trends and forecast for 2015-2019 </w:t>
      </w:r>
      <w:r w:rsidRPr="009B5102">
        <w:rPr>
          <w:rFonts w:ascii="Times New Roman" w:hAnsi="Times New Roman" w:cs="Times New Roman"/>
          <w:noProof/>
          <w:sz w:val="24"/>
          <w:szCs w:val="24"/>
          <w:shd w:val="clear" w:color="auto" w:fill="FFFFFF"/>
        </w:rPr>
        <w:t>(Quinn &amp; Kivijarv, 2015)</w:t>
      </w:r>
      <w:r w:rsidRPr="009B5102">
        <w:rPr>
          <w:rFonts w:ascii="Times New Roman" w:hAnsi="Times New Roman" w:cs="Times New Roman"/>
          <w:sz w:val="24"/>
          <w:szCs w:val="24"/>
          <w:shd w:val="clear" w:color="auto" w:fill="FFFFFF"/>
        </w:rPr>
        <w:t xml:space="preserve"> indicates, yet again</w:t>
      </w:r>
      <w:r w:rsidRPr="00B93D25">
        <w:rPr>
          <w:rStyle w:val="FootnoteReference"/>
        </w:rPr>
        <w:footnoteReference w:id="3"/>
      </w:r>
      <w:r w:rsidRPr="009B5102">
        <w:rPr>
          <w:rFonts w:ascii="Times New Roman" w:hAnsi="Times New Roman" w:cs="Times New Roman"/>
          <w:sz w:val="24"/>
          <w:szCs w:val="24"/>
          <w:shd w:val="clear" w:color="auto" w:fill="FFFFFF"/>
        </w:rPr>
        <w:t>, a dramatic rise in the revenues from this marketing activity worldwide. In 2009 the global revenues from product placement were 6.25 billion US dollars. In 2015 they climbed to 10.58 billion US dollars and the authors forecast that in 2019 this market will skyrocket to 21.4 billion US dollars globally, marking a rise of 330% within a decade</w:t>
      </w:r>
      <w:r w:rsidRPr="009B5102">
        <w:rPr>
          <w:rFonts w:ascii="Times New Roman" w:hAnsi="Times New Roman" w:cs="Times New Roman"/>
          <w:color w:val="333333"/>
          <w:sz w:val="24"/>
          <w:szCs w:val="24"/>
          <w:shd w:val="clear" w:color="auto" w:fill="FFFFFF"/>
        </w:rPr>
        <w:t xml:space="preserve">. </w:t>
      </w:r>
    </w:p>
    <w:p w14:paraId="307CD6BD" w14:textId="0D987417" w:rsidR="00C6152C" w:rsidRPr="006639ED" w:rsidRDefault="00497B7D" w:rsidP="00E76E30">
      <w:pPr>
        <w:spacing w:line="360" w:lineRule="auto"/>
        <w:rPr>
          <w:rFonts w:ascii="Times New Roman" w:hAnsi="Times New Roman" w:cs="Times New Roman"/>
          <w:sz w:val="24"/>
          <w:szCs w:val="24"/>
          <w:shd w:val="clear" w:color="auto" w:fill="FFFFFF"/>
          <w:lang w:val="en-US"/>
        </w:rPr>
      </w:pPr>
      <w:r w:rsidRPr="009B5102">
        <w:rPr>
          <w:rFonts w:ascii="Times New Roman" w:hAnsi="Times New Roman" w:cs="Times New Roman"/>
          <w:sz w:val="24"/>
          <w:szCs w:val="24"/>
          <w:shd w:val="clear" w:color="auto" w:fill="FFFFFF"/>
        </w:rPr>
        <w:t xml:space="preserve">But revenues are not the only indication for this striking trend. The expansion of this funding model from entertainment into territories which were previously strongly guarded from </w:t>
      </w:r>
      <w:r w:rsidRPr="009B5102">
        <w:rPr>
          <w:rFonts w:ascii="Times New Roman" w:hAnsi="Times New Roman" w:cs="Times New Roman"/>
          <w:sz w:val="24"/>
          <w:szCs w:val="24"/>
          <w:shd w:val="clear" w:color="auto" w:fill="FFFFFF"/>
        </w:rPr>
        <w:lastRenderedPageBreak/>
        <w:t xml:space="preserve">commercialisation, such as quality journalism, provides even stronger evidence of the silent revolution taking over media economy, globally. Within just a few years the buzzword ‘native advertising’, which refers to a form of advertising that is ‘native’ to the digital environment in which it is embedded, and is in practice yet another form of advertiser integration within content, </w:t>
      </w:r>
      <w:r w:rsidRPr="00853F59">
        <w:rPr>
          <w:rFonts w:ascii="Times New Roman" w:hAnsi="Times New Roman" w:cs="Times New Roman"/>
          <w:sz w:val="24"/>
          <w:szCs w:val="24"/>
          <w:shd w:val="clear" w:color="auto" w:fill="FFFFFF"/>
        </w:rPr>
        <w:t>has swept the most distinguished news outlets around the world.</w:t>
      </w:r>
      <w:r w:rsidRPr="00853F59">
        <w:rPr>
          <w:rFonts w:asciiTheme="majorBidi" w:hAnsiTheme="majorBidi" w:cstheme="majorBidi"/>
          <w:sz w:val="24"/>
          <w:szCs w:val="24"/>
          <w:shd w:val="clear" w:color="auto" w:fill="FFFFFF"/>
        </w:rPr>
        <w:t xml:space="preserve"> </w:t>
      </w:r>
      <w:r w:rsidR="00C6152C" w:rsidRPr="00853F59">
        <w:rPr>
          <w:rFonts w:asciiTheme="majorBidi" w:hAnsiTheme="majorBidi" w:cstheme="majorBidi"/>
          <w:sz w:val="24"/>
          <w:szCs w:val="24"/>
          <w:shd w:val="clear" w:color="auto" w:fill="FFFFFF"/>
        </w:rPr>
        <w:t>Native advertising is defined as "</w:t>
      </w:r>
      <w:r w:rsidR="00C6152C" w:rsidRPr="00853F59">
        <w:rPr>
          <w:rFonts w:asciiTheme="majorBidi" w:hAnsiTheme="majorBidi" w:cstheme="majorBidi"/>
          <w:sz w:val="24"/>
          <w:szCs w:val="24"/>
        </w:rPr>
        <w:t>the practice of online publishers accepting payment from particular advertisers to publish customized content that looks very similar – in terms of tone, presentation, and functionality – to the independently produced news, editorial, and entertainment content on the site</w:t>
      </w:r>
      <w:r w:rsidR="00E76E30" w:rsidRPr="00853F59">
        <w:rPr>
          <w:rFonts w:asciiTheme="majorBidi" w:hAnsiTheme="majorBidi" w:cstheme="majorBidi"/>
          <w:sz w:val="24"/>
          <w:szCs w:val="24"/>
        </w:rPr>
        <w:t>" (Bakshi, 2015)</w:t>
      </w:r>
      <w:r w:rsidR="00E76E30" w:rsidRPr="00853F59">
        <w:rPr>
          <w:rFonts w:asciiTheme="majorBidi" w:hAnsiTheme="majorBidi" w:cstheme="majorBidi"/>
          <w:sz w:val="24"/>
          <w:szCs w:val="24"/>
          <w:lang w:val="en-US"/>
        </w:rPr>
        <w:t xml:space="preserve"> </w:t>
      </w:r>
      <w:r w:rsidR="00952BCF" w:rsidRPr="00B93D25">
        <w:rPr>
          <w:rStyle w:val="FootnoteReference"/>
          <w:rtl/>
        </w:rPr>
        <w:footnoteReference w:id="4"/>
      </w:r>
      <w:r w:rsidR="00E76E30" w:rsidRPr="00853F59">
        <w:rPr>
          <w:rFonts w:asciiTheme="majorBidi" w:hAnsiTheme="majorBidi" w:cstheme="majorBidi"/>
          <w:sz w:val="24"/>
          <w:szCs w:val="24"/>
          <w:shd w:val="clear" w:color="auto" w:fill="FFFFFF"/>
          <w:lang w:val="en-US"/>
        </w:rPr>
        <w:t>.</w:t>
      </w:r>
    </w:p>
    <w:p w14:paraId="4046CE40" w14:textId="77777777" w:rsidR="00497B7D" w:rsidRPr="00B05575" w:rsidRDefault="00497B7D" w:rsidP="00346CA5">
      <w:pPr>
        <w:spacing w:line="360" w:lineRule="auto"/>
        <w:rPr>
          <w:rFonts w:ascii="Times New Roman" w:hAnsi="Times New Roman" w:cs="Times New Roman"/>
          <w:sz w:val="24"/>
          <w:szCs w:val="24"/>
          <w:shd w:val="clear" w:color="auto" w:fill="FFFFFF"/>
        </w:rPr>
      </w:pPr>
      <w:r w:rsidRPr="009B5102">
        <w:rPr>
          <w:rFonts w:ascii="Times New Roman" w:hAnsi="Times New Roman" w:cs="Times New Roman"/>
          <w:sz w:val="24"/>
          <w:szCs w:val="24"/>
          <w:shd w:val="clear" w:color="auto" w:fill="FFFFFF"/>
        </w:rPr>
        <w:t xml:space="preserve">The year 2014 seemed to be that of native advertising’s breakthrough into quality journalism. </w:t>
      </w:r>
      <w:r w:rsidRPr="009B5102">
        <w:rPr>
          <w:rFonts w:ascii="Times New Roman" w:hAnsi="Times New Roman" w:cs="Times New Roman"/>
          <w:i/>
          <w:iCs/>
          <w:sz w:val="24"/>
          <w:szCs w:val="24"/>
          <w:shd w:val="clear" w:color="auto" w:fill="FFFFFF"/>
        </w:rPr>
        <w:t>The New York Times</w:t>
      </w:r>
      <w:r w:rsidRPr="009B5102">
        <w:rPr>
          <w:rFonts w:ascii="Times New Roman" w:hAnsi="Times New Roman" w:cs="Times New Roman"/>
          <w:sz w:val="24"/>
          <w:szCs w:val="24"/>
          <w:shd w:val="clear" w:color="auto" w:fill="FFFFFF"/>
        </w:rPr>
        <w:t xml:space="preserve"> announced the introduction of ‘native advertising’ at the end of 2013 </w:t>
      </w:r>
      <w:r w:rsidRPr="00B05575">
        <w:rPr>
          <w:rFonts w:ascii="Times New Roman" w:hAnsi="Times New Roman" w:cs="Times New Roman"/>
          <w:noProof/>
          <w:sz w:val="24"/>
          <w:szCs w:val="24"/>
          <w:shd w:val="clear" w:color="auto" w:fill="FFFFFF"/>
        </w:rPr>
        <w:t>(Somaiya, 2013, December 19th)</w:t>
      </w:r>
      <w:r w:rsidRPr="00B05575">
        <w:rPr>
          <w:rFonts w:ascii="Times New Roman" w:hAnsi="Times New Roman" w:cs="Times New Roman"/>
          <w:sz w:val="24"/>
          <w:szCs w:val="24"/>
          <w:shd w:val="clear" w:color="auto" w:fill="FFFFFF"/>
        </w:rPr>
        <w:t xml:space="preserve"> and soon after launched its first project, which was somewhat atypical to the field as it promoted another type of media content -  Netflix’s new series </w:t>
      </w:r>
      <w:r w:rsidRPr="00B05575">
        <w:rPr>
          <w:rFonts w:ascii="Times New Roman" w:hAnsi="Times New Roman" w:cs="Times New Roman"/>
          <w:i/>
          <w:iCs/>
          <w:sz w:val="24"/>
          <w:szCs w:val="24"/>
          <w:shd w:val="clear" w:color="auto" w:fill="FFFFFF"/>
        </w:rPr>
        <w:t>Orange is the New Black</w:t>
      </w:r>
      <w:r w:rsidRPr="00B93D25">
        <w:rPr>
          <w:rStyle w:val="FootnoteReference"/>
        </w:rPr>
        <w:footnoteReference w:id="5"/>
      </w:r>
      <w:r w:rsidRPr="00B05575">
        <w:rPr>
          <w:rFonts w:ascii="Times New Roman" w:hAnsi="Times New Roman" w:cs="Times New Roman"/>
          <w:sz w:val="24"/>
          <w:szCs w:val="24"/>
          <w:shd w:val="clear" w:color="auto" w:fill="FFFFFF"/>
        </w:rPr>
        <w:t xml:space="preserve"> </w:t>
      </w:r>
      <w:r w:rsidRPr="00B05575">
        <w:rPr>
          <w:rFonts w:ascii="Times New Roman" w:hAnsi="Times New Roman" w:cs="Times New Roman"/>
          <w:noProof/>
          <w:sz w:val="24"/>
          <w:szCs w:val="24"/>
          <w:shd w:val="clear" w:color="auto" w:fill="FFFFFF"/>
        </w:rPr>
        <w:t>(Deziel, 2014)</w:t>
      </w:r>
      <w:r w:rsidRPr="00B05575">
        <w:rPr>
          <w:rFonts w:ascii="Times New Roman" w:hAnsi="Times New Roman" w:cs="Times New Roman"/>
          <w:sz w:val="24"/>
          <w:szCs w:val="24"/>
          <w:shd w:val="clear" w:color="auto" w:fill="FFFFFF"/>
        </w:rPr>
        <w:t xml:space="preserve">. Other distinguished newspapers were quick to follow: </w:t>
      </w:r>
      <w:r w:rsidRPr="00B05575">
        <w:rPr>
          <w:rFonts w:ascii="Times New Roman" w:hAnsi="Times New Roman" w:cs="Times New Roman"/>
          <w:i/>
          <w:iCs/>
          <w:sz w:val="24"/>
          <w:szCs w:val="24"/>
          <w:shd w:val="clear" w:color="auto" w:fill="FFFFFF"/>
        </w:rPr>
        <w:t>The Guardian</w:t>
      </w:r>
      <w:r w:rsidRPr="00B05575">
        <w:rPr>
          <w:rFonts w:ascii="Times New Roman" w:hAnsi="Times New Roman" w:cs="Times New Roman"/>
          <w:sz w:val="24"/>
          <w:szCs w:val="24"/>
          <w:shd w:val="clear" w:color="auto" w:fill="FFFFFF"/>
        </w:rPr>
        <w:t xml:space="preserve"> </w:t>
      </w:r>
      <w:r w:rsidRPr="00B05575">
        <w:rPr>
          <w:rFonts w:ascii="Times New Roman" w:hAnsi="Times New Roman" w:cs="Times New Roman"/>
          <w:noProof/>
          <w:sz w:val="24"/>
          <w:szCs w:val="24"/>
          <w:shd w:val="clear" w:color="auto" w:fill="FFFFFF"/>
        </w:rPr>
        <w:t>(Moses, 2014, February 13th)</w:t>
      </w:r>
      <w:r w:rsidRPr="00B05575">
        <w:rPr>
          <w:rFonts w:ascii="Times New Roman" w:hAnsi="Times New Roman" w:cs="Times New Roman"/>
          <w:sz w:val="24"/>
          <w:szCs w:val="24"/>
          <w:shd w:val="clear" w:color="auto" w:fill="FFFFFF"/>
        </w:rPr>
        <w:t xml:space="preserve">, </w:t>
      </w:r>
      <w:r w:rsidRPr="00B05575">
        <w:rPr>
          <w:rFonts w:ascii="Times New Roman" w:hAnsi="Times New Roman" w:cs="Times New Roman"/>
          <w:i/>
          <w:iCs/>
          <w:sz w:val="24"/>
          <w:szCs w:val="24"/>
          <w:shd w:val="clear" w:color="auto" w:fill="FFFFFF"/>
        </w:rPr>
        <w:t>The Wall Street Journal</w:t>
      </w:r>
      <w:r w:rsidRPr="00B05575">
        <w:rPr>
          <w:rFonts w:ascii="Times New Roman" w:hAnsi="Times New Roman" w:cs="Times New Roman"/>
          <w:sz w:val="24"/>
          <w:szCs w:val="24"/>
          <w:shd w:val="clear" w:color="auto" w:fill="FFFFFF"/>
        </w:rPr>
        <w:t xml:space="preserve"> </w:t>
      </w:r>
      <w:r w:rsidRPr="00B05575">
        <w:rPr>
          <w:rFonts w:ascii="Times New Roman" w:hAnsi="Times New Roman" w:cs="Times New Roman"/>
          <w:noProof/>
          <w:sz w:val="24"/>
          <w:szCs w:val="24"/>
          <w:shd w:val="clear" w:color="auto" w:fill="FFFFFF"/>
        </w:rPr>
        <w:t>(Moses, 2014, March 10th)</w:t>
      </w:r>
      <w:r w:rsidRPr="00B05575">
        <w:rPr>
          <w:rFonts w:ascii="Times New Roman" w:hAnsi="Times New Roman" w:cs="Times New Roman"/>
          <w:sz w:val="24"/>
          <w:szCs w:val="24"/>
          <w:shd w:val="clear" w:color="auto" w:fill="FFFFFF"/>
        </w:rPr>
        <w:t xml:space="preserve">, </w:t>
      </w:r>
      <w:r w:rsidRPr="00B05575">
        <w:rPr>
          <w:rFonts w:ascii="Times New Roman" w:hAnsi="Times New Roman" w:cs="Times New Roman"/>
          <w:i/>
          <w:iCs/>
          <w:sz w:val="24"/>
          <w:szCs w:val="24"/>
          <w:shd w:val="clear" w:color="auto" w:fill="FFFFFF"/>
        </w:rPr>
        <w:t>The Washington Post</w:t>
      </w:r>
      <w:r w:rsidRPr="00B05575">
        <w:rPr>
          <w:rFonts w:ascii="Times New Roman" w:hAnsi="Times New Roman" w:cs="Times New Roman"/>
          <w:sz w:val="24"/>
          <w:szCs w:val="24"/>
          <w:shd w:val="clear" w:color="auto" w:fill="FFFFFF"/>
        </w:rPr>
        <w:t xml:space="preserve"> </w:t>
      </w:r>
      <w:r w:rsidRPr="00B05575">
        <w:rPr>
          <w:rFonts w:ascii="Times New Roman" w:hAnsi="Times New Roman" w:cs="Times New Roman"/>
          <w:noProof/>
          <w:sz w:val="24"/>
          <w:szCs w:val="24"/>
          <w:shd w:val="clear" w:color="auto" w:fill="FFFFFF"/>
        </w:rPr>
        <w:t>(The Washington Post, 2014, November 19th)</w:t>
      </w:r>
      <w:r w:rsidRPr="00B05575">
        <w:rPr>
          <w:rFonts w:ascii="Times New Roman" w:hAnsi="Times New Roman" w:cs="Times New Roman"/>
          <w:sz w:val="24"/>
          <w:szCs w:val="24"/>
          <w:shd w:val="clear" w:color="auto" w:fill="FFFFFF"/>
        </w:rPr>
        <w:t xml:space="preserve"> and many others. </w:t>
      </w:r>
    </w:p>
    <w:p w14:paraId="776352ED" w14:textId="77777777" w:rsidR="00497B7D" w:rsidRPr="009B5102" w:rsidRDefault="00497B7D" w:rsidP="00346CA5">
      <w:pPr>
        <w:spacing w:line="360" w:lineRule="auto"/>
        <w:rPr>
          <w:rFonts w:ascii="Times New Roman" w:hAnsi="Times New Roman" w:cs="Times New Roman"/>
          <w:sz w:val="24"/>
          <w:szCs w:val="24"/>
          <w:shd w:val="clear" w:color="auto" w:fill="FFFFFF"/>
        </w:rPr>
      </w:pPr>
      <w:r w:rsidRPr="00B05575">
        <w:rPr>
          <w:rFonts w:ascii="Times New Roman" w:hAnsi="Times New Roman" w:cs="Times New Roman"/>
          <w:sz w:val="24"/>
          <w:szCs w:val="24"/>
          <w:shd w:val="clear" w:color="auto" w:fill="FFFFFF"/>
        </w:rPr>
        <w:t xml:space="preserve">Media outlets that were born into the digital environment, such as </w:t>
      </w:r>
      <w:r w:rsidRPr="00B05575">
        <w:rPr>
          <w:rFonts w:ascii="Times New Roman" w:hAnsi="Times New Roman" w:cs="Times New Roman"/>
          <w:i/>
          <w:iCs/>
          <w:sz w:val="24"/>
          <w:szCs w:val="24"/>
          <w:shd w:val="clear" w:color="auto" w:fill="FFFFFF"/>
        </w:rPr>
        <w:t>Buzzfeed</w:t>
      </w:r>
      <w:r w:rsidRPr="00B05575">
        <w:rPr>
          <w:rFonts w:ascii="Times New Roman" w:hAnsi="Times New Roman" w:cs="Times New Roman"/>
          <w:sz w:val="24"/>
          <w:szCs w:val="24"/>
          <w:shd w:val="clear" w:color="auto" w:fill="FFFFFF"/>
        </w:rPr>
        <w:t xml:space="preserve">, </w:t>
      </w:r>
      <w:r w:rsidRPr="00B05575">
        <w:rPr>
          <w:rFonts w:ascii="Times New Roman" w:hAnsi="Times New Roman" w:cs="Times New Roman"/>
          <w:i/>
          <w:iCs/>
          <w:sz w:val="24"/>
          <w:szCs w:val="24"/>
          <w:shd w:val="clear" w:color="auto" w:fill="FFFFFF"/>
        </w:rPr>
        <w:t>Huffington Post</w:t>
      </w:r>
      <w:r w:rsidRPr="00B05575">
        <w:rPr>
          <w:rFonts w:ascii="Times New Roman" w:hAnsi="Times New Roman" w:cs="Times New Roman"/>
          <w:sz w:val="24"/>
          <w:szCs w:val="24"/>
          <w:shd w:val="clear" w:color="auto" w:fill="FFFFFF"/>
        </w:rPr>
        <w:t xml:space="preserve"> or </w:t>
      </w:r>
      <w:r w:rsidRPr="00B05575">
        <w:rPr>
          <w:rFonts w:ascii="Times New Roman" w:hAnsi="Times New Roman" w:cs="Times New Roman"/>
          <w:i/>
          <w:iCs/>
          <w:color w:val="333333"/>
          <w:sz w:val="24"/>
          <w:szCs w:val="24"/>
          <w:shd w:val="clear" w:color="auto" w:fill="FFFFFF"/>
        </w:rPr>
        <w:t>Mashable</w:t>
      </w:r>
      <w:r w:rsidRPr="00B05575">
        <w:rPr>
          <w:rFonts w:ascii="Times New Roman" w:hAnsi="Times New Roman" w:cs="Times New Roman"/>
          <w:sz w:val="24"/>
          <w:szCs w:val="24"/>
          <w:shd w:val="clear" w:color="auto" w:fill="FFFFFF"/>
        </w:rPr>
        <w:t xml:space="preserve">, have long been known to lean on ‘native advertising’ as a substantial financial model for their business </w:t>
      </w:r>
      <w:r w:rsidRPr="00B05575">
        <w:rPr>
          <w:rFonts w:ascii="Times New Roman" w:hAnsi="Times New Roman" w:cs="Times New Roman"/>
          <w:noProof/>
          <w:sz w:val="24"/>
          <w:szCs w:val="24"/>
          <w:shd w:val="clear" w:color="auto" w:fill="FFFFFF"/>
        </w:rPr>
        <w:t>(Moses, 2015, May 29th; Pillay, 2015, June 2nd)</w:t>
      </w:r>
      <w:r w:rsidRPr="00B05575">
        <w:rPr>
          <w:rFonts w:ascii="Times New Roman" w:hAnsi="Times New Roman" w:cs="Times New Roman"/>
          <w:sz w:val="24"/>
          <w:szCs w:val="24"/>
          <w:shd w:val="clear" w:color="auto" w:fill="FFFFFF"/>
        </w:rPr>
        <w:t>. The em</w:t>
      </w:r>
      <w:r w:rsidRPr="009B5102">
        <w:rPr>
          <w:rFonts w:ascii="Times New Roman" w:hAnsi="Times New Roman" w:cs="Times New Roman"/>
          <w:sz w:val="24"/>
          <w:szCs w:val="24"/>
          <w:shd w:val="clear" w:color="auto" w:fill="FFFFFF"/>
        </w:rPr>
        <w:t xml:space="preserve">ergence of new digital initiatives for ‘content recommendations’ which further blur the line between advertising and content, such as Outbrain and Taboola, and their quick introduction into big media outlets around the world such as </w:t>
      </w:r>
      <w:r w:rsidRPr="009B5102">
        <w:rPr>
          <w:rFonts w:ascii="Times New Roman" w:hAnsi="Times New Roman" w:cs="Times New Roman"/>
          <w:i/>
          <w:iCs/>
          <w:sz w:val="24"/>
          <w:szCs w:val="24"/>
          <w:shd w:val="clear" w:color="auto" w:fill="FFFFFF"/>
        </w:rPr>
        <w:t>The Guardian</w:t>
      </w:r>
      <w:r w:rsidRPr="009B5102">
        <w:rPr>
          <w:rFonts w:ascii="Times New Roman" w:hAnsi="Times New Roman" w:cs="Times New Roman"/>
          <w:sz w:val="24"/>
          <w:szCs w:val="24"/>
          <w:shd w:val="clear" w:color="auto" w:fill="FFFFFF"/>
        </w:rPr>
        <w:t xml:space="preserve">, </w:t>
      </w:r>
      <w:r w:rsidRPr="009B5102">
        <w:rPr>
          <w:rFonts w:ascii="Times New Roman" w:hAnsi="Times New Roman" w:cs="Times New Roman"/>
          <w:i/>
          <w:iCs/>
          <w:sz w:val="24"/>
          <w:szCs w:val="24"/>
          <w:shd w:val="clear" w:color="auto" w:fill="FFFFFF"/>
        </w:rPr>
        <w:t>Fox News</w:t>
      </w:r>
      <w:r w:rsidRPr="009B5102">
        <w:rPr>
          <w:rFonts w:ascii="Times New Roman" w:hAnsi="Times New Roman" w:cs="Times New Roman"/>
          <w:sz w:val="24"/>
          <w:szCs w:val="24"/>
          <w:shd w:val="clear" w:color="auto" w:fill="FFFFFF"/>
        </w:rPr>
        <w:t xml:space="preserve">, </w:t>
      </w:r>
      <w:r w:rsidRPr="009B5102">
        <w:rPr>
          <w:rFonts w:ascii="Times New Roman" w:hAnsi="Times New Roman" w:cs="Times New Roman"/>
          <w:i/>
          <w:iCs/>
          <w:sz w:val="24"/>
          <w:szCs w:val="24"/>
          <w:shd w:val="clear" w:color="auto" w:fill="FFFFFF"/>
        </w:rPr>
        <w:t>Business Insider</w:t>
      </w:r>
      <w:r w:rsidRPr="009B5102">
        <w:rPr>
          <w:rFonts w:ascii="Times New Roman" w:hAnsi="Times New Roman" w:cs="Times New Roman"/>
          <w:sz w:val="24"/>
          <w:szCs w:val="24"/>
          <w:shd w:val="clear" w:color="auto" w:fill="FFFFFF"/>
        </w:rPr>
        <w:t xml:space="preserve">, </w:t>
      </w:r>
      <w:r w:rsidRPr="009B5102">
        <w:rPr>
          <w:rFonts w:ascii="Times New Roman" w:hAnsi="Times New Roman" w:cs="Times New Roman"/>
          <w:i/>
          <w:iCs/>
          <w:sz w:val="24"/>
          <w:szCs w:val="24"/>
          <w:shd w:val="clear" w:color="auto" w:fill="FFFFFF"/>
        </w:rPr>
        <w:t>USA Today</w:t>
      </w:r>
      <w:r w:rsidRPr="009B5102">
        <w:rPr>
          <w:rFonts w:ascii="Times New Roman" w:hAnsi="Times New Roman" w:cs="Times New Roman"/>
          <w:sz w:val="24"/>
          <w:szCs w:val="24"/>
          <w:shd w:val="clear" w:color="auto" w:fill="FFFFFF"/>
        </w:rPr>
        <w:t xml:space="preserve">, </w:t>
      </w:r>
      <w:r w:rsidRPr="009B5102">
        <w:rPr>
          <w:rFonts w:ascii="Times New Roman" w:hAnsi="Times New Roman" w:cs="Times New Roman"/>
          <w:i/>
          <w:iCs/>
          <w:sz w:val="24"/>
          <w:szCs w:val="24"/>
          <w:shd w:val="clear" w:color="auto" w:fill="FFFFFF"/>
        </w:rPr>
        <w:t xml:space="preserve">Chicago Tribune </w:t>
      </w:r>
      <w:r w:rsidRPr="009B5102">
        <w:rPr>
          <w:rFonts w:ascii="Times New Roman" w:hAnsi="Times New Roman" w:cs="Times New Roman"/>
          <w:sz w:val="24"/>
          <w:szCs w:val="24"/>
          <w:shd w:val="clear" w:color="auto" w:fill="FFFFFF"/>
        </w:rPr>
        <w:t xml:space="preserve">and many others - indicated that the historical wall between ‘church’ and ‘state’ has been seriously eroded, and there is probably no way back. </w:t>
      </w:r>
    </w:p>
    <w:p w14:paraId="38713A98" w14:textId="77777777" w:rsidR="00497B7D" w:rsidRPr="009B5102" w:rsidRDefault="00497B7D" w:rsidP="00346CA5">
      <w:pPr>
        <w:spacing w:line="360" w:lineRule="auto"/>
        <w:rPr>
          <w:rFonts w:ascii="Times New Roman" w:hAnsi="Times New Roman" w:cs="Times New Roman"/>
          <w:sz w:val="24"/>
          <w:szCs w:val="24"/>
          <w:shd w:val="clear" w:color="auto" w:fill="FFFFFF"/>
        </w:rPr>
      </w:pPr>
      <w:r w:rsidRPr="009B5102">
        <w:rPr>
          <w:rFonts w:ascii="Times New Roman" w:hAnsi="Times New Roman" w:cs="Times New Roman"/>
          <w:sz w:val="24"/>
          <w:szCs w:val="24"/>
          <w:shd w:val="clear" w:color="auto" w:fill="FFFFFF"/>
        </w:rPr>
        <w:lastRenderedPageBreak/>
        <w:t xml:space="preserve">Finally, the fact that John Oliver dedicated 11:22 minutes of his show to brilliantly and ruthlessly tearing the buzzword ‘native advertising’ to pieces is probably yet another piece of evidence that this trend has become a ‘hot potato’ and a phenomenon that deserves further attention </w:t>
      </w:r>
      <w:r w:rsidRPr="00B05575">
        <w:rPr>
          <w:rFonts w:ascii="Times New Roman" w:hAnsi="Times New Roman" w:cs="Times New Roman"/>
          <w:noProof/>
          <w:sz w:val="24"/>
          <w:szCs w:val="24"/>
          <w:shd w:val="clear" w:color="auto" w:fill="FFFFFF"/>
        </w:rPr>
        <w:t>(Oliver, 2014, August 3rd)</w:t>
      </w:r>
      <w:r w:rsidRPr="00B93D25">
        <w:rPr>
          <w:rStyle w:val="FootnoteReference"/>
        </w:rPr>
        <w:footnoteReference w:id="6"/>
      </w:r>
      <w:r w:rsidRPr="00B05575">
        <w:rPr>
          <w:rFonts w:ascii="Times New Roman" w:hAnsi="Times New Roman" w:cs="Times New Roman"/>
          <w:sz w:val="24"/>
          <w:szCs w:val="24"/>
          <w:shd w:val="clear" w:color="auto" w:fill="FFFFFF"/>
        </w:rPr>
        <w:t>. In</w:t>
      </w:r>
      <w:r w:rsidRPr="009B5102">
        <w:rPr>
          <w:rFonts w:ascii="Times New Roman" w:hAnsi="Times New Roman" w:cs="Times New Roman"/>
          <w:sz w:val="24"/>
          <w:szCs w:val="24"/>
          <w:shd w:val="clear" w:color="auto" w:fill="FFFFFF"/>
        </w:rPr>
        <w:t xml:space="preserve">deed, some of his observations will be echoed in the chapters ahead, however, in a somewhat more elaborated manner.   </w:t>
      </w:r>
    </w:p>
    <w:p w14:paraId="6AE1B3A8" w14:textId="1C572612" w:rsidR="00497B7D" w:rsidRPr="009B5102" w:rsidRDefault="00497B7D" w:rsidP="00346CA5">
      <w:pPr>
        <w:spacing w:line="360" w:lineRule="auto"/>
        <w:rPr>
          <w:rFonts w:ascii="Times New Roman" w:hAnsi="Times New Roman" w:cs="Times New Roman"/>
          <w:color w:val="2B2B2B"/>
          <w:sz w:val="24"/>
          <w:szCs w:val="24"/>
          <w:shd w:val="clear" w:color="auto" w:fill="FFFFFF"/>
        </w:rPr>
      </w:pPr>
      <w:r w:rsidRPr="009B5102">
        <w:rPr>
          <w:rFonts w:ascii="Times New Roman" w:hAnsi="Times New Roman" w:cs="Times New Roman"/>
          <w:sz w:val="24"/>
          <w:szCs w:val="24"/>
          <w:shd w:val="clear" w:color="auto" w:fill="FFFFFF"/>
        </w:rPr>
        <w:t xml:space="preserve">Some of these media bodies, especially those that have a tradition of journalistic integrity, struggle with questions of ethics in this new, chaotic landscape. In a letter to his employees, the publisher of </w:t>
      </w:r>
      <w:r w:rsidRPr="009B5102">
        <w:rPr>
          <w:rFonts w:ascii="Times New Roman" w:hAnsi="Times New Roman" w:cs="Times New Roman"/>
          <w:i/>
          <w:iCs/>
          <w:sz w:val="24"/>
          <w:szCs w:val="24"/>
          <w:shd w:val="clear" w:color="auto" w:fill="FFFFFF"/>
        </w:rPr>
        <w:t>The New York Times</w:t>
      </w:r>
      <w:r w:rsidRPr="009B5102">
        <w:rPr>
          <w:rFonts w:ascii="Times New Roman" w:hAnsi="Times New Roman" w:cs="Times New Roman"/>
          <w:sz w:val="24"/>
          <w:szCs w:val="24"/>
          <w:shd w:val="clear" w:color="auto" w:fill="FFFFFF"/>
        </w:rPr>
        <w:t xml:space="preserve">, Arthur Sulzberger Jr., promised to maintain a “strict separation between the newsroom and the job of creating content for the new native ads” </w:t>
      </w:r>
      <w:r w:rsidRPr="00B05575">
        <w:rPr>
          <w:rFonts w:ascii="Times New Roman" w:hAnsi="Times New Roman" w:cs="Times New Roman"/>
          <w:noProof/>
          <w:sz w:val="24"/>
          <w:szCs w:val="24"/>
          <w:shd w:val="clear" w:color="auto" w:fill="FFFFFF"/>
        </w:rPr>
        <w:t>(Somaiya, 2013, December 19th)</w:t>
      </w:r>
      <w:r w:rsidRPr="00B05575">
        <w:rPr>
          <w:rFonts w:ascii="Times New Roman" w:hAnsi="Times New Roman" w:cs="Times New Roman"/>
          <w:sz w:val="24"/>
          <w:szCs w:val="24"/>
          <w:shd w:val="clear" w:color="auto" w:fill="FFFFFF"/>
        </w:rPr>
        <w:t xml:space="preserve">. However, just a few months later, in the newspaper’s leaked innovation </w:t>
      </w:r>
      <w:r w:rsidR="00B50816" w:rsidRPr="00B05575">
        <w:rPr>
          <w:rFonts w:ascii="Times New Roman" w:hAnsi="Times New Roman" w:cs="Times New Roman"/>
          <w:sz w:val="24"/>
          <w:szCs w:val="24"/>
          <w:shd w:val="clear" w:color="auto" w:fill="FFFFFF"/>
        </w:rPr>
        <w:t>report (</w:t>
      </w:r>
      <w:r w:rsidRPr="00B05575">
        <w:rPr>
          <w:rFonts w:ascii="Times New Roman" w:hAnsi="Times New Roman" w:cs="Times New Roman"/>
          <w:noProof/>
          <w:color w:val="2B2B2B"/>
          <w:sz w:val="24"/>
          <w:szCs w:val="24"/>
          <w:shd w:val="clear" w:color="auto" w:fill="FFFFFF"/>
        </w:rPr>
        <w:t>Sulzberger, 2014, March 24th)</w:t>
      </w:r>
      <w:r w:rsidRPr="00B05575">
        <w:rPr>
          <w:rFonts w:ascii="Times New Roman" w:hAnsi="Times New Roman" w:cs="Times New Roman"/>
          <w:sz w:val="24"/>
          <w:szCs w:val="24"/>
          <w:shd w:val="clear" w:color="auto" w:fill="FFFFFF"/>
        </w:rPr>
        <w:t xml:space="preserve">, which was led by his son, </w:t>
      </w:r>
      <w:r w:rsidRPr="00B05575">
        <w:rPr>
          <w:rFonts w:ascii="Times New Roman" w:hAnsi="Times New Roman" w:cs="Times New Roman"/>
          <w:color w:val="2B2B2B"/>
          <w:sz w:val="24"/>
          <w:szCs w:val="24"/>
          <w:shd w:val="clear" w:color="auto" w:fill="FFFFFF"/>
        </w:rPr>
        <w:t>Arthur Gregg Sulzberger, there seemed to be a substantial change. The need for</w:t>
      </w:r>
      <w:r w:rsidRPr="009B5102">
        <w:rPr>
          <w:rFonts w:ascii="Times New Roman" w:hAnsi="Times New Roman" w:cs="Times New Roman"/>
          <w:color w:val="2B2B2B"/>
          <w:sz w:val="24"/>
          <w:szCs w:val="24"/>
          <w:shd w:val="clear" w:color="auto" w:fill="FFFFFF"/>
        </w:rPr>
        <w:t xml:space="preserve"> ‘collaboration’ took over the principle of ‘separation’: </w:t>
      </w:r>
    </w:p>
    <w:p w14:paraId="6FB61715" w14:textId="77777777" w:rsidR="00497B7D" w:rsidRPr="009B5102" w:rsidRDefault="00497B7D" w:rsidP="00346CA5">
      <w:pPr>
        <w:pStyle w:val="Quote"/>
      </w:pPr>
      <w:r w:rsidRPr="009B5102">
        <w:t xml:space="preserve">The very first step, however, should be a deliberate push to abandon our current metaphors of choice - ‘The Wall’ and ‘Church and State’ - which project an enduring need for division. Increased collaboration, done right, does not present any threat to our values of journalistic independence </w:t>
      </w:r>
      <w:r w:rsidRPr="00B05575">
        <w:rPr>
          <w:noProof/>
          <w:color w:val="2B2B2B"/>
        </w:rPr>
        <w:t>(Sulzberger, 2014, March 24th)</w:t>
      </w:r>
      <w:r w:rsidRPr="00B05575">
        <w:rPr>
          <w:color w:val="2B2B2B"/>
        </w:rPr>
        <w:t>.</w:t>
      </w:r>
      <w:r w:rsidRPr="009B5102">
        <w:t> </w:t>
      </w:r>
    </w:p>
    <w:p w14:paraId="37A085ED" w14:textId="77777777" w:rsidR="00497B7D" w:rsidRPr="009B5102" w:rsidRDefault="00497B7D" w:rsidP="00346CA5">
      <w:pPr>
        <w:spacing w:line="360" w:lineRule="auto"/>
        <w:rPr>
          <w:rFonts w:ascii="Times New Roman" w:hAnsi="Times New Roman" w:cs="Times New Roman"/>
          <w:sz w:val="24"/>
          <w:szCs w:val="24"/>
          <w:shd w:val="clear" w:color="auto" w:fill="FFFFFF"/>
        </w:rPr>
      </w:pPr>
      <w:r w:rsidRPr="009B5102">
        <w:rPr>
          <w:rFonts w:ascii="Times New Roman" w:hAnsi="Times New Roman" w:cs="Times New Roman"/>
          <w:sz w:val="24"/>
          <w:szCs w:val="24"/>
          <w:shd w:val="clear" w:color="auto" w:fill="FFFFFF"/>
        </w:rPr>
        <w:t>My research is located in between these two points in time - the speech by Coca-Cola COO at the beginning of the 21</w:t>
      </w:r>
      <w:r w:rsidRPr="009B5102">
        <w:rPr>
          <w:rFonts w:ascii="Times New Roman" w:hAnsi="Times New Roman" w:cs="Times New Roman"/>
          <w:sz w:val="24"/>
          <w:szCs w:val="24"/>
          <w:shd w:val="clear" w:color="auto" w:fill="FFFFFF"/>
          <w:vertAlign w:val="superscript"/>
        </w:rPr>
        <w:t>st</w:t>
      </w:r>
      <w:r w:rsidRPr="009B5102">
        <w:rPr>
          <w:rFonts w:ascii="Times New Roman" w:hAnsi="Times New Roman" w:cs="Times New Roman"/>
          <w:sz w:val="24"/>
          <w:szCs w:val="24"/>
          <w:shd w:val="clear" w:color="auto" w:fill="FFFFFF"/>
        </w:rPr>
        <w:t xml:space="preserve"> century about the need for an alliance between brands and the entertainment industry, and the more recent thoughts of the innovation team of </w:t>
      </w:r>
      <w:r w:rsidRPr="009B5102">
        <w:rPr>
          <w:rFonts w:ascii="Times New Roman" w:hAnsi="Times New Roman" w:cs="Times New Roman"/>
          <w:i/>
          <w:iCs/>
          <w:sz w:val="24"/>
          <w:szCs w:val="24"/>
          <w:shd w:val="clear" w:color="auto" w:fill="FFFFFF"/>
        </w:rPr>
        <w:t>The New York Times</w:t>
      </w:r>
      <w:r w:rsidRPr="009B5102">
        <w:rPr>
          <w:rFonts w:ascii="Times New Roman" w:hAnsi="Times New Roman" w:cs="Times New Roman"/>
          <w:sz w:val="24"/>
          <w:szCs w:val="24"/>
          <w:shd w:val="clear" w:color="auto" w:fill="FFFFFF"/>
        </w:rPr>
        <w:t xml:space="preserve"> about the future of journalism and the relationship between ‘church’ and ‘state’. These two statements, coming from very different speakers, reflect a deep change that deserves scholarly attention. My thesis is a preliminary attempt to explore the silent, yet immense, change in media economy during this period, and to shed light on some disturbing aspects of the commercialisation of media content in the digital age. It is a journey into the market of ‘branded </w:t>
      </w:r>
      <w:r w:rsidRPr="009B5102">
        <w:rPr>
          <w:rFonts w:ascii="Times New Roman" w:hAnsi="Times New Roman" w:cs="Times New Roman"/>
          <w:sz w:val="24"/>
          <w:szCs w:val="24"/>
          <w:shd w:val="clear" w:color="auto" w:fill="FFFFFF"/>
        </w:rPr>
        <w:lastRenderedPageBreak/>
        <w:t>content’ which presents a critical response to the intensified tendency of content producers and commercial sponsors to join hands and collaborate.</w:t>
      </w:r>
    </w:p>
    <w:p w14:paraId="243EB455" w14:textId="77777777" w:rsidR="00497B7D" w:rsidRPr="00103637" w:rsidRDefault="00497B7D" w:rsidP="00346CA5">
      <w:pPr>
        <w:spacing w:line="360" w:lineRule="auto"/>
        <w:rPr>
          <w:rFonts w:ascii="Times New Roman" w:hAnsi="Times New Roman" w:cs="Times New Roman"/>
          <w:sz w:val="24"/>
          <w:szCs w:val="24"/>
          <w:shd w:val="clear" w:color="auto" w:fill="FFFFFF"/>
        </w:rPr>
      </w:pPr>
      <w:r w:rsidRPr="009B5102">
        <w:rPr>
          <w:rFonts w:ascii="Times New Roman" w:hAnsi="Times New Roman" w:cs="Times New Roman"/>
          <w:sz w:val="24"/>
          <w:szCs w:val="24"/>
          <w:shd w:val="clear" w:color="auto" w:fill="FFFFFF"/>
        </w:rPr>
        <w:t>What is the phenomenon at the heart of my quest? I look at a funding model that is commonly titled by marketing and media professionals as ‘branded content’. It is also known by other names, as mentioned before, and they all describe practices that, although not entirely similar</w:t>
      </w:r>
      <w:r w:rsidRPr="00B93D25">
        <w:rPr>
          <w:rStyle w:val="FootnoteReference"/>
        </w:rPr>
        <w:footnoteReference w:id="7"/>
      </w:r>
      <w:r w:rsidRPr="009B5102">
        <w:rPr>
          <w:rFonts w:ascii="Times New Roman" w:hAnsi="Times New Roman" w:cs="Times New Roman"/>
          <w:sz w:val="24"/>
          <w:szCs w:val="24"/>
          <w:shd w:val="clear" w:color="auto" w:fill="FFFFFF"/>
        </w:rPr>
        <w:t xml:space="preserve">, are closely related: ‘branded entertainment’, ‘product placement’, ’sponsorship’, ‘advertorials’ </w:t>
      </w:r>
      <w:r w:rsidRPr="00103637">
        <w:rPr>
          <w:rFonts w:ascii="Times New Roman" w:hAnsi="Times New Roman" w:cs="Times New Roman"/>
          <w:sz w:val="24"/>
          <w:szCs w:val="24"/>
          <w:shd w:val="clear" w:color="auto" w:fill="FFFFFF"/>
        </w:rPr>
        <w:t>or, in the context of the digital arena, ‘native advertising’. I will concentrate on their common features at this stage.</w:t>
      </w:r>
    </w:p>
    <w:p w14:paraId="1498F58D" w14:textId="77777777" w:rsidR="00497B7D" w:rsidRPr="00B93D25" w:rsidRDefault="00497B7D" w:rsidP="00346CA5">
      <w:pPr>
        <w:spacing w:line="360" w:lineRule="auto"/>
        <w:rPr>
          <w:rFonts w:ascii="Times New Roman" w:hAnsi="Times New Roman" w:cs="Times New Roman"/>
          <w:sz w:val="24"/>
          <w:szCs w:val="24"/>
          <w:shd w:val="clear" w:color="auto" w:fill="FFFFFF"/>
        </w:rPr>
      </w:pPr>
      <w:r w:rsidRPr="00B93D25">
        <w:rPr>
          <w:rFonts w:ascii="Times New Roman" w:hAnsi="Times New Roman" w:cs="Times New Roman"/>
          <w:sz w:val="24"/>
          <w:szCs w:val="24"/>
          <w:shd w:val="clear" w:color="auto" w:fill="FFFFFF"/>
        </w:rPr>
        <w:t xml:space="preserve">My definition of this phenomenon, in the context of this research, is as follows: </w:t>
      </w:r>
    </w:p>
    <w:p w14:paraId="4B10DF70" w14:textId="77777777" w:rsidR="00497B7D" w:rsidRPr="00222DE6" w:rsidRDefault="00497B7D" w:rsidP="00346CA5">
      <w:pPr>
        <w:spacing w:line="360" w:lineRule="auto"/>
        <w:rPr>
          <w:rFonts w:ascii="Times New Roman" w:hAnsi="Times New Roman" w:cs="Times New Roman"/>
          <w:i/>
          <w:iCs/>
          <w:sz w:val="24"/>
          <w:szCs w:val="24"/>
        </w:rPr>
      </w:pPr>
      <w:r w:rsidRPr="00B93D25">
        <w:rPr>
          <w:rFonts w:ascii="Times New Roman" w:hAnsi="Times New Roman" w:cs="Times New Roman"/>
          <w:i/>
          <w:iCs/>
          <w:sz w:val="24"/>
          <w:szCs w:val="24"/>
        </w:rPr>
        <w:t>The integration of a commercial entity, or any other entity, which is not the producer, broadcaster or distributer, into media content, on the basis of material return and without clearly identifying it as advertising.</w:t>
      </w:r>
    </w:p>
    <w:p w14:paraId="6158B4E3"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It is important to note that according to this definition, ‘branded content’ is first and foremost a funding model. The ultimate indication of its existence is therefore the fact that there has been material return, i.e. money or a barter deal, between the producers and an external entity.  </w:t>
      </w:r>
    </w:p>
    <w:p w14:paraId="23204335"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In the context of this research, which will take a critical approach to the topic, I will refer to it as </w:t>
      </w:r>
      <w:r w:rsidRPr="00222DE6">
        <w:rPr>
          <w:rFonts w:ascii="Times New Roman" w:hAnsi="Times New Roman" w:cs="Times New Roman"/>
          <w:i/>
          <w:iCs/>
          <w:sz w:val="24"/>
          <w:szCs w:val="24"/>
        </w:rPr>
        <w:t>embedded branding</w:t>
      </w:r>
      <w:r w:rsidRPr="009B5102">
        <w:rPr>
          <w:rFonts w:ascii="Times New Roman" w:hAnsi="Times New Roman" w:cs="Times New Roman"/>
          <w:sz w:val="24"/>
          <w:szCs w:val="24"/>
        </w:rPr>
        <w:t>. My reason for doing this is that the term ‘branded content’, as used by marketers, is a euphemism and thus embedded branding is the more appropriate term for this phenomenon. Ironically, the term ‘branded content’ fulfils the  pessimistic view of two of the founders of the Frankfurt School, Theodor W. Adorno and Max Horkheimer, first presented in 1944</w:t>
      </w:r>
      <w:r w:rsidRPr="00B93D25">
        <w:rPr>
          <w:rStyle w:val="FootnoteReference"/>
        </w:rPr>
        <w:footnoteReference w:id="8"/>
      </w:r>
      <w:r w:rsidRPr="009B5102">
        <w:rPr>
          <w:rFonts w:ascii="Times New Roman" w:hAnsi="Times New Roman" w:cs="Times New Roman"/>
          <w:sz w:val="24"/>
          <w:szCs w:val="24"/>
        </w:rPr>
        <w:t xml:space="preserve">, regarding the collapse of culture and commodification into each other in capitalist democracy </w:t>
      </w:r>
      <w:r w:rsidRPr="009B5102">
        <w:rPr>
          <w:rFonts w:ascii="Times New Roman" w:hAnsi="Times New Roman" w:cs="Times New Roman"/>
          <w:noProof/>
          <w:sz w:val="24"/>
          <w:szCs w:val="24"/>
        </w:rPr>
        <w:t>(Adorno &amp; Horkheimer, 2002)</w:t>
      </w:r>
      <w:r w:rsidRPr="009B5102">
        <w:rPr>
          <w:rFonts w:ascii="Times New Roman" w:hAnsi="Times New Roman" w:cs="Times New Roman"/>
          <w:sz w:val="24"/>
          <w:szCs w:val="24"/>
        </w:rPr>
        <w:t xml:space="preserve">. While the two thinkers coined the term ‘culture industry’ to ironically demonstrate their opposing nature, ‘branded content’ was made up by marketing professionals to emphasise, without any irony, their supposed synergetic connection. It is intentionally made to conceal any disharmonious relations between the two, and present these relations, in the public eye, as natural. Some critical scholars refer to this phenomenon as ‘stealth marketing’ </w:t>
      </w:r>
      <w:r w:rsidRPr="009B5102">
        <w:rPr>
          <w:rFonts w:ascii="Times New Roman" w:hAnsi="Times New Roman" w:cs="Times New Roman"/>
          <w:noProof/>
          <w:sz w:val="24"/>
          <w:szCs w:val="24"/>
        </w:rPr>
        <w:t>(Goodman, 2006b)</w:t>
      </w:r>
      <w:r w:rsidRPr="009B5102">
        <w:rPr>
          <w:rFonts w:ascii="Times New Roman" w:hAnsi="Times New Roman" w:cs="Times New Roman"/>
          <w:sz w:val="24"/>
          <w:szCs w:val="24"/>
        </w:rPr>
        <w:t xml:space="preserve"> or ‘surreptitious advertising’. The term ‘embedded </w:t>
      </w:r>
      <w:r w:rsidRPr="009B5102">
        <w:rPr>
          <w:rFonts w:ascii="Times New Roman" w:hAnsi="Times New Roman" w:cs="Times New Roman"/>
          <w:sz w:val="24"/>
          <w:szCs w:val="24"/>
        </w:rPr>
        <w:lastRenderedPageBreak/>
        <w:t xml:space="preserve">branding’ is oriented towards emphasising the covert nature of this model, and at the same time, the dominant role brands and branding carry in shaping it, as will be argued and demonstrated in the thesis.  </w:t>
      </w:r>
    </w:p>
    <w:p w14:paraId="27BEFA75"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My perspective on this phenomenon is located within the political economy approach to culture and communication, which emphasises ethical and normative questions about the influence of capitalism </w:t>
      </w:r>
      <w:r w:rsidRPr="009B5102">
        <w:rPr>
          <w:rFonts w:ascii="Times New Roman" w:hAnsi="Times New Roman" w:cs="Times New Roman"/>
          <w:noProof/>
          <w:sz w:val="24"/>
          <w:szCs w:val="24"/>
        </w:rPr>
        <w:t>(Hesmondhalgh, 2007)</w:t>
      </w:r>
      <w:r w:rsidRPr="00B93D25">
        <w:rPr>
          <w:rStyle w:val="FootnoteReference"/>
        </w:rPr>
        <w:footnoteReference w:id="9"/>
      </w:r>
      <w:r w:rsidRPr="009B5102">
        <w:rPr>
          <w:rFonts w:ascii="Times New Roman" w:hAnsi="Times New Roman" w:cs="Times New Roman"/>
          <w:sz w:val="24"/>
          <w:szCs w:val="24"/>
        </w:rPr>
        <w:t xml:space="preserve">. My theoretical quest, therefore, commences in wider circles that have approached the relationship between capitalism and culture in a critical way, predominantly Marxist theories. Adorno and Horkheimer, the leading figures of the Frankfurt School, mark a starting point, as they are probably the most well-known critics of the commercialisation of culture. Their critique, most known through their essay, </w:t>
      </w:r>
      <w:r w:rsidRPr="009B5102">
        <w:rPr>
          <w:rFonts w:ascii="Times New Roman" w:hAnsi="Times New Roman" w:cs="Times New Roman"/>
          <w:i/>
          <w:iCs/>
          <w:sz w:val="24"/>
          <w:szCs w:val="24"/>
        </w:rPr>
        <w:t xml:space="preserve">The Culture Industry: Enlightenment as Mass Deception </w:t>
      </w:r>
      <w:r w:rsidRPr="009B5102">
        <w:rPr>
          <w:rFonts w:ascii="Times New Roman" w:hAnsi="Times New Roman" w:cs="Times New Roman"/>
          <w:noProof/>
          <w:sz w:val="24"/>
          <w:szCs w:val="24"/>
        </w:rPr>
        <w:t>(2002)</w:t>
      </w:r>
      <w:r w:rsidRPr="009B5102">
        <w:rPr>
          <w:rFonts w:ascii="Times New Roman" w:hAnsi="Times New Roman" w:cs="Times New Roman"/>
          <w:sz w:val="24"/>
          <w:szCs w:val="24"/>
        </w:rPr>
        <w:t xml:space="preserve">, emerged in the 1940s, just a few decades after the model of funding content through advertising was established. Yet it was their successor and contestant, </w:t>
      </w:r>
      <w:r w:rsidRPr="009B5102">
        <w:rPr>
          <w:rFonts w:ascii="Times New Roman" w:hAnsi="Times New Roman" w:cs="Times New Roman"/>
          <w:color w:val="000000"/>
          <w:sz w:val="24"/>
          <w:szCs w:val="24"/>
        </w:rPr>
        <w:t>Jürgen</w:t>
      </w:r>
      <w:r w:rsidRPr="009B5102">
        <w:rPr>
          <w:rFonts w:ascii="Times New Roman" w:hAnsi="Times New Roman" w:cs="Times New Roman"/>
          <w:sz w:val="24"/>
          <w:szCs w:val="24"/>
        </w:rPr>
        <w:t xml:space="preserve"> Habermas, who set the foundations for a more comprehensive discussion on the impact of commercial media and advertising on democracy, through the notion of ‘the public sphere’</w:t>
      </w:r>
      <w:r w:rsidRPr="009B5102">
        <w:rPr>
          <w:rFonts w:ascii="Times New Roman" w:hAnsi="Times New Roman" w:cs="Times New Roman"/>
          <w:i/>
          <w:iCs/>
          <w:sz w:val="24"/>
          <w:szCs w:val="24"/>
        </w:rPr>
        <w:t xml:space="preserve"> </w:t>
      </w:r>
      <w:r w:rsidRPr="009B5102">
        <w:rPr>
          <w:rFonts w:ascii="Times New Roman" w:hAnsi="Times New Roman" w:cs="Times New Roman"/>
          <w:sz w:val="24"/>
          <w:szCs w:val="24"/>
        </w:rPr>
        <w:t xml:space="preserve">(1989). The ideal of the public sphere, which became highly identified with the role of journalism in sustaining democratic governance, is indeed central to the critical perspective I present to the topic. </w:t>
      </w:r>
    </w:p>
    <w:p w14:paraId="649B28CD"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However, Habermas’ social theory has also raised much criticism</w:t>
      </w:r>
      <w:r>
        <w:rPr>
          <w:rFonts w:ascii="Times New Roman" w:hAnsi="Times New Roman" w:cs="Times New Roman"/>
          <w:sz w:val="24"/>
          <w:szCs w:val="24"/>
        </w:rPr>
        <w:t xml:space="preserve"> (Calhoun, 1992; Curran, 1977, 2002; Dahlgern, 1995; Fraser &amp; Bartky, 1992; McGuigan, 2005b; Negt &amp; Kluge, 1993)</w:t>
      </w:r>
      <w:r w:rsidRPr="009B5102">
        <w:rPr>
          <w:rFonts w:ascii="Times New Roman" w:hAnsi="Times New Roman" w:cs="Times New Roman"/>
          <w:sz w:val="24"/>
          <w:szCs w:val="24"/>
        </w:rPr>
        <w:t xml:space="preserve"> and was rather limiting in the context of this research. It was too focused on the discussion of straightforward politics by journalists and it over-emphasised rationality. I seek to elaborate the discourse on commercialisation and democracy beyond journalism, to modes of communication that tend to be more affective (and therefore popular). </w:t>
      </w:r>
    </w:p>
    <w:p w14:paraId="2F79398F"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First, as shown at the beginning, commercialisation of what is ‘just’ entertainment quickly spills over into what is traditionally perceived as quality journalism that is vital to democracy. Second and more importantly, I seek to show how content that is perceived as ‘light entertainment’, such as reality TV, can be nonetheless relevant to public discourse and play a significant role in shaping public opinion on issues that are private as much as they are public. I thus have chosen </w:t>
      </w:r>
      <w:r w:rsidRPr="009B5102">
        <w:rPr>
          <w:rFonts w:ascii="Times New Roman" w:hAnsi="Times New Roman" w:cs="Times New Roman"/>
          <w:sz w:val="24"/>
          <w:szCs w:val="24"/>
        </w:rPr>
        <w:lastRenderedPageBreak/>
        <w:t xml:space="preserve">to look at the ‘cultural public sphere’, McGuigan’s </w:t>
      </w:r>
      <w:r>
        <w:rPr>
          <w:rFonts w:ascii="Times New Roman" w:hAnsi="Times New Roman" w:cs="Times New Roman"/>
          <w:noProof/>
          <w:sz w:val="24"/>
          <w:szCs w:val="24"/>
        </w:rPr>
        <w:t>(2005)</w:t>
      </w:r>
      <w:r w:rsidRPr="009B5102">
        <w:rPr>
          <w:rFonts w:ascii="Times New Roman" w:hAnsi="Times New Roman" w:cs="Times New Roman"/>
          <w:sz w:val="24"/>
          <w:szCs w:val="24"/>
        </w:rPr>
        <w:t xml:space="preserve"> alternative notion, which offers a more flexible understanding of the media’s role in generating public discourse, including various modes of communication:</w:t>
      </w:r>
    </w:p>
    <w:p w14:paraId="58A1EACE" w14:textId="77777777" w:rsidR="00497B7D" w:rsidRPr="009B5102" w:rsidRDefault="00497B7D" w:rsidP="00346CA5">
      <w:pPr>
        <w:pStyle w:val="Quote"/>
      </w:pPr>
      <w:r w:rsidRPr="009B5102">
        <w:t>The concept of the cultural public sphere refers to the articulation of politics, public and personal, as a contested terrain through affective (aesthetic and emotional) modes of communication…</w:t>
      </w:r>
    </w:p>
    <w:p w14:paraId="56B9C218" w14:textId="77777777" w:rsidR="00497B7D" w:rsidRPr="009B5102" w:rsidRDefault="00497B7D" w:rsidP="00346CA5">
      <w:pPr>
        <w:pStyle w:val="Quote"/>
      </w:pPr>
      <w:r w:rsidRPr="009B5102">
        <w:t xml:space="preserve">The cultural public sphere provides vehicles for thought and feeling, for imagination and disputatious argument, which are not necessarily of inherent merit but may be of some consequence (p. 435). </w:t>
      </w:r>
    </w:p>
    <w:p w14:paraId="2F57E3B8"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thesis, thus, is not focused on the commercialisation of the press. On the contrary, I chose to look at two case studies of successful prime-time reality programmes that were sponsored by leading brands. One is a British programme, </w:t>
      </w:r>
      <w:r w:rsidRPr="009B5102">
        <w:rPr>
          <w:rFonts w:ascii="Times New Roman" w:hAnsi="Times New Roman" w:cs="Times New Roman"/>
          <w:i/>
          <w:iCs/>
          <w:sz w:val="24"/>
          <w:szCs w:val="24"/>
        </w:rPr>
        <w:t>How to Look Good Naked</w:t>
      </w:r>
      <w:r w:rsidRPr="009B5102">
        <w:rPr>
          <w:rFonts w:ascii="Times New Roman" w:hAnsi="Times New Roman" w:cs="Times New Roman"/>
          <w:sz w:val="24"/>
          <w:szCs w:val="24"/>
        </w:rPr>
        <w:t xml:space="preserve">, which deals with styling and female body-image; the other is an Israeli production, </w:t>
      </w:r>
      <w:r w:rsidRPr="009B5102">
        <w:rPr>
          <w:rFonts w:ascii="Times New Roman" w:hAnsi="Times New Roman" w:cs="Times New Roman"/>
          <w:i/>
          <w:iCs/>
          <w:sz w:val="24"/>
          <w:szCs w:val="24"/>
        </w:rPr>
        <w:t>Overdraft Family</w:t>
      </w:r>
      <w:r w:rsidRPr="009B5102">
        <w:rPr>
          <w:rFonts w:ascii="Times New Roman" w:hAnsi="Times New Roman" w:cs="Times New Roman"/>
          <w:sz w:val="24"/>
          <w:szCs w:val="24"/>
        </w:rPr>
        <w:t xml:space="preserve">, which offers coaching for families in financial difficulties. By doing so, I wished to elaborate the discourse of commercialisation in the digital age to media content in its broadest sense. </w:t>
      </w:r>
    </w:p>
    <w:p w14:paraId="59C7CAE1" w14:textId="77777777" w:rsidR="00497B7D" w:rsidRPr="009B5102" w:rsidRDefault="00497B7D" w:rsidP="00346CA5">
      <w:pPr>
        <w:spacing w:line="360" w:lineRule="auto"/>
        <w:rPr>
          <w:rFonts w:ascii="Times New Roman" w:hAnsi="Times New Roman" w:cs="Times New Roman"/>
          <w:sz w:val="24"/>
          <w:szCs w:val="24"/>
        </w:rPr>
      </w:pPr>
      <w:r w:rsidRPr="00275C10">
        <w:rPr>
          <w:rFonts w:ascii="Times New Roman" w:hAnsi="Times New Roman" w:cs="Times New Roman"/>
          <w:sz w:val="24"/>
          <w:szCs w:val="24"/>
        </w:rPr>
        <w:t xml:space="preserve">My research is located in a rich scholarly discourse on the commercialisation of the media in its various forms. From Smythe’s </w:t>
      </w:r>
      <w:r w:rsidRPr="00275C10">
        <w:rPr>
          <w:rFonts w:ascii="Times New Roman" w:hAnsi="Times New Roman" w:cs="Times New Roman"/>
          <w:noProof/>
          <w:sz w:val="24"/>
          <w:szCs w:val="24"/>
        </w:rPr>
        <w:t>(1981)</w:t>
      </w:r>
      <w:r w:rsidRPr="00275C10">
        <w:rPr>
          <w:rFonts w:ascii="Times New Roman" w:hAnsi="Times New Roman" w:cs="Times New Roman"/>
          <w:sz w:val="24"/>
          <w:szCs w:val="24"/>
        </w:rPr>
        <w:t xml:space="preserve"> classic argument about mass media audiences being sold to advertisers as a commodity, through to McChesney’s </w:t>
      </w:r>
      <w:r w:rsidRPr="00275C10">
        <w:rPr>
          <w:rFonts w:ascii="Times New Roman" w:hAnsi="Times New Roman" w:cs="Times New Roman"/>
          <w:noProof/>
          <w:sz w:val="24"/>
          <w:szCs w:val="24"/>
        </w:rPr>
        <w:t>(2004)</w:t>
      </w:r>
      <w:r w:rsidRPr="00275C10">
        <w:rPr>
          <w:rFonts w:ascii="Times New Roman" w:hAnsi="Times New Roman" w:cs="Times New Roman"/>
          <w:sz w:val="24"/>
          <w:szCs w:val="24"/>
        </w:rPr>
        <w:t xml:space="preserve"> ‘hyper commercialisation’  which directly refers to the erosion of the ‘state’ and ‘church’ separation, Barnouw’s </w:t>
      </w:r>
      <w:r w:rsidRPr="00275C10">
        <w:rPr>
          <w:rFonts w:ascii="Times New Roman" w:hAnsi="Times New Roman" w:cs="Times New Roman"/>
          <w:noProof/>
          <w:sz w:val="24"/>
          <w:szCs w:val="24"/>
        </w:rPr>
        <w:t>(1978, 1990)</w:t>
      </w:r>
      <w:r w:rsidRPr="00275C10">
        <w:rPr>
          <w:rFonts w:ascii="Times New Roman" w:hAnsi="Times New Roman" w:cs="Times New Roman"/>
          <w:sz w:val="24"/>
          <w:szCs w:val="24"/>
        </w:rPr>
        <w:t xml:space="preserve"> historical account of sponsorship in American media and Murdock’s </w:t>
      </w:r>
      <w:r w:rsidRPr="00275C10">
        <w:rPr>
          <w:rFonts w:ascii="Times New Roman" w:hAnsi="Times New Roman" w:cs="Times New Roman"/>
          <w:noProof/>
          <w:sz w:val="24"/>
          <w:szCs w:val="24"/>
        </w:rPr>
        <w:t>(1992)</w:t>
      </w:r>
      <w:r w:rsidRPr="00275C10">
        <w:rPr>
          <w:rFonts w:ascii="Times New Roman" w:hAnsi="Times New Roman" w:cs="Times New Roman"/>
          <w:sz w:val="24"/>
          <w:szCs w:val="24"/>
        </w:rPr>
        <w:t xml:space="preserve"> account of sponsorship in British television, to more recent critique which relates to various aspects of the contemporary media landscape,  such as Andrejevic’s </w:t>
      </w:r>
      <w:r w:rsidRPr="00275C10">
        <w:rPr>
          <w:rFonts w:ascii="Times New Roman" w:hAnsi="Times New Roman" w:cs="Times New Roman"/>
          <w:noProof/>
          <w:sz w:val="24"/>
          <w:szCs w:val="24"/>
        </w:rPr>
        <w:t>(2004)</w:t>
      </w:r>
      <w:r w:rsidRPr="00275C10">
        <w:rPr>
          <w:rFonts w:ascii="Times New Roman" w:hAnsi="Times New Roman" w:cs="Times New Roman"/>
          <w:sz w:val="24"/>
          <w:szCs w:val="24"/>
        </w:rPr>
        <w:t xml:space="preserve"> critique of reality TV, Arvidsson’s </w:t>
      </w:r>
      <w:r w:rsidRPr="00275C10">
        <w:rPr>
          <w:rFonts w:ascii="Times New Roman" w:hAnsi="Times New Roman" w:cs="Times New Roman"/>
          <w:noProof/>
          <w:sz w:val="24"/>
          <w:szCs w:val="24"/>
        </w:rPr>
        <w:t>(2006)</w:t>
      </w:r>
      <w:r w:rsidRPr="00275C10">
        <w:rPr>
          <w:rFonts w:ascii="Times New Roman" w:hAnsi="Times New Roman" w:cs="Times New Roman"/>
          <w:sz w:val="24"/>
          <w:szCs w:val="24"/>
        </w:rPr>
        <w:t xml:space="preserve"> perspective on the role of brands in media culture, Jenkins’ </w:t>
      </w:r>
      <w:r w:rsidRPr="00275C10">
        <w:rPr>
          <w:rFonts w:ascii="Times New Roman" w:hAnsi="Times New Roman" w:cs="Times New Roman"/>
          <w:noProof/>
          <w:sz w:val="24"/>
          <w:szCs w:val="24"/>
        </w:rPr>
        <w:t>(2006)</w:t>
      </w:r>
      <w:r w:rsidRPr="00275C10">
        <w:rPr>
          <w:rFonts w:ascii="Times New Roman" w:hAnsi="Times New Roman" w:cs="Times New Roman"/>
          <w:sz w:val="24"/>
          <w:szCs w:val="24"/>
        </w:rPr>
        <w:t xml:space="preserve"> take on convergence in the media, Turow’s </w:t>
      </w:r>
      <w:r w:rsidRPr="00275C10">
        <w:rPr>
          <w:rFonts w:ascii="Times New Roman" w:hAnsi="Times New Roman" w:cs="Times New Roman"/>
          <w:noProof/>
          <w:sz w:val="24"/>
          <w:szCs w:val="24"/>
        </w:rPr>
        <w:t>(1997, 2006)</w:t>
      </w:r>
      <w:r w:rsidRPr="00275C10">
        <w:rPr>
          <w:rFonts w:ascii="Times New Roman" w:hAnsi="Times New Roman" w:cs="Times New Roman"/>
          <w:sz w:val="24"/>
          <w:szCs w:val="24"/>
        </w:rPr>
        <w:t xml:space="preserve"> insights into the social implications of marketing in the digital age  and others </w:t>
      </w:r>
      <w:r w:rsidRPr="00275C10">
        <w:rPr>
          <w:rFonts w:ascii="Times New Roman" w:hAnsi="Times New Roman" w:cs="Times New Roman"/>
          <w:noProof/>
          <w:sz w:val="24"/>
          <w:szCs w:val="24"/>
        </w:rPr>
        <w:t>(Andersen &amp; Strate, 2000; Hardy, 2010, 2014; McAllister, 1996, 2000)</w:t>
      </w:r>
      <w:r w:rsidRPr="00275C10">
        <w:rPr>
          <w:rFonts w:ascii="Times New Roman" w:hAnsi="Times New Roman" w:cs="Times New Roman"/>
          <w:sz w:val="24"/>
          <w:szCs w:val="24"/>
        </w:rPr>
        <w:t>.</w:t>
      </w:r>
    </w:p>
    <w:p w14:paraId="60BF0D0D"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However, within this discourse, there is a significant lack of data and critical analysis concerning the rising trend of ‘branded content’/‘native advertising’/embedded branding over the last two decades, as the digital revolution keeps thriving and is constantly changing media markets (as well as almost any other aspect of our lives). Although ‘branded content’ and ‘native advertising’ </w:t>
      </w:r>
      <w:r w:rsidRPr="009B5102">
        <w:rPr>
          <w:rFonts w:ascii="Times New Roman" w:hAnsi="Times New Roman" w:cs="Times New Roman"/>
          <w:sz w:val="24"/>
          <w:szCs w:val="24"/>
        </w:rPr>
        <w:lastRenderedPageBreak/>
        <w:t xml:space="preserve">are frequently discussed in trade articles and professional conferences for marketing specialists and media executives, scholarly research seems to be somewhat behind. There is very little empirical data about how this field operates in various media markets, almost no insight into the hidden and highly complicated relationships between content producers, broadcasters and commercial sponsors, not enough analysis of the characteristics of this funding model as it is shaped in the digital age, and most importantly, no critical voice which points at the possible harms that ‘branded content’ may cause to the media as a platform for public debate in democracies. </w:t>
      </w:r>
    </w:p>
    <w:p w14:paraId="1C649A78"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thesis aims to fill this gap and I have therefore presented three main themes and questions. To begin with, this is an exploration into the market of ‘branded content’ in two countries which previously aimed to regulate the separation between advertising and content – the UK, which is the second biggest media market, and Israel, a much smaller and younger media market. Therefore, my first question was: how does the market of ‘branded content’ operate? I sought to uncover some of the dynamics of this market in both countries, its main actors, mainly branded content agents who negotiate these commercial deals, and the complexity of the relations between the two sides - sponsors and content producers. </w:t>
      </w:r>
    </w:p>
    <w:p w14:paraId="5A86B2E7"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Second, considering the history of the commercialisation of the media, it was necessary to ask: is there anything new and distinctive about ‘branded content’? Is it just another name for ‘sponsorship’ or ‘product placement’ as they have been long known and documented, or is it a new phase in commercialisation that deserves special attention by scholars? And if so, what are its characteristics?  </w:t>
      </w:r>
    </w:p>
    <w:p w14:paraId="7C8A226E" w14:textId="710CF6B8"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third question was the one that motivated me to embark on this journey. As a media journalist I realised, in the early 2000s, that many of the actors in the market found themselves increasingly involved in commercial co-operations without giving it a second thought or considering their potentially harmful effect. They contributed, on a daily basis, to the growing blurring between advertising and content, while ignoring fundamental ethical questions as to the broader consequences of their professional activity. Some claimed that the difference between advertising and media content does not exist at all. I have therefore addressed this ethical distinction – between advertising and content - in order to examine the third question: what are </w:t>
      </w:r>
      <w:r w:rsidRPr="009B5102">
        <w:rPr>
          <w:rFonts w:ascii="Times New Roman" w:hAnsi="Times New Roman" w:cs="Times New Roman"/>
          <w:sz w:val="24"/>
          <w:szCs w:val="24"/>
        </w:rPr>
        <w:lastRenderedPageBreak/>
        <w:t xml:space="preserve">the potential harmful implications of embedded branding for the public sphere and public debate? </w:t>
      </w:r>
      <w:r w:rsidR="00F504C4">
        <w:rPr>
          <w:rFonts w:ascii="Times New Roman" w:hAnsi="Times New Roman" w:cs="Times New Roman"/>
          <w:sz w:val="24"/>
          <w:szCs w:val="24"/>
        </w:rPr>
        <w:t xml:space="preserve">Consequently, how should regulators and policy makers cope with the phenomenon?  </w:t>
      </w:r>
      <w:r w:rsidRPr="009B5102">
        <w:rPr>
          <w:rFonts w:ascii="Times New Roman" w:hAnsi="Times New Roman" w:cs="Times New Roman"/>
          <w:sz w:val="24"/>
          <w:szCs w:val="24"/>
        </w:rPr>
        <w:t xml:space="preserve">  </w:t>
      </w:r>
    </w:p>
    <w:p w14:paraId="5A57BFFC"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In order to approach these questions systematically, I have used a triangular approach to analyse the two case studies. I began with background interviews with branded content agents in London and Tel-Aviv. These middlemen play a key role and were the best ‘gateway’ for getting to know the field</w:t>
      </w:r>
      <w:r w:rsidRPr="00B93D25">
        <w:rPr>
          <w:rStyle w:val="FootnoteReference"/>
        </w:rPr>
        <w:footnoteReference w:id="10"/>
      </w:r>
      <w:r w:rsidRPr="009B5102">
        <w:rPr>
          <w:rFonts w:ascii="Times New Roman" w:hAnsi="Times New Roman" w:cs="Times New Roman"/>
          <w:sz w:val="24"/>
          <w:szCs w:val="24"/>
        </w:rPr>
        <w:t>. I then chose two case studies, one in each country, and interviewed the key people around each one of the productions. The choice of interviewees was oriented to tracing the route of the money and its influence from the brand to the programme: from brand architects who are responsible for the overall brand strategy and see the ‘big picture’ and branded content agents in media and communication agencies who facilitate sponsorship deals with media bodies, through to sponsorship managers in broadcasting bodies, executives in broadcasting bodies and finally the producers of programmes in the relevant independent production companies. At the same time, I collected internal documents, such as presentations to the sponsoring brands. These provided a most valuable insight into these sponsorship agreements and their implementation. These two sources, together with a third source – media texts such as the programmes’ episodes, their website and other derivatives – enabled me to draw a ‘behind the scenes’ picture of ‘branded content’ that is broad and at the same time, detailed. Although the choice of only two case studies may be somewhat limiting to the conclusiveness of my findings, I believe it is balanced by the advantages of my methodological choice: a close and detailed look into the ‘behind the scenes’ operation of television making, the complicated relationships between sponsors and their content creators and the ways in which leading corporations can gain influence over public discourse.</w:t>
      </w:r>
    </w:p>
    <w:p w14:paraId="736D0148"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two case studies are at the heart of my journey into the ‘branded content’ market. Therefore, their formats are briefly presented here at this point. </w:t>
      </w:r>
      <w:r w:rsidRPr="009B5102">
        <w:rPr>
          <w:rFonts w:ascii="Times New Roman" w:hAnsi="Times New Roman" w:cs="Times New Roman"/>
          <w:i/>
          <w:iCs/>
          <w:sz w:val="24"/>
          <w:szCs w:val="24"/>
        </w:rPr>
        <w:t>How to Look Good Naked (</w:t>
      </w:r>
      <w:r w:rsidRPr="009B5102">
        <w:rPr>
          <w:rFonts w:ascii="Times New Roman" w:hAnsi="Times New Roman" w:cs="Times New Roman"/>
          <w:iCs/>
          <w:sz w:val="24"/>
          <w:szCs w:val="24"/>
        </w:rPr>
        <w:t xml:space="preserve">henceforth, </w:t>
      </w:r>
      <w:r w:rsidRPr="009B5102">
        <w:rPr>
          <w:rFonts w:ascii="Times New Roman" w:hAnsi="Times New Roman" w:cs="Times New Roman"/>
          <w:i/>
          <w:iCs/>
          <w:sz w:val="24"/>
          <w:szCs w:val="24"/>
        </w:rPr>
        <w:t xml:space="preserve">HTLGN) </w:t>
      </w:r>
      <w:r w:rsidRPr="009B5102">
        <w:rPr>
          <w:rFonts w:ascii="Times New Roman" w:hAnsi="Times New Roman" w:cs="Times New Roman"/>
          <w:sz w:val="24"/>
          <w:szCs w:val="24"/>
        </w:rPr>
        <w:t xml:space="preserve">was first aired on Channel 4 in June 2006 and was followed by five series between then and 2012. It is a ‘makeover’ programme with a psychological twist: it deals with styling and fashion but carries the premise of ‘natural’ beauty; it rejects plastic surgery or invasive treatments and is surprisingly aligned with the message of Dove’s successful campaign. The </w:t>
      </w:r>
      <w:r w:rsidRPr="009B5102">
        <w:rPr>
          <w:rFonts w:ascii="Times New Roman" w:hAnsi="Times New Roman" w:cs="Times New Roman"/>
          <w:sz w:val="24"/>
          <w:szCs w:val="24"/>
        </w:rPr>
        <w:lastRenderedPageBreak/>
        <w:t xml:space="preserve">programme was sponsored in its first two series by Dove, which had been leading, since 2004, a marketing campaign titled </w:t>
      </w:r>
      <w:r w:rsidRPr="009B5102">
        <w:rPr>
          <w:rFonts w:ascii="Times New Roman" w:hAnsi="Times New Roman" w:cs="Times New Roman"/>
          <w:i/>
          <w:sz w:val="24"/>
          <w:szCs w:val="24"/>
        </w:rPr>
        <w:t>Real Beauty</w:t>
      </w:r>
      <w:r w:rsidRPr="009B5102">
        <w:rPr>
          <w:rFonts w:ascii="Times New Roman" w:hAnsi="Times New Roman" w:cs="Times New Roman"/>
          <w:sz w:val="24"/>
          <w:szCs w:val="24"/>
        </w:rPr>
        <w:t>. Dove’s sponsorship of the programme was dedicated to its Pro-Age line of products for women over the age of 45. The first two series are those I chose to look at in my research.</w:t>
      </w:r>
    </w:p>
    <w:p w14:paraId="37D72616"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Israeli programme </w:t>
      </w:r>
      <w:r w:rsidRPr="009B5102">
        <w:rPr>
          <w:rFonts w:ascii="Times New Roman" w:hAnsi="Times New Roman" w:cs="Times New Roman"/>
          <w:i/>
          <w:iCs/>
          <w:sz w:val="24"/>
          <w:szCs w:val="24"/>
        </w:rPr>
        <w:t>Overdraft Family</w:t>
      </w:r>
      <w:r w:rsidRPr="009B5102">
        <w:rPr>
          <w:rFonts w:ascii="Times New Roman" w:hAnsi="Times New Roman" w:cs="Times New Roman"/>
          <w:sz w:val="24"/>
          <w:szCs w:val="24"/>
        </w:rPr>
        <w:t xml:space="preserve"> (in Hebrew: </w:t>
      </w:r>
      <w:r w:rsidRPr="009B5102">
        <w:rPr>
          <w:rFonts w:ascii="Times New Roman" w:hAnsi="Times New Roman" w:cs="Times New Roman"/>
          <w:i/>
          <w:iCs/>
          <w:sz w:val="24"/>
          <w:szCs w:val="24"/>
        </w:rPr>
        <w:t>Mishpacha Choreget</w:t>
      </w:r>
      <w:r w:rsidRPr="009B5102">
        <w:rPr>
          <w:rFonts w:ascii="Times New Roman" w:hAnsi="Times New Roman" w:cs="Times New Roman"/>
          <w:sz w:val="24"/>
          <w:szCs w:val="24"/>
        </w:rPr>
        <w:t xml:space="preserve">) was first aired on Channel 2 in November 2006, and had five more series. </w:t>
      </w:r>
      <w:r w:rsidRPr="009B5102">
        <w:rPr>
          <w:rFonts w:ascii="Times New Roman" w:hAnsi="Times New Roman" w:cs="Times New Roman"/>
          <w:i/>
          <w:iCs/>
          <w:sz w:val="24"/>
          <w:szCs w:val="24"/>
        </w:rPr>
        <w:t>Overdraft Family</w:t>
      </w:r>
      <w:r w:rsidRPr="009B5102">
        <w:rPr>
          <w:rFonts w:ascii="Times New Roman" w:hAnsi="Times New Roman" w:cs="Times New Roman"/>
          <w:sz w:val="24"/>
          <w:szCs w:val="24"/>
        </w:rPr>
        <w:t xml:space="preserve"> is a programme about home finance and family businesses, and similarly to </w:t>
      </w:r>
      <w:r w:rsidRPr="009B5102">
        <w:rPr>
          <w:rFonts w:ascii="Times New Roman" w:hAnsi="Times New Roman" w:cs="Times New Roman"/>
          <w:i/>
          <w:iCs/>
          <w:sz w:val="24"/>
          <w:szCs w:val="24"/>
        </w:rPr>
        <w:t>HTLGN</w:t>
      </w:r>
      <w:r w:rsidRPr="009B5102">
        <w:rPr>
          <w:rFonts w:ascii="Times New Roman" w:hAnsi="Times New Roman" w:cs="Times New Roman"/>
          <w:sz w:val="24"/>
          <w:szCs w:val="24"/>
        </w:rPr>
        <w:t>, has some underlying psychological assumptions at its heart. It presents difficulties in managing money as an expression of deeper emotional issues, either related to the individual or to broader family interactions. The programme, aired just at the time the Bank of Israel published new regulations aimed at putting an end to overdrafts, was sponsored by Bank Hapo’alim in its first four series</w:t>
      </w:r>
      <w:r w:rsidRPr="00B93D25">
        <w:rPr>
          <w:rStyle w:val="FootnoteReference"/>
        </w:rPr>
        <w:footnoteReference w:id="11"/>
      </w:r>
      <w:r w:rsidRPr="009B5102">
        <w:rPr>
          <w:rFonts w:ascii="Times New Roman" w:hAnsi="Times New Roman" w:cs="Times New Roman"/>
          <w:sz w:val="24"/>
          <w:szCs w:val="24"/>
        </w:rPr>
        <w:t xml:space="preserve">. The food chain Shufersal-Deal joined as another main sponsor during the fourth and fifth series. Therefore, I chose to analyse series 1-5, which were sponsored by this bank and later by the food chain. I further explore the formats of both programmes in Chapter 4. </w:t>
      </w:r>
    </w:p>
    <w:p w14:paraId="53DCE871"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thesis includes two theoretical chapters and four empirical ones. The theoretical part examines the tension between the normative ideal of the media as a platform for public debate, which obligates the separation between content and advertising (as presented in Chapter 1) and the reality in which technological and economic forces push for the heightened commercialisation of media markets and bring content producers and marketers closer together (as presented in Chapter 2). Recognising this tension between the ideal and the reality is vital to understanding commercialisation in the digital age. </w:t>
      </w:r>
    </w:p>
    <w:p w14:paraId="5CCE17B5"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empirical chapters (Chapters 4, 5, 6 and 7) are dedicated to the analysis of this reality, which takes place between norms of separation and the necessity of collaboration, between regulation and economics. Throughout the four chapters I dissect in detail the sponsorship agreements behind the two case studies - </w:t>
      </w:r>
      <w:r w:rsidRPr="009B5102">
        <w:rPr>
          <w:rFonts w:ascii="Times New Roman" w:hAnsi="Times New Roman" w:cs="Times New Roman"/>
          <w:i/>
          <w:iCs/>
          <w:sz w:val="24"/>
          <w:szCs w:val="24"/>
        </w:rPr>
        <w:t>HTLGN</w:t>
      </w:r>
      <w:r w:rsidRPr="009B5102">
        <w:rPr>
          <w:rFonts w:ascii="Times New Roman" w:hAnsi="Times New Roman" w:cs="Times New Roman"/>
          <w:sz w:val="24"/>
          <w:szCs w:val="24"/>
        </w:rPr>
        <w:t xml:space="preserve"> and </w:t>
      </w:r>
      <w:r w:rsidRPr="009B5102">
        <w:rPr>
          <w:rFonts w:ascii="Times New Roman" w:hAnsi="Times New Roman" w:cs="Times New Roman"/>
          <w:i/>
          <w:iCs/>
          <w:sz w:val="24"/>
          <w:szCs w:val="24"/>
        </w:rPr>
        <w:t xml:space="preserve">Overdraft Family </w:t>
      </w:r>
      <w:r w:rsidRPr="009B5102">
        <w:rPr>
          <w:rFonts w:ascii="Times New Roman" w:hAnsi="Times New Roman" w:cs="Times New Roman"/>
          <w:sz w:val="24"/>
          <w:szCs w:val="24"/>
        </w:rPr>
        <w:t xml:space="preserve">- together with examples from other productions. I present the conditions which allow the formation of these deals; the negotiations and debates throughout the production process; the ways in which brand integration is </w:t>
      </w:r>
      <w:r w:rsidRPr="009B5102">
        <w:rPr>
          <w:rFonts w:ascii="Times New Roman" w:hAnsi="Times New Roman" w:cs="Times New Roman"/>
          <w:sz w:val="24"/>
          <w:szCs w:val="24"/>
        </w:rPr>
        <w:lastRenderedPageBreak/>
        <w:t xml:space="preserve">implemented on television, the Internet and other platforms; the conflicts and tensions that are typical to this field; and finally, the failures of regulators to cope with this rising phenomenon.  </w:t>
      </w:r>
    </w:p>
    <w:p w14:paraId="697060BB" w14:textId="36829DEB"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I will now provide a brief overview of the thesis chapters. Chapter 1 addresses the most challenging question in any critical discussion of ‘branded content’ and its implications: is there any fundamental difference between the act of content producers (such as script writers, directors, journalists and other creators) and that of advertisers? And if so, what is its essence? The model of embedded branding works to blur the line between content and advertising and therefore it is of great importance to understand whether the two notions are qualitatively different in the first place. The discussion of this question is located within a wider discourse on the role of the media in a democracy - its function in generating debate, i.e. an open exchange of views on issues of public matters. This perspective is rooted in Habermas’ </w:t>
      </w:r>
      <w:r w:rsidRPr="009B5102">
        <w:rPr>
          <w:rFonts w:ascii="Times New Roman" w:hAnsi="Times New Roman" w:cs="Times New Roman"/>
          <w:noProof/>
          <w:sz w:val="24"/>
          <w:szCs w:val="24"/>
        </w:rPr>
        <w:t>(1989)</w:t>
      </w:r>
      <w:r w:rsidRPr="009B5102">
        <w:rPr>
          <w:rFonts w:ascii="Times New Roman" w:hAnsi="Times New Roman" w:cs="Times New Roman"/>
          <w:sz w:val="24"/>
          <w:szCs w:val="24"/>
        </w:rPr>
        <w:t xml:space="preserve"> notion of the public </w:t>
      </w:r>
      <w:r w:rsidR="006639ED" w:rsidRPr="009B5102">
        <w:rPr>
          <w:rFonts w:ascii="Times New Roman" w:hAnsi="Times New Roman" w:cs="Times New Roman"/>
          <w:sz w:val="24"/>
          <w:szCs w:val="24"/>
        </w:rPr>
        <w:t>sphere and</w:t>
      </w:r>
      <w:r w:rsidRPr="009B5102">
        <w:rPr>
          <w:rFonts w:ascii="Times New Roman" w:hAnsi="Times New Roman" w:cs="Times New Roman"/>
          <w:sz w:val="24"/>
          <w:szCs w:val="24"/>
        </w:rPr>
        <w:t xml:space="preserve"> in a more flexible way, in McGuigan’s </w:t>
      </w:r>
      <w:r>
        <w:rPr>
          <w:rFonts w:ascii="Times New Roman" w:hAnsi="Times New Roman" w:cs="Times New Roman"/>
          <w:noProof/>
          <w:sz w:val="24"/>
          <w:szCs w:val="24"/>
        </w:rPr>
        <w:t>(2005)</w:t>
      </w:r>
      <w:r w:rsidRPr="009B5102">
        <w:rPr>
          <w:rFonts w:ascii="Times New Roman" w:hAnsi="Times New Roman" w:cs="Times New Roman"/>
          <w:sz w:val="24"/>
          <w:szCs w:val="24"/>
        </w:rPr>
        <w:t xml:space="preserve"> later notion of the cultural public sphere.</w:t>
      </w:r>
    </w:p>
    <w:p w14:paraId="173BC7F1"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But what are the conditions for the cultural public sphere to be able to function? What is ethical discourse? I present Habermas’</w:t>
      </w:r>
      <w:r>
        <w:rPr>
          <w:rFonts w:ascii="Times New Roman" w:hAnsi="Times New Roman" w:cs="Times New Roman"/>
          <w:sz w:val="24"/>
          <w:szCs w:val="24"/>
        </w:rPr>
        <w:t xml:space="preserve"> </w:t>
      </w:r>
      <w:r>
        <w:rPr>
          <w:rFonts w:ascii="Times New Roman" w:hAnsi="Times New Roman" w:cs="Times New Roman"/>
          <w:noProof/>
          <w:sz w:val="24"/>
          <w:szCs w:val="24"/>
        </w:rPr>
        <w:t>(1984)</w:t>
      </w:r>
      <w:r w:rsidRPr="009B5102">
        <w:rPr>
          <w:rFonts w:ascii="Times New Roman" w:hAnsi="Times New Roman" w:cs="Times New Roman"/>
          <w:sz w:val="24"/>
          <w:szCs w:val="24"/>
        </w:rPr>
        <w:t xml:space="preserve"> theory of discourse </w:t>
      </w:r>
      <w:r w:rsidR="00CA29F5" w:rsidRPr="009B5102">
        <w:rPr>
          <w:rFonts w:ascii="Times New Roman" w:hAnsi="Times New Roman" w:cs="Times New Roman"/>
          <w:sz w:val="24"/>
          <w:szCs w:val="24"/>
        </w:rPr>
        <w:t>ethics as</w:t>
      </w:r>
      <w:r w:rsidRPr="009B5102">
        <w:rPr>
          <w:rFonts w:ascii="Times New Roman" w:hAnsi="Times New Roman" w:cs="Times New Roman"/>
          <w:sz w:val="24"/>
          <w:szCs w:val="24"/>
        </w:rPr>
        <w:t xml:space="preserve"> a gateway to understanding the line between content and advertising. His notions of ‘communicative action’ and ‘strategic action’ emphasise the importance of the speaker’s intention and orientation in performing any speech act. While the first is oriented towards debate with others to reach a better understanding of issues and the best common decision, the second is oriented towards influencing others’ opinion and behaviour, so it serves the speaker’s goals. While the first kind of message is discursive and the speaker may change his or her initial position following others’ arguments, in the second case, the speaker uses discourse in an instrumental way and his</w:t>
      </w:r>
      <w:r w:rsidR="00CA29F5">
        <w:rPr>
          <w:rFonts w:ascii="Times New Roman" w:hAnsi="Times New Roman" w:cs="Times New Roman"/>
          <w:sz w:val="24"/>
          <w:szCs w:val="24"/>
        </w:rPr>
        <w:t xml:space="preserve"> or her</w:t>
      </w:r>
      <w:r w:rsidRPr="009B5102">
        <w:rPr>
          <w:rFonts w:ascii="Times New Roman" w:hAnsi="Times New Roman" w:cs="Times New Roman"/>
          <w:sz w:val="24"/>
          <w:szCs w:val="24"/>
        </w:rPr>
        <w:t xml:space="preserve"> argument cannot be changed. Once a strategic act is presented as communicative, this is, in Habermas’ words, simply a manipulation. I shall argue that this is indeed the case of ‘branded content’ - a deliberate act of presenting advertising as content. </w:t>
      </w:r>
    </w:p>
    <w:p w14:paraId="6B723281"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Although these philosophical observations are perhaps somewhat too idealistic for the day-to-day reality of the media industry (as there may be messages that are strategic and communicative at the same time, for example: a newspaper taking a political stand), they are most helpful for understanding the basic difference between content and advertising, and for dissecting the potentially harmful effects of manipulative messages on the media’s role in democratic systems. </w:t>
      </w:r>
      <w:r w:rsidRPr="009B5102">
        <w:rPr>
          <w:rFonts w:ascii="Times New Roman" w:hAnsi="Times New Roman" w:cs="Times New Roman"/>
          <w:sz w:val="24"/>
          <w:szCs w:val="24"/>
        </w:rPr>
        <w:lastRenderedPageBreak/>
        <w:t xml:space="preserve">The issues investigated in this chapter are most relevant for approaching the third research question, regarding the potential harm of embedded branding to public discourse. </w:t>
      </w:r>
    </w:p>
    <w:p w14:paraId="1708636B"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Chapter 2 investigates the processes which led to the rise of ‘branded content’ or ‘native advertising’ as a promising and thriving funding model in the digital age. It combines a historical overview of media commercialisation processes, which go back to the early days of filmmaking at the end of the 18</w:t>
      </w:r>
      <w:r w:rsidRPr="009B5102">
        <w:rPr>
          <w:rFonts w:ascii="Times New Roman" w:hAnsi="Times New Roman" w:cs="Times New Roman"/>
          <w:sz w:val="24"/>
          <w:szCs w:val="24"/>
          <w:vertAlign w:val="superscript"/>
        </w:rPr>
        <w:t>th</w:t>
      </w:r>
      <w:r w:rsidRPr="009B5102">
        <w:rPr>
          <w:rFonts w:ascii="Times New Roman" w:hAnsi="Times New Roman" w:cs="Times New Roman"/>
          <w:sz w:val="24"/>
          <w:szCs w:val="24"/>
        </w:rPr>
        <w:t xml:space="preserve"> century, as well as the beginning of commercial press at the end of the 19</w:t>
      </w:r>
      <w:r w:rsidRPr="009B5102">
        <w:rPr>
          <w:rFonts w:ascii="Times New Roman" w:hAnsi="Times New Roman" w:cs="Times New Roman"/>
          <w:sz w:val="24"/>
          <w:szCs w:val="24"/>
          <w:vertAlign w:val="superscript"/>
        </w:rPr>
        <w:t>th</w:t>
      </w:r>
      <w:r w:rsidRPr="009B5102">
        <w:rPr>
          <w:rFonts w:ascii="Times New Roman" w:hAnsi="Times New Roman" w:cs="Times New Roman"/>
          <w:sz w:val="24"/>
          <w:szCs w:val="24"/>
        </w:rPr>
        <w:t xml:space="preserve"> century, and later the rise of commercial radio and television</w:t>
      </w:r>
      <w:r w:rsidRPr="00B93D25">
        <w:rPr>
          <w:rStyle w:val="FootnoteReference"/>
        </w:rPr>
        <w:footnoteReference w:id="12"/>
      </w:r>
      <w:r w:rsidRPr="009B5102">
        <w:rPr>
          <w:rFonts w:ascii="Times New Roman" w:hAnsi="Times New Roman" w:cs="Times New Roman"/>
          <w:sz w:val="24"/>
          <w:szCs w:val="24"/>
        </w:rPr>
        <w:t>. Thereafter, it presents an analysis of the contemporary media landscape, from the 2000s onwards. The chapter presents audience fragmentation as a central process in the contemporary media economy, one which influenced both marketers and media bodies and eventually pushed for the rise of ‘branded content’ (together with other factors, such as digital technologies that enable skipping ads). In the marketing world, the dominance of branding processes is emphasised as a key factor in understanding the rise of ‘branded content’.</w:t>
      </w:r>
    </w:p>
    <w:p w14:paraId="37DAD0B8" w14:textId="50AFFE68" w:rsidR="00497B7D" w:rsidRPr="009B5102" w:rsidRDefault="00497B7D" w:rsidP="00346CA5">
      <w:pPr>
        <w:spacing w:line="360" w:lineRule="auto"/>
        <w:rPr>
          <w:rFonts w:ascii="Times New Roman" w:hAnsi="Times New Roman" w:cs="Times New Roman"/>
          <w:sz w:val="24"/>
          <w:szCs w:val="24"/>
          <w:rtl/>
        </w:rPr>
      </w:pPr>
      <w:r w:rsidRPr="009B5102">
        <w:rPr>
          <w:rFonts w:ascii="Times New Roman" w:hAnsi="Times New Roman" w:cs="Times New Roman"/>
          <w:sz w:val="24"/>
          <w:szCs w:val="24"/>
        </w:rPr>
        <w:t xml:space="preserve"> Most importantly, the chapter presents the tendency of the two sides to co-operate and sign formal agreements for ‘branded content’ deals as a kind of ‘mutual attraction’, based on the increasing number of inner similarities that bring them closer together. This makes use of Weber’s </w:t>
      </w:r>
      <w:r w:rsidRPr="009B5102">
        <w:rPr>
          <w:rFonts w:ascii="Times New Roman" w:hAnsi="Times New Roman" w:cs="Times New Roman"/>
          <w:noProof/>
          <w:sz w:val="24"/>
          <w:szCs w:val="24"/>
        </w:rPr>
        <w:t>(1949; 2011)</w:t>
      </w:r>
      <w:r w:rsidRPr="009B5102">
        <w:rPr>
          <w:rFonts w:ascii="Times New Roman" w:hAnsi="Times New Roman" w:cs="Times New Roman"/>
          <w:sz w:val="24"/>
          <w:szCs w:val="24"/>
        </w:rPr>
        <w:t xml:space="preserve"> term ‘elective affinity’ to </w:t>
      </w:r>
      <w:r w:rsidR="00B50816" w:rsidRPr="009B5102">
        <w:rPr>
          <w:rFonts w:ascii="Times New Roman" w:hAnsi="Times New Roman" w:cs="Times New Roman"/>
          <w:sz w:val="24"/>
          <w:szCs w:val="24"/>
        </w:rPr>
        <w:t>explain the</w:t>
      </w:r>
      <w:r w:rsidRPr="009B5102">
        <w:rPr>
          <w:rFonts w:ascii="Times New Roman" w:hAnsi="Times New Roman" w:cs="Times New Roman"/>
          <w:sz w:val="24"/>
          <w:szCs w:val="24"/>
        </w:rPr>
        <w:t xml:space="preserve"> choice of one action among many others possible in social sciences </w:t>
      </w:r>
      <w:r w:rsidRPr="009B5102">
        <w:rPr>
          <w:rFonts w:ascii="Times New Roman" w:hAnsi="Times New Roman" w:cs="Times New Roman"/>
          <w:noProof/>
          <w:sz w:val="24"/>
          <w:szCs w:val="24"/>
        </w:rPr>
        <w:t>(Howe, 1978)</w:t>
      </w:r>
      <w:r w:rsidRPr="009B5102">
        <w:rPr>
          <w:rFonts w:ascii="Times New Roman" w:hAnsi="Times New Roman" w:cs="Times New Roman"/>
          <w:sz w:val="24"/>
          <w:szCs w:val="24"/>
        </w:rPr>
        <w:t xml:space="preserve">. Thus, it is not about parasitic use of the media by commercial sponsors, but rather a symbiosis which both sides seek. It is only later that they discover that their initial synergy does not tend to work as smoothly as they had first assumed or hoped. The chapter sets the necessary background for approaching the first two research questions – how does the market of ‘branded content’ practically operate and more importantly – is there anything significantly new in this activity?     </w:t>
      </w:r>
    </w:p>
    <w:p w14:paraId="6085FC4E" w14:textId="77777777" w:rsidR="00497B7D" w:rsidRPr="009B5102" w:rsidRDefault="00497B7D" w:rsidP="00346CA5">
      <w:pPr>
        <w:spacing w:line="360" w:lineRule="auto"/>
        <w:rPr>
          <w:rFonts w:ascii="Times New Roman" w:hAnsi="Times New Roman" w:cs="Times New Roman"/>
          <w:sz w:val="24"/>
          <w:szCs w:val="24"/>
          <w:rtl/>
        </w:rPr>
      </w:pPr>
      <w:r w:rsidRPr="009B5102">
        <w:rPr>
          <w:rFonts w:ascii="Times New Roman" w:hAnsi="Times New Roman" w:cs="Times New Roman"/>
          <w:sz w:val="24"/>
          <w:szCs w:val="24"/>
        </w:rPr>
        <w:t xml:space="preserve">Chapter 3 discusses methodological issues: the challenges the topic entailed, the methodological choices that were made along the way and their benefits and disadvantages. First and foremost, it describes a journey into a field that was not only under-researched by scholars, but also intentionally hidden from the public eye, as its surreptitiousness is an inherent part of its reason d’être. The choice of looking into the inner workings of two case studies, that are similar in </w:t>
      </w:r>
      <w:r w:rsidRPr="009B5102">
        <w:rPr>
          <w:rFonts w:ascii="Times New Roman" w:hAnsi="Times New Roman" w:cs="Times New Roman"/>
          <w:sz w:val="24"/>
          <w:szCs w:val="24"/>
        </w:rPr>
        <w:lastRenderedPageBreak/>
        <w:t xml:space="preserve">many points and rather different in a number of other criteria, has pros and cons which the chapter discusses. However, the case study approach and the research design enabled an examination of the reality of this market and of media economy in the digital age. This information was not known before and in that sense the research, hopefully, makes a unique contribution. </w:t>
      </w:r>
    </w:p>
    <w:p w14:paraId="0F2D37E5"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Chapter 4 is an introduction to the case studies. It outlines the negotiation process between broadcasters and sponsors and the formation of the sponsorship deals in the two cases. It offers a first glance into the operations of the market of ‘branded content’ and the conditions which allow these deals to be signed. The initial phase is that of ‘falling in love’, in which the two sides concentrate on their seemingly common mission of promoting public discourse around a certain topic (women’s self-image; families’ financial well-being) before deciding to get ‘married’ by signing a formal agreement. It seems necessary for both sides to believe they are equal ‘actors’ in the cultural public sphere</w:t>
      </w:r>
      <w:r>
        <w:rPr>
          <w:rFonts w:ascii="Times New Roman" w:hAnsi="Times New Roman" w:cs="Times New Roman"/>
          <w:sz w:val="24"/>
          <w:szCs w:val="24"/>
        </w:rPr>
        <w:t xml:space="preserve"> (McGuigan, 2005b)</w:t>
      </w:r>
      <w:r w:rsidRPr="009B5102">
        <w:rPr>
          <w:rFonts w:ascii="Times New Roman" w:hAnsi="Times New Roman" w:cs="Times New Roman"/>
          <w:sz w:val="24"/>
          <w:szCs w:val="24"/>
        </w:rPr>
        <w:t xml:space="preserve"> on the sponsors’ side it allows a strengthening of the brand’s image as one that works for the ‘public good’, while marginalising its fundamental commercial intentions. By doing this, brands blur the line between private interests and public ones and present them as synonymous. For content producers, it is helpful to believe that they are working with a partner with similar goals, rather than giving in to an advertiser’s demands based on financial considerations. The chapter is relevant mainly to the first research question, in the sense that it uncovers the dynamics behind the crucial stage of negotiation and helps to shed light on how the market operates.</w:t>
      </w:r>
    </w:p>
    <w:p w14:paraId="54C613D2"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Chapters 5 and 6 present the implementation of embedded branding agreements in media content and are therefore at the heart of the empirical work. They present two novel concepts: ‘deep integration’ (Chapter 5) which relates to sponsor integration into programming, and ‘continuous integration’ (Chapter 6) which relates to sponsor integration around the programme on television and then across other platforms, mainly the Internet.  </w:t>
      </w:r>
    </w:p>
    <w:p w14:paraId="4DF35201"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Chapter 5 dissects the ways in which brands are integrated into television programmes. It uncovers how sponsors that are formally ‘external’ to the programmes (according to regulatory definitions in the UK and Israel) integrate into programming in each case. By analysing the sponsorship agreements of the two case studies, I present three ‘layers’ of brand integration: the first relates to messages in the programme that serve the sponsor’s goals (for example: ‘Beauty </w:t>
      </w:r>
      <w:r w:rsidRPr="009B5102">
        <w:rPr>
          <w:rFonts w:ascii="Times New Roman" w:hAnsi="Times New Roman" w:cs="Times New Roman"/>
          <w:sz w:val="24"/>
          <w:szCs w:val="24"/>
        </w:rPr>
        <w:lastRenderedPageBreak/>
        <w:t xml:space="preserve">comes in different sizes and shapes as long as you nurture yourself’, or: ‘The bank is a positive and helpful element in managing home finance’); the second refers to the visual embodiment of the brand through colours, fonts and other elements of design; and the third concerns straightforward product placement. This multi-layered nature of brand integration in ‘branded content’ deals is what gives it its ‘depth’. Furthermore, while the first two ‘layers’ are abstract and  represent the brand as an image, the third one is concrete and oriented towards representing products. The data shows that abstract representations through messages and design are more significant in ‘branded content’ deals than product placement. Deep integration makes the programme and its sponsor indistinguishable and promotes the blurring between content and advertising in the cultural public sphere, thus raising questions as to the ethics of the discourse such programming promotes. In addition, deep integration challenges the existing regulatory understanding of commercialisation which tends to identify it with product placement. It raises questions as to the ability of regulators to limit and control such representations that are intangible and hard to trace. </w:t>
      </w:r>
    </w:p>
    <w:p w14:paraId="0A9DCDBA" w14:textId="0BBC5ED0"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Chapter 6 follows the routes by which sponsorship agreements ‘spill over’ from the brand’s presence within the specific programme to other spaces, first on television, in the form of, for example, sponsorship credits, and then across other platforms, the most noteworthy of which is the Internet. I first investigate the ways in which sponsorship credits and commercial vignettes become tools for blurring the line between programming and the advertising spots on television. As a result, these become a hybrid between commercials and programming and therefore viewers of commercial television are exposed to an ongoing stream of messages that are commercialised to a lesser or greater extent. I then turn to dissect the ways in which the sponsorship agreements in the two case studies are expanded to other platforms such as the programmes’ websites, print magazines, radio programming and finally, ‘real world’ events by the sponsor</w:t>
      </w:r>
      <w:r w:rsidR="009103EF">
        <w:rPr>
          <w:rFonts w:ascii="Times New Roman" w:hAnsi="Times New Roman" w:cs="Times New Roman"/>
          <w:sz w:val="24"/>
          <w:szCs w:val="24"/>
        </w:rPr>
        <w:t>, that is, a personalized, non-mediated contact with consumers through events initiated by the sponsor</w:t>
      </w:r>
      <w:r w:rsidRPr="009B5102">
        <w:rPr>
          <w:rFonts w:ascii="Times New Roman" w:hAnsi="Times New Roman" w:cs="Times New Roman"/>
          <w:sz w:val="24"/>
          <w:szCs w:val="24"/>
        </w:rPr>
        <w:t xml:space="preserve">. These further contribute to the blurring effect between communicative messages and strategic ones. </w:t>
      </w:r>
    </w:p>
    <w:p w14:paraId="62EA187B"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This ‘multiple meeting point’ model offers an embracing and all-encompassing experience, in which consumers are gradually ‘pushed’ from an environment that is seemingly editorial (i.e. the programme on television) to an environment that is largely and more openly commercial (for </w:t>
      </w:r>
      <w:r w:rsidRPr="009B5102">
        <w:rPr>
          <w:rFonts w:ascii="Times New Roman" w:hAnsi="Times New Roman" w:cs="Times New Roman"/>
          <w:sz w:val="24"/>
          <w:szCs w:val="24"/>
        </w:rPr>
        <w:lastRenderedPageBreak/>
        <w:t>example, a commercial micro-site on the Internet or an event by the sponsor under the premise of the programme). At the same time, consumers are shifted from a mediated experience for mass audiences (television) to a personalised experience (interaction with the sponsor online) and ultimately - a ‘real’ interaction with the brand and the programme in a real world event.</w:t>
      </w:r>
    </w:p>
    <w:p w14:paraId="49BA2490"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This ultimately creates for consumers an environment that is saturated with the coupling of the brand and the programme and turns it to something ‘natural’. The use of the Internet as a platform for ‘branded content’ deals deserves special attention: the characteristics of the digital environment as a non-linear and only lightly regulated medium further contribute to the blurring between content and advertising. Furthermore, it allows marketers to turn to their target audience and encourage users to send personal data for the purpose of collecting data and establishing an ongoing relationship with them. Thus ‘continuous integration’ opens up avenues for ongoing commercial relationships with, and exploitation of, the audience as a market. </w:t>
      </w:r>
    </w:p>
    <w:p w14:paraId="05198826" w14:textId="2A4D6F8E" w:rsidR="00497B7D" w:rsidRPr="009B5102" w:rsidRDefault="00497B7D" w:rsidP="006639ED">
      <w:pPr>
        <w:spacing w:line="360" w:lineRule="auto"/>
        <w:rPr>
          <w:rFonts w:ascii="Times New Roman" w:hAnsi="Times New Roman" w:cs="Times New Roman"/>
          <w:sz w:val="24"/>
          <w:szCs w:val="24"/>
        </w:rPr>
      </w:pPr>
      <w:r w:rsidRPr="009B5102">
        <w:rPr>
          <w:rFonts w:ascii="Times New Roman" w:hAnsi="Times New Roman" w:cs="Times New Roman"/>
          <w:sz w:val="24"/>
          <w:szCs w:val="24"/>
        </w:rPr>
        <w:t>While Chapters 5 and 6 are highly relevant to the first and second research questions, at the same time, they are essential for approaching the third question on the potential harms of this market</w:t>
      </w:r>
      <w:r w:rsidR="006639ED">
        <w:rPr>
          <w:rFonts w:ascii="Times New Roman" w:hAnsi="Times New Roman" w:cs="Times New Roman"/>
          <w:sz w:val="24"/>
          <w:szCs w:val="24"/>
        </w:rPr>
        <w:t xml:space="preserve">, </w:t>
      </w:r>
      <w:r w:rsidRPr="009B5102">
        <w:rPr>
          <w:rFonts w:ascii="Times New Roman" w:hAnsi="Times New Roman" w:cs="Times New Roman"/>
          <w:sz w:val="24"/>
          <w:szCs w:val="24"/>
        </w:rPr>
        <w:t xml:space="preserve">which is at the heart of Chapter 7. </w:t>
      </w:r>
    </w:p>
    <w:p w14:paraId="3F88D97E"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Thus, Chapter 7 takes a step back to allow a broader look at the market of ‘branded content’ and its potential harms to the cultural public sphere</w:t>
      </w:r>
      <w:r>
        <w:rPr>
          <w:rFonts w:ascii="Times New Roman" w:hAnsi="Times New Roman" w:cs="Times New Roman"/>
          <w:sz w:val="24"/>
          <w:szCs w:val="24"/>
        </w:rPr>
        <w:t xml:space="preserve"> (McGuigan, 2005b)</w:t>
      </w:r>
      <w:r w:rsidRPr="009B5102">
        <w:rPr>
          <w:rFonts w:ascii="Times New Roman" w:hAnsi="Times New Roman" w:cs="Times New Roman"/>
          <w:sz w:val="24"/>
          <w:szCs w:val="24"/>
        </w:rPr>
        <w:t>. It portrays the tensions that are typical of this market, beyond the two case studies, and the attempts made by regulators, alas – their failures – to cope with the new, constantly changing reality of commercialisation. As the data coming from branded content agents shows, the market of embedded branding is typically filled with conflicts between content creators and sponsors, despite the initial synergetic, ‘romantic’ phase during negotiations. The tensions and disputes arise mainly due to the differences in their initial goals and general orientation, as content creators are generally oriented towards generating debate, i.e. communicative action, while marketers use public discourse in an instrumental manner for their commercial goals, i.e. strategic action</w:t>
      </w:r>
      <w:r>
        <w:rPr>
          <w:rFonts w:ascii="Times New Roman" w:hAnsi="Times New Roman" w:cs="Times New Roman"/>
          <w:sz w:val="24"/>
          <w:szCs w:val="24"/>
        </w:rPr>
        <w:t xml:space="preserve"> (Habermas, 1984)</w:t>
      </w:r>
      <w:r w:rsidRPr="009B5102">
        <w:rPr>
          <w:rFonts w:ascii="Times New Roman" w:hAnsi="Times New Roman" w:cs="Times New Roman"/>
          <w:sz w:val="24"/>
          <w:szCs w:val="24"/>
        </w:rPr>
        <w:t>. Against this background, only a small share of these potential deals is finally signed and it is often the case that their implementation involves tensions and disputes during the production process.</w:t>
      </w:r>
    </w:p>
    <w:p w14:paraId="000C9FC1"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In this erratic landscape, regulatory bodies are trying to find their way between the need to restrain aggressive commercialisation and the necessity of recognising and accommodating the </w:t>
      </w:r>
      <w:r w:rsidRPr="009B5102">
        <w:rPr>
          <w:rFonts w:ascii="Times New Roman" w:hAnsi="Times New Roman" w:cs="Times New Roman"/>
          <w:sz w:val="24"/>
          <w:szCs w:val="24"/>
        </w:rPr>
        <w:lastRenderedPageBreak/>
        <w:t xml:space="preserve">changing media economy. In recent years some regulators (such as the European Commission or UK regulatory bodies) have moved towards a liberalisation of their rules. Predominantly, they shifted from the principle of separation (which strictly prohibits any influence of sponsors on programming) to that of identification of product placement. However, the data from the thesis points at significant failures in regulatory definitions and overall understanding of the market. This happens as regulatory definitions seem to ignore the abstract and fluid nature of embedded branding deals, as the analysis of the case studies show. At the same time, they face disempowerment, as the rise of the Internet as an unregulated terrain offers new opportunities for further blurring between content and advertising.  </w:t>
      </w:r>
    </w:p>
    <w:p w14:paraId="7F594E94"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In this reality, in which the market of ‘branded content’ or ‘native advertising’ is evidently on the rise and regulators are struggling to update their rules and maintain their authority, the ideal of the cultural public sphere and the necessary conditions for ethical discourse in this sphere seem to be trampled. I therefore point at two possible harms which the market of ‘branded content’ may inflict upon the role of the media as a generator of public discourse. The first is the saturation of the cultural public sphere with messages that are essentially manipulative (Habermas, 1984). The second is related to the first: once consumers become aware of the manipulative nature of some of the messages in the media, they may lose trust in any mediated communication. As trust is at the heart of the relationship between content creators and their audience, this may seriously impair the ability of the media to fill its role as a sphere for public debate in a democracy, to the extent of its complete paralysis.</w:t>
      </w:r>
    </w:p>
    <w:p w14:paraId="20288F10"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When telling colleagues about the topic of my thesis, their reaction would often be, “Oh, so, you’re writing about product placement!” My answer would always be no. This thesis is an attempt to shift the scholarly discourse on commercialisation beyond its historical focus on product placement. It is, instead, about the lesser known and much more elusive ways in which leading corporations attempt to buy influence over the public agenda: the topics we choose to discuss as a public of citizens and the manner in which we think about them.     </w:t>
      </w:r>
    </w:p>
    <w:p w14:paraId="4F050D56" w14:textId="77777777" w:rsidR="00497B7D" w:rsidRPr="009B5102" w:rsidRDefault="00497B7D" w:rsidP="00346CA5">
      <w:pPr>
        <w:spacing w:before="100" w:beforeAutospacing="1" w:after="100" w:afterAutospacing="1" w:line="240" w:lineRule="auto"/>
        <w:outlineLvl w:val="0"/>
        <w:rPr>
          <w:rFonts w:ascii="Times New Roman" w:eastAsia="Times New Roman" w:hAnsi="Times New Roman" w:cs="Times New Roman"/>
          <w:b/>
          <w:bCs/>
          <w:kern w:val="36"/>
          <w:sz w:val="24"/>
          <w:szCs w:val="24"/>
        </w:rPr>
      </w:pPr>
    </w:p>
    <w:p w14:paraId="0FDD82BF" w14:textId="77777777" w:rsidR="00497B7D" w:rsidRPr="009B5102" w:rsidRDefault="00497B7D" w:rsidP="00346CA5">
      <w:pPr>
        <w:spacing w:before="100" w:beforeAutospacing="1" w:after="100" w:afterAutospacing="1" w:line="240" w:lineRule="auto"/>
        <w:outlineLvl w:val="0"/>
        <w:rPr>
          <w:rFonts w:ascii="Times New Roman" w:eastAsia="Times New Roman" w:hAnsi="Times New Roman" w:cs="Times New Roman"/>
          <w:b/>
          <w:bCs/>
          <w:kern w:val="36"/>
          <w:sz w:val="24"/>
          <w:szCs w:val="24"/>
        </w:rPr>
      </w:pPr>
    </w:p>
    <w:p w14:paraId="3FED9F72" w14:textId="77777777" w:rsidR="00497B7D" w:rsidRPr="009B5102" w:rsidRDefault="00497B7D" w:rsidP="00346CA5">
      <w:pPr>
        <w:rPr>
          <w:rFonts w:ascii="Times New Roman" w:eastAsia="Times New Roman" w:hAnsi="Times New Roman" w:cs="Times New Roman"/>
          <w:b/>
          <w:bCs/>
          <w:kern w:val="36"/>
          <w:sz w:val="24"/>
          <w:szCs w:val="24"/>
        </w:rPr>
      </w:pPr>
      <w:r w:rsidRPr="009B5102">
        <w:rPr>
          <w:rFonts w:ascii="Times New Roman" w:eastAsia="Times New Roman" w:hAnsi="Times New Roman" w:cs="Times New Roman"/>
          <w:b/>
          <w:bCs/>
          <w:kern w:val="36"/>
          <w:sz w:val="24"/>
          <w:szCs w:val="24"/>
        </w:rPr>
        <w:br w:type="page"/>
      </w:r>
    </w:p>
    <w:p w14:paraId="1D6FB2E5" w14:textId="5BCF29E9" w:rsidR="00497B7D" w:rsidRPr="009B5102" w:rsidRDefault="00497B7D" w:rsidP="00346CA5">
      <w:pPr>
        <w:rPr>
          <w:rFonts w:ascii="Times New Roman" w:hAnsi="Times New Roman" w:cs="Times New Roman"/>
          <w:sz w:val="24"/>
          <w:szCs w:val="24"/>
        </w:rPr>
      </w:pPr>
    </w:p>
    <w:p w14:paraId="612EB350" w14:textId="6A3F2990" w:rsidR="00497B7D" w:rsidRPr="009B5102" w:rsidRDefault="00497B7D" w:rsidP="00346CA5">
      <w:pPr>
        <w:pStyle w:val="Heading1"/>
      </w:pPr>
      <w:bookmarkStart w:id="4" w:name="_Toc445202663"/>
      <w:r w:rsidRPr="009B5102">
        <w:t xml:space="preserve">Chapter </w:t>
      </w:r>
      <w:r w:rsidR="0028056A">
        <w:t>3</w:t>
      </w:r>
      <w:r>
        <w:br/>
        <w:t xml:space="preserve"> </w:t>
      </w:r>
      <w:r w:rsidRPr="006B0813">
        <w:rPr>
          <w:b w:val="0"/>
          <w:bCs w:val="0"/>
        </w:rPr>
        <w:t>The Campaign and the Format:</w:t>
      </w:r>
      <w:r>
        <w:rPr>
          <w:b w:val="0"/>
          <w:bCs w:val="0"/>
        </w:rPr>
        <w:t xml:space="preserve"> </w:t>
      </w:r>
      <w:r w:rsidRPr="006B0813">
        <w:rPr>
          <w:b w:val="0"/>
          <w:bCs w:val="0"/>
        </w:rPr>
        <w:t>Introduction to the Case Studies</w:t>
      </w:r>
      <w:bookmarkEnd w:id="4"/>
    </w:p>
    <w:p w14:paraId="57A1DFC6" w14:textId="77777777" w:rsidR="00497B7D" w:rsidRPr="009B5102" w:rsidRDefault="00497B7D" w:rsidP="00346CA5">
      <w:pPr>
        <w:spacing w:line="360" w:lineRule="auto"/>
        <w:jc w:val="center"/>
        <w:rPr>
          <w:rFonts w:ascii="Times New Roman" w:hAnsi="Times New Roman" w:cs="Times New Roman"/>
          <w:b/>
          <w:bCs/>
          <w:sz w:val="24"/>
          <w:szCs w:val="24"/>
          <w:lang w:bidi="ar-SA"/>
        </w:rPr>
      </w:pPr>
    </w:p>
    <w:p w14:paraId="7812955B" w14:textId="77777777" w:rsidR="00497B7D" w:rsidRPr="009B5102" w:rsidRDefault="00497B7D" w:rsidP="00346CA5">
      <w:pPr>
        <w:pStyle w:val="Heading2"/>
      </w:pPr>
      <w:bookmarkStart w:id="5" w:name="_Toc445202664"/>
      <w:r w:rsidRPr="009B5102">
        <w:t>Introduction</w:t>
      </w:r>
      <w:bookmarkEnd w:id="5"/>
    </w:p>
    <w:p w14:paraId="7BF8A982" w14:textId="77777777"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This chapter will introduce the formation of the sponsorship agreements for the two case studies: </w:t>
      </w:r>
      <w:r w:rsidRPr="009B5102">
        <w:rPr>
          <w:rFonts w:ascii="Times New Roman" w:hAnsi="Times New Roman" w:cs="Times New Roman"/>
          <w:i/>
          <w:iCs/>
          <w:sz w:val="24"/>
          <w:szCs w:val="24"/>
          <w:lang w:bidi="ar-SA"/>
        </w:rPr>
        <w:t>How to Look Good Naked</w:t>
      </w:r>
      <w:r w:rsidRPr="009B5102">
        <w:rPr>
          <w:rFonts w:ascii="Times New Roman" w:hAnsi="Times New Roman" w:cs="Times New Roman"/>
          <w:sz w:val="24"/>
          <w:szCs w:val="24"/>
          <w:lang w:bidi="ar-SA"/>
        </w:rPr>
        <w:t xml:space="preserve"> in the UK and </w:t>
      </w:r>
      <w:r w:rsidRPr="009B5102">
        <w:rPr>
          <w:rFonts w:ascii="Times New Roman" w:hAnsi="Times New Roman" w:cs="Times New Roman"/>
          <w:i/>
          <w:iCs/>
          <w:sz w:val="24"/>
          <w:szCs w:val="24"/>
          <w:lang w:bidi="ar-SA"/>
        </w:rPr>
        <w:t>Overdraft Family</w:t>
      </w:r>
      <w:r w:rsidRPr="009B5102">
        <w:rPr>
          <w:rFonts w:ascii="Times New Roman" w:hAnsi="Times New Roman" w:cs="Times New Roman"/>
          <w:sz w:val="24"/>
          <w:szCs w:val="24"/>
          <w:lang w:bidi="ar-SA"/>
        </w:rPr>
        <w:t xml:space="preserve"> in Israel, two successful reality-based programmes. Both were sponsored by leading brands – Dove in the UK case, and Bank Hapo’alim and Shufersal-Deal in the Israeli case. The following sections will trace the interconnections between the format of each programme and its sponsoring brand. As part of this, the story behind the development of each commercial campaign and thereafter television format will be unfolded and the negotiation process around the two sponsorship deals, both from the side of the sponsors and the side of production, will be traced. </w:t>
      </w:r>
    </w:p>
    <w:p w14:paraId="0D8BDE56" w14:textId="77777777"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The chapter is highly relevant to the first research question, which is about how the ‘branded content’ market operates in practice. It unfolds the early stage of brand integration: the conditions which encourage commercial co-operations to be created in the first place, the dynamics between content producers and brand representatives, and the overall climate which supports these deals. Sponsorship agreements are presented here as a core notion for understanding the field of embedded branding, as they allow the attachment of a commercial body to a specific production (unlike the purchasing of advertising spots from the general commercial time of a broadcaster) and consequently - its integration into programming. </w:t>
      </w:r>
    </w:p>
    <w:p w14:paraId="49DD3154" w14:textId="77777777"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What clearly emerges from this exploration is that a necessary condition for the initial establishment of embedded branding agreements is the belief, on both sides, that there is a synergistic connection between the ideas and values that each party wishes to promote, beyond </w:t>
      </w:r>
      <w:r w:rsidRPr="009B5102">
        <w:rPr>
          <w:rFonts w:ascii="Times New Roman" w:hAnsi="Times New Roman" w:cs="Times New Roman"/>
          <w:sz w:val="24"/>
          <w:szCs w:val="24"/>
          <w:lang w:bidi="ar-SA"/>
        </w:rPr>
        <w:lastRenderedPageBreak/>
        <w:t xml:space="preserve">mere commercial interests. This is a reflection of what I earlier described as ‘elective affinity’ </w:t>
      </w:r>
      <w:r w:rsidRPr="009B5102">
        <w:rPr>
          <w:rFonts w:ascii="Times New Roman" w:hAnsi="Times New Roman" w:cs="Times New Roman"/>
          <w:noProof/>
          <w:sz w:val="24"/>
          <w:szCs w:val="24"/>
          <w:lang w:bidi="ar-SA"/>
        </w:rPr>
        <w:t>(Howe, 1978)</w:t>
      </w:r>
      <w:r w:rsidRPr="009B5102">
        <w:rPr>
          <w:rFonts w:ascii="Times New Roman" w:hAnsi="Times New Roman" w:cs="Times New Roman"/>
          <w:sz w:val="24"/>
          <w:szCs w:val="24"/>
          <w:lang w:bidi="ar-SA"/>
        </w:rPr>
        <w:t xml:space="preserve">, which can be understood as a mutual attraction based on internal forces and certain similarities that brings the two sides closer together. Moreover, there is an underlying assumption that the sponsor and the production are synonymous in their goals, i.e. that they are both ‘actors’ in the cultural public sphere and are both oriented towards communicative action, i.e. generating public discourse, around the relevant topic. This assumption may later turn out as a problematic one, as the production process progresses and the ‘real’ goals of the two sides gradually emerge, as I later discuss in Chapter 7.  </w:t>
      </w:r>
    </w:p>
    <w:p w14:paraId="45BA442C" w14:textId="77777777" w:rsidR="00497B7D" w:rsidRPr="009B5102" w:rsidRDefault="00497B7D" w:rsidP="00346CA5">
      <w:pPr>
        <w:spacing w:line="360" w:lineRule="auto"/>
        <w:jc w:val="center"/>
        <w:rPr>
          <w:rFonts w:ascii="Times New Roman" w:hAnsi="Times New Roman" w:cs="Times New Roman"/>
          <w:b/>
          <w:bCs/>
          <w:sz w:val="24"/>
          <w:szCs w:val="24"/>
          <w:lang w:bidi="ar-SA"/>
        </w:rPr>
      </w:pPr>
    </w:p>
    <w:p w14:paraId="15D631F7" w14:textId="77777777" w:rsidR="00497B7D" w:rsidRPr="009B5102" w:rsidRDefault="00497B7D" w:rsidP="00346CA5">
      <w:pPr>
        <w:pStyle w:val="Heading2"/>
      </w:pPr>
      <w:bookmarkStart w:id="6" w:name="_Toc445202665"/>
      <w:r w:rsidRPr="009B5102">
        <w:t>The Case Studies</w:t>
      </w:r>
      <w:bookmarkEnd w:id="6"/>
    </w:p>
    <w:p w14:paraId="55478C5F" w14:textId="77777777"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Two reality-based programmes were chosen as case studies for the research project: </w:t>
      </w:r>
      <w:r w:rsidRPr="009B5102">
        <w:rPr>
          <w:rFonts w:ascii="Times New Roman" w:hAnsi="Times New Roman" w:cs="Times New Roman"/>
          <w:i/>
          <w:iCs/>
          <w:sz w:val="24"/>
          <w:szCs w:val="24"/>
          <w:lang w:bidi="ar-SA"/>
        </w:rPr>
        <w:t xml:space="preserve">How to Look Good Naked </w:t>
      </w:r>
      <w:r w:rsidRPr="009B5102">
        <w:rPr>
          <w:rFonts w:ascii="Times New Roman" w:hAnsi="Times New Roman" w:cs="Times New Roman"/>
          <w:sz w:val="24"/>
          <w:szCs w:val="24"/>
          <w:lang w:bidi="ar-SA"/>
        </w:rPr>
        <w:t xml:space="preserve">(Channel 4, UK) and </w:t>
      </w:r>
      <w:r w:rsidRPr="009B5102">
        <w:rPr>
          <w:rFonts w:ascii="Times New Roman" w:hAnsi="Times New Roman" w:cs="Times New Roman"/>
          <w:i/>
          <w:iCs/>
          <w:sz w:val="24"/>
          <w:szCs w:val="24"/>
          <w:lang w:bidi="ar-SA"/>
        </w:rPr>
        <w:t>Overdraft Family</w:t>
      </w:r>
      <w:r w:rsidRPr="009B5102">
        <w:rPr>
          <w:rFonts w:ascii="Times New Roman" w:hAnsi="Times New Roman" w:cs="Times New Roman"/>
          <w:sz w:val="24"/>
          <w:szCs w:val="24"/>
          <w:lang w:bidi="ar-SA"/>
        </w:rPr>
        <w:t xml:space="preserve"> (Channel 2, Israel). The British programme </w:t>
      </w:r>
      <w:r w:rsidRPr="009B5102">
        <w:rPr>
          <w:rFonts w:ascii="Times New Roman" w:hAnsi="Times New Roman" w:cs="Times New Roman"/>
          <w:i/>
          <w:iCs/>
          <w:sz w:val="24"/>
          <w:szCs w:val="24"/>
          <w:lang w:bidi="ar-SA"/>
        </w:rPr>
        <w:t>How to Look Good Naked</w:t>
      </w:r>
      <w:r w:rsidRPr="009B5102">
        <w:rPr>
          <w:rFonts w:ascii="Times New Roman" w:hAnsi="Times New Roman" w:cs="Times New Roman"/>
          <w:sz w:val="24"/>
          <w:szCs w:val="24"/>
          <w:lang w:bidi="ar-SA"/>
        </w:rPr>
        <w:t xml:space="preserve"> first aired on Channel 4 in June 2006 and became a successful prime-time programme (followed by five series to 2012). The programme was sponsored in its first two series by Dove, which had been leading, since 2004 (and at the time the programme was aired) a marketing campaign titled the </w:t>
      </w:r>
      <w:r w:rsidRPr="009B5102">
        <w:rPr>
          <w:rFonts w:ascii="Times New Roman" w:hAnsi="Times New Roman" w:cs="Times New Roman"/>
          <w:i/>
          <w:iCs/>
          <w:sz w:val="24"/>
          <w:szCs w:val="24"/>
          <w:lang w:bidi="ar-SA"/>
        </w:rPr>
        <w:t xml:space="preserve">Real Beauty </w:t>
      </w:r>
      <w:r w:rsidRPr="009B5102">
        <w:rPr>
          <w:rFonts w:ascii="Times New Roman" w:hAnsi="Times New Roman" w:cs="Times New Roman"/>
          <w:sz w:val="24"/>
          <w:szCs w:val="24"/>
          <w:lang w:bidi="ar-SA"/>
        </w:rPr>
        <w:t xml:space="preserve">campaign. The campaign aimed to widen the perception of female beauty by presenting women who clearly deviated from the strict model of the fashion and beauty industries as icons of beauty. It then linked their natural beauty to the use of </w:t>
      </w:r>
      <w:r w:rsidRPr="009B5102">
        <w:rPr>
          <w:rFonts w:ascii="Times New Roman" w:hAnsi="Times New Roman" w:cs="Times New Roman"/>
          <w:iCs/>
          <w:sz w:val="24"/>
          <w:szCs w:val="24"/>
          <w:lang w:bidi="ar-SA"/>
        </w:rPr>
        <w:t>Dove</w:t>
      </w:r>
      <w:r w:rsidRPr="009B5102">
        <w:rPr>
          <w:rFonts w:ascii="Times New Roman" w:hAnsi="Times New Roman" w:cs="Times New Roman"/>
          <w:sz w:val="24"/>
          <w:szCs w:val="24"/>
          <w:lang w:bidi="ar-SA"/>
        </w:rPr>
        <w:t xml:space="preserve"> products. The sponsorship for the programme was dedicated to the </w:t>
      </w:r>
      <w:r w:rsidRPr="009B5102">
        <w:rPr>
          <w:rFonts w:ascii="Times New Roman" w:hAnsi="Times New Roman" w:cs="Times New Roman"/>
          <w:iCs/>
          <w:sz w:val="24"/>
          <w:szCs w:val="24"/>
          <w:lang w:bidi="ar-SA"/>
        </w:rPr>
        <w:t>Dove</w:t>
      </w:r>
      <w:r w:rsidRPr="009B5102">
        <w:rPr>
          <w:rFonts w:ascii="Times New Roman" w:hAnsi="Times New Roman" w:cs="Times New Roman"/>
          <w:i/>
          <w:iCs/>
          <w:sz w:val="24"/>
          <w:szCs w:val="24"/>
          <w:lang w:bidi="ar-SA"/>
        </w:rPr>
        <w:t xml:space="preserve"> </w:t>
      </w:r>
      <w:r w:rsidRPr="009B5102">
        <w:rPr>
          <w:rFonts w:ascii="Times New Roman" w:hAnsi="Times New Roman" w:cs="Times New Roman"/>
          <w:sz w:val="24"/>
          <w:szCs w:val="24"/>
          <w:lang w:bidi="ar-SA"/>
        </w:rPr>
        <w:t>Pro</w:t>
      </w:r>
      <w:r w:rsidRPr="009B5102">
        <w:rPr>
          <w:rFonts w:ascii="Times New Roman" w:hAnsi="Times New Roman" w:cs="Times New Roman"/>
          <w:i/>
          <w:iCs/>
          <w:sz w:val="24"/>
          <w:szCs w:val="24"/>
          <w:lang w:bidi="ar-SA"/>
        </w:rPr>
        <w:t>-</w:t>
      </w:r>
      <w:r w:rsidRPr="009B5102">
        <w:rPr>
          <w:rFonts w:ascii="Times New Roman" w:hAnsi="Times New Roman" w:cs="Times New Roman"/>
          <w:sz w:val="24"/>
          <w:szCs w:val="24"/>
          <w:lang w:bidi="ar-SA"/>
        </w:rPr>
        <w:t xml:space="preserve">Age line of products for women over the age of 45. </w:t>
      </w:r>
    </w:p>
    <w:p w14:paraId="34E108D5" w14:textId="77777777"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i/>
          <w:iCs/>
          <w:sz w:val="24"/>
          <w:szCs w:val="24"/>
          <w:lang w:bidi="ar-SA"/>
        </w:rPr>
        <w:t>How to Look Good Naked (</w:t>
      </w:r>
      <w:r w:rsidRPr="009B5102">
        <w:rPr>
          <w:rFonts w:ascii="Times New Roman" w:hAnsi="Times New Roman" w:cs="Times New Roman"/>
          <w:iCs/>
          <w:sz w:val="24"/>
          <w:szCs w:val="24"/>
          <w:lang w:bidi="ar-SA"/>
        </w:rPr>
        <w:t xml:space="preserve">henceforth </w:t>
      </w:r>
      <w:r w:rsidRPr="009B5102">
        <w:rPr>
          <w:rFonts w:ascii="Times New Roman" w:hAnsi="Times New Roman" w:cs="Times New Roman"/>
          <w:i/>
          <w:iCs/>
          <w:sz w:val="24"/>
          <w:szCs w:val="24"/>
          <w:lang w:bidi="ar-SA"/>
        </w:rPr>
        <w:t xml:space="preserve">HTLGN) </w:t>
      </w:r>
      <w:r w:rsidRPr="009B5102">
        <w:rPr>
          <w:rFonts w:ascii="Times New Roman" w:hAnsi="Times New Roman" w:cs="Times New Roman"/>
          <w:sz w:val="24"/>
          <w:szCs w:val="24"/>
          <w:lang w:bidi="ar-SA"/>
        </w:rPr>
        <w:t xml:space="preserve">is a ‘makeover’ programme with a psychological twist: it deals with styling and fashion for women but carries the premise of ‘natural’ beauty, promotes the existence of many models of female beauty (instead of one ‘ideal’ model, as often shown in the media) and rejects plastic surgery or invasive treatments. Thus, each episode takes a participant through a personal journey that is not only about undergoing an external makeover – i.e. changing their clothes, haircut and makeup – but also promotes a change in self-perception through a number of exercises (such as asking the participant to compare herself to other women who stand in a line, in order to expose her to her own distorted body-image). The cathartic moment arrives at the end of each episode, after the makeover, when the participant is asked to </w:t>
      </w:r>
      <w:r w:rsidRPr="009B5102">
        <w:rPr>
          <w:rFonts w:ascii="Times New Roman" w:hAnsi="Times New Roman" w:cs="Times New Roman"/>
          <w:sz w:val="24"/>
          <w:szCs w:val="24"/>
          <w:lang w:bidi="ar-SA"/>
        </w:rPr>
        <w:lastRenderedPageBreak/>
        <w:t xml:space="preserve">show herself naked (either in an artistic nude photo on a billboard or by ‘flashing’ the audience at the end of a fashion catwalk in a crowded mall) as an act of pride and self-acceptance. The programme is presented by Gok Wan, a professional stylist, whose positive and supportive attitude towards the participants became highly recognised with the programme. </w:t>
      </w:r>
    </w:p>
    <w:p w14:paraId="381C9192" w14:textId="77777777"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The Israeli programme </w:t>
      </w:r>
      <w:r w:rsidRPr="009B5102">
        <w:rPr>
          <w:rFonts w:ascii="Times New Roman" w:hAnsi="Times New Roman" w:cs="Times New Roman"/>
          <w:i/>
          <w:iCs/>
          <w:sz w:val="24"/>
          <w:szCs w:val="24"/>
          <w:lang w:bidi="ar-SA"/>
        </w:rPr>
        <w:t>Overdraft Family</w:t>
      </w:r>
      <w:r w:rsidRPr="009B5102">
        <w:rPr>
          <w:rFonts w:ascii="Times New Roman" w:hAnsi="Times New Roman" w:cs="Times New Roman"/>
          <w:sz w:val="24"/>
          <w:szCs w:val="24"/>
          <w:lang w:bidi="ar-SA"/>
        </w:rPr>
        <w:t xml:space="preserve"> (</w:t>
      </w:r>
      <w:r w:rsidRPr="009B5102">
        <w:rPr>
          <w:rFonts w:ascii="Times New Roman" w:hAnsi="Times New Roman" w:cs="Times New Roman"/>
          <w:i/>
          <w:iCs/>
          <w:sz w:val="24"/>
          <w:szCs w:val="24"/>
          <w:lang w:bidi="ar-SA"/>
        </w:rPr>
        <w:t>Mishpacha Choreget</w:t>
      </w:r>
      <w:r w:rsidRPr="009B5102">
        <w:rPr>
          <w:rFonts w:ascii="Times New Roman" w:hAnsi="Times New Roman" w:cs="Times New Roman"/>
          <w:sz w:val="24"/>
          <w:szCs w:val="24"/>
          <w:lang w:bidi="ar-SA"/>
        </w:rPr>
        <w:t>) was first aired on Channel 2 in November 2006, became a successful prime-time programme and had five more series. The programme was sponsored by Bank Hapo’alim in its first four series. The food chain Shufersal-Deal joined as another main sponsor during the fourth and fifth series. The sponsorship of Bank Hapo’alim was later replaced by Bank Discount. Some other advertisers were later integrated into the programme (for example Osem, a big Israeli food brand, and Bezeq, a leading telecommunications company) but these were not formally announced as sponsors. These two sponsorship deals - Bank Hapo'alim and Shufersal-Deal - will be the focus of the empirical analysis of the Israeli case study. It should be mentioned that the production was fined twice by the Israeli regulator</w:t>
      </w:r>
      <w:r w:rsidRPr="009B5102">
        <w:rPr>
          <w:rFonts w:ascii="Times New Roman" w:hAnsi="Times New Roman" w:cs="Times New Roman"/>
          <w:sz w:val="24"/>
          <w:szCs w:val="24"/>
        </w:rPr>
        <w:t xml:space="preserve"> (The Second Authority for Television and Radio) for prohibited commercial references</w:t>
      </w:r>
      <w:r w:rsidRPr="009B5102">
        <w:rPr>
          <w:rFonts w:ascii="Times New Roman" w:hAnsi="Times New Roman" w:cs="Times New Roman"/>
          <w:sz w:val="24"/>
          <w:szCs w:val="24"/>
          <w:lang w:bidi="ar-SA"/>
        </w:rPr>
        <w:t xml:space="preserve"> and had to ‘pay’ with an overall withdrawal of 23 minutes of commercial airtime. This happened in subsequent series, which are not included in the empirical data here. In 2011</w:t>
      </w:r>
      <w:r w:rsidRPr="009B5102">
        <w:rPr>
          <w:rFonts w:ascii="Times New Roman" w:hAnsi="Times New Roman" w:cs="Times New Roman"/>
          <w:i/>
          <w:iCs/>
          <w:sz w:val="24"/>
          <w:szCs w:val="24"/>
          <w:lang w:bidi="ar-SA"/>
        </w:rPr>
        <w:t xml:space="preserve"> Overdraft Family</w:t>
      </w:r>
      <w:r w:rsidRPr="009B5102">
        <w:rPr>
          <w:rFonts w:ascii="Times New Roman" w:hAnsi="Times New Roman" w:cs="Times New Roman"/>
          <w:sz w:val="24"/>
          <w:szCs w:val="24"/>
          <w:lang w:bidi="ar-SA"/>
        </w:rPr>
        <w:t xml:space="preserve"> was fined following prohibited references to Shufersal-Deal and Bank Discount in six different episodes, and once again in 2012, for prohibited references to Osem and Bezeq </w:t>
      </w:r>
      <w:r w:rsidRPr="009B5102">
        <w:rPr>
          <w:rFonts w:ascii="Times New Roman" w:hAnsi="Times New Roman" w:cs="Times New Roman"/>
          <w:noProof/>
          <w:sz w:val="24"/>
          <w:szCs w:val="24"/>
          <w:lang w:bidi="ar-SA"/>
        </w:rPr>
        <w:t>(The Second Authority for Television and Radio, 2011, 2012a, 2012b)</w:t>
      </w:r>
      <w:r w:rsidRPr="009B5102">
        <w:rPr>
          <w:rFonts w:ascii="Times New Roman" w:hAnsi="Times New Roman" w:cs="Times New Roman"/>
          <w:sz w:val="24"/>
          <w:szCs w:val="24"/>
          <w:lang w:bidi="ar-SA"/>
        </w:rPr>
        <w:t xml:space="preserve">. </w:t>
      </w:r>
    </w:p>
    <w:p w14:paraId="3B095EBD" w14:textId="77777777"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i/>
          <w:iCs/>
          <w:sz w:val="24"/>
          <w:szCs w:val="24"/>
          <w:lang w:bidi="ar-SA"/>
        </w:rPr>
        <w:t>Overdraft Family</w:t>
      </w:r>
      <w:r w:rsidRPr="009B5102">
        <w:rPr>
          <w:rFonts w:ascii="Times New Roman" w:hAnsi="Times New Roman" w:cs="Times New Roman"/>
          <w:sz w:val="24"/>
          <w:szCs w:val="24"/>
          <w:lang w:bidi="ar-SA"/>
        </w:rPr>
        <w:t xml:space="preserve"> is a programme about personal finance, family businesses and small businesses and is similarly based on some underlying psychological assumptions. It presents difficulties in managing money as an expression of deeper emotional issues, either related to the individual, to the couple’s relationship or to broader family interactions. In each episode a family that has run into financial difficulties goes through a process of change. This begins with the family acknowledging the reality of its financial situation and its main problems with managing money, which is then followed by a series of tasks and exercises that aim to reveal the deeper psychological layers that have led the family to its current situation. The programme ends with a ‘diagnosis’ of the problem and the behavioural changes needed, together with a practical solution - a concrete and dramatic change (moving flats, selling the business, entering into a new partnership and so forth) - which serve as a cathartic moment, followed by a forecast of an </w:t>
      </w:r>
      <w:r w:rsidRPr="009B5102">
        <w:rPr>
          <w:rFonts w:ascii="Times New Roman" w:hAnsi="Times New Roman" w:cs="Times New Roman"/>
          <w:sz w:val="24"/>
          <w:szCs w:val="24"/>
          <w:lang w:bidi="ar-SA"/>
        </w:rPr>
        <w:lastRenderedPageBreak/>
        <w:t xml:space="preserve">optimistic future, if the changes that were suggested are maintained. The presenter, Alon Gal, is known for his direct and authoritative attitude towards the participants, and became highly identified with the format. </w:t>
      </w:r>
    </w:p>
    <w:p w14:paraId="7184442F" w14:textId="77777777" w:rsidR="00497B7D" w:rsidRPr="009B5102" w:rsidRDefault="00497B7D" w:rsidP="00346CA5">
      <w:pPr>
        <w:spacing w:line="360" w:lineRule="auto"/>
        <w:jc w:val="center"/>
        <w:rPr>
          <w:rFonts w:ascii="Times New Roman" w:hAnsi="Times New Roman" w:cs="Times New Roman"/>
          <w:b/>
          <w:bCs/>
          <w:i/>
          <w:iCs/>
          <w:sz w:val="24"/>
          <w:szCs w:val="24"/>
          <w:lang w:bidi="ar-SA"/>
        </w:rPr>
      </w:pPr>
      <w:r w:rsidRPr="009B5102">
        <w:rPr>
          <w:rFonts w:ascii="Times New Roman" w:hAnsi="Times New Roman" w:cs="Times New Roman"/>
          <w:b/>
          <w:bCs/>
          <w:i/>
          <w:iCs/>
          <w:sz w:val="24"/>
          <w:szCs w:val="24"/>
          <w:lang w:bidi="ar-SA"/>
        </w:rPr>
        <w:t xml:space="preserve"> </w:t>
      </w:r>
    </w:p>
    <w:p w14:paraId="7A38C2DF" w14:textId="77777777" w:rsidR="00497B7D" w:rsidRPr="009B5102" w:rsidRDefault="00497B7D" w:rsidP="00346CA5">
      <w:pPr>
        <w:pStyle w:val="Heading2"/>
      </w:pPr>
      <w:bookmarkStart w:id="7" w:name="_Toc445202666"/>
      <w:r w:rsidRPr="008D4CE1">
        <w:rPr>
          <w:i/>
          <w:iCs/>
        </w:rPr>
        <w:t>How to Look Good Naked</w:t>
      </w:r>
      <w:r w:rsidRPr="009B5102">
        <w:t xml:space="preserve"> and Dove</w:t>
      </w:r>
      <w:bookmarkEnd w:id="7"/>
    </w:p>
    <w:p w14:paraId="6E98D254" w14:textId="77777777" w:rsidR="00497B7D" w:rsidRPr="009B5102" w:rsidRDefault="00497B7D" w:rsidP="00346CA5">
      <w:pPr>
        <w:pStyle w:val="Heading3"/>
        <w:rPr>
          <w:lang w:bidi="ar-SA"/>
        </w:rPr>
      </w:pPr>
      <w:bookmarkStart w:id="8" w:name="_Toc445202667"/>
      <w:r w:rsidRPr="009B5102">
        <w:rPr>
          <w:lang w:bidi="ar-SA"/>
        </w:rPr>
        <w:t xml:space="preserve">Dove’s </w:t>
      </w:r>
      <w:r w:rsidRPr="009B5102">
        <w:rPr>
          <w:i/>
          <w:iCs/>
          <w:lang w:bidi="ar-SA"/>
        </w:rPr>
        <w:t xml:space="preserve">Real Beauty </w:t>
      </w:r>
      <w:r w:rsidRPr="009B5102">
        <w:rPr>
          <w:lang w:bidi="ar-SA"/>
        </w:rPr>
        <w:t>Campaign</w:t>
      </w:r>
      <w:bookmarkEnd w:id="8"/>
    </w:p>
    <w:p w14:paraId="77C9E150" w14:textId="46FC1359"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w:t>
      </w:r>
      <w:r w:rsidRPr="009B5102">
        <w:rPr>
          <w:rFonts w:ascii="Times New Roman" w:hAnsi="Times New Roman" w:cs="Times New Roman"/>
          <w:iCs/>
          <w:sz w:val="24"/>
          <w:szCs w:val="24"/>
        </w:rPr>
        <w:t>Dove</w:t>
      </w:r>
      <w:r w:rsidRPr="009B5102">
        <w:rPr>
          <w:rFonts w:ascii="Times New Roman" w:hAnsi="Times New Roman" w:cs="Times New Roman"/>
          <w:sz w:val="24"/>
          <w:szCs w:val="24"/>
        </w:rPr>
        <w:t xml:space="preserve"> </w:t>
      </w:r>
      <w:r w:rsidRPr="009B5102">
        <w:rPr>
          <w:rFonts w:ascii="Times New Roman" w:hAnsi="Times New Roman" w:cs="Times New Roman"/>
          <w:i/>
          <w:iCs/>
          <w:sz w:val="24"/>
          <w:szCs w:val="24"/>
        </w:rPr>
        <w:t>Real Beauty</w:t>
      </w:r>
      <w:r w:rsidRPr="009B5102">
        <w:rPr>
          <w:rFonts w:ascii="Times New Roman" w:hAnsi="Times New Roman" w:cs="Times New Roman"/>
          <w:sz w:val="24"/>
          <w:szCs w:val="24"/>
        </w:rPr>
        <w:t xml:space="preserve"> campaign was a worldwide marketing campaign launched by the Unilever global corporation</w:t>
      </w:r>
      <w:r w:rsidRPr="00B93D25">
        <w:rPr>
          <w:rStyle w:val="FootnoteReference"/>
        </w:rPr>
        <w:footnoteReference w:id="13"/>
      </w:r>
      <w:r w:rsidRPr="009B5102">
        <w:rPr>
          <w:rFonts w:ascii="Times New Roman" w:hAnsi="Times New Roman" w:cs="Times New Roman"/>
          <w:sz w:val="24"/>
          <w:szCs w:val="24"/>
        </w:rPr>
        <w:t xml:space="preserve"> in 2004. Unilever’s decision to start an international campaign for </w:t>
      </w:r>
      <w:r w:rsidRPr="009B5102">
        <w:rPr>
          <w:rFonts w:ascii="Times New Roman" w:hAnsi="Times New Roman" w:cs="Times New Roman"/>
          <w:iCs/>
          <w:sz w:val="24"/>
          <w:szCs w:val="24"/>
        </w:rPr>
        <w:t>Dove</w:t>
      </w:r>
      <w:r w:rsidRPr="009B5102">
        <w:rPr>
          <w:rFonts w:ascii="Times New Roman" w:hAnsi="Times New Roman" w:cs="Times New Roman"/>
          <w:sz w:val="24"/>
          <w:szCs w:val="24"/>
        </w:rPr>
        <w:t xml:space="preserve"> in the mid-2000s was an outcome of a twofold change which began in the 1990s – the expansion of the brand across countries and across product categories. First, </w:t>
      </w:r>
      <w:r w:rsidRPr="009B5102">
        <w:rPr>
          <w:rFonts w:ascii="Times New Roman" w:hAnsi="Times New Roman" w:cs="Times New Roman"/>
          <w:iCs/>
          <w:sz w:val="24"/>
          <w:szCs w:val="24"/>
        </w:rPr>
        <w:t>Dove</w:t>
      </w:r>
      <w:r w:rsidRPr="009B5102">
        <w:rPr>
          <w:rFonts w:ascii="Times New Roman" w:hAnsi="Times New Roman" w:cs="Times New Roman"/>
          <w:sz w:val="24"/>
          <w:szCs w:val="24"/>
        </w:rPr>
        <w:t xml:space="preserve"> shifted from being a primarily American brand to being a global one. Later, it expanded its lines of products and shifted from being a soap brand to </w:t>
      </w:r>
      <w:r w:rsidR="00181C52" w:rsidRPr="009B5102">
        <w:rPr>
          <w:rFonts w:ascii="Times New Roman" w:hAnsi="Times New Roman" w:cs="Times New Roman"/>
          <w:sz w:val="24"/>
          <w:szCs w:val="24"/>
        </w:rPr>
        <w:t>being a</w:t>
      </w:r>
      <w:r w:rsidRPr="009B5102">
        <w:rPr>
          <w:rFonts w:ascii="Times New Roman" w:hAnsi="Times New Roman" w:cs="Times New Roman"/>
          <w:sz w:val="24"/>
          <w:szCs w:val="24"/>
        </w:rPr>
        <w:t xml:space="preserve"> ‘personal care’ brand (i.e. dealing with a wider range of toiletries). Originally, Dove soap was marketed only in America, Canada and Australia. During the years 1990-1994, </w:t>
      </w:r>
      <w:r w:rsidRPr="009B5102">
        <w:rPr>
          <w:rFonts w:ascii="Times New Roman" w:hAnsi="Times New Roman" w:cs="Times New Roman"/>
          <w:iCs/>
          <w:sz w:val="24"/>
          <w:szCs w:val="24"/>
        </w:rPr>
        <w:t>Dove</w:t>
      </w:r>
      <w:r w:rsidRPr="009B5102">
        <w:rPr>
          <w:rFonts w:ascii="Times New Roman" w:hAnsi="Times New Roman" w:cs="Times New Roman"/>
          <w:sz w:val="24"/>
          <w:szCs w:val="24"/>
        </w:rPr>
        <w:t xml:space="preserve"> was launched in 88 countries, the UK being one of them.</w:t>
      </w:r>
      <w:r w:rsidRPr="009B5102">
        <w:rPr>
          <w:rFonts w:ascii="Times New Roman" w:hAnsi="Times New Roman" w:cs="Times New Roman"/>
          <w:i/>
          <w:iCs/>
          <w:sz w:val="24"/>
          <w:szCs w:val="24"/>
        </w:rPr>
        <w:t xml:space="preserve"> </w:t>
      </w:r>
      <w:r w:rsidRPr="009B5102">
        <w:rPr>
          <w:rFonts w:ascii="Times New Roman" w:hAnsi="Times New Roman" w:cs="Times New Roman"/>
          <w:sz w:val="24"/>
          <w:szCs w:val="24"/>
        </w:rPr>
        <w:t xml:space="preserve">In those years the brand also started to expand its line of soap products and launched body washes and other products. In the early 2000s the brand further expanded its line of products and started producing antiperspirant deodorant and later also a variety of hair products </w:t>
      </w:r>
      <w:r w:rsidRPr="009B5102">
        <w:rPr>
          <w:rFonts w:ascii="Times New Roman" w:hAnsi="Times New Roman" w:cs="Times New Roman"/>
          <w:noProof/>
          <w:sz w:val="24"/>
          <w:szCs w:val="24"/>
        </w:rPr>
        <w:t>(White, 2009)</w:t>
      </w:r>
      <w:r w:rsidRPr="009B5102">
        <w:rPr>
          <w:rFonts w:ascii="Times New Roman" w:hAnsi="Times New Roman" w:cs="Times New Roman"/>
          <w:sz w:val="24"/>
          <w:szCs w:val="24"/>
        </w:rPr>
        <w:t xml:space="preserve">.  </w:t>
      </w:r>
    </w:p>
    <w:p w14:paraId="16D5C38F" w14:textId="77777777" w:rsidR="00497B7D" w:rsidRPr="009B5102" w:rsidRDefault="00497B7D" w:rsidP="00346CA5">
      <w:pPr>
        <w:bidi/>
        <w:spacing w:line="360" w:lineRule="auto"/>
        <w:jc w:val="right"/>
        <w:rPr>
          <w:rFonts w:ascii="Times New Roman" w:hAnsi="Times New Roman" w:cs="Times New Roman"/>
          <w:sz w:val="24"/>
          <w:szCs w:val="24"/>
        </w:rPr>
      </w:pPr>
      <w:r w:rsidRPr="009B5102">
        <w:rPr>
          <w:rFonts w:ascii="Times New Roman" w:hAnsi="Times New Roman" w:cs="Times New Roman"/>
          <w:sz w:val="24"/>
          <w:szCs w:val="24"/>
        </w:rPr>
        <w:t xml:space="preserve">Alessandro Manfredi, global business partner for Dove at Unilever, explained the rationale behind the </w:t>
      </w:r>
      <w:r w:rsidRPr="009B5102">
        <w:rPr>
          <w:rFonts w:ascii="Times New Roman" w:hAnsi="Times New Roman" w:cs="Times New Roman"/>
          <w:i/>
          <w:iCs/>
          <w:sz w:val="24"/>
          <w:szCs w:val="24"/>
        </w:rPr>
        <w:t>Real Beauty</w:t>
      </w:r>
      <w:r w:rsidRPr="009B5102">
        <w:rPr>
          <w:rFonts w:ascii="Times New Roman" w:hAnsi="Times New Roman" w:cs="Times New Roman"/>
          <w:sz w:val="24"/>
          <w:szCs w:val="24"/>
        </w:rPr>
        <w:t xml:space="preserve"> campaign</w:t>
      </w:r>
      <w:r w:rsidRPr="00B93D25">
        <w:rPr>
          <w:rStyle w:val="FootnoteReference"/>
        </w:rPr>
        <w:footnoteReference w:id="14"/>
      </w:r>
      <w:r w:rsidRPr="009B5102">
        <w:rPr>
          <w:rFonts w:ascii="Times New Roman" w:hAnsi="Times New Roman" w:cs="Times New Roman"/>
          <w:sz w:val="24"/>
          <w:szCs w:val="24"/>
        </w:rPr>
        <w:t xml:space="preserve">:  </w:t>
      </w:r>
    </w:p>
    <w:p w14:paraId="21BC046A"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The brand was extremely successful when we started the campaign, and I'm talking about the period of the end of 2001, beginning of 2002. But we realised that the success was due to the love of consumers for the </w:t>
      </w:r>
      <w:r w:rsidRPr="009B5102">
        <w:rPr>
          <w:rFonts w:ascii="Times New Roman" w:hAnsi="Times New Roman" w:cs="Times New Roman"/>
          <w:i/>
          <w:sz w:val="24"/>
          <w:szCs w:val="24"/>
        </w:rPr>
        <w:t>product</w:t>
      </w:r>
      <w:r w:rsidRPr="009B5102">
        <w:rPr>
          <w:rFonts w:ascii="Times New Roman" w:hAnsi="Times New Roman" w:cs="Times New Roman"/>
          <w:sz w:val="24"/>
          <w:szCs w:val="24"/>
        </w:rPr>
        <w:t xml:space="preserve">, and that the relationship of the consumers with the </w:t>
      </w:r>
      <w:r w:rsidRPr="009B5102">
        <w:rPr>
          <w:rFonts w:ascii="Times New Roman" w:hAnsi="Times New Roman" w:cs="Times New Roman"/>
          <w:i/>
          <w:sz w:val="24"/>
          <w:szCs w:val="24"/>
        </w:rPr>
        <w:t>brand</w:t>
      </w:r>
      <w:r w:rsidRPr="009B5102">
        <w:rPr>
          <w:rFonts w:ascii="Times New Roman" w:hAnsi="Times New Roman" w:cs="Times New Roman"/>
          <w:sz w:val="24"/>
          <w:szCs w:val="24"/>
        </w:rPr>
        <w:t xml:space="preserve"> was nonexistent, basically. There was a second problem that </w:t>
      </w:r>
      <w:r w:rsidRPr="009B5102">
        <w:rPr>
          <w:rFonts w:ascii="Times New Roman" w:hAnsi="Times New Roman" w:cs="Times New Roman"/>
          <w:sz w:val="24"/>
          <w:szCs w:val="24"/>
        </w:rPr>
        <w:lastRenderedPageBreak/>
        <w:t xml:space="preserve">increasingly the brand was starting to look and feel different amongst the four biggest regions. ...Also keeping an eye to the fact that the brand was moving from being a soap brand, as most of the business was in soap, and to start entering categories like face, like hair, that were really beauty care </w:t>
      </w:r>
      <w:r w:rsidRPr="009B5102">
        <w:rPr>
          <w:rFonts w:ascii="Times New Roman" w:hAnsi="Times New Roman" w:cs="Times New Roman"/>
          <w:noProof/>
          <w:sz w:val="24"/>
          <w:szCs w:val="24"/>
        </w:rPr>
        <w:t>(Fielding et al., 2008)</w:t>
      </w:r>
      <w:r w:rsidRPr="009B5102">
        <w:rPr>
          <w:rFonts w:ascii="Times New Roman" w:hAnsi="Times New Roman" w:cs="Times New Roman"/>
          <w:sz w:val="24"/>
          <w:szCs w:val="24"/>
        </w:rPr>
        <w:t>.</w:t>
      </w:r>
    </w:p>
    <w:p w14:paraId="45022A94"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As both Mel White,</w:t>
      </w:r>
      <w:r w:rsidRPr="009B5102">
        <w:rPr>
          <w:rFonts w:ascii="Times New Roman" w:hAnsi="Times New Roman" w:cs="Times New Roman"/>
          <w:noProof/>
          <w:sz w:val="24"/>
          <w:szCs w:val="24"/>
          <w:lang w:bidi="ar-SA"/>
        </w:rPr>
        <w:t xml:space="preserve"> brand partner at the Ogilvy &amp; Mather Creative Agency in London who had a leading role in the formation of the campaign</w:t>
      </w:r>
      <w:r w:rsidRPr="009B5102">
        <w:rPr>
          <w:rFonts w:ascii="Times New Roman" w:hAnsi="Times New Roman" w:cs="Times New Roman"/>
          <w:sz w:val="24"/>
          <w:szCs w:val="24"/>
        </w:rPr>
        <w:t xml:space="preserve">, and Manfredi explained, the creative team wanted on one hand, to continue the soap’s original advertising line, which was based on women’s testimonials describing </w:t>
      </w:r>
      <w:r w:rsidRPr="009B5102">
        <w:rPr>
          <w:rFonts w:ascii="Times New Roman" w:hAnsi="Times New Roman" w:cs="Times New Roman"/>
          <w:iCs/>
          <w:sz w:val="24"/>
          <w:szCs w:val="24"/>
        </w:rPr>
        <w:t>Dove</w:t>
      </w:r>
      <w:r w:rsidRPr="009B5102">
        <w:rPr>
          <w:rFonts w:ascii="Times New Roman" w:hAnsi="Times New Roman" w:cs="Times New Roman"/>
          <w:sz w:val="24"/>
          <w:szCs w:val="24"/>
        </w:rPr>
        <w:t>’s unique functional quality of not drying the skin (because it contained 25% moisturising cream)</w:t>
      </w:r>
      <w:r w:rsidRPr="00B93D25">
        <w:rPr>
          <w:rStyle w:val="FootnoteReference"/>
        </w:rPr>
        <w:footnoteReference w:id="15"/>
      </w:r>
      <w:r w:rsidRPr="009B5102">
        <w:rPr>
          <w:rFonts w:ascii="Times New Roman" w:hAnsi="Times New Roman" w:cs="Times New Roman"/>
          <w:sz w:val="24"/>
          <w:szCs w:val="24"/>
        </w:rPr>
        <w:t xml:space="preserve">, and on the other, to broaden that functional message into a distinctive ‘world view’ (i.e. a set of values for the entire brand) which could target an audience that would potentially buy a range of products by the same brand </w:t>
      </w:r>
      <w:r w:rsidRPr="009B5102">
        <w:rPr>
          <w:rFonts w:ascii="Times New Roman" w:hAnsi="Times New Roman" w:cs="Times New Roman"/>
          <w:noProof/>
          <w:sz w:val="24"/>
          <w:szCs w:val="24"/>
        </w:rPr>
        <w:t>(Fielding et al., 2008)</w:t>
      </w:r>
      <w:r w:rsidRPr="009B5102">
        <w:rPr>
          <w:rFonts w:ascii="Times New Roman" w:hAnsi="Times New Roman" w:cs="Times New Roman"/>
          <w:sz w:val="24"/>
          <w:szCs w:val="24"/>
        </w:rPr>
        <w:t>.</w:t>
      </w:r>
    </w:p>
    <w:p w14:paraId="7F2841F5"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The shift from marketing a certain product by its functional qualities to targeting an audience on the basis of linking the brand to certain ‘values’, perceptions and lifestyles, is typical of branding processes</w:t>
      </w:r>
      <w:r>
        <w:rPr>
          <w:rFonts w:ascii="Times New Roman" w:hAnsi="Times New Roman" w:cs="Times New Roman"/>
          <w:sz w:val="24"/>
          <w:szCs w:val="24"/>
        </w:rPr>
        <w:t xml:space="preserve"> (Arvidsson, 2006; Moor, 2007)</w:t>
      </w:r>
      <w:r w:rsidRPr="009B5102">
        <w:rPr>
          <w:rFonts w:ascii="Times New Roman" w:hAnsi="Times New Roman" w:cs="Times New Roman"/>
          <w:sz w:val="24"/>
          <w:szCs w:val="24"/>
        </w:rPr>
        <w:t xml:space="preserve">. This kind of ‘matching’ was made possible, among other reasons, due to the development of information technology for marketing purposes </w:t>
      </w:r>
      <w:r w:rsidRPr="009B5102">
        <w:rPr>
          <w:rFonts w:ascii="Times New Roman" w:hAnsi="Times New Roman" w:cs="Times New Roman"/>
          <w:noProof/>
          <w:sz w:val="24"/>
          <w:szCs w:val="24"/>
        </w:rPr>
        <w:t>(Turow, 1997)</w:t>
      </w:r>
      <w:r w:rsidRPr="009B5102">
        <w:rPr>
          <w:rFonts w:ascii="Times New Roman" w:hAnsi="Times New Roman" w:cs="Times New Roman"/>
          <w:sz w:val="24"/>
          <w:szCs w:val="24"/>
        </w:rPr>
        <w:t xml:space="preserve">. White describes the connection between technologies for segmentation of audiences and the search for a unique agenda for the brand:  </w:t>
      </w:r>
    </w:p>
    <w:p w14:paraId="46775E2C"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With technology and information today, there is much more information available. Not just about what type of people live where, how many children they have and their disposable income, but much more information about how do they behave, what do they like, what are their passions. So one can now define much more precisely than one could do 15 years ago, who are the people that are going to be most interested in your brand… So, for example, there are some women for </w:t>
      </w:r>
      <w:r w:rsidRPr="009B5102">
        <w:rPr>
          <w:rFonts w:ascii="Times New Roman" w:hAnsi="Times New Roman" w:cs="Times New Roman"/>
          <w:sz w:val="24"/>
          <w:szCs w:val="24"/>
        </w:rPr>
        <w:lastRenderedPageBreak/>
        <w:t xml:space="preserve">whom L'Oréal's message, “Because you're worth it” and all these pictures of absolute perfect beauty, is very appealing. Those will not be the same women for whom Dove's campaign for Real Beauty – “Do the most you can, and feel good about your own sense of beauty” would appeal… So you can segment within the beauty category women based on their attitudes towards beauty (White, 2009).  </w:t>
      </w:r>
    </w:p>
    <w:p w14:paraId="6C6495B9" w14:textId="5A1BBF7B"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search for a unique point of view on female beauty led the creative team in early 2003 to approach the feminist writer and psychoanalyst Susie Orbach, who gained recognition when she published in 1978 the </w:t>
      </w:r>
      <w:r w:rsidR="00181C52" w:rsidRPr="009B5102">
        <w:rPr>
          <w:rFonts w:ascii="Times New Roman" w:hAnsi="Times New Roman" w:cs="Times New Roman"/>
          <w:sz w:val="24"/>
          <w:szCs w:val="24"/>
        </w:rPr>
        <w:t>book Fat</w:t>
      </w:r>
      <w:r w:rsidRPr="009B5102">
        <w:rPr>
          <w:rFonts w:ascii="Times New Roman" w:hAnsi="Times New Roman" w:cs="Times New Roman"/>
          <w:i/>
          <w:iCs/>
          <w:sz w:val="24"/>
          <w:szCs w:val="24"/>
        </w:rPr>
        <w:t xml:space="preserve"> is a Feminist Issu</w:t>
      </w:r>
      <w:r w:rsidRPr="009B5102">
        <w:rPr>
          <w:rFonts w:ascii="Times New Roman" w:hAnsi="Times New Roman" w:cs="Times New Roman"/>
          <w:sz w:val="24"/>
          <w:szCs w:val="24"/>
        </w:rPr>
        <w:t xml:space="preserve">e </w:t>
      </w:r>
      <w:r w:rsidRPr="009B5102">
        <w:rPr>
          <w:rFonts w:ascii="Times New Roman" w:hAnsi="Times New Roman" w:cs="Times New Roman"/>
          <w:noProof/>
          <w:sz w:val="24"/>
          <w:szCs w:val="24"/>
        </w:rPr>
        <w:t>(2006)</w:t>
      </w:r>
      <w:r w:rsidRPr="009B5102">
        <w:rPr>
          <w:rFonts w:ascii="Times New Roman" w:hAnsi="Times New Roman" w:cs="Times New Roman"/>
          <w:sz w:val="24"/>
          <w:szCs w:val="24"/>
        </w:rPr>
        <w:t xml:space="preserve">, which was pioneering in raising the issue of eating disorders and the ways in which women's relationship to their bodies and to food was socially constructed. They asked her to join as a consultant for a campaign idea they were trying to develop – making a change in the way beauty advertising was presenting female beauty </w:t>
      </w:r>
      <w:r w:rsidRPr="002A0363">
        <w:rPr>
          <w:rFonts w:ascii="Times New Roman" w:hAnsi="Times New Roman" w:cs="Times New Roman"/>
          <w:noProof/>
          <w:sz w:val="24"/>
          <w:szCs w:val="24"/>
        </w:rPr>
        <w:t>(Orbach, 2005, 17th of June)</w:t>
      </w:r>
      <w:r w:rsidRPr="002A0363">
        <w:rPr>
          <w:rFonts w:ascii="Times New Roman" w:hAnsi="Times New Roman" w:cs="Times New Roman"/>
          <w:sz w:val="24"/>
          <w:szCs w:val="24"/>
        </w:rPr>
        <w:t>.</w:t>
      </w:r>
      <w:r w:rsidRPr="009B5102">
        <w:rPr>
          <w:rFonts w:ascii="Times New Roman" w:hAnsi="Times New Roman" w:cs="Times New Roman"/>
          <w:sz w:val="24"/>
          <w:szCs w:val="24"/>
        </w:rPr>
        <w:t xml:space="preserve"> The alliance between a writer with feminist concerns and a brand with commercial goals illuminates how branding processes may blur the line between Habermas’ notion of a communicative action and strategic one. While Orbach is an ‘actor’ in the public sphere and her book was an attempt to influence public discourse on beauty and women’s self-perception, Dove’s use of her agenda was instrumental, in order to reach a certain audience by creating a differentiating agenda for a range of products which are marketed under the same brand name. By adopting Orbach’s point of view, the two actions have seemingly become synonymous, that is, </w:t>
      </w:r>
      <w:r w:rsidRPr="009B5102">
        <w:rPr>
          <w:rFonts w:ascii="Times New Roman" w:hAnsi="Times New Roman" w:cs="Times New Roman"/>
          <w:iCs/>
          <w:sz w:val="24"/>
          <w:szCs w:val="24"/>
        </w:rPr>
        <w:t>Dove</w:t>
      </w:r>
      <w:r w:rsidRPr="009B5102">
        <w:rPr>
          <w:rFonts w:ascii="Times New Roman" w:hAnsi="Times New Roman" w:cs="Times New Roman"/>
          <w:sz w:val="24"/>
          <w:szCs w:val="24"/>
        </w:rPr>
        <w:t xml:space="preserve"> and Orbach are now both ‘actors’ in the public sphere, and both come across as involved in taking a stand on a substantive feminist issue. </w:t>
      </w:r>
    </w:p>
    <w:p w14:paraId="69D0CEF1"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Moreover, as Orbach herself acknowledged, she realised that it was only when her agenda was adopted for commercial purposes that her message could be amplified as she had always wished. Until that time, she had been frustrated by her failure to recruit powerful institutions to push her feminist agenda forward. This was despite the public recognition she gained over the years for her writing and activism. She described these efforts thus:</w:t>
      </w:r>
    </w:p>
    <w:p w14:paraId="0A9FF3C2"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I had spent [the] previous five or ten years trying to get the government to do stuff, and got nowhere. And I could see that the whole situation was global, as opposed to just local. In fact, I had gone to big </w:t>
      </w:r>
      <w:r w:rsidRPr="009B5102">
        <w:rPr>
          <w:rFonts w:ascii="Times New Roman" w:hAnsi="Times New Roman" w:cs="Times New Roman"/>
          <w:sz w:val="24"/>
          <w:szCs w:val="24"/>
        </w:rPr>
        <w:lastRenderedPageBreak/>
        <w:t xml:space="preserve">advertising agencies and said – “Come on, you've got to do something about the representation of girls and women and food” </w:t>
      </w:r>
      <w:r w:rsidRPr="009B5102">
        <w:rPr>
          <w:rFonts w:ascii="Times New Roman" w:hAnsi="Times New Roman" w:cs="Times New Roman"/>
          <w:noProof/>
          <w:sz w:val="24"/>
          <w:szCs w:val="24"/>
        </w:rPr>
        <w:t>(Orbach, 2009)</w:t>
      </w:r>
      <w:r w:rsidRPr="009B5102">
        <w:rPr>
          <w:rFonts w:ascii="Times New Roman" w:hAnsi="Times New Roman" w:cs="Times New Roman"/>
          <w:sz w:val="24"/>
          <w:szCs w:val="24"/>
        </w:rPr>
        <w:t>.</w:t>
      </w:r>
    </w:p>
    <w:p w14:paraId="355704C9"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Orbach was well aware of the instrumental use of her work: the beauty industry which she was criticising for victimising women and creating a relationship of abuse towards them</w:t>
      </w:r>
      <w:r w:rsidRPr="00B93D25">
        <w:rPr>
          <w:rStyle w:val="FootnoteReference"/>
        </w:rPr>
        <w:footnoteReference w:id="16"/>
      </w:r>
      <w:r w:rsidRPr="009B5102">
        <w:rPr>
          <w:rFonts w:ascii="Times New Roman" w:hAnsi="Times New Roman" w:cs="Times New Roman"/>
          <w:sz w:val="24"/>
          <w:szCs w:val="24"/>
        </w:rPr>
        <w:t xml:space="preserve">, was now using her feminist critique for the same initial purpose - selling more products: </w:t>
      </w:r>
    </w:p>
    <w:p w14:paraId="665F6C68"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So, am I naïve? No, I don't think I am. Politically, did I care whether they sold more soaps or not? I thought, in order for them to be successful, they have to sell more soap! But there is a difference, as you well know… between selling products and selling a brand… most of the way we were talking about it was not linked to the product, it was linked to the positioning [of] the brand </w:t>
      </w:r>
      <w:r w:rsidRPr="009B5102">
        <w:rPr>
          <w:rFonts w:ascii="Times New Roman" w:hAnsi="Times New Roman" w:cs="Times New Roman"/>
          <w:noProof/>
          <w:sz w:val="24"/>
          <w:szCs w:val="24"/>
        </w:rPr>
        <w:t>(Orbach, 2009)</w:t>
      </w:r>
      <w:r w:rsidRPr="009B5102">
        <w:rPr>
          <w:rFonts w:ascii="Times New Roman" w:hAnsi="Times New Roman" w:cs="Times New Roman"/>
          <w:sz w:val="24"/>
          <w:szCs w:val="24"/>
        </w:rPr>
        <w:t xml:space="preserve">. </w:t>
      </w:r>
    </w:p>
    <w:p w14:paraId="75CEC65E" w14:textId="77777777" w:rsidR="00497B7D" w:rsidRPr="009B5102" w:rsidRDefault="00497B7D" w:rsidP="00346CA5">
      <w:pPr>
        <w:tabs>
          <w:tab w:val="right" w:pos="6804"/>
        </w:tabs>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By differentiating between advertising of a product and branding, Orbach practically suggested that branding is closer to her own activity which is “aspirational, ideological” and is allegedly not directly connected to consumption. As I suggested above, the belief of both sides that they are sharing similar goals and are involved in similar acts is essential for any commercial co-operation, in this case – a co-operation between the brand and a feminist activist. The Dove </w:t>
      </w:r>
      <w:r w:rsidRPr="009B5102">
        <w:rPr>
          <w:rFonts w:ascii="Times New Roman" w:hAnsi="Times New Roman" w:cs="Times New Roman"/>
          <w:i/>
          <w:iCs/>
          <w:sz w:val="24"/>
          <w:szCs w:val="24"/>
        </w:rPr>
        <w:t xml:space="preserve">Real Beauty </w:t>
      </w:r>
      <w:r w:rsidRPr="009B5102">
        <w:rPr>
          <w:rFonts w:ascii="Times New Roman" w:hAnsi="Times New Roman" w:cs="Times New Roman"/>
          <w:sz w:val="24"/>
          <w:szCs w:val="24"/>
        </w:rPr>
        <w:t xml:space="preserve">campaign was finally launched in 2004 and became known worldwide and highly identified with the brand.    </w:t>
      </w:r>
    </w:p>
    <w:p w14:paraId="189CF644" w14:textId="77777777" w:rsidR="00497B7D" w:rsidRPr="009B5102" w:rsidRDefault="00497B7D" w:rsidP="00346CA5">
      <w:pPr>
        <w:spacing w:line="360" w:lineRule="auto"/>
        <w:outlineLvl w:val="2"/>
        <w:rPr>
          <w:rFonts w:ascii="Times New Roman" w:hAnsi="Times New Roman" w:cs="Times New Roman"/>
          <w:b/>
          <w:bCs/>
          <w:sz w:val="24"/>
          <w:szCs w:val="24"/>
        </w:rPr>
      </w:pPr>
    </w:p>
    <w:p w14:paraId="58A05AC1" w14:textId="77777777" w:rsidR="00497B7D" w:rsidRPr="009B5102" w:rsidRDefault="00497B7D" w:rsidP="00346CA5">
      <w:pPr>
        <w:pStyle w:val="Heading3"/>
      </w:pPr>
      <w:bookmarkStart w:id="9" w:name="_Toc445202668"/>
      <w:r w:rsidRPr="009B5102">
        <w:t>Channel 4’s format</w:t>
      </w:r>
      <w:r>
        <w:t xml:space="preserve"> for</w:t>
      </w:r>
      <w:r w:rsidRPr="009B5102">
        <w:t xml:space="preserve"> </w:t>
      </w:r>
      <w:r w:rsidRPr="009B5102">
        <w:rPr>
          <w:i/>
          <w:iCs/>
        </w:rPr>
        <w:t>How to Look Good Naked</w:t>
      </w:r>
      <w:bookmarkEnd w:id="9"/>
    </w:p>
    <w:p w14:paraId="1AC685F7" w14:textId="77777777" w:rsidR="00497B7D" w:rsidRPr="009B5102" w:rsidRDefault="00497B7D" w:rsidP="00346CA5">
      <w:pPr>
        <w:spacing w:line="360" w:lineRule="auto"/>
        <w:rPr>
          <w:rFonts w:ascii="Times New Roman" w:hAnsi="Times New Roman" w:cs="Times New Roman"/>
          <w:i/>
          <w:iCs/>
          <w:color w:val="000000"/>
          <w:sz w:val="24"/>
          <w:szCs w:val="24"/>
        </w:rPr>
      </w:pPr>
      <w:r w:rsidRPr="009B5102">
        <w:rPr>
          <w:rFonts w:ascii="Times New Roman" w:hAnsi="Times New Roman" w:cs="Times New Roman"/>
          <w:sz w:val="24"/>
          <w:szCs w:val="24"/>
        </w:rPr>
        <w:t xml:space="preserve">The format of Channel 4’s programme, </w:t>
      </w:r>
      <w:r w:rsidRPr="009B5102">
        <w:rPr>
          <w:rFonts w:ascii="Times New Roman" w:hAnsi="Times New Roman" w:cs="Times New Roman"/>
          <w:i/>
          <w:iCs/>
          <w:sz w:val="24"/>
          <w:szCs w:val="24"/>
        </w:rPr>
        <w:t>HTLGN,</w:t>
      </w:r>
      <w:r w:rsidRPr="009B5102">
        <w:rPr>
          <w:rFonts w:ascii="Times New Roman" w:hAnsi="Times New Roman" w:cs="Times New Roman"/>
          <w:sz w:val="24"/>
          <w:szCs w:val="24"/>
        </w:rPr>
        <w:t xml:space="preserve"> was developed during 2006</w:t>
      </w:r>
      <w:r w:rsidRPr="009B5102">
        <w:rPr>
          <w:rFonts w:ascii="Times New Roman" w:hAnsi="Times New Roman" w:cs="Times New Roman"/>
          <w:i/>
          <w:iCs/>
          <w:sz w:val="24"/>
          <w:szCs w:val="24"/>
        </w:rPr>
        <w:t xml:space="preserve">, </w:t>
      </w:r>
      <w:r w:rsidRPr="009B5102">
        <w:rPr>
          <w:rFonts w:ascii="Times New Roman" w:hAnsi="Times New Roman" w:cs="Times New Roman"/>
          <w:sz w:val="24"/>
          <w:szCs w:val="24"/>
        </w:rPr>
        <w:t xml:space="preserve">when the </w:t>
      </w:r>
      <w:r w:rsidRPr="009B5102">
        <w:rPr>
          <w:rFonts w:ascii="Times New Roman" w:hAnsi="Times New Roman" w:cs="Times New Roman"/>
          <w:i/>
          <w:iCs/>
          <w:sz w:val="24"/>
          <w:szCs w:val="24"/>
        </w:rPr>
        <w:t>Real Beauty</w:t>
      </w:r>
      <w:r w:rsidRPr="009B5102">
        <w:rPr>
          <w:rFonts w:ascii="Times New Roman" w:hAnsi="Times New Roman" w:cs="Times New Roman"/>
          <w:sz w:val="24"/>
          <w:szCs w:val="24"/>
        </w:rPr>
        <w:t xml:space="preserve"> campaign was still running. The new format was developed by Channel 4’s features department</w:t>
      </w:r>
      <w:r w:rsidRPr="00B93D25">
        <w:rPr>
          <w:rStyle w:val="FootnoteReference"/>
        </w:rPr>
        <w:footnoteReference w:id="17"/>
      </w:r>
      <w:r w:rsidRPr="009B5102">
        <w:rPr>
          <w:rFonts w:ascii="Times New Roman" w:hAnsi="Times New Roman" w:cs="Times New Roman"/>
          <w:sz w:val="24"/>
          <w:szCs w:val="24"/>
        </w:rPr>
        <w:t xml:space="preserve"> against a background of two other British makeover formats: the styling and </w:t>
      </w:r>
      <w:r w:rsidRPr="009B5102">
        <w:rPr>
          <w:rFonts w:ascii="Times New Roman" w:hAnsi="Times New Roman" w:cs="Times New Roman"/>
          <w:sz w:val="24"/>
          <w:szCs w:val="24"/>
        </w:rPr>
        <w:lastRenderedPageBreak/>
        <w:t xml:space="preserve">fashion programme </w:t>
      </w:r>
      <w:r w:rsidRPr="009B5102">
        <w:rPr>
          <w:rFonts w:ascii="Times New Roman" w:hAnsi="Times New Roman" w:cs="Times New Roman"/>
          <w:i/>
          <w:iCs/>
          <w:sz w:val="24"/>
          <w:szCs w:val="24"/>
        </w:rPr>
        <w:t>What not to Wear</w:t>
      </w:r>
      <w:r w:rsidRPr="00B93D25">
        <w:rPr>
          <w:rStyle w:val="FootnoteReference"/>
        </w:rPr>
        <w:footnoteReference w:id="18"/>
      </w:r>
      <w:r w:rsidRPr="009B5102">
        <w:rPr>
          <w:rFonts w:ascii="Times New Roman" w:hAnsi="Times New Roman" w:cs="Times New Roman"/>
          <w:i/>
          <w:iCs/>
          <w:sz w:val="24"/>
          <w:szCs w:val="24"/>
        </w:rPr>
        <w:t>,</w:t>
      </w:r>
      <w:r w:rsidRPr="009B5102">
        <w:rPr>
          <w:rFonts w:ascii="Times New Roman" w:hAnsi="Times New Roman" w:cs="Times New Roman"/>
          <w:sz w:val="24"/>
          <w:szCs w:val="24"/>
        </w:rPr>
        <w:t xml:space="preserve"> </w:t>
      </w:r>
      <w:r w:rsidRPr="009B5102">
        <w:rPr>
          <w:rFonts w:ascii="Times New Roman" w:hAnsi="Times New Roman" w:cs="Times New Roman"/>
          <w:color w:val="000000"/>
          <w:sz w:val="24"/>
          <w:szCs w:val="24"/>
          <w:lang w:bidi="ar-SA"/>
        </w:rPr>
        <w:t xml:space="preserve">and </w:t>
      </w:r>
      <w:r w:rsidRPr="009B5102">
        <w:rPr>
          <w:rFonts w:ascii="Times New Roman" w:hAnsi="Times New Roman" w:cs="Times New Roman"/>
          <w:i/>
          <w:iCs/>
          <w:color w:val="000000"/>
          <w:sz w:val="24"/>
          <w:szCs w:val="24"/>
        </w:rPr>
        <w:t>10 Years Younger</w:t>
      </w:r>
      <w:r w:rsidRPr="00B93D25">
        <w:rPr>
          <w:rStyle w:val="FootnoteReference"/>
        </w:rPr>
        <w:footnoteReference w:id="19"/>
      </w:r>
      <w:r w:rsidRPr="009B5102">
        <w:rPr>
          <w:rFonts w:ascii="Times New Roman" w:hAnsi="Times New Roman" w:cs="Times New Roman"/>
          <w:i/>
          <w:iCs/>
          <w:color w:val="000000"/>
          <w:sz w:val="24"/>
          <w:szCs w:val="24"/>
        </w:rPr>
        <w:t xml:space="preserve"> </w:t>
      </w:r>
      <w:r w:rsidRPr="009B5102">
        <w:rPr>
          <w:rFonts w:ascii="Times New Roman" w:hAnsi="Times New Roman" w:cs="Times New Roman"/>
          <w:color w:val="000000"/>
          <w:sz w:val="24"/>
          <w:szCs w:val="24"/>
        </w:rPr>
        <w:t>which was predominantly about plastic surgery. Both presented a strict and critical approach towards women and their bodies and promoted the idea of self-change towards reaching certain standards, rather than that of self-acceptance</w:t>
      </w:r>
      <w:r w:rsidRPr="00B93D25">
        <w:rPr>
          <w:rStyle w:val="FootnoteReference"/>
        </w:rPr>
        <w:footnoteReference w:id="20"/>
      </w:r>
      <w:r w:rsidRPr="009B5102">
        <w:rPr>
          <w:rFonts w:ascii="Times New Roman" w:hAnsi="Times New Roman" w:cs="Times New Roman"/>
          <w:color w:val="000000"/>
          <w:sz w:val="24"/>
          <w:szCs w:val="24"/>
        </w:rPr>
        <w:t xml:space="preserve">. </w:t>
      </w:r>
    </w:p>
    <w:p w14:paraId="4D0E2521"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Philippa Ransford, who was a commissioning editor at Channel 4 of </w:t>
      </w:r>
      <w:r w:rsidRPr="009B5102">
        <w:rPr>
          <w:rFonts w:ascii="Times New Roman" w:hAnsi="Times New Roman" w:cs="Times New Roman"/>
          <w:i/>
          <w:iCs/>
          <w:sz w:val="24"/>
          <w:szCs w:val="24"/>
        </w:rPr>
        <w:t>10 Years Younger</w:t>
      </w:r>
      <w:r w:rsidRPr="00B93D25">
        <w:rPr>
          <w:rStyle w:val="FootnoteReference"/>
        </w:rPr>
        <w:footnoteReference w:id="21"/>
      </w:r>
      <w:r w:rsidRPr="009B5102">
        <w:rPr>
          <w:rFonts w:ascii="Times New Roman" w:hAnsi="Times New Roman" w:cs="Times New Roman"/>
          <w:i/>
          <w:iCs/>
          <w:sz w:val="24"/>
          <w:szCs w:val="24"/>
        </w:rPr>
        <w:t xml:space="preserve">, </w:t>
      </w:r>
      <w:r w:rsidRPr="009B5102">
        <w:rPr>
          <w:rFonts w:ascii="Times New Roman" w:hAnsi="Times New Roman" w:cs="Times New Roman"/>
          <w:sz w:val="24"/>
          <w:szCs w:val="24"/>
        </w:rPr>
        <w:t xml:space="preserve">took a central role in developing the </w:t>
      </w:r>
      <w:r w:rsidRPr="009B5102">
        <w:rPr>
          <w:rFonts w:ascii="Times New Roman" w:hAnsi="Times New Roman" w:cs="Times New Roman"/>
          <w:i/>
          <w:iCs/>
          <w:sz w:val="24"/>
          <w:szCs w:val="24"/>
        </w:rPr>
        <w:t>HTLGN</w:t>
      </w:r>
      <w:r w:rsidRPr="009B5102">
        <w:rPr>
          <w:rFonts w:ascii="Times New Roman" w:hAnsi="Times New Roman" w:cs="Times New Roman"/>
          <w:sz w:val="24"/>
          <w:szCs w:val="24"/>
        </w:rPr>
        <w:t xml:space="preserve"> format from its outset. Ransford explained that her team felt a “wind of change” in the fashion industry towards a more natural look for women, which led them to think of an “anti-surgery show”: </w:t>
      </w:r>
    </w:p>
    <w:p w14:paraId="32B33902" w14:textId="77777777" w:rsidR="00497B7D" w:rsidRPr="009B5102" w:rsidRDefault="00497B7D" w:rsidP="00346CA5">
      <w:pPr>
        <w:spacing w:line="360" w:lineRule="auto"/>
        <w:ind w:left="1304" w:right="1304"/>
        <w:rPr>
          <w:rFonts w:ascii="Times New Roman" w:hAnsi="Times New Roman" w:cs="Times New Roman"/>
          <w:sz w:val="24"/>
          <w:szCs w:val="24"/>
        </w:rPr>
      </w:pPr>
      <w:r w:rsidRPr="009B5102">
        <w:rPr>
          <w:rFonts w:ascii="Times New Roman" w:hAnsi="Times New Roman" w:cs="Times New Roman"/>
          <w:sz w:val="24"/>
          <w:szCs w:val="24"/>
        </w:rPr>
        <w:t xml:space="preserve">It was a flip side. We knew </w:t>
      </w:r>
      <w:r w:rsidRPr="009B5102">
        <w:rPr>
          <w:rFonts w:ascii="Times New Roman" w:hAnsi="Times New Roman" w:cs="Times New Roman"/>
          <w:i/>
          <w:iCs/>
          <w:sz w:val="24"/>
          <w:szCs w:val="24"/>
        </w:rPr>
        <w:t>10 Years Younger</w:t>
      </w:r>
      <w:r w:rsidRPr="009B5102">
        <w:rPr>
          <w:rFonts w:ascii="Times New Roman" w:hAnsi="Times New Roman" w:cs="Times New Roman"/>
          <w:sz w:val="24"/>
          <w:szCs w:val="24"/>
        </w:rPr>
        <w:t xml:space="preserve"> worked and we got like 2.2 million [viewers] and also at the time, in the magazines people were beginning  to be kind of anti-surgery, fashions were beginning to shift away from the kind of very plastic look to feeling natural and looking natural </w:t>
      </w:r>
      <w:r w:rsidRPr="009B5102">
        <w:rPr>
          <w:rFonts w:ascii="Times New Roman" w:hAnsi="Times New Roman" w:cs="Times New Roman"/>
          <w:noProof/>
          <w:sz w:val="24"/>
          <w:szCs w:val="24"/>
        </w:rPr>
        <w:t>(Ransford, 2009)</w:t>
      </w:r>
      <w:r w:rsidRPr="009B5102">
        <w:rPr>
          <w:rFonts w:ascii="Times New Roman" w:hAnsi="Times New Roman" w:cs="Times New Roman"/>
          <w:sz w:val="24"/>
          <w:szCs w:val="24"/>
        </w:rPr>
        <w:t>.</w:t>
      </w:r>
    </w:p>
    <w:p w14:paraId="209EC949" w14:textId="77777777" w:rsidR="00497B7D" w:rsidRDefault="00497B7D" w:rsidP="00346CA5">
      <w:pPr>
        <w:spacing w:before="100" w:beforeAutospacing="1" w:after="100" w:afterAutospacing="1" w:line="360" w:lineRule="auto"/>
        <w:jc w:val="both"/>
        <w:rPr>
          <w:rFonts w:ascii="Times New Roman" w:eastAsia="Times New Roman" w:hAnsi="Times New Roman" w:cs="Times New Roman"/>
          <w:sz w:val="24"/>
          <w:szCs w:val="24"/>
        </w:rPr>
      </w:pPr>
      <w:r w:rsidRPr="009B5102">
        <w:rPr>
          <w:rFonts w:ascii="Times New Roman" w:eastAsia="Times New Roman" w:hAnsi="Times New Roman" w:cs="Times New Roman"/>
          <w:sz w:val="24"/>
          <w:szCs w:val="24"/>
        </w:rPr>
        <w:t xml:space="preserve">Ransford was not the only one who thought she noticed a new trend. A few articles from 2004 onwards spotted the tendency to use ‘real’ women for advertising, instead of models, and celebrate more realistic beauty. This, for example, was the opening paragraph of a piece in the </w:t>
      </w:r>
      <w:r w:rsidRPr="009B5102">
        <w:rPr>
          <w:rFonts w:ascii="Times New Roman" w:eastAsia="Times New Roman" w:hAnsi="Times New Roman" w:cs="Times New Roman"/>
          <w:i/>
          <w:iCs/>
          <w:sz w:val="24"/>
          <w:szCs w:val="24"/>
        </w:rPr>
        <w:t>New York Times</w:t>
      </w:r>
      <w:r w:rsidRPr="009B5102">
        <w:rPr>
          <w:rFonts w:ascii="Times New Roman" w:eastAsia="Times New Roman" w:hAnsi="Times New Roman" w:cs="Times New Roman"/>
          <w:sz w:val="24"/>
          <w:szCs w:val="24"/>
        </w:rPr>
        <w:t xml:space="preserve"> from August 2005:</w:t>
      </w:r>
    </w:p>
    <w:p w14:paraId="7DAF4F15" w14:textId="77777777" w:rsidR="00E52E61" w:rsidRPr="009B5102" w:rsidRDefault="00E52E61" w:rsidP="00346CA5">
      <w:pPr>
        <w:spacing w:before="100" w:beforeAutospacing="1" w:after="100" w:afterAutospacing="1" w:line="360" w:lineRule="auto"/>
        <w:jc w:val="both"/>
        <w:rPr>
          <w:rFonts w:ascii="Times New Roman" w:eastAsia="Times New Roman" w:hAnsi="Times New Roman" w:cs="Times New Roman"/>
          <w:sz w:val="24"/>
          <w:szCs w:val="24"/>
        </w:rPr>
      </w:pPr>
    </w:p>
    <w:p w14:paraId="069CBAE8" w14:textId="77777777" w:rsidR="00497B7D" w:rsidRPr="009B5102" w:rsidRDefault="00497B7D" w:rsidP="00346CA5">
      <w:pPr>
        <w:spacing w:before="100" w:beforeAutospacing="1" w:after="100" w:afterAutospacing="1" w:line="360" w:lineRule="auto"/>
        <w:ind w:left="1304" w:right="1304"/>
        <w:jc w:val="both"/>
        <w:rPr>
          <w:rFonts w:ascii="Times New Roman" w:eastAsia="Times New Roman" w:hAnsi="Times New Roman" w:cs="Times New Roman"/>
          <w:sz w:val="24"/>
          <w:szCs w:val="24"/>
        </w:rPr>
      </w:pPr>
      <w:r w:rsidRPr="009B5102">
        <w:rPr>
          <w:rFonts w:ascii="Times New Roman" w:eastAsia="Times New Roman" w:hAnsi="Times New Roman" w:cs="Times New Roman"/>
          <w:sz w:val="24"/>
          <w:szCs w:val="24"/>
        </w:rPr>
        <w:t xml:space="preserve">Madison Avenue is increasingly interested in using everyday women in advertising instead of just waifish supermodels. </w:t>
      </w:r>
    </w:p>
    <w:p w14:paraId="45BB1166" w14:textId="77777777" w:rsidR="00497B7D" w:rsidRPr="009B5102" w:rsidRDefault="00497B7D" w:rsidP="00346CA5">
      <w:pPr>
        <w:spacing w:before="100" w:beforeAutospacing="1" w:after="100" w:afterAutospacing="1" w:line="360" w:lineRule="auto"/>
        <w:ind w:left="1304" w:right="1304"/>
        <w:jc w:val="both"/>
        <w:rPr>
          <w:rFonts w:ascii="Times New Roman" w:eastAsia="Times New Roman" w:hAnsi="Times New Roman" w:cs="Times New Roman"/>
          <w:sz w:val="24"/>
          <w:szCs w:val="24"/>
        </w:rPr>
      </w:pPr>
      <w:r w:rsidRPr="009B5102">
        <w:rPr>
          <w:rFonts w:ascii="Times New Roman" w:eastAsia="Times New Roman" w:hAnsi="Times New Roman" w:cs="Times New Roman"/>
          <w:sz w:val="24"/>
          <w:szCs w:val="24"/>
        </w:rPr>
        <w:t xml:space="preserve">The change comes after the </w:t>
      </w:r>
      <w:r w:rsidRPr="009B5102">
        <w:rPr>
          <w:rFonts w:ascii="Times New Roman" w:eastAsia="Times New Roman" w:hAnsi="Times New Roman" w:cs="Times New Roman"/>
          <w:iCs/>
          <w:sz w:val="24"/>
          <w:szCs w:val="24"/>
        </w:rPr>
        <w:t>Dove</w:t>
      </w:r>
      <w:r w:rsidRPr="009B5102">
        <w:rPr>
          <w:rFonts w:ascii="Times New Roman" w:eastAsia="Times New Roman" w:hAnsi="Times New Roman" w:cs="Times New Roman"/>
          <w:sz w:val="24"/>
          <w:szCs w:val="24"/>
        </w:rPr>
        <w:t xml:space="preserve"> line of personal-care products sold by Unilever introduced what it called a ‘campaign for real beauty,’ which presents women in advertisements as they are rather than as some believe they ought to </w:t>
      </w:r>
      <w:r w:rsidRPr="002A0363">
        <w:rPr>
          <w:rFonts w:ascii="Times New Roman" w:eastAsia="Times New Roman" w:hAnsi="Times New Roman" w:cs="Times New Roman"/>
          <w:sz w:val="24"/>
          <w:szCs w:val="24"/>
        </w:rPr>
        <w:t xml:space="preserve">be </w:t>
      </w:r>
      <w:r w:rsidRPr="002A0363">
        <w:rPr>
          <w:rFonts w:ascii="Times New Roman" w:eastAsia="Times New Roman" w:hAnsi="Times New Roman" w:cs="Times New Roman"/>
          <w:noProof/>
          <w:sz w:val="24"/>
          <w:szCs w:val="24"/>
        </w:rPr>
        <w:t>(Elliot, 2005, August 17th)</w:t>
      </w:r>
      <w:r w:rsidRPr="009B5102">
        <w:rPr>
          <w:rFonts w:ascii="Times New Roman" w:eastAsia="Times New Roman" w:hAnsi="Times New Roman" w:cs="Times New Roman"/>
          <w:sz w:val="24"/>
          <w:szCs w:val="24"/>
        </w:rPr>
        <w:t xml:space="preserve">. </w:t>
      </w:r>
    </w:p>
    <w:p w14:paraId="34975BF5" w14:textId="77777777" w:rsidR="00497B7D" w:rsidRPr="009B5102" w:rsidRDefault="00497B7D" w:rsidP="00346CA5">
      <w:pPr>
        <w:spacing w:line="360" w:lineRule="auto"/>
        <w:jc w:val="both"/>
        <w:rPr>
          <w:rFonts w:ascii="Times New Roman" w:hAnsi="Times New Roman" w:cs="Times New Roman"/>
          <w:sz w:val="24"/>
          <w:szCs w:val="24"/>
        </w:rPr>
      </w:pPr>
      <w:r w:rsidRPr="009B5102">
        <w:rPr>
          <w:rFonts w:ascii="Times New Roman" w:hAnsi="Times New Roman" w:cs="Times New Roman"/>
          <w:sz w:val="24"/>
          <w:szCs w:val="24"/>
        </w:rPr>
        <w:t xml:space="preserve">Ransford further went on to explain how the title and the format of the programme were born: </w:t>
      </w:r>
    </w:p>
    <w:p w14:paraId="2DAFA10B"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lang w:bidi="ar-SA"/>
        </w:rPr>
        <w:t>So this was all kind of happening in the ether, if you like. We were constantly saying: “What’s the new show, what’s the new show”... Out of the blue, Sue [Murphie, head of the features department] said, “What about this for a title – ‘</w:t>
      </w:r>
      <w:r w:rsidRPr="009B5102">
        <w:rPr>
          <w:rFonts w:ascii="Times New Roman" w:hAnsi="Times New Roman" w:cs="Times New Roman"/>
          <w:i/>
          <w:iCs/>
          <w:sz w:val="24"/>
          <w:szCs w:val="24"/>
          <w:lang w:bidi="ar-SA"/>
        </w:rPr>
        <w:t>How to Look Good Naked</w:t>
      </w:r>
      <w:r w:rsidRPr="009B5102">
        <w:rPr>
          <w:rFonts w:ascii="Times New Roman" w:hAnsi="Times New Roman" w:cs="Times New Roman"/>
          <w:sz w:val="24"/>
          <w:szCs w:val="24"/>
          <w:lang w:bidi="ar-SA"/>
        </w:rPr>
        <w:t>?”, and we all went, “Oh, that’s quite good”</w:t>
      </w:r>
      <w:r w:rsidRPr="009B5102">
        <w:rPr>
          <w:rFonts w:ascii="Times New Roman" w:hAnsi="Times New Roman" w:cs="Times New Roman"/>
          <w:sz w:val="24"/>
          <w:szCs w:val="24"/>
        </w:rPr>
        <w:t xml:space="preserve">. </w:t>
      </w:r>
    </w:p>
    <w:p w14:paraId="45C1F112" w14:textId="77777777" w:rsidR="00497B7D" w:rsidRPr="009B5102" w:rsidRDefault="00497B7D" w:rsidP="00346CA5">
      <w:pPr>
        <w:spacing w:line="360" w:lineRule="auto"/>
        <w:ind w:left="1304" w:right="1304"/>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t>We went into the meeting</w:t>
      </w:r>
      <w:r w:rsidRPr="00B93D25">
        <w:rPr>
          <w:rStyle w:val="FootnoteReference"/>
        </w:rPr>
        <w:footnoteReference w:id="22"/>
      </w:r>
      <w:r w:rsidRPr="009B5102">
        <w:rPr>
          <w:rFonts w:ascii="Times New Roman" w:hAnsi="Times New Roman" w:cs="Times New Roman"/>
          <w:sz w:val="24"/>
          <w:szCs w:val="24"/>
          <w:lang w:bidi="ar-SA"/>
        </w:rPr>
        <w:t xml:space="preserve">, we had some yellow stickies, and we basically brainstormed the format points. …And I’ll never forget that because… I had coffee, and it was much easier for me because I was in the arena, doing </w:t>
      </w:r>
      <w:r w:rsidRPr="009B5102">
        <w:rPr>
          <w:rFonts w:ascii="Times New Roman" w:hAnsi="Times New Roman" w:cs="Times New Roman"/>
          <w:i/>
          <w:iCs/>
          <w:sz w:val="24"/>
          <w:szCs w:val="24"/>
          <w:lang w:bidi="ar-SA"/>
        </w:rPr>
        <w:t>10 Years Younger</w:t>
      </w:r>
      <w:r w:rsidRPr="009B5102">
        <w:rPr>
          <w:rFonts w:ascii="Times New Roman" w:hAnsi="Times New Roman" w:cs="Times New Roman"/>
          <w:sz w:val="24"/>
          <w:szCs w:val="24"/>
          <w:lang w:bidi="ar-SA"/>
        </w:rPr>
        <w:t xml:space="preserve">, and it kind of makes you think of ideas, and you happen to have something in the back of your head… and I literally came up with every single format point. I remember it, literally - bang, bang, bang… </w:t>
      </w:r>
      <w:r w:rsidRPr="009B5102">
        <w:rPr>
          <w:rFonts w:ascii="Times New Roman" w:hAnsi="Times New Roman" w:cs="Times New Roman"/>
          <w:noProof/>
          <w:sz w:val="24"/>
          <w:szCs w:val="24"/>
          <w:lang w:bidi="ar-SA"/>
        </w:rPr>
        <w:t>(Ransford, 2009)</w:t>
      </w:r>
      <w:r w:rsidRPr="009B5102">
        <w:rPr>
          <w:rFonts w:ascii="Times New Roman" w:hAnsi="Times New Roman" w:cs="Times New Roman"/>
          <w:sz w:val="24"/>
          <w:szCs w:val="24"/>
          <w:lang w:bidi="ar-SA"/>
        </w:rPr>
        <w:t>.</w:t>
      </w:r>
    </w:p>
    <w:p w14:paraId="3C4A23B8" w14:textId="77777777"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When asked what these points were, she replied: </w:t>
      </w:r>
    </w:p>
    <w:p w14:paraId="03491E11" w14:textId="77777777" w:rsidR="00497B7D" w:rsidRPr="009B5102" w:rsidRDefault="00497B7D" w:rsidP="00346CA5">
      <w:pPr>
        <w:spacing w:line="360" w:lineRule="auto"/>
        <w:ind w:left="1304" w:right="1304"/>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Ok, I first came up with the </w:t>
      </w:r>
      <w:r w:rsidRPr="009B5102">
        <w:rPr>
          <w:rFonts w:ascii="Times New Roman" w:hAnsi="Times New Roman" w:cs="Times New Roman"/>
          <w:iCs/>
          <w:sz w:val="24"/>
          <w:szCs w:val="24"/>
          <w:lang w:bidi="ar-SA"/>
        </w:rPr>
        <w:t>Dove</w:t>
      </w:r>
      <w:r w:rsidRPr="009B5102">
        <w:rPr>
          <w:rFonts w:ascii="Times New Roman" w:hAnsi="Times New Roman" w:cs="Times New Roman"/>
          <w:sz w:val="24"/>
          <w:szCs w:val="24"/>
          <w:lang w:bidi="ar-SA"/>
        </w:rPr>
        <w:t xml:space="preserve"> moment… we called it ‘the </w:t>
      </w:r>
      <w:r w:rsidRPr="009B5102">
        <w:rPr>
          <w:rFonts w:ascii="Times New Roman" w:hAnsi="Times New Roman" w:cs="Times New Roman"/>
          <w:iCs/>
          <w:sz w:val="24"/>
          <w:szCs w:val="24"/>
          <w:lang w:bidi="ar-SA"/>
        </w:rPr>
        <w:t>Dove</w:t>
      </w:r>
      <w:r w:rsidRPr="009B5102">
        <w:rPr>
          <w:rFonts w:ascii="Times New Roman" w:hAnsi="Times New Roman" w:cs="Times New Roman"/>
          <w:i/>
          <w:iCs/>
          <w:sz w:val="24"/>
          <w:szCs w:val="24"/>
          <w:lang w:bidi="ar-SA"/>
        </w:rPr>
        <w:t xml:space="preserve"> </w:t>
      </w:r>
      <w:r w:rsidRPr="009B5102">
        <w:rPr>
          <w:rFonts w:ascii="Times New Roman" w:hAnsi="Times New Roman" w:cs="Times New Roman"/>
          <w:sz w:val="24"/>
          <w:szCs w:val="24"/>
          <w:lang w:bidi="ar-SA"/>
        </w:rPr>
        <w:t xml:space="preserve">moment’ </w:t>
      </w:r>
      <w:r w:rsidRPr="009B5102">
        <w:rPr>
          <w:rFonts w:ascii="Times New Roman" w:hAnsi="Times New Roman" w:cs="Times New Roman"/>
          <w:noProof/>
          <w:sz w:val="24"/>
          <w:szCs w:val="24"/>
          <w:lang w:bidi="ar-SA"/>
        </w:rPr>
        <w:t>(Ransford, 2009)</w:t>
      </w:r>
      <w:r w:rsidRPr="009B5102">
        <w:rPr>
          <w:rFonts w:ascii="Times New Roman" w:hAnsi="Times New Roman" w:cs="Times New Roman"/>
          <w:sz w:val="24"/>
          <w:szCs w:val="24"/>
          <w:lang w:bidi="ar-SA"/>
        </w:rPr>
        <w:t xml:space="preserve">. </w:t>
      </w:r>
    </w:p>
    <w:p w14:paraId="27132BF3" w14:textId="77777777" w:rsidR="00497B7D" w:rsidRPr="009B5102" w:rsidRDefault="00497B7D" w:rsidP="00346CA5">
      <w:pPr>
        <w:spacing w:line="360" w:lineRule="auto"/>
        <w:ind w:right="1814"/>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She then explained: </w:t>
      </w:r>
    </w:p>
    <w:p w14:paraId="2589BE7B" w14:textId="758DC60B" w:rsidR="00497B7D" w:rsidRPr="009B5102" w:rsidRDefault="00497B7D" w:rsidP="00346CA5">
      <w:pPr>
        <w:spacing w:line="360" w:lineRule="auto"/>
        <w:ind w:left="1304" w:right="1304"/>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lastRenderedPageBreak/>
        <w:t>The ‘</w:t>
      </w:r>
      <w:r w:rsidRPr="009B5102">
        <w:rPr>
          <w:rFonts w:ascii="Times New Roman" w:hAnsi="Times New Roman" w:cs="Times New Roman"/>
          <w:iCs/>
          <w:sz w:val="24"/>
          <w:szCs w:val="24"/>
          <w:lang w:bidi="ar-SA"/>
        </w:rPr>
        <w:t>Dove</w:t>
      </w:r>
      <w:r w:rsidRPr="009B5102">
        <w:rPr>
          <w:rFonts w:ascii="Times New Roman" w:hAnsi="Times New Roman" w:cs="Times New Roman"/>
          <w:sz w:val="24"/>
          <w:szCs w:val="24"/>
          <w:lang w:bidi="ar-SA"/>
        </w:rPr>
        <w:t xml:space="preserve"> moment’ is what they call now, ‘the </w:t>
      </w:r>
      <w:r w:rsidR="00181C52" w:rsidRPr="009B5102">
        <w:rPr>
          <w:rFonts w:ascii="Times New Roman" w:hAnsi="Times New Roman" w:cs="Times New Roman"/>
          <w:sz w:val="24"/>
          <w:szCs w:val="24"/>
          <w:lang w:bidi="ar-SA"/>
        </w:rPr>
        <w:t>line-up</w:t>
      </w:r>
      <w:r w:rsidRPr="009B5102">
        <w:rPr>
          <w:rFonts w:ascii="Times New Roman" w:hAnsi="Times New Roman" w:cs="Times New Roman"/>
          <w:sz w:val="24"/>
          <w:szCs w:val="24"/>
          <w:lang w:bidi="ar-SA"/>
        </w:rPr>
        <w:t xml:space="preserve">’. Basically how fat are you, are you as fat as you think you are. That, basically, came from the </w:t>
      </w:r>
      <w:r w:rsidRPr="009B5102">
        <w:rPr>
          <w:rFonts w:ascii="Times New Roman" w:hAnsi="Times New Roman" w:cs="Times New Roman"/>
          <w:iCs/>
          <w:sz w:val="24"/>
          <w:szCs w:val="24"/>
          <w:lang w:bidi="ar-SA"/>
        </w:rPr>
        <w:t>Dove</w:t>
      </w:r>
      <w:r w:rsidRPr="009B5102">
        <w:rPr>
          <w:rFonts w:ascii="Times New Roman" w:hAnsi="Times New Roman" w:cs="Times New Roman"/>
          <w:sz w:val="24"/>
          <w:szCs w:val="24"/>
          <w:lang w:bidi="ar-SA"/>
        </w:rPr>
        <w:t xml:space="preserve"> adverts </w:t>
      </w:r>
      <w:r w:rsidRPr="009B5102">
        <w:rPr>
          <w:rFonts w:ascii="Times New Roman" w:hAnsi="Times New Roman" w:cs="Times New Roman"/>
          <w:noProof/>
          <w:sz w:val="24"/>
          <w:szCs w:val="24"/>
          <w:lang w:bidi="ar-SA"/>
        </w:rPr>
        <w:t>(Ransford, 2009)</w:t>
      </w:r>
      <w:r w:rsidRPr="009B5102">
        <w:rPr>
          <w:rFonts w:ascii="Times New Roman" w:hAnsi="Times New Roman" w:cs="Times New Roman"/>
          <w:sz w:val="24"/>
          <w:szCs w:val="24"/>
          <w:lang w:bidi="ar-SA"/>
        </w:rPr>
        <w:t>.</w:t>
      </w:r>
      <w:r w:rsidRPr="009B5102" w:rsidDel="00AD7A1F">
        <w:rPr>
          <w:rFonts w:ascii="Times New Roman" w:hAnsi="Times New Roman" w:cs="Times New Roman"/>
          <w:sz w:val="24"/>
          <w:szCs w:val="24"/>
          <w:lang w:bidi="ar-SA"/>
        </w:rPr>
        <w:t xml:space="preserve"> </w:t>
      </w:r>
    </w:p>
    <w:p w14:paraId="305D3DD1" w14:textId="77777777"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When I mentioned that this part in the programme is indeed surprisingly similar to the look and feel of the </w:t>
      </w:r>
      <w:r w:rsidRPr="009B5102">
        <w:rPr>
          <w:rFonts w:ascii="Times New Roman" w:hAnsi="Times New Roman" w:cs="Times New Roman"/>
          <w:iCs/>
          <w:sz w:val="24"/>
          <w:szCs w:val="24"/>
          <w:lang w:bidi="ar-SA"/>
        </w:rPr>
        <w:t>Dove</w:t>
      </w:r>
      <w:r w:rsidRPr="009B5102">
        <w:rPr>
          <w:rFonts w:ascii="Times New Roman" w:hAnsi="Times New Roman" w:cs="Times New Roman"/>
          <w:sz w:val="24"/>
          <w:szCs w:val="24"/>
          <w:lang w:bidi="ar-SA"/>
        </w:rPr>
        <w:t xml:space="preserve"> ads</w:t>
      </w:r>
      <w:r>
        <w:rPr>
          <w:rFonts w:ascii="Times New Roman" w:hAnsi="Times New Roman" w:cs="Times New Roman"/>
          <w:sz w:val="24"/>
          <w:szCs w:val="24"/>
          <w:lang w:bidi="ar-SA"/>
        </w:rPr>
        <w:t xml:space="preserve"> (see Figure 1)</w:t>
      </w:r>
      <w:r w:rsidRPr="00B93D25">
        <w:rPr>
          <w:rStyle w:val="FootnoteReference"/>
        </w:rPr>
        <w:footnoteReference w:id="23"/>
      </w:r>
      <w:r w:rsidRPr="009B5102">
        <w:rPr>
          <w:rFonts w:ascii="Times New Roman" w:hAnsi="Times New Roman" w:cs="Times New Roman"/>
          <w:sz w:val="24"/>
          <w:szCs w:val="24"/>
          <w:lang w:bidi="ar-SA"/>
        </w:rPr>
        <w:t xml:space="preserve">, Ransford said: </w:t>
      </w:r>
    </w:p>
    <w:p w14:paraId="04193932" w14:textId="77777777" w:rsidR="00497B7D" w:rsidRPr="009B5102" w:rsidRDefault="00497B7D" w:rsidP="00346CA5">
      <w:pPr>
        <w:spacing w:line="360" w:lineRule="auto"/>
        <w:ind w:left="1304" w:right="1304"/>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Exactly. It is supposed to. And also, I mean, this is like, when we made this, it was like three years ago or… we actually made it up in our heads, literally, about February 2006. So the whole kind of </w:t>
      </w:r>
      <w:r w:rsidRPr="009B5102">
        <w:rPr>
          <w:rFonts w:ascii="Times New Roman" w:hAnsi="Times New Roman" w:cs="Times New Roman"/>
          <w:iCs/>
          <w:sz w:val="24"/>
          <w:szCs w:val="24"/>
          <w:lang w:bidi="ar-SA"/>
        </w:rPr>
        <w:t>Dove</w:t>
      </w:r>
      <w:r w:rsidRPr="009B5102">
        <w:rPr>
          <w:rFonts w:ascii="Times New Roman" w:hAnsi="Times New Roman" w:cs="Times New Roman"/>
          <w:sz w:val="24"/>
          <w:szCs w:val="24"/>
          <w:lang w:bidi="ar-SA"/>
        </w:rPr>
        <w:t xml:space="preserve"> thing was happening</w:t>
      </w:r>
      <w:r w:rsidRPr="009B5102">
        <w:rPr>
          <w:rFonts w:ascii="Times New Roman" w:hAnsi="Times New Roman" w:cs="Times New Roman"/>
          <w:sz w:val="24"/>
          <w:szCs w:val="24"/>
          <w:vertAlign w:val="superscript"/>
          <w:lang w:bidi="ar-SA"/>
        </w:rPr>
        <w:t xml:space="preserve"> </w:t>
      </w:r>
      <w:r w:rsidRPr="009B5102">
        <w:rPr>
          <w:rFonts w:ascii="Times New Roman" w:hAnsi="Times New Roman" w:cs="Times New Roman"/>
          <w:noProof/>
          <w:sz w:val="24"/>
          <w:szCs w:val="24"/>
          <w:lang w:bidi="ar-SA"/>
        </w:rPr>
        <w:t>(Ransford, 2009)</w:t>
      </w:r>
      <w:r w:rsidRPr="009B5102">
        <w:rPr>
          <w:rFonts w:ascii="Times New Roman" w:hAnsi="Times New Roman" w:cs="Times New Roman"/>
          <w:sz w:val="24"/>
          <w:szCs w:val="24"/>
          <w:lang w:bidi="ar-SA"/>
        </w:rPr>
        <w:t xml:space="preserve">. </w:t>
      </w:r>
    </w:p>
    <w:p w14:paraId="56B3E477" w14:textId="77777777" w:rsidR="00497B7D" w:rsidRPr="009B5102" w:rsidRDefault="00497B7D" w:rsidP="00346CA5">
      <w:pPr>
        <w:spacing w:line="360" w:lineRule="auto"/>
        <w:ind w:right="1800"/>
        <w:jc w:val="both"/>
        <w:rPr>
          <w:rFonts w:ascii="Times New Roman" w:hAnsi="Times New Roman" w:cs="Times New Roman"/>
          <w:sz w:val="24"/>
          <w:szCs w:val="24"/>
        </w:rPr>
      </w:pPr>
      <w:r w:rsidRPr="009B5102">
        <w:rPr>
          <w:rFonts w:ascii="Times New Roman" w:hAnsi="Times New Roman" w:cs="Times New Roman"/>
          <w:noProof/>
          <w:sz w:val="24"/>
          <w:szCs w:val="24"/>
          <w:lang w:eastAsia="en-GB"/>
        </w:rPr>
        <w:drawing>
          <wp:inline distT="0" distB="0" distL="0" distR="0" wp14:anchorId="59A4F567" wp14:editId="286761B6">
            <wp:extent cx="4686300" cy="2847975"/>
            <wp:effectExtent l="19050" t="0" r="0" b="0"/>
            <wp:docPr id="1" name="Picture 1" descr="2662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62big"/>
                    <pic:cNvPicPr>
                      <a:picLocks noChangeAspect="1" noChangeArrowheads="1"/>
                    </pic:cNvPicPr>
                  </pic:nvPicPr>
                  <pic:blipFill>
                    <a:blip r:embed="rId12" cstate="print"/>
                    <a:srcRect/>
                    <a:stretch>
                      <a:fillRect/>
                    </a:stretch>
                  </pic:blipFill>
                  <pic:spPr bwMode="auto">
                    <a:xfrm>
                      <a:off x="0" y="0"/>
                      <a:ext cx="4686300" cy="2847975"/>
                    </a:xfrm>
                    <a:prstGeom prst="rect">
                      <a:avLst/>
                    </a:prstGeom>
                    <a:noFill/>
                    <a:ln w="9525">
                      <a:noFill/>
                      <a:miter lim="800000"/>
                      <a:headEnd/>
                      <a:tailEnd/>
                    </a:ln>
                  </pic:spPr>
                </pic:pic>
              </a:graphicData>
            </a:graphic>
          </wp:inline>
        </w:drawing>
      </w:r>
    </w:p>
    <w:p w14:paraId="4E509700" w14:textId="5AF39792" w:rsidR="00497B7D" w:rsidRPr="00A64602" w:rsidRDefault="00497B7D" w:rsidP="00346CA5">
      <w:pPr>
        <w:pStyle w:val="Heading6"/>
      </w:pPr>
      <w:bookmarkStart w:id="10" w:name="_Toc436608075"/>
      <w:bookmarkStart w:id="11" w:name="_Toc445120226"/>
      <w:r>
        <w:t xml:space="preserve">Figure 1: </w:t>
      </w:r>
      <w:r w:rsidRPr="00A64602">
        <w:t xml:space="preserve">‘The </w:t>
      </w:r>
      <w:r w:rsidRPr="00A64602">
        <w:rPr>
          <w:iCs/>
        </w:rPr>
        <w:t>Dove</w:t>
      </w:r>
      <w:r w:rsidRPr="00A64602">
        <w:t xml:space="preserve"> moment’, or ‘the </w:t>
      </w:r>
      <w:r w:rsidR="00181C52" w:rsidRPr="00A64602">
        <w:t>line-up</w:t>
      </w:r>
      <w:r w:rsidRPr="00A64602">
        <w:t xml:space="preserve">’, </w:t>
      </w:r>
      <w:r w:rsidRPr="00A64602">
        <w:rPr>
          <w:i/>
          <w:iCs/>
        </w:rPr>
        <w:t>How to Look Good Naked</w:t>
      </w:r>
      <w:r w:rsidRPr="00A64602">
        <w:t>, Channel 4</w:t>
      </w:r>
      <w:bookmarkEnd w:id="10"/>
      <w:bookmarkEnd w:id="11"/>
      <w:r w:rsidRPr="00A64602">
        <w:t xml:space="preserve"> </w:t>
      </w:r>
    </w:p>
    <w:p w14:paraId="04BDB8D0"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Thus, at that initial stage, the convergence between the brand and the programme, as Ransford clearly described, was an inspirational one, as the commissioners willingly adopted the values and core idea of the campaign and turned these into a makeover programme. This makes </w:t>
      </w:r>
      <w:r w:rsidRPr="009B5102">
        <w:rPr>
          <w:rFonts w:ascii="Times New Roman" w:hAnsi="Times New Roman" w:cs="Times New Roman"/>
          <w:i/>
          <w:iCs/>
          <w:sz w:val="24"/>
          <w:szCs w:val="24"/>
        </w:rPr>
        <w:t>HTLGN</w:t>
      </w:r>
      <w:r w:rsidRPr="009B5102">
        <w:rPr>
          <w:rFonts w:ascii="Times New Roman" w:hAnsi="Times New Roman" w:cs="Times New Roman"/>
          <w:sz w:val="24"/>
          <w:szCs w:val="24"/>
        </w:rPr>
        <w:t xml:space="preserve"> a particularly interesting case of 'branded content'. On one hand it presents an unusual scenario, as most commercial co-operations do not begin with “natural”, “back of your head”, “ether”-like inspiration, nor is it often the case that a commercial campaign manages to become so </w:t>
      </w:r>
      <w:r w:rsidRPr="009B5102">
        <w:rPr>
          <w:rFonts w:ascii="Times New Roman" w:hAnsi="Times New Roman" w:cs="Times New Roman"/>
          <w:sz w:val="24"/>
          <w:szCs w:val="24"/>
        </w:rPr>
        <w:lastRenderedPageBreak/>
        <w:t xml:space="preserve">influential. On the other hand, the case clearly demonstrates the broader principle presented here, in which the starting point for a commercial co-operation has to be based on the belief of both sides that they share similar ideas and values on the topic and that they are involved in a similar action - that of promoting their shared ‘public’ agenda around ideas or ‘values’. In reference to the term ‘elective affinities’ presented earlier </w:t>
      </w:r>
      <w:r w:rsidRPr="009B5102">
        <w:rPr>
          <w:rFonts w:ascii="Times New Roman" w:hAnsi="Times New Roman" w:cs="Times New Roman"/>
          <w:noProof/>
          <w:sz w:val="24"/>
          <w:szCs w:val="24"/>
        </w:rPr>
        <w:t>(Howe, 1978; Weber, 1949; Weber &amp; Kalberg, 2011)</w:t>
      </w:r>
      <w:r w:rsidRPr="009B5102">
        <w:rPr>
          <w:rFonts w:ascii="Times New Roman" w:hAnsi="Times New Roman" w:cs="Times New Roman"/>
          <w:sz w:val="24"/>
          <w:szCs w:val="24"/>
        </w:rPr>
        <w:t xml:space="preserve">, this can be considered as the ‘falling in love’ stage  in which the two sides are struck by their similarities which sparks their mutual attraction and later leads to a contract of ‘marriage’ (i.e. signing a formal deal of co-operation). </w:t>
      </w:r>
    </w:p>
    <w:p w14:paraId="7D67C6EB" w14:textId="77777777" w:rsidR="00497B7D" w:rsidRPr="009B5102" w:rsidRDefault="00497B7D" w:rsidP="00346CA5">
      <w:pPr>
        <w:spacing w:line="360" w:lineRule="auto"/>
        <w:outlineLvl w:val="2"/>
        <w:rPr>
          <w:rFonts w:ascii="Times New Roman" w:hAnsi="Times New Roman" w:cs="Times New Roman"/>
          <w:b/>
          <w:bCs/>
          <w:sz w:val="24"/>
          <w:szCs w:val="24"/>
        </w:rPr>
      </w:pPr>
    </w:p>
    <w:p w14:paraId="114730E4" w14:textId="77777777" w:rsidR="00497B7D" w:rsidRPr="009B5102" w:rsidRDefault="00497B7D" w:rsidP="00346CA5">
      <w:pPr>
        <w:pStyle w:val="Heading3"/>
      </w:pPr>
      <w:bookmarkStart w:id="12" w:name="_Toc445202669"/>
      <w:r w:rsidRPr="009B5102">
        <w:t>The Sponsorship Agreement</w:t>
      </w:r>
      <w:bookmarkEnd w:id="12"/>
    </w:p>
    <w:p w14:paraId="732B56B1" w14:textId="77777777"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sz w:val="24"/>
          <w:szCs w:val="24"/>
        </w:rPr>
        <w:t>The sponsorship department at Channel 4</w:t>
      </w:r>
      <w:r w:rsidRPr="00B93D25">
        <w:rPr>
          <w:rStyle w:val="FootnoteReference"/>
        </w:rPr>
        <w:footnoteReference w:id="24"/>
      </w:r>
      <w:r w:rsidRPr="009B5102">
        <w:rPr>
          <w:rFonts w:ascii="Times New Roman" w:hAnsi="Times New Roman" w:cs="Times New Roman"/>
          <w:sz w:val="24"/>
          <w:szCs w:val="24"/>
        </w:rPr>
        <w:t xml:space="preserve"> was made aware of the format of </w:t>
      </w:r>
      <w:r w:rsidRPr="009B5102">
        <w:rPr>
          <w:rFonts w:ascii="Times New Roman" w:hAnsi="Times New Roman" w:cs="Times New Roman"/>
          <w:i/>
          <w:iCs/>
          <w:sz w:val="24"/>
          <w:szCs w:val="24"/>
        </w:rPr>
        <w:t>HTLGN</w:t>
      </w:r>
      <w:r w:rsidRPr="009B5102">
        <w:rPr>
          <w:rFonts w:ascii="Times New Roman" w:hAnsi="Times New Roman" w:cs="Times New Roman"/>
          <w:sz w:val="24"/>
          <w:szCs w:val="24"/>
        </w:rPr>
        <w:t xml:space="preserve"> in early 2006, when the programme was still in development.</w:t>
      </w:r>
      <w:r w:rsidRPr="009B5102">
        <w:rPr>
          <w:rFonts w:ascii="Times New Roman" w:hAnsi="Times New Roman" w:cs="Times New Roman"/>
          <w:sz w:val="24"/>
          <w:szCs w:val="24"/>
          <w:lang w:bidi="ar-SA"/>
        </w:rPr>
        <w:t xml:space="preserve"> Vicky Kell, a senior account manager at the department, was responsible</w:t>
      </w:r>
      <w:r w:rsidRPr="009B5102">
        <w:rPr>
          <w:rFonts w:ascii="Times New Roman" w:hAnsi="Times New Roman" w:cs="Times New Roman"/>
          <w:sz w:val="24"/>
          <w:szCs w:val="24"/>
        </w:rPr>
        <w:t xml:space="preserve"> for finding a sponsor and negotiating the deal for the new programme. T</w:t>
      </w:r>
      <w:r w:rsidRPr="009B5102">
        <w:rPr>
          <w:rFonts w:ascii="Times New Roman" w:hAnsi="Times New Roman" w:cs="Times New Roman"/>
          <w:sz w:val="24"/>
          <w:szCs w:val="24"/>
          <w:lang w:bidi="ar-SA"/>
        </w:rPr>
        <w:t>he format was presented to potential sponsors</w:t>
      </w:r>
      <w:r w:rsidRPr="00B93D25">
        <w:rPr>
          <w:rStyle w:val="FootnoteReference"/>
        </w:rPr>
        <w:footnoteReference w:id="25"/>
      </w:r>
      <w:r w:rsidRPr="009B5102">
        <w:rPr>
          <w:rFonts w:ascii="Times New Roman" w:hAnsi="Times New Roman" w:cs="Times New Roman"/>
          <w:sz w:val="24"/>
          <w:szCs w:val="24"/>
          <w:lang w:bidi="ar-SA"/>
        </w:rPr>
        <w:t>:</w:t>
      </w:r>
    </w:p>
    <w:p w14:paraId="60A9C986"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A great new contemporary show focusing on how any woman can improve the way she looks, clothed and unclothed, without resorting to plastic surgery </w:t>
      </w:r>
      <w:r w:rsidRPr="009B5102">
        <w:rPr>
          <w:rFonts w:ascii="Times New Roman" w:hAnsi="Times New Roman" w:cs="Times New Roman"/>
          <w:noProof/>
          <w:sz w:val="24"/>
          <w:szCs w:val="24"/>
        </w:rPr>
        <w:t>(Channel 4, 2006)</w:t>
      </w:r>
      <w:r w:rsidRPr="009B5102">
        <w:rPr>
          <w:rFonts w:ascii="Times New Roman" w:hAnsi="Times New Roman" w:cs="Times New Roman"/>
          <w:sz w:val="24"/>
          <w:szCs w:val="24"/>
        </w:rPr>
        <w:t>.</w:t>
      </w:r>
    </w:p>
    <w:p w14:paraId="6CA4F205" w14:textId="77777777" w:rsidR="00497B7D" w:rsidRPr="009B5102" w:rsidRDefault="00497B7D" w:rsidP="00346CA5">
      <w:pPr>
        <w:spacing w:line="360" w:lineRule="auto"/>
        <w:ind w:right="1800"/>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t>Then, some more details followed:</w:t>
      </w:r>
    </w:p>
    <w:p w14:paraId="0EE58994" w14:textId="77777777" w:rsidR="00497B7D" w:rsidRPr="009B5102" w:rsidRDefault="00497B7D" w:rsidP="00346CA5">
      <w:pPr>
        <w:spacing w:after="0" w:line="360" w:lineRule="auto"/>
        <w:ind w:left="1310" w:right="1310"/>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New series that shows women their bodies as they’ve never seen them before. Each week we take one woman who’s wildly dissatisfied with her body shape – and one part of her body in particular. With the help of our experts we’ll show her how to look – and feel – like a million dollars, without resorting to plastic surgery (Channel 4, 2006). </w:t>
      </w:r>
    </w:p>
    <w:p w14:paraId="3415A1AF" w14:textId="77777777"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sz w:val="24"/>
          <w:szCs w:val="24"/>
          <w:lang w:bidi="ar-SA"/>
        </w:rPr>
        <w:lastRenderedPageBreak/>
        <w:t xml:space="preserve">Kell </w:t>
      </w:r>
      <w:r w:rsidRPr="009B5102">
        <w:rPr>
          <w:rFonts w:ascii="Times New Roman" w:hAnsi="Times New Roman" w:cs="Times New Roman"/>
          <w:noProof/>
          <w:sz w:val="24"/>
          <w:szCs w:val="24"/>
          <w:lang w:bidi="ar-SA"/>
        </w:rPr>
        <w:t>(2009)</w:t>
      </w:r>
      <w:r w:rsidRPr="009B5102">
        <w:rPr>
          <w:rFonts w:ascii="Times New Roman" w:hAnsi="Times New Roman" w:cs="Times New Roman"/>
          <w:sz w:val="24"/>
          <w:szCs w:val="24"/>
          <w:lang w:bidi="ar-SA"/>
        </w:rPr>
        <w:t xml:space="preserve"> later recalled the first contact with </w:t>
      </w:r>
      <w:r w:rsidRPr="009B5102">
        <w:rPr>
          <w:rFonts w:ascii="Times New Roman" w:hAnsi="Times New Roman" w:cs="Times New Roman"/>
          <w:iCs/>
          <w:sz w:val="24"/>
          <w:szCs w:val="24"/>
          <w:lang w:bidi="ar-SA"/>
        </w:rPr>
        <w:t>Dove</w:t>
      </w:r>
      <w:r w:rsidRPr="009B5102">
        <w:rPr>
          <w:rFonts w:ascii="Times New Roman" w:hAnsi="Times New Roman" w:cs="Times New Roman"/>
          <w:sz w:val="24"/>
          <w:szCs w:val="24"/>
          <w:lang w:bidi="ar-SA"/>
        </w:rPr>
        <w:t xml:space="preserve"> regarding the new programme: </w:t>
      </w:r>
    </w:p>
    <w:p w14:paraId="3CE87969" w14:textId="77777777" w:rsidR="00497B7D" w:rsidRPr="009B5102" w:rsidRDefault="00497B7D" w:rsidP="00346CA5">
      <w:pPr>
        <w:spacing w:line="360" w:lineRule="auto"/>
        <w:ind w:left="1304" w:right="1304"/>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 so we took it out to all of our agencies. And the sponsor who came on board was </w:t>
      </w:r>
      <w:r w:rsidRPr="009B5102">
        <w:rPr>
          <w:rFonts w:ascii="Times New Roman" w:hAnsi="Times New Roman" w:cs="Times New Roman"/>
          <w:iCs/>
          <w:sz w:val="24"/>
          <w:szCs w:val="24"/>
          <w:lang w:bidi="ar-SA"/>
        </w:rPr>
        <w:t>Dove</w:t>
      </w:r>
      <w:r w:rsidRPr="009B5102">
        <w:rPr>
          <w:rFonts w:ascii="Times New Roman" w:hAnsi="Times New Roman" w:cs="Times New Roman"/>
          <w:sz w:val="24"/>
          <w:szCs w:val="24"/>
          <w:lang w:bidi="ar-SA"/>
        </w:rPr>
        <w:t>, which was absolutely perfect, because at the time all of their adverts were about real women. They still are about real women. It wasn’t about skinny size zero models. It was all gorgeous beautiful curvaceous confident women, not necessarily curvaceous, any shape, any size.</w:t>
      </w:r>
    </w:p>
    <w:p w14:paraId="3D868BE2" w14:textId="77777777" w:rsidR="00497B7D" w:rsidRPr="009B5102" w:rsidRDefault="00497B7D" w:rsidP="00346CA5">
      <w:pPr>
        <w:spacing w:line="360" w:lineRule="auto"/>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Kell’s partner throughout the negotiations was Dan Fletcher, who in early 2006 was part of the sponsorships, partnerships and entertainment team at </w:t>
      </w:r>
      <w:r w:rsidRPr="009B5102">
        <w:rPr>
          <w:rFonts w:ascii="Times New Roman" w:hAnsi="Times New Roman" w:cs="Times New Roman"/>
          <w:sz w:val="24"/>
          <w:szCs w:val="24"/>
        </w:rPr>
        <w:t>Mindshare</w:t>
      </w:r>
      <w:r w:rsidRPr="009B5102">
        <w:rPr>
          <w:rFonts w:ascii="Times New Roman" w:hAnsi="Times New Roman" w:cs="Times New Roman"/>
          <w:i/>
          <w:iCs/>
          <w:sz w:val="24"/>
          <w:szCs w:val="24"/>
        </w:rPr>
        <w:t>,</w:t>
      </w:r>
      <w:r w:rsidRPr="009B5102">
        <w:rPr>
          <w:rFonts w:ascii="Times New Roman" w:hAnsi="Times New Roman" w:cs="Times New Roman"/>
          <w:i/>
          <w:iCs/>
          <w:sz w:val="24"/>
          <w:szCs w:val="24"/>
          <w:lang w:bidi="ar-SA"/>
        </w:rPr>
        <w:t xml:space="preserve"> </w:t>
      </w:r>
      <w:r w:rsidRPr="009B5102">
        <w:rPr>
          <w:rFonts w:ascii="Times New Roman" w:hAnsi="Times New Roman" w:cs="Times New Roman"/>
          <w:sz w:val="24"/>
          <w:szCs w:val="24"/>
          <w:lang w:bidi="ar-SA"/>
        </w:rPr>
        <w:t xml:space="preserve">the </w:t>
      </w:r>
      <w:r w:rsidRPr="009B5102">
        <w:rPr>
          <w:rFonts w:ascii="Times New Roman" w:hAnsi="Times New Roman" w:cs="Times New Roman"/>
          <w:sz w:val="24"/>
          <w:szCs w:val="24"/>
        </w:rPr>
        <w:t xml:space="preserve">marketing communications agency representing </w:t>
      </w:r>
      <w:r w:rsidRPr="009B5102">
        <w:rPr>
          <w:rFonts w:ascii="Times New Roman" w:hAnsi="Times New Roman" w:cs="Times New Roman"/>
          <w:iCs/>
          <w:sz w:val="24"/>
          <w:szCs w:val="24"/>
        </w:rPr>
        <w:t>Dove</w:t>
      </w:r>
      <w:r w:rsidRPr="00B93D25">
        <w:rPr>
          <w:rStyle w:val="FootnoteReference"/>
        </w:rPr>
        <w:footnoteReference w:id="26"/>
      </w:r>
      <w:r w:rsidRPr="009B5102">
        <w:rPr>
          <w:rFonts w:ascii="Times New Roman" w:hAnsi="Times New Roman" w:cs="Times New Roman"/>
          <w:sz w:val="24"/>
          <w:szCs w:val="24"/>
          <w:lang w:bidi="ar-SA"/>
        </w:rPr>
        <w:t>.</w:t>
      </w:r>
      <w:r w:rsidRPr="009B5102">
        <w:rPr>
          <w:rFonts w:ascii="Times New Roman" w:hAnsi="Times New Roman" w:cs="Times New Roman"/>
          <w:i/>
          <w:iCs/>
          <w:sz w:val="24"/>
          <w:szCs w:val="24"/>
        </w:rPr>
        <w:t xml:space="preserve"> </w:t>
      </w:r>
      <w:r w:rsidRPr="009B5102">
        <w:rPr>
          <w:rFonts w:ascii="Times New Roman" w:hAnsi="Times New Roman" w:cs="Times New Roman"/>
          <w:sz w:val="24"/>
          <w:szCs w:val="24"/>
          <w:lang w:bidi="ar-SA"/>
        </w:rPr>
        <w:t>He holds a similar memory regarding the immediate affinity between the programme and the brand:</w:t>
      </w:r>
    </w:p>
    <w:p w14:paraId="6DB135AA"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So they made us aware as an agency that that was coming up. It didn't take a massive amount of clever detective work to go, “Hang on a minute, that's perfect for </w:t>
      </w:r>
      <w:r w:rsidRPr="009B5102">
        <w:rPr>
          <w:rFonts w:ascii="Times New Roman" w:hAnsi="Times New Roman" w:cs="Times New Roman"/>
          <w:iCs/>
          <w:sz w:val="24"/>
          <w:szCs w:val="24"/>
        </w:rPr>
        <w:t xml:space="preserve">Dove” </w:t>
      </w:r>
      <w:r w:rsidRPr="009B5102">
        <w:rPr>
          <w:rFonts w:ascii="Times New Roman" w:hAnsi="Times New Roman" w:cs="Times New Roman"/>
          <w:iCs/>
          <w:noProof/>
          <w:sz w:val="24"/>
          <w:szCs w:val="24"/>
        </w:rPr>
        <w:t>(Fletcher, 2009)</w:t>
      </w:r>
      <w:r w:rsidRPr="009B5102">
        <w:rPr>
          <w:rFonts w:ascii="Times New Roman" w:hAnsi="Times New Roman" w:cs="Times New Roman"/>
          <w:sz w:val="24"/>
          <w:szCs w:val="24"/>
        </w:rPr>
        <w:t xml:space="preserve">. </w:t>
      </w:r>
    </w:p>
    <w:p w14:paraId="4264AF6C" w14:textId="77777777" w:rsidR="00497B7D" w:rsidRPr="009B5102" w:rsidRDefault="00497B7D" w:rsidP="00346CA5">
      <w:pPr>
        <w:spacing w:line="360" w:lineRule="auto"/>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Fletcher's next mission was to convince Unilever's people of the feasibility of the deal. For that purpose, he had direct conversations with Channel 4 and Maverick about the planned format of the programme, before presenting the idea to his client, Unilever: </w:t>
      </w:r>
    </w:p>
    <w:p w14:paraId="2BAA9508"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We worked with Channel 4 and we worked with Maverick. So, we had direct conversations with Maverick about the format, about the elements that were involved and we then formulated that to a recommendation that we took to Dove </w:t>
      </w:r>
      <w:r w:rsidRPr="009B5102">
        <w:rPr>
          <w:rFonts w:ascii="Times New Roman" w:hAnsi="Times New Roman" w:cs="Times New Roman"/>
          <w:iCs/>
          <w:noProof/>
          <w:sz w:val="24"/>
          <w:szCs w:val="24"/>
        </w:rPr>
        <w:t>(Fletcher, 2009)</w:t>
      </w:r>
      <w:r w:rsidRPr="009B5102">
        <w:rPr>
          <w:rFonts w:ascii="Times New Roman" w:hAnsi="Times New Roman" w:cs="Times New Roman"/>
          <w:iCs/>
          <w:sz w:val="24"/>
          <w:szCs w:val="24"/>
        </w:rPr>
        <w:t>.</w:t>
      </w:r>
    </w:p>
    <w:p w14:paraId="4A2422BB" w14:textId="77777777" w:rsidR="00497B7D" w:rsidRPr="009B5102" w:rsidRDefault="00497B7D" w:rsidP="00346CA5">
      <w:pPr>
        <w:spacing w:line="360" w:lineRule="auto"/>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What eventually played a significant role in the case of the </w:t>
      </w:r>
      <w:r w:rsidRPr="009B5102">
        <w:rPr>
          <w:rFonts w:ascii="Times New Roman" w:hAnsi="Times New Roman" w:cs="Times New Roman"/>
          <w:i/>
          <w:iCs/>
          <w:sz w:val="24"/>
          <w:szCs w:val="24"/>
          <w:lang w:bidi="ar-SA"/>
        </w:rPr>
        <w:t>How to Look Good Naked</w:t>
      </w:r>
      <w:r w:rsidRPr="009B5102">
        <w:rPr>
          <w:rFonts w:ascii="Times New Roman" w:hAnsi="Times New Roman" w:cs="Times New Roman"/>
          <w:sz w:val="24"/>
          <w:szCs w:val="24"/>
          <w:lang w:bidi="ar-SA"/>
        </w:rPr>
        <w:t xml:space="preserve"> deal was the launch of Dove’s Pro-Age line that happened just at the same time and was joined to the brand’s </w:t>
      </w:r>
      <w:r w:rsidRPr="009B5102">
        <w:rPr>
          <w:rFonts w:ascii="Times New Roman" w:hAnsi="Times New Roman" w:cs="Times New Roman"/>
          <w:i/>
          <w:iCs/>
          <w:sz w:val="24"/>
          <w:szCs w:val="24"/>
          <w:lang w:bidi="ar-SA"/>
        </w:rPr>
        <w:t xml:space="preserve">Real Beauty </w:t>
      </w:r>
      <w:r w:rsidRPr="009B5102">
        <w:rPr>
          <w:rFonts w:ascii="Times New Roman" w:hAnsi="Times New Roman" w:cs="Times New Roman"/>
          <w:sz w:val="24"/>
          <w:szCs w:val="24"/>
          <w:lang w:bidi="ar-SA"/>
        </w:rPr>
        <w:t xml:space="preserve">campaign. This line of anti-ageing products targets middle-aged women and fit well </w:t>
      </w:r>
      <w:r w:rsidRPr="009B5102">
        <w:rPr>
          <w:rFonts w:ascii="Times New Roman" w:hAnsi="Times New Roman" w:cs="Times New Roman"/>
          <w:sz w:val="24"/>
          <w:szCs w:val="24"/>
          <w:lang w:bidi="ar-SA"/>
        </w:rPr>
        <w:lastRenderedPageBreak/>
        <w:t xml:space="preserve">with the expected target audience of the programme (women between the ages of 45-65), as Fletcher explained:  </w:t>
      </w:r>
    </w:p>
    <w:p w14:paraId="67553D11" w14:textId="77777777" w:rsidR="00497B7D" w:rsidRPr="009B5102" w:rsidRDefault="00497B7D" w:rsidP="00346CA5">
      <w:pPr>
        <w:spacing w:line="360" w:lineRule="auto"/>
        <w:ind w:left="1304" w:right="1304"/>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t xml:space="preserve">The Dove take on anti-ageing is - don't try and stop the ageing process, let's celebrate the ageing and how good you look with some products that are specifically developed for that age group. The good news that on </w:t>
      </w:r>
      <w:r w:rsidRPr="009B5102">
        <w:rPr>
          <w:rFonts w:ascii="Times New Roman" w:hAnsi="Times New Roman" w:cs="Times New Roman"/>
          <w:i/>
          <w:iCs/>
          <w:sz w:val="24"/>
          <w:szCs w:val="24"/>
          <w:lang w:bidi="ar-SA"/>
        </w:rPr>
        <w:t>How to Look Good Naked</w:t>
      </w:r>
      <w:r w:rsidRPr="009B5102">
        <w:rPr>
          <w:rFonts w:ascii="Times New Roman" w:hAnsi="Times New Roman" w:cs="Times New Roman"/>
          <w:sz w:val="24"/>
          <w:szCs w:val="24"/>
          <w:lang w:bidi="ar-SA"/>
        </w:rPr>
        <w:t xml:space="preserve">, the conversations that we had - again, we didn't have to try and influence anything - was the women that they were going to choose tend to be middle-aged women. They weren't after your sort of twenty something. They were after real women that were an ideal target audience for Pro-Age </w:t>
      </w:r>
      <w:r w:rsidRPr="009B5102">
        <w:rPr>
          <w:rFonts w:ascii="Times New Roman" w:hAnsi="Times New Roman" w:cs="Times New Roman"/>
          <w:iCs/>
          <w:noProof/>
          <w:sz w:val="24"/>
          <w:szCs w:val="24"/>
          <w:lang w:bidi="ar-SA"/>
        </w:rPr>
        <w:t>(Fletcher, 2009)</w:t>
      </w:r>
      <w:r w:rsidRPr="009B5102">
        <w:rPr>
          <w:rFonts w:ascii="Times New Roman" w:hAnsi="Times New Roman" w:cs="Times New Roman"/>
          <w:iCs/>
          <w:sz w:val="24"/>
          <w:szCs w:val="24"/>
          <w:lang w:bidi="ar-SA"/>
        </w:rPr>
        <w:t>.</w:t>
      </w:r>
      <w:r w:rsidRPr="009B5102">
        <w:rPr>
          <w:rFonts w:ascii="Times New Roman" w:hAnsi="Times New Roman" w:cs="Times New Roman"/>
          <w:sz w:val="24"/>
          <w:szCs w:val="24"/>
          <w:lang w:bidi="ar-SA"/>
        </w:rPr>
        <w:t xml:space="preserve"> </w:t>
      </w:r>
    </w:p>
    <w:p w14:paraId="4C14ACE9" w14:textId="77777777" w:rsidR="00497B7D" w:rsidRPr="009B5102" w:rsidRDefault="00497B7D" w:rsidP="00346CA5">
      <w:pPr>
        <w:spacing w:line="360" w:lineRule="auto"/>
        <w:jc w:val="both"/>
        <w:rPr>
          <w:rFonts w:ascii="Times New Roman" w:hAnsi="Times New Roman" w:cs="Times New Roman"/>
          <w:sz w:val="24"/>
          <w:szCs w:val="24"/>
          <w:lang w:bidi="ar-SA"/>
        </w:rPr>
      </w:pPr>
      <w:r w:rsidRPr="009B5102">
        <w:rPr>
          <w:rFonts w:ascii="Times New Roman" w:hAnsi="Times New Roman" w:cs="Times New Roman"/>
          <w:sz w:val="24"/>
          <w:szCs w:val="24"/>
          <w:lang w:bidi="ar-SA"/>
        </w:rPr>
        <w:t>Thus, from the sponsor’s point of view, it was the concordance of the target audiences together with the ‘ideological’ affinity which eventually led to the decision to sponsor the programme. Branding, therefore, is not only used to promote a certain set of values, but to define a group, a certain segment of the market, through these values</w:t>
      </w:r>
      <w:r>
        <w:rPr>
          <w:rFonts w:ascii="Times New Roman" w:hAnsi="Times New Roman" w:cs="Times New Roman"/>
          <w:sz w:val="24"/>
          <w:szCs w:val="24"/>
          <w:lang w:bidi="ar-SA"/>
        </w:rPr>
        <w:t xml:space="preserve"> (Arvidsson, 2006; Lury, 2004; Moor, 2007)</w:t>
      </w:r>
      <w:r w:rsidRPr="009B5102">
        <w:rPr>
          <w:rFonts w:ascii="Times New Roman" w:hAnsi="Times New Roman" w:cs="Times New Roman"/>
          <w:sz w:val="24"/>
          <w:szCs w:val="24"/>
          <w:lang w:bidi="ar-SA"/>
        </w:rPr>
        <w:t xml:space="preserve">. Once this similarity was identified by the brand, direct conversations were held with the production team while the format was in development to reach a final agreement as to the ways in which the brand would be integrated in the programme.  </w:t>
      </w:r>
    </w:p>
    <w:p w14:paraId="503A4A86" w14:textId="77777777" w:rsidR="00497B7D" w:rsidRPr="009B5102" w:rsidRDefault="00497B7D" w:rsidP="00346CA5">
      <w:pPr>
        <w:spacing w:line="360" w:lineRule="auto"/>
        <w:jc w:val="center"/>
        <w:rPr>
          <w:rFonts w:ascii="Times New Roman" w:hAnsi="Times New Roman" w:cs="Times New Roman"/>
          <w:b/>
          <w:bCs/>
          <w:i/>
          <w:iCs/>
          <w:sz w:val="24"/>
          <w:szCs w:val="24"/>
        </w:rPr>
      </w:pPr>
    </w:p>
    <w:p w14:paraId="6749D563" w14:textId="77777777" w:rsidR="00497B7D" w:rsidRPr="009B5102" w:rsidRDefault="00497B7D" w:rsidP="00346CA5">
      <w:pPr>
        <w:pStyle w:val="Heading2"/>
        <w:rPr>
          <w:i/>
          <w:iCs/>
        </w:rPr>
      </w:pPr>
      <w:bookmarkStart w:id="13" w:name="_Toc445202670"/>
      <w:r w:rsidRPr="009B5102">
        <w:rPr>
          <w:i/>
          <w:iCs/>
        </w:rPr>
        <w:t xml:space="preserve">Overdraft Family, </w:t>
      </w:r>
      <w:r w:rsidRPr="009B5102">
        <w:t>Bank Hapo’alim and Shufersal-Deal</w:t>
      </w:r>
      <w:bookmarkEnd w:id="13"/>
    </w:p>
    <w:p w14:paraId="168C2796" w14:textId="77777777" w:rsidR="00497B7D" w:rsidRPr="009B5102" w:rsidRDefault="00497B7D" w:rsidP="00346CA5">
      <w:pPr>
        <w:pStyle w:val="Heading3"/>
      </w:pPr>
      <w:bookmarkStart w:id="14" w:name="_Toc445202671"/>
      <w:r w:rsidRPr="009B5102">
        <w:t>Channel 2’s format</w:t>
      </w:r>
      <w:r>
        <w:t xml:space="preserve"> for</w:t>
      </w:r>
      <w:r w:rsidRPr="009B5102">
        <w:t xml:space="preserve"> </w:t>
      </w:r>
      <w:r w:rsidRPr="009B5102">
        <w:rPr>
          <w:i/>
          <w:iCs/>
        </w:rPr>
        <w:t>Overdraft Family</w:t>
      </w:r>
      <w:bookmarkEnd w:id="14"/>
    </w:p>
    <w:p w14:paraId="19D75932"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background for the development of the reality-based Israeli format </w:t>
      </w:r>
      <w:r w:rsidRPr="009B5102">
        <w:rPr>
          <w:rFonts w:ascii="Times New Roman" w:hAnsi="Times New Roman" w:cs="Times New Roman"/>
          <w:i/>
          <w:iCs/>
          <w:sz w:val="24"/>
          <w:szCs w:val="24"/>
        </w:rPr>
        <w:t>Overdraft Family</w:t>
      </w:r>
      <w:r w:rsidRPr="009B5102">
        <w:rPr>
          <w:rFonts w:ascii="Times New Roman" w:hAnsi="Times New Roman" w:cs="Times New Roman"/>
          <w:sz w:val="24"/>
          <w:szCs w:val="24"/>
        </w:rPr>
        <w:t xml:space="preserve"> was the change in overdraft policy introduced by the Bank of Israel</w:t>
      </w:r>
      <w:r w:rsidRPr="00B93D25">
        <w:rPr>
          <w:rStyle w:val="FootnoteReference"/>
        </w:rPr>
        <w:footnoteReference w:id="27"/>
      </w:r>
      <w:r w:rsidRPr="009B5102">
        <w:rPr>
          <w:rFonts w:ascii="Times New Roman" w:hAnsi="Times New Roman" w:cs="Times New Roman"/>
          <w:sz w:val="24"/>
          <w:szCs w:val="24"/>
        </w:rPr>
        <w:t xml:space="preserve"> in 2006. According to the new regulations, from June 2006 current account holders in Israeli banks were not to be allowed any overdraft withdrawals beyond the personal framework pre-approved by the bank. The new regulations’ purpose was to drastically change the culture of overdraft withdrawals from current </w:t>
      </w:r>
      <w:r w:rsidRPr="009B5102">
        <w:rPr>
          <w:rFonts w:ascii="Times New Roman" w:hAnsi="Times New Roman" w:cs="Times New Roman"/>
          <w:sz w:val="24"/>
          <w:szCs w:val="24"/>
        </w:rPr>
        <w:lastRenderedPageBreak/>
        <w:t xml:space="preserve">accounts. It aimed to have a twofold impact: to obligate account holders to be more responsible in the management of their income and expenses and also to prevent banks from charging high commissions for overdraft withdrawals.  </w:t>
      </w:r>
    </w:p>
    <w:p w14:paraId="75859360"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commissioning editor of </w:t>
      </w:r>
      <w:r w:rsidRPr="009B5102">
        <w:rPr>
          <w:rFonts w:ascii="Times New Roman" w:hAnsi="Times New Roman" w:cs="Times New Roman"/>
          <w:i/>
          <w:iCs/>
          <w:sz w:val="24"/>
          <w:szCs w:val="24"/>
        </w:rPr>
        <w:t>Overdraft Family</w:t>
      </w:r>
      <w:r w:rsidRPr="009B5102">
        <w:rPr>
          <w:rFonts w:ascii="Times New Roman" w:hAnsi="Times New Roman" w:cs="Times New Roman"/>
          <w:sz w:val="24"/>
          <w:szCs w:val="24"/>
        </w:rPr>
        <w:t>, Orit Koren</w:t>
      </w:r>
      <w:r w:rsidRPr="00B93D25">
        <w:rPr>
          <w:rStyle w:val="FootnoteReference"/>
        </w:rPr>
        <w:footnoteReference w:id="28"/>
      </w:r>
      <w:r w:rsidRPr="009B5102">
        <w:rPr>
          <w:rFonts w:ascii="Times New Roman" w:hAnsi="Times New Roman" w:cs="Times New Roman"/>
          <w:sz w:val="24"/>
          <w:szCs w:val="24"/>
        </w:rPr>
        <w:t>, recalls that the idea for the new programme came from the press reports on the new overdraft regulations:</w:t>
      </w:r>
    </w:p>
    <w:p w14:paraId="2073BD44"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I saw big articles on the state’s initiative to put an end to overdraft withdrawals. Interviewees admitted they just cannot live without [an] overdraft. The reports presented statistics on the percentage of people who have [an] overdraft on their current accounts. </w:t>
      </w:r>
    </w:p>
    <w:p w14:paraId="1330A90E"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Just at the same time, </w:t>
      </w:r>
      <w:r w:rsidRPr="009B5102">
        <w:rPr>
          <w:rFonts w:ascii="Times New Roman" w:hAnsi="Times New Roman" w:cs="Times New Roman"/>
          <w:i/>
          <w:iCs/>
          <w:sz w:val="24"/>
          <w:szCs w:val="24"/>
        </w:rPr>
        <w:t>Supernanny</w:t>
      </w:r>
      <w:r w:rsidRPr="009B5102">
        <w:rPr>
          <w:rFonts w:ascii="Times New Roman" w:hAnsi="Times New Roman" w:cs="Times New Roman"/>
          <w:sz w:val="24"/>
          <w:szCs w:val="24"/>
        </w:rPr>
        <w:t xml:space="preserve"> came out in many countries. I loved it. I thought– if there can be a way to coach people on how to raise their children, there must be a way to coach people on how to manage their money. We all know that one and one is two, but there must be something else there that does not allow us to stay within the framework... It is about emotional wounds, not a lack of knowledge of mathematics… So, I thought, I’ll take the </w:t>
      </w:r>
      <w:r w:rsidRPr="009B5102">
        <w:rPr>
          <w:rFonts w:ascii="Times New Roman" w:hAnsi="Times New Roman" w:cs="Times New Roman"/>
          <w:i/>
          <w:iCs/>
          <w:sz w:val="24"/>
          <w:szCs w:val="24"/>
        </w:rPr>
        <w:t xml:space="preserve">Supernanny </w:t>
      </w:r>
      <w:r w:rsidRPr="009B5102">
        <w:rPr>
          <w:rFonts w:ascii="Times New Roman" w:hAnsi="Times New Roman" w:cs="Times New Roman"/>
          <w:sz w:val="24"/>
          <w:szCs w:val="24"/>
        </w:rPr>
        <w:t xml:space="preserve">model and implement it, with some changes, on people who have crazy overdrafts. I saw good potential for a prime-time programme, because it touches everyone… everyone had overdrafts </w:t>
      </w:r>
      <w:r w:rsidRPr="009B5102">
        <w:rPr>
          <w:rFonts w:ascii="Times New Roman" w:hAnsi="Times New Roman" w:cs="Times New Roman"/>
          <w:noProof/>
          <w:sz w:val="24"/>
          <w:szCs w:val="24"/>
        </w:rPr>
        <w:t>(Koren, 2011)</w:t>
      </w:r>
      <w:r w:rsidRPr="009B5102">
        <w:rPr>
          <w:rFonts w:ascii="Times New Roman" w:hAnsi="Times New Roman" w:cs="Times New Roman"/>
          <w:sz w:val="24"/>
          <w:szCs w:val="24"/>
        </w:rPr>
        <w:t xml:space="preserve">. </w:t>
      </w:r>
    </w:p>
    <w:p w14:paraId="4CD23F46"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manager of the development department was supportive of the idea and the Ma’agalot production company was commissioned to further develop the format. </w:t>
      </w:r>
    </w:p>
    <w:p w14:paraId="38D23B52"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Tzipi Rosenblum </w:t>
      </w:r>
      <w:r w:rsidRPr="009B5102">
        <w:rPr>
          <w:rFonts w:ascii="Times New Roman" w:hAnsi="Times New Roman" w:cs="Times New Roman"/>
          <w:noProof/>
          <w:sz w:val="24"/>
          <w:szCs w:val="24"/>
        </w:rPr>
        <w:t>(2011)</w:t>
      </w:r>
      <w:r w:rsidRPr="009B5102">
        <w:rPr>
          <w:rFonts w:ascii="Times New Roman" w:hAnsi="Times New Roman" w:cs="Times New Roman"/>
          <w:sz w:val="24"/>
          <w:szCs w:val="24"/>
        </w:rPr>
        <w:t xml:space="preserve">, an editor at Ma’agalot who worked on the project, remembers that “everyone was looking to develop a series on finance in light of the change in overdraft policy, but no one did it. They got stuck, because economics is boring”. She described her feeling of desperation when she was trying to think how to approach the topic, “because I thought – what do I have to do with finance? I don’t know anything about this”, but the breakthrough came </w:t>
      </w:r>
      <w:r w:rsidRPr="009B5102">
        <w:rPr>
          <w:rFonts w:ascii="Times New Roman" w:hAnsi="Times New Roman" w:cs="Times New Roman"/>
          <w:sz w:val="24"/>
          <w:szCs w:val="24"/>
        </w:rPr>
        <w:lastRenderedPageBreak/>
        <w:t>when she realised that she had an overdraft herself and was trying to think of how to change her own situation:</w:t>
      </w:r>
    </w:p>
    <w:p w14:paraId="743A78ED"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I could move in with a flatmate, or leave Tel-Aviv, I could ride a bike instead of a motorbike. It then hit me that the overdraft is not about the gap between your income and expenses. It is about behaviour and it all starts and ends in your head. And there I had an idea for a series. I realised that the series would deal with behaviour that either produces money or prevents income or encourages expenses; behaviour that prevents us from making a change in our life (Rosenblum, 2011). </w:t>
      </w:r>
    </w:p>
    <w:p w14:paraId="023E0886" w14:textId="557D97DC" w:rsidR="00497B7D" w:rsidRPr="009B5102" w:rsidRDefault="00497B7D" w:rsidP="00346CA5">
      <w:pPr>
        <w:spacing w:line="360" w:lineRule="auto"/>
        <w:outlineLvl w:val="2"/>
        <w:rPr>
          <w:rFonts w:ascii="Times New Roman" w:hAnsi="Times New Roman" w:cs="Times New Roman"/>
          <w:b/>
          <w:bCs/>
          <w:sz w:val="24"/>
          <w:szCs w:val="24"/>
        </w:rPr>
      </w:pPr>
    </w:p>
    <w:p w14:paraId="20D9A9DD" w14:textId="77777777" w:rsidR="00497B7D" w:rsidRPr="009B5102" w:rsidRDefault="00497B7D" w:rsidP="00346CA5">
      <w:pPr>
        <w:pStyle w:val="Heading3"/>
      </w:pPr>
      <w:bookmarkStart w:id="15" w:name="_Toc445202672"/>
      <w:r w:rsidRPr="009B5102">
        <w:t>The Sponsorship Agreement with Bank Hapo’alim</w:t>
      </w:r>
      <w:bookmarkEnd w:id="15"/>
      <w:r w:rsidRPr="009B5102">
        <w:t xml:space="preserve"> </w:t>
      </w:r>
    </w:p>
    <w:p w14:paraId="59564B11"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search for sponsors for the new programme began, according to Koren, during the production of the pilot. </w:t>
      </w:r>
    </w:p>
    <w:p w14:paraId="5E8ABC77" w14:textId="072A11B9"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We presented the format to the </w:t>
      </w:r>
      <w:r w:rsidR="00181C52" w:rsidRPr="009B5102">
        <w:rPr>
          <w:rFonts w:ascii="Times New Roman" w:hAnsi="Times New Roman" w:cs="Times New Roman"/>
          <w:sz w:val="24"/>
          <w:szCs w:val="24"/>
        </w:rPr>
        <w:t xml:space="preserve">marketing </w:t>
      </w:r>
      <w:r w:rsidR="00181C52" w:rsidRPr="009B5102">
        <w:rPr>
          <w:rFonts w:ascii="Times New Roman" w:hAnsi="Times New Roman" w:cs="Times New Roman"/>
          <w:sz w:val="24"/>
          <w:szCs w:val="24"/>
          <w:vertAlign w:val="superscript"/>
        </w:rPr>
        <w:t>[</w:t>
      </w:r>
      <w:r w:rsidRPr="009B5102">
        <w:rPr>
          <w:rFonts w:ascii="Times New Roman" w:hAnsi="Times New Roman" w:cs="Times New Roman"/>
          <w:sz w:val="24"/>
          <w:szCs w:val="24"/>
        </w:rPr>
        <w:t xml:space="preserve">division] and we could see right away the potential for a bank’s sponsorship. It was completely obvious. The idea for the format came from the reports on the decision to change the overdraft policy, so the banks themselves may be interested in communicating such messages </w:t>
      </w:r>
      <w:r w:rsidRPr="009B5102">
        <w:rPr>
          <w:rFonts w:ascii="Times New Roman" w:hAnsi="Times New Roman" w:cs="Times New Roman"/>
          <w:noProof/>
          <w:sz w:val="24"/>
          <w:szCs w:val="24"/>
        </w:rPr>
        <w:t>(Koren, 2011)</w:t>
      </w:r>
      <w:r w:rsidRPr="009B5102">
        <w:rPr>
          <w:rFonts w:ascii="Times New Roman" w:hAnsi="Times New Roman" w:cs="Times New Roman"/>
          <w:sz w:val="24"/>
          <w:szCs w:val="24"/>
        </w:rPr>
        <w:t xml:space="preserve">. </w:t>
      </w:r>
    </w:p>
    <w:p w14:paraId="0B6D13A6"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 xml:space="preserve">In contrast to the case of </w:t>
      </w:r>
      <w:r w:rsidRPr="009B5102">
        <w:rPr>
          <w:rFonts w:ascii="Times New Roman" w:hAnsi="Times New Roman" w:cs="Times New Roman"/>
          <w:i/>
          <w:iCs/>
          <w:sz w:val="24"/>
          <w:szCs w:val="24"/>
        </w:rPr>
        <w:t>HTLGN</w:t>
      </w:r>
      <w:r w:rsidRPr="009B5102">
        <w:rPr>
          <w:rFonts w:ascii="Times New Roman" w:hAnsi="Times New Roman" w:cs="Times New Roman"/>
          <w:sz w:val="24"/>
          <w:szCs w:val="24"/>
        </w:rPr>
        <w:t xml:space="preserve">, in the Israeli production the developers of the format were involved in the search for sponsors for the programme from the start. </w:t>
      </w:r>
    </w:p>
    <w:p w14:paraId="729788CA"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As Koren explained:</w:t>
      </w:r>
    </w:p>
    <w:p w14:paraId="3A67A425"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We had meetings with several banks. It was I, together with the marketing. The creator of the programme will never go alone for such a meeting </w:t>
      </w:r>
      <w:r w:rsidRPr="009B5102">
        <w:rPr>
          <w:rFonts w:ascii="Times New Roman" w:hAnsi="Times New Roman" w:cs="Times New Roman"/>
          <w:noProof/>
          <w:sz w:val="24"/>
          <w:szCs w:val="24"/>
        </w:rPr>
        <w:t>(Koren, 2011)</w:t>
      </w:r>
      <w:r w:rsidRPr="009B5102">
        <w:rPr>
          <w:rFonts w:ascii="Times New Roman" w:hAnsi="Times New Roman" w:cs="Times New Roman"/>
          <w:sz w:val="24"/>
          <w:szCs w:val="24"/>
        </w:rPr>
        <w:t>.</w:t>
      </w:r>
    </w:p>
    <w:p w14:paraId="3510F589"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The head of the commercial co-operation department at</w:t>
      </w:r>
      <w:r w:rsidRPr="009B5102">
        <w:rPr>
          <w:rFonts w:ascii="Times New Roman" w:hAnsi="Times New Roman" w:cs="Times New Roman"/>
          <w:i/>
          <w:iCs/>
          <w:sz w:val="24"/>
          <w:szCs w:val="24"/>
        </w:rPr>
        <w:t xml:space="preserve"> </w:t>
      </w:r>
      <w:r w:rsidRPr="009B5102">
        <w:rPr>
          <w:rFonts w:ascii="Times New Roman" w:hAnsi="Times New Roman" w:cs="Times New Roman"/>
          <w:sz w:val="24"/>
          <w:szCs w:val="24"/>
        </w:rPr>
        <w:t>Reshet in 2006, Ori Goldberg, recalls his impressions of the new format that was presented by the development department:</w:t>
      </w:r>
    </w:p>
    <w:p w14:paraId="66A8574B" w14:textId="77777777" w:rsidR="00497B7D" w:rsidRPr="009B5102" w:rsidRDefault="00497B7D" w:rsidP="00346CA5">
      <w:pPr>
        <w:spacing w:after="240" w:line="360" w:lineRule="auto"/>
        <w:ind w:left="1304" w:right="1304"/>
        <w:jc w:val="both"/>
        <w:rPr>
          <w:rFonts w:ascii="Times New Roman" w:hAnsi="Times New Roman" w:cs="Times New Roman"/>
          <w:sz w:val="24"/>
          <w:szCs w:val="24"/>
          <w:rtl/>
        </w:rPr>
      </w:pPr>
      <w:r w:rsidRPr="009B5102">
        <w:rPr>
          <w:rFonts w:ascii="Times New Roman" w:hAnsi="Times New Roman" w:cs="Times New Roman"/>
          <w:sz w:val="24"/>
          <w:szCs w:val="24"/>
        </w:rPr>
        <w:lastRenderedPageBreak/>
        <w:t>It was a ‘bingo’, the way it perfectly fit the timing and the brief of Bank Hapo’alim at that time. Because there was that decision by the state to put an end to the overdrafts, so Hapo'alim took a strategic decision to address the issue of family financial planning. If they are a leading bank, if “Being number 1 is a commitment”</w:t>
      </w:r>
      <w:r w:rsidRPr="00B93D25">
        <w:rPr>
          <w:rStyle w:val="FootnoteReference"/>
        </w:rPr>
        <w:footnoteReference w:id="29"/>
      </w:r>
      <w:r w:rsidRPr="009B5102">
        <w:rPr>
          <w:rFonts w:ascii="Times New Roman" w:hAnsi="Times New Roman" w:cs="Times New Roman"/>
          <w:sz w:val="24"/>
          <w:szCs w:val="24"/>
        </w:rPr>
        <w:t xml:space="preserve">, so they should be accountable, and they used it for marketing purposes: I, the bank, will educate my customers about how to manage their money, I don’t want them to go bankrupt just because of inadequate self-management </w:t>
      </w:r>
      <w:r w:rsidRPr="009B5102">
        <w:rPr>
          <w:rFonts w:ascii="Times New Roman" w:hAnsi="Times New Roman" w:cs="Times New Roman"/>
          <w:noProof/>
          <w:sz w:val="24"/>
          <w:szCs w:val="24"/>
        </w:rPr>
        <w:t>(Goldberg, 2011)</w:t>
      </w:r>
      <w:r w:rsidRPr="009B5102">
        <w:rPr>
          <w:rFonts w:ascii="Times New Roman" w:hAnsi="Times New Roman" w:cs="Times New Roman"/>
          <w:sz w:val="24"/>
          <w:szCs w:val="24"/>
        </w:rPr>
        <w:t xml:space="preserve">. </w:t>
      </w:r>
    </w:p>
    <w:p w14:paraId="6329BFDF"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Goldberg describes his mission as:</w:t>
      </w:r>
    </w:p>
    <w:p w14:paraId="53B2AFDE"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Blending commercial briefs</w:t>
      </w:r>
      <w:r w:rsidRPr="00B93D25">
        <w:rPr>
          <w:rStyle w:val="FootnoteReference"/>
        </w:rPr>
        <w:footnoteReference w:id="30"/>
      </w:r>
      <w:r w:rsidRPr="009B5102">
        <w:rPr>
          <w:rFonts w:ascii="Times New Roman" w:hAnsi="Times New Roman" w:cs="Times New Roman"/>
          <w:sz w:val="24"/>
          <w:szCs w:val="24"/>
        </w:rPr>
        <w:t xml:space="preserve"> with what the programming division is producing, or in some more extreme cases I impose on the programming division to produce solutions. I will tell them – there’s this big brief, which format can go with it? But it works the other way around - I’ll come and say to an agency, “We have this programme on economics, how can that work for the bank?” </w:t>
      </w:r>
      <w:r w:rsidRPr="009B5102">
        <w:rPr>
          <w:rFonts w:ascii="Times New Roman" w:hAnsi="Times New Roman" w:cs="Times New Roman"/>
          <w:noProof/>
          <w:sz w:val="24"/>
          <w:szCs w:val="24"/>
        </w:rPr>
        <w:t>(Goldberg, 2011)</w:t>
      </w:r>
      <w:r w:rsidRPr="009B5102">
        <w:rPr>
          <w:rFonts w:ascii="Times New Roman" w:hAnsi="Times New Roman" w:cs="Times New Roman"/>
          <w:sz w:val="24"/>
          <w:szCs w:val="24"/>
        </w:rPr>
        <w:t xml:space="preserve">. </w:t>
      </w:r>
    </w:p>
    <w:p w14:paraId="0911BA08"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 xml:space="preserve">Finally, at Bank Hapo’alim, it was the manager of marketing communications, Sharon Landsman, who took the decision to invest in a sponsorship deal for </w:t>
      </w:r>
      <w:r w:rsidRPr="009B5102">
        <w:rPr>
          <w:rFonts w:ascii="Times New Roman" w:hAnsi="Times New Roman" w:cs="Times New Roman"/>
          <w:i/>
          <w:iCs/>
          <w:sz w:val="24"/>
          <w:szCs w:val="24"/>
        </w:rPr>
        <w:t>Overdraft Family</w:t>
      </w:r>
      <w:r w:rsidRPr="009B5102">
        <w:rPr>
          <w:rFonts w:ascii="Times New Roman" w:hAnsi="Times New Roman" w:cs="Times New Roman"/>
          <w:sz w:val="24"/>
          <w:szCs w:val="24"/>
        </w:rPr>
        <w:t xml:space="preserve">. She explains the bank’s interest in doing so: </w:t>
      </w:r>
    </w:p>
    <w:p w14:paraId="081A8B58"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We believe that if our clients learn how to manage their money better, it will be better for them and for the bank... This is because the bank’s profit model is based on risk management. The interest we charge is a function of our estimation as to how many people will be able to return loans and how many will not. There are many people who took loans, which they simply cannot return. There are people who can’t pay their </w:t>
      </w:r>
      <w:r w:rsidRPr="009B5102">
        <w:rPr>
          <w:rFonts w:ascii="Times New Roman" w:hAnsi="Times New Roman" w:cs="Times New Roman"/>
          <w:sz w:val="24"/>
          <w:szCs w:val="24"/>
        </w:rPr>
        <w:lastRenderedPageBreak/>
        <w:t xml:space="preserve">mortgage and even if we’ll sell their house we will not be able to get back all the money we gave them </w:t>
      </w:r>
      <w:r w:rsidRPr="009B5102">
        <w:rPr>
          <w:rFonts w:ascii="Times New Roman" w:hAnsi="Times New Roman" w:cs="Times New Roman"/>
          <w:noProof/>
          <w:sz w:val="24"/>
          <w:szCs w:val="24"/>
        </w:rPr>
        <w:t>(Landsman, 2012)</w:t>
      </w:r>
      <w:r w:rsidRPr="009B5102">
        <w:rPr>
          <w:rFonts w:ascii="Times New Roman" w:hAnsi="Times New Roman" w:cs="Times New Roman"/>
          <w:sz w:val="24"/>
          <w:szCs w:val="24"/>
        </w:rPr>
        <w:t xml:space="preserve">. </w:t>
      </w:r>
    </w:p>
    <w:p w14:paraId="7D60588D"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 xml:space="preserve">When asked if this means that in practice the bank has a financial incentive to ensure that many of its clients take loans, but also that these will be repaid, she replied: </w:t>
      </w:r>
    </w:p>
    <w:p w14:paraId="74321227"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That’s correct. The best clients are those that take loans from us and are able to return them </w:t>
      </w:r>
      <w:r w:rsidRPr="009B5102">
        <w:rPr>
          <w:rFonts w:ascii="Times New Roman" w:hAnsi="Times New Roman" w:cs="Times New Roman"/>
          <w:noProof/>
          <w:sz w:val="24"/>
          <w:szCs w:val="24"/>
        </w:rPr>
        <w:t>(Landsman, 2012)</w:t>
      </w:r>
      <w:r w:rsidRPr="009B5102">
        <w:rPr>
          <w:rFonts w:ascii="Times New Roman" w:hAnsi="Times New Roman" w:cs="Times New Roman"/>
          <w:sz w:val="24"/>
          <w:szCs w:val="24"/>
        </w:rPr>
        <w:t>.</w:t>
      </w:r>
      <w:r w:rsidRPr="009B5102" w:rsidDel="00830716">
        <w:rPr>
          <w:rFonts w:ascii="Times New Roman" w:hAnsi="Times New Roman" w:cs="Times New Roman"/>
          <w:sz w:val="24"/>
          <w:szCs w:val="24"/>
        </w:rPr>
        <w:t xml:space="preserve"> </w:t>
      </w:r>
      <w:r w:rsidRPr="009B5102">
        <w:rPr>
          <w:rFonts w:ascii="Times New Roman" w:hAnsi="Times New Roman" w:cs="Times New Roman"/>
          <w:sz w:val="24"/>
          <w:szCs w:val="24"/>
        </w:rPr>
        <w:t xml:space="preserve"> </w:t>
      </w:r>
    </w:p>
    <w:p w14:paraId="3FEF68F7"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 xml:space="preserve">Landsman was made aware of the new format directly through the commercial co-operation department at Reshet. </w:t>
      </w:r>
    </w:p>
    <w:p w14:paraId="5E9A9CE0" w14:textId="77777777" w:rsidR="00497B7D" w:rsidRPr="009B5102" w:rsidRDefault="00497B7D" w:rsidP="00346CA5">
      <w:pPr>
        <w:spacing w:line="360" w:lineRule="auto"/>
        <w:ind w:left="1304" w:right="1304"/>
        <w:jc w:val="both"/>
        <w:rPr>
          <w:rFonts w:ascii="Times New Roman" w:hAnsi="Times New Roman" w:cs="Times New Roman"/>
          <w:sz w:val="24"/>
          <w:szCs w:val="24"/>
        </w:rPr>
      </w:pPr>
      <w:r w:rsidRPr="009B5102">
        <w:rPr>
          <w:rFonts w:ascii="Times New Roman" w:hAnsi="Times New Roman" w:cs="Times New Roman"/>
          <w:sz w:val="24"/>
          <w:szCs w:val="24"/>
        </w:rPr>
        <w:t xml:space="preserve">Before a new season begins, we have a lot of proposals; broadcasters are looking for sponsors for all their new programmes, so I can have proposals from six different programmes. In this case, we were approached at an early stage, before they even had the presenter... And, to be honest, it’s funny, I tell people that I don’t know how this happened, but right at the first meeting I said, “We’re with you on this one” </w:t>
      </w:r>
      <w:r w:rsidRPr="009B5102">
        <w:rPr>
          <w:rFonts w:ascii="Times New Roman" w:hAnsi="Times New Roman" w:cs="Times New Roman"/>
          <w:noProof/>
          <w:sz w:val="24"/>
          <w:szCs w:val="24"/>
        </w:rPr>
        <w:t>(Landsman, 2012)</w:t>
      </w:r>
      <w:r w:rsidRPr="009B5102">
        <w:rPr>
          <w:rFonts w:ascii="Times New Roman" w:hAnsi="Times New Roman" w:cs="Times New Roman"/>
          <w:sz w:val="24"/>
          <w:szCs w:val="24"/>
        </w:rPr>
        <w:t xml:space="preserve">. </w:t>
      </w:r>
    </w:p>
    <w:p w14:paraId="6C8132B6"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Thus, similarly to the case of </w:t>
      </w:r>
      <w:r w:rsidRPr="009B5102">
        <w:rPr>
          <w:rFonts w:ascii="Times New Roman" w:hAnsi="Times New Roman" w:cs="Times New Roman"/>
          <w:i/>
          <w:iCs/>
          <w:sz w:val="24"/>
          <w:szCs w:val="24"/>
        </w:rPr>
        <w:t>HTLGN</w:t>
      </w:r>
      <w:r w:rsidRPr="009B5102">
        <w:rPr>
          <w:rFonts w:ascii="Times New Roman" w:hAnsi="Times New Roman" w:cs="Times New Roman"/>
          <w:sz w:val="24"/>
          <w:szCs w:val="24"/>
        </w:rPr>
        <w:t xml:space="preserve">, once the marketing professional had identified a conjunction between the brand’s messages and those of the programme, the way for a sponsorship deal was open.    </w:t>
      </w:r>
    </w:p>
    <w:p w14:paraId="33835B31" w14:textId="77777777" w:rsidR="00497B7D" w:rsidRPr="009B5102" w:rsidRDefault="00497B7D" w:rsidP="00346CA5">
      <w:pPr>
        <w:spacing w:line="360" w:lineRule="auto"/>
        <w:outlineLvl w:val="2"/>
        <w:rPr>
          <w:rFonts w:ascii="Times New Roman" w:hAnsi="Times New Roman" w:cs="Times New Roman"/>
          <w:b/>
          <w:bCs/>
          <w:sz w:val="24"/>
          <w:szCs w:val="24"/>
        </w:rPr>
      </w:pPr>
    </w:p>
    <w:p w14:paraId="514E3001" w14:textId="77777777" w:rsidR="00497B7D" w:rsidRPr="009B5102" w:rsidRDefault="00497B7D" w:rsidP="00346CA5">
      <w:pPr>
        <w:pStyle w:val="Heading3"/>
      </w:pPr>
      <w:bookmarkStart w:id="16" w:name="_Toc445202673"/>
      <w:r w:rsidRPr="009B5102">
        <w:t>The Sponsorship Agreement with Shufersal-Deal</w:t>
      </w:r>
      <w:bookmarkEnd w:id="16"/>
    </w:p>
    <w:p w14:paraId="3F9481F6"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 Israeli food chain Shufersal-Deal joined as another formal sponsor of </w:t>
      </w:r>
      <w:r w:rsidRPr="009B5102">
        <w:rPr>
          <w:rFonts w:ascii="Times New Roman" w:hAnsi="Times New Roman" w:cs="Times New Roman"/>
          <w:i/>
          <w:iCs/>
          <w:sz w:val="24"/>
          <w:szCs w:val="24"/>
        </w:rPr>
        <w:t>Overdraft Family</w:t>
      </w:r>
      <w:r w:rsidRPr="009B5102">
        <w:rPr>
          <w:rFonts w:ascii="Times New Roman" w:hAnsi="Times New Roman" w:cs="Times New Roman"/>
          <w:sz w:val="24"/>
          <w:szCs w:val="24"/>
        </w:rPr>
        <w:t xml:space="preserve"> during the fourth and fifth series, in 2009-2010. Shufersal-Deal</w:t>
      </w:r>
      <w:r w:rsidRPr="00B93D25">
        <w:rPr>
          <w:rStyle w:val="FootnoteReference"/>
        </w:rPr>
        <w:footnoteReference w:id="31"/>
      </w:r>
      <w:r w:rsidRPr="009B5102">
        <w:rPr>
          <w:rFonts w:ascii="Times New Roman" w:hAnsi="Times New Roman" w:cs="Times New Roman"/>
          <w:sz w:val="24"/>
          <w:szCs w:val="24"/>
        </w:rPr>
        <w:t xml:space="preserve"> is a low-cost sub-branch of the </w:t>
      </w:r>
      <w:r w:rsidRPr="009B5102">
        <w:rPr>
          <w:rFonts w:ascii="Times New Roman" w:hAnsi="Times New Roman" w:cs="Times New Roman"/>
          <w:sz w:val="24"/>
          <w:szCs w:val="24"/>
        </w:rPr>
        <w:lastRenderedPageBreak/>
        <w:t>Shufersal food chain</w:t>
      </w:r>
      <w:r w:rsidRPr="00B93D25">
        <w:rPr>
          <w:rStyle w:val="FootnoteReference"/>
        </w:rPr>
        <w:footnoteReference w:id="32"/>
      </w:r>
      <w:r w:rsidRPr="009B5102">
        <w:rPr>
          <w:rFonts w:ascii="Times New Roman" w:hAnsi="Times New Roman" w:cs="Times New Roman"/>
          <w:sz w:val="24"/>
          <w:szCs w:val="24"/>
        </w:rPr>
        <w:t>. It operates on the basis of an ‘everyday low price’ (EDLP) pricing strategy promising consumers low prices on a regular basis and thus has adopted the slogan “Your money buys more”.</w:t>
      </w:r>
    </w:p>
    <w:p w14:paraId="3F4A8DEA"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It was only during the fourth series of </w:t>
      </w:r>
      <w:r w:rsidRPr="009B5102">
        <w:rPr>
          <w:rFonts w:ascii="Times New Roman" w:hAnsi="Times New Roman" w:cs="Times New Roman"/>
          <w:i/>
          <w:iCs/>
          <w:sz w:val="24"/>
          <w:szCs w:val="24"/>
        </w:rPr>
        <w:t>Overdraft Family</w:t>
      </w:r>
      <w:r w:rsidRPr="009B5102">
        <w:rPr>
          <w:rFonts w:ascii="Times New Roman" w:hAnsi="Times New Roman" w:cs="Times New Roman"/>
          <w:sz w:val="24"/>
          <w:szCs w:val="24"/>
        </w:rPr>
        <w:t xml:space="preserve"> that the marketing manager of Shufersal-Deal, Dafi Kaminitz, was convinced by the branded content arm of the Gitam-BBDO agency to invest in sponsorship of the programme. The arguments used in this dialogue were related to the opportunity for the brand to be involved in a ‘public’ message, i.e. communicative action, in relation to ‘smart consumption’. </w:t>
      </w:r>
    </w:p>
    <w:p w14:paraId="2A3311CA"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Eyal Se’ada, a branded content agent in Gitam-BBDO, described the dialogue with Kaminitz: </w:t>
      </w:r>
    </w:p>
    <w:p w14:paraId="043E4CAD" w14:textId="77777777" w:rsidR="00497B7D" w:rsidRPr="009B5102" w:rsidRDefault="00497B7D" w:rsidP="00346CA5">
      <w:pPr>
        <w:pStyle w:val="Quote"/>
      </w:pPr>
      <w:r w:rsidRPr="009B5102">
        <w:t xml:space="preserve">We came to Shufersal and we told them that the only platform nowadays for communicating Shufersal-Deal through branded content is </w:t>
      </w:r>
      <w:r w:rsidRPr="009B5102">
        <w:rPr>
          <w:i/>
          <w:iCs/>
        </w:rPr>
        <w:t xml:space="preserve">Overdraft Family. </w:t>
      </w:r>
      <w:r w:rsidRPr="009B5102">
        <w:t>It’s because the programme educates people: a. to become smart shoppers, b. to follow a certain budget, and c. to overcome their overdraft. All these values, without exception, are connected to the values of Shufersal-Deal.</w:t>
      </w:r>
    </w:p>
    <w:p w14:paraId="6510379A" w14:textId="77777777" w:rsidR="00497B7D" w:rsidRPr="009B5102" w:rsidRDefault="00497B7D" w:rsidP="00346CA5">
      <w:pPr>
        <w:pStyle w:val="Quote"/>
      </w:pPr>
      <w:r w:rsidRPr="009B5102">
        <w:t xml:space="preserve">What I care about is that people will connect Shufersal with the idea of smart shopping. That is, that at the end of the day, if you let me take it a step further, a person will think, “If I am a smart shopper, I should probably buy at Shufersal-Deal” </w:t>
      </w:r>
      <w:r w:rsidRPr="009B5102">
        <w:rPr>
          <w:noProof/>
        </w:rPr>
        <w:t>(Se'ada, 2011)</w:t>
      </w:r>
      <w:r w:rsidRPr="009B5102">
        <w:t xml:space="preserve">. </w:t>
      </w:r>
    </w:p>
    <w:p w14:paraId="3A31F5F9" w14:textId="77777777" w:rsidR="00497B7D" w:rsidRPr="009B5102" w:rsidRDefault="00497B7D" w:rsidP="00346CA5">
      <w:pPr>
        <w:spacing w:line="360" w:lineRule="auto"/>
        <w:rPr>
          <w:rFonts w:ascii="Times New Roman" w:hAnsi="Times New Roman" w:cs="Times New Roman"/>
          <w:sz w:val="24"/>
          <w:szCs w:val="24"/>
        </w:rPr>
      </w:pPr>
      <w:r w:rsidRPr="009B5102">
        <w:rPr>
          <w:rFonts w:ascii="Times New Roman" w:hAnsi="Times New Roman" w:cs="Times New Roman"/>
          <w:sz w:val="24"/>
          <w:szCs w:val="24"/>
        </w:rPr>
        <w:t xml:space="preserve">Kaminitz, from her side, explained that the goal of the deal was </w:t>
      </w:r>
    </w:p>
    <w:p w14:paraId="29B621EF" w14:textId="77777777" w:rsidR="00497B7D" w:rsidRPr="009B5102" w:rsidRDefault="00497B7D" w:rsidP="00346CA5">
      <w:pPr>
        <w:pStyle w:val="Quote"/>
      </w:pPr>
      <w:r w:rsidRPr="009B5102">
        <w:t xml:space="preserve">… to integrate with the programme’s values, to create a synergy between the brand’s values and the programme’s values which are, in this case, truly perfect </w:t>
      </w:r>
      <w:r w:rsidRPr="009B5102">
        <w:rPr>
          <w:noProof/>
        </w:rPr>
        <w:t>(Kaminitz, 2012)</w:t>
      </w:r>
      <w:r w:rsidRPr="009B5102">
        <w:t xml:space="preserve">.  </w:t>
      </w:r>
    </w:p>
    <w:p w14:paraId="4B408472" w14:textId="1E8A7A0E" w:rsidR="00497B7D" w:rsidRPr="009B5102" w:rsidRDefault="00497B7D" w:rsidP="00346CA5">
      <w:pPr>
        <w:spacing w:line="360" w:lineRule="auto"/>
        <w:rPr>
          <w:rFonts w:ascii="Times New Roman" w:hAnsi="Times New Roman" w:cs="Times New Roman"/>
          <w:sz w:val="24"/>
          <w:szCs w:val="24"/>
          <w:lang w:bidi="ar-SA"/>
        </w:rPr>
      </w:pPr>
      <w:r w:rsidRPr="009B5102">
        <w:rPr>
          <w:rFonts w:ascii="Times New Roman" w:hAnsi="Times New Roman" w:cs="Times New Roman"/>
          <w:sz w:val="24"/>
          <w:szCs w:val="24"/>
          <w:lang w:bidi="ar-SA"/>
        </w:rPr>
        <w:lastRenderedPageBreak/>
        <w:t xml:space="preserve">Once again, what emerges from Se’ada and Kaminitz’s words, is that the key motivation of the brand to enter a sponsorship deal with a television programme was the perceived proximity of the values and ideas that the brand wished to promote to those of the programme. </w:t>
      </w:r>
    </w:p>
    <w:p w14:paraId="0525F337" w14:textId="41794048" w:rsidR="00497B7D" w:rsidRDefault="00497B7D" w:rsidP="00E52E61">
      <w:pPr>
        <w:spacing w:line="360" w:lineRule="auto"/>
        <w:rPr>
          <w:rFonts w:ascii="Times New Roman" w:hAnsi="Times New Roman" w:cs="Times New Roman"/>
          <w:b/>
          <w:bCs/>
          <w:sz w:val="24"/>
          <w:szCs w:val="24"/>
        </w:rPr>
      </w:pPr>
    </w:p>
    <w:p w14:paraId="22872F10" w14:textId="77777777" w:rsidR="00497B7D" w:rsidRPr="009B5102" w:rsidRDefault="00497B7D" w:rsidP="00346CA5">
      <w:pPr>
        <w:pStyle w:val="Heading2"/>
      </w:pPr>
      <w:bookmarkStart w:id="17" w:name="_Toc445202674"/>
      <w:r w:rsidRPr="009B5102">
        <w:t>Summary</w:t>
      </w:r>
      <w:bookmarkEnd w:id="17"/>
    </w:p>
    <w:p w14:paraId="37252F70"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This chapter uncovers the inner workings of embedded branding at its initial phase, that of negotiation and final successful agreement on the formal commercial deals. In both case studies, </w:t>
      </w:r>
      <w:r w:rsidRPr="009B5102">
        <w:rPr>
          <w:rFonts w:ascii="Times New Roman" w:hAnsi="Times New Roman" w:cs="Times New Roman"/>
          <w:i/>
          <w:iCs/>
          <w:sz w:val="24"/>
          <w:szCs w:val="24"/>
        </w:rPr>
        <w:t>HTLGN</w:t>
      </w:r>
      <w:r w:rsidRPr="009B5102">
        <w:rPr>
          <w:rFonts w:ascii="Times New Roman" w:hAnsi="Times New Roman" w:cs="Times New Roman"/>
          <w:sz w:val="24"/>
          <w:szCs w:val="24"/>
        </w:rPr>
        <w:t xml:space="preserve"> and Dove, and </w:t>
      </w:r>
      <w:r w:rsidRPr="009B5102">
        <w:rPr>
          <w:rFonts w:ascii="Times New Roman" w:hAnsi="Times New Roman" w:cs="Times New Roman"/>
          <w:i/>
          <w:iCs/>
          <w:sz w:val="24"/>
          <w:szCs w:val="24"/>
        </w:rPr>
        <w:t>Overdraft Family</w:t>
      </w:r>
      <w:r w:rsidRPr="009B5102">
        <w:rPr>
          <w:rFonts w:ascii="Times New Roman" w:hAnsi="Times New Roman" w:cs="Times New Roman"/>
          <w:sz w:val="24"/>
          <w:szCs w:val="24"/>
        </w:rPr>
        <w:t xml:space="preserve"> and its two main sponsors - Bank Hapo’alim and Shufersal-Deal,</w:t>
      </w:r>
      <w:r w:rsidRPr="009B5102" w:rsidDel="00C444A4">
        <w:rPr>
          <w:rFonts w:ascii="Times New Roman" w:hAnsi="Times New Roman" w:cs="Times New Roman"/>
          <w:sz w:val="24"/>
          <w:szCs w:val="24"/>
        </w:rPr>
        <w:t xml:space="preserve"> </w:t>
      </w:r>
      <w:r w:rsidRPr="009B5102">
        <w:rPr>
          <w:rFonts w:ascii="Times New Roman" w:hAnsi="Times New Roman" w:cs="Times New Roman"/>
          <w:sz w:val="24"/>
          <w:szCs w:val="24"/>
        </w:rPr>
        <w:t xml:space="preserve">the connection between the programme and the sponsor was perceived by both sides as a ‘natural’ one, based on the belief that they share a similar agenda towards the relevant topic, that they are involved in a joint mission to carry a message that may contribute to the public good. </w:t>
      </w:r>
    </w:p>
    <w:p w14:paraId="28999F20"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 xml:space="preserve">There are a few points worth considering here. To begin with, the interaction described here around the conception of the sponsorship agreements conveys the shift corporations wish to present, from their role as profit-oriented bodies with clear commercial goals, to seemingly public oriented bodies and ‘actors’ in the public sphere. This happens through branding processes which aim to create a synergetic link between their strategic commercial goals (transforming </w:t>
      </w:r>
      <w:r w:rsidRPr="009B5102">
        <w:rPr>
          <w:rFonts w:ascii="Times New Roman" w:hAnsi="Times New Roman" w:cs="Times New Roman"/>
          <w:iCs/>
          <w:sz w:val="24"/>
          <w:szCs w:val="24"/>
        </w:rPr>
        <w:t>Dove</w:t>
      </w:r>
      <w:r w:rsidRPr="009B5102">
        <w:rPr>
          <w:rFonts w:ascii="Times New Roman" w:hAnsi="Times New Roman" w:cs="Times New Roman"/>
          <w:sz w:val="24"/>
          <w:szCs w:val="24"/>
        </w:rPr>
        <w:t xml:space="preserve"> into a global self-care brand, encouraging clients of Bank Hapo’alim to be more accountable for their financial management, pushing consumers to prefer Shufersal-Deal over other low-cost food chains) and a seemingly communicative message which carries some public mission (</w:t>
      </w:r>
      <w:r w:rsidRPr="009B5102">
        <w:rPr>
          <w:rFonts w:ascii="Times New Roman" w:hAnsi="Times New Roman" w:cs="Times New Roman"/>
          <w:iCs/>
          <w:sz w:val="24"/>
          <w:szCs w:val="24"/>
        </w:rPr>
        <w:t>Dove</w:t>
      </w:r>
      <w:r w:rsidRPr="009B5102">
        <w:rPr>
          <w:rFonts w:ascii="Times New Roman" w:hAnsi="Times New Roman" w:cs="Times New Roman"/>
          <w:sz w:val="24"/>
          <w:szCs w:val="24"/>
        </w:rPr>
        <w:t xml:space="preserve"> - empowering women by expanding the definition of female beauty, Bank Hapo’alim - educating the public towards better financial management, Shufersal-Deal - educating consumers about how to become smart shoppers). </w:t>
      </w:r>
    </w:p>
    <w:p w14:paraId="287A5463" w14:textId="77777777" w:rsidR="00497B7D" w:rsidRPr="009B5102" w:rsidRDefault="00497B7D" w:rsidP="00346CA5">
      <w:pPr>
        <w:spacing w:after="240" w:line="360" w:lineRule="auto"/>
        <w:rPr>
          <w:rFonts w:ascii="Times New Roman" w:hAnsi="Times New Roman" w:cs="Times New Roman"/>
          <w:sz w:val="24"/>
          <w:szCs w:val="24"/>
          <w:lang w:bidi="ar-SA"/>
        </w:rPr>
      </w:pPr>
      <w:r w:rsidRPr="009B5102">
        <w:rPr>
          <w:rFonts w:ascii="Times New Roman" w:hAnsi="Times New Roman" w:cs="Times New Roman"/>
          <w:sz w:val="24"/>
          <w:szCs w:val="24"/>
        </w:rPr>
        <w:t>By doing this, brands blur the line between their own private interests and public ones (or present them as synonymous). Moreover,</w:t>
      </w:r>
      <w:r w:rsidRPr="009B5102">
        <w:rPr>
          <w:rFonts w:ascii="Times New Roman" w:hAnsi="Times New Roman" w:cs="Times New Roman"/>
          <w:sz w:val="24"/>
          <w:szCs w:val="24"/>
          <w:rtl/>
        </w:rPr>
        <w:t xml:space="preserve"> </w:t>
      </w:r>
      <w:r w:rsidRPr="009B5102">
        <w:rPr>
          <w:rFonts w:ascii="Times New Roman" w:hAnsi="Times New Roman" w:cs="Times New Roman"/>
          <w:sz w:val="24"/>
          <w:szCs w:val="24"/>
        </w:rPr>
        <w:t>their branding works to change</w:t>
      </w:r>
      <w:r w:rsidRPr="009B5102">
        <w:rPr>
          <w:rFonts w:ascii="Times New Roman" w:hAnsi="Times New Roman" w:cs="Times New Roman"/>
          <w:sz w:val="24"/>
          <w:szCs w:val="24"/>
          <w:lang w:bidi="ar-SA"/>
        </w:rPr>
        <w:t xml:space="preserve"> the perceived material exchange relations with their consumers. It is no longer consumers paying a certain amount of money for the purchase of a specific product or service, but rather the brand ‘working’ for the consumer in a way that is presented as free of charge. This happens through their self-</w:t>
      </w:r>
      <w:r w:rsidRPr="009B5102">
        <w:rPr>
          <w:rFonts w:ascii="Times New Roman" w:hAnsi="Times New Roman" w:cs="Times New Roman"/>
          <w:sz w:val="24"/>
          <w:szCs w:val="24"/>
          <w:lang w:bidi="ar-SA"/>
        </w:rPr>
        <w:lastRenderedPageBreak/>
        <w:t xml:space="preserve">presentation as commercial entities with  ‘public’ merit that give added value to their clients: </w:t>
      </w:r>
      <w:r w:rsidRPr="009B5102">
        <w:rPr>
          <w:rFonts w:ascii="Times New Roman" w:hAnsi="Times New Roman" w:cs="Times New Roman"/>
          <w:iCs/>
          <w:sz w:val="24"/>
          <w:szCs w:val="24"/>
          <w:lang w:bidi="ar-SA"/>
        </w:rPr>
        <w:t>Dove</w:t>
      </w:r>
      <w:r w:rsidRPr="009B5102">
        <w:rPr>
          <w:rFonts w:ascii="Times New Roman" w:hAnsi="Times New Roman" w:cs="Times New Roman"/>
          <w:sz w:val="24"/>
          <w:szCs w:val="24"/>
          <w:lang w:bidi="ar-SA"/>
        </w:rPr>
        <w:t xml:space="preserve"> does not only sell self-care products, it also cares about the emotional well-being of women and their empowerment; Bank Hapo’alim does not only give loans and charge interest, it also educates consumers about how to manage their financial issues; Shufersal-Deal does not only offer food at low prices and large quantities, it also educates consumers about how to become smart and economic consumers. </w:t>
      </w:r>
    </w:p>
    <w:p w14:paraId="7804118F" w14:textId="77777777" w:rsidR="00497B7D" w:rsidRPr="009B5102" w:rsidRDefault="00497B7D" w:rsidP="00346CA5">
      <w:pPr>
        <w:spacing w:after="240" w:line="360" w:lineRule="auto"/>
        <w:rPr>
          <w:rFonts w:ascii="Times New Roman" w:hAnsi="Times New Roman" w:cs="Times New Roman"/>
          <w:sz w:val="24"/>
          <w:szCs w:val="24"/>
          <w:rtl/>
        </w:rPr>
      </w:pPr>
      <w:r w:rsidRPr="009B5102">
        <w:rPr>
          <w:rFonts w:ascii="Times New Roman" w:hAnsi="Times New Roman" w:cs="Times New Roman"/>
          <w:sz w:val="24"/>
          <w:szCs w:val="24"/>
          <w:lang w:bidi="ar-SA"/>
        </w:rPr>
        <w:t xml:space="preserve">By investing in sponsorship agreements of television programmes, these brands get an opportunity to further strengthen their image as actors in the public sphere around a certain topic, while marginalising or even concealing their direct commercial interests. This is why, as I have shown here, the focus interviewees have shown was predominantly around the conjunction of values and ideas shared by the brand and the programme, which made them ‘fall in love’ on the way to signing an agreement. This dialogue serves the brands’ representatives, as they are interested in transforming the brand into a body which promotes public good, but it also serves content producers, as they feel they are not taken by commercial interest or giving up their editorial independence, but rather working in co-operation with a partner who has similar goals.      </w:t>
      </w:r>
    </w:p>
    <w:p w14:paraId="4F22929C" w14:textId="77777777" w:rsidR="00497B7D" w:rsidRPr="009B5102" w:rsidRDefault="00497B7D" w:rsidP="00346CA5">
      <w:pPr>
        <w:spacing w:after="240" w:line="360" w:lineRule="auto"/>
        <w:rPr>
          <w:rFonts w:ascii="Times New Roman" w:hAnsi="Times New Roman" w:cs="Times New Roman"/>
          <w:sz w:val="24"/>
          <w:szCs w:val="24"/>
        </w:rPr>
      </w:pPr>
      <w:r w:rsidRPr="009B5102">
        <w:rPr>
          <w:rFonts w:ascii="Times New Roman" w:hAnsi="Times New Roman" w:cs="Times New Roman"/>
          <w:sz w:val="24"/>
          <w:szCs w:val="24"/>
        </w:rPr>
        <w:t xml:space="preserve">I will now turn to discuss, in the next two chapters, the practicalities and details of the integration of the sponsors in both programmes. In the next chapter I will refer to ‘deep integration’, i.e. the integration of the sponsoring brands into the space of each programme on television. In the following chapter I will discuss ‘continuous integration’, i.e. brand presence across multiple platforms, beyond programming on television. These two dimensions are typical of embedded branding: they define the field, differentiate it from previously known practices (such as product placement) and, as I will show, constitute a new phase in commercialisation of content. </w:t>
      </w:r>
    </w:p>
    <w:p w14:paraId="7C5F47A8" w14:textId="77777777" w:rsidR="00497B7D" w:rsidRPr="009B5102" w:rsidRDefault="00497B7D" w:rsidP="00346CA5">
      <w:pPr>
        <w:rPr>
          <w:rFonts w:ascii="Times New Roman" w:hAnsi="Times New Roman" w:cs="Times New Roman"/>
          <w:sz w:val="24"/>
          <w:szCs w:val="24"/>
        </w:rPr>
      </w:pPr>
      <w:r w:rsidRPr="009B5102">
        <w:rPr>
          <w:rFonts w:ascii="Times New Roman" w:hAnsi="Times New Roman" w:cs="Times New Roman"/>
          <w:sz w:val="24"/>
          <w:szCs w:val="24"/>
        </w:rPr>
        <w:br w:type="page"/>
      </w:r>
    </w:p>
    <w:p w14:paraId="6E4CE1D4" w14:textId="4D7FD70D" w:rsidR="00497B7D" w:rsidRPr="009B5102" w:rsidRDefault="00497B7D" w:rsidP="00346CA5">
      <w:pPr>
        <w:pStyle w:val="Heading1"/>
      </w:pPr>
      <w:bookmarkStart w:id="18" w:name="_Toc445202675"/>
      <w:r w:rsidRPr="009B5102">
        <w:lastRenderedPageBreak/>
        <w:t xml:space="preserve">Chapter </w:t>
      </w:r>
      <w:r w:rsidR="0028056A">
        <w:t>4</w:t>
      </w:r>
      <w:r>
        <w:br/>
        <w:t xml:space="preserve"> </w:t>
      </w:r>
      <w:r w:rsidRPr="006B0813">
        <w:rPr>
          <w:b w:val="0"/>
          <w:bCs w:val="0"/>
        </w:rPr>
        <w:t>The Brand and the Programme</w:t>
      </w:r>
      <w:r>
        <w:rPr>
          <w:b w:val="0"/>
          <w:bCs w:val="0"/>
        </w:rPr>
        <w:t>:</w:t>
      </w:r>
      <w:r w:rsidRPr="006B0813">
        <w:rPr>
          <w:b w:val="0"/>
          <w:bCs w:val="0"/>
        </w:rPr>
        <w:t xml:space="preserve"> Deep Integration</w:t>
      </w:r>
      <w:bookmarkEnd w:id="18"/>
    </w:p>
    <w:p w14:paraId="16806E24"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580E12C0" w14:textId="77777777" w:rsidR="00497B7D" w:rsidRPr="009B5102" w:rsidRDefault="00497B7D" w:rsidP="00346CA5">
      <w:pPr>
        <w:pStyle w:val="Heading2"/>
      </w:pPr>
      <w:bookmarkStart w:id="19" w:name="_Toc445202676"/>
      <w:r w:rsidRPr="009B5102">
        <w:t>Introduction</w:t>
      </w:r>
      <w:bookmarkEnd w:id="19"/>
    </w:p>
    <w:p w14:paraId="2EF22804"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The previous chapter introduced the case studies and how the sponsorship agreements were formed in each case. This chapter dissects the implementation of these agreements: how sponsors practically integrate into the space of programmes on television.</w:t>
      </w:r>
    </w:p>
    <w:p w14:paraId="1AF5FA3F"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698DFFBA"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Based on thematic analysis of the empirical data, this chapter presents a multi-layered model for brand integration within television programming consisting of three different layers. The first layer involves the integration of messages and ‘values’ from the sponsor (‘diffusion of messages’); the second concerns the visual presence of the brand within the programme, based on the sponsor’s branding (‘visual diffusion’); the third relates to product placement - direct commercial exposure of the brand - by presenting products, services, or the brand’s logo in the programme. While the first two layers tend to represent the brand as an abstract image – conceptually and visually – the third relates to concrete representations of the brand. </w:t>
      </w:r>
    </w:p>
    <w:p w14:paraId="07986F4C"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DF25939"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I argue that brands are typically integrated into programming through a multi-layered model encompassing both abstract representations (values, messages, images and design) and concrete ones (shops, products, representatives and so on). This model defines the dimension of what I refer to as ‘deep integration’, as it represents brand penetration into programming in a numbers of ways that occur simultaneously, thus creating a media space that is saturated with brand presence in ways that are hard to notice or clearly dissect, and as I will suggest in Chapter 7, to regulate.</w:t>
      </w:r>
    </w:p>
    <w:p w14:paraId="5555DCC3"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5A0304D2"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Deep integration, I argue, contributes to the blurring of the distinction between editorial content that independently decided upon by the producers and strategic messages promoted by sponsors, </w:t>
      </w:r>
      <w:r w:rsidRPr="009B5102">
        <w:rPr>
          <w:rFonts w:ascii="Times New Roman" w:eastAsia="Calibri" w:hAnsi="Times New Roman" w:cs="Times New Roman"/>
          <w:sz w:val="24"/>
          <w:szCs w:val="24"/>
        </w:rPr>
        <w:lastRenderedPageBreak/>
        <w:t xml:space="preserve">to the extent that the two become indistinguishable. I further claim that this form of brand integration provides evidence of a new phase of content commercialisation. </w:t>
      </w:r>
    </w:p>
    <w:p w14:paraId="40DCE047" w14:textId="77777777" w:rsidR="00497B7D" w:rsidRPr="009B5102" w:rsidRDefault="00497B7D" w:rsidP="00346CA5">
      <w:pPr>
        <w:spacing w:line="360" w:lineRule="auto"/>
        <w:contextualSpacing/>
        <w:jc w:val="center"/>
        <w:outlineLvl w:val="1"/>
        <w:rPr>
          <w:rFonts w:ascii="Times New Roman" w:eastAsia="Calibri" w:hAnsi="Times New Roman" w:cs="Times New Roman"/>
          <w:b/>
          <w:bCs/>
          <w:sz w:val="24"/>
          <w:szCs w:val="24"/>
        </w:rPr>
      </w:pPr>
    </w:p>
    <w:p w14:paraId="7494E486" w14:textId="77777777" w:rsidR="00497B7D" w:rsidRPr="009B5102" w:rsidRDefault="00497B7D" w:rsidP="00346CA5">
      <w:pPr>
        <w:pStyle w:val="Heading2"/>
      </w:pPr>
      <w:bookmarkStart w:id="20" w:name="_Toc445202677"/>
      <w:r w:rsidRPr="009B5102">
        <w:t>Diffusion of Messages</w:t>
      </w:r>
      <w:bookmarkEnd w:id="20"/>
    </w:p>
    <w:p w14:paraId="0F0FD5A1"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this section I will review the various ways in which messages by the sponsors were integrated into the programmes in the two case studies presented. In brief, this was done by ‘tailoring’ the programme’s format according to the brand’s general agenda on the topic. This includes segments inspired by the sponsor’s commercial campaign, using the sponsor’s representatives in the programme,  tips and advice aligned with the sponsor's messages and even using the sponsor’s slogan as part of the presenter’s ‘natural’ speech when ‘training’ the participants on their new and improved personal path.  </w:t>
      </w:r>
    </w:p>
    <w:p w14:paraId="6D833928" w14:textId="77777777" w:rsidR="00497B7D" w:rsidRPr="009B5102" w:rsidRDefault="00497B7D" w:rsidP="00346CA5">
      <w:pPr>
        <w:spacing w:line="360" w:lineRule="auto"/>
        <w:contextualSpacing/>
        <w:outlineLvl w:val="2"/>
        <w:rPr>
          <w:rFonts w:ascii="Times New Roman" w:eastAsia="Calibri" w:hAnsi="Times New Roman" w:cs="Times New Roman"/>
          <w:b/>
          <w:bCs/>
          <w:sz w:val="24"/>
          <w:szCs w:val="24"/>
        </w:rPr>
      </w:pPr>
    </w:p>
    <w:p w14:paraId="5E34B229" w14:textId="77777777" w:rsidR="00497B7D" w:rsidRPr="009B5102" w:rsidRDefault="00497B7D" w:rsidP="00346CA5">
      <w:pPr>
        <w:pStyle w:val="Heading3"/>
      </w:pPr>
      <w:bookmarkStart w:id="21" w:name="_Toc445202678"/>
      <w:r w:rsidRPr="009B5102">
        <w:rPr>
          <w:i/>
          <w:iCs/>
        </w:rPr>
        <w:t>How to Look Good Naked</w:t>
      </w:r>
      <w:r w:rsidRPr="009B5102">
        <w:t xml:space="preserve"> and Dove</w:t>
      </w:r>
      <w:bookmarkEnd w:id="21"/>
    </w:p>
    <w:p w14:paraId="26A3A7D6"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case of </w:t>
      </w:r>
      <w:r w:rsidRPr="009B5102">
        <w:rPr>
          <w:rFonts w:ascii="Times New Roman" w:eastAsia="Calibri" w:hAnsi="Times New Roman" w:cs="Times New Roman"/>
          <w:iCs/>
          <w:sz w:val="24"/>
          <w:szCs w:val="24"/>
        </w:rPr>
        <w:t>Dove</w:t>
      </w:r>
      <w:r w:rsidRPr="009B5102">
        <w:rPr>
          <w:rFonts w:ascii="Times New Roman" w:eastAsia="Calibri" w:hAnsi="Times New Roman" w:cs="Times New Roman"/>
          <w:sz w:val="24"/>
          <w:szCs w:val="24"/>
        </w:rPr>
        <w:t xml:space="preserve">’s integration into </w:t>
      </w:r>
      <w:r w:rsidRPr="009B5102">
        <w:rPr>
          <w:rFonts w:ascii="Times New Roman" w:eastAsia="Calibri" w:hAnsi="Times New Roman" w:cs="Times New Roman"/>
          <w:i/>
          <w:iCs/>
          <w:sz w:val="24"/>
          <w:szCs w:val="24"/>
        </w:rPr>
        <w:t xml:space="preserve">HTLGN </w:t>
      </w:r>
      <w:r w:rsidRPr="009B5102">
        <w:rPr>
          <w:rFonts w:ascii="Times New Roman" w:eastAsia="Calibri" w:hAnsi="Times New Roman" w:cs="Times New Roman"/>
          <w:sz w:val="24"/>
          <w:szCs w:val="24"/>
        </w:rPr>
        <w:t>is of particular interest because, as I showed in the previous chapter, the brand’s influence began as an ‘inspirational’ one (in which the programme developers took inspiration from the advertising campaign), and only later led to the formation of a formal sponsorship agreement with Dove. As a result, there is a striking similarity between the brand and the programme in this case, which relates to the affinity of ideas and values shared by both entities. From the brand’s perspective this kind of impact, i.e. the acceptance of its ideas into a wider public discourse, the cultural public sphere</w:t>
      </w:r>
      <w:r w:rsidRPr="009B5102">
        <w:rPr>
          <w:rFonts w:ascii="Times New Roman" w:eastAsia="Calibri" w:hAnsi="Times New Roman" w:cs="Times New Roman"/>
          <w:noProof/>
          <w:sz w:val="24"/>
          <w:szCs w:val="24"/>
        </w:rPr>
        <w:t xml:space="preserve"> </w:t>
      </w:r>
      <w:r>
        <w:rPr>
          <w:rFonts w:ascii="Times New Roman" w:hAnsi="Times New Roman" w:cs="Times New Roman"/>
          <w:sz w:val="24"/>
          <w:szCs w:val="24"/>
        </w:rPr>
        <w:t>(McGuigan, 2005b)</w:t>
      </w:r>
      <w:r w:rsidRPr="009B5102">
        <w:rPr>
          <w:rFonts w:ascii="Times New Roman" w:eastAsia="Calibri" w:hAnsi="Times New Roman" w:cs="Times New Roman"/>
          <w:noProof/>
          <w:sz w:val="24"/>
          <w:szCs w:val="24"/>
        </w:rPr>
        <w:t xml:space="preserve"> </w:t>
      </w:r>
      <w:r w:rsidRPr="009B5102">
        <w:rPr>
          <w:rFonts w:ascii="Times New Roman" w:eastAsia="Calibri" w:hAnsi="Times New Roman" w:cs="Times New Roman"/>
          <w:sz w:val="24"/>
          <w:szCs w:val="24"/>
        </w:rPr>
        <w:t xml:space="preserve">- is clear proof of success. In Dove’s strategic plan this principal goal was clearly stated: “To become an iconic brand” </w:t>
      </w:r>
      <w:r w:rsidRPr="009B5102">
        <w:rPr>
          <w:rFonts w:ascii="Times New Roman" w:eastAsia="Calibri" w:hAnsi="Times New Roman" w:cs="Times New Roman"/>
          <w:noProof/>
          <w:sz w:val="24"/>
          <w:szCs w:val="24"/>
        </w:rPr>
        <w:t>(Dove, 2004)</w:t>
      </w:r>
      <w:r w:rsidRPr="00B93D25">
        <w:rPr>
          <w:rStyle w:val="FootnoteReference"/>
        </w:rPr>
        <w:footnoteReference w:id="33"/>
      </w:r>
      <w:r w:rsidRPr="009B5102">
        <w:rPr>
          <w:rFonts w:ascii="Times New Roman" w:eastAsia="Calibri" w:hAnsi="Times New Roman" w:cs="Times New Roman"/>
          <w:sz w:val="24"/>
          <w:szCs w:val="24"/>
        </w:rPr>
        <w:t xml:space="preserve">. </w:t>
      </w:r>
    </w:p>
    <w:p w14:paraId="6F6A8785" w14:textId="77777777" w:rsidR="00497B7D"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Iconic brands were further described as:</w:t>
      </w:r>
    </w:p>
    <w:p w14:paraId="6454F68A" w14:textId="77777777" w:rsidR="00E52E61" w:rsidRDefault="00E52E61" w:rsidP="00346CA5">
      <w:pPr>
        <w:spacing w:line="360" w:lineRule="auto"/>
        <w:contextualSpacing/>
        <w:rPr>
          <w:rFonts w:ascii="Times New Roman" w:eastAsia="Calibri" w:hAnsi="Times New Roman" w:cs="Times New Roman"/>
          <w:sz w:val="24"/>
          <w:szCs w:val="24"/>
        </w:rPr>
      </w:pPr>
    </w:p>
    <w:p w14:paraId="73307566" w14:textId="77777777" w:rsidR="00E52E61" w:rsidRPr="009B5102" w:rsidRDefault="00E52E61" w:rsidP="00346CA5">
      <w:pPr>
        <w:spacing w:line="360" w:lineRule="auto"/>
        <w:contextualSpacing/>
        <w:rPr>
          <w:rFonts w:ascii="Times New Roman" w:eastAsia="Calibri" w:hAnsi="Times New Roman" w:cs="Times New Roman"/>
          <w:sz w:val="24"/>
          <w:szCs w:val="24"/>
        </w:rPr>
      </w:pPr>
    </w:p>
    <w:p w14:paraId="64DDDDCB"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E92A4EA" w14:textId="59555F02"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Style w:val="QuoteChar"/>
        </w:rPr>
        <w:lastRenderedPageBreak/>
        <w:t>…</w:t>
      </w:r>
      <w:r w:rsidRPr="009B5102">
        <w:rPr>
          <w:rStyle w:val="QuoteChar"/>
          <w:rtl/>
        </w:rPr>
        <w:t xml:space="preserve"> </w:t>
      </w:r>
      <w:r w:rsidRPr="009B5102">
        <w:rPr>
          <w:rStyle w:val="QuoteChar"/>
        </w:rPr>
        <w:t>those brands whose messages have – by chance or by design – a cultural and social meaning that transcends that of their products… [and that] have a Big Brand Idea that is inspiring because it touches on a human truth or taps into meaningful social currency (Dove, 2004</w:t>
      </w:r>
      <w:r w:rsidR="00181C52" w:rsidRPr="009B5102">
        <w:rPr>
          <w:rStyle w:val="QuoteChar"/>
        </w:rPr>
        <w:t>)</w:t>
      </w:r>
      <w:r w:rsidR="00181C52" w:rsidRPr="009B5102">
        <w:rPr>
          <w:rFonts w:ascii="Times New Roman" w:eastAsia="Calibri" w:hAnsi="Times New Roman" w:cs="Times New Roman"/>
          <w:sz w:val="24"/>
          <w:szCs w:val="24"/>
        </w:rPr>
        <w:t xml:space="preserve">. </w:t>
      </w:r>
    </w:p>
    <w:p w14:paraId="4ACD7BA0"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80C8211"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Indeed,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extended, both by chance and later by design, the cultural and social presence of the core messages of Dove’s </w:t>
      </w:r>
      <w:r w:rsidRPr="009B5102">
        <w:rPr>
          <w:rFonts w:ascii="Times New Roman" w:eastAsia="Calibri" w:hAnsi="Times New Roman" w:cs="Times New Roman"/>
          <w:i/>
          <w:iCs/>
          <w:sz w:val="24"/>
          <w:szCs w:val="24"/>
        </w:rPr>
        <w:t xml:space="preserve">Real Beauty </w:t>
      </w:r>
      <w:r w:rsidRPr="009B5102">
        <w:rPr>
          <w:rFonts w:ascii="Times New Roman" w:eastAsia="Calibri" w:hAnsi="Times New Roman" w:cs="Times New Roman"/>
          <w:sz w:val="24"/>
          <w:szCs w:val="24"/>
        </w:rPr>
        <w:t>campaign. One of the findings of the post-campaign analysis of the sponsorship deal</w:t>
      </w:r>
      <w:r w:rsidRPr="00B93D25">
        <w:rPr>
          <w:rStyle w:val="FootnoteReference"/>
        </w:rPr>
        <w:footnoteReference w:id="34"/>
      </w:r>
      <w:r w:rsidRPr="009B5102">
        <w:rPr>
          <w:rFonts w:ascii="Times New Roman" w:eastAsia="Calibri" w:hAnsi="Times New Roman" w:cs="Times New Roman"/>
          <w:sz w:val="24"/>
          <w:szCs w:val="24"/>
        </w:rPr>
        <w:t xml:space="preserve"> was that it had resulted in a “very positive impact on brand personality” because of a “congruent fit with a programme with strong attributes” </w:t>
      </w:r>
      <w:r w:rsidRPr="009B5102">
        <w:rPr>
          <w:rFonts w:ascii="Times New Roman" w:eastAsia="Calibri" w:hAnsi="Times New Roman" w:cs="Times New Roman"/>
          <w:noProof/>
          <w:sz w:val="24"/>
          <w:szCs w:val="24"/>
        </w:rPr>
        <w:t>(Mindshare, 2007b)</w:t>
      </w:r>
      <w:r w:rsidRPr="009B5102">
        <w:rPr>
          <w:rFonts w:ascii="Times New Roman" w:eastAsia="Calibri" w:hAnsi="Times New Roman" w:cs="Times New Roman"/>
          <w:sz w:val="24"/>
          <w:szCs w:val="24"/>
        </w:rPr>
        <w:t xml:space="preserve">. </w:t>
      </w:r>
    </w:p>
    <w:p w14:paraId="22E690F5"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253C520" w14:textId="3B2AB841"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As I will show here, both the brand and the programme set the goal of broadening the definition of female beauty beyond those of the </w:t>
      </w:r>
      <w:r w:rsidR="00181C52" w:rsidRPr="009B5102">
        <w:rPr>
          <w:rFonts w:ascii="Times New Roman" w:eastAsia="Calibri" w:hAnsi="Times New Roman" w:cs="Times New Roman"/>
          <w:sz w:val="24"/>
          <w:szCs w:val="24"/>
        </w:rPr>
        <w:t>fetishist</w:t>
      </w:r>
      <w:r w:rsidRPr="009B5102">
        <w:rPr>
          <w:rFonts w:ascii="Times New Roman" w:eastAsia="Calibri" w:hAnsi="Times New Roman" w:cs="Times New Roman"/>
          <w:sz w:val="24"/>
          <w:szCs w:val="24"/>
        </w:rPr>
        <w:t xml:space="preserve"> messages of the fashion and beauty industries. Both encouraged women to take care of themselves through consumption in order to gain a more positive body-image,</w:t>
      </w:r>
      <w:r w:rsidRPr="009B5102">
        <w:rPr>
          <w:rFonts w:ascii="Times New Roman" w:eastAsia="Calibri" w:hAnsi="Times New Roman" w:cs="Times New Roman"/>
          <w:sz w:val="24"/>
          <w:szCs w:val="24"/>
          <w:rtl/>
        </w:rPr>
        <w:t xml:space="preserve"> </w:t>
      </w:r>
      <w:r w:rsidRPr="009B5102">
        <w:rPr>
          <w:rFonts w:ascii="Times New Roman" w:eastAsia="Calibri" w:hAnsi="Times New Roman" w:cs="Times New Roman"/>
          <w:sz w:val="24"/>
          <w:szCs w:val="24"/>
        </w:rPr>
        <w:t xml:space="preserve">which was then linked to psychological empowerment and happiness. Interestingly, both linked nudity in public, beauty and self-confidence. </w:t>
      </w:r>
    </w:p>
    <w:p w14:paraId="62BDFFFD"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E1282ED"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How were these messages diffused into the programme in practice? To begin with</w:t>
      </w:r>
      <w:r w:rsidRPr="009B5102">
        <w:rPr>
          <w:rFonts w:ascii="Times New Roman" w:eastAsia="Calibri" w:hAnsi="Times New Roman" w:cs="Times New Roman"/>
          <w:i/>
          <w:iCs/>
          <w:sz w:val="24"/>
          <w:szCs w:val="24"/>
        </w:rPr>
        <w:t xml:space="preserve">, </w:t>
      </w:r>
      <w:r w:rsidRPr="009B5102">
        <w:rPr>
          <w:rFonts w:ascii="Times New Roman" w:eastAsia="Calibri" w:hAnsi="Times New Roman" w:cs="Times New Roman"/>
          <w:sz w:val="24"/>
          <w:szCs w:val="24"/>
        </w:rPr>
        <w:t xml:space="preserve">the programme’s format as a whole, promoted the brand’s idea of broadening the definition of female beauty. </w:t>
      </w:r>
      <w:r w:rsidRPr="009B5102">
        <w:rPr>
          <w:rFonts w:ascii="Times New Roman" w:eastAsia="Calibri" w:hAnsi="Times New Roman" w:cs="Times New Roman"/>
          <w:iCs/>
          <w:sz w:val="24"/>
          <w:szCs w:val="24"/>
        </w:rPr>
        <w:t>Dove</w:t>
      </w:r>
      <w:r w:rsidRPr="009B5102">
        <w:rPr>
          <w:rFonts w:ascii="Times New Roman" w:eastAsia="Calibri" w:hAnsi="Times New Roman" w:cs="Times New Roman"/>
          <w:sz w:val="24"/>
          <w:szCs w:val="24"/>
        </w:rPr>
        <w:t>’s mission, as was defined in its ‘beauty theory’ document, was:</w:t>
      </w:r>
    </w:p>
    <w:p w14:paraId="17358BCD"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7C40F8CF"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to make more women feel beautiful every day. By widening today’s stereotypical view of beauty and inspiring women to take great care of themselves </w:t>
      </w:r>
      <w:r w:rsidRPr="009B5102">
        <w:rPr>
          <w:rFonts w:ascii="Times New Roman" w:eastAsia="Calibri" w:hAnsi="Times New Roman" w:cs="Times New Roman"/>
          <w:noProof/>
          <w:sz w:val="24"/>
          <w:szCs w:val="24"/>
        </w:rPr>
        <w:t>(Dove, 2004)</w:t>
      </w:r>
      <w:r w:rsidRPr="009B5102">
        <w:rPr>
          <w:rFonts w:ascii="Times New Roman" w:eastAsia="Calibri" w:hAnsi="Times New Roman" w:cs="Times New Roman"/>
          <w:sz w:val="24"/>
          <w:szCs w:val="24"/>
        </w:rPr>
        <w:t xml:space="preserve">. </w:t>
      </w:r>
    </w:p>
    <w:p w14:paraId="63960606"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D71F285"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According to the commissioning editor and developer of the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Phillipa Ransford, the</w:t>
      </w:r>
      <w:r w:rsidRPr="009B5102">
        <w:rPr>
          <w:rFonts w:ascii="Times New Roman" w:eastAsia="Calibri" w:hAnsi="Times New Roman" w:cs="Times New Roman"/>
          <w:i/>
          <w:iCs/>
          <w:sz w:val="24"/>
          <w:szCs w:val="24"/>
        </w:rPr>
        <w:t xml:space="preserve"> </w:t>
      </w:r>
      <w:r w:rsidRPr="009B5102">
        <w:rPr>
          <w:rFonts w:ascii="Times New Roman" w:eastAsia="Calibri" w:hAnsi="Times New Roman" w:cs="Times New Roman"/>
          <w:sz w:val="24"/>
          <w:szCs w:val="24"/>
        </w:rPr>
        <w:t xml:space="preserve">programme’s agenda was, from its outset, strikingly similar to that of the brand:    </w:t>
      </w:r>
    </w:p>
    <w:p w14:paraId="67717FBA"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083DF13E" w14:textId="70EB57FF"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The agenda is to give the confidence back to real women who worry because of the media kind of frenzy about how we should look. If they’ve got a little bump here or a bit of cellulite, that actually, it’s ok, we’ve all got it, and to kind of debunk the myths of these airbrushed celebrity, botoxed, plasticised women and actually to say, these women aren’t real. We think they’re </w:t>
      </w:r>
      <w:r w:rsidR="00181C52" w:rsidRPr="009B5102">
        <w:rPr>
          <w:rFonts w:ascii="Times New Roman" w:eastAsia="Calibri" w:hAnsi="Times New Roman" w:cs="Times New Roman"/>
          <w:sz w:val="24"/>
          <w:szCs w:val="24"/>
        </w:rPr>
        <w:t>real …</w:t>
      </w:r>
      <w:r w:rsidRPr="009B5102">
        <w:rPr>
          <w:rFonts w:ascii="Times New Roman" w:eastAsia="Calibri" w:hAnsi="Times New Roman" w:cs="Times New Roman"/>
          <w:sz w:val="24"/>
          <w:szCs w:val="24"/>
        </w:rPr>
        <w:t xml:space="preserve"> enjoy watching them… enjoy following them, but don’t let that massively effect the way that you feel </w:t>
      </w:r>
      <w:r w:rsidRPr="009B5102">
        <w:rPr>
          <w:rFonts w:ascii="Times New Roman" w:eastAsia="Calibri" w:hAnsi="Times New Roman" w:cs="Times New Roman"/>
          <w:noProof/>
          <w:sz w:val="24"/>
          <w:szCs w:val="24"/>
        </w:rPr>
        <w:t>(Ransford, 2009)</w:t>
      </w:r>
      <w:r w:rsidRPr="009B5102">
        <w:rPr>
          <w:rFonts w:ascii="Times New Roman" w:eastAsia="Calibri" w:hAnsi="Times New Roman" w:cs="Times New Roman"/>
          <w:sz w:val="24"/>
          <w:szCs w:val="24"/>
        </w:rPr>
        <w:t>.</w:t>
      </w:r>
    </w:p>
    <w:p w14:paraId="4B5C95DD"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9EE1DEC"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Indeed the core idea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was that any woman can be beautiful without surgery or invasive treatments. This point of view was echoed repeatedly throughout the programme, for example, in the opening words of its presenter, Gok Wan, in one episode: </w:t>
      </w:r>
    </w:p>
    <w:p w14:paraId="7EFEAA04"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0ACD6001"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We are constantly bombarded by images of surgically enhanced, air brushed, ridiculously thin women. What is this one size fits all? And you know what? Real women</w:t>
      </w:r>
      <w:r w:rsidRPr="00B93D25">
        <w:rPr>
          <w:rStyle w:val="FootnoteReference"/>
        </w:rPr>
        <w:footnoteReference w:id="35"/>
      </w:r>
      <w:r w:rsidRPr="009B5102">
        <w:rPr>
          <w:rFonts w:ascii="Times New Roman" w:eastAsia="Calibri" w:hAnsi="Times New Roman" w:cs="Times New Roman"/>
          <w:sz w:val="24"/>
          <w:szCs w:val="24"/>
        </w:rPr>
        <w:t xml:space="preserve"> don’t look like that </w:t>
      </w:r>
      <w:r w:rsidRPr="009B5102">
        <w:rPr>
          <w:rFonts w:ascii="Times New Roman" w:eastAsia="Calibri" w:hAnsi="Times New Roman" w:cs="Times New Roman"/>
          <w:noProof/>
          <w:sz w:val="24"/>
          <w:szCs w:val="24"/>
        </w:rPr>
        <w:t>(Wan, 2007)</w:t>
      </w:r>
      <w:r w:rsidRPr="009B5102">
        <w:rPr>
          <w:rFonts w:ascii="Times New Roman" w:eastAsia="Calibri" w:hAnsi="Times New Roman" w:cs="Times New Roman"/>
          <w:sz w:val="24"/>
          <w:szCs w:val="24"/>
        </w:rPr>
        <w:t xml:space="preserve">. </w:t>
      </w:r>
    </w:p>
    <w:p w14:paraId="03E8C648"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140B6950"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In another episode, photos of models were alternated with photos of ordinary women, while Wan explained that many of the models’ photos were actually edited with Photoshop. He then asked:</w:t>
      </w:r>
    </w:p>
    <w:p w14:paraId="14D3DB89"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1E99D676" w14:textId="676C3B3F"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so why do we compare ourselves to them if what we see isn’t real? It’s time for real women to fight back and look good – for </w:t>
      </w:r>
      <w:r w:rsidR="00181C52" w:rsidRPr="009B5102">
        <w:rPr>
          <w:rFonts w:ascii="Times New Roman" w:eastAsia="Calibri" w:hAnsi="Times New Roman" w:cs="Times New Roman"/>
          <w:sz w:val="24"/>
          <w:szCs w:val="24"/>
        </w:rPr>
        <w:t>real (</w:t>
      </w:r>
      <w:r w:rsidRPr="009B5102">
        <w:rPr>
          <w:rFonts w:ascii="Times New Roman" w:eastAsia="Calibri" w:hAnsi="Times New Roman" w:cs="Times New Roman"/>
          <w:noProof/>
          <w:sz w:val="24"/>
          <w:szCs w:val="24"/>
        </w:rPr>
        <w:t>Wan, 2006)</w:t>
      </w:r>
      <w:r w:rsidRPr="009B5102">
        <w:rPr>
          <w:rFonts w:ascii="Times New Roman" w:eastAsia="Calibri" w:hAnsi="Times New Roman" w:cs="Times New Roman"/>
          <w:sz w:val="24"/>
          <w:szCs w:val="24"/>
        </w:rPr>
        <w:t xml:space="preserve">.     </w:t>
      </w:r>
    </w:p>
    <w:p w14:paraId="0EC52F7B"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DBB4784"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other mission of the Dove campaign – “Inspiring women to take great care of themselves” (Dove, 2004) – was also a core element in the </w:t>
      </w:r>
      <w:r w:rsidRPr="009B5102">
        <w:rPr>
          <w:rFonts w:ascii="Times New Roman" w:eastAsia="Calibri" w:hAnsi="Times New Roman" w:cs="Times New Roman"/>
          <w:i/>
          <w:iCs/>
          <w:sz w:val="24"/>
          <w:szCs w:val="24"/>
        </w:rPr>
        <w:t xml:space="preserve">HTLGN </w:t>
      </w:r>
      <w:r w:rsidRPr="009B5102">
        <w:rPr>
          <w:rFonts w:ascii="Times New Roman" w:eastAsia="Calibri" w:hAnsi="Times New Roman" w:cs="Times New Roman"/>
          <w:sz w:val="24"/>
          <w:szCs w:val="24"/>
        </w:rPr>
        <w:t xml:space="preserve">format, and was used as a link between the brand’s ‘public’ mission and its commercial goal of encouraging women to purchase Dove </w:t>
      </w:r>
      <w:r w:rsidRPr="009B5102">
        <w:rPr>
          <w:rFonts w:ascii="Times New Roman" w:eastAsia="Calibri" w:hAnsi="Times New Roman" w:cs="Times New Roman"/>
          <w:sz w:val="24"/>
          <w:szCs w:val="24"/>
        </w:rPr>
        <w:lastRenderedPageBreak/>
        <w:t xml:space="preserve">products. Mel White, who had a leading role in creating the </w:t>
      </w:r>
      <w:r w:rsidRPr="009B5102">
        <w:rPr>
          <w:rFonts w:ascii="Times New Roman" w:eastAsia="Calibri" w:hAnsi="Times New Roman" w:cs="Times New Roman"/>
          <w:i/>
          <w:iCs/>
          <w:sz w:val="24"/>
          <w:szCs w:val="24"/>
        </w:rPr>
        <w:t>Real Beauty</w:t>
      </w:r>
      <w:r w:rsidRPr="009B5102">
        <w:rPr>
          <w:rFonts w:ascii="Times New Roman" w:eastAsia="Calibri" w:hAnsi="Times New Roman" w:cs="Times New Roman"/>
          <w:sz w:val="24"/>
          <w:szCs w:val="24"/>
        </w:rPr>
        <w:t xml:space="preserve"> campaign at Ogilvy, explained this:  </w:t>
      </w:r>
    </w:p>
    <w:p w14:paraId="54B377E1"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40AE648"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For </w:t>
      </w:r>
      <w:r w:rsidRPr="009B5102">
        <w:rPr>
          <w:rFonts w:ascii="Times New Roman" w:eastAsia="Calibri" w:hAnsi="Times New Roman" w:cs="Times New Roman"/>
          <w:iCs/>
          <w:sz w:val="24"/>
          <w:szCs w:val="24"/>
        </w:rPr>
        <w:t>Dove</w:t>
      </w:r>
      <w:r w:rsidRPr="009B5102">
        <w:rPr>
          <w:rFonts w:ascii="Times New Roman" w:eastAsia="Calibri" w:hAnsi="Times New Roman" w:cs="Times New Roman"/>
          <w:sz w:val="24"/>
          <w:szCs w:val="24"/>
        </w:rPr>
        <w:t xml:space="preserve">, where the connection comes in is you want more women to feel good about their own beauty by encouraging them in taking the best possible care of themselves. And the best possible care of themselves, then, is using the soaps that are not drying their skin, a shampoo that is not going to dry their hair and the body lotion that actually really does moisturise, so the link with the brand was in the 'taking care of themselves' piece of it. We weren't saying, at any point in time, you are just great the way you are, you just stick with it </w:t>
      </w:r>
      <w:r w:rsidRPr="009B5102">
        <w:rPr>
          <w:rFonts w:ascii="Times New Roman" w:eastAsia="Calibri" w:hAnsi="Times New Roman" w:cs="Times New Roman"/>
          <w:noProof/>
          <w:sz w:val="24"/>
          <w:szCs w:val="24"/>
        </w:rPr>
        <w:t>(White, 2009)</w:t>
      </w:r>
      <w:r w:rsidRPr="009B5102">
        <w:rPr>
          <w:rFonts w:ascii="Times New Roman" w:eastAsia="Calibri" w:hAnsi="Times New Roman" w:cs="Times New Roman"/>
          <w:sz w:val="24"/>
          <w:szCs w:val="24"/>
        </w:rPr>
        <w:t xml:space="preserve">. </w:t>
      </w:r>
    </w:p>
    <w:p w14:paraId="31310F14"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21C5193"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This idea was also clearly reflected in the point of view of the creators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Continuing her description of the programme’s agenda, Ransford further said: </w:t>
      </w:r>
    </w:p>
    <w:p w14:paraId="5372500A"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63756F17"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But - we’re also saying, it is very important to look after yourself. Because having confidence doesn’t come… you can’t just rest on your laurels. You’ve got to look after yourself; you’ve got to wear clothes that make you feel good… So it is all about empowering women. Which I think is really important </w:t>
      </w:r>
      <w:r w:rsidRPr="009B5102">
        <w:rPr>
          <w:rFonts w:ascii="Times New Roman" w:eastAsia="Calibri" w:hAnsi="Times New Roman" w:cs="Times New Roman"/>
          <w:noProof/>
          <w:sz w:val="24"/>
          <w:szCs w:val="24"/>
        </w:rPr>
        <w:t>(Ransford, 2009)</w:t>
      </w:r>
      <w:r w:rsidRPr="00B93D25">
        <w:rPr>
          <w:rStyle w:val="FootnoteReference"/>
        </w:rPr>
        <w:footnoteReference w:id="36"/>
      </w:r>
      <w:r w:rsidRPr="009B5102">
        <w:rPr>
          <w:rFonts w:ascii="Times New Roman" w:eastAsia="Calibri" w:hAnsi="Times New Roman" w:cs="Times New Roman"/>
          <w:sz w:val="24"/>
          <w:szCs w:val="24"/>
        </w:rPr>
        <w:t xml:space="preserve">. </w:t>
      </w:r>
    </w:p>
    <w:p w14:paraId="2B33AEEE"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8CAB7AD"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the case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the notion of self-care through consumption as a means to empowerment was implemented through the journey Gok Wan takes with each participant on the high streets, where they buy new clothes, choose better fitting underwear and try various cosmetic treatments. This is a fundamental element in the format – the reinvention of each participant through the consumption of clothes and cosmetics. </w:t>
      </w:r>
    </w:p>
    <w:p w14:paraId="13F5522D"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55E323C"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Furthermore, the idea of presenting naked women in public and turning them into iconic images also serves to meld the brand with the programme. Both presented this as an empowering and liberating act for women. At the same time, in both cases, these icons were used to trigger a public debate on female beauty.</w:t>
      </w:r>
    </w:p>
    <w:p w14:paraId="49B9EFE1"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D345A89"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As Dove’s strategic plan reveals, in the early stages of the campaign the creative team suggested using nudity as an expression of liberated female beauty. One of the slides explicitly stated: Beauty = Going naked </w:t>
      </w:r>
      <w:r w:rsidRPr="009B5102">
        <w:rPr>
          <w:rFonts w:ascii="Times New Roman" w:eastAsia="Calibri" w:hAnsi="Times New Roman" w:cs="Times New Roman"/>
          <w:noProof/>
          <w:sz w:val="24"/>
          <w:szCs w:val="24"/>
        </w:rPr>
        <w:t>(Dove, 2004)</w:t>
      </w:r>
      <w:r w:rsidRPr="009B5102">
        <w:rPr>
          <w:rFonts w:ascii="Times New Roman" w:eastAsia="Calibri" w:hAnsi="Times New Roman" w:cs="Times New Roman"/>
          <w:sz w:val="24"/>
          <w:szCs w:val="24"/>
        </w:rPr>
        <w:t>. In the final execution this idea was transformed into women wearing plain underwear</w:t>
      </w:r>
      <w:r w:rsidRPr="00B93D25">
        <w:rPr>
          <w:rStyle w:val="FootnoteReference"/>
        </w:rPr>
        <w:footnoteReference w:id="37"/>
      </w:r>
      <w:r w:rsidRPr="009B5102">
        <w:rPr>
          <w:rFonts w:ascii="Times New Roman" w:eastAsia="Calibri" w:hAnsi="Times New Roman" w:cs="Times New Roman"/>
          <w:sz w:val="24"/>
          <w:szCs w:val="24"/>
        </w:rPr>
        <w:t xml:space="preserve"> (see Figure </w:t>
      </w:r>
      <w:r>
        <w:rPr>
          <w:rFonts w:ascii="Times New Roman" w:eastAsia="Calibri" w:hAnsi="Times New Roman" w:cs="Times New Roman"/>
          <w:sz w:val="24"/>
          <w:szCs w:val="24"/>
        </w:rPr>
        <w:t>2</w:t>
      </w:r>
      <w:r w:rsidRPr="009B5102">
        <w:rPr>
          <w:rFonts w:ascii="Times New Roman" w:eastAsia="Calibri" w:hAnsi="Times New Roman" w:cs="Times New Roman"/>
          <w:sz w:val="24"/>
          <w:szCs w:val="24"/>
        </w:rPr>
        <w:t xml:space="preserve">). The iconic images of ‘ordinary’ women flaunting their bodies in plain underwear on giant billboards became the most recognisable element in </w:t>
      </w:r>
      <w:r w:rsidRPr="009B5102">
        <w:rPr>
          <w:rFonts w:ascii="Times New Roman" w:eastAsia="Calibri" w:hAnsi="Times New Roman" w:cs="Times New Roman"/>
          <w:iCs/>
          <w:sz w:val="24"/>
          <w:szCs w:val="24"/>
        </w:rPr>
        <w:t>Dove</w:t>
      </w:r>
      <w:r w:rsidRPr="009B5102">
        <w:rPr>
          <w:rFonts w:ascii="Times New Roman" w:eastAsia="Calibri" w:hAnsi="Times New Roman" w:cs="Times New Roman"/>
          <w:sz w:val="24"/>
          <w:szCs w:val="24"/>
        </w:rPr>
        <w:t xml:space="preserve">’s campaign. </w:t>
      </w:r>
    </w:p>
    <w:p w14:paraId="5C8224C4"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7C95BBB"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211C4F2C" wp14:editId="56160C78">
            <wp:extent cx="5337383" cy="2449002"/>
            <wp:effectExtent l="19050" t="0" r="0" b="0"/>
            <wp:docPr id="3"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13" cstate="print"/>
                    <a:srcRect/>
                    <a:stretch>
                      <a:fillRect/>
                    </a:stretch>
                  </pic:blipFill>
                  <pic:spPr bwMode="auto">
                    <a:xfrm>
                      <a:off x="0" y="0"/>
                      <a:ext cx="5337383" cy="2449002"/>
                    </a:xfrm>
                    <a:prstGeom prst="rect">
                      <a:avLst/>
                    </a:prstGeom>
                    <a:noFill/>
                    <a:ln w="9525">
                      <a:noFill/>
                      <a:miter lim="800000"/>
                      <a:headEnd/>
                      <a:tailEnd/>
                    </a:ln>
                  </pic:spPr>
                </pic:pic>
              </a:graphicData>
            </a:graphic>
          </wp:inline>
        </w:drawing>
      </w:r>
    </w:p>
    <w:p w14:paraId="52D0D752" w14:textId="77777777" w:rsidR="00497B7D" w:rsidRPr="005E1806" w:rsidRDefault="00497B7D" w:rsidP="00346CA5">
      <w:pPr>
        <w:pStyle w:val="Heading6"/>
      </w:pPr>
      <w:bookmarkStart w:id="22" w:name="_Toc436608076"/>
      <w:bookmarkStart w:id="23" w:name="_Toc445120227"/>
      <w:r w:rsidRPr="005E1806">
        <w:t xml:space="preserve">Figure </w:t>
      </w:r>
      <w:r>
        <w:t>2</w:t>
      </w:r>
      <w:r w:rsidRPr="005E1806">
        <w:t>: Firming cream ad, group version, Dove</w:t>
      </w:r>
      <w:bookmarkEnd w:id="22"/>
      <w:bookmarkEnd w:id="23"/>
    </w:p>
    <w:p w14:paraId="30E13C15"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BCABC8F"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Another activity </w:t>
      </w:r>
      <w:r w:rsidRPr="009B5102">
        <w:rPr>
          <w:rFonts w:ascii="Times New Roman" w:eastAsia="Calibri" w:hAnsi="Times New Roman" w:cs="Times New Roman"/>
          <w:iCs/>
          <w:sz w:val="24"/>
          <w:szCs w:val="24"/>
        </w:rPr>
        <w:t>Dove promoted</w:t>
      </w:r>
      <w:r w:rsidRPr="009B5102">
        <w:rPr>
          <w:rFonts w:ascii="Times New Roman" w:eastAsia="Calibri" w:hAnsi="Times New Roman" w:cs="Times New Roman"/>
          <w:sz w:val="24"/>
          <w:szCs w:val="24"/>
        </w:rPr>
        <w:t xml:space="preserve"> was the ‘beauty debate’ in which posters on billboards (some of them interactive) presented images of women for public debate, by posing questions (such as, Fat or fit? Grey or gorgeous?), and inviting the public to discuss and judge them (see Figure </w:t>
      </w:r>
      <w:r>
        <w:rPr>
          <w:rFonts w:ascii="Times New Roman" w:eastAsia="Calibri" w:hAnsi="Times New Roman" w:cs="Times New Roman"/>
          <w:sz w:val="24"/>
          <w:szCs w:val="24"/>
        </w:rPr>
        <w:t>3</w:t>
      </w:r>
      <w:r w:rsidRPr="009B5102">
        <w:rPr>
          <w:rFonts w:ascii="Times New Roman" w:eastAsia="Calibri" w:hAnsi="Times New Roman" w:cs="Times New Roman"/>
          <w:sz w:val="24"/>
          <w:szCs w:val="24"/>
        </w:rPr>
        <w:t xml:space="preserve">). </w:t>
      </w:r>
    </w:p>
    <w:p w14:paraId="3BB08601"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E1195D9"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3AE9C99"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5CBA494F"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19B5096"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6E6F721E" w14:textId="77777777" w:rsidR="00497B7D" w:rsidRPr="009B5102" w:rsidRDefault="000F3FF3" w:rsidP="00346CA5">
      <w:pPr>
        <w:spacing w:line="360" w:lineRule="auto"/>
        <w:contextualSpacing/>
        <w:rPr>
          <w:rFonts w:ascii="Times New Roman" w:eastAsia="Calibri" w:hAnsi="Times New Roman" w:cs="Times New Roman"/>
          <w:sz w:val="24"/>
          <w:szCs w:val="24"/>
        </w:rPr>
      </w:pPr>
      <w:r>
        <w:rPr>
          <w:rFonts w:ascii="Times New Roman" w:eastAsia="Calibri" w:hAnsi="Times New Roman" w:cs="Times New Roman"/>
          <w:noProof/>
          <w:sz w:val="24"/>
          <w:szCs w:val="24"/>
          <w:lang w:eastAsia="en-GB"/>
        </w:rPr>
        <w:drawing>
          <wp:anchor distT="0" distB="0" distL="114300" distR="114300" simplePos="0" relativeHeight="251662336" behindDoc="0" locked="0" layoutInCell="1" allowOverlap="1" wp14:anchorId="26E94E5B" wp14:editId="5F6FCF13">
            <wp:simplePos x="0" y="0"/>
            <wp:positionH relativeFrom="column">
              <wp:posOffset>-95250</wp:posOffset>
            </wp:positionH>
            <wp:positionV relativeFrom="paragraph">
              <wp:posOffset>-619125</wp:posOffset>
            </wp:positionV>
            <wp:extent cx="1981200" cy="2714625"/>
            <wp:effectExtent l="19050" t="0" r="0" b="0"/>
            <wp:wrapSquare wrapText="right"/>
            <wp:docPr id="4" name="Picture 3" descr="2004_10_10dove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4_10_10dovewomen"/>
                    <pic:cNvPicPr>
                      <a:picLocks noChangeAspect="1" noChangeArrowheads="1"/>
                    </pic:cNvPicPr>
                  </pic:nvPicPr>
                  <pic:blipFill>
                    <a:blip r:embed="rId14" cstate="print"/>
                    <a:srcRect/>
                    <a:stretch>
                      <a:fillRect/>
                    </a:stretch>
                  </pic:blipFill>
                  <pic:spPr bwMode="auto">
                    <a:xfrm>
                      <a:off x="0" y="0"/>
                      <a:ext cx="1981200" cy="2714625"/>
                    </a:xfrm>
                    <a:prstGeom prst="rect">
                      <a:avLst/>
                    </a:prstGeom>
                    <a:noFill/>
                    <a:ln w="9525">
                      <a:noFill/>
                      <a:miter lim="800000"/>
                      <a:headEnd/>
                      <a:tailEnd/>
                    </a:ln>
                  </pic:spPr>
                </pic:pic>
              </a:graphicData>
            </a:graphic>
          </wp:anchor>
        </w:drawing>
      </w:r>
    </w:p>
    <w:p w14:paraId="4479CAD4"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F671071"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FEE8854"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CF0F114"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25D8221"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1855FB31"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5923A0D"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5C9E7DA" w14:textId="77777777" w:rsidR="00497B7D" w:rsidRPr="00A64602" w:rsidRDefault="00497B7D" w:rsidP="00346CA5">
      <w:pPr>
        <w:pStyle w:val="Heading6"/>
      </w:pPr>
      <w:bookmarkStart w:id="24" w:name="_Toc436608077"/>
      <w:bookmarkStart w:id="25" w:name="_Toc445120228"/>
      <w:r w:rsidRPr="00A64602">
        <w:t xml:space="preserve">Figure </w:t>
      </w:r>
      <w:r>
        <w:t>3</w:t>
      </w:r>
      <w:r w:rsidRPr="00A64602">
        <w:t>: Dove ‘beauty debate’ ads</w:t>
      </w:r>
      <w:bookmarkEnd w:id="24"/>
      <w:bookmarkEnd w:id="25"/>
      <w:r w:rsidRPr="00A64602">
        <w:t xml:space="preserve"> </w:t>
      </w:r>
    </w:p>
    <w:p w14:paraId="6DD07BF2"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22FE660"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Similarly, the programme presented a ‘beauty debate’ segment as part of the format: photos of the participant in plain underwear before having undergone the styling process and an artistic ‘after’ photo of the participant in the nude were projected onto a wall in London</w:t>
      </w:r>
      <w:r w:rsidRPr="00B93D25">
        <w:rPr>
          <w:rStyle w:val="FootnoteReference"/>
        </w:rPr>
        <w:footnoteReference w:id="38"/>
      </w:r>
      <w:r w:rsidRPr="009B5102">
        <w:rPr>
          <w:rFonts w:ascii="Times New Roman" w:eastAsia="Calibri" w:hAnsi="Times New Roman" w:cs="Times New Roman"/>
          <w:sz w:val="24"/>
          <w:szCs w:val="24"/>
        </w:rPr>
        <w:t xml:space="preserve"> (see Figure </w:t>
      </w:r>
      <w:r>
        <w:rPr>
          <w:rFonts w:ascii="Times New Roman" w:eastAsia="Calibri" w:hAnsi="Times New Roman" w:cs="Times New Roman"/>
          <w:sz w:val="24"/>
          <w:szCs w:val="24"/>
        </w:rPr>
        <w:t>4</w:t>
      </w:r>
      <w:r w:rsidRPr="009B5102">
        <w:rPr>
          <w:rFonts w:ascii="Times New Roman" w:eastAsia="Calibri" w:hAnsi="Times New Roman" w:cs="Times New Roman"/>
          <w:sz w:val="24"/>
          <w:szCs w:val="24"/>
        </w:rPr>
        <w:t>). In the ‘before’ stage, passers-by were asked by Wan what they thought the woman’s ‘best parts’ were, and in the ‘after’ stage it was the woman herself who was asked to approach passers-by and ask them whether they thought she looked good naked (as the title of the programme suggests). This was the cathartic moment in each episode signifying the successful end of process</w:t>
      </w:r>
      <w:r w:rsidRPr="00B93D25">
        <w:rPr>
          <w:rStyle w:val="FootnoteReference"/>
        </w:rPr>
        <w:footnoteReference w:id="39"/>
      </w:r>
      <w:r w:rsidRPr="009B5102">
        <w:rPr>
          <w:rFonts w:ascii="Times New Roman" w:eastAsia="Calibri" w:hAnsi="Times New Roman" w:cs="Times New Roman"/>
          <w:sz w:val="24"/>
          <w:szCs w:val="24"/>
        </w:rPr>
        <w:t xml:space="preserve">.    </w:t>
      </w:r>
    </w:p>
    <w:p w14:paraId="32A5EDA2"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lastRenderedPageBreak/>
        <w:drawing>
          <wp:inline distT="0" distB="0" distL="0" distR="0" wp14:anchorId="5F67F9D2" wp14:editId="32E7D909">
            <wp:extent cx="2746292" cy="2548795"/>
            <wp:effectExtent l="76200" t="76200" r="54058" b="61055"/>
            <wp:docPr id="6" name="Picture 0" descr="howtolookgoodnak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lookgoodnaked003.jpg"/>
                    <pic:cNvPicPr/>
                  </pic:nvPicPr>
                  <pic:blipFill>
                    <a:blip r:embed="rId15" cstate="print"/>
                    <a:stretch>
                      <a:fillRect/>
                    </a:stretch>
                  </pic:blipFill>
                  <pic:spPr>
                    <a:xfrm rot="21432276">
                      <a:off x="0" y="0"/>
                      <a:ext cx="2745963" cy="2548490"/>
                    </a:xfrm>
                    <a:prstGeom prst="rect">
                      <a:avLst/>
                    </a:prstGeom>
                  </pic:spPr>
                </pic:pic>
              </a:graphicData>
            </a:graphic>
          </wp:inline>
        </w:drawing>
      </w:r>
    </w:p>
    <w:p w14:paraId="229A23F7" w14:textId="77777777" w:rsidR="00497B7D" w:rsidRPr="00A64602" w:rsidRDefault="00497B7D" w:rsidP="00346CA5">
      <w:pPr>
        <w:pStyle w:val="Heading6"/>
        <w:rPr>
          <w:i/>
          <w:iCs/>
        </w:rPr>
      </w:pPr>
      <w:bookmarkStart w:id="26" w:name="_Toc436608078"/>
      <w:bookmarkStart w:id="27" w:name="_Toc445120229"/>
      <w:r w:rsidRPr="00A64602">
        <w:t xml:space="preserve">Figure </w:t>
      </w:r>
      <w:r>
        <w:t>4</w:t>
      </w:r>
      <w:r w:rsidRPr="00A64602">
        <w:t>:</w:t>
      </w:r>
      <w:r w:rsidRPr="00A64602">
        <w:rPr>
          <w:noProof/>
        </w:rPr>
        <w:t xml:space="preserve"> An ‘</w:t>
      </w:r>
      <w:r w:rsidRPr="00A64602">
        <w:t xml:space="preserve">after’ nudity photo, </w:t>
      </w:r>
      <w:r w:rsidRPr="00A64602">
        <w:rPr>
          <w:i/>
          <w:iCs/>
        </w:rPr>
        <w:t>HTLGN</w:t>
      </w:r>
      <w:bookmarkEnd w:id="26"/>
      <w:bookmarkEnd w:id="27"/>
    </w:p>
    <w:p w14:paraId="0E62727B"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1CE918D"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Thus, showing off the body in public was presented - in both cases - as a liberating and empowering act, signifying a cathartic moment of transformation, either after using </w:t>
      </w:r>
      <w:r w:rsidRPr="009B5102">
        <w:rPr>
          <w:rFonts w:ascii="Times New Roman" w:eastAsia="Calibri" w:hAnsi="Times New Roman" w:cs="Times New Roman"/>
          <w:iCs/>
          <w:sz w:val="24"/>
          <w:szCs w:val="24"/>
        </w:rPr>
        <w:t>Dove</w:t>
      </w:r>
      <w:r w:rsidRPr="009B5102">
        <w:rPr>
          <w:rFonts w:ascii="Times New Roman" w:eastAsia="Calibri" w:hAnsi="Times New Roman" w:cs="Times New Roman"/>
          <w:sz w:val="24"/>
          <w:szCs w:val="24"/>
        </w:rPr>
        <w:t xml:space="preserve">’s products of after completing the journey with </w:t>
      </w:r>
      <w:r w:rsidRPr="009B5102">
        <w:rPr>
          <w:rFonts w:ascii="Times New Roman" w:eastAsia="Calibri" w:hAnsi="Times New Roman" w:cs="Times New Roman"/>
          <w:i/>
          <w:iCs/>
          <w:sz w:val="24"/>
          <w:szCs w:val="24"/>
        </w:rPr>
        <w:t>HTLGN’s</w:t>
      </w:r>
      <w:r w:rsidRPr="009B5102">
        <w:rPr>
          <w:rFonts w:ascii="Times New Roman" w:eastAsia="Calibri" w:hAnsi="Times New Roman" w:cs="Times New Roman"/>
          <w:sz w:val="24"/>
          <w:szCs w:val="24"/>
        </w:rPr>
        <w:t xml:space="preserve"> presenter Wan. At the same time, the programme, much like the brand in its ‘beauty debate’ posters, used these images to spark public debate by asking passers-by for their opinion for the purpose of debunking stereotypes about what is considered beautiful.  </w:t>
      </w:r>
    </w:p>
    <w:p w14:paraId="1CB2C942"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11DFA659" w14:textId="77777777" w:rsidR="00497B7D" w:rsidRPr="009B5102" w:rsidRDefault="00497B7D" w:rsidP="00346CA5">
      <w:pPr>
        <w:pStyle w:val="Heading3"/>
        <w:rPr>
          <w:rtl/>
        </w:rPr>
      </w:pPr>
      <w:bookmarkStart w:id="28" w:name="_Toc445202679"/>
      <w:r w:rsidRPr="009B5102">
        <w:rPr>
          <w:i/>
          <w:iCs/>
        </w:rPr>
        <w:t xml:space="preserve">Overdraft Family, </w:t>
      </w:r>
      <w:r w:rsidRPr="009B5102">
        <w:t>Bank Hapo’alim and Shufersal-Deal</w:t>
      </w:r>
      <w:bookmarkEnd w:id="28"/>
    </w:p>
    <w:p w14:paraId="4BFD4EBE" w14:textId="77777777" w:rsidR="00497B7D"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case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offers a somewhat different perspective on the diffusion of brand messages in programming</w:t>
      </w:r>
      <w:r w:rsidRPr="009B5102">
        <w:rPr>
          <w:rFonts w:ascii="Times New Roman" w:eastAsia="Calibri" w:hAnsi="Times New Roman" w:cs="Times New Roman"/>
          <w:i/>
          <w:iCs/>
          <w:sz w:val="24"/>
          <w:szCs w:val="24"/>
        </w:rPr>
        <w:t xml:space="preserve">. </w:t>
      </w:r>
      <w:r w:rsidRPr="009B5102">
        <w:rPr>
          <w:rFonts w:ascii="Times New Roman" w:eastAsia="Calibri" w:hAnsi="Times New Roman" w:cs="Times New Roman"/>
          <w:sz w:val="24"/>
          <w:szCs w:val="24"/>
        </w:rPr>
        <w:t xml:space="preserve">While the affinity between </w:t>
      </w:r>
      <w:r w:rsidRPr="009B5102">
        <w:rPr>
          <w:rFonts w:ascii="Times New Roman" w:eastAsia="Calibri" w:hAnsi="Times New Roman" w:cs="Times New Roman"/>
          <w:i/>
          <w:iCs/>
          <w:sz w:val="24"/>
          <w:szCs w:val="24"/>
        </w:rPr>
        <w:t>HTLGN’s</w:t>
      </w:r>
      <w:r w:rsidRPr="009B5102">
        <w:rPr>
          <w:rFonts w:ascii="Times New Roman" w:eastAsia="Calibri" w:hAnsi="Times New Roman" w:cs="Times New Roman"/>
          <w:sz w:val="24"/>
          <w:szCs w:val="24"/>
        </w:rPr>
        <w:t xml:space="preserve"> agenda and that of Dove’s </w:t>
      </w:r>
      <w:r w:rsidRPr="009B5102">
        <w:rPr>
          <w:rFonts w:ascii="Times New Roman" w:eastAsia="Calibri" w:hAnsi="Times New Roman" w:cs="Times New Roman"/>
          <w:i/>
          <w:iCs/>
          <w:sz w:val="24"/>
          <w:szCs w:val="24"/>
        </w:rPr>
        <w:t xml:space="preserve">Real Beauty </w:t>
      </w:r>
      <w:r w:rsidRPr="009B5102">
        <w:rPr>
          <w:rFonts w:ascii="Times New Roman" w:eastAsia="Calibri" w:hAnsi="Times New Roman" w:cs="Times New Roman"/>
          <w:sz w:val="24"/>
          <w:szCs w:val="24"/>
        </w:rPr>
        <w:t xml:space="preserve">campaign started out, according to the producers, mainly as an inspirational one (which later led to a sponsorship deal), in the case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the integration was clearly intentional and, as I will show, carefully controlled. Although both cases provide evidence of the blurring that occurs between editorial and commercial messages during development and production, the case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is more typical and prevalent in the reality of ‘branded content’ deals, as the background interviews with branded content agents suggest. This is also </w:t>
      </w:r>
      <w:r w:rsidRPr="009B5102">
        <w:rPr>
          <w:rFonts w:ascii="Times New Roman" w:eastAsia="Calibri" w:hAnsi="Times New Roman" w:cs="Times New Roman"/>
          <w:sz w:val="24"/>
          <w:szCs w:val="24"/>
        </w:rPr>
        <w:lastRenderedPageBreak/>
        <w:t xml:space="preserve">clearly shown through the many examples I presented in an extensive report on this market in Israel </w:t>
      </w:r>
      <w:r w:rsidRPr="009B5102">
        <w:rPr>
          <w:rFonts w:ascii="Times New Roman" w:eastAsia="Calibri" w:hAnsi="Times New Roman" w:cs="Times New Roman"/>
          <w:noProof/>
          <w:sz w:val="24"/>
          <w:szCs w:val="24"/>
        </w:rPr>
        <w:t>(Balint, 2012a)</w:t>
      </w:r>
      <w:r w:rsidRPr="009B5102">
        <w:rPr>
          <w:rFonts w:ascii="Times New Roman" w:eastAsia="Calibri" w:hAnsi="Times New Roman" w:cs="Times New Roman"/>
          <w:sz w:val="24"/>
          <w:szCs w:val="24"/>
        </w:rPr>
        <w:t xml:space="preserve">. </w:t>
      </w:r>
    </w:p>
    <w:p w14:paraId="4FC2A185"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8BB44A1" w14:textId="77777777" w:rsidR="00497B7D" w:rsidRPr="009B5102" w:rsidRDefault="00497B7D" w:rsidP="00346CA5">
      <w:pPr>
        <w:pStyle w:val="Heading4"/>
        <w:rPr>
          <w:rFonts w:eastAsia="Calibri"/>
        </w:rPr>
      </w:pPr>
      <w:r w:rsidRPr="009B5102">
        <w:rPr>
          <w:rFonts w:eastAsia="Calibri"/>
        </w:rPr>
        <w:t>Bank Hapo’alim</w:t>
      </w:r>
    </w:p>
    <w:p w14:paraId="4344C21C"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Bank Hapo’alim’s messages were integrated into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in two ways. First, one of the bank’s representatives joined the professional advisory team that assisted </w:t>
      </w:r>
      <w:r w:rsidRPr="009B5102">
        <w:rPr>
          <w:rFonts w:ascii="Times New Roman" w:eastAsia="Calibri" w:hAnsi="Times New Roman" w:cs="Times New Roman"/>
          <w:i/>
          <w:iCs/>
          <w:sz w:val="24"/>
          <w:szCs w:val="24"/>
        </w:rPr>
        <w:t>Overdraft Family’s</w:t>
      </w:r>
      <w:r w:rsidRPr="009B5102">
        <w:rPr>
          <w:rFonts w:ascii="Times New Roman" w:eastAsia="Calibri" w:hAnsi="Times New Roman" w:cs="Times New Roman"/>
          <w:sz w:val="24"/>
          <w:szCs w:val="24"/>
        </w:rPr>
        <w:t xml:space="preserve"> presenter, Alon Gal, in providing tips and advice to the participating families. The representative, Nurit Raz (branch manager at Bank Hapo’alim), appeared in each episode</w:t>
      </w:r>
      <w:r w:rsidRPr="00B93D25">
        <w:rPr>
          <w:rStyle w:val="FootnoteReference"/>
        </w:rPr>
        <w:footnoteReference w:id="40"/>
      </w:r>
      <w:r w:rsidRPr="009B5102">
        <w:rPr>
          <w:rFonts w:ascii="Times New Roman" w:eastAsia="Calibri" w:hAnsi="Times New Roman" w:cs="Times New Roman"/>
          <w:sz w:val="24"/>
          <w:szCs w:val="24"/>
        </w:rPr>
        <w:t xml:space="preserve"> and became the ‘face’ of the sponsor in the programme. During the programme she was referred to as a ‘senior banker’, due to regulatory restrictions forbidding any use of commercial names; however she  frequently appeared with ‘extra tips’ in commercial vignettes on Channel 2 which </w:t>
      </w:r>
      <w:r w:rsidRPr="009B5102">
        <w:rPr>
          <w:rFonts w:ascii="Times New Roman" w:eastAsia="Calibri" w:hAnsi="Times New Roman" w:cs="Times New Roman"/>
          <w:b/>
          <w:bCs/>
          <w:sz w:val="24"/>
          <w:szCs w:val="24"/>
        </w:rPr>
        <w:t>did</w:t>
      </w:r>
      <w:r w:rsidRPr="009B5102">
        <w:rPr>
          <w:rFonts w:ascii="Times New Roman" w:eastAsia="Calibri" w:hAnsi="Times New Roman" w:cs="Times New Roman"/>
          <w:sz w:val="24"/>
          <w:szCs w:val="24"/>
        </w:rPr>
        <w:t xml:space="preserve"> identify the bank</w:t>
      </w:r>
      <w:r w:rsidRPr="00B93D25">
        <w:rPr>
          <w:rStyle w:val="FootnoteReference"/>
          <w:rtl/>
        </w:rPr>
        <w:footnoteReference w:id="41"/>
      </w:r>
      <w:r w:rsidRPr="009B5102">
        <w:rPr>
          <w:rFonts w:ascii="Times New Roman" w:eastAsia="Calibri" w:hAnsi="Times New Roman" w:cs="Times New Roman"/>
          <w:sz w:val="24"/>
          <w:szCs w:val="24"/>
        </w:rPr>
        <w:t>. Consequently, any viewer who had seen the senior adviser in the show and later watched the commercial vignettes could not escape the linkage between the ‘senior banker’ and Bank Hapo’alim.</w:t>
      </w:r>
    </w:p>
    <w:p w14:paraId="3FD77C1F"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8C183D5"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The other way the bank’s messages were integrated into the programme was by taking the family to a local Bank Hapo’alim branch to meet their bank manager, in cases where these families already had an account at the bank</w:t>
      </w:r>
      <w:r w:rsidRPr="00B93D25">
        <w:rPr>
          <w:rStyle w:val="FootnoteReference"/>
        </w:rPr>
        <w:footnoteReference w:id="42"/>
      </w:r>
      <w:r w:rsidRPr="009B5102">
        <w:rPr>
          <w:rFonts w:ascii="Times New Roman" w:eastAsia="Calibri" w:hAnsi="Times New Roman" w:cs="Times New Roman"/>
          <w:sz w:val="24"/>
          <w:szCs w:val="24"/>
        </w:rPr>
        <w:t xml:space="preserve">. </w:t>
      </w:r>
    </w:p>
    <w:p w14:paraId="42EB62A9"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5B34D6E4"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format developer and editor of the programme in its first two series, Tzipi Rosenblum, explained that the bank’s messages did not interfere with her editorial independence as they were synergetic with the format. As she stated: </w:t>
      </w:r>
    </w:p>
    <w:p w14:paraId="1524DF71"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429CBA22"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 had meetings with Bank Hapo’alim. It is important for them to come across as a serious, responsible and compliant bank. For me, it was important to provide tips on banking, regardless of the sponsorship... What I mean is that regardless of the bank sponsorship, I would </w:t>
      </w:r>
      <w:r w:rsidRPr="009B5102">
        <w:rPr>
          <w:rFonts w:ascii="Times New Roman" w:eastAsia="Calibri" w:hAnsi="Times New Roman" w:cs="Times New Roman"/>
          <w:sz w:val="24"/>
          <w:szCs w:val="24"/>
        </w:rPr>
        <w:lastRenderedPageBreak/>
        <w:t xml:space="preserve">recommend that people go to their bank and sort out their account and financial matters </w:t>
      </w:r>
      <w:r w:rsidRPr="009B5102">
        <w:rPr>
          <w:rFonts w:ascii="Times New Roman" w:eastAsia="Calibri" w:hAnsi="Times New Roman" w:cs="Times New Roman"/>
          <w:noProof/>
          <w:sz w:val="24"/>
          <w:szCs w:val="24"/>
        </w:rPr>
        <w:t>(Rosenblum, 2011)</w:t>
      </w:r>
      <w:r w:rsidRPr="009B5102">
        <w:rPr>
          <w:rFonts w:ascii="Times New Roman" w:eastAsia="Calibri" w:hAnsi="Times New Roman" w:cs="Times New Roman"/>
          <w:sz w:val="24"/>
          <w:szCs w:val="24"/>
        </w:rPr>
        <w:t xml:space="preserve">. </w:t>
      </w:r>
    </w:p>
    <w:p w14:paraId="119D7A27"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6163EECD"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However, the bank’s marketing communications manager, Sharon Landsman, emphasised how carefully these messages were controlled by the bank:  </w:t>
      </w:r>
    </w:p>
    <w:p w14:paraId="51CD16FF"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43F81D63"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 would tell them, during the negotiations, these are the topics I would like to include, these are the messages that should be conveyed to the families. They were obligated to communicate these issues to the families. I wouldn’t check which families they took on, absolutely not. It’s their job to create a hot, interesting programme that people would want to watch. But they would show me an episode and I would comment on the segments that are relevant to me. I did not comment on anything else, it’s not what I was allowed to do in my relationship with them </w:t>
      </w:r>
      <w:r w:rsidRPr="009B5102">
        <w:rPr>
          <w:rFonts w:ascii="Times New Roman" w:eastAsia="Calibri" w:hAnsi="Times New Roman" w:cs="Times New Roman"/>
          <w:noProof/>
          <w:sz w:val="24"/>
          <w:szCs w:val="24"/>
        </w:rPr>
        <w:t>(Landsman, 2012)</w:t>
      </w:r>
      <w:r w:rsidRPr="009B5102">
        <w:rPr>
          <w:rFonts w:ascii="Times New Roman" w:eastAsia="Calibri" w:hAnsi="Times New Roman" w:cs="Times New Roman"/>
          <w:sz w:val="24"/>
          <w:szCs w:val="24"/>
        </w:rPr>
        <w:t xml:space="preserve">. </w:t>
      </w:r>
    </w:p>
    <w:p w14:paraId="208C3642"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E0A4CE8"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Internal bank documents presenting the details of the sponsorship deal confirm that the integration of the bank into the programme was carefully planned and controlled. It was agreed that Nurit Raz would regularly appear on the advisory panel together with Alon Gal and would be included at least twice in each episode. In addition, it was specified that the recommendations to each family would be made by the bank’s marketing department together with Raz, and it was even noted that “Nurit would be credited as a ‘senior banker’, as it is not possible to say which bank she works at” </w:t>
      </w:r>
      <w:r w:rsidRPr="009B5102">
        <w:rPr>
          <w:rFonts w:ascii="Times New Roman" w:eastAsia="Calibri" w:hAnsi="Times New Roman" w:cs="Times New Roman"/>
          <w:noProof/>
          <w:sz w:val="24"/>
          <w:szCs w:val="24"/>
        </w:rPr>
        <w:t>(Bank Hapo'alim, 2009)</w:t>
      </w:r>
      <w:r w:rsidRPr="009B5102">
        <w:rPr>
          <w:rFonts w:ascii="Times New Roman" w:eastAsia="Calibri" w:hAnsi="Times New Roman" w:cs="Times New Roman"/>
          <w:sz w:val="24"/>
          <w:szCs w:val="24"/>
        </w:rPr>
        <w:t>.</w:t>
      </w:r>
    </w:p>
    <w:p w14:paraId="2C352C56"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EF2A0BC"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In the fourth series, Bank Hapo’alim gained even greater</w:t>
      </w:r>
      <w:r w:rsidRPr="009B5102">
        <w:rPr>
          <w:rFonts w:ascii="Times New Roman" w:eastAsia="Calibri" w:hAnsi="Times New Roman" w:cs="Times New Roman"/>
          <w:i/>
          <w:iCs/>
          <w:sz w:val="24"/>
          <w:szCs w:val="24"/>
        </w:rPr>
        <w:t xml:space="preserve"> </w:t>
      </w:r>
      <w:r w:rsidRPr="009B5102">
        <w:rPr>
          <w:rFonts w:ascii="Times New Roman" w:eastAsia="Calibri" w:hAnsi="Times New Roman" w:cs="Times New Roman"/>
          <w:iCs/>
          <w:sz w:val="24"/>
          <w:szCs w:val="24"/>
        </w:rPr>
        <w:t>prominence in the</w:t>
      </w:r>
      <w:r w:rsidRPr="009B5102">
        <w:rPr>
          <w:rFonts w:ascii="Times New Roman" w:eastAsia="Calibri" w:hAnsi="Times New Roman" w:cs="Times New Roman"/>
          <w:sz w:val="24"/>
          <w:szCs w:val="24"/>
        </w:rPr>
        <w:t xml:space="preserve"> programme as it was agreed that Raz would become a solitary advisor (instead of being part of a panel of professionals) and the participants’ visits to her office became an event in itself, a necessary starting point for each family in the process of self-improvement. This not only turned her into an exclusive authority on family finance, but also created a physical environment that ‘naturally’ emphasised the bank’s presence (more on this in the upcoming section, Visual Diffusion).</w:t>
      </w:r>
    </w:p>
    <w:p w14:paraId="0D0CF656"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In Bank Hapo’alim’s internal document on the sponsorship deal for the programme’s fourth series it was clearly stated that:</w:t>
      </w:r>
    </w:p>
    <w:p w14:paraId="4552F0E6" w14:textId="77777777" w:rsidR="00497B7D" w:rsidRPr="009B5102" w:rsidRDefault="00497B7D" w:rsidP="00346CA5">
      <w:pPr>
        <w:pStyle w:val="Quote"/>
      </w:pPr>
      <w:r w:rsidRPr="009B5102">
        <w:t xml:space="preserve">After the family’s initial meeting with Alon Gal, family members will be sent to meet Nurit Raz, the banker serving as the show’s advisor, in the branch she manages, to get professional advice on how to improve their financial management </w:t>
      </w:r>
      <w:r>
        <w:t>(Bank Hapo’alim, 2010)</w:t>
      </w:r>
      <w:r w:rsidRPr="009B5102">
        <w:t>.</w:t>
      </w:r>
    </w:p>
    <w:p w14:paraId="19F06F1D"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Instructions on other ways to integrate the bank into the programme through visits of the family to a local Bank Hapo’alim branch to meet their bank manager were also specific and detailed, as the bank’s internal documents for the sponsorship deal reveal: </w:t>
      </w:r>
    </w:p>
    <w:p w14:paraId="37E370EB"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B6FC8DB" w14:textId="3E29D945"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cases where the family is a client of the bank, the relevant branch </w:t>
      </w:r>
      <w:r w:rsidR="00181C52" w:rsidRPr="009B5102">
        <w:rPr>
          <w:rFonts w:ascii="Times New Roman" w:eastAsia="Calibri" w:hAnsi="Times New Roman" w:cs="Times New Roman"/>
          <w:sz w:val="24"/>
          <w:szCs w:val="24"/>
        </w:rPr>
        <w:t>will receive</w:t>
      </w:r>
      <w:r w:rsidRPr="009B5102">
        <w:rPr>
          <w:rFonts w:ascii="Times New Roman" w:eastAsia="Calibri" w:hAnsi="Times New Roman" w:cs="Times New Roman"/>
          <w:sz w:val="24"/>
          <w:szCs w:val="24"/>
        </w:rPr>
        <w:t xml:space="preserve"> a financial report for further practical recommendations </w:t>
      </w:r>
      <w:r w:rsidRPr="009B5102">
        <w:rPr>
          <w:rFonts w:ascii="Times New Roman" w:eastAsia="Calibri" w:hAnsi="Times New Roman" w:cs="Times New Roman"/>
          <w:noProof/>
          <w:sz w:val="24"/>
          <w:szCs w:val="24"/>
        </w:rPr>
        <w:t>(Bank Hapo'alim, 2009)</w:t>
      </w:r>
      <w:r w:rsidRPr="009B5102">
        <w:rPr>
          <w:rFonts w:ascii="Times New Roman" w:eastAsia="Calibri" w:hAnsi="Times New Roman" w:cs="Times New Roman"/>
          <w:sz w:val="24"/>
          <w:szCs w:val="24"/>
        </w:rPr>
        <w:t xml:space="preserve">. </w:t>
      </w:r>
    </w:p>
    <w:p w14:paraId="7A793918"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17904F1F"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It was then specified that the marketing department would write a conversation script between the banker from that specific branch and the family. Towards the shooting day, each branch manager received instructions pertaining to the banker’s dress code, the appearance of the room where the shooting was to take place (i.e. the brand’s visibility) and the importance of a clean and tidy look </w:t>
      </w:r>
      <w:r w:rsidRPr="009B5102">
        <w:rPr>
          <w:rFonts w:ascii="Times New Roman" w:eastAsia="Calibri" w:hAnsi="Times New Roman" w:cs="Times New Roman"/>
          <w:noProof/>
          <w:sz w:val="24"/>
          <w:szCs w:val="24"/>
        </w:rPr>
        <w:t>(Bank Hapo'alim, 2009)</w:t>
      </w:r>
      <w:r w:rsidRPr="009B5102">
        <w:rPr>
          <w:rFonts w:ascii="Times New Roman" w:eastAsia="Calibri" w:hAnsi="Times New Roman" w:cs="Times New Roman"/>
          <w:sz w:val="24"/>
          <w:szCs w:val="24"/>
        </w:rPr>
        <w:t xml:space="preserve">. </w:t>
      </w:r>
    </w:p>
    <w:p w14:paraId="1638266A"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326754C"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The same segment was inserted throughout the fourth series, even when the family has had already had its first initial meeting with the bank’s formal representative, Nurit Raz, in their local branch</w:t>
      </w:r>
      <w:r>
        <w:rPr>
          <w:rFonts w:ascii="Times New Roman" w:eastAsia="Calibri" w:hAnsi="Times New Roman" w:cs="Times New Roman"/>
          <w:sz w:val="24"/>
          <w:szCs w:val="24"/>
        </w:rPr>
        <w:t xml:space="preserve"> (Bank Hapo’alim, 2010)</w:t>
      </w:r>
      <w:r w:rsidRPr="009B5102">
        <w:rPr>
          <w:rFonts w:ascii="Times New Roman" w:eastAsia="Calibri" w:hAnsi="Times New Roman" w:cs="Times New Roman"/>
          <w:sz w:val="24"/>
          <w:szCs w:val="24"/>
        </w:rPr>
        <w:t xml:space="preserve">. Thus, although Rosenblum presented the co-operation with Bank Hapo’alim as a synergetic one, it is clear from the details presented here that the programme’s editorial independence in regards to the segments on banking advice, was compromised and subjected to the sponsor’s considerations. Even if no fundamental conflicts appeared around the messages conveyed to the families, the deal suggests a shift in the power relations between the programme’s editorial considerations and the commercial interests of the </w:t>
      </w:r>
      <w:r w:rsidRPr="009B5102">
        <w:rPr>
          <w:rFonts w:ascii="Times New Roman" w:eastAsia="Calibri" w:hAnsi="Times New Roman" w:cs="Times New Roman"/>
          <w:sz w:val="24"/>
          <w:szCs w:val="24"/>
        </w:rPr>
        <w:lastRenderedPageBreak/>
        <w:t>sponsor</w:t>
      </w:r>
      <w:r w:rsidRPr="00B93D25">
        <w:rPr>
          <w:rStyle w:val="FootnoteReference"/>
        </w:rPr>
        <w:footnoteReference w:id="43"/>
      </w:r>
      <w:r w:rsidRPr="009B5102">
        <w:rPr>
          <w:rFonts w:ascii="Times New Roman" w:eastAsia="Calibri" w:hAnsi="Times New Roman" w:cs="Times New Roman"/>
          <w:sz w:val="24"/>
          <w:szCs w:val="24"/>
        </w:rPr>
        <w:t>; specifically, the deal indicates a significant involvement of the brand’s marketing department in the script of the show.</w:t>
      </w:r>
    </w:p>
    <w:p w14:paraId="756E8E57"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2D57A67B" w14:textId="77777777" w:rsidR="00497B7D" w:rsidRPr="009B5102" w:rsidRDefault="00497B7D" w:rsidP="00346CA5">
      <w:pPr>
        <w:pStyle w:val="Heading4"/>
        <w:rPr>
          <w:rFonts w:eastAsia="Calibri"/>
        </w:rPr>
      </w:pPr>
      <w:r w:rsidRPr="009B5102">
        <w:rPr>
          <w:rFonts w:eastAsia="Calibri"/>
        </w:rPr>
        <w:t>Shufersal-Deal</w:t>
      </w:r>
    </w:p>
    <w:p w14:paraId="169A8571" w14:textId="77777777" w:rsidR="00497B7D" w:rsidRPr="009B5102" w:rsidRDefault="00497B7D" w:rsidP="00346CA5">
      <w:pPr>
        <w:spacing w:line="360" w:lineRule="auto"/>
        <w:contextualSpacing/>
        <w:rPr>
          <w:rFonts w:ascii="Times New Roman" w:eastAsia="Calibri" w:hAnsi="Times New Roman" w:cs="Times New Roman"/>
          <w:sz w:val="24"/>
          <w:szCs w:val="24"/>
          <w:rtl/>
        </w:rPr>
      </w:pPr>
      <w:r w:rsidRPr="009B5102">
        <w:rPr>
          <w:rFonts w:ascii="Times New Roman" w:eastAsia="Calibri" w:hAnsi="Times New Roman" w:cs="Times New Roman"/>
          <w:sz w:val="24"/>
          <w:szCs w:val="24"/>
        </w:rPr>
        <w:t xml:space="preserve">In a similar way, once Shufersal-Deal became a sponsor of the programme, it was agreed that the family’s training in better financial management would include visits to Shufersal-Deal branches for ‘guided shopping’ with the presenter. It was also agreed that the programme would include messages about ‘smart shopping’ as part of the general guidance provided to the families. Furthermore, the deal included the stipulation that references to the brand’s slogan “Your money buys more”, would be integrated into the presenter’s general conversations with the family. </w:t>
      </w:r>
    </w:p>
    <w:p w14:paraId="40FE01D7"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In a presentation by Gitam-BBDO’s branded content arm for Shufersal-Deal</w:t>
      </w:r>
      <w:r w:rsidRPr="00B93D25">
        <w:rPr>
          <w:rStyle w:val="FootnoteReference"/>
        </w:rPr>
        <w:footnoteReference w:id="44"/>
      </w:r>
      <w:r w:rsidRPr="009B5102">
        <w:rPr>
          <w:rFonts w:ascii="Times New Roman" w:eastAsia="Calibri" w:hAnsi="Times New Roman" w:cs="Times New Roman"/>
          <w:sz w:val="24"/>
          <w:szCs w:val="24"/>
        </w:rPr>
        <w:t xml:space="preserve">, it was clearly specified that among other things, the deal would include “integration of scenes in which the families shop at Shufersal (with the presence of Alon Gal and at least one family)” and “integration of messages and values of smart consumption delivered by Alon Gal throughout the whole series”. It was also stated that “Alon Gal will use the slogan ‘Your money buys more’ and its variations throughout the series” </w:t>
      </w:r>
      <w:r w:rsidRPr="009B5102">
        <w:rPr>
          <w:rFonts w:ascii="Times New Roman" w:eastAsia="Calibri" w:hAnsi="Times New Roman" w:cs="Times New Roman"/>
          <w:noProof/>
          <w:sz w:val="24"/>
          <w:szCs w:val="24"/>
        </w:rPr>
        <w:t>(Gitam-BBDO, 2010)</w:t>
      </w:r>
      <w:r w:rsidRPr="009B5102">
        <w:rPr>
          <w:rFonts w:ascii="Times New Roman" w:eastAsia="Calibri" w:hAnsi="Times New Roman" w:cs="Times New Roman"/>
          <w:sz w:val="24"/>
          <w:szCs w:val="24"/>
        </w:rPr>
        <w:t>.</w:t>
      </w:r>
    </w:p>
    <w:p w14:paraId="6B995B03"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5456DFC"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Shufersal-Deal’s marketing manager, Dafi Kaminitz </w:t>
      </w:r>
      <w:r w:rsidRPr="009B5102">
        <w:rPr>
          <w:rFonts w:ascii="Times New Roman" w:eastAsia="Calibri" w:hAnsi="Times New Roman" w:cs="Times New Roman"/>
          <w:noProof/>
          <w:sz w:val="24"/>
          <w:szCs w:val="24"/>
        </w:rPr>
        <w:t>(2012)</w:t>
      </w:r>
      <w:r w:rsidRPr="009B5102">
        <w:rPr>
          <w:rFonts w:ascii="Times New Roman" w:eastAsia="Calibri" w:hAnsi="Times New Roman" w:cs="Times New Roman"/>
          <w:sz w:val="24"/>
          <w:szCs w:val="24"/>
        </w:rPr>
        <w:t xml:space="preserve">, explained that after some tensions had arisen during the fourth series due to the choice of some of the families and the fact that their financial issues did not eventually lead to visits to Shufersal-Deal branches (for example, because they lived in rural areas where there were no Shufersal-Deal branches, or because the family had difficulties with their business and not with shopping), the production agreed that the majority of the families in the series would visit Shufersal-Deal: </w:t>
      </w:r>
    </w:p>
    <w:p w14:paraId="03994BF8"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2B042078"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So in the next series we sponsored they already knew, if there’s going to be a deal between us, even if we did not sign yet or no payment was made yet, five out of the eight families in the series would visit a branch. So this was another attribute for them to consider when they were choosing the families. They needed to choose families that had </w:t>
      </w:r>
      <w:r w:rsidRPr="009B5102">
        <w:rPr>
          <w:rFonts w:ascii="Times New Roman" w:eastAsia="Calibri" w:hAnsi="Times New Roman" w:cs="Times New Roman"/>
          <w:sz w:val="24"/>
          <w:szCs w:val="24"/>
        </w:rPr>
        <w:lastRenderedPageBreak/>
        <w:t xml:space="preserve">issues with food consumerism so they could be given the mission of visiting a branch as part of their coaching </w:t>
      </w:r>
      <w:r w:rsidRPr="009B5102">
        <w:rPr>
          <w:rFonts w:ascii="Times New Roman" w:eastAsia="Calibri" w:hAnsi="Times New Roman" w:cs="Times New Roman"/>
          <w:noProof/>
          <w:sz w:val="24"/>
          <w:szCs w:val="24"/>
        </w:rPr>
        <w:t>(Gitam-BBDO, 2010)</w:t>
      </w:r>
      <w:r w:rsidRPr="009B5102">
        <w:rPr>
          <w:rFonts w:ascii="Times New Roman" w:eastAsia="Calibri" w:hAnsi="Times New Roman" w:cs="Times New Roman"/>
          <w:sz w:val="24"/>
          <w:szCs w:val="24"/>
        </w:rPr>
        <w:t>.</w:t>
      </w:r>
    </w:p>
    <w:p w14:paraId="585E57FC"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366247D2"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Roni Aboulafia, a video editor in the programme, recalls the efforts made to integrate a shopping scene at Shufersal-Deal in one of the episodes: </w:t>
      </w:r>
    </w:p>
    <w:p w14:paraId="736A24FE"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A1A1F15"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We are obligated to include a scene that was taken in a Shufersal branch in a certain number of episodes. It’s tailored into the content, like the visits to the bank. So usually Alon would send them to go shopping, to show them how they can save money when they shop. But we would also try to fit it into the narrative of the episode. So for example, we had this father who didn’t spend enough time with his kids, so his mission was to go to the supermarket with his kids. But in actuality, this is imposed, because what kind of a parent spends quality time with his kids buying food? Clearly, this scene would not have been included under any other circumstances. Nothing happens there – they go to the supermarket and choose products. So we would add a cheerful soundtrack and stick it towards the end of the episode </w:t>
      </w:r>
      <w:r w:rsidRPr="009B5102">
        <w:rPr>
          <w:rFonts w:ascii="Times New Roman" w:eastAsia="Calibri" w:hAnsi="Times New Roman" w:cs="Times New Roman"/>
          <w:noProof/>
          <w:sz w:val="24"/>
          <w:szCs w:val="24"/>
        </w:rPr>
        <w:t>(Aboulafia, 2011)</w:t>
      </w:r>
      <w:r w:rsidRPr="009B5102">
        <w:rPr>
          <w:rFonts w:ascii="Times New Roman" w:eastAsia="Calibri" w:hAnsi="Times New Roman" w:cs="Times New Roman"/>
          <w:sz w:val="24"/>
          <w:szCs w:val="24"/>
        </w:rPr>
        <w:t>.</w:t>
      </w:r>
    </w:p>
    <w:p w14:paraId="67273760"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66845A67"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mentioning of the brand’s slogan as part of the presenter’s ‘natural’ speech was also carefully and systematically planned as part of the production’s obligation to the sponsorship deal. When Kaminitz was asked about this she replied: </w:t>
      </w:r>
    </w:p>
    <w:p w14:paraId="7E8D1D45"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6A8E9F0"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He [the presenter] couldn’t say the same exact sentence; he had to use something similar, like “go shopping where your money buys more”. He once tried to invent something like “Stock Up-Deal”, as a reference to Shufersal-Deal. Alon is good at this, a real virtuoso, but I didn’t agree to this, I didn’t like it </w:t>
      </w:r>
      <w:r w:rsidRPr="009B5102">
        <w:rPr>
          <w:rFonts w:ascii="Times New Roman" w:eastAsia="Calibri" w:hAnsi="Times New Roman" w:cs="Times New Roman"/>
          <w:noProof/>
          <w:sz w:val="24"/>
          <w:szCs w:val="24"/>
        </w:rPr>
        <w:t>(Kaminitz, 2012)</w:t>
      </w:r>
      <w:r w:rsidRPr="009B5102">
        <w:rPr>
          <w:rFonts w:ascii="Times New Roman" w:eastAsia="Calibri" w:hAnsi="Times New Roman" w:cs="Times New Roman"/>
          <w:sz w:val="24"/>
          <w:szCs w:val="24"/>
        </w:rPr>
        <w:t xml:space="preserve">. </w:t>
      </w:r>
    </w:p>
    <w:p w14:paraId="1923580F"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7BF5EFF1" w14:textId="66810FCB"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A similar commitment was later made to Bank Discount, which became a sponsor during the fifth series once Bank Hapo’alim stopped its sponsorship.  According to Aboulafia, in the case of Bank Discount’s sponsorship of the fifth </w:t>
      </w:r>
      <w:r w:rsidR="00181C52" w:rsidRPr="009B5102">
        <w:rPr>
          <w:rFonts w:ascii="Times New Roman" w:eastAsia="Calibri" w:hAnsi="Times New Roman" w:cs="Times New Roman"/>
          <w:sz w:val="24"/>
          <w:szCs w:val="24"/>
        </w:rPr>
        <w:t>series,</w:t>
      </w:r>
      <w:r w:rsidRPr="009B5102">
        <w:rPr>
          <w:rFonts w:ascii="Times New Roman" w:eastAsia="Calibri" w:hAnsi="Times New Roman" w:cs="Times New Roman"/>
          <w:sz w:val="24"/>
          <w:szCs w:val="24"/>
        </w:rPr>
        <w:t xml:space="preserve"> it was agreed that the word ‘key’ would be mentioned by the presenter and the bank’s representative. This was agreed because at that time the bank had launched a special credit card called ‘Discount Key’: </w:t>
      </w:r>
    </w:p>
    <w:p w14:paraId="2502EF1B"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C9BB0B4"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So the bank’s representative had to use the word ‘key’ in its tip to the family, and this had to represent a way out for them, a solution, because they wanted to be identified with a positive message. For example: “You have four different accounts in four banks, you’re paying a lot of commission. THE KEY is to unite them into one account”. And we would send this script to the branded content agency for approval, so it was a big hassle. The other thing was that Alon had to say in each episode, “The key is…”, for example, “The key is to buy but still save money”, when he went shopping with them. We would usually get a list with all these requirement that had to be included during editing, but somehow this one was not included, so we had to go back and search through all the rushes to find were he said “The key is…” </w:t>
      </w:r>
      <w:r w:rsidRPr="009B5102">
        <w:rPr>
          <w:rFonts w:ascii="Times New Roman" w:eastAsia="Calibri" w:hAnsi="Times New Roman" w:cs="Times New Roman"/>
          <w:noProof/>
          <w:sz w:val="24"/>
          <w:szCs w:val="24"/>
        </w:rPr>
        <w:t>(Aboulafia, 2011)</w:t>
      </w:r>
      <w:r w:rsidRPr="009B5102">
        <w:rPr>
          <w:rFonts w:ascii="Times New Roman" w:eastAsia="Calibri" w:hAnsi="Times New Roman" w:cs="Times New Roman"/>
          <w:sz w:val="24"/>
          <w:szCs w:val="24"/>
        </w:rPr>
        <w:t xml:space="preserve">. </w:t>
      </w:r>
    </w:p>
    <w:p w14:paraId="7BD6D7AF"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7C1D3CCC"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Once again, the dynamic of the co-operation with Shufersal-Deal subjected the editorial independence of the programme to the sponsor’s needs in regards to the choice of the families, the issues discussed, the scenes that would finally be included in the episode, and even the words and phrases the presenter would use.  </w:t>
      </w:r>
    </w:p>
    <w:p w14:paraId="08B2516D"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BEA8B0E" w14:textId="77777777" w:rsidR="00497B7D" w:rsidRPr="009B5102" w:rsidRDefault="00497B7D" w:rsidP="00346CA5">
      <w:pPr>
        <w:pStyle w:val="Heading2"/>
      </w:pPr>
      <w:bookmarkStart w:id="29" w:name="_Toc445202680"/>
      <w:r w:rsidRPr="009B5102">
        <w:t>Visual Diffusion</w:t>
      </w:r>
      <w:bookmarkEnd w:id="29"/>
    </w:p>
    <w:p w14:paraId="2FE5645D"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the previous section I have shown how sponsors’ messages and ‘values’ were weaved into the format of the programme in each of the case studies. In this section I move to consider instances of visual diffusion of the sponsors in both case studies. By visual diffusion I mean the interconnections between the design of the sponsoring brands or their commercial campaign, and </w:t>
      </w:r>
      <w:r w:rsidRPr="009B5102">
        <w:rPr>
          <w:rFonts w:ascii="Times New Roman" w:eastAsia="Calibri" w:hAnsi="Times New Roman" w:cs="Times New Roman"/>
          <w:sz w:val="24"/>
          <w:szCs w:val="24"/>
        </w:rPr>
        <w:lastRenderedPageBreak/>
        <w:t xml:space="preserve">the various visual elements that were finally included in the programmes. These include the use of colours, fonts, logos and images in a way that embodies the ‘look and feel’ of the brand in the programme, or references to the sponsor’s commercial campaign.  </w:t>
      </w:r>
    </w:p>
    <w:p w14:paraId="0E481A2E" w14:textId="77777777" w:rsidR="00497B7D" w:rsidRDefault="00497B7D" w:rsidP="00346CA5">
      <w:pPr>
        <w:pStyle w:val="Heading3"/>
        <w:rPr>
          <w:i/>
          <w:iCs/>
        </w:rPr>
      </w:pPr>
    </w:p>
    <w:p w14:paraId="7F211ABE" w14:textId="77777777" w:rsidR="00497B7D" w:rsidRPr="009B5102" w:rsidRDefault="00497B7D" w:rsidP="00346CA5">
      <w:pPr>
        <w:pStyle w:val="Heading3"/>
      </w:pPr>
      <w:bookmarkStart w:id="30" w:name="_Toc445202681"/>
      <w:r w:rsidRPr="009B5102">
        <w:rPr>
          <w:i/>
          <w:iCs/>
        </w:rPr>
        <w:t>How to Look Good Naked</w:t>
      </w:r>
      <w:r w:rsidRPr="009B5102">
        <w:t xml:space="preserve"> and Dove</w:t>
      </w:r>
      <w:bookmarkEnd w:id="30"/>
    </w:p>
    <w:p w14:paraId="340BE888"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Probably the most salient aspect of the link between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and Dove’s commercial campaign is the visual similarity shared by the two. This is evident on two levels: the first is the presence of visual elements from the </w:t>
      </w:r>
      <w:r w:rsidRPr="009B5102">
        <w:rPr>
          <w:rFonts w:ascii="Times New Roman" w:eastAsia="Calibri" w:hAnsi="Times New Roman" w:cs="Times New Roman"/>
          <w:i/>
          <w:iCs/>
          <w:sz w:val="24"/>
          <w:szCs w:val="24"/>
        </w:rPr>
        <w:t xml:space="preserve">Real Beauty </w:t>
      </w:r>
      <w:r w:rsidRPr="009B5102">
        <w:rPr>
          <w:rFonts w:ascii="Times New Roman" w:eastAsia="Calibri" w:hAnsi="Times New Roman" w:cs="Times New Roman"/>
          <w:sz w:val="24"/>
          <w:szCs w:val="24"/>
        </w:rPr>
        <w:t xml:space="preserve">campaign within the programme, and the second is the presence of the ‘look and feel’ of Dove’s anti-aging product line, Dove Pro-Age, in the sponsorship idents and promotional clips on Channel 4 and on the programme’s website. While the former was mainly ‘inspirational’, as the programme’s producers explained </w:t>
      </w:r>
      <w:r w:rsidRPr="009B5102">
        <w:rPr>
          <w:rFonts w:ascii="Times New Roman" w:eastAsia="Calibri" w:hAnsi="Times New Roman" w:cs="Times New Roman"/>
          <w:noProof/>
          <w:sz w:val="24"/>
          <w:szCs w:val="24"/>
        </w:rPr>
        <w:t>(Ransford, 2009)</w:t>
      </w:r>
      <w:r w:rsidRPr="009B5102">
        <w:rPr>
          <w:rFonts w:ascii="Times New Roman" w:eastAsia="Calibri" w:hAnsi="Times New Roman" w:cs="Times New Roman"/>
          <w:sz w:val="24"/>
          <w:szCs w:val="24"/>
        </w:rPr>
        <w:t>, the latter was clearly intentional and was formally anchored in the sponsorship agreement.</w:t>
      </w:r>
    </w:p>
    <w:p w14:paraId="47E46679" w14:textId="500ADEC9" w:rsidR="00497B7D" w:rsidRPr="009B5102" w:rsidRDefault="00497B7D" w:rsidP="00C20A1F">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Thus there were two different sets of designs integrated into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Dove’s advertising campaign was mostly identified with a clean white look, blue fonts and a group of women in underwear (see Figure </w:t>
      </w:r>
      <w:r w:rsidR="00276B03">
        <w:rPr>
          <w:rFonts w:ascii="Times New Roman" w:eastAsia="Calibri" w:hAnsi="Times New Roman" w:cs="Times New Roman"/>
          <w:sz w:val="24"/>
          <w:szCs w:val="24"/>
        </w:rPr>
        <w:t>2</w:t>
      </w:r>
      <w:r w:rsidR="00276B03" w:rsidRPr="009B5102">
        <w:rPr>
          <w:rFonts w:ascii="Times New Roman" w:eastAsia="Calibri" w:hAnsi="Times New Roman" w:cs="Times New Roman"/>
          <w:sz w:val="24"/>
          <w:szCs w:val="24"/>
        </w:rPr>
        <w:t xml:space="preserve"> </w:t>
      </w:r>
      <w:r w:rsidRPr="009B5102">
        <w:rPr>
          <w:rFonts w:ascii="Times New Roman" w:eastAsia="Calibri" w:hAnsi="Times New Roman" w:cs="Times New Roman"/>
          <w:sz w:val="24"/>
          <w:szCs w:val="24"/>
        </w:rPr>
        <w:t xml:space="preserve">and the use of the ‘line up’), while the branding of specific adverts for the Pro-Age range was typically recognised by its deep metallic-red colour, silver-grey fonts and the Pro-Age logo (see Figure </w:t>
      </w:r>
      <w:r w:rsidR="00C20A1F">
        <w:rPr>
          <w:rFonts w:ascii="Times New Roman" w:eastAsia="Calibri" w:hAnsi="Times New Roman" w:cs="Times New Roman"/>
          <w:sz w:val="24"/>
          <w:szCs w:val="24"/>
        </w:rPr>
        <w:t>5</w:t>
      </w:r>
      <w:r w:rsidRPr="009B5102">
        <w:rPr>
          <w:rFonts w:ascii="Times New Roman" w:eastAsia="Calibri" w:hAnsi="Times New Roman" w:cs="Times New Roman"/>
          <w:sz w:val="24"/>
          <w:szCs w:val="24"/>
        </w:rPr>
        <w:t xml:space="preserve">). Both graphic languages are highly identified with Dove, but will be discussed separately here. The first level I referred to above was used in the integration of the brand into the programme and will be discussed in this chapter. The second is evident in the brand’s continuous integration across multiple platforms and will be discussed in the next chapter. </w:t>
      </w:r>
    </w:p>
    <w:p w14:paraId="203C0B39" w14:textId="77777777" w:rsidR="00497B7D" w:rsidRDefault="00497B7D" w:rsidP="00346CA5">
      <w:pPr>
        <w:spacing w:line="360" w:lineRule="auto"/>
        <w:contextualSpacing/>
        <w:rPr>
          <w:rFonts w:ascii="Times New Roman" w:eastAsia="Calibri" w:hAnsi="Times New Roman" w:cs="Times New Roman"/>
          <w:sz w:val="24"/>
          <w:szCs w:val="24"/>
        </w:rPr>
      </w:pPr>
    </w:p>
    <w:p w14:paraId="3A874653" w14:textId="77777777" w:rsidR="00497B7D" w:rsidRDefault="00497B7D" w:rsidP="00346CA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2A1B5F7" w14:textId="606EBD9F" w:rsidR="00497B7D" w:rsidRDefault="00497B7D" w:rsidP="00346CA5">
      <w:pPr>
        <w:spacing w:line="360" w:lineRule="auto"/>
        <w:contextualSpacing/>
        <w:rPr>
          <w:rFonts w:ascii="Times New Roman" w:eastAsia="Calibri" w:hAnsi="Times New Roman" w:cs="Times New Roman"/>
          <w:sz w:val="24"/>
          <w:szCs w:val="24"/>
        </w:rPr>
      </w:pPr>
    </w:p>
    <w:p w14:paraId="2064ADF6"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28B7C7B5" wp14:editId="2D7538D5">
            <wp:extent cx="3813479" cy="1876508"/>
            <wp:effectExtent l="19050" t="0" r="0" b="0"/>
            <wp:docPr id="12" name="Picture 1" descr="Dove Pro Age 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 Pro Age Ad 3.jpg"/>
                    <pic:cNvPicPr/>
                  </pic:nvPicPr>
                  <pic:blipFill>
                    <a:blip r:embed="rId16" cstate="print"/>
                    <a:stretch>
                      <a:fillRect/>
                    </a:stretch>
                  </pic:blipFill>
                  <pic:spPr>
                    <a:xfrm>
                      <a:off x="0" y="0"/>
                      <a:ext cx="3816034" cy="1877765"/>
                    </a:xfrm>
                    <a:prstGeom prst="rect">
                      <a:avLst/>
                    </a:prstGeom>
                  </pic:spPr>
                </pic:pic>
              </a:graphicData>
            </a:graphic>
          </wp:inline>
        </w:drawing>
      </w:r>
      <w:r w:rsidRPr="009B5102">
        <w:rPr>
          <w:rFonts w:ascii="Times New Roman" w:eastAsia="Calibri" w:hAnsi="Times New Roman" w:cs="Times New Roman"/>
          <w:sz w:val="24"/>
          <w:szCs w:val="24"/>
        </w:rPr>
        <w:t xml:space="preserve">   </w:t>
      </w:r>
    </w:p>
    <w:p w14:paraId="517269FE" w14:textId="77777777" w:rsidR="00497B7D" w:rsidRDefault="00497B7D" w:rsidP="00346CA5">
      <w:pPr>
        <w:spacing w:line="360" w:lineRule="auto"/>
        <w:contextualSpacing/>
        <w:rPr>
          <w:rFonts w:ascii="Times New Roman" w:eastAsia="Calibri" w:hAnsi="Times New Roman" w:cs="Times New Roman"/>
          <w:sz w:val="20"/>
          <w:szCs w:val="20"/>
        </w:rPr>
      </w:pPr>
    </w:p>
    <w:p w14:paraId="2D5914E2" w14:textId="4C119BC9" w:rsidR="00497B7D" w:rsidRPr="00A64602" w:rsidRDefault="00497B7D" w:rsidP="00C20A1F">
      <w:pPr>
        <w:pStyle w:val="Heading6"/>
      </w:pPr>
      <w:bookmarkStart w:id="31" w:name="_Toc436608080"/>
      <w:bookmarkStart w:id="32" w:name="_Toc445120230"/>
      <w:r w:rsidRPr="00A64602">
        <w:t xml:space="preserve">Figure </w:t>
      </w:r>
      <w:r w:rsidR="00C20A1F">
        <w:t>5</w:t>
      </w:r>
      <w:r w:rsidRPr="00A64602">
        <w:t xml:space="preserve">: Dove ad for the Pro-Age product line as part of the </w:t>
      </w:r>
      <w:r w:rsidRPr="00A64602">
        <w:rPr>
          <w:i/>
          <w:iCs/>
        </w:rPr>
        <w:t>Real Beauty</w:t>
      </w:r>
      <w:r w:rsidRPr="00A64602">
        <w:t xml:space="preserve"> campaign.</w:t>
      </w:r>
      <w:bookmarkEnd w:id="31"/>
      <w:bookmarkEnd w:id="32"/>
    </w:p>
    <w:p w14:paraId="4D82F340"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3BAAD3A"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To begin with, the most significant visual correspondence between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and the commercial campaign is evident in the ‘line up’ - the segment marking the beginning of the participant’s transformation process. As </w:t>
      </w:r>
      <w:r w:rsidRPr="009B5102">
        <w:rPr>
          <w:rFonts w:ascii="Times New Roman" w:eastAsia="Calibri" w:hAnsi="Times New Roman" w:cs="Times New Roman"/>
          <w:i/>
          <w:iCs/>
          <w:sz w:val="24"/>
          <w:szCs w:val="24"/>
        </w:rPr>
        <w:t>HTLGN’s</w:t>
      </w:r>
      <w:r w:rsidRPr="009B5102">
        <w:rPr>
          <w:rFonts w:ascii="Times New Roman" w:eastAsia="Calibri" w:hAnsi="Times New Roman" w:cs="Times New Roman"/>
          <w:sz w:val="24"/>
          <w:szCs w:val="24"/>
        </w:rPr>
        <w:t xml:space="preserve"> commissioning editor Ransford explained, this segment was initially referred to as ‘the Dove moment’: </w:t>
      </w:r>
    </w:p>
    <w:p w14:paraId="1B944EC8"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39F17CA"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Because the Dove moment is when, like, you know, I don’t know what they call it now, the ‘line up’. Basically how fat are you, are you as fat as you think you are going to be. And that, basically, that idea came from the Dove adverts </w:t>
      </w:r>
      <w:r w:rsidRPr="009B5102">
        <w:rPr>
          <w:rFonts w:ascii="Times New Roman" w:eastAsia="Calibri" w:hAnsi="Times New Roman" w:cs="Times New Roman"/>
          <w:noProof/>
          <w:sz w:val="24"/>
          <w:szCs w:val="24"/>
        </w:rPr>
        <w:t>(Ransford, 2009)</w:t>
      </w:r>
      <w:r w:rsidRPr="009B5102">
        <w:rPr>
          <w:rFonts w:ascii="Times New Roman" w:eastAsia="Calibri" w:hAnsi="Times New Roman" w:cs="Times New Roman"/>
          <w:sz w:val="24"/>
          <w:szCs w:val="24"/>
        </w:rPr>
        <w:t xml:space="preserve">. </w:t>
      </w:r>
    </w:p>
    <w:p w14:paraId="29605EA6"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11BDDF8" w14:textId="3ACFBE17" w:rsidR="00497B7D" w:rsidRPr="009B5102" w:rsidRDefault="00497B7D" w:rsidP="00C20A1F">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There are three elements in the ‘line up’ segment that then became the identification mark of the entire programme, which were borrowed from the commercial campaign. The first is the decision to present women in plain underwear (either black or white). This look, which is similar to the one used in the original Dove campaign, takes the women back to their basic very simple and natural look and puts the focus on their body, rather than their clothes (see Figures </w:t>
      </w:r>
      <w:r w:rsidR="00C20A1F">
        <w:rPr>
          <w:rFonts w:ascii="Times New Roman" w:eastAsia="Calibri" w:hAnsi="Times New Roman" w:cs="Times New Roman"/>
          <w:sz w:val="24"/>
          <w:szCs w:val="24"/>
        </w:rPr>
        <w:t>5</w:t>
      </w:r>
      <w:r w:rsidR="00C20A1F" w:rsidRPr="009B5102">
        <w:rPr>
          <w:rFonts w:ascii="Times New Roman" w:eastAsia="Calibri" w:hAnsi="Times New Roman" w:cs="Times New Roman"/>
          <w:sz w:val="24"/>
          <w:szCs w:val="24"/>
        </w:rPr>
        <w:t xml:space="preserve"> </w:t>
      </w:r>
      <w:r w:rsidRPr="009B5102">
        <w:rPr>
          <w:rFonts w:ascii="Times New Roman" w:eastAsia="Calibri" w:hAnsi="Times New Roman" w:cs="Times New Roman"/>
          <w:sz w:val="24"/>
          <w:szCs w:val="24"/>
        </w:rPr>
        <w:t xml:space="preserve">and </w:t>
      </w:r>
      <w:r w:rsidR="00C20A1F">
        <w:rPr>
          <w:rFonts w:ascii="Times New Roman" w:eastAsia="Calibri" w:hAnsi="Times New Roman" w:cs="Times New Roman"/>
          <w:sz w:val="24"/>
          <w:szCs w:val="24"/>
        </w:rPr>
        <w:t>6</w:t>
      </w:r>
      <w:r w:rsidRPr="009B5102">
        <w:rPr>
          <w:rFonts w:ascii="Times New Roman" w:eastAsia="Calibri" w:hAnsi="Times New Roman" w:cs="Times New Roman"/>
          <w:sz w:val="24"/>
          <w:szCs w:val="24"/>
        </w:rPr>
        <w:t xml:space="preserve">). The moment in which the presenter asks the participant to undress and stay in her underwear is an emotional one and often brings the participant to tears. In most cases, she is asked by the presenter what she thinks of her body and which parts she feels less comfortable with. In that very moment the participant’s look becomes that of a ‘Dove woman’, as she appears in plain </w:t>
      </w:r>
      <w:r w:rsidRPr="009B5102">
        <w:rPr>
          <w:rFonts w:ascii="Times New Roman" w:eastAsia="Calibri" w:hAnsi="Times New Roman" w:cs="Times New Roman"/>
          <w:sz w:val="24"/>
          <w:szCs w:val="24"/>
        </w:rPr>
        <w:lastRenderedPageBreak/>
        <w:t>underwear (either black or white) and her journey towards transforming her self-perception has begun. Thus, this segment connects the programme and the brand visually as well as conceptually. This key moment presenting the idea of self-acceptance is conveyed by having the participant ‘wear’ a ‘Dove look’.</w:t>
      </w:r>
    </w:p>
    <w:p w14:paraId="551F60DD"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FD3DC2C" w14:textId="777CDF82" w:rsidR="00497B7D" w:rsidRPr="009B5102" w:rsidRDefault="00497B7D" w:rsidP="00C20A1F">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second point of similarity is the choice of a white background and the overall white look of the set, before the participant goes shopping with the presenter (see Figures </w:t>
      </w:r>
      <w:r w:rsidR="00C20A1F">
        <w:rPr>
          <w:rFonts w:ascii="Times New Roman" w:eastAsia="Calibri" w:hAnsi="Times New Roman" w:cs="Times New Roman"/>
          <w:sz w:val="24"/>
          <w:szCs w:val="24"/>
        </w:rPr>
        <w:t>6</w:t>
      </w:r>
      <w:r w:rsidR="00C20A1F" w:rsidRPr="009B5102">
        <w:rPr>
          <w:rFonts w:ascii="Times New Roman" w:eastAsia="Calibri" w:hAnsi="Times New Roman" w:cs="Times New Roman"/>
          <w:sz w:val="24"/>
          <w:szCs w:val="24"/>
        </w:rPr>
        <w:t xml:space="preserve"> </w:t>
      </w:r>
      <w:r w:rsidRPr="009B5102">
        <w:rPr>
          <w:rFonts w:ascii="Times New Roman" w:eastAsia="Calibri" w:hAnsi="Times New Roman" w:cs="Times New Roman"/>
          <w:sz w:val="24"/>
          <w:szCs w:val="24"/>
        </w:rPr>
        <w:t xml:space="preserve">and </w:t>
      </w:r>
      <w:r w:rsidR="00C20A1F">
        <w:rPr>
          <w:rFonts w:ascii="Times New Roman" w:eastAsia="Calibri" w:hAnsi="Times New Roman" w:cs="Times New Roman"/>
          <w:sz w:val="24"/>
          <w:szCs w:val="24"/>
        </w:rPr>
        <w:t>7</w:t>
      </w:r>
      <w:r w:rsidRPr="009B5102">
        <w:rPr>
          <w:rFonts w:ascii="Times New Roman" w:eastAsia="Calibri" w:hAnsi="Times New Roman" w:cs="Times New Roman"/>
          <w:sz w:val="24"/>
          <w:szCs w:val="24"/>
        </w:rPr>
        <w:t xml:space="preserve">). This clean white look was thoroughly planned in the commercial campaign, as Daryl Fielding, a business partner at Ogilvy, explained: </w:t>
      </w:r>
    </w:p>
    <w:p w14:paraId="6DB24E50"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6C733418"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because the look that we created was very fresh, it just made all the other beauty brands look old fashioned. And I think that was also part of it – the very clean look, use of white, very simple. It's sort of artless, but it's not that easy to get there. And actually I think that also the look and feel was also very much part of the message as well </w:t>
      </w:r>
      <w:r w:rsidRPr="009B5102">
        <w:rPr>
          <w:rFonts w:ascii="Times New Roman" w:eastAsia="Calibri" w:hAnsi="Times New Roman" w:cs="Times New Roman"/>
          <w:noProof/>
          <w:sz w:val="24"/>
          <w:szCs w:val="24"/>
        </w:rPr>
        <w:t>(Fielding et al., 2008)</w:t>
      </w:r>
      <w:r w:rsidRPr="009B5102">
        <w:rPr>
          <w:rFonts w:ascii="Times New Roman" w:eastAsia="Calibri" w:hAnsi="Times New Roman" w:cs="Times New Roman"/>
          <w:sz w:val="24"/>
          <w:szCs w:val="24"/>
        </w:rPr>
        <w:t xml:space="preserve">. </w:t>
      </w:r>
    </w:p>
    <w:p w14:paraId="1AA25F41"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622CEEB1"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Indeed the ‘whiteness’ of the </w:t>
      </w:r>
      <w:r w:rsidRPr="009B5102">
        <w:rPr>
          <w:rFonts w:ascii="Times New Roman" w:eastAsia="Calibri" w:hAnsi="Times New Roman" w:cs="Times New Roman"/>
          <w:i/>
          <w:iCs/>
          <w:sz w:val="24"/>
          <w:szCs w:val="24"/>
        </w:rPr>
        <w:t>Real Beauty</w:t>
      </w:r>
      <w:r w:rsidRPr="009B5102">
        <w:rPr>
          <w:rFonts w:ascii="Times New Roman" w:eastAsia="Calibri" w:hAnsi="Times New Roman" w:cs="Times New Roman"/>
          <w:sz w:val="24"/>
          <w:szCs w:val="24"/>
        </w:rPr>
        <w:t xml:space="preserve"> ads, as well as that of the programme’s set, carried a message of simplicity and ‘purity’ which stood against efforts to create synthesised, unnatural beauty for women and was thus part of the message.</w:t>
      </w:r>
      <w:r w:rsidRPr="009B5102">
        <w:rPr>
          <w:rFonts w:ascii="Times New Roman" w:eastAsia="Calibri" w:hAnsi="Times New Roman" w:cs="Times New Roman"/>
          <w:sz w:val="24"/>
          <w:szCs w:val="24"/>
          <w:rtl/>
        </w:rPr>
        <w:t xml:space="preserve"> </w:t>
      </w:r>
      <w:r w:rsidRPr="009B5102">
        <w:rPr>
          <w:rFonts w:ascii="Times New Roman" w:eastAsia="Calibri" w:hAnsi="Times New Roman" w:cs="Times New Roman"/>
          <w:sz w:val="24"/>
          <w:szCs w:val="24"/>
        </w:rPr>
        <w:t>It serves as a good example of the efforts made by branding consultants to give visual and material form to the brand’s abstract values</w:t>
      </w:r>
      <w:r>
        <w:rPr>
          <w:rFonts w:ascii="Times New Roman" w:eastAsia="Calibri" w:hAnsi="Times New Roman" w:cs="Times New Roman"/>
          <w:sz w:val="24"/>
          <w:szCs w:val="24"/>
        </w:rPr>
        <w:t xml:space="preserve"> (Moor, 2007)</w:t>
      </w:r>
      <w:r w:rsidRPr="009B5102">
        <w:rPr>
          <w:rFonts w:ascii="Times New Roman" w:eastAsia="Calibri" w:hAnsi="Times New Roman" w:cs="Times New Roman"/>
          <w:sz w:val="24"/>
          <w:szCs w:val="24"/>
        </w:rPr>
        <w:t xml:space="preserve">. Once this ambience was adopted by the programme it served as ultimate confirmation of the connection Dove sought to create with the idea of ‘natural beauty’, as if signalling that anyone who wishes to support this agenda would best do so through the ’language‘ created by Dove.   </w:t>
      </w:r>
    </w:p>
    <w:p w14:paraId="70CDF156"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7B065CE" w14:textId="0047D5E3"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third element was the decision to position ‘real’ women in a line. In both the commercial campaign and the television programme this was used as a way of embodying the concept of the diversity of beauty; there is no single ideal of beauty, but rather women of different shape, size, colour and ethnicity are presented side by side as beautiful, happy and confident. In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this element ultimately turned into a psychological exercise in self-perception and was therefore </w:t>
      </w:r>
      <w:r w:rsidRPr="009B5102">
        <w:rPr>
          <w:rFonts w:ascii="Times New Roman" w:eastAsia="Calibri" w:hAnsi="Times New Roman" w:cs="Times New Roman"/>
          <w:sz w:val="24"/>
          <w:szCs w:val="24"/>
        </w:rPr>
        <w:lastRenderedPageBreak/>
        <w:t xml:space="preserve">dubbed ‘the </w:t>
      </w:r>
      <w:r w:rsidR="00181C52" w:rsidRPr="009B5102">
        <w:rPr>
          <w:rFonts w:ascii="Times New Roman" w:eastAsia="Calibri" w:hAnsi="Times New Roman" w:cs="Times New Roman"/>
          <w:sz w:val="24"/>
          <w:szCs w:val="24"/>
        </w:rPr>
        <w:t>line-up</w:t>
      </w:r>
      <w:r w:rsidRPr="009B5102">
        <w:rPr>
          <w:rFonts w:ascii="Times New Roman" w:eastAsia="Calibri" w:hAnsi="Times New Roman" w:cs="Times New Roman"/>
          <w:sz w:val="24"/>
          <w:szCs w:val="24"/>
        </w:rPr>
        <w:t xml:space="preserve">’. The participant was asked to compare herself to other women with the same ‘problem area’, positioned in order of size, and position herself next to the woman closest to her in size. Unsurprisingly and without fail, the participant demonstrates harsh self-judgment while in truth, her ‘problem’ or ‘size’ are never as bad as she estimates. </w:t>
      </w:r>
    </w:p>
    <w:p w14:paraId="353E6987"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366323C7"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When combined together at the beginning of each episode, these three elements gave  the programme a typical ‘feel’ which created a strong and immediate visual linkage between the programme on television and the commercial campaign running at the time. It became part of the</w:t>
      </w:r>
      <w:r w:rsidRPr="009B5102">
        <w:rPr>
          <w:rFonts w:ascii="Times New Roman" w:eastAsia="Calibri" w:hAnsi="Times New Roman" w:cs="Times New Roman"/>
          <w:i/>
          <w:iCs/>
          <w:sz w:val="24"/>
          <w:szCs w:val="24"/>
        </w:rPr>
        <w:t xml:space="preserve"> HTLGN</w:t>
      </w:r>
      <w:r w:rsidRPr="009B5102">
        <w:rPr>
          <w:rFonts w:ascii="Times New Roman" w:eastAsia="Calibri" w:hAnsi="Times New Roman" w:cs="Times New Roman"/>
          <w:sz w:val="24"/>
          <w:szCs w:val="24"/>
        </w:rPr>
        <w:t xml:space="preserve"> format and thus was repeatedly reproduced when the format was purchased and produced in different countries around the world.   </w:t>
      </w:r>
    </w:p>
    <w:p w14:paraId="14606AED"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51F2D393" w14:textId="77777777" w:rsidR="00497B7D" w:rsidRDefault="00497B7D" w:rsidP="00346CA5">
      <w:pPr>
        <w:spacing w:line="360" w:lineRule="auto"/>
        <w:contextualSpacing/>
        <w:rPr>
          <w:rFonts w:ascii="Times New Roman" w:eastAsia="Calibri" w:hAnsi="Times New Roman" w:cs="Times New Roman"/>
          <w:noProof/>
          <w:sz w:val="24"/>
          <w:szCs w:val="24"/>
          <w:lang w:val="en-US"/>
        </w:rPr>
      </w:pPr>
    </w:p>
    <w:p w14:paraId="6BAB8132" w14:textId="77777777" w:rsidR="00497B7D" w:rsidRDefault="00497B7D" w:rsidP="00346CA5">
      <w:pPr>
        <w:spacing w:line="360" w:lineRule="auto"/>
        <w:contextualSpacing/>
        <w:rPr>
          <w:rFonts w:ascii="Times New Roman" w:eastAsia="Calibri" w:hAnsi="Times New Roman" w:cs="Times New Roman"/>
          <w:noProof/>
          <w:sz w:val="24"/>
          <w:szCs w:val="24"/>
          <w:lang w:val="en-US"/>
        </w:rPr>
      </w:pPr>
    </w:p>
    <w:p w14:paraId="2D88505A" w14:textId="77777777" w:rsidR="00497B7D" w:rsidRDefault="00497B7D" w:rsidP="00346CA5">
      <w:pPr>
        <w:spacing w:line="360" w:lineRule="auto"/>
        <w:contextualSpacing/>
        <w:rPr>
          <w:rFonts w:ascii="Times New Roman" w:eastAsia="Calibri" w:hAnsi="Times New Roman" w:cs="Times New Roman"/>
          <w:noProof/>
          <w:sz w:val="24"/>
          <w:szCs w:val="24"/>
          <w:lang w:val="en-US"/>
        </w:rPr>
      </w:pPr>
    </w:p>
    <w:p w14:paraId="617F69D4" w14:textId="77777777" w:rsidR="00497B7D"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05120133" wp14:editId="1EC4AF63">
            <wp:extent cx="3498298" cy="2345634"/>
            <wp:effectExtent l="19050" t="0" r="6902" b="0"/>
            <wp:docPr id="13" name="Picture 13" descr="how_to_l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to_look[1].jpg"/>
                    <pic:cNvPicPr/>
                  </pic:nvPicPr>
                  <pic:blipFill>
                    <a:blip r:embed="rId17" cstate="print"/>
                    <a:stretch>
                      <a:fillRect/>
                    </a:stretch>
                  </pic:blipFill>
                  <pic:spPr>
                    <a:xfrm>
                      <a:off x="0" y="0"/>
                      <a:ext cx="3503378" cy="2349040"/>
                    </a:xfrm>
                    <a:prstGeom prst="rect">
                      <a:avLst/>
                    </a:prstGeom>
                  </pic:spPr>
                </pic:pic>
              </a:graphicData>
            </a:graphic>
          </wp:inline>
        </w:drawing>
      </w:r>
    </w:p>
    <w:p w14:paraId="700BE1C0" w14:textId="0C978567" w:rsidR="00497B7D" w:rsidRDefault="00497B7D" w:rsidP="00C20A1F">
      <w:pPr>
        <w:pStyle w:val="Heading6"/>
        <w:rPr>
          <w:sz w:val="24"/>
          <w:szCs w:val="24"/>
        </w:rPr>
      </w:pPr>
      <w:bookmarkStart w:id="33" w:name="_Toc436608081"/>
      <w:bookmarkStart w:id="34" w:name="_Toc445120231"/>
      <w:r w:rsidRPr="00A64602">
        <w:t xml:space="preserve">Figure </w:t>
      </w:r>
      <w:r w:rsidR="00C20A1F">
        <w:t>6</w:t>
      </w:r>
      <w:r w:rsidRPr="00A64602">
        <w:t xml:space="preserve">: The ‘line up’ in </w:t>
      </w:r>
      <w:r w:rsidRPr="00A64602">
        <w:rPr>
          <w:i/>
          <w:iCs/>
        </w:rPr>
        <w:t>HTLGN</w:t>
      </w:r>
      <w:r w:rsidRPr="00A64602">
        <w:t xml:space="preserve"> in the USA.</w:t>
      </w:r>
      <w:bookmarkEnd w:id="33"/>
      <w:bookmarkEnd w:id="34"/>
    </w:p>
    <w:p w14:paraId="12E066A2"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5CE0D46"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lastRenderedPageBreak/>
        <w:drawing>
          <wp:inline distT="0" distB="0" distL="0" distR="0" wp14:anchorId="7A8922BB" wp14:editId="7A0661DB">
            <wp:extent cx="3845284" cy="2066394"/>
            <wp:effectExtent l="19050" t="0" r="2816" b="0"/>
            <wp:docPr id="14" name="Picture 11" descr="dove real beauty 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 real beauty ad 3.jpg"/>
                    <pic:cNvPicPr/>
                  </pic:nvPicPr>
                  <pic:blipFill>
                    <a:blip r:embed="rId18" cstate="print"/>
                    <a:stretch>
                      <a:fillRect/>
                    </a:stretch>
                  </pic:blipFill>
                  <pic:spPr>
                    <a:xfrm>
                      <a:off x="0" y="0"/>
                      <a:ext cx="3846272" cy="2066925"/>
                    </a:xfrm>
                    <a:prstGeom prst="rect">
                      <a:avLst/>
                    </a:prstGeom>
                  </pic:spPr>
                </pic:pic>
              </a:graphicData>
            </a:graphic>
          </wp:inline>
        </w:drawing>
      </w:r>
    </w:p>
    <w:p w14:paraId="0CE007A8" w14:textId="2BE5679B" w:rsidR="00497B7D" w:rsidRPr="00A64602" w:rsidRDefault="00497B7D" w:rsidP="00C20A1F">
      <w:pPr>
        <w:spacing w:line="360" w:lineRule="auto"/>
        <w:contextualSpacing/>
        <w:rPr>
          <w:rFonts w:ascii="Times New Roman" w:eastAsia="Calibri" w:hAnsi="Times New Roman" w:cs="Times New Roman"/>
          <w:sz w:val="20"/>
          <w:szCs w:val="20"/>
        </w:rPr>
      </w:pPr>
      <w:bookmarkStart w:id="35" w:name="_Toc436608082"/>
      <w:bookmarkStart w:id="36" w:name="_Toc445120232"/>
      <w:r w:rsidRPr="005E1806">
        <w:rPr>
          <w:rStyle w:val="Heading6Char"/>
        </w:rPr>
        <w:t xml:space="preserve">Figure </w:t>
      </w:r>
      <w:r w:rsidR="00C20A1F">
        <w:rPr>
          <w:rStyle w:val="Heading6Char"/>
        </w:rPr>
        <w:t>7</w:t>
      </w:r>
      <w:r w:rsidRPr="005E1806">
        <w:rPr>
          <w:rStyle w:val="Heading6Char"/>
        </w:rPr>
        <w:t>: Dove’s Real Beauty campaign ad</w:t>
      </w:r>
      <w:bookmarkEnd w:id="35"/>
      <w:bookmarkEnd w:id="36"/>
      <w:r w:rsidRPr="00A64602">
        <w:rPr>
          <w:rFonts w:ascii="Times New Roman" w:eastAsia="Calibri" w:hAnsi="Times New Roman" w:cs="Times New Roman"/>
          <w:sz w:val="20"/>
          <w:szCs w:val="20"/>
        </w:rPr>
        <w:t xml:space="preserve">. </w:t>
      </w:r>
    </w:p>
    <w:p w14:paraId="0992679D"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509DB29F"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Another element that echoes the commercial campaign and was already mentioned here (in Diffusion of Messages), was the decision to present ordinary woman as icons of beauty, by showing large, glamorous images of their body in public. Dennis Lewis, the creative director of the Dove campaign, credited Rankin</w:t>
      </w:r>
      <w:r w:rsidRPr="00B93D25">
        <w:rPr>
          <w:rStyle w:val="FootnoteReference"/>
        </w:rPr>
        <w:footnoteReference w:id="45"/>
      </w:r>
      <w:r w:rsidRPr="009B5102">
        <w:rPr>
          <w:rFonts w:ascii="Times New Roman" w:eastAsia="Calibri" w:hAnsi="Times New Roman" w:cs="Times New Roman"/>
          <w:sz w:val="24"/>
          <w:szCs w:val="24"/>
        </w:rPr>
        <w:t>, the photographer chosen to shoot the campaign, for this idea:</w:t>
      </w:r>
    </w:p>
    <w:p w14:paraId="4CDA6DA1"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2AC9A98"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w:t>
      </w:r>
      <w:r w:rsidRPr="009B5102">
        <w:rPr>
          <w:rFonts w:ascii="Times New Roman" w:eastAsia="Calibri" w:hAnsi="Times New Roman" w:cs="Times New Roman"/>
          <w:sz w:val="24"/>
          <w:szCs w:val="24"/>
          <w:rtl/>
        </w:rPr>
        <w:t xml:space="preserve"> </w:t>
      </w:r>
      <w:r w:rsidRPr="009B5102">
        <w:rPr>
          <w:rFonts w:ascii="Times New Roman" w:eastAsia="Calibri" w:hAnsi="Times New Roman" w:cs="Times New Roman"/>
          <w:sz w:val="24"/>
          <w:szCs w:val="24"/>
        </w:rPr>
        <w:t xml:space="preserve">the thing that he [Rankin] said, and I thought, ‘God, that's so simple, why didn't we think of it?’ was that he would just put the women on a pedestal, let the women be iconic </w:t>
      </w:r>
      <w:r w:rsidRPr="009B5102">
        <w:rPr>
          <w:rFonts w:ascii="Times New Roman" w:eastAsia="Calibri" w:hAnsi="Times New Roman" w:cs="Times New Roman"/>
          <w:noProof/>
          <w:sz w:val="24"/>
          <w:szCs w:val="24"/>
        </w:rPr>
        <w:t>(Fielding et al., 2008)</w:t>
      </w:r>
      <w:r w:rsidRPr="009B5102">
        <w:rPr>
          <w:rFonts w:ascii="Times New Roman" w:eastAsia="Calibri" w:hAnsi="Times New Roman" w:cs="Times New Roman"/>
          <w:sz w:val="24"/>
          <w:szCs w:val="24"/>
        </w:rPr>
        <w:t>.</w:t>
      </w:r>
    </w:p>
    <w:p w14:paraId="62B3A2A4"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20735D4C"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This was done predominantly by presenting the ads on large billboards in the streets, which according to Lewis, almost made it appear as a political campaign:</w:t>
      </w:r>
    </w:p>
    <w:p w14:paraId="04CEFFC9"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143766F6" w14:textId="4BA95E29"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w:t>
      </w:r>
      <w:r w:rsidRPr="009B5102">
        <w:rPr>
          <w:rFonts w:ascii="Times New Roman" w:eastAsia="Calibri" w:hAnsi="Times New Roman" w:cs="Times New Roman"/>
          <w:sz w:val="24"/>
          <w:szCs w:val="24"/>
          <w:rtl/>
        </w:rPr>
        <w:t xml:space="preserve"> </w:t>
      </w:r>
      <w:r w:rsidRPr="009B5102">
        <w:rPr>
          <w:rFonts w:ascii="Times New Roman" w:eastAsia="Calibri" w:hAnsi="Times New Roman" w:cs="Times New Roman"/>
          <w:sz w:val="24"/>
          <w:szCs w:val="24"/>
        </w:rPr>
        <w:t xml:space="preserve">the fact that we were on billboards also made it particularly pertinent, because it's where political campaigns happen. It has a courage to it. ‘How dare you be so big and gorgeous in public in your </w:t>
      </w:r>
      <w:r w:rsidR="00181C52" w:rsidRPr="009B5102">
        <w:rPr>
          <w:rFonts w:ascii="Times New Roman" w:eastAsia="Calibri" w:hAnsi="Times New Roman" w:cs="Times New Roman"/>
          <w:sz w:val="24"/>
          <w:szCs w:val="24"/>
        </w:rPr>
        <w:t>underwear?</w:t>
      </w:r>
      <w:r w:rsidRPr="009B5102">
        <w:rPr>
          <w:rFonts w:ascii="Times New Roman" w:eastAsia="Calibri" w:hAnsi="Times New Roman" w:cs="Times New Roman"/>
          <w:sz w:val="24"/>
          <w:szCs w:val="24"/>
        </w:rPr>
        <w:t xml:space="preserve">’ It worked extremely well, I think, that we were out on the streets with that </w:t>
      </w:r>
      <w:r w:rsidRPr="009B5102">
        <w:rPr>
          <w:rFonts w:ascii="Times New Roman" w:eastAsia="Calibri" w:hAnsi="Times New Roman" w:cs="Times New Roman"/>
          <w:noProof/>
          <w:sz w:val="24"/>
          <w:szCs w:val="24"/>
        </w:rPr>
        <w:t>(Fielding et al., 2008)</w:t>
      </w:r>
      <w:r w:rsidRPr="009B5102">
        <w:rPr>
          <w:rFonts w:ascii="Times New Roman" w:eastAsia="Calibri" w:hAnsi="Times New Roman" w:cs="Times New Roman"/>
          <w:sz w:val="24"/>
          <w:szCs w:val="24"/>
        </w:rPr>
        <w:t>.</w:t>
      </w:r>
    </w:p>
    <w:p w14:paraId="2C75B3E6"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3A8351CD" w14:textId="7F4BC69A" w:rsidR="00497B7D" w:rsidRPr="009B5102" w:rsidRDefault="00497B7D" w:rsidP="00C20A1F">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Lastly, the ads that encouraged the ’beauty debate’ and became yet another element of the commercial campaign (see Figure </w:t>
      </w:r>
      <w:r w:rsidR="00C20A1F">
        <w:rPr>
          <w:rFonts w:ascii="Times New Roman" w:eastAsia="Calibri" w:hAnsi="Times New Roman" w:cs="Times New Roman"/>
          <w:sz w:val="24"/>
          <w:szCs w:val="24"/>
        </w:rPr>
        <w:t>8</w:t>
      </w:r>
      <w:r w:rsidRPr="009B5102">
        <w:rPr>
          <w:rFonts w:ascii="Times New Roman" w:eastAsia="Calibri" w:hAnsi="Times New Roman" w:cs="Times New Roman"/>
          <w:sz w:val="24"/>
          <w:szCs w:val="24"/>
        </w:rPr>
        <w:t xml:space="preserve">), were also echoed in the television format. In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the participants’ photos were also presented as large iconic images in public, up for public debate, first (‘before’) as a way to convince the participant that she is attractive in the eyes of ordinary people, and later (‘after’) as a manifestation of her new look, as well as the internal shift she had undergone, which made her confident enough to appear naked in a photo (see Figure </w:t>
      </w:r>
      <w:r w:rsidR="00C20A1F">
        <w:rPr>
          <w:rFonts w:ascii="Times New Roman" w:eastAsia="Calibri" w:hAnsi="Times New Roman" w:cs="Times New Roman"/>
          <w:sz w:val="24"/>
          <w:szCs w:val="24"/>
        </w:rPr>
        <w:t>9</w:t>
      </w:r>
      <w:r w:rsidRPr="009B5102">
        <w:rPr>
          <w:rFonts w:ascii="Times New Roman" w:eastAsia="Calibri" w:hAnsi="Times New Roman" w:cs="Times New Roman"/>
          <w:sz w:val="24"/>
          <w:szCs w:val="24"/>
        </w:rPr>
        <w:t>).</w:t>
      </w:r>
    </w:p>
    <w:p w14:paraId="5AE5F7BE"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435E1ECC"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61E50D8F" wp14:editId="2B4622A8">
            <wp:extent cx="1809750" cy="2448416"/>
            <wp:effectExtent l="19050" t="0" r="0" b="0"/>
            <wp:docPr id="16" name="Picture 5" descr="Dove freck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 freckles.jpg"/>
                    <pic:cNvPicPr/>
                  </pic:nvPicPr>
                  <pic:blipFill>
                    <a:blip r:embed="rId19" cstate="print"/>
                    <a:stretch>
                      <a:fillRect/>
                    </a:stretch>
                  </pic:blipFill>
                  <pic:spPr>
                    <a:xfrm>
                      <a:off x="0" y="0"/>
                      <a:ext cx="1810182" cy="2449001"/>
                    </a:xfrm>
                    <a:prstGeom prst="rect">
                      <a:avLst/>
                    </a:prstGeom>
                  </pic:spPr>
                </pic:pic>
              </a:graphicData>
            </a:graphic>
          </wp:inline>
        </w:drawing>
      </w:r>
    </w:p>
    <w:p w14:paraId="0CD04BBC" w14:textId="69C87C61" w:rsidR="00497B7D" w:rsidRDefault="00497B7D" w:rsidP="00C20A1F">
      <w:pPr>
        <w:pStyle w:val="Heading6"/>
      </w:pPr>
      <w:bookmarkStart w:id="37" w:name="_Toc436608083"/>
      <w:bookmarkStart w:id="38" w:name="_Toc445120233"/>
      <w:r w:rsidRPr="00A64602">
        <w:t xml:space="preserve">Figure </w:t>
      </w:r>
      <w:r w:rsidR="00C20A1F">
        <w:t>8</w:t>
      </w:r>
      <w:r w:rsidRPr="00A64602">
        <w:t>: Dove’s ‘beauty debate’ ad.</w:t>
      </w:r>
      <w:bookmarkEnd w:id="37"/>
      <w:bookmarkEnd w:id="38"/>
      <w:r w:rsidRPr="00A64602">
        <w:t xml:space="preserve"> </w:t>
      </w:r>
    </w:p>
    <w:p w14:paraId="2DF613AF" w14:textId="77777777" w:rsidR="00497B7D" w:rsidRDefault="00497B7D" w:rsidP="00346CA5">
      <w:pPr>
        <w:spacing w:line="360" w:lineRule="auto"/>
        <w:contextualSpacing/>
        <w:rPr>
          <w:rStyle w:val="Heading6Char"/>
        </w:rPr>
      </w:pPr>
      <w:r w:rsidRPr="009B5102">
        <w:rPr>
          <w:rFonts w:ascii="Times New Roman" w:eastAsia="Calibri" w:hAnsi="Times New Roman" w:cs="Times New Roman"/>
          <w:noProof/>
          <w:sz w:val="24"/>
          <w:szCs w:val="24"/>
          <w:lang w:eastAsia="en-GB"/>
        </w:rPr>
        <w:drawing>
          <wp:inline distT="0" distB="0" distL="0" distR="0" wp14:anchorId="3CAC5C9A" wp14:editId="3B69440E">
            <wp:extent cx="1952873" cy="2449002"/>
            <wp:effectExtent l="19050" t="0" r="9277" b="0"/>
            <wp:docPr id="28" name="Picture 6" descr="HTLGN - nudity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LGN - nudity photo 1.jpg"/>
                    <pic:cNvPicPr/>
                  </pic:nvPicPr>
                  <pic:blipFill>
                    <a:blip r:embed="rId20" cstate="print"/>
                    <a:stretch>
                      <a:fillRect/>
                    </a:stretch>
                  </pic:blipFill>
                  <pic:spPr>
                    <a:xfrm>
                      <a:off x="0" y="0"/>
                      <a:ext cx="1958784" cy="2456415"/>
                    </a:xfrm>
                    <a:prstGeom prst="rect">
                      <a:avLst/>
                    </a:prstGeom>
                  </pic:spPr>
                </pic:pic>
              </a:graphicData>
            </a:graphic>
          </wp:inline>
        </w:drawing>
      </w:r>
    </w:p>
    <w:p w14:paraId="545DF6BE" w14:textId="190F05D2" w:rsidR="00497B7D" w:rsidRPr="00A64602" w:rsidRDefault="00497B7D" w:rsidP="00C20A1F">
      <w:pPr>
        <w:spacing w:line="360" w:lineRule="auto"/>
        <w:contextualSpacing/>
        <w:rPr>
          <w:rFonts w:ascii="Times New Roman" w:eastAsia="Calibri" w:hAnsi="Times New Roman" w:cs="Times New Roman"/>
          <w:sz w:val="20"/>
          <w:szCs w:val="20"/>
        </w:rPr>
      </w:pPr>
      <w:bookmarkStart w:id="39" w:name="_Toc436608084"/>
      <w:bookmarkStart w:id="40" w:name="_Toc445120234"/>
      <w:r w:rsidRPr="005E1806">
        <w:rPr>
          <w:rStyle w:val="Heading6Char"/>
        </w:rPr>
        <w:t xml:space="preserve">Figure </w:t>
      </w:r>
      <w:r w:rsidR="00C20A1F">
        <w:rPr>
          <w:rStyle w:val="Heading6Char"/>
        </w:rPr>
        <w:t>9</w:t>
      </w:r>
      <w:r w:rsidRPr="005E1806">
        <w:rPr>
          <w:rStyle w:val="Heading6Char"/>
        </w:rPr>
        <w:t xml:space="preserve">: </w:t>
      </w:r>
      <w:r w:rsidRPr="0039419B">
        <w:rPr>
          <w:rStyle w:val="Heading6Char"/>
          <w:i/>
          <w:iCs/>
        </w:rPr>
        <w:t>HTLGN’s</w:t>
      </w:r>
      <w:r w:rsidRPr="005E1806">
        <w:rPr>
          <w:rStyle w:val="Heading6Char"/>
        </w:rPr>
        <w:t xml:space="preserve"> nudity photo</w:t>
      </w:r>
      <w:bookmarkEnd w:id="39"/>
      <w:bookmarkEnd w:id="40"/>
      <w:r w:rsidRPr="00A64602">
        <w:rPr>
          <w:rFonts w:ascii="Times New Roman" w:eastAsia="Calibri" w:hAnsi="Times New Roman" w:cs="Times New Roman"/>
          <w:sz w:val="20"/>
          <w:szCs w:val="20"/>
        </w:rPr>
        <w:t xml:space="preserve">. </w:t>
      </w:r>
    </w:p>
    <w:p w14:paraId="33CFAC85"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11A2775" w14:textId="0CBBE899" w:rsidR="00497B7D" w:rsidRPr="009B5102" w:rsidRDefault="00497B7D" w:rsidP="00501D75">
      <w:pPr>
        <w:spacing w:line="360" w:lineRule="auto"/>
        <w:contextualSpacing/>
        <w:rPr>
          <w:rFonts w:ascii="Times New Roman" w:eastAsia="Calibri" w:hAnsi="Times New Roman" w:cs="Times New Roman"/>
          <w:sz w:val="24"/>
          <w:szCs w:val="24"/>
          <w:rtl/>
        </w:rPr>
      </w:pPr>
      <w:r w:rsidRPr="009B5102">
        <w:rPr>
          <w:rFonts w:ascii="Times New Roman" w:eastAsia="Calibri" w:hAnsi="Times New Roman" w:cs="Times New Roman"/>
          <w:sz w:val="24"/>
          <w:szCs w:val="24"/>
        </w:rPr>
        <w:lastRenderedPageBreak/>
        <w:t xml:space="preserve">The presence of the visual language of the campaign in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therefore, did not aim to promote Dove’s products, nor did it reference the brand’s name. Rather, it embodied the ideas the campaign sought to promote through visual means and in a way that represented the brand as an image, an image with an embracing omnipotent presence within the space of the programme.     </w:t>
      </w:r>
    </w:p>
    <w:p w14:paraId="236895BD" w14:textId="77777777" w:rsidR="00497B7D" w:rsidRPr="009B5102" w:rsidRDefault="00497B7D" w:rsidP="00346CA5">
      <w:pPr>
        <w:spacing w:line="360" w:lineRule="auto"/>
        <w:contextualSpacing/>
        <w:rPr>
          <w:rFonts w:ascii="Times New Roman" w:eastAsia="Calibri" w:hAnsi="Times New Roman" w:cs="Times New Roman"/>
          <w:i/>
          <w:iCs/>
          <w:sz w:val="24"/>
          <w:szCs w:val="24"/>
        </w:rPr>
      </w:pPr>
    </w:p>
    <w:p w14:paraId="7E452C27" w14:textId="77777777" w:rsidR="00497B7D" w:rsidRPr="009B5102" w:rsidRDefault="00497B7D" w:rsidP="00346CA5">
      <w:pPr>
        <w:pStyle w:val="Heading3"/>
      </w:pPr>
      <w:bookmarkStart w:id="41" w:name="_Toc445202682"/>
      <w:r w:rsidRPr="009B5102">
        <w:rPr>
          <w:i/>
          <w:iCs/>
        </w:rPr>
        <w:t xml:space="preserve">Overdraft Family, </w:t>
      </w:r>
      <w:r w:rsidRPr="009B5102">
        <w:t>Bank Hapo’alim and Shufersal-Deal</w:t>
      </w:r>
      <w:bookmarkEnd w:id="41"/>
    </w:p>
    <w:p w14:paraId="3EBBD2B9"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provides an example of visual integration that is more intentional and driven by formal obligations to the sponsors. Nonetheless, both case studies clearly portray the ways in which brands seek to ‘colonise’ the public space of television.  </w:t>
      </w:r>
    </w:p>
    <w:p w14:paraId="468FD51B"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16EF34BE"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As I will show here, during the production of the programme much attention was given to integrating the ‘look and feel’ of the sponsors, particularly the banks (first Bank Hapo’alim and later Bank Discount), wherever it was possible. This became a formal part of the commercial agreement, a source of discussion and even preoccupation for the sponsor and the producers during production, and was later presented as an achievement by the bank to its internal audiences and senior management.</w:t>
      </w:r>
    </w:p>
    <w:p w14:paraId="71C71EE2"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7EF8B756" w14:textId="05A41FB7" w:rsidR="00497B7D" w:rsidRPr="009B5102" w:rsidRDefault="00497B7D" w:rsidP="00C20A1F">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To begin with, it was formally agreed that </w:t>
      </w:r>
      <w:r w:rsidRPr="009B5102">
        <w:rPr>
          <w:rFonts w:ascii="Times New Roman" w:eastAsia="Calibri" w:hAnsi="Times New Roman" w:cs="Times New Roman"/>
          <w:i/>
          <w:iCs/>
          <w:sz w:val="24"/>
          <w:szCs w:val="24"/>
        </w:rPr>
        <w:t>Overdraft Family’s</w:t>
      </w:r>
      <w:r w:rsidRPr="009B5102">
        <w:rPr>
          <w:rFonts w:ascii="Times New Roman" w:eastAsia="Calibri" w:hAnsi="Times New Roman" w:cs="Times New Roman"/>
          <w:sz w:val="24"/>
          <w:szCs w:val="24"/>
        </w:rPr>
        <w:t xml:space="preserve"> graphic package would be designed according to Bank Hapo’alim’s graphic ’language’, in which, among other things, the colour red is dominant (see Figures </w:t>
      </w:r>
      <w:r w:rsidR="00C20A1F" w:rsidRPr="009B5102">
        <w:rPr>
          <w:rFonts w:ascii="Times New Roman" w:eastAsia="Calibri" w:hAnsi="Times New Roman" w:cs="Times New Roman"/>
          <w:sz w:val="24"/>
          <w:szCs w:val="24"/>
        </w:rPr>
        <w:t>1</w:t>
      </w:r>
      <w:r w:rsidR="00C20A1F">
        <w:rPr>
          <w:rFonts w:ascii="Times New Roman" w:eastAsia="Calibri" w:hAnsi="Times New Roman" w:cs="Times New Roman"/>
          <w:sz w:val="24"/>
          <w:szCs w:val="24"/>
        </w:rPr>
        <w:t>0</w:t>
      </w:r>
      <w:r w:rsidR="00C20A1F" w:rsidRPr="009B5102">
        <w:rPr>
          <w:rFonts w:ascii="Times New Roman" w:eastAsia="Calibri" w:hAnsi="Times New Roman" w:cs="Times New Roman"/>
          <w:sz w:val="24"/>
          <w:szCs w:val="24"/>
        </w:rPr>
        <w:t xml:space="preserve"> </w:t>
      </w:r>
      <w:r w:rsidRPr="009B5102">
        <w:rPr>
          <w:rFonts w:ascii="Times New Roman" w:eastAsia="Calibri" w:hAnsi="Times New Roman" w:cs="Times New Roman"/>
          <w:sz w:val="24"/>
          <w:szCs w:val="24"/>
        </w:rPr>
        <w:t xml:space="preserve">and </w:t>
      </w:r>
      <w:r w:rsidR="00C20A1F" w:rsidRPr="009B5102">
        <w:rPr>
          <w:rFonts w:ascii="Times New Roman" w:eastAsia="Calibri" w:hAnsi="Times New Roman" w:cs="Times New Roman"/>
          <w:sz w:val="24"/>
          <w:szCs w:val="24"/>
        </w:rPr>
        <w:t>1</w:t>
      </w:r>
      <w:r w:rsidR="00C20A1F">
        <w:rPr>
          <w:rFonts w:ascii="Times New Roman" w:eastAsia="Calibri" w:hAnsi="Times New Roman" w:cs="Times New Roman"/>
          <w:sz w:val="24"/>
          <w:szCs w:val="24"/>
        </w:rPr>
        <w:t>1</w:t>
      </w:r>
      <w:r w:rsidRPr="009B5102">
        <w:rPr>
          <w:rFonts w:ascii="Times New Roman" w:eastAsia="Calibri" w:hAnsi="Times New Roman" w:cs="Times New Roman"/>
          <w:sz w:val="24"/>
          <w:szCs w:val="24"/>
        </w:rPr>
        <w:t>). This was clearly stated  in Bank Hapo’alim’s internal documents pertaining to the sponsorship deal for the third series</w:t>
      </w:r>
      <w:r w:rsidR="00501D75">
        <w:rPr>
          <w:rFonts w:ascii="Times New Roman" w:eastAsia="Calibri" w:hAnsi="Times New Roman" w:cs="Times New Roman"/>
          <w:noProof/>
          <w:sz w:val="24"/>
          <w:szCs w:val="24"/>
        </w:rPr>
        <w:t xml:space="preserve"> </w:t>
      </w:r>
      <w:r w:rsidRPr="009B5102">
        <w:rPr>
          <w:rFonts w:ascii="Times New Roman" w:eastAsia="Calibri" w:hAnsi="Times New Roman" w:cs="Times New Roman"/>
          <w:noProof/>
          <w:sz w:val="24"/>
          <w:szCs w:val="24"/>
        </w:rPr>
        <w:t>(2009)</w:t>
      </w:r>
      <w:r w:rsidRPr="009B5102">
        <w:rPr>
          <w:rFonts w:ascii="Times New Roman" w:eastAsia="Calibri" w:hAnsi="Times New Roman" w:cs="Times New Roman"/>
          <w:sz w:val="24"/>
          <w:szCs w:val="24"/>
        </w:rPr>
        <w:t>, as well as the fourth one</w:t>
      </w:r>
      <w:r>
        <w:rPr>
          <w:rFonts w:ascii="Times New Roman" w:eastAsia="Calibri" w:hAnsi="Times New Roman" w:cs="Times New Roman"/>
          <w:sz w:val="24"/>
          <w:szCs w:val="24"/>
        </w:rPr>
        <w:t xml:space="preserve"> (2010)</w:t>
      </w:r>
      <w:r w:rsidRPr="009B5102">
        <w:rPr>
          <w:rFonts w:ascii="Times New Roman" w:eastAsia="Calibri" w:hAnsi="Times New Roman" w:cs="Times New Roman"/>
          <w:sz w:val="24"/>
          <w:szCs w:val="24"/>
        </w:rPr>
        <w:t>:</w:t>
      </w:r>
    </w:p>
    <w:p w14:paraId="269E6C88" w14:textId="77777777" w:rsidR="00497B7D" w:rsidRPr="009B5102" w:rsidRDefault="00497B7D" w:rsidP="00346CA5">
      <w:pPr>
        <w:pStyle w:val="Quote"/>
      </w:pPr>
      <w:r w:rsidRPr="009B5102">
        <w:t>The programme’s graphic package will relate to the bank’s graphic language</w:t>
      </w:r>
      <w:r>
        <w:t xml:space="preserve"> (Bank Hapo’alim, 2009, 2010)</w:t>
      </w:r>
      <w:r w:rsidRPr="009B5102">
        <w:t>.</w:t>
      </w:r>
    </w:p>
    <w:p w14:paraId="26B674D9"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lastRenderedPageBreak/>
        <w:drawing>
          <wp:inline distT="0" distB="0" distL="0" distR="0" wp14:anchorId="5064AB32" wp14:editId="41087C66">
            <wp:extent cx="3508273" cy="2305050"/>
            <wp:effectExtent l="0" t="0" r="0" b="0"/>
            <wp:docPr id="29" name="Picture 9" descr="bank commer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 commercial.jpg"/>
                    <pic:cNvPicPr/>
                  </pic:nvPicPr>
                  <pic:blipFill>
                    <a:blip r:embed="rId21" cstate="print"/>
                    <a:stretch>
                      <a:fillRect/>
                    </a:stretch>
                  </pic:blipFill>
                  <pic:spPr>
                    <a:xfrm>
                      <a:off x="0" y="0"/>
                      <a:ext cx="3521336" cy="2313633"/>
                    </a:xfrm>
                    <a:prstGeom prst="rect">
                      <a:avLst/>
                    </a:prstGeom>
                  </pic:spPr>
                </pic:pic>
              </a:graphicData>
            </a:graphic>
          </wp:inline>
        </w:drawing>
      </w:r>
    </w:p>
    <w:p w14:paraId="40AD81B3" w14:textId="247AAC91" w:rsidR="00497B7D" w:rsidRDefault="00497B7D" w:rsidP="00C20A1F">
      <w:pPr>
        <w:pStyle w:val="Heading6"/>
      </w:pPr>
      <w:bookmarkStart w:id="42" w:name="_Toc436608085"/>
      <w:bookmarkStart w:id="43" w:name="_Toc445120235"/>
      <w:r w:rsidRPr="00A64602">
        <w:t xml:space="preserve">Figure </w:t>
      </w:r>
      <w:r w:rsidR="00C20A1F" w:rsidRPr="00A64602">
        <w:t>1</w:t>
      </w:r>
      <w:r w:rsidR="00C20A1F">
        <w:t>0</w:t>
      </w:r>
      <w:r w:rsidRPr="00A64602">
        <w:t>: Bank Hapo’alim’s ad.</w:t>
      </w:r>
      <w:bookmarkEnd w:id="42"/>
      <w:bookmarkEnd w:id="43"/>
      <w:r w:rsidRPr="00A64602">
        <w:t xml:space="preserve"> </w:t>
      </w:r>
    </w:p>
    <w:p w14:paraId="1333A450" w14:textId="77777777" w:rsidR="001F761D" w:rsidRPr="001F761D" w:rsidRDefault="001F761D" w:rsidP="001F761D"/>
    <w:p w14:paraId="5B5573D6"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7D9929B8" wp14:editId="77E281C9">
            <wp:extent cx="3517900" cy="2438400"/>
            <wp:effectExtent l="0" t="0" r="6350" b="0"/>
            <wp:docPr id="30" name="Picture 2" descr="U:\adi\2009\משפחה חורגת\sb04 - סופי!.jpg"/>
            <wp:cNvGraphicFramePr/>
            <a:graphic xmlns:a="http://schemas.openxmlformats.org/drawingml/2006/main">
              <a:graphicData uri="http://schemas.openxmlformats.org/drawingml/2006/picture">
                <pic:pic xmlns:pic="http://schemas.openxmlformats.org/drawingml/2006/picture">
                  <pic:nvPicPr>
                    <pic:cNvPr id="12293" name="Picture 1029" descr="U:\adi\2009\משפחה חורגת\sb04 - סופי!.jpg"/>
                    <pic:cNvPicPr>
                      <a:picLocks noChangeAspect="1" noChangeArrowheads="1"/>
                    </pic:cNvPicPr>
                  </pic:nvPicPr>
                  <pic:blipFill>
                    <a:blip r:embed="rId22" cstate="print"/>
                    <a:srcRect/>
                    <a:stretch>
                      <a:fillRect/>
                    </a:stretch>
                  </pic:blipFill>
                  <pic:spPr bwMode="auto">
                    <a:xfrm>
                      <a:off x="0" y="0"/>
                      <a:ext cx="3517900" cy="2438400"/>
                    </a:xfrm>
                    <a:prstGeom prst="rect">
                      <a:avLst/>
                    </a:prstGeom>
                    <a:noFill/>
                    <a:ln w="9525">
                      <a:noFill/>
                      <a:miter lim="800000"/>
                      <a:headEnd/>
                      <a:tailEnd/>
                    </a:ln>
                  </pic:spPr>
                </pic:pic>
              </a:graphicData>
            </a:graphic>
          </wp:inline>
        </w:drawing>
      </w:r>
    </w:p>
    <w:p w14:paraId="7849C157" w14:textId="1E990A57" w:rsidR="00497B7D" w:rsidRPr="00A64602" w:rsidRDefault="00497B7D" w:rsidP="00C20A1F">
      <w:pPr>
        <w:pStyle w:val="Heading6"/>
      </w:pPr>
      <w:bookmarkStart w:id="44" w:name="_Toc436608086"/>
      <w:bookmarkStart w:id="45" w:name="_Toc445120236"/>
      <w:r w:rsidRPr="00A64602">
        <w:t xml:space="preserve">Figure </w:t>
      </w:r>
      <w:r w:rsidR="00C20A1F" w:rsidRPr="00A64602">
        <w:t>1</w:t>
      </w:r>
      <w:r w:rsidR="00C20A1F">
        <w:t>1</w:t>
      </w:r>
      <w:r w:rsidRPr="00A64602">
        <w:t xml:space="preserve">: Graphic packaging of </w:t>
      </w:r>
      <w:r w:rsidRPr="00A64602">
        <w:rPr>
          <w:i/>
          <w:iCs/>
        </w:rPr>
        <w:t>Overdraft Family</w:t>
      </w:r>
      <w:r w:rsidRPr="00A64602">
        <w:t xml:space="preserve"> in the spirit of Bank Hapo’alim’s branding.</w:t>
      </w:r>
      <w:bookmarkEnd w:id="44"/>
      <w:bookmarkEnd w:id="45"/>
    </w:p>
    <w:p w14:paraId="408B1653" w14:textId="6A99A7B7" w:rsidR="00497B7D" w:rsidRPr="009B5102" w:rsidRDefault="00497B7D" w:rsidP="00C20A1F">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So, for example, the programme’s opening credits featured a red doorbell with the name of the programme (instead of a family’s name) and this became the icon of the programme during the series sponsored by Bank Hapo</w:t>
      </w:r>
      <w:r w:rsidR="00181C52">
        <w:rPr>
          <w:rFonts w:ascii="Times New Roman" w:eastAsia="Calibri" w:hAnsi="Times New Roman" w:cs="Times New Roman"/>
          <w:sz w:val="24"/>
          <w:szCs w:val="24"/>
        </w:rPr>
        <w:t>'</w:t>
      </w:r>
      <w:r w:rsidRPr="009B5102">
        <w:rPr>
          <w:rFonts w:ascii="Times New Roman" w:eastAsia="Calibri" w:hAnsi="Times New Roman" w:cs="Times New Roman"/>
          <w:sz w:val="24"/>
          <w:szCs w:val="24"/>
        </w:rPr>
        <w:t xml:space="preserve">alim (see Figure </w:t>
      </w:r>
      <w:r w:rsidR="00C20A1F" w:rsidRPr="009B5102">
        <w:rPr>
          <w:rFonts w:ascii="Times New Roman" w:eastAsia="Calibri" w:hAnsi="Times New Roman" w:cs="Times New Roman"/>
          <w:sz w:val="24"/>
          <w:szCs w:val="24"/>
        </w:rPr>
        <w:t>1</w:t>
      </w:r>
      <w:r w:rsidR="00C20A1F">
        <w:rPr>
          <w:rFonts w:ascii="Times New Roman" w:eastAsia="Calibri" w:hAnsi="Times New Roman" w:cs="Times New Roman"/>
          <w:sz w:val="24"/>
          <w:szCs w:val="24"/>
        </w:rPr>
        <w:t>2</w:t>
      </w:r>
      <w:r w:rsidRPr="009B5102">
        <w:rPr>
          <w:rFonts w:ascii="Times New Roman" w:eastAsia="Calibri" w:hAnsi="Times New Roman" w:cs="Times New Roman"/>
          <w:sz w:val="24"/>
          <w:szCs w:val="24"/>
        </w:rPr>
        <w:t xml:space="preserve">). Later, when Bank Discount became a sponsor, the icon was changed to feature the colour green, as it is the colour that is part of the bank’s branding (see Figure </w:t>
      </w:r>
      <w:r w:rsidR="00C20A1F" w:rsidRPr="009B5102">
        <w:rPr>
          <w:rFonts w:ascii="Times New Roman" w:eastAsia="Calibri" w:hAnsi="Times New Roman" w:cs="Times New Roman"/>
          <w:sz w:val="24"/>
          <w:szCs w:val="24"/>
        </w:rPr>
        <w:t>1</w:t>
      </w:r>
      <w:r w:rsidR="00C20A1F">
        <w:rPr>
          <w:rFonts w:ascii="Times New Roman" w:eastAsia="Calibri" w:hAnsi="Times New Roman" w:cs="Times New Roman"/>
          <w:sz w:val="24"/>
          <w:szCs w:val="24"/>
        </w:rPr>
        <w:t>3</w:t>
      </w:r>
      <w:r w:rsidRPr="009B5102">
        <w:rPr>
          <w:rFonts w:ascii="Times New Roman" w:eastAsia="Calibri" w:hAnsi="Times New Roman" w:cs="Times New Roman"/>
          <w:sz w:val="24"/>
          <w:szCs w:val="24"/>
        </w:rPr>
        <w:t xml:space="preserve">). </w:t>
      </w:r>
    </w:p>
    <w:p w14:paraId="32E44166"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9ADB853" w14:textId="77777777" w:rsidR="00497B7D"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lastRenderedPageBreak/>
        <w:drawing>
          <wp:inline distT="0" distB="0" distL="0" distR="0" wp14:anchorId="4799E54B" wp14:editId="75FE5006">
            <wp:extent cx="2419350" cy="1096645"/>
            <wp:effectExtent l="0" t="0" r="0" b="8255"/>
            <wp:docPr id="31" name="Picture 1" descr="U:\adi\2009\משפחה חורגת\לוגו משפחה.bmp"/>
            <wp:cNvGraphicFramePr/>
            <a:graphic xmlns:a="http://schemas.openxmlformats.org/drawingml/2006/main">
              <a:graphicData uri="http://schemas.openxmlformats.org/drawingml/2006/picture">
                <pic:pic xmlns:pic="http://schemas.openxmlformats.org/drawingml/2006/picture">
                  <pic:nvPicPr>
                    <pic:cNvPr id="3078" name="Picture 6" descr="U:\adi\2009\משפחה חורגת\לוגו משפחה.bmp"/>
                    <pic:cNvPicPr>
                      <a:picLocks noChangeAspect="1" noChangeArrowheads="1"/>
                    </pic:cNvPicPr>
                  </pic:nvPicPr>
                  <pic:blipFill>
                    <a:blip r:embed="rId23" cstate="print"/>
                    <a:srcRect/>
                    <a:stretch>
                      <a:fillRect/>
                    </a:stretch>
                  </pic:blipFill>
                  <pic:spPr bwMode="auto">
                    <a:xfrm>
                      <a:off x="0" y="0"/>
                      <a:ext cx="2433288" cy="1102963"/>
                    </a:xfrm>
                    <a:prstGeom prst="rect">
                      <a:avLst/>
                    </a:prstGeom>
                    <a:noFill/>
                    <a:ln w="9525">
                      <a:noFill/>
                      <a:miter lim="800000"/>
                      <a:headEnd/>
                      <a:tailEnd/>
                    </a:ln>
                  </pic:spPr>
                </pic:pic>
              </a:graphicData>
            </a:graphic>
          </wp:inline>
        </w:drawing>
      </w:r>
    </w:p>
    <w:p w14:paraId="188532EE" w14:textId="58A300B7" w:rsidR="00497B7D" w:rsidRDefault="00497B7D" w:rsidP="00C20A1F">
      <w:pPr>
        <w:pStyle w:val="Heading6"/>
      </w:pPr>
      <w:bookmarkStart w:id="46" w:name="_Toc436608087"/>
      <w:bookmarkStart w:id="47" w:name="_Toc445120237"/>
      <w:r w:rsidRPr="00A64602">
        <w:t xml:space="preserve">Figure </w:t>
      </w:r>
      <w:r w:rsidR="00C20A1F" w:rsidRPr="00A64602">
        <w:t>1</w:t>
      </w:r>
      <w:r w:rsidR="00C20A1F">
        <w:t>2</w:t>
      </w:r>
      <w:r w:rsidRPr="00A64602">
        <w:t>: A red doorbell in the spirit of Bank Hapo’alim branding</w:t>
      </w:r>
      <w:r>
        <w:t>.</w:t>
      </w:r>
      <w:bookmarkEnd w:id="46"/>
      <w:bookmarkEnd w:id="47"/>
    </w:p>
    <w:p w14:paraId="3F334EA7" w14:textId="77777777" w:rsidR="001F761D" w:rsidRPr="001F761D" w:rsidRDefault="001F761D" w:rsidP="001F761D"/>
    <w:p w14:paraId="48FF81CB"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3850F7F5" wp14:editId="15453C8F">
            <wp:extent cx="2419350" cy="1250950"/>
            <wp:effectExtent l="0" t="0" r="0" b="6350"/>
            <wp:docPr id="32" name="Picture 2" descr="Lead - gre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 - green.bmp"/>
                    <pic:cNvPicPr/>
                  </pic:nvPicPr>
                  <pic:blipFill>
                    <a:blip r:embed="rId24" cstate="print"/>
                    <a:stretch>
                      <a:fillRect/>
                    </a:stretch>
                  </pic:blipFill>
                  <pic:spPr>
                    <a:xfrm>
                      <a:off x="0" y="0"/>
                      <a:ext cx="2420221" cy="1251400"/>
                    </a:xfrm>
                    <a:prstGeom prst="rect">
                      <a:avLst/>
                    </a:prstGeom>
                  </pic:spPr>
                </pic:pic>
              </a:graphicData>
            </a:graphic>
          </wp:inline>
        </w:drawing>
      </w:r>
    </w:p>
    <w:p w14:paraId="0D231E78" w14:textId="660299F9" w:rsidR="00497B7D" w:rsidRPr="00A64602" w:rsidRDefault="00497B7D" w:rsidP="00C20A1F">
      <w:pPr>
        <w:pStyle w:val="Heading6"/>
      </w:pPr>
      <w:bookmarkStart w:id="48" w:name="_Toc436608088"/>
      <w:bookmarkStart w:id="49" w:name="_Toc445120238"/>
      <w:r w:rsidRPr="00A64602">
        <w:t xml:space="preserve">Figure </w:t>
      </w:r>
      <w:r w:rsidR="00C20A1F" w:rsidRPr="00A64602">
        <w:t>1</w:t>
      </w:r>
      <w:r w:rsidR="00C20A1F">
        <w:t>3</w:t>
      </w:r>
      <w:r w:rsidRPr="00A64602">
        <w:t>: An icon with a green element in the spirit of Bank Discount.</w:t>
      </w:r>
      <w:bookmarkEnd w:id="48"/>
      <w:bookmarkEnd w:id="49"/>
    </w:p>
    <w:p w14:paraId="17548D48"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1BCB2AA"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Roni Aboulafia, the video editor who worked on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recalls that the graphic package of the programme had to be changed once Bank Discount became a sponsor: </w:t>
      </w:r>
    </w:p>
    <w:p w14:paraId="5F1EDD60"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E1F9FDD"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previous lead used Hapo’alim colours, the red and white, so they had to make a new one that would reflect Discount. So they made a green lead and they used the bank’s fonts, for example, in the title presenting the banking advisor during the programme. The fonts are highly identified with the bank, in a way - they’re even stronger than the colour - once you see it you just know that it’s Bank Discount </w:t>
      </w:r>
      <w:r w:rsidRPr="009B5102">
        <w:rPr>
          <w:rFonts w:ascii="Times New Roman" w:eastAsia="Calibri" w:hAnsi="Times New Roman" w:cs="Times New Roman"/>
          <w:noProof/>
          <w:sz w:val="24"/>
          <w:szCs w:val="24"/>
        </w:rPr>
        <w:t>(Aboulafia, 2011)</w:t>
      </w:r>
      <w:r w:rsidRPr="009B5102">
        <w:rPr>
          <w:rFonts w:ascii="Times New Roman" w:eastAsia="Calibri" w:hAnsi="Times New Roman" w:cs="Times New Roman"/>
          <w:sz w:val="24"/>
          <w:szCs w:val="24"/>
        </w:rPr>
        <w:t xml:space="preserve">. </w:t>
      </w:r>
    </w:p>
    <w:p w14:paraId="5E44C204"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0ED40067" w14:textId="1EC6F214" w:rsidR="00497B7D" w:rsidRPr="009B5102" w:rsidRDefault="00497B7D" w:rsidP="00C20A1F">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Thus, anything to do with the programme’s post-production graphic elements was carefully designed in light of the sponsorship agreement, so that it would embody and reflect the brand, even if the specific name of the bank was never mentioned. This even went as far as designing the financial reports presented to the families in the spirit of the bank’s branding. While in the first two episodes that were sponsored by Bank Hapo’alim the graphic design of these reports </w:t>
      </w:r>
      <w:r w:rsidRPr="009B5102">
        <w:rPr>
          <w:rFonts w:ascii="Times New Roman" w:eastAsia="Calibri" w:hAnsi="Times New Roman" w:cs="Times New Roman"/>
          <w:sz w:val="24"/>
          <w:szCs w:val="24"/>
        </w:rPr>
        <w:lastRenderedPageBreak/>
        <w:t xml:space="preserve">was chosen by the programme’s editorial team (i.e. graphic designers who worked with the programme, see Figure </w:t>
      </w:r>
      <w:r w:rsidR="00C20A1F" w:rsidRPr="009B5102">
        <w:rPr>
          <w:rFonts w:ascii="Times New Roman" w:eastAsia="Calibri" w:hAnsi="Times New Roman" w:cs="Times New Roman"/>
          <w:sz w:val="24"/>
          <w:szCs w:val="24"/>
        </w:rPr>
        <w:t>1</w:t>
      </w:r>
      <w:r w:rsidR="00C20A1F">
        <w:rPr>
          <w:rFonts w:ascii="Times New Roman" w:eastAsia="Calibri" w:hAnsi="Times New Roman" w:cs="Times New Roman"/>
          <w:sz w:val="24"/>
          <w:szCs w:val="24"/>
        </w:rPr>
        <w:t>4</w:t>
      </w:r>
      <w:r w:rsidRPr="009B5102">
        <w:rPr>
          <w:rFonts w:ascii="Times New Roman" w:eastAsia="Calibri" w:hAnsi="Times New Roman" w:cs="Times New Roman"/>
          <w:sz w:val="24"/>
          <w:szCs w:val="24"/>
        </w:rPr>
        <w:t xml:space="preserve">), as the bank documents demonstrate </w:t>
      </w:r>
      <w:r w:rsidRPr="009B5102">
        <w:rPr>
          <w:rFonts w:ascii="Times New Roman" w:eastAsia="Calibri" w:hAnsi="Times New Roman" w:cs="Times New Roman"/>
          <w:noProof/>
          <w:sz w:val="24"/>
          <w:szCs w:val="24"/>
        </w:rPr>
        <w:t>(Bank Hapo'alim, 2009)</w:t>
      </w:r>
      <w:r w:rsidRPr="009B5102">
        <w:rPr>
          <w:rFonts w:ascii="Times New Roman" w:eastAsia="Calibri" w:hAnsi="Times New Roman" w:cs="Times New Roman"/>
          <w:sz w:val="24"/>
          <w:szCs w:val="24"/>
        </w:rPr>
        <w:t xml:space="preserve">, from the third series onwards, these were subject to the commercial agreement and made to reflect the ‘language’ of the brand (Figure </w:t>
      </w:r>
      <w:r w:rsidR="00C20A1F" w:rsidRPr="009B5102">
        <w:rPr>
          <w:rFonts w:ascii="Times New Roman" w:eastAsia="Calibri" w:hAnsi="Times New Roman" w:cs="Times New Roman"/>
          <w:sz w:val="24"/>
          <w:szCs w:val="24"/>
        </w:rPr>
        <w:t>1</w:t>
      </w:r>
      <w:r w:rsidR="00C20A1F">
        <w:rPr>
          <w:rFonts w:ascii="Times New Roman" w:eastAsia="Calibri" w:hAnsi="Times New Roman" w:cs="Times New Roman"/>
          <w:sz w:val="24"/>
          <w:szCs w:val="24"/>
        </w:rPr>
        <w:t>5</w:t>
      </w:r>
      <w:r w:rsidRPr="009B5102">
        <w:rPr>
          <w:rFonts w:ascii="Times New Roman" w:eastAsia="Calibri" w:hAnsi="Times New Roman" w:cs="Times New Roman"/>
          <w:sz w:val="24"/>
          <w:szCs w:val="24"/>
        </w:rPr>
        <w:t xml:space="preserve">). </w:t>
      </w:r>
    </w:p>
    <w:p w14:paraId="762026F0"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A82B5E1"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This was then viewed by the sponsor as yet another asset which the bank had managed to ‘colonise’: the presentation by the marketing department included images of the previous graphic design which were compared to the new, branded one. It was then stated: </w:t>
      </w:r>
    </w:p>
    <w:p w14:paraId="138859C6"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0E8BD05"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the tables and graphs that are presented to the families in the programme were designed in the spirit of the graphic language of the bank </w:t>
      </w:r>
      <w:r w:rsidRPr="009B5102">
        <w:rPr>
          <w:rFonts w:ascii="Times New Roman" w:eastAsia="Calibri" w:hAnsi="Times New Roman" w:cs="Times New Roman"/>
          <w:noProof/>
          <w:sz w:val="24"/>
          <w:szCs w:val="24"/>
        </w:rPr>
        <w:t>(Bank Hapo'alim, 2009)</w:t>
      </w:r>
      <w:r w:rsidRPr="009B5102">
        <w:rPr>
          <w:rFonts w:ascii="Times New Roman" w:eastAsia="Calibri" w:hAnsi="Times New Roman" w:cs="Times New Roman"/>
          <w:sz w:val="24"/>
          <w:szCs w:val="24"/>
        </w:rPr>
        <w:t>.</w:t>
      </w:r>
    </w:p>
    <w:p w14:paraId="2BA85C95" w14:textId="77777777" w:rsidR="00497B7D" w:rsidRDefault="00497B7D" w:rsidP="00346CA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4F48C07"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lastRenderedPageBreak/>
        <w:drawing>
          <wp:anchor distT="0" distB="0" distL="114300" distR="114300" simplePos="0" relativeHeight="251661312" behindDoc="0" locked="0" layoutInCell="1" allowOverlap="1" wp14:anchorId="1C310987" wp14:editId="20472FC6">
            <wp:simplePos x="0" y="0"/>
            <wp:positionH relativeFrom="column">
              <wp:posOffset>2985770</wp:posOffset>
            </wp:positionH>
            <wp:positionV relativeFrom="paragraph">
              <wp:posOffset>184150</wp:posOffset>
            </wp:positionV>
            <wp:extent cx="3323590" cy="2004060"/>
            <wp:effectExtent l="0" t="0" r="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323590" cy="2004060"/>
                    </a:xfrm>
                    <a:prstGeom prst="rect">
                      <a:avLst/>
                    </a:prstGeom>
                    <a:noFill/>
                    <a:effectLst/>
                  </pic:spPr>
                </pic:pic>
              </a:graphicData>
            </a:graphic>
          </wp:anchor>
        </w:drawing>
      </w:r>
      <w:r w:rsidRPr="009B5102">
        <w:rPr>
          <w:rFonts w:ascii="Times New Roman" w:eastAsia="Calibri" w:hAnsi="Times New Roman" w:cs="Times New Roman"/>
          <w:noProof/>
          <w:sz w:val="24"/>
          <w:szCs w:val="24"/>
          <w:lang w:eastAsia="en-GB"/>
        </w:rPr>
        <w:drawing>
          <wp:anchor distT="0" distB="0" distL="114300" distR="114300" simplePos="0" relativeHeight="251659264" behindDoc="0" locked="0" layoutInCell="1" allowOverlap="1" wp14:anchorId="66008D74" wp14:editId="3E3F82C4">
            <wp:simplePos x="0" y="0"/>
            <wp:positionH relativeFrom="margin">
              <wp:align>left</wp:align>
            </wp:positionH>
            <wp:positionV relativeFrom="paragraph">
              <wp:posOffset>172720</wp:posOffset>
            </wp:positionV>
            <wp:extent cx="2470785" cy="1947545"/>
            <wp:effectExtent l="0" t="0" r="5715"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470785" cy="1947545"/>
                    </a:xfrm>
                    <a:prstGeom prst="rect">
                      <a:avLst/>
                    </a:prstGeom>
                    <a:noFill/>
                    <a:effectLst/>
                  </pic:spPr>
                </pic:pic>
              </a:graphicData>
            </a:graphic>
          </wp:anchor>
        </w:drawing>
      </w:r>
    </w:p>
    <w:p w14:paraId="64ACE8D1"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586C98EE"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5933B7BA"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01C4F89"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49240300"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ab/>
      </w:r>
    </w:p>
    <w:p w14:paraId="0593F4BD"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1820B30E" w14:textId="77777777" w:rsidR="00497B7D" w:rsidRDefault="00497B7D" w:rsidP="00346CA5">
      <w:pPr>
        <w:spacing w:line="360" w:lineRule="auto"/>
        <w:contextualSpacing/>
        <w:rPr>
          <w:rFonts w:ascii="Times New Roman" w:eastAsia="Calibri" w:hAnsi="Times New Roman" w:cs="Times New Roman"/>
          <w:noProof/>
          <w:sz w:val="24"/>
          <w:szCs w:val="24"/>
        </w:rPr>
      </w:pPr>
      <w:r w:rsidRPr="009B5102">
        <w:rPr>
          <w:rFonts w:ascii="Times New Roman" w:eastAsia="Calibri" w:hAnsi="Times New Roman" w:cs="Times New Roman"/>
          <w:sz w:val="24"/>
          <w:szCs w:val="24"/>
        </w:rPr>
        <w:t xml:space="preserve"> </w:t>
      </w:r>
    </w:p>
    <w:p w14:paraId="3981E2FF" w14:textId="77777777" w:rsidR="00497B7D" w:rsidRDefault="00497B7D" w:rsidP="00346CA5">
      <w:pPr>
        <w:spacing w:line="360" w:lineRule="auto"/>
        <w:contextualSpacing/>
        <w:rPr>
          <w:rFonts w:ascii="Times New Roman" w:eastAsia="Calibri" w:hAnsi="Times New Roman" w:cs="Times New Roman"/>
          <w:noProof/>
          <w:sz w:val="24"/>
          <w:szCs w:val="24"/>
        </w:rPr>
      </w:pPr>
    </w:p>
    <w:p w14:paraId="46EE3258"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anchor distT="0" distB="0" distL="114300" distR="114300" simplePos="0" relativeHeight="251660288" behindDoc="0" locked="0" layoutInCell="1" allowOverlap="1" wp14:anchorId="25887B10" wp14:editId="7FE5D0D4">
            <wp:simplePos x="0" y="0"/>
            <wp:positionH relativeFrom="margin">
              <wp:align>left</wp:align>
            </wp:positionH>
            <wp:positionV relativeFrom="paragraph">
              <wp:posOffset>196215</wp:posOffset>
            </wp:positionV>
            <wp:extent cx="2472579" cy="1447137"/>
            <wp:effectExtent l="0" t="0" r="4445" b="127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472579" cy="1447137"/>
                    </a:xfrm>
                    <a:prstGeom prst="rect">
                      <a:avLst/>
                    </a:prstGeom>
                    <a:noFill/>
                    <a:effectLst/>
                  </pic:spPr>
                </pic:pic>
              </a:graphicData>
            </a:graphic>
          </wp:anchor>
        </w:drawing>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r>
      <w:r>
        <w:rPr>
          <w:rFonts w:ascii="Times New Roman" w:eastAsia="Calibri" w:hAnsi="Times New Roman" w:cs="Times New Roman"/>
          <w:noProof/>
          <w:sz w:val="24"/>
          <w:szCs w:val="24"/>
          <w:lang w:eastAsia="en-GB"/>
        </w:rPr>
        <w:drawing>
          <wp:inline distT="0" distB="0" distL="0" distR="0" wp14:anchorId="2E8941D0" wp14:editId="62AE9882">
            <wp:extent cx="2536190" cy="1932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6190" cy="1932305"/>
                    </a:xfrm>
                    <a:prstGeom prst="rect">
                      <a:avLst/>
                    </a:prstGeom>
                    <a:noFill/>
                  </pic:spPr>
                </pic:pic>
              </a:graphicData>
            </a:graphic>
          </wp:inline>
        </w:drawing>
      </w:r>
    </w:p>
    <w:p w14:paraId="3B0E2E6A" w14:textId="5F549D9B" w:rsidR="00497B7D" w:rsidRDefault="00497B7D" w:rsidP="00C20A1F">
      <w:pPr>
        <w:pStyle w:val="Heading6"/>
      </w:pPr>
      <w:bookmarkStart w:id="50" w:name="_Toc436608089"/>
      <w:bookmarkStart w:id="51" w:name="_Toc445120239"/>
      <w:r w:rsidRPr="00741105">
        <w:t xml:space="preserve">Figure </w:t>
      </w:r>
      <w:r w:rsidR="00C20A1F" w:rsidRPr="00741105">
        <w:t>1</w:t>
      </w:r>
      <w:r w:rsidR="00C20A1F">
        <w:t>4</w:t>
      </w:r>
      <w:r w:rsidRPr="00741105">
        <w:t>: The graphic design of financial reports presented to the families during the second series (</w:t>
      </w:r>
      <w:r>
        <w:t>left</w:t>
      </w:r>
      <w:r w:rsidRPr="00741105">
        <w:t>).</w:t>
      </w:r>
      <w:bookmarkEnd w:id="50"/>
      <w:bookmarkEnd w:id="51"/>
      <w:r w:rsidRPr="00741105">
        <w:t xml:space="preserve"> </w:t>
      </w:r>
    </w:p>
    <w:p w14:paraId="2A17672F" w14:textId="7291B625" w:rsidR="00497B7D" w:rsidRPr="00741105" w:rsidRDefault="00497B7D" w:rsidP="00C20A1F">
      <w:pPr>
        <w:pStyle w:val="Heading6"/>
      </w:pPr>
      <w:bookmarkStart w:id="52" w:name="_Toc436608090"/>
      <w:bookmarkStart w:id="53" w:name="_Toc445120240"/>
      <w:r w:rsidRPr="00741105">
        <w:t xml:space="preserve">Figure </w:t>
      </w:r>
      <w:r w:rsidR="00C20A1F" w:rsidRPr="00741105">
        <w:t>1</w:t>
      </w:r>
      <w:r w:rsidR="00C20A1F">
        <w:t>5</w:t>
      </w:r>
      <w:r w:rsidRPr="00741105">
        <w:t>: The ‘branded’ graphic design of financial reports presented to the families during third series, based on Bank Hapo’alim’s graphic ‘language’ (</w:t>
      </w:r>
      <w:r>
        <w:t>right</w:t>
      </w:r>
      <w:r w:rsidRPr="00741105">
        <w:t>).</w:t>
      </w:r>
      <w:bookmarkEnd w:id="52"/>
      <w:bookmarkEnd w:id="53"/>
      <w:r w:rsidRPr="00741105">
        <w:t xml:space="preserve"> </w:t>
      </w:r>
    </w:p>
    <w:p w14:paraId="5EDE4546"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1014680C"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Landsman, the bank’s marketing communications manager confirmed that this step had been thought through in advance: </w:t>
      </w:r>
    </w:p>
    <w:p w14:paraId="79E8511F"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607D1E60"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 dealt with different elements of this deal; at first we didn’t manage to solve the problem of how the computer screen presenting the family’s financial reports looked, it looked bad. But later it was already looking like Hapo’alim’s computer screen. It is not a Hapo’alim computer screen really, but it’s all red. So, you learn as you go how to do it properly </w:t>
      </w:r>
      <w:r w:rsidRPr="009B5102">
        <w:rPr>
          <w:rFonts w:ascii="Times New Roman" w:eastAsia="Calibri" w:hAnsi="Times New Roman" w:cs="Times New Roman"/>
          <w:noProof/>
          <w:sz w:val="24"/>
          <w:szCs w:val="24"/>
        </w:rPr>
        <w:t>(Landsman, 2012)</w:t>
      </w:r>
      <w:r w:rsidRPr="009B5102">
        <w:rPr>
          <w:rFonts w:ascii="Times New Roman" w:eastAsia="Calibri" w:hAnsi="Times New Roman" w:cs="Times New Roman"/>
          <w:sz w:val="24"/>
          <w:szCs w:val="24"/>
        </w:rPr>
        <w:t>.</w:t>
      </w:r>
    </w:p>
    <w:p w14:paraId="3B033C7D"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06346BAB" w14:textId="77777777" w:rsidR="00497B7D"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Yet another way to embody the brand in the programme was through the set design in segments with the bank’s representative. In this way, the ‘face’ of the bank and the programme’s visual style became conjoined, even if the sponsor’s name was absent. This happened during the third series, when the bank’s representative was a panel member, as was stated in the bank’s presentation: </w:t>
      </w:r>
    </w:p>
    <w:p w14:paraId="241333F3"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FBCA6EE"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the meeting room in which the professional advisory team meets will be branded with red elements (Bank Hapo'alim, 2009).</w:t>
      </w:r>
    </w:p>
    <w:p w14:paraId="535CAE09"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258D643D"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This continued during the fourth series, once the bank’s representative became the exclusive advisor on the show:</w:t>
      </w:r>
    </w:p>
    <w:p w14:paraId="3C4B5140"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078DCF7"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Nurit’s room was renovated and red elements were added to it, to strengthen the brand’s presence in the frame</w:t>
      </w:r>
      <w:r>
        <w:rPr>
          <w:rFonts w:ascii="Times New Roman" w:eastAsia="Calibri" w:hAnsi="Times New Roman" w:cs="Times New Roman"/>
          <w:sz w:val="24"/>
          <w:szCs w:val="24"/>
        </w:rPr>
        <w:t xml:space="preserve"> (Bank Hapo’alim, 2010)</w:t>
      </w:r>
      <w:r w:rsidRPr="009B5102">
        <w:rPr>
          <w:rFonts w:ascii="Times New Roman" w:eastAsia="Calibri" w:hAnsi="Times New Roman" w:cs="Times New Roman"/>
          <w:sz w:val="24"/>
          <w:szCs w:val="24"/>
        </w:rPr>
        <w:t xml:space="preserve">. </w:t>
      </w:r>
    </w:p>
    <w:p w14:paraId="27C1CBF8"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50BAB392"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red branding was also emphasised in cases where the family was the bank’s client and went in for a consultation meeting at their local branch. Landsman explained: </w:t>
      </w:r>
    </w:p>
    <w:p w14:paraId="2587D703"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675041F0"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We made the whole room look red, so you realise what it is within seconds. They would tell us, for example, that the family is from Nahariya, so we would prepare the branch in Nahariya accordingly before the team arrived. So we would prepare it, and they would just come and shoot it </w:t>
      </w:r>
      <w:r w:rsidRPr="009B5102">
        <w:rPr>
          <w:rFonts w:ascii="Times New Roman" w:eastAsia="Calibri" w:hAnsi="Times New Roman" w:cs="Times New Roman"/>
          <w:noProof/>
          <w:sz w:val="24"/>
          <w:szCs w:val="24"/>
        </w:rPr>
        <w:t>(Landsman, 2012)</w:t>
      </w:r>
      <w:r w:rsidRPr="009B5102">
        <w:rPr>
          <w:rFonts w:ascii="Times New Roman" w:eastAsia="Calibri" w:hAnsi="Times New Roman" w:cs="Times New Roman"/>
          <w:sz w:val="24"/>
          <w:szCs w:val="24"/>
        </w:rPr>
        <w:t xml:space="preserve">. </w:t>
      </w:r>
    </w:p>
    <w:p w14:paraId="0CFE88B4"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1BCF262D"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Aboulafia</w:t>
      </w:r>
      <w:r w:rsidRPr="00B93D25">
        <w:rPr>
          <w:rStyle w:val="FootnoteReference"/>
        </w:rPr>
        <w:footnoteReference w:id="46"/>
      </w:r>
      <w:r w:rsidRPr="009B5102">
        <w:rPr>
          <w:rFonts w:ascii="Times New Roman" w:eastAsia="Calibri" w:hAnsi="Times New Roman" w:cs="Times New Roman"/>
          <w:sz w:val="24"/>
          <w:szCs w:val="24"/>
        </w:rPr>
        <w:t xml:space="preserve"> has a similar, though less harmonious recollection of Bank Discount’s sponsorship: </w:t>
      </w:r>
    </w:p>
    <w:p w14:paraId="74F85C71"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6FF61EB"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You’re not allowed to mention the name Discount because of regulation rules, right? So the viewer needs to feel that it’s Discount without this being said explicitly… So on every shooting day, a lot of energy and attention is devoted to this. </w:t>
      </w:r>
      <w:r w:rsidRPr="009B5102">
        <w:rPr>
          <w:rFonts w:ascii="Times New Roman" w:eastAsia="Calibri" w:hAnsi="Times New Roman" w:cs="Times New Roman"/>
          <w:i/>
          <w:iCs/>
          <w:sz w:val="24"/>
          <w:szCs w:val="24"/>
        </w:rPr>
        <w:t xml:space="preserve">Basically, it’s like shooting a </w:t>
      </w:r>
      <w:r w:rsidRPr="009B5102">
        <w:rPr>
          <w:rFonts w:ascii="Times New Roman" w:eastAsia="Calibri" w:hAnsi="Times New Roman" w:cs="Times New Roman"/>
          <w:i/>
          <w:iCs/>
          <w:sz w:val="24"/>
          <w:szCs w:val="24"/>
        </w:rPr>
        <w:lastRenderedPageBreak/>
        <w:t>commercial</w:t>
      </w:r>
      <w:r w:rsidRPr="009B5102">
        <w:rPr>
          <w:rFonts w:ascii="Times New Roman" w:eastAsia="Calibri" w:hAnsi="Times New Roman" w:cs="Times New Roman"/>
          <w:sz w:val="24"/>
          <w:szCs w:val="24"/>
        </w:rPr>
        <w:t xml:space="preserve">: the people from the bank’s advertising agency come in, their art people look at the monitor, because they want to give the frame a ‘Discount look’, with the right shade of green and all the values which they perceive as the bank’s values. And you need to do this but leave the logos out. So sometimes they would deal with ridiculous details. We would work for hours to cover up the logos in the branch, but then they’d put a green sticker on the end of the pen the banker was holding and add a green cup of coffee next to him. They were highly concerned with getting the right shade of green on the monitor. And later we had to send the rough-cut of this scene for their approval </w:t>
      </w:r>
      <w:r w:rsidRPr="009B5102">
        <w:rPr>
          <w:rFonts w:ascii="Times New Roman" w:eastAsia="Calibri" w:hAnsi="Times New Roman" w:cs="Times New Roman"/>
          <w:noProof/>
          <w:sz w:val="24"/>
          <w:szCs w:val="24"/>
        </w:rPr>
        <w:t>(Aboulafia, 2011)</w:t>
      </w:r>
      <w:r w:rsidRPr="009B5102">
        <w:rPr>
          <w:rFonts w:ascii="Times New Roman" w:eastAsia="Calibri" w:hAnsi="Times New Roman" w:cs="Times New Roman"/>
          <w:sz w:val="24"/>
          <w:szCs w:val="24"/>
        </w:rPr>
        <w:t xml:space="preserve">. </w:t>
      </w:r>
    </w:p>
    <w:p w14:paraId="3E5C72C7"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7BAC0040"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It is clear from the case of </w:t>
      </w:r>
      <w:r w:rsidRPr="009B5102">
        <w:rPr>
          <w:rFonts w:ascii="Times New Roman" w:eastAsia="Calibri" w:hAnsi="Times New Roman" w:cs="Times New Roman"/>
          <w:i/>
          <w:iCs/>
          <w:sz w:val="24"/>
          <w:szCs w:val="24"/>
        </w:rPr>
        <w:t xml:space="preserve">Overdraft Family </w:t>
      </w:r>
      <w:r w:rsidRPr="009B5102">
        <w:rPr>
          <w:rFonts w:ascii="Times New Roman" w:eastAsia="Calibri" w:hAnsi="Times New Roman" w:cs="Times New Roman"/>
          <w:sz w:val="24"/>
          <w:szCs w:val="24"/>
        </w:rPr>
        <w:t xml:space="preserve">that regulatory restrictions forbidding direct commercial exposure of brands and products played a significant role in the efforts to embody the brand in the programme in an abstract way. The case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however, demonstrates that even in cases where there is no formal obligation to intentionally include the sponsor in the programme, there is a tendency of brands to ‘expand’ through the programme’s design and graphic language. As Moor  notes, designers in branding consultancies work to translate ideas and ‘values’ into visual and material form, however this process is likely to be “contingent and unstable” (Moor, 2007, p. 54</w:t>
      </w:r>
      <w:r w:rsidRPr="009B5102">
        <w:rPr>
          <w:rFonts w:ascii="Times New Roman" w:eastAsia="Calibri" w:hAnsi="Times New Roman" w:cs="Times New Roman"/>
          <w:sz w:val="24"/>
          <w:szCs w:val="24"/>
          <w:rtl/>
        </w:rPr>
        <w:t>(</w:t>
      </w:r>
      <w:r w:rsidRPr="009B5102">
        <w:rPr>
          <w:rFonts w:ascii="Times New Roman" w:eastAsia="Calibri" w:hAnsi="Times New Roman" w:cs="Times New Roman"/>
          <w:sz w:val="24"/>
          <w:szCs w:val="24"/>
        </w:rPr>
        <w:t xml:space="preserve">; while the initial design is tightly controlled and well thought out, it is then echoed and referenced by others in ways that are beyond its creators’ control.  </w:t>
      </w:r>
    </w:p>
    <w:p w14:paraId="10928DCA"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61563FA5"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Dove’s messages in the </w:t>
      </w:r>
      <w:r w:rsidRPr="009B5102">
        <w:rPr>
          <w:rFonts w:ascii="Times New Roman" w:eastAsia="Calibri" w:hAnsi="Times New Roman" w:cs="Times New Roman"/>
          <w:i/>
          <w:iCs/>
          <w:sz w:val="24"/>
          <w:szCs w:val="24"/>
        </w:rPr>
        <w:t>Real Beauty</w:t>
      </w:r>
      <w:r w:rsidRPr="009B5102">
        <w:rPr>
          <w:rFonts w:ascii="Times New Roman" w:eastAsia="Calibri" w:hAnsi="Times New Roman" w:cs="Times New Roman"/>
          <w:sz w:val="24"/>
          <w:szCs w:val="24"/>
        </w:rPr>
        <w:t xml:space="preserve"> campaign were ‘grasped’ by the creators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and once this happened, the brand’s visual embodiment ‘made itself’ present within the space of the programme. Clearly, this issue of whether the brand’s presence is intentional and thoroughly controlled or voluntary and ‘inspirational is of great importance, as will be further discussed in Chapter 7. But at the same time both programmes provide evidence as to the nature of contemporary branding processes, which connect abstract ideas to visual design and tend to claim omnipresence in previously non-commercialised spaces.    </w:t>
      </w:r>
    </w:p>
    <w:p w14:paraId="44D47ECC"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7113A7E" w14:textId="5788189B"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I have so far provided evidence of two ways in which brands were embedded in each of the two case studies</w:t>
      </w:r>
      <w:r w:rsidRPr="009B5102">
        <w:rPr>
          <w:rFonts w:ascii="Times New Roman" w:eastAsia="Calibri" w:hAnsi="Times New Roman" w:cs="Times New Roman"/>
          <w:i/>
          <w:iCs/>
          <w:sz w:val="24"/>
          <w:szCs w:val="24"/>
        </w:rPr>
        <w:t xml:space="preserve">. </w:t>
      </w:r>
      <w:r w:rsidRPr="009B5102">
        <w:rPr>
          <w:rFonts w:ascii="Times New Roman" w:eastAsia="Calibri" w:hAnsi="Times New Roman" w:cs="Times New Roman"/>
          <w:sz w:val="24"/>
          <w:szCs w:val="24"/>
        </w:rPr>
        <w:t>The first is through the integration of the brand’s ‘values’ and messages (</w:t>
      </w:r>
      <w:r w:rsidR="00181C52" w:rsidRPr="009B5102">
        <w:rPr>
          <w:rFonts w:ascii="Times New Roman" w:eastAsia="Calibri" w:hAnsi="Times New Roman" w:cs="Times New Roman"/>
          <w:sz w:val="24"/>
          <w:szCs w:val="24"/>
        </w:rPr>
        <w:t>i.e.</w:t>
      </w:r>
      <w:r w:rsidRPr="009B5102">
        <w:rPr>
          <w:rFonts w:ascii="Times New Roman" w:eastAsia="Calibri" w:hAnsi="Times New Roman" w:cs="Times New Roman"/>
          <w:sz w:val="24"/>
          <w:szCs w:val="24"/>
        </w:rPr>
        <w:t xml:space="preserve"> the </w:t>
      </w:r>
      <w:r w:rsidRPr="009B5102">
        <w:rPr>
          <w:rFonts w:ascii="Times New Roman" w:eastAsia="Calibri" w:hAnsi="Times New Roman" w:cs="Times New Roman"/>
          <w:sz w:val="24"/>
          <w:szCs w:val="24"/>
        </w:rPr>
        <w:lastRenderedPageBreak/>
        <w:t xml:space="preserve">empowerment of women or smart consumption); the second is through the expansion of the brand’s design and visual language into the space of the programme (e.g. design and colours). These two ‘layers’ of integration do not fall under any current regulatory definitions and are thus formally legitimate (as I further discuss in Chapter 7). In practice, however, they open the way for sponsors’ influence on the programme and its core elements, both conceptually and visually. Thus, the evidence shows that in current commercialisation practices, brands can gain presence in programming without any straightforward ‘product placement’, a practice which I turn to discuss now. </w:t>
      </w:r>
    </w:p>
    <w:p w14:paraId="5AFDBA34"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52DD5334" w14:textId="77777777" w:rsidR="00497B7D" w:rsidRPr="009B5102" w:rsidRDefault="00497B7D" w:rsidP="00346CA5">
      <w:pPr>
        <w:pStyle w:val="Heading2"/>
      </w:pPr>
      <w:bookmarkStart w:id="54" w:name="_Toc445202683"/>
      <w:r w:rsidRPr="009B5102">
        <w:t>Product Placement</w:t>
      </w:r>
      <w:bookmarkEnd w:id="54"/>
    </w:p>
    <w:p w14:paraId="0FCDC477"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this section I will examine the attempts by sponsors in both case studies to integrate the brand in a straightforward way, that is, by exposing the brand’s name, logo or products  in the programme, a practice commonly known as ‘product placement’. </w:t>
      </w:r>
    </w:p>
    <w:p w14:paraId="63F6C326"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CA9724F"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This requires some clarification of the relationship between the concept of sponsorship and that of product placement. Sponsorship is a funding model in which a body that is not the broadcaster or producer contributes fully or partially to cover the costs of the production for the purpose of promoting its name in proximity with the programme</w:t>
      </w:r>
      <w:r w:rsidRPr="00B93D25">
        <w:rPr>
          <w:rStyle w:val="FootnoteReference"/>
        </w:rPr>
        <w:footnoteReference w:id="47"/>
      </w:r>
      <w:r w:rsidRPr="009B5102">
        <w:rPr>
          <w:rFonts w:ascii="Times New Roman" w:eastAsia="Calibri" w:hAnsi="Times New Roman" w:cs="Times New Roman"/>
          <w:sz w:val="24"/>
          <w:szCs w:val="24"/>
        </w:rPr>
        <w:t xml:space="preserve"> </w:t>
      </w:r>
      <w:r w:rsidRPr="00B93D25">
        <w:rPr>
          <w:rStyle w:val="FootnoteReference"/>
        </w:rPr>
        <w:footnoteReference w:id="48"/>
      </w:r>
      <w:r w:rsidRPr="009B5102">
        <w:rPr>
          <w:rFonts w:ascii="Times New Roman" w:eastAsia="Calibri" w:hAnsi="Times New Roman" w:cs="Times New Roman"/>
          <w:sz w:val="24"/>
          <w:szCs w:val="24"/>
        </w:rPr>
        <w:t xml:space="preserve">. The extent to which sponsorship allows the involvement of the sponsor in the content varies, dependently on regulatory climate, historical period and culture (as discussed in Chapter 2, and later in Chapter 7). Thus, sponsorship is not a single thing and it is appropriate, whenever the term is mentioned, to ask ‘where’ and ‘when’. Sponsorship in American television in the early 1950s, for example, meant that sponsors had practically full control over the programme </w:t>
      </w:r>
      <w:r w:rsidRPr="009B5102">
        <w:rPr>
          <w:rFonts w:ascii="Times New Roman" w:eastAsia="Calibri" w:hAnsi="Times New Roman" w:cs="Times New Roman"/>
          <w:noProof/>
          <w:sz w:val="24"/>
          <w:szCs w:val="24"/>
        </w:rPr>
        <w:t>(Barnouw, 1978)</w:t>
      </w:r>
      <w:r w:rsidRPr="009B5102">
        <w:rPr>
          <w:rFonts w:ascii="Times New Roman" w:eastAsia="Calibri" w:hAnsi="Times New Roman" w:cs="Times New Roman"/>
          <w:sz w:val="24"/>
          <w:szCs w:val="24"/>
        </w:rPr>
        <w:t xml:space="preserve">, while in the UK in the 1950s and onwards sponsor influence was formally strictly prohibited </w:t>
      </w:r>
      <w:r w:rsidRPr="009B5102">
        <w:rPr>
          <w:rFonts w:ascii="Times New Roman" w:eastAsia="Calibri" w:hAnsi="Times New Roman" w:cs="Times New Roman"/>
          <w:noProof/>
          <w:sz w:val="24"/>
          <w:szCs w:val="24"/>
        </w:rPr>
        <w:t>(Murdock, 1992)</w:t>
      </w:r>
      <w:r w:rsidRPr="009B5102">
        <w:rPr>
          <w:rFonts w:ascii="Times New Roman" w:eastAsia="Calibri" w:hAnsi="Times New Roman" w:cs="Times New Roman"/>
          <w:sz w:val="24"/>
          <w:szCs w:val="24"/>
        </w:rPr>
        <w:t xml:space="preserve">, as discussed in Chapter 2. </w:t>
      </w:r>
    </w:p>
    <w:p w14:paraId="5B92EA95"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E3E4493"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Product placement, on the other hand, is a specific practice involving the direct commercial exposure of a branded product. It is defined and identified by the presence of products, services or logos in the final outcome – television, film, etc.</w:t>
      </w:r>
      <w:r w:rsidRPr="00B93D25">
        <w:rPr>
          <w:rStyle w:val="FootnoteReference"/>
        </w:rPr>
        <w:footnoteReference w:id="49"/>
      </w:r>
      <w:r w:rsidRPr="009B5102">
        <w:rPr>
          <w:rFonts w:ascii="Times New Roman" w:eastAsia="Calibri" w:hAnsi="Times New Roman" w:cs="Times New Roman"/>
          <w:sz w:val="24"/>
          <w:szCs w:val="24"/>
        </w:rPr>
        <w:t xml:space="preserve">. </w:t>
      </w:r>
    </w:p>
    <w:p w14:paraId="25D98B34"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5BE0E87"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Thus, product placement can be part of a sponsorship deal (in situations where regulation allows it or regulation is simply ignored). At the same time, not every sponsorship deal will necessarily include product placement. I further discuss the unclear and somewhat confusing landscape of definitions and regulation of sponsorship and product placement in Chapter 7.  </w:t>
      </w:r>
    </w:p>
    <w:p w14:paraId="07401335"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02D9AA4"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relation to the case studies, product placement was formally prohibited by both UK and Israeli regulation at the time the programmes were made. As I have already shown so far in this chapter, in practice the sponsors gained influence in other ways, through abstract representations, conceptual as well as visual. Against this state of affairs, as I will show now, for branded content agents, product placement has become less significant, compared to their attempts to embody the brand in the programme through ‘values’-based messages and design. </w:t>
      </w:r>
    </w:p>
    <w:p w14:paraId="30925CDF"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A01A1F0"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As I will show in the next sections, in the British case study regulatory rules played a significant role in putting a brake on the sponsor’s product placement, while in the Israeli case this was less evident at the time the production took place. Regulation responded only retroactively. In both cases, product placement was a marginal part of the sponsor’s motivation to invest in the programme.  </w:t>
      </w:r>
    </w:p>
    <w:p w14:paraId="2BAE669B" w14:textId="77777777" w:rsidR="00497B7D" w:rsidRPr="009B5102" w:rsidRDefault="00497B7D" w:rsidP="00346CA5">
      <w:pPr>
        <w:spacing w:line="360" w:lineRule="auto"/>
        <w:contextualSpacing/>
        <w:outlineLvl w:val="2"/>
        <w:rPr>
          <w:rFonts w:ascii="Times New Roman" w:eastAsia="Calibri" w:hAnsi="Times New Roman" w:cs="Times New Roman"/>
          <w:b/>
          <w:bCs/>
          <w:i/>
          <w:iCs/>
          <w:sz w:val="24"/>
          <w:szCs w:val="24"/>
        </w:rPr>
      </w:pPr>
    </w:p>
    <w:p w14:paraId="5CA309DF" w14:textId="77777777" w:rsidR="00497B7D" w:rsidRPr="009B5102" w:rsidRDefault="00497B7D" w:rsidP="00346CA5">
      <w:pPr>
        <w:pStyle w:val="Heading3"/>
      </w:pPr>
      <w:bookmarkStart w:id="55" w:name="_Toc445202684"/>
      <w:r w:rsidRPr="009B5102">
        <w:rPr>
          <w:i/>
          <w:iCs/>
        </w:rPr>
        <w:t>How to Look Good Naked</w:t>
      </w:r>
      <w:r w:rsidRPr="009B5102">
        <w:t xml:space="preserve"> and Dove</w:t>
      </w:r>
      <w:bookmarkEnd w:id="55"/>
    </w:p>
    <w:p w14:paraId="75BE8760" w14:textId="122B0EDA" w:rsidR="00497B7D" w:rsidRPr="009B5102" w:rsidRDefault="00497B7D" w:rsidP="00E32F41">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Discussions about product placement for Dove in </w:t>
      </w:r>
      <w:r w:rsidRPr="009B5102">
        <w:rPr>
          <w:rFonts w:ascii="Times New Roman" w:eastAsia="Calibri" w:hAnsi="Times New Roman" w:cs="Times New Roman"/>
          <w:i/>
          <w:sz w:val="24"/>
          <w:szCs w:val="24"/>
        </w:rPr>
        <w:t>HTLGN</w:t>
      </w:r>
      <w:r w:rsidRPr="009B5102">
        <w:rPr>
          <w:rFonts w:ascii="Times New Roman" w:eastAsia="Calibri" w:hAnsi="Times New Roman" w:cs="Times New Roman"/>
          <w:sz w:val="24"/>
          <w:szCs w:val="24"/>
        </w:rPr>
        <w:t xml:space="preserve"> came up once it was decided to include ‘product testing’ in the format (from the second series onwards). This segment, called the ‘consumer strand’ (see Figure </w:t>
      </w:r>
      <w:r w:rsidR="00E32F41" w:rsidRPr="009B5102">
        <w:rPr>
          <w:rFonts w:ascii="Times New Roman" w:eastAsia="Calibri" w:hAnsi="Times New Roman" w:cs="Times New Roman"/>
          <w:sz w:val="24"/>
          <w:szCs w:val="24"/>
        </w:rPr>
        <w:t>1</w:t>
      </w:r>
      <w:r w:rsidR="00E32F41">
        <w:rPr>
          <w:rFonts w:ascii="Times New Roman" w:eastAsia="Calibri" w:hAnsi="Times New Roman" w:cs="Times New Roman"/>
          <w:sz w:val="24"/>
          <w:szCs w:val="24"/>
        </w:rPr>
        <w:t>6</w:t>
      </w:r>
      <w:r w:rsidRPr="009B5102">
        <w:rPr>
          <w:rFonts w:ascii="Times New Roman" w:eastAsia="Calibri" w:hAnsi="Times New Roman" w:cs="Times New Roman"/>
          <w:sz w:val="24"/>
          <w:szCs w:val="24"/>
        </w:rPr>
        <w:t xml:space="preserve">), presented an independent ranking of four self-care products in </w:t>
      </w:r>
      <w:r w:rsidRPr="009B5102">
        <w:rPr>
          <w:rFonts w:ascii="Times New Roman" w:eastAsia="Calibri" w:hAnsi="Times New Roman" w:cs="Times New Roman"/>
          <w:sz w:val="24"/>
          <w:szCs w:val="24"/>
        </w:rPr>
        <w:lastRenderedPageBreak/>
        <w:t>a certain category that were blind-tested by 100 women each week (for example, 100 women tested four different anti-aging eye creams and rated them). The survey was done by an independent research company for the programme. The commercial benefit for the weekly winning product was, of course, invaluable.</w:t>
      </w:r>
    </w:p>
    <w:p w14:paraId="295C6623"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58C714B8"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5F1DAC29" wp14:editId="1062812E">
            <wp:extent cx="1981200" cy="1264285"/>
            <wp:effectExtent l="0" t="0" r="0" b="0"/>
            <wp:docPr id="37"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s.jpg"/>
                    <pic:cNvPicPr>
                      <a:picLocks noChangeAspect="1" noChangeArrowheads="1"/>
                    </pic:cNvPicPr>
                  </pic:nvPicPr>
                  <pic:blipFill>
                    <a:blip r:embed="rId29" cstate="print"/>
                    <a:srcRect/>
                    <a:stretch>
                      <a:fillRect/>
                    </a:stretch>
                  </pic:blipFill>
                  <pic:spPr bwMode="auto">
                    <a:xfrm>
                      <a:off x="0" y="0"/>
                      <a:ext cx="1981200" cy="1264285"/>
                    </a:xfrm>
                    <a:prstGeom prst="rect">
                      <a:avLst/>
                    </a:prstGeom>
                    <a:noFill/>
                    <a:ln w="9525">
                      <a:noFill/>
                      <a:miter lim="800000"/>
                      <a:headEnd/>
                      <a:tailEnd/>
                    </a:ln>
                  </pic:spPr>
                </pic:pic>
              </a:graphicData>
            </a:graphic>
          </wp:inline>
        </w:drawing>
      </w:r>
    </w:p>
    <w:p w14:paraId="6872C609" w14:textId="35CDDB40" w:rsidR="00497B7D" w:rsidRPr="000E4BDB" w:rsidRDefault="00497B7D" w:rsidP="00E32F41">
      <w:pPr>
        <w:pStyle w:val="Heading6"/>
      </w:pPr>
      <w:bookmarkStart w:id="56" w:name="_Toc436608091"/>
      <w:bookmarkStart w:id="57" w:name="_Toc445120241"/>
      <w:r w:rsidRPr="000E4BDB">
        <w:t xml:space="preserve">Figure </w:t>
      </w:r>
      <w:r w:rsidR="00E32F41" w:rsidRPr="000E4BDB">
        <w:t>1</w:t>
      </w:r>
      <w:r w:rsidR="00E32F41">
        <w:t>6</w:t>
      </w:r>
      <w:r w:rsidRPr="000E4BDB">
        <w:t xml:space="preserve">: The ‘consumer strand’, a product testing segment on </w:t>
      </w:r>
      <w:r w:rsidRPr="000E4BDB">
        <w:rPr>
          <w:i/>
          <w:iCs/>
        </w:rPr>
        <w:t>HTLGN</w:t>
      </w:r>
      <w:r w:rsidRPr="000E4BDB">
        <w:t xml:space="preserve"> from the second series onwards.</w:t>
      </w:r>
      <w:bookmarkEnd w:id="56"/>
      <w:bookmarkEnd w:id="57"/>
    </w:p>
    <w:p w14:paraId="16243664"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The commissioning editor Ransford explained the rationale behind this segment:</w:t>
      </w:r>
    </w:p>
    <w:p w14:paraId="06475C1E"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AA5B0CE"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We just thought…why am I spending hundreds of pounds on this product… are they actually better, or should I be spending one hundred pounds on this product? I'm just bombarded with all these kinds of messages, buy this, do that…and we just wanted to know what the truth was….so that's where all the product testing came from </w:t>
      </w:r>
      <w:r w:rsidRPr="009B5102">
        <w:rPr>
          <w:rFonts w:ascii="Times New Roman" w:eastAsia="Calibri" w:hAnsi="Times New Roman" w:cs="Times New Roman"/>
          <w:noProof/>
          <w:sz w:val="24"/>
          <w:szCs w:val="24"/>
        </w:rPr>
        <w:t>(Ransford, 2009)</w:t>
      </w:r>
      <w:r w:rsidRPr="009B5102">
        <w:rPr>
          <w:rFonts w:ascii="Times New Roman" w:eastAsia="Calibri" w:hAnsi="Times New Roman" w:cs="Times New Roman"/>
          <w:sz w:val="24"/>
          <w:szCs w:val="24"/>
        </w:rPr>
        <w:t xml:space="preserve">. </w:t>
      </w:r>
    </w:p>
    <w:p w14:paraId="417CBABC"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6914875A"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Ransford, therefore, wished to use the editorial voice of the programme to go beyond the images that are created by brands. While she was inspired in her work by Dove’s</w:t>
      </w:r>
      <w:r w:rsidRPr="009B5102">
        <w:rPr>
          <w:rFonts w:ascii="Times New Roman" w:eastAsia="Calibri" w:hAnsi="Times New Roman" w:cs="Times New Roman"/>
          <w:i/>
          <w:iCs/>
          <w:sz w:val="24"/>
          <w:szCs w:val="24"/>
        </w:rPr>
        <w:t xml:space="preserve"> </w:t>
      </w:r>
      <w:r w:rsidRPr="009B5102">
        <w:rPr>
          <w:rFonts w:ascii="Times New Roman" w:eastAsia="Calibri" w:hAnsi="Times New Roman" w:cs="Times New Roman"/>
          <w:sz w:val="24"/>
          <w:szCs w:val="24"/>
        </w:rPr>
        <w:t xml:space="preserve">campaign, as a consumer she wished to resist “all these kinds of messages” by going back to the functionality of the products and revealing the “truth” about them. </w:t>
      </w:r>
    </w:p>
    <w:p w14:paraId="5399655B"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ED22FD9"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From Dove’s perspective, this was an opportunity to further anchor the brand’s presence in the sponsored programme, by trying to find ways to ‘stretch’ the regulatory boundaries on sponsorship. This was evident in the words of Dan Fletcher, who negotiated the deal for the Dove:</w:t>
      </w:r>
    </w:p>
    <w:p w14:paraId="20825EDE"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47E259E"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Products are allowed to be featured in programmes where there is an editorial role for them, and there's been no influence. Now, we had weeks and weeks and weeks of deliberation with Channel 4's compliance team, their legal team, and also with Maverick - the production’s legal team and their corporate affairs people - to try and understand how far we could go that did not contravene the Ofcom regulations, the Ofcom guidelines. The problem with the guidelines, as I see it, is they are guidelines. They are not regulations</w:t>
      </w:r>
      <w:r w:rsidRPr="00B93D25">
        <w:rPr>
          <w:rStyle w:val="FootnoteReference"/>
        </w:rPr>
        <w:footnoteReference w:id="50"/>
      </w:r>
      <w:r w:rsidRPr="009B5102">
        <w:rPr>
          <w:rFonts w:ascii="Times New Roman" w:eastAsia="Calibri" w:hAnsi="Times New Roman" w:cs="Times New Roman"/>
          <w:sz w:val="24"/>
          <w:szCs w:val="24"/>
        </w:rPr>
        <w:t xml:space="preserve">. They are grey. They are not black and white </w:t>
      </w:r>
      <w:r w:rsidRPr="009B5102">
        <w:rPr>
          <w:rFonts w:ascii="Times New Roman" w:eastAsia="Calibri" w:hAnsi="Times New Roman" w:cs="Times New Roman"/>
          <w:noProof/>
          <w:sz w:val="24"/>
          <w:szCs w:val="24"/>
        </w:rPr>
        <w:t>(Fletcher, 2009)</w:t>
      </w:r>
      <w:r w:rsidRPr="009B5102">
        <w:rPr>
          <w:rFonts w:ascii="Times New Roman" w:eastAsia="Calibri" w:hAnsi="Times New Roman" w:cs="Times New Roman"/>
          <w:sz w:val="24"/>
          <w:szCs w:val="24"/>
        </w:rPr>
        <w:t>.</w:t>
      </w:r>
    </w:p>
    <w:p w14:paraId="3675F65D"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66793110"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These discussions eventually led to some tension in the relationship between the production team and the sponsor, once it became clear that Dove’s products would not be included in the series at all, as the director of commercial affairs at Maverick, Jo Rosenfelder, described:</w:t>
      </w:r>
    </w:p>
    <w:p w14:paraId="525C2680"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343DE7B9"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there were questions about whether we should [include them], and in the end they didn't come up. And I said – let's just leave it, don't ask questions, I'll ask the questions when the production team comes to me and says “we want to put Dove, can we?”, and they never did. But after that there was a big debate with Dove, whether we did it on purpose. We said, we genuinely didn't, but there was a big debate </w:t>
      </w:r>
      <w:r w:rsidRPr="009B5102">
        <w:rPr>
          <w:rFonts w:ascii="Times New Roman" w:eastAsia="Calibri" w:hAnsi="Times New Roman" w:cs="Times New Roman"/>
          <w:noProof/>
          <w:sz w:val="24"/>
          <w:szCs w:val="24"/>
        </w:rPr>
        <w:t>(Rosenfelder, 2009)</w:t>
      </w:r>
      <w:r w:rsidRPr="009B5102">
        <w:rPr>
          <w:rFonts w:ascii="Times New Roman" w:eastAsia="Calibri" w:hAnsi="Times New Roman" w:cs="Times New Roman"/>
          <w:sz w:val="24"/>
          <w:szCs w:val="24"/>
        </w:rPr>
        <w:t xml:space="preserve">. </w:t>
      </w:r>
    </w:p>
    <w:p w14:paraId="45EF7B46"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0F5908D2"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Vicky Kell, who negotiated the deal for Channel 4, has a similar recollection of tension about Dove's participation in the product testing segment: </w:t>
      </w:r>
    </w:p>
    <w:p w14:paraId="65B41257"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8307A55"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Sponsors can't have any influence over the programme at all. That's another Ofcom rule. So the sponsor has to sort of sit back and accept what's going to be in the programme… So with Dove that was quite </w:t>
      </w:r>
      <w:r w:rsidRPr="009B5102">
        <w:rPr>
          <w:rFonts w:ascii="Times New Roman" w:eastAsia="Calibri" w:hAnsi="Times New Roman" w:cs="Times New Roman"/>
          <w:sz w:val="24"/>
          <w:szCs w:val="24"/>
        </w:rPr>
        <w:lastRenderedPageBreak/>
        <w:t xml:space="preserve">interesting because there were quite a lot of other products in the programme. So they had to sort of accept that </w:t>
      </w:r>
      <w:r w:rsidRPr="009B5102">
        <w:rPr>
          <w:rFonts w:ascii="Times New Roman" w:eastAsia="Calibri" w:hAnsi="Times New Roman" w:cs="Times New Roman"/>
          <w:noProof/>
          <w:sz w:val="24"/>
          <w:szCs w:val="24"/>
        </w:rPr>
        <w:t>(Kell, 2009)</w:t>
      </w:r>
      <w:r w:rsidRPr="009B5102">
        <w:rPr>
          <w:rFonts w:ascii="Times New Roman" w:eastAsia="Calibri" w:hAnsi="Times New Roman" w:cs="Times New Roman"/>
          <w:sz w:val="24"/>
          <w:szCs w:val="24"/>
        </w:rPr>
        <w:t xml:space="preserve">. </w:t>
      </w:r>
    </w:p>
    <w:p w14:paraId="06D1E9D8"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3E04CA93"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Rosenfelder’s decision to follow the regulatory principle of exposing products only if there was editorial justification for it, as a rule of thumb for decisions about putting Dove’s products in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was eventually accepted by the sponsor, as Fletcher’s words reflected:   </w:t>
      </w:r>
    </w:p>
    <w:p w14:paraId="58DC51B4"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17373A3D"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…ultimately it's the broadcaster that has to take responsibility, because they are the ones to get fined. So, if Channel 4 interpreted that they could feature Pro-Age products within their product testing elements, and Ofcom interpreted that contravened their regulations, Channel 4 would get fined. But Channel 4 didn’t just shut down and go –no, no, no… which was really good.  What they said is, well, editorially there is a valid reason why Dove can be part of this programme. It's not like we're trying to force fit something in there. There was a real women testing feature within the programme every week in which they tested a number of different products, and the hundred women they found gave their point of view on those products… Dove could have featured if it had come up, and there wouldn't have been a massive issue. But, it just didn't happen to feature. So, some Nivea products did, some Garnier, all the different products sort of featured. So we didn't feature in the programme </w:t>
      </w:r>
      <w:r w:rsidRPr="009B5102">
        <w:rPr>
          <w:rFonts w:ascii="Times New Roman" w:eastAsia="Calibri" w:hAnsi="Times New Roman" w:cs="Times New Roman"/>
          <w:noProof/>
          <w:sz w:val="24"/>
          <w:szCs w:val="24"/>
        </w:rPr>
        <w:t>(Fletcher, 2009)</w:t>
      </w:r>
      <w:r w:rsidRPr="009B5102">
        <w:rPr>
          <w:rFonts w:ascii="Times New Roman" w:eastAsia="Calibri" w:hAnsi="Times New Roman" w:cs="Times New Roman"/>
          <w:sz w:val="24"/>
          <w:szCs w:val="24"/>
        </w:rPr>
        <w:t xml:space="preserve">.  </w:t>
      </w:r>
    </w:p>
    <w:p w14:paraId="3CC1F374"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77A572F1"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Thus, in the case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the programme was formatted in a way that was based on the Dove’s values, embodied the visual language of the brand’s campaign to some extent, and even included ‘real women’ testing self-care products as part of becoming more confident with their body, but at the same time - none of these woman were shown using Dove products during the sponsored series. Product placement, therefore, was not part of the deal, despite the sponsor’s demands during the production process. Regulatory rules played a significant role in the programme’s power to reject this pressure. What is more important is that product placement was in any case a relatively marginal consideration in the sponsor’s decision to invest in the </w:t>
      </w:r>
      <w:r w:rsidRPr="009B5102">
        <w:rPr>
          <w:rFonts w:ascii="Times New Roman" w:eastAsia="Calibri" w:hAnsi="Times New Roman" w:cs="Times New Roman"/>
          <w:sz w:val="24"/>
          <w:szCs w:val="24"/>
        </w:rPr>
        <w:lastRenderedPageBreak/>
        <w:t xml:space="preserve">programme to begin with, while the resemblance of the programme’s messages to those of the campaign and the concordance between the target audience of the programme to that of Dove Pro-Age was the ‘deal breaker’ or in fact, ‘deal maker’. </w:t>
      </w:r>
    </w:p>
    <w:p w14:paraId="21378489"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69E42E58"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Moreover, Mindshare’s analysis presented to Dove after the sponsorship of the second series suggested that the exposure of a certain product as part of the programme's editorial voice was less powerful than the exposure of viewers to a media environment that contained brand messages. According to that presentation, in the product review segment in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there was “no evidence which suggests significant recall of brands or products featured in the programme” and also “no concerns with interfering sponsorship association” </w:t>
      </w:r>
      <w:r w:rsidRPr="009B5102">
        <w:rPr>
          <w:rFonts w:ascii="Times New Roman" w:eastAsia="Calibri" w:hAnsi="Times New Roman" w:cs="Times New Roman"/>
          <w:noProof/>
          <w:sz w:val="24"/>
          <w:szCs w:val="24"/>
        </w:rPr>
        <w:t>(Mindshare, 2007b)</w:t>
      </w:r>
      <w:r w:rsidRPr="009B5102">
        <w:rPr>
          <w:rFonts w:ascii="Times New Roman" w:eastAsia="Calibri" w:hAnsi="Times New Roman" w:cs="Times New Roman"/>
          <w:sz w:val="24"/>
          <w:szCs w:val="24"/>
        </w:rPr>
        <w:t xml:space="preserve">. </w:t>
      </w:r>
    </w:p>
    <w:p w14:paraId="71D2D71C"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From the point of view of the sponsor, therefore, integrating itself into programming in abstract ways offered a stronger commercial benefit than simply placing some products on the screen as part of a consumer test.  </w:t>
      </w:r>
    </w:p>
    <w:p w14:paraId="409331A7" w14:textId="77777777" w:rsidR="00497B7D" w:rsidRPr="009B5102" w:rsidRDefault="00497B7D" w:rsidP="00346CA5">
      <w:pPr>
        <w:spacing w:line="360" w:lineRule="auto"/>
        <w:contextualSpacing/>
        <w:rPr>
          <w:rFonts w:ascii="Times New Roman" w:eastAsia="Calibri" w:hAnsi="Times New Roman" w:cs="Times New Roman"/>
          <w:i/>
          <w:iCs/>
          <w:sz w:val="24"/>
          <w:szCs w:val="24"/>
        </w:rPr>
      </w:pPr>
    </w:p>
    <w:p w14:paraId="69E49D78" w14:textId="77777777" w:rsidR="00497B7D" w:rsidRPr="009B5102" w:rsidRDefault="00497B7D" w:rsidP="00346CA5">
      <w:pPr>
        <w:pStyle w:val="Heading3"/>
        <w:rPr>
          <w:rtl/>
        </w:rPr>
      </w:pPr>
      <w:bookmarkStart w:id="58" w:name="_Toc445202685"/>
      <w:r w:rsidRPr="009B5102">
        <w:rPr>
          <w:i/>
          <w:iCs/>
        </w:rPr>
        <w:t xml:space="preserve">Overdraft Family, </w:t>
      </w:r>
      <w:r w:rsidRPr="009B5102">
        <w:t>Bank Hapo’alim and Shufersal-Deal</w:t>
      </w:r>
      <w:bookmarkEnd w:id="58"/>
    </w:p>
    <w:p w14:paraId="027A0194"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While in the case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regulatory rules served to protect the programme’s editorial independence, it seems that in the Israeli production efforts were oriented towards satisfying both sides – the sponsors’ demands for product placement, but also regulatory restrictions which forbade this practice. In practice, the broadcaster, through the production team, was active in finding ways to bypass, or rather – trample, the prohibition on product placement. </w:t>
      </w:r>
    </w:p>
    <w:p w14:paraId="1D9B3D58"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Both sponsors, Bank Hapo’alim and Shufersal-Deal, had some direct commercial exposure of their logo and products in the series. In the sponsorship agreement with Bank Hapo’alim for example, it was agreed that an incidental shot of the bank’s signboard would appear each time before the segment with the bank’s adviser began. In the bank’s summary of the sponsorship of the third series it was explicitly indicated that: </w:t>
      </w:r>
    </w:p>
    <w:p w14:paraId="678D23BF"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CA151DF"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there will be an incidental shot with a partial exposure of Bank Hapo’alim’s logo before each entrance to the conference room </w:t>
      </w:r>
      <w:r w:rsidRPr="009B5102">
        <w:rPr>
          <w:rFonts w:ascii="Times New Roman" w:eastAsia="Calibri" w:hAnsi="Times New Roman" w:cs="Times New Roman"/>
          <w:noProof/>
          <w:sz w:val="24"/>
          <w:szCs w:val="24"/>
        </w:rPr>
        <w:t>(Bank Hapo'alim, 2009)</w:t>
      </w:r>
      <w:r w:rsidRPr="009B5102">
        <w:rPr>
          <w:rFonts w:ascii="Times New Roman" w:eastAsia="Calibri" w:hAnsi="Times New Roman" w:cs="Times New Roman"/>
          <w:sz w:val="24"/>
          <w:szCs w:val="24"/>
        </w:rPr>
        <w:t>.</w:t>
      </w:r>
    </w:p>
    <w:p w14:paraId="43CE98AD"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67C3F552"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and a similar instruction was included during the fourth series when this segment turned into a personal meeting with the bank adviser in her office:</w:t>
      </w:r>
    </w:p>
    <w:p w14:paraId="63A727C6"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1EADC0BB"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an incidental shot of the branch and the bank’s logo will start every meeting</w:t>
      </w:r>
      <w:r>
        <w:rPr>
          <w:rFonts w:ascii="Times New Roman" w:eastAsia="Calibri" w:hAnsi="Times New Roman" w:cs="Times New Roman"/>
          <w:sz w:val="24"/>
          <w:szCs w:val="24"/>
        </w:rPr>
        <w:t xml:space="preserve"> (Bank Hapo’alim, 2010)</w:t>
      </w:r>
      <w:r w:rsidRPr="009B5102">
        <w:rPr>
          <w:rFonts w:ascii="Times New Roman" w:eastAsia="Calibri" w:hAnsi="Times New Roman" w:cs="Times New Roman"/>
          <w:sz w:val="24"/>
          <w:szCs w:val="24"/>
        </w:rPr>
        <w:t>.</w:t>
      </w:r>
    </w:p>
    <w:p w14:paraId="0AC78BB2"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2446E343"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Tzipi Rosenblum, the first editor of the programme, confirmed that this was the practice:</w:t>
      </w:r>
    </w:p>
    <w:p w14:paraId="4E8952A3"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05341421"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We would show something like half a logo at the entrance to the branch, and we would blur all other banks, but then we would actually blur any other brand in general, because we are not allowed to expose them in the programme </w:t>
      </w:r>
      <w:r w:rsidRPr="009B5102">
        <w:rPr>
          <w:rFonts w:ascii="Times New Roman" w:eastAsia="Calibri" w:hAnsi="Times New Roman" w:cs="Times New Roman"/>
          <w:noProof/>
          <w:sz w:val="24"/>
          <w:szCs w:val="24"/>
        </w:rPr>
        <w:t>(Rosenblum, 2011)</w:t>
      </w:r>
      <w:r w:rsidRPr="009B5102">
        <w:rPr>
          <w:rFonts w:ascii="Times New Roman" w:eastAsia="Calibri" w:hAnsi="Times New Roman" w:cs="Times New Roman"/>
          <w:sz w:val="24"/>
          <w:szCs w:val="24"/>
        </w:rPr>
        <w:t xml:space="preserve">. </w:t>
      </w:r>
    </w:p>
    <w:p w14:paraId="39F4F275"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05063C63"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When I asked whether Hapo’alim’s exposure was legitimate, she explained that it was falling within regulatory demands, as it was considered an ‘incidental shot’. </w:t>
      </w:r>
    </w:p>
    <w:p w14:paraId="5B475930"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5B355B41"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a similar way, in each visit of a family to Shufersal-Deal’s branch, the logo of the chain was exposed in an ‘incidental’ manner. While the family was shopping, shots of the shopping bags with the logo were shot accordingly. This kind of product placement, according to the chain’s marketing manager Dafi Kaminitz (2012), “was part of the negotiation of the deal”. In addition, products of Shufersal-Deal’s private brand were placed in scenes that were shot in the families’ homes, as Kaminitz described: </w:t>
      </w:r>
    </w:p>
    <w:p w14:paraId="28FABE22"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65CD8F2"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 would give the producer of the programme nine sets of products of the private brand, one for each family, so when Alon Gal would go and visit a family at home, she would make sure that the products were part of the scene before they started shooting, so they would have, for example cornflakes by Shufersal (Kaminitz, 2012). </w:t>
      </w:r>
    </w:p>
    <w:p w14:paraId="22FB9767"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28EC1BF1" w14:textId="77777777" w:rsidR="00497B7D" w:rsidRDefault="00497B7D" w:rsidP="00346CA5">
      <w:pPr>
        <w:spacing w:line="360" w:lineRule="auto"/>
        <w:contextualSpacing/>
        <w:rPr>
          <w:rFonts w:ascii="Times New Roman" w:eastAsia="Calibri" w:hAnsi="Times New Roman" w:cs="Times New Roman"/>
          <w:sz w:val="24"/>
          <w:szCs w:val="24"/>
        </w:rPr>
      </w:pPr>
    </w:p>
    <w:p w14:paraId="04F8B802"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The same concerns also reached the editing room, where Aboulafia, had to ‘plant’ the right shot into the plot: </w:t>
      </w:r>
    </w:p>
    <w:p w14:paraId="54B7D4D4"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B6CBA62"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for example, the kids of the family would eat cornflakes for breakfast, and we had to insert a shot of the cornflakes package with Shufersal’s logo. First they would take these shots, which are very unnatural, during the shooting day, and later we had to ‘stitch’ them in. In many cases it is totally irrelevant to the plot, for example, suddenly the woman is frying something and is using Shufersal’s oil. How is this relevant? This was incredibly hard for us as editors </w:t>
      </w:r>
      <w:r w:rsidRPr="009B5102">
        <w:rPr>
          <w:rFonts w:ascii="Times New Roman" w:eastAsia="Calibri" w:hAnsi="Times New Roman" w:cs="Times New Roman"/>
          <w:noProof/>
          <w:sz w:val="24"/>
          <w:szCs w:val="24"/>
        </w:rPr>
        <w:t>(Aboulafia, 2011)</w:t>
      </w:r>
      <w:r w:rsidRPr="009B5102">
        <w:rPr>
          <w:rFonts w:ascii="Times New Roman" w:eastAsia="Calibri" w:hAnsi="Times New Roman" w:cs="Times New Roman"/>
          <w:sz w:val="24"/>
          <w:szCs w:val="24"/>
        </w:rPr>
        <w:t>.</w:t>
      </w:r>
    </w:p>
    <w:p w14:paraId="053714A0"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2D1EFB7E"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At the end of this process the relevant segments would be sent to Shufersal-Deal for Kaminitz’s final approval: </w:t>
      </w:r>
    </w:p>
    <w:p w14:paraId="18A2E18D"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BB38A5B"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 could tell them – there’s not enough exposure here, show me some more shopping bags, or put in an incidental logo when they leave the branch so there will be no doubt where they went shopping. On shooting days when Alon Gal would join the couple, I would come as well </w:t>
      </w:r>
      <w:r w:rsidRPr="009B5102">
        <w:rPr>
          <w:rFonts w:ascii="Times New Roman" w:eastAsia="Calibri" w:hAnsi="Times New Roman" w:cs="Times New Roman"/>
          <w:noProof/>
          <w:sz w:val="24"/>
          <w:szCs w:val="24"/>
        </w:rPr>
        <w:t>(Kaminitz, 2012)</w:t>
      </w:r>
      <w:r w:rsidRPr="009B5102">
        <w:rPr>
          <w:rFonts w:ascii="Times New Roman" w:eastAsia="Calibri" w:hAnsi="Times New Roman" w:cs="Times New Roman"/>
          <w:sz w:val="24"/>
          <w:szCs w:val="24"/>
        </w:rPr>
        <w:t xml:space="preserve">. </w:t>
      </w:r>
    </w:p>
    <w:p w14:paraId="71CF9E5F"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44FB9022"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Undoubtedly, the case studies suggest a very different approach towards regulatory rules in each country. While in the British case study it seems that the legal adviser and the production team were oriented towards following the intentions behind the rules, rather than simply the ‘letter of the law’, in the Israeli case study these rules were treated as a weighty formality that could be bypassed in one way or another to suit the sponsor. As a result, it seems that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managed to keep its editorial control, in spite of the sponsor’s pressure, while in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this was clearly not the case, as many details in the programme became subject to the sponsor’s demands and final approval. But in both cases, product placement was not, from the sponsor’s point of view, the trigger for going into the deal in the first place and was a relatively marginal part of the brand’s overall presence within the programme. </w:t>
      </w:r>
    </w:p>
    <w:p w14:paraId="01D5384E"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6BDDB48B"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Marketing professionals both in London and Tel-Aviv considered the target audience of the programme, its core messages, and the ways in which the brand could resonate in it in abstract ways to be much more important. In this setting, product placement became just another layer, not the most significant one, which provided a straightforward connection between the programme and the brand.  </w:t>
      </w:r>
    </w:p>
    <w:p w14:paraId="336418C8"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2178ACC" w14:textId="77777777" w:rsidR="00497B7D" w:rsidRPr="009B5102" w:rsidRDefault="00497B7D" w:rsidP="00346CA5">
      <w:pPr>
        <w:pStyle w:val="Heading2"/>
      </w:pPr>
      <w:bookmarkStart w:id="59" w:name="_Toc445202686"/>
      <w:r w:rsidRPr="009B5102">
        <w:t>Summary</w:t>
      </w:r>
      <w:bookmarkEnd w:id="59"/>
    </w:p>
    <w:p w14:paraId="7C347B4A"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In this chapter I have shown three levels - ‘layers’ - in which the sponsoring brands are integrated into programming. This aimed to dissect how embedded branding practices are implemented in television programmes in practice.</w:t>
      </w:r>
    </w:p>
    <w:p w14:paraId="046AB528"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0CB468F8"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first of the levels was through the programme’s messages, the second is based on visual embodiment of the brand in the programme’s space and the third relates to exposure of the brands’ products, services and logos, i.e. product placement. </w:t>
      </w:r>
    </w:p>
    <w:p w14:paraId="002BB6BB"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80DE619"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first two ‘layers’ are quite abstract but were actually more significant to the sponsors than the third ‘layer’, which was perceived as a complimentary one but not imperative (as well as prohibited by regulation in both countries). As the case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showed, the sponsor was willing to invest in the deal even when products of other beauty brands were recommended in the programme and Dove’s products were absent. This provides evidence for my suggestion that brands tend to integrate in programming in a multi-layered, predominantly abstract way, a dimension which I refer to as ‘depth’. It also reflects some of the change in the nature and purpose of branding that I discussed in Chapter 2.</w:t>
      </w:r>
    </w:p>
    <w:p w14:paraId="38410F79"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32FB5446"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The case studies show how the sponsors drifted from being ‘external’ supporters of the production to being and indistinguishable part of it. This tendency of expanding into new, previously non-commercialised spaces is typical of branding processes. As Moor (2007) notes:</w:t>
      </w:r>
    </w:p>
    <w:p w14:paraId="6EDCC78F"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6E0B9C1"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r w:rsidRPr="009B5102">
        <w:rPr>
          <w:rStyle w:val="QuoteChar"/>
        </w:rPr>
        <w:lastRenderedPageBreak/>
        <w:t>Those working in branding tend to take it for granted that ‘everything is media’; that any site where the brand appears is a potentially communicative medium (p</w:t>
      </w:r>
      <w:r w:rsidRPr="009B5102">
        <w:rPr>
          <w:rFonts w:ascii="Times New Roman" w:eastAsia="Calibri" w:hAnsi="Times New Roman" w:cs="Times New Roman"/>
          <w:sz w:val="24"/>
          <w:szCs w:val="24"/>
        </w:rPr>
        <w:t xml:space="preserve">. 46). </w:t>
      </w:r>
    </w:p>
    <w:p w14:paraId="1642DDE2" w14:textId="77777777" w:rsidR="00497B7D" w:rsidRPr="009B5102" w:rsidRDefault="00497B7D" w:rsidP="00346CA5">
      <w:pPr>
        <w:spacing w:line="360" w:lineRule="auto"/>
        <w:ind w:left="1304" w:right="1304"/>
        <w:contextualSpacing/>
        <w:jc w:val="both"/>
        <w:rPr>
          <w:rFonts w:ascii="Times New Roman" w:eastAsia="Calibri" w:hAnsi="Times New Roman" w:cs="Times New Roman"/>
          <w:sz w:val="24"/>
          <w:szCs w:val="24"/>
        </w:rPr>
      </w:pPr>
    </w:p>
    <w:p w14:paraId="1E46E67E"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This is done by creating an ‘identity’, based on a set of values, which is then represented and replicated through the brand’s messages and its visual ‘language’.  </w:t>
      </w:r>
    </w:p>
    <w:p w14:paraId="21053CE0"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60FD33B1"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Through a process of deep integration (together with what I call ‘continuous’ integration, which will be discussed in the next chapter) brands aim to become an inseparable and indistinguishable part of the programme. This contributes to their goal of integrating themselves into consumers’ everyday lives in a ‘natural’ way. But from a public sphere and discourse ethics point of view this creates a blurring effect between types of speech acts that should ideally be clearly demarcated (Habermas, 1984, 1989). While the programmes discussed here are part of the cultural public sphere</w:t>
      </w:r>
      <w:r>
        <w:rPr>
          <w:rFonts w:ascii="Times New Roman" w:eastAsia="Calibri" w:hAnsi="Times New Roman" w:cs="Times New Roman"/>
          <w:sz w:val="24"/>
          <w:szCs w:val="24"/>
        </w:rPr>
        <w:t xml:space="preserve"> </w:t>
      </w:r>
      <w:r>
        <w:rPr>
          <w:rFonts w:ascii="Times New Roman" w:hAnsi="Times New Roman" w:cs="Times New Roman"/>
          <w:sz w:val="24"/>
          <w:szCs w:val="24"/>
        </w:rPr>
        <w:t>(McGuigan, 2005b)</w:t>
      </w:r>
      <w:r w:rsidRPr="009B5102">
        <w:rPr>
          <w:rFonts w:ascii="Times New Roman" w:eastAsia="Calibri" w:hAnsi="Times New Roman" w:cs="Times New Roman"/>
          <w:sz w:val="24"/>
          <w:szCs w:val="24"/>
        </w:rPr>
        <w:t xml:space="preserve"> and thus can potentially provide a realm for meaningful public discourse (for example, about women’s self-image and representation in the media, or about personal finance and public policy towards it), the sponsors’ messages were inherently strategic. The sponsoring brands are using ‘values’ in an instrumental way, for the purpose of influencing consumers. The programmes, by contrast, could potentially become a platform for a communicative dialogue on these issues. It is the blurring effect between the two, which occurred through the brand’s deep integration that raises questions as to the ethical implications of embedded branding practices. </w:t>
      </w:r>
    </w:p>
    <w:p w14:paraId="6CB4F0BA"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74841132"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At the same time, the data presented here puts into question the efficacy of current regulatory efforts to enforce the separation between advertising and programming under traditional definitions (of ‘sponsorship’ or ‘product placement’) and to limit advertisers’ involvement in content production. The evidence provided here suggests that a direct commercial link between a programme and a sponsor, through a formal sponsorship agreement, opens the way for dialogue between the two and a deep blurring between content and advertising. Contemporary branding promotes sponsor integration, through these deals, in ways that are intangible, not covered by regulation yet and in general difficult to trace and monitor. </w:t>
      </w:r>
    </w:p>
    <w:p w14:paraId="09948E4C"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2323B913"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Having said that, the data also suggests that regulation, if respected or properly enforced, can have a meaningful role in protecting the programmes’ editorial independence. Embedded branding practices work to change the power balance between the editorial side and that of the sponsor. In the case of the British programme, the brand’s representation began as an ‘inspirational’ one and regulatory rules were helpful in putting a brake on the sponsor’s pressure for further influence, such as product placement. Thus the programme seemed to be successful in keeping its editorial integrity. This was not the case with the Israeli programme in which there was a clear shift in the power balance, to the extent that many details in the programme were subject to the sponsors’ demands. Therefore, I am not suggesting that regulation is entirely inefficient in limiting commercial influence, but rather that its basic definition and understanding of the changing reality of the media and the dynamics of commercialisation practices should be reconsidered.  I will discuss these questions further in Chapter 7.</w:t>
      </w:r>
    </w:p>
    <w:p w14:paraId="2C7FE1F9" w14:textId="77777777" w:rsidR="00497B7D" w:rsidRPr="009B5102" w:rsidRDefault="00497B7D" w:rsidP="00346CA5">
      <w:pPr>
        <w:spacing w:line="360" w:lineRule="auto"/>
        <w:contextualSpacing/>
        <w:rPr>
          <w:rFonts w:ascii="Times New Roman" w:eastAsia="Calibri" w:hAnsi="Times New Roman" w:cs="Times New Roman"/>
          <w:sz w:val="24"/>
          <w:szCs w:val="24"/>
        </w:rPr>
      </w:pPr>
    </w:p>
    <w:p w14:paraId="410CDFA7"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the next chapter I will consider another aspect of commercial influence, what I call ‘continuous integration’, which relates to the blurring between commercials and the programming (through sponsorship idents or commercial vignettes) and the streaming of the brand, together with the programme, between platforms (mainly television to internet). I will suggest that deep integration of brands in programming, together with continuous integration across platforms provides some evidence for a new phase in the commercialisation of media content.      </w:t>
      </w:r>
    </w:p>
    <w:p w14:paraId="25ECED79" w14:textId="77777777" w:rsidR="00497B7D" w:rsidRPr="009B5102" w:rsidRDefault="00497B7D" w:rsidP="00346CA5">
      <w:pPr>
        <w:rPr>
          <w:rFonts w:ascii="Times New Roman" w:eastAsia="Calibri" w:hAnsi="Times New Roman" w:cs="Times New Roman"/>
          <w:sz w:val="24"/>
          <w:szCs w:val="24"/>
        </w:rPr>
      </w:pPr>
      <w:r w:rsidRPr="009B5102">
        <w:rPr>
          <w:rFonts w:ascii="Times New Roman" w:eastAsia="Calibri" w:hAnsi="Times New Roman" w:cs="Times New Roman"/>
          <w:sz w:val="24"/>
          <w:szCs w:val="24"/>
        </w:rPr>
        <w:br w:type="page"/>
      </w:r>
    </w:p>
    <w:p w14:paraId="0D5F12B4" w14:textId="48A89790" w:rsidR="00497B7D" w:rsidRPr="006B0813" w:rsidRDefault="00497B7D" w:rsidP="00346CA5">
      <w:pPr>
        <w:pStyle w:val="Heading1"/>
        <w:rPr>
          <w:b w:val="0"/>
          <w:bCs w:val="0"/>
        </w:rPr>
      </w:pPr>
      <w:bookmarkStart w:id="60" w:name="_Toc445202687"/>
      <w:r w:rsidRPr="009B5102">
        <w:lastRenderedPageBreak/>
        <w:t xml:space="preserve">Chapter </w:t>
      </w:r>
      <w:r w:rsidR="0028056A">
        <w:rPr>
          <w:rFonts w:hint="cs"/>
          <w:rtl/>
          <w:lang w:bidi="he-IL"/>
        </w:rPr>
        <w:t>5</w:t>
      </w:r>
      <w:r>
        <w:br/>
        <w:t xml:space="preserve"> </w:t>
      </w:r>
      <w:r w:rsidRPr="006B0813">
        <w:rPr>
          <w:b w:val="0"/>
          <w:bCs w:val="0"/>
        </w:rPr>
        <w:t>Between Television and Online: Continuous Integration</w:t>
      </w:r>
      <w:bookmarkEnd w:id="60"/>
    </w:p>
    <w:p w14:paraId="135D2B68" w14:textId="77777777" w:rsidR="00497B7D" w:rsidRPr="009B5102" w:rsidRDefault="00497B7D" w:rsidP="00346CA5">
      <w:pPr>
        <w:spacing w:after="0" w:line="240" w:lineRule="auto"/>
        <w:rPr>
          <w:rFonts w:ascii="Times New Roman" w:eastAsia="Calibri" w:hAnsi="Times New Roman" w:cs="Times New Roman"/>
          <w:sz w:val="24"/>
          <w:szCs w:val="24"/>
        </w:rPr>
      </w:pPr>
    </w:p>
    <w:p w14:paraId="7856E81B" w14:textId="77777777" w:rsidR="00497B7D" w:rsidRPr="009B5102" w:rsidRDefault="00497B7D" w:rsidP="00346CA5">
      <w:pPr>
        <w:pStyle w:val="Heading2"/>
      </w:pPr>
      <w:bookmarkStart w:id="61" w:name="_Toc445202688"/>
      <w:r w:rsidRPr="009B5102">
        <w:t>Introduction</w:t>
      </w:r>
      <w:bookmarkEnd w:id="61"/>
    </w:p>
    <w:p w14:paraId="39133DE8" w14:textId="77777777" w:rsidR="00497B7D" w:rsidRPr="009B5102" w:rsidRDefault="00497B7D" w:rsidP="00346CA5">
      <w:pPr>
        <w:spacing w:after="0" w:line="240" w:lineRule="auto"/>
        <w:rPr>
          <w:rFonts w:ascii="Times New Roman" w:eastAsia="Calibri" w:hAnsi="Times New Roman" w:cs="Times New Roman"/>
          <w:sz w:val="24"/>
          <w:szCs w:val="24"/>
        </w:rPr>
      </w:pPr>
    </w:p>
    <w:p w14:paraId="323ACEEA"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previous chapter analysed the integration of brands into programmes, a dimension which I referred to as ‘deep integration’. I showed how brands integrate into programming in a multi-layered way that heavily relies on abstract representations of the brand, conceptual as well as visual ones. </w:t>
      </w:r>
    </w:p>
    <w:p w14:paraId="1520B47D" w14:textId="77777777" w:rsidR="00497B7D" w:rsidRPr="009B5102" w:rsidRDefault="00497B7D" w:rsidP="00346CA5">
      <w:pPr>
        <w:spacing w:after="0" w:line="360" w:lineRule="auto"/>
        <w:rPr>
          <w:rFonts w:ascii="Times New Roman" w:eastAsia="Calibri" w:hAnsi="Times New Roman" w:cs="Times New Roman"/>
          <w:sz w:val="24"/>
          <w:szCs w:val="24"/>
        </w:rPr>
      </w:pPr>
    </w:p>
    <w:p w14:paraId="22B8CBD8" w14:textId="1B24D8BD" w:rsidR="00497B7D" w:rsidRPr="009B5102" w:rsidRDefault="00497B7D" w:rsidP="00346CA5">
      <w:pPr>
        <w:spacing w:after="0" w:line="360" w:lineRule="auto"/>
        <w:rPr>
          <w:rFonts w:ascii="Times New Roman" w:eastAsia="Calibri" w:hAnsi="Times New Roman" w:cs="Times New Roman"/>
          <w:sz w:val="24"/>
          <w:szCs w:val="24"/>
          <w:rtl/>
        </w:rPr>
      </w:pPr>
      <w:r w:rsidRPr="009B5102">
        <w:rPr>
          <w:rFonts w:ascii="Times New Roman" w:eastAsia="Calibri" w:hAnsi="Times New Roman" w:cs="Times New Roman"/>
          <w:sz w:val="24"/>
          <w:szCs w:val="24"/>
        </w:rPr>
        <w:t>The present chapter addresses the complementary dimension of ‘continuous integration’: it examines the integration of brands around programming on television and across different platforms, predominantly the Internet. I first refer to the ‘</w:t>
      </w:r>
      <w:r w:rsidR="00181C52" w:rsidRPr="009B5102">
        <w:rPr>
          <w:rFonts w:ascii="Times New Roman" w:eastAsia="Calibri" w:hAnsi="Times New Roman" w:cs="Times New Roman"/>
          <w:sz w:val="24"/>
          <w:szCs w:val="24"/>
        </w:rPr>
        <w:t>spill over</w:t>
      </w:r>
      <w:r w:rsidRPr="009B5102">
        <w:rPr>
          <w:rFonts w:ascii="Times New Roman" w:eastAsia="Calibri" w:hAnsi="Times New Roman" w:cs="Times New Roman"/>
          <w:sz w:val="24"/>
          <w:szCs w:val="24"/>
        </w:rPr>
        <w:t>’ of the commercial co-operation on television around the programme through sponsorship credits and ‘commercial vignettes’</w:t>
      </w:r>
      <w:r w:rsidRPr="00B93D25">
        <w:rPr>
          <w:rStyle w:val="FootnoteReference"/>
        </w:rPr>
        <w:footnoteReference w:id="51"/>
      </w:r>
      <w:r w:rsidRPr="009B5102">
        <w:rPr>
          <w:rFonts w:ascii="Times New Roman" w:eastAsia="Calibri" w:hAnsi="Times New Roman" w:cs="Times New Roman"/>
          <w:sz w:val="24"/>
          <w:szCs w:val="24"/>
        </w:rPr>
        <w:t>. I then turn to dissect its further expansion, beyond television into other platforms, the Internet being the most significant one.</w:t>
      </w:r>
    </w:p>
    <w:p w14:paraId="2670EC4C" w14:textId="77777777" w:rsidR="00497B7D" w:rsidRPr="009B5102" w:rsidRDefault="00497B7D" w:rsidP="00346CA5">
      <w:pPr>
        <w:spacing w:after="0" w:line="360" w:lineRule="auto"/>
        <w:rPr>
          <w:rFonts w:ascii="Times New Roman" w:eastAsia="Calibri" w:hAnsi="Times New Roman" w:cs="Times New Roman"/>
          <w:sz w:val="24"/>
          <w:szCs w:val="24"/>
        </w:rPr>
      </w:pPr>
    </w:p>
    <w:p w14:paraId="5525D662"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chapter presents three elements of continuous integration. The first part refers to the blurring between commercials and programming on television through commercial tools set out in sponsorship agreements, i.e. sponsorship credits and ‘commercial vignettes’. Both aim to link the sponsor and the content of the programme on television. Both, I will argue, are hybrid forms between commercials and programming and create an experience of continuity rather than separation for viewers. The second part examines the efforts made both by broadcasters and </w:t>
      </w:r>
      <w:r w:rsidRPr="009B5102">
        <w:rPr>
          <w:rFonts w:ascii="Times New Roman" w:eastAsia="Calibri" w:hAnsi="Times New Roman" w:cs="Times New Roman"/>
          <w:sz w:val="24"/>
          <w:szCs w:val="24"/>
        </w:rPr>
        <w:lastRenderedPageBreak/>
        <w:t xml:space="preserve">sponsors to extend the commercial co-operation to other platforms, e.g. the Internet, radio and press, as well as merchandising and ‘real world’ events. This aspect demonstrates the joint interest of both broadcasters and sponsors in maintaining their presence in a multi-platform environment. The last part puts special focus on the blurring between content and advertising on the Internet. I will demonstrate how the differences between the characteristics of television and the Internet further contribute to blurring the line between content and advertising in new media. </w:t>
      </w:r>
    </w:p>
    <w:p w14:paraId="279E3EFA" w14:textId="77777777" w:rsidR="00497B7D" w:rsidRPr="009B5102" w:rsidRDefault="00497B7D" w:rsidP="00346CA5">
      <w:pPr>
        <w:spacing w:after="0" w:line="360" w:lineRule="auto"/>
        <w:rPr>
          <w:rFonts w:ascii="Times New Roman" w:eastAsia="Calibri" w:hAnsi="Times New Roman" w:cs="Times New Roman"/>
          <w:sz w:val="24"/>
          <w:szCs w:val="24"/>
        </w:rPr>
      </w:pPr>
    </w:p>
    <w:p w14:paraId="7CE2BA55"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I argue that embedded branding deals create an experience of continuity, as audiences are seamlessly shifted, first, between seemingly non-commercialised spaces (i.e. the programme) and commercialised ones (i.e. commercials) on television, and later between platforms. This transition occurs in a smooth manner that blurs the line between previous existing definitions and categories, mainly programming and advertising.  In addition, I show how brand integration on the Internet opens new possibilities for blurring the line, because of the lack of regulation on this new platform and even more importantly, the unique characteristics of the new media.</w:t>
      </w:r>
    </w:p>
    <w:p w14:paraId="211353F4" w14:textId="77777777" w:rsidR="00497B7D" w:rsidRPr="009B5102" w:rsidRDefault="00497B7D" w:rsidP="00346CA5">
      <w:pPr>
        <w:spacing w:after="0" w:line="360" w:lineRule="auto"/>
        <w:rPr>
          <w:rFonts w:ascii="Times New Roman" w:eastAsia="Calibri" w:hAnsi="Times New Roman" w:cs="Times New Roman"/>
          <w:sz w:val="24"/>
          <w:szCs w:val="24"/>
        </w:rPr>
      </w:pPr>
    </w:p>
    <w:p w14:paraId="7D8881E4" w14:textId="6F9B89BF"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Continuous integration of brands into media content is part of the ‘elective affinity’</w:t>
      </w:r>
      <w:r w:rsidRPr="009B5102" w:rsidDel="00F11758">
        <w:rPr>
          <w:rFonts w:ascii="Times New Roman" w:eastAsia="Calibri" w:hAnsi="Times New Roman" w:cs="Times New Roman"/>
          <w:sz w:val="24"/>
          <w:szCs w:val="24"/>
        </w:rPr>
        <w:t xml:space="preserve"> </w:t>
      </w:r>
      <w:r w:rsidRPr="009B5102">
        <w:rPr>
          <w:rFonts w:ascii="Times New Roman" w:eastAsia="Calibri" w:hAnsi="Times New Roman" w:cs="Times New Roman"/>
          <w:sz w:val="24"/>
          <w:szCs w:val="24"/>
        </w:rPr>
        <w:t>(Goethe, 2008</w:t>
      </w:r>
      <w:r w:rsidR="00181C52" w:rsidRPr="009B5102">
        <w:rPr>
          <w:rFonts w:ascii="Times New Roman" w:eastAsia="Calibri" w:hAnsi="Times New Roman" w:cs="Times New Roman"/>
          <w:sz w:val="24"/>
          <w:szCs w:val="24"/>
        </w:rPr>
        <w:t>) between</w:t>
      </w:r>
      <w:r w:rsidRPr="009B5102">
        <w:rPr>
          <w:rFonts w:ascii="Times New Roman" w:eastAsia="Calibri" w:hAnsi="Times New Roman" w:cs="Times New Roman"/>
          <w:sz w:val="24"/>
          <w:szCs w:val="24"/>
        </w:rPr>
        <w:t xml:space="preserve"> broadcasters and sponsors, as both sides have a need to shift audiences from one platform to another. In this process, television is just a starting point and a gate. Ultimately, continuous integration creates an all-encompassing commercial environment around a specific programme. The coupling between the brand and the programme is ‘naturalised’ and indeed becomes ‘real’, as if it has always been that way, rather than an outcome of deliberate and carefully planned strategic efforts.  </w:t>
      </w:r>
    </w:p>
    <w:p w14:paraId="78EC0841" w14:textId="77777777" w:rsidR="00497B7D" w:rsidRPr="009B5102" w:rsidRDefault="00497B7D" w:rsidP="00346CA5">
      <w:pPr>
        <w:spacing w:after="0" w:line="360" w:lineRule="auto"/>
        <w:rPr>
          <w:rFonts w:ascii="Times New Roman" w:eastAsia="Calibri" w:hAnsi="Times New Roman" w:cs="Times New Roman"/>
          <w:sz w:val="24"/>
          <w:szCs w:val="24"/>
        </w:rPr>
      </w:pPr>
    </w:p>
    <w:p w14:paraId="12058C58" w14:textId="77777777" w:rsidR="00497B7D" w:rsidRPr="009B5102" w:rsidRDefault="00497B7D" w:rsidP="00346CA5">
      <w:pPr>
        <w:pStyle w:val="Heading2"/>
      </w:pPr>
      <w:bookmarkStart w:id="62" w:name="_Toc445202689"/>
      <w:r w:rsidRPr="009B5102">
        <w:t>Television: Between Advertising and Content</w:t>
      </w:r>
      <w:bookmarkEnd w:id="62"/>
    </w:p>
    <w:p w14:paraId="79E5C0A4" w14:textId="43258094"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Sponsorship agreements, both in the UK and Israel, typically allow the sponsor to promote their brand name by broadcasting sponsorship credits around the programme. These short clips</w:t>
      </w:r>
      <w:r w:rsidRPr="00B93D25">
        <w:rPr>
          <w:rStyle w:val="FootnoteReference"/>
        </w:rPr>
        <w:footnoteReference w:id="52"/>
      </w:r>
      <w:r w:rsidRPr="009B5102">
        <w:rPr>
          <w:rFonts w:ascii="Times New Roman" w:eastAsia="Calibri" w:hAnsi="Times New Roman" w:cs="Times New Roman"/>
          <w:sz w:val="24"/>
          <w:szCs w:val="24"/>
        </w:rPr>
        <w:t xml:space="preserve">, which are also known in UK industry jargon as ‘sponsorship bumpers’, announce the name of the sponsor and the programme with video images, voice over, music and other </w:t>
      </w:r>
      <w:r w:rsidR="00A177FE">
        <w:rPr>
          <w:rFonts w:ascii="Times New Roman" w:eastAsia="Calibri" w:hAnsi="Times New Roman" w:cs="Times New Roman"/>
          <w:sz w:val="24"/>
          <w:szCs w:val="24"/>
        </w:rPr>
        <w:t>audiovisual</w:t>
      </w:r>
      <w:r w:rsidRPr="009B5102">
        <w:rPr>
          <w:rFonts w:ascii="Times New Roman" w:eastAsia="Calibri" w:hAnsi="Times New Roman" w:cs="Times New Roman"/>
          <w:sz w:val="24"/>
          <w:szCs w:val="24"/>
        </w:rPr>
        <w:t xml:space="preserve"> </w:t>
      </w:r>
      <w:r w:rsidRPr="009B5102">
        <w:rPr>
          <w:rFonts w:ascii="Times New Roman" w:eastAsia="Calibri" w:hAnsi="Times New Roman" w:cs="Times New Roman"/>
          <w:sz w:val="24"/>
          <w:szCs w:val="24"/>
        </w:rPr>
        <w:lastRenderedPageBreak/>
        <w:t xml:space="preserve">means (for example, animation). Regulators, in the UK as well as in Israel, require that sponsorship announcements are clearly differentiated from both commercials and programming. Formally, these credits are meant to be the main commercial benefit for the sponsor, as they allow an association of the brand name with a popular programme. </w:t>
      </w:r>
    </w:p>
    <w:p w14:paraId="7E1C4803" w14:textId="77777777" w:rsidR="00497B7D" w:rsidRPr="009B5102" w:rsidRDefault="00497B7D" w:rsidP="00346CA5">
      <w:pPr>
        <w:spacing w:after="0" w:line="360" w:lineRule="auto"/>
        <w:rPr>
          <w:rFonts w:ascii="Times New Roman" w:eastAsia="Calibri" w:hAnsi="Times New Roman" w:cs="Times New Roman"/>
          <w:sz w:val="24"/>
          <w:szCs w:val="24"/>
        </w:rPr>
      </w:pPr>
    </w:p>
    <w:p w14:paraId="1E03A5C9"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 will now turn to demonstrate how, in practice, sponsorship credits are being used to link the programme and the sponsor and emphasise their synergetic relationship. I will argue that by doing so, sponsorship credits become a hybrid entity in-between commercials and programming. Thus, instead of being clearly different from the commercial break or the programme, as regulators may have wished, they actually connect the two and contribute to their blurring. This creates an experience of continuity for viewers, rather than separation, in the shift between commercials and the programme. </w:t>
      </w:r>
    </w:p>
    <w:p w14:paraId="0CFBCBE4" w14:textId="77777777" w:rsidR="00497B7D" w:rsidRPr="009B5102" w:rsidRDefault="00497B7D" w:rsidP="00346CA5">
      <w:pPr>
        <w:spacing w:after="0" w:line="360" w:lineRule="auto"/>
        <w:rPr>
          <w:rFonts w:ascii="Times New Roman" w:eastAsia="Calibri" w:hAnsi="Times New Roman" w:cs="Times New Roman"/>
          <w:sz w:val="24"/>
          <w:szCs w:val="24"/>
        </w:rPr>
      </w:pPr>
    </w:p>
    <w:p w14:paraId="32C9A253" w14:textId="77777777" w:rsidR="00497B7D" w:rsidRPr="009B5102" w:rsidRDefault="00497B7D" w:rsidP="00346CA5">
      <w:pPr>
        <w:pStyle w:val="Heading3"/>
      </w:pPr>
      <w:bookmarkStart w:id="63" w:name="_Toc445202690"/>
      <w:r w:rsidRPr="009B5102">
        <w:t>Regulation of Sponsorship Credits and Commercial Vignettes in the UK and Israel</w:t>
      </w:r>
      <w:bookmarkEnd w:id="63"/>
    </w:p>
    <w:p w14:paraId="7C652257"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Regulatory bodies in both the UK and Israel set specific and detailed rules about sponsorship agreements in general and about the way sponsor’s credits will appear on the screen specifically. The details of instructions set by the two regulators – Ofcom in the UK and The Second Authority for Radio and Television in Israel - may be different, but the general goals are the same: the rules are meant to promote transparency of sponsorship agreements and to clearly separate sponsorship credits from both commercials and programming. This for example, is clearly stated in Ofcom’s principles of sponsorship rules, as they are presented in Section 9 of the Broadcasting Code: </w:t>
      </w:r>
    </w:p>
    <w:p w14:paraId="4EE35BCA" w14:textId="77777777" w:rsidR="00497B7D" w:rsidRPr="009B5102" w:rsidRDefault="00497B7D" w:rsidP="00346CA5">
      <w:pPr>
        <w:spacing w:after="0" w:line="360" w:lineRule="auto"/>
        <w:rPr>
          <w:rFonts w:ascii="Times New Roman" w:eastAsia="Calibri" w:hAnsi="Times New Roman" w:cs="Times New Roman"/>
          <w:sz w:val="24"/>
          <w:szCs w:val="24"/>
        </w:rPr>
      </w:pPr>
    </w:p>
    <w:p w14:paraId="03453BB7"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Transparency – to ensure sponsorship arrangements are transparent.</w:t>
      </w:r>
    </w:p>
    <w:p w14:paraId="12107B1A"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Separation – to ensure that sponsorship messages are separate from programmes and to maintain a distinction between advertising and sponsorship. (Ofcom, 2008)</w:t>
      </w:r>
      <w:r w:rsidRPr="00B93D25">
        <w:rPr>
          <w:rStyle w:val="FootnoteReference"/>
        </w:rPr>
        <w:footnoteReference w:id="53"/>
      </w:r>
    </w:p>
    <w:p w14:paraId="1D4F60F4" w14:textId="77777777" w:rsidR="00497B7D" w:rsidRPr="009B5102" w:rsidRDefault="00497B7D" w:rsidP="00346CA5">
      <w:pPr>
        <w:spacing w:after="0" w:line="360" w:lineRule="auto"/>
        <w:ind w:left="720"/>
        <w:contextualSpacing/>
        <w:rPr>
          <w:rFonts w:ascii="Times New Roman" w:eastAsia="Calibri" w:hAnsi="Times New Roman" w:cs="Times New Roman"/>
          <w:sz w:val="24"/>
          <w:szCs w:val="24"/>
        </w:rPr>
      </w:pPr>
    </w:p>
    <w:p w14:paraId="09472638" w14:textId="77777777" w:rsidR="00497B7D"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Ofcom’s instructions regarding sponsorship credits on television (Rules 9.12 -9.13 in Section 9: Sponsorship) specify that sponsorship credits must be clearly separated from programmes “by temporal or spatial means”. It also obligates a clear separation from advertising in the following manner: </w:t>
      </w:r>
    </w:p>
    <w:p w14:paraId="0991E0F4" w14:textId="77777777" w:rsidR="00497B7D" w:rsidRPr="009B5102" w:rsidRDefault="00497B7D" w:rsidP="00346CA5">
      <w:pPr>
        <w:spacing w:after="0" w:line="360" w:lineRule="auto"/>
        <w:rPr>
          <w:rFonts w:ascii="Times New Roman" w:eastAsia="Calibri" w:hAnsi="Times New Roman" w:cs="Times New Roman"/>
          <w:sz w:val="24"/>
          <w:szCs w:val="24"/>
        </w:rPr>
      </w:pPr>
    </w:p>
    <w:p w14:paraId="3C6FA35E"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Sponsor credits must not contain advertising messages or calls to action. In particular, credits must not encourage the purchase or rental of the products or services of the sponsor or a third party </w:t>
      </w:r>
      <w:r w:rsidRPr="009B5102">
        <w:rPr>
          <w:rFonts w:ascii="Times New Roman" w:eastAsia="Calibri" w:hAnsi="Times New Roman" w:cs="Times New Roman"/>
          <w:noProof/>
          <w:sz w:val="24"/>
          <w:szCs w:val="24"/>
        </w:rPr>
        <w:t>(Ofcom, 2008)</w:t>
      </w:r>
      <w:r w:rsidRPr="00B93D25">
        <w:rPr>
          <w:rStyle w:val="FootnoteReference"/>
        </w:rPr>
        <w:footnoteReference w:id="54"/>
      </w:r>
      <w:r w:rsidRPr="009B5102">
        <w:rPr>
          <w:rFonts w:ascii="Times New Roman" w:eastAsia="Calibri" w:hAnsi="Times New Roman" w:cs="Times New Roman"/>
          <w:sz w:val="24"/>
          <w:szCs w:val="24"/>
        </w:rPr>
        <w:t xml:space="preserve">. </w:t>
      </w:r>
    </w:p>
    <w:p w14:paraId="21DB25DE" w14:textId="77777777" w:rsidR="00497B7D" w:rsidRPr="009B5102" w:rsidRDefault="00497B7D" w:rsidP="00346CA5">
      <w:pPr>
        <w:spacing w:after="0" w:line="360" w:lineRule="auto"/>
        <w:rPr>
          <w:rFonts w:ascii="Times New Roman" w:eastAsia="Calibri" w:hAnsi="Times New Roman" w:cs="Times New Roman"/>
          <w:sz w:val="24"/>
          <w:szCs w:val="24"/>
        </w:rPr>
      </w:pPr>
    </w:p>
    <w:p w14:paraId="6F486B85"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Israel, the rules for sponsorship credits are in the same spirit. However they are astonishingly detailed, as Section 4 of the sponsorship rules </w:t>
      </w:r>
      <w:r w:rsidRPr="009B5102">
        <w:rPr>
          <w:rFonts w:ascii="Times New Roman" w:eastAsia="Calibri" w:hAnsi="Times New Roman" w:cs="Times New Roman"/>
          <w:noProof/>
          <w:sz w:val="24"/>
          <w:szCs w:val="24"/>
        </w:rPr>
        <w:t>(Israeli Second Authority for Television and Radio, 2009)</w:t>
      </w:r>
      <w:r w:rsidRPr="009B5102">
        <w:rPr>
          <w:rFonts w:ascii="Times New Roman" w:eastAsia="Calibri" w:hAnsi="Times New Roman" w:cs="Times New Roman"/>
          <w:sz w:val="24"/>
          <w:szCs w:val="24"/>
        </w:rPr>
        <w:t xml:space="preserve"> indicate: the sponsorship credit must start with one of the following sentences: “The programme was produced with the sponsorship of…”, or “The program is broadcasted with the sponsorship of…”, or “The programme is brought to you with the sponsorship of…” and then the sponsor’s name will be mentioned visually or by sound. The credit can last no longer than 6 seconds, it can only contain a general image message and must not indicate the price, marketing channels or comparative information as to the product or the service of the sponsor. It must not encourage purchasing in any way (“calls for action”, in the words of Ofcom) including the words “special offer”, “new”, “gift”, “free” and “free of charge”. Moreover, the credit must not contain more than 12 words (links to websites and telephone numbers are not included). The rules further require the sponsorship credit to be different, both visually and in sound, from a commercial for the same product and that no use is made of the voice of any person who takes part in the sponsored programme or is identified with it. </w:t>
      </w:r>
    </w:p>
    <w:p w14:paraId="4851BE29" w14:textId="77777777" w:rsidR="00497B7D" w:rsidRPr="009B5102" w:rsidRDefault="00497B7D" w:rsidP="00346CA5">
      <w:pPr>
        <w:spacing w:after="0" w:line="360" w:lineRule="auto"/>
        <w:rPr>
          <w:rFonts w:ascii="Times New Roman" w:eastAsia="Calibri" w:hAnsi="Times New Roman" w:cs="Times New Roman"/>
          <w:sz w:val="24"/>
          <w:szCs w:val="24"/>
        </w:rPr>
      </w:pPr>
    </w:p>
    <w:p w14:paraId="02F8F3A7"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Thus, both regulators have tried to restrict the commercial influence of sponsorship credits and to keep it separate from both the programme and the commercial break. However, in practice, as I will show below, sponsors use creative ideas to produce short narratives within these limits that are oriented towards linking the sponsor to the programme, both conceptually and visually. </w:t>
      </w:r>
    </w:p>
    <w:p w14:paraId="23A80F75"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In the Israeli case, another commercial tool that became popular among sponsors and broadcasters for a while, as a way of bypassing regulatory restrictions, was the so-called ‘commercial vignette’. These short clips, 30 seconds long, are separate from the programme and  appear either in proximity to it  (in addition to sponsorship credits) or at other times. Broadcasters claim they provide viewers with ‘added value’ by presenting tips and more information. However, their purpose is predominantly commercial:  they are used to further the link between the sponsor and the programme and blur the line between the two, and at the same time shift audiences from television to online activity. </w:t>
      </w:r>
    </w:p>
    <w:p w14:paraId="0165C16B" w14:textId="77777777" w:rsidR="00497B7D" w:rsidRPr="009B5102" w:rsidRDefault="00497B7D" w:rsidP="00346CA5">
      <w:pPr>
        <w:spacing w:after="0" w:line="360" w:lineRule="auto"/>
        <w:rPr>
          <w:rFonts w:ascii="Times New Roman" w:eastAsia="Calibri" w:hAnsi="Times New Roman" w:cs="Times New Roman"/>
          <w:sz w:val="24"/>
          <w:szCs w:val="24"/>
        </w:rPr>
      </w:pPr>
    </w:p>
    <w:p w14:paraId="37B9DC0C"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Israeli commercial broadcasters initiated the use of this commercial tool in 2002 and it soon became a widespread phenomenon. This was mainly due to the regulator agreeing to treat these segments as part of the general counting of ‘programming time’ rather than ‘commercial time’, as they purport to give ‘added value’ to viewers. It was only in 2008, when the number of these vignettes kept growing and the presence of the sponsors in each one of them became more obvious, that a change in policy was made and the Second Authority for Radio and Television decided to consider commercial vignettes as part of commercial time. This led to their gradual disappearance, but in some cases they are still used in sponsorship agreements as one of the ways to give sponsors more media time and overt exposure </w:t>
      </w:r>
      <w:r w:rsidRPr="009B5102">
        <w:rPr>
          <w:rFonts w:ascii="Times New Roman" w:eastAsia="Calibri" w:hAnsi="Times New Roman" w:cs="Times New Roman"/>
          <w:noProof/>
          <w:sz w:val="24"/>
          <w:szCs w:val="24"/>
        </w:rPr>
        <w:t>(Balint, 2012a)</w:t>
      </w:r>
      <w:r w:rsidRPr="009B5102">
        <w:rPr>
          <w:rFonts w:ascii="Times New Roman" w:eastAsia="Calibri" w:hAnsi="Times New Roman" w:cs="Times New Roman"/>
          <w:sz w:val="24"/>
          <w:szCs w:val="24"/>
        </w:rPr>
        <w:t xml:space="preserve">. </w:t>
      </w:r>
    </w:p>
    <w:p w14:paraId="703B7859" w14:textId="77777777" w:rsidR="00497B7D" w:rsidRPr="009B5102" w:rsidRDefault="00497B7D" w:rsidP="00346CA5">
      <w:pPr>
        <w:spacing w:after="0" w:line="360" w:lineRule="auto"/>
        <w:rPr>
          <w:rFonts w:ascii="Times New Roman" w:eastAsia="Calibri" w:hAnsi="Times New Roman" w:cs="Times New Roman"/>
          <w:sz w:val="24"/>
          <w:szCs w:val="24"/>
        </w:rPr>
      </w:pPr>
    </w:p>
    <w:p w14:paraId="3484D848" w14:textId="77777777" w:rsidR="00497B7D" w:rsidRPr="009B5102" w:rsidRDefault="00497B7D" w:rsidP="00346CA5">
      <w:pPr>
        <w:pStyle w:val="Heading3"/>
      </w:pPr>
      <w:bookmarkStart w:id="64" w:name="_Toc445202691"/>
      <w:r w:rsidRPr="009B5102">
        <w:rPr>
          <w:i/>
          <w:iCs/>
        </w:rPr>
        <w:t>How to Look Good Naked</w:t>
      </w:r>
      <w:r w:rsidRPr="009B5102">
        <w:t xml:space="preserve"> and Dove: Sponsorship Credits</w:t>
      </w:r>
      <w:bookmarkEnd w:id="64"/>
    </w:p>
    <w:p w14:paraId="676A1600"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For Dove, the primary motivation to sponsor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from the outset was the concordance between the debut of the programme and the launch of the brand’s anti-aging line, Dove Pro-Age, in 2006. As I have previously mentioned, it was </w:t>
      </w:r>
      <w:r w:rsidRPr="009B5102">
        <w:rPr>
          <w:rFonts w:ascii="Times New Roman" w:eastAsia="Calibri" w:hAnsi="Times New Roman" w:cs="Times New Roman"/>
          <w:iCs/>
          <w:sz w:val="24"/>
          <w:szCs w:val="24"/>
        </w:rPr>
        <w:t>the fit between the target audience of the new programme (as was presented to Dove by Channel 4) and that of the new line of products that was especially attractive. D</w:t>
      </w:r>
      <w:r w:rsidRPr="009B5102">
        <w:rPr>
          <w:rFonts w:ascii="Times New Roman" w:eastAsia="Calibri" w:hAnsi="Times New Roman" w:cs="Times New Roman"/>
          <w:sz w:val="24"/>
          <w:szCs w:val="24"/>
        </w:rPr>
        <w:t xml:space="preserve">an Fletcher, who was responsible for the sponsorship deal at Mindshare, the marketing communications agency representing </w:t>
      </w:r>
      <w:r w:rsidRPr="009B5102">
        <w:rPr>
          <w:rFonts w:ascii="Times New Roman" w:eastAsia="Calibri" w:hAnsi="Times New Roman" w:cs="Times New Roman"/>
          <w:iCs/>
          <w:sz w:val="24"/>
          <w:szCs w:val="24"/>
        </w:rPr>
        <w:t xml:space="preserve">Dove, found this to be a significant turning point in his efforts to convince his client to go into the deal </w:t>
      </w:r>
      <w:r w:rsidRPr="009B5102">
        <w:rPr>
          <w:rFonts w:ascii="Times New Roman" w:eastAsia="Calibri" w:hAnsi="Times New Roman" w:cs="Times New Roman"/>
          <w:noProof/>
          <w:sz w:val="24"/>
          <w:szCs w:val="24"/>
        </w:rPr>
        <w:t>(Fletcher, 2009)</w:t>
      </w:r>
      <w:r w:rsidRPr="009B5102">
        <w:rPr>
          <w:rFonts w:ascii="Times New Roman" w:eastAsia="Calibri" w:hAnsi="Times New Roman" w:cs="Times New Roman"/>
          <w:sz w:val="24"/>
          <w:szCs w:val="24"/>
        </w:rPr>
        <w:t xml:space="preserve">. </w:t>
      </w:r>
    </w:p>
    <w:p w14:paraId="6BDAE1A7" w14:textId="77777777" w:rsidR="00497B7D" w:rsidRPr="009B5102" w:rsidRDefault="00497B7D" w:rsidP="00346CA5">
      <w:pPr>
        <w:spacing w:after="0" w:line="360" w:lineRule="auto"/>
        <w:rPr>
          <w:rFonts w:ascii="Times New Roman" w:eastAsia="Calibri" w:hAnsi="Times New Roman" w:cs="Times New Roman"/>
          <w:sz w:val="24"/>
          <w:szCs w:val="24"/>
        </w:rPr>
      </w:pPr>
    </w:p>
    <w:p w14:paraId="470FB3D6"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From Dove’s perspective, the sponsorship credits carried a multifaceted mission: First, they had to associate the message and visual language of Dove Pro-Age with the mission of the new show; second, they needed to emphasise the target audience of the new line of products; and </w:t>
      </w:r>
      <w:r w:rsidRPr="009B5102">
        <w:rPr>
          <w:rFonts w:ascii="Times New Roman" w:eastAsia="Calibri" w:hAnsi="Times New Roman" w:cs="Times New Roman"/>
          <w:sz w:val="24"/>
          <w:szCs w:val="24"/>
        </w:rPr>
        <w:lastRenderedPageBreak/>
        <w:t>finally, they needed to tie these directly to the brand’s name and slogan, as well as its actual products. This all had to be fitted into a 15 second narrative that would tie together all these ends</w:t>
      </w:r>
      <w:r w:rsidRPr="00B93D25">
        <w:rPr>
          <w:rStyle w:val="FootnoteReference"/>
        </w:rPr>
        <w:footnoteReference w:id="55"/>
      </w:r>
      <w:r w:rsidRPr="009B5102">
        <w:rPr>
          <w:rFonts w:ascii="Times New Roman" w:eastAsia="Calibri" w:hAnsi="Times New Roman" w:cs="Times New Roman"/>
          <w:sz w:val="24"/>
          <w:szCs w:val="24"/>
        </w:rPr>
        <w:t xml:space="preserve">.  </w:t>
      </w:r>
    </w:p>
    <w:p w14:paraId="4072EF6F" w14:textId="77777777" w:rsidR="00497B7D" w:rsidRPr="009B5102" w:rsidRDefault="00497B7D" w:rsidP="00346CA5">
      <w:pPr>
        <w:spacing w:after="0" w:line="360" w:lineRule="auto"/>
        <w:rPr>
          <w:rFonts w:ascii="Times New Roman" w:eastAsia="Calibri" w:hAnsi="Times New Roman" w:cs="Times New Roman"/>
          <w:sz w:val="24"/>
          <w:szCs w:val="24"/>
        </w:rPr>
      </w:pPr>
    </w:p>
    <w:p w14:paraId="1458553C" w14:textId="4EE57A2A" w:rsidR="00497B7D" w:rsidRPr="009B5102" w:rsidRDefault="00497B7D" w:rsidP="00E32F41">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Indeed</w:t>
      </w:r>
      <w:r w:rsidRPr="009B5102">
        <w:rPr>
          <w:rFonts w:ascii="Times New Roman" w:eastAsia="Calibri" w:hAnsi="Times New Roman" w:cs="Times New Roman"/>
          <w:i/>
          <w:iCs/>
          <w:sz w:val="24"/>
          <w:szCs w:val="24"/>
        </w:rPr>
        <w:t xml:space="preserve">, </w:t>
      </w:r>
      <w:r w:rsidRPr="009B5102">
        <w:rPr>
          <w:rFonts w:ascii="Times New Roman" w:eastAsia="Calibri" w:hAnsi="Times New Roman" w:cs="Times New Roman"/>
          <w:sz w:val="24"/>
          <w:szCs w:val="24"/>
        </w:rPr>
        <w:t>in</w:t>
      </w:r>
      <w:r w:rsidRPr="009B5102">
        <w:rPr>
          <w:rFonts w:ascii="Times New Roman" w:eastAsia="Calibri" w:hAnsi="Times New Roman" w:cs="Times New Roman"/>
          <w:i/>
          <w:iCs/>
          <w:sz w:val="24"/>
          <w:szCs w:val="24"/>
        </w:rPr>
        <w:t xml:space="preserve"> HTLGN</w:t>
      </w:r>
      <w:r w:rsidRPr="009B5102">
        <w:rPr>
          <w:rFonts w:ascii="Times New Roman" w:eastAsia="Calibri" w:hAnsi="Times New Roman" w:cs="Times New Roman"/>
          <w:sz w:val="24"/>
          <w:szCs w:val="24"/>
        </w:rPr>
        <w:t xml:space="preserve"> the sponsorship credits encompass all of these. The series of clips (produced for the first series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present a repeated narrative: A middle-aged good-looking woman, wrapped in a deep-red robe with a thin silver line around it, is presented by her name and age (see Figure </w:t>
      </w:r>
      <w:r w:rsidR="00E32F41">
        <w:rPr>
          <w:rFonts w:ascii="Times New Roman" w:eastAsia="Calibri" w:hAnsi="Times New Roman" w:cs="Times New Roman"/>
          <w:sz w:val="24"/>
          <w:szCs w:val="24"/>
        </w:rPr>
        <w:t>17</w:t>
      </w:r>
      <w:r w:rsidRPr="009B5102">
        <w:rPr>
          <w:rFonts w:ascii="Times New Roman" w:eastAsia="Calibri" w:hAnsi="Times New Roman" w:cs="Times New Roman"/>
          <w:sz w:val="24"/>
          <w:szCs w:val="24"/>
        </w:rPr>
        <w:t xml:space="preserve">). She is set in a cosy interior where she is being pampered in some way (her hair is being brushed, she is being served a cup of coffee) and looks happy and comfortable with herself (she smiles and laughs). She then gently takes off the robe and poses for an artistic nude photo shot against a white background. The next shot is of a variety of Dove Pro-Age products as Pro-Age’s slogan “Beauty has no age limit” appears on screen and the voiceover says “Dove Pro-Age sponsors </w:t>
      </w:r>
      <w:r w:rsidRPr="009B5102">
        <w:rPr>
          <w:rFonts w:ascii="Times New Roman" w:eastAsia="Calibri" w:hAnsi="Times New Roman" w:cs="Times New Roman"/>
          <w:i/>
          <w:iCs/>
          <w:sz w:val="24"/>
          <w:szCs w:val="24"/>
        </w:rPr>
        <w:t>How to Look Good Naked</w:t>
      </w:r>
      <w:r w:rsidRPr="009B5102">
        <w:rPr>
          <w:rFonts w:ascii="Times New Roman" w:eastAsia="Calibri" w:hAnsi="Times New Roman" w:cs="Times New Roman"/>
          <w:sz w:val="24"/>
          <w:szCs w:val="24"/>
        </w:rPr>
        <w:t xml:space="preserve">”. </w:t>
      </w:r>
    </w:p>
    <w:p w14:paraId="1BCAA575" w14:textId="77777777" w:rsidR="00497B7D" w:rsidRPr="009B5102" w:rsidRDefault="00497B7D" w:rsidP="00346CA5">
      <w:pPr>
        <w:spacing w:after="0" w:line="360" w:lineRule="auto"/>
        <w:rPr>
          <w:rFonts w:ascii="Times New Roman" w:eastAsia="Calibri" w:hAnsi="Times New Roman" w:cs="Times New Roman"/>
          <w:sz w:val="24"/>
          <w:szCs w:val="24"/>
        </w:rPr>
      </w:pPr>
    </w:p>
    <w:p w14:paraId="483A37FE"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Each detail in these clips was carefully chosen and designed so that the brand’s messages and commercial goals were woven into the programme’s narrative. To begin with, the clip presents an ‘ordinary’ woman who goes through a process of transformation. This is a shared feature of both the programme, which is all about a personal journey towards empowerment, and the </w:t>
      </w:r>
      <w:r w:rsidRPr="009B5102">
        <w:rPr>
          <w:rFonts w:ascii="Times New Roman" w:eastAsia="Calibri" w:hAnsi="Times New Roman" w:cs="Times New Roman"/>
          <w:i/>
          <w:iCs/>
          <w:sz w:val="24"/>
          <w:szCs w:val="24"/>
        </w:rPr>
        <w:t>Real Beauty</w:t>
      </w:r>
      <w:r w:rsidRPr="009B5102">
        <w:rPr>
          <w:rFonts w:ascii="Times New Roman" w:eastAsia="Calibri" w:hAnsi="Times New Roman" w:cs="Times New Roman"/>
          <w:sz w:val="24"/>
          <w:szCs w:val="24"/>
        </w:rPr>
        <w:t xml:space="preserve"> campaign which presents ‘real’ women empowered by using Dove’s products. Thus, the clip blurs the line between Dove’s ‘real women’ and the participants in the programme. </w:t>
      </w:r>
    </w:p>
    <w:p w14:paraId="7C82F7D7" w14:textId="77777777" w:rsidR="00497B7D" w:rsidRPr="009B5102" w:rsidRDefault="00497B7D" w:rsidP="00346CA5">
      <w:pPr>
        <w:spacing w:after="0" w:line="360" w:lineRule="auto"/>
        <w:rPr>
          <w:rFonts w:ascii="Times New Roman" w:eastAsia="Calibri" w:hAnsi="Times New Roman" w:cs="Times New Roman"/>
          <w:sz w:val="24"/>
          <w:szCs w:val="24"/>
          <w:rtl/>
        </w:rPr>
      </w:pPr>
      <w:r w:rsidRPr="009B5102">
        <w:rPr>
          <w:rFonts w:ascii="Times New Roman" w:eastAsia="Calibri" w:hAnsi="Times New Roman" w:cs="Times New Roman"/>
          <w:sz w:val="24"/>
          <w:szCs w:val="24"/>
        </w:rPr>
        <w:t xml:space="preserve">But while the producers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chose women of various ages (although most of them were married housewives with children), the sponsorship credits clearly focused on the target audience of the brand – women over 45 years of age. </w:t>
      </w:r>
    </w:p>
    <w:p w14:paraId="476AFAE0" w14:textId="77777777" w:rsidR="00497B7D" w:rsidRPr="009B5102" w:rsidRDefault="00497B7D" w:rsidP="00346CA5">
      <w:pPr>
        <w:spacing w:after="0" w:line="360" w:lineRule="auto"/>
        <w:rPr>
          <w:rFonts w:ascii="Times New Roman" w:eastAsia="Calibri" w:hAnsi="Times New Roman" w:cs="Times New Roman"/>
          <w:sz w:val="24"/>
          <w:szCs w:val="24"/>
          <w:rtl/>
        </w:rPr>
      </w:pPr>
      <w:r w:rsidRPr="009B5102">
        <w:rPr>
          <w:rFonts w:ascii="Times New Roman" w:eastAsia="Calibri" w:hAnsi="Times New Roman" w:cs="Times New Roman"/>
          <w:noProof/>
          <w:sz w:val="24"/>
          <w:szCs w:val="24"/>
          <w:lang w:eastAsia="en-GB"/>
        </w:rPr>
        <w:lastRenderedPageBreak/>
        <w:drawing>
          <wp:inline distT="0" distB="0" distL="0" distR="0" wp14:anchorId="2E0284D9" wp14:editId="31AF4915">
            <wp:extent cx="3145569" cy="1956021"/>
            <wp:effectExtent l="19050" t="0" r="0" b="0"/>
            <wp:docPr id="38" name="Picture 1" descr="vlcsnap-2012-08-19-13h05m59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19-13h05m59s0.png"/>
                    <pic:cNvPicPr/>
                  </pic:nvPicPr>
                  <pic:blipFill>
                    <a:blip r:embed="rId30" cstate="print"/>
                    <a:stretch>
                      <a:fillRect/>
                    </a:stretch>
                  </pic:blipFill>
                  <pic:spPr>
                    <a:xfrm>
                      <a:off x="0" y="0"/>
                      <a:ext cx="3139859" cy="1952470"/>
                    </a:xfrm>
                    <a:prstGeom prst="rect">
                      <a:avLst/>
                    </a:prstGeom>
                  </pic:spPr>
                </pic:pic>
              </a:graphicData>
            </a:graphic>
          </wp:inline>
        </w:drawing>
      </w:r>
    </w:p>
    <w:p w14:paraId="6E27424F" w14:textId="77777777" w:rsidR="00497B7D" w:rsidRPr="009B5102" w:rsidRDefault="00497B7D" w:rsidP="00346CA5">
      <w:pPr>
        <w:spacing w:after="0" w:line="360" w:lineRule="auto"/>
        <w:rPr>
          <w:rFonts w:ascii="Times New Roman" w:eastAsia="Calibri" w:hAnsi="Times New Roman" w:cs="Times New Roman"/>
          <w:sz w:val="24"/>
          <w:szCs w:val="24"/>
          <w:rtl/>
        </w:rPr>
      </w:pPr>
      <w:r w:rsidRPr="009B5102">
        <w:rPr>
          <w:rFonts w:ascii="Times New Roman" w:eastAsia="Calibri" w:hAnsi="Times New Roman" w:cs="Times New Roman"/>
          <w:noProof/>
          <w:sz w:val="24"/>
          <w:szCs w:val="24"/>
          <w:rtl/>
          <w:lang w:eastAsia="en-GB"/>
        </w:rPr>
        <w:drawing>
          <wp:inline distT="0" distB="0" distL="0" distR="0" wp14:anchorId="2C9372B6" wp14:editId="2FA47FEB">
            <wp:extent cx="3145569" cy="1900362"/>
            <wp:effectExtent l="19050" t="0" r="0" b="0"/>
            <wp:docPr id="39" name="Picture 2" descr="vlcsnap-2012-08-19-13h05m21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19-13h05m21s76.png"/>
                    <pic:cNvPicPr/>
                  </pic:nvPicPr>
                  <pic:blipFill>
                    <a:blip r:embed="rId31" cstate="print"/>
                    <a:stretch>
                      <a:fillRect/>
                    </a:stretch>
                  </pic:blipFill>
                  <pic:spPr>
                    <a:xfrm>
                      <a:off x="0" y="0"/>
                      <a:ext cx="3143452" cy="1899083"/>
                    </a:xfrm>
                    <a:prstGeom prst="rect">
                      <a:avLst/>
                    </a:prstGeom>
                  </pic:spPr>
                </pic:pic>
              </a:graphicData>
            </a:graphic>
          </wp:inline>
        </w:drawing>
      </w:r>
    </w:p>
    <w:p w14:paraId="7327AFDB" w14:textId="77777777" w:rsidR="00497B7D" w:rsidRPr="009B5102" w:rsidRDefault="00497B7D" w:rsidP="00346CA5">
      <w:pPr>
        <w:spacing w:after="0" w:line="360" w:lineRule="auto"/>
        <w:rPr>
          <w:rFonts w:ascii="Times New Roman" w:eastAsia="Calibri" w:hAnsi="Times New Roman" w:cs="Times New Roman"/>
          <w:sz w:val="24"/>
          <w:szCs w:val="24"/>
          <w:rtl/>
        </w:rPr>
      </w:pPr>
      <w:r w:rsidRPr="009B5102">
        <w:rPr>
          <w:rFonts w:ascii="Times New Roman" w:eastAsia="Calibri" w:hAnsi="Times New Roman" w:cs="Times New Roman"/>
          <w:noProof/>
          <w:sz w:val="24"/>
          <w:szCs w:val="24"/>
          <w:rtl/>
          <w:lang w:eastAsia="en-GB"/>
        </w:rPr>
        <w:drawing>
          <wp:inline distT="0" distB="0" distL="0" distR="0" wp14:anchorId="54CC1F01" wp14:editId="35CE51E4">
            <wp:extent cx="3194243" cy="2067339"/>
            <wp:effectExtent l="19050" t="0" r="6157" b="0"/>
            <wp:docPr id="40" name="Picture 4" descr="vlcsnap-2010-04-19-22h27m42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0-04-19-22h27m42s141.png"/>
                    <pic:cNvPicPr/>
                  </pic:nvPicPr>
                  <pic:blipFill>
                    <a:blip r:embed="rId32" cstate="print"/>
                    <a:stretch>
                      <a:fillRect/>
                    </a:stretch>
                  </pic:blipFill>
                  <pic:spPr>
                    <a:xfrm>
                      <a:off x="0" y="0"/>
                      <a:ext cx="3192218" cy="2066028"/>
                    </a:xfrm>
                    <a:prstGeom prst="rect">
                      <a:avLst/>
                    </a:prstGeom>
                  </pic:spPr>
                </pic:pic>
              </a:graphicData>
            </a:graphic>
          </wp:inline>
        </w:drawing>
      </w:r>
    </w:p>
    <w:p w14:paraId="549258C5" w14:textId="548C7440" w:rsidR="00497B7D" w:rsidRPr="000E4BDB" w:rsidRDefault="00497B7D" w:rsidP="001F761D">
      <w:pPr>
        <w:pStyle w:val="Heading6"/>
      </w:pPr>
      <w:bookmarkStart w:id="65" w:name="_Toc436608092"/>
      <w:bookmarkStart w:id="66" w:name="_Toc445120242"/>
      <w:r w:rsidRPr="000E4BDB">
        <w:t xml:space="preserve">Figure </w:t>
      </w:r>
      <w:r w:rsidR="00E32F41">
        <w:t>17</w:t>
      </w:r>
      <w:r w:rsidRPr="000E4BDB">
        <w:t xml:space="preserve">: Snapshots from different versions of sponsorship credits for Dove’s sponsorship of </w:t>
      </w:r>
      <w:r w:rsidRPr="000E4BDB">
        <w:rPr>
          <w:i/>
          <w:iCs/>
        </w:rPr>
        <w:t>HTLGN</w:t>
      </w:r>
      <w:r w:rsidRPr="000E4BDB">
        <w:t>, Channel 4, 2006.</w:t>
      </w:r>
      <w:bookmarkEnd w:id="65"/>
      <w:bookmarkEnd w:id="66"/>
    </w:p>
    <w:p w14:paraId="0D647348"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Like the visual integration to which I referred in Chapter 5, the robe the women wear is a ‘branded’ one as it carries the colours of Dove’s Pro-Age products (deep red with silver highlights) that are easily identified once the products appear at the end of the clip. The women, thus, are ‘wrapped’ with the brand. Once again, the tendency of brands to adopt an abstract and all-encompassing presence through visual design is being exemplified here</w:t>
      </w:r>
      <w:r>
        <w:rPr>
          <w:rFonts w:ascii="Times New Roman" w:eastAsia="Calibri" w:hAnsi="Times New Roman" w:cs="Times New Roman"/>
          <w:sz w:val="24"/>
          <w:szCs w:val="24"/>
        </w:rPr>
        <w:t xml:space="preserve"> (Moor, 2007)</w:t>
      </w:r>
      <w:r w:rsidRPr="009B5102">
        <w:rPr>
          <w:rFonts w:ascii="Times New Roman" w:eastAsia="Calibri" w:hAnsi="Times New Roman" w:cs="Times New Roman"/>
          <w:sz w:val="24"/>
          <w:szCs w:val="24"/>
        </w:rPr>
        <w:t xml:space="preserve">. </w:t>
      </w:r>
      <w:r w:rsidRPr="009B5102">
        <w:rPr>
          <w:rFonts w:ascii="Times New Roman" w:eastAsia="Calibri" w:hAnsi="Times New Roman" w:cs="Times New Roman"/>
          <w:sz w:val="24"/>
          <w:szCs w:val="24"/>
        </w:rPr>
        <w:lastRenderedPageBreak/>
        <w:t xml:space="preserve">Moreover, it is the branded robe, together with the woman’s apparent experience of ‘indulgence’ (being taken care of by having her hair brushed etc.) that makes her appear comfortable and ‘empowered’ enough to take the robe off and stand naked in front of the camera. </w:t>
      </w:r>
    </w:p>
    <w:p w14:paraId="61A75258" w14:textId="77777777" w:rsidR="00497B7D" w:rsidRPr="009B5102" w:rsidRDefault="00497B7D" w:rsidP="00346CA5">
      <w:pPr>
        <w:spacing w:after="0" w:line="360" w:lineRule="auto"/>
        <w:rPr>
          <w:rFonts w:ascii="Times New Roman" w:eastAsia="Calibri" w:hAnsi="Times New Roman" w:cs="Times New Roman"/>
          <w:sz w:val="24"/>
          <w:szCs w:val="24"/>
        </w:rPr>
      </w:pPr>
    </w:p>
    <w:p w14:paraId="6B0ED4DB" w14:textId="663ECCA8" w:rsidR="00497B7D" w:rsidRPr="009B5102" w:rsidRDefault="00497B7D" w:rsidP="00E32F41">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the next stage the robe is shot as it gently falls down to the floor (see Figure </w:t>
      </w:r>
      <w:r w:rsidR="00E32F41">
        <w:rPr>
          <w:rFonts w:ascii="Times New Roman" w:eastAsia="Calibri" w:hAnsi="Times New Roman" w:cs="Times New Roman"/>
          <w:sz w:val="24"/>
          <w:szCs w:val="24"/>
        </w:rPr>
        <w:t>18</w:t>
      </w:r>
      <w:r w:rsidRPr="009B5102">
        <w:rPr>
          <w:rFonts w:ascii="Times New Roman" w:eastAsia="Calibri" w:hAnsi="Times New Roman" w:cs="Times New Roman"/>
          <w:sz w:val="24"/>
          <w:szCs w:val="24"/>
        </w:rPr>
        <w:t xml:space="preserve">) and the woman is then seen as she poses for the camera against a white background (see Figure </w:t>
      </w:r>
      <w:r w:rsidR="00E32F41">
        <w:rPr>
          <w:rFonts w:ascii="Times New Roman" w:eastAsia="Calibri" w:hAnsi="Times New Roman" w:cs="Times New Roman"/>
          <w:sz w:val="24"/>
          <w:szCs w:val="24"/>
        </w:rPr>
        <w:t>19</w:t>
      </w:r>
      <w:r w:rsidRPr="009B5102">
        <w:rPr>
          <w:rFonts w:ascii="Times New Roman" w:eastAsia="Calibri" w:hAnsi="Times New Roman" w:cs="Times New Roman"/>
          <w:sz w:val="24"/>
          <w:szCs w:val="24"/>
        </w:rPr>
        <w:t xml:space="preserve">). </w:t>
      </w:r>
    </w:p>
    <w:p w14:paraId="3308BC10" w14:textId="77777777" w:rsidR="00497B7D" w:rsidRPr="009B5102" w:rsidRDefault="00497B7D" w:rsidP="00346CA5">
      <w:pPr>
        <w:spacing w:after="0" w:line="360" w:lineRule="auto"/>
        <w:rPr>
          <w:rFonts w:ascii="Times New Roman" w:eastAsia="Calibri" w:hAnsi="Times New Roman" w:cs="Times New Roman"/>
          <w:sz w:val="24"/>
          <w:szCs w:val="24"/>
        </w:rPr>
      </w:pPr>
    </w:p>
    <w:p w14:paraId="712377DE"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47285A37" wp14:editId="7219C745">
            <wp:extent cx="3196783" cy="2035534"/>
            <wp:effectExtent l="19050" t="0" r="3617" b="0"/>
            <wp:docPr id="41" name="Picture 6" descr="vlcsnap-2012-08-19-13h07m10s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19-13h07m10s134.png"/>
                    <pic:cNvPicPr/>
                  </pic:nvPicPr>
                  <pic:blipFill>
                    <a:blip r:embed="rId33" cstate="print"/>
                    <a:stretch>
                      <a:fillRect/>
                    </a:stretch>
                  </pic:blipFill>
                  <pic:spPr>
                    <a:xfrm>
                      <a:off x="0" y="0"/>
                      <a:ext cx="3193363" cy="2033356"/>
                    </a:xfrm>
                    <a:prstGeom prst="rect">
                      <a:avLst/>
                    </a:prstGeom>
                  </pic:spPr>
                </pic:pic>
              </a:graphicData>
            </a:graphic>
          </wp:inline>
        </w:drawing>
      </w:r>
    </w:p>
    <w:p w14:paraId="78BA797B" w14:textId="77777777" w:rsidR="00497B7D" w:rsidRPr="009B5102" w:rsidRDefault="00497B7D" w:rsidP="00346CA5">
      <w:pPr>
        <w:spacing w:after="0" w:line="360" w:lineRule="auto"/>
        <w:rPr>
          <w:rFonts w:ascii="Times New Roman" w:eastAsia="Calibri" w:hAnsi="Times New Roman" w:cs="Times New Roman"/>
          <w:sz w:val="24"/>
          <w:szCs w:val="24"/>
        </w:rPr>
      </w:pPr>
    </w:p>
    <w:p w14:paraId="24D34B03"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61FE935B" wp14:editId="7E67FC78">
            <wp:extent cx="3272790" cy="2019631"/>
            <wp:effectExtent l="19050" t="0" r="3810" b="0"/>
            <wp:docPr id="42" name="Picture 3" descr="vlcsnap-2010-04-19-22h32m16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0-04-19-22h32m16s65.png"/>
                    <pic:cNvPicPr/>
                  </pic:nvPicPr>
                  <pic:blipFill>
                    <a:blip r:embed="rId34" cstate="print"/>
                    <a:stretch>
                      <a:fillRect/>
                    </a:stretch>
                  </pic:blipFill>
                  <pic:spPr>
                    <a:xfrm>
                      <a:off x="0" y="0"/>
                      <a:ext cx="3271706" cy="2018962"/>
                    </a:xfrm>
                    <a:prstGeom prst="rect">
                      <a:avLst/>
                    </a:prstGeom>
                  </pic:spPr>
                </pic:pic>
              </a:graphicData>
            </a:graphic>
          </wp:inline>
        </w:drawing>
      </w:r>
      <w:r w:rsidRPr="009B5102">
        <w:rPr>
          <w:rFonts w:ascii="Times New Roman" w:eastAsia="Calibri" w:hAnsi="Times New Roman" w:cs="Times New Roman"/>
          <w:sz w:val="24"/>
          <w:szCs w:val="24"/>
        </w:rPr>
        <w:t xml:space="preserve"> </w:t>
      </w:r>
    </w:p>
    <w:p w14:paraId="58F17826" w14:textId="123E2F63" w:rsidR="00497B7D" w:rsidRPr="000E4BDB" w:rsidRDefault="00497B7D" w:rsidP="00E32F41">
      <w:pPr>
        <w:pStyle w:val="Heading6"/>
      </w:pPr>
      <w:bookmarkStart w:id="67" w:name="OLE_LINK3"/>
      <w:bookmarkStart w:id="68" w:name="OLE_LINK4"/>
      <w:bookmarkStart w:id="69" w:name="_Toc436608093"/>
      <w:bookmarkStart w:id="70" w:name="_Toc445120243"/>
      <w:r w:rsidRPr="000E4BDB">
        <w:t xml:space="preserve">Figure </w:t>
      </w:r>
      <w:r w:rsidR="00E32F41">
        <w:t>18</w:t>
      </w:r>
      <w:r w:rsidRPr="000E4BDB">
        <w:t xml:space="preserve">: Snapshots from different versions of sponsorship credits for Dove’s sponsorship of </w:t>
      </w:r>
      <w:r w:rsidRPr="000E4BDB">
        <w:rPr>
          <w:i/>
          <w:iCs/>
        </w:rPr>
        <w:t>HTLGN</w:t>
      </w:r>
      <w:r w:rsidRPr="000E4BDB">
        <w:t>, Channel 4, 2006</w:t>
      </w:r>
      <w:bookmarkEnd w:id="67"/>
      <w:bookmarkEnd w:id="68"/>
      <w:r w:rsidRPr="000E4BDB">
        <w:t>.</w:t>
      </w:r>
      <w:bookmarkEnd w:id="69"/>
      <w:bookmarkEnd w:id="70"/>
    </w:p>
    <w:p w14:paraId="429B1D46" w14:textId="52C98A7B"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This is a particularly interesting, even ironic, moment, if we refer to the history of the programme. As I previously mentioned, the format was strongly inspired by the original </w:t>
      </w:r>
      <w:r w:rsidRPr="009B5102">
        <w:rPr>
          <w:rFonts w:ascii="Times New Roman" w:eastAsia="Calibri" w:hAnsi="Times New Roman" w:cs="Times New Roman"/>
          <w:i/>
          <w:iCs/>
          <w:sz w:val="24"/>
          <w:szCs w:val="24"/>
        </w:rPr>
        <w:t xml:space="preserve">Real Beauty </w:t>
      </w:r>
      <w:r w:rsidRPr="009B5102">
        <w:rPr>
          <w:rFonts w:ascii="Times New Roman" w:eastAsia="Calibri" w:hAnsi="Times New Roman" w:cs="Times New Roman"/>
          <w:sz w:val="24"/>
          <w:szCs w:val="24"/>
        </w:rPr>
        <w:t xml:space="preserve">campaign by Dove which presented ordinary women as iconic ones, against a white background. The sponsorship clips now refer back to the programme that was inspired by the brand to begin with. In this circle of co-referencing, the makeover process which the show aims </w:t>
      </w:r>
      <w:r w:rsidRPr="009B5102">
        <w:rPr>
          <w:rFonts w:ascii="Times New Roman" w:eastAsia="Calibri" w:hAnsi="Times New Roman" w:cs="Times New Roman"/>
          <w:sz w:val="24"/>
          <w:szCs w:val="24"/>
        </w:rPr>
        <w:lastRenderedPageBreak/>
        <w:t xml:space="preserve">to lead and the use of Dove Pro-Age products are unified: </w:t>
      </w:r>
      <w:r w:rsidR="00181C52" w:rsidRPr="009B5102">
        <w:rPr>
          <w:rFonts w:ascii="Times New Roman" w:eastAsia="Calibri" w:hAnsi="Times New Roman" w:cs="Times New Roman"/>
          <w:sz w:val="24"/>
          <w:szCs w:val="24"/>
        </w:rPr>
        <w:t>Go</w:t>
      </w:r>
      <w:r w:rsidR="006F46B8">
        <w:rPr>
          <w:rFonts w:ascii="Times New Roman" w:eastAsia="Calibri" w:hAnsi="Times New Roman" w:cs="Times New Roman"/>
          <w:sz w:val="24"/>
          <w:szCs w:val="24"/>
        </w:rPr>
        <w:t>k</w:t>
      </w:r>
      <w:r w:rsidR="00181C52" w:rsidRPr="009B5102">
        <w:rPr>
          <w:rFonts w:ascii="Times New Roman" w:eastAsia="Calibri" w:hAnsi="Times New Roman" w:cs="Times New Roman"/>
          <w:sz w:val="24"/>
          <w:szCs w:val="24"/>
        </w:rPr>
        <w:t>'s</w:t>
      </w:r>
      <w:r w:rsidRPr="009B5102">
        <w:rPr>
          <w:rFonts w:ascii="Times New Roman" w:eastAsia="Calibri" w:hAnsi="Times New Roman" w:cs="Times New Roman"/>
          <w:sz w:val="24"/>
          <w:szCs w:val="24"/>
        </w:rPr>
        <w:t xml:space="preserve"> journey and the use of Dove Pro-Age products become practically the same act of empowerment and liberation. </w:t>
      </w:r>
    </w:p>
    <w:p w14:paraId="53BEED9B"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5EAE31B7"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764D95CE" wp14:editId="1978F6C0">
            <wp:extent cx="3268980" cy="1899690"/>
            <wp:effectExtent l="19050" t="0" r="7620" b="0"/>
            <wp:docPr id="43" name="Picture 10" descr="vlcsnap-2010-04-19-22h32m38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0-04-19-22h32m38s26.png"/>
                    <pic:cNvPicPr/>
                  </pic:nvPicPr>
                  <pic:blipFill>
                    <a:blip r:embed="rId35" cstate="print"/>
                    <a:stretch>
                      <a:fillRect/>
                    </a:stretch>
                  </pic:blipFill>
                  <pic:spPr>
                    <a:xfrm>
                      <a:off x="0" y="0"/>
                      <a:ext cx="3270204" cy="1900402"/>
                    </a:xfrm>
                    <a:prstGeom prst="rect">
                      <a:avLst/>
                    </a:prstGeom>
                  </pic:spPr>
                </pic:pic>
              </a:graphicData>
            </a:graphic>
          </wp:inline>
        </w:drawing>
      </w:r>
    </w:p>
    <w:p w14:paraId="5BB63496"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509EE16A" wp14:editId="7A3A8C27">
            <wp:extent cx="3265170" cy="2019631"/>
            <wp:effectExtent l="19050" t="0" r="0" b="0"/>
            <wp:docPr id="44" name="Picture 7" descr="vlcsnap-2010-04-19-22h27m26s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0-04-19-22h27m26s229.png"/>
                    <pic:cNvPicPr/>
                  </pic:nvPicPr>
                  <pic:blipFill>
                    <a:blip r:embed="rId36" cstate="print"/>
                    <a:stretch>
                      <a:fillRect/>
                    </a:stretch>
                  </pic:blipFill>
                  <pic:spPr>
                    <a:xfrm>
                      <a:off x="0" y="0"/>
                      <a:ext cx="3270206" cy="2022746"/>
                    </a:xfrm>
                    <a:prstGeom prst="rect">
                      <a:avLst/>
                    </a:prstGeom>
                  </pic:spPr>
                </pic:pic>
              </a:graphicData>
            </a:graphic>
          </wp:inline>
        </w:drawing>
      </w:r>
    </w:p>
    <w:p w14:paraId="780C490A" w14:textId="76ACA115" w:rsidR="00497B7D" w:rsidRPr="000E4BDB" w:rsidRDefault="00497B7D" w:rsidP="00E32F41">
      <w:pPr>
        <w:pStyle w:val="Heading6"/>
        <w:rPr>
          <w:rtl/>
        </w:rPr>
      </w:pPr>
      <w:bookmarkStart w:id="71" w:name="_Toc436608094"/>
      <w:bookmarkStart w:id="72" w:name="_Toc445120244"/>
      <w:r w:rsidRPr="000E4BDB">
        <w:t xml:space="preserve">Figure </w:t>
      </w:r>
      <w:r w:rsidR="00E32F41">
        <w:t>19</w:t>
      </w:r>
      <w:r w:rsidRPr="000E4BDB">
        <w:t xml:space="preserve">: Snapshots from different versions of sponsorship credits for Dove’s sponsorship of </w:t>
      </w:r>
      <w:r w:rsidRPr="00785053">
        <w:rPr>
          <w:i/>
          <w:iCs/>
        </w:rPr>
        <w:t>HTLGN</w:t>
      </w:r>
      <w:r w:rsidRPr="000E4BDB">
        <w:t>, Channel 4, 2006.</w:t>
      </w:r>
      <w:bookmarkEnd w:id="71"/>
      <w:bookmarkEnd w:id="72"/>
    </w:p>
    <w:p w14:paraId="0A5AE9B7" w14:textId="18D27996" w:rsidR="00497B7D" w:rsidRPr="009B5102" w:rsidRDefault="00497B7D" w:rsidP="00E32F41">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15 second clips end with a direct commercial exposure of the brand through the presentation of Pro-Age products, the brand’s slogan and the voiceover sponsorship credit (see Figure </w:t>
      </w:r>
      <w:r w:rsidR="00E32F41">
        <w:rPr>
          <w:rFonts w:ascii="Times New Roman" w:eastAsia="Calibri" w:hAnsi="Times New Roman" w:cs="Times New Roman"/>
          <w:sz w:val="24"/>
          <w:szCs w:val="24"/>
        </w:rPr>
        <w:t>20</w:t>
      </w:r>
      <w:r w:rsidRPr="009B5102">
        <w:rPr>
          <w:rFonts w:ascii="Times New Roman" w:eastAsia="Calibri" w:hAnsi="Times New Roman" w:cs="Times New Roman"/>
          <w:sz w:val="24"/>
          <w:szCs w:val="24"/>
        </w:rPr>
        <w:t xml:space="preserve">). This last part finally ties together all ends: the brand as an image (its ‘values’ and visual presence), the programme’s narrative (a journey of transformation though self-care towards getting naked in front of the camera) and the overt commercial goal: selling a new line of anti-aging products to a well-defined target audience of middle-aged women. Thus, the sponsorship clip is carefully designed to make use of the </w:t>
      </w:r>
      <w:r w:rsidR="00181C52" w:rsidRPr="009B5102">
        <w:rPr>
          <w:rFonts w:ascii="Times New Roman" w:eastAsia="Calibri" w:hAnsi="Times New Roman" w:cs="Times New Roman"/>
          <w:sz w:val="24"/>
          <w:szCs w:val="24"/>
        </w:rPr>
        <w:t>programmes</w:t>
      </w:r>
      <w:r w:rsidRPr="009B5102">
        <w:rPr>
          <w:rFonts w:ascii="Times New Roman" w:eastAsia="Calibri" w:hAnsi="Times New Roman" w:cs="Times New Roman"/>
          <w:sz w:val="24"/>
          <w:szCs w:val="24"/>
        </w:rPr>
        <w:t xml:space="preserve"> content. The result is that the line between the two is blurred. These clips therefore, cannot be seen as simply credits to the sponsor, but as a form of a commercial anchored in programming - a hybrid of the two. </w:t>
      </w:r>
    </w:p>
    <w:p w14:paraId="5CC4C64E"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lastRenderedPageBreak/>
        <w:drawing>
          <wp:inline distT="0" distB="0" distL="0" distR="0" wp14:anchorId="331F9C8B" wp14:editId="5EC55B62">
            <wp:extent cx="4495800" cy="2286000"/>
            <wp:effectExtent l="19050" t="0" r="0" b="0"/>
            <wp:docPr id="45" name="Picture 11" descr="vlcsnap-2010-04-19-22h27m49s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0-04-19-22h27m49s212.png"/>
                    <pic:cNvPicPr/>
                  </pic:nvPicPr>
                  <pic:blipFill>
                    <a:blip r:embed="rId37" cstate="print"/>
                    <a:stretch>
                      <a:fillRect/>
                    </a:stretch>
                  </pic:blipFill>
                  <pic:spPr>
                    <a:xfrm>
                      <a:off x="0" y="0"/>
                      <a:ext cx="4495800" cy="2286000"/>
                    </a:xfrm>
                    <a:prstGeom prst="rect">
                      <a:avLst/>
                    </a:prstGeom>
                  </pic:spPr>
                </pic:pic>
              </a:graphicData>
            </a:graphic>
          </wp:inline>
        </w:drawing>
      </w:r>
    </w:p>
    <w:p w14:paraId="03F87A5A" w14:textId="153773D2" w:rsidR="00497B7D" w:rsidRPr="000E4BDB" w:rsidRDefault="00497B7D" w:rsidP="00E32F41">
      <w:pPr>
        <w:spacing w:after="0" w:line="360" w:lineRule="auto"/>
        <w:rPr>
          <w:rFonts w:ascii="Times New Roman" w:eastAsia="Calibri" w:hAnsi="Times New Roman" w:cs="Times New Roman"/>
          <w:sz w:val="20"/>
          <w:szCs w:val="20"/>
        </w:rPr>
      </w:pPr>
      <w:bookmarkStart w:id="73" w:name="_Toc436608095"/>
      <w:bookmarkStart w:id="74" w:name="_Toc445120245"/>
      <w:r w:rsidRPr="001C4E6F">
        <w:rPr>
          <w:rStyle w:val="Heading6Char"/>
        </w:rPr>
        <w:t xml:space="preserve">Figure </w:t>
      </w:r>
      <w:r w:rsidR="00E32F41" w:rsidRPr="001C4E6F">
        <w:rPr>
          <w:rStyle w:val="Heading6Char"/>
        </w:rPr>
        <w:t>2</w:t>
      </w:r>
      <w:r w:rsidR="00E32F41">
        <w:rPr>
          <w:rStyle w:val="Heading6Char"/>
        </w:rPr>
        <w:t>0</w:t>
      </w:r>
      <w:r w:rsidRPr="001C4E6F">
        <w:rPr>
          <w:rStyle w:val="Heading6Char"/>
        </w:rPr>
        <w:t xml:space="preserve">: A snapshot from the sponsorship bumpers for Dove’s sponsorship of </w:t>
      </w:r>
      <w:r w:rsidRPr="00785053">
        <w:rPr>
          <w:rStyle w:val="Heading6Char"/>
          <w:i/>
          <w:iCs/>
        </w:rPr>
        <w:t>HTLGN</w:t>
      </w:r>
      <w:r w:rsidRPr="001C4E6F">
        <w:rPr>
          <w:rStyle w:val="Heading6Char"/>
        </w:rPr>
        <w:t>, Channel 4, 2006</w:t>
      </w:r>
      <w:bookmarkEnd w:id="73"/>
      <w:bookmarkEnd w:id="74"/>
      <w:r w:rsidRPr="000E4BDB">
        <w:rPr>
          <w:rFonts w:ascii="Times New Roman" w:eastAsia="Calibri" w:hAnsi="Times New Roman" w:cs="Times New Roman"/>
          <w:sz w:val="20"/>
          <w:szCs w:val="20"/>
        </w:rPr>
        <w:t>.</w:t>
      </w:r>
    </w:p>
    <w:p w14:paraId="6E7A8444" w14:textId="77777777" w:rsidR="00497B7D" w:rsidRPr="009B5102" w:rsidRDefault="00497B7D" w:rsidP="00346CA5">
      <w:pPr>
        <w:spacing w:after="0" w:line="360" w:lineRule="auto"/>
        <w:rPr>
          <w:rFonts w:ascii="Times New Roman" w:eastAsia="Calibri" w:hAnsi="Times New Roman" w:cs="Times New Roman"/>
          <w:sz w:val="24"/>
          <w:szCs w:val="24"/>
        </w:rPr>
      </w:pPr>
    </w:p>
    <w:p w14:paraId="6D312008" w14:textId="77777777" w:rsidR="00497B7D" w:rsidRPr="009B5102" w:rsidRDefault="00497B7D" w:rsidP="00346CA5">
      <w:pPr>
        <w:pStyle w:val="Heading3"/>
      </w:pPr>
      <w:bookmarkStart w:id="75" w:name="_Toc445202692"/>
      <w:r w:rsidRPr="009B5102">
        <w:rPr>
          <w:i/>
          <w:iCs/>
        </w:rPr>
        <w:t>Overdraft Family</w:t>
      </w:r>
      <w:r w:rsidRPr="009B5102">
        <w:t>, Shufersal-Deal and Bank Hapo’alim: Commercial Vignettes</w:t>
      </w:r>
      <w:bookmarkEnd w:id="75"/>
      <w:r w:rsidRPr="009B5102">
        <w:t xml:space="preserve"> </w:t>
      </w:r>
    </w:p>
    <w:p w14:paraId="10A6D283"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case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in Israel provides an insight into another form of brand association through commercial vignettes, which became widely used on Israeli commercial channels from the early 2000s until 2008. </w:t>
      </w:r>
    </w:p>
    <w:p w14:paraId="6AE6ABF3" w14:textId="77777777" w:rsidR="00497B7D" w:rsidRPr="009B5102" w:rsidRDefault="00497B7D" w:rsidP="00346CA5">
      <w:pPr>
        <w:spacing w:after="0" w:line="360" w:lineRule="auto"/>
        <w:rPr>
          <w:rFonts w:ascii="Times New Roman" w:eastAsia="Calibri" w:hAnsi="Times New Roman" w:cs="Times New Roman"/>
          <w:sz w:val="24"/>
          <w:szCs w:val="24"/>
        </w:rPr>
      </w:pPr>
    </w:p>
    <w:p w14:paraId="2E5F8A9B"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Commercial vignettes- often referred to as ‘fillers’ in the professional jargon - were an important element in the complicated sponsorship agreements that both brands - Bank Hapo’alim and Shufersal-Deal - signed with the broadcaster. For the purpose of understanding their dominance: commercial vignettes for Bank Hapo’alim were broadcast 45 times during the 16 episodes of the fourth series of the programme</w:t>
      </w:r>
      <w:r>
        <w:rPr>
          <w:rFonts w:ascii="Times New Roman" w:eastAsia="Calibri" w:hAnsi="Times New Roman" w:cs="Times New Roman"/>
          <w:sz w:val="24"/>
          <w:szCs w:val="24"/>
        </w:rPr>
        <w:t xml:space="preserve"> (Bank Hapo’alim, 2010)</w:t>
      </w:r>
      <w:r w:rsidRPr="009B5102">
        <w:rPr>
          <w:rFonts w:ascii="Times New Roman" w:eastAsia="Calibri" w:hAnsi="Times New Roman" w:cs="Times New Roman"/>
          <w:sz w:val="24"/>
          <w:szCs w:val="24"/>
        </w:rPr>
        <w:t>; commercial vignettes for Shufersal-Deal were broadcast 48 times during the 12 episodes of the fifth series. A presentation of Shufersal-Deal’s sponsorship agreement by Gitam-BBDO’s branded content agency reveals an estimation of the worth of these ‘fillers’ in media buying terms: it was estimated that these 48 exposures of the brand were worth 810,000 shekels (around £135,000 ), out of a total value of 1,602,000 shekels for the whole deal (around £267,000)</w:t>
      </w:r>
      <w:r w:rsidRPr="00B93D25">
        <w:rPr>
          <w:rStyle w:val="FootnoteReference"/>
        </w:rPr>
        <w:footnoteReference w:id="56"/>
      </w:r>
      <w:r w:rsidRPr="009B5102">
        <w:rPr>
          <w:rFonts w:ascii="Times New Roman" w:eastAsia="Calibri" w:hAnsi="Times New Roman" w:cs="Times New Roman"/>
          <w:sz w:val="24"/>
          <w:szCs w:val="24"/>
        </w:rPr>
        <w:t xml:space="preserve">. That is, commercial vignettes constituted around 50% of the total estimated value of the whole sponsorship deal </w:t>
      </w:r>
      <w:r w:rsidRPr="009B5102">
        <w:rPr>
          <w:rFonts w:ascii="Times New Roman" w:eastAsia="Calibri" w:hAnsi="Times New Roman" w:cs="Times New Roman"/>
          <w:noProof/>
          <w:sz w:val="24"/>
          <w:szCs w:val="24"/>
        </w:rPr>
        <w:t>(Gitam-BBDO, 2010)</w:t>
      </w:r>
      <w:r w:rsidRPr="009B5102">
        <w:rPr>
          <w:rFonts w:ascii="Times New Roman" w:eastAsia="Calibri" w:hAnsi="Times New Roman" w:cs="Times New Roman"/>
          <w:sz w:val="24"/>
          <w:szCs w:val="24"/>
        </w:rPr>
        <w:t xml:space="preserve">. </w:t>
      </w:r>
    </w:p>
    <w:p w14:paraId="22552391"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From the viewer’s perspective, commercial vignettes seem to be simply a short extension of the programme, since it is usually presented by a character identified with the programme (e.g. the presenter, a regular consultant on the programme or a family that was participating) and relates to the topic of the programme. It usually offers some extra information, such as tips, advice and other ideas, that are presented as a practical tool for viewers. In some cases the ‘filler’ involves a competition based on the programme’s topic. </w:t>
      </w:r>
    </w:p>
    <w:p w14:paraId="3742418D" w14:textId="77777777" w:rsidR="00497B7D" w:rsidRPr="009B5102" w:rsidRDefault="00497B7D" w:rsidP="00346CA5">
      <w:pPr>
        <w:spacing w:after="0" w:line="360" w:lineRule="auto"/>
        <w:rPr>
          <w:rFonts w:ascii="Times New Roman" w:eastAsia="Calibri" w:hAnsi="Times New Roman" w:cs="Times New Roman"/>
          <w:sz w:val="24"/>
          <w:szCs w:val="24"/>
        </w:rPr>
      </w:pPr>
    </w:p>
    <w:p w14:paraId="03D989D4"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But in practice, commercial vignettes are carefully constructed to integrate commercial messages into the content of the programme and then encourage viewers to go to the programme’s website, where more editorial information as well as further commercial interaction with the sponsor awaits them. According to Golan Pratzer, the branded content agent behind the Bank Hapo’alim and Shufersal-Deal agreements, the ‘fillers’ are:</w:t>
      </w:r>
    </w:p>
    <w:p w14:paraId="4B89480E" w14:textId="77777777" w:rsidR="00497B7D" w:rsidRPr="009B5102" w:rsidRDefault="00497B7D" w:rsidP="00346CA5">
      <w:pPr>
        <w:spacing w:after="0" w:line="360" w:lineRule="auto"/>
        <w:rPr>
          <w:rFonts w:ascii="Times New Roman" w:eastAsia="Calibri" w:hAnsi="Times New Roman" w:cs="Times New Roman"/>
          <w:sz w:val="24"/>
          <w:szCs w:val="24"/>
        </w:rPr>
      </w:pPr>
    </w:p>
    <w:p w14:paraId="6C9E2A35"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a branded promo for the programme. It is a product that integrates the sponsor with the content (Pratzer, 2011). </w:t>
      </w:r>
    </w:p>
    <w:p w14:paraId="0AC62D64" w14:textId="77777777" w:rsidR="00497B7D" w:rsidRPr="009B5102" w:rsidRDefault="00497B7D" w:rsidP="00346CA5">
      <w:pPr>
        <w:spacing w:after="0" w:line="360" w:lineRule="auto"/>
        <w:rPr>
          <w:rFonts w:ascii="Times New Roman" w:eastAsia="Calibri" w:hAnsi="Times New Roman" w:cs="Times New Roman"/>
          <w:sz w:val="24"/>
          <w:szCs w:val="24"/>
        </w:rPr>
      </w:pPr>
    </w:p>
    <w:p w14:paraId="6FC80BCC" w14:textId="34563AD4"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Indeed, the commercial vignettes in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like the sponsorship credits for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were tailored to blur the line between the messages of the sponsors and the format of the programme. They typically follow a format which begins by offering advice related to the sponsor’s field (banking advice in the case of Bank Hapo’alim, or smart shopping advice in the case of Shufersal-Deal) and then invites viewers to go to the website to take part in a contest and win a prize from the sponsor. The segment ends with the sponsor’s credit and a slogan that emphasises the brand’s connection to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’s topic.</w:t>
      </w:r>
    </w:p>
    <w:p w14:paraId="68799355" w14:textId="0171C326" w:rsidR="00497B7D" w:rsidRPr="009B5102" w:rsidRDefault="00497B7D" w:rsidP="00346CA5">
      <w:pPr>
        <w:spacing w:after="0" w:line="360" w:lineRule="auto"/>
        <w:rPr>
          <w:rFonts w:ascii="Times New Roman" w:eastAsia="Calibri" w:hAnsi="Times New Roman" w:cs="Times New Roman"/>
          <w:sz w:val="24"/>
          <w:szCs w:val="24"/>
        </w:rPr>
      </w:pPr>
    </w:p>
    <w:p w14:paraId="1B161865" w14:textId="77777777" w:rsidR="00497B7D" w:rsidRDefault="00497B7D" w:rsidP="00346CA5">
      <w:pPr>
        <w:pStyle w:val="Heading3"/>
      </w:pPr>
    </w:p>
    <w:p w14:paraId="39B29F7A" w14:textId="77777777" w:rsidR="00497B7D" w:rsidRDefault="00497B7D" w:rsidP="00346CA5">
      <w:pPr>
        <w:pStyle w:val="Heading3"/>
      </w:pPr>
    </w:p>
    <w:p w14:paraId="149CDB6C" w14:textId="77777777" w:rsidR="00497B7D" w:rsidRDefault="00497B7D" w:rsidP="00346CA5">
      <w:pPr>
        <w:rPr>
          <w:rFonts w:ascii="Times New Roman" w:eastAsia="Calibri" w:hAnsi="Times New Roman" w:cs="Times New Roman"/>
          <w:b/>
          <w:bCs/>
          <w:sz w:val="24"/>
          <w:szCs w:val="24"/>
        </w:rPr>
      </w:pPr>
      <w:r>
        <w:br w:type="page"/>
      </w:r>
    </w:p>
    <w:p w14:paraId="609A7861" w14:textId="77777777" w:rsidR="00497B7D" w:rsidRPr="00A93F9A" w:rsidRDefault="00497B7D" w:rsidP="00346CA5">
      <w:pPr>
        <w:pStyle w:val="Heading5"/>
      </w:pPr>
      <w:r w:rsidRPr="00A93F9A">
        <w:lastRenderedPageBreak/>
        <w:t>Bank Hapo’alim</w:t>
      </w:r>
    </w:p>
    <w:p w14:paraId="2108F948" w14:textId="0B62FE62" w:rsidR="00497B7D" w:rsidRDefault="00497B7D" w:rsidP="00E32F41">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For each sponsor, a variety of such vignettes were produced for every series</w:t>
      </w:r>
      <w:r w:rsidRPr="00B93D25">
        <w:rPr>
          <w:rStyle w:val="FootnoteReference"/>
        </w:rPr>
        <w:footnoteReference w:id="57"/>
      </w:r>
      <w:r w:rsidRPr="009B5102">
        <w:rPr>
          <w:rFonts w:ascii="Times New Roman" w:eastAsia="Calibri" w:hAnsi="Times New Roman" w:cs="Times New Roman"/>
          <w:sz w:val="24"/>
          <w:szCs w:val="24"/>
        </w:rPr>
        <w:t xml:space="preserve">. For example, a commercial vignette for Bank Hapo’alim opened with the title “A family in growth” (a slogan used by the bank in other ventures) against a graphic animation of the bank’s logo (see Figure </w:t>
      </w:r>
      <w:r w:rsidR="00E32F41">
        <w:rPr>
          <w:rFonts w:ascii="Times New Roman" w:eastAsia="Calibri" w:hAnsi="Times New Roman" w:cs="Times New Roman"/>
          <w:sz w:val="24"/>
          <w:szCs w:val="24"/>
        </w:rPr>
        <w:t>21</w:t>
      </w:r>
      <w:r w:rsidRPr="009B5102">
        <w:rPr>
          <w:rFonts w:ascii="Times New Roman" w:eastAsia="Calibri" w:hAnsi="Times New Roman" w:cs="Times New Roman"/>
          <w:sz w:val="24"/>
          <w:szCs w:val="24"/>
        </w:rPr>
        <w:t>).</w:t>
      </w:r>
    </w:p>
    <w:p w14:paraId="7050030A" w14:textId="77777777" w:rsidR="00497B7D" w:rsidRPr="009B5102" w:rsidRDefault="00497B7D" w:rsidP="00346CA5">
      <w:pPr>
        <w:spacing w:after="0" w:line="360" w:lineRule="auto"/>
        <w:rPr>
          <w:rFonts w:ascii="Times New Roman" w:eastAsia="Calibri" w:hAnsi="Times New Roman" w:cs="Times New Roman"/>
          <w:sz w:val="24"/>
          <w:szCs w:val="24"/>
        </w:rPr>
      </w:pPr>
    </w:p>
    <w:p w14:paraId="48918633"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544FA51A" wp14:editId="0E7DC2DF">
            <wp:extent cx="2533319" cy="1828800"/>
            <wp:effectExtent l="19050" t="0" r="331" b="0"/>
            <wp:docPr id="46" name="Picture 1" descr="vlcsnap-2012-08-21-16h49m41s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1-16h49m41s134.png"/>
                    <pic:cNvPicPr/>
                  </pic:nvPicPr>
                  <pic:blipFill>
                    <a:blip r:embed="rId38" cstate="print"/>
                    <a:stretch>
                      <a:fillRect/>
                    </a:stretch>
                  </pic:blipFill>
                  <pic:spPr>
                    <a:xfrm>
                      <a:off x="0" y="0"/>
                      <a:ext cx="2531874" cy="1827757"/>
                    </a:xfrm>
                    <a:prstGeom prst="rect">
                      <a:avLst/>
                    </a:prstGeom>
                  </pic:spPr>
                </pic:pic>
              </a:graphicData>
            </a:graphic>
          </wp:inline>
        </w:drawing>
      </w:r>
      <w:r w:rsidRPr="009B5102">
        <w:rPr>
          <w:rFonts w:ascii="Times New Roman" w:eastAsia="Calibri" w:hAnsi="Times New Roman" w:cs="Times New Roman"/>
          <w:sz w:val="24"/>
          <w:szCs w:val="24"/>
        </w:rPr>
        <w:t xml:space="preserve"> </w:t>
      </w:r>
    </w:p>
    <w:p w14:paraId="11D63E34" w14:textId="0C9DF9D2" w:rsidR="00497B7D" w:rsidRPr="000E4BDB" w:rsidRDefault="00497B7D" w:rsidP="00E32F41">
      <w:pPr>
        <w:pStyle w:val="Heading6"/>
      </w:pPr>
      <w:bookmarkStart w:id="76" w:name="_Toc436608096"/>
      <w:bookmarkStart w:id="77" w:name="_Toc445120246"/>
      <w:r w:rsidRPr="000E4BDB">
        <w:t xml:space="preserve">Figure </w:t>
      </w:r>
      <w:r w:rsidR="00E32F41">
        <w:t>21</w:t>
      </w:r>
      <w:r w:rsidRPr="000E4BDB">
        <w:t xml:space="preserve">: A snapshot from a commercial vignette for Bank Hapo’alim around </w:t>
      </w:r>
      <w:r w:rsidRPr="000E4BDB">
        <w:rPr>
          <w:i/>
          <w:iCs/>
        </w:rPr>
        <w:t>Overdraft Family</w:t>
      </w:r>
      <w:r w:rsidRPr="000E4BDB">
        <w:t>:</w:t>
      </w:r>
      <w:r w:rsidRPr="000E4BDB">
        <w:rPr>
          <w:i/>
          <w:iCs/>
        </w:rPr>
        <w:t xml:space="preserve"> </w:t>
      </w:r>
      <w:r w:rsidRPr="000E4BDB">
        <w:t>“A family in growth” against the bank’s branding.</w:t>
      </w:r>
      <w:bookmarkEnd w:id="76"/>
      <w:bookmarkEnd w:id="77"/>
    </w:p>
    <w:p w14:paraId="631D050A" w14:textId="04584414" w:rsidR="00497B7D" w:rsidRPr="009B5102" w:rsidRDefault="00497B7D" w:rsidP="00346CA5">
      <w:pPr>
        <w:spacing w:after="0" w:line="360" w:lineRule="auto"/>
        <w:rPr>
          <w:rFonts w:ascii="Times New Roman" w:eastAsia="Calibri" w:hAnsi="Times New Roman" w:cs="Times New Roman"/>
          <w:sz w:val="24"/>
          <w:szCs w:val="24"/>
        </w:rPr>
      </w:pPr>
    </w:p>
    <w:p w14:paraId="6B573AA7" w14:textId="6FC5A6D4" w:rsidR="00497B7D" w:rsidRPr="009B5102" w:rsidRDefault="00497B7D" w:rsidP="00E32F41">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Then, the representative of the bank in the programme, Nurit Raz, appeared in full screen and presented advice for better financial management (see Figure </w:t>
      </w:r>
      <w:r w:rsidR="00E32F41">
        <w:rPr>
          <w:rFonts w:ascii="Times New Roman" w:eastAsia="Calibri" w:hAnsi="Times New Roman" w:cs="Times New Roman"/>
          <w:sz w:val="24"/>
          <w:szCs w:val="24"/>
        </w:rPr>
        <w:t>22</w:t>
      </w:r>
      <w:r w:rsidRPr="009B5102">
        <w:rPr>
          <w:rFonts w:ascii="Times New Roman" w:eastAsia="Calibri" w:hAnsi="Times New Roman" w:cs="Times New Roman"/>
          <w:sz w:val="24"/>
          <w:szCs w:val="24"/>
        </w:rPr>
        <w:t xml:space="preserve">): </w:t>
      </w:r>
    </w:p>
    <w:p w14:paraId="0C7219B3" w14:textId="77777777" w:rsidR="00497B7D" w:rsidRPr="009B5102" w:rsidRDefault="00497B7D" w:rsidP="00346CA5">
      <w:pPr>
        <w:spacing w:after="0" w:line="360" w:lineRule="auto"/>
        <w:rPr>
          <w:rFonts w:ascii="Times New Roman" w:eastAsia="Calibri" w:hAnsi="Times New Roman" w:cs="Times New Roman"/>
          <w:sz w:val="24"/>
          <w:szCs w:val="24"/>
        </w:rPr>
      </w:pPr>
    </w:p>
    <w:p w14:paraId="1050936A"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For those of you who own a business: for better financial management, it is recommended to separate the business account from the private account and once a month to withdraw a salary from the business account and transfer it to the private account. This will help you separate business transactions from private ones and gain better control over the family’s budget.</w:t>
      </w:r>
    </w:p>
    <w:p w14:paraId="7E340380" w14:textId="77777777" w:rsidR="00497B7D" w:rsidRPr="009B5102" w:rsidRDefault="00497B7D" w:rsidP="00346CA5">
      <w:pPr>
        <w:spacing w:after="0" w:line="360" w:lineRule="auto"/>
        <w:rPr>
          <w:rFonts w:ascii="Times New Roman" w:eastAsia="Calibri" w:hAnsi="Times New Roman" w:cs="Times New Roman"/>
          <w:sz w:val="24"/>
          <w:szCs w:val="24"/>
        </w:rPr>
      </w:pPr>
    </w:p>
    <w:p w14:paraId="2C7735F8"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lastRenderedPageBreak/>
        <w:drawing>
          <wp:inline distT="0" distB="0" distL="0" distR="0" wp14:anchorId="09A9921F" wp14:editId="49577013">
            <wp:extent cx="2779809" cy="1963972"/>
            <wp:effectExtent l="19050" t="0" r="1491" b="0"/>
            <wp:docPr id="47" name="Picture 5" descr="vlcsnap-2012-08-21-16h48m51s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1-16h48m51s148.png"/>
                    <pic:cNvPicPr/>
                  </pic:nvPicPr>
                  <pic:blipFill>
                    <a:blip r:embed="rId39" cstate="print"/>
                    <a:stretch>
                      <a:fillRect/>
                    </a:stretch>
                  </pic:blipFill>
                  <pic:spPr>
                    <a:xfrm>
                      <a:off x="0" y="0"/>
                      <a:ext cx="2777847" cy="1962586"/>
                    </a:xfrm>
                    <a:prstGeom prst="rect">
                      <a:avLst/>
                    </a:prstGeom>
                  </pic:spPr>
                </pic:pic>
              </a:graphicData>
            </a:graphic>
          </wp:inline>
        </w:drawing>
      </w:r>
    </w:p>
    <w:p w14:paraId="745E374B" w14:textId="2385A8DC" w:rsidR="00497B7D" w:rsidRPr="000E4BDB" w:rsidRDefault="00497B7D" w:rsidP="00E32F41">
      <w:pPr>
        <w:pStyle w:val="Heading6"/>
      </w:pPr>
      <w:bookmarkStart w:id="78" w:name="_Toc436608097"/>
      <w:bookmarkStart w:id="79" w:name="_Toc445120247"/>
      <w:r w:rsidRPr="000E4BDB">
        <w:t xml:space="preserve">Figure </w:t>
      </w:r>
      <w:r w:rsidR="00E32F41">
        <w:t>22</w:t>
      </w:r>
      <w:r w:rsidRPr="000E4BDB">
        <w:t xml:space="preserve">: A snapshot from a commercial vignette for Bank Hapo’alim around </w:t>
      </w:r>
      <w:r w:rsidRPr="000E4BDB">
        <w:rPr>
          <w:i/>
          <w:iCs/>
        </w:rPr>
        <w:t>Overdraft Family</w:t>
      </w:r>
      <w:r w:rsidRPr="000E4BDB">
        <w:t>:</w:t>
      </w:r>
      <w:r w:rsidRPr="000E4BDB">
        <w:rPr>
          <w:i/>
          <w:iCs/>
        </w:rPr>
        <w:t xml:space="preserve"> </w:t>
      </w:r>
      <w:r w:rsidRPr="000E4BDB">
        <w:t>the bank’s representative in the programme gives ‘extra tips’ to viewers.</w:t>
      </w:r>
      <w:bookmarkEnd w:id="78"/>
      <w:bookmarkEnd w:id="79"/>
    </w:p>
    <w:p w14:paraId="5D7C2E08"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clip ends with a male authoritative voiceover saying: </w:t>
      </w:r>
    </w:p>
    <w:p w14:paraId="7FFED76C"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p>
    <w:p w14:paraId="6E9B475D"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Do you want to know more about managing the family budget? Go online to reshet.co.il and you will have the chance of winning a coaching workshop for success in life, a gift by Bank Hapo’alim, that gives you tools and knowledge to manage your family budget.</w:t>
      </w:r>
    </w:p>
    <w:p w14:paraId="560DA1CF" w14:textId="77777777" w:rsidR="00497B7D" w:rsidRPr="009B5102" w:rsidRDefault="00497B7D" w:rsidP="00346CA5">
      <w:pPr>
        <w:spacing w:after="0" w:line="360" w:lineRule="auto"/>
        <w:rPr>
          <w:rFonts w:ascii="Times New Roman" w:eastAsia="Calibri" w:hAnsi="Times New Roman" w:cs="Times New Roman"/>
          <w:sz w:val="24"/>
          <w:szCs w:val="24"/>
        </w:rPr>
      </w:pPr>
    </w:p>
    <w:p w14:paraId="6405791C" w14:textId="59ABC2E8" w:rsidR="00497B7D" w:rsidRPr="009B5102" w:rsidRDefault="00497B7D" w:rsidP="00E32F41">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the background an animated graphic design using the same colours as the bank’s usual branding was running and it ended with the bank’s familiar logo (see Figure </w:t>
      </w:r>
      <w:r w:rsidR="00E32F41">
        <w:rPr>
          <w:rFonts w:ascii="Times New Roman" w:eastAsia="Calibri" w:hAnsi="Times New Roman" w:cs="Times New Roman"/>
          <w:sz w:val="24"/>
          <w:szCs w:val="24"/>
        </w:rPr>
        <w:t>23</w:t>
      </w:r>
      <w:r w:rsidRPr="009B5102">
        <w:rPr>
          <w:rFonts w:ascii="Times New Roman" w:eastAsia="Calibri" w:hAnsi="Times New Roman" w:cs="Times New Roman"/>
          <w:sz w:val="24"/>
          <w:szCs w:val="24"/>
        </w:rPr>
        <w:t>) and the words “Bank Hapo’alim – tools and knowledge for managing the family budget”.</w:t>
      </w:r>
    </w:p>
    <w:p w14:paraId="41040B20"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532BB04D"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3A736750" wp14:editId="784F3CCE">
            <wp:extent cx="2763907" cy="1749287"/>
            <wp:effectExtent l="19050" t="0" r="0" b="0"/>
            <wp:docPr id="48" name="Picture 8" descr="vlcsnap-2012-08-21-16h49m06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1-16h49m06s35.png"/>
                    <pic:cNvPicPr/>
                  </pic:nvPicPr>
                  <pic:blipFill>
                    <a:blip r:embed="rId40" cstate="print"/>
                    <a:stretch>
                      <a:fillRect/>
                    </a:stretch>
                  </pic:blipFill>
                  <pic:spPr>
                    <a:xfrm>
                      <a:off x="0" y="0"/>
                      <a:ext cx="2763907" cy="1749287"/>
                    </a:xfrm>
                    <a:prstGeom prst="rect">
                      <a:avLst/>
                    </a:prstGeom>
                  </pic:spPr>
                </pic:pic>
              </a:graphicData>
            </a:graphic>
          </wp:inline>
        </w:drawing>
      </w:r>
    </w:p>
    <w:p w14:paraId="4E176678" w14:textId="2D6126F5" w:rsidR="00497B7D" w:rsidRPr="000E4BDB" w:rsidRDefault="00497B7D" w:rsidP="00E32F41">
      <w:pPr>
        <w:pStyle w:val="Heading6"/>
      </w:pPr>
      <w:bookmarkStart w:id="80" w:name="_Toc436608098"/>
      <w:bookmarkStart w:id="81" w:name="_Toc445120248"/>
      <w:r w:rsidRPr="000E4BDB">
        <w:t xml:space="preserve">Figure </w:t>
      </w:r>
      <w:r w:rsidR="00E32F41">
        <w:t>23</w:t>
      </w:r>
      <w:r w:rsidRPr="000E4BDB">
        <w:t xml:space="preserve">: A snapshot from a commercial vignette for Bank Hapo’alim around </w:t>
      </w:r>
      <w:r w:rsidRPr="000E4BDB">
        <w:rPr>
          <w:i/>
          <w:iCs/>
        </w:rPr>
        <w:t>Overdraft Family</w:t>
      </w:r>
      <w:r w:rsidRPr="000E4BDB">
        <w:t>:</w:t>
      </w:r>
      <w:r w:rsidRPr="000E4BDB">
        <w:rPr>
          <w:i/>
          <w:iCs/>
        </w:rPr>
        <w:t xml:space="preserve"> </w:t>
      </w:r>
      <w:r w:rsidRPr="000E4BDB">
        <w:t>the bank’s logo against an animated graphic design in the spirit of the brand.</w:t>
      </w:r>
      <w:bookmarkEnd w:id="80"/>
      <w:bookmarkEnd w:id="81"/>
      <w:r w:rsidRPr="000E4BDB">
        <w:t xml:space="preserve"> </w:t>
      </w:r>
    </w:p>
    <w:p w14:paraId="72C2E408" w14:textId="77777777" w:rsidR="00497B7D" w:rsidRPr="009B5102" w:rsidRDefault="00497B7D" w:rsidP="00346CA5">
      <w:pPr>
        <w:pStyle w:val="Heading6"/>
        <w:rPr>
          <w:sz w:val="24"/>
          <w:szCs w:val="24"/>
        </w:rPr>
      </w:pPr>
    </w:p>
    <w:p w14:paraId="39B2E9F6" w14:textId="03205555" w:rsidR="00497B7D" w:rsidRPr="009B5102" w:rsidRDefault="00497B7D" w:rsidP="00E32F41">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Other such clips (led by the programme’s presenter, Alon Gal) invited viewers to register during the programme for free coaching workshops given by Bank Hapo’alim (see Figure </w:t>
      </w:r>
      <w:r w:rsidR="00E32F41">
        <w:rPr>
          <w:rFonts w:ascii="Times New Roman" w:eastAsia="Calibri" w:hAnsi="Times New Roman" w:cs="Times New Roman"/>
          <w:sz w:val="24"/>
          <w:szCs w:val="24"/>
        </w:rPr>
        <w:t>24</w:t>
      </w:r>
      <w:r w:rsidRPr="009B5102">
        <w:rPr>
          <w:rFonts w:ascii="Times New Roman" w:eastAsia="Calibri" w:hAnsi="Times New Roman" w:cs="Times New Roman"/>
          <w:sz w:val="24"/>
          <w:szCs w:val="24"/>
        </w:rPr>
        <w:t>)</w:t>
      </w:r>
      <w:r w:rsidRPr="00B93D25">
        <w:rPr>
          <w:rStyle w:val="FootnoteReference"/>
        </w:rPr>
        <w:footnoteReference w:id="58"/>
      </w:r>
      <w:r w:rsidRPr="009B5102">
        <w:rPr>
          <w:rFonts w:ascii="Times New Roman" w:eastAsia="Calibri" w:hAnsi="Times New Roman" w:cs="Times New Roman"/>
          <w:sz w:val="24"/>
          <w:szCs w:val="24"/>
        </w:rPr>
        <w:t>.</w:t>
      </w:r>
    </w:p>
    <w:p w14:paraId="1FC6614E" w14:textId="77777777" w:rsidR="00497B7D" w:rsidRPr="009B5102" w:rsidRDefault="00497B7D" w:rsidP="00346CA5">
      <w:pPr>
        <w:spacing w:after="0" w:line="360" w:lineRule="auto"/>
        <w:rPr>
          <w:rFonts w:ascii="Times New Roman" w:eastAsia="Calibri" w:hAnsi="Times New Roman" w:cs="Times New Roman"/>
          <w:sz w:val="24"/>
          <w:szCs w:val="24"/>
        </w:rPr>
      </w:pPr>
    </w:p>
    <w:p w14:paraId="188FA622"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12DC9563" wp14:editId="335BB5D5">
            <wp:extent cx="2899079" cy="2008252"/>
            <wp:effectExtent l="19050" t="0" r="0" b="0"/>
            <wp:docPr id="49" name="Picture 9" descr="vlcsnap-2012-08-21-16h54m58s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1-16h54m58s226.png"/>
                    <pic:cNvPicPr/>
                  </pic:nvPicPr>
                  <pic:blipFill>
                    <a:blip r:embed="rId41" cstate="print"/>
                    <a:stretch>
                      <a:fillRect/>
                    </a:stretch>
                  </pic:blipFill>
                  <pic:spPr>
                    <a:xfrm>
                      <a:off x="0" y="0"/>
                      <a:ext cx="2910152" cy="2015923"/>
                    </a:xfrm>
                    <a:prstGeom prst="rect">
                      <a:avLst/>
                    </a:prstGeom>
                  </pic:spPr>
                </pic:pic>
              </a:graphicData>
            </a:graphic>
          </wp:inline>
        </w:drawing>
      </w:r>
    </w:p>
    <w:p w14:paraId="59E5340D" w14:textId="0A764692" w:rsidR="00497B7D" w:rsidRPr="000E4BDB" w:rsidRDefault="00497B7D" w:rsidP="00E32F41">
      <w:pPr>
        <w:pStyle w:val="Heading6"/>
      </w:pPr>
      <w:bookmarkStart w:id="82" w:name="_Toc436608099"/>
      <w:bookmarkStart w:id="83" w:name="_Toc445120249"/>
      <w:r w:rsidRPr="000E4BDB">
        <w:t xml:space="preserve">Figure </w:t>
      </w:r>
      <w:r w:rsidR="00E32F41">
        <w:t>24</w:t>
      </w:r>
      <w:r w:rsidRPr="000E4BDB">
        <w:t xml:space="preserve">: A snapshot from a commercial vignette for Bank Hapo’alim around </w:t>
      </w:r>
      <w:r w:rsidRPr="000E4BDB">
        <w:rPr>
          <w:i/>
          <w:iCs/>
        </w:rPr>
        <w:t>Overdraft Family.</w:t>
      </w:r>
      <w:bookmarkEnd w:id="82"/>
      <w:bookmarkEnd w:id="83"/>
    </w:p>
    <w:p w14:paraId="490ABE6C" w14:textId="767DF45A" w:rsidR="00497B7D" w:rsidRPr="009B5102" w:rsidRDefault="00497B7D" w:rsidP="00E32F41">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Yet another kind of commercial vignette presented a personal ‘success story’ of a family from the programme. The voiceover emphasised how the family “followed a new path in life” after receiving “personal banking consultancy” (see Figure </w:t>
      </w:r>
      <w:r w:rsidR="00E32F41">
        <w:rPr>
          <w:rFonts w:ascii="Times New Roman" w:eastAsia="Calibri" w:hAnsi="Times New Roman" w:cs="Times New Roman"/>
          <w:sz w:val="24"/>
          <w:szCs w:val="24"/>
        </w:rPr>
        <w:t>25</w:t>
      </w:r>
      <w:r w:rsidRPr="009B5102">
        <w:rPr>
          <w:rFonts w:ascii="Times New Roman" w:eastAsia="Calibri" w:hAnsi="Times New Roman" w:cs="Times New Roman"/>
          <w:sz w:val="24"/>
          <w:szCs w:val="24"/>
        </w:rPr>
        <w:t xml:space="preserve">). </w:t>
      </w:r>
    </w:p>
    <w:p w14:paraId="3C381E0F" w14:textId="77777777" w:rsidR="00497B7D" w:rsidRDefault="00497B7D" w:rsidP="00346CA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FE603B5"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lastRenderedPageBreak/>
        <w:drawing>
          <wp:inline distT="0" distB="0" distL="0" distR="0" wp14:anchorId="605B6F10" wp14:editId="2EC0ABFB">
            <wp:extent cx="2763907" cy="2011679"/>
            <wp:effectExtent l="19050" t="0" r="0" b="0"/>
            <wp:docPr id="50" name="Picture 12" descr="vlcsnap-2012-08-21-16h58m50s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1-16h58m50s242.png"/>
                    <pic:cNvPicPr/>
                  </pic:nvPicPr>
                  <pic:blipFill>
                    <a:blip r:embed="rId42" cstate="print"/>
                    <a:stretch>
                      <a:fillRect/>
                    </a:stretch>
                  </pic:blipFill>
                  <pic:spPr>
                    <a:xfrm>
                      <a:off x="0" y="0"/>
                      <a:ext cx="2764317" cy="2011978"/>
                    </a:xfrm>
                    <a:prstGeom prst="rect">
                      <a:avLst/>
                    </a:prstGeom>
                  </pic:spPr>
                </pic:pic>
              </a:graphicData>
            </a:graphic>
          </wp:inline>
        </w:drawing>
      </w:r>
    </w:p>
    <w:p w14:paraId="462923ED"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309276A1" wp14:editId="7DDDCC09">
            <wp:extent cx="2758192" cy="1987826"/>
            <wp:effectExtent l="19050" t="0" r="4058" b="0"/>
            <wp:docPr id="51" name="Picture 13" descr="vlcsnap-2012-08-21-16h59m03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1-16h59m03s119.png"/>
                    <pic:cNvPicPr/>
                  </pic:nvPicPr>
                  <pic:blipFill>
                    <a:blip r:embed="rId43" cstate="print"/>
                    <a:stretch>
                      <a:fillRect/>
                    </a:stretch>
                  </pic:blipFill>
                  <pic:spPr>
                    <a:xfrm>
                      <a:off x="0" y="0"/>
                      <a:ext cx="2758679" cy="1988177"/>
                    </a:xfrm>
                    <a:prstGeom prst="rect">
                      <a:avLst/>
                    </a:prstGeom>
                  </pic:spPr>
                </pic:pic>
              </a:graphicData>
            </a:graphic>
          </wp:inline>
        </w:drawing>
      </w:r>
    </w:p>
    <w:p w14:paraId="33540787" w14:textId="5914230F" w:rsidR="00497B7D" w:rsidRPr="000E4BDB" w:rsidRDefault="00497B7D" w:rsidP="00E32F41">
      <w:pPr>
        <w:pStyle w:val="Heading6"/>
      </w:pPr>
      <w:bookmarkStart w:id="84" w:name="OLE_LINK5"/>
      <w:bookmarkStart w:id="85" w:name="OLE_LINK6"/>
      <w:bookmarkStart w:id="86" w:name="_Toc436608100"/>
      <w:bookmarkStart w:id="87" w:name="_Toc445120250"/>
      <w:r w:rsidRPr="000E4BDB">
        <w:t>Figure</w:t>
      </w:r>
      <w:r>
        <w:t xml:space="preserve"> </w:t>
      </w:r>
      <w:r w:rsidR="00E32F41">
        <w:t>25</w:t>
      </w:r>
      <w:r w:rsidRPr="000E4BDB">
        <w:t xml:space="preserve">: Snapshots from commercial vignettes for Bank Hapo’alim around </w:t>
      </w:r>
      <w:r w:rsidRPr="000E4BDB">
        <w:rPr>
          <w:i/>
          <w:iCs/>
        </w:rPr>
        <w:t>Overdraft Family</w:t>
      </w:r>
      <w:bookmarkEnd w:id="84"/>
      <w:bookmarkEnd w:id="85"/>
      <w:r w:rsidRPr="000E4BDB">
        <w:t>:</w:t>
      </w:r>
      <w:r w:rsidRPr="000E4BDB">
        <w:rPr>
          <w:i/>
          <w:iCs/>
        </w:rPr>
        <w:t xml:space="preserve"> </w:t>
      </w:r>
      <w:r w:rsidRPr="000E4BDB">
        <w:t>A ‘success story’ of a family that received ‘personal banking consultancy’.</w:t>
      </w:r>
      <w:bookmarkEnd w:id="86"/>
      <w:bookmarkEnd w:id="87"/>
      <w:r w:rsidRPr="000E4BDB">
        <w:t xml:space="preserve"> </w:t>
      </w:r>
    </w:p>
    <w:p w14:paraId="39B18402"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To sum this part up, these different versions of 30 seconds clips for Bank Hapo’alim seem to be simple and straightforward, but they entail more than first meets the eye. First, they are all ‘packaged’ with the graphic language of Bank Hapo’alim: the red colour and an animated logo is present in the background, the titles on the screen are white against a red background, the programme’s icon refers to the bank’s colours (the red bell), and the banker’s shirt is unmistakably red as well. The fonts used for presenting the tips follow the bank’s branding palette as well. </w:t>
      </w:r>
    </w:p>
    <w:p w14:paraId="6A2222E1" w14:textId="77777777" w:rsidR="00497B7D" w:rsidRPr="009B5102" w:rsidRDefault="00497B7D" w:rsidP="00346CA5">
      <w:pPr>
        <w:spacing w:after="0" w:line="360" w:lineRule="auto"/>
        <w:rPr>
          <w:rFonts w:ascii="Times New Roman" w:eastAsia="Calibri" w:hAnsi="Times New Roman" w:cs="Times New Roman"/>
          <w:sz w:val="24"/>
          <w:szCs w:val="24"/>
        </w:rPr>
      </w:pPr>
    </w:p>
    <w:p w14:paraId="3AA10FFE"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Secondly, the banker who regularly takes part in the programme as a consultant is now overtly connected to the sponsor. She is still presented as ‘just’ a “senior banker”, to keep her seemingly independent expert’s authority, but the connection to the bank leaves no room for doubt. The fact that the presenter Gal also takes part in these clips further blurs the line between him, as the ‘independent’ authority of the programme, and the banker, who is in practice a personification of </w:t>
      </w:r>
      <w:r w:rsidRPr="009B5102">
        <w:rPr>
          <w:rFonts w:ascii="Times New Roman" w:eastAsia="Calibri" w:hAnsi="Times New Roman" w:cs="Times New Roman"/>
          <w:sz w:val="24"/>
          <w:szCs w:val="24"/>
        </w:rPr>
        <w:lastRenderedPageBreak/>
        <w:t xml:space="preserve">the sponsor in and around the programme. Both of them work to boost the bank’s role in the transformation process of the families, as well as sending viewers to the broadcaster’s website. In addition, the ‘tips’ offered to viewers are all oriented toward presenting the bank as an ‘objective’ authority for the benefit of individuals and families (in the same spirit of the programme), rather than as a commercial, profit-oriented body. </w:t>
      </w:r>
    </w:p>
    <w:p w14:paraId="4FEF5F96" w14:textId="77777777" w:rsidR="00497B7D" w:rsidRPr="009B5102" w:rsidRDefault="00497B7D" w:rsidP="00346CA5">
      <w:pPr>
        <w:spacing w:after="0" w:line="360" w:lineRule="auto"/>
        <w:rPr>
          <w:rFonts w:ascii="Times New Roman" w:eastAsia="Calibri" w:hAnsi="Times New Roman" w:cs="Times New Roman"/>
          <w:sz w:val="24"/>
          <w:szCs w:val="24"/>
        </w:rPr>
      </w:pPr>
    </w:p>
    <w:p w14:paraId="2D32CEF1"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Lastly, it is worth noting that in many of the vignettes the bank offers a prize that refers back to the programme and its presenter: coaching workshops for financial management given by Gal’s coaching company, Tut. These workshops were an extended commercial co-operation, this time between the bank and Gal himself, the owner and founder of Tut, who became a well-known authority in the field following the success of the programme. Thus the bank was first ‘riding’ on the programme’s success on screen as a sponsor and then shifted this co-operation from the screen into ‘real life’, reconstructing the televised experience for larger crowds in the bank’s locations (I will further discuss this part of the deal in the next section). </w:t>
      </w:r>
    </w:p>
    <w:p w14:paraId="1139B80A" w14:textId="77777777" w:rsidR="00497B7D" w:rsidRPr="009B5102" w:rsidRDefault="00497B7D" w:rsidP="00346CA5">
      <w:pPr>
        <w:spacing w:after="0" w:line="360" w:lineRule="auto"/>
        <w:rPr>
          <w:rFonts w:ascii="Times New Roman" w:eastAsia="Calibri" w:hAnsi="Times New Roman" w:cs="Times New Roman"/>
          <w:sz w:val="24"/>
          <w:szCs w:val="24"/>
        </w:rPr>
      </w:pPr>
    </w:p>
    <w:p w14:paraId="6E560BDB" w14:textId="77777777" w:rsidR="00497B7D" w:rsidRPr="009B5102" w:rsidRDefault="00497B7D" w:rsidP="00346CA5">
      <w:pPr>
        <w:pStyle w:val="Heading5"/>
      </w:pPr>
      <w:r w:rsidRPr="009B5102">
        <w:t>Shufersal-Deal</w:t>
      </w:r>
    </w:p>
    <w:p w14:paraId="7611C18C" w14:textId="7491E99C" w:rsidR="00497B7D" w:rsidRPr="009B5102" w:rsidRDefault="00497B7D" w:rsidP="00E32F41">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Commercial vignettes in the same spirit were produced for the other sponsor – Shufersal-Deal. For example, an animated clip, packaged with the colours and graphic design of the supermarket chain presented the following ‘tip’ (see Figure </w:t>
      </w:r>
      <w:r w:rsidR="00E32F41">
        <w:rPr>
          <w:rFonts w:ascii="Times New Roman" w:eastAsia="Calibri" w:hAnsi="Times New Roman" w:cs="Times New Roman"/>
          <w:sz w:val="24"/>
          <w:szCs w:val="24"/>
        </w:rPr>
        <w:t>26</w:t>
      </w:r>
      <w:r w:rsidRPr="009B5102">
        <w:rPr>
          <w:rFonts w:ascii="Times New Roman" w:eastAsia="Calibri" w:hAnsi="Times New Roman" w:cs="Times New Roman"/>
          <w:sz w:val="24"/>
          <w:szCs w:val="24"/>
        </w:rPr>
        <w:t>):</w:t>
      </w:r>
    </w:p>
    <w:p w14:paraId="223B14C4"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p>
    <w:p w14:paraId="4F987540"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Came back home from shopping and realised that you forgot to buy half of the items you need? </w:t>
      </w:r>
    </w:p>
    <w:p w14:paraId="26D6EE1F"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You should put a shopping list on the fridge, put down everything you need during the week and on shopping day – you’re set!</w:t>
      </w:r>
    </w:p>
    <w:p w14:paraId="1E79D4E2"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Want to know how much more your money can buy? Share your tips for smart shopping with us (reshet.co.il) and you may win free shopping for a whole year! </w:t>
      </w:r>
    </w:p>
    <w:p w14:paraId="42E8AFBA"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A gift by Shufersal-Deal – Your money buys more. Proven fact. </w:t>
      </w:r>
    </w:p>
    <w:p w14:paraId="73AA534D"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684A9DEB"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lastRenderedPageBreak/>
        <w:drawing>
          <wp:inline distT="0" distB="0" distL="0" distR="0" wp14:anchorId="40E97566" wp14:editId="574994E8">
            <wp:extent cx="2827517" cy="1956021"/>
            <wp:effectExtent l="19050" t="0" r="0" b="0"/>
            <wp:docPr id="52" name="Picture 19" descr="vlcsnap-2012-08-21-17h07m51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1-17h07m51s26.png"/>
                    <pic:cNvPicPr/>
                  </pic:nvPicPr>
                  <pic:blipFill>
                    <a:blip r:embed="rId44" cstate="print"/>
                    <a:stretch>
                      <a:fillRect/>
                    </a:stretch>
                  </pic:blipFill>
                  <pic:spPr>
                    <a:xfrm>
                      <a:off x="0" y="0"/>
                      <a:ext cx="2827936" cy="1956311"/>
                    </a:xfrm>
                    <a:prstGeom prst="rect">
                      <a:avLst/>
                    </a:prstGeom>
                  </pic:spPr>
                </pic:pic>
              </a:graphicData>
            </a:graphic>
          </wp:inline>
        </w:drawing>
      </w:r>
    </w:p>
    <w:p w14:paraId="11991E69"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3CE273BB" wp14:editId="567E928A">
            <wp:extent cx="2827848" cy="1725433"/>
            <wp:effectExtent l="19050" t="0" r="0" b="0"/>
            <wp:docPr id="53" name="Picture 18" descr="vlcsnap-2012-08-21-17h07m57s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1-17h07m57s84.png"/>
                    <pic:cNvPicPr/>
                  </pic:nvPicPr>
                  <pic:blipFill>
                    <a:blip r:embed="rId45" cstate="print"/>
                    <a:stretch>
                      <a:fillRect/>
                    </a:stretch>
                  </pic:blipFill>
                  <pic:spPr>
                    <a:xfrm>
                      <a:off x="0" y="0"/>
                      <a:ext cx="2828268" cy="1725689"/>
                    </a:xfrm>
                    <a:prstGeom prst="rect">
                      <a:avLst/>
                    </a:prstGeom>
                  </pic:spPr>
                </pic:pic>
              </a:graphicData>
            </a:graphic>
          </wp:inline>
        </w:drawing>
      </w:r>
    </w:p>
    <w:p w14:paraId="3A30540C"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r w:rsidRPr="009B5102">
        <w:rPr>
          <w:rFonts w:ascii="Times New Roman" w:eastAsia="Calibri" w:hAnsi="Times New Roman" w:cs="Times New Roman"/>
          <w:noProof/>
          <w:sz w:val="24"/>
          <w:szCs w:val="24"/>
          <w:lang w:eastAsia="en-GB"/>
        </w:rPr>
        <w:drawing>
          <wp:inline distT="0" distB="0" distL="0" distR="0" wp14:anchorId="50C8AE85" wp14:editId="3DDBFDDB">
            <wp:extent cx="2766695" cy="1860398"/>
            <wp:effectExtent l="0" t="0" r="0" b="6985"/>
            <wp:docPr id="54" name="Picture 17" descr="vlcsnap-2012-08-21-17h06m51s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1-17h06m51s190.png"/>
                    <pic:cNvPicPr/>
                  </pic:nvPicPr>
                  <pic:blipFill>
                    <a:blip r:embed="rId46" cstate="print"/>
                    <a:stretch>
                      <a:fillRect/>
                    </a:stretch>
                  </pic:blipFill>
                  <pic:spPr>
                    <a:xfrm>
                      <a:off x="0" y="0"/>
                      <a:ext cx="2777495" cy="1867660"/>
                    </a:xfrm>
                    <a:prstGeom prst="rect">
                      <a:avLst/>
                    </a:prstGeom>
                  </pic:spPr>
                </pic:pic>
              </a:graphicData>
            </a:graphic>
          </wp:inline>
        </w:drawing>
      </w:r>
    </w:p>
    <w:p w14:paraId="6B152926" w14:textId="1CBC0CD8" w:rsidR="00497B7D" w:rsidRPr="000E4BDB" w:rsidRDefault="00497B7D" w:rsidP="00E32F41">
      <w:pPr>
        <w:pStyle w:val="Heading6"/>
        <w:rPr>
          <w:rtl/>
        </w:rPr>
      </w:pPr>
      <w:bookmarkStart w:id="88" w:name="_Toc436608101"/>
      <w:bookmarkStart w:id="89" w:name="_Toc445120251"/>
      <w:r w:rsidRPr="000E4BDB">
        <w:t>Figure</w:t>
      </w:r>
      <w:r>
        <w:t xml:space="preserve"> </w:t>
      </w:r>
      <w:r w:rsidR="00E32F41">
        <w:t>26</w:t>
      </w:r>
      <w:r w:rsidRPr="000E4BDB">
        <w:t xml:space="preserve">: Snapshots from a commercial vignette for Shufersal-Deal around </w:t>
      </w:r>
      <w:r w:rsidRPr="000E4BDB">
        <w:rPr>
          <w:i/>
          <w:iCs/>
        </w:rPr>
        <w:t>Overdraft Family</w:t>
      </w:r>
      <w:r w:rsidRPr="000E4BDB">
        <w:t>:</w:t>
      </w:r>
      <w:r w:rsidRPr="000E4BDB">
        <w:rPr>
          <w:i/>
          <w:iCs/>
        </w:rPr>
        <w:t xml:space="preserve"> </w:t>
      </w:r>
      <w:r w:rsidRPr="000E4BDB">
        <w:t>the tip recommends preparing a shopping list during the week. It ends with referring viewers to an online contest by the sponsor on the broadcaster’s website.</w:t>
      </w:r>
      <w:bookmarkEnd w:id="88"/>
      <w:bookmarkEnd w:id="89"/>
    </w:p>
    <w:p w14:paraId="25D87A03"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Once again, the sponsor ‘borrows’ the seemingly objective and professional tone of the programme, integrates visual elements from the programme (the red door bell) with the brand’s graphic language and ends the clip with an overt commercial exposure of the brand and an incentive for viewers (winning a prize) to go online to the broadcaster’s website for further interaction with the sponsor. </w:t>
      </w:r>
    </w:p>
    <w:p w14:paraId="7CCD8B72" w14:textId="77777777" w:rsidR="00497B7D" w:rsidRDefault="00497B7D" w:rsidP="00346CA5">
      <w:pPr>
        <w:pStyle w:val="Heading3"/>
      </w:pPr>
    </w:p>
    <w:p w14:paraId="746B83C1" w14:textId="77777777" w:rsidR="00497B7D" w:rsidRPr="009B5102" w:rsidRDefault="00497B7D" w:rsidP="00346CA5">
      <w:pPr>
        <w:pStyle w:val="Heading3"/>
      </w:pPr>
      <w:bookmarkStart w:id="90" w:name="_Toc445202693"/>
      <w:r w:rsidRPr="009B5102">
        <w:lastRenderedPageBreak/>
        <w:t>Commercial ‘Shell’ to Programming</w:t>
      </w:r>
      <w:bookmarkEnd w:id="90"/>
    </w:p>
    <w:p w14:paraId="5BAA8051" w14:textId="10C2812A"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So far I have shown how commercial tools such as sponsorship credits and commercial vignettes constitute an important part of embedded branding deals. They appear as a commercial ‘shell’ to the programme and supply the sponsor with overt commercial exposure next to the programme. What is particularly important in these short clips – 15 seconds long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or 30 seconds long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 is that they use a variety of </w:t>
      </w:r>
      <w:r w:rsidR="00A177FE">
        <w:rPr>
          <w:rFonts w:ascii="Times New Roman" w:eastAsia="Calibri" w:hAnsi="Times New Roman" w:cs="Times New Roman"/>
          <w:sz w:val="24"/>
          <w:szCs w:val="24"/>
        </w:rPr>
        <w:t>audiovisual</w:t>
      </w:r>
      <w:r w:rsidRPr="009B5102">
        <w:rPr>
          <w:rFonts w:ascii="Times New Roman" w:eastAsia="Calibri" w:hAnsi="Times New Roman" w:cs="Times New Roman"/>
          <w:sz w:val="24"/>
          <w:szCs w:val="24"/>
        </w:rPr>
        <w:t xml:space="preserve"> elements to blur the line between the programme and the sponsor and create an integrated narrative for the two entities. This is done by borrowing the narrative of the programme (going naked in the case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helping families manage their money in the case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and presenting it as part of the brand’s mission (Dove works to empower women; the bank and the supermarket chain work to assist families in debts). The brands’ visual language is used to take over the space of these clips and imbue them with values of the sponsor. </w:t>
      </w:r>
    </w:p>
    <w:p w14:paraId="37099159" w14:textId="77777777" w:rsidR="00497B7D" w:rsidRPr="009B5102" w:rsidRDefault="00497B7D" w:rsidP="00346CA5">
      <w:pPr>
        <w:spacing w:after="0" w:line="360" w:lineRule="auto"/>
        <w:rPr>
          <w:rFonts w:ascii="Times New Roman" w:eastAsia="Calibri" w:hAnsi="Times New Roman" w:cs="Times New Roman"/>
          <w:sz w:val="24"/>
          <w:szCs w:val="24"/>
        </w:rPr>
      </w:pPr>
    </w:p>
    <w:p w14:paraId="0519C8B8"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practice, these tools serve as a hybrid entity that blurs the line between advertising and programming. As they are broadcast between the commercial break and the programme they actually create an experience of continuity, rather than separation, between advertising and content. This is especially true for commercial vignettes, made in the length of a regular advertising spot (30 seconds), but presented as an extra service provided by the </w:t>
      </w:r>
      <w:r w:rsidRPr="009B5102">
        <w:rPr>
          <w:rFonts w:ascii="Times New Roman" w:eastAsia="Calibri" w:hAnsi="Times New Roman" w:cs="Times New Roman"/>
          <w:i/>
          <w:sz w:val="24"/>
          <w:szCs w:val="24"/>
        </w:rPr>
        <w:t>programme</w:t>
      </w:r>
      <w:r w:rsidRPr="009B5102">
        <w:rPr>
          <w:rFonts w:ascii="Times New Roman" w:eastAsia="Calibri" w:hAnsi="Times New Roman" w:cs="Times New Roman"/>
          <w:sz w:val="24"/>
          <w:szCs w:val="24"/>
        </w:rPr>
        <w:t xml:space="preserve"> for the benefit of viewers. In fact, commercial vignettes serve the interest of both the broadcaster and the sponsor, as they promote both of them on television, and then direct audiences online, where they will be exposed to further commercial activity by the sponsor, in a less regulated environment.  </w:t>
      </w:r>
    </w:p>
    <w:p w14:paraId="4935F5F6" w14:textId="77777777" w:rsidR="00497B7D" w:rsidRPr="009B5102" w:rsidRDefault="00497B7D" w:rsidP="00346CA5">
      <w:pPr>
        <w:spacing w:after="0" w:line="360" w:lineRule="auto"/>
        <w:rPr>
          <w:rFonts w:ascii="Times New Roman" w:eastAsia="Calibri" w:hAnsi="Times New Roman" w:cs="Times New Roman"/>
          <w:sz w:val="24"/>
          <w:szCs w:val="24"/>
        </w:rPr>
      </w:pPr>
    </w:p>
    <w:p w14:paraId="3629C445"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tools presented so far provide a clear example of what Habermas </w:t>
      </w:r>
      <w:r>
        <w:rPr>
          <w:rFonts w:ascii="Times New Roman" w:eastAsia="Calibri" w:hAnsi="Times New Roman" w:cs="Times New Roman"/>
          <w:sz w:val="24"/>
          <w:szCs w:val="24"/>
        </w:rPr>
        <w:t>(1984)</w:t>
      </w:r>
      <w:r w:rsidRPr="009B5102">
        <w:rPr>
          <w:rFonts w:ascii="Times New Roman" w:eastAsia="Calibri" w:hAnsi="Times New Roman" w:cs="Times New Roman"/>
          <w:sz w:val="24"/>
          <w:szCs w:val="24"/>
        </w:rPr>
        <w:t xml:space="preserve"> would call a strategic action by the brand, which is presented to viewers as communicative one, or, in Habermas’ words – a manipulation. While regulatory bodies invest their efforts in creating detailed rules to restrain commercialisation and keep principles such as separation and transparency, I have shown here how in practice these rules are being bent and new creative techniques are being used to dismantle those barriers. </w:t>
      </w:r>
    </w:p>
    <w:p w14:paraId="7B5B661A" w14:textId="77777777" w:rsidR="00497B7D" w:rsidRPr="009B5102" w:rsidRDefault="00497B7D" w:rsidP="00346CA5">
      <w:pPr>
        <w:spacing w:after="0" w:line="360" w:lineRule="auto"/>
        <w:rPr>
          <w:rFonts w:ascii="Times New Roman" w:eastAsia="Calibri" w:hAnsi="Times New Roman" w:cs="Times New Roman"/>
          <w:sz w:val="24"/>
          <w:szCs w:val="24"/>
        </w:rPr>
      </w:pPr>
    </w:p>
    <w:p w14:paraId="7C68E7E1" w14:textId="77777777" w:rsidR="00497B7D" w:rsidRPr="009B5102" w:rsidRDefault="00497B7D" w:rsidP="00346CA5">
      <w:pPr>
        <w:pStyle w:val="Heading2"/>
      </w:pPr>
      <w:bookmarkStart w:id="91" w:name="_Toc445202694"/>
      <w:r w:rsidRPr="009B5102">
        <w:lastRenderedPageBreak/>
        <w:t>Across Platforms:</w:t>
      </w:r>
      <w:r>
        <w:t xml:space="preserve"> </w:t>
      </w:r>
      <w:r w:rsidRPr="009B5102">
        <w:t>Shifting Audiences from Television to Other Platforms</w:t>
      </w:r>
      <w:bookmarkEnd w:id="91"/>
    </w:p>
    <w:p w14:paraId="5F94AD6E"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both case studies the commercial co-operation on television, although at the heart of the sponsorship agreements, was seen by the sponsors as a gate into further co-operation between the brand and the programme on other platforms, as well as in the non-mediated ‘real’ world. Both cases, thus, reveal a complicated multi-partite sponsorship agreement in which television serves as a starting point for an elaborate and encompassing synergy between the brand and the programme. This reflects the process of convergence in the media, whose outcomes are commonly referred to as ‘cross-platform’ or ‘multi-platform’ content or even ‘transmedia story telling’ </w:t>
      </w:r>
      <w:r w:rsidRPr="009B5102">
        <w:rPr>
          <w:rFonts w:ascii="Times New Roman" w:eastAsia="Calibri" w:hAnsi="Times New Roman" w:cs="Times New Roman"/>
          <w:noProof/>
          <w:sz w:val="24"/>
          <w:szCs w:val="24"/>
        </w:rPr>
        <w:t>(Jenkins, 2006)</w:t>
      </w:r>
      <w:r w:rsidRPr="009B5102">
        <w:rPr>
          <w:rFonts w:ascii="Times New Roman" w:eastAsia="Calibri" w:hAnsi="Times New Roman" w:cs="Times New Roman"/>
          <w:sz w:val="24"/>
          <w:szCs w:val="24"/>
        </w:rPr>
        <w:t xml:space="preserve">. </w:t>
      </w:r>
    </w:p>
    <w:p w14:paraId="65CE3731" w14:textId="77777777" w:rsidR="00497B7D" w:rsidRPr="009B5102" w:rsidRDefault="00497B7D" w:rsidP="00346CA5">
      <w:pPr>
        <w:spacing w:after="0" w:line="360" w:lineRule="auto"/>
        <w:rPr>
          <w:rFonts w:ascii="Times New Roman" w:eastAsia="Calibri" w:hAnsi="Times New Roman" w:cs="Times New Roman"/>
          <w:sz w:val="24"/>
          <w:szCs w:val="24"/>
        </w:rPr>
      </w:pPr>
    </w:p>
    <w:p w14:paraId="332831A9"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This fact requires us to look back at Jenkins’ (2006) definition of the notion of convergence</w:t>
      </w:r>
      <w:r w:rsidRPr="00B93D25">
        <w:rPr>
          <w:rStyle w:val="FootnoteReference"/>
        </w:rPr>
        <w:footnoteReference w:id="59"/>
      </w:r>
      <w:r w:rsidRPr="009B5102">
        <w:rPr>
          <w:rFonts w:ascii="Times New Roman" w:eastAsia="Calibri" w:hAnsi="Times New Roman" w:cs="Times New Roman"/>
          <w:sz w:val="24"/>
          <w:szCs w:val="24"/>
        </w:rPr>
        <w:t xml:space="preserve">: </w:t>
      </w:r>
    </w:p>
    <w:p w14:paraId="2805F896" w14:textId="77777777" w:rsidR="00497B7D" w:rsidRPr="009B5102" w:rsidRDefault="00497B7D" w:rsidP="00346CA5">
      <w:pPr>
        <w:spacing w:after="0" w:line="360" w:lineRule="auto"/>
        <w:rPr>
          <w:rFonts w:ascii="Times New Roman" w:eastAsia="Calibri" w:hAnsi="Times New Roman" w:cs="Times New Roman"/>
          <w:sz w:val="24"/>
          <w:szCs w:val="24"/>
        </w:rPr>
      </w:pPr>
    </w:p>
    <w:p w14:paraId="081E6451"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the flow of content across multiple media platforms, the co-operation between multiple media industries, the search for new structures of media financing that fall at the interstices between old and new media, and the migratory behavior of media audiences who would go almost anywhere in search of the kind of entrainment experiences they want (p. 282)</w:t>
      </w:r>
      <w:r w:rsidRPr="00B93D25">
        <w:rPr>
          <w:rStyle w:val="FootnoteReference"/>
        </w:rPr>
        <w:footnoteReference w:id="60"/>
      </w:r>
      <w:r w:rsidRPr="009B5102">
        <w:rPr>
          <w:rFonts w:ascii="Times New Roman" w:eastAsia="Calibri" w:hAnsi="Times New Roman" w:cs="Times New Roman"/>
          <w:sz w:val="24"/>
          <w:szCs w:val="24"/>
        </w:rPr>
        <w:t xml:space="preserve">. </w:t>
      </w:r>
    </w:p>
    <w:p w14:paraId="10FB3864" w14:textId="77777777" w:rsidR="00497B7D" w:rsidRPr="009B5102" w:rsidRDefault="00497B7D" w:rsidP="00346CA5">
      <w:pPr>
        <w:spacing w:after="0" w:line="360" w:lineRule="auto"/>
        <w:rPr>
          <w:rFonts w:ascii="Times New Roman" w:eastAsia="Calibri" w:hAnsi="Times New Roman" w:cs="Times New Roman"/>
          <w:sz w:val="24"/>
          <w:szCs w:val="24"/>
        </w:rPr>
      </w:pPr>
    </w:p>
    <w:p w14:paraId="10AF1A50"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practice, as I argued in Chapter 2, this describes the shift of media bodies from mono-media bodies (e.g. a television channel, news website or radio station) into content providers across multiple platforms </w:t>
      </w:r>
      <w:r w:rsidRPr="009B5102">
        <w:rPr>
          <w:rFonts w:ascii="Times New Roman" w:eastAsia="Calibri" w:hAnsi="Times New Roman" w:cs="Times New Roman"/>
          <w:noProof/>
          <w:sz w:val="24"/>
          <w:szCs w:val="24"/>
        </w:rPr>
        <w:t>(Ytreberg, 2009)</w:t>
      </w:r>
      <w:r w:rsidRPr="009B5102">
        <w:rPr>
          <w:rFonts w:ascii="Times New Roman" w:eastAsia="Calibri" w:hAnsi="Times New Roman" w:cs="Times New Roman"/>
          <w:sz w:val="24"/>
          <w:szCs w:val="24"/>
        </w:rPr>
        <w:t xml:space="preserve">. I will show in this section how embedded branding deals do indeed provide a solution for both brands and media bodies in their search for a multi-platform presence and new revenue channels. I will argue that it is the convergence of content between platforms that also encourages the ‘convergence’ between sponsors and content providers, which I previously referred to as ‘elective affinity’ </w:t>
      </w:r>
      <w:r w:rsidRPr="009B5102">
        <w:rPr>
          <w:rFonts w:ascii="Times New Roman" w:eastAsia="Calibri" w:hAnsi="Times New Roman" w:cs="Times New Roman"/>
          <w:noProof/>
          <w:sz w:val="24"/>
          <w:szCs w:val="24"/>
        </w:rPr>
        <w:t>(Weber, 1949; Weber &amp; Kalberg, 2011)</w:t>
      </w:r>
      <w:r w:rsidRPr="009B5102">
        <w:rPr>
          <w:rFonts w:ascii="Times New Roman" w:eastAsia="Calibri" w:hAnsi="Times New Roman" w:cs="Times New Roman"/>
          <w:sz w:val="24"/>
          <w:szCs w:val="24"/>
        </w:rPr>
        <w:t>.</w:t>
      </w:r>
    </w:p>
    <w:p w14:paraId="28913B91" w14:textId="77777777" w:rsidR="00497B7D" w:rsidRPr="009B5102" w:rsidRDefault="00497B7D" w:rsidP="00346CA5">
      <w:pPr>
        <w:spacing w:after="0" w:line="360" w:lineRule="auto"/>
        <w:rPr>
          <w:rFonts w:ascii="Times New Roman" w:eastAsia="Calibri" w:hAnsi="Times New Roman" w:cs="Times New Roman"/>
          <w:sz w:val="24"/>
          <w:szCs w:val="24"/>
        </w:rPr>
      </w:pPr>
    </w:p>
    <w:p w14:paraId="66A6EE9C"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This happens because both sides share the need to create a multi-platform presence in a fragmented environment and by going ‘hand in hand’ from one platform to another, they secure each other’s needs – content producers secure the financing of their production, while sponsors secure their access to the relevant target audience. For both, the model opens the way for accumulating a growing number of audience members across different platforms, instead of the once-guaranteed mass audience on broadcast television. In addition, brands try to further extend those deals by creating experiences in the ‘real’ world, which reproduce the mediated experience (the programme) in reality. This creates an opportunity for the brand to establish direct contact with audiences (i.e. consumers)</w:t>
      </w:r>
      <w:r>
        <w:rPr>
          <w:rFonts w:ascii="Times New Roman" w:eastAsia="Calibri" w:hAnsi="Times New Roman" w:cs="Times New Roman"/>
          <w:sz w:val="24"/>
          <w:szCs w:val="24"/>
        </w:rPr>
        <w:t xml:space="preserve"> (Moor, 2003; Ytreberg, 2009)</w:t>
      </w:r>
      <w:r w:rsidRPr="009B5102">
        <w:rPr>
          <w:rFonts w:ascii="Times New Roman" w:eastAsia="Calibri" w:hAnsi="Times New Roman" w:cs="Times New Roman"/>
          <w:sz w:val="24"/>
          <w:szCs w:val="24"/>
        </w:rPr>
        <w:t xml:space="preserve">. </w:t>
      </w:r>
    </w:p>
    <w:p w14:paraId="2D1CB4B5" w14:textId="77777777" w:rsidR="00497B7D" w:rsidRPr="009B5102" w:rsidRDefault="00497B7D" w:rsidP="00346CA5">
      <w:pPr>
        <w:spacing w:after="0" w:line="360" w:lineRule="auto"/>
        <w:rPr>
          <w:rFonts w:ascii="Times New Roman" w:eastAsia="Calibri" w:hAnsi="Times New Roman" w:cs="Times New Roman"/>
          <w:sz w:val="24"/>
          <w:szCs w:val="24"/>
        </w:rPr>
      </w:pPr>
    </w:p>
    <w:p w14:paraId="414D5C05" w14:textId="77777777" w:rsidR="00497B7D" w:rsidRPr="009B5102" w:rsidRDefault="00497B7D" w:rsidP="00346CA5">
      <w:pPr>
        <w:pStyle w:val="Heading3"/>
      </w:pPr>
      <w:bookmarkStart w:id="92" w:name="_Toc445202695"/>
      <w:r w:rsidRPr="009B5102">
        <w:rPr>
          <w:i/>
          <w:iCs/>
        </w:rPr>
        <w:t>How to Look Good Naked</w:t>
      </w:r>
      <w:r w:rsidRPr="009B5102">
        <w:t xml:space="preserve"> and Dove</w:t>
      </w:r>
      <w:bookmarkEnd w:id="92"/>
    </w:p>
    <w:p w14:paraId="4FD0049B"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When Mindshare, the marketing communications agency which negotiated the deal for Dove, summarised the sponsorship of the second series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iCs/>
          <w:sz w:val="24"/>
          <w:szCs w:val="24"/>
        </w:rPr>
        <w:t xml:space="preserve"> for Dove’s people</w:t>
      </w:r>
      <w:r w:rsidRPr="009B5102">
        <w:rPr>
          <w:rFonts w:ascii="Times New Roman" w:eastAsia="Calibri" w:hAnsi="Times New Roman" w:cs="Times New Roman"/>
          <w:sz w:val="24"/>
          <w:szCs w:val="24"/>
        </w:rPr>
        <w:t>, the deal was clearly presented to the clients as a ‘360 degree’ one, a term commonly used in the jargon of marketers to refer to a campaign which communicates with consumers at different points and across different platforms, i.e. surrounds them in every possible way. In this clockwise-like diagram, sponsorship credits (discussed in the previous section), as well as credits on the programme’s trailers, were the starting point for the brand’s presence alongside the programme. It then continued with the brand’s presence on the programme’s website (Channel 4’s domain) which was titled “Online sponsorship and integration” and was accompanied by a commercial micro-site</w:t>
      </w:r>
      <w:r w:rsidRPr="00B93D25">
        <w:rPr>
          <w:rStyle w:val="FootnoteReference"/>
        </w:rPr>
        <w:footnoteReference w:id="61"/>
      </w:r>
      <w:r w:rsidRPr="009B5102">
        <w:rPr>
          <w:rFonts w:ascii="Times New Roman" w:eastAsia="Calibri" w:hAnsi="Times New Roman" w:cs="Times New Roman"/>
          <w:sz w:val="24"/>
          <w:szCs w:val="24"/>
        </w:rPr>
        <w:t xml:space="preserve"> for Dove on Channel 4’s domain</w:t>
      </w:r>
      <w:r w:rsidRPr="00B93D25">
        <w:rPr>
          <w:rStyle w:val="FootnoteReference"/>
        </w:rPr>
        <w:footnoteReference w:id="62"/>
      </w:r>
      <w:r w:rsidRPr="009B5102">
        <w:rPr>
          <w:rFonts w:ascii="Times New Roman" w:eastAsia="Calibri" w:hAnsi="Times New Roman" w:cs="Times New Roman"/>
          <w:sz w:val="24"/>
          <w:szCs w:val="24"/>
        </w:rPr>
        <w:t xml:space="preserve"> </w:t>
      </w:r>
      <w:r w:rsidRPr="009B5102">
        <w:rPr>
          <w:rFonts w:ascii="Times New Roman" w:eastAsia="Calibri" w:hAnsi="Times New Roman" w:cs="Times New Roman"/>
          <w:noProof/>
          <w:sz w:val="24"/>
          <w:szCs w:val="24"/>
        </w:rPr>
        <w:t>(Mindshare, 2007b)</w:t>
      </w:r>
      <w:r w:rsidRPr="009B5102">
        <w:rPr>
          <w:rFonts w:ascii="Times New Roman" w:eastAsia="Calibri" w:hAnsi="Times New Roman" w:cs="Times New Roman"/>
          <w:sz w:val="24"/>
          <w:szCs w:val="24"/>
        </w:rPr>
        <w:t>. In addition, the Video on Demand service from Channel 4 (4oD) was presented to sponsors as yet another platform for the brand to follow the programme</w:t>
      </w:r>
      <w:r w:rsidRPr="00B93D25">
        <w:rPr>
          <w:rStyle w:val="FootnoteReference"/>
        </w:rPr>
        <w:footnoteReference w:id="63"/>
      </w:r>
      <w:r w:rsidRPr="009B5102">
        <w:rPr>
          <w:rFonts w:ascii="Times New Roman" w:eastAsia="Calibri" w:hAnsi="Times New Roman" w:cs="Times New Roman"/>
          <w:sz w:val="24"/>
          <w:szCs w:val="24"/>
        </w:rPr>
        <w:t xml:space="preserve">. </w:t>
      </w:r>
    </w:p>
    <w:p w14:paraId="7A4D9183" w14:textId="77777777" w:rsidR="00497B7D" w:rsidRPr="009B5102" w:rsidRDefault="00497B7D" w:rsidP="00346CA5">
      <w:pPr>
        <w:spacing w:after="0" w:line="360" w:lineRule="auto"/>
        <w:rPr>
          <w:rFonts w:ascii="Times New Roman" w:eastAsia="Calibri" w:hAnsi="Times New Roman" w:cs="Times New Roman"/>
          <w:sz w:val="24"/>
          <w:szCs w:val="24"/>
        </w:rPr>
      </w:pPr>
    </w:p>
    <w:p w14:paraId="0CD43B50"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These were the formal multi-platform elements presented to the clients (Dove), but beyond that, the branded content agent at Mindshare, Dan Fletcher, was continually striving to extend the co-</w:t>
      </w:r>
      <w:r w:rsidRPr="009B5102">
        <w:rPr>
          <w:rFonts w:ascii="Times New Roman" w:eastAsia="Calibri" w:hAnsi="Times New Roman" w:cs="Times New Roman"/>
          <w:sz w:val="24"/>
          <w:szCs w:val="24"/>
        </w:rPr>
        <w:lastRenderedPageBreak/>
        <w:t xml:space="preserve">operation between the Dove Pro-Age line and </w:t>
      </w:r>
      <w:r w:rsidRPr="009B5102">
        <w:rPr>
          <w:rFonts w:ascii="Times New Roman" w:eastAsia="Calibri" w:hAnsi="Times New Roman" w:cs="Times New Roman"/>
          <w:i/>
          <w:iCs/>
          <w:sz w:val="24"/>
          <w:szCs w:val="24"/>
        </w:rPr>
        <w:t xml:space="preserve">HTLGN </w:t>
      </w:r>
      <w:r w:rsidRPr="009B5102">
        <w:rPr>
          <w:rFonts w:ascii="Times New Roman" w:eastAsia="Calibri" w:hAnsi="Times New Roman" w:cs="Times New Roman"/>
          <w:sz w:val="24"/>
          <w:szCs w:val="24"/>
        </w:rPr>
        <w:t xml:space="preserve">in other ways. He sought to deepen their synergy by creating multiple meeting points between the brand and the programme and presenting them as synonymous in the public eye. Although most of these initiatives, for example setting up a common commercial site for the brand and the programme, hiring Wan as a presenter for Dove and more, were not ultimately realised, they reflect the typical mode of thinking by branded content agents and provide evidence of the general trend and its logic. </w:t>
      </w:r>
    </w:p>
    <w:p w14:paraId="44F4351E" w14:textId="77777777" w:rsidR="00497B7D" w:rsidRPr="009B5102" w:rsidRDefault="00497B7D" w:rsidP="00346CA5">
      <w:pPr>
        <w:spacing w:after="0" w:line="360" w:lineRule="auto"/>
        <w:rPr>
          <w:rFonts w:ascii="Times New Roman" w:eastAsia="Calibri" w:hAnsi="Times New Roman" w:cs="Times New Roman"/>
          <w:sz w:val="24"/>
          <w:szCs w:val="24"/>
        </w:rPr>
      </w:pPr>
    </w:p>
    <w:p w14:paraId="67A69D8F" w14:textId="77777777" w:rsidR="00497B7D" w:rsidRPr="009B5102" w:rsidRDefault="00497B7D" w:rsidP="00346CA5">
      <w:pPr>
        <w:spacing w:after="0" w:line="360" w:lineRule="auto"/>
        <w:rPr>
          <w:rFonts w:ascii="Times New Roman" w:eastAsia="Calibri" w:hAnsi="Times New Roman" w:cs="Times New Roman"/>
          <w:i/>
          <w:iCs/>
          <w:sz w:val="24"/>
          <w:szCs w:val="24"/>
        </w:rPr>
      </w:pPr>
      <w:r w:rsidRPr="009B5102">
        <w:rPr>
          <w:rFonts w:ascii="Times New Roman" w:eastAsia="Calibri" w:hAnsi="Times New Roman" w:cs="Times New Roman"/>
          <w:sz w:val="24"/>
          <w:szCs w:val="24"/>
        </w:rPr>
        <w:t xml:space="preserve">Fletcher </w:t>
      </w:r>
      <w:r w:rsidRPr="009B5102">
        <w:rPr>
          <w:rFonts w:ascii="Times New Roman" w:eastAsia="Calibri" w:hAnsi="Times New Roman" w:cs="Times New Roman"/>
          <w:noProof/>
          <w:sz w:val="24"/>
          <w:szCs w:val="24"/>
        </w:rPr>
        <w:t>(2009)</w:t>
      </w:r>
      <w:r w:rsidRPr="009B5102">
        <w:rPr>
          <w:rFonts w:ascii="Times New Roman" w:eastAsia="Calibri" w:hAnsi="Times New Roman" w:cs="Times New Roman"/>
          <w:sz w:val="24"/>
          <w:szCs w:val="24"/>
        </w:rPr>
        <w:t xml:space="preserve"> viewed these initiatives as a shift from ‘sponsorship’, in which a brand pays money for an association with a programme, to ‘partnership’, in which “cash money isn’t necessarily what changes hands. It’s </w:t>
      </w:r>
      <w:r w:rsidRPr="009B5102">
        <w:rPr>
          <w:rFonts w:ascii="Times New Roman" w:eastAsia="Calibri" w:hAnsi="Times New Roman" w:cs="Times New Roman"/>
          <w:i/>
          <w:sz w:val="24"/>
          <w:szCs w:val="24"/>
        </w:rPr>
        <w:t>a share of value</w:t>
      </w:r>
      <w:r w:rsidRPr="009B5102">
        <w:rPr>
          <w:rFonts w:ascii="Times New Roman" w:eastAsia="Calibri" w:hAnsi="Times New Roman" w:cs="Times New Roman"/>
          <w:sz w:val="24"/>
          <w:szCs w:val="24"/>
        </w:rPr>
        <w:t xml:space="preserve">, a contra deal”. He then described his attempts to create such a ‘partnership’ between Dove Pro-Age and </w:t>
      </w:r>
      <w:r w:rsidRPr="009B5102">
        <w:rPr>
          <w:rFonts w:ascii="Times New Roman" w:eastAsia="Calibri" w:hAnsi="Times New Roman" w:cs="Times New Roman"/>
          <w:i/>
          <w:iCs/>
          <w:sz w:val="24"/>
          <w:szCs w:val="24"/>
        </w:rPr>
        <w:t>HTLGN:</w:t>
      </w:r>
    </w:p>
    <w:p w14:paraId="7DF752BC" w14:textId="77777777" w:rsidR="00497B7D" w:rsidRPr="009B5102" w:rsidRDefault="00497B7D" w:rsidP="00346CA5">
      <w:pPr>
        <w:spacing w:after="0" w:line="360" w:lineRule="auto"/>
        <w:rPr>
          <w:rFonts w:ascii="Times New Roman" w:eastAsia="Calibri" w:hAnsi="Times New Roman" w:cs="Times New Roman"/>
          <w:sz w:val="24"/>
          <w:szCs w:val="24"/>
        </w:rPr>
      </w:pPr>
    </w:p>
    <w:p w14:paraId="142DE3B2"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Sponsorship was a starting point. We had subsequent conversations about partnership. For example, helping launch a website around the programme, Lookgoodnaked.com. The other part of the puzzle was that we looked [into] whether Gok should become more synonymous with Dove and become a spokesperson, to use him in advertising, so we went down this route, but it was decided not [to]. Their advertising was all around real women, and therefore they wanted to stick to that. Also, at that time, Gok was still relatively unknown. He was certainly a phenomenon, but wasn’t an established household name, so there was a bit of a risk. So what we looked at trying to do is more PR led stuff, but it didn’t happen, for reasons around the cost of doing that. In addition, we did some print advertorials in magazines which were about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and Dove Pro-age’s combined mission. We ran it in a couple of monthly magazines (Fletcher, 2009). </w:t>
      </w:r>
    </w:p>
    <w:p w14:paraId="3F84DEA2" w14:textId="77777777" w:rsidR="00497B7D" w:rsidRPr="009B5102" w:rsidRDefault="00497B7D" w:rsidP="00346CA5">
      <w:pPr>
        <w:spacing w:after="0" w:line="360" w:lineRule="auto"/>
        <w:rPr>
          <w:rFonts w:ascii="Times New Roman" w:eastAsia="Calibri" w:hAnsi="Times New Roman" w:cs="Times New Roman"/>
          <w:sz w:val="24"/>
          <w:szCs w:val="24"/>
        </w:rPr>
      </w:pPr>
    </w:p>
    <w:p w14:paraId="675DC4D1"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What Fletcher describes here are efforts to create an additional media presence, on top of the commercial co-operation between the brand and the programme, on the basis of direct exchange rather than monetary payment. Once the programme became a brand in its own right, and so did its presenter, the exchange relations between the two seem to change and become less clear – is it </w:t>
      </w:r>
      <w:r w:rsidRPr="009B5102">
        <w:rPr>
          <w:rFonts w:ascii="Times New Roman" w:eastAsia="Calibri" w:hAnsi="Times New Roman" w:cs="Times New Roman"/>
          <w:sz w:val="24"/>
          <w:szCs w:val="24"/>
        </w:rPr>
        <w:lastRenderedPageBreak/>
        <w:t xml:space="preserve">now the programme (or its presenter) that has more ‘glory’, and therefore value, than the sponsoring brand and can help further promote the new line of products? Is it Dove that helps to further promote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or Gok Wan personally by purchasing media space in other platforms? </w:t>
      </w:r>
    </w:p>
    <w:p w14:paraId="13546935" w14:textId="77777777" w:rsidR="00497B7D" w:rsidRPr="009B5102" w:rsidRDefault="00497B7D" w:rsidP="00346CA5">
      <w:pPr>
        <w:spacing w:after="0" w:line="360" w:lineRule="auto"/>
        <w:rPr>
          <w:rFonts w:ascii="Times New Roman" w:eastAsia="Calibri" w:hAnsi="Times New Roman" w:cs="Times New Roman"/>
          <w:sz w:val="24"/>
          <w:szCs w:val="24"/>
        </w:rPr>
      </w:pPr>
    </w:p>
    <w:p w14:paraId="2854E395" w14:textId="75458804" w:rsidR="00497B7D" w:rsidRPr="009B5102" w:rsidRDefault="00497B7D" w:rsidP="00E32F41">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On another front, Mindshare was working to use the sponsorship deal to create direct contact with consumers in the ‘real’ world. This was done during the shooting days of the final scenes of the programme in the second series (and onwards) which included the ‘catwalk’. These scenes regularly took place in shopping centres or other big public spaces around the UK. The programme and its presenter, who had become familiar among female TV viewers by then, attracted an audience of hundreds of cheering women on each shooting day, creating a live event around the programme (see Figure</w:t>
      </w:r>
      <w:r>
        <w:rPr>
          <w:rFonts w:ascii="Times New Roman" w:eastAsia="Calibri" w:hAnsi="Times New Roman" w:cs="Times New Roman"/>
          <w:sz w:val="24"/>
          <w:szCs w:val="24"/>
        </w:rPr>
        <w:t xml:space="preserve"> </w:t>
      </w:r>
      <w:r w:rsidR="00E32F41">
        <w:rPr>
          <w:rFonts w:ascii="Times New Roman" w:eastAsia="Calibri" w:hAnsi="Times New Roman" w:cs="Times New Roman"/>
          <w:sz w:val="24"/>
          <w:szCs w:val="24"/>
        </w:rPr>
        <w:t>27</w:t>
      </w:r>
      <w:r w:rsidRPr="009B5102">
        <w:rPr>
          <w:rFonts w:ascii="Times New Roman" w:eastAsia="Calibri" w:hAnsi="Times New Roman" w:cs="Times New Roman"/>
          <w:sz w:val="24"/>
          <w:szCs w:val="24"/>
        </w:rPr>
        <w:t xml:space="preserve">). </w:t>
      </w:r>
    </w:p>
    <w:p w14:paraId="5BAB8FFD" w14:textId="77777777" w:rsidR="00497B7D" w:rsidRPr="009B5102" w:rsidRDefault="00497B7D" w:rsidP="00346CA5">
      <w:pPr>
        <w:spacing w:after="0" w:line="360" w:lineRule="auto"/>
        <w:rPr>
          <w:rFonts w:ascii="Times New Roman" w:eastAsia="Calibri" w:hAnsi="Times New Roman" w:cs="Times New Roman"/>
          <w:sz w:val="24"/>
          <w:szCs w:val="24"/>
        </w:rPr>
      </w:pPr>
    </w:p>
    <w:p w14:paraId="5FBFB3FA"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The production agreed that Dove representatives would promote Pro-Age products during these days and would collect the women’s details to further communicate with them online. Fletcher saw this as an opportunity to connect with consumers through what he described as their ‘passion points’</w:t>
      </w:r>
      <w:r w:rsidRPr="00B93D25">
        <w:rPr>
          <w:rStyle w:val="FootnoteReference"/>
        </w:rPr>
        <w:footnoteReference w:id="64"/>
      </w:r>
      <w:r w:rsidRPr="009B5102">
        <w:rPr>
          <w:rFonts w:ascii="Times New Roman" w:eastAsia="Calibri" w:hAnsi="Times New Roman" w:cs="Times New Roman"/>
          <w:sz w:val="24"/>
          <w:szCs w:val="24"/>
        </w:rPr>
        <w:t xml:space="preserve">: </w:t>
      </w:r>
    </w:p>
    <w:p w14:paraId="58685A35" w14:textId="77777777" w:rsidR="00497B7D" w:rsidRPr="009B5102" w:rsidRDefault="00497B7D" w:rsidP="00346CA5">
      <w:pPr>
        <w:spacing w:after="0" w:line="360" w:lineRule="auto"/>
        <w:rPr>
          <w:rFonts w:ascii="Times New Roman" w:eastAsia="Calibri" w:hAnsi="Times New Roman" w:cs="Times New Roman"/>
          <w:sz w:val="24"/>
          <w:szCs w:val="24"/>
        </w:rPr>
      </w:pPr>
    </w:p>
    <w:p w14:paraId="36597BAC"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We had access to all those people there. So we had access to 500 plus women each week to get the product in their hands and to be able to further communicate why we were involved in the show. It was brilliant. This was a way for customer relationship marketing, and we were also signing them up for Dove’s </w:t>
      </w:r>
      <w:r w:rsidRPr="009B5102">
        <w:rPr>
          <w:rFonts w:ascii="Times New Roman" w:eastAsia="Calibri" w:hAnsi="Times New Roman" w:cs="Times New Roman"/>
          <w:i/>
          <w:iCs/>
          <w:sz w:val="24"/>
          <w:szCs w:val="24"/>
        </w:rPr>
        <w:t>Real Beauty</w:t>
      </w:r>
      <w:r w:rsidRPr="009B5102">
        <w:rPr>
          <w:rFonts w:ascii="Times New Roman" w:eastAsia="Calibri" w:hAnsi="Times New Roman" w:cs="Times New Roman"/>
          <w:sz w:val="24"/>
          <w:szCs w:val="24"/>
        </w:rPr>
        <w:t xml:space="preserve"> website and getting them involved in that. What Dove wants is a dialogue with their audience. So this was an example of utilising all the activities that are going on around the programme to help achieve the objectives of the brand (Fletcher, 2009).</w:t>
      </w:r>
    </w:p>
    <w:p w14:paraId="21EA35DA"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3120A0CC"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lastRenderedPageBreak/>
        <w:drawing>
          <wp:inline distT="0" distB="0" distL="0" distR="0" wp14:anchorId="3BA696B9" wp14:editId="00F0FAB9">
            <wp:extent cx="2844800" cy="2487409"/>
            <wp:effectExtent l="0" t="0" r="0" b="8255"/>
            <wp:docPr id="55" name="Picture 15" descr="IMG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6.JPG"/>
                    <pic:cNvPicPr/>
                  </pic:nvPicPr>
                  <pic:blipFill>
                    <a:blip r:embed="rId47" cstate="print"/>
                    <a:stretch>
                      <a:fillRect/>
                    </a:stretch>
                  </pic:blipFill>
                  <pic:spPr>
                    <a:xfrm>
                      <a:off x="0" y="0"/>
                      <a:ext cx="2851940" cy="2493652"/>
                    </a:xfrm>
                    <a:prstGeom prst="rect">
                      <a:avLst/>
                    </a:prstGeom>
                  </pic:spPr>
                </pic:pic>
              </a:graphicData>
            </a:graphic>
          </wp:inline>
        </w:drawing>
      </w:r>
    </w:p>
    <w:p w14:paraId="4BC57937"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37CF3192" wp14:editId="22AD87E2">
            <wp:extent cx="2825750" cy="2648343"/>
            <wp:effectExtent l="0" t="0" r="0" b="0"/>
            <wp:docPr id="56" name="Picture 18" descr="IMG_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7.JPG"/>
                    <pic:cNvPicPr/>
                  </pic:nvPicPr>
                  <pic:blipFill>
                    <a:blip r:embed="rId48" cstate="print"/>
                    <a:stretch>
                      <a:fillRect/>
                    </a:stretch>
                  </pic:blipFill>
                  <pic:spPr>
                    <a:xfrm>
                      <a:off x="0" y="0"/>
                      <a:ext cx="2837364" cy="2659228"/>
                    </a:xfrm>
                    <a:prstGeom prst="rect">
                      <a:avLst/>
                    </a:prstGeom>
                  </pic:spPr>
                </pic:pic>
              </a:graphicData>
            </a:graphic>
          </wp:inline>
        </w:drawing>
      </w:r>
    </w:p>
    <w:p w14:paraId="71C81B47"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76429FDF" wp14:editId="74FC25BF">
            <wp:extent cx="2822904" cy="2298700"/>
            <wp:effectExtent l="0" t="0" r="0" b="6350"/>
            <wp:docPr id="57" name="Picture 19" descr="IMG_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7.JPG"/>
                    <pic:cNvPicPr/>
                  </pic:nvPicPr>
                  <pic:blipFill>
                    <a:blip r:embed="rId49" cstate="print"/>
                    <a:stretch>
                      <a:fillRect/>
                    </a:stretch>
                  </pic:blipFill>
                  <pic:spPr>
                    <a:xfrm>
                      <a:off x="0" y="0"/>
                      <a:ext cx="2835510" cy="2308965"/>
                    </a:xfrm>
                    <a:prstGeom prst="rect">
                      <a:avLst/>
                    </a:prstGeom>
                  </pic:spPr>
                </pic:pic>
              </a:graphicData>
            </a:graphic>
          </wp:inline>
        </w:drawing>
      </w:r>
    </w:p>
    <w:p w14:paraId="24CB6D01" w14:textId="07800196" w:rsidR="00497B7D" w:rsidRPr="000E4BDB" w:rsidRDefault="00497B7D" w:rsidP="009E4FA3">
      <w:pPr>
        <w:pStyle w:val="Heading6"/>
      </w:pPr>
      <w:bookmarkStart w:id="93" w:name="_Toc445120252"/>
      <w:r w:rsidRPr="000E4BDB">
        <w:t xml:space="preserve">Figure </w:t>
      </w:r>
      <w:r w:rsidR="00E32F41">
        <w:t>27</w:t>
      </w:r>
      <w:r w:rsidRPr="000E4BDB">
        <w:t xml:space="preserve">: Audience members at a shooting day for </w:t>
      </w:r>
      <w:r w:rsidRPr="000E4BDB">
        <w:rPr>
          <w:i/>
          <w:iCs/>
        </w:rPr>
        <w:t>HTLGN</w:t>
      </w:r>
      <w:r w:rsidRPr="000E4BDB">
        <w:t xml:space="preserve"> in a shopping centre in Birmingham, 07.08.09.</w:t>
      </w:r>
      <w:bookmarkEnd w:id="93"/>
      <w:r w:rsidRPr="000E4BDB">
        <w:t xml:space="preserve">  </w:t>
      </w:r>
    </w:p>
    <w:p w14:paraId="2B217CBB" w14:textId="77777777" w:rsidR="00497B7D" w:rsidRPr="009B5102" w:rsidRDefault="00497B7D" w:rsidP="00346CA5">
      <w:pPr>
        <w:spacing w:after="0" w:line="360" w:lineRule="auto"/>
        <w:rPr>
          <w:rFonts w:ascii="Times New Roman" w:eastAsia="Calibri" w:hAnsi="Times New Roman" w:cs="Times New Roman"/>
          <w:sz w:val="24"/>
          <w:szCs w:val="24"/>
        </w:rPr>
      </w:pPr>
    </w:p>
    <w:p w14:paraId="3EBAE2B5"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Fletcher’s words clearly reflect how gradually the brand’s ‘feminist agenda’ (developed on the basis of a report by Susie Orbach, described in Chapter 4) turned into a more obviously strategic action, in which the ideological message was utilised for the commercial purpose of collecting personal data of potential consumers in order to contact them online for further marketing purposes and to establish an ongoing ‘relationship’ with the brand. </w:t>
      </w:r>
    </w:p>
    <w:p w14:paraId="22980C41" w14:textId="77777777" w:rsidR="00497B7D" w:rsidRPr="009B5102" w:rsidRDefault="00497B7D" w:rsidP="00346CA5">
      <w:pPr>
        <w:spacing w:after="0" w:line="360" w:lineRule="auto"/>
        <w:rPr>
          <w:rFonts w:ascii="Times New Roman" w:eastAsia="Calibri" w:hAnsi="Times New Roman" w:cs="Times New Roman"/>
          <w:sz w:val="24"/>
          <w:szCs w:val="24"/>
        </w:rPr>
      </w:pPr>
    </w:p>
    <w:p w14:paraId="3E1ACC91"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Yet another potential way of extending the commercial co-operation with the programme was through traditional merchandising. In the case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and Dove, this was naturally oriented towards a self-care line of products which was co-branded by Dove and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w:t>
      </w:r>
    </w:p>
    <w:p w14:paraId="25269DEF" w14:textId="77777777" w:rsidR="00497B7D" w:rsidRPr="009B5102" w:rsidRDefault="00497B7D" w:rsidP="00346CA5">
      <w:pPr>
        <w:spacing w:after="0" w:line="360" w:lineRule="auto"/>
        <w:rPr>
          <w:rFonts w:ascii="Times New Roman" w:eastAsia="Calibri" w:hAnsi="Times New Roman" w:cs="Times New Roman"/>
          <w:sz w:val="24"/>
          <w:szCs w:val="24"/>
        </w:rPr>
      </w:pPr>
    </w:p>
    <w:p w14:paraId="5585A9B2"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Fletcher explained: </w:t>
      </w:r>
    </w:p>
    <w:p w14:paraId="03CC03A2" w14:textId="77777777" w:rsidR="00497B7D" w:rsidRPr="009B5102" w:rsidRDefault="00497B7D" w:rsidP="00346CA5">
      <w:pPr>
        <w:spacing w:after="0" w:line="360" w:lineRule="auto"/>
        <w:rPr>
          <w:rFonts w:ascii="Times New Roman" w:eastAsia="Calibri" w:hAnsi="Times New Roman" w:cs="Times New Roman"/>
          <w:sz w:val="24"/>
          <w:szCs w:val="24"/>
        </w:rPr>
      </w:pPr>
    </w:p>
    <w:p w14:paraId="44B41BE4"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We looked at the possibility of doing a Dove-</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product range. We explored it with Unilever and with Maverick to license that, and it got some way down the line, but as you can imagine, working on timescales to get that in reality… so it didn’t happen at the end (Fletcher, 2009). </w:t>
      </w:r>
    </w:p>
    <w:p w14:paraId="4C9EE2F4" w14:textId="77777777" w:rsidR="00497B7D" w:rsidRPr="009B5102" w:rsidRDefault="00497B7D" w:rsidP="00346CA5">
      <w:pPr>
        <w:spacing w:after="0" w:line="360" w:lineRule="auto"/>
        <w:rPr>
          <w:rFonts w:ascii="Times New Roman" w:eastAsia="Calibri" w:hAnsi="Times New Roman" w:cs="Times New Roman"/>
          <w:sz w:val="24"/>
          <w:szCs w:val="24"/>
        </w:rPr>
      </w:pPr>
    </w:p>
    <w:p w14:paraId="06757E6A"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What did happen was that Maverick, in its own attempts to increase revenues from the programme, finally launched its own line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products through licensing a company for that purpose </w:t>
      </w:r>
      <w:r w:rsidRPr="009B5102">
        <w:rPr>
          <w:rFonts w:ascii="Times New Roman" w:eastAsia="Calibri" w:hAnsi="Times New Roman" w:cs="Times New Roman"/>
          <w:noProof/>
          <w:sz w:val="24"/>
          <w:szCs w:val="24"/>
        </w:rPr>
        <w:t>(The Drum, 2009</w:t>
      </w:r>
      <w:r w:rsidRPr="003A01C3">
        <w:rPr>
          <w:rFonts w:ascii="Times New Roman" w:eastAsia="Calibri" w:hAnsi="Times New Roman" w:cs="Times New Roman"/>
          <w:noProof/>
          <w:sz w:val="24"/>
          <w:szCs w:val="24"/>
        </w:rPr>
        <w:t>, 23rd of July)</w:t>
      </w:r>
      <w:r w:rsidRPr="009B5102">
        <w:rPr>
          <w:rFonts w:ascii="Times New Roman" w:eastAsia="Calibri" w:hAnsi="Times New Roman" w:cs="Times New Roman"/>
          <w:sz w:val="24"/>
          <w:szCs w:val="24"/>
        </w:rPr>
        <w:t xml:space="preserve">. </w:t>
      </w:r>
    </w:p>
    <w:p w14:paraId="647F5ED4" w14:textId="77777777" w:rsidR="00497B7D" w:rsidRPr="009B5102" w:rsidRDefault="00497B7D" w:rsidP="00346CA5">
      <w:pPr>
        <w:spacing w:after="0" w:line="360" w:lineRule="auto"/>
        <w:rPr>
          <w:rFonts w:ascii="Times New Roman" w:eastAsia="Calibri" w:hAnsi="Times New Roman" w:cs="Times New Roman"/>
          <w:sz w:val="24"/>
          <w:szCs w:val="24"/>
        </w:rPr>
      </w:pPr>
    </w:p>
    <w:p w14:paraId="0565DF4F"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Although both sponsors and producers shared a similar interest in finding ways to expand the revenue channels of each programme, it seems that merchandising still remains a marginal route, as least in this case. As Jo Rosenfelder, the commercial affairs director at Maverick revealed, the main share of revenue still comes from simply producing the programme and being paid for that: </w:t>
      </w:r>
    </w:p>
    <w:p w14:paraId="30348994" w14:textId="77777777" w:rsidR="00497B7D" w:rsidRPr="009B5102" w:rsidRDefault="00497B7D" w:rsidP="00346CA5">
      <w:pPr>
        <w:spacing w:after="0" w:line="360" w:lineRule="auto"/>
        <w:rPr>
          <w:rFonts w:ascii="Times New Roman" w:eastAsia="Calibri" w:hAnsi="Times New Roman" w:cs="Times New Roman"/>
          <w:sz w:val="24"/>
          <w:szCs w:val="24"/>
        </w:rPr>
      </w:pPr>
    </w:p>
    <w:p w14:paraId="6A8ECF3A"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Our day to day revenue comes from making programmes. So that supports the infrastructure and staff. The bulk of our revenue come from our broadcasters, and then the next is from sales of the finished </w:t>
      </w:r>
      <w:r w:rsidRPr="009B5102">
        <w:rPr>
          <w:rFonts w:ascii="Times New Roman" w:eastAsia="Calibri" w:hAnsi="Times New Roman" w:cs="Times New Roman"/>
          <w:sz w:val="24"/>
          <w:szCs w:val="24"/>
        </w:rPr>
        <w:lastRenderedPageBreak/>
        <w:t xml:space="preserve">programmes, as well as format sales around the world. And then there are books we published, the first one did very very well. There are bits from DVD sales, but this genre doesn’t tend to sell very well on DVD. And then we are also going to launch [the]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range of pamper products, bath oils and other stuff </w:t>
      </w:r>
      <w:r w:rsidRPr="009B5102">
        <w:rPr>
          <w:rFonts w:ascii="Times New Roman" w:eastAsia="Calibri" w:hAnsi="Times New Roman" w:cs="Times New Roman"/>
          <w:noProof/>
          <w:sz w:val="24"/>
          <w:szCs w:val="24"/>
        </w:rPr>
        <w:t>(Rosenfelder, 2009)</w:t>
      </w:r>
      <w:r w:rsidRPr="009B5102">
        <w:rPr>
          <w:rFonts w:ascii="Times New Roman" w:eastAsia="Calibri" w:hAnsi="Times New Roman" w:cs="Times New Roman"/>
          <w:sz w:val="24"/>
          <w:szCs w:val="24"/>
        </w:rPr>
        <w:t>.</w:t>
      </w:r>
    </w:p>
    <w:p w14:paraId="03B0C375" w14:textId="77777777" w:rsidR="00497B7D" w:rsidRPr="009B5102" w:rsidRDefault="00497B7D" w:rsidP="00346CA5">
      <w:pPr>
        <w:spacing w:after="0" w:line="360" w:lineRule="auto"/>
        <w:rPr>
          <w:rFonts w:ascii="Times New Roman" w:eastAsia="Calibri" w:hAnsi="Times New Roman" w:cs="Times New Roman"/>
          <w:i/>
          <w:iCs/>
          <w:sz w:val="24"/>
          <w:szCs w:val="24"/>
        </w:rPr>
      </w:pPr>
    </w:p>
    <w:p w14:paraId="2F471BBF"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’s sponsorship deal clearly shows how marketers and producers have a shared interest in extending the commercial co-operation to other media platforms, beyond the television screen. This meets the need of producers to secure financing of the production across different platforms, while sponsors gain access to their target audience across multiple platforms. In addition, brands use the synergy with a specific programme to connect with consumers in the ‘real’ world and create an experience that is close to them</w:t>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rPr>
        <w:t>(Moor, 2003, 2007)</w:t>
      </w:r>
      <w:r w:rsidRPr="009B5102">
        <w:rPr>
          <w:rFonts w:ascii="Times New Roman" w:eastAsia="Calibri" w:hAnsi="Times New Roman" w:cs="Times New Roman"/>
          <w:sz w:val="24"/>
          <w:szCs w:val="24"/>
        </w:rPr>
        <w:t xml:space="preserve">. Though the initial overt goal of the sponsorship is to promote a certain set of brand values (which it imagines it shares with the TV programme), it is then being used strategically to become close to the relevant audience and establish direct connection with consumers for marketing purposes. Merchandising is yet another way, old and familiar, to further extend the collaboration between the sponsor and the programme. Even if some of the initiatives in this case were not finally realised, they provide evidence for the goals marketers see in such deals and the ways they find to realise them. </w:t>
      </w:r>
    </w:p>
    <w:p w14:paraId="560049B9" w14:textId="77777777" w:rsidR="00497B7D" w:rsidRPr="009B5102" w:rsidRDefault="00497B7D" w:rsidP="00346CA5">
      <w:pPr>
        <w:spacing w:after="0" w:line="360" w:lineRule="auto"/>
        <w:rPr>
          <w:rFonts w:ascii="Times New Roman" w:eastAsia="Calibri" w:hAnsi="Times New Roman" w:cs="Times New Roman"/>
          <w:sz w:val="24"/>
          <w:szCs w:val="24"/>
        </w:rPr>
      </w:pPr>
    </w:p>
    <w:p w14:paraId="64192827" w14:textId="77777777" w:rsidR="00497B7D" w:rsidRPr="009B5102" w:rsidRDefault="00497B7D" w:rsidP="00346CA5">
      <w:pPr>
        <w:pStyle w:val="Heading3"/>
      </w:pPr>
      <w:bookmarkStart w:id="94" w:name="_Toc445202696"/>
      <w:r w:rsidRPr="009B5102">
        <w:rPr>
          <w:i/>
          <w:iCs/>
        </w:rPr>
        <w:t>Overdraft Family</w:t>
      </w:r>
      <w:r w:rsidRPr="009B5102">
        <w:t>, Shufersal-Deal and Bank Hapo’alim</w:t>
      </w:r>
      <w:bookmarkEnd w:id="94"/>
    </w:p>
    <w:p w14:paraId="34265A3A"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’s sponsorship agreement with Bank Hapo’alim and Shufersal-Deal provides an even more extensive example of the tendency of such deals to expand to other platforms and into non-mediated, ‘real’ world experiences. The commercial co-operation did not only migrate to online websites, the local radio and the print press, but was also deepened through yet another deal signed between the sponsors and the presenter, Alon Gal, who became a household name and synonymous with the programme.  </w:t>
      </w:r>
    </w:p>
    <w:p w14:paraId="3E6038CA" w14:textId="77777777" w:rsidR="00497B7D" w:rsidRPr="009B5102" w:rsidRDefault="00497B7D" w:rsidP="00346CA5">
      <w:pPr>
        <w:spacing w:after="0" w:line="360" w:lineRule="auto"/>
        <w:rPr>
          <w:rFonts w:ascii="Times New Roman" w:eastAsia="Calibri" w:hAnsi="Times New Roman" w:cs="Times New Roman"/>
          <w:sz w:val="24"/>
          <w:szCs w:val="24"/>
        </w:rPr>
      </w:pPr>
    </w:p>
    <w:p w14:paraId="0C6F6F6F" w14:textId="77777777" w:rsidR="00497B7D" w:rsidRPr="009B5102" w:rsidRDefault="00497B7D" w:rsidP="00346CA5">
      <w:pPr>
        <w:pStyle w:val="Heading4"/>
        <w:rPr>
          <w:rFonts w:eastAsia="Calibri"/>
        </w:rPr>
      </w:pPr>
      <w:r w:rsidRPr="009B5102">
        <w:rPr>
          <w:rFonts w:eastAsia="Calibri"/>
        </w:rPr>
        <w:t xml:space="preserve">A News Website </w:t>
      </w:r>
    </w:p>
    <w:p w14:paraId="2A12A4D5"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To begin with, the online presence of both sponsors on the programme’s website was an important part of both deals from the outset. This included the brands’ integration into the </w:t>
      </w:r>
      <w:r w:rsidRPr="009B5102">
        <w:rPr>
          <w:rFonts w:ascii="Times New Roman" w:eastAsia="Calibri" w:hAnsi="Times New Roman" w:cs="Times New Roman"/>
          <w:sz w:val="24"/>
          <w:szCs w:val="24"/>
        </w:rPr>
        <w:lastRenderedPageBreak/>
        <w:t>programme’s formal website, but also a micro-site attached to it under the broadcaster’s domain (</w:t>
      </w:r>
      <w:hyperlink r:id="rId50" w:history="1">
        <w:r w:rsidRPr="009B5102">
          <w:rPr>
            <w:rFonts w:ascii="Times New Roman" w:eastAsia="Calibri" w:hAnsi="Times New Roman" w:cs="Times New Roman"/>
            <w:sz w:val="24"/>
            <w:szCs w:val="24"/>
          </w:rPr>
          <w:t>www.reshset.tv</w:t>
        </w:r>
      </w:hyperlink>
      <w:r w:rsidRPr="009B5102">
        <w:rPr>
          <w:rFonts w:ascii="Times New Roman" w:eastAsia="Calibri" w:hAnsi="Times New Roman" w:cs="Times New Roman"/>
          <w:sz w:val="24"/>
          <w:szCs w:val="24"/>
        </w:rPr>
        <w:t>). In addition, the online activity of both sponsors also stretched to Ynet news</w:t>
      </w:r>
      <w:r w:rsidRPr="00B93D25">
        <w:rPr>
          <w:rStyle w:val="FootnoteReference"/>
        </w:rPr>
        <w:footnoteReference w:id="65"/>
      </w:r>
      <w:r w:rsidRPr="009B5102">
        <w:rPr>
          <w:rFonts w:ascii="Times New Roman" w:eastAsia="Calibri" w:hAnsi="Times New Roman" w:cs="Times New Roman"/>
          <w:sz w:val="24"/>
          <w:szCs w:val="24"/>
        </w:rPr>
        <w:t>, the most popular news website in Israel. This last step provides a clear case of cross-media promotion</w:t>
      </w:r>
      <w:r>
        <w:rPr>
          <w:rFonts w:ascii="Times New Roman" w:eastAsia="Calibri" w:hAnsi="Times New Roman" w:cs="Times New Roman"/>
          <w:sz w:val="24"/>
          <w:szCs w:val="24"/>
        </w:rPr>
        <w:t xml:space="preserve"> (Hardy, 2010)</w:t>
      </w:r>
      <w:r w:rsidRPr="009B5102">
        <w:rPr>
          <w:rFonts w:ascii="Times New Roman" w:eastAsia="Calibri" w:hAnsi="Times New Roman" w:cs="Times New Roman"/>
          <w:sz w:val="24"/>
          <w:szCs w:val="24"/>
        </w:rPr>
        <w:t xml:space="preserve">, as the publisher of Ynet (of the Yedioth group) was in the past the chief owner of the broadcaster Reshet and at the time when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was on the air had a commercial agreement for the distribution of Reshet’s programmes on the Ynet news website. (The overall online presence of the sponsors in collaboration with the programme will be further discussed in the next section). </w:t>
      </w:r>
    </w:p>
    <w:p w14:paraId="284A3900" w14:textId="77777777" w:rsidR="00497B7D" w:rsidRPr="009B5102" w:rsidRDefault="00497B7D" w:rsidP="00346CA5">
      <w:pPr>
        <w:spacing w:after="0" w:line="360" w:lineRule="auto"/>
        <w:rPr>
          <w:rFonts w:ascii="Times New Roman" w:eastAsia="Calibri" w:hAnsi="Times New Roman" w:cs="Times New Roman"/>
          <w:sz w:val="24"/>
          <w:szCs w:val="24"/>
        </w:rPr>
      </w:pPr>
    </w:p>
    <w:p w14:paraId="427982A0" w14:textId="77777777" w:rsidR="00497B7D" w:rsidRPr="009B5102" w:rsidRDefault="00497B7D" w:rsidP="00346CA5">
      <w:pPr>
        <w:pStyle w:val="Heading4"/>
        <w:rPr>
          <w:rFonts w:eastAsia="Calibri"/>
        </w:rPr>
      </w:pPr>
      <w:r w:rsidRPr="009B5102">
        <w:rPr>
          <w:rFonts w:eastAsia="Calibri"/>
        </w:rPr>
        <w:t>Local Radio</w:t>
      </w:r>
    </w:p>
    <w:p w14:paraId="4A9514DB"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subsequent series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as the programme gained popularity (and once Shufersal-Deal joined as sponsors, from the fourth series onwards), the linkage between the programme and its sponsors extended into additional platforms besides the Internet, such as radio and the press. Eyal Se’ada, the branded content agent at Gitam-BBDO who was responsible for the programme at that stage explained: </w:t>
      </w:r>
    </w:p>
    <w:p w14:paraId="544E0281" w14:textId="77777777" w:rsidR="00497B7D" w:rsidRPr="009B5102" w:rsidRDefault="00497B7D" w:rsidP="00346CA5">
      <w:pPr>
        <w:spacing w:after="0" w:line="360" w:lineRule="auto"/>
        <w:rPr>
          <w:rFonts w:ascii="Times New Roman" w:eastAsia="Calibri" w:hAnsi="Times New Roman" w:cs="Times New Roman"/>
          <w:sz w:val="24"/>
          <w:szCs w:val="24"/>
        </w:rPr>
      </w:pPr>
    </w:p>
    <w:p w14:paraId="4FC2ECBF"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What we created is an octopus, a creature with multiple arms. This creature is Alon Gal [the presenter]. So at first we used the existing platforms of </w:t>
      </w:r>
      <w:r w:rsidRPr="009B5102">
        <w:rPr>
          <w:rFonts w:ascii="Times New Roman" w:eastAsia="Calibri" w:hAnsi="Times New Roman" w:cs="Times New Roman"/>
          <w:i/>
          <w:iCs/>
          <w:sz w:val="24"/>
          <w:szCs w:val="24"/>
        </w:rPr>
        <w:t xml:space="preserve">Overdraft Family, </w:t>
      </w:r>
      <w:r w:rsidRPr="009B5102">
        <w:rPr>
          <w:rFonts w:ascii="Times New Roman" w:eastAsia="Calibri" w:hAnsi="Times New Roman" w:cs="Times New Roman"/>
          <w:sz w:val="24"/>
          <w:szCs w:val="24"/>
        </w:rPr>
        <w:t>but when we didn’t have any more platforms, we created new ones. This is what I did, for example, in the case of the 103FM radio station</w:t>
      </w:r>
      <w:r w:rsidRPr="00B93D25">
        <w:rPr>
          <w:rStyle w:val="FootnoteReference"/>
        </w:rPr>
        <w:footnoteReference w:id="66"/>
      </w:r>
      <w:r w:rsidRPr="009B5102">
        <w:rPr>
          <w:rFonts w:ascii="Times New Roman" w:eastAsia="Calibri" w:hAnsi="Times New Roman" w:cs="Times New Roman"/>
          <w:sz w:val="24"/>
          <w:szCs w:val="24"/>
        </w:rPr>
        <w:t xml:space="preserve">. I turned to the deputy managing editor and told him: “I can bring Alon Gal along, and you’ll have a programme that is just like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I can bring a sponsor that will cover the costs of such programme for a whole year”. There were a few nuances that were very important for me in this programme. It’s semantics, but it’s of significance. I insisted that the programme would not be presented as “sponsored by Shufersal”, but “in co-operation with Shufersal”. That was my condition and it worked. It makes a difference, it sounds better </w:t>
      </w:r>
      <w:r w:rsidRPr="009B5102">
        <w:rPr>
          <w:rFonts w:ascii="Times New Roman" w:eastAsia="Calibri" w:hAnsi="Times New Roman" w:cs="Times New Roman"/>
          <w:noProof/>
          <w:sz w:val="24"/>
          <w:szCs w:val="24"/>
        </w:rPr>
        <w:t>(Se'ada, 2011)</w:t>
      </w:r>
      <w:r w:rsidRPr="009B5102">
        <w:rPr>
          <w:rFonts w:ascii="Times New Roman" w:eastAsia="Calibri" w:hAnsi="Times New Roman" w:cs="Times New Roman"/>
          <w:sz w:val="24"/>
          <w:szCs w:val="24"/>
        </w:rPr>
        <w:t>.</w:t>
      </w:r>
    </w:p>
    <w:p w14:paraId="04014C15" w14:textId="77777777" w:rsidR="00497B7D" w:rsidRPr="009B5102" w:rsidRDefault="00497B7D" w:rsidP="00346CA5">
      <w:pPr>
        <w:spacing w:after="0" w:line="360" w:lineRule="auto"/>
        <w:rPr>
          <w:rFonts w:ascii="Times New Roman" w:eastAsia="Calibri" w:hAnsi="Times New Roman" w:cs="Times New Roman"/>
          <w:sz w:val="24"/>
          <w:szCs w:val="24"/>
        </w:rPr>
      </w:pPr>
    </w:p>
    <w:p w14:paraId="40D07C4C"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Se’ada’s distinction between ‘sponsorship’ on television and ‘co-operation’ in additional platforms, echoes to a similar distinction Fletcher wanted to make in the case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sponsorship on television and ‘partnership’ in additional platforms. In both cases, these branded content agents were looking, once the co-operation extended to more platforms, to present the relationship between the two sides as symmetrical, as if they are involved in the same mission, that of publicly communicating a certain set of values. </w:t>
      </w:r>
    </w:p>
    <w:p w14:paraId="193D5211" w14:textId="77777777" w:rsidR="00497B7D" w:rsidRPr="009B5102" w:rsidRDefault="00497B7D" w:rsidP="00346CA5">
      <w:pPr>
        <w:spacing w:after="0" w:line="360" w:lineRule="auto"/>
        <w:rPr>
          <w:rFonts w:ascii="Times New Roman" w:eastAsia="Calibri" w:hAnsi="Times New Roman" w:cs="Times New Roman"/>
          <w:sz w:val="24"/>
          <w:szCs w:val="24"/>
        </w:rPr>
      </w:pPr>
    </w:p>
    <w:p w14:paraId="60822393"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Se’ada then went on to explain the details of the deal: Shufersal-Deal was the formal sponsor of the radio programme, but the station negotiated the presenter’s salary independently. However, the conditions for the way Gal presented the sponsors in the programme and around it were part of the deal. It was agreed that a sponsorship credit would be heard 6 times during each weekly programme and in addition, audio commercial vignettes, which combined tips from Alon Gal and credits to the sponsor (15-20 seconds long), would be broadcasted on a daily basis</w:t>
      </w:r>
      <w:r w:rsidRPr="00B93D25">
        <w:rPr>
          <w:rStyle w:val="FootnoteReference"/>
        </w:rPr>
        <w:footnoteReference w:id="67"/>
      </w:r>
      <w:r w:rsidRPr="009B5102">
        <w:rPr>
          <w:rFonts w:ascii="Times New Roman" w:eastAsia="Calibri" w:hAnsi="Times New Roman" w:cs="Times New Roman"/>
          <w:sz w:val="24"/>
          <w:szCs w:val="24"/>
        </w:rPr>
        <w:t>. On top of that, Gal would include a tip by Shufersal-Deal as an integral part of the programme.</w:t>
      </w:r>
    </w:p>
    <w:p w14:paraId="7B9BB097" w14:textId="77777777" w:rsidR="00497B7D" w:rsidRPr="009B5102" w:rsidRDefault="00497B7D" w:rsidP="00346CA5">
      <w:pPr>
        <w:spacing w:after="0" w:line="360" w:lineRule="auto"/>
        <w:rPr>
          <w:rFonts w:ascii="Times New Roman" w:eastAsia="Calibri" w:hAnsi="Times New Roman" w:cs="Times New Roman"/>
          <w:sz w:val="24"/>
          <w:szCs w:val="24"/>
        </w:rPr>
      </w:pPr>
    </w:p>
    <w:p w14:paraId="1ED28A2B"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Se’ada further explained: </w:t>
      </w:r>
    </w:p>
    <w:p w14:paraId="0E0B4A19" w14:textId="77777777" w:rsidR="00497B7D" w:rsidRPr="009B5102" w:rsidRDefault="00497B7D" w:rsidP="00346CA5">
      <w:pPr>
        <w:spacing w:after="0" w:line="360" w:lineRule="auto"/>
        <w:rPr>
          <w:rFonts w:ascii="Times New Roman" w:eastAsia="Calibri" w:hAnsi="Times New Roman" w:cs="Times New Roman"/>
          <w:sz w:val="24"/>
          <w:szCs w:val="24"/>
        </w:rPr>
      </w:pPr>
    </w:p>
    <w:p w14:paraId="62265694"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 would give Gal a sentence, a tip, and he would present it as if it was a personal story he had come across (Se’ada, 2011). </w:t>
      </w:r>
    </w:p>
    <w:p w14:paraId="73D46020" w14:textId="77777777" w:rsidR="00497B7D" w:rsidRPr="009B5102" w:rsidRDefault="00497B7D" w:rsidP="00346CA5">
      <w:pPr>
        <w:spacing w:after="0" w:line="360" w:lineRule="auto"/>
        <w:rPr>
          <w:rFonts w:ascii="Times New Roman" w:eastAsia="Calibri" w:hAnsi="Times New Roman" w:cs="Times New Roman"/>
          <w:sz w:val="24"/>
          <w:szCs w:val="24"/>
        </w:rPr>
      </w:pPr>
    </w:p>
    <w:p w14:paraId="3578AF33"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In one such example Gal talked for 2.5 minutes about shopping for presents for ‘the holidays’ (the Jewish new year which is followed by Sukkoth) and recommended that listeners concentrate all their shopping, including presents for the family and electronics, in one big supermarket, instead of specialised shops</w:t>
      </w:r>
      <w:r w:rsidRPr="00B93D25">
        <w:rPr>
          <w:rStyle w:val="FootnoteReference"/>
        </w:rPr>
        <w:footnoteReference w:id="68"/>
      </w:r>
      <w:r w:rsidRPr="009B5102">
        <w:rPr>
          <w:rFonts w:ascii="Times New Roman" w:eastAsia="Calibri" w:hAnsi="Times New Roman" w:cs="Times New Roman"/>
          <w:sz w:val="24"/>
          <w:szCs w:val="24"/>
        </w:rPr>
        <w:t xml:space="preserve">. </w:t>
      </w:r>
    </w:p>
    <w:p w14:paraId="71E60FDD" w14:textId="77777777" w:rsidR="00497B7D" w:rsidRDefault="00497B7D" w:rsidP="00346CA5">
      <w:pPr>
        <w:spacing w:after="0" w:line="360" w:lineRule="auto"/>
        <w:rPr>
          <w:rFonts w:ascii="Times New Roman" w:eastAsia="Calibri" w:hAnsi="Times New Roman" w:cs="Times New Roman"/>
          <w:sz w:val="24"/>
          <w:szCs w:val="24"/>
        </w:rPr>
      </w:pPr>
    </w:p>
    <w:p w14:paraId="21FB9769" w14:textId="77777777" w:rsidR="00497B7D" w:rsidRPr="009B5102" w:rsidRDefault="00497B7D" w:rsidP="00346CA5">
      <w:pPr>
        <w:spacing w:after="0" w:line="360" w:lineRule="auto"/>
        <w:rPr>
          <w:rFonts w:ascii="Times New Roman" w:eastAsia="Calibri" w:hAnsi="Times New Roman" w:cs="Times New Roman"/>
          <w:sz w:val="24"/>
          <w:szCs w:val="24"/>
        </w:rPr>
      </w:pPr>
    </w:p>
    <w:p w14:paraId="4BEC5004"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Se’ada further explained: </w:t>
      </w:r>
    </w:p>
    <w:p w14:paraId="43C67E1F" w14:textId="77777777" w:rsidR="00497B7D" w:rsidRPr="009B5102" w:rsidRDefault="00497B7D" w:rsidP="00346CA5">
      <w:pPr>
        <w:spacing w:after="0" w:line="360" w:lineRule="auto"/>
        <w:rPr>
          <w:rFonts w:ascii="Times New Roman" w:eastAsia="Calibri" w:hAnsi="Times New Roman" w:cs="Times New Roman"/>
          <w:sz w:val="24"/>
          <w:szCs w:val="24"/>
        </w:rPr>
      </w:pPr>
    </w:p>
    <w:p w14:paraId="30E14ED8"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It does not make sense that the whole programme will be about smart shopping, that’s too much. I just need these 3 to 5 minutes on the air, and then I have the sponsorship bumpers to add to it. This gives me nice and subtle exposure, not too heavy. Because after all, I need listeners to come and get tips on other things – mortgage, banking. The important thing is that I have presence on a platform that attracts an audience that wants to know how to save money (Se’ada, 2011).</w:t>
      </w:r>
    </w:p>
    <w:p w14:paraId="4E9A774E" w14:textId="77777777" w:rsidR="00497B7D" w:rsidRPr="009B5102" w:rsidRDefault="00497B7D" w:rsidP="00346CA5">
      <w:pPr>
        <w:spacing w:after="0" w:line="360" w:lineRule="auto"/>
        <w:rPr>
          <w:rFonts w:ascii="Times New Roman" w:eastAsia="Calibri" w:hAnsi="Times New Roman" w:cs="Times New Roman"/>
          <w:sz w:val="24"/>
          <w:szCs w:val="24"/>
        </w:rPr>
      </w:pPr>
    </w:p>
    <w:p w14:paraId="16DFC614"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Se’ada’s words clearly reflect how the blurring effect is at the heart of what marketers wish to achieve through embedded branding deals. Furthermore, it shows their interest in creating a whole ‘environment’, across different platforms, around the values they wish to promote (smart consumption’, in this case) for the purpose of attracting their target audience and establishing a clear image of the brand over time and across media. This is clearly a different mode of thinking than simply placing products in a popular programme.   </w:t>
      </w:r>
    </w:p>
    <w:p w14:paraId="21BE9F78" w14:textId="77777777" w:rsidR="00497B7D" w:rsidRPr="009B5102" w:rsidRDefault="00497B7D" w:rsidP="00346CA5">
      <w:pPr>
        <w:spacing w:after="0" w:line="360" w:lineRule="auto"/>
        <w:rPr>
          <w:rFonts w:ascii="Times New Roman" w:eastAsia="Calibri" w:hAnsi="Times New Roman" w:cs="Times New Roman"/>
          <w:sz w:val="24"/>
          <w:szCs w:val="24"/>
        </w:rPr>
      </w:pPr>
    </w:p>
    <w:p w14:paraId="28F88CE5" w14:textId="77777777" w:rsidR="00497B7D" w:rsidRPr="009B5102" w:rsidRDefault="00497B7D" w:rsidP="00346CA5">
      <w:pPr>
        <w:pStyle w:val="Heading4"/>
        <w:rPr>
          <w:rFonts w:eastAsia="Calibri"/>
        </w:rPr>
      </w:pPr>
      <w:r w:rsidRPr="009B5102">
        <w:rPr>
          <w:rFonts w:eastAsia="Calibri"/>
        </w:rPr>
        <w:t>Print Media</w:t>
      </w:r>
    </w:p>
    <w:p w14:paraId="6241FFE9"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print media, the commercial co-operation gained presence in two channels. First, the branded content agency paid for the production of a special weekly supplement published by the </w:t>
      </w:r>
      <w:r w:rsidRPr="009B5102">
        <w:rPr>
          <w:rFonts w:ascii="Times New Roman" w:eastAsia="Calibri" w:hAnsi="Times New Roman" w:cs="Times New Roman"/>
          <w:i/>
          <w:iCs/>
          <w:sz w:val="24"/>
          <w:szCs w:val="24"/>
        </w:rPr>
        <w:t>Ma’ariv</w:t>
      </w:r>
      <w:r w:rsidRPr="009B5102">
        <w:rPr>
          <w:rFonts w:ascii="Times New Roman" w:eastAsia="Calibri" w:hAnsi="Times New Roman" w:cs="Times New Roman"/>
          <w:sz w:val="24"/>
          <w:szCs w:val="24"/>
        </w:rPr>
        <w:t xml:space="preserve"> daily newspaper</w:t>
      </w:r>
      <w:r w:rsidRPr="00B93D25">
        <w:rPr>
          <w:rStyle w:val="FootnoteReference"/>
        </w:rPr>
        <w:footnoteReference w:id="69"/>
      </w:r>
      <w:r w:rsidRPr="009B5102">
        <w:rPr>
          <w:rFonts w:ascii="Times New Roman" w:eastAsia="Calibri" w:hAnsi="Times New Roman" w:cs="Times New Roman"/>
          <w:sz w:val="24"/>
          <w:szCs w:val="24"/>
        </w:rPr>
        <w:t xml:space="preserve">, which followed the stories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week by week </w:t>
      </w:r>
      <w:r w:rsidRPr="009B5102">
        <w:rPr>
          <w:rFonts w:ascii="Times New Roman" w:eastAsia="Calibri" w:hAnsi="Times New Roman" w:cs="Times New Roman"/>
          <w:noProof/>
          <w:sz w:val="24"/>
          <w:szCs w:val="24"/>
        </w:rPr>
        <w:t>(Pratzer, 2011)</w:t>
      </w:r>
      <w:r w:rsidRPr="00B93D25">
        <w:rPr>
          <w:rStyle w:val="FootnoteReference"/>
        </w:rPr>
        <w:footnoteReference w:id="70"/>
      </w:r>
      <w:r w:rsidRPr="009B5102">
        <w:rPr>
          <w:rFonts w:ascii="Times New Roman" w:eastAsia="Calibri" w:hAnsi="Times New Roman" w:cs="Times New Roman"/>
          <w:sz w:val="24"/>
          <w:szCs w:val="24"/>
        </w:rPr>
        <w:t xml:space="preserve">. </w:t>
      </w:r>
    </w:p>
    <w:p w14:paraId="19037BDE" w14:textId="77777777" w:rsidR="00497B7D" w:rsidRPr="009B5102" w:rsidRDefault="00497B7D" w:rsidP="00346CA5">
      <w:pPr>
        <w:spacing w:after="0" w:line="360" w:lineRule="auto"/>
        <w:rPr>
          <w:rFonts w:ascii="Times New Roman" w:eastAsia="Calibri" w:hAnsi="Times New Roman" w:cs="Times New Roman"/>
          <w:sz w:val="24"/>
          <w:szCs w:val="24"/>
        </w:rPr>
      </w:pPr>
    </w:p>
    <w:p w14:paraId="35B3AE8B" w14:textId="025EDBAD"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More interesting was the co-operation with Shufersal-Deal’s bi-weekly bulletin, which included, alongside the promotion of the current deals and coupons, a promotion for the weekly tips given together by the brand and the programme. These were </w:t>
      </w:r>
      <w:r w:rsidR="00C00BC1" w:rsidRPr="009B5102">
        <w:rPr>
          <w:rFonts w:ascii="Times New Roman" w:eastAsia="Calibri" w:hAnsi="Times New Roman" w:cs="Times New Roman"/>
          <w:sz w:val="24"/>
          <w:szCs w:val="24"/>
        </w:rPr>
        <w:t>titled “</w:t>
      </w:r>
      <w:r w:rsidRPr="009B5102">
        <w:rPr>
          <w:rFonts w:ascii="Times New Roman" w:eastAsia="Calibri" w:hAnsi="Times New Roman" w:cs="Times New Roman"/>
          <w:sz w:val="24"/>
          <w:szCs w:val="24"/>
        </w:rPr>
        <w:t xml:space="preserve">Weekly tips by Shufersal-Deal, </w:t>
      </w:r>
      <w:r w:rsidRPr="009B5102">
        <w:rPr>
          <w:rFonts w:ascii="Times New Roman" w:eastAsia="Calibri" w:hAnsi="Times New Roman" w:cs="Times New Roman"/>
          <w:sz w:val="24"/>
          <w:szCs w:val="24"/>
        </w:rPr>
        <w:lastRenderedPageBreak/>
        <w:t xml:space="preserve">sponsored by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together with the slogan “Big savings start with a small tip!” </w:t>
      </w:r>
      <w:r w:rsidRPr="009B5102">
        <w:rPr>
          <w:rFonts w:ascii="Times New Roman" w:eastAsia="Calibri" w:hAnsi="Times New Roman" w:cs="Times New Roman"/>
          <w:noProof/>
          <w:sz w:val="24"/>
          <w:szCs w:val="24"/>
        </w:rPr>
        <w:t xml:space="preserve">(Shufersal-Deal, </w:t>
      </w:r>
      <w:r w:rsidRPr="003A01C3">
        <w:rPr>
          <w:rFonts w:ascii="Times New Roman" w:eastAsia="Calibri" w:hAnsi="Times New Roman" w:cs="Times New Roman"/>
          <w:noProof/>
          <w:sz w:val="24"/>
          <w:szCs w:val="24"/>
        </w:rPr>
        <w:t>March 1, 2011)</w:t>
      </w:r>
      <w:r w:rsidRPr="009B5102">
        <w:rPr>
          <w:rFonts w:ascii="Times New Roman" w:eastAsia="Calibri" w:hAnsi="Times New Roman" w:cs="Times New Roman"/>
          <w:sz w:val="24"/>
          <w:szCs w:val="24"/>
        </w:rPr>
        <w:t xml:space="preserve">. </w:t>
      </w:r>
    </w:p>
    <w:p w14:paraId="493BDB7E" w14:textId="77777777" w:rsidR="00497B7D" w:rsidRPr="009B5102" w:rsidRDefault="00497B7D" w:rsidP="00346CA5">
      <w:pPr>
        <w:spacing w:after="0" w:line="360" w:lineRule="auto"/>
        <w:rPr>
          <w:rFonts w:ascii="Times New Roman" w:eastAsia="Calibri" w:hAnsi="Times New Roman" w:cs="Times New Roman"/>
          <w:sz w:val="24"/>
          <w:szCs w:val="24"/>
        </w:rPr>
      </w:pPr>
    </w:p>
    <w:p w14:paraId="1860582D" w14:textId="50A637A1" w:rsidR="00497B7D" w:rsidRPr="009B5102" w:rsidRDefault="00497B7D" w:rsidP="00E32F41">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This half-page announcement (see Figure </w:t>
      </w:r>
      <w:r w:rsidR="00E32F41" w:rsidRPr="009B5102">
        <w:rPr>
          <w:rFonts w:ascii="Times New Roman" w:eastAsia="Calibri" w:hAnsi="Times New Roman" w:cs="Times New Roman"/>
          <w:sz w:val="24"/>
          <w:szCs w:val="24"/>
        </w:rPr>
        <w:t>2</w:t>
      </w:r>
      <w:r w:rsidR="00E32F41">
        <w:rPr>
          <w:rFonts w:ascii="Times New Roman" w:eastAsia="Calibri" w:hAnsi="Times New Roman" w:cs="Times New Roman"/>
          <w:sz w:val="24"/>
          <w:szCs w:val="24"/>
        </w:rPr>
        <w:t>8</w:t>
      </w:r>
      <w:r w:rsidRPr="009B5102">
        <w:rPr>
          <w:rFonts w:ascii="Times New Roman" w:eastAsia="Calibri" w:hAnsi="Times New Roman" w:cs="Times New Roman"/>
          <w:sz w:val="24"/>
          <w:szCs w:val="24"/>
        </w:rPr>
        <w:t xml:space="preserve">) included a large image of the programme’s logo (a window with a car and a house seen through it) and an underside banner which promoted the channel and time of broadcasting. The ‘tips’ were presented as testimonials of consumers advising readers to join the brand’s membership club, buy the private brand products and prefer large packages in order to save money.  </w:t>
      </w:r>
    </w:p>
    <w:p w14:paraId="4323834D" w14:textId="77777777" w:rsidR="00497B7D" w:rsidRPr="009B5102" w:rsidRDefault="00497B7D" w:rsidP="00346CA5">
      <w:pPr>
        <w:spacing w:after="0" w:line="360" w:lineRule="auto"/>
        <w:rPr>
          <w:rFonts w:ascii="Times New Roman" w:eastAsia="Calibri" w:hAnsi="Times New Roman" w:cs="Times New Roman"/>
          <w:sz w:val="24"/>
          <w:szCs w:val="24"/>
        </w:rPr>
      </w:pPr>
    </w:p>
    <w:p w14:paraId="4470E95A" w14:textId="77777777" w:rsidR="00497B7D"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these examples the relationship seemed to reverse: it was now the sponsor that provided the media platform for promoting the programme, while the programme became the ‘product’ on sale. According to Se’ada, the broadcaster just had to consent to the commercial use of the programme’s name, but did not need to pay for this promotion. As he explained, “It is a co-operation and they are interested in promoting it as much as we are” </w:t>
      </w:r>
      <w:r w:rsidRPr="009B5102">
        <w:rPr>
          <w:rFonts w:ascii="Times New Roman" w:eastAsia="Calibri" w:hAnsi="Times New Roman" w:cs="Times New Roman"/>
          <w:noProof/>
          <w:sz w:val="24"/>
          <w:szCs w:val="24"/>
        </w:rPr>
        <w:t>(Se'ada, 2011)</w:t>
      </w:r>
      <w:r w:rsidRPr="009B5102">
        <w:rPr>
          <w:rFonts w:ascii="Times New Roman" w:eastAsia="Calibri" w:hAnsi="Times New Roman" w:cs="Times New Roman"/>
          <w:sz w:val="24"/>
          <w:szCs w:val="24"/>
        </w:rPr>
        <w:t xml:space="preserve">. </w:t>
      </w:r>
    </w:p>
    <w:p w14:paraId="3AB50D5E" w14:textId="77777777" w:rsidR="00497B7D" w:rsidRPr="009B5102" w:rsidRDefault="00497B7D" w:rsidP="00346CA5">
      <w:pPr>
        <w:spacing w:after="0" w:line="360" w:lineRule="auto"/>
        <w:rPr>
          <w:rFonts w:ascii="Times New Roman" w:eastAsia="Calibri" w:hAnsi="Times New Roman" w:cs="Times New Roman"/>
          <w:sz w:val="24"/>
          <w:szCs w:val="24"/>
        </w:rPr>
      </w:pPr>
    </w:p>
    <w:p w14:paraId="4ECEA9A9"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0840F46B" wp14:editId="3EED733B">
            <wp:extent cx="4141568" cy="2929890"/>
            <wp:effectExtent l="0" t="0" r="0" b="3810"/>
            <wp:docPr id="58" name="Picture 14" descr="Scan_Pic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15.jpg"/>
                    <pic:cNvPicPr/>
                  </pic:nvPicPr>
                  <pic:blipFill>
                    <a:blip r:embed="rId51" cstate="print"/>
                    <a:stretch>
                      <a:fillRect/>
                    </a:stretch>
                  </pic:blipFill>
                  <pic:spPr>
                    <a:xfrm>
                      <a:off x="0" y="0"/>
                      <a:ext cx="4155566" cy="2939793"/>
                    </a:xfrm>
                    <a:prstGeom prst="rect">
                      <a:avLst/>
                    </a:prstGeom>
                  </pic:spPr>
                </pic:pic>
              </a:graphicData>
            </a:graphic>
          </wp:inline>
        </w:drawing>
      </w:r>
    </w:p>
    <w:p w14:paraId="694FA26A" w14:textId="4560E981" w:rsidR="00497B7D" w:rsidRPr="000E4BDB" w:rsidRDefault="00497B7D" w:rsidP="00E32F41">
      <w:pPr>
        <w:spacing w:after="0" w:line="360" w:lineRule="auto"/>
        <w:rPr>
          <w:rFonts w:ascii="Times New Roman" w:eastAsia="Calibri" w:hAnsi="Times New Roman" w:cs="Times New Roman"/>
          <w:sz w:val="20"/>
          <w:szCs w:val="20"/>
        </w:rPr>
      </w:pPr>
      <w:bookmarkStart w:id="95" w:name="_Toc436608103"/>
      <w:bookmarkStart w:id="96" w:name="_Toc445120253"/>
      <w:r w:rsidRPr="003A01C3">
        <w:rPr>
          <w:rStyle w:val="Heading6Char"/>
        </w:rPr>
        <w:t xml:space="preserve">Figure </w:t>
      </w:r>
      <w:r w:rsidR="00E32F41" w:rsidRPr="003A01C3">
        <w:rPr>
          <w:rStyle w:val="Heading6Char"/>
        </w:rPr>
        <w:t>2</w:t>
      </w:r>
      <w:r w:rsidR="00E32F41">
        <w:rPr>
          <w:rStyle w:val="Heading6Char"/>
        </w:rPr>
        <w:t>8</w:t>
      </w:r>
      <w:r w:rsidRPr="003A01C3">
        <w:rPr>
          <w:rStyle w:val="Heading6Char"/>
        </w:rPr>
        <w:t xml:space="preserve">: Shufersal-Deal’s bi-weekly bulletin, 01.03.2011. Weekly tips by Shufersal-Deal, sponsored by </w:t>
      </w:r>
      <w:r w:rsidRPr="00785053">
        <w:rPr>
          <w:rStyle w:val="Heading6Char"/>
          <w:i/>
          <w:iCs/>
        </w:rPr>
        <w:t>Overdraft Family</w:t>
      </w:r>
      <w:bookmarkEnd w:id="95"/>
      <w:bookmarkEnd w:id="96"/>
      <w:r w:rsidRPr="000E4BDB">
        <w:rPr>
          <w:rFonts w:ascii="Times New Roman" w:eastAsia="Calibri" w:hAnsi="Times New Roman" w:cs="Times New Roman"/>
          <w:sz w:val="20"/>
          <w:szCs w:val="20"/>
        </w:rPr>
        <w:t>.</w:t>
      </w:r>
    </w:p>
    <w:p w14:paraId="2F16BD89" w14:textId="77777777" w:rsidR="00497B7D" w:rsidRPr="009B5102" w:rsidRDefault="00497B7D" w:rsidP="00346CA5">
      <w:pPr>
        <w:spacing w:after="0" w:line="360" w:lineRule="auto"/>
        <w:rPr>
          <w:rFonts w:ascii="Times New Roman" w:eastAsia="Calibri" w:hAnsi="Times New Roman" w:cs="Times New Roman"/>
          <w:sz w:val="24"/>
          <w:szCs w:val="24"/>
        </w:rPr>
      </w:pPr>
    </w:p>
    <w:p w14:paraId="1672025F" w14:textId="77777777" w:rsidR="00497B7D" w:rsidRPr="009B5102" w:rsidRDefault="00497B7D" w:rsidP="00346CA5">
      <w:pPr>
        <w:pStyle w:val="Heading4"/>
        <w:rPr>
          <w:rFonts w:eastAsia="Calibri"/>
        </w:rPr>
      </w:pPr>
      <w:r w:rsidRPr="009B5102">
        <w:rPr>
          <w:rFonts w:eastAsia="Calibri"/>
        </w:rPr>
        <w:lastRenderedPageBreak/>
        <w:t>Real World Events</w:t>
      </w:r>
    </w:p>
    <w:p w14:paraId="2ED1A292"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Yet another arm of the ‘octopus’ extended into ‘real world’ experiences, which allowed the sponsors to contact potential clients directly, on their own locations, under the premise of the programme.</w:t>
      </w:r>
      <w:r w:rsidRPr="009B5102">
        <w:rPr>
          <w:rFonts w:ascii="Times New Roman" w:eastAsia="Calibri" w:hAnsi="Times New Roman" w:cs="Times New Roman"/>
          <w:sz w:val="24"/>
          <w:szCs w:val="24"/>
          <w:rtl/>
        </w:rPr>
        <w:t xml:space="preserve"> </w:t>
      </w:r>
      <w:r w:rsidRPr="009B5102">
        <w:rPr>
          <w:rFonts w:ascii="Times New Roman" w:eastAsia="Calibri" w:hAnsi="Times New Roman" w:cs="Times New Roman"/>
          <w:sz w:val="24"/>
          <w:szCs w:val="24"/>
        </w:rPr>
        <w:t>Both sponsors, first Bank Hapo’alim and then also Shufersal-Deal, hired the services of Alon Gal’s coaching company, Tut, for the purpose of instructing specific, brand-tailored workshops in their branches</w:t>
      </w:r>
      <w:r w:rsidRPr="00B93D25">
        <w:rPr>
          <w:rStyle w:val="FootnoteReference"/>
        </w:rPr>
        <w:footnoteReference w:id="71"/>
      </w:r>
      <w:r w:rsidRPr="009B5102">
        <w:rPr>
          <w:rFonts w:ascii="Times New Roman" w:eastAsia="Calibri" w:hAnsi="Times New Roman" w:cs="Times New Roman"/>
          <w:sz w:val="24"/>
          <w:szCs w:val="24"/>
        </w:rPr>
        <w:t xml:space="preserve"> as an extension of the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experience. Bank Hapo’alim paid for workshops on managing the family budget.  In this same line, Shufersal-Deal paid for guided tours in the supermarket branches with a coach from Tut who taught how to become a smart and efficient shopper. </w:t>
      </w:r>
    </w:p>
    <w:p w14:paraId="3B568D63" w14:textId="77777777" w:rsidR="00497B7D" w:rsidRPr="009B5102" w:rsidRDefault="00497B7D" w:rsidP="00346CA5">
      <w:pPr>
        <w:spacing w:after="0" w:line="360" w:lineRule="auto"/>
        <w:rPr>
          <w:rFonts w:ascii="Times New Roman" w:eastAsia="Calibri" w:hAnsi="Times New Roman" w:cs="Times New Roman"/>
          <w:sz w:val="24"/>
          <w:szCs w:val="24"/>
        </w:rPr>
      </w:pPr>
    </w:p>
    <w:p w14:paraId="027ADA59"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Of special interest was the way the other platforms were used to connect the workshops with the programme and then recruit participants to come to the sponsors’ branches. This was clearly reflected in an internal presentation on the second ‘round’ of workshops for Bank Hapo’alim (prepared by the marketing department of the bank). Special commercial vignettes with Alon Gal were broadcast on</w:t>
      </w:r>
      <w:r w:rsidRPr="009B5102">
        <w:rPr>
          <w:rFonts w:ascii="Times New Roman" w:eastAsia="Calibri" w:hAnsi="Times New Roman" w:cs="Times New Roman"/>
          <w:sz w:val="24"/>
          <w:szCs w:val="24"/>
          <w:rtl/>
        </w:rPr>
        <w:t xml:space="preserve"> </w:t>
      </w:r>
      <w:r w:rsidRPr="009B5102">
        <w:rPr>
          <w:rFonts w:ascii="Times New Roman" w:eastAsia="Calibri" w:hAnsi="Times New Roman" w:cs="Times New Roman"/>
          <w:sz w:val="24"/>
          <w:szCs w:val="24"/>
        </w:rPr>
        <w:t>Channel 2’s prime time during 4 days in January 2009, promoting the episode that was about to be aired on the 28</w:t>
      </w:r>
      <w:r w:rsidRPr="009B5102">
        <w:rPr>
          <w:rFonts w:ascii="Times New Roman" w:eastAsia="Calibri" w:hAnsi="Times New Roman" w:cs="Times New Roman"/>
          <w:sz w:val="24"/>
          <w:szCs w:val="24"/>
          <w:vertAlign w:val="superscript"/>
        </w:rPr>
        <w:t>th</w:t>
      </w:r>
      <w:r w:rsidRPr="009B5102">
        <w:rPr>
          <w:rFonts w:ascii="Times New Roman" w:eastAsia="Calibri" w:hAnsi="Times New Roman" w:cs="Times New Roman"/>
          <w:sz w:val="24"/>
          <w:szCs w:val="24"/>
        </w:rPr>
        <w:t xml:space="preserve"> of January 2009. Viewers were promised in those vignettes that during the next episode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they would be able to register for “free workshops”, by texting a number that would appear on the screen “exclusively during the programme”. </w:t>
      </w:r>
    </w:p>
    <w:p w14:paraId="3E173178" w14:textId="77777777" w:rsidR="00497B7D" w:rsidRPr="009B5102" w:rsidRDefault="00497B7D" w:rsidP="00346CA5">
      <w:pPr>
        <w:spacing w:after="0" w:line="360" w:lineRule="auto"/>
        <w:rPr>
          <w:rFonts w:ascii="Times New Roman" w:eastAsia="Calibri" w:hAnsi="Times New Roman" w:cs="Times New Roman"/>
          <w:sz w:val="24"/>
          <w:szCs w:val="24"/>
        </w:rPr>
      </w:pPr>
    </w:p>
    <w:p w14:paraId="1AD197B9"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“This is your number for personal success”, announced Gal enthusiastically in those short videos, which ended with the banks’ credit and slogan </w:t>
      </w:r>
      <w:r w:rsidRPr="009B5102">
        <w:rPr>
          <w:rFonts w:ascii="Times New Roman" w:eastAsia="Calibri" w:hAnsi="Times New Roman" w:cs="Times New Roman"/>
          <w:noProof/>
          <w:sz w:val="24"/>
          <w:szCs w:val="24"/>
        </w:rPr>
        <w:t>(Bank Hapo'alim's Marketing Department, 2009)</w:t>
      </w:r>
      <w:r w:rsidRPr="00B93D25">
        <w:rPr>
          <w:rStyle w:val="FootnoteReference"/>
        </w:rPr>
        <w:footnoteReference w:id="72"/>
      </w:r>
      <w:r w:rsidRPr="009B5102">
        <w:rPr>
          <w:rFonts w:ascii="Times New Roman" w:eastAsia="Calibri" w:hAnsi="Times New Roman" w:cs="Times New Roman"/>
          <w:sz w:val="24"/>
          <w:szCs w:val="24"/>
        </w:rPr>
        <w:t xml:space="preserve">. Five thousand viewers texted back (“FAMILY”) within ten minutes of the number appearing on screen, according to the bank’s internal document. This gimmick was now serving the triangle of interests between the sponsor, the broadcaster and the presenter:  It promoted viewing in that specific episode, as the contact number appeared only ‘live’, and at the same time, it served the sponsor’s wish, as well as that of the presenter Alon Gal, (who was now working directly for the sponsor) to be closely related to the format. All three were working to generate ‘hype’ by creating an interactive live event around the televised experience. </w:t>
      </w:r>
    </w:p>
    <w:p w14:paraId="75B6577D" w14:textId="77777777" w:rsidR="00497B7D" w:rsidRPr="009B5102" w:rsidRDefault="00497B7D" w:rsidP="00346CA5">
      <w:pPr>
        <w:spacing w:after="0" w:line="360" w:lineRule="auto"/>
        <w:rPr>
          <w:rFonts w:ascii="Times New Roman" w:eastAsia="Calibri" w:hAnsi="Times New Roman" w:cs="Times New Roman"/>
          <w:sz w:val="24"/>
          <w:szCs w:val="24"/>
        </w:rPr>
      </w:pPr>
    </w:p>
    <w:p w14:paraId="6F475AF5"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addition, on the day the specific episode was scheduled, Bank Hapo’alim had published ads in four different daily newspapers, calling readers to watch the episode and register to the workshops for free. The workshops were also promoted online through the bank’s website, as well as Reshet’s website. Out of the five thousand people who texted, 2400 finally registered to the workshops, which took place in Bank Hapo’alim branches all over the country </w:t>
      </w:r>
      <w:r w:rsidRPr="009B5102">
        <w:rPr>
          <w:rFonts w:ascii="Times New Roman" w:eastAsia="Calibri" w:hAnsi="Times New Roman" w:cs="Times New Roman"/>
          <w:noProof/>
          <w:sz w:val="24"/>
          <w:szCs w:val="24"/>
        </w:rPr>
        <w:t>(Bank Hapo'alim's Marketing Department, 2009)</w:t>
      </w:r>
      <w:r w:rsidRPr="009B5102">
        <w:rPr>
          <w:rFonts w:ascii="Times New Roman" w:eastAsia="Calibri" w:hAnsi="Times New Roman" w:cs="Times New Roman"/>
          <w:sz w:val="24"/>
          <w:szCs w:val="24"/>
        </w:rPr>
        <w:t xml:space="preserve">. What started as a factual entertainment format has now become a real world event, in the territory of the sponsor and under its control: each workshop started with a lecture by a coach from Tut (in most cases Gal was not present himself) and was continued with a lecture by the branch manager. </w:t>
      </w:r>
    </w:p>
    <w:p w14:paraId="1F794F49" w14:textId="77777777" w:rsidR="00497B7D" w:rsidRPr="009B5102" w:rsidRDefault="00497B7D" w:rsidP="00346CA5">
      <w:pPr>
        <w:spacing w:after="0" w:line="360" w:lineRule="auto"/>
        <w:rPr>
          <w:rFonts w:ascii="Times New Roman" w:eastAsia="Calibri" w:hAnsi="Times New Roman" w:cs="Times New Roman"/>
          <w:sz w:val="24"/>
          <w:szCs w:val="24"/>
        </w:rPr>
      </w:pPr>
    </w:p>
    <w:p w14:paraId="0BE354C0"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A similar deal was later signed with Shufersal-Deal, this time offering viewers guided tours in the supermarket’s branches. </w:t>
      </w:r>
    </w:p>
    <w:p w14:paraId="2B370A31" w14:textId="77777777" w:rsidR="00497B7D" w:rsidRPr="009B5102" w:rsidRDefault="00497B7D" w:rsidP="00346CA5">
      <w:pPr>
        <w:spacing w:after="0" w:line="360" w:lineRule="auto"/>
        <w:rPr>
          <w:rFonts w:ascii="Times New Roman" w:eastAsia="Calibri" w:hAnsi="Times New Roman" w:cs="Times New Roman"/>
          <w:sz w:val="24"/>
          <w:szCs w:val="24"/>
        </w:rPr>
      </w:pPr>
    </w:p>
    <w:p w14:paraId="798EB55E"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Dafi Kaminitz, who signed the deal as the head of marketing for Shufersal-Deal, said:</w:t>
      </w:r>
    </w:p>
    <w:p w14:paraId="72D0C07F"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p>
    <w:p w14:paraId="4D75B0F6"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workshop was about how to become smart consumers, so it was about comparing prices and so on. In practice, it was a guided tour in the branch </w:t>
      </w:r>
      <w:r w:rsidRPr="009B5102">
        <w:rPr>
          <w:rFonts w:ascii="Times New Roman" w:eastAsia="Calibri" w:hAnsi="Times New Roman" w:cs="Times New Roman"/>
          <w:noProof/>
          <w:sz w:val="24"/>
          <w:szCs w:val="24"/>
        </w:rPr>
        <w:t>(Kaminitz, 2012)</w:t>
      </w:r>
      <w:r w:rsidRPr="009B5102">
        <w:rPr>
          <w:rFonts w:ascii="Times New Roman" w:eastAsia="Calibri" w:hAnsi="Times New Roman" w:cs="Times New Roman"/>
          <w:sz w:val="24"/>
          <w:szCs w:val="24"/>
        </w:rPr>
        <w:t>.</w:t>
      </w:r>
    </w:p>
    <w:p w14:paraId="3712ABB4" w14:textId="77777777" w:rsidR="00497B7D" w:rsidRPr="009B5102" w:rsidRDefault="00497B7D" w:rsidP="00346CA5">
      <w:pPr>
        <w:spacing w:after="0" w:line="360" w:lineRule="auto"/>
        <w:rPr>
          <w:rFonts w:ascii="Times New Roman" w:eastAsia="Calibri" w:hAnsi="Times New Roman" w:cs="Times New Roman"/>
          <w:sz w:val="24"/>
          <w:szCs w:val="24"/>
        </w:rPr>
      </w:pPr>
    </w:p>
    <w:p w14:paraId="6251E62A"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While for Bank Hapo’alim these workshops were considered a success in leveraging the brand’s messages, strengthening loyalty among existing clients and interacting with clients of other banks </w:t>
      </w:r>
      <w:r w:rsidRPr="009B5102">
        <w:rPr>
          <w:rFonts w:ascii="Times New Roman" w:eastAsia="Calibri" w:hAnsi="Times New Roman" w:cs="Times New Roman"/>
          <w:noProof/>
          <w:sz w:val="24"/>
          <w:szCs w:val="24"/>
        </w:rPr>
        <w:t>(Bank Hapo'alim's Marketing Department, 2009)</w:t>
      </w:r>
      <w:r w:rsidRPr="009B5102">
        <w:rPr>
          <w:rFonts w:ascii="Times New Roman" w:eastAsia="Calibri" w:hAnsi="Times New Roman" w:cs="Times New Roman"/>
          <w:sz w:val="24"/>
          <w:szCs w:val="24"/>
        </w:rPr>
        <w:t xml:space="preserve">, for Shufersal-Deal, according to Kaminitz, this activity ended as a failure: </w:t>
      </w:r>
    </w:p>
    <w:p w14:paraId="7AF7C7EC" w14:textId="77777777" w:rsidR="00497B7D" w:rsidRPr="009B5102" w:rsidRDefault="00497B7D" w:rsidP="00346CA5">
      <w:pPr>
        <w:spacing w:after="0" w:line="360" w:lineRule="auto"/>
        <w:rPr>
          <w:rFonts w:ascii="Times New Roman" w:eastAsia="Calibri" w:hAnsi="Times New Roman" w:cs="Times New Roman"/>
          <w:sz w:val="24"/>
          <w:szCs w:val="24"/>
        </w:rPr>
      </w:pPr>
    </w:p>
    <w:p w14:paraId="0EBDB3CE"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People registered but then hardly came. I would visit a branch and I saw two participants and a coach. Maybe it was because it was free, so they felt less committed </w:t>
      </w:r>
      <w:r w:rsidRPr="009B5102">
        <w:rPr>
          <w:rFonts w:ascii="Times New Roman" w:eastAsia="Calibri" w:hAnsi="Times New Roman" w:cs="Times New Roman"/>
          <w:noProof/>
          <w:sz w:val="24"/>
          <w:szCs w:val="24"/>
        </w:rPr>
        <w:t>(Kaminitz, 2012)</w:t>
      </w:r>
      <w:r w:rsidRPr="009B5102">
        <w:rPr>
          <w:rFonts w:ascii="Times New Roman" w:eastAsia="Calibri" w:hAnsi="Times New Roman" w:cs="Times New Roman"/>
          <w:sz w:val="24"/>
          <w:szCs w:val="24"/>
        </w:rPr>
        <w:t xml:space="preserve">.  </w:t>
      </w:r>
    </w:p>
    <w:p w14:paraId="1EA79E1C" w14:textId="77777777" w:rsidR="00497B7D" w:rsidRPr="009B5102" w:rsidRDefault="00497B7D" w:rsidP="00346CA5">
      <w:pPr>
        <w:spacing w:after="0" w:line="360" w:lineRule="auto"/>
        <w:rPr>
          <w:rFonts w:ascii="Times New Roman" w:eastAsia="Calibri" w:hAnsi="Times New Roman" w:cs="Times New Roman"/>
          <w:sz w:val="24"/>
          <w:szCs w:val="24"/>
        </w:rPr>
      </w:pPr>
    </w:p>
    <w:p w14:paraId="1F695B76"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In both cases, the sponsors offered viewers an opportunity to personally ‘reconstruct’ the televised experience in the ’real’ world. But this was not done with the editorial team of the </w:t>
      </w:r>
      <w:r w:rsidRPr="009B5102">
        <w:rPr>
          <w:rFonts w:ascii="Times New Roman" w:eastAsia="Calibri" w:hAnsi="Times New Roman" w:cs="Times New Roman"/>
          <w:sz w:val="24"/>
          <w:szCs w:val="24"/>
        </w:rPr>
        <w:lastRenderedPageBreak/>
        <w:t xml:space="preserve">programme, but rather on the sponsors’ locations and under their control, which allowed them to emphasise messages that were significant to them. This once again deepens the blurring between the sponsor and the programme, the commercial messages of the first and communicative messages of the second. At the same time, it blurs the line between the mediated experience on television and that which reality has to offer. </w:t>
      </w:r>
    </w:p>
    <w:p w14:paraId="27E675B1" w14:textId="77777777" w:rsidR="00497B7D" w:rsidRPr="009B5102" w:rsidRDefault="00497B7D" w:rsidP="00346CA5">
      <w:pPr>
        <w:spacing w:after="0" w:line="360" w:lineRule="auto"/>
        <w:rPr>
          <w:rFonts w:ascii="Times New Roman" w:eastAsia="Calibri" w:hAnsi="Times New Roman" w:cs="Times New Roman"/>
          <w:sz w:val="24"/>
          <w:szCs w:val="24"/>
        </w:rPr>
      </w:pPr>
    </w:p>
    <w:p w14:paraId="4F3DC724" w14:textId="77777777" w:rsidR="00497B7D" w:rsidRPr="009B5102" w:rsidRDefault="00497B7D" w:rsidP="00346CA5">
      <w:pPr>
        <w:pStyle w:val="Heading3"/>
        <w:rPr>
          <w:rtl/>
        </w:rPr>
      </w:pPr>
      <w:bookmarkStart w:id="97" w:name="_Toc445202697"/>
      <w:r w:rsidRPr="009B5102">
        <w:t>Multiple Platforms: A Joint Venture</w:t>
      </w:r>
      <w:bookmarkEnd w:id="97"/>
    </w:p>
    <w:p w14:paraId="100D80A1"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The complex multipartite nature of both sponsorship deals, as was presented here in the two case studies, supplies clear evidence of the tendency of embedded branding deals to expand into many platforms, in a way that serves the needs of both sides – the producers and the sponsors – in the new media environment</w:t>
      </w:r>
      <w:r w:rsidRPr="00B93D25">
        <w:rPr>
          <w:rStyle w:val="FootnoteReference"/>
        </w:rPr>
        <w:footnoteReference w:id="73"/>
      </w:r>
      <w:r w:rsidRPr="009B5102">
        <w:rPr>
          <w:rFonts w:ascii="Times New Roman" w:eastAsia="Calibri" w:hAnsi="Times New Roman" w:cs="Times New Roman"/>
          <w:sz w:val="24"/>
          <w:szCs w:val="24"/>
        </w:rPr>
        <w:t>. Cross-platform sponsorship deals secure the need of producers to find a funding model for their content in its different versions (the programme on television, the programme’s website and potentially other applications, such as on mobile devices), while for sponsors they provide an opportunity to reach their target audience at multiple points in an editorial ‘environment’ that promotes values or messages that are similar to those of the brand but enjoy greater credibility.</w:t>
      </w:r>
    </w:p>
    <w:p w14:paraId="710C5E14" w14:textId="77777777" w:rsidR="00497B7D" w:rsidRPr="009B5102" w:rsidRDefault="00497B7D" w:rsidP="00346CA5">
      <w:pPr>
        <w:spacing w:after="0" w:line="360" w:lineRule="auto"/>
        <w:rPr>
          <w:rFonts w:ascii="Times New Roman" w:eastAsia="Calibri" w:hAnsi="Times New Roman" w:cs="Times New Roman"/>
          <w:sz w:val="24"/>
          <w:szCs w:val="24"/>
        </w:rPr>
      </w:pPr>
    </w:p>
    <w:p w14:paraId="02820AF3"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joint presence of the brand and the programme across different platforms is oriented towards giving it an all-encompassing presence that blurs the line between the two. The viewers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for example, were introduced to the joint ventures of the programme with the bank and the supermarket chain on television, on the programme’s website, in a popular news site, in a print supplement of a daily newspaper, in the supermarket’s bulletin, on a local radio station and also at the sites of the sponsors, i.e. the bank and supermarket branches.</w:t>
      </w:r>
    </w:p>
    <w:p w14:paraId="51EAAC1F" w14:textId="77777777" w:rsidR="00497B7D" w:rsidRPr="009B5102" w:rsidRDefault="00497B7D" w:rsidP="00346CA5">
      <w:pPr>
        <w:spacing w:after="0" w:line="360" w:lineRule="auto"/>
        <w:rPr>
          <w:rFonts w:ascii="Times New Roman" w:eastAsia="Calibri" w:hAnsi="Times New Roman" w:cs="Times New Roman"/>
          <w:sz w:val="24"/>
          <w:szCs w:val="24"/>
        </w:rPr>
      </w:pPr>
    </w:p>
    <w:p w14:paraId="32DA02AC"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Both case studies indicate a shift in these collaborations from a financial funding of a programme on television by a brand to a more complex relationship defined as a ‘partnership’ or ‘co-operation’  that continues across other platforms. This signifies the wish of sponsors to be perceived as equal partners to the broadcasters and, more importantly, to be seen as bodies </w:t>
      </w:r>
      <w:r w:rsidRPr="009B5102">
        <w:rPr>
          <w:rFonts w:ascii="Times New Roman" w:eastAsia="Calibri" w:hAnsi="Times New Roman" w:cs="Times New Roman"/>
          <w:sz w:val="24"/>
          <w:szCs w:val="24"/>
        </w:rPr>
        <w:lastRenderedPageBreak/>
        <w:t>involved in a similar type of action, that is, a communicative rather than purely strategic one (both wish to empower women, both wish to help families manage their money and so on). It also indicates that the power relations between the producers and sponsors are dynamic and constantly keep evolving. While at first the brand paid the producers for the right to be in proximity to the programme (on television) and promote the brand, later the brand bought media space on other platforms (newspapers, for example) and used its financial power to further promote the programme. When it comes to merchandising, this relationship can change fundamentally, as the two sides become equal partners (and the brand may even have the advantage of distribution channels). Thus, the balance of power between producers and sponsors is dynamic and may change according to the development of the programme and the ventures around it. Lastly, the wish of brands to extend the mediated experience into an experience in the ‘real’ world, which allows direct contact with consumers (including for marketing and data collection processes), is an important novel characteristic of embedded branding deals.</w:t>
      </w:r>
    </w:p>
    <w:p w14:paraId="70A5500E" w14:textId="77777777" w:rsidR="00497B7D" w:rsidRPr="009B5102" w:rsidRDefault="00497B7D" w:rsidP="00346CA5">
      <w:pPr>
        <w:spacing w:after="0" w:line="360" w:lineRule="auto"/>
        <w:rPr>
          <w:rFonts w:ascii="Times New Roman" w:eastAsia="Calibri" w:hAnsi="Times New Roman" w:cs="Times New Roman"/>
          <w:sz w:val="24"/>
          <w:szCs w:val="24"/>
        </w:rPr>
      </w:pPr>
    </w:p>
    <w:p w14:paraId="10FD258C"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Turow </w:t>
      </w:r>
      <w:r w:rsidRPr="009B5102">
        <w:rPr>
          <w:rFonts w:ascii="Times New Roman" w:eastAsia="Calibri" w:hAnsi="Times New Roman" w:cs="Times New Roman"/>
          <w:noProof/>
          <w:sz w:val="24"/>
          <w:szCs w:val="24"/>
        </w:rPr>
        <w:t>(2006)</w:t>
      </w:r>
      <w:r w:rsidRPr="009B5102">
        <w:rPr>
          <w:rFonts w:ascii="Times New Roman" w:eastAsia="Calibri" w:hAnsi="Times New Roman" w:cs="Times New Roman"/>
          <w:sz w:val="24"/>
          <w:szCs w:val="24"/>
        </w:rPr>
        <w:t xml:space="preserve"> has already pointed to the re-established connection between product placement and direct marketing</w:t>
      </w:r>
      <w:r w:rsidRPr="00B93D25">
        <w:rPr>
          <w:rStyle w:val="FootnoteReference"/>
        </w:rPr>
        <w:footnoteReference w:id="74"/>
      </w:r>
      <w:r w:rsidRPr="009B5102">
        <w:rPr>
          <w:rFonts w:ascii="Times New Roman" w:eastAsia="Calibri" w:hAnsi="Times New Roman" w:cs="Times New Roman"/>
          <w:sz w:val="24"/>
          <w:szCs w:val="24"/>
        </w:rPr>
        <w:t xml:space="preserve"> in his discussion of the sensation Oprah Winfrey created in September 2004 as she signed a deal with Pontiac in which each one of her 276 live audience members received a new Pontiac for free. In this context Turow emphasises the marketers’ end goal – to create an activity through the media that would encourage viewers to directly contact the marketer and give personal details:  </w:t>
      </w:r>
    </w:p>
    <w:p w14:paraId="5A961418" w14:textId="77777777" w:rsidR="00497B7D" w:rsidRPr="009B5102" w:rsidRDefault="00497B7D" w:rsidP="00346CA5">
      <w:pPr>
        <w:spacing w:after="0" w:line="360" w:lineRule="auto"/>
        <w:rPr>
          <w:rFonts w:ascii="Times New Roman" w:eastAsia="Calibri" w:hAnsi="Times New Roman" w:cs="Times New Roman"/>
          <w:sz w:val="24"/>
          <w:szCs w:val="24"/>
        </w:rPr>
      </w:pPr>
    </w:p>
    <w:p w14:paraId="4A8DCB50" w14:textId="1A6299B4" w:rsidR="00497B7D" w:rsidRPr="009B5102" w:rsidRDefault="00497B7D" w:rsidP="00CE7D29">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Perhaps more important to marketing and media observers was that the integrated use of product placement and direct-response marketing is indicative of new directions in their business… Marketing strategies increasingly see these two businesses – businesses once sneered at by mainstream advertisers – as vehicles for implementing successful solutions to deep problems besetting their industry. They believe that, in a cluttered, ad-zapping world of computers, gaming </w:t>
      </w:r>
      <w:r w:rsidR="00CE7D29" w:rsidRPr="009B5102">
        <w:rPr>
          <w:rFonts w:ascii="Times New Roman" w:eastAsia="Calibri" w:hAnsi="Times New Roman" w:cs="Times New Roman"/>
          <w:sz w:val="24"/>
          <w:szCs w:val="24"/>
        </w:rPr>
        <w:t>con</w:t>
      </w:r>
      <w:r w:rsidR="00CE7D29">
        <w:rPr>
          <w:rFonts w:ascii="Times New Roman" w:eastAsia="Calibri" w:hAnsi="Times New Roman" w:cs="Times New Roman"/>
          <w:sz w:val="24"/>
          <w:szCs w:val="24"/>
        </w:rPr>
        <w:t>s</w:t>
      </w:r>
      <w:r w:rsidR="00CE7D29" w:rsidRPr="009B5102">
        <w:rPr>
          <w:rFonts w:ascii="Times New Roman" w:eastAsia="Calibri" w:hAnsi="Times New Roman" w:cs="Times New Roman"/>
          <w:sz w:val="24"/>
          <w:szCs w:val="24"/>
        </w:rPr>
        <w:t>oles</w:t>
      </w:r>
      <w:r w:rsidRPr="009B5102">
        <w:rPr>
          <w:rFonts w:ascii="Times New Roman" w:eastAsia="Calibri" w:hAnsi="Times New Roman" w:cs="Times New Roman"/>
          <w:sz w:val="24"/>
          <w:szCs w:val="24"/>
        </w:rPr>
        <w:t xml:space="preserve">, and </w:t>
      </w:r>
      <w:r w:rsidRPr="009B5102">
        <w:rPr>
          <w:rFonts w:ascii="Times New Roman" w:eastAsia="Calibri" w:hAnsi="Times New Roman" w:cs="Times New Roman"/>
          <w:sz w:val="24"/>
          <w:szCs w:val="24"/>
        </w:rPr>
        <w:lastRenderedPageBreak/>
        <w:t xml:space="preserve">cell phones product placement and direct response can communicate persuasively to fidgety consumers (pp. 46-47). </w:t>
      </w:r>
    </w:p>
    <w:p w14:paraId="3CBD99CC" w14:textId="77777777" w:rsidR="00497B7D" w:rsidRPr="009B5102" w:rsidRDefault="00497B7D" w:rsidP="00346CA5">
      <w:pPr>
        <w:spacing w:after="0" w:line="360" w:lineRule="auto"/>
        <w:rPr>
          <w:rFonts w:ascii="Times New Roman" w:eastAsia="Calibri" w:hAnsi="Times New Roman" w:cs="Times New Roman"/>
          <w:sz w:val="24"/>
          <w:szCs w:val="24"/>
        </w:rPr>
      </w:pPr>
    </w:p>
    <w:p w14:paraId="50C209DD"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As I have shown here, this linkage between what Turow sees as product placement and direct response marketing has rapidly developed into sophisticated complex deals which begin with a synergy of ideas and values and end up with collecting personal data of potential consumers (as I will further elaborate) and creating a direct experience with the brand (through product testing, in the case of </w:t>
      </w:r>
      <w:r w:rsidRPr="009B5102">
        <w:rPr>
          <w:rFonts w:ascii="Times New Roman" w:eastAsia="Calibri" w:hAnsi="Times New Roman" w:cs="Times New Roman"/>
          <w:i/>
          <w:iCs/>
          <w:sz w:val="24"/>
          <w:szCs w:val="24"/>
        </w:rPr>
        <w:t xml:space="preserve">HTLGN, </w:t>
      </w:r>
      <w:r w:rsidRPr="009B5102">
        <w:rPr>
          <w:rFonts w:ascii="Times New Roman" w:eastAsia="Calibri" w:hAnsi="Times New Roman" w:cs="Times New Roman"/>
          <w:sz w:val="24"/>
          <w:szCs w:val="24"/>
        </w:rPr>
        <w:t xml:space="preserve">or visits to the local branch of the bank and the supermarket, in the case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The mass audience passive experience of watching a television programme is just a start and it is eventually shifted, through these deals, into a personalised interaction with the brand. </w:t>
      </w:r>
    </w:p>
    <w:p w14:paraId="3F014C8F" w14:textId="77777777" w:rsidR="00497B7D" w:rsidRPr="009B5102" w:rsidRDefault="00497B7D" w:rsidP="00346CA5">
      <w:pPr>
        <w:spacing w:after="0" w:line="360" w:lineRule="auto"/>
        <w:rPr>
          <w:rFonts w:ascii="Times New Roman" w:eastAsia="Calibri" w:hAnsi="Times New Roman" w:cs="Times New Roman"/>
          <w:sz w:val="24"/>
          <w:szCs w:val="24"/>
        </w:rPr>
      </w:pPr>
    </w:p>
    <w:p w14:paraId="2FE2EBA8" w14:textId="77777777" w:rsidR="00497B7D" w:rsidRPr="009B5102" w:rsidRDefault="00497B7D" w:rsidP="00346CA5">
      <w:pPr>
        <w:pStyle w:val="Heading3"/>
      </w:pPr>
      <w:bookmarkStart w:id="98" w:name="_Toc445202698"/>
      <w:r w:rsidRPr="009B5102">
        <w:t>Internet: Between Advertising and Content</w:t>
      </w:r>
      <w:bookmarkEnd w:id="98"/>
    </w:p>
    <w:p w14:paraId="2F77607A"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Of the additional platforms that both broadcasters and marketers seek to occupy, the Internet is undoubtedly the most important and dominant one. I will now turn to discuss the unique characteristics of the Internet, and will show, with reference to both case studies, how the digital space further facilitates the blurring between editorial content and commercial messages, through design as well as content.</w:t>
      </w:r>
    </w:p>
    <w:p w14:paraId="11BCF700" w14:textId="77777777" w:rsidR="00497B7D" w:rsidRPr="009B5102" w:rsidRDefault="00497B7D" w:rsidP="00346CA5">
      <w:pPr>
        <w:spacing w:after="0" w:line="360" w:lineRule="auto"/>
        <w:rPr>
          <w:rFonts w:ascii="Times New Roman" w:eastAsia="Calibri" w:hAnsi="Times New Roman" w:cs="Times New Roman"/>
          <w:sz w:val="24"/>
          <w:szCs w:val="24"/>
        </w:rPr>
      </w:pPr>
    </w:p>
    <w:p w14:paraId="195C63D7"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The Internet has two unique characteristics that are of particular significance to this discussion. The first is the fact that it is a relatively unregulated medium, free of any externally imposed obligations as to the content presented through it</w:t>
      </w:r>
      <w:r w:rsidRPr="00B93D25">
        <w:rPr>
          <w:rStyle w:val="FootnoteReference"/>
        </w:rPr>
        <w:footnoteReference w:id="75"/>
      </w:r>
      <w:r w:rsidRPr="009B5102">
        <w:rPr>
          <w:rFonts w:ascii="Times New Roman" w:eastAsia="Calibri" w:hAnsi="Times New Roman" w:cs="Times New Roman"/>
          <w:sz w:val="24"/>
          <w:szCs w:val="24"/>
        </w:rPr>
        <w:t>, and in particular free of any regulation regarding commercialisation in general and specifically the separation between content and advertising. Under these circumstances, ethical standards become an independent choice of each content provider. Indeed, mainstream content providers</w:t>
      </w:r>
      <w:r w:rsidRPr="00B93D25">
        <w:rPr>
          <w:rStyle w:val="FootnoteReference"/>
        </w:rPr>
        <w:footnoteReference w:id="76"/>
      </w:r>
      <w:r w:rsidRPr="009B5102">
        <w:rPr>
          <w:rFonts w:ascii="Times New Roman" w:eastAsia="Calibri" w:hAnsi="Times New Roman" w:cs="Times New Roman"/>
          <w:sz w:val="24"/>
          <w:szCs w:val="24"/>
        </w:rPr>
        <w:t xml:space="preserve"> tend to rely on the norms set by ‘old’ media, through its regulatory climate (on television) or codes of ethics (print press), but at the same time these norms are a voluntary reference point in most cases and as I will show, are </w:t>
      </w:r>
      <w:r w:rsidRPr="009B5102">
        <w:rPr>
          <w:rFonts w:ascii="Times New Roman" w:eastAsia="Calibri" w:hAnsi="Times New Roman" w:cs="Times New Roman"/>
          <w:sz w:val="24"/>
          <w:szCs w:val="24"/>
        </w:rPr>
        <w:lastRenderedPageBreak/>
        <w:t xml:space="preserve">rapidly eroding, in light of the possibilities that are opened on the Internet as a medium, and due to economic constraints. </w:t>
      </w:r>
    </w:p>
    <w:p w14:paraId="086EE25C" w14:textId="77777777" w:rsidR="00497B7D" w:rsidRPr="009B5102" w:rsidRDefault="00497B7D" w:rsidP="00346CA5">
      <w:pPr>
        <w:spacing w:after="0" w:line="360" w:lineRule="auto"/>
        <w:rPr>
          <w:rFonts w:ascii="Times New Roman" w:eastAsia="Calibri" w:hAnsi="Times New Roman" w:cs="Times New Roman"/>
          <w:sz w:val="24"/>
          <w:szCs w:val="24"/>
        </w:rPr>
      </w:pPr>
    </w:p>
    <w:p w14:paraId="20EEA031"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This leads to the second characteristic: the fact that the Internet is a non-linear medium; hence it cancels the temporal and spatial (visual and audio) separation that exists in linear media. The experience of the user is thus an active one (often referred to by the media industry as a ‘lean forward’ experience, indicating that the consumer is interacting with the medium), as he or she is involved in constant search and choice making, and content consumption tends to be interactive, as well as simultaneous, as the user can do a number of things on the Internet at the same time. This stands in contrast to the features of traditional television broadcasting, which is linear, presenting visual images and sound which are spatially organised and streamed (edited) one after the other, through time. Although television viewers can ‘zap’ between channels, the overall experience is more passive (‘lean back’) and consumption is usually not interactive and not simultaneous (one can watch only one thing at a time on television).</w:t>
      </w:r>
    </w:p>
    <w:p w14:paraId="7D843730" w14:textId="77777777" w:rsidR="00497B7D" w:rsidRPr="009B5102" w:rsidRDefault="00497B7D" w:rsidP="00346CA5">
      <w:pPr>
        <w:spacing w:after="0" w:line="360" w:lineRule="auto"/>
        <w:rPr>
          <w:rFonts w:ascii="Times New Roman" w:eastAsia="Calibri" w:hAnsi="Times New Roman" w:cs="Times New Roman"/>
          <w:sz w:val="24"/>
          <w:szCs w:val="24"/>
        </w:rPr>
      </w:pPr>
    </w:p>
    <w:p w14:paraId="54461FE7"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So, for example, a user can go to a programme’s website, read a text article about one of the participants in the show, and at the same time open a video with a segment from the last episode, click on a link which leads to a competition by the sponsor and in unison read about the presenter’s biography on Wikipedia and search for other websites that are related to the topic (styling, shopping, body-image or anything else). This, of course, is only the beginning. Users can simultaneously upload related materials to a social network such as Facebook, discuss the programme with friends or consume totally unrelated materials such as news websites or anything else. Thus, the user is active, going from one link to another (or searching for websites) as he/she follows his/her curiosity and associations. In addition, he/she can interact with websites (answer questions on the programme’s website, send posts on the social network) and do all of this simultaneously. </w:t>
      </w:r>
    </w:p>
    <w:p w14:paraId="2142B750" w14:textId="77777777" w:rsidR="00497B7D" w:rsidRPr="009B5102" w:rsidRDefault="00497B7D" w:rsidP="00346CA5">
      <w:pPr>
        <w:spacing w:after="0" w:line="360" w:lineRule="auto"/>
        <w:rPr>
          <w:rFonts w:ascii="Times New Roman" w:eastAsia="Calibri" w:hAnsi="Times New Roman" w:cs="Times New Roman"/>
          <w:sz w:val="24"/>
          <w:szCs w:val="24"/>
        </w:rPr>
      </w:pPr>
    </w:p>
    <w:p w14:paraId="177F3C1A" w14:textId="53AF43E3"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Broadcast channels on television, of course, offer a totally different experience: the programme is scheduled to air at a certain date and time, it has a clear beginning, after which a stream of visual images and soundbites is presented in an order that was decided by the editors. It has an end point and is separated, temporally and spatially, from any other content - sponsorship credits, </w:t>
      </w:r>
      <w:r w:rsidRPr="009B5102">
        <w:rPr>
          <w:rFonts w:ascii="Times New Roman" w:eastAsia="Calibri" w:hAnsi="Times New Roman" w:cs="Times New Roman"/>
          <w:sz w:val="24"/>
          <w:szCs w:val="24"/>
        </w:rPr>
        <w:lastRenderedPageBreak/>
        <w:t xml:space="preserve">promotion clips, advertisements or the next programme </w:t>
      </w:r>
      <w:r w:rsidRPr="009B5102">
        <w:rPr>
          <w:rFonts w:ascii="Times New Roman" w:eastAsia="Calibri" w:hAnsi="Times New Roman" w:cs="Times New Roman"/>
          <w:noProof/>
          <w:sz w:val="24"/>
          <w:szCs w:val="24"/>
        </w:rPr>
        <w:t>(Williams, 2003)</w:t>
      </w:r>
      <w:r w:rsidRPr="009B5102">
        <w:rPr>
          <w:rFonts w:ascii="Times New Roman" w:eastAsia="Calibri" w:hAnsi="Times New Roman" w:cs="Times New Roman"/>
          <w:sz w:val="24"/>
          <w:szCs w:val="24"/>
        </w:rPr>
        <w:t xml:space="preserve">. This creates an experience in which the viewer makes relatively few choices (except, of course, the decision to watch something else or not watch at all). The most important difference that emerges from what I describe here is the constant associative and active journey which a user on the Internet goes through, following links that draw his/her attention, in comparison to the pre-planned experience which broadcast channels offer. </w:t>
      </w:r>
    </w:p>
    <w:p w14:paraId="0731623A" w14:textId="77777777" w:rsidR="00497B7D" w:rsidRPr="009B5102" w:rsidRDefault="00497B7D" w:rsidP="00346CA5">
      <w:pPr>
        <w:spacing w:after="0" w:line="360" w:lineRule="auto"/>
        <w:rPr>
          <w:rFonts w:ascii="Times New Roman" w:eastAsia="Calibri" w:hAnsi="Times New Roman" w:cs="Times New Roman"/>
          <w:sz w:val="24"/>
          <w:szCs w:val="24"/>
        </w:rPr>
      </w:pPr>
    </w:p>
    <w:p w14:paraId="0C920811"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 will now show how these novel features are being used in ‘branded content’ deals to smoothly shift media consumers from what seems to be a ‘content environment’ into a ‘commercial environment’ in a seamless way, and later encourage them to send personal data to the sponsor so they can be contacted directly, in order to maintain an ongoing relationship with them.   </w:t>
      </w:r>
    </w:p>
    <w:p w14:paraId="594C221B" w14:textId="77777777" w:rsidR="00497B7D" w:rsidRPr="009B5102" w:rsidRDefault="00497B7D" w:rsidP="00346CA5">
      <w:pPr>
        <w:spacing w:after="0" w:line="360" w:lineRule="auto"/>
        <w:rPr>
          <w:rFonts w:ascii="Times New Roman" w:eastAsia="Calibri" w:hAnsi="Times New Roman" w:cs="Times New Roman"/>
          <w:sz w:val="24"/>
          <w:szCs w:val="24"/>
        </w:rPr>
      </w:pPr>
    </w:p>
    <w:p w14:paraId="58C54CE9" w14:textId="77777777" w:rsidR="00497B7D" w:rsidRPr="009B5102" w:rsidRDefault="00497B7D" w:rsidP="00346CA5">
      <w:pPr>
        <w:pStyle w:val="Heading3"/>
      </w:pPr>
      <w:bookmarkStart w:id="99" w:name="_Toc445202699"/>
      <w:r w:rsidRPr="009B5102">
        <w:rPr>
          <w:i/>
          <w:iCs/>
        </w:rPr>
        <w:t>How to Look Good Naked</w:t>
      </w:r>
      <w:r w:rsidRPr="009B5102">
        <w:t xml:space="preserve"> and Dove</w:t>
      </w:r>
      <w:bookmarkEnd w:id="99"/>
      <w:r w:rsidRPr="009B5102">
        <w:t xml:space="preserve"> </w:t>
      </w:r>
    </w:p>
    <w:p w14:paraId="24245E16"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Viewers of the programme were directed to the programme’s website (hosted by Channel 4) during the television programme or they could search for it independently. They were then introduced to a space in which the programme and the brand have merged in a different way to the one they were familiar with on television. </w:t>
      </w:r>
    </w:p>
    <w:p w14:paraId="223A4ADC" w14:textId="77777777" w:rsidR="00497B7D" w:rsidRPr="009B5102" w:rsidRDefault="00497B7D" w:rsidP="00346CA5">
      <w:pPr>
        <w:spacing w:after="0" w:line="360" w:lineRule="auto"/>
        <w:rPr>
          <w:rFonts w:ascii="Times New Roman" w:eastAsia="Calibri" w:hAnsi="Times New Roman" w:cs="Times New Roman"/>
          <w:sz w:val="24"/>
          <w:szCs w:val="24"/>
        </w:rPr>
      </w:pPr>
    </w:p>
    <w:p w14:paraId="31569DBC" w14:textId="25FAB0B0" w:rsidR="00497B7D" w:rsidRPr="009B5102" w:rsidRDefault="00497B7D" w:rsidP="009E4FA3">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To begin with, the homepage - and practically the whole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website (2006-2007) - was designed according to the sponsor’s branding (see Figures </w:t>
      </w:r>
      <w:r w:rsidR="009E4FA3">
        <w:rPr>
          <w:rFonts w:ascii="Times New Roman" w:eastAsia="Calibri" w:hAnsi="Times New Roman" w:cs="Times New Roman"/>
          <w:sz w:val="24"/>
          <w:szCs w:val="24"/>
        </w:rPr>
        <w:t>29</w:t>
      </w:r>
      <w:r w:rsidR="009E4FA3" w:rsidRPr="009B5102">
        <w:rPr>
          <w:rFonts w:ascii="Times New Roman" w:eastAsia="Calibri" w:hAnsi="Times New Roman" w:cs="Times New Roman"/>
          <w:sz w:val="24"/>
          <w:szCs w:val="24"/>
        </w:rPr>
        <w:t xml:space="preserve"> </w:t>
      </w:r>
      <w:r w:rsidRPr="009B5102">
        <w:rPr>
          <w:rFonts w:ascii="Times New Roman" w:eastAsia="Calibri" w:hAnsi="Times New Roman" w:cs="Times New Roman"/>
          <w:sz w:val="24"/>
          <w:szCs w:val="24"/>
        </w:rPr>
        <w:t xml:space="preserve">and </w:t>
      </w:r>
      <w:r w:rsidR="009E4FA3">
        <w:rPr>
          <w:rFonts w:ascii="Times New Roman" w:eastAsia="Calibri" w:hAnsi="Times New Roman" w:cs="Times New Roman"/>
          <w:sz w:val="24"/>
          <w:szCs w:val="24"/>
        </w:rPr>
        <w:t>30</w:t>
      </w:r>
      <w:r w:rsidRPr="009B5102">
        <w:rPr>
          <w:rFonts w:ascii="Times New Roman" w:eastAsia="Calibri" w:hAnsi="Times New Roman" w:cs="Times New Roman"/>
          <w:sz w:val="24"/>
          <w:szCs w:val="24"/>
        </w:rPr>
        <w:t>). This could be easily recognised by the deep red colour that was used as a background and the bright coloured font that was used for the letters. In addition, the Dove Pro-Age logo which credited the brand as a sponsor clearly appeared on the right side, linking directly to the sponsor’s official site. This is a different mode of integration than the one on television, as the editorial content is ‘packaged’ in the brand’s design. Thus, even if the texts or videos represent an independent editorial choice, the link to the sponsoring brand becomes immediate, almost unconscious, through the graphic language of the whole website. Thus, in contrast to television, spatial separation between design and content does not exist on the Internet</w:t>
      </w:r>
      <w:r w:rsidRPr="00B93D25">
        <w:rPr>
          <w:rStyle w:val="FootnoteReference"/>
        </w:rPr>
        <w:footnoteReference w:id="77"/>
      </w:r>
      <w:r w:rsidRPr="009B5102">
        <w:rPr>
          <w:rFonts w:ascii="Times New Roman" w:eastAsia="Calibri" w:hAnsi="Times New Roman" w:cs="Times New Roman"/>
          <w:sz w:val="24"/>
          <w:szCs w:val="24"/>
        </w:rPr>
        <w:t>.</w:t>
      </w:r>
    </w:p>
    <w:p w14:paraId="62EDF788"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lastRenderedPageBreak/>
        <w:drawing>
          <wp:inline distT="0" distB="0" distL="0" distR="0" wp14:anchorId="366A676A" wp14:editId="2B0E2434">
            <wp:extent cx="5642279" cy="4230094"/>
            <wp:effectExtent l="1905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5641493" cy="4229505"/>
                    </a:xfrm>
                    <a:prstGeom prst="rect">
                      <a:avLst/>
                    </a:prstGeom>
                    <a:noFill/>
                    <a:ln w="9525">
                      <a:noFill/>
                      <a:miter lim="800000"/>
                      <a:headEnd/>
                      <a:tailEnd/>
                    </a:ln>
                  </pic:spPr>
                </pic:pic>
              </a:graphicData>
            </a:graphic>
          </wp:inline>
        </w:drawing>
      </w:r>
    </w:p>
    <w:p w14:paraId="5E3E0C1F" w14:textId="1D592954" w:rsidR="00497B7D" w:rsidRDefault="00497B7D" w:rsidP="009E4FA3">
      <w:pPr>
        <w:spacing w:after="0" w:line="360" w:lineRule="auto"/>
        <w:rPr>
          <w:rFonts w:ascii="Times New Roman" w:eastAsia="Calibri" w:hAnsi="Times New Roman" w:cs="Times New Roman"/>
          <w:sz w:val="20"/>
          <w:szCs w:val="20"/>
        </w:rPr>
      </w:pPr>
      <w:bookmarkStart w:id="100" w:name="_Toc436608104"/>
      <w:bookmarkStart w:id="101" w:name="_Toc445120254"/>
      <w:r w:rsidRPr="003A01C3">
        <w:rPr>
          <w:rStyle w:val="Heading6Char"/>
        </w:rPr>
        <w:t xml:space="preserve">Figure </w:t>
      </w:r>
      <w:r w:rsidR="009E4FA3">
        <w:rPr>
          <w:rStyle w:val="Heading6Char"/>
        </w:rPr>
        <w:t>29</w:t>
      </w:r>
      <w:r w:rsidRPr="003A01C3">
        <w:rPr>
          <w:rStyle w:val="Heading6Char"/>
        </w:rPr>
        <w:t xml:space="preserve">: </w:t>
      </w:r>
      <w:r w:rsidRPr="00785053">
        <w:rPr>
          <w:rStyle w:val="Heading6Char"/>
          <w:i/>
          <w:iCs/>
        </w:rPr>
        <w:t>HTLGN</w:t>
      </w:r>
      <w:r w:rsidRPr="003A01C3">
        <w:rPr>
          <w:rStyle w:val="Heading6Char"/>
        </w:rPr>
        <w:t>’s website on Channel 4’s domain, under the sponsorship of Dove Pro-Age, 2006-2007. The website was designed according to sponsor’s branding</w:t>
      </w:r>
      <w:bookmarkEnd w:id="100"/>
      <w:bookmarkEnd w:id="101"/>
      <w:r w:rsidRPr="000E4BDB">
        <w:rPr>
          <w:rFonts w:ascii="Times New Roman" w:eastAsia="Calibri" w:hAnsi="Times New Roman" w:cs="Times New Roman"/>
          <w:sz w:val="20"/>
          <w:szCs w:val="20"/>
        </w:rPr>
        <w:t>.</w:t>
      </w:r>
    </w:p>
    <w:p w14:paraId="0D63FACC" w14:textId="77777777" w:rsidR="00497B7D" w:rsidRPr="000E4BDB" w:rsidRDefault="00497B7D" w:rsidP="00346CA5">
      <w:pPr>
        <w:spacing w:after="0" w:line="360" w:lineRule="auto"/>
        <w:rPr>
          <w:rFonts w:ascii="Times New Roman" w:eastAsia="Calibri" w:hAnsi="Times New Roman" w:cs="Times New Roman"/>
          <w:sz w:val="20"/>
          <w:szCs w:val="20"/>
        </w:rPr>
      </w:pPr>
    </w:p>
    <w:p w14:paraId="4F992F69"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588F986F" wp14:editId="17D7C759">
            <wp:extent cx="5642279" cy="2520563"/>
            <wp:effectExtent l="19050" t="0" r="0" b="0"/>
            <wp:docPr id="60" name="Picture 9" descr="Dove Pro Age 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 Pro Age Ad 3.jpg"/>
                    <pic:cNvPicPr/>
                  </pic:nvPicPr>
                  <pic:blipFill>
                    <a:blip r:embed="rId16" cstate="print"/>
                    <a:stretch>
                      <a:fillRect/>
                    </a:stretch>
                  </pic:blipFill>
                  <pic:spPr>
                    <a:xfrm>
                      <a:off x="0" y="0"/>
                      <a:ext cx="5646056" cy="2522250"/>
                    </a:xfrm>
                    <a:prstGeom prst="rect">
                      <a:avLst/>
                    </a:prstGeom>
                  </pic:spPr>
                </pic:pic>
              </a:graphicData>
            </a:graphic>
          </wp:inline>
        </w:drawing>
      </w:r>
    </w:p>
    <w:p w14:paraId="42BCBE0A" w14:textId="009349BF" w:rsidR="00497B7D" w:rsidRPr="009B5102" w:rsidRDefault="00497B7D" w:rsidP="009E4FA3">
      <w:pPr>
        <w:spacing w:after="0" w:line="360" w:lineRule="auto"/>
        <w:rPr>
          <w:rFonts w:ascii="Times New Roman" w:eastAsia="Calibri" w:hAnsi="Times New Roman" w:cs="Times New Roman"/>
          <w:sz w:val="24"/>
          <w:szCs w:val="24"/>
        </w:rPr>
      </w:pPr>
      <w:bookmarkStart w:id="102" w:name="_Toc436608105"/>
      <w:bookmarkStart w:id="103" w:name="_Toc445120255"/>
      <w:r w:rsidRPr="003A01C3">
        <w:rPr>
          <w:rStyle w:val="Heading6Char"/>
        </w:rPr>
        <w:t xml:space="preserve">Figure </w:t>
      </w:r>
      <w:r w:rsidR="009E4FA3" w:rsidRPr="003A01C3">
        <w:rPr>
          <w:rStyle w:val="Heading6Char"/>
        </w:rPr>
        <w:t>3</w:t>
      </w:r>
      <w:r w:rsidR="009E4FA3">
        <w:rPr>
          <w:rStyle w:val="Heading6Char"/>
        </w:rPr>
        <w:t>0</w:t>
      </w:r>
      <w:r w:rsidRPr="003A01C3">
        <w:rPr>
          <w:rStyle w:val="Heading6Char"/>
        </w:rPr>
        <w:t>: An advertisement for Dove Pro-Age</w:t>
      </w:r>
      <w:bookmarkEnd w:id="102"/>
      <w:bookmarkEnd w:id="103"/>
      <w:r w:rsidRPr="009B5102">
        <w:rPr>
          <w:rFonts w:ascii="Times New Roman" w:eastAsia="Calibri" w:hAnsi="Times New Roman" w:cs="Times New Roman"/>
          <w:sz w:val="24"/>
          <w:szCs w:val="24"/>
        </w:rPr>
        <w:t>.</w:t>
      </w:r>
    </w:p>
    <w:p w14:paraId="5DD358E0" w14:textId="77777777" w:rsidR="00497B7D" w:rsidRPr="009B5102" w:rsidRDefault="00497B7D" w:rsidP="00346CA5">
      <w:pPr>
        <w:spacing w:after="0" w:line="360" w:lineRule="auto"/>
        <w:rPr>
          <w:rFonts w:ascii="Times New Roman" w:eastAsia="Calibri" w:hAnsi="Times New Roman" w:cs="Times New Roman"/>
          <w:sz w:val="24"/>
          <w:szCs w:val="24"/>
        </w:rPr>
      </w:pPr>
    </w:p>
    <w:p w14:paraId="10058203" w14:textId="1FD6E47D" w:rsidR="00497B7D" w:rsidRPr="009B5102" w:rsidRDefault="00497B7D" w:rsidP="00951DE9">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But the integration of the sponsor was not only design-based. The programme’s website presented different categories of content, like an online table of contents, on the left hand side of each page (see Figure </w:t>
      </w:r>
      <w:r w:rsidR="009E4FA3" w:rsidRPr="009B5102">
        <w:rPr>
          <w:rFonts w:ascii="Times New Roman" w:eastAsia="Calibri" w:hAnsi="Times New Roman" w:cs="Times New Roman"/>
          <w:sz w:val="24"/>
          <w:szCs w:val="24"/>
        </w:rPr>
        <w:t>2</w:t>
      </w:r>
      <w:r w:rsidR="00951DE9">
        <w:rPr>
          <w:rFonts w:ascii="Times New Roman" w:eastAsia="Calibri" w:hAnsi="Times New Roman" w:cs="Times New Roman"/>
          <w:sz w:val="24"/>
          <w:szCs w:val="24"/>
        </w:rPr>
        <w:t>9</w:t>
      </w:r>
      <w:r w:rsidRPr="009B5102">
        <w:rPr>
          <w:rFonts w:ascii="Times New Roman" w:eastAsia="Calibri" w:hAnsi="Times New Roman" w:cs="Times New Roman"/>
          <w:sz w:val="24"/>
          <w:szCs w:val="24"/>
        </w:rPr>
        <w:t xml:space="preserve">). While some of these categories were editorial (such as the ‘Episode Guide’ or information about the presenter Gok Wan), others (for example ‘Win a Spa Weekend’) were commercial and were linked to Dove’s micro-site that had been specially built for that specific ‘branded content’ deal. These categories were presented to users as equal in hierarchy, as they all appeared consecutively and with the same design. There was no signification of any difference between editorial and commercial categories. Thus, from the users’ point of view, they were quickly transported from the programme’s domain to the sponsor’s domain without actively choosing to do so, and without even being aware of the process. To put it simply, it was enough to click on ‘Win a Spa Weekend’ to find oneself in the world of Dove. </w:t>
      </w:r>
    </w:p>
    <w:p w14:paraId="3E597180" w14:textId="77777777" w:rsidR="00497B7D" w:rsidRPr="009B5102" w:rsidRDefault="00497B7D" w:rsidP="00346CA5">
      <w:pPr>
        <w:spacing w:after="0" w:line="360" w:lineRule="auto"/>
        <w:rPr>
          <w:rFonts w:ascii="Times New Roman" w:eastAsia="Calibri" w:hAnsi="Times New Roman" w:cs="Times New Roman"/>
          <w:sz w:val="24"/>
          <w:szCs w:val="24"/>
        </w:rPr>
      </w:pPr>
    </w:p>
    <w:p w14:paraId="08640F20" w14:textId="2D80C9C7" w:rsidR="00497B7D" w:rsidRPr="009B5102" w:rsidRDefault="00497B7D" w:rsidP="00951DE9">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micro-site for Dove took the integration one step further (see Figure </w:t>
      </w:r>
      <w:r w:rsidR="00951DE9">
        <w:rPr>
          <w:rFonts w:ascii="Times New Roman" w:eastAsia="Calibri" w:hAnsi="Times New Roman" w:cs="Times New Roman"/>
          <w:sz w:val="24"/>
          <w:szCs w:val="24"/>
        </w:rPr>
        <w:t>31</w:t>
      </w:r>
      <w:r w:rsidRPr="009B5102">
        <w:rPr>
          <w:rFonts w:ascii="Times New Roman" w:eastAsia="Calibri" w:hAnsi="Times New Roman" w:cs="Times New Roman"/>
          <w:sz w:val="24"/>
          <w:szCs w:val="24"/>
        </w:rPr>
        <w:t>). The micro-site was designed in a similar way to the main website (although the silver colour was emphasised here, making the branding of Dove even more apparent). The fonts that were used for the main text on this commercial site were the typical fonts used by Channel 4 on its home page and would be easily recognised by users as ‘belonging’ to Channel 4</w:t>
      </w:r>
      <w:r w:rsidRPr="00B93D25">
        <w:rPr>
          <w:rStyle w:val="FootnoteReference"/>
        </w:rPr>
        <w:footnoteReference w:id="78"/>
      </w:r>
      <w:r w:rsidRPr="009B5102">
        <w:rPr>
          <w:rFonts w:ascii="Times New Roman" w:eastAsia="Calibri" w:hAnsi="Times New Roman" w:cs="Times New Roman"/>
          <w:sz w:val="24"/>
          <w:szCs w:val="24"/>
        </w:rPr>
        <w:t xml:space="preserve">. The title of the programme at the top of the page was now replaced with the logo of the brand. The main page manifested the combined mission of Dove and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and presented the two sides as ‘partners’, but there was a slight twist to it: unlike the programme (that deals with body-image in general), the common vision in this domain was all about the issue of aging, which is the focus of the Pro-Age line:</w:t>
      </w:r>
    </w:p>
    <w:p w14:paraId="01A4E704"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2E3F3442"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when it comes to the beauty industry, women are still being let down: by the prevailing belief that getting older is a bad thing. </w:t>
      </w:r>
    </w:p>
    <w:p w14:paraId="49C49D78" w14:textId="77777777" w:rsidR="00497B7D" w:rsidRPr="009B5102" w:rsidRDefault="00497B7D" w:rsidP="00346CA5">
      <w:pPr>
        <w:spacing w:after="0" w:line="360" w:lineRule="auto"/>
        <w:rPr>
          <w:rFonts w:ascii="Times New Roman" w:eastAsia="Calibri" w:hAnsi="Times New Roman" w:cs="Times New Roman"/>
          <w:sz w:val="24"/>
          <w:szCs w:val="24"/>
        </w:rPr>
      </w:pPr>
    </w:p>
    <w:p w14:paraId="16D9F39A" w14:textId="5D8F2E5B"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Until recently, that is. Dove, famous for its thought-provoking-ads, featuring gorgeous, healthy women of all sizes, shapes and skin tones, has turned its attention to promoting beauty in women of all ages. In </w:t>
      </w:r>
      <w:r w:rsidRPr="009B5102">
        <w:rPr>
          <w:rFonts w:ascii="Times New Roman" w:eastAsia="Calibri" w:hAnsi="Times New Roman" w:cs="Times New Roman"/>
          <w:sz w:val="24"/>
          <w:szCs w:val="24"/>
        </w:rPr>
        <w:lastRenderedPageBreak/>
        <w:t xml:space="preserve">partnership with </w:t>
      </w:r>
      <w:r w:rsidRPr="009B5102">
        <w:rPr>
          <w:rFonts w:ascii="Times New Roman" w:eastAsia="Calibri" w:hAnsi="Times New Roman" w:cs="Times New Roman"/>
          <w:i/>
          <w:sz w:val="24"/>
          <w:szCs w:val="24"/>
        </w:rPr>
        <w:t xml:space="preserve">How </w:t>
      </w:r>
      <w:r w:rsidR="001F5184" w:rsidRPr="009B5102">
        <w:rPr>
          <w:rFonts w:ascii="Times New Roman" w:eastAsia="Calibri" w:hAnsi="Times New Roman" w:cs="Times New Roman"/>
          <w:i/>
          <w:sz w:val="24"/>
          <w:szCs w:val="24"/>
        </w:rPr>
        <w:t>to</w:t>
      </w:r>
      <w:r w:rsidRPr="009B5102">
        <w:rPr>
          <w:rFonts w:ascii="Times New Roman" w:eastAsia="Calibri" w:hAnsi="Times New Roman" w:cs="Times New Roman"/>
          <w:i/>
          <w:sz w:val="24"/>
          <w:szCs w:val="24"/>
        </w:rPr>
        <w:t xml:space="preserve"> Look Good Naked</w:t>
      </w:r>
      <w:r w:rsidRPr="009B5102">
        <w:rPr>
          <w:rFonts w:ascii="Times New Roman" w:eastAsia="Calibri" w:hAnsi="Times New Roman" w:cs="Times New Roman"/>
          <w:sz w:val="24"/>
          <w:szCs w:val="24"/>
        </w:rPr>
        <w:t>, Dove is fighting the traditional idea that age is an imperfection that needs to be corrected.</w:t>
      </w:r>
      <w:r w:rsidRPr="00B93D25">
        <w:rPr>
          <w:rStyle w:val="FootnoteReference"/>
        </w:rPr>
        <w:footnoteReference w:id="79"/>
      </w:r>
      <w:r w:rsidRPr="009B5102">
        <w:rPr>
          <w:rFonts w:ascii="Times New Roman" w:eastAsia="Calibri" w:hAnsi="Times New Roman" w:cs="Times New Roman"/>
          <w:sz w:val="24"/>
          <w:szCs w:val="24"/>
        </w:rPr>
        <w:t xml:space="preserve">  </w:t>
      </w:r>
    </w:p>
    <w:p w14:paraId="4263256D" w14:textId="77777777" w:rsidR="00497B7D" w:rsidRPr="009B5102" w:rsidRDefault="00497B7D" w:rsidP="00346CA5">
      <w:pPr>
        <w:spacing w:after="0" w:line="360" w:lineRule="auto"/>
        <w:rPr>
          <w:rFonts w:ascii="Times New Roman" w:eastAsia="Calibri" w:hAnsi="Times New Roman" w:cs="Times New Roman"/>
          <w:sz w:val="24"/>
          <w:szCs w:val="24"/>
        </w:rPr>
      </w:pPr>
    </w:p>
    <w:p w14:paraId="709F8F33"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4C075FD2" wp14:editId="51F3E7DC">
            <wp:extent cx="5943600" cy="4577021"/>
            <wp:effectExtent l="1905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943600" cy="4577021"/>
                    </a:xfrm>
                    <a:prstGeom prst="rect">
                      <a:avLst/>
                    </a:prstGeom>
                    <a:noFill/>
                    <a:ln w="9525">
                      <a:noFill/>
                      <a:miter lim="800000"/>
                      <a:headEnd/>
                      <a:tailEnd/>
                    </a:ln>
                  </pic:spPr>
                </pic:pic>
              </a:graphicData>
            </a:graphic>
          </wp:inline>
        </w:drawing>
      </w:r>
    </w:p>
    <w:p w14:paraId="3445981B" w14:textId="40C9A346" w:rsidR="00497B7D" w:rsidRPr="000E4BDB" w:rsidRDefault="00497B7D" w:rsidP="00951DE9">
      <w:pPr>
        <w:spacing w:after="0" w:line="360" w:lineRule="auto"/>
        <w:rPr>
          <w:rFonts w:ascii="Times New Roman" w:eastAsia="Calibri" w:hAnsi="Times New Roman" w:cs="Times New Roman"/>
          <w:sz w:val="20"/>
          <w:szCs w:val="20"/>
        </w:rPr>
      </w:pPr>
      <w:bookmarkStart w:id="104" w:name="_Toc436608106"/>
      <w:bookmarkStart w:id="105" w:name="_Toc445120256"/>
      <w:r w:rsidRPr="003A01C3">
        <w:rPr>
          <w:rStyle w:val="Heading6Char"/>
        </w:rPr>
        <w:t xml:space="preserve">Figure </w:t>
      </w:r>
      <w:r w:rsidR="00951DE9" w:rsidRPr="003A01C3">
        <w:rPr>
          <w:rStyle w:val="Heading6Char"/>
        </w:rPr>
        <w:t>3</w:t>
      </w:r>
      <w:r w:rsidR="00951DE9">
        <w:rPr>
          <w:rStyle w:val="Heading6Char"/>
        </w:rPr>
        <w:t>1</w:t>
      </w:r>
      <w:r w:rsidRPr="003A01C3">
        <w:rPr>
          <w:rStyle w:val="Heading6Char"/>
        </w:rPr>
        <w:t xml:space="preserve">: The Dove Pro-Age micro-site on Channel 4’s </w:t>
      </w:r>
      <w:r w:rsidRPr="00785053">
        <w:rPr>
          <w:rStyle w:val="Heading6Char"/>
          <w:i/>
          <w:iCs/>
        </w:rPr>
        <w:t>HTLGN</w:t>
      </w:r>
      <w:r w:rsidRPr="003A01C3">
        <w:rPr>
          <w:rStyle w:val="Heading6Char"/>
        </w:rPr>
        <w:t xml:space="preserve"> website</w:t>
      </w:r>
      <w:bookmarkEnd w:id="104"/>
      <w:bookmarkEnd w:id="105"/>
      <w:r w:rsidRPr="000E4BDB">
        <w:rPr>
          <w:rFonts w:ascii="Times New Roman" w:eastAsia="Calibri" w:hAnsi="Times New Roman" w:cs="Times New Roman"/>
          <w:sz w:val="20"/>
          <w:szCs w:val="20"/>
        </w:rPr>
        <w:t>.</w:t>
      </w:r>
    </w:p>
    <w:p w14:paraId="6CE911F5" w14:textId="77777777" w:rsidR="00497B7D" w:rsidRPr="009B5102" w:rsidRDefault="00497B7D" w:rsidP="00346CA5">
      <w:pPr>
        <w:spacing w:after="0" w:line="360" w:lineRule="auto"/>
        <w:rPr>
          <w:rFonts w:ascii="Times New Roman" w:eastAsia="Calibri" w:hAnsi="Times New Roman" w:cs="Times New Roman"/>
          <w:sz w:val="24"/>
          <w:szCs w:val="24"/>
        </w:rPr>
      </w:pPr>
    </w:p>
    <w:p w14:paraId="4462CF27" w14:textId="12897A74" w:rsidR="00497B7D" w:rsidRPr="009B5102" w:rsidRDefault="00497B7D" w:rsidP="00951DE9">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micro site then offered users various activities around that shared vision alongside details about Pro-Age products (see Figure </w:t>
      </w:r>
      <w:r w:rsidR="00951DE9">
        <w:rPr>
          <w:rFonts w:ascii="Times New Roman" w:eastAsia="Calibri" w:hAnsi="Times New Roman" w:cs="Times New Roman"/>
          <w:sz w:val="24"/>
          <w:szCs w:val="24"/>
        </w:rPr>
        <w:t>32</w:t>
      </w:r>
      <w:r w:rsidRPr="009B5102">
        <w:rPr>
          <w:rFonts w:ascii="Times New Roman" w:eastAsia="Calibri" w:hAnsi="Times New Roman" w:cs="Times New Roman"/>
          <w:sz w:val="24"/>
          <w:szCs w:val="24"/>
        </w:rPr>
        <w:t>). These activities were oriented towards interactivity and eventually, at encouraging users to get to know Dove’s Pro-Age products or send personal details to the brand. For example, women were asked to answer an interactive ‘age quiz’</w:t>
      </w:r>
      <w:r w:rsidRPr="00B93D25">
        <w:rPr>
          <w:rStyle w:val="FootnoteReference"/>
        </w:rPr>
        <w:footnoteReference w:id="80"/>
      </w:r>
      <w:r w:rsidRPr="009B5102">
        <w:rPr>
          <w:rFonts w:ascii="Times New Roman" w:eastAsia="Calibri" w:hAnsi="Times New Roman" w:cs="Times New Roman"/>
          <w:sz w:val="24"/>
          <w:szCs w:val="24"/>
        </w:rPr>
        <w:t xml:space="preserve">, which included ten questions about self-image in relation to age. The result indicated their self-confidence and body-image and then, at the end of that personal evaluation, they were directed to </w:t>
      </w:r>
      <w:r w:rsidRPr="009B5102">
        <w:rPr>
          <w:rFonts w:ascii="Times New Roman" w:eastAsia="Calibri" w:hAnsi="Times New Roman" w:cs="Times New Roman"/>
          <w:sz w:val="24"/>
          <w:szCs w:val="24"/>
        </w:rPr>
        <w:lastRenderedPageBreak/>
        <w:t>get to know how Dove’s products can contribute to these. In another category, a competition to win a spa weekend obligated sending personal details online</w:t>
      </w:r>
      <w:r w:rsidRPr="00B93D25">
        <w:rPr>
          <w:rStyle w:val="FootnoteReference"/>
        </w:rPr>
        <w:footnoteReference w:id="81"/>
      </w:r>
      <w:r w:rsidRPr="009B5102">
        <w:rPr>
          <w:rFonts w:ascii="Times New Roman" w:eastAsia="Calibri" w:hAnsi="Times New Roman" w:cs="Times New Roman"/>
          <w:sz w:val="24"/>
          <w:szCs w:val="24"/>
        </w:rPr>
        <w:t xml:space="preserve">. </w:t>
      </w:r>
    </w:p>
    <w:p w14:paraId="1DB1DB6B" w14:textId="77777777" w:rsidR="00497B7D" w:rsidRPr="009B5102" w:rsidRDefault="00497B7D" w:rsidP="00346CA5">
      <w:pPr>
        <w:spacing w:after="0" w:line="360" w:lineRule="auto"/>
        <w:rPr>
          <w:rFonts w:ascii="Times New Roman" w:eastAsia="Calibri" w:hAnsi="Times New Roman" w:cs="Times New Roman"/>
          <w:sz w:val="24"/>
          <w:szCs w:val="24"/>
        </w:rPr>
      </w:pPr>
    </w:p>
    <w:p w14:paraId="4B3B5FF4"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1512C455" wp14:editId="0C02A974">
            <wp:extent cx="3556000" cy="2750234"/>
            <wp:effectExtent l="0" t="0" r="6350"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3558421" cy="2752106"/>
                    </a:xfrm>
                    <a:prstGeom prst="rect">
                      <a:avLst/>
                    </a:prstGeom>
                    <a:noFill/>
                    <a:ln w="9525">
                      <a:noFill/>
                      <a:miter lim="800000"/>
                      <a:headEnd/>
                      <a:tailEnd/>
                    </a:ln>
                  </pic:spPr>
                </pic:pic>
              </a:graphicData>
            </a:graphic>
          </wp:inline>
        </w:drawing>
      </w:r>
    </w:p>
    <w:p w14:paraId="3FDCE371" w14:textId="3F2B70FC" w:rsidR="00497B7D" w:rsidRPr="000E4BDB" w:rsidRDefault="00497B7D" w:rsidP="00951DE9">
      <w:pPr>
        <w:pStyle w:val="Heading6"/>
      </w:pPr>
      <w:bookmarkStart w:id="106" w:name="_Toc436608107"/>
      <w:bookmarkStart w:id="107" w:name="_Toc445120257"/>
      <w:r w:rsidRPr="000E4BDB">
        <w:t xml:space="preserve">Figure </w:t>
      </w:r>
      <w:r w:rsidR="00951DE9">
        <w:t>32</w:t>
      </w:r>
      <w:r w:rsidRPr="000E4BDB">
        <w:t xml:space="preserve">: Dove’s Pro-Age micro-site on Channel 4’s </w:t>
      </w:r>
      <w:r w:rsidRPr="000E4BDB">
        <w:rPr>
          <w:i/>
          <w:iCs/>
        </w:rPr>
        <w:t>HTLGN</w:t>
      </w:r>
      <w:r w:rsidRPr="000E4BDB">
        <w:t xml:space="preserve"> website presenting Pro-Age products.</w:t>
      </w:r>
      <w:bookmarkEnd w:id="106"/>
      <w:bookmarkEnd w:id="107"/>
    </w:p>
    <w:p w14:paraId="180E2AB0" w14:textId="77777777" w:rsidR="00497B7D" w:rsidRPr="009B5102" w:rsidRDefault="00497B7D" w:rsidP="00346CA5">
      <w:pPr>
        <w:spacing w:after="0" w:line="360" w:lineRule="auto"/>
        <w:rPr>
          <w:rFonts w:ascii="Times New Roman" w:eastAsia="Calibri" w:hAnsi="Times New Roman" w:cs="Times New Roman"/>
          <w:sz w:val="24"/>
          <w:szCs w:val="24"/>
        </w:rPr>
      </w:pPr>
    </w:p>
    <w:p w14:paraId="72886419"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Fletcher, who was behind the details of the deal, explained that the shift from television to the Internet marks the shift from “being an audience to being participants”. He further explained: </w:t>
      </w:r>
    </w:p>
    <w:p w14:paraId="7574FBD4"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p>
    <w:p w14:paraId="23EDF1D3"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There’s a role for big programmes on TV. </w:t>
      </w:r>
      <w:r w:rsidRPr="009B5102">
        <w:rPr>
          <w:rFonts w:ascii="Times New Roman" w:eastAsia="Calibri" w:hAnsi="Times New Roman" w:cs="Times New Roman"/>
          <w:i/>
          <w:sz w:val="24"/>
          <w:szCs w:val="24"/>
        </w:rPr>
        <w:t>How to Look Good Naked</w:t>
      </w:r>
      <w:r w:rsidRPr="009B5102">
        <w:rPr>
          <w:rFonts w:ascii="Times New Roman" w:eastAsia="Calibri" w:hAnsi="Times New Roman" w:cs="Times New Roman"/>
          <w:sz w:val="24"/>
          <w:szCs w:val="24"/>
        </w:rPr>
        <w:t xml:space="preserve"> was successful because it created media hype, talkability, but it would not continue to survive unless it had whole back-end participation to it. So people watch it on Thursday night and they want to get more involved. Most people, if it’s a passion, want to participate. So people want to go on to the website, they want to find out more about the participants, and want to know how they fit in within the </w:t>
      </w:r>
      <w:r w:rsidRPr="009B5102">
        <w:rPr>
          <w:rFonts w:ascii="Times New Roman" w:eastAsia="Calibri" w:hAnsi="Times New Roman" w:cs="Times New Roman"/>
          <w:i/>
          <w:sz w:val="24"/>
          <w:szCs w:val="24"/>
        </w:rPr>
        <w:t>How To Look Good Naked</w:t>
      </w:r>
      <w:r w:rsidRPr="009B5102">
        <w:rPr>
          <w:rFonts w:ascii="Times New Roman" w:eastAsia="Calibri" w:hAnsi="Times New Roman" w:cs="Times New Roman"/>
          <w:sz w:val="24"/>
          <w:szCs w:val="24"/>
        </w:rPr>
        <w:t xml:space="preserve"> idea. They want to have a go at it themselves, so the digital technology is really helping to drive that </w:t>
      </w:r>
      <w:r w:rsidRPr="009B5102">
        <w:rPr>
          <w:rFonts w:ascii="Times New Roman" w:eastAsia="Calibri" w:hAnsi="Times New Roman" w:cs="Times New Roman"/>
          <w:noProof/>
          <w:sz w:val="24"/>
          <w:szCs w:val="24"/>
        </w:rPr>
        <w:t>(Fletcher, 2009)</w:t>
      </w:r>
      <w:r w:rsidRPr="009B5102">
        <w:rPr>
          <w:rFonts w:ascii="Times New Roman" w:eastAsia="Calibri" w:hAnsi="Times New Roman" w:cs="Times New Roman"/>
          <w:sz w:val="24"/>
          <w:szCs w:val="24"/>
        </w:rPr>
        <w:t>.</w:t>
      </w:r>
    </w:p>
    <w:p w14:paraId="7A62DE3A" w14:textId="77777777" w:rsidR="00497B7D" w:rsidRPr="009B5102" w:rsidRDefault="00497B7D" w:rsidP="00346CA5">
      <w:pPr>
        <w:spacing w:after="0" w:line="360" w:lineRule="auto"/>
        <w:rPr>
          <w:rFonts w:ascii="Times New Roman" w:eastAsia="Calibri" w:hAnsi="Times New Roman" w:cs="Times New Roman"/>
          <w:sz w:val="24"/>
          <w:szCs w:val="24"/>
        </w:rPr>
      </w:pPr>
    </w:p>
    <w:p w14:paraId="3DF44836"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Indeed, in what I have described above I tried to show how viewers are being transformed from passive audience members of a television programme into active participants in the brand’s experience, with minimum awareness of the process while it is happening. This is done by using spatial features that are typical of digital media (and in the absence of regulation) to further blur the line between editorial content and commercial messages. This unregulated space of digital media is used to present the two sides as equal partners in a common mission and this is then directly linked to consumption of the brand’s products (or services). The blurring process that began with the integration of the brand into the programme on television becomes even deeper here and is eventually used for direct commercial purposes – presenting products and collecting data on potential consumers for future marketing activity. In this gradual shift between the programme’s space and that of the brand it is almost hard to remember the basic facts – that there is no necessary connection between feminist ideas, women’s empowerment, self-acceptance or body-image and the consumption of self-care anti-aging products such as body wash, hand cream or shampoo.    </w:t>
      </w:r>
    </w:p>
    <w:p w14:paraId="5F83243F" w14:textId="77777777" w:rsidR="00497B7D" w:rsidRPr="009B5102" w:rsidRDefault="00497B7D" w:rsidP="00346CA5">
      <w:pPr>
        <w:spacing w:after="0" w:line="360" w:lineRule="auto"/>
        <w:rPr>
          <w:rFonts w:ascii="Times New Roman" w:eastAsia="Calibri" w:hAnsi="Times New Roman" w:cs="Times New Roman"/>
          <w:i/>
          <w:iCs/>
          <w:sz w:val="24"/>
          <w:szCs w:val="24"/>
        </w:rPr>
      </w:pPr>
    </w:p>
    <w:p w14:paraId="45125C8E" w14:textId="77777777" w:rsidR="00497B7D" w:rsidRPr="009B5102" w:rsidRDefault="00497B7D" w:rsidP="00346CA5">
      <w:pPr>
        <w:pStyle w:val="Heading3"/>
      </w:pPr>
      <w:bookmarkStart w:id="108" w:name="_Toc445202700"/>
      <w:r w:rsidRPr="009B5102">
        <w:rPr>
          <w:i/>
          <w:iCs/>
        </w:rPr>
        <w:t>Overdraft Family</w:t>
      </w:r>
      <w:r w:rsidRPr="009B5102">
        <w:t>, Shufersal-Deal and Bank Hapo’alim</w:t>
      </w:r>
      <w:bookmarkEnd w:id="108"/>
    </w:p>
    <w:p w14:paraId="6C757AFD"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case of </w:t>
      </w:r>
      <w:r w:rsidRPr="009B5102">
        <w:rPr>
          <w:rFonts w:ascii="Times New Roman" w:eastAsia="Calibri" w:hAnsi="Times New Roman" w:cs="Times New Roman"/>
          <w:i/>
          <w:iCs/>
          <w:sz w:val="24"/>
          <w:szCs w:val="24"/>
        </w:rPr>
        <w:t>Overdraft</w:t>
      </w:r>
      <w:r w:rsidRPr="009B5102">
        <w:rPr>
          <w:rFonts w:ascii="Times New Roman" w:eastAsia="Calibri" w:hAnsi="Times New Roman" w:cs="Times New Roman"/>
          <w:sz w:val="24"/>
          <w:szCs w:val="24"/>
        </w:rPr>
        <w:t xml:space="preserve"> </w:t>
      </w:r>
      <w:r w:rsidRPr="009B5102">
        <w:rPr>
          <w:rFonts w:ascii="Times New Roman" w:eastAsia="Calibri" w:hAnsi="Times New Roman" w:cs="Times New Roman"/>
          <w:i/>
          <w:sz w:val="24"/>
          <w:szCs w:val="24"/>
        </w:rPr>
        <w:t>Family</w:t>
      </w:r>
      <w:r w:rsidRPr="009B5102">
        <w:rPr>
          <w:rFonts w:ascii="Times New Roman" w:eastAsia="Calibri" w:hAnsi="Times New Roman" w:cs="Times New Roman"/>
          <w:sz w:val="24"/>
          <w:szCs w:val="24"/>
        </w:rPr>
        <w:t xml:space="preserve"> provides a similar model of integration of sponsors on the Internet, but had some additional activities, such as the use of commercial vignettes on television to encourage viewers to go online, and particularly the integration of the sponsors on Ynet, a popular news website, a step which additionally created blurring between brand messages and journalistic content. </w:t>
      </w:r>
    </w:p>
    <w:p w14:paraId="71FC4015" w14:textId="77777777" w:rsidR="00497B7D" w:rsidRPr="009B5102" w:rsidRDefault="00497B7D" w:rsidP="00346CA5">
      <w:pPr>
        <w:spacing w:after="0" w:line="360" w:lineRule="auto"/>
        <w:rPr>
          <w:rFonts w:ascii="Times New Roman" w:eastAsia="Calibri" w:hAnsi="Times New Roman" w:cs="Times New Roman"/>
          <w:sz w:val="24"/>
          <w:szCs w:val="24"/>
        </w:rPr>
      </w:pPr>
    </w:p>
    <w:p w14:paraId="75334F5A" w14:textId="009A39E9" w:rsidR="00497B7D" w:rsidRPr="009B5102" w:rsidRDefault="00497B7D" w:rsidP="00951DE9">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To begin with, the website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(on Reshet’s domain) was designed according to the branding of Bank Hapo’alim, in a similar way to the case of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and Dove. From there, users were referred to a special section on the programme’s website called ‘Smart Family’, which was in effect a micro-site of Bank Hapo’alim (see Figure </w:t>
      </w:r>
      <w:r w:rsidR="00951DE9">
        <w:rPr>
          <w:rFonts w:ascii="Times New Roman" w:eastAsia="Calibri" w:hAnsi="Times New Roman" w:cs="Times New Roman"/>
          <w:sz w:val="24"/>
          <w:szCs w:val="24"/>
        </w:rPr>
        <w:t>33</w:t>
      </w:r>
      <w:r w:rsidRPr="009B5102">
        <w:rPr>
          <w:rFonts w:ascii="Times New Roman" w:eastAsia="Calibri" w:hAnsi="Times New Roman" w:cs="Times New Roman"/>
          <w:sz w:val="24"/>
          <w:szCs w:val="24"/>
        </w:rPr>
        <w:t>). The bank’s summary of the sponsorship of the third series clearly stated that:</w:t>
      </w:r>
    </w:p>
    <w:p w14:paraId="4C7814EC" w14:textId="77777777" w:rsidR="00497B7D" w:rsidRPr="009B5102" w:rsidRDefault="00497B7D" w:rsidP="00346CA5">
      <w:pPr>
        <w:spacing w:after="0" w:line="360" w:lineRule="auto"/>
        <w:rPr>
          <w:rFonts w:ascii="Times New Roman" w:eastAsia="Calibri" w:hAnsi="Times New Roman" w:cs="Times New Roman"/>
          <w:sz w:val="24"/>
          <w:szCs w:val="24"/>
        </w:rPr>
      </w:pPr>
    </w:p>
    <w:p w14:paraId="35C78ADC"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 a salient reference on the programme’s homepage linked users to the ‘Smart Family’ section </w:t>
      </w:r>
      <w:r w:rsidRPr="009B5102">
        <w:rPr>
          <w:rFonts w:ascii="Times New Roman" w:eastAsia="Calibri" w:hAnsi="Times New Roman" w:cs="Times New Roman"/>
          <w:noProof/>
          <w:sz w:val="24"/>
          <w:szCs w:val="24"/>
        </w:rPr>
        <w:t>(Bank Hapo'alim, 2009)</w:t>
      </w:r>
      <w:r w:rsidRPr="009B5102">
        <w:rPr>
          <w:rFonts w:ascii="Times New Roman" w:eastAsia="Calibri" w:hAnsi="Times New Roman" w:cs="Times New Roman"/>
          <w:sz w:val="24"/>
          <w:szCs w:val="24"/>
        </w:rPr>
        <w:t xml:space="preserve">. </w:t>
      </w:r>
    </w:p>
    <w:p w14:paraId="4326EDB1" w14:textId="77777777" w:rsidR="00497B7D" w:rsidRPr="009B5102" w:rsidRDefault="00497B7D" w:rsidP="00346CA5">
      <w:pPr>
        <w:spacing w:after="0" w:line="360" w:lineRule="auto"/>
        <w:rPr>
          <w:rFonts w:ascii="Times New Roman" w:eastAsia="Calibri" w:hAnsi="Times New Roman" w:cs="Times New Roman"/>
          <w:sz w:val="24"/>
          <w:szCs w:val="24"/>
        </w:rPr>
      </w:pPr>
    </w:p>
    <w:p w14:paraId="47797BFD" w14:textId="37AC4243" w:rsidR="00497B7D" w:rsidRPr="009B5102" w:rsidRDefault="00497B7D" w:rsidP="00951DE9">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lastRenderedPageBreak/>
        <w:t xml:space="preserve">The micro-site then offered a variety of activities, which mixed straightforward advertising (such as banners) and content that was commercial but related to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and the topic of family budgeting. For example, the bank’s micro-site presented (as a main item on the page) different video segments from the programme which included its presenter, Nurit Raz. It also encouraged users to take part in the competition (sending tips for better financial management of the family budget) which would reward them with a free workshop for managing their family budget in one of the bank’s branches (as described in the previous section) (see Figure </w:t>
      </w:r>
      <w:r w:rsidR="00951DE9">
        <w:rPr>
          <w:rFonts w:ascii="Times New Roman" w:eastAsia="Calibri" w:hAnsi="Times New Roman" w:cs="Times New Roman"/>
          <w:sz w:val="24"/>
          <w:szCs w:val="24"/>
        </w:rPr>
        <w:t>34</w:t>
      </w:r>
      <w:r w:rsidRPr="009B5102">
        <w:rPr>
          <w:rFonts w:ascii="Times New Roman" w:eastAsia="Calibri" w:hAnsi="Times New Roman" w:cs="Times New Roman"/>
          <w:sz w:val="24"/>
          <w:szCs w:val="24"/>
        </w:rPr>
        <w:t xml:space="preserve">). In addition, the micro-site presented some online financial tools which the bank wished to promote as part of its marketing, such as financial calculators and an online programme for budget management. </w:t>
      </w:r>
    </w:p>
    <w:p w14:paraId="1A9666D7" w14:textId="77777777" w:rsidR="00497B7D" w:rsidRPr="009B5102" w:rsidRDefault="00497B7D" w:rsidP="00346CA5">
      <w:pPr>
        <w:spacing w:after="0" w:line="360" w:lineRule="auto"/>
        <w:rPr>
          <w:rFonts w:ascii="Times New Roman" w:eastAsia="Calibri" w:hAnsi="Times New Roman" w:cs="Times New Roman"/>
          <w:sz w:val="24"/>
          <w:szCs w:val="24"/>
        </w:rPr>
      </w:pPr>
    </w:p>
    <w:p w14:paraId="16F3F5FD"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anchor distT="0" distB="0" distL="114300" distR="114300" simplePos="0" relativeHeight="251663360" behindDoc="0" locked="0" layoutInCell="1" allowOverlap="1" wp14:anchorId="5D2B7FEF" wp14:editId="68D7E7E3">
            <wp:simplePos x="0" y="0"/>
            <wp:positionH relativeFrom="margin">
              <wp:align>left</wp:align>
            </wp:positionH>
            <wp:positionV relativeFrom="paragraph">
              <wp:posOffset>2827</wp:posOffset>
            </wp:positionV>
            <wp:extent cx="3636034" cy="3020128"/>
            <wp:effectExtent l="0" t="0" r="2540" b="8890"/>
            <wp:wrapNone/>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37346" cy="3021218"/>
                    </a:xfrm>
                    <a:prstGeom prst="rect">
                      <a:avLst/>
                    </a:prstGeom>
                    <a:noFill/>
                    <a:ln>
                      <a:noFill/>
                    </a:ln>
                    <a:effectLst/>
                  </pic:spPr>
                </pic:pic>
              </a:graphicData>
            </a:graphic>
          </wp:anchor>
        </w:drawing>
      </w:r>
    </w:p>
    <w:p w14:paraId="2830A103" w14:textId="77777777" w:rsidR="00497B7D" w:rsidRPr="009B5102" w:rsidRDefault="00497B7D" w:rsidP="00346CA5">
      <w:pPr>
        <w:spacing w:after="0" w:line="360" w:lineRule="auto"/>
        <w:rPr>
          <w:rFonts w:ascii="Times New Roman" w:eastAsia="Calibri" w:hAnsi="Times New Roman" w:cs="Times New Roman"/>
          <w:sz w:val="24"/>
          <w:szCs w:val="24"/>
        </w:rPr>
      </w:pPr>
    </w:p>
    <w:p w14:paraId="6C9DA91C" w14:textId="77777777" w:rsidR="00497B7D" w:rsidRPr="009B5102" w:rsidRDefault="00497B7D" w:rsidP="00346CA5">
      <w:pPr>
        <w:spacing w:after="0" w:line="360" w:lineRule="auto"/>
        <w:rPr>
          <w:rFonts w:ascii="Times New Roman" w:eastAsia="Calibri" w:hAnsi="Times New Roman" w:cs="Times New Roman"/>
          <w:sz w:val="24"/>
          <w:szCs w:val="24"/>
        </w:rPr>
      </w:pPr>
    </w:p>
    <w:p w14:paraId="776D79C6" w14:textId="77777777" w:rsidR="00497B7D" w:rsidRPr="009B5102" w:rsidRDefault="00497B7D" w:rsidP="00346CA5">
      <w:pPr>
        <w:spacing w:after="0" w:line="360" w:lineRule="auto"/>
        <w:rPr>
          <w:rFonts w:ascii="Times New Roman" w:eastAsia="Calibri" w:hAnsi="Times New Roman" w:cs="Times New Roman"/>
          <w:sz w:val="24"/>
          <w:szCs w:val="24"/>
        </w:rPr>
      </w:pPr>
    </w:p>
    <w:p w14:paraId="3DE5A2A2" w14:textId="77777777" w:rsidR="00497B7D" w:rsidRPr="009B5102" w:rsidRDefault="00497B7D" w:rsidP="00346CA5">
      <w:pPr>
        <w:spacing w:after="0" w:line="360" w:lineRule="auto"/>
        <w:rPr>
          <w:rFonts w:ascii="Times New Roman" w:eastAsia="Calibri" w:hAnsi="Times New Roman" w:cs="Times New Roman"/>
          <w:sz w:val="24"/>
          <w:szCs w:val="24"/>
        </w:rPr>
      </w:pPr>
    </w:p>
    <w:p w14:paraId="2D9CE483"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76F75040" w14:textId="77777777" w:rsidR="00497B7D" w:rsidRPr="009B5102" w:rsidRDefault="00497B7D" w:rsidP="00346CA5">
      <w:pPr>
        <w:spacing w:after="0" w:line="360" w:lineRule="auto"/>
        <w:rPr>
          <w:rFonts w:ascii="Times New Roman" w:eastAsia="Calibri" w:hAnsi="Times New Roman" w:cs="Times New Roman"/>
          <w:sz w:val="24"/>
          <w:szCs w:val="24"/>
        </w:rPr>
      </w:pPr>
    </w:p>
    <w:p w14:paraId="08CE9F37" w14:textId="77777777" w:rsidR="00497B7D" w:rsidRPr="009B5102" w:rsidRDefault="00497B7D" w:rsidP="00346CA5">
      <w:pPr>
        <w:spacing w:after="0" w:line="360" w:lineRule="auto"/>
        <w:rPr>
          <w:rFonts w:ascii="Times New Roman" w:eastAsia="Calibri" w:hAnsi="Times New Roman" w:cs="Times New Roman"/>
          <w:sz w:val="24"/>
          <w:szCs w:val="24"/>
        </w:rPr>
      </w:pPr>
    </w:p>
    <w:p w14:paraId="79BEAD1C" w14:textId="77777777" w:rsidR="00497B7D" w:rsidRPr="009B5102" w:rsidRDefault="00497B7D" w:rsidP="00346CA5">
      <w:pPr>
        <w:spacing w:after="0" w:line="360" w:lineRule="auto"/>
        <w:rPr>
          <w:rFonts w:ascii="Times New Roman" w:eastAsia="Calibri" w:hAnsi="Times New Roman" w:cs="Times New Roman"/>
          <w:sz w:val="24"/>
          <w:szCs w:val="24"/>
        </w:rPr>
      </w:pPr>
    </w:p>
    <w:p w14:paraId="23040ADA" w14:textId="77777777" w:rsidR="00497B7D" w:rsidRPr="009B5102" w:rsidRDefault="00497B7D" w:rsidP="00346CA5">
      <w:pPr>
        <w:spacing w:after="0" w:line="360" w:lineRule="auto"/>
        <w:rPr>
          <w:rFonts w:ascii="Times New Roman" w:eastAsia="Calibri" w:hAnsi="Times New Roman" w:cs="Times New Roman"/>
          <w:sz w:val="24"/>
          <w:szCs w:val="24"/>
        </w:rPr>
      </w:pPr>
    </w:p>
    <w:p w14:paraId="6D211473" w14:textId="77777777" w:rsidR="00497B7D" w:rsidRPr="009B5102" w:rsidRDefault="00497B7D" w:rsidP="00346CA5">
      <w:pPr>
        <w:spacing w:after="0" w:line="360" w:lineRule="auto"/>
        <w:rPr>
          <w:rFonts w:ascii="Times New Roman" w:eastAsia="Calibri" w:hAnsi="Times New Roman" w:cs="Times New Roman"/>
          <w:sz w:val="24"/>
          <w:szCs w:val="24"/>
        </w:rPr>
      </w:pPr>
    </w:p>
    <w:p w14:paraId="291A7604" w14:textId="77777777" w:rsidR="00497B7D" w:rsidRPr="009B5102" w:rsidRDefault="00497B7D" w:rsidP="00346CA5">
      <w:pPr>
        <w:spacing w:after="0" w:line="360" w:lineRule="auto"/>
        <w:rPr>
          <w:rFonts w:ascii="Times New Roman" w:eastAsia="Calibri" w:hAnsi="Times New Roman" w:cs="Times New Roman"/>
          <w:sz w:val="24"/>
          <w:szCs w:val="24"/>
        </w:rPr>
      </w:pPr>
    </w:p>
    <w:p w14:paraId="772E4334" w14:textId="6676DB08" w:rsidR="00497B7D" w:rsidRPr="000E4BDB" w:rsidRDefault="00497B7D" w:rsidP="00951DE9">
      <w:pPr>
        <w:pStyle w:val="Heading6"/>
      </w:pPr>
      <w:bookmarkStart w:id="109" w:name="_Toc436608108"/>
      <w:bookmarkStart w:id="110" w:name="_Toc445120258"/>
      <w:r w:rsidRPr="000E4BDB">
        <w:t xml:space="preserve">Figure </w:t>
      </w:r>
      <w:r w:rsidR="00951DE9">
        <w:t>33</w:t>
      </w:r>
      <w:r w:rsidRPr="000E4BDB">
        <w:t xml:space="preserve">: Bank Hapo’alim’s micro-site on </w:t>
      </w:r>
      <w:r w:rsidRPr="000E4BDB">
        <w:rPr>
          <w:i/>
          <w:iCs/>
        </w:rPr>
        <w:t>Overdraft Family</w:t>
      </w:r>
      <w:r w:rsidRPr="000E4BDB">
        <w:t>’s website (third series).</w:t>
      </w:r>
      <w:bookmarkEnd w:id="109"/>
      <w:bookmarkEnd w:id="110"/>
    </w:p>
    <w:p w14:paraId="44D5143B" w14:textId="77777777" w:rsidR="00497B7D" w:rsidRDefault="00497B7D" w:rsidP="00346CA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D75FC77" w14:textId="77777777" w:rsidR="00497B7D" w:rsidRPr="009B5102" w:rsidRDefault="00497B7D" w:rsidP="00346CA5">
      <w:pPr>
        <w:spacing w:after="0" w:line="360" w:lineRule="auto"/>
        <w:rPr>
          <w:rFonts w:ascii="Times New Roman" w:eastAsia="Calibri" w:hAnsi="Times New Roman" w:cs="Times New Roman"/>
          <w:sz w:val="24"/>
          <w:szCs w:val="24"/>
          <w:rtl/>
        </w:rPr>
      </w:pPr>
    </w:p>
    <w:p w14:paraId="726343AF" w14:textId="77777777" w:rsidR="00497B7D" w:rsidRPr="009B5102" w:rsidRDefault="00497B7D" w:rsidP="00346CA5">
      <w:pPr>
        <w:spacing w:after="0" w:line="360" w:lineRule="auto"/>
        <w:rPr>
          <w:rFonts w:ascii="Times New Roman" w:eastAsia="Calibri" w:hAnsi="Times New Roman" w:cs="Times New Roman"/>
          <w:sz w:val="24"/>
          <w:szCs w:val="24"/>
          <w:rtl/>
        </w:rPr>
      </w:pPr>
    </w:p>
    <w:p w14:paraId="65288456" w14:textId="77777777" w:rsidR="00497B7D" w:rsidRPr="009B5102" w:rsidRDefault="00497B7D" w:rsidP="00346CA5">
      <w:pPr>
        <w:spacing w:after="0" w:line="360" w:lineRule="auto"/>
        <w:rPr>
          <w:rFonts w:ascii="Times New Roman" w:eastAsia="Calibri" w:hAnsi="Times New Roman" w:cs="Times New Roman"/>
          <w:sz w:val="24"/>
          <w:szCs w:val="24"/>
          <w:rtl/>
        </w:rPr>
      </w:pPr>
    </w:p>
    <w:p w14:paraId="5E69C982" w14:textId="77777777" w:rsidR="00497B7D" w:rsidRPr="009B5102" w:rsidRDefault="00497B7D" w:rsidP="00346CA5">
      <w:pPr>
        <w:spacing w:after="0" w:line="360" w:lineRule="auto"/>
        <w:rPr>
          <w:rFonts w:ascii="Times New Roman" w:eastAsia="Calibri" w:hAnsi="Times New Roman" w:cs="Times New Roman"/>
          <w:sz w:val="24"/>
          <w:szCs w:val="24"/>
          <w:rtl/>
        </w:rPr>
      </w:pPr>
      <w:r w:rsidRPr="009B5102">
        <w:rPr>
          <w:rFonts w:ascii="Times New Roman" w:eastAsia="Calibri" w:hAnsi="Times New Roman" w:cs="Times New Roman"/>
          <w:noProof/>
          <w:sz w:val="24"/>
          <w:szCs w:val="24"/>
          <w:rtl/>
          <w:lang w:eastAsia="en-GB"/>
        </w:rPr>
        <w:drawing>
          <wp:anchor distT="0" distB="0" distL="114300" distR="114300" simplePos="0" relativeHeight="251664384" behindDoc="0" locked="0" layoutInCell="1" allowOverlap="1" wp14:anchorId="3DE7D72B" wp14:editId="02364F16">
            <wp:simplePos x="0" y="0"/>
            <wp:positionH relativeFrom="column">
              <wp:posOffset>185468</wp:posOffset>
            </wp:positionH>
            <wp:positionV relativeFrom="paragraph">
              <wp:posOffset>-839554</wp:posOffset>
            </wp:positionV>
            <wp:extent cx="2924355" cy="2444765"/>
            <wp:effectExtent l="0" t="0" r="9525" b="0"/>
            <wp:wrapNone/>
            <wp:docPr id="64"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25750" cy="2445931"/>
                    </a:xfrm>
                    <a:prstGeom prst="rect">
                      <a:avLst/>
                    </a:prstGeom>
                    <a:noFill/>
                  </pic:spPr>
                </pic:pic>
              </a:graphicData>
            </a:graphic>
          </wp:anchor>
        </w:drawing>
      </w:r>
    </w:p>
    <w:p w14:paraId="1B645A25" w14:textId="77777777" w:rsidR="00497B7D" w:rsidRPr="009B5102" w:rsidRDefault="00497B7D" w:rsidP="00346CA5">
      <w:pPr>
        <w:spacing w:after="0" w:line="360" w:lineRule="auto"/>
        <w:rPr>
          <w:rFonts w:ascii="Times New Roman" w:eastAsia="Calibri" w:hAnsi="Times New Roman" w:cs="Times New Roman"/>
          <w:sz w:val="24"/>
          <w:szCs w:val="24"/>
          <w:rtl/>
        </w:rPr>
      </w:pPr>
    </w:p>
    <w:p w14:paraId="73E2EFB7" w14:textId="77777777" w:rsidR="00497B7D" w:rsidRPr="009B5102" w:rsidRDefault="00497B7D" w:rsidP="00346CA5">
      <w:pPr>
        <w:spacing w:after="0" w:line="360" w:lineRule="auto"/>
        <w:rPr>
          <w:rFonts w:ascii="Times New Roman" w:eastAsia="Calibri" w:hAnsi="Times New Roman" w:cs="Times New Roman"/>
          <w:sz w:val="24"/>
          <w:szCs w:val="24"/>
          <w:rtl/>
        </w:rPr>
      </w:pPr>
    </w:p>
    <w:p w14:paraId="64133B1C" w14:textId="77777777" w:rsidR="00497B7D" w:rsidRPr="009B5102" w:rsidRDefault="00497B7D" w:rsidP="00346CA5">
      <w:pPr>
        <w:spacing w:after="0" w:line="360" w:lineRule="auto"/>
        <w:rPr>
          <w:rFonts w:ascii="Times New Roman" w:eastAsia="Calibri" w:hAnsi="Times New Roman" w:cs="Times New Roman"/>
          <w:sz w:val="24"/>
          <w:szCs w:val="24"/>
        </w:rPr>
      </w:pPr>
    </w:p>
    <w:p w14:paraId="50CF9649" w14:textId="77777777" w:rsidR="00497B7D" w:rsidRPr="009B5102" w:rsidRDefault="00497B7D" w:rsidP="00346CA5">
      <w:pPr>
        <w:spacing w:after="0" w:line="360" w:lineRule="auto"/>
        <w:rPr>
          <w:rFonts w:ascii="Times New Roman" w:eastAsia="Calibri" w:hAnsi="Times New Roman" w:cs="Times New Roman"/>
          <w:sz w:val="24"/>
          <w:szCs w:val="24"/>
          <w:rtl/>
        </w:rPr>
      </w:pPr>
    </w:p>
    <w:p w14:paraId="46C544B0" w14:textId="77777777" w:rsidR="00497B7D" w:rsidRPr="009B5102" w:rsidRDefault="00497B7D" w:rsidP="00346CA5">
      <w:pPr>
        <w:spacing w:after="0" w:line="360" w:lineRule="auto"/>
        <w:rPr>
          <w:rFonts w:ascii="Times New Roman" w:eastAsia="Calibri" w:hAnsi="Times New Roman" w:cs="Times New Roman"/>
          <w:sz w:val="24"/>
          <w:szCs w:val="24"/>
          <w:rtl/>
        </w:rPr>
      </w:pPr>
    </w:p>
    <w:p w14:paraId="18E8E96F" w14:textId="77777777" w:rsidR="00497B7D" w:rsidRPr="009B5102" w:rsidRDefault="00497B7D" w:rsidP="00346CA5">
      <w:pPr>
        <w:spacing w:after="0" w:line="360" w:lineRule="auto"/>
        <w:rPr>
          <w:rFonts w:ascii="Times New Roman" w:eastAsia="Calibri" w:hAnsi="Times New Roman" w:cs="Times New Roman"/>
          <w:sz w:val="24"/>
          <w:szCs w:val="24"/>
          <w:rtl/>
        </w:rPr>
      </w:pPr>
    </w:p>
    <w:p w14:paraId="3A500477" w14:textId="78BDAD46" w:rsidR="00497B7D" w:rsidRPr="000E4BDB" w:rsidRDefault="00497B7D" w:rsidP="00951DE9">
      <w:pPr>
        <w:pStyle w:val="Heading6"/>
      </w:pPr>
      <w:bookmarkStart w:id="111" w:name="_Toc436608109"/>
      <w:bookmarkStart w:id="112" w:name="_Toc445120259"/>
      <w:r w:rsidRPr="000E4BDB">
        <w:t xml:space="preserve">Figure </w:t>
      </w:r>
      <w:r w:rsidR="00951DE9">
        <w:t>34</w:t>
      </w:r>
      <w:r w:rsidRPr="000E4BDB">
        <w:t xml:space="preserve">: Bank Hapo’alim’s micro-site on </w:t>
      </w:r>
      <w:r w:rsidRPr="000E4BDB">
        <w:rPr>
          <w:i/>
          <w:iCs/>
        </w:rPr>
        <w:t>Overdraft Family</w:t>
      </w:r>
      <w:r w:rsidRPr="000E4BDB">
        <w:t>’s website (third series): a page for sending details to participate in a competition to win a workshop for budget management in one of the bank’s branches (“Want to win a workshop for success in life?”).</w:t>
      </w:r>
      <w:bookmarkEnd w:id="111"/>
      <w:bookmarkEnd w:id="112"/>
    </w:p>
    <w:p w14:paraId="2AC82B77"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The micro-site also hosted the discussion forum around the programme. During the fourth series it was also agreed that Nurit Raz would be hosted twice on the programme’s forum at the end of the episode on television, as was done with the presenter Alon Gal</w:t>
      </w:r>
      <w:r>
        <w:rPr>
          <w:rFonts w:ascii="Times New Roman" w:eastAsia="Calibri" w:hAnsi="Times New Roman" w:cs="Times New Roman"/>
          <w:sz w:val="24"/>
          <w:szCs w:val="24"/>
        </w:rPr>
        <w:t xml:space="preserve"> (Bank Hapo’alim, 2010)</w:t>
      </w:r>
      <w:r w:rsidRPr="009B5102">
        <w:rPr>
          <w:rFonts w:ascii="Times New Roman" w:eastAsia="Calibri" w:hAnsi="Times New Roman" w:cs="Times New Roman"/>
          <w:sz w:val="24"/>
          <w:szCs w:val="24"/>
        </w:rPr>
        <w:t>. Thus, in the habitat the Bank wished to create, Raz was a co-presenter of the programme, an equal authority to the one Alon Gal represented to viewers. Hence symbolically, the ‘strategic’ presence becomes equivalent to the ‘communicative’ one.</w:t>
      </w:r>
    </w:p>
    <w:p w14:paraId="5C382CBA" w14:textId="77777777" w:rsidR="00497B7D" w:rsidRPr="009B5102" w:rsidRDefault="00497B7D" w:rsidP="00346CA5">
      <w:pPr>
        <w:spacing w:after="0" w:line="360" w:lineRule="auto"/>
        <w:rPr>
          <w:rFonts w:ascii="Times New Roman" w:eastAsia="Calibri" w:hAnsi="Times New Roman" w:cs="Times New Roman"/>
          <w:sz w:val="24"/>
          <w:szCs w:val="24"/>
          <w:rtl/>
        </w:rPr>
      </w:pPr>
    </w:p>
    <w:p w14:paraId="7218B3C2" w14:textId="1FAD61CC" w:rsidR="00497B7D" w:rsidRDefault="00497B7D" w:rsidP="00951DE9">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A similar model was implemented for Shufersal-Deal once the brand became a formal sponsor, during the fourth and fifth series of the programme</w:t>
      </w:r>
      <w:r w:rsidRPr="00B93D25">
        <w:rPr>
          <w:rStyle w:val="FootnoteReference"/>
        </w:rPr>
        <w:footnoteReference w:id="82"/>
      </w:r>
      <w:r w:rsidRPr="009B5102">
        <w:rPr>
          <w:rFonts w:ascii="Times New Roman" w:eastAsia="Calibri" w:hAnsi="Times New Roman" w:cs="Times New Roman"/>
          <w:sz w:val="24"/>
          <w:szCs w:val="24"/>
        </w:rPr>
        <w:t xml:space="preserve">. A micro-site for the brand was built around the programme’s website (see Figure </w:t>
      </w:r>
      <w:r w:rsidR="00951DE9">
        <w:rPr>
          <w:rFonts w:ascii="Times New Roman" w:eastAsia="Calibri" w:hAnsi="Times New Roman" w:cs="Times New Roman"/>
          <w:sz w:val="24"/>
          <w:szCs w:val="24"/>
        </w:rPr>
        <w:t>35</w:t>
      </w:r>
      <w:r w:rsidRPr="009B5102">
        <w:rPr>
          <w:rFonts w:ascii="Times New Roman" w:eastAsia="Calibri" w:hAnsi="Times New Roman" w:cs="Times New Roman"/>
          <w:sz w:val="24"/>
          <w:szCs w:val="24"/>
        </w:rPr>
        <w:t xml:space="preserve">) and it promoted messages about ‘smart shopping’ in the supermarket which mixed content related to the programme (and was, in itself, an outcome of the commercial deal) and the sponsor’s messages, including interactive activity. Users were asked to send their own tips for ‘smart shopping’, including personal details, in order to win a budget for shopping in Shufersal-Deal for a whole year (1000 shekels per month, approximately £160, over 12 months). They could also register online for a workshop by one of the coaches from Alon Gal’s company in a Shufersal-Deal branch. It should be noted that for a period of </w:t>
      </w:r>
      <w:r w:rsidRPr="009B5102">
        <w:rPr>
          <w:rFonts w:ascii="Times New Roman" w:eastAsia="Calibri" w:hAnsi="Times New Roman" w:cs="Times New Roman"/>
          <w:sz w:val="24"/>
          <w:szCs w:val="24"/>
        </w:rPr>
        <w:lastRenderedPageBreak/>
        <w:t xml:space="preserve">time, the programme’s website, with its commercial activity, appeared on Ynet’s domain - the leading news website in Israel - as part of an agreement for video content sharing between Reshet and Ynet. </w:t>
      </w:r>
    </w:p>
    <w:p w14:paraId="38B511AA" w14:textId="77777777" w:rsidR="00497B7D" w:rsidRPr="009B5102" w:rsidRDefault="00497B7D" w:rsidP="00346CA5">
      <w:pPr>
        <w:spacing w:after="0" w:line="360" w:lineRule="auto"/>
        <w:rPr>
          <w:rFonts w:ascii="Times New Roman" w:eastAsia="Calibri" w:hAnsi="Times New Roman" w:cs="Times New Roman"/>
          <w:sz w:val="24"/>
          <w:szCs w:val="24"/>
        </w:rPr>
      </w:pPr>
    </w:p>
    <w:p w14:paraId="157367B9"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noProof/>
          <w:sz w:val="24"/>
          <w:szCs w:val="24"/>
          <w:lang w:eastAsia="en-GB"/>
        </w:rPr>
        <w:drawing>
          <wp:inline distT="0" distB="0" distL="0" distR="0" wp14:anchorId="7884B6E3" wp14:editId="16690FA4">
            <wp:extent cx="4251960" cy="3703320"/>
            <wp:effectExtent l="0" t="0" r="0" b="0"/>
            <wp:docPr id="65" name="Picture 1" descr="הרשמה+לסדנא_בקרוב2b"/>
            <wp:cNvGraphicFramePr/>
            <a:graphic xmlns:a="http://schemas.openxmlformats.org/drawingml/2006/main">
              <a:graphicData uri="http://schemas.openxmlformats.org/drawingml/2006/picture">
                <pic:pic xmlns:pic="http://schemas.openxmlformats.org/drawingml/2006/picture">
                  <pic:nvPicPr>
                    <pic:cNvPr id="8195" name="Picture 13" descr="הרשמה+לסדנא_בקרוב2b"/>
                    <pic:cNvPicPr>
                      <a:picLocks noChangeAspect="1" noChangeArrowheads="1"/>
                    </pic:cNvPicPr>
                  </pic:nvPicPr>
                  <pic:blipFill>
                    <a:blip r:embed="rId57" cstate="print"/>
                    <a:srcRect/>
                    <a:stretch>
                      <a:fillRect/>
                    </a:stretch>
                  </pic:blipFill>
                  <pic:spPr bwMode="auto">
                    <a:xfrm>
                      <a:off x="0" y="0"/>
                      <a:ext cx="4252262" cy="3703583"/>
                    </a:xfrm>
                    <a:prstGeom prst="rect">
                      <a:avLst/>
                    </a:prstGeom>
                    <a:noFill/>
                    <a:ln w="9525">
                      <a:noFill/>
                      <a:miter lim="800000"/>
                      <a:headEnd/>
                      <a:tailEnd/>
                    </a:ln>
                  </pic:spPr>
                </pic:pic>
              </a:graphicData>
            </a:graphic>
          </wp:inline>
        </w:drawing>
      </w:r>
    </w:p>
    <w:p w14:paraId="075EEA32" w14:textId="598DA341" w:rsidR="00497B7D" w:rsidRPr="000E4BDB" w:rsidRDefault="00497B7D" w:rsidP="00951DE9">
      <w:pPr>
        <w:pStyle w:val="Heading6"/>
      </w:pPr>
      <w:bookmarkStart w:id="113" w:name="_Toc436608110"/>
      <w:bookmarkStart w:id="114" w:name="_Toc445120260"/>
      <w:r w:rsidRPr="000E4BDB">
        <w:t xml:space="preserve">Figure </w:t>
      </w:r>
      <w:r w:rsidR="00951DE9">
        <w:t>35</w:t>
      </w:r>
      <w:r w:rsidRPr="000E4BDB">
        <w:t xml:space="preserve">: Shufersal-Deal’s micro-site on the </w:t>
      </w:r>
      <w:r w:rsidRPr="000E4BDB">
        <w:rPr>
          <w:i/>
          <w:iCs/>
        </w:rPr>
        <w:t>Overdraft Family</w:t>
      </w:r>
      <w:r w:rsidRPr="000E4BDB">
        <w:t xml:space="preserve"> website (on Ynet’s domain): a page for sending details to participate in a workshop for ‘smart shopping’ in one of the supermarket’s branches (“Workshops for smart shopping in co-operation with Alon Gal”)</w:t>
      </w:r>
      <w:bookmarkEnd w:id="113"/>
      <w:bookmarkEnd w:id="114"/>
    </w:p>
    <w:p w14:paraId="5F4B264D" w14:textId="05CC4FD5"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‘branded content’ activity of both sponsors was then further extended into special sections on Ynet which were now presented as part of the journalistic content that the popular website offered. It should be mentioned that this was not the first time this had happened: the website has adopted this formula of sponsored sections in recent years (i.e. ‘native advertising’) as have other news websites in Israel, a practice that has been criticised for its lack of journalistic ethics </w:t>
      </w:r>
      <w:r w:rsidRPr="009B5102">
        <w:rPr>
          <w:rFonts w:ascii="Times New Roman" w:eastAsia="Calibri" w:hAnsi="Times New Roman" w:cs="Times New Roman"/>
          <w:noProof/>
          <w:sz w:val="24"/>
          <w:szCs w:val="24"/>
        </w:rPr>
        <w:t>(Balint, 2012, 12th of March; Persico, 2012, 12th of March)</w:t>
      </w:r>
      <w:r w:rsidRPr="009B5102">
        <w:rPr>
          <w:rFonts w:ascii="Times New Roman" w:eastAsia="Calibri" w:hAnsi="Times New Roman" w:cs="Times New Roman"/>
          <w:sz w:val="24"/>
          <w:szCs w:val="24"/>
        </w:rPr>
        <w:t>. In the “Family in growth” section on Ynet</w:t>
      </w:r>
      <w:r w:rsidRPr="00B93D25">
        <w:rPr>
          <w:rStyle w:val="FootnoteReference"/>
        </w:rPr>
        <w:footnoteReference w:id="83"/>
      </w:r>
      <w:r w:rsidRPr="009B5102">
        <w:rPr>
          <w:rFonts w:ascii="Times New Roman" w:eastAsia="Calibri" w:hAnsi="Times New Roman" w:cs="Times New Roman"/>
          <w:sz w:val="24"/>
          <w:szCs w:val="24"/>
        </w:rPr>
        <w:t xml:space="preserve"> sponsored by Bank Hapo’alim, a team of bankers advised and followed the stories of a number of families as they were trying to overcome their overdraft, in a similar way </w:t>
      </w:r>
      <w:r w:rsidR="00CE7D29">
        <w:rPr>
          <w:rFonts w:ascii="Times New Roman" w:eastAsia="Calibri" w:hAnsi="Times New Roman" w:cs="Times New Roman"/>
          <w:sz w:val="24"/>
          <w:szCs w:val="24"/>
        </w:rPr>
        <w:t xml:space="preserve">to how </w:t>
      </w:r>
      <w:r w:rsidRPr="009B5102">
        <w:rPr>
          <w:rFonts w:ascii="Times New Roman" w:eastAsia="Calibri" w:hAnsi="Times New Roman" w:cs="Times New Roman"/>
          <w:sz w:val="24"/>
          <w:szCs w:val="24"/>
        </w:rPr>
        <w:t xml:space="preserve">the </w:t>
      </w:r>
      <w:r w:rsidRPr="009B5102">
        <w:rPr>
          <w:rFonts w:ascii="Times New Roman" w:eastAsia="Calibri" w:hAnsi="Times New Roman" w:cs="Times New Roman"/>
          <w:sz w:val="24"/>
          <w:szCs w:val="24"/>
        </w:rPr>
        <w:lastRenderedPageBreak/>
        <w:t>original programme on television did. These stories were presented in videos and articles on the website. A sponsorship credit appeared on the main page and links to different financial tools by the bank were offered to users.</w:t>
      </w:r>
    </w:p>
    <w:p w14:paraId="61094345" w14:textId="77777777" w:rsidR="00497B7D" w:rsidRPr="009B5102" w:rsidRDefault="00497B7D" w:rsidP="00346CA5">
      <w:pPr>
        <w:spacing w:after="0" w:line="360" w:lineRule="auto"/>
        <w:rPr>
          <w:rFonts w:ascii="Times New Roman" w:eastAsia="Calibri" w:hAnsi="Times New Roman" w:cs="Times New Roman"/>
          <w:sz w:val="24"/>
          <w:szCs w:val="24"/>
        </w:rPr>
      </w:pPr>
    </w:p>
    <w:p w14:paraId="3B668C1A"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A section called “Smart Consumption” offered a blend of articles by Ynet’s reporters (presented as Ynet reporters in the byline) and advice by Alon Gal, as well as segments from the programme with Gal giving relevant tips. These appeared alongside banners by the sponsor and links to various tools and activities offered by Shufersal-Deal, such as an application for planning shopping in advance, tips by the sponsor, a survey on shopping habits and a map of the different branches of the brand</w:t>
      </w:r>
      <w:r w:rsidRPr="00B93D25">
        <w:rPr>
          <w:rStyle w:val="FootnoteReference"/>
        </w:rPr>
        <w:footnoteReference w:id="84"/>
      </w:r>
      <w:r w:rsidRPr="009B5102">
        <w:rPr>
          <w:rFonts w:ascii="Times New Roman" w:eastAsia="Calibri" w:hAnsi="Times New Roman" w:cs="Times New Roman"/>
          <w:sz w:val="24"/>
          <w:szCs w:val="24"/>
        </w:rPr>
        <w:t>. The whole section was designed according to the sponsor’s branding.</w:t>
      </w:r>
    </w:p>
    <w:p w14:paraId="681999B5" w14:textId="77777777" w:rsidR="00497B7D" w:rsidRPr="009B5102" w:rsidRDefault="00497B7D" w:rsidP="00346CA5">
      <w:pPr>
        <w:spacing w:after="0" w:line="360" w:lineRule="auto"/>
        <w:rPr>
          <w:rFonts w:ascii="Times New Roman" w:eastAsia="Calibri" w:hAnsi="Times New Roman" w:cs="Times New Roman"/>
          <w:sz w:val="24"/>
          <w:szCs w:val="24"/>
        </w:rPr>
      </w:pPr>
    </w:p>
    <w:p w14:paraId="392AB3E8"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Eyal Se’ada, who was responsible for this activity as part of the wider ‘branded content’ activity of Shufersal-Deal, explained his interest in Ynet: </w:t>
      </w:r>
    </w:p>
    <w:p w14:paraId="3644AE7D"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03E6B7C6" w14:textId="77777777" w:rsidR="00497B7D" w:rsidRPr="009B5102" w:rsidRDefault="00497B7D" w:rsidP="00346CA5">
      <w:pPr>
        <w:spacing w:after="0" w:line="360" w:lineRule="auto"/>
        <w:ind w:left="1310" w:right="1310"/>
        <w:jc w:val="both"/>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 was particularly interested in connecting to a news website, and Ynet has this news feel to it. So I suggested to Ynet a section that would be in co-operation with Shufersal. So this website, the articles it offers are written by the Ynet staff as well as by Alon Gal, and it is in my interest to be in this environment. It offers a blend of Ynet articles and tips by Alon Gal </w:t>
      </w:r>
      <w:r w:rsidRPr="009B5102">
        <w:rPr>
          <w:rFonts w:ascii="Times New Roman" w:eastAsia="Calibri" w:hAnsi="Times New Roman" w:cs="Times New Roman"/>
          <w:noProof/>
          <w:sz w:val="24"/>
          <w:szCs w:val="24"/>
        </w:rPr>
        <w:t>(Se'ada, 2011)</w:t>
      </w:r>
      <w:r w:rsidRPr="009B5102">
        <w:rPr>
          <w:rFonts w:ascii="Times New Roman" w:eastAsia="Calibri" w:hAnsi="Times New Roman" w:cs="Times New Roman"/>
          <w:sz w:val="24"/>
          <w:szCs w:val="24"/>
        </w:rPr>
        <w:t xml:space="preserve">. </w:t>
      </w:r>
    </w:p>
    <w:p w14:paraId="4524C98C" w14:textId="77777777" w:rsidR="00497B7D" w:rsidRPr="009B5102" w:rsidRDefault="00497B7D" w:rsidP="00346CA5">
      <w:pPr>
        <w:spacing w:after="0" w:line="360" w:lineRule="auto"/>
        <w:rPr>
          <w:rFonts w:ascii="Times New Roman" w:eastAsia="Calibri" w:hAnsi="Times New Roman" w:cs="Times New Roman"/>
          <w:sz w:val="24"/>
          <w:szCs w:val="24"/>
        </w:rPr>
      </w:pPr>
    </w:p>
    <w:p w14:paraId="2F54D68E"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case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demonstrates the fluid nature of embedded branding activity on the Internet, its power to expand into digital space and to rapidly change long-standing ethical norms. What started as a formal sponsorship deal of a reality-based programme in a strictly regulated environment (television) quickly became a space for innovative techniques and gimmicks (on the Internet) that broke the previously existing separation between content and advertising and created an environment in which blurring occurs through both design and content. Users are being shifted smoothly and unknowingly between the two. These practices </w:t>
      </w:r>
      <w:r w:rsidRPr="009B5102">
        <w:rPr>
          <w:rFonts w:ascii="Times New Roman" w:eastAsia="Calibri" w:hAnsi="Times New Roman" w:cs="Times New Roman"/>
          <w:sz w:val="24"/>
          <w:szCs w:val="24"/>
        </w:rPr>
        <w:lastRenderedPageBreak/>
        <w:t xml:space="preserve">then extended to a leading news website, which seemed to abandon the normative ‘church’ and ‘state’ separation of the print media in favour of the commercial opportunities the online environment has to offer. </w:t>
      </w:r>
    </w:p>
    <w:p w14:paraId="64B7BF21"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     </w:t>
      </w:r>
    </w:p>
    <w:p w14:paraId="782C4201" w14:textId="77777777" w:rsidR="00497B7D" w:rsidRPr="009B5102" w:rsidRDefault="00497B7D" w:rsidP="00346CA5">
      <w:pPr>
        <w:pStyle w:val="Heading2"/>
      </w:pPr>
      <w:bookmarkStart w:id="115" w:name="_Toc445202701"/>
      <w:r w:rsidRPr="009B5102">
        <w:t>Summary</w:t>
      </w:r>
      <w:bookmarkEnd w:id="115"/>
    </w:p>
    <w:p w14:paraId="54ED2B94"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 have outlined in this chapter the ways in which sponsorship agreements stretch beyond sponsorship on television. I have suggested that this extension creates for viewers an experience of continuous exposure to an environment in which the brand and the programme are conjoined and become effectively inseparable. By ‘continuous integration’ I refer first and foremost, to the experience constructed for audiences (jointly by marketers and broadcasters) aimed at shifting them between advertising and content and at the same time, between different platforms (television to other platforms, e.g. the Internet, radio, print, mobile devices and so on) in a smooth way that erodes previously accepted distinctions between editorial content and commercial messages. The final outcome is an embracing, all-encompassing environment, created intentionally through multiple meeting points, in which the brand and the programme are presented as sharing a ‘common mission’, a shared set of values. In this environment previous distinction between the two sides seem to blur. Along this journey, audiences are gradually moved from an environment that is chiefly editorial (i.e. the programme) to an environment that is largely commercial (for example a brand’s micro-site on the Internet or an event by the sponsor under the premise of the programme). At the same time, they are often shifted from a mediated experience (television) to a personalised experience (interaction with the sponsor online) and ultimately to a ‘real’ interaction with the brand and the programme in a ‘real world’ event.     </w:t>
      </w:r>
    </w:p>
    <w:p w14:paraId="29ADB97D" w14:textId="77777777" w:rsidR="00497B7D" w:rsidRPr="009B5102" w:rsidRDefault="00497B7D" w:rsidP="00346CA5">
      <w:pPr>
        <w:spacing w:after="0" w:line="360" w:lineRule="auto"/>
        <w:rPr>
          <w:rFonts w:ascii="Times New Roman" w:eastAsia="Calibri" w:hAnsi="Times New Roman" w:cs="Times New Roman"/>
          <w:sz w:val="24"/>
          <w:szCs w:val="24"/>
        </w:rPr>
      </w:pPr>
    </w:p>
    <w:p w14:paraId="08B1B965" w14:textId="10E1E21B"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To illustrate this argument I have shown, first, how on television, formal commercial tools such as sponsorship credits and commercial vignettes are used to blur the line between the brand’s messages and the programme, which results in short clips that are effectively commercials but rely on the programme’s premise or ‘values’ - a hybrid form somewhere between advertising and programming. Although regulators in the UK and Israel invest serious efforts in creating rules to separate advertising and programming, marketers use various </w:t>
      </w:r>
      <w:r w:rsidR="00A177FE">
        <w:rPr>
          <w:rFonts w:ascii="Times New Roman" w:eastAsia="Calibri" w:hAnsi="Times New Roman" w:cs="Times New Roman"/>
          <w:sz w:val="24"/>
          <w:szCs w:val="24"/>
        </w:rPr>
        <w:t>audiovisual</w:t>
      </w:r>
      <w:r w:rsidRPr="009B5102">
        <w:rPr>
          <w:rFonts w:ascii="Times New Roman" w:eastAsia="Calibri" w:hAnsi="Times New Roman" w:cs="Times New Roman"/>
          <w:sz w:val="24"/>
          <w:szCs w:val="24"/>
        </w:rPr>
        <w:t xml:space="preserve"> means to overcome </w:t>
      </w:r>
      <w:r w:rsidRPr="009B5102">
        <w:rPr>
          <w:rFonts w:ascii="Times New Roman" w:eastAsia="Calibri" w:hAnsi="Times New Roman" w:cs="Times New Roman"/>
          <w:sz w:val="24"/>
          <w:szCs w:val="24"/>
        </w:rPr>
        <w:lastRenderedPageBreak/>
        <w:t xml:space="preserve">these limitations. The end result is that viewers are exposed to a continuous stream of messages that are commercialised to a lesser or greater extent – from advertisements (that are easily recognised as purely commercial) through sponsorship credits or commercial vignettes (that are advertisements anchored in programming) to programming (which can also, as I have shown in the previous chapter, become saturated with commercial influence). </w:t>
      </w:r>
    </w:p>
    <w:p w14:paraId="25220806" w14:textId="77777777" w:rsidR="00497B7D" w:rsidRPr="009B5102" w:rsidRDefault="00497B7D" w:rsidP="00346CA5">
      <w:pPr>
        <w:spacing w:after="0" w:line="360" w:lineRule="auto"/>
        <w:rPr>
          <w:rFonts w:ascii="Times New Roman" w:eastAsia="Calibri" w:hAnsi="Times New Roman" w:cs="Times New Roman"/>
          <w:sz w:val="24"/>
          <w:szCs w:val="24"/>
        </w:rPr>
      </w:pPr>
    </w:p>
    <w:p w14:paraId="259A87BA"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I have then shown how integration on television serves as a starting point for extending these commercial co-operation agreements to other platforms, thus creating a joint presence of the brand and the programme across multiple meeting points, either through the media, or in the ‘real’ world. For example, the co-operation between Dove and </w:t>
      </w:r>
      <w:r w:rsidRPr="009B5102">
        <w:rPr>
          <w:rFonts w:ascii="Times New Roman" w:eastAsia="Calibri" w:hAnsi="Times New Roman" w:cs="Times New Roman"/>
          <w:i/>
          <w:iCs/>
          <w:sz w:val="24"/>
          <w:szCs w:val="24"/>
        </w:rPr>
        <w:t xml:space="preserve">HTLGN </w:t>
      </w:r>
      <w:r w:rsidRPr="009B5102">
        <w:rPr>
          <w:rFonts w:ascii="Times New Roman" w:eastAsia="Calibri" w:hAnsi="Times New Roman" w:cs="Times New Roman"/>
          <w:sz w:val="24"/>
          <w:szCs w:val="24"/>
        </w:rPr>
        <w:t xml:space="preserve">was extended to the programme’s website, advertorials by Dove in print magazines and also to live events. The case of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provides an even richer example for the cross-platform orientation of embedded branding deals: the joint presence of the format and its sponsors was extended to the programme’s website, a radio programme, print supplements, one sponsor’s bulletin, special sections on a popular news website and finally – non-mediated events at the sponsor’s own locations (the bank’s branches and the supermarket’s branches). In this case, the presenter of the programme played a significant role, as he became a personification of the format and the values it represented, and at the same time turned himself into an independent entrepreneur, a third side to what then became a business triangle of sponsors-broadcaster-presenter.</w:t>
      </w:r>
    </w:p>
    <w:p w14:paraId="3455B13B" w14:textId="77777777" w:rsidR="00497B7D" w:rsidRPr="009B5102" w:rsidRDefault="00497B7D" w:rsidP="00346CA5">
      <w:pPr>
        <w:spacing w:after="0" w:line="360" w:lineRule="auto"/>
        <w:rPr>
          <w:rFonts w:ascii="Times New Roman" w:eastAsia="Calibri" w:hAnsi="Times New Roman" w:cs="Times New Roman"/>
          <w:sz w:val="24"/>
          <w:szCs w:val="24"/>
        </w:rPr>
      </w:pPr>
    </w:p>
    <w:p w14:paraId="567CE2EC"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The ethical implications of this emerging model will be further discussed in the next chapter, but from a practical point of view, it is clear that embedded branding deals aim to serve the needs of both producers and marketers in a fragmented, multiple-platform environment. Producers can secure a funding model for content that is produced for different platforms and therefore do not need to rely only on their success in attracting advertising in each platform independently. Marketers, on their part, guarantee themselves access to a relevant target audience, across different platforms, as well as a proximity to an environment which matches the brand’s values and promotes messages that are in concordance to those the brand wishes to promote. Furthermore, the multi-platform model creates an embracing presence to which audiences are exposed, which helps ‘naturalise’ the commercial co-operation in the public eye, as if </w:t>
      </w:r>
      <w:r w:rsidRPr="009B5102">
        <w:rPr>
          <w:rFonts w:ascii="Times New Roman" w:eastAsia="Calibri" w:hAnsi="Times New Roman" w:cs="Times New Roman"/>
          <w:i/>
          <w:iCs/>
          <w:sz w:val="24"/>
          <w:szCs w:val="24"/>
        </w:rPr>
        <w:t>HTLGN</w:t>
      </w:r>
      <w:r w:rsidRPr="009B5102">
        <w:rPr>
          <w:rFonts w:ascii="Times New Roman" w:eastAsia="Calibri" w:hAnsi="Times New Roman" w:cs="Times New Roman"/>
          <w:sz w:val="24"/>
          <w:szCs w:val="24"/>
        </w:rPr>
        <w:t xml:space="preserve"> </w:t>
      </w:r>
      <w:r w:rsidRPr="009B5102">
        <w:rPr>
          <w:rFonts w:ascii="Times New Roman" w:eastAsia="Calibri" w:hAnsi="Times New Roman" w:cs="Times New Roman"/>
          <w:sz w:val="24"/>
          <w:szCs w:val="24"/>
        </w:rPr>
        <w:lastRenderedPageBreak/>
        <w:t xml:space="preserve">and Dove could not be anything else but synonymous, and </w:t>
      </w:r>
      <w:r w:rsidRPr="009B5102">
        <w:rPr>
          <w:rFonts w:ascii="Times New Roman" w:eastAsia="Calibri" w:hAnsi="Times New Roman" w:cs="Times New Roman"/>
          <w:i/>
          <w:iCs/>
          <w:sz w:val="24"/>
          <w:szCs w:val="24"/>
        </w:rPr>
        <w:t>Overdraft Family</w:t>
      </w:r>
      <w:r w:rsidRPr="009B5102">
        <w:rPr>
          <w:rFonts w:ascii="Times New Roman" w:eastAsia="Calibri" w:hAnsi="Times New Roman" w:cs="Times New Roman"/>
          <w:sz w:val="24"/>
          <w:szCs w:val="24"/>
        </w:rPr>
        <w:t xml:space="preserve"> was a ‘natural match’ with that specific bank or supermarket chain.    </w:t>
      </w:r>
    </w:p>
    <w:p w14:paraId="101A644F" w14:textId="77777777" w:rsidR="00497B7D" w:rsidRPr="009B5102" w:rsidRDefault="00497B7D" w:rsidP="00346CA5">
      <w:pPr>
        <w:spacing w:after="0" w:line="360" w:lineRule="auto"/>
        <w:rPr>
          <w:rFonts w:ascii="Times New Roman" w:eastAsia="Calibri" w:hAnsi="Times New Roman" w:cs="Times New Roman"/>
          <w:sz w:val="24"/>
          <w:szCs w:val="24"/>
        </w:rPr>
      </w:pPr>
    </w:p>
    <w:p w14:paraId="5F86E5BE"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Among the different platforms, the Internet is the most important and interesting one, as it opens the way for further blurring between communicative messages and strategic ones (Habermas, 1984). By relying on the Internet as a relatively unregulated space, as well as on its characteristics as a non-linear medium, marketers (together with broadcasters) dismantle the categorisations used in old media regulation based on time and space (mainly the familiar advertising/programming categorisation), and use the new media environment to further blur the line between editorial content and commercial messages.</w:t>
      </w:r>
    </w:p>
    <w:p w14:paraId="552888F5" w14:textId="77777777" w:rsidR="00497B7D" w:rsidRPr="009B5102" w:rsidRDefault="00497B7D" w:rsidP="00346CA5">
      <w:pPr>
        <w:spacing w:after="0" w:line="360" w:lineRule="auto"/>
        <w:rPr>
          <w:rFonts w:ascii="Times New Roman" w:eastAsia="Calibri" w:hAnsi="Times New Roman" w:cs="Times New Roman"/>
          <w:sz w:val="24"/>
          <w:szCs w:val="24"/>
        </w:rPr>
      </w:pPr>
    </w:p>
    <w:p w14:paraId="0F1AFE2B"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In this environment, not only are users smoothly shifted between editorial content into direct and personal interaction with the brand, but marketers can also encourage users to send personal data for the purpose of establishing an ongoing relationship with the relevant target audience. Thus ‘continuous integration’ opens up avenues for ongoing commercial relationships with, and exploitation of, the audience as market.</w:t>
      </w:r>
    </w:p>
    <w:p w14:paraId="19955EF6" w14:textId="77777777" w:rsidR="00497B7D" w:rsidRPr="009B5102" w:rsidRDefault="00497B7D" w:rsidP="00346CA5">
      <w:pPr>
        <w:spacing w:after="0" w:line="360" w:lineRule="auto"/>
        <w:rPr>
          <w:rFonts w:ascii="Times New Roman" w:eastAsia="Calibri" w:hAnsi="Times New Roman" w:cs="Times New Roman"/>
          <w:sz w:val="24"/>
          <w:szCs w:val="24"/>
        </w:rPr>
      </w:pPr>
    </w:p>
    <w:p w14:paraId="1268C4B5" w14:textId="58F2421B" w:rsidR="00497B7D" w:rsidRPr="009B5102" w:rsidRDefault="00497B7D" w:rsidP="00CD1F9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Furthermore, the two case studies demonstrate how brands wish to extend the matching with the programme into non-mediated events in the ‘real’ world, in which they can contact consumers and provide them with direct experience of the brand (such as “Try our anti-aging products”, “Come to our branch” and so forth). </w:t>
      </w:r>
    </w:p>
    <w:p w14:paraId="584F1637" w14:textId="77777777" w:rsidR="00497B7D" w:rsidRPr="009B5102" w:rsidRDefault="00497B7D" w:rsidP="00346CA5">
      <w:pPr>
        <w:spacing w:after="0" w:line="360" w:lineRule="auto"/>
        <w:rPr>
          <w:rFonts w:ascii="Times New Roman" w:eastAsia="Calibri" w:hAnsi="Times New Roman" w:cs="Times New Roman"/>
          <w:sz w:val="24"/>
          <w:szCs w:val="24"/>
        </w:rPr>
      </w:pPr>
    </w:p>
    <w:p w14:paraId="6D141A3D"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As the process I described reveals, in the shift from television to other platforms brands push for a change in the perceived relationship with the programme. This was expressed for example, in the move from the title ‘sponsors’ to the title ‘partners’, as branded content agents emphasised in both case studies, a title which signifies symmetrical relations between content producers and their commercial sponsors, in which both sides are invested in a common mission to promote a joint set of values.</w:t>
      </w:r>
    </w:p>
    <w:p w14:paraId="373F8355" w14:textId="77777777" w:rsidR="00497B7D" w:rsidRPr="009B5102" w:rsidRDefault="00497B7D" w:rsidP="00346CA5">
      <w:pPr>
        <w:spacing w:after="0" w:line="360" w:lineRule="auto"/>
        <w:rPr>
          <w:rFonts w:ascii="Times New Roman" w:eastAsia="Calibri" w:hAnsi="Times New Roman" w:cs="Times New Roman"/>
          <w:sz w:val="24"/>
          <w:szCs w:val="24"/>
        </w:rPr>
      </w:pPr>
    </w:p>
    <w:p w14:paraId="1A9E2062" w14:textId="77777777" w:rsidR="00497B7D" w:rsidRPr="009B5102" w:rsidRDefault="00497B7D" w:rsidP="00346CA5">
      <w:pPr>
        <w:spacing w:after="0"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t xml:space="preserve">But in practice, the process that audiences go through is very different. The extension of these commercial agreements beyond television contributes to the creation of an intensively </w:t>
      </w:r>
      <w:r w:rsidRPr="009B5102">
        <w:rPr>
          <w:rFonts w:ascii="Times New Roman" w:eastAsia="Calibri" w:hAnsi="Times New Roman" w:cs="Times New Roman"/>
          <w:sz w:val="24"/>
          <w:szCs w:val="24"/>
        </w:rPr>
        <w:lastRenderedPageBreak/>
        <w:t>commercialised environment in which what seems to be a communicative action actually becomes more and more strategic, personalised and closely controlled by the brand. And so, viewers of a popular and likeable television programme quickly find themselves in a commercial micro-site by the sponsor or, if they follow the track, as participants in a branded event that was carefully designed for direct marketing purposes.</w:t>
      </w:r>
    </w:p>
    <w:p w14:paraId="3F4D1489" w14:textId="77777777" w:rsidR="00497B7D" w:rsidRPr="009B5102" w:rsidRDefault="00497B7D" w:rsidP="00346CA5">
      <w:pPr>
        <w:spacing w:after="0" w:line="360" w:lineRule="auto"/>
        <w:rPr>
          <w:rFonts w:ascii="Times New Roman" w:eastAsia="Calibri" w:hAnsi="Times New Roman" w:cs="Times New Roman"/>
          <w:sz w:val="24"/>
          <w:szCs w:val="24"/>
        </w:rPr>
      </w:pPr>
    </w:p>
    <w:p w14:paraId="0B19A9CF" w14:textId="77777777" w:rsidR="00497B7D" w:rsidRPr="009B5102" w:rsidRDefault="00497B7D" w:rsidP="00346CA5">
      <w:pPr>
        <w:spacing w:after="0" w:line="360" w:lineRule="auto"/>
        <w:rPr>
          <w:rFonts w:ascii="Times New Roman" w:eastAsia="Calibri" w:hAnsi="Times New Roman" w:cs="Times New Roman"/>
          <w:sz w:val="24"/>
          <w:szCs w:val="24"/>
        </w:rPr>
      </w:pPr>
    </w:p>
    <w:p w14:paraId="72941C19" w14:textId="77777777" w:rsidR="00497B7D" w:rsidRPr="009B5102" w:rsidRDefault="00497B7D" w:rsidP="00346CA5">
      <w:pPr>
        <w:spacing w:after="0" w:line="360" w:lineRule="auto"/>
        <w:rPr>
          <w:rFonts w:ascii="Times New Roman" w:eastAsia="Calibri" w:hAnsi="Times New Roman" w:cs="Times New Roman"/>
          <w:sz w:val="24"/>
          <w:szCs w:val="24"/>
        </w:rPr>
      </w:pPr>
    </w:p>
    <w:p w14:paraId="3706EA3C" w14:textId="77777777" w:rsidR="00497B7D" w:rsidRPr="009B5102" w:rsidRDefault="00497B7D" w:rsidP="00346CA5">
      <w:pPr>
        <w:rPr>
          <w:rFonts w:ascii="Times New Roman" w:eastAsia="Calibri" w:hAnsi="Times New Roman" w:cs="Times New Roman"/>
          <w:sz w:val="24"/>
          <w:szCs w:val="24"/>
        </w:rPr>
      </w:pPr>
      <w:r w:rsidRPr="009B5102">
        <w:rPr>
          <w:rFonts w:ascii="Times New Roman" w:eastAsia="Calibri" w:hAnsi="Times New Roman" w:cs="Times New Roman"/>
          <w:sz w:val="24"/>
          <w:szCs w:val="24"/>
        </w:rPr>
        <w:br w:type="page"/>
      </w:r>
    </w:p>
    <w:p w14:paraId="0E73A607" w14:textId="77777777" w:rsidR="00497B7D" w:rsidRPr="009B5102" w:rsidRDefault="00497B7D" w:rsidP="00346CA5">
      <w:pPr>
        <w:pStyle w:val="Heading1"/>
      </w:pPr>
      <w:bookmarkStart w:id="116" w:name="_Toc445202713"/>
      <w:r w:rsidRPr="009B5102">
        <w:lastRenderedPageBreak/>
        <w:t>Conclusions</w:t>
      </w:r>
      <w:bookmarkEnd w:id="116"/>
    </w:p>
    <w:p w14:paraId="05B509C0" w14:textId="495DF693" w:rsidR="00497B7D" w:rsidRPr="005110DC" w:rsidRDefault="00497B7D" w:rsidP="00346CA5">
      <w:pPr>
        <w:rPr>
          <w:rFonts w:ascii="Times New Roman" w:eastAsia="Calibri" w:hAnsi="Times New Roman" w:cs="Times New Roman"/>
          <w:sz w:val="24"/>
          <w:szCs w:val="24"/>
        </w:rPr>
      </w:pPr>
    </w:p>
    <w:p w14:paraId="0D43CEDD" w14:textId="77777777" w:rsidR="00497B7D" w:rsidRPr="009B5102" w:rsidRDefault="00497B7D" w:rsidP="00346CA5">
      <w:pPr>
        <w:pStyle w:val="Heading2"/>
      </w:pPr>
      <w:bookmarkStart w:id="117" w:name="_Toc445202714"/>
      <w:r w:rsidRPr="009B5102">
        <w:t>Research Topic and Research Questions</w:t>
      </w:r>
      <w:bookmarkEnd w:id="117"/>
    </w:p>
    <w:p w14:paraId="7D63AC07" w14:textId="77777777" w:rsidR="00497B7D" w:rsidRPr="005110DC" w:rsidRDefault="00497B7D" w:rsidP="00346CA5">
      <w:pPr>
        <w:spacing w:line="360" w:lineRule="auto"/>
        <w:jc w:val="both"/>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rPr>
        <w:t xml:space="preserve">The objective of this thesis has been to understand how the commercial funding of content influences the public role of the media, i.e. its implications for the creation and maintenance of a public sphere (Habermas, 1989). The research focused on a funding model which professionals in the media and marketing fields call ‘branded content’ and also, in the last couple of years, ‘native advertising’. These general labels refer to the model of commercial funding which is oriented towards integrating sponsors within content. I refer to it as ‘embedded branding’ and define it as follows: the </w:t>
      </w:r>
      <w:r w:rsidRPr="005110DC">
        <w:rPr>
          <w:rFonts w:ascii="Times New Roman" w:eastAsia="Calibri" w:hAnsi="Times New Roman" w:cs="Times New Roman"/>
          <w:sz w:val="24"/>
          <w:szCs w:val="24"/>
          <w:lang w:bidi="ar-SA"/>
        </w:rPr>
        <w:t>integration of a commercial entity, or any other entity which is not the producer, broadcaster or distributer, into media content, on the basis of material return, and without identifying it as advertising.</w:t>
      </w:r>
    </w:p>
    <w:p w14:paraId="73CB8E23" w14:textId="77777777" w:rsidR="00497B7D" w:rsidRPr="005110DC" w:rsidRDefault="00497B7D" w:rsidP="00346CA5">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rPr>
        <w:t xml:space="preserve">Since the early 2000s, embedded branding, or - ‘branded content’, has become a rising trend and a thriving market in the field of commercial media in many countries </w:t>
      </w:r>
      <w:r w:rsidRPr="005110DC">
        <w:rPr>
          <w:rFonts w:ascii="Times New Roman" w:eastAsia="Calibri" w:hAnsi="Times New Roman" w:cs="Times New Roman"/>
          <w:noProof/>
          <w:sz w:val="24"/>
          <w:szCs w:val="24"/>
        </w:rPr>
        <w:t>(Quinn &amp; Kivijarv, 2005, 2006, 2008, 2010, 2012, 2015)</w:t>
      </w:r>
      <w:r w:rsidRPr="005110DC">
        <w:rPr>
          <w:rFonts w:ascii="Times New Roman" w:eastAsia="Calibri" w:hAnsi="Times New Roman" w:cs="Times New Roman"/>
          <w:sz w:val="24"/>
          <w:szCs w:val="24"/>
        </w:rPr>
        <w:t xml:space="preserve"> </w:t>
      </w:r>
    </w:p>
    <w:p w14:paraId="6318CFD2"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noProof/>
          <w:sz w:val="24"/>
          <w:szCs w:val="24"/>
        </w:rPr>
        <w:t xml:space="preserve">My choice of the term </w:t>
      </w:r>
      <w:r w:rsidRPr="005110DC">
        <w:rPr>
          <w:rFonts w:ascii="Times New Roman" w:eastAsia="Calibri" w:hAnsi="Times New Roman" w:cs="Times New Roman"/>
          <w:sz w:val="24"/>
          <w:szCs w:val="24"/>
        </w:rPr>
        <w:t>embedded</w:t>
      </w:r>
      <w:r w:rsidRPr="005110DC">
        <w:rPr>
          <w:rFonts w:ascii="Times New Roman" w:eastAsia="Calibri" w:hAnsi="Times New Roman" w:cs="Times New Roman"/>
          <w:noProof/>
          <w:sz w:val="24"/>
          <w:szCs w:val="24"/>
        </w:rPr>
        <w:t xml:space="preserve"> branding </w:t>
      </w:r>
      <w:r w:rsidRPr="005110DC">
        <w:rPr>
          <w:rFonts w:ascii="Times New Roman" w:eastAsia="Calibri" w:hAnsi="Times New Roman" w:cs="Times New Roman"/>
          <w:sz w:val="24"/>
          <w:szCs w:val="24"/>
          <w:lang w:bidi="ar-SA"/>
        </w:rPr>
        <w:t xml:space="preserve">throughout this thesis </w:t>
      </w:r>
      <w:r w:rsidRPr="005110DC">
        <w:rPr>
          <w:rFonts w:ascii="Times New Roman" w:eastAsia="Calibri" w:hAnsi="Times New Roman" w:cs="Times New Roman"/>
          <w:noProof/>
          <w:sz w:val="24"/>
          <w:szCs w:val="24"/>
        </w:rPr>
        <w:t xml:space="preserve">is not </w:t>
      </w:r>
      <w:r w:rsidRPr="005110DC">
        <w:rPr>
          <w:rFonts w:ascii="Times New Roman" w:eastAsia="Calibri" w:hAnsi="Times New Roman" w:cs="Times New Roman"/>
          <w:sz w:val="24"/>
          <w:szCs w:val="24"/>
        </w:rPr>
        <w:t>incidental</w:t>
      </w:r>
      <w:r w:rsidRPr="005110DC">
        <w:rPr>
          <w:rFonts w:ascii="Times New Roman" w:eastAsia="Calibri" w:hAnsi="Times New Roman" w:cs="Times New Roman"/>
          <w:noProof/>
          <w:sz w:val="24"/>
          <w:szCs w:val="24"/>
        </w:rPr>
        <w:t xml:space="preserve">. </w:t>
      </w:r>
      <w:r w:rsidRPr="005110DC">
        <w:rPr>
          <w:rFonts w:ascii="Times New Roman" w:eastAsia="Calibri" w:hAnsi="Times New Roman" w:cs="Times New Roman"/>
          <w:sz w:val="24"/>
          <w:szCs w:val="24"/>
          <w:lang w:bidi="ar-SA"/>
        </w:rPr>
        <w:t>The</w:t>
      </w:r>
      <w:r w:rsidRPr="005110DC">
        <w:rPr>
          <w:rFonts w:ascii="Times New Roman" w:eastAsia="Calibri" w:hAnsi="Times New Roman" w:cs="Times New Roman"/>
          <w:sz w:val="24"/>
          <w:szCs w:val="24"/>
        </w:rPr>
        <w:t xml:space="preserve"> term deliberately distances itself from the industry’s own terminology and suggests a more critical point of view to this funding model. By preferring this name over the one commonly used in the industry, I wished to emphasise that from a normative perspective, the two notions of ‘content’ and ‘brand’/’branding’ are not only qualitatively different but, in fact, are in inherent conflict. While the label ‘branded content’ is oriented towards blurring this difference in the public eye, normalising their conjunction and masking any tension or contradiction between the two words, the term embedded branding is oriented towards emphasising the surreptitious nature of these commercial deals as well as the central role that brands play in this field.</w:t>
      </w:r>
      <w:r w:rsidRPr="005110DC">
        <w:rPr>
          <w:rFonts w:ascii="Times New Roman" w:eastAsia="Calibri" w:hAnsi="Times New Roman" w:cs="Times New Roman"/>
          <w:sz w:val="24"/>
          <w:szCs w:val="24"/>
          <w:rtl/>
        </w:rPr>
        <w:t xml:space="preserve"> </w:t>
      </w:r>
      <w:r w:rsidRPr="005110DC">
        <w:rPr>
          <w:rFonts w:ascii="Times New Roman" w:eastAsia="Calibri" w:hAnsi="Times New Roman" w:cs="Times New Roman"/>
          <w:sz w:val="24"/>
          <w:szCs w:val="24"/>
        </w:rPr>
        <w:t xml:space="preserve">To put it simply, I argue that media content, as traditionally understood, should not be ‘branded’. It is a contradiction in terms. </w:t>
      </w:r>
    </w:p>
    <w:p w14:paraId="49E995E9"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lastRenderedPageBreak/>
        <w:t xml:space="preserve">Three questions were set at the centre of my examination of ‘branded content’ and its influence on public discourse: </w:t>
      </w:r>
    </w:p>
    <w:p w14:paraId="2128F7B1"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To begin with, I wished to explore how this market, which tends to be hidden from the public eye and often operates in the grey zone of legality and ethics, actually operates. This was a challenging mission as the actors in this market have little interest in making their actions transparent. This field, in general, is difficult to penetrate and investigate and I therefore set myself a significant methodological challenge by asking this question. </w:t>
      </w:r>
    </w:p>
    <w:p w14:paraId="3BB3184B"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Second, I asked, in light of the new data I presented, whether the market of ‘branded content’ should be considered as a new phase in the commercialisation of media content. Is embedded branding just a continuation of a long and familiar tradition of product placement and sponsorship, or is it essentially different from what we have known before? And if the latter is true, what are the characteristics of this novel phase? </w:t>
      </w:r>
    </w:p>
    <w:p w14:paraId="60B7CAAA" w14:textId="2A9CDA43" w:rsidR="00497B7D" w:rsidRPr="005110DC" w:rsidRDefault="00497B7D" w:rsidP="007F21CA">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My third question was a normative one and was actually my incentive for starting this exploration in the first place. I wished to dissect the influence of these practices of commercialisation on the functioning of the public sphere</w:t>
      </w:r>
      <w:r w:rsidR="00C73F52">
        <w:rPr>
          <w:rFonts w:ascii="Times New Roman" w:eastAsia="Calibri" w:hAnsi="Times New Roman" w:cs="Times New Roman"/>
          <w:sz w:val="24"/>
          <w:szCs w:val="24"/>
        </w:rPr>
        <w:t xml:space="preserve"> and consequently</w:t>
      </w:r>
      <w:r w:rsidR="007F21CA">
        <w:rPr>
          <w:rFonts w:ascii="Times New Roman" w:eastAsia="Calibri" w:hAnsi="Times New Roman" w:cs="Times New Roman" w:hint="cs"/>
          <w:sz w:val="24"/>
          <w:szCs w:val="24"/>
          <w:rtl/>
        </w:rPr>
        <w:t xml:space="preserve"> </w:t>
      </w:r>
      <w:r w:rsidR="007F21CA">
        <w:rPr>
          <w:rFonts w:ascii="Times New Roman" w:eastAsia="Calibri" w:hAnsi="Times New Roman" w:cs="Times New Roman"/>
          <w:sz w:val="24"/>
          <w:szCs w:val="24"/>
          <w:lang w:val="en-US"/>
        </w:rPr>
        <w:t>point at possible guidelines for regulators and policy makers</w:t>
      </w:r>
      <w:r w:rsidR="00C73F52">
        <w:rPr>
          <w:rFonts w:ascii="Times New Roman" w:eastAsia="Calibri" w:hAnsi="Times New Roman" w:cs="Times New Roman"/>
          <w:sz w:val="24"/>
          <w:szCs w:val="24"/>
        </w:rPr>
        <w:t xml:space="preserve">. </w:t>
      </w:r>
    </w:p>
    <w:p w14:paraId="05E6B84C" w14:textId="77777777" w:rsidR="00497B7D" w:rsidRPr="005110DC" w:rsidRDefault="00497B7D" w:rsidP="00346CA5">
      <w:pPr>
        <w:spacing w:line="360" w:lineRule="auto"/>
        <w:jc w:val="center"/>
        <w:rPr>
          <w:rFonts w:ascii="Times New Roman" w:eastAsia="Calibri" w:hAnsi="Times New Roman" w:cs="Times New Roman"/>
          <w:sz w:val="24"/>
          <w:szCs w:val="24"/>
        </w:rPr>
      </w:pPr>
    </w:p>
    <w:p w14:paraId="7F38FB98" w14:textId="77777777" w:rsidR="00497B7D" w:rsidRPr="009B5102" w:rsidRDefault="00497B7D" w:rsidP="00346CA5">
      <w:pPr>
        <w:pStyle w:val="Heading2"/>
      </w:pPr>
      <w:bookmarkStart w:id="118" w:name="_Toc445202715"/>
      <w:r w:rsidRPr="009B5102">
        <w:t>The ‘Branded Content’ Market</w:t>
      </w:r>
      <w:bookmarkEnd w:id="118"/>
    </w:p>
    <w:p w14:paraId="4818FB11"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My research is a preliminary exploration into the market of ‘branded content’. I was looking for answers to basic questions: can we talk at all of ‘a market’ and if so, who are its actors, how are they organised and what do they do?</w:t>
      </w:r>
    </w:p>
    <w:p w14:paraId="016496F8"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The data I have collected from background interviews with branded content agents in London and Tel-Aviv, together with the detailed look into the case studies of the British </w:t>
      </w:r>
      <w:r w:rsidRPr="005110DC">
        <w:rPr>
          <w:rFonts w:ascii="Times New Roman" w:eastAsia="Calibri" w:hAnsi="Times New Roman" w:cs="Times New Roman"/>
          <w:i/>
          <w:iCs/>
          <w:sz w:val="24"/>
          <w:szCs w:val="24"/>
        </w:rPr>
        <w:t>HTLGN</w:t>
      </w:r>
      <w:r w:rsidRPr="005110DC">
        <w:rPr>
          <w:rFonts w:ascii="Times New Roman" w:eastAsia="Calibri" w:hAnsi="Times New Roman" w:cs="Times New Roman"/>
          <w:sz w:val="24"/>
          <w:szCs w:val="24"/>
        </w:rPr>
        <w:t xml:space="preserve"> and the Israeli </w:t>
      </w:r>
      <w:r w:rsidRPr="005110DC">
        <w:rPr>
          <w:rFonts w:ascii="Times New Roman" w:eastAsia="Calibri" w:hAnsi="Times New Roman" w:cs="Times New Roman"/>
          <w:i/>
          <w:iCs/>
          <w:sz w:val="24"/>
          <w:szCs w:val="24"/>
        </w:rPr>
        <w:t>Overdraft Family,</w:t>
      </w:r>
      <w:r w:rsidRPr="005110DC">
        <w:rPr>
          <w:rFonts w:ascii="Times New Roman" w:eastAsia="Calibri" w:hAnsi="Times New Roman" w:cs="Times New Roman"/>
          <w:sz w:val="24"/>
          <w:szCs w:val="24"/>
        </w:rPr>
        <w:t xml:space="preserve"> confirms the emergence of a market in which professional middlemen work to facilitate formal deals of commercial co-operation between sponsors and broadcasters or independent producers of media content. Branded content agents thus serve as a link between sponsors and broadcasters or content producers, and their work is therefore central for </w:t>
      </w:r>
      <w:r w:rsidRPr="005110DC">
        <w:rPr>
          <w:rFonts w:ascii="Times New Roman" w:eastAsia="Calibri" w:hAnsi="Times New Roman" w:cs="Times New Roman"/>
          <w:sz w:val="24"/>
          <w:szCs w:val="24"/>
        </w:rPr>
        <w:lastRenderedPageBreak/>
        <w:t xml:space="preserve">understanding this field. What is exchanged in this market is ‘media space’ inside programming, i.e. the integration of sponsors into media content in various ways, in return for funding, i.e. material return (either money or barter). </w:t>
      </w:r>
    </w:p>
    <w:p w14:paraId="0B0048C4"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These agents can be found on both sides - in marketing and communications agencies (representing brands)</w:t>
      </w:r>
      <w:r w:rsidRPr="00B93D25">
        <w:rPr>
          <w:rStyle w:val="FootnoteReference"/>
        </w:rPr>
        <w:footnoteReference w:id="85"/>
      </w:r>
      <w:r w:rsidRPr="005110DC">
        <w:rPr>
          <w:rFonts w:ascii="Times New Roman" w:eastAsia="Calibri" w:hAnsi="Times New Roman" w:cs="Times New Roman"/>
          <w:sz w:val="24"/>
          <w:szCs w:val="24"/>
        </w:rPr>
        <w:t xml:space="preserve"> as well as in broadcasting and production companies (representing content producers)</w:t>
      </w:r>
      <w:r w:rsidRPr="00B93D25">
        <w:rPr>
          <w:rStyle w:val="FootnoteReference"/>
        </w:rPr>
        <w:footnoteReference w:id="86"/>
      </w:r>
      <w:r w:rsidRPr="005110DC">
        <w:rPr>
          <w:rFonts w:ascii="Times New Roman" w:eastAsia="Calibri" w:hAnsi="Times New Roman" w:cs="Times New Roman"/>
          <w:sz w:val="24"/>
          <w:szCs w:val="24"/>
        </w:rPr>
        <w:t>. They may also work as independent agents</w:t>
      </w:r>
      <w:r w:rsidRPr="00B93D25">
        <w:rPr>
          <w:rStyle w:val="FootnoteReference"/>
        </w:rPr>
        <w:footnoteReference w:id="87"/>
      </w:r>
      <w:r w:rsidRPr="005110DC">
        <w:rPr>
          <w:rFonts w:ascii="Times New Roman" w:eastAsia="Calibri" w:hAnsi="Times New Roman" w:cs="Times New Roman"/>
          <w:sz w:val="24"/>
          <w:szCs w:val="24"/>
        </w:rPr>
        <w:t xml:space="preserve">. What the background interviews suggest is that the most common model is that of a branded content agent representing the sponsors’ side, i.e., working in a marketing and communications agency which offers a variety of services, ‘branded content’ being one of them. This was indeed the case of the branded content agents in both the cases that were studied here: Dan Fletcher from Mindshare (WPP) was responsible for the sponsorship agreement for </w:t>
      </w:r>
      <w:r w:rsidRPr="005110DC">
        <w:rPr>
          <w:rFonts w:ascii="Times New Roman" w:eastAsia="Calibri" w:hAnsi="Times New Roman" w:cs="Times New Roman"/>
          <w:i/>
          <w:iCs/>
          <w:sz w:val="24"/>
          <w:szCs w:val="24"/>
        </w:rPr>
        <w:t>HTLGN</w:t>
      </w:r>
      <w:r w:rsidRPr="005110DC">
        <w:rPr>
          <w:rFonts w:ascii="Times New Roman" w:eastAsia="Calibri" w:hAnsi="Times New Roman" w:cs="Times New Roman"/>
          <w:sz w:val="24"/>
          <w:szCs w:val="24"/>
        </w:rPr>
        <w:t xml:space="preserve"> and Golan Pratzer from Gitam-BBDO (together with Eyal Se’ada) managed the sponsorship agreements for </w:t>
      </w:r>
      <w:r w:rsidRPr="005110DC">
        <w:rPr>
          <w:rFonts w:ascii="Times New Roman" w:eastAsia="Calibri" w:hAnsi="Times New Roman" w:cs="Times New Roman"/>
          <w:i/>
          <w:iCs/>
          <w:sz w:val="24"/>
          <w:szCs w:val="24"/>
        </w:rPr>
        <w:t>Overdraft Family</w:t>
      </w:r>
      <w:r w:rsidRPr="005110DC">
        <w:rPr>
          <w:rFonts w:ascii="Times New Roman" w:eastAsia="Calibri" w:hAnsi="Times New Roman" w:cs="Times New Roman"/>
          <w:sz w:val="24"/>
          <w:szCs w:val="24"/>
        </w:rPr>
        <w:t xml:space="preserve">.   </w:t>
      </w:r>
    </w:p>
    <w:p w14:paraId="24F4422D"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Evidence shows that this market emerged from the early 2000s both in the UK and Israel</w:t>
      </w:r>
      <w:r w:rsidRPr="00B93D25">
        <w:rPr>
          <w:rStyle w:val="FootnoteReference"/>
        </w:rPr>
        <w:footnoteReference w:id="88"/>
      </w:r>
      <w:r w:rsidRPr="005110DC">
        <w:rPr>
          <w:rFonts w:ascii="Times New Roman" w:eastAsia="Calibri" w:hAnsi="Times New Roman" w:cs="Times New Roman"/>
          <w:sz w:val="24"/>
          <w:szCs w:val="24"/>
        </w:rPr>
        <w:t xml:space="preserve">. This comes from market research reports, news reports and scholarly articles </w:t>
      </w:r>
      <w:r w:rsidRPr="008045C3">
        <w:rPr>
          <w:rFonts w:ascii="Times New Roman" w:eastAsia="Calibri" w:hAnsi="Times New Roman" w:cs="Times New Roman"/>
          <w:noProof/>
          <w:sz w:val="24"/>
          <w:szCs w:val="24"/>
        </w:rPr>
        <w:t>(Carter, 2001 January 28, 2003 January 25; Jenkins, 2006; Magder, 2004; Quinn &amp; Kivijarv, 2005, 2006, 2008, 2010, 2012, 2015)</w:t>
      </w:r>
      <w:r w:rsidRPr="008045C3">
        <w:rPr>
          <w:rFonts w:ascii="Times New Roman" w:eastAsia="Calibri" w:hAnsi="Times New Roman" w:cs="Times New Roman"/>
          <w:sz w:val="24"/>
          <w:szCs w:val="24"/>
        </w:rPr>
        <w:t>. It is also supported by the simple fact that most branded cont</w:t>
      </w:r>
      <w:r w:rsidRPr="005110DC">
        <w:rPr>
          <w:rFonts w:ascii="Times New Roman" w:eastAsia="Calibri" w:hAnsi="Times New Roman" w:cs="Times New Roman"/>
          <w:sz w:val="24"/>
          <w:szCs w:val="24"/>
        </w:rPr>
        <w:t>ent agents interviewed for this research were actually the first ones to take this role in the companies that hired them. They carried different titles – ‘head of programming’,  ‘head of brand partnerships’,</w:t>
      </w:r>
      <w:r w:rsidRPr="005110DC">
        <w:rPr>
          <w:rFonts w:ascii="Times New Roman" w:eastAsia="Calibri" w:hAnsi="Times New Roman" w:cs="Times New Roman"/>
          <w:sz w:val="24"/>
          <w:szCs w:val="24"/>
          <w:lang w:bidi="ar-SA"/>
        </w:rPr>
        <w:t xml:space="preserve"> </w:t>
      </w:r>
      <w:r w:rsidRPr="005110DC">
        <w:rPr>
          <w:rFonts w:ascii="Times New Roman" w:eastAsia="Calibri" w:hAnsi="Times New Roman" w:cs="Times New Roman"/>
          <w:sz w:val="24"/>
          <w:szCs w:val="24"/>
        </w:rPr>
        <w:t>‘</w:t>
      </w:r>
      <w:r w:rsidRPr="005110DC">
        <w:rPr>
          <w:rFonts w:ascii="Times New Roman" w:eastAsia="Calibri" w:hAnsi="Times New Roman" w:cs="Times New Roman"/>
          <w:sz w:val="24"/>
          <w:szCs w:val="24"/>
          <w:lang w:bidi="ar-SA"/>
        </w:rPr>
        <w:t>head of broadcast, sponsorships and production’ or</w:t>
      </w:r>
      <w:r w:rsidRPr="005110DC">
        <w:rPr>
          <w:rFonts w:ascii="Times New Roman" w:eastAsia="Calibri" w:hAnsi="Times New Roman" w:cs="Times New Roman"/>
          <w:sz w:val="24"/>
          <w:szCs w:val="24"/>
        </w:rPr>
        <w:t xml:space="preserve"> ‘head of branded content’, but where practically all involved in the same practice - getting brands and content producers to work together.</w:t>
      </w:r>
      <w:r w:rsidRPr="005110DC">
        <w:rPr>
          <w:rFonts w:ascii="Times New Roman" w:eastAsia="Calibri" w:hAnsi="Times New Roman" w:cs="Times New Roman"/>
          <w:sz w:val="24"/>
          <w:szCs w:val="24"/>
          <w:rtl/>
        </w:rPr>
        <w:t xml:space="preserve"> </w:t>
      </w:r>
    </w:p>
    <w:p w14:paraId="499B7574" w14:textId="77777777" w:rsidR="00497B7D" w:rsidRPr="005110DC" w:rsidRDefault="00497B7D" w:rsidP="00346CA5">
      <w:pPr>
        <w:spacing w:line="360" w:lineRule="auto"/>
        <w:rPr>
          <w:rFonts w:ascii="Times New Roman" w:eastAsia="Calibri" w:hAnsi="Times New Roman" w:cs="Times New Roman"/>
          <w:sz w:val="24"/>
          <w:szCs w:val="24"/>
          <w:rtl/>
        </w:rPr>
      </w:pPr>
      <w:r w:rsidRPr="005110DC">
        <w:rPr>
          <w:rFonts w:ascii="Times New Roman" w:eastAsia="Calibri" w:hAnsi="Times New Roman" w:cs="Times New Roman"/>
          <w:sz w:val="24"/>
          <w:szCs w:val="24"/>
        </w:rPr>
        <w:t xml:space="preserve">Branded content agents are those who usually establish the first contact between the two sides, they confirm the initial willingness of both sides to co-operate and then negotiate the details of </w:t>
      </w:r>
      <w:r w:rsidRPr="005110DC">
        <w:rPr>
          <w:rFonts w:ascii="Times New Roman" w:eastAsia="Calibri" w:hAnsi="Times New Roman" w:cs="Times New Roman"/>
          <w:sz w:val="24"/>
          <w:szCs w:val="24"/>
        </w:rPr>
        <w:lastRenderedPageBreak/>
        <w:t xml:space="preserve">the deal, as demonstrated in Chapter 4. Typically, the mutual understandings, if indeed agreed upon, are then anchored in formal agreements which clearly describe obligations by both sides – content makers and sponsors. </w:t>
      </w:r>
    </w:p>
    <w:p w14:paraId="6BF5AEB4" w14:textId="77777777" w:rsidR="00497B7D" w:rsidRPr="005110DC" w:rsidRDefault="00497B7D" w:rsidP="00346CA5">
      <w:pPr>
        <w:spacing w:line="360" w:lineRule="auto"/>
        <w:rPr>
          <w:rFonts w:ascii="Times New Roman" w:eastAsia="Calibri" w:hAnsi="Times New Roman" w:cs="Times New Roman"/>
          <w:sz w:val="24"/>
          <w:szCs w:val="24"/>
          <w:rtl/>
        </w:rPr>
      </w:pPr>
      <w:r w:rsidRPr="005110DC">
        <w:rPr>
          <w:rFonts w:ascii="Times New Roman" w:eastAsia="Calibri" w:hAnsi="Times New Roman" w:cs="Times New Roman"/>
          <w:sz w:val="24"/>
          <w:szCs w:val="24"/>
        </w:rPr>
        <w:t xml:space="preserve">An important element in the negotiation phase is the belief, held by both sides, that they are involved in a joint mission to promote a shared worldview through public debate. For example, a feminist agenda which works to debunk stereotypes of female beauty and therefore empower women, as was the case with Dove and </w:t>
      </w:r>
      <w:r w:rsidRPr="005110DC">
        <w:rPr>
          <w:rFonts w:ascii="Times New Roman" w:eastAsia="Calibri" w:hAnsi="Times New Roman" w:cs="Times New Roman"/>
          <w:i/>
          <w:iCs/>
          <w:sz w:val="24"/>
          <w:szCs w:val="24"/>
        </w:rPr>
        <w:t>HTLGN</w:t>
      </w:r>
      <w:r w:rsidRPr="005110DC">
        <w:rPr>
          <w:rFonts w:ascii="Times New Roman" w:eastAsia="Calibri" w:hAnsi="Times New Roman" w:cs="Times New Roman"/>
          <w:sz w:val="24"/>
          <w:szCs w:val="24"/>
        </w:rPr>
        <w:t xml:space="preserve">. In the initial dialogue phase, the belief that both sides are, equally, ‘actors’ in the cultural public sphere </w:t>
      </w:r>
      <w:r>
        <w:rPr>
          <w:rFonts w:ascii="Times New Roman" w:hAnsi="Times New Roman" w:cs="Times New Roman"/>
          <w:sz w:val="24"/>
          <w:szCs w:val="24"/>
        </w:rPr>
        <w:t>(McGuigan, 2005b)</w:t>
      </w:r>
      <w:r w:rsidRPr="005110DC">
        <w:rPr>
          <w:rFonts w:ascii="Times New Roman" w:eastAsia="Calibri" w:hAnsi="Times New Roman" w:cs="Times New Roman"/>
          <w:sz w:val="24"/>
          <w:szCs w:val="24"/>
        </w:rPr>
        <w:t xml:space="preserve"> assists them in reaching agreements on what is essentially the purchase of ‘media space’ in programming. It helps the brand’s representatives to see themselves as those who are working for the ‘public interest’ and on the other hand, it helps content producers to maintain their image as those who do not simply give in to commercial interests for funding reasons.</w:t>
      </w:r>
    </w:p>
    <w:p w14:paraId="4B3C2387" w14:textId="77777777" w:rsidR="00497B7D" w:rsidRPr="005110DC" w:rsidRDefault="00497B7D" w:rsidP="00346CA5">
      <w:pPr>
        <w:spacing w:line="360" w:lineRule="auto"/>
        <w:rPr>
          <w:rFonts w:ascii="Times New Roman" w:eastAsia="Calibri" w:hAnsi="Times New Roman" w:cs="Times New Roman"/>
          <w:sz w:val="24"/>
          <w:szCs w:val="24"/>
          <w:rtl/>
        </w:rPr>
      </w:pPr>
      <w:r w:rsidRPr="005110DC">
        <w:rPr>
          <w:rFonts w:ascii="Times New Roman" w:eastAsia="Calibri" w:hAnsi="Times New Roman" w:cs="Times New Roman"/>
          <w:sz w:val="24"/>
          <w:szCs w:val="24"/>
        </w:rPr>
        <w:t>However, in practice, sponsorship agreements tend to be carefully and strategically planned so they serve the pre-existing comprehensive strategic goals of the sponsors, as Chapters 5 and 6 demonstrate through a close look into both sponsorship agreements. That is, it is not about the two sides ‘coming closer together’ for a joint mission in the name of the public interest, but rather more about examining whether a certain production is, to begin with, a potential vehicle for the sponsor’s strategic goals (that obviously cannot be changed or challenged).</w:t>
      </w:r>
    </w:p>
    <w:p w14:paraId="5D2BE0DC"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So, for example, I showed in Chapter 4 that Dove showed interest in sponsoring </w:t>
      </w:r>
      <w:r w:rsidRPr="005110DC">
        <w:rPr>
          <w:rFonts w:ascii="Times New Roman" w:eastAsia="Calibri" w:hAnsi="Times New Roman" w:cs="Times New Roman"/>
          <w:i/>
          <w:iCs/>
          <w:sz w:val="24"/>
          <w:szCs w:val="24"/>
        </w:rPr>
        <w:t>HTLGN</w:t>
      </w:r>
      <w:r w:rsidRPr="005110DC">
        <w:rPr>
          <w:rFonts w:ascii="Times New Roman" w:eastAsia="Calibri" w:hAnsi="Times New Roman" w:cs="Times New Roman"/>
          <w:sz w:val="24"/>
          <w:szCs w:val="24"/>
        </w:rPr>
        <w:t xml:space="preserve"> because the programme voiced the same message as the </w:t>
      </w:r>
      <w:r w:rsidRPr="005110DC">
        <w:rPr>
          <w:rFonts w:ascii="Times New Roman" w:eastAsia="Calibri" w:hAnsi="Times New Roman" w:cs="Times New Roman"/>
          <w:i/>
          <w:iCs/>
          <w:sz w:val="24"/>
          <w:szCs w:val="24"/>
        </w:rPr>
        <w:t xml:space="preserve">Real Beauty </w:t>
      </w:r>
      <w:r w:rsidRPr="005110DC">
        <w:rPr>
          <w:rFonts w:ascii="Times New Roman" w:eastAsia="Calibri" w:hAnsi="Times New Roman" w:cs="Times New Roman"/>
          <w:sz w:val="24"/>
          <w:szCs w:val="24"/>
        </w:rPr>
        <w:t xml:space="preserve">campaign (‘Female beauty can come in many shapes and sizes’) and aimed to attract a target audience of middle-aged women, which Dove was looking for at that time, for the purpose of marketing its Pro-Age line of products. Similarly, Bank Hapo’alim decided to sponsor </w:t>
      </w:r>
      <w:r w:rsidRPr="005110DC">
        <w:rPr>
          <w:rFonts w:ascii="Times New Roman" w:eastAsia="Calibri" w:hAnsi="Times New Roman" w:cs="Times New Roman"/>
          <w:i/>
          <w:iCs/>
          <w:sz w:val="24"/>
          <w:szCs w:val="24"/>
        </w:rPr>
        <w:t>Overdraft Family</w:t>
      </w:r>
      <w:r w:rsidRPr="005110DC">
        <w:rPr>
          <w:rFonts w:ascii="Times New Roman" w:eastAsia="Calibri" w:hAnsi="Times New Roman" w:cs="Times New Roman"/>
          <w:sz w:val="24"/>
          <w:szCs w:val="24"/>
        </w:rPr>
        <w:t xml:space="preserve"> because it was looking to provide viewers with tools for better financial management, which was also a strategic and financial goal for the bank, as well as part of its general vision and positioning as a brand</w:t>
      </w:r>
      <w:r w:rsidRPr="00B93D25">
        <w:rPr>
          <w:rStyle w:val="FootnoteReference"/>
        </w:rPr>
        <w:footnoteReference w:id="89"/>
      </w:r>
      <w:r w:rsidRPr="005110DC">
        <w:rPr>
          <w:rFonts w:ascii="Times New Roman" w:eastAsia="Calibri" w:hAnsi="Times New Roman" w:cs="Times New Roman"/>
          <w:sz w:val="24"/>
          <w:szCs w:val="24"/>
        </w:rPr>
        <w:t xml:space="preserve">.  </w:t>
      </w:r>
    </w:p>
    <w:p w14:paraId="775E4A8F" w14:textId="77777777" w:rsidR="00497B7D" w:rsidRPr="005110DC" w:rsidRDefault="00497B7D" w:rsidP="00346CA5">
      <w:pPr>
        <w:spacing w:line="360" w:lineRule="auto"/>
        <w:rPr>
          <w:rFonts w:ascii="Times New Roman" w:eastAsia="Calibri" w:hAnsi="Times New Roman" w:cs="Times New Roman"/>
          <w:sz w:val="24"/>
          <w:szCs w:val="24"/>
          <w:rtl/>
        </w:rPr>
      </w:pPr>
      <w:r w:rsidRPr="005110DC">
        <w:rPr>
          <w:rFonts w:ascii="Times New Roman" w:eastAsia="Calibri" w:hAnsi="Times New Roman" w:cs="Times New Roman"/>
          <w:sz w:val="24"/>
          <w:szCs w:val="24"/>
        </w:rPr>
        <w:t xml:space="preserve">The dialogue between producers and sponsors does not end once formal agreements are signed. Rather, signing an agreement is just the beginning. As both case studies suggest, it is an ongoing </w:t>
      </w:r>
      <w:r w:rsidRPr="005110DC">
        <w:rPr>
          <w:rFonts w:ascii="Times New Roman" w:eastAsia="Calibri" w:hAnsi="Times New Roman" w:cs="Times New Roman"/>
          <w:sz w:val="24"/>
          <w:szCs w:val="24"/>
        </w:rPr>
        <w:lastRenderedPageBreak/>
        <w:t xml:space="preserve">process of monitoring and negotiation which continues throughout the formation of the format, the production process and the post-production stage. It relates to the tiniest details which emerge along the way. This was true in both cases, but indeed was more evident in the Israeli case study in which sponsors got access to almost complete versions of episodes during the editing process and could ask for ‘corrections’, for example including better shots of Shufersal-Deal branches, to their complete satisfaction.   </w:t>
      </w:r>
    </w:p>
    <w:p w14:paraId="775F4CB4"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Indeed, one of the predominant characteristics of embedded branding deals is their detailed nature. The evidence for this comes from various internal presentations which reflect those agreements</w:t>
      </w:r>
      <w:r>
        <w:rPr>
          <w:rFonts w:ascii="Times New Roman" w:eastAsia="Calibri" w:hAnsi="Times New Roman" w:cs="Times New Roman"/>
          <w:sz w:val="24"/>
          <w:szCs w:val="24"/>
        </w:rPr>
        <w:t xml:space="preserve"> (Bank Hapo’alim, 2009, 2010; Bank Hapo’alim’s Marketing Department, 2009, Gitam-BBDO, 2010, Gitam-BBDO Content,</w:t>
      </w:r>
      <w:r w:rsidR="00346CA5">
        <w:rPr>
          <w:rFonts w:ascii="Times New Roman" w:eastAsia="Calibri" w:hAnsi="Times New Roman" w:cs="Times New Roman"/>
          <w:sz w:val="24"/>
          <w:szCs w:val="24"/>
        </w:rPr>
        <w:t xml:space="preserve"> 2009; Mindshare, 2007</w:t>
      </w:r>
      <w:r>
        <w:rPr>
          <w:rFonts w:ascii="Times New Roman" w:eastAsia="Calibri" w:hAnsi="Times New Roman" w:cs="Times New Roman"/>
          <w:sz w:val="24"/>
          <w:szCs w:val="24"/>
        </w:rPr>
        <w:t>)</w:t>
      </w:r>
      <w:r w:rsidRPr="005110DC">
        <w:rPr>
          <w:rFonts w:ascii="Times New Roman" w:eastAsia="Calibri" w:hAnsi="Times New Roman" w:cs="Times New Roman"/>
          <w:sz w:val="24"/>
          <w:szCs w:val="24"/>
        </w:rPr>
        <w:t xml:space="preserve"> as well as interviews. The detailing of embedded branding deals, as Chapters 4, 5 and 6 clearly reveal, is often striking: it relates to the setting of the room where the banker meets the participants of </w:t>
      </w:r>
      <w:r w:rsidRPr="005110DC">
        <w:rPr>
          <w:rFonts w:ascii="Times New Roman" w:eastAsia="Calibri" w:hAnsi="Times New Roman" w:cs="Times New Roman"/>
          <w:i/>
          <w:iCs/>
          <w:sz w:val="24"/>
          <w:szCs w:val="24"/>
        </w:rPr>
        <w:t>Overdraft Family</w:t>
      </w:r>
      <w:r w:rsidRPr="005110DC">
        <w:rPr>
          <w:rFonts w:ascii="Times New Roman" w:eastAsia="Calibri" w:hAnsi="Times New Roman" w:cs="Times New Roman"/>
          <w:sz w:val="24"/>
          <w:szCs w:val="24"/>
        </w:rPr>
        <w:t>, so that the colour of the brand (red) will clearly come across to viewers through different elements (the banker’s red shirt, a red lamp, red cups, the red in the bank’s posters on the wall and on the bank’s signage)</w:t>
      </w:r>
      <w:r>
        <w:rPr>
          <w:rFonts w:ascii="Times New Roman" w:eastAsia="Calibri" w:hAnsi="Times New Roman" w:cs="Times New Roman"/>
          <w:sz w:val="24"/>
          <w:szCs w:val="24"/>
        </w:rPr>
        <w:t xml:space="preserve"> (Bank Hapo’alim, 2009, 2010; Landsman, 2012)</w:t>
      </w:r>
      <w:r w:rsidRPr="005110DC">
        <w:rPr>
          <w:rFonts w:ascii="Times New Roman" w:eastAsia="Calibri" w:hAnsi="Times New Roman" w:cs="Times New Roman"/>
          <w:sz w:val="24"/>
          <w:szCs w:val="24"/>
        </w:rPr>
        <w:t xml:space="preserve">. It is about how the presenter will refer in a ‘natural’ way to the sponsor’s slogan (“Your money buys more”, in the case of Shufersal-Deal) while talking to participants, or will mention the brand name so that it will not be exactly the same, but will sound similar, for example “Storage-Deal” </w:t>
      </w:r>
      <w:r w:rsidRPr="005110DC">
        <w:rPr>
          <w:rFonts w:ascii="Times New Roman" w:eastAsia="Calibri" w:hAnsi="Times New Roman" w:cs="Times New Roman"/>
          <w:noProof/>
          <w:sz w:val="24"/>
          <w:szCs w:val="24"/>
        </w:rPr>
        <w:t>(Kaminitz, 2012)</w:t>
      </w:r>
      <w:r w:rsidRPr="005110DC">
        <w:rPr>
          <w:rFonts w:ascii="Times New Roman" w:eastAsia="Calibri" w:hAnsi="Times New Roman" w:cs="Times New Roman"/>
          <w:sz w:val="24"/>
          <w:szCs w:val="24"/>
        </w:rPr>
        <w:t xml:space="preserve">. It is also about, as was in the British case, whether the sponsor’s products would be included in the product testing segment in the show, an issue that was debated for “weeks and weeks and weeks” </w:t>
      </w:r>
      <w:r w:rsidRPr="005110DC">
        <w:rPr>
          <w:rFonts w:ascii="Times New Roman" w:eastAsia="Calibri" w:hAnsi="Times New Roman" w:cs="Times New Roman"/>
          <w:noProof/>
          <w:sz w:val="24"/>
          <w:szCs w:val="24"/>
        </w:rPr>
        <w:t>(Fletcher, 2009)</w:t>
      </w:r>
      <w:r w:rsidRPr="005110DC">
        <w:rPr>
          <w:rFonts w:ascii="Times New Roman" w:eastAsia="Calibri" w:hAnsi="Times New Roman" w:cs="Times New Roman"/>
          <w:sz w:val="24"/>
          <w:szCs w:val="24"/>
        </w:rPr>
        <w:t xml:space="preserve"> between Dove and the production of </w:t>
      </w:r>
      <w:r w:rsidRPr="005110DC">
        <w:rPr>
          <w:rFonts w:ascii="Times New Roman" w:eastAsia="Calibri" w:hAnsi="Times New Roman" w:cs="Times New Roman"/>
          <w:i/>
          <w:iCs/>
          <w:sz w:val="24"/>
          <w:szCs w:val="24"/>
        </w:rPr>
        <w:t>HTLGN</w:t>
      </w:r>
      <w:r w:rsidRPr="005110DC">
        <w:rPr>
          <w:rFonts w:ascii="Times New Roman" w:eastAsia="Calibri" w:hAnsi="Times New Roman" w:cs="Times New Roman"/>
          <w:sz w:val="24"/>
          <w:szCs w:val="24"/>
        </w:rPr>
        <w:t xml:space="preserve">. </w:t>
      </w:r>
    </w:p>
    <w:p w14:paraId="1E0E7FDE"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The other noteworthy characteristic is the encompassing nature of these deals. Evidence shows that embedded branding deals are carefully designed to give the ‘coupling’ of the sponsor and the programme presence across a range of media platforms beyond programming on television, including for example radio, press, sponsorship bumpers, marketing channels of the sponsor (for example, advertising) and later - special events in the real world along which the ‘symbiosis’ between the sponsor and the programme is finalised and ultimately render the two sides indistinguishable.  </w:t>
      </w:r>
    </w:p>
    <w:p w14:paraId="2D4C1F79"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Consequently, my analysis, based on thematic coding, suggests two dimensions that are typical of ‘branded content’ deals: ‘deep integration’, which relates to the presence of sponsors in </w:t>
      </w:r>
      <w:r w:rsidRPr="005110DC">
        <w:rPr>
          <w:rFonts w:ascii="Times New Roman" w:eastAsia="Calibri" w:hAnsi="Times New Roman" w:cs="Times New Roman"/>
          <w:sz w:val="24"/>
          <w:szCs w:val="24"/>
        </w:rPr>
        <w:lastRenderedPageBreak/>
        <w:t xml:space="preserve">programming and was presented in Chapter 5, and ‘continuous integration’, which relates to the ways in which the commercial co-operation is further extended to the entire media environment and then back to the real world, as presented in Chapter 6. I will further explore these dimensions in the next section.  </w:t>
      </w:r>
    </w:p>
    <w:p w14:paraId="5C6024CB"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I described the beginning of these commercial co-operations as the stage of ‘falling in love’; the two sides enthusiastically fall into each other's arms, believing they found a perfect ‘match’. However, as described in Chapter 7, it is often during the production process that conflicts and disputes emerge, revealing the different positions the two sides hold. Indeed, branded content agents described their field as being loaded with conflicts and tensions </w:t>
      </w:r>
      <w:r w:rsidRPr="009B5102">
        <w:rPr>
          <w:rFonts w:ascii="Times New Roman" w:eastAsia="Calibri" w:hAnsi="Times New Roman" w:cs="Times New Roman"/>
          <w:noProof/>
          <w:sz w:val="24"/>
          <w:szCs w:val="24"/>
        </w:rPr>
        <w:t>(Cresswell, 2009; Goldberg, 2011; Johnson, 2009; Lev, 2008; Moulsdale, 2008; Rosenfelder, 2009; Rutherford, 2008b; Se'ada, 2011; Willis, 2008)</w:t>
      </w:r>
      <w:r w:rsidRPr="005110DC">
        <w:rPr>
          <w:rFonts w:ascii="Times New Roman" w:eastAsia="Calibri" w:hAnsi="Times New Roman" w:cs="Times New Roman"/>
          <w:sz w:val="24"/>
          <w:szCs w:val="24"/>
        </w:rPr>
        <w:t>.</w:t>
      </w:r>
    </w:p>
    <w:p w14:paraId="6F7076A8"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These conflicts, or debates, expose and emphasise the different nature of the actions taken by the two sides, despite their attempts to find a common ground. While content producers are, broadly speaking, oriented towards generating discourse around the specific topic, sponsors focus on using discourse in an instrumental way, for their own purposes. This difference is best understood through Habermas’ (1984) theory of discourse ethics and specifically his notions of ‘communicative action’ and ‘strategic action’, as I have presented in Chapter 1, which introduced the theoretical foundations of my analysis. </w:t>
      </w:r>
    </w:p>
    <w:p w14:paraId="4884EEFC"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In communicative action, the actor is oriented towards reaching understanding with another actor (or many actors) and is using the speech act for this purpose. In strategic action on the other hand, the actor is oriented towards reaching a certain goal and is using the speech act for the purpose of influencing another actor (or actors). Thus, while in communicative action, the actors can influence each other through speech and an exchange of views, once one of the actors is involved in strategic action, his or her intention is to gain influence over others, not to engage in open debate, and he or she in fact cannot be moved from his or her basic position. </w:t>
      </w:r>
    </w:p>
    <w:p w14:paraId="2ED11F60"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This fundamental difference, which the agreements try to bridge, or rather blur, explains the difficulty of reaching agreements for ‘branded content’ and, consequently, the small percentage of deals that are finally signed out of those that are negotiated, as a number of interviewees </w:t>
      </w:r>
      <w:r w:rsidRPr="005110DC">
        <w:rPr>
          <w:rFonts w:ascii="Times New Roman" w:eastAsia="Calibri" w:hAnsi="Times New Roman" w:cs="Times New Roman"/>
          <w:sz w:val="24"/>
          <w:szCs w:val="24"/>
        </w:rPr>
        <w:lastRenderedPageBreak/>
        <w:t xml:space="preserve">reported </w:t>
      </w:r>
      <w:r w:rsidRPr="005110DC">
        <w:rPr>
          <w:rFonts w:ascii="Times New Roman" w:eastAsia="Calibri" w:hAnsi="Times New Roman" w:cs="Times New Roman"/>
          <w:noProof/>
          <w:sz w:val="24"/>
          <w:szCs w:val="24"/>
        </w:rPr>
        <w:t>(Cresswell, 2009; Willis, 2008)</w:t>
      </w:r>
      <w:r w:rsidRPr="005110DC">
        <w:rPr>
          <w:rFonts w:ascii="Times New Roman" w:eastAsia="Calibri" w:hAnsi="Times New Roman" w:cs="Times New Roman"/>
          <w:sz w:val="24"/>
          <w:szCs w:val="24"/>
        </w:rPr>
        <w:t xml:space="preserve">. Regulatory restrictions on commercial influence are another reason for the small amount of successful deals for commercial co-operation. </w:t>
      </w:r>
    </w:p>
    <w:p w14:paraId="27AD79F2"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Despite this fretful reality, what clearly emerges from the empirical data is that both sides are eager to get involved in these commercial co-operations; they actively search for such partnerships and are happy to ‘get married’, i.e., sign formal deals, once they find enough similarities in each other. Therefore, the field of embedded branding should not be understood as a case of commercial pressures being imposed on content producers, but rather as a mutual attraction between the two sides. This requires scholarly inquiry into the powers that push them into each other’s arms, and indeed this was my mission in Chapter 2.   </w:t>
      </w:r>
    </w:p>
    <w:p w14:paraId="452C0B1C" w14:textId="77777777" w:rsidR="00497B7D" w:rsidRPr="005110DC" w:rsidRDefault="00497B7D" w:rsidP="00346CA5">
      <w:pPr>
        <w:spacing w:line="360" w:lineRule="auto"/>
        <w:rPr>
          <w:rFonts w:ascii="Times New Roman" w:eastAsia="Calibri" w:hAnsi="Times New Roman" w:cs="Times New Roman"/>
          <w:sz w:val="24"/>
          <w:szCs w:val="24"/>
          <w:rtl/>
        </w:rPr>
      </w:pPr>
      <w:r w:rsidRPr="005110DC">
        <w:rPr>
          <w:rFonts w:ascii="Times New Roman" w:eastAsia="Calibri" w:hAnsi="Times New Roman" w:cs="Times New Roman"/>
          <w:sz w:val="24"/>
          <w:szCs w:val="24"/>
        </w:rPr>
        <w:t>Thus, from a theoretical point of view, I chose to describe this mutual attraction as ‘elective affinity’</w:t>
      </w:r>
      <w:r w:rsidRPr="005110DC">
        <w:rPr>
          <w:rFonts w:ascii="Times New Roman" w:eastAsia="Calibri" w:hAnsi="Times New Roman" w:cs="Times New Roman"/>
          <w:color w:val="000000"/>
          <w:sz w:val="24"/>
          <w:szCs w:val="24"/>
        </w:rPr>
        <w:t xml:space="preserve"> (</w:t>
      </w:r>
      <w:r w:rsidRPr="005110DC">
        <w:rPr>
          <w:rFonts w:ascii="Times New Roman" w:eastAsia="Calibri" w:hAnsi="Times New Roman" w:cs="Times New Roman"/>
          <w:i/>
          <w:iCs/>
          <w:color w:val="000000"/>
          <w:sz w:val="24"/>
          <w:szCs w:val="24"/>
        </w:rPr>
        <w:t>Wahlverwandtschaft</w:t>
      </w:r>
      <w:r w:rsidRPr="005110DC">
        <w:rPr>
          <w:rFonts w:ascii="Times New Roman" w:eastAsia="Calibri" w:hAnsi="Times New Roman" w:cs="Times New Roman"/>
          <w:color w:val="000000"/>
          <w:sz w:val="24"/>
          <w:szCs w:val="24"/>
        </w:rPr>
        <w:t>)</w:t>
      </w:r>
      <w:r w:rsidRPr="005110DC">
        <w:rPr>
          <w:rFonts w:ascii="Times New Roman" w:eastAsia="Calibri" w:hAnsi="Times New Roman" w:cs="Times New Roman"/>
          <w:sz w:val="24"/>
          <w:szCs w:val="24"/>
        </w:rPr>
        <w:t xml:space="preserve"> - </w:t>
      </w:r>
      <w:r w:rsidRPr="005110DC">
        <w:rPr>
          <w:rFonts w:ascii="Times New Roman" w:eastAsia="Calibri" w:hAnsi="Times New Roman" w:cs="Times New Roman"/>
          <w:sz w:val="24"/>
          <w:szCs w:val="24"/>
          <w:lang w:bidi="ar-SA"/>
        </w:rPr>
        <w:t xml:space="preserve">Weber’s notion, </w:t>
      </w:r>
      <w:r w:rsidRPr="005110DC">
        <w:rPr>
          <w:rFonts w:ascii="Times New Roman" w:eastAsia="Calibri" w:hAnsi="Times New Roman" w:cs="Times New Roman"/>
          <w:sz w:val="24"/>
          <w:szCs w:val="24"/>
        </w:rPr>
        <w:t xml:space="preserve">which explains </w:t>
      </w:r>
      <w:r w:rsidRPr="005110DC">
        <w:rPr>
          <w:rFonts w:ascii="Times New Roman" w:eastAsia="Calibri" w:hAnsi="Times New Roman" w:cs="Times New Roman"/>
          <w:sz w:val="24"/>
          <w:szCs w:val="24"/>
          <w:lang w:bidi="ar-SA"/>
        </w:rPr>
        <w:t xml:space="preserve">the choice of one action over many possible others, based on the inner similarities, i.e. affinities, of the two parties involved </w:t>
      </w:r>
      <w:r w:rsidRPr="005110DC">
        <w:rPr>
          <w:rFonts w:ascii="Times New Roman" w:eastAsia="Calibri" w:hAnsi="Times New Roman" w:cs="Times New Roman"/>
          <w:noProof/>
          <w:sz w:val="24"/>
          <w:szCs w:val="24"/>
          <w:lang w:bidi="ar-SA"/>
        </w:rPr>
        <w:t>(Howe, 1978; Weber, 1949; Weber &amp; Kalberg, 2011)</w:t>
      </w:r>
      <w:r w:rsidRPr="005110DC">
        <w:rPr>
          <w:rFonts w:ascii="Times New Roman" w:eastAsia="Calibri" w:hAnsi="Times New Roman" w:cs="Times New Roman"/>
          <w:sz w:val="24"/>
          <w:szCs w:val="24"/>
          <w:lang w:bidi="ar-SA"/>
        </w:rPr>
        <w:t xml:space="preserve">. But what are these ‘inner affinities’ between media bodies and marketers which bring them, in the spirit of Goethe’s 1809 novel </w:t>
      </w:r>
      <w:r w:rsidRPr="005110DC">
        <w:rPr>
          <w:rFonts w:ascii="Times New Roman" w:eastAsia="Calibri" w:hAnsi="Times New Roman" w:cs="Times New Roman"/>
          <w:i/>
          <w:iCs/>
          <w:color w:val="000000"/>
          <w:sz w:val="24"/>
          <w:szCs w:val="24"/>
        </w:rPr>
        <w:t>Elective Affinities</w:t>
      </w:r>
      <w:r w:rsidRPr="005110DC">
        <w:rPr>
          <w:rFonts w:ascii="Times New Roman" w:eastAsia="Calibri" w:hAnsi="Times New Roman" w:cs="Times New Roman"/>
          <w:color w:val="000000"/>
          <w:sz w:val="24"/>
          <w:szCs w:val="24"/>
        </w:rPr>
        <w:t xml:space="preserve"> </w:t>
      </w:r>
      <w:r w:rsidRPr="005110DC">
        <w:rPr>
          <w:rFonts w:ascii="Times New Roman" w:eastAsia="Calibri" w:hAnsi="Times New Roman" w:cs="Times New Roman"/>
          <w:noProof/>
          <w:sz w:val="24"/>
          <w:szCs w:val="24"/>
          <w:lang w:val="de-DE" w:bidi="ar-SA"/>
        </w:rPr>
        <w:t>(2008)</w:t>
      </w:r>
      <w:r w:rsidRPr="005110DC">
        <w:rPr>
          <w:rFonts w:ascii="Times New Roman" w:eastAsia="Calibri" w:hAnsi="Times New Roman" w:cs="Times New Roman"/>
          <w:color w:val="000000"/>
          <w:sz w:val="24"/>
          <w:szCs w:val="24"/>
        </w:rPr>
        <w:t xml:space="preserve"> (</w:t>
      </w:r>
      <w:r w:rsidRPr="005110DC">
        <w:rPr>
          <w:rFonts w:ascii="Times New Roman" w:eastAsia="Calibri" w:hAnsi="Times New Roman" w:cs="Times New Roman"/>
          <w:i/>
          <w:iCs/>
          <w:sz w:val="24"/>
          <w:szCs w:val="24"/>
          <w:lang w:val="de-DE" w:bidi="ar-SA"/>
        </w:rPr>
        <w:t>Die Wahlverwandtschaften)</w:t>
      </w:r>
      <w:r w:rsidRPr="005110DC">
        <w:rPr>
          <w:rFonts w:ascii="Times New Roman" w:eastAsia="Calibri" w:hAnsi="Times New Roman" w:cs="Times New Roman"/>
          <w:sz w:val="24"/>
          <w:szCs w:val="24"/>
          <w:lang w:val="de-DE" w:bidi="ar-SA"/>
        </w:rPr>
        <w:t xml:space="preserve">, </w:t>
      </w:r>
      <w:r w:rsidRPr="005110DC">
        <w:rPr>
          <w:rFonts w:ascii="Times New Roman" w:eastAsia="Calibri" w:hAnsi="Times New Roman" w:cs="Times New Roman"/>
          <w:sz w:val="24"/>
          <w:szCs w:val="24"/>
          <w:lang w:bidi="ar-SA"/>
        </w:rPr>
        <w:t>to ‘fall in love’ (i.e. discover their similarities) and finally ‘marry’ (i.e. commit to formal ‘branded content’ agreements)?</w:t>
      </w:r>
    </w:p>
    <w:p w14:paraId="45B314FA" w14:textId="77777777" w:rsidR="00497B7D" w:rsidRPr="005110DC" w:rsidRDefault="00497B7D" w:rsidP="00346CA5">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rPr>
        <w:t xml:space="preserve">These should be understood by looking at the changes that both marketing and media fields have undergone. </w:t>
      </w:r>
      <w:r w:rsidRPr="005110DC">
        <w:rPr>
          <w:rFonts w:ascii="Times New Roman" w:eastAsia="Calibri" w:hAnsi="Times New Roman" w:cs="Times New Roman"/>
          <w:color w:val="000000"/>
          <w:sz w:val="24"/>
          <w:szCs w:val="24"/>
        </w:rPr>
        <w:t xml:space="preserve">The successful penetration of new technologies, from cable television, personal computers and VCRs in the 1980s, to the Internet and various digital technologies (VOD and DVRs) in the 1990s and 2000s, </w:t>
      </w:r>
      <w:r w:rsidRPr="005110DC">
        <w:rPr>
          <w:rFonts w:ascii="Times New Roman" w:eastAsia="Calibri" w:hAnsi="Times New Roman" w:cs="Times New Roman"/>
          <w:sz w:val="24"/>
          <w:szCs w:val="24"/>
          <w:lang w:bidi="ar-SA"/>
        </w:rPr>
        <w:t>had a twofold effect on commercial media. First, it marked the end of the ‘big’ media platforms era and pushed for an intensified fragmentation of audiences. Secondly, these technologies opened the way for viewers to skip commercials entirely (Turow, 2006). Consequently, they</w:t>
      </w:r>
      <w:r w:rsidRPr="005110DC">
        <w:rPr>
          <w:rFonts w:ascii="Times New Roman" w:eastAsia="Calibri" w:hAnsi="Times New Roman" w:cs="Times New Roman"/>
          <w:color w:val="000000"/>
          <w:sz w:val="24"/>
          <w:szCs w:val="24"/>
        </w:rPr>
        <w:t xml:space="preserve"> put the classic model of advertising-funded media under question. </w:t>
      </w:r>
      <w:r w:rsidRPr="005110DC">
        <w:rPr>
          <w:rFonts w:ascii="Times New Roman" w:eastAsia="Calibri" w:hAnsi="Times New Roman" w:cs="Times New Roman"/>
          <w:sz w:val="24"/>
          <w:szCs w:val="24"/>
          <w:lang w:bidi="ar-SA"/>
        </w:rPr>
        <w:t>The anxiety around the death of the ‘30-second spot’ became the code name for this broad and multifaceted process</w:t>
      </w:r>
      <w:r w:rsidRPr="00B93D25">
        <w:rPr>
          <w:rStyle w:val="FootnoteReference"/>
        </w:rPr>
        <w:footnoteReference w:id="90"/>
      </w:r>
      <w:r w:rsidRPr="005110DC">
        <w:rPr>
          <w:rFonts w:ascii="Times New Roman" w:eastAsia="Calibri" w:hAnsi="Times New Roman" w:cs="Times New Roman"/>
          <w:sz w:val="24"/>
          <w:szCs w:val="24"/>
          <w:lang w:bidi="ar-SA"/>
        </w:rPr>
        <w:t xml:space="preserve">. </w:t>
      </w:r>
    </w:p>
    <w:p w14:paraId="02389291" w14:textId="77777777" w:rsidR="00497B7D" w:rsidRPr="005110DC" w:rsidRDefault="00497B7D" w:rsidP="00346CA5">
      <w:pPr>
        <w:spacing w:line="360" w:lineRule="auto"/>
        <w:rPr>
          <w:rFonts w:ascii="Times New Roman" w:eastAsia="Calibri" w:hAnsi="Times New Roman" w:cs="Times New Roman"/>
          <w:color w:val="000000"/>
          <w:sz w:val="24"/>
          <w:szCs w:val="24"/>
          <w:rtl/>
        </w:rPr>
      </w:pPr>
      <w:r w:rsidRPr="005110DC">
        <w:rPr>
          <w:rFonts w:ascii="Times New Roman" w:eastAsia="Calibri" w:hAnsi="Times New Roman" w:cs="Times New Roman"/>
          <w:sz w:val="24"/>
          <w:szCs w:val="24"/>
          <w:lang w:bidi="ar-SA"/>
        </w:rPr>
        <w:t>In the marketing world, audience fragmentation was a dominant factor in the growing dominance of branding processes.</w:t>
      </w:r>
      <w:r w:rsidRPr="005110DC">
        <w:rPr>
          <w:rFonts w:ascii="Times New Roman" w:eastAsia="Calibri" w:hAnsi="Times New Roman" w:cs="Times New Roman"/>
          <w:color w:val="000000"/>
          <w:sz w:val="24"/>
          <w:szCs w:val="24"/>
        </w:rPr>
        <w:t xml:space="preserve"> </w:t>
      </w:r>
      <w:r w:rsidRPr="005110DC">
        <w:rPr>
          <w:rFonts w:ascii="Times New Roman" w:eastAsia="Calibri" w:hAnsi="Times New Roman" w:cs="Times New Roman"/>
          <w:sz w:val="24"/>
          <w:szCs w:val="24"/>
          <w:lang w:bidi="ar-SA"/>
        </w:rPr>
        <w:t xml:space="preserve">Marketers needed to think of ways to gain commercial presence across </w:t>
      </w:r>
      <w:r w:rsidRPr="005110DC">
        <w:rPr>
          <w:rFonts w:ascii="Times New Roman" w:eastAsia="Calibri" w:hAnsi="Times New Roman" w:cs="Times New Roman"/>
          <w:sz w:val="24"/>
          <w:szCs w:val="24"/>
          <w:lang w:bidi="ar-SA"/>
        </w:rPr>
        <w:lastRenderedPageBreak/>
        <w:t xml:space="preserve">many spaces, not just advertising, through a number of main ‘pipes’. Therefore, </w:t>
      </w:r>
      <w:r w:rsidRPr="005110DC">
        <w:rPr>
          <w:rFonts w:ascii="Times New Roman" w:eastAsia="Calibri" w:hAnsi="Times New Roman" w:cs="Times New Roman"/>
          <w:color w:val="000000"/>
          <w:sz w:val="24"/>
          <w:szCs w:val="24"/>
        </w:rPr>
        <w:t>the contemporary orientation of branding processes is focused on consumers’ perceptions of the brand as an image, which goes beyond the material and functional value of the product or the service</w:t>
      </w:r>
      <w:r>
        <w:rPr>
          <w:rFonts w:ascii="Times New Roman" w:eastAsia="Calibri" w:hAnsi="Times New Roman" w:cs="Times New Roman"/>
          <w:color w:val="000000"/>
          <w:sz w:val="24"/>
          <w:szCs w:val="24"/>
        </w:rPr>
        <w:t xml:space="preserve"> (Arvidsson, 2006; Lury, 2004; Moor, 2007)</w:t>
      </w:r>
      <w:r w:rsidRPr="005110DC">
        <w:rPr>
          <w:rFonts w:ascii="Times New Roman" w:eastAsia="Calibri" w:hAnsi="Times New Roman" w:cs="Times New Roman"/>
          <w:color w:val="000000"/>
          <w:sz w:val="24"/>
          <w:szCs w:val="24"/>
        </w:rPr>
        <w:t xml:space="preserve">. This </w:t>
      </w:r>
      <w:r w:rsidRPr="005110DC">
        <w:rPr>
          <w:rFonts w:ascii="Times New Roman" w:eastAsia="Calibri" w:hAnsi="Times New Roman" w:cs="Times New Roman"/>
          <w:sz w:val="24"/>
          <w:szCs w:val="24"/>
          <w:lang w:bidi="ar-SA"/>
        </w:rPr>
        <w:t>led</w:t>
      </w:r>
      <w:r w:rsidRPr="005110DC">
        <w:rPr>
          <w:rFonts w:ascii="Times New Roman" w:eastAsia="Calibri" w:hAnsi="Times New Roman" w:cs="Times New Roman"/>
          <w:color w:val="000000"/>
          <w:sz w:val="24"/>
          <w:szCs w:val="24"/>
        </w:rPr>
        <w:t xml:space="preserve"> to what Moor (2007) describes as the ‘spatial turn’; brand presence across a range of spaces, either in the physical world or the mediated one. Among other things, it led marketing and communications agencies to offer their clients a range of services, beyond advertising, and expand into spaces that were previously non-commercialised. Sponsoring media content is part of this general tendency to expand into new spaces. ‘Branded content’, consequently, became an emerging niche activity in the quickly adapting marketing world.  </w:t>
      </w:r>
    </w:p>
    <w:p w14:paraId="4F5B6CB0" w14:textId="77777777" w:rsidR="00497B7D" w:rsidRPr="005110DC" w:rsidRDefault="00497B7D" w:rsidP="00346CA5">
      <w:pPr>
        <w:spacing w:line="360" w:lineRule="auto"/>
        <w:rPr>
          <w:rFonts w:ascii="Times New Roman" w:eastAsia="Calibri" w:hAnsi="Times New Roman" w:cs="Times New Roman"/>
          <w:color w:val="000000"/>
          <w:sz w:val="24"/>
          <w:szCs w:val="24"/>
        </w:rPr>
      </w:pPr>
      <w:r w:rsidRPr="005110DC">
        <w:rPr>
          <w:rFonts w:ascii="Times New Roman" w:eastAsia="Calibri" w:hAnsi="Times New Roman" w:cs="Times New Roman"/>
          <w:color w:val="000000"/>
          <w:sz w:val="24"/>
          <w:szCs w:val="24"/>
        </w:rPr>
        <w:t xml:space="preserve">At the same time, the media world also had to react to audience fragmentation. It led to the trend of content convergence - the flow of content across multiple media platforms </w:t>
      </w:r>
      <w:r w:rsidRPr="005110DC">
        <w:rPr>
          <w:rFonts w:ascii="Times New Roman" w:eastAsia="Calibri" w:hAnsi="Times New Roman" w:cs="Times New Roman"/>
          <w:noProof/>
          <w:color w:val="000000"/>
          <w:sz w:val="24"/>
          <w:szCs w:val="24"/>
        </w:rPr>
        <w:t>(Jenkins, 2006)</w:t>
      </w:r>
      <w:r w:rsidRPr="005110DC">
        <w:rPr>
          <w:rFonts w:ascii="Times New Roman" w:eastAsia="Calibri" w:hAnsi="Times New Roman" w:cs="Times New Roman"/>
          <w:color w:val="000000"/>
          <w:sz w:val="24"/>
          <w:szCs w:val="24"/>
        </w:rPr>
        <w:t>. Content convergence has had a twofold effect on the operation of media outlets: first, it transformed them from being mono-media bodies into content providers across multiple platforms. This shift broke the traditional link between the production of content and a specific medium. Second, it forced them to search for alternative funding models, beyond traditional advertising, that could fit to the reality of multiple platforms. Advertising that is integrated into content and ‘flows’ with it from one platform to another seemed, prima facie, like a promising solution for both content producers and advertisers in this new, complex environment.</w:t>
      </w:r>
    </w:p>
    <w:p w14:paraId="016575A2" w14:textId="77777777" w:rsidR="00497B7D" w:rsidRPr="005110DC" w:rsidRDefault="00497B7D" w:rsidP="00346CA5">
      <w:pPr>
        <w:spacing w:line="360" w:lineRule="auto"/>
        <w:rPr>
          <w:rFonts w:ascii="Times New Roman" w:eastAsia="Calibri" w:hAnsi="Times New Roman" w:cs="Times New Roman"/>
          <w:color w:val="000000"/>
          <w:sz w:val="24"/>
          <w:szCs w:val="24"/>
        </w:rPr>
      </w:pPr>
      <w:r w:rsidRPr="005110DC">
        <w:rPr>
          <w:rFonts w:ascii="Times New Roman" w:eastAsia="Calibri" w:hAnsi="Times New Roman" w:cs="Times New Roman"/>
          <w:color w:val="000000"/>
          <w:sz w:val="24"/>
          <w:szCs w:val="24"/>
        </w:rPr>
        <w:t xml:space="preserve">Thus, the rise of embedded branding as a funding model for media content is an outcome of changes that happened almost simultaneously, in the marketing world and in media bodies, as a reaction to the growing fragmentation of audiences and various digital technologies which allow the avoidance of commercials. The ‘attraction’ is therefore mutual: both brands and content producers wish to gain multi-platform presence (television, the Internet, mobiles) and to encourage the flow of audiences from one platform to another; they both aim to target clearly defined audiences; they both put their efforts in ‘collecting’ these relatively small audiences across various platforms; they are both interested in overcoming technologies that allow users to skip commercials. This is why the term ‘elective affinity’ is most suitable to describe the growing closeness between marketers and media bodies, between commerce and content. </w:t>
      </w:r>
    </w:p>
    <w:p w14:paraId="2C5E7C3A" w14:textId="77777777" w:rsidR="00497B7D" w:rsidRPr="005110DC" w:rsidRDefault="00497B7D" w:rsidP="00346CA5">
      <w:pPr>
        <w:spacing w:line="360" w:lineRule="auto"/>
        <w:rPr>
          <w:rFonts w:ascii="Times New Roman" w:eastAsia="Calibri" w:hAnsi="Times New Roman" w:cs="Times New Roman"/>
          <w:color w:val="000000"/>
          <w:sz w:val="24"/>
          <w:szCs w:val="24"/>
        </w:rPr>
      </w:pPr>
    </w:p>
    <w:p w14:paraId="3FD095A3" w14:textId="77777777" w:rsidR="00497B7D" w:rsidRPr="009B5102" w:rsidRDefault="00497B7D" w:rsidP="00346CA5">
      <w:pPr>
        <w:pStyle w:val="Heading2"/>
      </w:pPr>
      <w:bookmarkStart w:id="119" w:name="_Toc445202716"/>
      <w:r w:rsidRPr="009B5102">
        <w:rPr>
          <w:color w:val="000000"/>
        </w:rPr>
        <w:lastRenderedPageBreak/>
        <w:t xml:space="preserve">The Age of </w:t>
      </w:r>
      <w:r w:rsidRPr="009B5102">
        <w:t>Hyper-Hyper Commercialisation</w:t>
      </w:r>
      <w:bookmarkEnd w:id="119"/>
    </w:p>
    <w:p w14:paraId="40096804"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Following my exploration of the market of ‘branded content’, my second question was: is there anything significantly new about embedded branding? Is it just a better-organised version of previous commercial activity, or are there new features in it that merit the attention of media scholars and the public? Following the analysis of the case studies in the empirical Chapters 4, 5 and 6, my answer is that embedded branding can and should be seen as marking a new phase of media commercialisation, as I will now elaborate. </w:t>
      </w:r>
    </w:p>
    <w:p w14:paraId="43E842DC"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The historical account I provided in Chapter 2 suggests that the tension between the editorial side and the commercial one has always existed in the arena of commercial media and it should be understood as one of its inherent characteristics. The extent of separation between the two was, historically, an outcome of local media culture, its ethics and regulation, as much as it was dependent on the existence of a sustainable economic model. Thus, it is an area in which ethics and money constantly interact under the particular circumstances of the time. </w:t>
      </w:r>
    </w:p>
    <w:p w14:paraId="4059D0DB"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Sponsorship is a funding model in which the sponsor (or sponsors) funds a specific production for the purpose of promoting their brand name</w:t>
      </w:r>
      <w:r w:rsidRPr="00B93D25">
        <w:rPr>
          <w:rStyle w:val="FootnoteReference"/>
        </w:rPr>
        <w:footnoteReference w:id="91"/>
      </w:r>
      <w:r w:rsidRPr="005110DC">
        <w:rPr>
          <w:rFonts w:ascii="Times New Roman" w:eastAsia="Calibri" w:hAnsi="Times New Roman" w:cs="Times New Roman"/>
          <w:sz w:val="24"/>
          <w:szCs w:val="24"/>
        </w:rPr>
        <w:t xml:space="preserve">. It began in the first days of American radio and later television, and meant that in practice, advertisers were the producers: they had full ownership and control over the sponsored production </w:t>
      </w:r>
      <w:r w:rsidRPr="005110DC">
        <w:rPr>
          <w:rFonts w:ascii="Times New Roman" w:eastAsia="Calibri" w:hAnsi="Times New Roman" w:cs="Times New Roman"/>
          <w:noProof/>
          <w:sz w:val="24"/>
          <w:szCs w:val="24"/>
        </w:rPr>
        <w:t>(Barnouw, 1978)</w:t>
      </w:r>
      <w:r w:rsidRPr="005110DC">
        <w:rPr>
          <w:rFonts w:ascii="Times New Roman" w:eastAsia="Calibri" w:hAnsi="Times New Roman" w:cs="Times New Roman"/>
          <w:sz w:val="24"/>
          <w:szCs w:val="24"/>
        </w:rPr>
        <w:t>. However, the understanding and application of this model changed significantly with time</w:t>
      </w:r>
      <w:r w:rsidRPr="005110DC">
        <w:rPr>
          <w:rFonts w:ascii="Times New Roman" w:eastAsia="Calibri" w:hAnsi="Times New Roman" w:cs="Times New Roman"/>
          <w:sz w:val="24"/>
          <w:szCs w:val="24"/>
          <w:rtl/>
        </w:rPr>
        <w:t xml:space="preserve"> </w:t>
      </w:r>
      <w:r w:rsidRPr="005110DC">
        <w:rPr>
          <w:rFonts w:ascii="Times New Roman" w:eastAsia="Calibri" w:hAnsi="Times New Roman" w:cs="Times New Roman"/>
          <w:sz w:val="24"/>
          <w:szCs w:val="24"/>
        </w:rPr>
        <w:t xml:space="preserve">and place. British regulation, for example, puts great efforts into distancing sponsors from any influence on programming </w:t>
      </w:r>
      <w:r w:rsidRPr="005110DC">
        <w:rPr>
          <w:rFonts w:ascii="Times New Roman" w:eastAsia="Calibri" w:hAnsi="Times New Roman" w:cs="Times New Roman"/>
          <w:noProof/>
          <w:sz w:val="24"/>
          <w:szCs w:val="24"/>
        </w:rPr>
        <w:t>(Ofcom, 2005, 2011)</w:t>
      </w:r>
      <w:r w:rsidRPr="005110DC">
        <w:rPr>
          <w:rFonts w:ascii="Times New Roman" w:eastAsia="Calibri" w:hAnsi="Times New Roman" w:cs="Times New Roman"/>
          <w:sz w:val="24"/>
          <w:szCs w:val="24"/>
        </w:rPr>
        <w:t xml:space="preserve"> and so does the Israeli regulation</w:t>
      </w:r>
      <w:r w:rsidRPr="005110DC">
        <w:rPr>
          <w:rFonts w:ascii="Times New Roman" w:eastAsia="Calibri" w:hAnsi="Times New Roman" w:cs="Times New Roman"/>
          <w:noProof/>
          <w:sz w:val="24"/>
          <w:szCs w:val="24"/>
        </w:rPr>
        <w:t xml:space="preserve"> (Israeli Second Authority for Television and Radio, 2009)</w:t>
      </w:r>
      <w:r w:rsidRPr="005110DC">
        <w:rPr>
          <w:rFonts w:ascii="Times New Roman" w:eastAsia="Calibri" w:hAnsi="Times New Roman" w:cs="Times New Roman"/>
          <w:sz w:val="24"/>
          <w:szCs w:val="24"/>
        </w:rPr>
        <w:t xml:space="preserve">. </w:t>
      </w:r>
    </w:p>
    <w:p w14:paraId="50AE40B8"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Product placement is the inclusion of commercial reference within a programme or a film by mentioning a brand or a product in sound or image in return for payment or other consideration</w:t>
      </w:r>
      <w:r w:rsidRPr="00B93D25">
        <w:rPr>
          <w:rStyle w:val="FootnoteReference"/>
        </w:rPr>
        <w:footnoteReference w:id="92"/>
      </w:r>
      <w:r w:rsidRPr="005110DC">
        <w:rPr>
          <w:rFonts w:ascii="Times New Roman" w:eastAsia="Calibri" w:hAnsi="Times New Roman" w:cs="Times New Roman"/>
          <w:sz w:val="24"/>
          <w:szCs w:val="24"/>
        </w:rPr>
        <w:t xml:space="preserve">. It is rooted in the history of the film industry, mainly Hollywood, but was most of the time a </w:t>
      </w:r>
      <w:r w:rsidRPr="005110DC">
        <w:rPr>
          <w:rFonts w:ascii="Times New Roman" w:eastAsia="Calibri" w:hAnsi="Times New Roman" w:cs="Times New Roman"/>
          <w:sz w:val="24"/>
          <w:szCs w:val="24"/>
        </w:rPr>
        <w:lastRenderedPageBreak/>
        <w:t>relatively marginal phenomenon, as the major studios held a solid funding model that was based on tickets sales.</w:t>
      </w:r>
    </w:p>
    <w:p w14:paraId="47F5A08B"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As I have shown in Chapter 7, regulatory bodies in countries that wish to guard the separation between content and advertising (such as the UK and other European countries</w:t>
      </w:r>
      <w:r w:rsidRPr="00B93D25">
        <w:rPr>
          <w:rStyle w:val="FootnoteReference"/>
        </w:rPr>
        <w:footnoteReference w:id="93"/>
      </w:r>
      <w:r w:rsidRPr="005110DC">
        <w:rPr>
          <w:rFonts w:ascii="Times New Roman" w:eastAsia="Calibri" w:hAnsi="Times New Roman" w:cs="Times New Roman"/>
          <w:sz w:val="24"/>
          <w:szCs w:val="24"/>
        </w:rPr>
        <w:t xml:space="preserve">) have struggled to keep formal distinctions between these two practices, but my analysis is sceptical as to the relevance of these efforts and the definitions they are based on, when faced with the rapidly changing reality of media markets. Product placement, as the case studies show, is rarely a practice on its own, but actually one of the more visible expressions of commercial funding and therefore is best understood as a practice that falls under the notion of sponsorship. Thus, the fact that some advertisers pay for their products or logo to be seen in a programme or a film is a form of sponsorship (even if it does not fully cover the costs of the production). </w:t>
      </w:r>
    </w:p>
    <w:p w14:paraId="351CDC33"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Therefore, it would be more accurate to ask – is there anything new in sponsorship since the beginning of the 2000s? The data from the case studies suggests that there is. We have been witnessing, for almost two decades now, the rise of a new market, that of ‘branded content’/‘native advertising’ and the professional activity of middlemen, i.e. branded content agents, that are at its core activity. Market research data suggest that the field of embedded branding is on a constant economic rise and is still expected to grow significantly </w:t>
      </w:r>
      <w:r w:rsidRPr="005110DC">
        <w:rPr>
          <w:rFonts w:ascii="Times New Roman" w:eastAsia="Calibri" w:hAnsi="Times New Roman" w:cs="Times New Roman"/>
          <w:noProof/>
          <w:sz w:val="24"/>
          <w:szCs w:val="24"/>
        </w:rPr>
        <w:t>(PQ-Media, 2005, 2006, 2008, 2010, 2012; Quinn &amp; Kivijarv, 2015)</w:t>
      </w:r>
      <w:r w:rsidRPr="005110DC">
        <w:rPr>
          <w:rFonts w:ascii="Times New Roman" w:eastAsia="Calibri" w:hAnsi="Times New Roman" w:cs="Times New Roman"/>
          <w:sz w:val="24"/>
          <w:szCs w:val="24"/>
        </w:rPr>
        <w:t xml:space="preserve">. The findings of this thesis suggest that we should look carefully at two characteristics of this funding model that turn it into something completely different from what it was before: deep integration and continuous integration. I will now turn to discuss their meaning. </w:t>
      </w:r>
    </w:p>
    <w:p w14:paraId="2F3852FD"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By ‘deep integration’, as presented in Chapter 5, I refer to the tendency to integrate sponsors into programming in a multi-layered way that </w:t>
      </w:r>
      <w:r w:rsidRPr="005110DC">
        <w:rPr>
          <w:rFonts w:ascii="Times New Roman" w:eastAsia="Calibri" w:hAnsi="Times New Roman" w:cs="Times New Roman"/>
          <w:sz w:val="24"/>
          <w:szCs w:val="24"/>
          <w:lang w:bidi="ar-SA"/>
        </w:rPr>
        <w:t xml:space="preserve">creates a media space which is saturated with the brand’s presence in ways that are hard to notice or to clearly scrutinise. I identified three such layers: the first - diffusion of messages - relates to the integration of messages and ‘values’ by the sponsor into the programme’s format or specific content; the second - visual diffusion - relates to the various ways in which sponsoring brands are visually embodied in programming, by referring to various elements in their branding such as colours, fonts, general look and feel </w:t>
      </w:r>
      <w:r w:rsidRPr="005110DC">
        <w:rPr>
          <w:rFonts w:ascii="Times New Roman" w:eastAsia="Calibri" w:hAnsi="Times New Roman" w:cs="Times New Roman"/>
          <w:sz w:val="24"/>
          <w:szCs w:val="24"/>
          <w:lang w:bidi="ar-SA"/>
        </w:rPr>
        <w:lastRenderedPageBreak/>
        <w:t>and so forth; the third – product placement - relates to the ‘classic’ practice, i.e. the straightforward exposure of products, services and logos in the programme. What is particularly noteworthy is that my data suggests that abstract forms of integration (messages and design), which promote the brand as an image, are more significant to sponsoring brands than simply pushing their products and services forward through ‘product placement’. Deep integration works to blur the line between content and advertising, as by being ‘in the air’ and ‘everywhere’, but not specifically somewhere as in a concrete product or service, brands</w:t>
      </w:r>
      <w:r w:rsidRPr="005110DC">
        <w:rPr>
          <w:rFonts w:ascii="Times New Roman" w:eastAsia="Calibri" w:hAnsi="Times New Roman" w:cs="Times New Roman"/>
          <w:sz w:val="24"/>
          <w:szCs w:val="24"/>
        </w:rPr>
        <w:t xml:space="preserve"> become an inseparable and indistinguishable part of the programme.</w:t>
      </w:r>
    </w:p>
    <w:p w14:paraId="1ED4922C" w14:textId="7397C3A3"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I have shown how this multi-layered model works in both case studies. In </w:t>
      </w:r>
      <w:r w:rsidRPr="005110DC">
        <w:rPr>
          <w:rFonts w:ascii="Times New Roman" w:eastAsia="Calibri" w:hAnsi="Times New Roman" w:cs="Times New Roman"/>
          <w:i/>
          <w:iCs/>
          <w:sz w:val="24"/>
          <w:szCs w:val="24"/>
        </w:rPr>
        <w:t>Overdraft Family</w:t>
      </w:r>
      <w:r w:rsidRPr="005110DC">
        <w:rPr>
          <w:rFonts w:ascii="Times New Roman" w:eastAsia="Calibri" w:hAnsi="Times New Roman" w:cs="Times New Roman"/>
          <w:sz w:val="24"/>
          <w:szCs w:val="24"/>
        </w:rPr>
        <w:t xml:space="preserve"> , for example, visits of participants to Bank Hapo’alim branches and Shufersal-Deal branches became part of the format, as well as ‘tips’ by the sponsors that were incorporated in the programme (either by the representative of the bank or by the presenter). This does not only allow the sponsor’s messages to come across in the programme, but establishes a neoliberal narrative </w:t>
      </w:r>
      <w:r w:rsidRPr="005110DC">
        <w:rPr>
          <w:rFonts w:ascii="Times New Roman" w:eastAsia="Calibri" w:hAnsi="Times New Roman" w:cs="Times New Roman"/>
          <w:noProof/>
          <w:sz w:val="24"/>
          <w:szCs w:val="24"/>
        </w:rPr>
        <w:t>(Couldry, 2008, 2010; Couldry &amp; Littler, 2011)</w:t>
      </w:r>
      <w:r w:rsidRPr="005110DC">
        <w:rPr>
          <w:rFonts w:ascii="Times New Roman" w:eastAsia="Calibri" w:hAnsi="Times New Roman" w:cs="Times New Roman"/>
          <w:sz w:val="24"/>
          <w:szCs w:val="24"/>
        </w:rPr>
        <w:t xml:space="preserve"> in which individuals carry the responsibility for their financial </w:t>
      </w:r>
      <w:r w:rsidR="00CD1F95" w:rsidRPr="005110DC">
        <w:rPr>
          <w:rFonts w:ascii="Times New Roman" w:eastAsia="Calibri" w:hAnsi="Times New Roman" w:cs="Times New Roman"/>
          <w:sz w:val="24"/>
          <w:szCs w:val="24"/>
        </w:rPr>
        <w:t>situation and</w:t>
      </w:r>
      <w:r w:rsidRPr="005110DC">
        <w:rPr>
          <w:rFonts w:ascii="Times New Roman" w:eastAsia="Calibri" w:hAnsi="Times New Roman" w:cs="Times New Roman"/>
          <w:sz w:val="24"/>
          <w:szCs w:val="24"/>
        </w:rPr>
        <w:t xml:space="preserve"> the bank is presented as a professional authority that works for the benefit of its clients, one which ‘responsible families’ must turn to for help. Therefore, it was not so much the particular messages by the bank which promoted the sponsor, but the positioning of the bank as a guardian of families. In </w:t>
      </w:r>
      <w:r w:rsidRPr="005110DC">
        <w:rPr>
          <w:rFonts w:ascii="Times New Roman" w:eastAsia="Calibri" w:hAnsi="Times New Roman" w:cs="Times New Roman"/>
          <w:i/>
          <w:iCs/>
          <w:sz w:val="24"/>
          <w:szCs w:val="24"/>
        </w:rPr>
        <w:t>Overdraft Family</w:t>
      </w:r>
      <w:r w:rsidRPr="005110DC">
        <w:rPr>
          <w:rFonts w:ascii="Times New Roman" w:eastAsia="Calibri" w:hAnsi="Times New Roman" w:cs="Times New Roman"/>
          <w:sz w:val="24"/>
          <w:szCs w:val="24"/>
        </w:rPr>
        <w:t xml:space="preserve"> there was no sign of the harsh and critical discourse that was taking place during that period in Israel</w:t>
      </w:r>
      <w:r w:rsidRPr="00B93D25">
        <w:rPr>
          <w:rStyle w:val="FootnoteReference"/>
        </w:rPr>
        <w:footnoteReference w:id="94"/>
      </w:r>
      <w:r w:rsidRPr="005110DC">
        <w:rPr>
          <w:rFonts w:ascii="Times New Roman" w:eastAsia="Calibri" w:hAnsi="Times New Roman" w:cs="Times New Roman"/>
          <w:sz w:val="24"/>
          <w:szCs w:val="24"/>
        </w:rPr>
        <w:t xml:space="preserve"> in relation to the leading banks (for example, outrageously high commissions, excessive salaries to  senior executives and most importantly, the unprecedented loans given to a number of rising business magnates that promoted concentration within the Israel economy and severely damaged middle class families such as the ones receiving ‘coaching’ in the ‘reality’ programme). Bank Hapo’alim is not just a sponsor of an entertaining television programme, but one of the most influential privately owned corporations in Israel, and part of the highly harmful Po’alim-Leumi duopoly.  </w:t>
      </w:r>
    </w:p>
    <w:p w14:paraId="5BF868CA" w14:textId="77777777" w:rsidR="00497B7D" w:rsidRPr="005110DC" w:rsidRDefault="00497B7D" w:rsidP="00346CA5">
      <w:pPr>
        <w:spacing w:line="360" w:lineRule="auto"/>
        <w:rPr>
          <w:rFonts w:ascii="Times New Roman" w:eastAsia="Calibri" w:hAnsi="Times New Roman" w:cs="Times New Roman"/>
          <w:sz w:val="24"/>
          <w:szCs w:val="24"/>
          <w:rtl/>
        </w:rPr>
      </w:pPr>
      <w:r w:rsidRPr="005110DC">
        <w:rPr>
          <w:rFonts w:ascii="Times New Roman" w:eastAsia="Calibri" w:hAnsi="Times New Roman" w:cs="Times New Roman"/>
          <w:sz w:val="24"/>
          <w:szCs w:val="24"/>
        </w:rPr>
        <w:t xml:space="preserve">Visual diffusion was a dominant element in the case of </w:t>
      </w:r>
      <w:r w:rsidRPr="005110DC">
        <w:rPr>
          <w:rFonts w:ascii="Times New Roman" w:eastAsia="Calibri" w:hAnsi="Times New Roman" w:cs="Times New Roman"/>
          <w:i/>
          <w:iCs/>
          <w:sz w:val="24"/>
          <w:szCs w:val="24"/>
        </w:rPr>
        <w:t>HTLGN</w:t>
      </w:r>
      <w:r w:rsidRPr="005110DC">
        <w:rPr>
          <w:rFonts w:ascii="Times New Roman" w:eastAsia="Calibri" w:hAnsi="Times New Roman" w:cs="Times New Roman"/>
          <w:sz w:val="24"/>
          <w:szCs w:val="24"/>
        </w:rPr>
        <w:t xml:space="preserve">, as the programme incorporated the visual ‘language’ of the </w:t>
      </w:r>
      <w:r w:rsidRPr="005110DC">
        <w:rPr>
          <w:rFonts w:ascii="Times New Roman" w:eastAsia="Calibri" w:hAnsi="Times New Roman" w:cs="Times New Roman"/>
          <w:i/>
          <w:iCs/>
          <w:sz w:val="24"/>
          <w:szCs w:val="24"/>
        </w:rPr>
        <w:t>Real Beauty</w:t>
      </w:r>
      <w:r w:rsidRPr="005110DC">
        <w:rPr>
          <w:rFonts w:ascii="Times New Roman" w:eastAsia="Calibri" w:hAnsi="Times New Roman" w:cs="Times New Roman"/>
          <w:sz w:val="24"/>
          <w:szCs w:val="24"/>
        </w:rPr>
        <w:t xml:space="preserve"> campaign, for example through the ‘line up’ segment, which presented women in plain underwear standing in a row, an element that was highly </w:t>
      </w:r>
      <w:r w:rsidRPr="005110DC">
        <w:rPr>
          <w:rFonts w:ascii="Times New Roman" w:eastAsia="Calibri" w:hAnsi="Times New Roman" w:cs="Times New Roman"/>
          <w:sz w:val="24"/>
          <w:szCs w:val="24"/>
        </w:rPr>
        <w:lastRenderedPageBreak/>
        <w:t xml:space="preserve">identified with the commercial campaign. By doing so, the programme promoted the identification of Dove with the feminist agenda of ‘You are beautiful as you are’, and even more importantly, presented the beauty brand as an ‘actor’ in public debate rather than a commercial entity whose interest in public discourse is merely strategic. Visual diffusion was more intentional and blunt in the case of </w:t>
      </w:r>
      <w:r w:rsidRPr="005110DC">
        <w:rPr>
          <w:rFonts w:ascii="Times New Roman" w:eastAsia="Calibri" w:hAnsi="Times New Roman" w:cs="Times New Roman"/>
          <w:i/>
          <w:iCs/>
          <w:sz w:val="24"/>
          <w:szCs w:val="24"/>
        </w:rPr>
        <w:t>Overdraft Family,</w:t>
      </w:r>
      <w:r w:rsidRPr="005110DC">
        <w:rPr>
          <w:rFonts w:ascii="Times New Roman" w:eastAsia="Calibri" w:hAnsi="Times New Roman" w:cs="Times New Roman"/>
          <w:sz w:val="24"/>
          <w:szCs w:val="24"/>
        </w:rPr>
        <w:t xml:space="preserve"> in which, as the interviews revealed, brand representatives supervised the most minute details, so as to make sure that the brand’s presence would ‘pop up’ to viewers in a surreptitious way. Product placement proved to be a rather marginal element in both sponsorship deals, to the extent that Dove were willing to accept the presence of products by other beauty brands, as long as their branding was embedded all over the programme. </w:t>
      </w:r>
    </w:p>
    <w:p w14:paraId="63D9002C"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By ‘continuous integration’, as presented in Chapter 6, I refer to the cross-platform orientation of embedded branding deals. The notion of ‘continuity’ refers to the flow, or migration, of the commercial co-operation. This is a flow from a non-commercialised space (programming) to a commercialised one (e.g. sponsorship credits or commercial vignettes), as much as a flow across different platforms (from television to the Internet, press, radio and so forth) and then back to real life. This happens gradually, so viewers are ‘shifted’ from the space of the programme to commercial terrain in a smooth manner that can hardly be noticed.</w:t>
      </w:r>
    </w:p>
    <w:p w14:paraId="16E87C51"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My analysis identified three ‘stages’ of this flow: the first is the blurring between the programme and commercial time on television, through sponsorship credits or commercial vignettes (both are practically short commercials); the second is the cross-platform presence of the coupling between the brand and the programme, in which the Internet plays a particularly significant role; the third is the embodiment of this coupling in ‘real world’ events, which works to reconstruct and personalise the mediated experience and at the same time, naturalise the sponsor-programme commercial symbiosis in the public eye.  </w:t>
      </w:r>
    </w:p>
    <w:p w14:paraId="6FF5EB37" w14:textId="77777777" w:rsidR="00497B7D" w:rsidRPr="005110DC" w:rsidRDefault="00497B7D" w:rsidP="00346CA5">
      <w:pPr>
        <w:spacing w:line="360" w:lineRule="auto"/>
        <w:rPr>
          <w:rFonts w:ascii="Times New Roman" w:eastAsia="Calibri" w:hAnsi="Times New Roman" w:cs="Times New Roman"/>
          <w:sz w:val="24"/>
          <w:szCs w:val="24"/>
          <w:rtl/>
        </w:rPr>
      </w:pPr>
      <w:r w:rsidRPr="005110DC">
        <w:rPr>
          <w:rFonts w:ascii="Times New Roman" w:eastAsia="Calibri" w:hAnsi="Times New Roman" w:cs="Times New Roman"/>
          <w:sz w:val="24"/>
          <w:szCs w:val="24"/>
        </w:rPr>
        <w:t xml:space="preserve">After the line between the programme and sponsorship credits was blurred on television, as happened in both case studies, the commercial matching was extended from television to other platforms and then into ‘real world’ events. In the case of </w:t>
      </w:r>
      <w:r w:rsidRPr="005110DC">
        <w:rPr>
          <w:rFonts w:ascii="Times New Roman" w:eastAsia="Calibri" w:hAnsi="Times New Roman" w:cs="Times New Roman"/>
          <w:i/>
          <w:iCs/>
          <w:sz w:val="24"/>
          <w:szCs w:val="24"/>
        </w:rPr>
        <w:t>HTLGN</w:t>
      </w:r>
      <w:r w:rsidRPr="005110DC">
        <w:rPr>
          <w:rFonts w:ascii="Times New Roman" w:eastAsia="Calibri" w:hAnsi="Times New Roman" w:cs="Times New Roman"/>
          <w:sz w:val="24"/>
          <w:szCs w:val="24"/>
        </w:rPr>
        <w:t xml:space="preserve">, Dove was embedded in the programme’s website on Channel 4’s online platform, and in its VOD service. Dove’s representatives were then allowed to access the live audience of the show during shooting days. They offered women the chance to try Dove Pro-Age products and collected their personal </w:t>
      </w:r>
      <w:r w:rsidRPr="005110DC">
        <w:rPr>
          <w:rFonts w:ascii="Times New Roman" w:eastAsia="Calibri" w:hAnsi="Times New Roman" w:cs="Times New Roman"/>
          <w:sz w:val="24"/>
          <w:szCs w:val="24"/>
        </w:rPr>
        <w:lastRenderedPageBreak/>
        <w:t xml:space="preserve">details. In the case of </w:t>
      </w:r>
      <w:r w:rsidRPr="005110DC">
        <w:rPr>
          <w:rFonts w:ascii="Times New Roman" w:eastAsia="Calibri" w:hAnsi="Times New Roman" w:cs="Times New Roman"/>
          <w:i/>
          <w:iCs/>
          <w:sz w:val="24"/>
          <w:szCs w:val="24"/>
        </w:rPr>
        <w:t xml:space="preserve">Overdraft Family, </w:t>
      </w:r>
      <w:r w:rsidRPr="005110DC">
        <w:rPr>
          <w:rFonts w:ascii="Times New Roman" w:eastAsia="Calibri" w:hAnsi="Times New Roman" w:cs="Times New Roman"/>
          <w:sz w:val="24"/>
          <w:szCs w:val="24"/>
        </w:rPr>
        <w:t xml:space="preserve">the branded content agents, as they put it in their own words, created an “octopus” </w:t>
      </w:r>
      <w:r w:rsidRPr="005110DC">
        <w:rPr>
          <w:rFonts w:ascii="Times New Roman" w:eastAsia="Calibri" w:hAnsi="Times New Roman" w:cs="Times New Roman"/>
          <w:noProof/>
          <w:sz w:val="24"/>
          <w:szCs w:val="24"/>
        </w:rPr>
        <w:t>(Se'ada, 2011)</w:t>
      </w:r>
      <w:r w:rsidRPr="005110DC">
        <w:rPr>
          <w:rFonts w:ascii="Times New Roman" w:eastAsia="Calibri" w:hAnsi="Times New Roman" w:cs="Times New Roman"/>
          <w:sz w:val="24"/>
          <w:szCs w:val="24"/>
        </w:rPr>
        <w:t xml:space="preserve">, i.e. a multipartite ‘creature’: the programme and its two sponsors marched hand in hand across the programmes’ website, a popular news site, a local radio station and the national press. Later, the presenter joined the sponsors to create coaching events in both sponsors’ locations (Bank Hapo’alim branches and Shufersal-Deal branches). My findings in Chapter 6 showed that the embedding of the sponsors’ content and imagery on the Internet was particularly important and novel. It is one of the characteristics of digital media that allows a further blurring between editorial content and commercial messages and seems to change power relations between the two sides to the deal. The Internet is a largely unregulated medium and more importantly, it offers a very different experience compared to broadcast television. It is non-linear and allows both simultaneity and interactivity. These features cancel the temporal and spatial (visual and audio) separation that exists on linear media, and open the way for novel practices of sponsor embedding. Brand integration on the Internet opens the way to personal interaction with consumers, the collection of personal data in a way that is hardly noticeable by users (by ‘tempting’ them to take part is quizzes and competitions, for example) and thereafter, the establishment of recurring contact with consumers. </w:t>
      </w:r>
    </w:p>
    <w:p w14:paraId="484D9B3C"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So, for example, both programmes’ websites offered editorial content which was ‘wrapped’ in the brands’ graphic design. Both websites linked users to a commercial micro-site in a way that created a feeling of continuation rather than separation. In the transition to the Internet, both sponsors wished to become ‘partners’ rather than ‘sponsors’ </w:t>
      </w:r>
      <w:r w:rsidRPr="005110DC">
        <w:rPr>
          <w:rFonts w:ascii="Times New Roman" w:eastAsia="Calibri" w:hAnsi="Times New Roman" w:cs="Times New Roman"/>
          <w:noProof/>
          <w:sz w:val="24"/>
          <w:szCs w:val="24"/>
        </w:rPr>
        <w:t>(Fletcher, 2009; Se'ada, 2011)</w:t>
      </w:r>
      <w:r w:rsidRPr="005110DC">
        <w:rPr>
          <w:rFonts w:ascii="Times New Roman" w:eastAsia="Calibri" w:hAnsi="Times New Roman" w:cs="Times New Roman"/>
          <w:sz w:val="24"/>
          <w:szCs w:val="24"/>
        </w:rPr>
        <w:t xml:space="preserve"> and indeed, Dove was presented as such on the commercial micro-site that was a satellite to </w:t>
      </w:r>
      <w:r w:rsidRPr="005110DC">
        <w:rPr>
          <w:rFonts w:ascii="Times New Roman" w:eastAsia="Calibri" w:hAnsi="Times New Roman" w:cs="Times New Roman"/>
          <w:i/>
          <w:iCs/>
          <w:sz w:val="24"/>
          <w:szCs w:val="24"/>
        </w:rPr>
        <w:t>HTLGN</w:t>
      </w:r>
      <w:r w:rsidRPr="005110DC">
        <w:rPr>
          <w:rFonts w:ascii="Times New Roman" w:eastAsia="Calibri" w:hAnsi="Times New Roman" w:cs="Times New Roman"/>
          <w:sz w:val="24"/>
          <w:szCs w:val="24"/>
        </w:rPr>
        <w:t xml:space="preserve">’s website (“In partnership with </w:t>
      </w:r>
      <w:r w:rsidRPr="005110DC">
        <w:rPr>
          <w:rFonts w:ascii="Times New Roman" w:eastAsia="Calibri" w:hAnsi="Times New Roman" w:cs="Times New Roman"/>
          <w:i/>
          <w:sz w:val="24"/>
          <w:szCs w:val="24"/>
        </w:rPr>
        <w:t>How To Look Good Naked</w:t>
      </w:r>
      <w:r w:rsidRPr="005110DC">
        <w:rPr>
          <w:rFonts w:ascii="Times New Roman" w:eastAsia="Calibri" w:hAnsi="Times New Roman" w:cs="Times New Roman"/>
          <w:sz w:val="24"/>
          <w:szCs w:val="24"/>
        </w:rPr>
        <w:t>, Dove is fighting the traditional idea that age is an imperfection that needs to be corrected”</w:t>
      </w:r>
      <w:r w:rsidRPr="00B93D25">
        <w:rPr>
          <w:rStyle w:val="FootnoteReference"/>
        </w:rPr>
        <w:footnoteReference w:id="95"/>
      </w:r>
      <w:r w:rsidRPr="005110DC">
        <w:rPr>
          <w:rFonts w:ascii="Times New Roman" w:eastAsia="Calibri" w:hAnsi="Times New Roman" w:cs="Times New Roman"/>
          <w:sz w:val="24"/>
          <w:szCs w:val="24"/>
        </w:rPr>
        <w:t xml:space="preserve">).  </w:t>
      </w:r>
    </w:p>
    <w:p w14:paraId="6449292E"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Thus my findings suggest that the phenomena of ‘continuous integration’ and ‘deep integration’ are novel features of contemporary media production, and that together they indicate that embedded branding should be seen as a new phase of commercialisation. In this new phase, the blurring of content and commerce goes far deeper and further than before. Commercial co-operations are first anchored into the depth of content, but then tend to spill over around the </w:t>
      </w:r>
      <w:r w:rsidRPr="005110DC">
        <w:rPr>
          <w:rFonts w:ascii="Times New Roman" w:eastAsia="Calibri" w:hAnsi="Times New Roman" w:cs="Times New Roman"/>
          <w:sz w:val="24"/>
          <w:szCs w:val="24"/>
        </w:rPr>
        <w:lastRenderedPageBreak/>
        <w:t xml:space="preserve">programme and beyond it. This creates a media environment that is saturated with representations of this coupling - the sponsor and the programme - and the messages they wish to convey, so they become inseparable and ‘natural’ to viewers. In this new scene, the digital arena plays an especially important role, as its characteristics and lack of regulation push for further blurring between content and advertising. </w:t>
      </w:r>
    </w:p>
    <w:p w14:paraId="65BDC87D" w14:textId="77777777" w:rsidR="00497B7D" w:rsidRPr="005110DC" w:rsidRDefault="00497B7D" w:rsidP="00346CA5">
      <w:pPr>
        <w:spacing w:line="360" w:lineRule="auto"/>
        <w:rPr>
          <w:rFonts w:ascii="Times New Roman" w:eastAsia="Calibri" w:hAnsi="Times New Roman" w:cs="Times New Roman"/>
          <w:color w:val="000000"/>
          <w:sz w:val="24"/>
          <w:szCs w:val="24"/>
        </w:rPr>
      </w:pPr>
      <w:r w:rsidRPr="005110DC">
        <w:rPr>
          <w:rFonts w:ascii="Times New Roman" w:eastAsia="Calibri" w:hAnsi="Times New Roman" w:cs="Times New Roman"/>
          <w:sz w:val="24"/>
          <w:szCs w:val="24"/>
        </w:rPr>
        <w:t xml:space="preserve">These new characteristics are best understood in light of the recent literature on branding, as presented in Chapter 2. </w:t>
      </w:r>
      <w:r w:rsidRPr="005110DC">
        <w:rPr>
          <w:rFonts w:ascii="Times New Roman" w:eastAsia="Calibri" w:hAnsi="Times New Roman" w:cs="Times New Roman"/>
          <w:color w:val="000000"/>
          <w:sz w:val="24"/>
          <w:szCs w:val="24"/>
        </w:rPr>
        <w:t>There are two points that are noteworthy in the way brands ‘work’: they are oriented towards integrating themselves into the consumers’ everyday life in an ‘authentic’ and natural way</w:t>
      </w:r>
      <w:r>
        <w:rPr>
          <w:rFonts w:ascii="Times New Roman" w:eastAsia="Calibri" w:hAnsi="Times New Roman" w:cs="Times New Roman"/>
          <w:color w:val="000000"/>
          <w:sz w:val="24"/>
          <w:szCs w:val="24"/>
        </w:rPr>
        <w:t xml:space="preserve"> (Arvidsson, 2006; Lury, 2004; Moor, 2007)</w:t>
      </w:r>
      <w:r w:rsidRPr="005110DC">
        <w:rPr>
          <w:rFonts w:ascii="Times New Roman" w:eastAsia="Calibri" w:hAnsi="Times New Roman" w:cs="Times New Roman"/>
          <w:color w:val="000000"/>
          <w:sz w:val="24"/>
          <w:szCs w:val="24"/>
        </w:rPr>
        <w:t xml:space="preserve"> and they wish to become an integral part of consumers’ identities, to guide their perceptions, values, life style and ultimately behaviour. Arvidsson (2006) thus refers to brands as ‘building blocks’ for consumers to create meaning and identity. Sponsoring media content, i.e. ‘branded content’, therefore, is part of brands’ general tendency to expand into previously non-commercialised spaces. </w:t>
      </w:r>
    </w:p>
    <w:p w14:paraId="3CC14A23" w14:textId="77777777" w:rsidR="00497B7D" w:rsidRPr="005110DC" w:rsidRDefault="00497B7D" w:rsidP="00346CA5">
      <w:pPr>
        <w:spacing w:line="360" w:lineRule="auto"/>
        <w:rPr>
          <w:rFonts w:ascii="Times New Roman" w:eastAsia="Calibri" w:hAnsi="Times New Roman" w:cs="Times New Roman"/>
          <w:color w:val="000000"/>
          <w:sz w:val="24"/>
          <w:szCs w:val="24"/>
        </w:rPr>
      </w:pPr>
      <w:r w:rsidRPr="005110DC">
        <w:rPr>
          <w:rFonts w:ascii="Times New Roman" w:eastAsia="Calibri" w:hAnsi="Times New Roman" w:cs="Times New Roman"/>
          <w:color w:val="000000"/>
          <w:sz w:val="24"/>
          <w:szCs w:val="24"/>
        </w:rPr>
        <w:t>The second point is that branding uses design to embody brand values and identity in a way that is, on one hand, quickly and easily recognisable by consumers across different spaces, like a ‘pop out’ effect, and on the other, is flexible and can change to fit into the context of the specific space. This happens through the use of logos, clearly defined colours, fonts and other visual signs which give the brands’ identity and core values a visual and material form</w:t>
      </w:r>
      <w:r>
        <w:rPr>
          <w:rFonts w:ascii="Times New Roman" w:eastAsia="Calibri" w:hAnsi="Times New Roman" w:cs="Times New Roman"/>
          <w:color w:val="000000"/>
          <w:sz w:val="24"/>
          <w:szCs w:val="24"/>
        </w:rPr>
        <w:t xml:space="preserve"> (Moor, 2007)</w:t>
      </w:r>
      <w:r w:rsidRPr="005110DC">
        <w:rPr>
          <w:rFonts w:ascii="Times New Roman" w:eastAsia="Calibri" w:hAnsi="Times New Roman" w:cs="Times New Roman"/>
          <w:color w:val="000000"/>
          <w:sz w:val="24"/>
          <w:szCs w:val="24"/>
        </w:rPr>
        <w:t xml:space="preserve">. These features help us to understand the rise of these novel characteristics I described – deep integration and continuous integration - in which the brand is embodied through abstract representations that ‘flow’ across multiple platforms. Thus, it is the ‘spatial turn’ of brands that best supports my claim for a new phase of commercialisation, that goes even further than the McChesney’s </w:t>
      </w:r>
      <w:r w:rsidRPr="005110DC">
        <w:rPr>
          <w:rFonts w:ascii="Times New Roman" w:eastAsia="Calibri" w:hAnsi="Times New Roman" w:cs="Times New Roman"/>
          <w:noProof/>
          <w:color w:val="000000"/>
          <w:sz w:val="24"/>
          <w:szCs w:val="24"/>
        </w:rPr>
        <w:t>(2004)</w:t>
      </w:r>
      <w:r w:rsidRPr="005110DC">
        <w:rPr>
          <w:rFonts w:ascii="Times New Roman" w:eastAsia="Calibri" w:hAnsi="Times New Roman" w:cs="Times New Roman"/>
          <w:color w:val="000000"/>
          <w:sz w:val="24"/>
          <w:szCs w:val="24"/>
        </w:rPr>
        <w:t xml:space="preserve"> ‘hyper-commercialisation’ argument to what should, perhaps, be considered as ‘hyper-hyper’ commercialisation.  </w:t>
      </w:r>
    </w:p>
    <w:p w14:paraId="5E45FBAD" w14:textId="77777777" w:rsidR="00497B7D" w:rsidRPr="005110DC" w:rsidRDefault="00497B7D" w:rsidP="00346CA5">
      <w:pPr>
        <w:spacing w:line="360" w:lineRule="auto"/>
        <w:jc w:val="center"/>
        <w:rPr>
          <w:rFonts w:ascii="Times New Roman" w:eastAsia="Calibri" w:hAnsi="Times New Roman" w:cs="Times New Roman"/>
          <w:b/>
          <w:bCs/>
          <w:sz w:val="24"/>
          <w:szCs w:val="24"/>
        </w:rPr>
      </w:pPr>
    </w:p>
    <w:p w14:paraId="3DD50951" w14:textId="77777777" w:rsidR="00497B7D" w:rsidRPr="009B5102" w:rsidRDefault="00497B7D" w:rsidP="00346CA5">
      <w:pPr>
        <w:pStyle w:val="Heading2"/>
      </w:pPr>
      <w:bookmarkStart w:id="120" w:name="_Toc445202717"/>
      <w:r w:rsidRPr="009B5102">
        <w:t>Harms to the Cultural Public Sphere</w:t>
      </w:r>
      <w:bookmarkEnd w:id="120"/>
    </w:p>
    <w:p w14:paraId="30D350BA" w14:textId="77777777" w:rsidR="00497B7D" w:rsidRPr="005110DC" w:rsidRDefault="00497B7D" w:rsidP="00095B73">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There is more than one way to approach the question of harm being caused by the rise of ‘branded content’. It raises questions as to fair competition (as some brands ‘buy’ access to </w:t>
      </w:r>
      <w:r w:rsidRPr="005110DC">
        <w:rPr>
          <w:rFonts w:ascii="Times New Roman" w:eastAsia="Calibri" w:hAnsi="Times New Roman" w:cs="Times New Roman"/>
          <w:sz w:val="24"/>
          <w:szCs w:val="24"/>
        </w:rPr>
        <w:lastRenderedPageBreak/>
        <w:t>programming and leave their competitors outside)</w:t>
      </w:r>
      <w:r w:rsidRPr="00B93D25">
        <w:rPr>
          <w:rStyle w:val="FootnoteReference"/>
        </w:rPr>
        <w:footnoteReference w:id="96"/>
      </w:r>
      <w:r w:rsidRPr="005110DC">
        <w:rPr>
          <w:rFonts w:ascii="Times New Roman" w:eastAsia="Calibri" w:hAnsi="Times New Roman" w:cs="Times New Roman"/>
          <w:sz w:val="24"/>
          <w:szCs w:val="24"/>
        </w:rPr>
        <w:t xml:space="preserve"> and, more importantly, it touches on questions regarding consumer rights protection (as audiences are exposed to surreptitious advertising). Goodman </w:t>
      </w:r>
      <w:r w:rsidRPr="009B5102">
        <w:rPr>
          <w:rFonts w:ascii="Times New Roman" w:eastAsia="Calibri" w:hAnsi="Times New Roman" w:cs="Times New Roman"/>
          <w:noProof/>
          <w:sz w:val="24"/>
          <w:szCs w:val="24"/>
        </w:rPr>
        <w:t>(2006)</w:t>
      </w:r>
      <w:r w:rsidRPr="005110DC">
        <w:rPr>
          <w:rFonts w:ascii="Times New Roman" w:eastAsia="Calibri" w:hAnsi="Times New Roman" w:cs="Times New Roman"/>
          <w:sz w:val="24"/>
          <w:szCs w:val="24"/>
        </w:rPr>
        <w:t xml:space="preserve">, for example, has explored in detail the different theories of harm in relation to what she calls ‘stealth marketing’. However, my interest in this research was a specific one: I wanted to look at the implications of this model of commercial funding on public discourse. For this purpose, I have relied on Habermas’ notion of the public sphere (1989) and his theory of communicative action (1984) and tried to understand if it is possible to point out one harmful effect (or a number of them) caused by the ongoing involvement of brands in the production of media content. </w:t>
      </w:r>
    </w:p>
    <w:p w14:paraId="35CCC36B" w14:textId="0816D816"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The empirical data presented in this thesis shows how ‘branded content’ works to blur the line between editorial content and advertising. Habermas’ theory of discourse ethics, on the other hand - based on his notions of ‘communicative action’ and ‘strategic action’ - suggests these acts are inherently different. It is the tension between the reality of media markets - that ‘elective affinity’ between sponsors and producers - and the ethics of discourse, which is the basis for my discussion on the third research question regarding the potential harms to public discourse</w:t>
      </w:r>
      <w:r w:rsidR="007F21CA">
        <w:rPr>
          <w:rFonts w:ascii="Times New Roman" w:eastAsia="Calibri" w:hAnsi="Times New Roman" w:cs="Times New Roman"/>
          <w:sz w:val="24"/>
          <w:szCs w:val="24"/>
        </w:rPr>
        <w:t xml:space="preserve"> and, consequently, the appropriate regulatory steps (which will be discussed in the last section)</w:t>
      </w:r>
      <w:r w:rsidRPr="005110DC">
        <w:rPr>
          <w:rFonts w:ascii="Times New Roman" w:eastAsia="Calibri" w:hAnsi="Times New Roman" w:cs="Times New Roman"/>
          <w:sz w:val="24"/>
          <w:szCs w:val="24"/>
        </w:rPr>
        <w:t xml:space="preserve">. </w:t>
      </w:r>
    </w:p>
    <w:p w14:paraId="0B719D2A" w14:textId="77777777" w:rsidR="00497B7D" w:rsidRPr="005110DC" w:rsidRDefault="00497B7D" w:rsidP="00346CA5">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rPr>
        <w:t xml:space="preserve">However, as I have indicated in Chapter 1, it is appropriate to be cautious in suggesting </w:t>
      </w:r>
      <w:r w:rsidRPr="005110DC">
        <w:rPr>
          <w:rFonts w:ascii="Times New Roman" w:eastAsia="Calibri" w:hAnsi="Times New Roman" w:cs="Times New Roman"/>
          <w:sz w:val="24"/>
          <w:szCs w:val="24"/>
          <w:lang w:bidi="ar-SA"/>
        </w:rPr>
        <w:t xml:space="preserve">that any programme on television is necessarily ‘communicative’, i.e. generating a meaningful contribution to public discourse. But all programmes have the </w:t>
      </w:r>
      <w:r w:rsidRPr="005110DC">
        <w:rPr>
          <w:rFonts w:ascii="Times New Roman" w:eastAsia="Calibri" w:hAnsi="Times New Roman" w:cs="Times New Roman"/>
          <w:i/>
          <w:sz w:val="24"/>
          <w:szCs w:val="24"/>
          <w:lang w:bidi="ar-SA"/>
        </w:rPr>
        <w:t>potential</w:t>
      </w:r>
      <w:r w:rsidRPr="005110DC">
        <w:rPr>
          <w:rFonts w:ascii="Times New Roman" w:eastAsia="Calibri" w:hAnsi="Times New Roman" w:cs="Times New Roman"/>
          <w:sz w:val="24"/>
          <w:szCs w:val="24"/>
          <w:lang w:bidi="ar-SA"/>
        </w:rPr>
        <w:t xml:space="preserve"> to do so. Ideally, the public sphere should provide its actors with the conditions to engage in communicative action and the ability to differentiate it from strategic action. It should be a sphere which allows its actors to produce meaningful acts of speech. When a strategic action is consciously presented as a communicative one, as is the case with embedded branding, this is, in Habermas’ (1984) view, a ‘conscious deception’ or simply, a manipulation. In these situations:</w:t>
      </w:r>
    </w:p>
    <w:p w14:paraId="20A71E10" w14:textId="77777777" w:rsidR="00497B7D" w:rsidRPr="005110DC" w:rsidRDefault="00497B7D" w:rsidP="00346CA5">
      <w:pPr>
        <w:spacing w:line="360" w:lineRule="auto"/>
        <w:ind w:left="1304" w:right="1304"/>
        <w:jc w:val="both"/>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lang w:bidi="ar-SA"/>
        </w:rPr>
        <w:t>… at least one of the parties behaves with an orientation to success, but leaves others to believe that all the presuppositions of communicative action are satisfied (p. 332).</w:t>
      </w:r>
    </w:p>
    <w:p w14:paraId="4639226E"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lang w:bidi="ar-SA"/>
        </w:rPr>
        <w:lastRenderedPageBreak/>
        <w:t xml:space="preserve">It is the manipulative nature of ‘branded content’ that is the key to understanding its harmful effect. </w:t>
      </w:r>
    </w:p>
    <w:p w14:paraId="18EAAEE7"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However, I found Habermas’ notion of the public sphere to be too limited in the context of my discussion, as it</w:t>
      </w:r>
      <w:r w:rsidRPr="005110DC">
        <w:rPr>
          <w:rFonts w:ascii="Times New Roman" w:eastAsia="Calibri" w:hAnsi="Times New Roman" w:cs="Times New Roman"/>
          <w:sz w:val="24"/>
          <w:szCs w:val="24"/>
          <w:lang w:bidi="ar-SA"/>
        </w:rPr>
        <w:t xml:space="preserve"> is mainly concerned with political debate, the work of journalists and the ideal norms the press should uphold</w:t>
      </w:r>
      <w:r w:rsidRPr="00B93D25">
        <w:rPr>
          <w:rStyle w:val="FootnoteReference"/>
        </w:rPr>
        <w:footnoteReference w:id="97"/>
      </w:r>
      <w:r w:rsidRPr="005110DC">
        <w:rPr>
          <w:rFonts w:ascii="Times New Roman" w:eastAsia="Calibri" w:hAnsi="Times New Roman" w:cs="Times New Roman"/>
          <w:sz w:val="24"/>
          <w:szCs w:val="24"/>
          <w:lang w:bidi="ar-SA"/>
        </w:rPr>
        <w:t xml:space="preserve">. </w:t>
      </w:r>
      <w:r w:rsidRPr="005110DC">
        <w:rPr>
          <w:rFonts w:ascii="Times New Roman" w:eastAsia="Calibri" w:hAnsi="Times New Roman" w:cs="Times New Roman"/>
          <w:sz w:val="24"/>
          <w:szCs w:val="24"/>
        </w:rPr>
        <w:t xml:space="preserve">Embedded branding actually emerged and flourished in genres that are viewed as ‘entertainment ’and therefore considered to be less significant to the maintenance of public debate. But this understanding seems to be detached from the reality of the contemporary media landscape, in which ‘light’ programming often touches on social and political issues and becomes nonetheless significant. The case studies clearly suggest this is the situation. They discuss issues that are public as much as private: the financial situation of individuals and families or women’s self-esteem as an outcome of society’s perception of their bodies. </w:t>
      </w:r>
    </w:p>
    <w:p w14:paraId="7E449EB1" w14:textId="77777777" w:rsidR="00497B7D" w:rsidRPr="005110DC" w:rsidRDefault="00497B7D" w:rsidP="00346CA5">
      <w:pPr>
        <w:spacing w:line="360" w:lineRule="auto"/>
        <w:jc w:val="both"/>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lang w:bidi="ar-SA"/>
        </w:rPr>
        <w:t xml:space="preserve">I therefore </w:t>
      </w:r>
      <w:r w:rsidRPr="005110DC">
        <w:rPr>
          <w:rFonts w:ascii="Times New Roman" w:eastAsia="Calibri" w:hAnsi="Times New Roman" w:cs="Times New Roman"/>
          <w:sz w:val="24"/>
          <w:szCs w:val="24"/>
        </w:rPr>
        <w:t>preferred</w:t>
      </w:r>
      <w:r w:rsidRPr="005110DC">
        <w:rPr>
          <w:rFonts w:ascii="Times New Roman" w:eastAsia="Calibri" w:hAnsi="Times New Roman" w:cs="Times New Roman"/>
          <w:sz w:val="24"/>
          <w:szCs w:val="24"/>
          <w:lang w:bidi="ar-SA"/>
        </w:rPr>
        <w:t xml:space="preserve"> McGuigan’s </w:t>
      </w:r>
      <w:r>
        <w:rPr>
          <w:rFonts w:ascii="Times New Roman" w:eastAsia="Calibri" w:hAnsi="Times New Roman" w:cs="Times New Roman"/>
          <w:noProof/>
          <w:sz w:val="24"/>
          <w:szCs w:val="24"/>
          <w:lang w:bidi="ar-SA"/>
        </w:rPr>
        <w:t>(2005)</w:t>
      </w:r>
      <w:r w:rsidRPr="005110DC">
        <w:rPr>
          <w:rFonts w:ascii="Times New Roman" w:eastAsia="Calibri" w:hAnsi="Times New Roman" w:cs="Times New Roman"/>
          <w:sz w:val="24"/>
          <w:szCs w:val="24"/>
          <w:lang w:bidi="ar-SA"/>
        </w:rPr>
        <w:t xml:space="preserve"> more elaborated notion of the cultural public sphere, as presented in Chapter 1. Public discourse, according to McGuigan, is not limited to news and current affairs programming, but rather has a fluid nature; it ‘flows’ across many genres and echoes through many different modes of mediation. What may start as a simple news report (e.g. phone hacking of a member of the royal family) or as an ongoing issue that occupies the press (e.g. concentration of ownership in the media and corruption) can then be discussed and processed again and again in satire, comedy, reality TV shows, drama and so on. McGuigan's cultural public sphere includes various genres that can be nonetheless meaningful to public discourse. Basically, it can include any form and genre of mediated communication. </w:t>
      </w:r>
    </w:p>
    <w:p w14:paraId="2988F725"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What are the potential harms caused by the abundance of manipulative messages in the cultural public sphere? </w:t>
      </w:r>
      <w:r w:rsidRPr="005110DC">
        <w:rPr>
          <w:rFonts w:ascii="Times New Roman" w:eastAsia="Calibri" w:hAnsi="Times New Roman" w:cs="Times New Roman"/>
          <w:sz w:val="24"/>
          <w:szCs w:val="24"/>
          <w:lang w:bidi="ar-SA"/>
        </w:rPr>
        <w:t xml:space="preserve">The first potential for harm is that of saturation of the public sphere with manipulative messages and the viewers’ inability to identify them as such. This means that media consumers may not be able to tell if the different elements of a television programme (or any other media output for that matter) are the result of an editorial choice or an outcome of a commercial deal. Thus, they assume what they watch is a communicative message, without </w:t>
      </w:r>
      <w:r w:rsidRPr="005110DC">
        <w:rPr>
          <w:rFonts w:ascii="Times New Roman" w:eastAsia="Calibri" w:hAnsi="Times New Roman" w:cs="Times New Roman"/>
          <w:sz w:val="24"/>
          <w:szCs w:val="24"/>
          <w:lang w:bidi="ar-SA"/>
        </w:rPr>
        <w:lastRenderedPageBreak/>
        <w:t xml:space="preserve">being aware of the possibility that some of its elements are strategic. The harm in this situation does not end with the deceit of audiences and the abuse of their trust. The </w:t>
      </w:r>
      <w:r w:rsidRPr="005110DC">
        <w:rPr>
          <w:rFonts w:ascii="Times New Roman" w:eastAsia="Calibri" w:hAnsi="Times New Roman" w:cs="Times New Roman"/>
          <w:sz w:val="24"/>
          <w:szCs w:val="24"/>
        </w:rPr>
        <w:t>merging</w:t>
      </w:r>
      <w:r w:rsidRPr="005110DC">
        <w:rPr>
          <w:rFonts w:ascii="Times New Roman" w:eastAsia="Calibri" w:hAnsi="Times New Roman" w:cs="Times New Roman"/>
          <w:sz w:val="24"/>
          <w:szCs w:val="24"/>
          <w:lang w:bidi="ar-SA"/>
        </w:rPr>
        <w:t xml:space="preserve"> of communicative actions with strategic ones distorts the editorial process as a whole. </w:t>
      </w:r>
      <w:r w:rsidRPr="005110DC">
        <w:rPr>
          <w:rFonts w:ascii="Times New Roman" w:eastAsia="Calibri" w:hAnsi="Times New Roman" w:cs="Times New Roman"/>
          <w:sz w:val="24"/>
          <w:szCs w:val="24"/>
        </w:rPr>
        <w:t xml:space="preserve">It opens a ‘gate’ for commercial interests to enter the cultural public sphere and allows brands to amplify what they see as significant, through sponsoring, while these topics, or their framing, do not necessarily align with the public interest. On the other hand, it marginalises other topics that are unappealing to sponsors, by impairing their chances of finding financial backing, being produced and consequently voiced in public, for example the problematic role of the two leading banks, Bank Hapo’alim being one of them, within the Israeli economy, or the role of giant corporations such as Unilever itself in promoting a narrow and unrealistic image of female beauty. This ultimately distorts the editorial process as a whole and threatens to paralyze its most important role, that of agenda setting, in the name of the public interest. </w:t>
      </w:r>
    </w:p>
    <w:p w14:paraId="067E1040" w14:textId="77777777" w:rsidR="00497B7D" w:rsidRPr="009B5102" w:rsidRDefault="00497B7D" w:rsidP="00346CA5">
      <w:pPr>
        <w:spacing w:line="360" w:lineRule="auto"/>
        <w:contextualSpacing/>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The problem is not whether one topic or another was presented correctly or fairly, but the fundamental instrumental approach that is at the basis of promoting one brand’s ‘agenda’ over another’s. It was no coincidence that I chose to look, in the British case, at a commercial campaign that was actually ‘easy’ to like and sympathise with, such as the </w:t>
      </w:r>
      <w:r w:rsidRPr="005110DC">
        <w:rPr>
          <w:rFonts w:ascii="Times New Roman" w:eastAsia="Calibri" w:hAnsi="Times New Roman" w:cs="Times New Roman"/>
          <w:i/>
          <w:iCs/>
          <w:sz w:val="24"/>
          <w:szCs w:val="24"/>
        </w:rPr>
        <w:t>Real Beauty</w:t>
      </w:r>
      <w:r w:rsidRPr="005110DC">
        <w:rPr>
          <w:rFonts w:ascii="Times New Roman" w:eastAsia="Calibri" w:hAnsi="Times New Roman" w:cs="Times New Roman"/>
          <w:sz w:val="24"/>
          <w:szCs w:val="24"/>
        </w:rPr>
        <w:t xml:space="preserve"> campaign. More than once I was asked “But what’s wrong with it? It works to empower women!”. The problem, to put it simply, is that Unilever, the corporation behind the campaign, does not really care about feminist issues and needless to say, is not a feminist organisation. Like any other corporation, it is practically ‘blind’ or indifferent to the public meaning of its marketing messages and approaches them instrumentally: the corporation produced the </w:t>
      </w:r>
      <w:r w:rsidRPr="005110DC">
        <w:rPr>
          <w:rFonts w:ascii="Times New Roman" w:eastAsia="Calibri" w:hAnsi="Times New Roman" w:cs="Times New Roman"/>
          <w:i/>
          <w:iCs/>
          <w:sz w:val="24"/>
          <w:szCs w:val="24"/>
        </w:rPr>
        <w:t>Real Beauty</w:t>
      </w:r>
      <w:r w:rsidRPr="005110DC">
        <w:rPr>
          <w:rFonts w:ascii="Times New Roman" w:eastAsia="Calibri" w:hAnsi="Times New Roman" w:cs="Times New Roman"/>
          <w:sz w:val="24"/>
          <w:szCs w:val="24"/>
        </w:rPr>
        <w:t xml:space="preserve"> campaign on one hand, while on the other - the sexist line of advertising for Axe deodorants for men, which presented young and thin women with bikinis as wild animals, running ferociously, stepping over each other, in their chase after the smell of a man</w:t>
      </w:r>
      <w:r w:rsidRPr="00B93D25">
        <w:rPr>
          <w:rStyle w:val="FootnoteReference"/>
        </w:rPr>
        <w:footnoteReference w:id="98"/>
      </w:r>
      <w:r w:rsidRPr="005110DC">
        <w:rPr>
          <w:rFonts w:ascii="Times New Roman" w:eastAsia="Calibri" w:hAnsi="Times New Roman" w:cs="Times New Roman"/>
          <w:sz w:val="24"/>
          <w:szCs w:val="24"/>
        </w:rPr>
        <w:t xml:space="preserve">. There was nothing ‘real’ about the Axe women. The two campaigns voiced very different messages, contradicting ones, because they were targeted at different audiences, but both served the strategic goals of a single source, that of Unilever. </w:t>
      </w:r>
    </w:p>
    <w:p w14:paraId="2D421781" w14:textId="77777777" w:rsidR="00497B7D" w:rsidRPr="005110DC" w:rsidRDefault="00497B7D" w:rsidP="00346CA5">
      <w:pPr>
        <w:spacing w:line="360" w:lineRule="auto"/>
        <w:contextualSpacing/>
        <w:rPr>
          <w:rFonts w:ascii="Times New Roman" w:eastAsia="Calibri" w:hAnsi="Times New Roman" w:cs="Times New Roman"/>
          <w:sz w:val="24"/>
          <w:szCs w:val="24"/>
        </w:rPr>
      </w:pPr>
    </w:p>
    <w:p w14:paraId="5B8C88CD" w14:textId="77777777" w:rsidR="00497B7D" w:rsidRPr="005110DC" w:rsidRDefault="00497B7D" w:rsidP="00346CA5">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rPr>
        <w:lastRenderedPageBreak/>
        <w:t xml:space="preserve">The second potential harm stems from the first one: once manipulation is revealed there may be a gradual loss of trust in media discourse/content. In this situation, once audiences become more aware  </w:t>
      </w:r>
      <w:r w:rsidRPr="005110DC">
        <w:rPr>
          <w:rFonts w:ascii="Times New Roman" w:eastAsia="Calibri" w:hAnsi="Times New Roman" w:cs="Times New Roman"/>
          <w:sz w:val="24"/>
          <w:szCs w:val="24"/>
          <w:lang w:bidi="ar-SA"/>
        </w:rPr>
        <w:t xml:space="preserve">that some of the messages presented to them in the media are actually inauthentic, they may become suspicious not only towards messages that were manufactured by branded content agents, but also toward sincere and independent editorial choices, simply because they cannot tell the former from the latter. In that sense, ‘branded content’ in a reality show at 7 pm may damage the trust in an independent documentary broadcast at 9 pm. It is the threat of a gradual loss of trust towards mediated communication that is the gravest harm caused by embedded branding. </w:t>
      </w:r>
    </w:p>
    <w:p w14:paraId="3969119D" w14:textId="77777777" w:rsidR="00497B7D" w:rsidRPr="005110DC" w:rsidRDefault="00497B7D" w:rsidP="00346CA5">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lang w:bidi="ar-SA"/>
        </w:rPr>
        <w:t>Of course, mistrust in the media can grow for different reasons; many of them already present, such as unethical influence because of concentration in the media, cross-promotion</w:t>
      </w:r>
      <w:r>
        <w:rPr>
          <w:rFonts w:ascii="Times New Roman" w:eastAsia="Calibri" w:hAnsi="Times New Roman" w:cs="Times New Roman"/>
          <w:sz w:val="24"/>
          <w:szCs w:val="24"/>
          <w:lang w:bidi="ar-SA"/>
        </w:rPr>
        <w:t xml:space="preserve"> (Hardy, 2010)</w:t>
      </w:r>
      <w:r w:rsidRPr="005110DC">
        <w:rPr>
          <w:rFonts w:ascii="Times New Roman" w:eastAsia="Calibri" w:hAnsi="Times New Roman" w:cs="Times New Roman"/>
          <w:sz w:val="24"/>
          <w:szCs w:val="24"/>
          <w:lang w:bidi="ar-SA"/>
        </w:rPr>
        <w:t xml:space="preserve"> or corruptive connections between private ownership and the political arena. However, in light of the findings of this thesis, mistrust that originates in commercial funding of content should be considered a serious and evident threat to audiences’ general trust in media and treated with grave concern as the phenomenon keeps thriving, especially in the digital arena.</w:t>
      </w:r>
    </w:p>
    <w:p w14:paraId="0ED59884" w14:textId="77777777" w:rsidR="00497B7D" w:rsidRPr="005110DC" w:rsidRDefault="00497B7D" w:rsidP="00346CA5">
      <w:pPr>
        <w:spacing w:line="360" w:lineRule="auto"/>
        <w:rPr>
          <w:rFonts w:ascii="Times New Roman" w:eastAsia="Calibri" w:hAnsi="Times New Roman" w:cs="Times New Roman"/>
          <w:sz w:val="24"/>
          <w:szCs w:val="24"/>
          <w:lang w:bidi="ar-SA"/>
        </w:rPr>
      </w:pPr>
    </w:p>
    <w:p w14:paraId="3348C9AF" w14:textId="420A6452" w:rsidR="00497B7D" w:rsidRPr="009B5102" w:rsidRDefault="00497B7D" w:rsidP="00346CA5">
      <w:pPr>
        <w:pStyle w:val="Heading2"/>
      </w:pPr>
      <w:bookmarkStart w:id="121" w:name="_Toc445202718"/>
      <w:r w:rsidRPr="009B5102">
        <w:t>Contribution to Knowledge</w:t>
      </w:r>
      <w:r w:rsidR="00F9011C">
        <w:t>, Policy Recommendations</w:t>
      </w:r>
      <w:r w:rsidRPr="009B5102">
        <w:t>, Limitations of the Research and a Look Forward</w:t>
      </w:r>
      <w:bookmarkEnd w:id="121"/>
    </w:p>
    <w:p w14:paraId="0A6E0E3A" w14:textId="77777777" w:rsidR="00497B7D" w:rsidRPr="005110DC" w:rsidRDefault="00497B7D" w:rsidP="00346CA5">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lang w:bidi="ar-SA"/>
        </w:rPr>
        <w:t xml:space="preserve">My findings contribute to debates about media commercialisation by pushing them beyond the traditional focus on product placement discussed in the past by prominent media scholars </w:t>
      </w:r>
      <w:r w:rsidRPr="005110DC">
        <w:rPr>
          <w:rFonts w:ascii="Times New Roman" w:eastAsia="Calibri" w:hAnsi="Times New Roman" w:cs="Times New Roman"/>
          <w:noProof/>
          <w:sz w:val="24"/>
          <w:szCs w:val="24"/>
          <w:lang w:bidi="ar-SA"/>
        </w:rPr>
        <w:t>(Jenkins, 2006; McChesney, 2004; Turow, 2006)</w:t>
      </w:r>
      <w:r w:rsidRPr="005110DC">
        <w:rPr>
          <w:rFonts w:ascii="Times New Roman" w:eastAsia="Calibri" w:hAnsi="Times New Roman" w:cs="Times New Roman"/>
          <w:sz w:val="24"/>
          <w:szCs w:val="24"/>
          <w:lang w:bidi="ar-SA"/>
        </w:rPr>
        <w:t xml:space="preserve">. They put more weight on this phenomenon as a funding model, i.e. sponsorship, and uncover its nature in the digital era as a multi-layered, intangible and encompassing process in which brands influence public discourse in ways that are harder to notice and dissect. </w:t>
      </w:r>
    </w:p>
    <w:p w14:paraId="3B247DC5" w14:textId="77777777" w:rsidR="00497B7D" w:rsidRPr="005110DC" w:rsidRDefault="00497B7D" w:rsidP="00346CA5">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lang w:bidi="ar-SA"/>
        </w:rPr>
        <w:t xml:space="preserve">I have shown how the rise of branding has shifted marketers’ focus from pushing forward their products or services in programming, to promoting their brand through ‘values’ and design. By that, I meant to emphasise the significance of branding rather than the more conventional perspective which mainly looks at technological changes and the alleged ‘death of the 30-second </w:t>
      </w:r>
      <w:r w:rsidRPr="005110DC">
        <w:rPr>
          <w:rFonts w:ascii="Times New Roman" w:eastAsia="Calibri" w:hAnsi="Times New Roman" w:cs="Times New Roman"/>
          <w:sz w:val="24"/>
          <w:szCs w:val="24"/>
          <w:lang w:bidi="ar-SA"/>
        </w:rPr>
        <w:lastRenderedPageBreak/>
        <w:t xml:space="preserve">spot’. The new phase in the commercialisation of media content that I describe suggests an intangible and more alarming influence sponsors wish to have over public discourse than the conventional perception of product placement, as it is oriented towards ‘ideas’ rather than objects. I argue this poses significant threats to the functioning of the cultural public sphere. </w:t>
      </w:r>
    </w:p>
    <w:p w14:paraId="01F9B8F9" w14:textId="77777777" w:rsidR="00497B7D" w:rsidRPr="005110DC" w:rsidRDefault="00497B7D" w:rsidP="00346CA5">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lang w:bidi="ar-SA"/>
        </w:rPr>
        <w:t xml:space="preserve">Second, the findings I have presented  emphasise the tendency of ‘branded content’ deals to flow across platforms and surround media consumers with an artificial environment in which the matching between the production and its sponsors is ‘naturalised’, until it is finally re-embodied in non-mediated events and becomes ‘real’. This adds more layers to the critical discourse on the harmful influence of brands and, more generally, the immense power of corporations. </w:t>
      </w:r>
    </w:p>
    <w:p w14:paraId="6439EA18" w14:textId="77777777" w:rsidR="00497B7D" w:rsidRPr="005110DC" w:rsidRDefault="00497B7D" w:rsidP="00346CA5">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lang w:bidi="ar-SA"/>
        </w:rPr>
        <w:t xml:space="preserve">Third, in my analysis I gave special attention to the </w:t>
      </w:r>
      <w:r w:rsidRPr="005110DC">
        <w:rPr>
          <w:rFonts w:ascii="Times New Roman" w:eastAsia="Calibri" w:hAnsi="Times New Roman" w:cs="Times New Roman"/>
          <w:sz w:val="24"/>
          <w:szCs w:val="24"/>
        </w:rPr>
        <w:t>role</w:t>
      </w:r>
      <w:r w:rsidRPr="005110DC">
        <w:rPr>
          <w:rFonts w:ascii="Times New Roman" w:eastAsia="Calibri" w:hAnsi="Times New Roman" w:cs="Times New Roman"/>
          <w:sz w:val="24"/>
          <w:szCs w:val="24"/>
          <w:lang w:bidi="ar-SA"/>
        </w:rPr>
        <w:t xml:space="preserve"> of the digital arena in further blurring the line between content and advertising in comparison with linear media (such as television). This is a contribution to the greater effort made by scholars to portray and understand the changes resulting from the shift between ‘old media’ and the ‘new’ one and their implications. </w:t>
      </w:r>
    </w:p>
    <w:p w14:paraId="1CD6790F" w14:textId="51C03301" w:rsidR="00497B7D" w:rsidRPr="005110DC" w:rsidRDefault="00497B7D" w:rsidP="00511B07">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lang w:bidi="ar-SA"/>
        </w:rPr>
        <w:t xml:space="preserve">Fourth, I have presented theoretical tools, based on the ongoing debate around the Habermasian public sphere concept and its theory of discourse ethics (Habermas, 1984) to draw the line between production of media content and </w:t>
      </w:r>
      <w:r w:rsidR="00511B07">
        <w:rPr>
          <w:rFonts w:ascii="Times New Roman" w:eastAsia="Calibri" w:hAnsi="Times New Roman" w:cs="Times New Roman"/>
          <w:sz w:val="24"/>
          <w:szCs w:val="24"/>
          <w:lang w:bidi="ar-SA"/>
        </w:rPr>
        <w:t>advertising</w:t>
      </w:r>
      <w:r w:rsidRPr="005110DC">
        <w:rPr>
          <w:rFonts w:ascii="Times New Roman" w:eastAsia="Calibri" w:hAnsi="Times New Roman" w:cs="Times New Roman"/>
          <w:sz w:val="24"/>
          <w:szCs w:val="24"/>
          <w:lang w:bidi="ar-SA"/>
        </w:rPr>
        <w:t>. This question - the fundamental difference between content and advertising - is at the heart of any debate on commercialisation in the digital age and will become, I believe, more and more relevant as the blurring between the two deepens.</w:t>
      </w:r>
    </w:p>
    <w:p w14:paraId="6AEEF2DD" w14:textId="77777777" w:rsidR="00497B7D" w:rsidRPr="005110DC" w:rsidRDefault="00497B7D" w:rsidP="00346CA5">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lang w:bidi="ar-SA"/>
        </w:rPr>
        <w:t xml:space="preserve">Furthermore, my findings and analysis elaborate the discussion of commercialisation beyond the narrow terrain of journalism and present public debate as a fluid process that happens in various genres and modes of creation, reality television being one of them. I believe that my use of McGuigan's (2005) notion of the ‘cultural public sphere’ would be useful to other scholars, as the conventional hierarchies of genres erode and the need to discuss standards of media content in general, rather than just ethics of journalism, becomes a necessity.  </w:t>
      </w:r>
    </w:p>
    <w:p w14:paraId="6BE7EDE3" w14:textId="77777777" w:rsidR="00497B7D" w:rsidRPr="005110DC" w:rsidRDefault="00497B7D" w:rsidP="00346CA5">
      <w:pPr>
        <w:spacing w:line="360" w:lineRule="auto"/>
        <w:rPr>
          <w:rFonts w:ascii="Times New Roman" w:eastAsia="Calibri" w:hAnsi="Times New Roman" w:cs="Times New Roman"/>
          <w:sz w:val="24"/>
          <w:szCs w:val="24"/>
          <w:lang w:bidi="ar-SA"/>
        </w:rPr>
      </w:pPr>
      <w:r w:rsidRPr="005110DC">
        <w:rPr>
          <w:rFonts w:ascii="Times New Roman" w:eastAsia="Calibri" w:hAnsi="Times New Roman" w:cs="Times New Roman"/>
          <w:sz w:val="24"/>
          <w:szCs w:val="24"/>
          <w:lang w:bidi="ar-SA"/>
        </w:rPr>
        <w:t xml:space="preserve">Lastly, taken together, the findings of the study offer some important new ways of thinking about ‘branded content’. I believe that the two dimensions presented along the thesis– deep integration (with its triple-layered model) and continuous integration – offer a new perspective on this field and supply useful tools for the understanding and analysis of commercialisation. They could be most helpful in further assessing and measuring this phenomenon in future research.   </w:t>
      </w:r>
    </w:p>
    <w:p w14:paraId="432AEF2E" w14:textId="2BEF637A" w:rsidR="00EB5E12" w:rsidRDefault="00583B0E" w:rsidP="00EB5E12">
      <w:pPr>
        <w:spacing w:line="360" w:lineRule="auto"/>
        <w:rPr>
          <w:rFonts w:ascii="Times New Roman" w:eastAsia="Calibri" w:hAnsi="Times New Roman" w:cs="Times New Roman"/>
          <w:sz w:val="24"/>
          <w:szCs w:val="24"/>
          <w:lang w:bidi="ar-SA"/>
        </w:rPr>
      </w:pPr>
      <w:r w:rsidRPr="00E665CD">
        <w:rPr>
          <w:rFonts w:ascii="Times New Roman" w:eastAsia="Calibri" w:hAnsi="Times New Roman" w:cs="Times New Roman"/>
          <w:sz w:val="24"/>
          <w:szCs w:val="24"/>
        </w:rPr>
        <w:lastRenderedPageBreak/>
        <w:t xml:space="preserve">As to policy making, my research suggests a need for a new perspective on this field by regulators and legislators, one that is better synchronised with the reality of media markets and the novel characteristics of </w:t>
      </w:r>
      <w:r w:rsidR="00155770">
        <w:rPr>
          <w:rFonts w:ascii="Times New Roman" w:eastAsia="Calibri" w:hAnsi="Times New Roman" w:cs="Times New Roman"/>
          <w:sz w:val="24"/>
          <w:szCs w:val="24"/>
        </w:rPr>
        <w:t>commercialization</w:t>
      </w:r>
      <w:r w:rsidR="00155770">
        <w:rPr>
          <w:rFonts w:ascii="Times New Roman" w:eastAsia="Calibri" w:hAnsi="Times New Roman" w:cs="Times New Roman"/>
          <w:sz w:val="24"/>
          <w:szCs w:val="24"/>
          <w:lang w:val="en-US"/>
        </w:rPr>
        <w:t>, as presented in this body of work</w:t>
      </w:r>
      <w:r w:rsidRPr="00E665CD">
        <w:rPr>
          <w:rFonts w:ascii="Times New Roman" w:eastAsia="Calibri" w:hAnsi="Times New Roman" w:cs="Times New Roman"/>
          <w:sz w:val="24"/>
          <w:szCs w:val="24"/>
        </w:rPr>
        <w:t xml:space="preserve">. </w:t>
      </w:r>
      <w:r w:rsidRPr="00E665CD">
        <w:rPr>
          <w:rFonts w:ascii="Times New Roman" w:eastAsia="Calibri" w:hAnsi="Times New Roman" w:cs="Times New Roman"/>
          <w:sz w:val="24"/>
          <w:szCs w:val="24"/>
          <w:lang w:bidi="ar-SA"/>
        </w:rPr>
        <w:t>As I have shown in Chapter 7, regulatory bodies in many countries find themselves in the middle of this contested arena, trying to find the middle ground between the immense forces that push media bodies to co-operate with sponsors, and the need to set standards for ethical media. Regulators vary in their success in implementing their policy</w:t>
      </w:r>
      <w:r w:rsidR="00EB5E12">
        <w:rPr>
          <w:rFonts w:ascii="Times New Roman" w:eastAsia="Calibri" w:hAnsi="Times New Roman" w:cs="Times New Roman"/>
          <w:sz w:val="24"/>
          <w:szCs w:val="24"/>
          <w:lang w:bidi="ar-SA"/>
        </w:rPr>
        <w:t>:</w:t>
      </w:r>
      <w:r w:rsidRPr="00E665CD">
        <w:rPr>
          <w:rFonts w:ascii="Times New Roman" w:eastAsia="Calibri" w:hAnsi="Times New Roman" w:cs="Times New Roman"/>
          <w:sz w:val="24"/>
          <w:szCs w:val="24"/>
          <w:lang w:bidi="ar-SA"/>
        </w:rPr>
        <w:t xml:space="preserve"> The Israeli case is an example of failing regulation</w:t>
      </w:r>
      <w:r w:rsidR="00EB5E12">
        <w:rPr>
          <w:rFonts w:ascii="Times New Roman" w:eastAsia="Calibri" w:hAnsi="Times New Roman" w:cs="Times New Roman"/>
          <w:sz w:val="24"/>
          <w:szCs w:val="24"/>
          <w:lang w:bidi="ar-SA"/>
        </w:rPr>
        <w:t>, while i</w:t>
      </w:r>
      <w:r w:rsidRPr="00E665CD">
        <w:rPr>
          <w:rFonts w:ascii="Times New Roman" w:eastAsia="Calibri" w:hAnsi="Times New Roman" w:cs="Times New Roman"/>
          <w:sz w:val="24"/>
          <w:szCs w:val="24"/>
          <w:lang w:bidi="ar-SA"/>
        </w:rPr>
        <w:t xml:space="preserve">n the British case, regulation seems to be more influential in maintaining editorial integrity. </w:t>
      </w:r>
    </w:p>
    <w:p w14:paraId="680F4F0C" w14:textId="5334F26E" w:rsidR="00583B0E" w:rsidRPr="00E665CD" w:rsidRDefault="00583B0E" w:rsidP="00EB5E12">
      <w:pPr>
        <w:spacing w:line="360" w:lineRule="auto"/>
        <w:rPr>
          <w:rFonts w:ascii="Times New Roman" w:eastAsia="Calibri" w:hAnsi="Times New Roman" w:cs="Times New Roman"/>
          <w:sz w:val="24"/>
          <w:szCs w:val="24"/>
          <w:lang w:val="en-US"/>
        </w:rPr>
      </w:pPr>
      <w:r w:rsidRPr="00E665CD">
        <w:rPr>
          <w:rFonts w:ascii="Times New Roman" w:eastAsia="Calibri" w:hAnsi="Times New Roman" w:cs="Times New Roman"/>
          <w:sz w:val="24"/>
          <w:szCs w:val="24"/>
          <w:lang w:val="en-US"/>
        </w:rPr>
        <w:t xml:space="preserve">The Israeli case reveals a worrying </w:t>
      </w:r>
      <w:r w:rsidR="00863922" w:rsidRPr="00E665CD">
        <w:rPr>
          <w:rFonts w:ascii="Times New Roman" w:eastAsia="Calibri" w:hAnsi="Times New Roman" w:cs="Times New Roman"/>
          <w:sz w:val="24"/>
          <w:szCs w:val="24"/>
          <w:lang w:val="en-US"/>
        </w:rPr>
        <w:t>landscape</w:t>
      </w:r>
      <w:r w:rsidRPr="00E665CD">
        <w:rPr>
          <w:rFonts w:ascii="Times New Roman" w:eastAsia="Calibri" w:hAnsi="Times New Roman" w:cs="Times New Roman"/>
          <w:sz w:val="24"/>
          <w:szCs w:val="24"/>
          <w:lang w:val="en-US"/>
        </w:rPr>
        <w:t xml:space="preserve"> of a local market that underwent ruthless commerciali</w:t>
      </w:r>
      <w:r w:rsidR="00863922" w:rsidRPr="00E665CD">
        <w:rPr>
          <w:rFonts w:ascii="Times New Roman" w:eastAsia="Calibri" w:hAnsi="Times New Roman" w:cs="Times New Roman"/>
          <w:sz w:val="24"/>
          <w:szCs w:val="24"/>
          <w:lang w:val="en-US"/>
        </w:rPr>
        <w:t>s</w:t>
      </w:r>
      <w:r w:rsidRPr="00E665CD">
        <w:rPr>
          <w:rFonts w:ascii="Times New Roman" w:eastAsia="Calibri" w:hAnsi="Times New Roman" w:cs="Times New Roman"/>
          <w:sz w:val="24"/>
          <w:szCs w:val="24"/>
          <w:lang w:val="en-US"/>
        </w:rPr>
        <w:t>ation and change of ethical standards, while the relevant regulatory bodies (</w:t>
      </w:r>
      <w:r w:rsidR="00863922" w:rsidRPr="00E665CD">
        <w:rPr>
          <w:rFonts w:ascii="Times New Roman" w:eastAsia="Calibri" w:hAnsi="Times New Roman" w:cs="Times New Roman"/>
          <w:sz w:val="24"/>
          <w:szCs w:val="24"/>
          <w:lang w:val="en-US"/>
        </w:rPr>
        <w:t>m</w:t>
      </w:r>
      <w:r w:rsidRPr="00E665CD">
        <w:rPr>
          <w:rFonts w:ascii="Times New Roman" w:eastAsia="Calibri" w:hAnsi="Times New Roman" w:cs="Times New Roman"/>
          <w:sz w:val="24"/>
          <w:szCs w:val="24"/>
          <w:lang w:val="en-US"/>
        </w:rPr>
        <w:t>ainly the Second Authority for Television and Radio in this case) fail to stand against it and enforce their existing rules</w:t>
      </w:r>
      <w:r w:rsidR="00EB5E12">
        <w:rPr>
          <w:rFonts w:ascii="Times New Roman" w:eastAsia="Calibri" w:hAnsi="Times New Roman" w:cs="Times New Roman"/>
          <w:sz w:val="24"/>
          <w:szCs w:val="24"/>
          <w:lang w:val="en-US"/>
        </w:rPr>
        <w:t xml:space="preserve"> or lead any significant policy change</w:t>
      </w:r>
      <w:r w:rsidRPr="00E665CD">
        <w:rPr>
          <w:rFonts w:ascii="Times New Roman" w:eastAsia="Calibri" w:hAnsi="Times New Roman" w:cs="Times New Roman"/>
          <w:sz w:val="24"/>
          <w:szCs w:val="24"/>
          <w:lang w:val="en-US"/>
        </w:rPr>
        <w:t>. While the thesis discuss</w:t>
      </w:r>
      <w:r w:rsidR="00863922" w:rsidRPr="00E665CD">
        <w:rPr>
          <w:rFonts w:ascii="Times New Roman" w:eastAsia="Calibri" w:hAnsi="Times New Roman" w:cs="Times New Roman"/>
          <w:sz w:val="24"/>
          <w:szCs w:val="24"/>
          <w:lang w:val="en-US"/>
        </w:rPr>
        <w:t>es</w:t>
      </w:r>
      <w:r w:rsidRPr="00E665CD">
        <w:rPr>
          <w:rFonts w:ascii="Times New Roman" w:eastAsia="Calibri" w:hAnsi="Times New Roman" w:cs="Times New Roman"/>
          <w:sz w:val="24"/>
          <w:szCs w:val="24"/>
          <w:lang w:val="en-US"/>
        </w:rPr>
        <w:t xml:space="preserve"> a single production of a reality show from 2006, in the time that ha</w:t>
      </w:r>
      <w:r w:rsidR="00863922" w:rsidRPr="00E665CD">
        <w:rPr>
          <w:rFonts w:ascii="Times New Roman" w:eastAsia="Calibri" w:hAnsi="Times New Roman" w:cs="Times New Roman"/>
          <w:sz w:val="24"/>
          <w:szCs w:val="24"/>
          <w:lang w:val="en-US"/>
        </w:rPr>
        <w:t>s</w:t>
      </w:r>
      <w:r w:rsidRPr="00E665CD">
        <w:rPr>
          <w:rFonts w:ascii="Times New Roman" w:eastAsia="Calibri" w:hAnsi="Times New Roman" w:cs="Times New Roman"/>
          <w:sz w:val="24"/>
          <w:szCs w:val="24"/>
          <w:lang w:val="en-US"/>
        </w:rPr>
        <w:t xml:space="preserve"> passed, embedded branding has become one of the most dominant and damaging phenomen</w:t>
      </w:r>
      <w:r w:rsidR="00863922" w:rsidRPr="00E665CD">
        <w:rPr>
          <w:rFonts w:ascii="Times New Roman" w:eastAsia="Calibri" w:hAnsi="Times New Roman" w:cs="Times New Roman"/>
          <w:sz w:val="24"/>
          <w:szCs w:val="24"/>
          <w:lang w:val="en-US"/>
        </w:rPr>
        <w:t>a</w:t>
      </w:r>
      <w:r w:rsidRPr="00E665CD">
        <w:rPr>
          <w:rFonts w:ascii="Times New Roman" w:eastAsia="Calibri" w:hAnsi="Times New Roman" w:cs="Times New Roman"/>
          <w:sz w:val="24"/>
          <w:szCs w:val="24"/>
          <w:lang w:val="en-US"/>
        </w:rPr>
        <w:t xml:space="preserve"> in the Israeli media and, unsurprisingly, has expanded and penetrated into new territories, such as the main news website</w:t>
      </w:r>
      <w:r w:rsidR="00863922" w:rsidRPr="00E665CD">
        <w:rPr>
          <w:rFonts w:ascii="Times New Roman" w:eastAsia="Calibri" w:hAnsi="Times New Roman" w:cs="Times New Roman"/>
          <w:sz w:val="24"/>
          <w:szCs w:val="24"/>
          <w:lang w:val="en-US"/>
        </w:rPr>
        <w:t>s</w:t>
      </w:r>
      <w:r w:rsidRPr="00E665CD">
        <w:rPr>
          <w:rFonts w:ascii="Times New Roman" w:eastAsia="Calibri" w:hAnsi="Times New Roman" w:cs="Times New Roman"/>
          <w:sz w:val="24"/>
          <w:szCs w:val="24"/>
          <w:lang w:val="en-US"/>
        </w:rPr>
        <w:t xml:space="preserve"> in Hebrew, </w:t>
      </w:r>
      <w:r w:rsidR="00863922" w:rsidRPr="00E665CD">
        <w:rPr>
          <w:rFonts w:ascii="Times New Roman" w:eastAsia="Calibri" w:hAnsi="Times New Roman" w:cs="Times New Roman"/>
          <w:sz w:val="24"/>
          <w:szCs w:val="24"/>
          <w:lang w:val="en-US"/>
        </w:rPr>
        <w:t>which</w:t>
      </w:r>
      <w:r w:rsidRPr="00E665CD">
        <w:rPr>
          <w:rFonts w:ascii="Times New Roman" w:eastAsia="Calibri" w:hAnsi="Times New Roman" w:cs="Times New Roman"/>
          <w:sz w:val="24"/>
          <w:szCs w:val="24"/>
          <w:lang w:val="en-US"/>
        </w:rPr>
        <w:t xml:space="preserve"> in the past</w:t>
      </w:r>
      <w:r w:rsidR="00863922" w:rsidRPr="00E665CD">
        <w:rPr>
          <w:rFonts w:ascii="Times New Roman" w:eastAsia="Calibri" w:hAnsi="Times New Roman" w:cs="Times New Roman"/>
          <w:sz w:val="24"/>
          <w:szCs w:val="24"/>
          <w:lang w:val="en-US"/>
        </w:rPr>
        <w:t xml:space="preserve"> were</w:t>
      </w:r>
      <w:r w:rsidRPr="00E665CD">
        <w:rPr>
          <w:rFonts w:ascii="Times New Roman" w:eastAsia="Calibri" w:hAnsi="Times New Roman" w:cs="Times New Roman"/>
          <w:sz w:val="24"/>
          <w:szCs w:val="24"/>
          <w:lang w:val="en-US"/>
        </w:rPr>
        <w:t xml:space="preserve"> considered to be guarded from commercial influence. A</w:t>
      </w:r>
      <w:r w:rsidRPr="00E665CD">
        <w:rPr>
          <w:rFonts w:ascii="Times New Roman" w:eastAsia="Calibri" w:hAnsi="Times New Roman" w:cs="Times New Roman"/>
          <w:sz w:val="24"/>
          <w:szCs w:val="24"/>
          <w:rtl/>
          <w:lang w:val="en-US"/>
        </w:rPr>
        <w:t xml:space="preserve"> </w:t>
      </w:r>
      <w:r w:rsidRPr="00E665CD">
        <w:rPr>
          <w:rFonts w:ascii="Times New Roman" w:eastAsia="Calibri" w:hAnsi="Times New Roman" w:cs="Times New Roman"/>
          <w:sz w:val="24"/>
          <w:szCs w:val="24"/>
          <w:lang w:val="en-US"/>
        </w:rPr>
        <w:t>special research project</w:t>
      </w:r>
      <w:r w:rsidR="00863922" w:rsidRPr="00E665CD">
        <w:rPr>
          <w:rFonts w:ascii="Times New Roman" w:eastAsia="Calibri" w:hAnsi="Times New Roman" w:cs="Times New Roman"/>
          <w:sz w:val="24"/>
          <w:szCs w:val="24"/>
          <w:lang w:val="en-US"/>
        </w:rPr>
        <w:t>,</w:t>
      </w:r>
      <w:r w:rsidRPr="00E665CD">
        <w:rPr>
          <w:rFonts w:ascii="Times New Roman" w:eastAsia="Calibri" w:hAnsi="Times New Roman" w:cs="Times New Roman"/>
          <w:sz w:val="24"/>
          <w:szCs w:val="24"/>
          <w:lang w:val="en-US"/>
        </w:rPr>
        <w:t xml:space="preserve"> a joint effort by journalists and media scholars (myself included) for the media watchdog, the Seventh Eye, rated the extent by which journalistic content in digital news platforms in Hebrew were affected by this funding model</w:t>
      </w:r>
      <w:r w:rsidR="0066168E" w:rsidRPr="00E665CD">
        <w:rPr>
          <w:rFonts w:ascii="Times New Roman" w:eastAsia="Calibri" w:hAnsi="Times New Roman" w:cs="Times New Roman"/>
          <w:sz w:val="24"/>
          <w:szCs w:val="24"/>
          <w:lang w:val="en-US"/>
        </w:rPr>
        <w:t xml:space="preserve"> (Balint, Ben Zaquen &amp; Persico, 2015)</w:t>
      </w:r>
      <w:r w:rsidRPr="00E665CD">
        <w:rPr>
          <w:rFonts w:ascii="Times New Roman" w:eastAsia="Calibri" w:hAnsi="Times New Roman" w:cs="Times New Roman"/>
          <w:sz w:val="24"/>
          <w:szCs w:val="24"/>
          <w:lang w:val="en-US"/>
        </w:rPr>
        <w:t>. The results were most alarming: the research showed that all the leading digital news outlets in Hebrew</w:t>
      </w:r>
      <w:r w:rsidR="00EB5E12">
        <w:rPr>
          <w:rFonts w:ascii="Times New Roman" w:eastAsia="Calibri" w:hAnsi="Times New Roman" w:cs="Times New Roman"/>
          <w:sz w:val="24"/>
          <w:szCs w:val="24"/>
          <w:lang w:val="en-US"/>
        </w:rPr>
        <w:t xml:space="preserve"> that are not behind a pay-wall</w:t>
      </w:r>
      <w:r w:rsidRPr="00E665CD">
        <w:rPr>
          <w:rFonts w:ascii="Times New Roman" w:eastAsia="Calibri" w:hAnsi="Times New Roman" w:cs="Times New Roman"/>
          <w:sz w:val="24"/>
          <w:szCs w:val="24"/>
          <w:lang w:val="en-US"/>
        </w:rPr>
        <w:t xml:space="preserve"> are heavily </w:t>
      </w:r>
      <w:r w:rsidR="00CA7EEA" w:rsidRPr="00E665CD">
        <w:rPr>
          <w:rFonts w:ascii="Times New Roman" w:eastAsia="Calibri" w:hAnsi="Times New Roman" w:cs="Times New Roman"/>
          <w:sz w:val="24"/>
          <w:szCs w:val="24"/>
          <w:lang w:val="en-US"/>
        </w:rPr>
        <w:t>laden</w:t>
      </w:r>
      <w:r w:rsidRPr="00E665CD">
        <w:rPr>
          <w:rFonts w:ascii="Times New Roman" w:eastAsia="Calibri" w:hAnsi="Times New Roman" w:cs="Times New Roman"/>
          <w:sz w:val="24"/>
          <w:szCs w:val="24"/>
          <w:lang w:val="en-US"/>
        </w:rPr>
        <w:t xml:space="preserve"> with embedded branding, work to blur the line between editorial content and advertising in ways that are hard to dissect and </w:t>
      </w:r>
      <w:r w:rsidR="00863922" w:rsidRPr="00E665CD">
        <w:rPr>
          <w:rFonts w:ascii="Times New Roman" w:eastAsia="Calibri" w:hAnsi="Times New Roman" w:cs="Times New Roman"/>
          <w:sz w:val="24"/>
          <w:szCs w:val="24"/>
          <w:lang w:val="en-US"/>
        </w:rPr>
        <w:t xml:space="preserve">which </w:t>
      </w:r>
      <w:r w:rsidRPr="00E665CD">
        <w:rPr>
          <w:rFonts w:ascii="Times New Roman" w:eastAsia="Calibri" w:hAnsi="Times New Roman" w:cs="Times New Roman"/>
          <w:sz w:val="24"/>
          <w:szCs w:val="24"/>
          <w:lang w:val="en-US"/>
        </w:rPr>
        <w:t xml:space="preserve">in most cases </w:t>
      </w:r>
      <w:r w:rsidR="00863922" w:rsidRPr="00E665CD">
        <w:rPr>
          <w:rFonts w:ascii="Times New Roman" w:eastAsia="Calibri" w:hAnsi="Times New Roman" w:cs="Times New Roman"/>
          <w:sz w:val="24"/>
          <w:szCs w:val="24"/>
          <w:lang w:val="en-US"/>
        </w:rPr>
        <w:t>are</w:t>
      </w:r>
      <w:r w:rsidRPr="00E665CD">
        <w:rPr>
          <w:rFonts w:ascii="Times New Roman" w:eastAsia="Calibri" w:hAnsi="Times New Roman" w:cs="Times New Roman"/>
          <w:sz w:val="24"/>
          <w:szCs w:val="24"/>
          <w:lang w:val="en-US"/>
        </w:rPr>
        <w:t xml:space="preserve"> not properly disclosed, and that this </w:t>
      </w:r>
      <w:r w:rsidR="00CA7EEA" w:rsidRPr="00E665CD">
        <w:rPr>
          <w:rFonts w:ascii="Times New Roman" w:eastAsia="Calibri" w:hAnsi="Times New Roman" w:cs="Times New Roman"/>
          <w:sz w:val="24"/>
          <w:szCs w:val="24"/>
          <w:lang w:val="en-US"/>
        </w:rPr>
        <w:t xml:space="preserve">phenomenon is </w:t>
      </w:r>
      <w:r w:rsidRPr="00E665CD">
        <w:rPr>
          <w:rFonts w:ascii="Times New Roman" w:eastAsia="Calibri" w:hAnsi="Times New Roman" w:cs="Times New Roman"/>
          <w:sz w:val="24"/>
          <w:szCs w:val="24"/>
          <w:lang w:val="en-US"/>
        </w:rPr>
        <w:t>thriv</w:t>
      </w:r>
      <w:r w:rsidR="00CA7EEA" w:rsidRPr="00E665CD">
        <w:rPr>
          <w:rFonts w:ascii="Times New Roman" w:eastAsia="Calibri" w:hAnsi="Times New Roman" w:cs="Times New Roman"/>
          <w:sz w:val="24"/>
          <w:szCs w:val="24"/>
          <w:lang w:val="en-US"/>
        </w:rPr>
        <w:t>ing</w:t>
      </w:r>
      <w:r w:rsidRPr="00E665CD">
        <w:rPr>
          <w:rFonts w:ascii="Times New Roman" w:eastAsia="Calibri" w:hAnsi="Times New Roman" w:cs="Times New Roman"/>
          <w:sz w:val="24"/>
          <w:szCs w:val="24"/>
          <w:lang w:val="en-US"/>
        </w:rPr>
        <w:t xml:space="preserve"> in the strongest and most popular platforms for news in Hebrew: YNET, Globes, Mako and Walla. What the research showed is that in Israel the model of embedded branding has </w:t>
      </w:r>
      <w:r w:rsidR="00CA7EEA" w:rsidRPr="00E665CD">
        <w:rPr>
          <w:rFonts w:ascii="Times New Roman" w:eastAsia="Calibri" w:hAnsi="Times New Roman" w:cs="Times New Roman"/>
          <w:sz w:val="24"/>
          <w:szCs w:val="24"/>
          <w:lang w:val="en-US"/>
        </w:rPr>
        <w:t>in effect</w:t>
      </w:r>
      <w:r w:rsidRPr="00E665CD">
        <w:rPr>
          <w:rFonts w:ascii="Times New Roman" w:eastAsia="Calibri" w:hAnsi="Times New Roman" w:cs="Times New Roman"/>
          <w:sz w:val="24"/>
          <w:szCs w:val="24"/>
          <w:lang w:val="en-US"/>
        </w:rPr>
        <w:t xml:space="preserve"> become a serious threat for the quality of news and information audiences receive, while the relevant gatekeepers</w:t>
      </w:r>
      <w:r w:rsidR="00EB5E12">
        <w:rPr>
          <w:rFonts w:ascii="Times New Roman" w:eastAsia="Calibri" w:hAnsi="Times New Roman" w:cs="Times New Roman"/>
          <w:sz w:val="24"/>
          <w:szCs w:val="24"/>
          <w:lang w:val="en-US"/>
        </w:rPr>
        <w:t>, such as the press council,</w:t>
      </w:r>
      <w:r w:rsidRPr="00E665CD">
        <w:rPr>
          <w:rFonts w:ascii="Times New Roman" w:eastAsia="Calibri" w:hAnsi="Times New Roman" w:cs="Times New Roman"/>
          <w:sz w:val="24"/>
          <w:szCs w:val="24"/>
          <w:lang w:val="en-US"/>
        </w:rPr>
        <w:t xml:space="preserve"> seem to be incompetent in dealing with the problem. Analy</w:t>
      </w:r>
      <w:r w:rsidR="00CA7EEA" w:rsidRPr="00E665CD">
        <w:rPr>
          <w:rFonts w:ascii="Times New Roman" w:eastAsia="Calibri" w:hAnsi="Times New Roman" w:cs="Times New Roman"/>
          <w:sz w:val="24"/>
          <w:szCs w:val="24"/>
          <w:lang w:val="en-US"/>
        </w:rPr>
        <w:t>s</w:t>
      </w:r>
      <w:r w:rsidRPr="00E665CD">
        <w:rPr>
          <w:rFonts w:ascii="Times New Roman" w:eastAsia="Calibri" w:hAnsi="Times New Roman" w:cs="Times New Roman"/>
          <w:sz w:val="24"/>
          <w:szCs w:val="24"/>
          <w:lang w:val="en-US"/>
        </w:rPr>
        <w:t xml:space="preserve">ing this weakness of the regulatory bodies in Israel is beyond the scope of this research, however several possible factors should be considered. The first is </w:t>
      </w:r>
      <w:r w:rsidR="00CA7EEA" w:rsidRPr="00E665CD">
        <w:rPr>
          <w:rFonts w:ascii="Times New Roman" w:eastAsia="Calibri" w:hAnsi="Times New Roman" w:cs="Times New Roman"/>
          <w:sz w:val="24"/>
          <w:szCs w:val="24"/>
          <w:lang w:val="en-US"/>
        </w:rPr>
        <w:t xml:space="preserve">the </w:t>
      </w:r>
      <w:r w:rsidRPr="00E665CD">
        <w:rPr>
          <w:rFonts w:ascii="Times New Roman" w:eastAsia="Calibri" w:hAnsi="Times New Roman" w:cs="Times New Roman"/>
          <w:sz w:val="24"/>
          <w:szCs w:val="24"/>
          <w:lang w:val="en-US"/>
        </w:rPr>
        <w:t xml:space="preserve">strong ties between the public sector (politicians and civil servants) and business magnets which lead to an overall weakness and ultimately corruption </w:t>
      </w:r>
      <w:r w:rsidRPr="00E665CD">
        <w:rPr>
          <w:rFonts w:ascii="Times New Roman" w:eastAsia="Calibri" w:hAnsi="Times New Roman" w:cs="Times New Roman"/>
          <w:sz w:val="24"/>
          <w:szCs w:val="24"/>
          <w:lang w:val="en-US"/>
        </w:rPr>
        <w:lastRenderedPageBreak/>
        <w:t>of the regulatory bodies in Israel. The second is Israel</w:t>
      </w:r>
      <w:r w:rsidR="00CA7EEA" w:rsidRPr="00E665CD">
        <w:rPr>
          <w:rFonts w:ascii="Times New Roman" w:eastAsia="Calibri" w:hAnsi="Times New Roman" w:cs="Times New Roman"/>
          <w:sz w:val="24"/>
          <w:szCs w:val="24"/>
          <w:lang w:val="en-US"/>
        </w:rPr>
        <w:t>’s</w:t>
      </w:r>
      <w:r w:rsidRPr="00E665CD">
        <w:rPr>
          <w:rFonts w:ascii="Times New Roman" w:eastAsia="Calibri" w:hAnsi="Times New Roman" w:cs="Times New Roman"/>
          <w:sz w:val="24"/>
          <w:szCs w:val="24"/>
          <w:lang w:val="en-US"/>
        </w:rPr>
        <w:t xml:space="preserve"> ongoing state of conflict with the Palestinians, </w:t>
      </w:r>
      <w:r w:rsidR="00CA7EEA" w:rsidRPr="00E665CD">
        <w:rPr>
          <w:rFonts w:ascii="Times New Roman" w:eastAsia="Calibri" w:hAnsi="Times New Roman" w:cs="Times New Roman"/>
          <w:sz w:val="24"/>
          <w:szCs w:val="24"/>
          <w:lang w:val="en-US"/>
        </w:rPr>
        <w:t xml:space="preserve">its </w:t>
      </w:r>
      <w:r w:rsidRPr="00E665CD">
        <w:rPr>
          <w:rFonts w:ascii="Times New Roman" w:eastAsia="Calibri" w:hAnsi="Times New Roman" w:cs="Times New Roman"/>
          <w:sz w:val="24"/>
          <w:szCs w:val="24"/>
          <w:lang w:val="en-US"/>
        </w:rPr>
        <w:t xml:space="preserve">undefined borders and dual legal system (that of the occupied territories and that of Israel) which nurture a culture of law breaking and </w:t>
      </w:r>
      <w:r w:rsidR="00CA7EEA" w:rsidRPr="00E665CD">
        <w:rPr>
          <w:rFonts w:ascii="Times New Roman" w:eastAsia="Calibri" w:hAnsi="Times New Roman" w:cs="Times New Roman"/>
          <w:sz w:val="24"/>
          <w:szCs w:val="24"/>
          <w:lang w:val="en-US"/>
        </w:rPr>
        <w:t xml:space="preserve">a </w:t>
      </w:r>
      <w:r w:rsidRPr="00E665CD">
        <w:rPr>
          <w:rFonts w:ascii="Times New Roman" w:eastAsia="Calibri" w:hAnsi="Times New Roman" w:cs="Times New Roman"/>
          <w:sz w:val="24"/>
          <w:szCs w:val="24"/>
          <w:lang w:val="en-US"/>
        </w:rPr>
        <w:t xml:space="preserve">lack of authority of the state.      </w:t>
      </w:r>
    </w:p>
    <w:p w14:paraId="2E587C0B" w14:textId="48696CAA" w:rsidR="00583B0E" w:rsidRPr="00E665CD" w:rsidRDefault="00583B0E" w:rsidP="00CA7EEA">
      <w:pPr>
        <w:spacing w:line="360" w:lineRule="auto"/>
        <w:rPr>
          <w:rFonts w:ascii="Times New Roman" w:eastAsia="Calibri" w:hAnsi="Times New Roman" w:cs="Times New Roman"/>
          <w:sz w:val="24"/>
          <w:szCs w:val="24"/>
          <w:lang w:val="en-US"/>
        </w:rPr>
      </w:pPr>
      <w:r w:rsidRPr="00E665CD">
        <w:rPr>
          <w:rFonts w:ascii="Times New Roman" w:eastAsia="Calibri" w:hAnsi="Times New Roman" w:cs="Times New Roman"/>
          <w:sz w:val="24"/>
          <w:szCs w:val="24"/>
          <w:lang w:val="en-US"/>
        </w:rPr>
        <w:t>The British case presents a media culture which holds higher ethical standards and greater effectiveness of regulatory rules, which helps content producers stand against commercial demands by sponsors</w:t>
      </w:r>
      <w:r w:rsidR="00CA7EEA" w:rsidRPr="00E665CD">
        <w:rPr>
          <w:rFonts w:ascii="Times New Roman" w:eastAsia="Calibri" w:hAnsi="Times New Roman" w:cs="Times New Roman"/>
          <w:sz w:val="24"/>
          <w:szCs w:val="24"/>
          <w:lang w:val="en-US"/>
        </w:rPr>
        <w:t>.</w:t>
      </w:r>
      <w:r w:rsidRPr="00EB5E12">
        <w:rPr>
          <w:rFonts w:ascii="Times New Roman" w:eastAsia="Calibri" w:hAnsi="Times New Roman" w:cs="Times New Roman"/>
          <w:sz w:val="24"/>
          <w:szCs w:val="24"/>
          <w:lang w:val="en-US"/>
        </w:rPr>
        <w:t xml:space="preserve"> </w:t>
      </w:r>
      <w:r w:rsidR="00CA7EEA" w:rsidRPr="00EB5E12">
        <w:rPr>
          <w:rFonts w:ascii="Times New Roman" w:eastAsia="Calibri" w:hAnsi="Times New Roman" w:cs="Times New Roman"/>
          <w:sz w:val="24"/>
          <w:szCs w:val="24"/>
          <w:lang w:val="en-US"/>
        </w:rPr>
        <w:t>H</w:t>
      </w:r>
      <w:r w:rsidRPr="00EB5E12">
        <w:rPr>
          <w:rFonts w:ascii="Times New Roman" w:eastAsia="Calibri" w:hAnsi="Times New Roman" w:cs="Times New Roman"/>
          <w:sz w:val="24"/>
          <w:szCs w:val="24"/>
          <w:lang w:val="en-US"/>
        </w:rPr>
        <w:t>owever</w:t>
      </w:r>
      <w:r w:rsidRPr="00E665CD">
        <w:rPr>
          <w:rFonts w:ascii="Times New Roman" w:eastAsia="Calibri" w:hAnsi="Times New Roman" w:cs="Times New Roman"/>
          <w:sz w:val="24"/>
          <w:szCs w:val="24"/>
          <w:lang w:val="en-US"/>
        </w:rPr>
        <w:t xml:space="preserve">, it should be mentioned that the research presents a single case and does not provide a comprehensive overview of the UK market.     </w:t>
      </w:r>
    </w:p>
    <w:p w14:paraId="139B6F11" w14:textId="2A3A6533" w:rsidR="00583B0E" w:rsidRPr="00E665CD" w:rsidRDefault="00583B0E" w:rsidP="00FE6340">
      <w:pPr>
        <w:spacing w:line="360" w:lineRule="auto"/>
        <w:rPr>
          <w:rFonts w:ascii="Times New Roman" w:eastAsia="Calibri" w:hAnsi="Times New Roman" w:cs="Times New Roman"/>
          <w:sz w:val="24"/>
          <w:szCs w:val="24"/>
          <w:lang w:val="en-US" w:bidi="ar-SA"/>
        </w:rPr>
      </w:pPr>
      <w:r w:rsidRPr="00E665CD">
        <w:rPr>
          <w:rFonts w:ascii="Times New Roman" w:eastAsia="Calibri" w:hAnsi="Times New Roman" w:cs="Times New Roman"/>
          <w:sz w:val="24"/>
          <w:szCs w:val="24"/>
          <w:lang w:bidi="ar-SA"/>
        </w:rPr>
        <w:t>Looking beyond the local context of both markets, my analysis suggests that one of the weaknesses of</w:t>
      </w:r>
      <w:r w:rsidR="00CA7EEA" w:rsidRPr="00E665CD">
        <w:rPr>
          <w:rFonts w:ascii="Times New Roman" w:eastAsia="Calibri" w:hAnsi="Times New Roman" w:cs="Times New Roman"/>
          <w:sz w:val="24"/>
          <w:szCs w:val="24"/>
          <w:lang w:bidi="ar-SA"/>
        </w:rPr>
        <w:t xml:space="preserve"> the</w:t>
      </w:r>
      <w:r w:rsidRPr="00E665CD">
        <w:rPr>
          <w:rFonts w:ascii="Times New Roman" w:eastAsia="Calibri" w:hAnsi="Times New Roman" w:cs="Times New Roman"/>
          <w:sz w:val="24"/>
          <w:szCs w:val="24"/>
          <w:lang w:bidi="ar-SA"/>
        </w:rPr>
        <w:t xml:space="preserve"> current regulation is its lack of understanding of the contemporary meaning of commercialisation. Regulators work to maintain the separation between content and commerce, while ignoring the </w:t>
      </w:r>
      <w:r w:rsidRPr="00E665CD">
        <w:rPr>
          <w:rFonts w:ascii="Times New Roman" w:eastAsia="Calibri" w:hAnsi="Times New Roman" w:cs="Times New Roman"/>
          <w:sz w:val="24"/>
          <w:szCs w:val="24"/>
        </w:rPr>
        <w:t>fluid and encompassing nature of ‘branded content’ that is ‘everywhere’ but at the same time ‘nowhere’, as it becomes less oriented towards concrete representations of products or services. Also,</w:t>
      </w:r>
      <w:r w:rsidRPr="00E665CD">
        <w:rPr>
          <w:rFonts w:ascii="Times New Roman" w:eastAsia="Calibri" w:hAnsi="Times New Roman" w:cs="Times New Roman"/>
          <w:sz w:val="24"/>
          <w:szCs w:val="24"/>
          <w:lang w:bidi="ar-SA"/>
        </w:rPr>
        <w:t xml:space="preserve"> they invest serious efforts in drawing the line between ‘sponsorship’ and ‘product placement’ in the ‘old media’ such as television, </w:t>
      </w:r>
      <w:r w:rsidRPr="00E665CD">
        <w:rPr>
          <w:rFonts w:ascii="Times New Roman" w:eastAsia="Calibri" w:hAnsi="Times New Roman" w:cs="Times New Roman"/>
          <w:sz w:val="24"/>
          <w:szCs w:val="24"/>
        </w:rPr>
        <w:t>but ha</w:t>
      </w:r>
      <w:r w:rsidR="00FE6340" w:rsidRPr="00272380">
        <w:rPr>
          <w:rFonts w:ascii="Times New Roman" w:eastAsia="Calibri" w:hAnsi="Times New Roman" w:cs="Times New Roman"/>
          <w:sz w:val="24"/>
          <w:szCs w:val="24"/>
        </w:rPr>
        <w:t>ve</w:t>
      </w:r>
      <w:r w:rsidRPr="00272380">
        <w:rPr>
          <w:rFonts w:ascii="Times New Roman" w:eastAsia="Calibri" w:hAnsi="Times New Roman" w:cs="Times New Roman"/>
          <w:sz w:val="24"/>
          <w:szCs w:val="24"/>
        </w:rPr>
        <w:t xml:space="preserve"> </w:t>
      </w:r>
      <w:r w:rsidRPr="00E665CD">
        <w:rPr>
          <w:rFonts w:ascii="Times New Roman" w:eastAsia="Calibri" w:hAnsi="Times New Roman" w:cs="Times New Roman"/>
          <w:sz w:val="24"/>
          <w:szCs w:val="24"/>
        </w:rPr>
        <w:t>not even begun to cope with the immense commercialisation thriving on the Internet, an unregulated terrain that offers new, more pervasive ways of blurring the line between advertising and editorial content. The rise of advertising start-ups such as Taboola and Outbrain</w:t>
      </w:r>
      <w:r w:rsidRPr="00B93D25">
        <w:rPr>
          <w:rStyle w:val="FootnoteReference"/>
        </w:rPr>
        <w:footnoteReference w:id="99"/>
      </w:r>
      <w:r w:rsidRPr="00E665CD">
        <w:rPr>
          <w:rFonts w:ascii="Times New Roman" w:eastAsia="Calibri" w:hAnsi="Times New Roman" w:cs="Times New Roman"/>
          <w:sz w:val="24"/>
          <w:szCs w:val="24"/>
        </w:rPr>
        <w:t xml:space="preserve"> in recent years further blurs the line between advertising and content and challenge</w:t>
      </w:r>
      <w:r w:rsidR="0087769E" w:rsidRPr="00E665CD">
        <w:rPr>
          <w:rFonts w:ascii="Times New Roman" w:eastAsia="Calibri" w:hAnsi="Times New Roman" w:cs="Times New Roman"/>
          <w:sz w:val="24"/>
          <w:szCs w:val="24"/>
        </w:rPr>
        <w:t>s</w:t>
      </w:r>
      <w:r w:rsidRPr="00E665CD">
        <w:rPr>
          <w:rFonts w:ascii="Times New Roman" w:eastAsia="Calibri" w:hAnsi="Times New Roman" w:cs="Times New Roman"/>
          <w:sz w:val="24"/>
          <w:szCs w:val="24"/>
        </w:rPr>
        <w:t xml:space="preserve"> the very basic perceptions which </w:t>
      </w:r>
      <w:r w:rsidR="0087769E" w:rsidRPr="00E665CD">
        <w:rPr>
          <w:rFonts w:ascii="Times New Roman" w:eastAsia="Calibri" w:hAnsi="Times New Roman" w:cs="Times New Roman"/>
          <w:sz w:val="24"/>
          <w:szCs w:val="24"/>
        </w:rPr>
        <w:t xml:space="preserve">the </w:t>
      </w:r>
      <w:r w:rsidRPr="00E665CD">
        <w:rPr>
          <w:rFonts w:ascii="Times New Roman" w:eastAsia="Calibri" w:hAnsi="Times New Roman" w:cs="Times New Roman"/>
          <w:sz w:val="24"/>
          <w:szCs w:val="24"/>
        </w:rPr>
        <w:t xml:space="preserve">regulation of old media is based on.  </w:t>
      </w:r>
    </w:p>
    <w:p w14:paraId="4D009413" w14:textId="77777777" w:rsidR="00583B0E" w:rsidRPr="00E665CD" w:rsidRDefault="00583B0E" w:rsidP="00583B0E">
      <w:pPr>
        <w:spacing w:line="360" w:lineRule="auto"/>
        <w:rPr>
          <w:rFonts w:ascii="Times New Roman" w:eastAsia="Calibri" w:hAnsi="Times New Roman" w:cs="Times New Roman"/>
          <w:sz w:val="24"/>
          <w:szCs w:val="24"/>
        </w:rPr>
      </w:pPr>
      <w:r w:rsidRPr="00E665CD">
        <w:rPr>
          <w:rFonts w:ascii="Times New Roman" w:eastAsia="Calibri" w:hAnsi="Times New Roman" w:cs="Times New Roman"/>
          <w:sz w:val="24"/>
          <w:szCs w:val="24"/>
        </w:rPr>
        <w:t xml:space="preserve">In light of my empirical data, I suggest a number of principles that should lead any future policy making and regulation in relation to embedded branding: </w:t>
      </w:r>
    </w:p>
    <w:p w14:paraId="2A3D7FE2" w14:textId="1AC5052B" w:rsidR="00583B0E" w:rsidRPr="00E665CD" w:rsidRDefault="00583B0E" w:rsidP="0087769E">
      <w:pPr>
        <w:spacing w:line="360" w:lineRule="auto"/>
        <w:rPr>
          <w:rFonts w:ascii="Times New Roman" w:eastAsia="Calibri" w:hAnsi="Times New Roman" w:cs="Times New Roman"/>
          <w:sz w:val="24"/>
          <w:szCs w:val="24"/>
        </w:rPr>
      </w:pPr>
      <w:r w:rsidRPr="00E665CD">
        <w:rPr>
          <w:rFonts w:ascii="Times New Roman" w:eastAsia="Calibri" w:hAnsi="Times New Roman" w:cs="Times New Roman"/>
          <w:sz w:val="24"/>
          <w:szCs w:val="24"/>
        </w:rPr>
        <w:t xml:space="preserve">First, the principle of content-commerce separation should be replaced with the obligation of full and proper disclosure of </w:t>
      </w:r>
      <w:r w:rsidR="00272380">
        <w:rPr>
          <w:rFonts w:ascii="Times New Roman" w:eastAsia="Calibri" w:hAnsi="Times New Roman" w:cs="Times New Roman"/>
          <w:sz w:val="24"/>
          <w:szCs w:val="24"/>
        </w:rPr>
        <w:t xml:space="preserve">any </w:t>
      </w:r>
      <w:r w:rsidRPr="00E665CD">
        <w:rPr>
          <w:rFonts w:ascii="Times New Roman" w:eastAsia="Calibri" w:hAnsi="Times New Roman" w:cs="Times New Roman"/>
          <w:sz w:val="24"/>
          <w:szCs w:val="24"/>
        </w:rPr>
        <w:t xml:space="preserve">sponsorship. By suggesting this, I </w:t>
      </w:r>
      <w:r w:rsidR="0087769E" w:rsidRPr="00E665CD">
        <w:rPr>
          <w:rFonts w:ascii="Times New Roman" w:eastAsia="Calibri" w:hAnsi="Times New Roman" w:cs="Times New Roman"/>
          <w:sz w:val="24"/>
          <w:szCs w:val="24"/>
        </w:rPr>
        <w:t xml:space="preserve">certainly </w:t>
      </w:r>
      <w:r w:rsidRPr="00E665CD">
        <w:rPr>
          <w:rFonts w:ascii="Times New Roman" w:eastAsia="Calibri" w:hAnsi="Times New Roman" w:cs="Times New Roman"/>
          <w:sz w:val="24"/>
          <w:szCs w:val="24"/>
        </w:rPr>
        <w:t xml:space="preserve">do not mean to legitimise the practice or justify it, but simply to recognise the new reality of the media, which cannot be reversed. ‘Branded content’ is severely damaging to the maintenance of public discourse and poses a threat to the editorial voice of media outlets. However, it cannot be completely eliminated, and also probably should not be, if one believes that commercial speech </w:t>
      </w:r>
      <w:r w:rsidRPr="00E665CD">
        <w:rPr>
          <w:rFonts w:ascii="Times New Roman" w:eastAsia="Calibri" w:hAnsi="Times New Roman" w:cs="Times New Roman"/>
          <w:sz w:val="24"/>
          <w:szCs w:val="24"/>
        </w:rPr>
        <w:lastRenderedPageBreak/>
        <w:t>deserves to be protected under the general notion of freedom of expression. Therefore, the obligation of disclosure is the best path for coping with its harmful effects.</w:t>
      </w:r>
    </w:p>
    <w:p w14:paraId="145FD8EC" w14:textId="539F7EEB" w:rsidR="00583B0E" w:rsidRPr="00E665CD" w:rsidRDefault="00583B0E" w:rsidP="0087769E">
      <w:pPr>
        <w:spacing w:line="360" w:lineRule="auto"/>
        <w:rPr>
          <w:rFonts w:ascii="Times New Roman" w:eastAsia="Calibri" w:hAnsi="Times New Roman" w:cs="Times New Roman"/>
          <w:sz w:val="24"/>
          <w:szCs w:val="24"/>
        </w:rPr>
      </w:pPr>
      <w:r w:rsidRPr="00E665CD">
        <w:rPr>
          <w:rFonts w:ascii="Times New Roman" w:eastAsia="Calibri" w:hAnsi="Times New Roman" w:cs="Times New Roman"/>
          <w:sz w:val="24"/>
          <w:szCs w:val="24"/>
        </w:rPr>
        <w:t xml:space="preserve">Second, looking for signs of commercialisation ‘on screen’ as evidence </w:t>
      </w:r>
      <w:r w:rsidR="0087769E" w:rsidRPr="00E665CD">
        <w:rPr>
          <w:rFonts w:ascii="Times New Roman" w:eastAsia="Calibri" w:hAnsi="Times New Roman" w:cs="Times New Roman"/>
          <w:sz w:val="24"/>
          <w:szCs w:val="24"/>
        </w:rPr>
        <w:t>of</w:t>
      </w:r>
      <w:r w:rsidRPr="00E665CD">
        <w:rPr>
          <w:rFonts w:ascii="Times New Roman" w:eastAsia="Calibri" w:hAnsi="Times New Roman" w:cs="Times New Roman"/>
          <w:sz w:val="24"/>
          <w:szCs w:val="24"/>
        </w:rPr>
        <w:t xml:space="preserve"> commercial influence (i.e. product placement – products, logos) alone is no longer an adequate approach to regulating this field. Commercialisation goes deeper and further than that. Rather, the most significant criteri</w:t>
      </w:r>
      <w:r w:rsidR="0087769E" w:rsidRPr="00272380">
        <w:rPr>
          <w:rFonts w:ascii="Times New Roman" w:eastAsia="Calibri" w:hAnsi="Times New Roman" w:cs="Times New Roman"/>
          <w:sz w:val="24"/>
          <w:szCs w:val="24"/>
        </w:rPr>
        <w:t>on</w:t>
      </w:r>
      <w:r w:rsidRPr="00E665CD">
        <w:rPr>
          <w:rFonts w:ascii="Times New Roman" w:eastAsia="Calibri" w:hAnsi="Times New Roman" w:cs="Times New Roman"/>
          <w:sz w:val="24"/>
          <w:szCs w:val="24"/>
        </w:rPr>
        <w:t xml:space="preserve"> for assessing the commercialisation of any media content and regulating it, is by looking at its funding model and financial resources. To put it simply, the ‘screen test’ should be replaced with the ‘material return test’. The relevant questions are: were there any external sponsors to the production? If so, who were they? What are their interests in the specific production? This follows a simple idea that is at the heart of this thesis: where there is money, there is influence. </w:t>
      </w:r>
    </w:p>
    <w:p w14:paraId="3C1184B7" w14:textId="31453D67" w:rsidR="00583B0E" w:rsidRPr="00E665CD" w:rsidRDefault="00583B0E" w:rsidP="000138D8">
      <w:pPr>
        <w:pStyle w:val="NormalWeb"/>
        <w:shd w:val="clear" w:color="auto" w:fill="FFFFFF"/>
        <w:spacing w:before="0" w:beforeAutospacing="0" w:after="150" w:afterAutospacing="0" w:line="360" w:lineRule="auto"/>
        <w:rPr>
          <w:rFonts w:eastAsia="Calibri"/>
        </w:rPr>
      </w:pPr>
      <w:r w:rsidRPr="00E665CD">
        <w:rPr>
          <w:rFonts w:eastAsia="Calibri"/>
        </w:rPr>
        <w:t>Third, the format of the disclosure is probably one of the most important aspects in any attempt of regulating the problem efficiently. Although many of the actors in the field, including branded content agents themselves, agree on the need for disclosure and greater transparency, the details of such obligation may reveal the differences between those who wish to eliminate the phenomenon and those who wish to legitimi</w:t>
      </w:r>
      <w:r w:rsidR="00351D09" w:rsidRPr="00E665CD">
        <w:rPr>
          <w:rFonts w:eastAsia="Calibri"/>
        </w:rPr>
        <w:t>s</w:t>
      </w:r>
      <w:r w:rsidRPr="00E665CD">
        <w:rPr>
          <w:rFonts w:eastAsia="Calibri"/>
        </w:rPr>
        <w:t xml:space="preserve">e it in the public eye. </w:t>
      </w:r>
    </w:p>
    <w:p w14:paraId="071D360D" w14:textId="32E034C9" w:rsidR="00583B0E" w:rsidRPr="00E76E30" w:rsidRDefault="00583B0E" w:rsidP="000138D8">
      <w:pPr>
        <w:pStyle w:val="NormalWeb"/>
        <w:shd w:val="clear" w:color="auto" w:fill="FFFFFF"/>
        <w:spacing w:before="0" w:beforeAutospacing="0" w:after="150" w:afterAutospacing="0" w:line="360" w:lineRule="auto"/>
        <w:rPr>
          <w:rFonts w:asciiTheme="majorBidi" w:eastAsia="Calibri" w:hAnsiTheme="majorBidi" w:cstheme="majorBidi"/>
        </w:rPr>
      </w:pPr>
      <w:r w:rsidRPr="00E665CD">
        <w:rPr>
          <w:rFonts w:eastAsia="Calibri"/>
        </w:rPr>
        <w:t xml:space="preserve">A recent study published in </w:t>
      </w:r>
      <w:r w:rsidR="0066168E" w:rsidRPr="00E665CD">
        <w:rPr>
          <w:rFonts w:eastAsia="Calibri"/>
        </w:rPr>
        <w:t xml:space="preserve">the </w:t>
      </w:r>
      <w:r w:rsidRPr="00E665CD">
        <w:rPr>
          <w:rFonts w:eastAsia="Calibri"/>
          <w:i/>
          <w:iCs/>
        </w:rPr>
        <w:t>Journal of Advertising</w:t>
      </w:r>
      <w:r w:rsidRPr="00E665CD">
        <w:rPr>
          <w:rFonts w:eastAsia="Calibri"/>
        </w:rPr>
        <w:t xml:space="preserve"> </w:t>
      </w:r>
      <w:r w:rsidR="00D03A48" w:rsidRPr="00E665CD">
        <w:rPr>
          <w:rFonts w:eastAsia="Calibri"/>
        </w:rPr>
        <w:t xml:space="preserve">(Wojdynski &amp; Evans, 2015) </w:t>
      </w:r>
      <w:r w:rsidRPr="00E665CD">
        <w:rPr>
          <w:rFonts w:eastAsia="Calibri"/>
        </w:rPr>
        <w:t xml:space="preserve">clearly showed that audiences can hardly distinguish between editorial content and native advertising even when </w:t>
      </w:r>
      <w:r w:rsidRPr="00272380">
        <w:rPr>
          <w:rFonts w:eastAsia="Calibri"/>
        </w:rPr>
        <w:t>the la</w:t>
      </w:r>
      <w:r w:rsidR="009971C6" w:rsidRPr="00272380">
        <w:rPr>
          <w:rFonts w:eastAsia="Calibri"/>
        </w:rPr>
        <w:t>tter</w:t>
      </w:r>
      <w:r w:rsidRPr="00272380">
        <w:rPr>
          <w:rFonts w:eastAsia="Calibri"/>
        </w:rPr>
        <w:t xml:space="preserve"> </w:t>
      </w:r>
      <w:r w:rsidR="009971C6" w:rsidRPr="00272380">
        <w:rPr>
          <w:rFonts w:eastAsia="Calibri"/>
        </w:rPr>
        <w:t xml:space="preserve">is </w:t>
      </w:r>
      <w:r w:rsidR="009971C6" w:rsidRPr="00E665CD">
        <w:rPr>
          <w:rFonts w:eastAsia="Calibri"/>
        </w:rPr>
        <w:t>disclosed</w:t>
      </w:r>
      <w:r w:rsidRPr="00E665CD">
        <w:rPr>
          <w:rFonts w:eastAsia="Calibri"/>
        </w:rPr>
        <w:t xml:space="preserve">. However, clear and straightforward disclosure, indicating </w:t>
      </w:r>
      <w:r w:rsidR="009971C6" w:rsidRPr="00E665CD">
        <w:rPr>
          <w:rFonts w:eastAsia="Calibri"/>
        </w:rPr>
        <w:t xml:space="preserve">that </w:t>
      </w:r>
      <w:r w:rsidRPr="00E665CD">
        <w:rPr>
          <w:rFonts w:eastAsia="Calibri"/>
        </w:rPr>
        <w:t>the content is paid</w:t>
      </w:r>
      <w:r w:rsidR="00BD4411" w:rsidRPr="00E665CD">
        <w:rPr>
          <w:rFonts w:eastAsia="Calibri"/>
        </w:rPr>
        <w:t xml:space="preserve"> for</w:t>
      </w:r>
      <w:r w:rsidRPr="00E665CD">
        <w:rPr>
          <w:rFonts w:eastAsia="Calibri"/>
        </w:rPr>
        <w:t xml:space="preserve">, can make a significant difference for them. The two researchers showed their subjects two stories, one editorial and one that was native advertising, with 12 different types of disclosure </w:t>
      </w:r>
      <w:r w:rsidRPr="00E665CD">
        <w:rPr>
          <w:color w:val="000000"/>
          <w:shd w:val="clear" w:color="auto" w:fill="FFFFFF"/>
        </w:rPr>
        <w:t>(for example</w:t>
      </w:r>
      <w:r w:rsidRPr="00E76E30">
        <w:rPr>
          <w:color w:val="000000"/>
          <w:shd w:val="clear" w:color="auto" w:fill="FFFFFF"/>
        </w:rPr>
        <w:t xml:space="preserve">: </w:t>
      </w:r>
      <w:r w:rsidR="00BD4411" w:rsidRPr="00E76E30">
        <w:rPr>
          <w:color w:val="000000"/>
          <w:shd w:val="clear" w:color="auto" w:fill="FFFFFF"/>
        </w:rPr>
        <w:t>‘</w:t>
      </w:r>
      <w:r w:rsidRPr="00E76E30">
        <w:rPr>
          <w:color w:val="000000"/>
          <w:shd w:val="clear" w:color="auto" w:fill="FFFFFF"/>
        </w:rPr>
        <w:t>advertising</w:t>
      </w:r>
      <w:r w:rsidR="00BD4411" w:rsidRPr="00E76E30">
        <w:rPr>
          <w:color w:val="000000"/>
          <w:shd w:val="clear" w:color="auto" w:fill="FFFFFF"/>
        </w:rPr>
        <w:t>’</w:t>
      </w:r>
      <w:r w:rsidRPr="00E76E30">
        <w:rPr>
          <w:color w:val="000000"/>
          <w:shd w:val="clear" w:color="auto" w:fill="FFFFFF"/>
        </w:rPr>
        <w:t xml:space="preserve">, </w:t>
      </w:r>
      <w:r w:rsidR="00BD4411" w:rsidRPr="00E76E30">
        <w:rPr>
          <w:color w:val="000000"/>
          <w:shd w:val="clear" w:color="auto" w:fill="FFFFFF"/>
        </w:rPr>
        <w:t>‘</w:t>
      </w:r>
      <w:r w:rsidRPr="00E76E30">
        <w:rPr>
          <w:color w:val="000000"/>
          <w:shd w:val="clear" w:color="auto" w:fill="FFFFFF"/>
        </w:rPr>
        <w:t>sponsored by</w:t>
      </w:r>
      <w:r w:rsidR="00BD4411" w:rsidRPr="00E76E30">
        <w:rPr>
          <w:color w:val="000000"/>
          <w:shd w:val="clear" w:color="auto" w:fill="FFFFFF"/>
        </w:rPr>
        <w:t>’</w:t>
      </w:r>
      <w:r w:rsidRPr="00E76E30">
        <w:rPr>
          <w:color w:val="000000"/>
          <w:shd w:val="clear" w:color="auto" w:fill="FFFFFF"/>
        </w:rPr>
        <w:t xml:space="preserve"> </w:t>
      </w:r>
      <w:r w:rsidR="00BD4411" w:rsidRPr="00E76E30">
        <w:rPr>
          <w:color w:val="000000"/>
          <w:shd w:val="clear" w:color="auto" w:fill="FFFFFF"/>
        </w:rPr>
        <w:t>‘</w:t>
      </w:r>
      <w:r w:rsidRPr="00E76E30">
        <w:rPr>
          <w:color w:val="000000"/>
          <w:shd w:val="clear" w:color="auto" w:fill="FFFFFF"/>
        </w:rPr>
        <w:t>brand voice</w:t>
      </w:r>
      <w:r w:rsidR="00BD4411" w:rsidRPr="00E76E30">
        <w:rPr>
          <w:color w:val="000000"/>
          <w:shd w:val="clear" w:color="auto" w:fill="FFFFFF"/>
        </w:rPr>
        <w:t>’</w:t>
      </w:r>
      <w:r w:rsidRPr="00E76E30">
        <w:rPr>
          <w:color w:val="000000"/>
          <w:shd w:val="clear" w:color="auto" w:fill="FFFFFF"/>
        </w:rPr>
        <w:t xml:space="preserve"> and </w:t>
      </w:r>
      <w:r w:rsidR="00BD4411" w:rsidRPr="00E76E30">
        <w:rPr>
          <w:color w:val="000000"/>
          <w:shd w:val="clear" w:color="auto" w:fill="FFFFFF"/>
        </w:rPr>
        <w:t>‘</w:t>
      </w:r>
      <w:r w:rsidRPr="00E76E30">
        <w:rPr>
          <w:color w:val="000000"/>
          <w:shd w:val="clear" w:color="auto" w:fill="FFFFFF"/>
        </w:rPr>
        <w:t xml:space="preserve">presented </w:t>
      </w:r>
      <w:r w:rsidRPr="00E665CD">
        <w:rPr>
          <w:color w:val="000000"/>
          <w:shd w:val="clear" w:color="auto" w:fill="FFFFFF"/>
        </w:rPr>
        <w:t>by</w:t>
      </w:r>
      <w:r w:rsidR="00BD4411" w:rsidRPr="00E665CD">
        <w:rPr>
          <w:color w:val="000000"/>
          <w:shd w:val="clear" w:color="auto" w:fill="FFFFFF"/>
        </w:rPr>
        <w:t>’</w:t>
      </w:r>
      <w:r w:rsidRPr="00E665CD">
        <w:rPr>
          <w:color w:val="000000"/>
          <w:shd w:val="clear" w:color="auto" w:fill="FFFFFF"/>
        </w:rPr>
        <w:t>)</w:t>
      </w:r>
      <w:r w:rsidRPr="00E665CD">
        <w:rPr>
          <w:rFonts w:eastAsia="Calibri"/>
        </w:rPr>
        <w:t xml:space="preserve">. They found that less than 8% of the subjects (17 subjects out of 242) were able to distinguish between the editorial piece and native advertising. However, their ability to make such </w:t>
      </w:r>
      <w:r w:rsidR="009971C6" w:rsidRPr="00E665CD">
        <w:rPr>
          <w:rFonts w:eastAsia="Calibri"/>
        </w:rPr>
        <w:t xml:space="preserve">a </w:t>
      </w:r>
      <w:r w:rsidRPr="00E665CD">
        <w:rPr>
          <w:rFonts w:eastAsia="Calibri"/>
        </w:rPr>
        <w:t xml:space="preserve">distinction was significantly improved once the term that was used for disclosure clearly </w:t>
      </w:r>
      <w:r w:rsidRPr="00E665CD">
        <w:rPr>
          <w:rFonts w:asciiTheme="majorBidi" w:eastAsia="Calibri" w:hAnsiTheme="majorBidi" w:cstheme="majorBidi"/>
        </w:rPr>
        <w:t xml:space="preserve">indicated that the </w:t>
      </w:r>
      <w:r w:rsidRPr="00E76E30">
        <w:rPr>
          <w:rFonts w:asciiTheme="majorBidi" w:eastAsia="Calibri" w:hAnsiTheme="majorBidi" w:cstheme="majorBidi"/>
        </w:rPr>
        <w:t>content was paid</w:t>
      </w:r>
      <w:r w:rsidR="00BD4411" w:rsidRPr="00E76E30">
        <w:rPr>
          <w:rFonts w:asciiTheme="majorBidi" w:eastAsia="Calibri" w:hAnsiTheme="majorBidi" w:cstheme="majorBidi"/>
        </w:rPr>
        <w:t xml:space="preserve"> for</w:t>
      </w:r>
      <w:r w:rsidRPr="00E665CD">
        <w:rPr>
          <w:rFonts w:asciiTheme="majorBidi" w:eastAsia="Calibri" w:hAnsiTheme="majorBidi" w:cstheme="majorBidi"/>
        </w:rPr>
        <w:t xml:space="preserve">: those who were exposed to the terms </w:t>
      </w:r>
      <w:r w:rsidR="00BD4411" w:rsidRPr="00E665CD">
        <w:rPr>
          <w:rFonts w:asciiTheme="majorBidi" w:eastAsia="Calibri" w:hAnsiTheme="majorBidi" w:cstheme="majorBidi"/>
        </w:rPr>
        <w:t>‘</w:t>
      </w:r>
      <w:r w:rsidRPr="00E665CD">
        <w:rPr>
          <w:rFonts w:asciiTheme="majorBidi" w:eastAsia="Calibri" w:hAnsiTheme="majorBidi" w:cstheme="majorBidi"/>
        </w:rPr>
        <w:t>advertising</w:t>
      </w:r>
      <w:r w:rsidR="00BD4411" w:rsidRPr="00E665CD">
        <w:rPr>
          <w:rFonts w:asciiTheme="majorBidi" w:eastAsia="Calibri" w:hAnsiTheme="majorBidi" w:cstheme="majorBidi"/>
        </w:rPr>
        <w:t>’</w:t>
      </w:r>
      <w:r w:rsidRPr="00E665CD">
        <w:rPr>
          <w:rFonts w:asciiTheme="majorBidi" w:eastAsia="Calibri" w:hAnsiTheme="majorBidi" w:cstheme="majorBidi"/>
        </w:rPr>
        <w:t xml:space="preserve"> or </w:t>
      </w:r>
      <w:r w:rsidR="00BD4411" w:rsidRPr="00E76E30">
        <w:rPr>
          <w:rFonts w:asciiTheme="majorBidi" w:eastAsia="Calibri" w:hAnsiTheme="majorBidi" w:cstheme="majorBidi"/>
        </w:rPr>
        <w:t>‘</w:t>
      </w:r>
      <w:r w:rsidRPr="00E76E30">
        <w:rPr>
          <w:rFonts w:asciiTheme="majorBidi" w:eastAsia="Calibri" w:hAnsiTheme="majorBidi" w:cstheme="majorBidi"/>
        </w:rPr>
        <w:t>sponsored content</w:t>
      </w:r>
      <w:r w:rsidR="00BD4411" w:rsidRPr="00E76E30">
        <w:rPr>
          <w:rFonts w:asciiTheme="majorBidi" w:eastAsia="Calibri" w:hAnsiTheme="majorBidi" w:cstheme="majorBidi"/>
        </w:rPr>
        <w:t>’</w:t>
      </w:r>
      <w:r w:rsidRPr="00E76E30">
        <w:rPr>
          <w:rFonts w:asciiTheme="majorBidi" w:eastAsia="Calibri" w:hAnsiTheme="majorBidi" w:cstheme="majorBidi"/>
        </w:rPr>
        <w:t xml:space="preserve"> were </w:t>
      </w:r>
      <w:r w:rsidR="00BD4411" w:rsidRPr="00E76E30">
        <w:rPr>
          <w:rFonts w:asciiTheme="majorBidi" w:eastAsia="Calibri" w:hAnsiTheme="majorBidi" w:cstheme="majorBidi"/>
        </w:rPr>
        <w:t>seven</w:t>
      </w:r>
      <w:r w:rsidRPr="00E76E30">
        <w:rPr>
          <w:rFonts w:asciiTheme="majorBidi" w:eastAsia="Calibri" w:hAnsiTheme="majorBidi" w:cstheme="majorBidi"/>
        </w:rPr>
        <w:t xml:space="preserve"> times more likely to recogni</w:t>
      </w:r>
      <w:r w:rsidR="00BD4411" w:rsidRPr="00E76E30">
        <w:rPr>
          <w:rFonts w:asciiTheme="majorBidi" w:eastAsia="Calibri" w:hAnsiTheme="majorBidi" w:cstheme="majorBidi"/>
        </w:rPr>
        <w:t>s</w:t>
      </w:r>
      <w:r w:rsidRPr="00E76E30">
        <w:rPr>
          <w:rFonts w:asciiTheme="majorBidi" w:eastAsia="Calibri" w:hAnsiTheme="majorBidi" w:cstheme="majorBidi"/>
        </w:rPr>
        <w:t>e it as paid content compar</w:t>
      </w:r>
      <w:r w:rsidR="00BD4411" w:rsidRPr="00E76E30">
        <w:rPr>
          <w:rFonts w:asciiTheme="majorBidi" w:eastAsia="Calibri" w:hAnsiTheme="majorBidi" w:cstheme="majorBidi"/>
        </w:rPr>
        <w:t>ed</w:t>
      </w:r>
      <w:r w:rsidRPr="00E76E30">
        <w:rPr>
          <w:rFonts w:asciiTheme="majorBidi" w:eastAsia="Calibri" w:hAnsiTheme="majorBidi" w:cstheme="majorBidi"/>
        </w:rPr>
        <w:t xml:space="preserve"> to those who were exposed to neologisms such as </w:t>
      </w:r>
      <w:r w:rsidR="00BD4411" w:rsidRPr="00E76E30">
        <w:rPr>
          <w:rFonts w:asciiTheme="majorBidi" w:eastAsia="Calibri" w:hAnsiTheme="majorBidi" w:cstheme="majorBidi"/>
        </w:rPr>
        <w:t>‘</w:t>
      </w:r>
      <w:r w:rsidRPr="00E76E30">
        <w:rPr>
          <w:rFonts w:asciiTheme="majorBidi" w:eastAsia="Calibri" w:hAnsiTheme="majorBidi" w:cstheme="majorBidi"/>
        </w:rPr>
        <w:t>brand voice</w:t>
      </w:r>
      <w:r w:rsidR="00BD4411" w:rsidRPr="00E76E30">
        <w:rPr>
          <w:rFonts w:asciiTheme="majorBidi" w:eastAsia="Calibri" w:hAnsiTheme="majorBidi" w:cstheme="majorBidi"/>
        </w:rPr>
        <w:t>’</w:t>
      </w:r>
      <w:r w:rsidRPr="00E76E30">
        <w:rPr>
          <w:rFonts w:asciiTheme="majorBidi" w:eastAsia="Calibri" w:hAnsiTheme="majorBidi" w:cstheme="majorBidi"/>
        </w:rPr>
        <w:t xml:space="preserve"> or </w:t>
      </w:r>
      <w:r w:rsidR="00BD4411" w:rsidRPr="00E76E30">
        <w:rPr>
          <w:rFonts w:asciiTheme="majorBidi" w:eastAsia="Calibri" w:hAnsiTheme="majorBidi" w:cstheme="majorBidi"/>
        </w:rPr>
        <w:t>‘</w:t>
      </w:r>
      <w:r w:rsidRPr="00E76E30">
        <w:rPr>
          <w:rFonts w:asciiTheme="majorBidi" w:eastAsia="Calibri" w:hAnsiTheme="majorBidi" w:cstheme="majorBidi"/>
        </w:rPr>
        <w:t>presented by</w:t>
      </w:r>
      <w:r w:rsidR="00BD4411" w:rsidRPr="00E76E30">
        <w:rPr>
          <w:rFonts w:asciiTheme="majorBidi" w:eastAsia="Calibri" w:hAnsiTheme="majorBidi" w:cstheme="majorBidi"/>
        </w:rPr>
        <w:t>’</w:t>
      </w:r>
      <w:r w:rsidRPr="00E76E30">
        <w:rPr>
          <w:rFonts w:asciiTheme="majorBidi" w:eastAsia="Calibri" w:hAnsiTheme="majorBidi" w:cstheme="majorBidi"/>
        </w:rPr>
        <w:t xml:space="preserve">. </w:t>
      </w:r>
    </w:p>
    <w:p w14:paraId="06AF54D6" w14:textId="13A4409E" w:rsidR="00583B0E" w:rsidRPr="00E665CD" w:rsidRDefault="00583B0E" w:rsidP="000138D8">
      <w:pPr>
        <w:pStyle w:val="NormalWeb"/>
        <w:shd w:val="clear" w:color="auto" w:fill="FFFFFF"/>
        <w:spacing w:before="0" w:beforeAutospacing="0" w:after="150" w:afterAutospacing="0" w:line="360" w:lineRule="auto"/>
        <w:rPr>
          <w:rFonts w:asciiTheme="majorBidi" w:hAnsiTheme="majorBidi" w:cstheme="majorBidi"/>
          <w:color w:val="000000"/>
          <w:lang w:val="en-US"/>
        </w:rPr>
      </w:pPr>
      <w:r w:rsidRPr="00E665CD">
        <w:rPr>
          <w:rFonts w:asciiTheme="majorBidi" w:eastAsia="Calibri" w:hAnsiTheme="majorBidi" w:cstheme="majorBidi"/>
        </w:rPr>
        <w:lastRenderedPageBreak/>
        <w:t xml:space="preserve">Positioning of the disclosure on the page also turned </w:t>
      </w:r>
      <w:r w:rsidR="00BD4411" w:rsidRPr="00E665CD">
        <w:rPr>
          <w:rFonts w:asciiTheme="majorBidi" w:eastAsia="Calibri" w:hAnsiTheme="majorBidi" w:cstheme="majorBidi"/>
        </w:rPr>
        <w:t xml:space="preserve">out </w:t>
      </w:r>
      <w:r w:rsidRPr="00E665CD">
        <w:rPr>
          <w:rFonts w:asciiTheme="majorBidi" w:eastAsia="Calibri" w:hAnsiTheme="majorBidi" w:cstheme="majorBidi"/>
        </w:rPr>
        <w:t xml:space="preserve">to be a significant factor in </w:t>
      </w:r>
      <w:r w:rsidR="00BD4411" w:rsidRPr="00E665CD">
        <w:rPr>
          <w:rFonts w:asciiTheme="majorBidi" w:eastAsia="Calibri" w:hAnsiTheme="majorBidi" w:cstheme="majorBidi"/>
        </w:rPr>
        <w:t xml:space="preserve">the </w:t>
      </w:r>
      <w:r w:rsidRPr="00E665CD">
        <w:rPr>
          <w:rFonts w:asciiTheme="majorBidi" w:eastAsia="Calibri" w:hAnsiTheme="majorBidi" w:cstheme="majorBidi"/>
        </w:rPr>
        <w:t xml:space="preserve">subjects' ability to understand the nature of the story they were reading. Surprisingly, the researchers </w:t>
      </w:r>
      <w:r w:rsidRPr="00E665CD">
        <w:rPr>
          <w:rFonts w:asciiTheme="majorBidi" w:hAnsiTheme="majorBidi" w:cstheme="majorBidi"/>
          <w:color w:val="000000"/>
          <w:lang w:val="en-US"/>
        </w:rPr>
        <w:t xml:space="preserve">found that placement in the middle of the page was more than twice as visible as placement at the top of the page, as 90% of subjects saw the former compared to just 40% </w:t>
      </w:r>
      <w:r w:rsidR="00BD4411" w:rsidRPr="00E665CD">
        <w:rPr>
          <w:rFonts w:asciiTheme="majorBidi" w:hAnsiTheme="majorBidi" w:cstheme="majorBidi"/>
          <w:color w:val="000000"/>
          <w:lang w:val="en-US"/>
        </w:rPr>
        <w:t>who saw</w:t>
      </w:r>
      <w:r w:rsidRPr="00E665CD">
        <w:rPr>
          <w:rFonts w:asciiTheme="majorBidi" w:hAnsiTheme="majorBidi" w:cstheme="majorBidi"/>
          <w:color w:val="000000"/>
          <w:lang w:val="en-US"/>
        </w:rPr>
        <w:t xml:space="preserve"> the latter. Some 60% noticed the label at the bottom of the page.</w:t>
      </w:r>
    </w:p>
    <w:p w14:paraId="5B17F59C" w14:textId="5E55CE79" w:rsidR="00583B0E" w:rsidRPr="00E665CD" w:rsidRDefault="006C35E5" w:rsidP="00BD4411">
      <w:pPr>
        <w:spacing w:line="360" w:lineRule="auto"/>
        <w:rPr>
          <w:rFonts w:ascii="Times New Roman" w:eastAsia="Calibri" w:hAnsi="Times New Roman" w:cs="Times New Roman"/>
          <w:sz w:val="24"/>
          <w:szCs w:val="24"/>
          <w:lang w:val="en-US"/>
        </w:rPr>
      </w:pPr>
      <w:r w:rsidRPr="00E665CD">
        <w:rPr>
          <w:rFonts w:ascii="Times New Roman" w:eastAsia="Calibri" w:hAnsi="Times New Roman" w:cs="Times New Roman"/>
          <w:sz w:val="24"/>
          <w:szCs w:val="24"/>
        </w:rPr>
        <w:t xml:space="preserve"> S</w:t>
      </w:r>
      <w:r w:rsidR="00583B0E" w:rsidRPr="00E665CD">
        <w:rPr>
          <w:rFonts w:ascii="Times New Roman" w:eastAsia="Calibri" w:hAnsi="Times New Roman" w:cs="Times New Roman"/>
          <w:sz w:val="24"/>
          <w:szCs w:val="24"/>
        </w:rPr>
        <w:t>uch indication is immensely important for policy makers, as the details in regulating this field can make a big difference. Disclosure should clearly</w:t>
      </w:r>
      <w:r w:rsidR="00583B0E" w:rsidRPr="00E665CD">
        <w:rPr>
          <w:rFonts w:ascii="Times New Roman" w:eastAsia="Calibri" w:hAnsi="Times New Roman" w:cs="Times New Roman"/>
          <w:sz w:val="24"/>
          <w:szCs w:val="24"/>
          <w:lang w:val="en-US"/>
        </w:rPr>
        <w:t xml:space="preserve"> and noticeably</w:t>
      </w:r>
      <w:r w:rsidR="00583B0E" w:rsidRPr="00E665CD">
        <w:rPr>
          <w:rFonts w:ascii="Times New Roman" w:eastAsia="Calibri" w:hAnsi="Times New Roman" w:cs="Times New Roman"/>
          <w:sz w:val="24"/>
          <w:szCs w:val="24"/>
        </w:rPr>
        <w:t xml:space="preserve"> indicate that the content is advertising of sponsored content, together with identification of the specific sponsors</w:t>
      </w:r>
      <w:r w:rsidR="00583B0E" w:rsidRPr="00E665CD">
        <w:rPr>
          <w:rFonts w:ascii="Times New Roman" w:eastAsia="Calibri" w:hAnsi="Times New Roman" w:cs="Times New Roman"/>
          <w:sz w:val="24"/>
          <w:szCs w:val="24"/>
          <w:lang w:val="en-US"/>
        </w:rPr>
        <w:t xml:space="preserve">. The disclosure, ultimately, should serve media consumers, not advertisers or their partners in the content platforms. </w:t>
      </w:r>
    </w:p>
    <w:p w14:paraId="41364567" w14:textId="20392BC5" w:rsidR="00583B0E" w:rsidRPr="00E665CD" w:rsidRDefault="00583B0E" w:rsidP="00BD4411">
      <w:pPr>
        <w:spacing w:line="360" w:lineRule="auto"/>
        <w:rPr>
          <w:rFonts w:ascii="Times New Roman" w:eastAsia="Calibri" w:hAnsi="Times New Roman" w:cs="Times New Roman"/>
          <w:sz w:val="24"/>
          <w:szCs w:val="24"/>
          <w:lang w:val="en-US"/>
        </w:rPr>
      </w:pPr>
      <w:r w:rsidRPr="00E665CD">
        <w:rPr>
          <w:rFonts w:ascii="Times New Roman" w:eastAsia="Calibri" w:hAnsi="Times New Roman" w:cs="Times New Roman"/>
          <w:sz w:val="24"/>
          <w:szCs w:val="24"/>
          <w:lang w:val="en-US"/>
        </w:rPr>
        <w:t>Fourth, any regulation of embedded branding should be oriented towards standar</w:t>
      </w:r>
      <w:r w:rsidRPr="00E76E30">
        <w:rPr>
          <w:rFonts w:ascii="Times New Roman" w:eastAsia="Calibri" w:hAnsi="Times New Roman" w:cs="Times New Roman"/>
          <w:sz w:val="24"/>
          <w:szCs w:val="24"/>
          <w:lang w:val="en-US"/>
        </w:rPr>
        <w:t>di</w:t>
      </w:r>
      <w:r w:rsidR="00BD4411" w:rsidRPr="00E76E30">
        <w:rPr>
          <w:rFonts w:ascii="Times New Roman" w:eastAsia="Calibri" w:hAnsi="Times New Roman" w:cs="Times New Roman"/>
          <w:sz w:val="24"/>
          <w:szCs w:val="24"/>
          <w:lang w:val="en-US"/>
        </w:rPr>
        <w:t>s</w:t>
      </w:r>
      <w:r w:rsidRPr="00E76E30">
        <w:rPr>
          <w:rFonts w:ascii="Times New Roman" w:eastAsia="Calibri" w:hAnsi="Times New Roman" w:cs="Times New Roman"/>
          <w:sz w:val="24"/>
          <w:szCs w:val="24"/>
          <w:lang w:val="en-US"/>
        </w:rPr>
        <w:t>a</w:t>
      </w:r>
      <w:r w:rsidRPr="00E665CD">
        <w:rPr>
          <w:rFonts w:ascii="Times New Roman" w:eastAsia="Calibri" w:hAnsi="Times New Roman" w:cs="Times New Roman"/>
          <w:sz w:val="24"/>
          <w:szCs w:val="24"/>
          <w:lang w:val="en-US"/>
        </w:rPr>
        <w:t xml:space="preserve">tion of disclosure signs (a logo and a certain </w:t>
      </w:r>
      <w:r w:rsidR="00BD4411" w:rsidRPr="00E665CD">
        <w:rPr>
          <w:rFonts w:ascii="Times New Roman" w:eastAsia="Calibri" w:hAnsi="Times New Roman" w:cs="Times New Roman"/>
          <w:sz w:val="24"/>
          <w:szCs w:val="24"/>
          <w:lang w:val="en-US"/>
        </w:rPr>
        <w:t>label</w:t>
      </w:r>
      <w:r w:rsidRPr="00E665CD">
        <w:rPr>
          <w:rFonts w:ascii="Times New Roman" w:eastAsia="Calibri" w:hAnsi="Times New Roman" w:cs="Times New Roman"/>
          <w:sz w:val="24"/>
          <w:szCs w:val="24"/>
          <w:lang w:val="en-US"/>
        </w:rPr>
        <w:t>, for example), so it would be easily recognized, and more important</w:t>
      </w:r>
      <w:r w:rsidR="00BD4411" w:rsidRPr="00E665CD">
        <w:rPr>
          <w:rFonts w:ascii="Times New Roman" w:eastAsia="Calibri" w:hAnsi="Times New Roman" w:cs="Times New Roman"/>
          <w:sz w:val="24"/>
          <w:szCs w:val="24"/>
          <w:lang w:val="en-US"/>
        </w:rPr>
        <w:t>ly</w:t>
      </w:r>
      <w:r w:rsidRPr="00E665CD">
        <w:rPr>
          <w:rFonts w:ascii="Times New Roman" w:eastAsia="Calibri" w:hAnsi="Times New Roman" w:cs="Times New Roman"/>
          <w:sz w:val="24"/>
          <w:szCs w:val="24"/>
          <w:lang w:val="en-US"/>
        </w:rPr>
        <w:t xml:space="preserve">, the labeling system should be present across platforms: digital media, television, radio, print and so forth. In that context it seems that the best regulatory path </w:t>
      </w:r>
      <w:r w:rsidR="00CD1F95" w:rsidRPr="00E665CD">
        <w:rPr>
          <w:rFonts w:ascii="Times New Roman" w:eastAsia="Calibri" w:hAnsi="Times New Roman" w:cs="Times New Roman"/>
          <w:sz w:val="24"/>
          <w:szCs w:val="24"/>
          <w:lang w:val="en-US"/>
        </w:rPr>
        <w:t>involves</w:t>
      </w:r>
      <w:r w:rsidRPr="00E665CD">
        <w:rPr>
          <w:rFonts w:ascii="Times New Roman" w:eastAsia="Calibri" w:hAnsi="Times New Roman" w:cs="Times New Roman"/>
          <w:sz w:val="24"/>
          <w:szCs w:val="24"/>
          <w:lang w:val="en-US"/>
        </w:rPr>
        <w:t xml:space="preserve"> consumer protection law</w:t>
      </w:r>
      <w:r w:rsidR="00BD4411" w:rsidRPr="00E665CD">
        <w:rPr>
          <w:rFonts w:ascii="Times New Roman" w:eastAsia="Calibri" w:hAnsi="Times New Roman" w:cs="Times New Roman"/>
          <w:sz w:val="24"/>
          <w:szCs w:val="24"/>
          <w:lang w:val="en-US"/>
        </w:rPr>
        <w:t>s</w:t>
      </w:r>
      <w:r w:rsidRPr="00E665CD">
        <w:rPr>
          <w:rFonts w:ascii="Times New Roman" w:eastAsia="Calibri" w:hAnsi="Times New Roman" w:cs="Times New Roman"/>
          <w:sz w:val="24"/>
          <w:szCs w:val="24"/>
          <w:lang w:val="en-US"/>
        </w:rPr>
        <w:t xml:space="preserve"> and regulation, rather than media regulation that currently tend</w:t>
      </w:r>
      <w:r w:rsidR="00BD4411" w:rsidRPr="00E665CD">
        <w:rPr>
          <w:rFonts w:ascii="Times New Roman" w:eastAsia="Calibri" w:hAnsi="Times New Roman" w:cs="Times New Roman"/>
          <w:sz w:val="24"/>
          <w:szCs w:val="24"/>
          <w:lang w:val="en-US"/>
        </w:rPr>
        <w:t>s</w:t>
      </w:r>
      <w:r w:rsidRPr="00E665CD">
        <w:rPr>
          <w:rFonts w:ascii="Times New Roman" w:eastAsia="Calibri" w:hAnsi="Times New Roman" w:cs="Times New Roman"/>
          <w:sz w:val="24"/>
          <w:szCs w:val="24"/>
          <w:lang w:val="en-US"/>
        </w:rPr>
        <w:t xml:space="preserve"> to be medium specific in most countries. It seems that the USA is taking the lead in this way: the Federal Trade Commission released a detailed enforcement policy statement </w:t>
      </w:r>
      <w:r w:rsidR="006852EE" w:rsidRPr="00E665CD">
        <w:rPr>
          <w:rFonts w:ascii="Times New Roman" w:eastAsia="Calibri" w:hAnsi="Times New Roman" w:cs="Times New Roman"/>
          <w:sz w:val="24"/>
          <w:szCs w:val="24"/>
          <w:lang w:val="en-US"/>
        </w:rPr>
        <w:t xml:space="preserve">(FTC, 2015a) </w:t>
      </w:r>
      <w:r w:rsidRPr="00E665CD">
        <w:rPr>
          <w:rFonts w:ascii="Times New Roman" w:eastAsia="Calibri" w:hAnsi="Times New Roman" w:cs="Times New Roman"/>
          <w:sz w:val="24"/>
          <w:szCs w:val="24"/>
          <w:lang w:val="en-US"/>
        </w:rPr>
        <w:t>in relation to deceptively formatted advertisement (and a detailed guide for business</w:t>
      </w:r>
      <w:r w:rsidR="00BD4411" w:rsidRPr="00E665CD">
        <w:rPr>
          <w:rFonts w:ascii="Times New Roman" w:eastAsia="Calibri" w:hAnsi="Times New Roman" w:cs="Times New Roman"/>
          <w:sz w:val="24"/>
          <w:szCs w:val="24"/>
          <w:lang w:val="en-US"/>
        </w:rPr>
        <w:t>es</w:t>
      </w:r>
      <w:r w:rsidRPr="00E665CD">
        <w:rPr>
          <w:rFonts w:ascii="Times New Roman" w:eastAsia="Calibri" w:hAnsi="Times New Roman" w:cs="Times New Roman"/>
          <w:sz w:val="24"/>
          <w:szCs w:val="24"/>
          <w:lang w:val="en-US"/>
        </w:rPr>
        <w:t xml:space="preserve"> for implementing the new regulation</w:t>
      </w:r>
      <w:r w:rsidR="00564A96" w:rsidRPr="00E665CD">
        <w:rPr>
          <w:rFonts w:ascii="Times New Roman" w:eastAsia="Calibri" w:hAnsi="Times New Roman" w:cs="Times New Roman"/>
          <w:sz w:val="24"/>
          <w:szCs w:val="24"/>
          <w:lang w:val="en-US"/>
        </w:rPr>
        <w:t xml:space="preserve"> [FTC, 2015b]</w:t>
      </w:r>
      <w:r w:rsidRPr="00E665CD">
        <w:rPr>
          <w:rFonts w:ascii="Times New Roman" w:eastAsia="Calibri" w:hAnsi="Times New Roman" w:cs="Times New Roman"/>
          <w:sz w:val="24"/>
          <w:szCs w:val="24"/>
          <w:lang w:val="en-US"/>
        </w:rPr>
        <w:t xml:space="preserve">) with the purpose of creating a climate of clear disclosure of any content that appears as advertising, </w:t>
      </w:r>
      <w:r w:rsidR="00BD4411" w:rsidRPr="00E665CD">
        <w:rPr>
          <w:rFonts w:ascii="Times New Roman" w:eastAsia="Calibri" w:hAnsi="Times New Roman" w:cs="Times New Roman"/>
          <w:sz w:val="24"/>
          <w:szCs w:val="24"/>
          <w:lang w:val="en-US"/>
        </w:rPr>
        <w:t>o</w:t>
      </w:r>
      <w:r w:rsidRPr="00E665CD">
        <w:rPr>
          <w:rFonts w:ascii="Times New Roman" w:eastAsia="Calibri" w:hAnsi="Times New Roman" w:cs="Times New Roman"/>
          <w:sz w:val="24"/>
          <w:szCs w:val="24"/>
          <w:lang w:val="en-US"/>
        </w:rPr>
        <w:t xml:space="preserve">n any platform.  </w:t>
      </w:r>
    </w:p>
    <w:p w14:paraId="5A115130" w14:textId="05FC54E5" w:rsidR="00583B0E" w:rsidRPr="00E665CD" w:rsidRDefault="00583B0E" w:rsidP="00583B0E">
      <w:pPr>
        <w:spacing w:line="360" w:lineRule="auto"/>
        <w:rPr>
          <w:rFonts w:ascii="Times New Roman" w:eastAsia="Calibri" w:hAnsi="Times New Roman" w:cs="Times New Roman"/>
          <w:sz w:val="24"/>
          <w:szCs w:val="24"/>
          <w:lang w:val="en-US"/>
        </w:rPr>
      </w:pPr>
      <w:r w:rsidRPr="00E665CD">
        <w:rPr>
          <w:rFonts w:ascii="Times New Roman" w:eastAsia="Calibri" w:hAnsi="Times New Roman" w:cs="Times New Roman"/>
          <w:sz w:val="24"/>
          <w:szCs w:val="24"/>
          <w:lang w:val="en-US"/>
        </w:rPr>
        <w:t xml:space="preserve">Finally, I see great importance in taking a normative position towards embedded branding, from the side of legislators and regulators. It is necessary to provide audiences with tools that would help them understand the nature of the content they are exposed to, but it is nonetheless important to brand such manipulative </w:t>
      </w:r>
      <w:r w:rsidR="00BD4411" w:rsidRPr="00E665CD">
        <w:rPr>
          <w:rFonts w:ascii="Times New Roman" w:eastAsia="Calibri" w:hAnsi="Times New Roman" w:cs="Times New Roman"/>
          <w:sz w:val="24"/>
          <w:szCs w:val="24"/>
          <w:lang w:val="en-US"/>
        </w:rPr>
        <w:t>attempts</w:t>
      </w:r>
      <w:r w:rsidRPr="00E665CD">
        <w:rPr>
          <w:rFonts w:ascii="Times New Roman" w:eastAsia="Calibri" w:hAnsi="Times New Roman" w:cs="Times New Roman"/>
          <w:sz w:val="24"/>
          <w:szCs w:val="24"/>
          <w:lang w:val="en-US"/>
        </w:rPr>
        <w:t xml:space="preserve"> as deceiving by nature and damaging to audiences, as citizens as well as consumers. </w:t>
      </w:r>
    </w:p>
    <w:p w14:paraId="6564974B" w14:textId="227E44F8" w:rsidR="00583B0E" w:rsidRPr="005110DC" w:rsidRDefault="00583B0E" w:rsidP="00994988">
      <w:pPr>
        <w:spacing w:line="360" w:lineRule="auto"/>
        <w:rPr>
          <w:rFonts w:ascii="Times New Roman" w:eastAsia="Calibri" w:hAnsi="Times New Roman" w:cs="Times New Roman"/>
          <w:sz w:val="24"/>
          <w:szCs w:val="24"/>
        </w:rPr>
      </w:pPr>
      <w:r w:rsidRPr="00E665CD">
        <w:rPr>
          <w:rFonts w:ascii="Times New Roman" w:eastAsia="Calibri" w:hAnsi="Times New Roman" w:cs="Times New Roman"/>
          <w:sz w:val="24"/>
          <w:szCs w:val="24"/>
        </w:rPr>
        <w:t xml:space="preserve">It is only by providing tools to identify embedded branding that regulators (and civil society bodies) would then be able to take a step further – promoting media literacy and critical consumption of media content. I believe that the role of regulation in a digital, fragmented media environment is quickly changing. In this new scene, regulation may become more like a mediator </w:t>
      </w:r>
      <w:r w:rsidRPr="00E665CD">
        <w:rPr>
          <w:rFonts w:ascii="Times New Roman" w:eastAsia="Calibri" w:hAnsi="Times New Roman" w:cs="Times New Roman"/>
          <w:sz w:val="24"/>
          <w:szCs w:val="24"/>
        </w:rPr>
        <w:lastRenderedPageBreak/>
        <w:t>between media bodies and consumers, by setting basic rules and empowering consumers. By obligating media outlets to clearly inform viewers and users of the presence of commercial funding and to indicate who these sponsors are, across various platforms including the Internet, consumers would be offered a different view on the content they choose to pay attention to. This would allow them to react accordingly, by publicly criticising ‘branded content’ or simply resisting it, by preferring content that relies on other funding models (subscription or payment on demand). Of course, it is not improbable that many consumers may just not care, but the obligation to keep them informed and aware is still imperative.</w:t>
      </w:r>
      <w:r w:rsidRPr="005110DC">
        <w:rPr>
          <w:rFonts w:ascii="Times New Roman" w:eastAsia="Calibri" w:hAnsi="Times New Roman" w:cs="Times New Roman"/>
          <w:sz w:val="24"/>
          <w:szCs w:val="24"/>
        </w:rPr>
        <w:t xml:space="preserve"> </w:t>
      </w:r>
    </w:p>
    <w:p w14:paraId="1A2CD875"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This research clearly has a number of limitations that should be considered at this point. To begin with, I chose to look at only two case studies. Is it possible to reach any valid conclusion about a rising global market by looking at two television shows? Second, the markets I was looking at are different in more than one aspect. The British market is the second largest in the world and plays a significant role in the global market, while the Israeli one is not only significantly smaller, but limited by its language (though rising in recent years as a promising global player due to the worldwide success of a number of Israeli formats). The structure of these markets, their regulation, culture and politics, the volume of advertising budgets, all these are totally different and hard to compare. Third, the two broadcasters rely on a somewhat different funding model. They are both commercial and under public regulation, but Channel 4 is not privately owned and is not oriented towards maximising profits for its owners, while Channel 2 is privately owned and profit-oriented, and in that sense has a stronger commercial orientation. This leads to the fourth point: the case studies themselves differ to a great extent. The degree to which sponsors managed to gain a foothold in the production of </w:t>
      </w:r>
      <w:r w:rsidRPr="005110DC">
        <w:rPr>
          <w:rFonts w:ascii="Times New Roman" w:eastAsia="Calibri" w:hAnsi="Times New Roman" w:cs="Times New Roman"/>
          <w:i/>
          <w:iCs/>
          <w:sz w:val="24"/>
          <w:szCs w:val="24"/>
        </w:rPr>
        <w:t>Overdraft Family</w:t>
      </w:r>
      <w:r w:rsidRPr="005110DC">
        <w:rPr>
          <w:rFonts w:ascii="Times New Roman" w:eastAsia="Calibri" w:hAnsi="Times New Roman" w:cs="Times New Roman"/>
          <w:sz w:val="24"/>
          <w:szCs w:val="24"/>
        </w:rPr>
        <w:t xml:space="preserve"> is significantly greater in comparison to the serious efforts that were made in the case of </w:t>
      </w:r>
      <w:r w:rsidRPr="005110DC">
        <w:rPr>
          <w:rFonts w:ascii="Times New Roman" w:eastAsia="Calibri" w:hAnsi="Times New Roman" w:cs="Times New Roman"/>
          <w:i/>
          <w:iCs/>
          <w:sz w:val="24"/>
          <w:szCs w:val="24"/>
        </w:rPr>
        <w:t>HTLGN</w:t>
      </w:r>
      <w:r w:rsidRPr="005110DC">
        <w:rPr>
          <w:rFonts w:ascii="Times New Roman" w:eastAsia="Calibri" w:hAnsi="Times New Roman" w:cs="Times New Roman"/>
          <w:sz w:val="24"/>
          <w:szCs w:val="24"/>
        </w:rPr>
        <w:t xml:space="preserve"> to maintain the programme’s editorial independence. Lastly, I have tried to uncover the ‘rules’ of this market and present the typical format and characteristics of embedded branding deals, but is it possible to put any ‘order’ in a market that seems to follow the rules of the jungle? There is no real ‘order’ or any known ‘rules’ in this market that practically operates by the art of the possible and constantly ‘invents’ new forms of commercial influence. </w:t>
      </w:r>
    </w:p>
    <w:p w14:paraId="4578B614"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However, I do believe that these weaknesses of the research are at the same time the source of its strength, its validity and reliability. It is only by deciding to focus on two case studies that I </w:t>
      </w:r>
      <w:r w:rsidRPr="005110DC">
        <w:rPr>
          <w:rFonts w:ascii="Times New Roman" w:eastAsia="Calibri" w:hAnsi="Times New Roman" w:cs="Times New Roman"/>
          <w:sz w:val="24"/>
          <w:szCs w:val="24"/>
        </w:rPr>
        <w:lastRenderedPageBreak/>
        <w:t xml:space="preserve">could invest myself in triangulation, tracking the specific interviewees and receiving their co-operation, collecting invaluable internal documents which uncover this field for the first time and then diving into the tiniest details of these commercial agreements, which are usually implemented in a rather secretive way. It is that very close look which I decided to take into the market of ‘branded content’ which finally enabled me to then step back and portray the patterns and characteristics of contemporary commercialisation, across different countries, different markets and two different reality programmes. Still, it is important to remember that I have portrayed a general landscape and therefore not every deal of embedded branding would fully follow my scheme. I wished to show how money, like water, ‘runs’ everywhere and goes into the tiniest cracks, but, to follow this metaphor, just like water, its routes can never be clearly predicted. </w:t>
      </w:r>
    </w:p>
    <w:p w14:paraId="42EDF23C"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Yet another flaw of this project is the relatively small attention I have given to commercialisation in the digital arena, while it is clear that this is where most of the innovative developments in this field are currently happening. This, however, leaves an exciting space for further research. I have no doubt that the commercialisation of media content on the Internet deserves considerable attention by media scholars and that new developments and current initiatives raise serious and very interesting questions about the interaction between commerce and content, between the rule-free market in the digital space and the public role of the media. So, for example, a number of quickly rising companies, which were already mentioned here, work to promote commercial content through the platforms of main media outlets, by recommending items for ‘further reading’ (or: ‘more stories from around the web’). By doing so, they further work to blur the line between media content and messages that are purely commercial, while relying on algorithms that are not transparent and seem to replace the traditional role of editors as agenda setters. Companies such as Taboola, that promise to ‘drive traffic’ and ‘monetise content’, or Outbrain, that carry the promise of ‘getting your content discovered’, have become a dominant and most interesting phenomenon in the commercialisation of content online. Furthermore, the social networks, such as Facebook, Twitter or Instagram seem to replace the role of the ‘old’ publishers. The ‘rules’ they decide to set for separation between content and commerce (as well as the motivation behind these rules) deserve significant attention. Is it okay for users to receive commercially funded posts? And if this is not allowed, what is the difference between a paid post and say, posts by an actor who is also a presenter of a brand and praises their products on his </w:t>
      </w:r>
      <w:r w:rsidRPr="005110DC">
        <w:rPr>
          <w:rFonts w:ascii="Times New Roman" w:eastAsia="Calibri" w:hAnsi="Times New Roman" w:cs="Times New Roman"/>
          <w:sz w:val="24"/>
          <w:szCs w:val="24"/>
        </w:rPr>
        <w:lastRenderedPageBreak/>
        <w:t xml:space="preserve">wall? This leads to yet another phenomenon that is worthy of scholarly attention: commercialisation of the ‘self’ online, in which individuals (independent bloggers or through social networks) willingly promote certain brands in an ‘authentic’ way, as part of their daily lives, for material return. </w:t>
      </w:r>
    </w:p>
    <w:p w14:paraId="3D72C0E3" w14:textId="77777777" w:rsidR="00497B7D" w:rsidRPr="005110DC"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 xml:space="preserve">I find all these topics most exciting to look at, and I do hope that my research, which focuses on the transition from ‘old media’ to a multi-platform environment, has managed, by taking this topic beyond product placement and presenting the notions of ‘deep integration’ and ‘continuous integration’, to set the foundations for further discussion on the commercialisation of content in the age of branding and digital media.  </w:t>
      </w:r>
    </w:p>
    <w:p w14:paraId="765E9D2D" w14:textId="77777777" w:rsidR="00497B7D" w:rsidRPr="009B5102" w:rsidRDefault="00497B7D" w:rsidP="00346CA5">
      <w:pPr>
        <w:spacing w:line="360" w:lineRule="auto"/>
        <w:rPr>
          <w:rFonts w:ascii="Times New Roman" w:eastAsia="Calibri" w:hAnsi="Times New Roman" w:cs="Times New Roman"/>
          <w:sz w:val="24"/>
          <w:szCs w:val="24"/>
        </w:rPr>
      </w:pPr>
      <w:r w:rsidRPr="005110DC">
        <w:rPr>
          <w:rFonts w:ascii="Times New Roman" w:eastAsia="Calibri" w:hAnsi="Times New Roman" w:cs="Times New Roman"/>
          <w:sz w:val="24"/>
          <w:szCs w:val="24"/>
        </w:rPr>
        <w:t>I have tried in this thesis to tell a story of two popular reality shows and their sponsorship agreements. But beyond that, I wished to uncover the lesser known reality of commercialisation in the digital age, the hidden territory of ‘branded content’ and ‘native advertising’. I explored a market that is relatively marginal in the marketing world in terms of budgeting, but its influence on media outlets and public debate far exceeds its financial share. Most importantly, I aimed to draw attention to the gradual erosion of the ability to raise an independent editorial voice by content creators and media outlets, in face of the tantalising commercialisation process of the cultural public sphere. My thesis is therefore not about product placement, but about anything beyond it, mainly the lesser known ways in which corporations transform their commercial goals into images and find ways to become present ‘everywhere’ and ‘nowhere’ and ultimately gain influence over public debate in the oldest and simplest way - with money. This form of influence is particularly alarming as it is not only limited to the encouragement of consumption, which is the focus of advertising from its very first days. It touches on agenda setting, on the ability of sponsors to push some topics forward and marginalise others due to lack of commercial support. It is about which stories get to be told and how they are framed. It is also about how leading corporations are positioned in the public eye and the ability to understand their immense role in our daily lives, to criticise it and resist it. The cultural public sphere is ideally the space in which such critical debate should take place. But as this sphere is gradually becoming saturated with manipulative messages, it is worth considering if such resistance is possible at all.</w:t>
      </w:r>
    </w:p>
    <w:p w14:paraId="26C0C9F3" w14:textId="77777777" w:rsidR="00497B7D" w:rsidRPr="009B5102" w:rsidRDefault="00497B7D" w:rsidP="00346CA5">
      <w:pPr>
        <w:rPr>
          <w:rFonts w:ascii="Times New Roman" w:eastAsia="Calibri" w:hAnsi="Times New Roman" w:cs="Times New Roman"/>
          <w:sz w:val="24"/>
          <w:szCs w:val="24"/>
        </w:rPr>
      </w:pPr>
      <w:r w:rsidRPr="009B5102">
        <w:rPr>
          <w:rFonts w:ascii="Times New Roman" w:eastAsia="Calibri" w:hAnsi="Times New Roman" w:cs="Times New Roman"/>
          <w:sz w:val="24"/>
          <w:szCs w:val="24"/>
        </w:rPr>
        <w:br w:type="page"/>
      </w:r>
    </w:p>
    <w:p w14:paraId="4D1039D5" w14:textId="77777777" w:rsidR="00497B7D" w:rsidRPr="009B5102" w:rsidRDefault="00497B7D" w:rsidP="00346CA5">
      <w:pPr>
        <w:pStyle w:val="Heading1"/>
      </w:pPr>
      <w:bookmarkStart w:id="122" w:name="_Toc445202719"/>
      <w:r>
        <w:lastRenderedPageBreak/>
        <w:t>Bibliography</w:t>
      </w:r>
      <w:bookmarkEnd w:id="122"/>
    </w:p>
    <w:p w14:paraId="02876FF5" w14:textId="77777777" w:rsidR="00497B7D" w:rsidRDefault="00497B7D" w:rsidP="00346CA5">
      <w:pPr>
        <w:pStyle w:val="EndNoteBibliography"/>
        <w:spacing w:after="0" w:line="360" w:lineRule="auto"/>
        <w:ind w:left="720" w:hanging="720"/>
        <w:rPr>
          <w:rFonts w:ascii="Times New Roman" w:eastAsia="Calibri" w:hAnsi="Times New Roman"/>
          <w:sz w:val="24"/>
        </w:rPr>
      </w:pPr>
    </w:p>
    <w:p w14:paraId="20DEB9B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Aboulafia, R. (2011) </w:t>
      </w:r>
      <w:r w:rsidRPr="004B73E4">
        <w:rPr>
          <w:rFonts w:ascii="Times New Roman" w:hAnsi="Times New Roman"/>
          <w:i/>
          <w:sz w:val="24"/>
        </w:rPr>
        <w:t>Video Editor at Overdraft Family, Israel/Interviewer: A. Balint</w:t>
      </w:r>
      <w:r w:rsidRPr="004B73E4">
        <w:rPr>
          <w:rFonts w:ascii="Times New Roman" w:hAnsi="Times New Roman"/>
          <w:sz w:val="24"/>
        </w:rPr>
        <w:t>. Tel-Aviv.</w:t>
      </w:r>
    </w:p>
    <w:p w14:paraId="1B882FD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Adorno, T. W., &amp; Horkheimer, M. (2002). </w:t>
      </w:r>
      <w:r w:rsidRPr="004B73E4">
        <w:rPr>
          <w:rFonts w:ascii="Times New Roman" w:hAnsi="Times New Roman"/>
          <w:i/>
          <w:sz w:val="24"/>
        </w:rPr>
        <w:t>Dialectic of enlightenment : philosophical fragments</w:t>
      </w:r>
      <w:r w:rsidRPr="004B73E4">
        <w:rPr>
          <w:rFonts w:ascii="Times New Roman" w:hAnsi="Times New Roman"/>
          <w:sz w:val="24"/>
        </w:rPr>
        <w:t>. Stanford, Calif.: Stanford University Press.</w:t>
      </w:r>
    </w:p>
    <w:p w14:paraId="529F89EB"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Advertising Age. (2003, February 6th). Seteve Heyer's Manifesto for a New Age of Marketing.</w:t>
      </w:r>
      <w:r w:rsidRPr="004B73E4">
        <w:rPr>
          <w:rFonts w:ascii="Times New Roman" w:hAnsi="Times New Roman"/>
          <w:i/>
          <w:sz w:val="24"/>
        </w:rPr>
        <w:t xml:space="preserve"> Advertising Age</w:t>
      </w:r>
      <w:r w:rsidRPr="004B73E4">
        <w:rPr>
          <w:rFonts w:ascii="Times New Roman" w:hAnsi="Times New Roman"/>
          <w:sz w:val="24"/>
        </w:rPr>
        <w:t xml:space="preserve">. Retrieved from </w:t>
      </w:r>
      <w:r w:rsidRPr="00497B7D">
        <w:rPr>
          <w:rFonts w:ascii="Times New Roman" w:hAnsi="Times New Roman"/>
          <w:sz w:val="24"/>
        </w:rPr>
        <w:t>http://adage.com/article/news/steve-heyer-s-manifesto-a-age-marketing/36777/</w:t>
      </w:r>
    </w:p>
    <w:p w14:paraId="4D7AD52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Advertising Age. (2003, February 10th). Readers Respond to Steven Heyer Manifesto.</w:t>
      </w:r>
      <w:r w:rsidRPr="004B73E4">
        <w:rPr>
          <w:rFonts w:ascii="Times New Roman" w:hAnsi="Times New Roman"/>
          <w:i/>
          <w:sz w:val="24"/>
        </w:rPr>
        <w:t xml:space="preserve"> Advertising Age</w:t>
      </w:r>
      <w:r w:rsidRPr="004B73E4">
        <w:rPr>
          <w:rFonts w:ascii="Times New Roman" w:hAnsi="Times New Roman"/>
          <w:sz w:val="24"/>
        </w:rPr>
        <w:t xml:space="preserve">. Retrieved from </w:t>
      </w:r>
      <w:r w:rsidRPr="00497B7D">
        <w:rPr>
          <w:rFonts w:ascii="Times New Roman" w:hAnsi="Times New Roman"/>
          <w:sz w:val="24"/>
        </w:rPr>
        <w:t>http://adage.com/article/viewpoint/readers-respond-steven-heyer-manifesto/36812/</w:t>
      </w:r>
    </w:p>
    <w:p w14:paraId="7C50691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Andersen, R. (1995). </w:t>
      </w:r>
      <w:r w:rsidRPr="004B73E4">
        <w:rPr>
          <w:rFonts w:ascii="Times New Roman" w:hAnsi="Times New Roman"/>
          <w:i/>
          <w:sz w:val="24"/>
        </w:rPr>
        <w:t>Consumer culture and TV programming</w:t>
      </w:r>
      <w:r w:rsidRPr="004B73E4">
        <w:rPr>
          <w:rFonts w:ascii="Times New Roman" w:hAnsi="Times New Roman"/>
          <w:sz w:val="24"/>
        </w:rPr>
        <w:t>. Boulder, Colo: Westview Press.</w:t>
      </w:r>
    </w:p>
    <w:p w14:paraId="33DCD0C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Andersen, R., &amp; Strate, L. (2000). </w:t>
      </w:r>
      <w:r w:rsidRPr="004B73E4">
        <w:rPr>
          <w:rFonts w:ascii="Times New Roman" w:hAnsi="Times New Roman"/>
          <w:i/>
          <w:sz w:val="24"/>
        </w:rPr>
        <w:t>Critical studies in media commercialism</w:t>
      </w:r>
      <w:r w:rsidRPr="004B73E4">
        <w:rPr>
          <w:rFonts w:ascii="Times New Roman" w:hAnsi="Times New Roman"/>
          <w:sz w:val="24"/>
        </w:rPr>
        <w:t>. Oxford: Oxford University Press.</w:t>
      </w:r>
    </w:p>
    <w:p w14:paraId="394337E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Andrejevic, M. (2004). </w:t>
      </w:r>
      <w:r w:rsidRPr="004B73E4">
        <w:rPr>
          <w:rFonts w:ascii="Times New Roman" w:hAnsi="Times New Roman"/>
          <w:i/>
          <w:sz w:val="24"/>
        </w:rPr>
        <w:t>Reality TV : the work of being watched</w:t>
      </w:r>
      <w:r w:rsidRPr="004B73E4">
        <w:rPr>
          <w:rFonts w:ascii="Times New Roman" w:hAnsi="Times New Roman"/>
          <w:sz w:val="24"/>
        </w:rPr>
        <w:t>. Lanham, Md.: Rowman &amp; Littlefield Publishers.</w:t>
      </w:r>
    </w:p>
    <w:p w14:paraId="62C4037D" w14:textId="680E67CF"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Angelopoulos, C. (2010). </w:t>
      </w:r>
      <w:r w:rsidRPr="004B73E4">
        <w:rPr>
          <w:rFonts w:ascii="Times New Roman" w:hAnsi="Times New Roman"/>
          <w:i/>
          <w:sz w:val="24"/>
        </w:rPr>
        <w:t xml:space="preserve">Product Placement in European </w:t>
      </w:r>
      <w:r w:rsidR="00A177FE">
        <w:rPr>
          <w:rFonts w:ascii="Times New Roman" w:hAnsi="Times New Roman"/>
          <w:i/>
          <w:sz w:val="24"/>
        </w:rPr>
        <w:t>Audiovisual</w:t>
      </w:r>
      <w:r w:rsidRPr="004B73E4">
        <w:rPr>
          <w:rFonts w:ascii="Times New Roman" w:hAnsi="Times New Roman"/>
          <w:i/>
          <w:sz w:val="24"/>
        </w:rPr>
        <w:t xml:space="preserve"> Productions   </w:t>
      </w:r>
      <w:r w:rsidRPr="004B73E4">
        <w:rPr>
          <w:rFonts w:ascii="Times New Roman" w:hAnsi="Times New Roman"/>
          <w:sz w:val="24"/>
        </w:rPr>
        <w:t xml:space="preserve">Retrieved from Amsterdam: </w:t>
      </w:r>
    </w:p>
    <w:p w14:paraId="14C6AE3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Arvidsson, A. (2006). </w:t>
      </w:r>
      <w:r w:rsidRPr="004B73E4">
        <w:rPr>
          <w:rFonts w:ascii="Times New Roman" w:hAnsi="Times New Roman"/>
          <w:i/>
          <w:sz w:val="24"/>
        </w:rPr>
        <w:t>Brands: Meaning and value in media culture</w:t>
      </w:r>
      <w:r w:rsidRPr="004B73E4">
        <w:rPr>
          <w:rFonts w:ascii="Times New Roman" w:hAnsi="Times New Roman"/>
          <w:sz w:val="24"/>
        </w:rPr>
        <w:t>. London: Routledge.</w:t>
      </w:r>
    </w:p>
    <w:p w14:paraId="2515A190"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Atkinson, R., &amp; Flint, J. (2001). Accessing Hidden and Hard-to-Reach Populations: Snowball Research Strategies. </w:t>
      </w:r>
      <w:r w:rsidRPr="004B73E4">
        <w:rPr>
          <w:rFonts w:ascii="Times New Roman" w:hAnsi="Times New Roman"/>
          <w:i/>
          <w:sz w:val="24"/>
        </w:rPr>
        <w:t>Social Research Update</w:t>
      </w:r>
      <w:r w:rsidRPr="004B73E4">
        <w:rPr>
          <w:rFonts w:ascii="Times New Roman" w:hAnsi="Times New Roman"/>
          <w:sz w:val="24"/>
        </w:rPr>
        <w:t xml:space="preserve">(33). </w:t>
      </w:r>
    </w:p>
    <w:p w14:paraId="49E3CC48"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Auerbach, C. F., &amp; Silverstein, L. B. (2003). </w:t>
      </w:r>
      <w:r w:rsidRPr="004B73E4">
        <w:rPr>
          <w:rFonts w:ascii="Times New Roman" w:hAnsi="Times New Roman"/>
          <w:i/>
          <w:sz w:val="24"/>
        </w:rPr>
        <w:t>Qualitative data : an introduction to coding and analysis</w:t>
      </w:r>
      <w:r w:rsidRPr="004B73E4">
        <w:rPr>
          <w:rFonts w:ascii="Times New Roman" w:hAnsi="Times New Roman"/>
          <w:sz w:val="24"/>
        </w:rPr>
        <w:t>. New York ; London: New York University Press.</w:t>
      </w:r>
    </w:p>
    <w:p w14:paraId="4320BE1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Auletta, K. (1991). </w:t>
      </w:r>
      <w:r w:rsidRPr="004B73E4">
        <w:rPr>
          <w:rFonts w:ascii="Times New Roman" w:hAnsi="Times New Roman"/>
          <w:i/>
          <w:sz w:val="24"/>
        </w:rPr>
        <w:t>Three blind mice : how the TV networks lost their way</w:t>
      </w:r>
      <w:r w:rsidRPr="004B73E4">
        <w:rPr>
          <w:rFonts w:ascii="Times New Roman" w:hAnsi="Times New Roman"/>
          <w:sz w:val="24"/>
        </w:rPr>
        <w:t xml:space="preserve"> (1st trade ed. ed.). New York: Random House.</w:t>
      </w:r>
    </w:p>
    <w:p w14:paraId="11AAED47" w14:textId="28A3D2A4" w:rsidR="000207AC" w:rsidRPr="005C5012" w:rsidRDefault="005C5012" w:rsidP="005C5012">
      <w:pPr>
        <w:pStyle w:val="EndNoteBibliography"/>
        <w:spacing w:after="0" w:line="360" w:lineRule="auto"/>
        <w:ind w:left="720" w:hanging="720"/>
        <w:rPr>
          <w:rFonts w:ascii="Times New Roman" w:hAnsi="Times New Roman"/>
          <w:sz w:val="24"/>
        </w:rPr>
      </w:pPr>
      <w:r>
        <w:rPr>
          <w:rFonts w:ascii="Times New Roman" w:hAnsi="Times New Roman"/>
          <w:sz w:val="24"/>
        </w:rPr>
        <w:t xml:space="preserve">Bakshi, A. (2015). </w:t>
      </w:r>
      <w:r w:rsidRPr="005037E0">
        <w:rPr>
          <w:rFonts w:asciiTheme="majorBidi" w:hAnsiTheme="majorBidi" w:cstheme="majorBidi"/>
          <w:sz w:val="24"/>
        </w:rPr>
        <w:t xml:space="preserve">Why and How to Regulate Native Advertising </w:t>
      </w:r>
      <w:r>
        <w:rPr>
          <w:rFonts w:asciiTheme="majorBidi" w:hAnsiTheme="majorBidi" w:cstheme="majorBidi"/>
          <w:sz w:val="24"/>
        </w:rPr>
        <w:t>i</w:t>
      </w:r>
      <w:r w:rsidRPr="005037E0">
        <w:rPr>
          <w:rFonts w:asciiTheme="majorBidi" w:hAnsiTheme="majorBidi" w:cstheme="majorBidi"/>
          <w:sz w:val="24"/>
        </w:rPr>
        <w:t>n Online News Publication</w:t>
      </w:r>
      <w:r>
        <w:rPr>
          <w:rFonts w:asciiTheme="majorBidi" w:hAnsiTheme="majorBidi" w:cstheme="majorBidi"/>
          <w:sz w:val="24"/>
        </w:rPr>
        <w:t xml:space="preserve">s. </w:t>
      </w:r>
      <w:r>
        <w:rPr>
          <w:rFonts w:asciiTheme="majorBidi" w:hAnsiTheme="majorBidi" w:cstheme="majorBidi"/>
          <w:i/>
          <w:iCs/>
          <w:sz w:val="24"/>
        </w:rPr>
        <w:t>Media Law and Ethics</w:t>
      </w:r>
      <w:r>
        <w:rPr>
          <w:rFonts w:asciiTheme="majorBidi" w:hAnsiTheme="majorBidi" w:cstheme="majorBidi"/>
          <w:sz w:val="24"/>
        </w:rPr>
        <w:t xml:space="preserve">. Retrieved from </w:t>
      </w:r>
      <w:r w:rsidRPr="005037E0">
        <w:rPr>
          <w:rFonts w:ascii="Times New Roman" w:hAnsi="Times New Roman"/>
          <w:sz w:val="24"/>
        </w:rPr>
        <w:t>https://www.academia.edu/12383891/Why_and_How_to_Regulate_Native_Advertising_in_Online_News_Publications</w:t>
      </w:r>
    </w:p>
    <w:p w14:paraId="5A2A8E8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Balint, A. (2004). A star is born - in the PR offices.</w:t>
      </w:r>
      <w:r w:rsidRPr="004B73E4">
        <w:rPr>
          <w:rFonts w:ascii="Times New Roman" w:hAnsi="Times New Roman"/>
          <w:i/>
          <w:sz w:val="24"/>
        </w:rPr>
        <w:t xml:space="preserve"> Ha'aretz</w:t>
      </w:r>
      <w:r w:rsidRPr="004B73E4">
        <w:rPr>
          <w:rFonts w:ascii="Times New Roman" w:hAnsi="Times New Roman"/>
          <w:sz w:val="24"/>
        </w:rPr>
        <w:t xml:space="preserve">. </w:t>
      </w:r>
    </w:p>
    <w:p w14:paraId="2DAB37D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lastRenderedPageBreak/>
        <w:t xml:space="preserve">Balint, A. (2012a). </w:t>
      </w:r>
      <w:r w:rsidRPr="004B73E4">
        <w:rPr>
          <w:rFonts w:ascii="Times New Roman" w:hAnsi="Times New Roman"/>
          <w:i/>
          <w:sz w:val="24"/>
        </w:rPr>
        <w:t>Inside the Box: Embedded Branding in Israeli Commercial Television</w:t>
      </w:r>
      <w:r w:rsidRPr="004B73E4">
        <w:rPr>
          <w:rFonts w:ascii="Times New Roman" w:hAnsi="Times New Roman"/>
          <w:sz w:val="24"/>
        </w:rPr>
        <w:t>: Israeli Democracy Institute.</w:t>
      </w:r>
    </w:p>
    <w:p w14:paraId="1C895E8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Balint, A. (2012b). Welcome to the Jungle.</w:t>
      </w:r>
      <w:r w:rsidRPr="004B73E4">
        <w:rPr>
          <w:rFonts w:ascii="Times New Roman" w:hAnsi="Times New Roman"/>
          <w:i/>
          <w:sz w:val="24"/>
        </w:rPr>
        <w:t xml:space="preserve"> The 7th Eye</w:t>
      </w:r>
      <w:r w:rsidRPr="004B73E4">
        <w:rPr>
          <w:rFonts w:ascii="Times New Roman" w:hAnsi="Times New Roman"/>
          <w:sz w:val="24"/>
        </w:rPr>
        <w:t xml:space="preserve">. Retrieved from </w:t>
      </w:r>
      <w:r w:rsidRPr="00497B7D">
        <w:rPr>
          <w:rFonts w:ascii="Times New Roman" w:hAnsi="Times New Roman"/>
          <w:sz w:val="24"/>
        </w:rPr>
        <w:t>http://www.the7eye.org.il/DailyColumn/Pages/130312_Welcome_to_the_Jungle.aspx</w:t>
      </w:r>
    </w:p>
    <w:p w14:paraId="4A5FAA7C" w14:textId="0B5BC944" w:rsidR="0066168E" w:rsidRPr="005037E0" w:rsidRDefault="0066168E" w:rsidP="005037E0">
      <w:pPr>
        <w:pStyle w:val="CommentText"/>
        <w:spacing w:line="360" w:lineRule="auto"/>
        <w:rPr>
          <w:sz w:val="24"/>
        </w:rPr>
      </w:pPr>
      <w:r>
        <w:rPr>
          <w:sz w:val="24"/>
        </w:rPr>
        <w:t xml:space="preserve">Balint, A., Ben Zequen, I., &amp; Persico, O. (2015). Marketers of the Year. </w:t>
      </w:r>
      <w:r>
        <w:rPr>
          <w:i/>
          <w:iCs/>
          <w:sz w:val="24"/>
        </w:rPr>
        <w:t>The 7</w:t>
      </w:r>
      <w:r w:rsidRPr="005037E0">
        <w:rPr>
          <w:i/>
          <w:iCs/>
          <w:sz w:val="24"/>
          <w:vertAlign w:val="superscript"/>
        </w:rPr>
        <w:t>th</w:t>
      </w:r>
      <w:r>
        <w:rPr>
          <w:i/>
          <w:iCs/>
          <w:sz w:val="24"/>
        </w:rPr>
        <w:t xml:space="preserve"> Eye. </w:t>
      </w:r>
      <w:r>
        <w:rPr>
          <w:sz w:val="24"/>
        </w:rPr>
        <w:t xml:space="preserve">Retrieved from </w:t>
      </w:r>
      <w:r w:rsidR="00E665CD" w:rsidRPr="00E665CD">
        <w:rPr>
          <w:sz w:val="24"/>
          <w:szCs w:val="24"/>
          <w:lang w:val="en-US"/>
        </w:rPr>
        <w:t xml:space="preserve">"http://www.the7eye.org.il/141511" </w:t>
      </w:r>
    </w:p>
    <w:p w14:paraId="5CFB9EA8"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Banet-Weiser, S. (2012). </w:t>
      </w:r>
      <w:r w:rsidRPr="004B73E4">
        <w:rPr>
          <w:rFonts w:ascii="Times New Roman" w:hAnsi="Times New Roman"/>
          <w:i/>
          <w:sz w:val="24"/>
        </w:rPr>
        <w:t>Authentic TM : politics and ambivalence in a brand culture</w:t>
      </w:r>
      <w:r w:rsidRPr="004B73E4">
        <w:rPr>
          <w:rFonts w:ascii="Times New Roman" w:hAnsi="Times New Roman"/>
          <w:sz w:val="24"/>
        </w:rPr>
        <w:t>. New York: New York University Press.</w:t>
      </w:r>
    </w:p>
    <w:p w14:paraId="3C026F6B"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Bank Hapo'alim. (2009). </w:t>
      </w:r>
      <w:r w:rsidRPr="004B73E4">
        <w:rPr>
          <w:rFonts w:ascii="Times New Roman" w:hAnsi="Times New Roman"/>
          <w:i/>
          <w:sz w:val="24"/>
        </w:rPr>
        <w:t>Summary of sponsorship for Overdraft Family, 3</w:t>
      </w:r>
      <w:r w:rsidRPr="004B73E4">
        <w:rPr>
          <w:rFonts w:ascii="Times New Roman" w:hAnsi="Times New Roman"/>
          <w:i/>
          <w:sz w:val="24"/>
          <w:vertAlign w:val="superscript"/>
        </w:rPr>
        <w:t>rd</w:t>
      </w:r>
      <w:r w:rsidRPr="004B73E4">
        <w:rPr>
          <w:rFonts w:ascii="Times New Roman" w:hAnsi="Times New Roman"/>
          <w:i/>
          <w:sz w:val="24"/>
        </w:rPr>
        <w:t xml:space="preserve"> series</w:t>
      </w:r>
      <w:r w:rsidRPr="004B73E4">
        <w:rPr>
          <w:rFonts w:ascii="Times New Roman" w:hAnsi="Times New Roman"/>
          <w:sz w:val="24"/>
        </w:rPr>
        <w:t xml:space="preserve">. Retrieved from Tel-Aviv: </w:t>
      </w:r>
    </w:p>
    <w:p w14:paraId="4479344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Bank Hapo'alim. (2010). </w:t>
      </w:r>
      <w:r w:rsidRPr="004B73E4">
        <w:rPr>
          <w:rFonts w:ascii="Times New Roman" w:hAnsi="Times New Roman"/>
          <w:i/>
          <w:sz w:val="24"/>
        </w:rPr>
        <w:t>Summary of sponsorship for Overdraft Family, 4th series</w:t>
      </w:r>
      <w:r w:rsidRPr="004B73E4">
        <w:rPr>
          <w:rFonts w:ascii="Times New Roman" w:hAnsi="Times New Roman"/>
          <w:sz w:val="24"/>
        </w:rPr>
        <w:t xml:space="preserve">. Retrieved from Tel-Aviv: </w:t>
      </w:r>
    </w:p>
    <w:p w14:paraId="78D7BB3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Bank Hapo'alim's Marketing Department. (2009). </w:t>
      </w:r>
      <w:r w:rsidRPr="004B73E4">
        <w:rPr>
          <w:rFonts w:ascii="Times New Roman" w:hAnsi="Times New Roman"/>
          <w:i/>
          <w:sz w:val="24"/>
        </w:rPr>
        <w:t>Financial Planning for Life: Another Wave of Workshops for Family Budget Planning</w:t>
      </w:r>
      <w:r w:rsidRPr="004B73E4">
        <w:rPr>
          <w:rFonts w:ascii="Times New Roman" w:hAnsi="Times New Roman"/>
          <w:sz w:val="24"/>
        </w:rPr>
        <w:t xml:space="preserve">. Retrieved from </w:t>
      </w:r>
    </w:p>
    <w:p w14:paraId="07373AD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Barendt, E. M. (2007). </w:t>
      </w:r>
      <w:r w:rsidRPr="004B73E4">
        <w:rPr>
          <w:rFonts w:ascii="Times New Roman" w:hAnsi="Times New Roman"/>
          <w:i/>
          <w:sz w:val="24"/>
        </w:rPr>
        <w:t>Freedom of speech</w:t>
      </w:r>
      <w:r w:rsidRPr="004B73E4">
        <w:rPr>
          <w:rFonts w:ascii="Times New Roman" w:hAnsi="Times New Roman"/>
          <w:sz w:val="24"/>
        </w:rPr>
        <w:t xml:space="preserve"> (2nd ed. ed.). Oxford: Oxford University Press.</w:t>
      </w:r>
    </w:p>
    <w:p w14:paraId="6CD9847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Barnouw, E. (1978). </w:t>
      </w:r>
      <w:r w:rsidRPr="004B73E4">
        <w:rPr>
          <w:rFonts w:ascii="Times New Roman" w:hAnsi="Times New Roman"/>
          <w:i/>
          <w:sz w:val="24"/>
        </w:rPr>
        <w:t>The sponsor : notes on a modern potentate</w:t>
      </w:r>
      <w:r w:rsidRPr="004B73E4">
        <w:rPr>
          <w:rFonts w:ascii="Times New Roman" w:hAnsi="Times New Roman"/>
          <w:sz w:val="24"/>
        </w:rPr>
        <w:t>. New York: Oxford University Press.</w:t>
      </w:r>
    </w:p>
    <w:p w14:paraId="6FBB260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Barnouw, E. (1990). </w:t>
      </w:r>
      <w:r w:rsidRPr="004B73E4">
        <w:rPr>
          <w:rFonts w:ascii="Times New Roman" w:hAnsi="Times New Roman"/>
          <w:i/>
          <w:sz w:val="24"/>
        </w:rPr>
        <w:t>Tube of plenty : the evolution of American television</w:t>
      </w:r>
      <w:r w:rsidRPr="004B73E4">
        <w:rPr>
          <w:rFonts w:ascii="Times New Roman" w:hAnsi="Times New Roman"/>
          <w:sz w:val="24"/>
        </w:rPr>
        <w:t xml:space="preserve"> (2nd rev. ed.). New York ; Oxford: Oxford University Press.</w:t>
      </w:r>
    </w:p>
    <w:p w14:paraId="79AE333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Benbasat, I., Goldstein, D. K., &amp; Mead, M. (1987). The Case Research Strategy in Studies of Information Systems. </w:t>
      </w:r>
      <w:r w:rsidRPr="004B73E4">
        <w:rPr>
          <w:rFonts w:ascii="Times New Roman" w:hAnsi="Times New Roman"/>
          <w:i/>
          <w:sz w:val="24"/>
        </w:rPr>
        <w:t>MIS Quarterly, 3</w:t>
      </w:r>
      <w:r w:rsidRPr="004B73E4">
        <w:rPr>
          <w:rFonts w:ascii="Times New Roman" w:hAnsi="Times New Roman"/>
          <w:sz w:val="24"/>
        </w:rPr>
        <w:t xml:space="preserve">(11), 369-386. </w:t>
      </w:r>
    </w:p>
    <w:p w14:paraId="2AEF444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Benhabib, S. (1992). </w:t>
      </w:r>
      <w:r w:rsidRPr="004B73E4">
        <w:rPr>
          <w:rFonts w:ascii="Times New Roman" w:hAnsi="Times New Roman"/>
          <w:i/>
          <w:sz w:val="24"/>
        </w:rPr>
        <w:t>Situating the Self. Gender, Community and Postmodernism in Contemporary Ethics</w:t>
      </w:r>
      <w:r w:rsidRPr="004B73E4">
        <w:rPr>
          <w:rFonts w:ascii="Times New Roman" w:hAnsi="Times New Roman"/>
          <w:sz w:val="24"/>
        </w:rPr>
        <w:t>. Cambridge: Polity Press.</w:t>
      </w:r>
    </w:p>
    <w:p w14:paraId="381C4C4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Berg, B. L., &amp; Lune, H. (2012). </w:t>
      </w:r>
      <w:r w:rsidRPr="004B73E4">
        <w:rPr>
          <w:rFonts w:ascii="Times New Roman" w:hAnsi="Times New Roman"/>
          <w:i/>
          <w:sz w:val="24"/>
        </w:rPr>
        <w:t>Qualitative research methods for the social sciences</w:t>
      </w:r>
      <w:r w:rsidRPr="004B73E4">
        <w:rPr>
          <w:rFonts w:ascii="Times New Roman" w:hAnsi="Times New Roman"/>
          <w:sz w:val="24"/>
        </w:rPr>
        <w:t xml:space="preserve"> (8th ed., International ed. / Bruce L. Berg, Howard Lune. ed.). Boston, Mass. ; London: Pearson.</w:t>
      </w:r>
    </w:p>
    <w:p w14:paraId="30A67DB5"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Bergbaum, E. (2008) </w:t>
      </w:r>
      <w:r w:rsidRPr="004B73E4">
        <w:rPr>
          <w:rFonts w:ascii="Times New Roman" w:hAnsi="Times New Roman"/>
          <w:i/>
          <w:sz w:val="24"/>
        </w:rPr>
        <w:t>CEO, C Branded Content Agency/Interviewer: A. Balint</w:t>
      </w:r>
      <w:r w:rsidRPr="004B73E4">
        <w:rPr>
          <w:rFonts w:ascii="Times New Roman" w:hAnsi="Times New Roman"/>
          <w:sz w:val="24"/>
        </w:rPr>
        <w:t>. Tel-Aviv.</w:t>
      </w:r>
    </w:p>
    <w:p w14:paraId="78ACDA34" w14:textId="38F958B7" w:rsidR="00FF50B6" w:rsidRDefault="00FF50B6" w:rsidP="00346CA5">
      <w:pPr>
        <w:pStyle w:val="EndNoteBibliography"/>
        <w:spacing w:after="0" w:line="360" w:lineRule="auto"/>
        <w:ind w:left="720" w:hanging="720"/>
        <w:rPr>
          <w:rFonts w:ascii="Times New Roman" w:hAnsi="Times New Roman"/>
          <w:sz w:val="24"/>
        </w:rPr>
      </w:pPr>
      <w:r>
        <w:rPr>
          <w:rFonts w:ascii="Times New Roman" w:hAnsi="Times New Roman"/>
          <w:sz w:val="24"/>
        </w:rPr>
        <w:t xml:space="preserve">Biressi, A., &amp; Nunn, H. (2005). </w:t>
      </w:r>
      <w:r w:rsidRPr="005037E0">
        <w:rPr>
          <w:rFonts w:ascii="Times New Roman" w:hAnsi="Times New Roman"/>
          <w:i/>
          <w:iCs/>
          <w:sz w:val="24"/>
        </w:rPr>
        <w:t>Reality TV: Realism and revelation</w:t>
      </w:r>
      <w:r w:rsidR="00B60D1A">
        <w:rPr>
          <w:rFonts w:ascii="Times New Roman" w:hAnsi="Times New Roman"/>
          <w:sz w:val="24"/>
        </w:rPr>
        <w:t>. London: Wallflower.</w:t>
      </w:r>
    </w:p>
    <w:p w14:paraId="7E315AA6" w14:textId="77777777" w:rsidR="00497B7D" w:rsidRPr="001F2CFC"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Bissell, K., &amp; Rask, A. (2010). Real women on real beauty.</w:t>
      </w:r>
      <w:r>
        <w:rPr>
          <w:rFonts w:ascii="Times New Roman" w:hAnsi="Times New Roman"/>
          <w:sz w:val="24"/>
        </w:rPr>
        <w:t xml:space="preserve"> </w:t>
      </w:r>
      <w:r>
        <w:rPr>
          <w:rFonts w:ascii="Times New Roman" w:hAnsi="Times New Roman"/>
          <w:i/>
          <w:iCs/>
          <w:sz w:val="24"/>
        </w:rPr>
        <w:t>International Journal of Advertising: The Review of Marketing Communications, 29</w:t>
      </w:r>
      <w:r>
        <w:rPr>
          <w:rFonts w:ascii="Times New Roman" w:hAnsi="Times New Roman"/>
          <w:sz w:val="24"/>
        </w:rPr>
        <w:t>(10).</w:t>
      </w:r>
      <w:r w:rsidRPr="001F2CFC">
        <w:rPr>
          <w:rFonts w:ascii="Times New Roman" w:hAnsi="Times New Roman"/>
          <w:sz w:val="24"/>
        </w:rPr>
        <w:t xml:space="preserve"> </w:t>
      </w:r>
    </w:p>
    <w:p w14:paraId="466F809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lastRenderedPageBreak/>
        <w:t xml:space="preserve">Bolin, G. (2014). The death of the mass audience reconsidered: From mass communication to mass personalisation. In S. Eichner &amp; E. Prommer (Eds.), </w:t>
      </w:r>
      <w:r w:rsidRPr="004B73E4">
        <w:rPr>
          <w:rFonts w:ascii="Times New Roman" w:hAnsi="Times New Roman"/>
          <w:i/>
          <w:sz w:val="24"/>
        </w:rPr>
        <w:t>Fernsehen: Europäische Perspectiven</w:t>
      </w:r>
      <w:r w:rsidRPr="004B73E4">
        <w:rPr>
          <w:rFonts w:ascii="Times New Roman" w:hAnsi="Times New Roman"/>
          <w:sz w:val="24"/>
        </w:rPr>
        <w:t xml:space="preserve"> (pp. 159-172). Konstanz &amp; München: UVK.</w:t>
      </w:r>
    </w:p>
    <w:p w14:paraId="3EA555C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Calhoun, C. J. (1992). </w:t>
      </w:r>
      <w:r w:rsidRPr="004B73E4">
        <w:rPr>
          <w:rFonts w:ascii="Times New Roman" w:hAnsi="Times New Roman"/>
          <w:i/>
          <w:sz w:val="24"/>
        </w:rPr>
        <w:t>Habermas and the public sphere</w:t>
      </w:r>
      <w:r w:rsidRPr="004B73E4">
        <w:rPr>
          <w:rFonts w:ascii="Times New Roman" w:hAnsi="Times New Roman"/>
          <w:sz w:val="24"/>
        </w:rPr>
        <w:t>. Cambridge, Mass: MIT Press.</w:t>
      </w:r>
    </w:p>
    <w:p w14:paraId="67D9B31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Carter, B. (2001 January 28). Survival of the Pushiest. </w:t>
      </w:r>
      <w:r w:rsidRPr="004B73E4">
        <w:rPr>
          <w:rFonts w:ascii="Times New Roman" w:hAnsi="Times New Roman"/>
          <w:i/>
          <w:sz w:val="24"/>
        </w:rPr>
        <w:t>The New York Times Magazine</w:t>
      </w:r>
      <w:r w:rsidRPr="004B73E4">
        <w:rPr>
          <w:rFonts w:ascii="Times New Roman" w:hAnsi="Times New Roman"/>
          <w:sz w:val="24"/>
        </w:rPr>
        <w:t xml:space="preserve">, 66. Retrieved from </w:t>
      </w:r>
      <w:r w:rsidRPr="00497B7D">
        <w:rPr>
          <w:rFonts w:ascii="Times New Roman" w:hAnsi="Times New Roman"/>
          <w:sz w:val="24"/>
        </w:rPr>
        <w:t>http://query.nytimes.com/gst/fullpage.html?res=9C04E5DB113CF93BA15752C0A9679C8B63</w:t>
      </w:r>
    </w:p>
    <w:p w14:paraId="25B7C7A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Carter, B. (2003 January 25). Reality Shows Alter the Way TV Does Business. </w:t>
      </w:r>
      <w:r w:rsidRPr="004B73E4">
        <w:rPr>
          <w:rFonts w:ascii="Times New Roman" w:hAnsi="Times New Roman"/>
          <w:i/>
          <w:sz w:val="24"/>
        </w:rPr>
        <w:t>The New York Times</w:t>
      </w:r>
      <w:r w:rsidRPr="004B73E4">
        <w:rPr>
          <w:rFonts w:ascii="Times New Roman" w:hAnsi="Times New Roman"/>
          <w:sz w:val="24"/>
        </w:rPr>
        <w:t xml:space="preserve">, A1. Retrieved from </w:t>
      </w:r>
      <w:r w:rsidRPr="00497B7D">
        <w:rPr>
          <w:rFonts w:ascii="Times New Roman" w:hAnsi="Times New Roman"/>
          <w:sz w:val="24"/>
        </w:rPr>
        <w:t>http://query.nytimes.com/gst/fullpage.html?res=9803E1DF1439F936A15752C0A9659C8B63#</w:t>
      </w:r>
    </w:p>
    <w:p w14:paraId="167427A5"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Channel 4. (2006). </w:t>
      </w:r>
      <w:r w:rsidRPr="004B73E4">
        <w:rPr>
          <w:rFonts w:ascii="Times New Roman" w:hAnsi="Times New Roman"/>
          <w:i/>
          <w:sz w:val="24"/>
        </w:rPr>
        <w:t>Presentation for Sponsors: How to Look Good Naked</w:t>
      </w:r>
      <w:r w:rsidRPr="004B73E4">
        <w:rPr>
          <w:rFonts w:ascii="Times New Roman" w:hAnsi="Times New Roman"/>
          <w:sz w:val="24"/>
        </w:rPr>
        <w:t xml:space="preserve">. Retrieved from </w:t>
      </w:r>
    </w:p>
    <w:p w14:paraId="012198B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Chapman, J. (2005). </w:t>
      </w:r>
      <w:r w:rsidRPr="004B73E4">
        <w:rPr>
          <w:rFonts w:ascii="Times New Roman" w:hAnsi="Times New Roman"/>
          <w:i/>
          <w:sz w:val="24"/>
        </w:rPr>
        <w:t>Comparative media history : an introduction : 1789 to the present</w:t>
      </w:r>
      <w:r w:rsidRPr="004B73E4">
        <w:rPr>
          <w:rFonts w:ascii="Times New Roman" w:hAnsi="Times New Roman"/>
          <w:sz w:val="24"/>
        </w:rPr>
        <w:t>. Cambridge: Polity.</w:t>
      </w:r>
    </w:p>
    <w:p w14:paraId="00EC9208"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Consumer Protection Act in Israel,  § 7 (1981).</w:t>
      </w:r>
    </w:p>
    <w:p w14:paraId="0EAADF7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Couldry, N. (2008). Reality TV, or The Secret Theater of Neoliberalism. </w:t>
      </w:r>
      <w:r w:rsidRPr="004B73E4">
        <w:rPr>
          <w:rFonts w:ascii="Times New Roman" w:hAnsi="Times New Roman"/>
          <w:i/>
          <w:sz w:val="24"/>
        </w:rPr>
        <w:t>Review of Education, Pedagogy, and Cultural Studies, 30</w:t>
      </w:r>
      <w:r w:rsidRPr="004B73E4">
        <w:rPr>
          <w:rFonts w:ascii="Times New Roman" w:hAnsi="Times New Roman"/>
          <w:sz w:val="24"/>
        </w:rPr>
        <w:t xml:space="preserve">(1), 3-13. </w:t>
      </w:r>
    </w:p>
    <w:p w14:paraId="4C4B1A00"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Couldry, N. (2010). </w:t>
      </w:r>
      <w:r w:rsidRPr="004B73E4">
        <w:rPr>
          <w:rFonts w:ascii="Times New Roman" w:hAnsi="Times New Roman"/>
          <w:i/>
          <w:sz w:val="24"/>
        </w:rPr>
        <w:t>Why voice matters : culture and politics after neoliberalism</w:t>
      </w:r>
      <w:r w:rsidRPr="004B73E4">
        <w:rPr>
          <w:rFonts w:ascii="Times New Roman" w:hAnsi="Times New Roman"/>
          <w:sz w:val="24"/>
        </w:rPr>
        <w:t>. London: SAGE.</w:t>
      </w:r>
    </w:p>
    <w:p w14:paraId="78314DA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Couldry, N., &amp; Littler, J. (2011). </w:t>
      </w:r>
      <w:r w:rsidRPr="009C3F6E">
        <w:rPr>
          <w:rFonts w:ascii="Times New Roman" w:hAnsi="Times New Roman"/>
          <w:iCs/>
          <w:sz w:val="24"/>
        </w:rPr>
        <w:t>Work, Power and Performance: Analysing the 'Reality' Game of the Apprentice.</w:t>
      </w:r>
      <w:r w:rsidRPr="004B73E4">
        <w:rPr>
          <w:rFonts w:ascii="Times New Roman" w:hAnsi="Times New Roman"/>
          <w:sz w:val="24"/>
        </w:rPr>
        <w:t xml:space="preserve"> </w:t>
      </w:r>
      <w:r w:rsidRPr="009C3F6E">
        <w:rPr>
          <w:rFonts w:ascii="Times New Roman" w:hAnsi="Times New Roman"/>
          <w:i/>
          <w:iCs/>
          <w:sz w:val="24"/>
        </w:rPr>
        <w:t>Cultural Sociology</w:t>
      </w:r>
      <w:r w:rsidRPr="004B73E4">
        <w:rPr>
          <w:rFonts w:ascii="Times New Roman" w:hAnsi="Times New Roman"/>
          <w:sz w:val="24"/>
        </w:rPr>
        <w:t xml:space="preserve">.  </w:t>
      </w:r>
    </w:p>
    <w:p w14:paraId="167DB59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Crawford. (1925). </w:t>
      </w:r>
      <w:r w:rsidRPr="009C3F6E">
        <w:rPr>
          <w:rFonts w:ascii="Times New Roman" w:hAnsi="Times New Roman"/>
          <w:bCs/>
          <w:i/>
          <w:sz w:val="24"/>
        </w:rPr>
        <w:t>Committee on Broadcasting 1925</w:t>
      </w:r>
      <w:r w:rsidRPr="004B73E4">
        <w:rPr>
          <w:rFonts w:ascii="Times New Roman" w:hAnsi="Times New Roman"/>
          <w:sz w:val="24"/>
        </w:rPr>
        <w:t xml:space="preserve">. Retrieved from </w:t>
      </w:r>
      <w:r w:rsidRPr="00497B7D">
        <w:rPr>
          <w:rFonts w:ascii="Times New Roman" w:hAnsi="Times New Roman"/>
          <w:sz w:val="24"/>
        </w:rPr>
        <w:t>http://www.terramedia.co.uk/law/official_british_media_reports_broadcasting.htm#Crawford</w:t>
      </w:r>
    </w:p>
    <w:p w14:paraId="6FAB8611"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Cresswell, P. (2009). [Head of Broadcast, Sponsorships and Production at </w:t>
      </w:r>
      <w:r w:rsidRPr="004B73E4">
        <w:rPr>
          <w:rFonts w:ascii="Times New Roman" w:hAnsi="Times New Roman"/>
          <w:i/>
          <w:sz w:val="24"/>
        </w:rPr>
        <w:t>Universal McCann</w:t>
      </w:r>
      <w:r w:rsidRPr="004B73E4">
        <w:rPr>
          <w:rFonts w:ascii="Times New Roman" w:hAnsi="Times New Roman"/>
          <w:sz w:val="24"/>
        </w:rPr>
        <w:t>].</w:t>
      </w:r>
    </w:p>
    <w:p w14:paraId="224326D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Crystal, M. (2007, May 6th). Keshet Presents: The End of the Genres Era.</w:t>
      </w:r>
      <w:r w:rsidRPr="004B73E4">
        <w:rPr>
          <w:rFonts w:ascii="Times New Roman" w:hAnsi="Times New Roman"/>
          <w:i/>
          <w:sz w:val="24"/>
        </w:rPr>
        <w:t xml:space="preserve"> YNET</w:t>
      </w:r>
      <w:r w:rsidRPr="004B73E4">
        <w:rPr>
          <w:rFonts w:ascii="Times New Roman" w:hAnsi="Times New Roman"/>
          <w:sz w:val="24"/>
        </w:rPr>
        <w:t xml:space="preserve">. Retrieved from </w:t>
      </w:r>
      <w:r w:rsidRPr="00497B7D">
        <w:rPr>
          <w:rFonts w:ascii="Times New Roman" w:hAnsi="Times New Roman"/>
          <w:sz w:val="24"/>
        </w:rPr>
        <w:t>http://www.ynet.co.il/articles/0,7340,L-3396302,00.html</w:t>
      </w:r>
    </w:p>
    <w:p w14:paraId="05352ED1"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Curran, J. (2002). </w:t>
      </w:r>
      <w:r w:rsidRPr="004B73E4">
        <w:rPr>
          <w:rFonts w:ascii="Times New Roman" w:hAnsi="Times New Roman"/>
          <w:i/>
          <w:sz w:val="24"/>
        </w:rPr>
        <w:t>Media and power</w:t>
      </w:r>
      <w:r w:rsidRPr="004B73E4">
        <w:rPr>
          <w:rFonts w:ascii="Times New Roman" w:hAnsi="Times New Roman"/>
          <w:sz w:val="24"/>
        </w:rPr>
        <w:t>. London: Routledge.</w:t>
      </w:r>
    </w:p>
    <w:p w14:paraId="6451CA4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Curran, J., &amp; Seaton, J. (2003). </w:t>
      </w:r>
      <w:r w:rsidRPr="004B73E4">
        <w:rPr>
          <w:rFonts w:ascii="Times New Roman" w:hAnsi="Times New Roman"/>
          <w:i/>
          <w:sz w:val="24"/>
        </w:rPr>
        <w:t>Power without responsibility : the press, broadcasting, and new media in Britain</w:t>
      </w:r>
      <w:r w:rsidRPr="004B73E4">
        <w:rPr>
          <w:rFonts w:ascii="Times New Roman" w:hAnsi="Times New Roman"/>
          <w:sz w:val="24"/>
        </w:rPr>
        <w:t xml:space="preserve"> (6th ed. ed.). London: Routledge.</w:t>
      </w:r>
    </w:p>
    <w:p w14:paraId="30CB365B"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lastRenderedPageBreak/>
        <w:t xml:space="preserve">Dahlgren, P. (1995). </w:t>
      </w:r>
      <w:r w:rsidRPr="004B73E4">
        <w:rPr>
          <w:rFonts w:ascii="Times New Roman" w:hAnsi="Times New Roman"/>
          <w:i/>
          <w:sz w:val="24"/>
        </w:rPr>
        <w:t>Television and the public sphere : citizenship, democracy and the media</w:t>
      </w:r>
      <w:r w:rsidRPr="004B73E4">
        <w:rPr>
          <w:rFonts w:ascii="Times New Roman" w:hAnsi="Times New Roman"/>
          <w:sz w:val="24"/>
        </w:rPr>
        <w:t>. London ; Thousand Oaks, Calif.: Sage Publications.</w:t>
      </w:r>
    </w:p>
    <w:p w14:paraId="7EF10BF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Deery, J. (2004). Reality TV as Advertainment. </w:t>
      </w:r>
      <w:r w:rsidRPr="004B73E4">
        <w:rPr>
          <w:rFonts w:ascii="Times New Roman" w:hAnsi="Times New Roman"/>
          <w:i/>
          <w:sz w:val="24"/>
        </w:rPr>
        <w:t>2 Popular Communication, 1</w:t>
      </w:r>
      <w:r w:rsidRPr="004B73E4">
        <w:rPr>
          <w:rFonts w:ascii="Times New Roman" w:hAnsi="Times New Roman"/>
          <w:sz w:val="24"/>
        </w:rPr>
        <w:t xml:space="preserve">(11). </w:t>
      </w:r>
    </w:p>
    <w:p w14:paraId="0065B4F7"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Delli Carpini, M. X. (2009). The Inherent Arbitrariness of the 'News' versus 'Entertainment' Distinction. </w:t>
      </w:r>
      <w:r w:rsidRPr="004B73E4">
        <w:rPr>
          <w:rFonts w:ascii="Times New Roman" w:hAnsi="Times New Roman"/>
          <w:i/>
          <w:sz w:val="24"/>
        </w:rPr>
        <w:t>Public Sphere Forum</w:t>
      </w:r>
      <w:r w:rsidRPr="004B73E4">
        <w:rPr>
          <w:rFonts w:ascii="Times New Roman" w:hAnsi="Times New Roman"/>
          <w:sz w:val="24"/>
        </w:rPr>
        <w:t xml:space="preserve">. Retrieved from Public Sphere Forum website: </w:t>
      </w:r>
      <w:r w:rsidRPr="00497B7D">
        <w:rPr>
          <w:rFonts w:ascii="Times New Roman" w:hAnsi="Times New Roman"/>
          <w:sz w:val="24"/>
        </w:rPr>
        <w:t>http://publicsphere.ssrc.org/delli-carpini-the-inherent-arbitrariness-of-the-news-versus-entertainment-distinction/</w:t>
      </w:r>
    </w:p>
    <w:p w14:paraId="58DC294B"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Delli Carpini, M. X., &amp; Williams, B. A. (2001). Let us Infotain You: Politics in the New Media Environment. In W. L. Bennett &amp; R. M. Entman (Eds.), </w:t>
      </w:r>
      <w:r w:rsidRPr="004B73E4">
        <w:rPr>
          <w:rFonts w:ascii="Times New Roman" w:hAnsi="Times New Roman"/>
          <w:i/>
          <w:sz w:val="24"/>
        </w:rPr>
        <w:t>Mediated politics : communication in the future of democracy</w:t>
      </w:r>
      <w:r w:rsidRPr="004B73E4">
        <w:rPr>
          <w:rFonts w:ascii="Times New Roman" w:hAnsi="Times New Roman"/>
          <w:sz w:val="24"/>
        </w:rPr>
        <w:t xml:space="preserve"> (pp. pp. 160-181). Cambridge, UK ; New York: Cambridge University Press.</w:t>
      </w:r>
    </w:p>
    <w:p w14:paraId="1128F99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Denzin, N. K. (1978). </w:t>
      </w:r>
      <w:r w:rsidRPr="004B73E4">
        <w:rPr>
          <w:rFonts w:ascii="Times New Roman" w:hAnsi="Times New Roman"/>
          <w:i/>
          <w:sz w:val="24"/>
        </w:rPr>
        <w:t>The research act : a theoretical introduction to sociological methods</w:t>
      </w:r>
      <w:r w:rsidRPr="004B73E4">
        <w:rPr>
          <w:rFonts w:ascii="Times New Roman" w:hAnsi="Times New Roman"/>
          <w:sz w:val="24"/>
        </w:rPr>
        <w:t xml:space="preserve"> (2nd ed. ed.). New York ; London: McGraw-Hill.</w:t>
      </w:r>
    </w:p>
    <w:p w14:paraId="6BFCDC51"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Denzin, N. K., &amp; Lincoln, Y. S. (2011). </w:t>
      </w:r>
      <w:r w:rsidRPr="004B73E4">
        <w:rPr>
          <w:rFonts w:ascii="Times New Roman" w:hAnsi="Times New Roman"/>
          <w:i/>
          <w:sz w:val="24"/>
        </w:rPr>
        <w:t>The Sage handbook of qualitative research</w:t>
      </w:r>
      <w:r w:rsidRPr="004B73E4">
        <w:rPr>
          <w:rFonts w:ascii="Times New Roman" w:hAnsi="Times New Roman"/>
          <w:sz w:val="24"/>
        </w:rPr>
        <w:t xml:space="preserve"> (4th ed. ed.). Thousand Oaks: Sage.</w:t>
      </w:r>
    </w:p>
    <w:p w14:paraId="5E9CF8E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DeSantis, L., &amp; Ugarriza, D. N. (2000). The concept of theme as theme as used in qualitative nursing research. </w:t>
      </w:r>
      <w:r w:rsidRPr="004B73E4">
        <w:rPr>
          <w:rFonts w:ascii="Times New Roman" w:hAnsi="Times New Roman"/>
          <w:i/>
          <w:sz w:val="24"/>
        </w:rPr>
        <w:t>Western Journal of Nursing Research, 22</w:t>
      </w:r>
      <w:r w:rsidRPr="004B73E4">
        <w:rPr>
          <w:rFonts w:ascii="Times New Roman" w:hAnsi="Times New Roman"/>
          <w:sz w:val="24"/>
        </w:rPr>
        <w:t xml:space="preserve">(3), 351-372. </w:t>
      </w:r>
    </w:p>
    <w:p w14:paraId="47066C5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Deziel, M. (2014). Women Inmates:Why the Male Model Doesn’t Work.</w:t>
      </w:r>
      <w:r w:rsidRPr="004B73E4">
        <w:rPr>
          <w:rFonts w:ascii="Times New Roman" w:hAnsi="Times New Roman"/>
          <w:i/>
          <w:sz w:val="24"/>
        </w:rPr>
        <w:t xml:space="preserve"> The New York Times, Netflix</w:t>
      </w:r>
      <w:r w:rsidRPr="004B73E4">
        <w:rPr>
          <w:rFonts w:ascii="Times New Roman" w:hAnsi="Times New Roman"/>
          <w:sz w:val="24"/>
        </w:rPr>
        <w:t xml:space="preserve">. Retrieved from </w:t>
      </w:r>
      <w:r w:rsidRPr="00497B7D">
        <w:rPr>
          <w:rFonts w:ascii="Times New Roman" w:hAnsi="Times New Roman"/>
          <w:sz w:val="24"/>
        </w:rPr>
        <w:t>http://paidpost.nytimes.com/netflix/women-inmates-separate-but-not-equal.html?_r=0#.VY_8P_mqqkp</w:t>
      </w:r>
    </w:p>
    <w:p w14:paraId="5C775A6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Donaton, S. (2004). </w:t>
      </w:r>
      <w:r>
        <w:rPr>
          <w:rFonts w:ascii="Times New Roman" w:hAnsi="Times New Roman"/>
          <w:i/>
          <w:sz w:val="24"/>
        </w:rPr>
        <w:t>Madison &amp; Vine</w:t>
      </w:r>
      <w:r w:rsidRPr="004B73E4">
        <w:rPr>
          <w:rFonts w:ascii="Times New Roman" w:hAnsi="Times New Roman"/>
          <w:i/>
          <w:sz w:val="24"/>
        </w:rPr>
        <w:t xml:space="preserve"> : why the entertainment and advertising industries must converge to survive</w:t>
      </w:r>
      <w:r w:rsidRPr="004B73E4">
        <w:rPr>
          <w:rFonts w:ascii="Times New Roman" w:hAnsi="Times New Roman"/>
          <w:sz w:val="24"/>
        </w:rPr>
        <w:t>. New York: McGraw-Hill.</w:t>
      </w:r>
    </w:p>
    <w:p w14:paraId="69D4644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Dove. (2004). </w:t>
      </w:r>
      <w:r w:rsidRPr="004B73E4">
        <w:rPr>
          <w:rFonts w:ascii="Times New Roman" w:hAnsi="Times New Roman"/>
          <w:i/>
          <w:sz w:val="24"/>
        </w:rPr>
        <w:t>Strategic Plan for the Worldwide Real Beauty Campaign, (two-part presentation)</w:t>
      </w:r>
      <w:r w:rsidRPr="004B73E4">
        <w:rPr>
          <w:rFonts w:ascii="Times New Roman" w:hAnsi="Times New Roman"/>
          <w:sz w:val="24"/>
        </w:rPr>
        <w:t xml:space="preserve"> </w:t>
      </w:r>
    </w:p>
    <w:p w14:paraId="1418EF56"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Dowell, B. (2009). Product Placement Ban on UK Television to Continue.</w:t>
      </w:r>
      <w:r w:rsidRPr="004B73E4">
        <w:rPr>
          <w:rFonts w:ascii="Times New Roman" w:hAnsi="Times New Roman"/>
          <w:i/>
          <w:sz w:val="24"/>
        </w:rPr>
        <w:t xml:space="preserve"> The Guardian</w:t>
      </w:r>
      <w:r w:rsidRPr="004B73E4">
        <w:rPr>
          <w:rFonts w:ascii="Times New Roman" w:hAnsi="Times New Roman"/>
          <w:sz w:val="24"/>
        </w:rPr>
        <w:t xml:space="preserve">. </w:t>
      </w:r>
    </w:p>
    <w:p w14:paraId="1BA27868"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Durham, M. G., &amp; Kellner, D. (2006). </w:t>
      </w:r>
      <w:r w:rsidRPr="004B73E4">
        <w:rPr>
          <w:rFonts w:ascii="Times New Roman" w:hAnsi="Times New Roman"/>
          <w:i/>
          <w:sz w:val="24"/>
        </w:rPr>
        <w:t>Media and cultural studies : keyworks</w:t>
      </w:r>
      <w:r w:rsidRPr="004B73E4">
        <w:rPr>
          <w:rFonts w:ascii="Times New Roman" w:hAnsi="Times New Roman"/>
          <w:sz w:val="24"/>
        </w:rPr>
        <w:t xml:space="preserve"> (Rev. ed.). Malden, Mass. ; Oxford: Blackwell.</w:t>
      </w:r>
    </w:p>
    <w:p w14:paraId="42F1F02B"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Eagleton, T. (1984). </w:t>
      </w:r>
      <w:r w:rsidRPr="004B73E4">
        <w:rPr>
          <w:rFonts w:ascii="Times New Roman" w:hAnsi="Times New Roman"/>
          <w:i/>
          <w:sz w:val="24"/>
        </w:rPr>
        <w:t>The function of criticism : from "The Spectator" to Post-Structuralism</w:t>
      </w:r>
      <w:r w:rsidRPr="004B73E4">
        <w:rPr>
          <w:rFonts w:ascii="Times New Roman" w:hAnsi="Times New Roman"/>
          <w:sz w:val="24"/>
        </w:rPr>
        <w:t>. London: Verso.</w:t>
      </w:r>
    </w:p>
    <w:p w14:paraId="569778E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Elliot, S. (2005, August 17th). For Everyday Products, Ads Using the Everyday Woman.</w:t>
      </w:r>
      <w:r w:rsidRPr="004B73E4">
        <w:rPr>
          <w:rFonts w:ascii="Times New Roman" w:hAnsi="Times New Roman"/>
          <w:i/>
          <w:sz w:val="24"/>
        </w:rPr>
        <w:t xml:space="preserve"> New-York Times</w:t>
      </w:r>
      <w:r w:rsidRPr="004B73E4">
        <w:rPr>
          <w:rFonts w:ascii="Times New Roman" w:hAnsi="Times New Roman"/>
          <w:sz w:val="24"/>
        </w:rPr>
        <w:t xml:space="preserve">. Retrieved from </w:t>
      </w:r>
      <w:r w:rsidRPr="00497B7D">
        <w:rPr>
          <w:rFonts w:ascii="Times New Roman" w:hAnsi="Times New Roman"/>
          <w:sz w:val="24"/>
        </w:rPr>
        <w:lastRenderedPageBreak/>
        <w:t>http://www.nytimes.com/2005/08/17/business/media/17adco.html?_r=1&amp;scp=4&amp;sq=stuart+elliott&amp;st=nyt</w:t>
      </w:r>
    </w:p>
    <w:p w14:paraId="0C0673F1" w14:textId="564D44FA" w:rsidR="00497B7D" w:rsidRPr="004B73E4" w:rsidRDefault="00497B7D" w:rsidP="005305FE">
      <w:pPr>
        <w:pStyle w:val="EndNoteBibliography"/>
        <w:spacing w:after="0" w:line="360" w:lineRule="auto"/>
        <w:ind w:left="720" w:hanging="720"/>
        <w:rPr>
          <w:rFonts w:ascii="Times New Roman" w:hAnsi="Times New Roman"/>
          <w:sz w:val="24"/>
        </w:rPr>
      </w:pPr>
      <w:r w:rsidRPr="004B73E4">
        <w:rPr>
          <w:rFonts w:ascii="Times New Roman" w:hAnsi="Times New Roman"/>
          <w:sz w:val="24"/>
        </w:rPr>
        <w:t>European Commision</w:t>
      </w:r>
      <w:r w:rsidR="005305FE">
        <w:rPr>
          <w:rFonts w:ascii="Times New Roman" w:hAnsi="Times New Roman"/>
          <w:sz w:val="24"/>
        </w:rPr>
        <w:t>,</w:t>
      </w:r>
      <w:r w:rsidRPr="004B73E4">
        <w:rPr>
          <w:rFonts w:ascii="Times New Roman" w:hAnsi="Times New Roman"/>
          <w:sz w:val="24"/>
        </w:rPr>
        <w:t xml:space="preserve"> (2007). </w:t>
      </w:r>
      <w:r w:rsidR="00A177FE">
        <w:rPr>
          <w:rFonts w:ascii="Times New Roman" w:hAnsi="Times New Roman"/>
          <w:sz w:val="24"/>
        </w:rPr>
        <w:t>Audiovisual</w:t>
      </w:r>
      <w:r w:rsidRPr="004B73E4">
        <w:rPr>
          <w:rFonts w:ascii="Times New Roman" w:hAnsi="Times New Roman"/>
          <w:sz w:val="24"/>
        </w:rPr>
        <w:t xml:space="preserve"> Media Services Directive.</w:t>
      </w:r>
    </w:p>
    <w:p w14:paraId="6E9A8A3D" w14:textId="6D69C2D7" w:rsidR="00497B7D" w:rsidRPr="004B73E4" w:rsidRDefault="005305FE" w:rsidP="005305FE">
      <w:pPr>
        <w:pStyle w:val="EndNoteBibliography"/>
        <w:spacing w:after="0" w:line="360" w:lineRule="auto"/>
        <w:ind w:left="720" w:hanging="720"/>
        <w:rPr>
          <w:rFonts w:ascii="Times New Roman" w:hAnsi="Times New Roman"/>
          <w:sz w:val="24"/>
        </w:rPr>
      </w:pPr>
      <w:r>
        <w:rPr>
          <w:rFonts w:ascii="Times New Roman" w:hAnsi="Times New Roman"/>
          <w:sz w:val="24"/>
        </w:rPr>
        <w:t xml:space="preserve">European Commission, (2010a) </w:t>
      </w:r>
      <w:r w:rsidR="00A177FE">
        <w:rPr>
          <w:rFonts w:ascii="Times New Roman" w:hAnsi="Times New Roman"/>
          <w:sz w:val="24"/>
        </w:rPr>
        <w:t>Audiovisual</w:t>
      </w:r>
      <w:r w:rsidR="00497B7D" w:rsidRPr="004B73E4">
        <w:rPr>
          <w:rFonts w:ascii="Times New Roman" w:hAnsi="Times New Roman"/>
          <w:sz w:val="24"/>
        </w:rPr>
        <w:t xml:space="preserve"> Media Services Directive.</w:t>
      </w:r>
    </w:p>
    <w:p w14:paraId="39B62E03" w14:textId="0D64A952" w:rsidR="00497B7D" w:rsidRPr="004B73E4" w:rsidRDefault="005305FE" w:rsidP="005305FE">
      <w:pPr>
        <w:pStyle w:val="EndNoteBibliography"/>
        <w:spacing w:after="0" w:line="360" w:lineRule="auto"/>
        <w:ind w:left="720" w:hanging="720"/>
        <w:rPr>
          <w:rFonts w:ascii="Times New Roman" w:hAnsi="Times New Roman"/>
          <w:sz w:val="24"/>
        </w:rPr>
      </w:pPr>
      <w:r>
        <w:rPr>
          <w:rFonts w:ascii="Times New Roman" w:hAnsi="Times New Roman"/>
          <w:sz w:val="24"/>
        </w:rPr>
        <w:t xml:space="preserve">European Commission, </w:t>
      </w:r>
      <w:r w:rsidRPr="004B73E4">
        <w:rPr>
          <w:rFonts w:ascii="Times New Roman" w:hAnsi="Times New Roman"/>
          <w:sz w:val="24"/>
        </w:rPr>
        <w:t>(2010b)</w:t>
      </w:r>
      <w:r>
        <w:rPr>
          <w:rFonts w:ascii="Times New Roman" w:hAnsi="Times New Roman"/>
          <w:sz w:val="24"/>
        </w:rPr>
        <w:t xml:space="preserve"> </w:t>
      </w:r>
      <w:r w:rsidR="00A177FE">
        <w:rPr>
          <w:rFonts w:ascii="Times New Roman" w:hAnsi="Times New Roman"/>
          <w:sz w:val="24"/>
        </w:rPr>
        <w:t>Audiovisual</w:t>
      </w:r>
      <w:r w:rsidR="00497B7D" w:rsidRPr="004B73E4">
        <w:rPr>
          <w:rFonts w:ascii="Times New Roman" w:hAnsi="Times New Roman"/>
          <w:sz w:val="24"/>
        </w:rPr>
        <w:t xml:space="preserve"> Media Services</w:t>
      </w:r>
      <w:r>
        <w:rPr>
          <w:rFonts w:ascii="Times New Roman" w:hAnsi="Times New Roman"/>
          <w:sz w:val="24"/>
        </w:rPr>
        <w:t xml:space="preserve"> Directive: Product Placement</w:t>
      </w:r>
      <w:r w:rsidR="00497B7D" w:rsidRPr="004B73E4">
        <w:rPr>
          <w:rFonts w:ascii="Times New Roman" w:hAnsi="Times New Roman"/>
          <w:sz w:val="24"/>
        </w:rPr>
        <w:t>.</w:t>
      </w:r>
    </w:p>
    <w:p w14:paraId="1D0FF9A4" w14:textId="69C061F6" w:rsidR="00497B7D" w:rsidRPr="004B73E4" w:rsidRDefault="00497B7D" w:rsidP="005305FE">
      <w:pPr>
        <w:pStyle w:val="EndNoteBibliography"/>
        <w:spacing w:after="0" w:line="360" w:lineRule="auto"/>
        <w:ind w:left="720" w:hanging="720"/>
        <w:rPr>
          <w:rFonts w:ascii="Times New Roman" w:hAnsi="Times New Roman"/>
          <w:sz w:val="24"/>
        </w:rPr>
      </w:pPr>
      <w:r w:rsidRPr="004B73E4">
        <w:rPr>
          <w:rFonts w:ascii="Times New Roman" w:hAnsi="Times New Roman"/>
          <w:sz w:val="24"/>
        </w:rPr>
        <w:t>European Commission</w:t>
      </w:r>
      <w:r w:rsidR="005305FE">
        <w:rPr>
          <w:rFonts w:ascii="Times New Roman" w:hAnsi="Times New Roman"/>
          <w:sz w:val="24"/>
        </w:rPr>
        <w:t xml:space="preserve">, </w:t>
      </w:r>
      <w:r w:rsidR="005305FE" w:rsidRPr="004B73E4">
        <w:rPr>
          <w:rFonts w:ascii="Times New Roman" w:hAnsi="Times New Roman"/>
          <w:sz w:val="24"/>
        </w:rPr>
        <w:t>(2010c)</w:t>
      </w:r>
      <w:r w:rsidR="005305FE">
        <w:rPr>
          <w:rFonts w:ascii="Times New Roman" w:hAnsi="Times New Roman"/>
          <w:sz w:val="24"/>
        </w:rPr>
        <w:t>,</w:t>
      </w:r>
      <w:r w:rsidRPr="004B73E4">
        <w:rPr>
          <w:rFonts w:ascii="Times New Roman" w:hAnsi="Times New Roman"/>
          <w:sz w:val="24"/>
        </w:rPr>
        <w:t xml:space="preserve"> </w:t>
      </w:r>
      <w:r w:rsidR="00A177FE">
        <w:rPr>
          <w:rFonts w:ascii="Times New Roman" w:hAnsi="Times New Roman"/>
          <w:sz w:val="24"/>
        </w:rPr>
        <w:t>Audiovisual</w:t>
      </w:r>
      <w:r w:rsidRPr="004B73E4">
        <w:rPr>
          <w:rFonts w:ascii="Times New Roman" w:hAnsi="Times New Roman"/>
          <w:sz w:val="24"/>
        </w:rPr>
        <w:t xml:space="preserve"> Media Se</w:t>
      </w:r>
      <w:r w:rsidR="005305FE">
        <w:rPr>
          <w:rFonts w:ascii="Times New Roman" w:hAnsi="Times New Roman"/>
          <w:sz w:val="24"/>
        </w:rPr>
        <w:t>rvices Directive: Sponsorship</w:t>
      </w:r>
      <w:r w:rsidRPr="004B73E4">
        <w:rPr>
          <w:rFonts w:ascii="Times New Roman" w:hAnsi="Times New Roman"/>
          <w:sz w:val="24"/>
        </w:rPr>
        <w:t>.</w:t>
      </w:r>
    </w:p>
    <w:p w14:paraId="08E8C62C" w14:textId="77777777" w:rsidR="00497B7D" w:rsidRPr="004B73E4" w:rsidRDefault="005305FE" w:rsidP="005305FE">
      <w:pPr>
        <w:pStyle w:val="EndNoteBibliography"/>
        <w:spacing w:after="0" w:line="360" w:lineRule="auto"/>
        <w:ind w:left="720" w:hanging="720"/>
        <w:rPr>
          <w:rFonts w:ascii="Times New Roman" w:hAnsi="Times New Roman"/>
          <w:sz w:val="24"/>
        </w:rPr>
      </w:pPr>
      <w:r>
        <w:rPr>
          <w:rFonts w:ascii="Times New Roman" w:hAnsi="Times New Roman"/>
          <w:sz w:val="24"/>
        </w:rPr>
        <w:t xml:space="preserve">Eureoan Union, (1989) </w:t>
      </w:r>
      <w:r w:rsidR="00497B7D" w:rsidRPr="004B73E4">
        <w:rPr>
          <w:rFonts w:ascii="Times New Roman" w:hAnsi="Times New Roman"/>
          <w:sz w:val="24"/>
        </w:rPr>
        <w:t>Television without Frontie</w:t>
      </w:r>
      <w:r>
        <w:rPr>
          <w:rFonts w:ascii="Times New Roman" w:hAnsi="Times New Roman"/>
          <w:sz w:val="24"/>
        </w:rPr>
        <w:t>rs Directive,  § Act 10, Act 17</w:t>
      </w:r>
      <w:r w:rsidR="00497B7D" w:rsidRPr="004B73E4">
        <w:rPr>
          <w:rFonts w:ascii="Times New Roman" w:hAnsi="Times New Roman"/>
          <w:sz w:val="24"/>
        </w:rPr>
        <w:t>.</w:t>
      </w:r>
    </w:p>
    <w:p w14:paraId="6507454C" w14:textId="77777777" w:rsidR="00497B7D" w:rsidRPr="004B73E4" w:rsidRDefault="005305FE" w:rsidP="005305FE">
      <w:pPr>
        <w:pStyle w:val="EndNoteBibliography"/>
        <w:spacing w:after="0" w:line="360" w:lineRule="auto"/>
        <w:ind w:left="720" w:hanging="720"/>
        <w:rPr>
          <w:rFonts w:ascii="Times New Roman" w:hAnsi="Times New Roman"/>
          <w:sz w:val="24"/>
        </w:rPr>
      </w:pPr>
      <w:r>
        <w:rPr>
          <w:rFonts w:ascii="Times New Roman" w:hAnsi="Times New Roman"/>
          <w:sz w:val="24"/>
        </w:rPr>
        <w:t xml:space="preserve">FCC, (1934a), </w:t>
      </w:r>
      <w:r w:rsidR="00497B7D" w:rsidRPr="004B73E4">
        <w:rPr>
          <w:rFonts w:ascii="Times New Roman" w:hAnsi="Times New Roman"/>
          <w:sz w:val="24"/>
        </w:rPr>
        <w:t xml:space="preserve">Communications Act, 47 U.S.C. § 317 C.F.R. </w:t>
      </w:r>
    </w:p>
    <w:p w14:paraId="62FA611B" w14:textId="77777777" w:rsidR="00497B7D" w:rsidRPr="004B73E4" w:rsidRDefault="005305FE" w:rsidP="005305FE">
      <w:pPr>
        <w:pStyle w:val="EndNoteBibliography"/>
        <w:spacing w:after="0" w:line="360" w:lineRule="auto"/>
        <w:ind w:left="720" w:hanging="720"/>
        <w:rPr>
          <w:rFonts w:ascii="Times New Roman" w:hAnsi="Times New Roman"/>
          <w:sz w:val="24"/>
        </w:rPr>
      </w:pPr>
      <w:r>
        <w:rPr>
          <w:rFonts w:ascii="Times New Roman" w:hAnsi="Times New Roman"/>
          <w:sz w:val="24"/>
        </w:rPr>
        <w:t xml:space="preserve">FCC, (1934B), </w:t>
      </w:r>
      <w:r w:rsidR="00497B7D" w:rsidRPr="004B73E4">
        <w:rPr>
          <w:rFonts w:ascii="Times New Roman" w:hAnsi="Times New Roman"/>
          <w:sz w:val="24"/>
        </w:rPr>
        <w:t xml:space="preserve">Communications Act, 47 U.S.C. § 508 C.F.R. </w:t>
      </w:r>
    </w:p>
    <w:p w14:paraId="3A6C233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Federal Trade Commission. (2013). </w:t>
      </w:r>
      <w:r w:rsidRPr="004B73E4">
        <w:rPr>
          <w:rFonts w:ascii="Times New Roman" w:hAnsi="Times New Roman"/>
          <w:i/>
          <w:sz w:val="24"/>
        </w:rPr>
        <w:t>Blurred Lines - Advertising or Content?</w:t>
      </w:r>
      <w:r w:rsidRPr="004B73E4">
        <w:rPr>
          <w:rFonts w:ascii="Times New Roman" w:hAnsi="Times New Roman"/>
          <w:sz w:val="24"/>
        </w:rPr>
        <w:t xml:space="preserve">  Retrieved from </w:t>
      </w:r>
      <w:r w:rsidRPr="00497B7D">
        <w:rPr>
          <w:rFonts w:ascii="Times New Roman" w:hAnsi="Times New Roman"/>
          <w:sz w:val="24"/>
        </w:rPr>
        <w:t>http://www.ftc.gov/news-events/events-calendar/2013/12/blurred-lines-advertising-or-content-ftc-workshop-native</w:t>
      </w:r>
      <w:r w:rsidRPr="004B73E4">
        <w:rPr>
          <w:rFonts w:ascii="Times New Roman" w:hAnsi="Times New Roman"/>
          <w:sz w:val="24"/>
        </w:rPr>
        <w:t>.</w:t>
      </w:r>
    </w:p>
    <w:p w14:paraId="61910AF1"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Fielding, D., Lewis, D., White, M., Manfredi, A., &amp; Scott, L. (2008). Dove Campaign Roundtable. </w:t>
      </w:r>
      <w:r w:rsidRPr="004B73E4">
        <w:rPr>
          <w:rFonts w:ascii="Times New Roman" w:hAnsi="Times New Roman"/>
          <w:i/>
          <w:sz w:val="24"/>
        </w:rPr>
        <w:t>Advertising &amp; Society Review, 9</w:t>
      </w:r>
      <w:r w:rsidRPr="004B73E4">
        <w:rPr>
          <w:rFonts w:ascii="Times New Roman" w:hAnsi="Times New Roman"/>
          <w:sz w:val="24"/>
        </w:rPr>
        <w:t xml:space="preserve">(4). </w:t>
      </w:r>
    </w:p>
    <w:p w14:paraId="145D9E57"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Fletcher, D. (2009). [Partner at Innovation Team, Mindshare UK].</w:t>
      </w:r>
    </w:p>
    <w:p w14:paraId="66901A76"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Fraser, N. (1992). Rethinkning the Public Sphere: A Contribution to the Critique of Actually Existing Democracy. In C. Calhuon (Ed.), </w:t>
      </w:r>
      <w:r w:rsidRPr="004B73E4">
        <w:rPr>
          <w:rFonts w:ascii="Times New Roman" w:hAnsi="Times New Roman"/>
          <w:i/>
          <w:sz w:val="24"/>
        </w:rPr>
        <w:t>Habermas and the Public Sphere</w:t>
      </w:r>
      <w:r w:rsidRPr="004B73E4">
        <w:rPr>
          <w:rFonts w:ascii="Times New Roman" w:hAnsi="Times New Roman"/>
          <w:sz w:val="24"/>
        </w:rPr>
        <w:t xml:space="preserve"> (pp. 109-142). &lt;st1:city style="font-size: 12.8000001907349px;" w:st="on"&gt;Cambridge, &lt;st1:state w:st="on"&gt;MA: MIT Press.</w:t>
      </w:r>
    </w:p>
    <w:p w14:paraId="41541D2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Fraser, N., &amp; Bartky, S. L. (1992). </w:t>
      </w:r>
      <w:r w:rsidRPr="004B73E4">
        <w:rPr>
          <w:rFonts w:ascii="Times New Roman" w:hAnsi="Times New Roman"/>
          <w:i/>
          <w:sz w:val="24"/>
        </w:rPr>
        <w:t>Revaluing French feminism : critical essays on difference, agency, and culture</w:t>
      </w:r>
      <w:r w:rsidRPr="004B73E4">
        <w:rPr>
          <w:rFonts w:ascii="Times New Roman" w:hAnsi="Times New Roman"/>
          <w:sz w:val="24"/>
        </w:rPr>
        <w:t>. Bloomington: Indiana University Press.</w:t>
      </w:r>
    </w:p>
    <w:p w14:paraId="2A0816F9" w14:textId="77777777" w:rsidR="00CD1F95" w:rsidRDefault="00497B7D" w:rsidP="008266AF">
      <w:pPr>
        <w:pStyle w:val="CommentText"/>
        <w:rPr>
          <w:sz w:val="24"/>
        </w:rPr>
      </w:pPr>
      <w:r w:rsidRPr="004B73E4">
        <w:rPr>
          <w:sz w:val="24"/>
        </w:rPr>
        <w:t xml:space="preserve">Freedman, D. (2008). </w:t>
      </w:r>
      <w:r w:rsidRPr="004B73E4">
        <w:rPr>
          <w:i/>
          <w:sz w:val="24"/>
        </w:rPr>
        <w:t>The politics of media policy</w:t>
      </w:r>
      <w:r w:rsidRPr="004B73E4">
        <w:rPr>
          <w:sz w:val="24"/>
        </w:rPr>
        <w:t>. Cambridge: Polity Press.</w:t>
      </w:r>
    </w:p>
    <w:p w14:paraId="43E9FFEE" w14:textId="13660DB3" w:rsidR="009B4F33" w:rsidRPr="005037E0" w:rsidRDefault="009B4F33" w:rsidP="008266AF">
      <w:pPr>
        <w:pStyle w:val="CommentText"/>
        <w:rPr>
          <w:sz w:val="24"/>
          <w:szCs w:val="24"/>
        </w:rPr>
      </w:pPr>
      <w:r>
        <w:rPr>
          <w:sz w:val="24"/>
        </w:rPr>
        <w:t xml:space="preserve">FTC, (2015a). </w:t>
      </w:r>
      <w:r w:rsidRPr="005037E0">
        <w:rPr>
          <w:i/>
          <w:iCs/>
          <w:sz w:val="24"/>
        </w:rPr>
        <w:t>Enforcement Policy Statement on Deceptively Formatted Advertisements</w:t>
      </w:r>
      <w:r>
        <w:rPr>
          <w:sz w:val="24"/>
        </w:rPr>
        <w:t xml:space="preserve">. </w:t>
      </w:r>
      <w:r>
        <w:rPr>
          <w:sz w:val="24"/>
        </w:rPr>
        <w:br/>
        <w:t xml:space="preserve">            Retrieved from </w:t>
      </w:r>
      <w:hyperlink r:id="rId58" w:history="1">
        <w:r w:rsidRPr="005037E0">
          <w:rPr>
            <w:rStyle w:val="Hyperlink"/>
            <w:sz w:val="24"/>
            <w:szCs w:val="24"/>
            <w:u w:val="none"/>
          </w:rPr>
          <w:t>https://www.ftc.gov/system/files/documents/public_statements/896923/151222deceptiveenforcement.pdf?utm_source=govdelivery</w:t>
        </w:r>
      </w:hyperlink>
      <w:r w:rsidR="008266AF" w:rsidRPr="005037E0">
        <w:rPr>
          <w:sz w:val="24"/>
          <w:szCs w:val="24"/>
        </w:rPr>
        <w:t>.</w:t>
      </w:r>
    </w:p>
    <w:p w14:paraId="7467CA66" w14:textId="61D13D6F" w:rsidR="009B4F33" w:rsidRPr="008266AF" w:rsidRDefault="009B4F33" w:rsidP="008266AF">
      <w:pPr>
        <w:pStyle w:val="EndNoteBibliography"/>
        <w:spacing w:after="0" w:line="360" w:lineRule="auto"/>
        <w:ind w:left="720" w:hanging="720"/>
        <w:rPr>
          <w:rFonts w:ascii="Times New Roman" w:hAnsi="Times New Roman"/>
          <w:sz w:val="24"/>
        </w:rPr>
      </w:pPr>
      <w:r>
        <w:rPr>
          <w:rFonts w:ascii="Times New Roman" w:hAnsi="Times New Roman"/>
          <w:sz w:val="24"/>
        </w:rPr>
        <w:t xml:space="preserve">FTC, (2015b). </w:t>
      </w:r>
      <w:r>
        <w:rPr>
          <w:rFonts w:ascii="Times New Roman" w:hAnsi="Times New Roman"/>
          <w:i/>
          <w:iCs/>
          <w:sz w:val="24"/>
        </w:rPr>
        <w:t xml:space="preserve">Native Advertising: A Guide for </w:t>
      </w:r>
      <w:r w:rsidR="008266AF">
        <w:rPr>
          <w:rFonts w:ascii="Times New Roman" w:hAnsi="Times New Roman"/>
          <w:i/>
          <w:iCs/>
          <w:sz w:val="24"/>
        </w:rPr>
        <w:t>B</w:t>
      </w:r>
      <w:r>
        <w:rPr>
          <w:rFonts w:ascii="Times New Roman" w:hAnsi="Times New Roman"/>
          <w:i/>
          <w:iCs/>
          <w:sz w:val="24"/>
        </w:rPr>
        <w:t>usinesses</w:t>
      </w:r>
      <w:r w:rsidR="008266AF">
        <w:rPr>
          <w:rFonts w:ascii="Times New Roman" w:hAnsi="Times New Roman"/>
          <w:sz w:val="24"/>
        </w:rPr>
        <w:t xml:space="preserve">. Retreived from </w:t>
      </w:r>
      <w:r w:rsidR="008266AF" w:rsidRPr="005037E0">
        <w:rPr>
          <w:rFonts w:ascii="Times New Roman" w:hAnsi="Times New Roman"/>
          <w:sz w:val="24"/>
        </w:rPr>
        <w:t>https://www.ftc.gov/tips-advice/business-center/guidance/native-advertising-guide-businesses.</w:t>
      </w:r>
    </w:p>
    <w:p w14:paraId="5D6D4BB1"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Garnham, N. (2007). Habermas and the Public Sphere. </w:t>
      </w:r>
      <w:r w:rsidRPr="004B73E4">
        <w:rPr>
          <w:rFonts w:ascii="Times New Roman" w:hAnsi="Times New Roman"/>
          <w:i/>
          <w:sz w:val="24"/>
        </w:rPr>
        <w:t>Global Media and Communication, 3</w:t>
      </w:r>
      <w:r w:rsidRPr="004B73E4">
        <w:rPr>
          <w:rFonts w:ascii="Times New Roman" w:hAnsi="Times New Roman"/>
          <w:sz w:val="24"/>
        </w:rPr>
        <w:t xml:space="preserve">, 201-214. </w:t>
      </w:r>
    </w:p>
    <w:p w14:paraId="44FDA668"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lastRenderedPageBreak/>
        <w:t xml:space="preserve">Giddens, A. (1992). </w:t>
      </w:r>
      <w:r w:rsidRPr="004B73E4">
        <w:rPr>
          <w:rFonts w:ascii="Times New Roman" w:hAnsi="Times New Roman"/>
          <w:i/>
          <w:sz w:val="24"/>
        </w:rPr>
        <w:t>The transformation of intimacy : sexuality, love and eroticism in modern societies</w:t>
      </w:r>
      <w:r w:rsidRPr="004B73E4">
        <w:rPr>
          <w:rFonts w:ascii="Times New Roman" w:hAnsi="Times New Roman"/>
          <w:sz w:val="24"/>
        </w:rPr>
        <w:t>. Cambridge: Polity.</w:t>
      </w:r>
    </w:p>
    <w:p w14:paraId="51E5CD34" w14:textId="77777777" w:rsidR="00095B73" w:rsidRPr="004B73E4" w:rsidRDefault="00095B73" w:rsidP="00095B73">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Gitam-BBDO Content. (2009). Integrating Shufersal-Deal Messages in </w:t>
      </w:r>
      <w:r w:rsidRPr="00785053">
        <w:rPr>
          <w:rFonts w:ascii="Times New Roman" w:hAnsi="Times New Roman"/>
          <w:i/>
          <w:iCs/>
          <w:sz w:val="24"/>
        </w:rPr>
        <w:t>Overdraft Family</w:t>
      </w:r>
      <w:r w:rsidRPr="004B73E4">
        <w:rPr>
          <w:rFonts w:ascii="Times New Roman" w:hAnsi="Times New Roman"/>
          <w:sz w:val="24"/>
        </w:rPr>
        <w:t>.</w:t>
      </w:r>
    </w:p>
    <w:p w14:paraId="77FE3388" w14:textId="77777777" w:rsidR="00497B7D" w:rsidRPr="004B73E4" w:rsidRDefault="00497B7D" w:rsidP="00095B73">
      <w:pPr>
        <w:pStyle w:val="EndNoteBibliography"/>
        <w:spacing w:after="0" w:line="360" w:lineRule="auto"/>
        <w:ind w:left="720" w:hanging="720"/>
        <w:rPr>
          <w:rFonts w:ascii="Times New Roman" w:hAnsi="Times New Roman"/>
          <w:sz w:val="24"/>
        </w:rPr>
      </w:pPr>
      <w:r w:rsidRPr="004B73E4">
        <w:rPr>
          <w:rFonts w:ascii="Times New Roman" w:hAnsi="Times New Roman"/>
          <w:sz w:val="24"/>
        </w:rPr>
        <w:t>Gitam-BBDO</w:t>
      </w:r>
      <w:r w:rsidR="00095B73">
        <w:rPr>
          <w:rFonts w:ascii="Times New Roman" w:hAnsi="Times New Roman"/>
          <w:sz w:val="24"/>
        </w:rPr>
        <w:t xml:space="preserve"> Content</w:t>
      </w:r>
      <w:r w:rsidRPr="004B73E4">
        <w:rPr>
          <w:rFonts w:ascii="Times New Roman" w:hAnsi="Times New Roman"/>
          <w:sz w:val="24"/>
        </w:rPr>
        <w:t xml:space="preserve">. (2010). </w:t>
      </w:r>
      <w:r w:rsidRPr="004B73E4">
        <w:rPr>
          <w:rFonts w:ascii="Times New Roman" w:hAnsi="Times New Roman"/>
          <w:i/>
          <w:sz w:val="24"/>
        </w:rPr>
        <w:t>Presentation of Shufersal-Deal's Sponsorship for OVerdraft Family (5th Series)</w:t>
      </w:r>
      <w:r w:rsidRPr="004B73E4">
        <w:rPr>
          <w:rFonts w:ascii="Times New Roman" w:hAnsi="Times New Roman"/>
          <w:sz w:val="24"/>
        </w:rPr>
        <w:t xml:space="preserve">. </w:t>
      </w:r>
    </w:p>
    <w:p w14:paraId="6E0BDAF8"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Gitelman, L. (2006). </w:t>
      </w:r>
      <w:r w:rsidRPr="004B73E4">
        <w:rPr>
          <w:rFonts w:ascii="Times New Roman" w:hAnsi="Times New Roman"/>
          <w:i/>
          <w:sz w:val="24"/>
        </w:rPr>
        <w:t>Always already new : media, history and the data of culture</w:t>
      </w:r>
      <w:r w:rsidRPr="004B73E4">
        <w:rPr>
          <w:rFonts w:ascii="Times New Roman" w:hAnsi="Times New Roman"/>
          <w:sz w:val="24"/>
        </w:rPr>
        <w:t>. Cambridge, Mass. ; London: MIT.</w:t>
      </w:r>
    </w:p>
    <w:p w14:paraId="57DC51F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Goethe, J. W. v. (2008). </w:t>
      </w:r>
      <w:r w:rsidRPr="004B73E4">
        <w:rPr>
          <w:rFonts w:ascii="Times New Roman" w:hAnsi="Times New Roman"/>
          <w:i/>
          <w:sz w:val="24"/>
        </w:rPr>
        <w:t>Elective affinities : a novel</w:t>
      </w:r>
      <w:r w:rsidRPr="004B73E4">
        <w:rPr>
          <w:rFonts w:ascii="Times New Roman" w:hAnsi="Times New Roman"/>
          <w:sz w:val="24"/>
        </w:rPr>
        <w:t>. Oxford: Oxford University Press.</w:t>
      </w:r>
    </w:p>
    <w:p w14:paraId="3A40F33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Goldberg, O. (2011). [Former Head of Commercial Cooperation Arm, Reshet, Channel 2].</w:t>
      </w:r>
    </w:p>
    <w:p w14:paraId="68BEEB81"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Goldsmiths Media Group. (2000). Media organisations in society - Central issues. In J. Curran (Ed.), </w:t>
      </w:r>
      <w:r w:rsidRPr="004B73E4">
        <w:rPr>
          <w:rFonts w:ascii="Times New Roman" w:hAnsi="Times New Roman"/>
          <w:i/>
          <w:sz w:val="24"/>
        </w:rPr>
        <w:t>Media organisations in society</w:t>
      </w:r>
      <w:r w:rsidRPr="004B73E4">
        <w:rPr>
          <w:rFonts w:ascii="Times New Roman" w:hAnsi="Times New Roman"/>
          <w:sz w:val="24"/>
        </w:rPr>
        <w:t xml:space="preserve"> (pp. pp. 19-65). London: Arnold.</w:t>
      </w:r>
    </w:p>
    <w:p w14:paraId="7F5D96FD" w14:textId="77777777" w:rsidR="00497B7D" w:rsidRPr="004B73E4" w:rsidRDefault="00497B7D" w:rsidP="00095B73">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Goodman, E. (2006). Stealth Marketing and Editorial Integrity. </w:t>
      </w:r>
      <w:r w:rsidRPr="004B73E4">
        <w:rPr>
          <w:rFonts w:ascii="Times New Roman" w:hAnsi="Times New Roman"/>
          <w:i/>
          <w:sz w:val="24"/>
        </w:rPr>
        <w:t>Texas Law Review, 85</w:t>
      </w:r>
      <w:r w:rsidRPr="004B73E4">
        <w:rPr>
          <w:rFonts w:ascii="Times New Roman" w:hAnsi="Times New Roman"/>
          <w:sz w:val="24"/>
        </w:rPr>
        <w:t xml:space="preserve">, 83-152. </w:t>
      </w:r>
    </w:p>
    <w:p w14:paraId="44767407"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Gripsrud, J. (1992). The Aesthetics and Politics of Melodrama. In P. Dahlgren &amp; C. Sparks (Eds.), </w:t>
      </w:r>
      <w:r w:rsidRPr="004B73E4">
        <w:rPr>
          <w:rFonts w:ascii="Times New Roman" w:hAnsi="Times New Roman"/>
          <w:i/>
          <w:sz w:val="24"/>
        </w:rPr>
        <w:t>Journalism and Popular Culture</w:t>
      </w:r>
      <w:r w:rsidRPr="004B73E4">
        <w:rPr>
          <w:rFonts w:ascii="Times New Roman" w:hAnsi="Times New Roman"/>
          <w:sz w:val="24"/>
        </w:rPr>
        <w:t xml:space="preserve"> (pp. [ix],210p). London: Sage Publications.</w:t>
      </w:r>
    </w:p>
    <w:p w14:paraId="0F4DFDC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Habermas, J. r. (1984). </w:t>
      </w:r>
      <w:r w:rsidRPr="004B73E4">
        <w:rPr>
          <w:rFonts w:ascii="Times New Roman" w:hAnsi="Times New Roman"/>
          <w:i/>
          <w:sz w:val="24"/>
        </w:rPr>
        <w:t>The theory of communicative action</w:t>
      </w:r>
      <w:r w:rsidRPr="004B73E4">
        <w:rPr>
          <w:rFonts w:ascii="Times New Roman" w:hAnsi="Times New Roman"/>
          <w:sz w:val="24"/>
        </w:rPr>
        <w:t xml:space="preserve"> (Vol. 1). Cambridge: Polity.</w:t>
      </w:r>
    </w:p>
    <w:p w14:paraId="3E0E3900"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Habermas, J. r. (1989). </w:t>
      </w:r>
      <w:r w:rsidRPr="004B73E4">
        <w:rPr>
          <w:rFonts w:ascii="Times New Roman" w:hAnsi="Times New Roman"/>
          <w:i/>
          <w:sz w:val="24"/>
        </w:rPr>
        <w:t>The structural transformation of the public sphere : an inquiry into a category of bourgeois society</w:t>
      </w:r>
      <w:r w:rsidRPr="004B73E4">
        <w:rPr>
          <w:rFonts w:ascii="Times New Roman" w:hAnsi="Times New Roman"/>
          <w:sz w:val="24"/>
        </w:rPr>
        <w:t>. [Cambridge]: Polity.</w:t>
      </w:r>
    </w:p>
    <w:p w14:paraId="42AD9030"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Habermas, J. r. (1996). </w:t>
      </w:r>
      <w:r w:rsidRPr="004B73E4">
        <w:rPr>
          <w:rFonts w:ascii="Times New Roman" w:hAnsi="Times New Roman"/>
          <w:i/>
          <w:sz w:val="24"/>
        </w:rPr>
        <w:t>Between facts and norms : contributions to a discourse theory of law and democracy</w:t>
      </w:r>
      <w:r w:rsidRPr="004B73E4">
        <w:rPr>
          <w:rFonts w:ascii="Times New Roman" w:hAnsi="Times New Roman"/>
          <w:sz w:val="24"/>
        </w:rPr>
        <w:t>. Cambridge, Mass.: MIT Press.</w:t>
      </w:r>
    </w:p>
    <w:p w14:paraId="17815D7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Hardy, J. (2010). </w:t>
      </w:r>
      <w:r w:rsidRPr="004B73E4">
        <w:rPr>
          <w:rFonts w:ascii="Times New Roman" w:hAnsi="Times New Roman"/>
          <w:i/>
          <w:sz w:val="24"/>
        </w:rPr>
        <w:t>Cross-media promotion</w:t>
      </w:r>
      <w:r w:rsidRPr="004B73E4">
        <w:rPr>
          <w:rFonts w:ascii="Times New Roman" w:hAnsi="Times New Roman"/>
          <w:sz w:val="24"/>
        </w:rPr>
        <w:t>. New York: Peter Lang.</w:t>
      </w:r>
    </w:p>
    <w:p w14:paraId="58EAE0B7"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Hardy, J. (2014). </w:t>
      </w:r>
      <w:r w:rsidRPr="004B73E4">
        <w:rPr>
          <w:rFonts w:ascii="Times New Roman" w:hAnsi="Times New Roman"/>
          <w:i/>
          <w:sz w:val="24"/>
        </w:rPr>
        <w:t>Critical political economy of the media : an introduction</w:t>
      </w:r>
      <w:r w:rsidRPr="004B73E4">
        <w:rPr>
          <w:rFonts w:ascii="Times New Roman" w:hAnsi="Times New Roman"/>
          <w:sz w:val="24"/>
        </w:rPr>
        <w:t>. London: Routledge.</w:t>
      </w:r>
    </w:p>
    <w:p w14:paraId="45BBA17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Hart, S., &amp; Murphy, J. M. (1998). </w:t>
      </w:r>
      <w:r w:rsidRPr="004B73E4">
        <w:rPr>
          <w:rFonts w:ascii="Times New Roman" w:hAnsi="Times New Roman"/>
          <w:i/>
          <w:sz w:val="24"/>
        </w:rPr>
        <w:t>Brands : the new wealth creators</w:t>
      </w:r>
      <w:r w:rsidRPr="004B73E4">
        <w:rPr>
          <w:rFonts w:ascii="Times New Roman" w:hAnsi="Times New Roman"/>
          <w:sz w:val="24"/>
        </w:rPr>
        <w:t>. New York: New York University Press.</w:t>
      </w:r>
    </w:p>
    <w:p w14:paraId="4A2D91D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Harvey, D. (2005). </w:t>
      </w:r>
      <w:r w:rsidRPr="004B73E4">
        <w:rPr>
          <w:rFonts w:ascii="Times New Roman" w:hAnsi="Times New Roman"/>
          <w:i/>
          <w:sz w:val="24"/>
        </w:rPr>
        <w:t>A brief history of neoliberalism</w:t>
      </w:r>
      <w:r w:rsidRPr="004B73E4">
        <w:rPr>
          <w:rFonts w:ascii="Times New Roman" w:hAnsi="Times New Roman"/>
          <w:sz w:val="24"/>
        </w:rPr>
        <w:t>. Oxford: Oxford University Press.</w:t>
      </w:r>
    </w:p>
    <w:p w14:paraId="5141CA5D"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Hesmondhalgh, D. (2007). </w:t>
      </w:r>
      <w:r w:rsidRPr="004B73E4">
        <w:rPr>
          <w:rFonts w:ascii="Times New Roman" w:hAnsi="Times New Roman"/>
          <w:i/>
          <w:sz w:val="24"/>
        </w:rPr>
        <w:t>The cultural industries</w:t>
      </w:r>
      <w:r w:rsidRPr="004B73E4">
        <w:rPr>
          <w:rFonts w:ascii="Times New Roman" w:hAnsi="Times New Roman"/>
          <w:sz w:val="24"/>
        </w:rPr>
        <w:t xml:space="preserve"> (2nd ed. ed.). Los Angeles, Calif. ; London: SAGE.</w:t>
      </w:r>
    </w:p>
    <w:p w14:paraId="53B67459" w14:textId="5C1203B2" w:rsidR="006C7A9B" w:rsidRPr="006C7A9B" w:rsidRDefault="006C7A9B" w:rsidP="006C7A9B">
      <w:pPr>
        <w:pStyle w:val="EndNoteBibliography"/>
        <w:spacing w:after="0" w:line="360" w:lineRule="auto"/>
        <w:ind w:left="720" w:hanging="720"/>
        <w:rPr>
          <w:rFonts w:ascii="Times New Roman" w:hAnsi="Times New Roman"/>
          <w:noProof w:val="0"/>
          <w:sz w:val="24"/>
        </w:rPr>
      </w:pPr>
      <w:r>
        <w:rPr>
          <w:rFonts w:ascii="Times New Roman" w:hAnsi="Times New Roman"/>
          <w:sz w:val="24"/>
        </w:rPr>
        <w:t xml:space="preserve">Hill, A. (2005). </w:t>
      </w:r>
      <w:r w:rsidRPr="005037E0">
        <w:rPr>
          <w:rFonts w:ascii="Times New Roman" w:hAnsi="Times New Roman"/>
          <w:i/>
          <w:iCs/>
          <w:sz w:val="24"/>
        </w:rPr>
        <w:t>Reality</w:t>
      </w:r>
      <w:r>
        <w:rPr>
          <w:rFonts w:ascii="Times New Roman" w:hAnsi="Times New Roman"/>
          <w:i/>
          <w:iCs/>
          <w:sz w:val="24"/>
        </w:rPr>
        <w:t xml:space="preserve"> TV: Audiences and popular factual television</w:t>
      </w:r>
      <w:r>
        <w:rPr>
          <w:rFonts w:ascii="Times New Roman" w:hAnsi="Times New Roman"/>
          <w:sz w:val="24"/>
        </w:rPr>
        <w:t>. London: Routledge.</w:t>
      </w:r>
    </w:p>
    <w:p w14:paraId="63FD2E05"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Holt, M. (2009) [Chairman of the British Branded Content and Marketing Association]</w:t>
      </w:r>
    </w:p>
    <w:p w14:paraId="02DB66A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Howe, R. H. (1978). Max Weber's Elective Affinities: Sociology Within the Bounds of Pure Reason. </w:t>
      </w:r>
      <w:r w:rsidRPr="004B73E4">
        <w:rPr>
          <w:rFonts w:ascii="Times New Roman" w:hAnsi="Times New Roman"/>
          <w:i/>
          <w:sz w:val="24"/>
        </w:rPr>
        <w:t>American Journal of Sociology, 84</w:t>
      </w:r>
      <w:r w:rsidRPr="004B73E4">
        <w:rPr>
          <w:rFonts w:ascii="Times New Roman" w:hAnsi="Times New Roman"/>
          <w:sz w:val="24"/>
        </w:rPr>
        <w:t xml:space="preserve">(2), 366-385. </w:t>
      </w:r>
    </w:p>
    <w:p w14:paraId="35FE2A00"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lastRenderedPageBreak/>
        <w:t xml:space="preserve">Humphreys, P. (1996). </w:t>
      </w:r>
      <w:r w:rsidRPr="004B73E4">
        <w:rPr>
          <w:rFonts w:ascii="Times New Roman" w:hAnsi="Times New Roman"/>
          <w:i/>
          <w:sz w:val="24"/>
        </w:rPr>
        <w:t>Mass media and media policy in Western Europe</w:t>
      </w:r>
      <w:r w:rsidRPr="004B73E4">
        <w:rPr>
          <w:rFonts w:ascii="Times New Roman" w:hAnsi="Times New Roman"/>
          <w:sz w:val="24"/>
        </w:rPr>
        <w:t>. Manchester: Manchester University Press.</w:t>
      </w:r>
    </w:p>
    <w:p w14:paraId="729E1C37" w14:textId="77777777" w:rsidR="00497B7D" w:rsidRPr="004B73E4" w:rsidRDefault="00EB4806" w:rsidP="00EB4806">
      <w:pPr>
        <w:pStyle w:val="EndNoteBibliography"/>
        <w:spacing w:after="0" w:line="360" w:lineRule="auto"/>
        <w:ind w:left="720" w:hanging="720"/>
        <w:rPr>
          <w:rFonts w:ascii="Times New Roman" w:hAnsi="Times New Roman"/>
          <w:sz w:val="24"/>
        </w:rPr>
      </w:pPr>
      <w:r>
        <w:rPr>
          <w:rFonts w:ascii="Times New Roman" w:hAnsi="Times New Roman"/>
          <w:sz w:val="24"/>
        </w:rPr>
        <w:t xml:space="preserve">Israeli Parliament. (1990). </w:t>
      </w:r>
      <w:r w:rsidR="00497B7D" w:rsidRPr="004B73E4">
        <w:rPr>
          <w:rFonts w:ascii="Times New Roman" w:hAnsi="Times New Roman"/>
          <w:sz w:val="24"/>
        </w:rPr>
        <w:t>The Second Author</w:t>
      </w:r>
      <w:r>
        <w:rPr>
          <w:rFonts w:ascii="Times New Roman" w:hAnsi="Times New Roman"/>
          <w:sz w:val="24"/>
        </w:rPr>
        <w:t>ity for Television and Radio Law</w:t>
      </w:r>
      <w:r w:rsidR="00497B7D" w:rsidRPr="004B73E4">
        <w:rPr>
          <w:rFonts w:ascii="Times New Roman" w:hAnsi="Times New Roman"/>
          <w:sz w:val="24"/>
        </w:rPr>
        <w:t>,  § 83.</w:t>
      </w:r>
    </w:p>
    <w:p w14:paraId="36AD4F22"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Jackson, A. (2009) </w:t>
      </w:r>
      <w:r w:rsidRPr="004B73E4">
        <w:rPr>
          <w:rFonts w:ascii="Times New Roman" w:hAnsi="Times New Roman"/>
          <w:i/>
          <w:sz w:val="24"/>
        </w:rPr>
        <w:t>Commissioning Editor, Features Department at Channel 4/Interviewer: A. Balint</w:t>
      </w:r>
      <w:r w:rsidRPr="004B73E4">
        <w:rPr>
          <w:rFonts w:ascii="Times New Roman" w:hAnsi="Times New Roman"/>
          <w:sz w:val="24"/>
        </w:rPr>
        <w:t>. London.</w:t>
      </w:r>
    </w:p>
    <w:p w14:paraId="31C1AD95"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Jaffe, J. (2005). </w:t>
      </w:r>
      <w:r w:rsidRPr="004B73E4">
        <w:rPr>
          <w:rFonts w:ascii="Times New Roman" w:hAnsi="Times New Roman"/>
          <w:i/>
          <w:sz w:val="24"/>
        </w:rPr>
        <w:t>Life after the 30-second spot : energize your brand with a bold mix of alternatives to traditional advertising</w:t>
      </w:r>
      <w:r w:rsidRPr="004B73E4">
        <w:rPr>
          <w:rFonts w:ascii="Times New Roman" w:hAnsi="Times New Roman"/>
          <w:sz w:val="24"/>
        </w:rPr>
        <w:t>. Hoboken, N.J.: Wiley ; Chichester : John Wiley [distributor].</w:t>
      </w:r>
    </w:p>
    <w:p w14:paraId="6E2D0BF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Jenkins, H. (2006). </w:t>
      </w:r>
      <w:r w:rsidRPr="004B73E4">
        <w:rPr>
          <w:rFonts w:ascii="Times New Roman" w:hAnsi="Times New Roman"/>
          <w:i/>
          <w:sz w:val="24"/>
        </w:rPr>
        <w:t>Convergence culture : where old and new media collide</w:t>
      </w:r>
      <w:r w:rsidRPr="004B73E4">
        <w:rPr>
          <w:rFonts w:ascii="Times New Roman" w:hAnsi="Times New Roman"/>
          <w:sz w:val="24"/>
        </w:rPr>
        <w:t>. New York ; London: New York University Press.</w:t>
      </w:r>
    </w:p>
    <w:p w14:paraId="5131C11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Jick, T. D. (1979). Mixing Qualitative and Quantitative Methods: Triangulation in Action. </w:t>
      </w:r>
      <w:r w:rsidRPr="004B73E4">
        <w:rPr>
          <w:rFonts w:ascii="Times New Roman" w:hAnsi="Times New Roman"/>
          <w:i/>
          <w:sz w:val="24"/>
        </w:rPr>
        <w:t>Administrative Science Quarterly, 24</w:t>
      </w:r>
      <w:r w:rsidRPr="004B73E4">
        <w:rPr>
          <w:rFonts w:ascii="Times New Roman" w:hAnsi="Times New Roman"/>
          <w:sz w:val="24"/>
        </w:rPr>
        <w:t xml:space="preserve">(4), 602-611. </w:t>
      </w:r>
    </w:p>
    <w:p w14:paraId="7CC9D457"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Johnson, P. (2009). [ Global Head of Marketing and Brand Partnership at </w:t>
      </w:r>
      <w:r w:rsidRPr="004B73E4">
        <w:rPr>
          <w:rFonts w:ascii="Times New Roman" w:hAnsi="Times New Roman"/>
          <w:i/>
          <w:sz w:val="24"/>
        </w:rPr>
        <w:t>Endemol Group</w:t>
      </w:r>
      <w:r w:rsidRPr="004B73E4">
        <w:rPr>
          <w:rFonts w:ascii="Times New Roman" w:hAnsi="Times New Roman"/>
          <w:sz w:val="24"/>
        </w:rPr>
        <w:t>].</w:t>
      </w:r>
    </w:p>
    <w:p w14:paraId="65E3FBE6"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Josée Johnston, &amp; Judith Taylor. (2008). Feminist Consumerism and Fat Activists: A Comparative Study of Grassroots Activism and the Dove Real Beauty Campaign. </w:t>
      </w:r>
      <w:r w:rsidRPr="004B73E4">
        <w:rPr>
          <w:rFonts w:ascii="Times New Roman" w:hAnsi="Times New Roman"/>
          <w:i/>
          <w:sz w:val="24"/>
        </w:rPr>
        <w:t>Signs, 33</w:t>
      </w:r>
      <w:r w:rsidRPr="004B73E4">
        <w:rPr>
          <w:rFonts w:ascii="Times New Roman" w:hAnsi="Times New Roman"/>
          <w:sz w:val="24"/>
        </w:rPr>
        <w:t>(4), 941-966. doi:10.1086/528849</w:t>
      </w:r>
    </w:p>
    <w:p w14:paraId="76438EC7"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Julier, G. (2008). </w:t>
      </w:r>
      <w:r w:rsidRPr="004B73E4">
        <w:rPr>
          <w:rFonts w:ascii="Times New Roman" w:hAnsi="Times New Roman"/>
          <w:i/>
          <w:sz w:val="24"/>
        </w:rPr>
        <w:t>The culture of design</w:t>
      </w:r>
      <w:r w:rsidRPr="004B73E4">
        <w:rPr>
          <w:rFonts w:ascii="Times New Roman" w:hAnsi="Times New Roman"/>
          <w:sz w:val="24"/>
        </w:rPr>
        <w:t xml:space="preserve"> (2nd ed. ed.). London: SAGE.</w:t>
      </w:r>
    </w:p>
    <w:p w14:paraId="18C95B8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Kaminitz, D. (2012). [Former Head of Marketing, Shufersal Deal, Israel].</w:t>
      </w:r>
    </w:p>
    <w:p w14:paraId="7FC9585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Kapferer, J.-N. l. (1992). </w:t>
      </w:r>
      <w:r w:rsidRPr="004B73E4">
        <w:rPr>
          <w:rFonts w:ascii="Times New Roman" w:hAnsi="Times New Roman"/>
          <w:i/>
          <w:sz w:val="24"/>
        </w:rPr>
        <w:t>Strategic brand management</w:t>
      </w:r>
      <w:r w:rsidRPr="004B73E4">
        <w:rPr>
          <w:rFonts w:ascii="Times New Roman" w:hAnsi="Times New Roman"/>
          <w:sz w:val="24"/>
        </w:rPr>
        <w:t>: Kogan Page.</w:t>
      </w:r>
    </w:p>
    <w:p w14:paraId="6A4E8C3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Kapferer, J.-N. l. (2004). </w:t>
      </w:r>
      <w:r w:rsidRPr="004B73E4">
        <w:rPr>
          <w:rFonts w:ascii="Times New Roman" w:hAnsi="Times New Roman"/>
          <w:i/>
          <w:sz w:val="24"/>
        </w:rPr>
        <w:t>The new strategic brand management : creating and sustaining brand equity long term</w:t>
      </w:r>
      <w:r w:rsidRPr="004B73E4">
        <w:rPr>
          <w:rFonts w:ascii="Times New Roman" w:hAnsi="Times New Roman"/>
          <w:sz w:val="24"/>
        </w:rPr>
        <w:t xml:space="preserve"> (3rd ed.). London: Kogan Page.</w:t>
      </w:r>
    </w:p>
    <w:p w14:paraId="62671EE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Kell, V. (2009). [Senior Account Manager, Sponsorship Department, Channel 4].</w:t>
      </w:r>
    </w:p>
    <w:p w14:paraId="291A8CB2"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Keller, K. L. (1998). </w:t>
      </w:r>
      <w:r w:rsidRPr="004B73E4">
        <w:rPr>
          <w:rFonts w:ascii="Times New Roman" w:hAnsi="Times New Roman"/>
          <w:i/>
          <w:sz w:val="24"/>
        </w:rPr>
        <w:t>Strategic brand management : building, measuring and managing brand equity</w:t>
      </w:r>
      <w:r w:rsidRPr="004B73E4">
        <w:rPr>
          <w:rFonts w:ascii="Times New Roman" w:hAnsi="Times New Roman"/>
          <w:sz w:val="24"/>
        </w:rPr>
        <w:t>. Upper Saddle River, N.J.: Prentice Hall ; London : Prentice-Hall International.</w:t>
      </w:r>
    </w:p>
    <w:p w14:paraId="04EA00BF" w14:textId="1066B12A" w:rsidR="00804D48" w:rsidRPr="006C7A9B" w:rsidRDefault="00804D48" w:rsidP="005037E0">
      <w:pPr>
        <w:pStyle w:val="EndNoteBibliography"/>
        <w:spacing w:after="0" w:line="360" w:lineRule="auto"/>
        <w:ind w:left="720" w:hanging="720"/>
        <w:rPr>
          <w:rFonts w:ascii="Times New Roman" w:hAnsi="Times New Roman"/>
          <w:sz w:val="24"/>
        </w:rPr>
      </w:pPr>
      <w:r>
        <w:rPr>
          <w:rFonts w:ascii="Times New Roman" w:hAnsi="Times New Roman"/>
          <w:sz w:val="24"/>
        </w:rPr>
        <w:t xml:space="preserve">Kilborn, R. (1994). ‘How </w:t>
      </w:r>
      <w:r w:rsidR="005037E0">
        <w:rPr>
          <w:rFonts w:ascii="Times New Roman" w:hAnsi="Times New Roman"/>
          <w:sz w:val="24"/>
        </w:rPr>
        <w:t>r</w:t>
      </w:r>
      <w:r>
        <w:rPr>
          <w:rFonts w:ascii="Times New Roman" w:hAnsi="Times New Roman"/>
          <w:sz w:val="24"/>
        </w:rPr>
        <w:t xml:space="preserve">eal </w:t>
      </w:r>
      <w:r w:rsidR="005037E0">
        <w:rPr>
          <w:rFonts w:ascii="Times New Roman" w:hAnsi="Times New Roman"/>
          <w:sz w:val="24"/>
        </w:rPr>
        <w:t>c</w:t>
      </w:r>
      <w:r>
        <w:rPr>
          <w:rFonts w:ascii="Times New Roman" w:hAnsi="Times New Roman"/>
          <w:sz w:val="24"/>
        </w:rPr>
        <w:t xml:space="preserve">an </w:t>
      </w:r>
      <w:r w:rsidR="005037E0">
        <w:rPr>
          <w:rFonts w:ascii="Times New Roman" w:hAnsi="Times New Roman"/>
          <w:sz w:val="24"/>
        </w:rPr>
        <w:t>y</w:t>
      </w:r>
      <w:r>
        <w:rPr>
          <w:rFonts w:ascii="Times New Roman" w:hAnsi="Times New Roman"/>
          <w:sz w:val="24"/>
        </w:rPr>
        <w:t xml:space="preserve">ou </w:t>
      </w:r>
      <w:r w:rsidR="005037E0">
        <w:rPr>
          <w:rFonts w:ascii="Times New Roman" w:hAnsi="Times New Roman"/>
          <w:sz w:val="24"/>
        </w:rPr>
        <w:t>g</w:t>
      </w:r>
      <w:r>
        <w:rPr>
          <w:rFonts w:ascii="Times New Roman" w:hAnsi="Times New Roman"/>
          <w:sz w:val="24"/>
        </w:rPr>
        <w:t xml:space="preserve">et?’ Recent </w:t>
      </w:r>
      <w:r w:rsidR="005037E0">
        <w:rPr>
          <w:rFonts w:ascii="Times New Roman" w:hAnsi="Times New Roman"/>
          <w:sz w:val="24"/>
        </w:rPr>
        <w:t>d</w:t>
      </w:r>
      <w:r>
        <w:rPr>
          <w:rFonts w:ascii="Times New Roman" w:hAnsi="Times New Roman"/>
          <w:sz w:val="24"/>
        </w:rPr>
        <w:t>evelopments in ‘</w:t>
      </w:r>
      <w:r w:rsidR="005037E0">
        <w:rPr>
          <w:rFonts w:ascii="Times New Roman" w:hAnsi="Times New Roman"/>
          <w:sz w:val="24"/>
        </w:rPr>
        <w:t>r</w:t>
      </w:r>
      <w:r>
        <w:rPr>
          <w:rFonts w:ascii="Times New Roman" w:hAnsi="Times New Roman"/>
          <w:sz w:val="24"/>
        </w:rPr>
        <w:t xml:space="preserve">eality’ </w:t>
      </w:r>
      <w:r w:rsidR="005037E0">
        <w:rPr>
          <w:rFonts w:ascii="Times New Roman" w:hAnsi="Times New Roman"/>
          <w:sz w:val="24"/>
        </w:rPr>
        <w:t>t</w:t>
      </w:r>
      <w:r>
        <w:rPr>
          <w:rFonts w:ascii="Times New Roman" w:hAnsi="Times New Roman"/>
          <w:sz w:val="24"/>
        </w:rPr>
        <w:t>elevision</w:t>
      </w:r>
      <w:r w:rsidR="006C7A9B">
        <w:rPr>
          <w:rFonts w:ascii="Times New Roman" w:hAnsi="Times New Roman"/>
          <w:sz w:val="24"/>
        </w:rPr>
        <w:t xml:space="preserve">. </w:t>
      </w:r>
      <w:r w:rsidR="006C7A9B">
        <w:rPr>
          <w:rFonts w:ascii="Times New Roman" w:hAnsi="Times New Roman"/>
          <w:i/>
          <w:iCs/>
          <w:sz w:val="24"/>
        </w:rPr>
        <w:t xml:space="preserve">European Journal of Communication </w:t>
      </w:r>
      <w:r w:rsidR="006C7A9B" w:rsidRPr="006C7A9B">
        <w:rPr>
          <w:rFonts w:ascii="Times New Roman" w:hAnsi="Times New Roman"/>
          <w:i/>
          <w:iCs/>
          <w:sz w:val="24"/>
        </w:rPr>
        <w:t>9</w:t>
      </w:r>
      <w:r w:rsidR="006C7A9B">
        <w:rPr>
          <w:rFonts w:ascii="Times New Roman" w:hAnsi="Times New Roman"/>
          <w:i/>
          <w:iCs/>
          <w:sz w:val="24"/>
        </w:rPr>
        <w:t xml:space="preserve"> </w:t>
      </w:r>
      <w:r w:rsidR="006C7A9B">
        <w:rPr>
          <w:rFonts w:ascii="Times New Roman" w:hAnsi="Times New Roman"/>
          <w:sz w:val="24"/>
        </w:rPr>
        <w:t>421-439.</w:t>
      </w:r>
    </w:p>
    <w:p w14:paraId="7A944248"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Koren, O. (2011). [Commissioning Editor of </w:t>
      </w:r>
      <w:r w:rsidRPr="00785053">
        <w:rPr>
          <w:rFonts w:ascii="Times New Roman" w:hAnsi="Times New Roman"/>
          <w:i/>
          <w:iCs/>
          <w:sz w:val="24"/>
        </w:rPr>
        <w:t>Overdraft Family</w:t>
      </w:r>
      <w:r w:rsidRPr="004B73E4">
        <w:rPr>
          <w:rFonts w:ascii="Times New Roman" w:hAnsi="Times New Roman"/>
          <w:sz w:val="24"/>
        </w:rPr>
        <w:t>, Reshet, Channel 2, Israel].</w:t>
      </w:r>
    </w:p>
    <w:p w14:paraId="24BFB826"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Landsman, S. (2012). [Head of Marketing Communications, Bank Hapo'alim, Israel].</w:t>
      </w:r>
    </w:p>
    <w:p w14:paraId="6A08442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Lash, S., &amp; Urry, J. (1994). </w:t>
      </w:r>
      <w:r w:rsidRPr="004B73E4">
        <w:rPr>
          <w:rFonts w:ascii="Times New Roman" w:hAnsi="Times New Roman"/>
          <w:i/>
          <w:sz w:val="24"/>
        </w:rPr>
        <w:t>Economies of signs and space</w:t>
      </w:r>
      <w:r w:rsidRPr="004B73E4">
        <w:rPr>
          <w:rFonts w:ascii="Times New Roman" w:hAnsi="Times New Roman"/>
          <w:sz w:val="24"/>
        </w:rPr>
        <w:t>. London: Sage.</w:t>
      </w:r>
    </w:p>
    <w:p w14:paraId="5A2C38E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Lehu, J.-M. (2007). </w:t>
      </w:r>
      <w:r w:rsidRPr="004B73E4">
        <w:rPr>
          <w:rFonts w:ascii="Times New Roman" w:hAnsi="Times New Roman"/>
          <w:i/>
          <w:sz w:val="24"/>
        </w:rPr>
        <w:t>Branded entertainment : product placement and brand strategy in the entertainment business</w:t>
      </w:r>
      <w:r w:rsidRPr="004B73E4">
        <w:rPr>
          <w:rFonts w:ascii="Times New Roman" w:hAnsi="Times New Roman"/>
          <w:sz w:val="24"/>
        </w:rPr>
        <w:t>. London: Kogan Page.</w:t>
      </w:r>
    </w:p>
    <w:p w14:paraId="6D90E058"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lastRenderedPageBreak/>
        <w:t xml:space="preserve">Leiss, W., Kline, S., Jhally, S., &amp; Botterill, J. (2005). </w:t>
      </w:r>
      <w:r w:rsidRPr="004B73E4">
        <w:rPr>
          <w:rFonts w:ascii="Times New Roman" w:hAnsi="Times New Roman"/>
          <w:i/>
          <w:sz w:val="24"/>
        </w:rPr>
        <w:t>Social communication in advertising : consumption in the mediated marketplace</w:t>
      </w:r>
      <w:r w:rsidRPr="004B73E4">
        <w:rPr>
          <w:rFonts w:ascii="Times New Roman" w:hAnsi="Times New Roman"/>
          <w:sz w:val="24"/>
        </w:rPr>
        <w:t xml:space="preserve"> (3rd / revised by Jacqueline Botterill. ed.). Abingdon: Routledge.</w:t>
      </w:r>
    </w:p>
    <w:p w14:paraId="69FB80A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Lev, Y. (2008). [Head of Branded Content Division, McCann Erickson, Tel-Aviv].</w:t>
      </w:r>
    </w:p>
    <w:p w14:paraId="7083B46D"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Lury, C. (2004). </w:t>
      </w:r>
      <w:r w:rsidRPr="004B73E4">
        <w:rPr>
          <w:rFonts w:ascii="Times New Roman" w:hAnsi="Times New Roman"/>
          <w:i/>
          <w:sz w:val="24"/>
        </w:rPr>
        <w:t>Brands : the logos of the global economy</w:t>
      </w:r>
      <w:r w:rsidRPr="004B73E4">
        <w:rPr>
          <w:rFonts w:ascii="Times New Roman" w:hAnsi="Times New Roman"/>
          <w:sz w:val="24"/>
        </w:rPr>
        <w:t>. London ; New York: Routledge.</w:t>
      </w:r>
    </w:p>
    <w:p w14:paraId="07AD9C0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Magder, T. (2004). The End of TV 101: Reality Programs, Formats, and the New Business of Television. In S. Murray &amp; L. Ouellette (Eds.), </w:t>
      </w:r>
      <w:r w:rsidRPr="004B73E4">
        <w:rPr>
          <w:rFonts w:ascii="Times New Roman" w:hAnsi="Times New Roman"/>
          <w:i/>
          <w:sz w:val="24"/>
        </w:rPr>
        <w:t>Reality TV : remaking television culture</w:t>
      </w:r>
      <w:r w:rsidRPr="004B73E4">
        <w:rPr>
          <w:rFonts w:ascii="Times New Roman" w:hAnsi="Times New Roman"/>
          <w:sz w:val="24"/>
        </w:rPr>
        <w:t xml:space="preserve"> (pp. 137-156). New York: New York University Press.</w:t>
      </w:r>
    </w:p>
    <w:p w14:paraId="2A4892A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McAllister, M. P. (1996). </w:t>
      </w:r>
      <w:r w:rsidRPr="004B73E4">
        <w:rPr>
          <w:rFonts w:ascii="Times New Roman" w:hAnsi="Times New Roman"/>
          <w:i/>
          <w:sz w:val="24"/>
        </w:rPr>
        <w:t>The commercialization of American culture : new advertising, control and democracy</w:t>
      </w:r>
      <w:r w:rsidRPr="004B73E4">
        <w:rPr>
          <w:rFonts w:ascii="Times New Roman" w:hAnsi="Times New Roman"/>
          <w:sz w:val="24"/>
        </w:rPr>
        <w:t>. Thousand Oaks, Calif. ; London: Sage.</w:t>
      </w:r>
    </w:p>
    <w:p w14:paraId="3D2E50FB"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McAllister, M. P. (2000). From Flick to Flack: The Increased Emphasis on Marketing by Media Entertainment Corporations. In R. Andersen &amp; L. Strate (Eds.), </w:t>
      </w:r>
      <w:r w:rsidRPr="004B73E4">
        <w:rPr>
          <w:rFonts w:ascii="Times New Roman" w:hAnsi="Times New Roman"/>
          <w:i/>
          <w:sz w:val="24"/>
        </w:rPr>
        <w:t>Critical studies in media commercialism</w:t>
      </w:r>
      <w:r w:rsidRPr="004B73E4">
        <w:rPr>
          <w:rFonts w:ascii="Times New Roman" w:hAnsi="Times New Roman"/>
          <w:sz w:val="24"/>
        </w:rPr>
        <w:t xml:space="preserve"> (pp. pp. 101-122). Oxford: Oxford University Press.</w:t>
      </w:r>
    </w:p>
    <w:p w14:paraId="34E577E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McChesney, R. W. (2004). </w:t>
      </w:r>
      <w:r w:rsidRPr="004B73E4">
        <w:rPr>
          <w:rFonts w:ascii="Times New Roman" w:hAnsi="Times New Roman"/>
          <w:i/>
          <w:sz w:val="24"/>
        </w:rPr>
        <w:t>The problem of the media : U.S. communication politics in the twenty-first century</w:t>
      </w:r>
      <w:r w:rsidRPr="004B73E4">
        <w:rPr>
          <w:rFonts w:ascii="Times New Roman" w:hAnsi="Times New Roman"/>
          <w:sz w:val="24"/>
        </w:rPr>
        <w:t>. New York: Monthly Review Press.</w:t>
      </w:r>
    </w:p>
    <w:p w14:paraId="62351CF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McGuigan, J. (2000). British Indentity and "the People's Princess". </w:t>
      </w:r>
      <w:r w:rsidRPr="004B73E4">
        <w:rPr>
          <w:rFonts w:ascii="Times New Roman" w:hAnsi="Times New Roman"/>
          <w:i/>
          <w:sz w:val="24"/>
        </w:rPr>
        <w:t>Sociological Review, 48</w:t>
      </w:r>
      <w:r w:rsidRPr="004B73E4">
        <w:rPr>
          <w:rFonts w:ascii="Times New Roman" w:hAnsi="Times New Roman"/>
          <w:sz w:val="24"/>
        </w:rPr>
        <w:t xml:space="preserve">(1), 1-18. </w:t>
      </w:r>
    </w:p>
    <w:p w14:paraId="2AA570AC" w14:textId="02C66B0C" w:rsidR="00EB4806" w:rsidRPr="00EB4806" w:rsidRDefault="00EB4806" w:rsidP="00DF3E43">
      <w:pPr>
        <w:pStyle w:val="EndNoteBibliography"/>
        <w:spacing w:after="0" w:line="360" w:lineRule="auto"/>
        <w:ind w:left="720" w:hanging="720"/>
        <w:rPr>
          <w:rFonts w:ascii="Times New Roman" w:hAnsi="Times New Roman"/>
          <w:sz w:val="24"/>
        </w:rPr>
      </w:pPr>
      <w:r w:rsidRPr="004B73E4">
        <w:rPr>
          <w:rFonts w:ascii="Times New Roman" w:hAnsi="Times New Roman"/>
          <w:sz w:val="24"/>
        </w:rPr>
        <w:t>McGuigan, J. (2005</w:t>
      </w:r>
      <w:r>
        <w:rPr>
          <w:rFonts w:ascii="Times New Roman" w:hAnsi="Times New Roman"/>
          <w:sz w:val="24"/>
        </w:rPr>
        <w:t>a</w:t>
      </w:r>
      <w:r w:rsidRPr="004B73E4">
        <w:rPr>
          <w:rFonts w:ascii="Times New Roman" w:hAnsi="Times New Roman"/>
          <w:sz w:val="24"/>
        </w:rPr>
        <w:t>).</w:t>
      </w:r>
      <w:r>
        <w:rPr>
          <w:rFonts w:ascii="Times New Roman" w:hAnsi="Times New Roman"/>
          <w:sz w:val="24"/>
        </w:rPr>
        <w:t xml:space="preserve"> Neoliberalism, culture and policy, </w:t>
      </w:r>
      <w:r>
        <w:rPr>
          <w:rFonts w:ascii="Times New Roman" w:hAnsi="Times New Roman"/>
          <w:i/>
          <w:iCs/>
          <w:sz w:val="24"/>
        </w:rPr>
        <w:t xml:space="preserve"> International Journal of Cultural Policy, 11</w:t>
      </w:r>
      <w:r>
        <w:rPr>
          <w:rFonts w:ascii="Times New Roman" w:hAnsi="Times New Roman"/>
          <w:sz w:val="24"/>
        </w:rPr>
        <w:t>(3).</w:t>
      </w:r>
    </w:p>
    <w:p w14:paraId="27E045C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McGuigan, J. (2005</w:t>
      </w:r>
      <w:r w:rsidR="00EB4806">
        <w:rPr>
          <w:rFonts w:ascii="Times New Roman" w:hAnsi="Times New Roman"/>
          <w:sz w:val="24"/>
        </w:rPr>
        <w:t>b</w:t>
      </w:r>
      <w:r w:rsidRPr="004B73E4">
        <w:rPr>
          <w:rFonts w:ascii="Times New Roman" w:hAnsi="Times New Roman"/>
          <w:sz w:val="24"/>
        </w:rPr>
        <w:t xml:space="preserve">). The Cultural Public Sphere. </w:t>
      </w:r>
      <w:r w:rsidRPr="004B73E4">
        <w:rPr>
          <w:rFonts w:ascii="Times New Roman" w:hAnsi="Times New Roman"/>
          <w:i/>
          <w:sz w:val="24"/>
        </w:rPr>
        <w:t>European Journal of Cultural Studies, 8</w:t>
      </w:r>
      <w:r w:rsidRPr="004B73E4">
        <w:rPr>
          <w:rFonts w:ascii="Times New Roman" w:hAnsi="Times New Roman"/>
          <w:sz w:val="24"/>
        </w:rPr>
        <w:t xml:space="preserve">(4), 427-443. </w:t>
      </w:r>
    </w:p>
    <w:p w14:paraId="61E1040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McKinnon, A. M. (2010). Elective Affinities of the Protestant Ethic: Weber and the Chemistry of Capitalism </w:t>
      </w:r>
      <w:r w:rsidRPr="004B73E4">
        <w:rPr>
          <w:rFonts w:ascii="Times New Roman" w:hAnsi="Times New Roman"/>
          <w:i/>
          <w:sz w:val="24"/>
        </w:rPr>
        <w:t>Sociologiocal Theory, 28</w:t>
      </w:r>
      <w:r w:rsidRPr="004B73E4">
        <w:rPr>
          <w:rFonts w:ascii="Times New Roman" w:hAnsi="Times New Roman"/>
          <w:sz w:val="24"/>
        </w:rPr>
        <w:t xml:space="preserve">(1), 108-126. </w:t>
      </w:r>
    </w:p>
    <w:p w14:paraId="10659276"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McRobbie, A. (2004). 'Notes on 'What Not To Wear' and post-feminist symbolic violence'. In L. Adkins &amp; B. Skeggs (Eds.), </w:t>
      </w:r>
      <w:r w:rsidRPr="004B73E4">
        <w:rPr>
          <w:rFonts w:ascii="Times New Roman" w:hAnsi="Times New Roman"/>
          <w:i/>
          <w:sz w:val="24"/>
        </w:rPr>
        <w:t>Feminism After Bourdieu</w:t>
      </w:r>
      <w:r w:rsidRPr="004B73E4">
        <w:rPr>
          <w:rFonts w:ascii="Times New Roman" w:hAnsi="Times New Roman"/>
          <w:sz w:val="24"/>
        </w:rPr>
        <w:t>. Oxford and Malden, MA: Blackwell.</w:t>
      </w:r>
    </w:p>
    <w:p w14:paraId="23B078A2"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Miège, B. (1989). </w:t>
      </w:r>
      <w:r w:rsidRPr="004B73E4">
        <w:rPr>
          <w:rFonts w:ascii="Times New Roman" w:hAnsi="Times New Roman"/>
          <w:i/>
          <w:sz w:val="24"/>
        </w:rPr>
        <w:t>The capitalization of cultural production</w:t>
      </w:r>
      <w:r w:rsidRPr="004B73E4">
        <w:rPr>
          <w:rFonts w:ascii="Times New Roman" w:hAnsi="Times New Roman"/>
          <w:sz w:val="24"/>
        </w:rPr>
        <w:t>. New York: International General.</w:t>
      </w:r>
    </w:p>
    <w:p w14:paraId="4410A86E" w14:textId="77777777" w:rsidR="00497B7D" w:rsidRPr="004B73E4" w:rsidRDefault="00346CA5" w:rsidP="00346CA5">
      <w:pPr>
        <w:pStyle w:val="EndNoteBibliography"/>
        <w:spacing w:after="0" w:line="360" w:lineRule="auto"/>
        <w:ind w:left="720" w:hanging="720"/>
        <w:rPr>
          <w:rFonts w:ascii="Times New Roman" w:hAnsi="Times New Roman"/>
          <w:sz w:val="24"/>
        </w:rPr>
      </w:pPr>
      <w:r>
        <w:rPr>
          <w:rFonts w:ascii="Times New Roman" w:hAnsi="Times New Roman"/>
          <w:sz w:val="24"/>
        </w:rPr>
        <w:t>Mindshare. (2007</w:t>
      </w:r>
      <w:r w:rsidR="00497B7D" w:rsidRPr="004B73E4">
        <w:rPr>
          <w:rFonts w:ascii="Times New Roman" w:hAnsi="Times New Roman"/>
          <w:sz w:val="24"/>
        </w:rPr>
        <w:t xml:space="preserve">). </w:t>
      </w:r>
      <w:r w:rsidR="00497B7D" w:rsidRPr="004B73E4">
        <w:rPr>
          <w:rFonts w:ascii="Times New Roman" w:hAnsi="Times New Roman"/>
          <w:i/>
          <w:sz w:val="24"/>
        </w:rPr>
        <w:t>Dove Pro Age sponsorship of How To Look Good Naked on Channel 4 - Post Campaign Analysis, 2nd Series</w:t>
      </w:r>
      <w:r w:rsidR="00497B7D" w:rsidRPr="004B73E4">
        <w:rPr>
          <w:rFonts w:ascii="Times New Roman" w:hAnsi="Times New Roman"/>
          <w:sz w:val="24"/>
        </w:rPr>
        <w:t xml:space="preserve">. Retrieved from London: </w:t>
      </w:r>
    </w:p>
    <w:p w14:paraId="4E1A6C0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Moor, L. (2003). Branded Spaces: The scope of 'new marketing'. </w:t>
      </w:r>
      <w:r w:rsidRPr="004B73E4">
        <w:rPr>
          <w:rFonts w:ascii="Times New Roman" w:hAnsi="Times New Roman"/>
          <w:i/>
          <w:sz w:val="24"/>
        </w:rPr>
        <w:t>Journal of Consumer Culture, 3</w:t>
      </w:r>
      <w:r w:rsidRPr="004B73E4">
        <w:rPr>
          <w:rFonts w:ascii="Times New Roman" w:hAnsi="Times New Roman"/>
          <w:sz w:val="24"/>
        </w:rPr>
        <w:t>(1), 39-60. doi:10.1177/1469540503003001929</w:t>
      </w:r>
    </w:p>
    <w:p w14:paraId="66AF7A92"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lastRenderedPageBreak/>
        <w:t xml:space="preserve">Moor, L. (2004). </w:t>
      </w:r>
      <w:r w:rsidRPr="004B73E4">
        <w:rPr>
          <w:rFonts w:ascii="Times New Roman" w:hAnsi="Times New Roman"/>
          <w:i/>
          <w:sz w:val="24"/>
        </w:rPr>
        <w:t>Branded spaces : the mediation of commercial form</w:t>
      </w:r>
      <w:r w:rsidRPr="004B73E4">
        <w:rPr>
          <w:rFonts w:ascii="Times New Roman" w:hAnsi="Times New Roman"/>
          <w:sz w:val="24"/>
        </w:rPr>
        <w:t>.</w:t>
      </w:r>
      <w:r w:rsidR="00B558D6">
        <w:rPr>
          <w:rFonts w:ascii="Times New Roman" w:hAnsi="Times New Roman"/>
          <w:sz w:val="24"/>
        </w:rPr>
        <w:t xml:space="preserve"> PhD Thesis, Goldsmiths College, Univeristy of London. </w:t>
      </w:r>
    </w:p>
    <w:p w14:paraId="74FE230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Moor, L. (2007). </w:t>
      </w:r>
      <w:r w:rsidRPr="004B73E4">
        <w:rPr>
          <w:rFonts w:ascii="Times New Roman" w:hAnsi="Times New Roman"/>
          <w:i/>
          <w:sz w:val="24"/>
        </w:rPr>
        <w:t>The rise of brands</w:t>
      </w:r>
      <w:r w:rsidRPr="004B73E4">
        <w:rPr>
          <w:rFonts w:ascii="Times New Roman" w:hAnsi="Times New Roman"/>
          <w:sz w:val="24"/>
        </w:rPr>
        <w:t>. Oxford ; New York: Berg.</w:t>
      </w:r>
    </w:p>
    <w:p w14:paraId="5493BF21" w14:textId="77777777" w:rsidR="004458AD" w:rsidRPr="00EB4806" w:rsidRDefault="004458AD" w:rsidP="00EB4806">
      <w:pPr>
        <w:pStyle w:val="EndNoteBibliography"/>
        <w:spacing w:after="0" w:line="360" w:lineRule="auto"/>
        <w:ind w:left="720" w:hanging="720"/>
        <w:rPr>
          <w:rFonts w:ascii="Times New Roman" w:hAnsi="Times New Roman"/>
          <w:sz w:val="24"/>
        </w:rPr>
      </w:pPr>
      <w:r>
        <w:rPr>
          <w:rFonts w:ascii="Times New Roman" w:hAnsi="Times New Roman"/>
          <w:sz w:val="24"/>
        </w:rPr>
        <w:t xml:space="preserve">Mosco, V. (2004). </w:t>
      </w:r>
      <w:r>
        <w:rPr>
          <w:rFonts w:ascii="Times New Roman" w:hAnsi="Times New Roman"/>
          <w:i/>
          <w:iCs/>
          <w:sz w:val="24"/>
        </w:rPr>
        <w:t>The digital sublime: Myth, power and cyberspace</w:t>
      </w:r>
      <w:r w:rsidR="00EB4806">
        <w:rPr>
          <w:rFonts w:ascii="Times New Roman" w:hAnsi="Times New Roman"/>
          <w:i/>
          <w:iCs/>
          <w:sz w:val="24"/>
        </w:rPr>
        <w:t xml:space="preserve">. </w:t>
      </w:r>
      <w:r w:rsidR="00EB4806">
        <w:rPr>
          <w:rFonts w:ascii="Times New Roman" w:hAnsi="Times New Roman"/>
          <w:sz w:val="24"/>
        </w:rPr>
        <w:t xml:space="preserve"> Cambrdige, Mass, London: MIT Press.</w:t>
      </w:r>
    </w:p>
    <w:p w14:paraId="43183652"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Moses, L. (2014, February 13th). The Guardian's Unusual Take on Native Ads.</w:t>
      </w:r>
      <w:r w:rsidRPr="004B73E4">
        <w:rPr>
          <w:rFonts w:ascii="Times New Roman" w:hAnsi="Times New Roman"/>
          <w:i/>
          <w:sz w:val="24"/>
        </w:rPr>
        <w:t xml:space="preserve"> Adweek</w:t>
      </w:r>
      <w:r w:rsidRPr="004B73E4">
        <w:rPr>
          <w:rFonts w:ascii="Times New Roman" w:hAnsi="Times New Roman"/>
          <w:sz w:val="24"/>
        </w:rPr>
        <w:t xml:space="preserve">. Retrieved from </w:t>
      </w:r>
      <w:r w:rsidRPr="00497B7D">
        <w:rPr>
          <w:rFonts w:ascii="Times New Roman" w:hAnsi="Times New Roman"/>
          <w:sz w:val="24"/>
        </w:rPr>
        <w:t>http://www.adweek.com/news/press/guardians-unusual-take-native-ads-155715</w:t>
      </w:r>
    </w:p>
    <w:p w14:paraId="12E8BFC2"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Moses, L. (2014, March 10th). </w:t>
      </w:r>
      <w:r w:rsidRPr="004B73E4">
        <w:rPr>
          <w:rFonts w:ascii="Times New Roman" w:hAnsi="Times New Roman"/>
          <w:bCs/>
          <w:sz w:val="24"/>
        </w:rPr>
        <w:t>The Wall Street Journal Launches Native Ad Studio</w:t>
      </w:r>
      <w:r w:rsidRPr="004B73E4">
        <w:rPr>
          <w:rFonts w:ascii="Times New Roman" w:hAnsi="Times New Roman"/>
          <w:sz w:val="24"/>
        </w:rPr>
        <w:t>.</w:t>
      </w:r>
      <w:r w:rsidRPr="004B73E4">
        <w:rPr>
          <w:rFonts w:ascii="Times New Roman" w:hAnsi="Times New Roman"/>
          <w:i/>
          <w:sz w:val="24"/>
        </w:rPr>
        <w:t xml:space="preserve"> Adweek</w:t>
      </w:r>
      <w:r w:rsidRPr="004B73E4">
        <w:rPr>
          <w:rFonts w:ascii="Times New Roman" w:hAnsi="Times New Roman"/>
          <w:sz w:val="24"/>
        </w:rPr>
        <w:t xml:space="preserve">. Retrieved from </w:t>
      </w:r>
      <w:r w:rsidRPr="00497B7D">
        <w:rPr>
          <w:rFonts w:ascii="Times New Roman" w:hAnsi="Times New Roman"/>
          <w:sz w:val="24"/>
        </w:rPr>
        <w:t>http://www.adweek.com/news/press/wall-street-journal-launches-native-ad-studio-156212</w:t>
      </w:r>
    </w:p>
    <w:p w14:paraId="06113266"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Moses, L. (2015, May 29th). BuzzFeed's news is growing, but still a small part of its traffic.</w:t>
      </w:r>
      <w:r w:rsidRPr="004B73E4">
        <w:rPr>
          <w:rFonts w:ascii="Times New Roman" w:hAnsi="Times New Roman"/>
          <w:i/>
          <w:sz w:val="24"/>
        </w:rPr>
        <w:t xml:space="preserve"> Digiday</w:t>
      </w:r>
      <w:r w:rsidRPr="004B73E4">
        <w:rPr>
          <w:rFonts w:ascii="Times New Roman" w:hAnsi="Times New Roman"/>
          <w:sz w:val="24"/>
        </w:rPr>
        <w:t xml:space="preserve">. Retrieved from </w:t>
      </w:r>
      <w:r w:rsidRPr="00497B7D">
        <w:rPr>
          <w:rFonts w:ascii="Times New Roman" w:hAnsi="Times New Roman"/>
          <w:sz w:val="24"/>
        </w:rPr>
        <w:t>http://digiday.com/publishers/17-percent-buzzfeeds-traffic-goes-news/</w:t>
      </w:r>
    </w:p>
    <w:p w14:paraId="5CC71A0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Moulsdale, T. (2008). [Head of Programming, MediaCom London].</w:t>
      </w:r>
    </w:p>
    <w:p w14:paraId="5D3DF6AD"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Murdock, G. (1992). Embedded Persuasions; The fall and rise of intagrated advertising. In D. Strinati &amp; S. Wagg (Eds.), </w:t>
      </w:r>
      <w:r w:rsidRPr="004B73E4">
        <w:rPr>
          <w:rFonts w:ascii="Times New Roman" w:hAnsi="Times New Roman"/>
          <w:i/>
          <w:sz w:val="24"/>
        </w:rPr>
        <w:t>Come on down? : popular media culture in post-war Britain</w:t>
      </w:r>
      <w:r w:rsidRPr="004B73E4">
        <w:rPr>
          <w:rFonts w:ascii="Times New Roman" w:hAnsi="Times New Roman"/>
          <w:sz w:val="24"/>
        </w:rPr>
        <w:t xml:space="preserve"> (pp. PP 202-231). London: Routledge.</w:t>
      </w:r>
    </w:p>
    <w:p w14:paraId="2D2D21E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Murphy, J. M., &amp; Institute of, D. (1990). </w:t>
      </w:r>
      <w:r w:rsidRPr="004B73E4">
        <w:rPr>
          <w:rFonts w:ascii="Times New Roman" w:hAnsi="Times New Roman"/>
          <w:i/>
          <w:sz w:val="24"/>
        </w:rPr>
        <w:t>Brand strategy</w:t>
      </w:r>
      <w:r w:rsidRPr="004B73E4">
        <w:rPr>
          <w:rFonts w:ascii="Times New Roman" w:hAnsi="Times New Roman"/>
          <w:sz w:val="24"/>
        </w:rPr>
        <w:t>: Director Books in association with the Institute of Directors.</w:t>
      </w:r>
    </w:p>
    <w:p w14:paraId="50CD2D03" w14:textId="3E987F88" w:rsidR="00B60D1A" w:rsidRDefault="00B60D1A" w:rsidP="00346CA5">
      <w:pPr>
        <w:pStyle w:val="EndNoteBibliography"/>
        <w:spacing w:after="0" w:line="360" w:lineRule="auto"/>
        <w:ind w:left="720" w:hanging="720"/>
        <w:rPr>
          <w:rFonts w:ascii="Times New Roman" w:hAnsi="Times New Roman"/>
          <w:sz w:val="24"/>
        </w:rPr>
      </w:pPr>
      <w:r>
        <w:rPr>
          <w:rFonts w:ascii="Times New Roman" w:hAnsi="Times New Roman"/>
          <w:sz w:val="24"/>
        </w:rPr>
        <w:t xml:space="preserve">Murray, S., &amp; Ouellette, L. (2009). </w:t>
      </w:r>
      <w:r w:rsidRPr="005037E0">
        <w:rPr>
          <w:rFonts w:ascii="Times New Roman" w:hAnsi="Times New Roman"/>
          <w:i/>
          <w:iCs/>
          <w:sz w:val="24"/>
        </w:rPr>
        <w:t>Reality TV: Remaking television culture</w:t>
      </w:r>
      <w:r>
        <w:rPr>
          <w:rFonts w:ascii="Times New Roman" w:hAnsi="Times New Roman"/>
          <w:sz w:val="24"/>
        </w:rPr>
        <w:t>. New York, New York University Press; London: Eurospan [distributor].</w:t>
      </w:r>
    </w:p>
    <w:p w14:paraId="377AEA65"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Negroponte, N. (1995). </w:t>
      </w:r>
      <w:r w:rsidRPr="004B73E4">
        <w:rPr>
          <w:rFonts w:ascii="Times New Roman" w:hAnsi="Times New Roman"/>
          <w:i/>
          <w:sz w:val="24"/>
        </w:rPr>
        <w:t>Being digital</w:t>
      </w:r>
      <w:r w:rsidRPr="004B73E4">
        <w:rPr>
          <w:rFonts w:ascii="Times New Roman" w:hAnsi="Times New Roman"/>
          <w:sz w:val="24"/>
        </w:rPr>
        <w:t>. London: Hodder &amp; Stoughton.</w:t>
      </w:r>
    </w:p>
    <w:p w14:paraId="017EFD1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Negt, O., &amp; Kluge, A. (1993). </w:t>
      </w:r>
      <w:r w:rsidRPr="004B73E4">
        <w:rPr>
          <w:rFonts w:ascii="Times New Roman" w:hAnsi="Times New Roman"/>
          <w:i/>
          <w:sz w:val="24"/>
        </w:rPr>
        <w:t>Public sphere and experience : toward an analysis of the bourgeois and proletarian public sphere</w:t>
      </w:r>
      <w:r w:rsidRPr="004B73E4">
        <w:rPr>
          <w:rFonts w:ascii="Times New Roman" w:hAnsi="Times New Roman"/>
          <w:sz w:val="24"/>
        </w:rPr>
        <w:t>. Minneapolis ; London: University of Minnesota Press.</w:t>
      </w:r>
    </w:p>
    <w:p w14:paraId="7FC0DB88"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Newell, J., Salmon, C. T., &amp; Chang, S. (2006). The Hidden History of Product Placement. </w:t>
      </w:r>
      <w:r w:rsidRPr="004B73E4">
        <w:rPr>
          <w:rFonts w:ascii="Times New Roman" w:hAnsi="Times New Roman"/>
          <w:i/>
          <w:sz w:val="24"/>
        </w:rPr>
        <w:t>Journal of Broadcasting &amp; Electronic Media, 50</w:t>
      </w:r>
      <w:r w:rsidRPr="004B73E4">
        <w:rPr>
          <w:rFonts w:ascii="Times New Roman" w:hAnsi="Times New Roman"/>
          <w:sz w:val="24"/>
        </w:rPr>
        <w:t xml:space="preserve">(4), 575–594. </w:t>
      </w:r>
    </w:p>
    <w:p w14:paraId="24B2F1B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Nixon, S. (2003). </w:t>
      </w:r>
      <w:r w:rsidRPr="004B73E4">
        <w:rPr>
          <w:rFonts w:ascii="Times New Roman" w:hAnsi="Times New Roman"/>
          <w:i/>
          <w:sz w:val="24"/>
        </w:rPr>
        <w:t>Advertising cultures : gender, commerce, creativity</w:t>
      </w:r>
      <w:r w:rsidRPr="004B73E4">
        <w:rPr>
          <w:rFonts w:ascii="Times New Roman" w:hAnsi="Times New Roman"/>
          <w:sz w:val="24"/>
        </w:rPr>
        <w:t>. London: SAGE.</w:t>
      </w:r>
    </w:p>
    <w:p w14:paraId="7FF08BF0" w14:textId="77777777" w:rsidR="00497B7D" w:rsidRPr="004B73E4" w:rsidRDefault="00497B7D" w:rsidP="00B558D6">
      <w:pPr>
        <w:pStyle w:val="EndNoteBibliography"/>
        <w:spacing w:after="0" w:line="360" w:lineRule="auto"/>
        <w:ind w:left="720" w:hanging="720"/>
        <w:rPr>
          <w:rFonts w:ascii="Times New Roman" w:hAnsi="Times New Roman"/>
          <w:sz w:val="24"/>
        </w:rPr>
      </w:pPr>
      <w:r w:rsidRPr="004B73E4">
        <w:rPr>
          <w:rFonts w:ascii="Times New Roman" w:hAnsi="Times New Roman"/>
          <w:sz w:val="24"/>
        </w:rPr>
        <w:t>Ofcom</w:t>
      </w:r>
      <w:r w:rsidR="00B558D6">
        <w:rPr>
          <w:rFonts w:ascii="Times New Roman" w:hAnsi="Times New Roman"/>
          <w:sz w:val="24"/>
        </w:rPr>
        <w:t>.</w:t>
      </w:r>
      <w:r w:rsidRPr="004B73E4">
        <w:rPr>
          <w:rFonts w:ascii="Times New Roman" w:hAnsi="Times New Roman"/>
          <w:sz w:val="24"/>
        </w:rPr>
        <w:t xml:space="preserve"> </w:t>
      </w:r>
      <w:r w:rsidR="00B558D6">
        <w:rPr>
          <w:rFonts w:ascii="Times New Roman" w:hAnsi="Times New Roman"/>
          <w:sz w:val="24"/>
        </w:rPr>
        <w:t xml:space="preserve">(2005). </w:t>
      </w:r>
      <w:r w:rsidRPr="004B73E4">
        <w:rPr>
          <w:rFonts w:ascii="Times New Roman" w:hAnsi="Times New Roman"/>
          <w:sz w:val="24"/>
        </w:rPr>
        <w:t>Broadcasting Cod</w:t>
      </w:r>
      <w:r w:rsidR="00B558D6">
        <w:rPr>
          <w:rFonts w:ascii="Times New Roman" w:hAnsi="Times New Roman"/>
          <w:sz w:val="24"/>
        </w:rPr>
        <w:t>e</w:t>
      </w:r>
      <w:r w:rsidRPr="004B73E4">
        <w:rPr>
          <w:rFonts w:ascii="Times New Roman" w:hAnsi="Times New Roman"/>
          <w:sz w:val="24"/>
        </w:rPr>
        <w:t>.</w:t>
      </w:r>
    </w:p>
    <w:p w14:paraId="4A3583CD" w14:textId="77777777" w:rsidR="00497B7D" w:rsidRPr="004B73E4" w:rsidRDefault="00B558D6" w:rsidP="00B558D6">
      <w:pPr>
        <w:pStyle w:val="EndNoteBibliography"/>
        <w:spacing w:after="0" w:line="360" w:lineRule="auto"/>
        <w:ind w:left="720" w:hanging="720"/>
        <w:rPr>
          <w:rFonts w:ascii="Times New Roman" w:hAnsi="Times New Roman"/>
          <w:sz w:val="24"/>
        </w:rPr>
      </w:pPr>
      <w:r>
        <w:rPr>
          <w:rFonts w:ascii="Times New Roman" w:hAnsi="Times New Roman"/>
          <w:sz w:val="24"/>
        </w:rPr>
        <w:t xml:space="preserve">Ofcom. (2008). </w:t>
      </w:r>
      <w:r w:rsidR="00497B7D" w:rsidRPr="004B73E4">
        <w:rPr>
          <w:rFonts w:ascii="Times New Roman" w:hAnsi="Times New Roman"/>
          <w:sz w:val="24"/>
        </w:rPr>
        <w:t xml:space="preserve">Broadcasting Code:Sponsorship, Section 9 C.F.R. </w:t>
      </w:r>
    </w:p>
    <w:p w14:paraId="020E3501" w14:textId="77777777" w:rsidR="00497B7D" w:rsidRPr="004B73E4" w:rsidRDefault="00497B7D" w:rsidP="00B558D6">
      <w:pPr>
        <w:pStyle w:val="EndNoteBibliography"/>
        <w:spacing w:line="360" w:lineRule="auto"/>
        <w:ind w:left="720" w:hanging="720"/>
        <w:rPr>
          <w:rFonts w:ascii="Times New Roman" w:hAnsi="Times New Roman"/>
          <w:sz w:val="24"/>
        </w:rPr>
      </w:pPr>
      <w:r w:rsidRPr="004B73E4">
        <w:rPr>
          <w:rFonts w:ascii="Times New Roman" w:hAnsi="Times New Roman"/>
          <w:sz w:val="24"/>
        </w:rPr>
        <w:lastRenderedPageBreak/>
        <w:t>Ofcom. (2010). New Rules to Govern TV Product Placement</w:t>
      </w:r>
      <w:r w:rsidR="00B558D6">
        <w:rPr>
          <w:rFonts w:ascii="Times New Roman" w:hAnsi="Times New Roman"/>
          <w:sz w:val="24"/>
        </w:rPr>
        <w:t xml:space="preserve"> </w:t>
      </w:r>
      <w:r w:rsidRPr="004B73E4">
        <w:rPr>
          <w:rFonts w:ascii="Times New Roman" w:hAnsi="Times New Roman"/>
          <w:sz w:val="24"/>
        </w:rPr>
        <w:t xml:space="preserve">[Press release]. Retrieved from </w:t>
      </w:r>
      <w:r w:rsidRPr="00497B7D">
        <w:rPr>
          <w:rFonts w:ascii="Times New Roman" w:hAnsi="Times New Roman"/>
          <w:sz w:val="24"/>
        </w:rPr>
        <w:t>http://consumers.ofcom.org.uk/2010/12/new-rules-to-govern-tv-product-placement/</w:t>
      </w:r>
    </w:p>
    <w:p w14:paraId="76141F8E" w14:textId="77777777" w:rsidR="00497B7D" w:rsidRPr="004B73E4" w:rsidRDefault="00B558D6" w:rsidP="00B558D6">
      <w:pPr>
        <w:pStyle w:val="EndNoteBibliography"/>
        <w:spacing w:after="0" w:line="360" w:lineRule="auto"/>
        <w:ind w:left="720" w:hanging="720"/>
        <w:rPr>
          <w:rFonts w:ascii="Times New Roman" w:hAnsi="Times New Roman"/>
          <w:sz w:val="24"/>
        </w:rPr>
      </w:pPr>
      <w:r>
        <w:rPr>
          <w:rFonts w:ascii="Times New Roman" w:hAnsi="Times New Roman"/>
          <w:sz w:val="24"/>
        </w:rPr>
        <w:t xml:space="preserve">Ofcom. (2011). </w:t>
      </w:r>
      <w:r w:rsidR="00497B7D" w:rsidRPr="004B73E4">
        <w:rPr>
          <w:rFonts w:ascii="Times New Roman" w:hAnsi="Times New Roman"/>
          <w:sz w:val="24"/>
        </w:rPr>
        <w:t xml:space="preserve">Section </w:t>
      </w:r>
      <w:r>
        <w:rPr>
          <w:rFonts w:ascii="Times New Roman" w:hAnsi="Times New Roman"/>
          <w:sz w:val="24"/>
        </w:rPr>
        <w:t>9</w:t>
      </w:r>
      <w:r w:rsidR="00497B7D" w:rsidRPr="004B73E4">
        <w:rPr>
          <w:rFonts w:ascii="Times New Roman" w:hAnsi="Times New Roman"/>
          <w:sz w:val="24"/>
        </w:rPr>
        <w:t>: Commercial References in Television Programming,  (2011).</w:t>
      </w:r>
    </w:p>
    <w:p w14:paraId="7D0B93A1"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Oliver, J. (Producer). (2014, August 3rd). Native Advertising. Retrieved from </w:t>
      </w:r>
      <w:r w:rsidRPr="00497B7D">
        <w:rPr>
          <w:rFonts w:ascii="Times New Roman" w:hAnsi="Times New Roman"/>
          <w:sz w:val="24"/>
        </w:rPr>
        <w:t>http://www.hbo.com/last-week-tonight-with-john-oliver/episodes/01/13-august-3-2014/video/ep-13-clip-native-advertising.html?autoplay=true</w:t>
      </w:r>
    </w:p>
    <w:p w14:paraId="402B80C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Orbach, S. (2005, 17th of June). Fat is an advertising issue.</w:t>
      </w:r>
      <w:r w:rsidRPr="004B73E4">
        <w:rPr>
          <w:rFonts w:ascii="Times New Roman" w:hAnsi="Times New Roman"/>
          <w:i/>
          <w:sz w:val="24"/>
        </w:rPr>
        <w:t xml:space="preserve"> Campaign</w:t>
      </w:r>
      <w:r w:rsidRPr="004B73E4">
        <w:rPr>
          <w:rFonts w:ascii="Times New Roman" w:hAnsi="Times New Roman"/>
          <w:sz w:val="24"/>
        </w:rPr>
        <w:t xml:space="preserve">. Retrieved from </w:t>
      </w:r>
      <w:r w:rsidRPr="00497B7D">
        <w:rPr>
          <w:rFonts w:ascii="Times New Roman" w:hAnsi="Times New Roman"/>
          <w:sz w:val="24"/>
        </w:rPr>
        <w:t>http://www.campaignlive.co.uk/news/search/481078/Fat-advertising-issue/</w:t>
      </w:r>
    </w:p>
    <w:p w14:paraId="5FF8EEF2"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Orbach, S. (2006). </w:t>
      </w:r>
      <w:r w:rsidRPr="004B73E4">
        <w:rPr>
          <w:rFonts w:ascii="Times New Roman" w:hAnsi="Times New Roman"/>
          <w:i/>
          <w:sz w:val="24"/>
        </w:rPr>
        <w:t>Fat is a feminist issue: The anti-diet guide &amp; Fat is a feminist issue II: Conquering compulsive eating</w:t>
      </w:r>
      <w:r w:rsidRPr="004B73E4">
        <w:rPr>
          <w:rFonts w:ascii="Times New Roman" w:hAnsi="Times New Roman"/>
          <w:sz w:val="24"/>
        </w:rPr>
        <w:t xml:space="preserve"> (New ed.). London: Arrow.</w:t>
      </w:r>
    </w:p>
    <w:p w14:paraId="6BF395C6"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Orbach, S. (2009). [Author and Psychoanalyst].</w:t>
      </w:r>
    </w:p>
    <w:p w14:paraId="7AC5C14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Persico, O. (2012, 12th of March). The Collaborators.</w:t>
      </w:r>
      <w:r w:rsidRPr="004B73E4">
        <w:rPr>
          <w:rFonts w:ascii="Times New Roman" w:hAnsi="Times New Roman"/>
          <w:i/>
          <w:sz w:val="24"/>
        </w:rPr>
        <w:t xml:space="preserve"> The 7th Eye</w:t>
      </w:r>
      <w:r w:rsidRPr="004B73E4">
        <w:rPr>
          <w:rFonts w:ascii="Times New Roman" w:hAnsi="Times New Roman"/>
          <w:sz w:val="24"/>
        </w:rPr>
        <w:t xml:space="preserve">. Retrieved from </w:t>
      </w:r>
      <w:r w:rsidRPr="00497B7D">
        <w:rPr>
          <w:rFonts w:ascii="Times New Roman" w:hAnsi="Times New Roman"/>
          <w:sz w:val="24"/>
        </w:rPr>
        <w:t>http://www.the7eye.org.il/articles/Pages/130312_Collaborators.aspx</w:t>
      </w:r>
    </w:p>
    <w:p w14:paraId="0F95378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Pilkington Committee on Broadcasting. (1962). </w:t>
      </w:r>
      <w:r w:rsidRPr="004B73E4">
        <w:rPr>
          <w:rFonts w:ascii="Times New Roman" w:hAnsi="Times New Roman"/>
          <w:i/>
          <w:sz w:val="24"/>
        </w:rPr>
        <w:t>The Committee on Broadcasting 1960: Report, Cmnd 32262</w:t>
      </w:r>
      <w:r w:rsidRPr="004B73E4">
        <w:rPr>
          <w:rFonts w:ascii="Times New Roman" w:hAnsi="Times New Roman"/>
          <w:sz w:val="24"/>
        </w:rPr>
        <w:t xml:space="preserve">. Retrieved from London: </w:t>
      </w:r>
    </w:p>
    <w:p w14:paraId="6A803BC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Pillay, N. (2015, June 2nd). Mashable appoints Eric Korsh to lead branded content venture, Mashable Studios.</w:t>
      </w:r>
      <w:r w:rsidRPr="004B73E4">
        <w:rPr>
          <w:rFonts w:ascii="Times New Roman" w:hAnsi="Times New Roman"/>
          <w:i/>
          <w:sz w:val="24"/>
        </w:rPr>
        <w:t xml:space="preserve"> The Drum</w:t>
      </w:r>
      <w:r w:rsidRPr="004B73E4">
        <w:rPr>
          <w:rFonts w:ascii="Times New Roman" w:hAnsi="Times New Roman"/>
          <w:sz w:val="24"/>
        </w:rPr>
        <w:t xml:space="preserve">. Retrieved from </w:t>
      </w:r>
      <w:r w:rsidRPr="00497B7D">
        <w:rPr>
          <w:rFonts w:ascii="Times New Roman" w:hAnsi="Times New Roman"/>
          <w:sz w:val="24"/>
        </w:rPr>
        <w:t>http://www.thedrum.com/news/2015/06/02/mashable-appoints-eric-korsh-lead-branded-content-venture-mashable-studios</w:t>
      </w:r>
    </w:p>
    <w:p w14:paraId="548296FD"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Pool, I. d. S., &amp; Massachusetts Institute of, T. (1983). </w:t>
      </w:r>
      <w:r w:rsidRPr="004B73E4">
        <w:rPr>
          <w:rFonts w:ascii="Times New Roman" w:hAnsi="Times New Roman"/>
          <w:i/>
          <w:sz w:val="24"/>
        </w:rPr>
        <w:t>Technologies of freedom: On Free Speech in an Electronic Age</w:t>
      </w:r>
      <w:r w:rsidRPr="004B73E4">
        <w:rPr>
          <w:rFonts w:ascii="Times New Roman" w:hAnsi="Times New Roman"/>
          <w:sz w:val="24"/>
        </w:rPr>
        <w:t>. Cambridge, Mass.: Harvard university Press.</w:t>
      </w:r>
    </w:p>
    <w:p w14:paraId="30E74340"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Pratzer, G. (2011). [Head of BBDO Content, Gitam-BBDO, Israel].</w:t>
      </w:r>
    </w:p>
    <w:p w14:paraId="330BB1D6"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Quinn, P., &amp; Kivijarv, L. (2005). </w:t>
      </w:r>
      <w:r w:rsidRPr="004B73E4">
        <w:rPr>
          <w:rFonts w:ascii="Times New Roman" w:hAnsi="Times New Roman"/>
          <w:i/>
          <w:sz w:val="24"/>
        </w:rPr>
        <w:t>Product Placement Spending in Media 2005:History, Analysis &amp; Forecast, 1974 to 2009</w:t>
      </w:r>
      <w:r w:rsidRPr="004B73E4">
        <w:rPr>
          <w:rFonts w:ascii="Times New Roman" w:hAnsi="Times New Roman"/>
          <w:sz w:val="24"/>
        </w:rPr>
        <w:t xml:space="preserve">. Retrieved from </w:t>
      </w:r>
      <w:r w:rsidRPr="00497B7D">
        <w:rPr>
          <w:rFonts w:ascii="Times New Roman" w:hAnsi="Times New Roman"/>
          <w:sz w:val="24"/>
        </w:rPr>
        <w:t>http://www.pqmedia.com/product-placement-spending-in-media.html#displayMore</w:t>
      </w:r>
    </w:p>
    <w:p w14:paraId="62B2326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Quinn, P., &amp; Kivijarv, L. (2006). </w:t>
      </w:r>
      <w:r w:rsidRPr="004B73E4">
        <w:rPr>
          <w:rFonts w:ascii="Times New Roman" w:hAnsi="Times New Roman"/>
          <w:i/>
          <w:sz w:val="24"/>
        </w:rPr>
        <w:t>Global Product Placement Forecast 2006-2010</w:t>
      </w:r>
      <w:r w:rsidRPr="004B73E4">
        <w:rPr>
          <w:rFonts w:ascii="Times New Roman" w:hAnsi="Times New Roman"/>
          <w:sz w:val="24"/>
        </w:rPr>
        <w:t xml:space="preserve">. Retrieved from </w:t>
      </w:r>
      <w:r w:rsidRPr="00497B7D">
        <w:rPr>
          <w:rFonts w:ascii="Times New Roman" w:hAnsi="Times New Roman"/>
          <w:sz w:val="24"/>
        </w:rPr>
        <w:t>http://www.pqmedia.com/global-product-placement-2006.html#displayMore</w:t>
      </w:r>
    </w:p>
    <w:p w14:paraId="6945C867"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Quinn, P., &amp; Kivijarv, L. (2008). </w:t>
      </w:r>
      <w:r w:rsidRPr="004B73E4">
        <w:rPr>
          <w:rFonts w:ascii="Times New Roman" w:hAnsi="Times New Roman"/>
          <w:i/>
          <w:sz w:val="24"/>
        </w:rPr>
        <w:t>Branded Entertainment Marketing Forecast 2008-2012</w:t>
      </w:r>
      <w:r w:rsidRPr="004B73E4">
        <w:rPr>
          <w:rFonts w:ascii="Times New Roman" w:hAnsi="Times New Roman"/>
          <w:sz w:val="24"/>
        </w:rPr>
        <w:t xml:space="preserve">. Retrieved from </w:t>
      </w:r>
      <w:r w:rsidRPr="00497B7D">
        <w:rPr>
          <w:rFonts w:ascii="Times New Roman" w:hAnsi="Times New Roman"/>
          <w:sz w:val="24"/>
        </w:rPr>
        <w:t>http://www.pqmedia.com/branded-entertainment-marketing-2008-methodology.html</w:t>
      </w:r>
    </w:p>
    <w:p w14:paraId="35260FD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lastRenderedPageBreak/>
        <w:t xml:space="preserve">Quinn, P., &amp; Kivijarv, L. (2010). </w:t>
      </w:r>
      <w:r w:rsidRPr="004B73E4">
        <w:rPr>
          <w:rFonts w:ascii="Times New Roman" w:hAnsi="Times New Roman"/>
          <w:i/>
          <w:sz w:val="24"/>
        </w:rPr>
        <w:t>Global Branded Entertainment Marketing Forecast 2010-2014</w:t>
      </w:r>
      <w:r w:rsidRPr="004B73E4">
        <w:rPr>
          <w:rFonts w:ascii="Times New Roman" w:hAnsi="Times New Roman"/>
          <w:sz w:val="24"/>
        </w:rPr>
        <w:t xml:space="preserve">. Retrieved from </w:t>
      </w:r>
    </w:p>
    <w:p w14:paraId="103A0DE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Quinn, P., &amp; Kivijarv, L. (2012). </w:t>
      </w:r>
      <w:r w:rsidRPr="004B73E4">
        <w:rPr>
          <w:rFonts w:ascii="Times New Roman" w:hAnsi="Times New Roman"/>
          <w:i/>
          <w:sz w:val="24"/>
        </w:rPr>
        <w:t>PQ Media Global Product Placement Spending Forecast 2012-2016</w:t>
      </w:r>
      <w:r w:rsidRPr="004B73E4">
        <w:rPr>
          <w:rFonts w:ascii="Times New Roman" w:hAnsi="Times New Roman"/>
          <w:sz w:val="24"/>
        </w:rPr>
        <w:t xml:space="preserve">. Retrieved from Stamford, Connecticut: </w:t>
      </w:r>
    </w:p>
    <w:p w14:paraId="1E337716"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Quinn, P., &amp; Kivijarv, L. (2015). </w:t>
      </w:r>
      <w:r w:rsidRPr="004B73E4">
        <w:rPr>
          <w:rFonts w:ascii="Times New Roman" w:hAnsi="Times New Roman"/>
          <w:i/>
          <w:sz w:val="24"/>
        </w:rPr>
        <w:t>Global Branded Entertainment Marketing Forecast 2015-19</w:t>
      </w:r>
      <w:r w:rsidRPr="004B73E4">
        <w:rPr>
          <w:rFonts w:ascii="Times New Roman" w:hAnsi="Times New Roman"/>
          <w:sz w:val="24"/>
        </w:rPr>
        <w:t xml:space="preserve">. Retrieved from </w:t>
      </w:r>
      <w:r w:rsidRPr="00497B7D">
        <w:rPr>
          <w:rFonts w:ascii="Times New Roman" w:hAnsi="Times New Roman"/>
          <w:sz w:val="24"/>
        </w:rPr>
        <w:t>http://www.pqmedia.com/gbemf-2015-2019.html</w:t>
      </w:r>
    </w:p>
    <w:p w14:paraId="376C549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Ransford, P. (2009). [Commissioning Editor of </w:t>
      </w:r>
      <w:r w:rsidRPr="00785053">
        <w:rPr>
          <w:rFonts w:ascii="Times New Roman" w:hAnsi="Times New Roman"/>
          <w:i/>
          <w:iCs/>
          <w:sz w:val="24"/>
        </w:rPr>
        <w:t>How to Look Good Naked</w:t>
      </w:r>
      <w:r w:rsidRPr="004B73E4">
        <w:rPr>
          <w:rFonts w:ascii="Times New Roman" w:hAnsi="Times New Roman"/>
          <w:sz w:val="24"/>
        </w:rPr>
        <w:t xml:space="preserve"> at Channel 4's Features Department].</w:t>
      </w:r>
    </w:p>
    <w:p w14:paraId="51F71221"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Rapley, T. J. (2001). The art(fulness) of open-ended interviewing: some considerations on analysing interviews. </w:t>
      </w:r>
      <w:r w:rsidRPr="004B73E4">
        <w:rPr>
          <w:rFonts w:ascii="Times New Roman" w:hAnsi="Times New Roman"/>
          <w:i/>
          <w:sz w:val="24"/>
        </w:rPr>
        <w:t>Qualitative Research, 1</w:t>
      </w:r>
      <w:r w:rsidRPr="004B73E4">
        <w:rPr>
          <w:rFonts w:ascii="Times New Roman" w:hAnsi="Times New Roman"/>
          <w:sz w:val="24"/>
        </w:rPr>
        <w:t xml:space="preserve">(3), 303-323. </w:t>
      </w:r>
    </w:p>
    <w:p w14:paraId="0E7F68F0"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Rose, N. S., &amp; Miller, P. (2008). </w:t>
      </w:r>
      <w:r w:rsidRPr="004B73E4">
        <w:rPr>
          <w:rFonts w:ascii="Times New Roman" w:hAnsi="Times New Roman"/>
          <w:i/>
          <w:sz w:val="24"/>
        </w:rPr>
        <w:t>Governing the present : administering economic, social and personal life</w:t>
      </w:r>
      <w:r w:rsidRPr="004B73E4">
        <w:rPr>
          <w:rFonts w:ascii="Times New Roman" w:hAnsi="Times New Roman"/>
          <w:sz w:val="24"/>
        </w:rPr>
        <w:t>. Cambridge: Polity.</w:t>
      </w:r>
    </w:p>
    <w:p w14:paraId="48E976B6"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Rosenblum, T. (2011). [Developer and Editor of </w:t>
      </w:r>
      <w:r w:rsidRPr="00785053">
        <w:rPr>
          <w:rFonts w:ascii="Times New Roman" w:hAnsi="Times New Roman"/>
          <w:i/>
          <w:iCs/>
          <w:sz w:val="24"/>
        </w:rPr>
        <w:t>Overdraft Family</w:t>
      </w:r>
      <w:r w:rsidRPr="004B73E4">
        <w:rPr>
          <w:rFonts w:ascii="Times New Roman" w:hAnsi="Times New Roman"/>
          <w:sz w:val="24"/>
        </w:rPr>
        <w:t>, Ma'agalot Production Company].</w:t>
      </w:r>
    </w:p>
    <w:p w14:paraId="3F7BEE72"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Rosenfelder, J. (2009). [Commercial Affairs Director, Maverick Prodution Company].</w:t>
      </w:r>
    </w:p>
    <w:p w14:paraId="10776C7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Rothenberg, R. (2003, February 17th). </w:t>
      </w:r>
      <w:r>
        <w:rPr>
          <w:rFonts w:ascii="Times New Roman" w:hAnsi="Times New Roman"/>
          <w:sz w:val="24"/>
        </w:rPr>
        <w:t>Understanding S</w:t>
      </w:r>
      <w:r w:rsidRPr="004B73E4">
        <w:rPr>
          <w:rFonts w:ascii="Times New Roman" w:hAnsi="Times New Roman"/>
          <w:sz w:val="24"/>
        </w:rPr>
        <w:t xml:space="preserve">teve </w:t>
      </w:r>
      <w:r>
        <w:rPr>
          <w:rFonts w:ascii="Times New Roman" w:hAnsi="Times New Roman"/>
          <w:sz w:val="24"/>
        </w:rPr>
        <w:t>H</w:t>
      </w:r>
      <w:r w:rsidRPr="004B73E4">
        <w:rPr>
          <w:rFonts w:ascii="Times New Roman" w:hAnsi="Times New Roman"/>
          <w:sz w:val="24"/>
        </w:rPr>
        <w:t xml:space="preserve">eyer's </w:t>
      </w:r>
      <w:r>
        <w:rPr>
          <w:rFonts w:ascii="Times New Roman" w:hAnsi="Times New Roman"/>
          <w:sz w:val="24"/>
        </w:rPr>
        <w:t>P</w:t>
      </w:r>
      <w:r w:rsidRPr="004B73E4">
        <w:rPr>
          <w:rFonts w:ascii="Times New Roman" w:hAnsi="Times New Roman"/>
          <w:sz w:val="24"/>
        </w:rPr>
        <w:t xml:space="preserve">ush for </w:t>
      </w:r>
      <w:r>
        <w:rPr>
          <w:rFonts w:ascii="Times New Roman" w:hAnsi="Times New Roman"/>
          <w:sz w:val="24"/>
        </w:rPr>
        <w:t>B</w:t>
      </w:r>
      <w:r w:rsidRPr="004B73E4">
        <w:rPr>
          <w:rFonts w:ascii="Times New Roman" w:hAnsi="Times New Roman"/>
          <w:sz w:val="24"/>
        </w:rPr>
        <w:t xml:space="preserve">rand </w:t>
      </w:r>
      <w:r>
        <w:rPr>
          <w:rFonts w:ascii="Times New Roman" w:hAnsi="Times New Roman"/>
          <w:sz w:val="24"/>
        </w:rPr>
        <w:t>E</w:t>
      </w:r>
      <w:r w:rsidRPr="004B73E4">
        <w:rPr>
          <w:rFonts w:ascii="Times New Roman" w:hAnsi="Times New Roman"/>
          <w:sz w:val="24"/>
        </w:rPr>
        <w:t>ntertainment.</w:t>
      </w:r>
      <w:r w:rsidRPr="004B73E4">
        <w:rPr>
          <w:rFonts w:ascii="Times New Roman" w:hAnsi="Times New Roman"/>
          <w:i/>
          <w:sz w:val="24"/>
        </w:rPr>
        <w:t xml:space="preserve"> Advertising Age</w:t>
      </w:r>
      <w:r w:rsidRPr="004B73E4">
        <w:rPr>
          <w:rFonts w:ascii="Times New Roman" w:hAnsi="Times New Roman"/>
          <w:sz w:val="24"/>
        </w:rPr>
        <w:t xml:space="preserve">. Retrieved from </w:t>
      </w:r>
      <w:r w:rsidRPr="00497B7D">
        <w:rPr>
          <w:rFonts w:ascii="Times New Roman" w:hAnsi="Times New Roman"/>
          <w:sz w:val="24"/>
        </w:rPr>
        <w:t>http://adage.com/article/randall-rothenberg/understanding-steve-heyer-s-push-brand-entertainment/36849/</w:t>
      </w:r>
    </w:p>
    <w:p w14:paraId="508833D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Rubin, H. J., &amp; Rubin, I. (1995). </w:t>
      </w:r>
      <w:r w:rsidRPr="004B73E4">
        <w:rPr>
          <w:rFonts w:ascii="Times New Roman" w:hAnsi="Times New Roman"/>
          <w:i/>
          <w:sz w:val="24"/>
        </w:rPr>
        <w:t>Qualitative interviewing : the art of hearing data</w:t>
      </w:r>
      <w:r w:rsidRPr="004B73E4">
        <w:rPr>
          <w:rFonts w:ascii="Times New Roman" w:hAnsi="Times New Roman"/>
          <w:sz w:val="24"/>
        </w:rPr>
        <w:t>. Thousand Oaks, Calif. ; London: Sage.</w:t>
      </w:r>
    </w:p>
    <w:p w14:paraId="143ABF6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Rutherford, C. (2008a). [Head of programming at </w:t>
      </w:r>
      <w:r w:rsidRPr="004B73E4">
        <w:rPr>
          <w:rFonts w:ascii="Times New Roman" w:hAnsi="Times New Roman"/>
          <w:i/>
          <w:sz w:val="24"/>
        </w:rPr>
        <w:t>Mediaedge:CIA</w:t>
      </w:r>
      <w:r w:rsidRPr="004B73E4">
        <w:rPr>
          <w:rFonts w:ascii="Times New Roman" w:hAnsi="Times New Roman"/>
          <w:sz w:val="24"/>
        </w:rPr>
        <w:t>].</w:t>
      </w:r>
    </w:p>
    <w:p w14:paraId="2CCE1156"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Rutherford, C. (2008b). [ Head of programming at </w:t>
      </w:r>
      <w:r w:rsidRPr="004B73E4">
        <w:rPr>
          <w:rFonts w:ascii="Times New Roman" w:hAnsi="Times New Roman"/>
          <w:i/>
          <w:sz w:val="24"/>
        </w:rPr>
        <w:t>Mediaedge:CIA</w:t>
      </w:r>
      <w:r w:rsidRPr="004B73E4">
        <w:rPr>
          <w:rFonts w:ascii="Times New Roman" w:hAnsi="Times New Roman"/>
          <w:sz w:val="24"/>
        </w:rPr>
        <w:t>].</w:t>
      </w:r>
    </w:p>
    <w:p w14:paraId="787BE32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Schauer, F. (2004). The Boundaries of the First Amendment: A Preliminary Exploration of Constitutional Salience. </w:t>
      </w:r>
      <w:r w:rsidRPr="004B73E4">
        <w:rPr>
          <w:rFonts w:ascii="Times New Roman" w:hAnsi="Times New Roman"/>
          <w:i/>
          <w:sz w:val="24"/>
        </w:rPr>
        <w:t>Harvard Law Review, 117</w:t>
      </w:r>
      <w:r w:rsidRPr="004B73E4">
        <w:rPr>
          <w:rFonts w:ascii="Times New Roman" w:hAnsi="Times New Roman"/>
          <w:sz w:val="24"/>
        </w:rPr>
        <w:t>(6), 1765-1809. doi:10.2307/4093304</w:t>
      </w:r>
    </w:p>
    <w:p w14:paraId="43C7853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Schejter, A. (2006). Art Thou For Us, or For Our Adversaries?” Communicative Action and the Regulation of Product P lacement: A Comparative Study and a Tool for Analysis. </w:t>
      </w:r>
      <w:r w:rsidRPr="004B73E4">
        <w:rPr>
          <w:rFonts w:ascii="Times New Roman" w:hAnsi="Times New Roman"/>
          <w:i/>
          <w:sz w:val="24"/>
        </w:rPr>
        <w:t>Tulane Journal of International and Comparative Law, 15</w:t>
      </w:r>
      <w:r w:rsidRPr="004B73E4">
        <w:rPr>
          <w:rFonts w:ascii="Times New Roman" w:hAnsi="Times New Roman"/>
          <w:sz w:val="24"/>
        </w:rPr>
        <w:t xml:space="preserve">(1). </w:t>
      </w:r>
    </w:p>
    <w:p w14:paraId="584DCA92"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Schiller, D. (1999). </w:t>
      </w:r>
      <w:r w:rsidRPr="004B73E4">
        <w:rPr>
          <w:rFonts w:ascii="Times New Roman" w:hAnsi="Times New Roman"/>
          <w:i/>
          <w:sz w:val="24"/>
        </w:rPr>
        <w:t>Digital capitalism : networking the global market system</w:t>
      </w:r>
      <w:r w:rsidRPr="004B73E4">
        <w:rPr>
          <w:rFonts w:ascii="Times New Roman" w:hAnsi="Times New Roman"/>
          <w:sz w:val="24"/>
        </w:rPr>
        <w:t>. Cambridge, Mass. ; London: MIT Press.</w:t>
      </w:r>
    </w:p>
    <w:p w14:paraId="3B61231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Se'ada, E. (2011). [Partner at BBDO Content, Gitam-BBDO, Israel].</w:t>
      </w:r>
    </w:p>
    <w:p w14:paraId="188C4AA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lastRenderedPageBreak/>
        <w:t>Sebastian, M. (2013). The Washington Post Starts Selling Native Ads for Print.</w:t>
      </w:r>
      <w:r w:rsidRPr="004B73E4">
        <w:rPr>
          <w:rFonts w:ascii="Times New Roman" w:hAnsi="Times New Roman"/>
          <w:i/>
          <w:sz w:val="24"/>
        </w:rPr>
        <w:t xml:space="preserve"> Advertising Age</w:t>
      </w:r>
      <w:r w:rsidRPr="004B73E4">
        <w:rPr>
          <w:rFonts w:ascii="Times New Roman" w:hAnsi="Times New Roman"/>
          <w:sz w:val="24"/>
        </w:rPr>
        <w:t xml:space="preserve">. Retrieved from </w:t>
      </w:r>
      <w:r w:rsidRPr="00497B7D">
        <w:rPr>
          <w:rFonts w:ascii="Times New Roman" w:hAnsi="Times New Roman"/>
          <w:sz w:val="24"/>
        </w:rPr>
        <w:t>http://adage.com/article/media/washington-post-starts-selling-native-ad-units-print/243851/</w:t>
      </w:r>
    </w:p>
    <w:p w14:paraId="5919AB75"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Segrave, K. (2004). </w:t>
      </w:r>
      <w:r w:rsidRPr="004B73E4">
        <w:rPr>
          <w:rFonts w:ascii="Times New Roman" w:hAnsi="Times New Roman"/>
          <w:i/>
          <w:sz w:val="24"/>
        </w:rPr>
        <w:t>Product placement in Hollywood films : a history</w:t>
      </w:r>
      <w:r w:rsidRPr="004B73E4">
        <w:rPr>
          <w:rFonts w:ascii="Times New Roman" w:hAnsi="Times New Roman"/>
          <w:sz w:val="24"/>
        </w:rPr>
        <w:t>. Jefferson, N.C. ; London: McFarland.</w:t>
      </w:r>
    </w:p>
    <w:p w14:paraId="48D394D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Shufersal-Deal. (March 1, 2011). Shufersal by-weekly Bulletin. In Shufersal (Ed.). Tel-Aviv: Shufersal Marketing Department.</w:t>
      </w:r>
    </w:p>
    <w:p w14:paraId="78013D0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Smythe, D. W. (1981). </w:t>
      </w:r>
      <w:r w:rsidRPr="00B558D6">
        <w:rPr>
          <w:rFonts w:ascii="Times New Roman" w:hAnsi="Times New Roman"/>
          <w:i/>
          <w:sz w:val="24"/>
        </w:rPr>
        <w:t>Dependency road: communications, capitalism, consciousness and Canada</w:t>
      </w:r>
      <w:r w:rsidRPr="00B558D6">
        <w:rPr>
          <w:rFonts w:ascii="Times New Roman" w:hAnsi="Times New Roman"/>
          <w:sz w:val="24"/>
        </w:rPr>
        <w:t>.</w:t>
      </w:r>
      <w:r w:rsidRPr="004B73E4">
        <w:rPr>
          <w:rFonts w:ascii="Times New Roman" w:hAnsi="Times New Roman"/>
          <w:sz w:val="24"/>
        </w:rPr>
        <w:t xml:space="preserve"> Norwood, N.J.: Ablex Pub.</w:t>
      </w:r>
    </w:p>
    <w:p w14:paraId="628E9E8A" w14:textId="77777777" w:rsidR="00497B7D" w:rsidRPr="004B73E4" w:rsidRDefault="00497B7D" w:rsidP="00B558D6">
      <w:pPr>
        <w:pStyle w:val="EndNoteBibliography"/>
        <w:spacing w:after="0" w:line="360" w:lineRule="auto"/>
        <w:ind w:left="720" w:hanging="720"/>
        <w:rPr>
          <w:rFonts w:ascii="Times New Roman" w:hAnsi="Times New Roman"/>
          <w:sz w:val="24"/>
        </w:rPr>
      </w:pPr>
      <w:r w:rsidRPr="004B73E4">
        <w:rPr>
          <w:rFonts w:ascii="Times New Roman" w:hAnsi="Times New Roman"/>
          <w:sz w:val="24"/>
        </w:rPr>
        <w:t>Somaiya, R. (2013, December 19th). Times Publisher Sets Out Plan for ‘Native’ Ads.</w:t>
      </w:r>
      <w:r w:rsidRPr="004B73E4">
        <w:rPr>
          <w:rFonts w:ascii="Times New Roman" w:hAnsi="Times New Roman"/>
          <w:i/>
          <w:sz w:val="24"/>
        </w:rPr>
        <w:t xml:space="preserve"> The New York Times</w:t>
      </w:r>
      <w:r w:rsidRPr="004B73E4">
        <w:rPr>
          <w:rFonts w:ascii="Times New Roman" w:hAnsi="Times New Roman"/>
          <w:sz w:val="24"/>
        </w:rPr>
        <w:t xml:space="preserve">. Retrieved from </w:t>
      </w:r>
      <w:r w:rsidR="00B558D6">
        <w:rPr>
          <w:rFonts w:ascii="Times New Roman" w:hAnsi="Times New Roman"/>
          <w:sz w:val="24"/>
        </w:rPr>
        <w:t>h</w:t>
      </w:r>
      <w:r w:rsidRPr="00497B7D">
        <w:rPr>
          <w:rFonts w:ascii="Times New Roman" w:hAnsi="Times New Roman"/>
          <w:sz w:val="24"/>
        </w:rPr>
        <w:t>ttp://www.nytimes.com/2013/12/20/business/media/publishers-letter-explains-limits-on-branded-content-at-the-times.html?_r=0</w:t>
      </w:r>
    </w:p>
    <w:p w14:paraId="1464F71E"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Spreen, M. (1992). Rare populations, hidden populations and link-tracing designs: what and why? </w:t>
      </w:r>
      <w:r w:rsidRPr="004B73E4">
        <w:rPr>
          <w:rFonts w:ascii="Times New Roman" w:hAnsi="Times New Roman"/>
          <w:i/>
          <w:sz w:val="24"/>
        </w:rPr>
        <w:t>Bulletin Methodologie Sociologique, 36</w:t>
      </w:r>
      <w:r w:rsidRPr="004B73E4">
        <w:rPr>
          <w:rFonts w:ascii="Times New Roman" w:hAnsi="Times New Roman"/>
          <w:sz w:val="24"/>
        </w:rPr>
        <w:t xml:space="preserve">, 34-58. </w:t>
      </w:r>
    </w:p>
    <w:p w14:paraId="0068EB5B"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Stern, N. (1999). In Defense of the Imprecise Definition of Commercial Speech. </w:t>
      </w:r>
      <w:r w:rsidRPr="004B73E4">
        <w:rPr>
          <w:rFonts w:ascii="Times New Roman" w:hAnsi="Times New Roman"/>
          <w:i/>
          <w:sz w:val="24"/>
        </w:rPr>
        <w:t>Maryland Law Review, 58</w:t>
      </w:r>
      <w:r w:rsidRPr="004B73E4">
        <w:rPr>
          <w:rFonts w:ascii="Times New Roman" w:hAnsi="Times New Roman"/>
          <w:sz w:val="24"/>
        </w:rPr>
        <w:t xml:space="preserve">. </w:t>
      </w:r>
    </w:p>
    <w:p w14:paraId="5419B10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Sulzberger, A. G. (2014, March 24th). </w:t>
      </w:r>
      <w:r w:rsidRPr="004B73E4">
        <w:rPr>
          <w:rFonts w:ascii="Times New Roman" w:hAnsi="Times New Roman"/>
          <w:i/>
          <w:sz w:val="24"/>
        </w:rPr>
        <w:t>The New York Times Innovation Report</w:t>
      </w:r>
      <w:r w:rsidRPr="004B73E4">
        <w:rPr>
          <w:rFonts w:ascii="Times New Roman" w:hAnsi="Times New Roman"/>
          <w:sz w:val="24"/>
        </w:rPr>
        <w:t xml:space="preserve">. Retrieved from </w:t>
      </w:r>
      <w:r w:rsidRPr="00497B7D">
        <w:rPr>
          <w:rFonts w:ascii="Times New Roman" w:hAnsi="Times New Roman"/>
          <w:sz w:val="24"/>
        </w:rPr>
        <w:t>http://www.scribd.com/doc/224332847/NYT-Innovation-Report-2014</w:t>
      </w:r>
    </w:p>
    <w:p w14:paraId="78A9A233"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Sykes, F. (1923). </w:t>
      </w:r>
      <w:r w:rsidRPr="004B73E4">
        <w:rPr>
          <w:rFonts w:ascii="Times New Roman" w:hAnsi="Times New Roman"/>
          <w:i/>
          <w:sz w:val="24"/>
        </w:rPr>
        <w:t>Broadcasting Committee 1923</w:t>
      </w:r>
      <w:r w:rsidRPr="004B73E4">
        <w:rPr>
          <w:rFonts w:ascii="Times New Roman" w:hAnsi="Times New Roman"/>
          <w:sz w:val="24"/>
        </w:rPr>
        <w:t xml:space="preserve">. Retrieved from UK: </w:t>
      </w:r>
      <w:r w:rsidRPr="00497B7D">
        <w:rPr>
          <w:rFonts w:ascii="Times New Roman" w:hAnsi="Times New Roman"/>
          <w:sz w:val="24"/>
        </w:rPr>
        <w:t>http://www.terramedia.co.uk/law/official_british_media_reports_broadcasting.htm</w:t>
      </w:r>
    </w:p>
    <w:p w14:paraId="1EC0776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Thatcher, M. (1987,23rd of September) </w:t>
      </w:r>
      <w:r w:rsidRPr="004B73E4">
        <w:rPr>
          <w:rFonts w:ascii="Times New Roman" w:hAnsi="Times New Roman"/>
          <w:i/>
          <w:sz w:val="24"/>
        </w:rPr>
        <w:t>Woman's Own/Interviewer: D. Keay</w:t>
      </w:r>
      <w:r w:rsidRPr="004B73E4">
        <w:rPr>
          <w:rFonts w:ascii="Times New Roman" w:hAnsi="Times New Roman"/>
          <w:sz w:val="24"/>
        </w:rPr>
        <w:t>. London.</w:t>
      </w:r>
    </w:p>
    <w:p w14:paraId="58B0EA5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The Drum. (2009, 23rd of July). Mason Williams to market </w:t>
      </w:r>
      <w:r w:rsidRPr="00785053">
        <w:rPr>
          <w:rFonts w:ascii="Times New Roman" w:hAnsi="Times New Roman"/>
          <w:i/>
          <w:iCs/>
          <w:sz w:val="24"/>
        </w:rPr>
        <w:t>How to Look Good Naked</w:t>
      </w:r>
      <w:r w:rsidRPr="004B73E4">
        <w:rPr>
          <w:rFonts w:ascii="Times New Roman" w:hAnsi="Times New Roman"/>
          <w:sz w:val="24"/>
        </w:rPr>
        <w:t xml:space="preserve">  Fragrance.</w:t>
      </w:r>
      <w:r w:rsidRPr="004B73E4">
        <w:rPr>
          <w:rFonts w:ascii="Times New Roman" w:hAnsi="Times New Roman"/>
          <w:i/>
          <w:sz w:val="24"/>
        </w:rPr>
        <w:t xml:space="preserve"> The Drum - Modern Media and Marketing</w:t>
      </w:r>
      <w:r w:rsidRPr="004B73E4">
        <w:rPr>
          <w:rFonts w:ascii="Times New Roman" w:hAnsi="Times New Roman"/>
          <w:sz w:val="24"/>
        </w:rPr>
        <w:t xml:space="preserve">. Retrieved from </w:t>
      </w:r>
      <w:r w:rsidRPr="00497B7D">
        <w:rPr>
          <w:rFonts w:ascii="Times New Roman" w:hAnsi="Times New Roman"/>
          <w:sz w:val="24"/>
        </w:rPr>
        <w:t>http://www.thedrum.co.uk/news/2009/07/23/mason-williams-market-how-look-good-naked-fragrance</w:t>
      </w:r>
    </w:p>
    <w:p w14:paraId="161B7349" w14:textId="77777777" w:rsidR="00EB4806" w:rsidRPr="004B73E4" w:rsidRDefault="00EB4806" w:rsidP="00EB4806">
      <w:pPr>
        <w:pStyle w:val="EndNoteBibliography"/>
        <w:spacing w:after="0" w:line="360" w:lineRule="auto"/>
        <w:ind w:left="720" w:hanging="720"/>
        <w:rPr>
          <w:rFonts w:ascii="Times New Roman" w:hAnsi="Times New Roman"/>
          <w:sz w:val="24"/>
        </w:rPr>
      </w:pPr>
      <w:r>
        <w:rPr>
          <w:rFonts w:ascii="Times New Roman" w:hAnsi="Times New Roman"/>
          <w:sz w:val="24"/>
        </w:rPr>
        <w:t xml:space="preserve">The Second Authority for Television and Radio. (1994). Code of </w:t>
      </w:r>
      <w:r w:rsidRPr="004B73E4">
        <w:rPr>
          <w:rFonts w:ascii="Times New Roman" w:hAnsi="Times New Roman"/>
          <w:sz w:val="24"/>
        </w:rPr>
        <w:t xml:space="preserve">Ethics in Television </w:t>
      </w:r>
      <w:r>
        <w:rPr>
          <w:rFonts w:ascii="Times New Roman" w:hAnsi="Times New Roman"/>
          <w:sz w:val="24"/>
        </w:rPr>
        <w:t>Advertising,  § Section 9</w:t>
      </w:r>
      <w:r w:rsidRPr="004B73E4">
        <w:rPr>
          <w:rFonts w:ascii="Times New Roman" w:hAnsi="Times New Roman"/>
          <w:sz w:val="24"/>
        </w:rPr>
        <w:t>.</w:t>
      </w:r>
    </w:p>
    <w:p w14:paraId="36228346" w14:textId="77777777" w:rsidR="00EB4806" w:rsidRPr="004B73E4" w:rsidRDefault="00EB4806" w:rsidP="00EB4806">
      <w:pPr>
        <w:pStyle w:val="EndNoteBibliography"/>
        <w:spacing w:after="0" w:line="360" w:lineRule="auto"/>
        <w:ind w:left="720" w:hanging="720"/>
        <w:rPr>
          <w:rFonts w:ascii="Times New Roman" w:hAnsi="Times New Roman"/>
          <w:sz w:val="24"/>
        </w:rPr>
      </w:pPr>
      <w:r>
        <w:rPr>
          <w:rFonts w:ascii="Times New Roman" w:hAnsi="Times New Roman"/>
          <w:sz w:val="24"/>
        </w:rPr>
        <w:t>The Second Authority for Television and Radio. (2009)</w:t>
      </w:r>
      <w:r w:rsidRPr="004B73E4">
        <w:rPr>
          <w:rFonts w:ascii="Times New Roman" w:hAnsi="Times New Roman"/>
          <w:sz w:val="24"/>
        </w:rPr>
        <w:t xml:space="preserve"> Programme Sponsorship Rules.</w:t>
      </w:r>
    </w:p>
    <w:p w14:paraId="6512E068"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The Second Authority for Television and Radio. (2011). Prohibited Commercial Reference - Reshet - </w:t>
      </w:r>
      <w:r w:rsidRPr="00785053">
        <w:rPr>
          <w:rFonts w:ascii="Times New Roman" w:hAnsi="Times New Roman"/>
          <w:i/>
          <w:iCs/>
          <w:sz w:val="24"/>
        </w:rPr>
        <w:t>Overdraft Family</w:t>
      </w:r>
      <w:r w:rsidRPr="004B73E4">
        <w:rPr>
          <w:rFonts w:ascii="Times New Roman" w:hAnsi="Times New Roman"/>
          <w:sz w:val="24"/>
        </w:rPr>
        <w:t xml:space="preserve">.   </w:t>
      </w:r>
      <w:r w:rsidRPr="00497B7D">
        <w:rPr>
          <w:rFonts w:ascii="Times New Roman" w:hAnsi="Times New Roman"/>
          <w:sz w:val="24"/>
        </w:rPr>
        <w:t>http://www.rashut2.org.il/critic_violation_result.asp</w:t>
      </w:r>
    </w:p>
    <w:p w14:paraId="2037D6A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lastRenderedPageBreak/>
        <w:t xml:space="preserve">The Second Authority for Television and Radio. (2012a). Prohibited Commercial Reference - Reshet - </w:t>
      </w:r>
      <w:r w:rsidRPr="00785053">
        <w:rPr>
          <w:rFonts w:ascii="Times New Roman" w:hAnsi="Times New Roman"/>
          <w:i/>
          <w:iCs/>
          <w:sz w:val="24"/>
        </w:rPr>
        <w:t>Overdraft Family</w:t>
      </w:r>
      <w:r w:rsidRPr="004B73E4">
        <w:rPr>
          <w:rFonts w:ascii="Times New Roman" w:hAnsi="Times New Roman"/>
          <w:sz w:val="24"/>
        </w:rPr>
        <w:t>    </w:t>
      </w:r>
    </w:p>
    <w:p w14:paraId="19330C48"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The Second Authority for Television and Radio. (2012b). Repeated Violations of Rules on Prohibited Commercial Reference in </w:t>
      </w:r>
      <w:r w:rsidRPr="00785053">
        <w:rPr>
          <w:rFonts w:ascii="Times New Roman" w:hAnsi="Times New Roman"/>
          <w:i/>
          <w:iCs/>
          <w:sz w:val="24"/>
        </w:rPr>
        <w:t>Overdraft Family</w:t>
      </w:r>
      <w:r w:rsidRPr="004B73E4">
        <w:rPr>
          <w:rFonts w:ascii="Times New Roman" w:hAnsi="Times New Roman"/>
          <w:sz w:val="24"/>
        </w:rPr>
        <w:t xml:space="preserve"> [Press release]. Retrieved from </w:t>
      </w:r>
      <w:r w:rsidRPr="00497B7D">
        <w:rPr>
          <w:rFonts w:ascii="Times New Roman" w:hAnsi="Times New Roman"/>
          <w:sz w:val="24"/>
        </w:rPr>
        <w:t>http://www.rashut2.org.il/news_inner.asp?catid=58&amp;pgid=77323&amp;ShowPage=3&amp;from=NewsLobby&amp;stts=0&amp;D=1&amp;currentpage=9</w:t>
      </w:r>
    </w:p>
    <w:p w14:paraId="566AD56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The Washington Post. (2014, November 19th). The Post launches new native ad feature: BrandConnect Perspective </w:t>
      </w:r>
      <w:r w:rsidRPr="004B73E4">
        <w:rPr>
          <w:rFonts w:ascii="Times New Roman" w:hAnsi="Times New Roman"/>
          <w:i/>
          <w:sz w:val="24"/>
        </w:rPr>
        <w:t>The Washington Post</w:t>
      </w:r>
      <w:r w:rsidRPr="004B73E4">
        <w:rPr>
          <w:rFonts w:ascii="Times New Roman" w:hAnsi="Times New Roman"/>
          <w:sz w:val="24"/>
        </w:rPr>
        <w:t xml:space="preserve">. Retrieved from </w:t>
      </w:r>
      <w:r w:rsidRPr="00497B7D">
        <w:rPr>
          <w:rFonts w:ascii="Times New Roman" w:hAnsi="Times New Roman"/>
          <w:sz w:val="24"/>
        </w:rPr>
        <w:t>http://www.washingtonpost.com/pr/wp/2014/11/19/the-post-launches-new-native-ad-feature-brandconnect-perspective/</w:t>
      </w:r>
    </w:p>
    <w:p w14:paraId="5B8AF4C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Topping, A. (2011). Twitter Endorsements Face OFT Clampdown.</w:t>
      </w:r>
      <w:r w:rsidRPr="004B73E4">
        <w:rPr>
          <w:rFonts w:ascii="Times New Roman" w:hAnsi="Times New Roman"/>
          <w:i/>
          <w:sz w:val="24"/>
        </w:rPr>
        <w:t xml:space="preserve"> The Guardian</w:t>
      </w:r>
      <w:r w:rsidRPr="004B73E4">
        <w:rPr>
          <w:rFonts w:ascii="Times New Roman" w:hAnsi="Times New Roman"/>
          <w:sz w:val="24"/>
        </w:rPr>
        <w:t xml:space="preserve">. Retrieved from </w:t>
      </w:r>
      <w:r w:rsidRPr="00497B7D">
        <w:rPr>
          <w:rFonts w:ascii="Times New Roman" w:hAnsi="Times New Roman"/>
          <w:sz w:val="24"/>
        </w:rPr>
        <w:t>http://www.theguardian.com/technology/2011/jan/09/oft-clampdown-covert-twitter-endorsements</w:t>
      </w:r>
    </w:p>
    <w:p w14:paraId="7CDCDD30"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Turner, F. (2014). When is native advertising not just glorified advertorial?</w:t>
      </w:r>
      <w:r w:rsidRPr="004B73E4">
        <w:rPr>
          <w:rFonts w:ascii="Times New Roman" w:hAnsi="Times New Roman"/>
          <w:i/>
          <w:sz w:val="24"/>
        </w:rPr>
        <w:t xml:space="preserve"> The Drum, Modern Marketing &amp; Media</w:t>
      </w:r>
      <w:r w:rsidRPr="004B73E4">
        <w:rPr>
          <w:rFonts w:ascii="Times New Roman" w:hAnsi="Times New Roman"/>
          <w:sz w:val="24"/>
        </w:rPr>
        <w:t xml:space="preserve">. Retrieved from </w:t>
      </w:r>
      <w:r w:rsidRPr="00497B7D">
        <w:rPr>
          <w:rFonts w:ascii="Times New Roman" w:hAnsi="Times New Roman"/>
          <w:sz w:val="24"/>
        </w:rPr>
        <w:t>http://www.thedrum.com/opinion/2014/02/28/when-native-advertising-not-just-glorified-advertorial</w:t>
      </w:r>
    </w:p>
    <w:p w14:paraId="401E806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Turow, J. (1997). </w:t>
      </w:r>
      <w:r w:rsidRPr="004B73E4">
        <w:rPr>
          <w:rFonts w:ascii="Times New Roman" w:hAnsi="Times New Roman"/>
          <w:i/>
          <w:sz w:val="24"/>
        </w:rPr>
        <w:t>Breaking up America : advertisers and the new media world</w:t>
      </w:r>
      <w:r w:rsidRPr="004B73E4">
        <w:rPr>
          <w:rFonts w:ascii="Times New Roman" w:hAnsi="Times New Roman"/>
          <w:sz w:val="24"/>
        </w:rPr>
        <w:t>. Chicago ; London: University of Chicago Press.</w:t>
      </w:r>
    </w:p>
    <w:p w14:paraId="6D310D4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Turow, J. (2006). </w:t>
      </w:r>
      <w:r w:rsidRPr="004B73E4">
        <w:rPr>
          <w:rFonts w:ascii="Times New Roman" w:hAnsi="Times New Roman"/>
          <w:i/>
          <w:sz w:val="24"/>
        </w:rPr>
        <w:t>Niche envy [electronic resource] : marketing discrimination in the digital age</w:t>
      </w:r>
      <w:r w:rsidRPr="004B73E4">
        <w:rPr>
          <w:rFonts w:ascii="Times New Roman" w:hAnsi="Times New Roman"/>
          <w:sz w:val="24"/>
        </w:rPr>
        <w:t>. Cambridge, Mass.: MIT Press.</w:t>
      </w:r>
    </w:p>
    <w:p w14:paraId="0DD7C539"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Turow, J. (2011). </w:t>
      </w:r>
      <w:r w:rsidRPr="004B73E4">
        <w:rPr>
          <w:rFonts w:ascii="Times New Roman" w:hAnsi="Times New Roman"/>
          <w:i/>
          <w:sz w:val="24"/>
        </w:rPr>
        <w:t>The daily you : how the new advertising industry is defining your identity and your worth</w:t>
      </w:r>
      <w:r w:rsidRPr="004B73E4">
        <w:rPr>
          <w:rFonts w:ascii="Times New Roman" w:hAnsi="Times New Roman"/>
          <w:sz w:val="24"/>
        </w:rPr>
        <w:t>. New Haven, Conn. ; London: Yale University Press.</w:t>
      </w:r>
    </w:p>
    <w:p w14:paraId="29B5E091"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van Manen, M. (1990). </w:t>
      </w:r>
      <w:r w:rsidRPr="004B73E4">
        <w:rPr>
          <w:rFonts w:ascii="Times New Roman" w:hAnsi="Times New Roman"/>
          <w:i/>
          <w:sz w:val="24"/>
        </w:rPr>
        <w:t>Researching lived experience : human science for an action sensitive pedagogy</w:t>
      </w:r>
      <w:r w:rsidRPr="004B73E4">
        <w:rPr>
          <w:rFonts w:ascii="Times New Roman" w:hAnsi="Times New Roman"/>
          <w:sz w:val="24"/>
        </w:rPr>
        <w:t>. Albany, N.Y.: State University of New York Press.</w:t>
      </w:r>
    </w:p>
    <w:p w14:paraId="4174F1BE" w14:textId="77777777" w:rsidR="00497B7D" w:rsidRPr="004B73E4" w:rsidRDefault="00497B7D" w:rsidP="00B558D6">
      <w:pPr>
        <w:pStyle w:val="EndNoteBibliography"/>
        <w:spacing w:after="0" w:line="360" w:lineRule="auto"/>
        <w:ind w:left="720" w:hanging="720"/>
        <w:rPr>
          <w:rFonts w:ascii="Times New Roman" w:hAnsi="Times New Roman"/>
          <w:sz w:val="24"/>
        </w:rPr>
      </w:pPr>
      <w:r w:rsidRPr="004B73E4">
        <w:rPr>
          <w:rFonts w:ascii="Times New Roman" w:hAnsi="Times New Roman"/>
          <w:sz w:val="24"/>
        </w:rPr>
        <w:t>Variety. (February 11, 1931). 7 national ads in one talker.</w:t>
      </w:r>
      <w:r w:rsidRPr="004B73E4">
        <w:rPr>
          <w:rFonts w:ascii="Times New Roman" w:hAnsi="Times New Roman"/>
          <w:i/>
          <w:sz w:val="24"/>
        </w:rPr>
        <w:t xml:space="preserve"> Variety,</w:t>
      </w:r>
      <w:r w:rsidRPr="004B73E4">
        <w:rPr>
          <w:rFonts w:ascii="Times New Roman" w:hAnsi="Times New Roman"/>
          <w:sz w:val="24"/>
        </w:rPr>
        <w:t xml:space="preserve"> p. 7. </w:t>
      </w:r>
    </w:p>
    <w:p w14:paraId="3E6AE269" w14:textId="77777777" w:rsidR="00497B7D" w:rsidRPr="004B73E4" w:rsidRDefault="00497B7D" w:rsidP="00B558D6">
      <w:pPr>
        <w:pStyle w:val="EndNoteBibliography"/>
        <w:spacing w:after="0" w:line="360" w:lineRule="auto"/>
        <w:ind w:left="720" w:hanging="720"/>
        <w:rPr>
          <w:rFonts w:ascii="Times New Roman" w:hAnsi="Times New Roman"/>
          <w:sz w:val="24"/>
        </w:rPr>
      </w:pPr>
      <w:r w:rsidRPr="004B73E4">
        <w:rPr>
          <w:rFonts w:ascii="Times New Roman" w:hAnsi="Times New Roman"/>
          <w:sz w:val="24"/>
        </w:rPr>
        <w:t>Variety. (October 6, 1931). Names in pictures are restricted from recommending commercial product by Hay's office resolve.</w:t>
      </w:r>
      <w:r w:rsidRPr="004B73E4">
        <w:rPr>
          <w:rFonts w:ascii="Times New Roman" w:hAnsi="Times New Roman"/>
          <w:i/>
          <w:sz w:val="24"/>
        </w:rPr>
        <w:t xml:space="preserve"> Variety</w:t>
      </w:r>
      <w:r w:rsidR="008240A6">
        <w:rPr>
          <w:rFonts w:ascii="Times New Roman" w:hAnsi="Times New Roman"/>
          <w:sz w:val="24"/>
        </w:rPr>
        <w:t>, p. 3.</w:t>
      </w:r>
      <w:r w:rsidRPr="004B73E4">
        <w:rPr>
          <w:rFonts w:ascii="Times New Roman" w:hAnsi="Times New Roman"/>
          <w:sz w:val="24"/>
        </w:rPr>
        <w:t xml:space="preserve"> </w:t>
      </w:r>
    </w:p>
    <w:p w14:paraId="257CAE90"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Wan, G. (2006). </w:t>
      </w:r>
      <w:r w:rsidRPr="00785053">
        <w:rPr>
          <w:rFonts w:ascii="Times New Roman" w:hAnsi="Times New Roman"/>
          <w:i/>
          <w:iCs/>
          <w:sz w:val="24"/>
        </w:rPr>
        <w:t>How to Look Good Naked</w:t>
      </w:r>
      <w:r w:rsidRPr="004B73E4">
        <w:rPr>
          <w:rFonts w:ascii="Times New Roman" w:hAnsi="Times New Roman"/>
          <w:sz w:val="24"/>
        </w:rPr>
        <w:t xml:space="preserve">. </w:t>
      </w:r>
      <w:r w:rsidRPr="004B73E4">
        <w:rPr>
          <w:rFonts w:ascii="Times New Roman" w:hAnsi="Times New Roman"/>
          <w:i/>
          <w:sz w:val="24"/>
        </w:rPr>
        <w:t>Series 1, Episode 5</w:t>
      </w:r>
      <w:r w:rsidRPr="004B73E4">
        <w:rPr>
          <w:rFonts w:ascii="Times New Roman" w:hAnsi="Times New Roman"/>
          <w:sz w:val="24"/>
        </w:rPr>
        <w:t>. London.</w:t>
      </w:r>
    </w:p>
    <w:p w14:paraId="3B418AAD"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Wan, G. (2007). </w:t>
      </w:r>
      <w:r w:rsidRPr="00785053">
        <w:rPr>
          <w:rFonts w:ascii="Times New Roman" w:hAnsi="Times New Roman"/>
          <w:i/>
          <w:iCs/>
          <w:sz w:val="24"/>
        </w:rPr>
        <w:t>How to Look Good Naked</w:t>
      </w:r>
      <w:r w:rsidRPr="004B73E4">
        <w:rPr>
          <w:rFonts w:ascii="Times New Roman" w:hAnsi="Times New Roman"/>
          <w:sz w:val="24"/>
        </w:rPr>
        <w:t>.</w:t>
      </w:r>
      <w:r w:rsidRPr="004B73E4">
        <w:rPr>
          <w:rFonts w:ascii="Times New Roman" w:hAnsi="Times New Roman"/>
          <w:i/>
          <w:sz w:val="24"/>
        </w:rPr>
        <w:t> Series 2, Episode 1</w:t>
      </w:r>
      <w:r w:rsidRPr="004B73E4">
        <w:rPr>
          <w:rFonts w:ascii="Times New Roman" w:hAnsi="Times New Roman"/>
          <w:sz w:val="24"/>
        </w:rPr>
        <w:t>. London.</w:t>
      </w:r>
    </w:p>
    <w:p w14:paraId="5C71E9C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Wasko, J. (1995). </w:t>
      </w:r>
      <w:r w:rsidRPr="004B73E4">
        <w:rPr>
          <w:rFonts w:ascii="Times New Roman" w:hAnsi="Times New Roman"/>
          <w:i/>
          <w:sz w:val="24"/>
        </w:rPr>
        <w:t>Hollywood in the information age : beyond the silver screen</w:t>
      </w:r>
      <w:r w:rsidRPr="004B73E4">
        <w:rPr>
          <w:rFonts w:ascii="Times New Roman" w:hAnsi="Times New Roman"/>
          <w:sz w:val="24"/>
        </w:rPr>
        <w:t xml:space="preserve"> (1st University of Texas Press ed.). Austin, TX: University of Texas Press.</w:t>
      </w:r>
    </w:p>
    <w:p w14:paraId="192397A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lastRenderedPageBreak/>
        <w:t xml:space="preserve">Weber, M. (1949). </w:t>
      </w:r>
      <w:r w:rsidRPr="004B73E4">
        <w:rPr>
          <w:rFonts w:ascii="Times New Roman" w:hAnsi="Times New Roman"/>
          <w:i/>
          <w:sz w:val="24"/>
        </w:rPr>
        <w:t>The methodology of the Social Sciences</w:t>
      </w:r>
      <w:r w:rsidRPr="004B73E4">
        <w:rPr>
          <w:rFonts w:ascii="Times New Roman" w:hAnsi="Times New Roman"/>
          <w:sz w:val="24"/>
        </w:rPr>
        <w:t>: New York : Free Press, 1949 (1969).</w:t>
      </w:r>
    </w:p>
    <w:p w14:paraId="057E636D"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Weber, M., &amp; Kalberg, S. (2011). </w:t>
      </w:r>
      <w:r w:rsidRPr="004B73E4">
        <w:rPr>
          <w:rFonts w:ascii="Times New Roman" w:hAnsi="Times New Roman"/>
          <w:i/>
          <w:sz w:val="24"/>
        </w:rPr>
        <w:t>The Protestant ethic and the spirit of capitalism</w:t>
      </w:r>
      <w:r w:rsidRPr="004B73E4">
        <w:rPr>
          <w:rFonts w:ascii="Times New Roman" w:hAnsi="Times New Roman"/>
          <w:sz w:val="24"/>
        </w:rPr>
        <w:t>. New York: Oxford University Press.</w:t>
      </w:r>
    </w:p>
    <w:p w14:paraId="5CB8FA1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White, M. (2009). [Brand Partner at Ogilvy &amp; Mather Creative Agency, London].</w:t>
      </w:r>
    </w:p>
    <w:p w14:paraId="3F5EB4EC"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Williams, R. (2003). </w:t>
      </w:r>
      <w:r w:rsidRPr="004B73E4">
        <w:rPr>
          <w:rFonts w:ascii="Times New Roman" w:hAnsi="Times New Roman"/>
          <w:i/>
          <w:sz w:val="24"/>
        </w:rPr>
        <w:t>Television : technology and cultural form</w:t>
      </w:r>
      <w:r w:rsidRPr="004B73E4">
        <w:rPr>
          <w:rFonts w:ascii="Times New Roman" w:hAnsi="Times New Roman"/>
          <w:sz w:val="24"/>
        </w:rPr>
        <w:t xml:space="preserve"> (New ed. / with a new preface by Roger Silverstone. ed.). London: Routledge.</w:t>
      </w:r>
    </w:p>
    <w:p w14:paraId="2F4F8B8A"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Willis, S. (2008). [Head of programming at </w:t>
      </w:r>
      <w:r w:rsidRPr="004B73E4">
        <w:rPr>
          <w:rFonts w:ascii="Times New Roman" w:hAnsi="Times New Roman"/>
          <w:i/>
          <w:sz w:val="24"/>
        </w:rPr>
        <w:t>Mindshare</w:t>
      </w:r>
      <w:r w:rsidRPr="004B73E4">
        <w:rPr>
          <w:rFonts w:ascii="Times New Roman" w:hAnsi="Times New Roman"/>
          <w:sz w:val="24"/>
        </w:rPr>
        <w:t>].</w:t>
      </w:r>
    </w:p>
    <w:p w14:paraId="19A903C1"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Wilson, H. H. (1961). </w:t>
      </w:r>
      <w:r w:rsidRPr="004B73E4">
        <w:rPr>
          <w:rFonts w:ascii="Times New Roman" w:hAnsi="Times New Roman"/>
          <w:i/>
          <w:sz w:val="24"/>
        </w:rPr>
        <w:t>Pressure Group. The campaign for commercial television</w:t>
      </w:r>
      <w:r w:rsidRPr="004B73E4">
        <w:rPr>
          <w:rFonts w:ascii="Times New Roman" w:hAnsi="Times New Roman"/>
          <w:sz w:val="24"/>
        </w:rPr>
        <w:t>. London: Secker &amp; Warburg.</w:t>
      </w:r>
    </w:p>
    <w:p w14:paraId="1A2E52BD" w14:textId="10E0DA75" w:rsidR="00D03A48" w:rsidRPr="005037E0" w:rsidRDefault="00D03A48" w:rsidP="00D03A48">
      <w:pPr>
        <w:pStyle w:val="EndNoteBibliography"/>
        <w:spacing w:after="0" w:line="360" w:lineRule="auto"/>
        <w:ind w:left="720" w:hanging="720"/>
        <w:rPr>
          <w:rFonts w:ascii="Times New Roman" w:hAnsi="Times New Roman"/>
          <w:i/>
          <w:iCs/>
          <w:noProof w:val="0"/>
          <w:sz w:val="24"/>
        </w:rPr>
      </w:pPr>
      <w:r>
        <w:rPr>
          <w:rFonts w:ascii="Times New Roman" w:hAnsi="Times New Roman"/>
          <w:sz w:val="24"/>
        </w:rPr>
        <w:t xml:space="preserve">Wojdynski, B. W. &amp; Evans, N. J. (2015). Going Native: Effects of Disclosure Position and Language on the Recognition and Evaluation of Online Native Advertising. </w:t>
      </w:r>
      <w:r>
        <w:rPr>
          <w:rFonts w:ascii="Times New Roman" w:hAnsi="Times New Roman"/>
          <w:i/>
          <w:iCs/>
          <w:sz w:val="24"/>
        </w:rPr>
        <w:t xml:space="preserve">Journal of Advertising. </w:t>
      </w:r>
      <w:r w:rsidRPr="005037E0">
        <w:rPr>
          <w:rFonts w:ascii="Times New Roman" w:hAnsi="Times New Roman"/>
          <w:sz w:val="24"/>
        </w:rPr>
        <w:t>DOI: 10.1080/00913367.2015.1115380</w:t>
      </w:r>
      <w:r>
        <w:rPr>
          <w:rFonts w:ascii="Times New Roman" w:hAnsi="Times New Roman"/>
          <w:sz w:val="24"/>
        </w:rPr>
        <w:t xml:space="preserve">. </w:t>
      </w:r>
      <w:r>
        <w:rPr>
          <w:rFonts w:ascii="Times New Roman" w:hAnsi="Times New Roman"/>
          <w:noProof w:val="0"/>
          <w:sz w:val="24"/>
        </w:rPr>
        <w:t>Retrieved</w:t>
      </w:r>
      <w:r>
        <w:rPr>
          <w:rFonts w:ascii="Times New Roman" w:hAnsi="Times New Roman"/>
          <w:sz w:val="24"/>
        </w:rPr>
        <w:t xml:space="preserve"> from </w:t>
      </w:r>
      <w:r w:rsidRPr="005037E0">
        <w:rPr>
          <w:rFonts w:ascii="Times New Roman" w:hAnsi="Times New Roman"/>
          <w:sz w:val="24"/>
          <w:lang w:val="en-US"/>
        </w:rPr>
        <w:t>http://www.the7eye.org.il/wp-content/uploads/2016/01/00913367.2015.pdf</w:t>
      </w:r>
      <w:r>
        <w:rPr>
          <w:rFonts w:ascii="Times New Roman" w:hAnsi="Times New Roman"/>
          <w:i/>
          <w:iCs/>
          <w:sz w:val="24"/>
        </w:rPr>
        <w:t xml:space="preserve"> </w:t>
      </w:r>
    </w:p>
    <w:p w14:paraId="0401B5B2"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Yin, R. K. (2009). </w:t>
      </w:r>
      <w:r w:rsidRPr="004B73E4">
        <w:rPr>
          <w:rFonts w:ascii="Times New Roman" w:hAnsi="Times New Roman"/>
          <w:i/>
          <w:sz w:val="24"/>
        </w:rPr>
        <w:t>Case study research : design and methods</w:t>
      </w:r>
      <w:r w:rsidRPr="004B73E4">
        <w:rPr>
          <w:rFonts w:ascii="Times New Roman" w:hAnsi="Times New Roman"/>
          <w:sz w:val="24"/>
        </w:rPr>
        <w:t xml:space="preserve"> (4th ed. ed.). London: SAGE.</w:t>
      </w:r>
    </w:p>
    <w:p w14:paraId="50A41214"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Young, I. M. (2000). </w:t>
      </w:r>
      <w:r w:rsidRPr="004B73E4">
        <w:rPr>
          <w:rFonts w:ascii="Times New Roman" w:hAnsi="Times New Roman"/>
          <w:i/>
          <w:sz w:val="24"/>
        </w:rPr>
        <w:t>Inclusion and Democracy</w:t>
      </w:r>
      <w:r w:rsidRPr="004B73E4">
        <w:rPr>
          <w:rFonts w:ascii="Times New Roman" w:hAnsi="Times New Roman"/>
          <w:sz w:val="24"/>
        </w:rPr>
        <w:t>. Oxford: Oxford University Press.</w:t>
      </w:r>
    </w:p>
    <w:p w14:paraId="41566DBF" w14:textId="77777777" w:rsidR="00497B7D" w:rsidRPr="004B73E4" w:rsidRDefault="00497B7D" w:rsidP="00346CA5">
      <w:pPr>
        <w:pStyle w:val="EndNoteBibliography"/>
        <w:spacing w:after="0" w:line="360" w:lineRule="auto"/>
        <w:ind w:left="720" w:hanging="720"/>
        <w:rPr>
          <w:rFonts w:ascii="Times New Roman" w:hAnsi="Times New Roman"/>
          <w:sz w:val="24"/>
        </w:rPr>
      </w:pPr>
      <w:r w:rsidRPr="004B73E4">
        <w:rPr>
          <w:rFonts w:ascii="Times New Roman" w:hAnsi="Times New Roman"/>
          <w:sz w:val="24"/>
        </w:rPr>
        <w:t xml:space="preserve">Ytreberg, E. (2009). Extended liveness and eventfulness in multi-platform reality formats. </w:t>
      </w:r>
      <w:r w:rsidRPr="004B73E4">
        <w:rPr>
          <w:rFonts w:ascii="Times New Roman" w:hAnsi="Times New Roman"/>
          <w:i/>
          <w:sz w:val="24"/>
        </w:rPr>
        <w:t>New Media and Society, 11</w:t>
      </w:r>
      <w:r w:rsidRPr="004B73E4">
        <w:rPr>
          <w:rFonts w:ascii="Times New Roman" w:hAnsi="Times New Roman"/>
          <w:sz w:val="24"/>
        </w:rPr>
        <w:t xml:space="preserve">(4), 467-485. </w:t>
      </w:r>
    </w:p>
    <w:p w14:paraId="2BBD021E" w14:textId="77777777" w:rsidR="00497B7D" w:rsidRPr="004B73E4" w:rsidRDefault="00497B7D" w:rsidP="00346CA5">
      <w:pPr>
        <w:pStyle w:val="EndNoteBibliography"/>
        <w:spacing w:line="360" w:lineRule="auto"/>
        <w:ind w:left="720" w:hanging="720"/>
        <w:rPr>
          <w:rFonts w:ascii="Times New Roman" w:hAnsi="Times New Roman"/>
          <w:sz w:val="24"/>
        </w:rPr>
      </w:pPr>
      <w:r w:rsidRPr="004B73E4">
        <w:rPr>
          <w:rFonts w:ascii="Times New Roman" w:hAnsi="Times New Roman"/>
          <w:sz w:val="24"/>
        </w:rPr>
        <w:t xml:space="preserve">Zyman, S., &amp; Brott, A. A. (2002). </w:t>
      </w:r>
      <w:r w:rsidRPr="004B73E4">
        <w:rPr>
          <w:rFonts w:ascii="Times New Roman" w:hAnsi="Times New Roman"/>
          <w:i/>
          <w:sz w:val="24"/>
        </w:rPr>
        <w:t>The end of advertising as we know it</w:t>
      </w:r>
      <w:r w:rsidRPr="004B73E4">
        <w:rPr>
          <w:rFonts w:ascii="Times New Roman" w:hAnsi="Times New Roman"/>
          <w:sz w:val="24"/>
        </w:rPr>
        <w:t>. New York ; [Chichester]: Wiley.</w:t>
      </w:r>
    </w:p>
    <w:p w14:paraId="0D07088D" w14:textId="77777777" w:rsidR="00497B7D" w:rsidRPr="004B73E4" w:rsidRDefault="00497B7D" w:rsidP="00346CA5">
      <w:pPr>
        <w:spacing w:line="360" w:lineRule="auto"/>
        <w:rPr>
          <w:rFonts w:ascii="Times New Roman" w:eastAsia="Calibri" w:hAnsi="Times New Roman" w:cs="Times New Roman"/>
          <w:sz w:val="24"/>
          <w:szCs w:val="24"/>
        </w:rPr>
      </w:pPr>
    </w:p>
    <w:p w14:paraId="61DFBFEB" w14:textId="77777777" w:rsidR="00497B7D" w:rsidRDefault="00497B7D" w:rsidP="00346CA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FD28B23" w14:textId="77777777" w:rsidR="00CD1B3D" w:rsidRDefault="008B6373" w:rsidP="00CD1B3D">
      <w:pPr>
        <w:pStyle w:val="EndNoteBibliography"/>
        <w:spacing w:after="0" w:line="360" w:lineRule="auto"/>
        <w:ind w:left="720" w:hanging="720"/>
        <w:rPr>
          <w:rFonts w:ascii="Times New Roman" w:hAnsi="Times New Roman"/>
          <w:sz w:val="24"/>
        </w:rPr>
      </w:pPr>
      <w:r w:rsidRPr="009B5102">
        <w:rPr>
          <w:rFonts w:ascii="Times New Roman" w:eastAsia="Calibri" w:hAnsi="Times New Roman"/>
          <w:sz w:val="24"/>
        </w:rPr>
        <w:lastRenderedPageBreak/>
        <w:fldChar w:fldCharType="begin"/>
      </w:r>
      <w:r w:rsidR="00E94ACA" w:rsidRPr="009B5102">
        <w:rPr>
          <w:rFonts w:ascii="Times New Roman" w:eastAsia="Calibri" w:hAnsi="Times New Roman"/>
          <w:sz w:val="24"/>
        </w:rPr>
        <w:instrText xml:space="preserve"> ADDIN EN.REFLIST </w:instrText>
      </w:r>
      <w:r w:rsidRPr="009B5102">
        <w:rPr>
          <w:rFonts w:ascii="Times New Roman" w:eastAsia="Calibri" w:hAnsi="Times New Roman"/>
          <w:sz w:val="24"/>
        </w:rPr>
        <w:fldChar w:fldCharType="separate"/>
      </w:r>
    </w:p>
    <w:p w14:paraId="2B30A5B8" w14:textId="77777777" w:rsidR="00E94ACA" w:rsidRDefault="00E94ACA" w:rsidP="00E94ACA">
      <w:pPr>
        <w:rPr>
          <w:rFonts w:ascii="Times New Roman" w:hAnsi="Times New Roman" w:cs="Times New Roman"/>
          <w:noProof/>
          <w:sz w:val="24"/>
          <w:szCs w:val="24"/>
        </w:rPr>
      </w:pPr>
    </w:p>
    <w:p w14:paraId="04523BD2" w14:textId="77777777" w:rsidR="00E94ACA" w:rsidRPr="007615E9" w:rsidRDefault="00E94ACA" w:rsidP="00E94ACA">
      <w:pPr>
        <w:pStyle w:val="Heading1"/>
        <w:rPr>
          <w:rFonts w:asciiTheme="majorBidi" w:hAnsiTheme="majorBidi" w:cstheme="majorBidi"/>
        </w:rPr>
      </w:pPr>
      <w:bookmarkStart w:id="123" w:name="_Toc445202720"/>
      <w:r w:rsidRPr="007615E9">
        <w:rPr>
          <w:rFonts w:asciiTheme="majorBidi" w:hAnsiTheme="majorBidi" w:cstheme="majorBidi"/>
        </w:rPr>
        <w:t>Appendix 1: Background Interviews, UK</w:t>
      </w:r>
      <w:bookmarkEnd w:id="123"/>
    </w:p>
    <w:p w14:paraId="61CD8EB3" w14:textId="77777777" w:rsidR="00E94ACA" w:rsidRPr="007615E9" w:rsidRDefault="00E94ACA" w:rsidP="00E94ACA">
      <w:pPr>
        <w:numPr>
          <w:ilvl w:val="0"/>
          <w:numId w:val="1"/>
        </w:numPr>
        <w:spacing w:after="0" w:line="360" w:lineRule="auto"/>
        <w:rPr>
          <w:rFonts w:asciiTheme="majorBidi" w:hAnsiTheme="majorBidi" w:cstheme="majorBidi"/>
          <w:b/>
          <w:bCs/>
          <w:sz w:val="24"/>
          <w:szCs w:val="24"/>
        </w:rPr>
      </w:pPr>
      <w:r w:rsidRPr="007615E9">
        <w:rPr>
          <w:rFonts w:asciiTheme="majorBidi" w:hAnsiTheme="majorBidi" w:cstheme="majorBidi"/>
          <w:b/>
          <w:bCs/>
          <w:sz w:val="24"/>
          <w:szCs w:val="24"/>
        </w:rPr>
        <w:t>Arino</w:t>
      </w:r>
      <w:r>
        <w:rPr>
          <w:rFonts w:asciiTheme="majorBidi" w:hAnsiTheme="majorBidi" w:cstheme="majorBidi"/>
          <w:b/>
          <w:bCs/>
          <w:sz w:val="24"/>
          <w:szCs w:val="24"/>
        </w:rPr>
        <w:t>,</w:t>
      </w:r>
      <w:r w:rsidRPr="007615E9">
        <w:rPr>
          <w:rFonts w:asciiTheme="majorBidi" w:hAnsiTheme="majorBidi" w:cstheme="majorBidi"/>
          <w:b/>
          <w:bCs/>
          <w:sz w:val="24"/>
          <w:szCs w:val="24"/>
        </w:rPr>
        <w:t xml:space="preserve"> Monica</w:t>
      </w:r>
      <w:r w:rsidRPr="007615E9">
        <w:rPr>
          <w:rFonts w:asciiTheme="majorBidi" w:hAnsiTheme="majorBidi" w:cstheme="majorBidi"/>
          <w:sz w:val="24"/>
          <w:szCs w:val="24"/>
        </w:rPr>
        <w:t>, Senior Associate, International Policy, Ofcom; interview conducted on 24.04.09.</w:t>
      </w:r>
    </w:p>
    <w:p w14:paraId="25E857B3" w14:textId="77777777" w:rsidR="00E94ACA" w:rsidRPr="007615E9" w:rsidRDefault="00E94ACA" w:rsidP="00E94ACA">
      <w:pPr>
        <w:numPr>
          <w:ilvl w:val="0"/>
          <w:numId w:val="1"/>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Bantvala</w:t>
      </w:r>
      <w:r>
        <w:rPr>
          <w:rFonts w:asciiTheme="majorBidi" w:hAnsiTheme="majorBidi" w:cstheme="majorBidi"/>
          <w:b/>
          <w:bCs/>
          <w:sz w:val="24"/>
          <w:szCs w:val="24"/>
        </w:rPr>
        <w:t>,</w:t>
      </w:r>
      <w:r w:rsidRPr="007615E9">
        <w:rPr>
          <w:rFonts w:asciiTheme="majorBidi" w:hAnsiTheme="majorBidi" w:cstheme="majorBidi"/>
          <w:b/>
          <w:bCs/>
          <w:sz w:val="24"/>
          <w:szCs w:val="24"/>
        </w:rPr>
        <w:t xml:space="preserve"> Chris</w:t>
      </w:r>
      <w:r w:rsidRPr="007615E9">
        <w:rPr>
          <w:rFonts w:asciiTheme="majorBidi" w:hAnsiTheme="majorBidi" w:cstheme="majorBidi"/>
          <w:sz w:val="24"/>
          <w:szCs w:val="24"/>
        </w:rPr>
        <w:t xml:space="preserve">, Head of Standards for Ofcom; interview conducted on 06.02.09 in London.  </w:t>
      </w:r>
    </w:p>
    <w:p w14:paraId="5D792C5E" w14:textId="77777777" w:rsidR="00E94ACA" w:rsidRPr="007615E9" w:rsidRDefault="00E94ACA" w:rsidP="00E94ACA">
      <w:pPr>
        <w:numPr>
          <w:ilvl w:val="0"/>
          <w:numId w:val="1"/>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Cresswell</w:t>
      </w:r>
      <w:r>
        <w:rPr>
          <w:rFonts w:asciiTheme="majorBidi" w:hAnsiTheme="majorBidi" w:cstheme="majorBidi"/>
          <w:b/>
          <w:bCs/>
          <w:sz w:val="24"/>
          <w:szCs w:val="24"/>
        </w:rPr>
        <w:t>,</w:t>
      </w:r>
      <w:r w:rsidRPr="007615E9">
        <w:rPr>
          <w:rFonts w:asciiTheme="majorBidi" w:hAnsiTheme="majorBidi" w:cstheme="majorBidi"/>
          <w:b/>
          <w:bCs/>
          <w:sz w:val="24"/>
          <w:szCs w:val="24"/>
        </w:rPr>
        <w:t xml:space="preserve"> Phil</w:t>
      </w:r>
      <w:r w:rsidRPr="007615E9">
        <w:rPr>
          <w:rFonts w:asciiTheme="majorBidi" w:hAnsiTheme="majorBidi" w:cstheme="majorBidi"/>
          <w:sz w:val="24"/>
          <w:szCs w:val="24"/>
        </w:rPr>
        <w:t xml:space="preserve">, Head of Broadcast, Sponsorships and Production at Universal McCann; interview conducted on 15.04.09 in London. </w:t>
      </w:r>
    </w:p>
    <w:p w14:paraId="0CA7F0C9" w14:textId="77777777" w:rsidR="00E94ACA" w:rsidRPr="007615E9" w:rsidRDefault="00E94ACA" w:rsidP="00E94ACA">
      <w:pPr>
        <w:numPr>
          <w:ilvl w:val="0"/>
          <w:numId w:val="1"/>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Edgar-Jones</w:t>
      </w:r>
      <w:r>
        <w:rPr>
          <w:rFonts w:asciiTheme="majorBidi" w:hAnsiTheme="majorBidi" w:cstheme="majorBidi"/>
          <w:b/>
          <w:bCs/>
          <w:sz w:val="24"/>
          <w:szCs w:val="24"/>
        </w:rPr>
        <w:t>,</w:t>
      </w:r>
      <w:r w:rsidRPr="007615E9">
        <w:rPr>
          <w:rFonts w:asciiTheme="majorBidi" w:hAnsiTheme="majorBidi" w:cstheme="majorBidi"/>
          <w:b/>
          <w:bCs/>
          <w:sz w:val="24"/>
          <w:szCs w:val="24"/>
        </w:rPr>
        <w:t xml:space="preserve"> Phillip</w:t>
      </w:r>
      <w:r w:rsidRPr="007615E9">
        <w:rPr>
          <w:rFonts w:asciiTheme="majorBidi" w:hAnsiTheme="majorBidi" w:cstheme="majorBidi"/>
          <w:sz w:val="24"/>
          <w:szCs w:val="24"/>
        </w:rPr>
        <w:t>,</w:t>
      </w:r>
      <w:r w:rsidRPr="007615E9">
        <w:rPr>
          <w:rFonts w:asciiTheme="majorBidi" w:hAnsiTheme="majorBidi" w:cstheme="majorBidi"/>
          <w:b/>
          <w:bCs/>
          <w:sz w:val="24"/>
          <w:szCs w:val="24"/>
        </w:rPr>
        <w:t xml:space="preserve"> </w:t>
      </w:r>
      <w:r w:rsidRPr="007615E9">
        <w:rPr>
          <w:rFonts w:asciiTheme="majorBidi" w:hAnsiTheme="majorBidi" w:cstheme="majorBidi"/>
          <w:sz w:val="24"/>
          <w:szCs w:val="24"/>
        </w:rPr>
        <w:t xml:space="preserve">Creative Director for </w:t>
      </w:r>
      <w:r w:rsidRPr="007615E9">
        <w:rPr>
          <w:rFonts w:asciiTheme="majorBidi" w:hAnsiTheme="majorBidi" w:cstheme="majorBidi"/>
          <w:i/>
          <w:iCs/>
          <w:sz w:val="24"/>
          <w:szCs w:val="24"/>
        </w:rPr>
        <w:t xml:space="preserve">Big Brother </w:t>
      </w:r>
      <w:r w:rsidRPr="007615E9">
        <w:rPr>
          <w:rFonts w:asciiTheme="majorBidi" w:hAnsiTheme="majorBidi" w:cstheme="majorBidi"/>
          <w:sz w:val="24"/>
          <w:szCs w:val="24"/>
        </w:rPr>
        <w:t xml:space="preserve">at Endemol UK; interview conducted on 25.02.09 in London. </w:t>
      </w:r>
    </w:p>
    <w:p w14:paraId="21CD124F" w14:textId="77777777" w:rsidR="00E94ACA" w:rsidRPr="007615E9" w:rsidRDefault="00E94ACA" w:rsidP="00E94ACA">
      <w:pPr>
        <w:numPr>
          <w:ilvl w:val="0"/>
          <w:numId w:val="1"/>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Holt</w:t>
      </w:r>
      <w:r>
        <w:rPr>
          <w:rFonts w:asciiTheme="majorBidi" w:hAnsiTheme="majorBidi" w:cstheme="majorBidi"/>
          <w:b/>
          <w:bCs/>
          <w:sz w:val="24"/>
          <w:szCs w:val="24"/>
        </w:rPr>
        <w:t>,</w:t>
      </w:r>
      <w:r w:rsidRPr="007615E9">
        <w:rPr>
          <w:rFonts w:asciiTheme="majorBidi" w:hAnsiTheme="majorBidi" w:cstheme="majorBidi"/>
          <w:b/>
          <w:bCs/>
          <w:sz w:val="24"/>
          <w:szCs w:val="24"/>
        </w:rPr>
        <w:t xml:space="preserve"> Morgan</w:t>
      </w:r>
      <w:r w:rsidRPr="007615E9">
        <w:rPr>
          <w:rFonts w:asciiTheme="majorBidi" w:hAnsiTheme="majorBidi" w:cstheme="majorBidi"/>
          <w:sz w:val="24"/>
          <w:szCs w:val="24"/>
        </w:rPr>
        <w:t xml:space="preserve">, Head of Branded Content at the Engine Group and Chairman of the British Branded Content and Marketing Association; interviews conducted on 23.02.09 and 07.04.09 in London. </w:t>
      </w:r>
      <w:r w:rsidRPr="007615E9">
        <w:rPr>
          <w:rFonts w:asciiTheme="majorBidi" w:hAnsiTheme="majorBidi" w:cstheme="majorBidi"/>
          <w:i/>
          <w:iCs/>
          <w:sz w:val="24"/>
          <w:szCs w:val="24"/>
        </w:rPr>
        <w:t xml:space="preserve">  </w:t>
      </w:r>
      <w:r w:rsidRPr="007615E9">
        <w:rPr>
          <w:rFonts w:asciiTheme="majorBidi" w:hAnsiTheme="majorBidi" w:cstheme="majorBidi"/>
          <w:sz w:val="24"/>
          <w:szCs w:val="24"/>
        </w:rPr>
        <w:t xml:space="preserve"> </w:t>
      </w:r>
    </w:p>
    <w:p w14:paraId="53441885" w14:textId="77777777" w:rsidR="00E94ACA" w:rsidRPr="007615E9" w:rsidRDefault="00E94ACA" w:rsidP="00E94ACA">
      <w:pPr>
        <w:numPr>
          <w:ilvl w:val="0"/>
          <w:numId w:val="1"/>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Johnson</w:t>
      </w:r>
      <w:r>
        <w:rPr>
          <w:rFonts w:asciiTheme="majorBidi" w:hAnsiTheme="majorBidi" w:cstheme="majorBidi"/>
          <w:b/>
          <w:bCs/>
          <w:sz w:val="24"/>
          <w:szCs w:val="24"/>
        </w:rPr>
        <w:t>,</w:t>
      </w:r>
      <w:r w:rsidRPr="007615E9">
        <w:rPr>
          <w:rFonts w:asciiTheme="majorBidi" w:hAnsiTheme="majorBidi" w:cstheme="majorBidi"/>
          <w:b/>
          <w:bCs/>
          <w:sz w:val="24"/>
          <w:szCs w:val="24"/>
        </w:rPr>
        <w:t xml:space="preserve"> Paul</w:t>
      </w:r>
      <w:r w:rsidRPr="007615E9">
        <w:rPr>
          <w:rFonts w:asciiTheme="majorBidi" w:hAnsiTheme="majorBidi" w:cstheme="majorBidi"/>
          <w:sz w:val="24"/>
          <w:szCs w:val="24"/>
        </w:rPr>
        <w:t>, Global Head of Marketing and Brand Partnership at the Endemol Group; interview conducted on</w:t>
      </w:r>
      <w:r w:rsidRPr="007615E9">
        <w:rPr>
          <w:rFonts w:asciiTheme="majorBidi" w:hAnsiTheme="majorBidi" w:cstheme="majorBidi"/>
          <w:i/>
          <w:iCs/>
          <w:sz w:val="24"/>
          <w:szCs w:val="24"/>
        </w:rPr>
        <w:t xml:space="preserve"> </w:t>
      </w:r>
      <w:r w:rsidRPr="007615E9">
        <w:rPr>
          <w:rFonts w:asciiTheme="majorBidi" w:hAnsiTheme="majorBidi" w:cstheme="majorBidi"/>
          <w:sz w:val="24"/>
          <w:szCs w:val="24"/>
        </w:rPr>
        <w:t>23.10.09 in London.</w:t>
      </w:r>
    </w:p>
    <w:p w14:paraId="766D8C84" w14:textId="77777777" w:rsidR="00E94ACA" w:rsidRPr="007615E9" w:rsidRDefault="00E94ACA" w:rsidP="00E94ACA">
      <w:pPr>
        <w:numPr>
          <w:ilvl w:val="0"/>
          <w:numId w:val="1"/>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Moulsdale</w:t>
      </w:r>
      <w:r>
        <w:rPr>
          <w:rFonts w:asciiTheme="majorBidi" w:hAnsiTheme="majorBidi" w:cstheme="majorBidi"/>
          <w:b/>
          <w:bCs/>
          <w:sz w:val="24"/>
          <w:szCs w:val="24"/>
        </w:rPr>
        <w:t>,</w:t>
      </w:r>
      <w:r w:rsidRPr="007615E9">
        <w:rPr>
          <w:rFonts w:asciiTheme="majorBidi" w:hAnsiTheme="majorBidi" w:cstheme="majorBidi"/>
          <w:b/>
          <w:bCs/>
          <w:sz w:val="24"/>
          <w:szCs w:val="24"/>
        </w:rPr>
        <w:t xml:space="preserve"> Tony</w:t>
      </w:r>
      <w:r w:rsidRPr="007615E9">
        <w:rPr>
          <w:rFonts w:asciiTheme="majorBidi" w:hAnsiTheme="majorBidi" w:cstheme="majorBidi"/>
          <w:sz w:val="24"/>
          <w:szCs w:val="24"/>
        </w:rPr>
        <w:t xml:space="preserve">, Head of Programming at MediaCom; interview conducted on 21.11.08 in London. </w:t>
      </w:r>
    </w:p>
    <w:p w14:paraId="63B49ADD" w14:textId="77777777" w:rsidR="00E94ACA" w:rsidRPr="007615E9" w:rsidRDefault="00E94ACA" w:rsidP="00E94ACA">
      <w:pPr>
        <w:numPr>
          <w:ilvl w:val="0"/>
          <w:numId w:val="1"/>
        </w:numPr>
        <w:spacing w:after="0" w:line="360" w:lineRule="auto"/>
        <w:rPr>
          <w:rFonts w:asciiTheme="majorBidi" w:hAnsiTheme="majorBidi" w:cstheme="majorBidi"/>
          <w:b/>
          <w:bCs/>
          <w:sz w:val="24"/>
          <w:szCs w:val="24"/>
        </w:rPr>
      </w:pPr>
      <w:r w:rsidRPr="007615E9">
        <w:rPr>
          <w:rFonts w:asciiTheme="majorBidi" w:hAnsiTheme="majorBidi" w:cstheme="majorBidi"/>
          <w:b/>
          <w:bCs/>
          <w:sz w:val="24"/>
          <w:szCs w:val="24"/>
        </w:rPr>
        <w:t>Regev</w:t>
      </w:r>
      <w:r>
        <w:rPr>
          <w:rFonts w:asciiTheme="majorBidi" w:hAnsiTheme="majorBidi" w:cstheme="majorBidi"/>
          <w:b/>
          <w:bCs/>
          <w:sz w:val="24"/>
          <w:szCs w:val="24"/>
        </w:rPr>
        <w:t>,</w:t>
      </w:r>
      <w:r w:rsidRPr="007615E9">
        <w:rPr>
          <w:rFonts w:asciiTheme="majorBidi" w:hAnsiTheme="majorBidi" w:cstheme="majorBidi"/>
          <w:b/>
          <w:bCs/>
          <w:sz w:val="24"/>
          <w:szCs w:val="24"/>
        </w:rPr>
        <w:t xml:space="preserve"> Udi, </w:t>
      </w:r>
      <w:r w:rsidRPr="007615E9">
        <w:rPr>
          <w:rFonts w:asciiTheme="majorBidi" w:hAnsiTheme="majorBidi" w:cstheme="majorBidi"/>
          <w:sz w:val="24"/>
          <w:szCs w:val="24"/>
        </w:rPr>
        <w:t>Creative Director at the ETV Media Group; interview conducted on 24.10.08 in London.</w:t>
      </w:r>
      <w:r w:rsidRPr="007615E9">
        <w:rPr>
          <w:rFonts w:asciiTheme="majorBidi" w:hAnsiTheme="majorBidi" w:cstheme="majorBidi"/>
          <w:color w:val="222222"/>
          <w:sz w:val="24"/>
          <w:szCs w:val="24"/>
          <w:shd w:val="clear" w:color="auto" w:fill="FFFFFF"/>
        </w:rPr>
        <w:t xml:space="preserve"> </w:t>
      </w:r>
      <w:r w:rsidRPr="007615E9">
        <w:rPr>
          <w:rFonts w:asciiTheme="majorBidi" w:hAnsiTheme="majorBidi" w:cstheme="majorBidi"/>
          <w:sz w:val="24"/>
          <w:szCs w:val="24"/>
        </w:rPr>
        <w:t xml:space="preserve"> </w:t>
      </w:r>
    </w:p>
    <w:p w14:paraId="22A5F451" w14:textId="77777777" w:rsidR="00E94ACA" w:rsidRPr="007615E9" w:rsidRDefault="00E94ACA" w:rsidP="00E94ACA">
      <w:pPr>
        <w:numPr>
          <w:ilvl w:val="0"/>
          <w:numId w:val="1"/>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Rutherford</w:t>
      </w:r>
      <w:r>
        <w:rPr>
          <w:rFonts w:asciiTheme="majorBidi" w:hAnsiTheme="majorBidi" w:cstheme="majorBidi"/>
          <w:b/>
          <w:bCs/>
          <w:sz w:val="24"/>
          <w:szCs w:val="24"/>
        </w:rPr>
        <w:t>,</w:t>
      </w:r>
      <w:r w:rsidRPr="007615E9">
        <w:rPr>
          <w:rFonts w:asciiTheme="majorBidi" w:hAnsiTheme="majorBidi" w:cstheme="majorBidi"/>
          <w:b/>
          <w:bCs/>
          <w:sz w:val="24"/>
          <w:szCs w:val="24"/>
        </w:rPr>
        <w:t xml:space="preserve"> Chantal</w:t>
      </w:r>
      <w:r w:rsidRPr="007615E9">
        <w:rPr>
          <w:rFonts w:asciiTheme="majorBidi" w:hAnsiTheme="majorBidi" w:cstheme="majorBidi"/>
          <w:sz w:val="24"/>
          <w:szCs w:val="24"/>
        </w:rPr>
        <w:t>, Head of Programming at Mediaedge:CIA; interviews conducted on 06.11.08 and 17.11.08 in London.</w:t>
      </w:r>
    </w:p>
    <w:p w14:paraId="539A8DB5" w14:textId="77777777" w:rsidR="00E94ACA" w:rsidRPr="007615E9" w:rsidRDefault="00E94ACA" w:rsidP="00E94ACA">
      <w:pPr>
        <w:numPr>
          <w:ilvl w:val="0"/>
          <w:numId w:val="1"/>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 xml:space="preserve"> Saunders</w:t>
      </w:r>
      <w:r>
        <w:rPr>
          <w:rFonts w:asciiTheme="majorBidi" w:hAnsiTheme="majorBidi" w:cstheme="majorBidi"/>
          <w:b/>
          <w:bCs/>
          <w:sz w:val="24"/>
          <w:szCs w:val="24"/>
        </w:rPr>
        <w:t>,</w:t>
      </w:r>
      <w:r w:rsidRPr="007615E9">
        <w:rPr>
          <w:rFonts w:asciiTheme="majorBidi" w:hAnsiTheme="majorBidi" w:cstheme="majorBidi"/>
          <w:b/>
          <w:bCs/>
          <w:sz w:val="24"/>
          <w:szCs w:val="24"/>
        </w:rPr>
        <w:t xml:space="preserve"> Cameron</w:t>
      </w:r>
      <w:r w:rsidRPr="007615E9">
        <w:rPr>
          <w:rFonts w:asciiTheme="majorBidi" w:hAnsiTheme="majorBidi" w:cstheme="majorBidi"/>
          <w:sz w:val="24"/>
          <w:szCs w:val="24"/>
        </w:rPr>
        <w:t>, UK Marketing Director, Theatrical Division at 20</w:t>
      </w:r>
      <w:r w:rsidRPr="007615E9">
        <w:rPr>
          <w:rFonts w:asciiTheme="majorBidi" w:hAnsiTheme="majorBidi" w:cstheme="majorBidi"/>
          <w:sz w:val="24"/>
          <w:szCs w:val="24"/>
          <w:vertAlign w:val="superscript"/>
        </w:rPr>
        <w:t>th</w:t>
      </w:r>
      <w:r w:rsidRPr="007615E9">
        <w:rPr>
          <w:rFonts w:asciiTheme="majorBidi" w:hAnsiTheme="majorBidi" w:cstheme="majorBidi"/>
          <w:sz w:val="24"/>
          <w:szCs w:val="24"/>
        </w:rPr>
        <w:t xml:space="preserve"> Century Fox and Former Head of Marketing at Channel 4; interview conducted on 06.03.09 in London. </w:t>
      </w:r>
    </w:p>
    <w:p w14:paraId="6B3B4120" w14:textId="77777777" w:rsidR="00E94ACA" w:rsidRPr="007615E9" w:rsidRDefault="00E94ACA" w:rsidP="00E94ACA">
      <w:pPr>
        <w:numPr>
          <w:ilvl w:val="0"/>
          <w:numId w:val="1"/>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Willis</w:t>
      </w:r>
      <w:r>
        <w:rPr>
          <w:rFonts w:asciiTheme="majorBidi" w:hAnsiTheme="majorBidi" w:cstheme="majorBidi"/>
          <w:b/>
          <w:bCs/>
          <w:sz w:val="24"/>
          <w:szCs w:val="24"/>
        </w:rPr>
        <w:t>,</w:t>
      </w:r>
      <w:r w:rsidRPr="007615E9">
        <w:rPr>
          <w:rFonts w:asciiTheme="majorBidi" w:hAnsiTheme="majorBidi" w:cstheme="majorBidi"/>
          <w:b/>
          <w:bCs/>
          <w:sz w:val="24"/>
          <w:szCs w:val="24"/>
        </w:rPr>
        <w:t xml:space="preserve"> Simon</w:t>
      </w:r>
      <w:r w:rsidRPr="007615E9">
        <w:rPr>
          <w:rFonts w:asciiTheme="majorBidi" w:hAnsiTheme="majorBidi" w:cstheme="majorBidi"/>
          <w:sz w:val="24"/>
          <w:szCs w:val="24"/>
        </w:rPr>
        <w:t xml:space="preserve">, Head of Programming at Mindshare; interview conducted on 20.11.08 in London. </w:t>
      </w:r>
    </w:p>
    <w:p w14:paraId="5B3E69CD" w14:textId="77777777" w:rsidR="00E94ACA" w:rsidRPr="007615E9" w:rsidRDefault="00E94ACA" w:rsidP="00E94ACA">
      <w:pPr>
        <w:rPr>
          <w:rFonts w:asciiTheme="majorBidi" w:hAnsiTheme="majorBidi" w:cstheme="majorBidi"/>
          <w:sz w:val="24"/>
          <w:szCs w:val="24"/>
        </w:rPr>
      </w:pPr>
      <w:r w:rsidRPr="007615E9">
        <w:rPr>
          <w:rFonts w:asciiTheme="majorBidi" w:hAnsiTheme="majorBidi" w:cstheme="majorBidi"/>
          <w:sz w:val="24"/>
          <w:szCs w:val="24"/>
        </w:rPr>
        <w:t xml:space="preserve">The list does not include background interviews that were informal or with sources that asked to remain anonymous. </w:t>
      </w:r>
      <w:r w:rsidRPr="007615E9">
        <w:rPr>
          <w:rFonts w:asciiTheme="majorBidi" w:hAnsiTheme="majorBidi" w:cstheme="majorBidi"/>
          <w:sz w:val="24"/>
          <w:szCs w:val="24"/>
        </w:rPr>
        <w:br w:type="page"/>
      </w:r>
    </w:p>
    <w:p w14:paraId="046DBD03" w14:textId="77777777" w:rsidR="00E94ACA" w:rsidRPr="007615E9" w:rsidRDefault="00E94ACA" w:rsidP="00E94ACA">
      <w:pPr>
        <w:pStyle w:val="Heading1"/>
        <w:rPr>
          <w:rFonts w:asciiTheme="majorBidi" w:hAnsiTheme="majorBidi" w:cstheme="majorBidi"/>
        </w:rPr>
      </w:pPr>
      <w:bookmarkStart w:id="124" w:name="_Toc436586481"/>
      <w:bookmarkStart w:id="125" w:name="_Toc445202721"/>
      <w:r w:rsidRPr="007615E9">
        <w:rPr>
          <w:rFonts w:asciiTheme="majorBidi" w:hAnsiTheme="majorBidi" w:cstheme="majorBidi"/>
        </w:rPr>
        <w:lastRenderedPageBreak/>
        <w:t>Appendix 2: Background Interviews, Israel</w:t>
      </w:r>
      <w:bookmarkEnd w:id="124"/>
      <w:bookmarkEnd w:id="125"/>
    </w:p>
    <w:p w14:paraId="00F8BFE9" w14:textId="77777777" w:rsidR="00E94ACA" w:rsidRPr="007615E9" w:rsidRDefault="00E94ACA" w:rsidP="00E94ACA">
      <w:pPr>
        <w:pStyle w:val="ListParagraph"/>
        <w:numPr>
          <w:ilvl w:val="0"/>
          <w:numId w:val="2"/>
        </w:numPr>
        <w:spacing w:after="160"/>
        <w:jc w:val="both"/>
        <w:rPr>
          <w:rFonts w:asciiTheme="majorBidi" w:hAnsiTheme="majorBidi" w:cstheme="majorBidi"/>
        </w:rPr>
      </w:pPr>
      <w:r w:rsidRPr="007615E9">
        <w:rPr>
          <w:rFonts w:asciiTheme="majorBidi" w:hAnsiTheme="majorBidi" w:cstheme="majorBidi"/>
          <w:b/>
          <w:bCs/>
        </w:rPr>
        <w:t>Bergbaum</w:t>
      </w:r>
      <w:r>
        <w:rPr>
          <w:rFonts w:asciiTheme="majorBidi" w:hAnsiTheme="majorBidi" w:cstheme="majorBidi"/>
          <w:b/>
          <w:bCs/>
        </w:rPr>
        <w:t>,</w:t>
      </w:r>
      <w:r w:rsidRPr="007615E9">
        <w:rPr>
          <w:rFonts w:asciiTheme="majorBidi" w:hAnsiTheme="majorBidi" w:cstheme="majorBidi"/>
          <w:b/>
          <w:bCs/>
        </w:rPr>
        <w:t xml:space="preserve"> Erez</w:t>
      </w:r>
      <w:r w:rsidRPr="007615E9">
        <w:rPr>
          <w:rFonts w:asciiTheme="majorBidi" w:hAnsiTheme="majorBidi" w:cstheme="majorBidi"/>
        </w:rPr>
        <w:t xml:space="preserve">, Founder and CEO of the C Branded Content Agency, Tel-Aviv; interview conducted on 24.08.08 in Tel-Aviv. </w:t>
      </w:r>
    </w:p>
    <w:p w14:paraId="61E6FA60" w14:textId="77777777" w:rsidR="00E94ACA" w:rsidRPr="007615E9" w:rsidRDefault="00E94ACA" w:rsidP="00E94ACA">
      <w:pPr>
        <w:pStyle w:val="ListParagraph"/>
        <w:numPr>
          <w:ilvl w:val="0"/>
          <w:numId w:val="2"/>
        </w:numPr>
        <w:spacing w:after="160"/>
        <w:jc w:val="both"/>
        <w:rPr>
          <w:rFonts w:asciiTheme="majorBidi" w:hAnsiTheme="majorBidi" w:cstheme="majorBidi"/>
        </w:rPr>
      </w:pPr>
      <w:r w:rsidRPr="007615E9">
        <w:rPr>
          <w:rFonts w:asciiTheme="majorBidi" w:hAnsiTheme="majorBidi" w:cstheme="majorBidi"/>
          <w:b/>
          <w:bCs/>
          <w:lang w:val="en-US"/>
        </w:rPr>
        <w:t>Elman</w:t>
      </w:r>
      <w:r>
        <w:rPr>
          <w:rFonts w:asciiTheme="majorBidi" w:hAnsiTheme="majorBidi" w:cstheme="majorBidi"/>
          <w:b/>
          <w:bCs/>
          <w:lang w:val="en-US"/>
        </w:rPr>
        <w:t>,</w:t>
      </w:r>
      <w:r w:rsidRPr="007615E9">
        <w:rPr>
          <w:rFonts w:asciiTheme="majorBidi" w:hAnsiTheme="majorBidi" w:cstheme="majorBidi"/>
          <w:b/>
          <w:bCs/>
          <w:lang w:val="en-US"/>
        </w:rPr>
        <w:t xml:space="preserve"> Uri</w:t>
      </w:r>
      <w:r w:rsidRPr="007615E9">
        <w:rPr>
          <w:rFonts w:asciiTheme="majorBidi" w:hAnsiTheme="majorBidi" w:cstheme="majorBidi"/>
          <w:lang w:val="en-US"/>
        </w:rPr>
        <w:t xml:space="preserve">, </w:t>
      </w:r>
      <w:r w:rsidRPr="007615E9">
        <w:rPr>
          <w:rFonts w:asciiTheme="majorBidi" w:hAnsiTheme="majorBidi" w:cstheme="majorBidi"/>
        </w:rPr>
        <w:t xml:space="preserve">Founder and CEO of Effect TV – a company that measures marketing content; interview conducted on 18.09.08.  </w:t>
      </w:r>
    </w:p>
    <w:p w14:paraId="75201F92" w14:textId="77777777" w:rsidR="00E94ACA" w:rsidRPr="007615E9" w:rsidRDefault="00E94ACA" w:rsidP="00E94ACA">
      <w:pPr>
        <w:pStyle w:val="ListParagraph"/>
        <w:numPr>
          <w:ilvl w:val="0"/>
          <w:numId w:val="2"/>
        </w:numPr>
        <w:spacing w:after="160"/>
        <w:jc w:val="both"/>
        <w:rPr>
          <w:rFonts w:asciiTheme="majorBidi" w:hAnsiTheme="majorBidi" w:cstheme="majorBidi"/>
        </w:rPr>
      </w:pPr>
      <w:r w:rsidRPr="007615E9">
        <w:rPr>
          <w:rFonts w:asciiTheme="majorBidi" w:hAnsiTheme="majorBidi" w:cstheme="majorBidi"/>
          <w:b/>
          <w:bCs/>
        </w:rPr>
        <w:t>Feldman</w:t>
      </w:r>
      <w:r>
        <w:rPr>
          <w:rFonts w:asciiTheme="majorBidi" w:hAnsiTheme="majorBidi" w:cstheme="majorBidi"/>
          <w:b/>
          <w:bCs/>
        </w:rPr>
        <w:t>,</w:t>
      </w:r>
      <w:r w:rsidRPr="007615E9">
        <w:rPr>
          <w:rFonts w:asciiTheme="majorBidi" w:hAnsiTheme="majorBidi" w:cstheme="majorBidi"/>
          <w:b/>
          <w:bCs/>
        </w:rPr>
        <w:t xml:space="preserve"> Liat</w:t>
      </w:r>
      <w:r w:rsidRPr="007615E9">
        <w:rPr>
          <w:rFonts w:asciiTheme="majorBidi" w:hAnsiTheme="majorBidi" w:cstheme="majorBidi"/>
        </w:rPr>
        <w:t xml:space="preserve">, Programming Manger at Channel 10, in charge of the Israeli </w:t>
      </w:r>
      <w:r w:rsidRPr="007615E9">
        <w:rPr>
          <w:rFonts w:asciiTheme="majorBidi" w:hAnsiTheme="majorBidi" w:cstheme="majorBidi"/>
          <w:i/>
          <w:iCs/>
        </w:rPr>
        <w:t>Survivor</w:t>
      </w:r>
      <w:r w:rsidRPr="007615E9">
        <w:rPr>
          <w:rFonts w:asciiTheme="majorBidi" w:hAnsiTheme="majorBidi" w:cstheme="majorBidi"/>
        </w:rPr>
        <w:t>; interview conducted on 15.09.2008 in Tel-Aviv.</w:t>
      </w:r>
    </w:p>
    <w:p w14:paraId="6C682284" w14:textId="77777777" w:rsidR="00E94ACA" w:rsidRPr="007615E9" w:rsidRDefault="00E94ACA" w:rsidP="00E94ACA">
      <w:pPr>
        <w:pStyle w:val="ListParagraph"/>
        <w:numPr>
          <w:ilvl w:val="0"/>
          <w:numId w:val="2"/>
        </w:numPr>
        <w:spacing w:after="160"/>
        <w:jc w:val="both"/>
        <w:rPr>
          <w:rFonts w:asciiTheme="majorBidi" w:hAnsiTheme="majorBidi" w:cstheme="majorBidi"/>
        </w:rPr>
      </w:pPr>
      <w:r w:rsidRPr="007615E9">
        <w:rPr>
          <w:rFonts w:asciiTheme="majorBidi" w:hAnsiTheme="majorBidi" w:cstheme="majorBidi"/>
          <w:b/>
          <w:bCs/>
        </w:rPr>
        <w:t>Hameiri</w:t>
      </w:r>
      <w:r>
        <w:rPr>
          <w:rFonts w:asciiTheme="majorBidi" w:hAnsiTheme="majorBidi" w:cstheme="majorBidi"/>
          <w:b/>
          <w:bCs/>
        </w:rPr>
        <w:t>,</w:t>
      </w:r>
      <w:r w:rsidRPr="007615E9">
        <w:rPr>
          <w:rFonts w:asciiTheme="majorBidi" w:hAnsiTheme="majorBidi" w:cstheme="majorBidi"/>
          <w:b/>
          <w:bCs/>
        </w:rPr>
        <w:t xml:space="preserve"> Guy</w:t>
      </w:r>
      <w:r w:rsidRPr="007615E9">
        <w:rPr>
          <w:rFonts w:asciiTheme="majorBidi" w:hAnsiTheme="majorBidi" w:cstheme="majorBidi"/>
        </w:rPr>
        <w:t xml:space="preserve">, Producer on the Israeli </w:t>
      </w:r>
      <w:r w:rsidRPr="007615E9">
        <w:rPr>
          <w:rFonts w:asciiTheme="majorBidi" w:hAnsiTheme="majorBidi" w:cstheme="majorBidi"/>
          <w:i/>
          <w:iCs/>
          <w:lang w:val="en-US"/>
        </w:rPr>
        <w:t xml:space="preserve">Survivor </w:t>
      </w:r>
      <w:r w:rsidRPr="007615E9">
        <w:rPr>
          <w:rFonts w:asciiTheme="majorBidi" w:hAnsiTheme="majorBidi" w:cstheme="majorBidi"/>
          <w:lang w:val="en-US"/>
        </w:rPr>
        <w:t>for Channel 10; interview conducted on 10.09.08 in Tel-Aviv.</w:t>
      </w:r>
    </w:p>
    <w:p w14:paraId="7201132B" w14:textId="77777777" w:rsidR="00E94ACA" w:rsidRPr="007615E9" w:rsidRDefault="00E94ACA" w:rsidP="00E94ACA">
      <w:pPr>
        <w:pStyle w:val="ListParagraph"/>
        <w:numPr>
          <w:ilvl w:val="0"/>
          <w:numId w:val="2"/>
        </w:numPr>
        <w:spacing w:after="160"/>
        <w:jc w:val="both"/>
        <w:rPr>
          <w:rFonts w:asciiTheme="majorBidi" w:hAnsiTheme="majorBidi" w:cstheme="majorBidi"/>
        </w:rPr>
      </w:pPr>
      <w:r w:rsidRPr="007615E9">
        <w:rPr>
          <w:rFonts w:asciiTheme="majorBidi" w:hAnsiTheme="majorBidi" w:cstheme="majorBidi"/>
          <w:b/>
          <w:bCs/>
        </w:rPr>
        <w:t>Lev</w:t>
      </w:r>
      <w:r>
        <w:rPr>
          <w:rFonts w:asciiTheme="majorBidi" w:hAnsiTheme="majorBidi" w:cstheme="majorBidi"/>
          <w:b/>
          <w:bCs/>
        </w:rPr>
        <w:t>,</w:t>
      </w:r>
      <w:r w:rsidRPr="007615E9">
        <w:rPr>
          <w:rFonts w:asciiTheme="majorBidi" w:hAnsiTheme="majorBidi" w:cstheme="majorBidi"/>
          <w:b/>
          <w:bCs/>
        </w:rPr>
        <w:t xml:space="preserve"> Yuval</w:t>
      </w:r>
      <w:r w:rsidRPr="007615E9">
        <w:rPr>
          <w:rFonts w:asciiTheme="majorBidi" w:hAnsiTheme="majorBidi" w:cstheme="majorBidi"/>
        </w:rPr>
        <w:t>, Head of the Branded Content Division at MacCann Erickson, Tel-Aviv; interviews conducted on 11.08.08 and 14.08.08 in Tel-Aviv.</w:t>
      </w:r>
    </w:p>
    <w:p w14:paraId="2E494425" w14:textId="77777777" w:rsidR="00E94ACA" w:rsidRPr="007615E9" w:rsidRDefault="00E94ACA" w:rsidP="00E94ACA">
      <w:pPr>
        <w:pStyle w:val="ListParagraph"/>
        <w:numPr>
          <w:ilvl w:val="0"/>
          <w:numId w:val="2"/>
        </w:numPr>
        <w:spacing w:after="160"/>
        <w:jc w:val="both"/>
        <w:rPr>
          <w:rFonts w:asciiTheme="majorBidi" w:hAnsiTheme="majorBidi" w:cstheme="majorBidi"/>
        </w:rPr>
      </w:pPr>
      <w:r w:rsidRPr="007615E9">
        <w:rPr>
          <w:rFonts w:asciiTheme="majorBidi" w:hAnsiTheme="majorBidi" w:cstheme="majorBidi"/>
          <w:b/>
          <w:bCs/>
        </w:rPr>
        <w:t>Mano</w:t>
      </w:r>
      <w:r>
        <w:rPr>
          <w:rFonts w:asciiTheme="majorBidi" w:hAnsiTheme="majorBidi" w:cstheme="majorBidi"/>
          <w:b/>
          <w:bCs/>
        </w:rPr>
        <w:t>,</w:t>
      </w:r>
      <w:r w:rsidRPr="007615E9">
        <w:rPr>
          <w:rFonts w:asciiTheme="majorBidi" w:hAnsiTheme="majorBidi" w:cstheme="majorBidi"/>
          <w:b/>
          <w:bCs/>
        </w:rPr>
        <w:t xml:space="preserve"> Dan</w:t>
      </w:r>
      <w:r w:rsidRPr="007615E9">
        <w:rPr>
          <w:rFonts w:asciiTheme="majorBidi" w:hAnsiTheme="majorBidi" w:cstheme="majorBidi"/>
        </w:rPr>
        <w:t xml:space="preserve">, contestant on the first series of the Israeli </w:t>
      </w:r>
      <w:r w:rsidRPr="007615E9">
        <w:rPr>
          <w:rFonts w:asciiTheme="majorBidi" w:hAnsiTheme="majorBidi" w:cstheme="majorBidi"/>
          <w:i/>
          <w:iCs/>
        </w:rPr>
        <w:t>Survivor</w:t>
      </w:r>
      <w:r w:rsidRPr="007615E9">
        <w:rPr>
          <w:rFonts w:asciiTheme="majorBidi" w:hAnsiTheme="majorBidi" w:cstheme="majorBidi"/>
        </w:rPr>
        <w:t>; interview conducted on 10.06.09 in London.</w:t>
      </w:r>
    </w:p>
    <w:p w14:paraId="4BC80C18" w14:textId="77777777" w:rsidR="00E94ACA" w:rsidRPr="007615E9" w:rsidRDefault="00E94ACA" w:rsidP="00E94ACA">
      <w:pPr>
        <w:pStyle w:val="ListParagraph"/>
        <w:numPr>
          <w:ilvl w:val="0"/>
          <w:numId w:val="2"/>
        </w:numPr>
        <w:spacing w:after="160"/>
        <w:jc w:val="both"/>
        <w:rPr>
          <w:rFonts w:asciiTheme="majorBidi" w:hAnsiTheme="majorBidi" w:cstheme="majorBidi"/>
        </w:rPr>
      </w:pPr>
      <w:r w:rsidRPr="007615E9">
        <w:rPr>
          <w:rFonts w:asciiTheme="majorBidi" w:hAnsiTheme="majorBidi" w:cstheme="majorBidi"/>
          <w:b/>
          <w:bCs/>
          <w:lang w:val="en-US"/>
        </w:rPr>
        <w:t>Metsger</w:t>
      </w:r>
      <w:r>
        <w:rPr>
          <w:rFonts w:asciiTheme="majorBidi" w:hAnsiTheme="majorBidi" w:cstheme="majorBidi"/>
          <w:b/>
          <w:bCs/>
          <w:lang w:val="en-US"/>
        </w:rPr>
        <w:t>,</w:t>
      </w:r>
      <w:r w:rsidRPr="007615E9">
        <w:rPr>
          <w:rFonts w:asciiTheme="majorBidi" w:hAnsiTheme="majorBidi" w:cstheme="majorBidi"/>
          <w:b/>
          <w:bCs/>
          <w:lang w:val="en-US"/>
        </w:rPr>
        <w:t xml:space="preserve"> Ayelet</w:t>
      </w:r>
      <w:r w:rsidRPr="007615E9">
        <w:rPr>
          <w:rFonts w:asciiTheme="majorBidi" w:hAnsiTheme="majorBidi" w:cstheme="majorBidi"/>
          <w:lang w:val="en-US"/>
        </w:rPr>
        <w:t>, Deputy CEO for Television at the Second Authority for Television and Radio; interview conducted on 03.02.11 in Tel-Aviv.</w:t>
      </w:r>
    </w:p>
    <w:p w14:paraId="5484C797" w14:textId="77777777" w:rsidR="00E94ACA" w:rsidRPr="007615E9" w:rsidRDefault="00E94ACA" w:rsidP="00E94ACA">
      <w:pPr>
        <w:pStyle w:val="ListParagraph"/>
        <w:numPr>
          <w:ilvl w:val="0"/>
          <w:numId w:val="2"/>
        </w:numPr>
        <w:spacing w:after="160"/>
        <w:jc w:val="both"/>
        <w:rPr>
          <w:rFonts w:asciiTheme="majorBidi" w:hAnsiTheme="majorBidi" w:cstheme="majorBidi"/>
        </w:rPr>
      </w:pPr>
      <w:r w:rsidRPr="007615E9">
        <w:rPr>
          <w:rFonts w:asciiTheme="majorBidi" w:hAnsiTheme="majorBidi" w:cstheme="majorBidi"/>
          <w:b/>
          <w:bCs/>
          <w:lang w:val="en-US"/>
        </w:rPr>
        <w:t>Samira</w:t>
      </w:r>
      <w:r>
        <w:rPr>
          <w:rFonts w:asciiTheme="majorBidi" w:hAnsiTheme="majorBidi" w:cstheme="majorBidi"/>
          <w:b/>
          <w:bCs/>
          <w:lang w:val="en-US"/>
        </w:rPr>
        <w:t>,</w:t>
      </w:r>
      <w:r w:rsidRPr="007615E9">
        <w:rPr>
          <w:rFonts w:asciiTheme="majorBidi" w:hAnsiTheme="majorBidi" w:cstheme="majorBidi"/>
          <w:b/>
          <w:bCs/>
          <w:lang w:val="en-US"/>
        </w:rPr>
        <w:t xml:space="preserve"> Menashe</w:t>
      </w:r>
      <w:r w:rsidRPr="007615E9">
        <w:rPr>
          <w:rFonts w:asciiTheme="majorBidi" w:hAnsiTheme="majorBidi" w:cstheme="majorBidi"/>
          <w:lang w:val="en-US"/>
        </w:rPr>
        <w:t>, CEO of the Second Authority for Television and Radio; interview conducted on 03.02.11 in Tel-Aviv.</w:t>
      </w:r>
    </w:p>
    <w:p w14:paraId="04E9C1A7" w14:textId="77777777" w:rsidR="00E94ACA" w:rsidRPr="007615E9" w:rsidRDefault="00E94ACA" w:rsidP="00E94ACA">
      <w:pPr>
        <w:pStyle w:val="ListParagraph"/>
        <w:numPr>
          <w:ilvl w:val="0"/>
          <w:numId w:val="2"/>
        </w:numPr>
        <w:spacing w:after="160"/>
        <w:jc w:val="both"/>
        <w:rPr>
          <w:rFonts w:asciiTheme="majorBidi" w:hAnsiTheme="majorBidi" w:cstheme="majorBidi"/>
        </w:rPr>
      </w:pPr>
      <w:r w:rsidRPr="007615E9">
        <w:rPr>
          <w:rFonts w:asciiTheme="majorBidi" w:hAnsiTheme="majorBidi" w:cstheme="majorBidi"/>
          <w:b/>
          <w:bCs/>
          <w:lang w:val="en-US"/>
        </w:rPr>
        <w:t>Shtruzman</w:t>
      </w:r>
      <w:r>
        <w:rPr>
          <w:rFonts w:asciiTheme="majorBidi" w:hAnsiTheme="majorBidi" w:cstheme="majorBidi"/>
          <w:b/>
          <w:bCs/>
          <w:lang w:val="en-US"/>
        </w:rPr>
        <w:t xml:space="preserve">, </w:t>
      </w:r>
      <w:r w:rsidRPr="007615E9">
        <w:rPr>
          <w:rFonts w:asciiTheme="majorBidi" w:hAnsiTheme="majorBidi" w:cstheme="majorBidi"/>
          <w:b/>
          <w:bCs/>
          <w:lang w:val="en-US"/>
        </w:rPr>
        <w:t>Alon</w:t>
      </w:r>
      <w:r w:rsidRPr="007615E9">
        <w:rPr>
          <w:rFonts w:asciiTheme="majorBidi" w:hAnsiTheme="majorBidi" w:cstheme="majorBidi"/>
          <w:lang w:val="en-US"/>
        </w:rPr>
        <w:t>, Former Program Manager for the HOT cable broadcasting company; interview conducted on 09.12.08 in London.</w:t>
      </w:r>
    </w:p>
    <w:p w14:paraId="16B6D653" w14:textId="77777777" w:rsidR="00E94ACA" w:rsidRPr="007615E9" w:rsidRDefault="00E94ACA" w:rsidP="00E94ACA">
      <w:pPr>
        <w:spacing w:line="360" w:lineRule="auto"/>
        <w:rPr>
          <w:rFonts w:asciiTheme="majorBidi" w:hAnsiTheme="majorBidi" w:cstheme="majorBidi"/>
          <w:sz w:val="24"/>
          <w:szCs w:val="24"/>
        </w:rPr>
      </w:pPr>
    </w:p>
    <w:p w14:paraId="7F48D988" w14:textId="77777777" w:rsidR="00E94ACA" w:rsidRPr="007615E9" w:rsidRDefault="00E94ACA" w:rsidP="00E94ACA">
      <w:pPr>
        <w:spacing w:line="360" w:lineRule="auto"/>
        <w:jc w:val="both"/>
        <w:rPr>
          <w:rFonts w:asciiTheme="majorBidi" w:hAnsiTheme="majorBidi" w:cstheme="majorBidi"/>
          <w:sz w:val="24"/>
          <w:szCs w:val="24"/>
        </w:rPr>
      </w:pPr>
      <w:r w:rsidRPr="007615E9">
        <w:rPr>
          <w:rFonts w:asciiTheme="majorBidi" w:hAnsiTheme="majorBidi" w:cstheme="majorBidi"/>
          <w:sz w:val="24"/>
          <w:szCs w:val="24"/>
        </w:rPr>
        <w:t xml:space="preserve">This list does not include background interviews that were informal or with sources who asked to remain anonymous.  </w:t>
      </w:r>
    </w:p>
    <w:p w14:paraId="28CE3D21" w14:textId="77777777" w:rsidR="00E94ACA" w:rsidRPr="007615E9" w:rsidRDefault="00E94ACA" w:rsidP="00E94ACA">
      <w:pPr>
        <w:spacing w:line="360" w:lineRule="auto"/>
        <w:rPr>
          <w:rFonts w:asciiTheme="majorBidi" w:hAnsiTheme="majorBidi" w:cstheme="majorBidi"/>
          <w:sz w:val="24"/>
          <w:szCs w:val="24"/>
        </w:rPr>
      </w:pPr>
    </w:p>
    <w:p w14:paraId="0B0BE53F" w14:textId="77777777" w:rsidR="00E94ACA" w:rsidRPr="007615E9" w:rsidRDefault="00E94ACA" w:rsidP="00E94ACA">
      <w:pPr>
        <w:spacing w:after="0" w:line="360" w:lineRule="auto"/>
        <w:ind w:left="720"/>
        <w:rPr>
          <w:rFonts w:asciiTheme="majorBidi" w:hAnsiTheme="majorBidi" w:cstheme="majorBidi"/>
          <w:sz w:val="24"/>
          <w:szCs w:val="24"/>
        </w:rPr>
      </w:pPr>
    </w:p>
    <w:p w14:paraId="62665596" w14:textId="77777777" w:rsidR="00E94ACA" w:rsidRPr="007615E9" w:rsidRDefault="00E94ACA" w:rsidP="00E94ACA">
      <w:pPr>
        <w:spacing w:after="0" w:line="360" w:lineRule="auto"/>
        <w:ind w:left="360"/>
        <w:rPr>
          <w:rFonts w:asciiTheme="majorBidi" w:hAnsiTheme="majorBidi" w:cstheme="majorBidi"/>
          <w:b/>
          <w:bCs/>
          <w:sz w:val="24"/>
          <w:szCs w:val="24"/>
          <w:u w:val="single"/>
          <w:rtl/>
        </w:rPr>
      </w:pPr>
    </w:p>
    <w:p w14:paraId="0AEE4213" w14:textId="77777777" w:rsidR="00E94ACA" w:rsidRPr="007615E9" w:rsidRDefault="00E94ACA" w:rsidP="00E94ACA">
      <w:pPr>
        <w:pStyle w:val="Heading1"/>
        <w:rPr>
          <w:rFonts w:asciiTheme="majorBidi" w:hAnsiTheme="majorBidi" w:cstheme="majorBidi"/>
        </w:rPr>
      </w:pPr>
      <w:bookmarkStart w:id="126" w:name="_Toc436586482"/>
      <w:bookmarkStart w:id="127" w:name="_Toc445202722"/>
      <w:r w:rsidRPr="007615E9">
        <w:rPr>
          <w:rFonts w:asciiTheme="majorBidi" w:hAnsiTheme="majorBidi" w:cstheme="majorBidi"/>
        </w:rPr>
        <w:lastRenderedPageBreak/>
        <w:t>Appendix 3: Interviews for the British Case Study</w:t>
      </w:r>
      <w:bookmarkEnd w:id="126"/>
      <w:bookmarkEnd w:id="127"/>
    </w:p>
    <w:p w14:paraId="71697990" w14:textId="77777777" w:rsidR="00E94ACA" w:rsidRPr="007615E9" w:rsidRDefault="00E94ACA" w:rsidP="00E94ACA">
      <w:pPr>
        <w:numPr>
          <w:ilvl w:val="0"/>
          <w:numId w:val="3"/>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Fletcher</w:t>
      </w:r>
      <w:r>
        <w:rPr>
          <w:rFonts w:asciiTheme="majorBidi" w:hAnsiTheme="majorBidi" w:cstheme="majorBidi"/>
          <w:b/>
          <w:bCs/>
          <w:sz w:val="24"/>
          <w:szCs w:val="24"/>
        </w:rPr>
        <w:t>,</w:t>
      </w:r>
      <w:r w:rsidRPr="007615E9">
        <w:rPr>
          <w:rFonts w:asciiTheme="majorBidi" w:hAnsiTheme="majorBidi" w:cstheme="majorBidi"/>
          <w:b/>
          <w:bCs/>
          <w:sz w:val="24"/>
          <w:szCs w:val="24"/>
        </w:rPr>
        <w:t xml:space="preserve"> Dan</w:t>
      </w:r>
      <w:r w:rsidRPr="007615E9">
        <w:rPr>
          <w:rFonts w:asciiTheme="majorBidi" w:hAnsiTheme="majorBidi" w:cstheme="majorBidi"/>
          <w:sz w:val="24"/>
          <w:szCs w:val="24"/>
        </w:rPr>
        <w:t xml:space="preserve">, a member of the innovation team at the Mindshare marketing and communications agency (owned by WPP). Fletcher was responsible for the sponsorship agreement with Channel 4 for </w:t>
      </w:r>
      <w:r w:rsidRPr="007615E9">
        <w:rPr>
          <w:rFonts w:asciiTheme="majorBidi" w:hAnsiTheme="majorBidi" w:cstheme="majorBidi"/>
          <w:i/>
          <w:iCs/>
          <w:sz w:val="24"/>
          <w:szCs w:val="24"/>
        </w:rPr>
        <w:t>How to Look Good Naked</w:t>
      </w:r>
      <w:r w:rsidRPr="007615E9">
        <w:rPr>
          <w:rFonts w:asciiTheme="majorBidi" w:hAnsiTheme="majorBidi" w:cstheme="majorBidi"/>
          <w:sz w:val="24"/>
          <w:szCs w:val="24"/>
        </w:rPr>
        <w:t>; interview conducted on</w:t>
      </w:r>
      <w:r w:rsidRPr="007615E9">
        <w:rPr>
          <w:rFonts w:asciiTheme="majorBidi" w:hAnsiTheme="majorBidi" w:cstheme="majorBidi"/>
          <w:i/>
          <w:iCs/>
          <w:sz w:val="24"/>
          <w:szCs w:val="24"/>
        </w:rPr>
        <w:t xml:space="preserve"> </w:t>
      </w:r>
      <w:r w:rsidRPr="007615E9">
        <w:rPr>
          <w:rFonts w:asciiTheme="majorBidi" w:hAnsiTheme="majorBidi" w:cstheme="majorBidi"/>
          <w:sz w:val="24"/>
          <w:szCs w:val="24"/>
          <w:rtl/>
        </w:rPr>
        <w:t>26.02.09</w:t>
      </w:r>
      <w:r w:rsidRPr="007615E9">
        <w:rPr>
          <w:rFonts w:asciiTheme="majorBidi" w:hAnsiTheme="majorBidi" w:cstheme="majorBidi"/>
          <w:sz w:val="24"/>
          <w:szCs w:val="24"/>
        </w:rPr>
        <w:t xml:space="preserve"> in London. </w:t>
      </w:r>
    </w:p>
    <w:p w14:paraId="76697F06" w14:textId="77777777" w:rsidR="00E94ACA" w:rsidRPr="007615E9" w:rsidRDefault="00E94ACA" w:rsidP="00E94ACA">
      <w:pPr>
        <w:numPr>
          <w:ilvl w:val="0"/>
          <w:numId w:val="3"/>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Foster</w:t>
      </w:r>
      <w:r>
        <w:rPr>
          <w:rFonts w:asciiTheme="majorBidi" w:hAnsiTheme="majorBidi" w:cstheme="majorBidi"/>
          <w:b/>
          <w:bCs/>
          <w:sz w:val="24"/>
          <w:szCs w:val="24"/>
        </w:rPr>
        <w:t>,</w:t>
      </w:r>
      <w:r w:rsidRPr="007615E9">
        <w:rPr>
          <w:rFonts w:asciiTheme="majorBidi" w:hAnsiTheme="majorBidi" w:cstheme="majorBidi"/>
          <w:b/>
          <w:bCs/>
          <w:sz w:val="24"/>
          <w:szCs w:val="24"/>
        </w:rPr>
        <w:t xml:space="preserve"> Colette</w:t>
      </w:r>
      <w:r w:rsidRPr="007615E9">
        <w:rPr>
          <w:rFonts w:asciiTheme="majorBidi" w:hAnsiTheme="majorBidi" w:cstheme="majorBidi"/>
          <w:sz w:val="24"/>
          <w:szCs w:val="24"/>
        </w:rPr>
        <w:t xml:space="preserve">, former Executive Producer at the Maverick production company and the Executive Producer of </w:t>
      </w:r>
      <w:r w:rsidRPr="007615E9">
        <w:rPr>
          <w:rFonts w:asciiTheme="majorBidi" w:hAnsiTheme="majorBidi" w:cstheme="majorBidi"/>
          <w:i/>
          <w:iCs/>
          <w:sz w:val="24"/>
          <w:szCs w:val="24"/>
        </w:rPr>
        <w:t>How to Look Good Naked</w:t>
      </w:r>
      <w:r w:rsidRPr="007615E9">
        <w:rPr>
          <w:rFonts w:asciiTheme="majorBidi" w:hAnsiTheme="majorBidi" w:cstheme="majorBidi"/>
          <w:sz w:val="24"/>
          <w:szCs w:val="24"/>
        </w:rPr>
        <w:t xml:space="preserve"> in its first two series; interview conducted on 01.10, 09 in London. </w:t>
      </w:r>
    </w:p>
    <w:p w14:paraId="483AF0CE" w14:textId="77777777" w:rsidR="00E94ACA" w:rsidRPr="007615E9" w:rsidRDefault="00E94ACA" w:rsidP="00E94ACA">
      <w:pPr>
        <w:numPr>
          <w:ilvl w:val="0"/>
          <w:numId w:val="3"/>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Jackson</w:t>
      </w:r>
      <w:r>
        <w:rPr>
          <w:rFonts w:asciiTheme="majorBidi" w:hAnsiTheme="majorBidi" w:cstheme="majorBidi"/>
          <w:b/>
          <w:bCs/>
          <w:sz w:val="24"/>
          <w:szCs w:val="24"/>
        </w:rPr>
        <w:t>,</w:t>
      </w:r>
      <w:r w:rsidRPr="007615E9">
        <w:rPr>
          <w:rFonts w:asciiTheme="majorBidi" w:hAnsiTheme="majorBidi" w:cstheme="majorBidi"/>
          <w:b/>
          <w:bCs/>
          <w:sz w:val="24"/>
          <w:szCs w:val="24"/>
        </w:rPr>
        <w:t xml:space="preserve"> Andrew</w:t>
      </w:r>
      <w:r w:rsidRPr="007615E9">
        <w:rPr>
          <w:rFonts w:asciiTheme="majorBidi" w:hAnsiTheme="majorBidi" w:cstheme="majorBidi"/>
          <w:sz w:val="24"/>
          <w:szCs w:val="24"/>
        </w:rPr>
        <w:t xml:space="preserve">, Commissioning Editor at Channel 4’s Features Department and at the time of the interview was the commissioning editor for </w:t>
      </w:r>
      <w:r w:rsidRPr="007615E9">
        <w:rPr>
          <w:rFonts w:asciiTheme="majorBidi" w:hAnsiTheme="majorBidi" w:cstheme="majorBidi"/>
          <w:i/>
          <w:iCs/>
          <w:sz w:val="24"/>
          <w:szCs w:val="24"/>
        </w:rPr>
        <w:t>How to Look Good Naked</w:t>
      </w:r>
      <w:r w:rsidRPr="007615E9">
        <w:rPr>
          <w:rFonts w:asciiTheme="majorBidi" w:hAnsiTheme="majorBidi" w:cstheme="majorBidi"/>
          <w:sz w:val="24"/>
          <w:szCs w:val="24"/>
        </w:rPr>
        <w:t>; interview conducted on</w:t>
      </w:r>
      <w:r w:rsidRPr="007615E9">
        <w:rPr>
          <w:rFonts w:asciiTheme="majorBidi" w:hAnsiTheme="majorBidi" w:cstheme="majorBidi"/>
          <w:i/>
          <w:iCs/>
          <w:sz w:val="24"/>
          <w:szCs w:val="24"/>
        </w:rPr>
        <w:t xml:space="preserve"> </w:t>
      </w:r>
      <w:r w:rsidRPr="007615E9">
        <w:rPr>
          <w:rFonts w:asciiTheme="majorBidi" w:hAnsiTheme="majorBidi" w:cstheme="majorBidi"/>
          <w:sz w:val="24"/>
          <w:szCs w:val="24"/>
        </w:rPr>
        <w:t>06.08.09 in London.</w:t>
      </w:r>
    </w:p>
    <w:p w14:paraId="1834F0C5" w14:textId="77777777" w:rsidR="00E94ACA" w:rsidRPr="007615E9" w:rsidRDefault="00E94ACA" w:rsidP="00E94ACA">
      <w:pPr>
        <w:numPr>
          <w:ilvl w:val="0"/>
          <w:numId w:val="3"/>
        </w:numPr>
        <w:spacing w:after="0" w:line="360" w:lineRule="auto"/>
        <w:rPr>
          <w:rFonts w:asciiTheme="majorBidi" w:hAnsiTheme="majorBidi" w:cstheme="majorBidi"/>
        </w:rPr>
      </w:pPr>
      <w:r w:rsidRPr="007615E9">
        <w:rPr>
          <w:rFonts w:asciiTheme="majorBidi" w:hAnsiTheme="majorBidi" w:cstheme="majorBidi"/>
          <w:b/>
          <w:bCs/>
          <w:sz w:val="24"/>
          <w:szCs w:val="24"/>
        </w:rPr>
        <w:t>Jones</w:t>
      </w:r>
      <w:r>
        <w:rPr>
          <w:rFonts w:asciiTheme="majorBidi" w:hAnsiTheme="majorBidi" w:cstheme="majorBidi"/>
          <w:b/>
          <w:bCs/>
          <w:sz w:val="24"/>
          <w:szCs w:val="24"/>
        </w:rPr>
        <w:t>,</w:t>
      </w:r>
      <w:r w:rsidRPr="007615E9">
        <w:rPr>
          <w:rFonts w:asciiTheme="majorBidi" w:hAnsiTheme="majorBidi" w:cstheme="majorBidi"/>
          <w:b/>
          <w:bCs/>
          <w:sz w:val="24"/>
          <w:szCs w:val="24"/>
        </w:rPr>
        <w:t xml:space="preserve"> Dan</w:t>
      </w:r>
      <w:r w:rsidRPr="007615E9">
        <w:rPr>
          <w:rFonts w:asciiTheme="majorBidi" w:hAnsiTheme="majorBidi" w:cstheme="majorBidi"/>
          <w:sz w:val="24"/>
          <w:szCs w:val="24"/>
        </w:rPr>
        <w:t>, Head of New Media at Maverick.</w:t>
      </w:r>
      <w:r w:rsidRPr="007615E9">
        <w:rPr>
          <w:rFonts w:asciiTheme="majorBidi" w:hAnsiTheme="majorBidi" w:cstheme="majorBidi"/>
          <w:i/>
          <w:iCs/>
          <w:sz w:val="24"/>
          <w:szCs w:val="24"/>
        </w:rPr>
        <w:t xml:space="preserve"> </w:t>
      </w:r>
      <w:r w:rsidRPr="007615E9">
        <w:rPr>
          <w:rFonts w:asciiTheme="majorBidi" w:hAnsiTheme="majorBidi" w:cstheme="majorBidi"/>
          <w:sz w:val="24"/>
          <w:szCs w:val="24"/>
        </w:rPr>
        <w:t>Jones was responsible for setting up the website for</w:t>
      </w:r>
      <w:r w:rsidRPr="007615E9">
        <w:rPr>
          <w:rFonts w:asciiTheme="majorBidi" w:hAnsiTheme="majorBidi" w:cstheme="majorBidi"/>
          <w:i/>
          <w:iCs/>
          <w:sz w:val="24"/>
          <w:szCs w:val="24"/>
        </w:rPr>
        <w:t xml:space="preserve"> How to Look Good Naked</w:t>
      </w:r>
      <w:r w:rsidRPr="007615E9">
        <w:rPr>
          <w:rFonts w:asciiTheme="majorBidi" w:hAnsiTheme="majorBidi" w:cstheme="majorBidi"/>
          <w:sz w:val="24"/>
          <w:szCs w:val="24"/>
        </w:rPr>
        <w:t>, in co-operation with Channel 4; interview conducted on</w:t>
      </w:r>
      <w:r w:rsidRPr="007615E9">
        <w:rPr>
          <w:rFonts w:asciiTheme="majorBidi" w:hAnsiTheme="majorBidi" w:cstheme="majorBidi"/>
          <w:i/>
          <w:iCs/>
          <w:sz w:val="24"/>
          <w:szCs w:val="24"/>
        </w:rPr>
        <w:t xml:space="preserve"> </w:t>
      </w:r>
      <w:r w:rsidRPr="007615E9">
        <w:rPr>
          <w:rFonts w:asciiTheme="majorBidi" w:hAnsiTheme="majorBidi" w:cstheme="majorBidi"/>
          <w:sz w:val="24"/>
          <w:szCs w:val="24"/>
          <w:rtl/>
        </w:rPr>
        <w:t>02.06.09</w:t>
      </w:r>
      <w:r w:rsidRPr="007615E9">
        <w:rPr>
          <w:rFonts w:asciiTheme="majorBidi" w:hAnsiTheme="majorBidi" w:cstheme="majorBidi"/>
          <w:sz w:val="24"/>
          <w:szCs w:val="24"/>
        </w:rPr>
        <w:t xml:space="preserve"> in London.  </w:t>
      </w:r>
    </w:p>
    <w:p w14:paraId="4205788D" w14:textId="77777777" w:rsidR="00E94ACA" w:rsidRPr="007615E9" w:rsidRDefault="00E94ACA" w:rsidP="00E94ACA">
      <w:pPr>
        <w:numPr>
          <w:ilvl w:val="0"/>
          <w:numId w:val="3"/>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Kell</w:t>
      </w:r>
      <w:r>
        <w:rPr>
          <w:rFonts w:asciiTheme="majorBidi" w:hAnsiTheme="majorBidi" w:cstheme="majorBidi"/>
          <w:b/>
          <w:bCs/>
          <w:sz w:val="24"/>
          <w:szCs w:val="24"/>
        </w:rPr>
        <w:t>,</w:t>
      </w:r>
      <w:r w:rsidRPr="007615E9">
        <w:rPr>
          <w:rFonts w:asciiTheme="majorBidi" w:hAnsiTheme="majorBidi" w:cstheme="majorBidi"/>
          <w:b/>
          <w:bCs/>
          <w:sz w:val="24"/>
          <w:szCs w:val="24"/>
        </w:rPr>
        <w:t xml:space="preserve"> Vicky</w:t>
      </w:r>
      <w:r w:rsidRPr="007615E9">
        <w:rPr>
          <w:rFonts w:asciiTheme="majorBidi" w:hAnsiTheme="majorBidi" w:cstheme="majorBidi"/>
          <w:sz w:val="24"/>
          <w:szCs w:val="24"/>
        </w:rPr>
        <w:t xml:space="preserve">, Senior Account Manager at Channel 4’s Sponsorship Department. Kell was responsible for representing the channel vis-à-vis Mindshare in the sponsorship agreement for </w:t>
      </w:r>
      <w:r w:rsidRPr="007615E9">
        <w:rPr>
          <w:rFonts w:asciiTheme="majorBidi" w:hAnsiTheme="majorBidi" w:cstheme="majorBidi"/>
          <w:i/>
          <w:iCs/>
          <w:sz w:val="24"/>
          <w:szCs w:val="24"/>
        </w:rPr>
        <w:t xml:space="preserve">How to Look Good Naked </w:t>
      </w:r>
      <w:r w:rsidRPr="007615E9">
        <w:rPr>
          <w:rFonts w:asciiTheme="majorBidi" w:hAnsiTheme="majorBidi" w:cstheme="majorBidi"/>
          <w:sz w:val="24"/>
          <w:szCs w:val="24"/>
        </w:rPr>
        <w:t>by Dove; interview conducted on</w:t>
      </w:r>
      <w:r w:rsidRPr="007615E9">
        <w:rPr>
          <w:rFonts w:asciiTheme="majorBidi" w:hAnsiTheme="majorBidi" w:cstheme="majorBidi"/>
          <w:i/>
          <w:iCs/>
          <w:sz w:val="24"/>
          <w:szCs w:val="24"/>
        </w:rPr>
        <w:t xml:space="preserve"> </w:t>
      </w:r>
      <w:r w:rsidRPr="007615E9">
        <w:rPr>
          <w:rFonts w:asciiTheme="majorBidi" w:hAnsiTheme="majorBidi" w:cstheme="majorBidi"/>
          <w:sz w:val="24"/>
          <w:szCs w:val="24"/>
        </w:rPr>
        <w:t xml:space="preserve">27.08.09 in London.  </w:t>
      </w:r>
    </w:p>
    <w:p w14:paraId="66EEA1E5" w14:textId="77777777" w:rsidR="00E94ACA" w:rsidRPr="007615E9" w:rsidRDefault="00E94ACA" w:rsidP="00E94ACA">
      <w:pPr>
        <w:numPr>
          <w:ilvl w:val="0"/>
          <w:numId w:val="3"/>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Orbach</w:t>
      </w:r>
      <w:r>
        <w:rPr>
          <w:rFonts w:asciiTheme="majorBidi" w:hAnsiTheme="majorBidi" w:cstheme="majorBidi"/>
          <w:b/>
          <w:bCs/>
          <w:sz w:val="24"/>
          <w:szCs w:val="24"/>
        </w:rPr>
        <w:t>,</w:t>
      </w:r>
      <w:r w:rsidRPr="007615E9">
        <w:rPr>
          <w:rFonts w:asciiTheme="majorBidi" w:hAnsiTheme="majorBidi" w:cstheme="majorBidi"/>
          <w:b/>
          <w:bCs/>
          <w:sz w:val="24"/>
          <w:szCs w:val="24"/>
        </w:rPr>
        <w:t xml:space="preserve"> Susie</w:t>
      </w:r>
      <w:r w:rsidRPr="007615E9">
        <w:rPr>
          <w:rFonts w:asciiTheme="majorBidi" w:hAnsiTheme="majorBidi" w:cstheme="majorBidi"/>
          <w:sz w:val="24"/>
          <w:szCs w:val="24"/>
        </w:rPr>
        <w:t xml:space="preserve">, Psychoanalyst, Author and Consultant for Dove’s </w:t>
      </w:r>
      <w:r w:rsidRPr="007615E9">
        <w:rPr>
          <w:rFonts w:asciiTheme="majorBidi" w:hAnsiTheme="majorBidi" w:cstheme="majorBidi"/>
          <w:i/>
          <w:iCs/>
          <w:sz w:val="24"/>
          <w:szCs w:val="24"/>
        </w:rPr>
        <w:t>Real Beauty</w:t>
      </w:r>
      <w:r w:rsidRPr="007615E9">
        <w:rPr>
          <w:rFonts w:asciiTheme="majorBidi" w:hAnsiTheme="majorBidi" w:cstheme="majorBidi"/>
          <w:sz w:val="24"/>
          <w:szCs w:val="24"/>
        </w:rPr>
        <w:t xml:space="preserve"> campaign; interview conducted on 27.04.09 in London. </w:t>
      </w:r>
    </w:p>
    <w:p w14:paraId="6BC5C4E0" w14:textId="77777777" w:rsidR="00E94ACA" w:rsidRPr="007615E9" w:rsidRDefault="00E94ACA" w:rsidP="00E94ACA">
      <w:pPr>
        <w:numPr>
          <w:ilvl w:val="0"/>
          <w:numId w:val="3"/>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Ransford</w:t>
      </w:r>
      <w:r>
        <w:rPr>
          <w:rFonts w:asciiTheme="majorBidi" w:hAnsiTheme="majorBidi" w:cstheme="majorBidi"/>
          <w:b/>
          <w:bCs/>
          <w:sz w:val="24"/>
          <w:szCs w:val="24"/>
        </w:rPr>
        <w:t>,</w:t>
      </w:r>
      <w:r w:rsidRPr="007615E9">
        <w:rPr>
          <w:rFonts w:asciiTheme="majorBidi" w:hAnsiTheme="majorBidi" w:cstheme="majorBidi"/>
          <w:b/>
          <w:bCs/>
          <w:sz w:val="24"/>
          <w:szCs w:val="24"/>
        </w:rPr>
        <w:t xml:space="preserve"> Philippa</w:t>
      </w:r>
      <w:r w:rsidRPr="007615E9">
        <w:rPr>
          <w:rFonts w:asciiTheme="majorBidi" w:hAnsiTheme="majorBidi" w:cstheme="majorBidi"/>
          <w:sz w:val="24"/>
          <w:szCs w:val="24"/>
        </w:rPr>
        <w:t xml:space="preserve">, former Commissioning Editor at Channel 4’s Features Department and the original commissioner and developer of How </w:t>
      </w:r>
      <w:r w:rsidRPr="007615E9">
        <w:rPr>
          <w:rFonts w:asciiTheme="majorBidi" w:hAnsiTheme="majorBidi" w:cstheme="majorBidi"/>
          <w:i/>
          <w:iCs/>
          <w:sz w:val="24"/>
          <w:szCs w:val="24"/>
        </w:rPr>
        <w:t>to Look Good Naked</w:t>
      </w:r>
      <w:r w:rsidRPr="007615E9">
        <w:rPr>
          <w:rFonts w:asciiTheme="majorBidi" w:hAnsiTheme="majorBidi" w:cstheme="majorBidi"/>
          <w:sz w:val="24"/>
          <w:szCs w:val="24"/>
        </w:rPr>
        <w:t xml:space="preserve">; interview conducted on </w:t>
      </w:r>
      <w:r w:rsidRPr="007615E9">
        <w:rPr>
          <w:rFonts w:asciiTheme="majorBidi" w:hAnsiTheme="majorBidi" w:cstheme="majorBidi"/>
          <w:sz w:val="24"/>
          <w:szCs w:val="24"/>
          <w:rtl/>
        </w:rPr>
        <w:t>11.08.09</w:t>
      </w:r>
      <w:r w:rsidRPr="007615E9">
        <w:rPr>
          <w:rFonts w:asciiTheme="majorBidi" w:hAnsiTheme="majorBidi" w:cstheme="majorBidi"/>
          <w:sz w:val="24"/>
          <w:szCs w:val="24"/>
        </w:rPr>
        <w:t xml:space="preserve"> in London. </w:t>
      </w:r>
    </w:p>
    <w:p w14:paraId="1D1EBACA" w14:textId="77777777" w:rsidR="00E94ACA" w:rsidRPr="007615E9" w:rsidRDefault="00E94ACA" w:rsidP="00E94ACA">
      <w:pPr>
        <w:numPr>
          <w:ilvl w:val="0"/>
          <w:numId w:val="3"/>
        </w:numPr>
        <w:spacing w:after="0" w:line="360" w:lineRule="auto"/>
        <w:rPr>
          <w:rFonts w:asciiTheme="majorBidi" w:hAnsiTheme="majorBidi" w:cstheme="majorBidi"/>
          <w:b/>
          <w:bCs/>
          <w:sz w:val="24"/>
          <w:szCs w:val="24"/>
        </w:rPr>
      </w:pPr>
      <w:r w:rsidRPr="007615E9">
        <w:rPr>
          <w:rFonts w:asciiTheme="majorBidi" w:hAnsiTheme="majorBidi" w:cstheme="majorBidi"/>
          <w:b/>
          <w:bCs/>
          <w:sz w:val="24"/>
          <w:szCs w:val="24"/>
        </w:rPr>
        <w:t>Rosenfelder</w:t>
      </w:r>
      <w:r>
        <w:rPr>
          <w:rFonts w:asciiTheme="majorBidi" w:hAnsiTheme="majorBidi" w:cstheme="majorBidi"/>
          <w:b/>
          <w:bCs/>
          <w:sz w:val="24"/>
          <w:szCs w:val="24"/>
        </w:rPr>
        <w:t>,</w:t>
      </w:r>
      <w:r w:rsidRPr="007615E9">
        <w:rPr>
          <w:rFonts w:asciiTheme="majorBidi" w:hAnsiTheme="majorBidi" w:cstheme="majorBidi"/>
          <w:b/>
          <w:bCs/>
          <w:sz w:val="24"/>
          <w:szCs w:val="24"/>
        </w:rPr>
        <w:t xml:space="preserve"> Jo</w:t>
      </w:r>
      <w:r w:rsidRPr="007615E9">
        <w:rPr>
          <w:rFonts w:asciiTheme="majorBidi" w:hAnsiTheme="majorBidi" w:cstheme="majorBidi"/>
          <w:sz w:val="24"/>
          <w:szCs w:val="24"/>
        </w:rPr>
        <w:t>, Commercial Affairs Director at Maverick</w:t>
      </w:r>
      <w:r w:rsidRPr="007615E9">
        <w:rPr>
          <w:rFonts w:asciiTheme="majorBidi" w:hAnsiTheme="majorBidi" w:cstheme="majorBidi"/>
          <w:i/>
          <w:iCs/>
          <w:sz w:val="24"/>
          <w:szCs w:val="24"/>
        </w:rPr>
        <w:t>,</w:t>
      </w:r>
      <w:r w:rsidRPr="007615E9">
        <w:rPr>
          <w:rFonts w:asciiTheme="majorBidi" w:hAnsiTheme="majorBidi" w:cstheme="majorBidi"/>
          <w:sz w:val="24"/>
          <w:szCs w:val="24"/>
        </w:rPr>
        <w:t xml:space="preserve"> the production company that produced </w:t>
      </w:r>
      <w:r w:rsidRPr="007615E9">
        <w:rPr>
          <w:rFonts w:asciiTheme="majorBidi" w:hAnsiTheme="majorBidi" w:cstheme="majorBidi"/>
          <w:i/>
          <w:iCs/>
          <w:sz w:val="24"/>
          <w:szCs w:val="24"/>
        </w:rPr>
        <w:t>How to Look Good Naked</w:t>
      </w:r>
      <w:r w:rsidRPr="007615E9">
        <w:rPr>
          <w:rFonts w:asciiTheme="majorBidi" w:hAnsiTheme="majorBidi" w:cstheme="majorBidi"/>
          <w:sz w:val="24"/>
          <w:szCs w:val="24"/>
        </w:rPr>
        <w:t>; interview conducted on</w:t>
      </w:r>
      <w:r w:rsidRPr="007615E9">
        <w:rPr>
          <w:rFonts w:asciiTheme="majorBidi" w:hAnsiTheme="majorBidi" w:cstheme="majorBidi"/>
          <w:i/>
          <w:iCs/>
          <w:sz w:val="24"/>
          <w:szCs w:val="24"/>
        </w:rPr>
        <w:t xml:space="preserve"> </w:t>
      </w:r>
      <w:r w:rsidRPr="007615E9">
        <w:rPr>
          <w:rFonts w:asciiTheme="majorBidi" w:hAnsiTheme="majorBidi" w:cstheme="majorBidi"/>
          <w:sz w:val="24"/>
          <w:szCs w:val="24"/>
        </w:rPr>
        <w:t xml:space="preserve">01.10, 09 in London. </w:t>
      </w:r>
    </w:p>
    <w:p w14:paraId="3EF0A323" w14:textId="77777777" w:rsidR="00E94ACA" w:rsidRPr="007615E9" w:rsidRDefault="00E94ACA" w:rsidP="00E94ACA">
      <w:pPr>
        <w:numPr>
          <w:ilvl w:val="0"/>
          <w:numId w:val="3"/>
        </w:numPr>
        <w:spacing w:after="0" w:line="360" w:lineRule="auto"/>
        <w:rPr>
          <w:rFonts w:asciiTheme="majorBidi" w:hAnsiTheme="majorBidi" w:cstheme="majorBidi"/>
          <w:sz w:val="24"/>
          <w:szCs w:val="24"/>
        </w:rPr>
      </w:pPr>
      <w:r w:rsidRPr="007615E9">
        <w:rPr>
          <w:rFonts w:asciiTheme="majorBidi" w:hAnsiTheme="majorBidi" w:cstheme="majorBidi"/>
          <w:b/>
          <w:bCs/>
          <w:sz w:val="24"/>
          <w:szCs w:val="24"/>
        </w:rPr>
        <w:t>White</w:t>
      </w:r>
      <w:r>
        <w:rPr>
          <w:rFonts w:asciiTheme="majorBidi" w:hAnsiTheme="majorBidi" w:cstheme="majorBidi"/>
          <w:b/>
          <w:bCs/>
          <w:sz w:val="24"/>
          <w:szCs w:val="24"/>
        </w:rPr>
        <w:t>,</w:t>
      </w:r>
      <w:r w:rsidRPr="007615E9">
        <w:rPr>
          <w:rFonts w:asciiTheme="majorBidi" w:hAnsiTheme="majorBidi" w:cstheme="majorBidi"/>
          <w:b/>
          <w:bCs/>
          <w:sz w:val="24"/>
          <w:szCs w:val="24"/>
        </w:rPr>
        <w:t xml:space="preserve"> Mel, </w:t>
      </w:r>
      <w:r w:rsidRPr="007615E9">
        <w:rPr>
          <w:rFonts w:asciiTheme="majorBidi" w:hAnsiTheme="majorBidi" w:cstheme="majorBidi"/>
          <w:sz w:val="24"/>
          <w:szCs w:val="24"/>
        </w:rPr>
        <w:t>Brand Partner at Ogilvy</w:t>
      </w:r>
      <w:r w:rsidRPr="007615E9">
        <w:rPr>
          <w:rFonts w:asciiTheme="majorBidi" w:hAnsiTheme="majorBidi" w:cstheme="majorBidi"/>
          <w:i/>
          <w:iCs/>
          <w:sz w:val="24"/>
          <w:szCs w:val="24"/>
        </w:rPr>
        <w:t xml:space="preserve"> </w:t>
      </w:r>
      <w:r w:rsidRPr="007615E9">
        <w:rPr>
          <w:rFonts w:asciiTheme="majorBidi" w:hAnsiTheme="majorBidi" w:cstheme="majorBidi"/>
          <w:sz w:val="24"/>
          <w:szCs w:val="24"/>
        </w:rPr>
        <w:t xml:space="preserve">London (owned by WPP), had a leading role in creating Dove’s </w:t>
      </w:r>
      <w:r w:rsidRPr="007615E9">
        <w:rPr>
          <w:rFonts w:asciiTheme="majorBidi" w:hAnsiTheme="majorBidi" w:cstheme="majorBidi"/>
          <w:i/>
          <w:iCs/>
          <w:sz w:val="24"/>
          <w:szCs w:val="24"/>
        </w:rPr>
        <w:t>Real Beauty</w:t>
      </w:r>
      <w:r w:rsidRPr="007615E9">
        <w:rPr>
          <w:rFonts w:asciiTheme="majorBidi" w:hAnsiTheme="majorBidi" w:cstheme="majorBidi"/>
          <w:sz w:val="24"/>
          <w:szCs w:val="24"/>
        </w:rPr>
        <w:t xml:space="preserve"> campaign; interview conducted on 02.09.09 in London. </w:t>
      </w:r>
      <w:r w:rsidRPr="007615E9">
        <w:rPr>
          <w:rStyle w:val="FootnoteReference"/>
          <w:rFonts w:asciiTheme="majorBidi" w:hAnsiTheme="majorBidi" w:cstheme="majorBidi"/>
          <w:sz w:val="24"/>
          <w:szCs w:val="24"/>
        </w:rPr>
        <w:t xml:space="preserve"> </w:t>
      </w:r>
    </w:p>
    <w:p w14:paraId="30AF41B2" w14:textId="77777777" w:rsidR="00E94ACA" w:rsidRPr="007615E9" w:rsidRDefault="00E94ACA" w:rsidP="00E94ACA">
      <w:pPr>
        <w:rPr>
          <w:rFonts w:asciiTheme="majorBidi" w:hAnsiTheme="majorBidi" w:cstheme="majorBidi"/>
        </w:rPr>
      </w:pPr>
      <w:r w:rsidRPr="007615E9">
        <w:rPr>
          <w:rFonts w:asciiTheme="majorBidi" w:hAnsiTheme="majorBidi" w:cstheme="majorBidi"/>
        </w:rPr>
        <w:br w:type="page"/>
      </w:r>
    </w:p>
    <w:p w14:paraId="4E78042F" w14:textId="77777777" w:rsidR="00E94ACA" w:rsidRPr="007615E9" w:rsidRDefault="00E94ACA" w:rsidP="00E94ACA">
      <w:pPr>
        <w:pStyle w:val="Heading1"/>
        <w:rPr>
          <w:rFonts w:asciiTheme="majorBidi" w:hAnsiTheme="majorBidi" w:cstheme="majorBidi"/>
        </w:rPr>
      </w:pPr>
      <w:bookmarkStart w:id="128" w:name="_Toc436586483"/>
      <w:bookmarkStart w:id="129" w:name="_Toc445202723"/>
      <w:r w:rsidRPr="007615E9">
        <w:rPr>
          <w:rFonts w:asciiTheme="majorBidi" w:hAnsiTheme="majorBidi" w:cstheme="majorBidi"/>
        </w:rPr>
        <w:lastRenderedPageBreak/>
        <w:t>Appendix 4: Interviews for the Israeli Case Study</w:t>
      </w:r>
      <w:bookmarkEnd w:id="128"/>
      <w:bookmarkEnd w:id="129"/>
    </w:p>
    <w:p w14:paraId="6D455397" w14:textId="77777777" w:rsidR="00E94ACA" w:rsidRPr="007615E9" w:rsidRDefault="00E94ACA" w:rsidP="00E94ACA">
      <w:pPr>
        <w:pStyle w:val="ListParagraph"/>
        <w:numPr>
          <w:ilvl w:val="0"/>
          <w:numId w:val="4"/>
        </w:numPr>
        <w:spacing w:after="160"/>
        <w:rPr>
          <w:rFonts w:asciiTheme="majorBidi" w:hAnsiTheme="majorBidi" w:cstheme="majorBidi"/>
        </w:rPr>
      </w:pPr>
      <w:r w:rsidRPr="007615E9">
        <w:rPr>
          <w:rFonts w:asciiTheme="majorBidi" w:hAnsiTheme="majorBidi" w:cstheme="majorBidi"/>
          <w:b/>
          <w:bCs/>
        </w:rPr>
        <w:t>Aboulafia</w:t>
      </w:r>
      <w:r>
        <w:rPr>
          <w:rFonts w:asciiTheme="majorBidi" w:hAnsiTheme="majorBidi" w:cstheme="majorBidi"/>
          <w:b/>
          <w:bCs/>
        </w:rPr>
        <w:t>,</w:t>
      </w:r>
      <w:r w:rsidRPr="007615E9">
        <w:rPr>
          <w:rFonts w:asciiTheme="majorBidi" w:hAnsiTheme="majorBidi" w:cstheme="majorBidi"/>
          <w:b/>
          <w:bCs/>
        </w:rPr>
        <w:t xml:space="preserve"> Roni</w:t>
      </w:r>
      <w:r w:rsidRPr="007615E9">
        <w:rPr>
          <w:rFonts w:asciiTheme="majorBidi" w:hAnsiTheme="majorBidi" w:cstheme="majorBidi"/>
        </w:rPr>
        <w:t xml:space="preserve">, Video Editor on </w:t>
      </w:r>
      <w:r w:rsidRPr="007615E9">
        <w:rPr>
          <w:rFonts w:asciiTheme="majorBidi" w:hAnsiTheme="majorBidi" w:cstheme="majorBidi"/>
          <w:i/>
          <w:iCs/>
        </w:rPr>
        <w:t>Overdraft Family</w:t>
      </w:r>
      <w:r w:rsidRPr="007615E9">
        <w:rPr>
          <w:rFonts w:asciiTheme="majorBidi" w:hAnsiTheme="majorBidi" w:cstheme="majorBidi"/>
        </w:rPr>
        <w:t xml:space="preserve"> in its fifth series; interview conducted on 14.06.11 in Tel-Aviv.</w:t>
      </w:r>
    </w:p>
    <w:p w14:paraId="17A4C3DD" w14:textId="77777777" w:rsidR="00E94ACA" w:rsidRPr="007615E9" w:rsidRDefault="00E94ACA" w:rsidP="00E94ACA">
      <w:pPr>
        <w:pStyle w:val="ListParagraph"/>
        <w:numPr>
          <w:ilvl w:val="0"/>
          <w:numId w:val="4"/>
        </w:numPr>
        <w:spacing w:after="160"/>
        <w:rPr>
          <w:rFonts w:asciiTheme="majorBidi" w:hAnsiTheme="majorBidi" w:cstheme="majorBidi"/>
        </w:rPr>
      </w:pPr>
      <w:r w:rsidRPr="007615E9">
        <w:rPr>
          <w:rFonts w:asciiTheme="majorBidi" w:hAnsiTheme="majorBidi" w:cstheme="majorBidi"/>
          <w:b/>
          <w:bCs/>
        </w:rPr>
        <w:t>Goldberg</w:t>
      </w:r>
      <w:r>
        <w:rPr>
          <w:rFonts w:asciiTheme="majorBidi" w:hAnsiTheme="majorBidi" w:cstheme="majorBidi"/>
          <w:b/>
          <w:bCs/>
        </w:rPr>
        <w:t>,</w:t>
      </w:r>
      <w:r w:rsidRPr="007615E9">
        <w:rPr>
          <w:rFonts w:asciiTheme="majorBidi" w:hAnsiTheme="majorBidi" w:cstheme="majorBidi"/>
          <w:b/>
          <w:bCs/>
        </w:rPr>
        <w:t xml:space="preserve"> Ori</w:t>
      </w:r>
      <w:r w:rsidRPr="007615E9">
        <w:rPr>
          <w:rFonts w:asciiTheme="majorBidi" w:hAnsiTheme="majorBidi" w:cstheme="majorBidi"/>
        </w:rPr>
        <w:t>, Former Head of Reshet’s Commercial Co-operation Arm; interview conducted on 13.12.11 at the NMC offices in Cinema City.</w:t>
      </w:r>
    </w:p>
    <w:p w14:paraId="26FAC071" w14:textId="77777777" w:rsidR="00E94ACA" w:rsidRPr="007615E9" w:rsidRDefault="00E94ACA" w:rsidP="00E94ACA">
      <w:pPr>
        <w:pStyle w:val="ListParagraph"/>
        <w:numPr>
          <w:ilvl w:val="0"/>
          <w:numId w:val="4"/>
        </w:numPr>
        <w:spacing w:after="160"/>
        <w:rPr>
          <w:rFonts w:asciiTheme="majorBidi" w:hAnsiTheme="majorBidi" w:cstheme="majorBidi"/>
        </w:rPr>
      </w:pPr>
      <w:r w:rsidRPr="007615E9">
        <w:rPr>
          <w:rFonts w:asciiTheme="majorBidi" w:hAnsiTheme="majorBidi" w:cstheme="majorBidi"/>
          <w:b/>
          <w:bCs/>
        </w:rPr>
        <w:t>Kaminitz</w:t>
      </w:r>
      <w:r>
        <w:rPr>
          <w:rFonts w:asciiTheme="majorBidi" w:hAnsiTheme="majorBidi" w:cstheme="majorBidi"/>
          <w:b/>
          <w:bCs/>
        </w:rPr>
        <w:t>,</w:t>
      </w:r>
      <w:r w:rsidRPr="007615E9">
        <w:rPr>
          <w:rFonts w:asciiTheme="majorBidi" w:hAnsiTheme="majorBidi" w:cstheme="majorBidi"/>
          <w:b/>
          <w:bCs/>
        </w:rPr>
        <w:t xml:space="preserve"> Dafi</w:t>
      </w:r>
      <w:r w:rsidRPr="007615E9">
        <w:rPr>
          <w:rFonts w:asciiTheme="majorBidi" w:hAnsiTheme="majorBidi" w:cstheme="majorBidi"/>
        </w:rPr>
        <w:t xml:space="preserve">, Head of Marketing at Shufersal-Deal at the time </w:t>
      </w:r>
      <w:r w:rsidRPr="007615E9">
        <w:rPr>
          <w:rFonts w:asciiTheme="majorBidi" w:hAnsiTheme="majorBidi" w:cstheme="majorBidi"/>
          <w:i/>
          <w:iCs/>
        </w:rPr>
        <w:t xml:space="preserve">Overdraft Family </w:t>
      </w:r>
      <w:r w:rsidRPr="007615E9">
        <w:rPr>
          <w:rFonts w:asciiTheme="majorBidi" w:hAnsiTheme="majorBidi" w:cstheme="majorBidi"/>
        </w:rPr>
        <w:t>was being produced; interview conducted on 01.01.12 in Rishon Lezion.</w:t>
      </w:r>
    </w:p>
    <w:p w14:paraId="7CB569A4" w14:textId="77777777" w:rsidR="00E94ACA" w:rsidRPr="007615E9" w:rsidRDefault="00E94ACA" w:rsidP="00E94ACA">
      <w:pPr>
        <w:pStyle w:val="ListParagraph"/>
        <w:numPr>
          <w:ilvl w:val="0"/>
          <w:numId w:val="4"/>
        </w:numPr>
        <w:spacing w:after="160"/>
        <w:rPr>
          <w:rFonts w:asciiTheme="majorBidi" w:hAnsiTheme="majorBidi" w:cstheme="majorBidi"/>
        </w:rPr>
      </w:pPr>
      <w:r w:rsidRPr="007615E9">
        <w:rPr>
          <w:rFonts w:asciiTheme="majorBidi" w:hAnsiTheme="majorBidi" w:cstheme="majorBidi"/>
          <w:b/>
          <w:bCs/>
        </w:rPr>
        <w:t>Koren</w:t>
      </w:r>
      <w:r>
        <w:rPr>
          <w:rFonts w:asciiTheme="majorBidi" w:hAnsiTheme="majorBidi" w:cstheme="majorBidi"/>
          <w:b/>
          <w:bCs/>
        </w:rPr>
        <w:t>,</w:t>
      </w:r>
      <w:r w:rsidRPr="007615E9">
        <w:rPr>
          <w:rFonts w:asciiTheme="majorBidi" w:hAnsiTheme="majorBidi" w:cstheme="majorBidi"/>
          <w:b/>
          <w:bCs/>
        </w:rPr>
        <w:t xml:space="preserve"> Orit</w:t>
      </w:r>
      <w:r w:rsidRPr="007615E9">
        <w:rPr>
          <w:rFonts w:asciiTheme="majorBidi" w:hAnsiTheme="majorBidi" w:cstheme="majorBidi"/>
        </w:rPr>
        <w:t xml:space="preserve">, Commissioning Editor for </w:t>
      </w:r>
      <w:r w:rsidRPr="007615E9">
        <w:rPr>
          <w:rFonts w:asciiTheme="majorBidi" w:hAnsiTheme="majorBidi" w:cstheme="majorBidi"/>
          <w:i/>
          <w:iCs/>
        </w:rPr>
        <w:t>Overdraft Family</w:t>
      </w:r>
      <w:r w:rsidRPr="007615E9">
        <w:rPr>
          <w:rFonts w:asciiTheme="majorBidi" w:hAnsiTheme="majorBidi" w:cstheme="majorBidi"/>
        </w:rPr>
        <w:t xml:space="preserve"> on behalf of Reshet; interview conducted on 06.12.11.</w:t>
      </w:r>
    </w:p>
    <w:p w14:paraId="56A2BA6E" w14:textId="77777777" w:rsidR="00E94ACA" w:rsidRPr="007615E9" w:rsidRDefault="00E94ACA" w:rsidP="00E94ACA">
      <w:pPr>
        <w:pStyle w:val="ListParagraph"/>
        <w:numPr>
          <w:ilvl w:val="0"/>
          <w:numId w:val="4"/>
        </w:numPr>
        <w:spacing w:after="160"/>
        <w:rPr>
          <w:rFonts w:asciiTheme="majorBidi" w:hAnsiTheme="majorBidi" w:cstheme="majorBidi"/>
        </w:rPr>
      </w:pPr>
      <w:r w:rsidRPr="007615E9">
        <w:rPr>
          <w:rFonts w:asciiTheme="majorBidi" w:hAnsiTheme="majorBidi" w:cstheme="majorBidi"/>
          <w:b/>
          <w:bCs/>
        </w:rPr>
        <w:t>Landsman</w:t>
      </w:r>
      <w:r>
        <w:rPr>
          <w:rFonts w:asciiTheme="majorBidi" w:hAnsiTheme="majorBidi" w:cstheme="majorBidi"/>
          <w:b/>
          <w:bCs/>
        </w:rPr>
        <w:t>,</w:t>
      </w:r>
      <w:r w:rsidRPr="007615E9">
        <w:rPr>
          <w:rFonts w:asciiTheme="majorBidi" w:hAnsiTheme="majorBidi" w:cstheme="majorBidi"/>
          <w:b/>
          <w:bCs/>
        </w:rPr>
        <w:t xml:space="preserve"> Sharon</w:t>
      </w:r>
      <w:r w:rsidRPr="007615E9">
        <w:rPr>
          <w:rFonts w:asciiTheme="majorBidi" w:hAnsiTheme="majorBidi" w:cstheme="majorBidi"/>
        </w:rPr>
        <w:t>, Head of Marketing Communications at Bank Hapo’alim; interview conducted on 01.01.12 in Tel-Aviv.</w:t>
      </w:r>
    </w:p>
    <w:p w14:paraId="3BD6DF8F" w14:textId="77777777" w:rsidR="00E94ACA" w:rsidRPr="007615E9" w:rsidRDefault="00E94ACA" w:rsidP="00E94ACA">
      <w:pPr>
        <w:pStyle w:val="ListParagraph"/>
        <w:numPr>
          <w:ilvl w:val="0"/>
          <w:numId w:val="4"/>
        </w:numPr>
        <w:spacing w:after="160"/>
        <w:rPr>
          <w:rFonts w:asciiTheme="majorBidi" w:hAnsiTheme="majorBidi" w:cstheme="majorBidi"/>
        </w:rPr>
      </w:pPr>
      <w:r w:rsidRPr="007615E9">
        <w:rPr>
          <w:rFonts w:asciiTheme="majorBidi" w:hAnsiTheme="majorBidi" w:cstheme="majorBidi"/>
          <w:b/>
          <w:bCs/>
        </w:rPr>
        <w:t>Pratzer</w:t>
      </w:r>
      <w:r>
        <w:rPr>
          <w:rFonts w:asciiTheme="majorBidi" w:hAnsiTheme="majorBidi" w:cstheme="majorBidi"/>
          <w:b/>
          <w:bCs/>
        </w:rPr>
        <w:t>,</w:t>
      </w:r>
      <w:r w:rsidRPr="007615E9">
        <w:rPr>
          <w:rFonts w:asciiTheme="majorBidi" w:hAnsiTheme="majorBidi" w:cstheme="majorBidi"/>
          <w:b/>
          <w:bCs/>
        </w:rPr>
        <w:t xml:space="preserve"> Golan</w:t>
      </w:r>
      <w:r w:rsidRPr="007615E9">
        <w:rPr>
          <w:rFonts w:asciiTheme="majorBidi" w:hAnsiTheme="majorBidi" w:cstheme="majorBidi"/>
        </w:rPr>
        <w:t>, Head of BBDO Content, Gitam-BBDO; interviews conducted on 06.04.11 and 11.05.11 in Tel-Aviv.</w:t>
      </w:r>
    </w:p>
    <w:p w14:paraId="3D4B435F" w14:textId="77777777" w:rsidR="00E94ACA" w:rsidRPr="007615E9" w:rsidRDefault="00E94ACA" w:rsidP="00E94ACA">
      <w:pPr>
        <w:pStyle w:val="ListParagraph"/>
        <w:numPr>
          <w:ilvl w:val="0"/>
          <w:numId w:val="4"/>
        </w:numPr>
        <w:spacing w:after="160"/>
        <w:rPr>
          <w:rFonts w:asciiTheme="majorBidi" w:hAnsiTheme="majorBidi" w:cstheme="majorBidi"/>
        </w:rPr>
      </w:pPr>
      <w:r w:rsidRPr="007615E9">
        <w:rPr>
          <w:rFonts w:asciiTheme="majorBidi" w:hAnsiTheme="majorBidi" w:cstheme="majorBidi"/>
          <w:b/>
          <w:bCs/>
        </w:rPr>
        <w:t>Rosenblum</w:t>
      </w:r>
      <w:r>
        <w:rPr>
          <w:rFonts w:asciiTheme="majorBidi" w:hAnsiTheme="majorBidi" w:cstheme="majorBidi"/>
          <w:b/>
          <w:bCs/>
        </w:rPr>
        <w:t>,</w:t>
      </w:r>
      <w:r w:rsidRPr="007615E9">
        <w:rPr>
          <w:rFonts w:asciiTheme="majorBidi" w:hAnsiTheme="majorBidi" w:cstheme="majorBidi"/>
          <w:b/>
          <w:bCs/>
        </w:rPr>
        <w:t xml:space="preserve"> Tzipi</w:t>
      </w:r>
      <w:r w:rsidRPr="007615E9">
        <w:rPr>
          <w:rFonts w:asciiTheme="majorBidi" w:hAnsiTheme="majorBidi" w:cstheme="majorBidi"/>
        </w:rPr>
        <w:t xml:space="preserve">, Format Developer of </w:t>
      </w:r>
      <w:r w:rsidRPr="007615E9">
        <w:rPr>
          <w:rFonts w:asciiTheme="majorBidi" w:hAnsiTheme="majorBidi" w:cstheme="majorBidi"/>
          <w:i/>
          <w:iCs/>
        </w:rPr>
        <w:t xml:space="preserve">Overdraft Family </w:t>
      </w:r>
      <w:r w:rsidRPr="007615E9">
        <w:rPr>
          <w:rFonts w:asciiTheme="majorBidi" w:hAnsiTheme="majorBidi" w:cstheme="majorBidi"/>
        </w:rPr>
        <w:t xml:space="preserve">and Editor in its first two seasons; interview conducted on 21.11.11. </w:t>
      </w:r>
    </w:p>
    <w:p w14:paraId="0B6465DD" w14:textId="77777777" w:rsidR="00E94ACA" w:rsidRPr="007615E9" w:rsidRDefault="00E94ACA" w:rsidP="00E94ACA">
      <w:pPr>
        <w:pStyle w:val="ListParagraph"/>
        <w:numPr>
          <w:ilvl w:val="0"/>
          <w:numId w:val="4"/>
        </w:numPr>
        <w:spacing w:after="160"/>
        <w:rPr>
          <w:rFonts w:asciiTheme="majorBidi" w:hAnsiTheme="majorBidi" w:cstheme="majorBidi"/>
        </w:rPr>
      </w:pPr>
      <w:r w:rsidRPr="007615E9">
        <w:rPr>
          <w:rFonts w:asciiTheme="majorBidi" w:hAnsiTheme="majorBidi" w:cstheme="majorBidi"/>
          <w:b/>
          <w:bCs/>
        </w:rPr>
        <w:t>Se’ada</w:t>
      </w:r>
      <w:r>
        <w:rPr>
          <w:rFonts w:asciiTheme="majorBidi" w:hAnsiTheme="majorBidi" w:cstheme="majorBidi"/>
          <w:b/>
          <w:bCs/>
        </w:rPr>
        <w:t>,</w:t>
      </w:r>
      <w:r w:rsidRPr="007615E9">
        <w:rPr>
          <w:rFonts w:asciiTheme="majorBidi" w:hAnsiTheme="majorBidi" w:cstheme="majorBidi"/>
          <w:b/>
          <w:bCs/>
        </w:rPr>
        <w:t xml:space="preserve"> Eyal</w:t>
      </w:r>
      <w:r w:rsidRPr="007615E9">
        <w:rPr>
          <w:rFonts w:asciiTheme="majorBidi" w:hAnsiTheme="majorBidi" w:cstheme="majorBidi"/>
        </w:rPr>
        <w:t xml:space="preserve">, Partner at BBDO Content, Gitam-BBDO, responsible for the </w:t>
      </w:r>
      <w:r w:rsidRPr="007615E9">
        <w:rPr>
          <w:rFonts w:asciiTheme="majorBidi" w:hAnsiTheme="majorBidi" w:cstheme="majorBidi"/>
          <w:i/>
          <w:iCs/>
        </w:rPr>
        <w:t>Overdraft Family</w:t>
      </w:r>
      <w:r w:rsidRPr="007615E9">
        <w:rPr>
          <w:rFonts w:asciiTheme="majorBidi" w:hAnsiTheme="majorBidi" w:cstheme="majorBidi"/>
        </w:rPr>
        <w:t xml:space="preserve"> deal; interview conducted on 11.05.11 in Tel-Aviv.</w:t>
      </w:r>
    </w:p>
    <w:p w14:paraId="25A4744D" w14:textId="77777777" w:rsidR="00E94ACA" w:rsidRPr="007615E9" w:rsidRDefault="00E94ACA" w:rsidP="00E94ACA">
      <w:pPr>
        <w:pStyle w:val="ListParagraph"/>
        <w:rPr>
          <w:rFonts w:asciiTheme="majorBidi" w:hAnsiTheme="majorBidi" w:cstheme="majorBidi"/>
        </w:rPr>
      </w:pPr>
    </w:p>
    <w:p w14:paraId="310E7D79" w14:textId="77777777" w:rsidR="00E94ACA" w:rsidRPr="007615E9" w:rsidRDefault="00E94ACA" w:rsidP="00E94ACA">
      <w:pPr>
        <w:jc w:val="center"/>
        <w:rPr>
          <w:rFonts w:asciiTheme="majorBidi" w:hAnsiTheme="majorBidi" w:cstheme="majorBidi"/>
          <w:b/>
          <w:bCs/>
        </w:rPr>
      </w:pPr>
    </w:p>
    <w:p w14:paraId="13F05A16" w14:textId="77777777" w:rsidR="00E94ACA" w:rsidRPr="007615E9" w:rsidRDefault="00E94ACA" w:rsidP="00E94ACA">
      <w:pPr>
        <w:rPr>
          <w:rFonts w:asciiTheme="majorBidi" w:hAnsiTheme="majorBidi" w:cstheme="majorBidi"/>
          <w:b/>
          <w:bCs/>
          <w:sz w:val="24"/>
          <w:szCs w:val="24"/>
        </w:rPr>
      </w:pPr>
    </w:p>
    <w:p w14:paraId="06BCAA47" w14:textId="77777777" w:rsidR="00E94ACA" w:rsidRPr="007615E9" w:rsidRDefault="00E94ACA" w:rsidP="00E94ACA">
      <w:pPr>
        <w:rPr>
          <w:rFonts w:asciiTheme="majorBidi" w:hAnsiTheme="majorBidi" w:cstheme="majorBidi"/>
          <w:b/>
          <w:bCs/>
          <w:sz w:val="24"/>
          <w:szCs w:val="24"/>
        </w:rPr>
      </w:pPr>
      <w:r w:rsidRPr="007615E9">
        <w:rPr>
          <w:rFonts w:asciiTheme="majorBidi" w:hAnsiTheme="majorBidi" w:cstheme="majorBidi"/>
          <w:b/>
          <w:bCs/>
          <w:sz w:val="24"/>
          <w:szCs w:val="24"/>
        </w:rPr>
        <w:br w:type="page"/>
      </w:r>
    </w:p>
    <w:p w14:paraId="0EDD26AF" w14:textId="77777777" w:rsidR="00E94ACA" w:rsidRPr="007615E9" w:rsidRDefault="00E94ACA" w:rsidP="00E94ACA">
      <w:pPr>
        <w:pStyle w:val="Heading1"/>
        <w:rPr>
          <w:rFonts w:asciiTheme="majorBidi" w:hAnsiTheme="majorBidi" w:cstheme="majorBidi"/>
        </w:rPr>
      </w:pPr>
      <w:bookmarkStart w:id="130" w:name="_Toc436586484"/>
      <w:bookmarkStart w:id="131" w:name="_Toc445202724"/>
      <w:r w:rsidRPr="007615E9">
        <w:rPr>
          <w:rFonts w:asciiTheme="majorBidi" w:hAnsiTheme="majorBidi" w:cstheme="majorBidi"/>
        </w:rPr>
        <w:lastRenderedPageBreak/>
        <w:t>Appendix 5: Internal Documents,</w:t>
      </w:r>
      <w:bookmarkEnd w:id="130"/>
      <w:r w:rsidRPr="007615E9">
        <w:rPr>
          <w:rFonts w:asciiTheme="majorBidi" w:hAnsiTheme="majorBidi" w:cstheme="majorBidi"/>
        </w:rPr>
        <w:t xml:space="preserve"> British Case Study</w:t>
      </w:r>
      <w:bookmarkEnd w:id="131"/>
    </w:p>
    <w:p w14:paraId="5521C697" w14:textId="77777777" w:rsidR="00E94ACA" w:rsidRPr="007615E9" w:rsidRDefault="00E94ACA" w:rsidP="00E94ACA">
      <w:pPr>
        <w:pStyle w:val="ListParagraph"/>
        <w:numPr>
          <w:ilvl w:val="0"/>
          <w:numId w:val="5"/>
        </w:numPr>
        <w:rPr>
          <w:rFonts w:asciiTheme="majorBidi" w:hAnsiTheme="majorBidi" w:cstheme="majorBidi"/>
        </w:rPr>
      </w:pPr>
      <w:r w:rsidRPr="00FE0957">
        <w:rPr>
          <w:rFonts w:asciiTheme="majorBidi" w:hAnsiTheme="majorBidi" w:cstheme="majorBidi"/>
          <w:b/>
          <w:bCs/>
        </w:rPr>
        <w:t>Channel 4</w:t>
      </w:r>
      <w:r w:rsidRPr="007615E9">
        <w:rPr>
          <w:rFonts w:asciiTheme="majorBidi" w:hAnsiTheme="majorBidi" w:cstheme="majorBidi"/>
        </w:rPr>
        <w:t xml:space="preserve">, Presentation for Sponsors: </w:t>
      </w:r>
      <w:r w:rsidRPr="009962EC">
        <w:rPr>
          <w:rFonts w:asciiTheme="majorBidi" w:hAnsiTheme="majorBidi" w:cstheme="majorBidi"/>
          <w:i/>
          <w:iCs/>
        </w:rPr>
        <w:t>How to Look Good Naked</w:t>
      </w:r>
      <w:r w:rsidRPr="007615E9">
        <w:rPr>
          <w:rFonts w:asciiTheme="majorBidi" w:hAnsiTheme="majorBidi" w:cstheme="majorBidi"/>
        </w:rPr>
        <w:t xml:space="preserve">, 2006. </w:t>
      </w:r>
    </w:p>
    <w:p w14:paraId="0BCC5F7B" w14:textId="77777777" w:rsidR="00E94ACA" w:rsidRPr="007615E9" w:rsidRDefault="00E94ACA" w:rsidP="00E94ACA">
      <w:pPr>
        <w:pStyle w:val="ListParagraph"/>
        <w:numPr>
          <w:ilvl w:val="0"/>
          <w:numId w:val="5"/>
        </w:numPr>
        <w:rPr>
          <w:rFonts w:asciiTheme="majorBidi" w:hAnsiTheme="majorBidi" w:cstheme="majorBidi"/>
        </w:rPr>
      </w:pPr>
      <w:r w:rsidRPr="00FE0957">
        <w:rPr>
          <w:rFonts w:asciiTheme="majorBidi" w:hAnsiTheme="majorBidi" w:cstheme="majorBidi"/>
          <w:b/>
          <w:bCs/>
        </w:rPr>
        <w:t>Dove</w:t>
      </w:r>
      <w:r w:rsidRPr="007615E9">
        <w:rPr>
          <w:rFonts w:asciiTheme="majorBidi" w:hAnsiTheme="majorBidi" w:cstheme="majorBidi"/>
        </w:rPr>
        <w:t>, Strategic Plan for the Worldwide Real Beauty Campaign (a two part presentation), 2004.</w:t>
      </w:r>
    </w:p>
    <w:p w14:paraId="3A77B63E" w14:textId="77777777" w:rsidR="00E94ACA" w:rsidRPr="007615E9" w:rsidRDefault="00E94ACA" w:rsidP="00E94ACA">
      <w:pPr>
        <w:pStyle w:val="ListParagraph"/>
        <w:numPr>
          <w:ilvl w:val="0"/>
          <w:numId w:val="5"/>
        </w:numPr>
        <w:rPr>
          <w:rFonts w:asciiTheme="majorBidi" w:hAnsiTheme="majorBidi" w:cstheme="majorBidi"/>
        </w:rPr>
      </w:pPr>
      <w:r w:rsidRPr="00FE0957">
        <w:rPr>
          <w:rFonts w:asciiTheme="majorBidi" w:hAnsiTheme="majorBidi" w:cstheme="majorBidi"/>
          <w:b/>
          <w:bCs/>
        </w:rPr>
        <w:t>Mindshare</w:t>
      </w:r>
      <w:r w:rsidRPr="007615E9">
        <w:rPr>
          <w:rFonts w:asciiTheme="majorBidi" w:hAnsiTheme="majorBidi" w:cstheme="majorBidi"/>
        </w:rPr>
        <w:t xml:space="preserve">, </w:t>
      </w:r>
      <w:r w:rsidRPr="007615E9">
        <w:rPr>
          <w:rFonts w:asciiTheme="majorBidi" w:eastAsia="Times New Roman" w:hAnsiTheme="majorBidi" w:cstheme="majorBidi"/>
        </w:rPr>
        <w:t>Dove Pro-Age Sponsorship of</w:t>
      </w:r>
      <w:r w:rsidRPr="009962EC">
        <w:rPr>
          <w:rFonts w:asciiTheme="majorBidi" w:eastAsia="Times New Roman" w:hAnsiTheme="majorBidi" w:cstheme="majorBidi"/>
          <w:i/>
          <w:iCs/>
        </w:rPr>
        <w:t xml:space="preserve"> How to Look Good Naked</w:t>
      </w:r>
      <w:r w:rsidRPr="007615E9">
        <w:rPr>
          <w:rFonts w:asciiTheme="majorBidi" w:eastAsia="Times New Roman" w:hAnsiTheme="majorBidi" w:cstheme="majorBidi"/>
        </w:rPr>
        <w:t xml:space="preserve"> on Channel 4 - Post Campaign Analysis, 2</w:t>
      </w:r>
      <w:r w:rsidRPr="007615E9">
        <w:rPr>
          <w:rFonts w:asciiTheme="majorBidi" w:eastAsia="Times New Roman" w:hAnsiTheme="majorBidi" w:cstheme="majorBidi"/>
          <w:vertAlign w:val="superscript"/>
        </w:rPr>
        <w:t>nd</w:t>
      </w:r>
      <w:r w:rsidRPr="007615E9">
        <w:rPr>
          <w:rFonts w:asciiTheme="majorBidi" w:eastAsia="Times New Roman" w:hAnsiTheme="majorBidi" w:cstheme="majorBidi"/>
        </w:rPr>
        <w:t xml:space="preserve"> Series, August 2007. </w:t>
      </w:r>
    </w:p>
    <w:p w14:paraId="1D974A15" w14:textId="77777777" w:rsidR="00E94ACA" w:rsidRPr="007615E9" w:rsidRDefault="00E94ACA" w:rsidP="00E94ACA">
      <w:pPr>
        <w:pStyle w:val="ListParagraph"/>
        <w:numPr>
          <w:ilvl w:val="0"/>
          <w:numId w:val="5"/>
        </w:numPr>
        <w:rPr>
          <w:rFonts w:asciiTheme="majorBidi" w:hAnsiTheme="majorBidi" w:cstheme="majorBidi"/>
        </w:rPr>
      </w:pPr>
      <w:r w:rsidRPr="00FE0957">
        <w:rPr>
          <w:rFonts w:asciiTheme="majorBidi" w:hAnsiTheme="majorBidi" w:cstheme="majorBidi"/>
          <w:b/>
          <w:bCs/>
        </w:rPr>
        <w:t>Mindshare</w:t>
      </w:r>
      <w:r w:rsidRPr="007615E9">
        <w:rPr>
          <w:rFonts w:asciiTheme="majorBidi" w:hAnsiTheme="majorBidi" w:cstheme="majorBidi"/>
        </w:rPr>
        <w:t xml:space="preserve">, Dove Sponsorship of </w:t>
      </w:r>
      <w:r w:rsidRPr="009962EC">
        <w:rPr>
          <w:rFonts w:asciiTheme="majorBidi" w:hAnsiTheme="majorBidi" w:cstheme="majorBidi"/>
          <w:i/>
          <w:iCs/>
        </w:rPr>
        <w:t>How to Look Good Naked</w:t>
      </w:r>
      <w:r w:rsidRPr="007615E9">
        <w:rPr>
          <w:rFonts w:asciiTheme="majorBidi" w:hAnsiTheme="majorBidi" w:cstheme="majorBidi"/>
        </w:rPr>
        <w:t xml:space="preserve"> on Channel 4, 2</w:t>
      </w:r>
      <w:r w:rsidRPr="007615E9">
        <w:rPr>
          <w:rFonts w:asciiTheme="majorBidi" w:hAnsiTheme="majorBidi" w:cstheme="majorBidi"/>
          <w:vertAlign w:val="superscript"/>
        </w:rPr>
        <w:t>nd</w:t>
      </w:r>
      <w:r w:rsidRPr="007615E9">
        <w:rPr>
          <w:rFonts w:asciiTheme="majorBidi" w:hAnsiTheme="majorBidi" w:cstheme="majorBidi"/>
        </w:rPr>
        <w:t xml:space="preserve"> Series, July 2007. </w:t>
      </w:r>
    </w:p>
    <w:p w14:paraId="5001CE23" w14:textId="77777777" w:rsidR="00E94ACA" w:rsidRPr="007615E9" w:rsidRDefault="00E94ACA" w:rsidP="00E94ACA">
      <w:pPr>
        <w:spacing w:line="360" w:lineRule="auto"/>
        <w:ind w:left="360"/>
        <w:rPr>
          <w:rFonts w:asciiTheme="majorBidi" w:hAnsiTheme="majorBidi" w:cstheme="majorBidi"/>
        </w:rPr>
      </w:pPr>
    </w:p>
    <w:p w14:paraId="704DEBA1" w14:textId="77777777" w:rsidR="00E94ACA" w:rsidRPr="007615E9" w:rsidRDefault="00E94ACA" w:rsidP="00E94ACA">
      <w:pPr>
        <w:pStyle w:val="ListParagraph"/>
        <w:rPr>
          <w:rFonts w:asciiTheme="majorBidi" w:hAnsiTheme="majorBidi" w:cstheme="majorBidi"/>
        </w:rPr>
      </w:pPr>
    </w:p>
    <w:p w14:paraId="7855744C" w14:textId="77777777" w:rsidR="00E94ACA" w:rsidRPr="007615E9" w:rsidRDefault="00E94ACA" w:rsidP="00E94ACA">
      <w:pPr>
        <w:pStyle w:val="ListParagraph"/>
        <w:bidi/>
        <w:rPr>
          <w:rFonts w:asciiTheme="majorBidi" w:hAnsiTheme="majorBidi" w:cstheme="majorBidi"/>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4680"/>
        <w:gridCol w:w="4680"/>
      </w:tblGrid>
      <w:tr w:rsidR="00E94ACA" w:rsidRPr="007615E9" w14:paraId="307E7C6A" w14:textId="77777777" w:rsidTr="00DC3C65">
        <w:trPr>
          <w:gridAfter w:val="1"/>
          <w:tblCellSpacing w:w="0" w:type="dxa"/>
        </w:trPr>
        <w:tc>
          <w:tcPr>
            <w:tcW w:w="0" w:type="auto"/>
            <w:hideMark/>
          </w:tcPr>
          <w:p w14:paraId="015B8EB6" w14:textId="77777777" w:rsidR="00E94ACA" w:rsidRPr="007615E9" w:rsidRDefault="00E94ACA" w:rsidP="00DC3C65">
            <w:pPr>
              <w:spacing w:after="0" w:line="360" w:lineRule="auto"/>
              <w:rPr>
                <w:rFonts w:asciiTheme="majorBidi" w:eastAsia="Times New Roman" w:hAnsiTheme="majorBidi" w:cstheme="majorBidi"/>
              </w:rPr>
            </w:pPr>
          </w:p>
        </w:tc>
      </w:tr>
      <w:tr w:rsidR="00E94ACA" w:rsidRPr="007615E9" w14:paraId="5885D1EC" w14:textId="77777777" w:rsidTr="00DC3C65">
        <w:trPr>
          <w:tblCellSpacing w:w="0" w:type="dxa"/>
        </w:trPr>
        <w:tc>
          <w:tcPr>
            <w:tcW w:w="0" w:type="auto"/>
            <w:hideMark/>
          </w:tcPr>
          <w:p w14:paraId="7F77ACFF" w14:textId="77777777" w:rsidR="00E94ACA" w:rsidRPr="007615E9" w:rsidRDefault="00E94ACA" w:rsidP="00DC3C65">
            <w:pPr>
              <w:spacing w:after="0" w:line="360" w:lineRule="auto"/>
              <w:rPr>
                <w:rFonts w:asciiTheme="majorBidi" w:eastAsia="Times New Roman" w:hAnsiTheme="majorBidi" w:cstheme="majorBidi"/>
              </w:rPr>
            </w:pPr>
          </w:p>
        </w:tc>
        <w:tc>
          <w:tcPr>
            <w:tcW w:w="0" w:type="auto"/>
            <w:hideMark/>
          </w:tcPr>
          <w:p w14:paraId="2D34AAB6" w14:textId="77777777" w:rsidR="00E94ACA" w:rsidRPr="007615E9" w:rsidRDefault="00E94ACA" w:rsidP="00DC3C65">
            <w:pPr>
              <w:spacing w:after="0" w:line="360" w:lineRule="auto"/>
              <w:rPr>
                <w:rFonts w:asciiTheme="majorBidi" w:eastAsia="Times New Roman" w:hAnsiTheme="majorBidi" w:cstheme="majorBidi"/>
              </w:rPr>
            </w:pPr>
          </w:p>
        </w:tc>
      </w:tr>
      <w:tr w:rsidR="00E94ACA" w:rsidRPr="007615E9" w14:paraId="5EB352A2" w14:textId="77777777" w:rsidTr="00DC3C65">
        <w:trPr>
          <w:gridAfter w:val="1"/>
          <w:tblCellSpacing w:w="0" w:type="dxa"/>
        </w:trPr>
        <w:tc>
          <w:tcPr>
            <w:tcW w:w="0" w:type="auto"/>
            <w:hideMark/>
          </w:tcPr>
          <w:p w14:paraId="20D3215B" w14:textId="77777777" w:rsidR="00E94ACA" w:rsidRPr="007615E9" w:rsidRDefault="00E94ACA" w:rsidP="00DC3C65">
            <w:pPr>
              <w:spacing w:after="0" w:line="360" w:lineRule="auto"/>
              <w:rPr>
                <w:rFonts w:asciiTheme="majorBidi" w:eastAsia="Times New Roman" w:hAnsiTheme="majorBidi" w:cstheme="majorBidi"/>
              </w:rPr>
            </w:pPr>
          </w:p>
        </w:tc>
      </w:tr>
      <w:tr w:rsidR="00E94ACA" w:rsidRPr="007615E9" w14:paraId="674822D7" w14:textId="77777777" w:rsidTr="00DC3C65">
        <w:trPr>
          <w:tblCellSpacing w:w="0" w:type="dxa"/>
        </w:trPr>
        <w:tc>
          <w:tcPr>
            <w:tcW w:w="0" w:type="auto"/>
            <w:hideMark/>
          </w:tcPr>
          <w:p w14:paraId="207601FF" w14:textId="77777777" w:rsidR="00E94ACA" w:rsidRPr="007615E9" w:rsidRDefault="00E94ACA" w:rsidP="00DC3C65">
            <w:pPr>
              <w:spacing w:after="0" w:line="360" w:lineRule="auto"/>
              <w:rPr>
                <w:rFonts w:asciiTheme="majorBidi" w:eastAsia="Times New Roman" w:hAnsiTheme="majorBidi" w:cstheme="majorBidi"/>
              </w:rPr>
            </w:pPr>
          </w:p>
        </w:tc>
        <w:tc>
          <w:tcPr>
            <w:tcW w:w="0" w:type="auto"/>
            <w:hideMark/>
          </w:tcPr>
          <w:p w14:paraId="6A3751C0" w14:textId="77777777" w:rsidR="00E94ACA" w:rsidRPr="007615E9" w:rsidRDefault="00E94ACA" w:rsidP="00DC3C65">
            <w:pPr>
              <w:spacing w:after="0" w:line="360" w:lineRule="auto"/>
              <w:rPr>
                <w:rFonts w:asciiTheme="majorBidi" w:eastAsia="Times New Roman" w:hAnsiTheme="majorBidi" w:cstheme="majorBidi"/>
              </w:rPr>
            </w:pPr>
          </w:p>
        </w:tc>
      </w:tr>
      <w:tr w:rsidR="00E94ACA" w:rsidRPr="007615E9" w14:paraId="6C697EC5" w14:textId="77777777" w:rsidTr="00DC3C65">
        <w:trPr>
          <w:tblCellSpacing w:w="0" w:type="dxa"/>
        </w:trPr>
        <w:tc>
          <w:tcPr>
            <w:tcW w:w="0" w:type="auto"/>
            <w:hideMark/>
          </w:tcPr>
          <w:p w14:paraId="556D881E" w14:textId="77777777" w:rsidR="00E94ACA" w:rsidRPr="007615E9" w:rsidRDefault="00E94ACA" w:rsidP="00DC3C65">
            <w:pPr>
              <w:spacing w:after="0" w:line="360" w:lineRule="auto"/>
              <w:rPr>
                <w:rFonts w:asciiTheme="majorBidi" w:eastAsia="Times New Roman" w:hAnsiTheme="majorBidi" w:cstheme="majorBidi"/>
              </w:rPr>
            </w:pPr>
          </w:p>
        </w:tc>
        <w:tc>
          <w:tcPr>
            <w:tcW w:w="0" w:type="auto"/>
            <w:hideMark/>
          </w:tcPr>
          <w:p w14:paraId="660BC3F5" w14:textId="77777777" w:rsidR="00E94ACA" w:rsidRPr="007615E9" w:rsidRDefault="00E94ACA" w:rsidP="00DC3C65">
            <w:pPr>
              <w:spacing w:after="0" w:line="360" w:lineRule="auto"/>
              <w:rPr>
                <w:rFonts w:asciiTheme="majorBidi" w:eastAsia="Times New Roman" w:hAnsiTheme="majorBidi" w:cstheme="majorBidi"/>
              </w:rPr>
            </w:pPr>
          </w:p>
        </w:tc>
      </w:tr>
      <w:tr w:rsidR="00E94ACA" w:rsidRPr="007615E9" w14:paraId="48942003" w14:textId="77777777" w:rsidTr="00DC3C65">
        <w:trPr>
          <w:gridAfter w:val="1"/>
          <w:tblCellSpacing w:w="0" w:type="dxa"/>
        </w:trPr>
        <w:tc>
          <w:tcPr>
            <w:tcW w:w="0" w:type="auto"/>
            <w:hideMark/>
          </w:tcPr>
          <w:p w14:paraId="26313392" w14:textId="77777777" w:rsidR="00E94ACA" w:rsidRPr="007615E9" w:rsidRDefault="00E94ACA" w:rsidP="00DC3C65">
            <w:pPr>
              <w:spacing w:after="0" w:line="360" w:lineRule="auto"/>
              <w:rPr>
                <w:rFonts w:asciiTheme="majorBidi" w:eastAsia="Times New Roman" w:hAnsiTheme="majorBidi" w:cstheme="majorBidi"/>
              </w:rPr>
            </w:pPr>
          </w:p>
        </w:tc>
      </w:tr>
      <w:tr w:rsidR="00E94ACA" w:rsidRPr="007615E9" w14:paraId="1A3FB16C" w14:textId="77777777" w:rsidTr="00DC3C65">
        <w:trPr>
          <w:tblCellSpacing w:w="0" w:type="dxa"/>
        </w:trPr>
        <w:tc>
          <w:tcPr>
            <w:tcW w:w="0" w:type="auto"/>
            <w:hideMark/>
          </w:tcPr>
          <w:p w14:paraId="759CE0DD" w14:textId="77777777" w:rsidR="00E94ACA" w:rsidRPr="007615E9" w:rsidRDefault="00E94ACA" w:rsidP="00DC3C65">
            <w:pPr>
              <w:spacing w:after="0" w:line="360" w:lineRule="auto"/>
              <w:rPr>
                <w:rFonts w:asciiTheme="majorBidi" w:eastAsia="Times New Roman" w:hAnsiTheme="majorBidi" w:cstheme="majorBidi"/>
              </w:rPr>
            </w:pPr>
          </w:p>
        </w:tc>
        <w:tc>
          <w:tcPr>
            <w:tcW w:w="0" w:type="auto"/>
            <w:hideMark/>
          </w:tcPr>
          <w:p w14:paraId="1E6B6CF5" w14:textId="77777777" w:rsidR="00E94ACA" w:rsidRPr="007615E9" w:rsidRDefault="00E94ACA" w:rsidP="00DC3C65">
            <w:pPr>
              <w:spacing w:after="0" w:line="360" w:lineRule="auto"/>
              <w:rPr>
                <w:rFonts w:asciiTheme="majorBidi" w:eastAsia="Times New Roman" w:hAnsiTheme="majorBidi" w:cstheme="majorBidi"/>
              </w:rPr>
            </w:pPr>
          </w:p>
        </w:tc>
      </w:tr>
    </w:tbl>
    <w:p w14:paraId="18863B7A" w14:textId="77777777" w:rsidR="00E94ACA" w:rsidRPr="007615E9" w:rsidRDefault="00E94ACA" w:rsidP="00E94ACA">
      <w:pPr>
        <w:rPr>
          <w:rFonts w:asciiTheme="majorBidi" w:hAnsiTheme="majorBidi" w:cstheme="majorBidi"/>
        </w:rPr>
      </w:pPr>
      <w:r w:rsidRPr="007615E9">
        <w:rPr>
          <w:rFonts w:asciiTheme="majorBidi" w:hAnsiTheme="majorBidi" w:cstheme="majorBidi"/>
        </w:rPr>
        <w:br w:type="page"/>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4680"/>
        <w:gridCol w:w="4680"/>
      </w:tblGrid>
      <w:tr w:rsidR="00E94ACA" w:rsidRPr="007615E9" w14:paraId="06E18A25" w14:textId="77777777" w:rsidTr="00DC3C65">
        <w:trPr>
          <w:tblCellSpacing w:w="0" w:type="dxa"/>
        </w:trPr>
        <w:tc>
          <w:tcPr>
            <w:tcW w:w="0" w:type="auto"/>
            <w:hideMark/>
          </w:tcPr>
          <w:p w14:paraId="70A4767B" w14:textId="77777777" w:rsidR="00E94ACA" w:rsidRPr="007615E9" w:rsidRDefault="00E94ACA" w:rsidP="00DC3C65">
            <w:pPr>
              <w:spacing w:after="0" w:line="360" w:lineRule="auto"/>
              <w:rPr>
                <w:rFonts w:asciiTheme="majorBidi" w:eastAsia="Times New Roman" w:hAnsiTheme="majorBidi" w:cstheme="majorBidi"/>
              </w:rPr>
            </w:pPr>
          </w:p>
        </w:tc>
        <w:tc>
          <w:tcPr>
            <w:tcW w:w="0" w:type="auto"/>
            <w:hideMark/>
          </w:tcPr>
          <w:p w14:paraId="7062519B" w14:textId="77777777" w:rsidR="00E94ACA" w:rsidRPr="007615E9" w:rsidRDefault="00E94ACA" w:rsidP="00DC3C65">
            <w:pPr>
              <w:spacing w:after="0" w:line="360" w:lineRule="auto"/>
              <w:rPr>
                <w:rFonts w:asciiTheme="majorBidi" w:eastAsia="Times New Roman" w:hAnsiTheme="majorBidi" w:cstheme="majorBidi"/>
              </w:rPr>
            </w:pPr>
          </w:p>
        </w:tc>
      </w:tr>
    </w:tbl>
    <w:p w14:paraId="157D5109" w14:textId="77777777" w:rsidR="00E94ACA" w:rsidRPr="007615E9" w:rsidRDefault="00E94ACA" w:rsidP="00E94ACA">
      <w:pPr>
        <w:pStyle w:val="Heading1"/>
        <w:rPr>
          <w:rFonts w:asciiTheme="majorBidi" w:hAnsiTheme="majorBidi" w:cstheme="majorBidi"/>
          <w:rtl/>
        </w:rPr>
      </w:pPr>
      <w:bookmarkStart w:id="132" w:name="_Toc436586485"/>
      <w:bookmarkStart w:id="133" w:name="_Toc445202725"/>
      <w:r w:rsidRPr="007615E9">
        <w:rPr>
          <w:rFonts w:asciiTheme="majorBidi" w:hAnsiTheme="majorBidi" w:cstheme="majorBidi"/>
        </w:rPr>
        <w:t>Appendix 6: Internal Documents, Israel</w:t>
      </w:r>
      <w:bookmarkEnd w:id="132"/>
      <w:r w:rsidRPr="007615E9">
        <w:rPr>
          <w:rFonts w:asciiTheme="majorBidi" w:hAnsiTheme="majorBidi" w:cstheme="majorBidi"/>
        </w:rPr>
        <w:t>i Case Study</w:t>
      </w:r>
      <w:bookmarkEnd w:id="133"/>
    </w:p>
    <w:p w14:paraId="039A8477" w14:textId="77777777" w:rsidR="00E94ACA" w:rsidRPr="007615E9" w:rsidRDefault="00E94ACA" w:rsidP="00E94ACA">
      <w:pPr>
        <w:pStyle w:val="ListParagraph"/>
        <w:numPr>
          <w:ilvl w:val="0"/>
          <w:numId w:val="6"/>
        </w:numPr>
        <w:rPr>
          <w:rFonts w:asciiTheme="majorBidi" w:hAnsiTheme="majorBidi" w:cstheme="majorBidi"/>
        </w:rPr>
      </w:pPr>
      <w:r w:rsidRPr="00FE0957">
        <w:rPr>
          <w:rFonts w:asciiTheme="majorBidi" w:hAnsiTheme="majorBidi" w:cstheme="majorBidi"/>
          <w:b/>
          <w:bCs/>
          <w:color w:val="000000"/>
        </w:rPr>
        <w:t>Bank Hapo'alim</w:t>
      </w:r>
      <w:r w:rsidRPr="007615E9">
        <w:rPr>
          <w:rFonts w:asciiTheme="majorBidi" w:hAnsiTheme="majorBidi" w:cstheme="majorBidi"/>
          <w:color w:val="000000"/>
        </w:rPr>
        <w:t>,</w:t>
      </w:r>
      <w:r w:rsidRPr="007615E9">
        <w:rPr>
          <w:rFonts w:asciiTheme="majorBidi" w:hAnsiTheme="majorBidi" w:cstheme="majorBidi"/>
          <w:color w:val="000000"/>
          <w:shd w:val="clear" w:color="auto" w:fill="E2EBF2"/>
        </w:rPr>
        <w:t xml:space="preserve"> </w:t>
      </w:r>
      <w:r w:rsidRPr="007615E9">
        <w:rPr>
          <w:rFonts w:asciiTheme="majorBidi" w:hAnsiTheme="majorBidi" w:cstheme="majorBidi"/>
          <w:color w:val="000000"/>
        </w:rPr>
        <w:t xml:space="preserve">Financial Planning for Life: Another Wave of Workshops for Family Budget Planning, 2009. </w:t>
      </w:r>
    </w:p>
    <w:p w14:paraId="59D87390" w14:textId="77777777" w:rsidR="00E94ACA" w:rsidRPr="007615E9" w:rsidRDefault="00E94ACA" w:rsidP="00E94ACA">
      <w:pPr>
        <w:pStyle w:val="ListParagraph"/>
        <w:numPr>
          <w:ilvl w:val="0"/>
          <w:numId w:val="6"/>
        </w:numPr>
        <w:rPr>
          <w:rFonts w:asciiTheme="majorBidi" w:hAnsiTheme="majorBidi" w:cstheme="majorBidi"/>
        </w:rPr>
      </w:pPr>
      <w:r w:rsidRPr="00FE0957">
        <w:rPr>
          <w:rFonts w:asciiTheme="majorBidi" w:hAnsiTheme="majorBidi" w:cstheme="majorBidi"/>
          <w:b/>
          <w:bCs/>
          <w:color w:val="000000"/>
        </w:rPr>
        <w:t>Bank Hapo’alim</w:t>
      </w:r>
      <w:r w:rsidRPr="007615E9">
        <w:rPr>
          <w:rFonts w:asciiTheme="majorBidi" w:hAnsiTheme="majorBidi" w:cstheme="majorBidi"/>
          <w:color w:val="000000"/>
        </w:rPr>
        <w:t xml:space="preserve">, Summary of Sponsorship for </w:t>
      </w:r>
      <w:r w:rsidRPr="00785053">
        <w:rPr>
          <w:rFonts w:asciiTheme="majorBidi" w:hAnsiTheme="majorBidi" w:cstheme="majorBidi"/>
          <w:i/>
          <w:iCs/>
          <w:color w:val="000000"/>
        </w:rPr>
        <w:t>Overdraft Family</w:t>
      </w:r>
      <w:r w:rsidRPr="007615E9">
        <w:rPr>
          <w:rFonts w:asciiTheme="majorBidi" w:hAnsiTheme="majorBidi" w:cstheme="majorBidi"/>
          <w:color w:val="000000"/>
        </w:rPr>
        <w:t>, 3</w:t>
      </w:r>
      <w:r w:rsidRPr="007615E9">
        <w:rPr>
          <w:rFonts w:asciiTheme="majorBidi" w:hAnsiTheme="majorBidi" w:cstheme="majorBidi"/>
          <w:color w:val="000000"/>
          <w:vertAlign w:val="superscript"/>
        </w:rPr>
        <w:t>rd</w:t>
      </w:r>
      <w:r w:rsidRPr="007615E9">
        <w:rPr>
          <w:rStyle w:val="apple-converted-space"/>
          <w:rFonts w:asciiTheme="majorBidi" w:hAnsiTheme="majorBidi" w:cstheme="majorBidi"/>
          <w:color w:val="000000"/>
        </w:rPr>
        <w:t> </w:t>
      </w:r>
      <w:r w:rsidRPr="007615E9">
        <w:rPr>
          <w:rFonts w:asciiTheme="majorBidi" w:hAnsiTheme="majorBidi" w:cstheme="majorBidi"/>
          <w:color w:val="000000"/>
        </w:rPr>
        <w:t xml:space="preserve">Series, 2009. </w:t>
      </w:r>
    </w:p>
    <w:p w14:paraId="5FD64D34" w14:textId="77777777" w:rsidR="00E94ACA" w:rsidRPr="007615E9" w:rsidRDefault="00E94ACA" w:rsidP="00E94ACA">
      <w:pPr>
        <w:pStyle w:val="ListParagraph"/>
        <w:numPr>
          <w:ilvl w:val="0"/>
          <w:numId w:val="6"/>
        </w:numPr>
        <w:rPr>
          <w:rFonts w:asciiTheme="majorBidi" w:hAnsiTheme="majorBidi" w:cstheme="majorBidi"/>
        </w:rPr>
      </w:pPr>
      <w:r w:rsidRPr="00FE0957">
        <w:rPr>
          <w:rFonts w:asciiTheme="majorBidi" w:hAnsiTheme="majorBidi" w:cstheme="majorBidi"/>
          <w:b/>
          <w:bCs/>
          <w:color w:val="000000"/>
        </w:rPr>
        <w:t>Bank Hapo’alim</w:t>
      </w:r>
      <w:r w:rsidRPr="007615E9">
        <w:rPr>
          <w:rFonts w:asciiTheme="majorBidi" w:hAnsiTheme="majorBidi" w:cstheme="majorBidi"/>
          <w:color w:val="000000"/>
        </w:rPr>
        <w:t xml:space="preserve">, Summary of Sponsorship for </w:t>
      </w:r>
      <w:r w:rsidRPr="00785053">
        <w:rPr>
          <w:rFonts w:asciiTheme="majorBidi" w:hAnsiTheme="majorBidi" w:cstheme="majorBidi"/>
          <w:i/>
          <w:iCs/>
          <w:color w:val="000000"/>
        </w:rPr>
        <w:t>Overdraft Family</w:t>
      </w:r>
      <w:r w:rsidRPr="007615E9">
        <w:rPr>
          <w:rFonts w:asciiTheme="majorBidi" w:hAnsiTheme="majorBidi" w:cstheme="majorBidi"/>
          <w:color w:val="000000"/>
        </w:rPr>
        <w:t>, 4</w:t>
      </w:r>
      <w:r w:rsidRPr="007615E9">
        <w:rPr>
          <w:rFonts w:asciiTheme="majorBidi" w:hAnsiTheme="majorBidi" w:cstheme="majorBidi"/>
          <w:color w:val="000000"/>
          <w:vertAlign w:val="superscript"/>
        </w:rPr>
        <w:t>th</w:t>
      </w:r>
      <w:r w:rsidRPr="007615E9">
        <w:rPr>
          <w:rFonts w:asciiTheme="majorBidi" w:hAnsiTheme="majorBidi" w:cstheme="majorBidi"/>
          <w:color w:val="000000"/>
        </w:rPr>
        <w:t xml:space="preserve"> Series, 2010. </w:t>
      </w:r>
    </w:p>
    <w:p w14:paraId="3B5CA154" w14:textId="77777777" w:rsidR="00E94ACA" w:rsidRPr="007615E9" w:rsidRDefault="00E94ACA" w:rsidP="00E94ACA">
      <w:pPr>
        <w:pStyle w:val="ListParagraph"/>
        <w:numPr>
          <w:ilvl w:val="0"/>
          <w:numId w:val="6"/>
        </w:numPr>
        <w:rPr>
          <w:rFonts w:asciiTheme="majorBidi" w:hAnsiTheme="majorBidi" w:cstheme="majorBidi"/>
        </w:rPr>
      </w:pPr>
      <w:r w:rsidRPr="00FE0957">
        <w:rPr>
          <w:rFonts w:asciiTheme="majorBidi" w:hAnsiTheme="majorBidi" w:cstheme="majorBidi"/>
          <w:b/>
          <w:bCs/>
          <w:color w:val="000000"/>
        </w:rPr>
        <w:t>Gitam-BBDO Content</w:t>
      </w:r>
      <w:r w:rsidRPr="007615E9">
        <w:rPr>
          <w:rFonts w:asciiTheme="majorBidi" w:hAnsiTheme="majorBidi" w:cstheme="majorBidi"/>
          <w:color w:val="000000"/>
        </w:rPr>
        <w:t xml:space="preserve">, Shufersal-Deal's Sponsorship for </w:t>
      </w:r>
      <w:r w:rsidRPr="00785053">
        <w:rPr>
          <w:rFonts w:asciiTheme="majorBidi" w:hAnsiTheme="majorBidi" w:cstheme="majorBidi"/>
          <w:i/>
          <w:iCs/>
          <w:color w:val="000000"/>
        </w:rPr>
        <w:t>Overdraft Family</w:t>
      </w:r>
      <w:r w:rsidRPr="007615E9">
        <w:rPr>
          <w:rFonts w:asciiTheme="majorBidi" w:hAnsiTheme="majorBidi" w:cstheme="majorBidi"/>
          <w:color w:val="000000"/>
        </w:rPr>
        <w:t>, 5</w:t>
      </w:r>
      <w:r w:rsidRPr="007615E9">
        <w:rPr>
          <w:rFonts w:asciiTheme="majorBidi" w:hAnsiTheme="majorBidi" w:cstheme="majorBidi"/>
          <w:color w:val="000000"/>
          <w:vertAlign w:val="superscript"/>
        </w:rPr>
        <w:t>th</w:t>
      </w:r>
      <w:r w:rsidRPr="007615E9">
        <w:rPr>
          <w:rFonts w:asciiTheme="majorBidi" w:hAnsiTheme="majorBidi" w:cstheme="majorBidi"/>
          <w:color w:val="000000"/>
        </w:rPr>
        <w:t xml:space="preserve"> Series, 2010. </w:t>
      </w:r>
    </w:p>
    <w:p w14:paraId="6BA5DA65" w14:textId="77777777" w:rsidR="00E94ACA" w:rsidRPr="007615E9" w:rsidRDefault="00E94ACA" w:rsidP="00E94ACA">
      <w:pPr>
        <w:pStyle w:val="ListParagraph"/>
        <w:numPr>
          <w:ilvl w:val="0"/>
          <w:numId w:val="6"/>
        </w:numPr>
        <w:rPr>
          <w:rFonts w:asciiTheme="majorBidi" w:hAnsiTheme="majorBidi" w:cstheme="majorBidi"/>
        </w:rPr>
      </w:pPr>
      <w:r w:rsidRPr="00FE0957">
        <w:rPr>
          <w:rFonts w:asciiTheme="majorBidi" w:hAnsiTheme="majorBidi" w:cstheme="majorBidi"/>
          <w:b/>
          <w:bCs/>
          <w:color w:val="000000"/>
        </w:rPr>
        <w:t xml:space="preserve">Gitam-BBDO </w:t>
      </w:r>
      <w:r w:rsidRPr="00FE0957">
        <w:rPr>
          <w:rFonts w:asciiTheme="majorBidi" w:hAnsiTheme="majorBidi" w:cstheme="majorBidi"/>
          <w:b/>
          <w:bCs/>
        </w:rPr>
        <w:t>Content</w:t>
      </w:r>
      <w:r w:rsidRPr="007615E9">
        <w:rPr>
          <w:rFonts w:asciiTheme="majorBidi" w:hAnsiTheme="majorBidi" w:cstheme="majorBidi"/>
        </w:rPr>
        <w:t>, Messages by Shufersal-Deal</w:t>
      </w:r>
      <w:r w:rsidRPr="007615E9">
        <w:rPr>
          <w:rFonts w:asciiTheme="majorBidi" w:hAnsiTheme="majorBidi" w:cstheme="majorBidi"/>
          <w:color w:val="000000"/>
        </w:rPr>
        <w:t xml:space="preserve"> for </w:t>
      </w:r>
      <w:r w:rsidRPr="00785053">
        <w:rPr>
          <w:rFonts w:asciiTheme="majorBidi" w:hAnsiTheme="majorBidi" w:cstheme="majorBidi"/>
          <w:i/>
          <w:iCs/>
          <w:color w:val="000000"/>
        </w:rPr>
        <w:t>Overdraft Family</w:t>
      </w:r>
      <w:r w:rsidRPr="007615E9">
        <w:rPr>
          <w:rFonts w:asciiTheme="majorBidi" w:hAnsiTheme="majorBidi" w:cstheme="majorBidi"/>
          <w:color w:val="000000"/>
        </w:rPr>
        <w:t>, 5</w:t>
      </w:r>
      <w:r w:rsidRPr="007615E9">
        <w:rPr>
          <w:rFonts w:asciiTheme="majorBidi" w:hAnsiTheme="majorBidi" w:cstheme="majorBidi"/>
          <w:color w:val="000000"/>
          <w:vertAlign w:val="superscript"/>
        </w:rPr>
        <w:t>th</w:t>
      </w:r>
      <w:r w:rsidRPr="007615E9">
        <w:rPr>
          <w:rFonts w:asciiTheme="majorBidi" w:hAnsiTheme="majorBidi" w:cstheme="majorBidi"/>
          <w:color w:val="000000"/>
        </w:rPr>
        <w:t xml:space="preserve"> Series, 2009. </w:t>
      </w:r>
    </w:p>
    <w:p w14:paraId="54B84E73" w14:textId="77777777" w:rsidR="00E94ACA" w:rsidRPr="007615E9" w:rsidRDefault="00E94ACA" w:rsidP="00E94ACA">
      <w:pPr>
        <w:pStyle w:val="ListParagraph"/>
        <w:numPr>
          <w:ilvl w:val="0"/>
          <w:numId w:val="6"/>
        </w:numPr>
        <w:rPr>
          <w:rFonts w:asciiTheme="majorBidi" w:hAnsiTheme="majorBidi" w:cstheme="majorBidi"/>
        </w:rPr>
      </w:pPr>
      <w:r w:rsidRPr="00FE0957">
        <w:rPr>
          <w:rFonts w:asciiTheme="majorBidi" w:hAnsiTheme="majorBidi" w:cstheme="majorBidi"/>
          <w:b/>
          <w:bCs/>
          <w:color w:val="000000"/>
        </w:rPr>
        <w:t>Shufersal-Deal</w:t>
      </w:r>
      <w:r w:rsidRPr="007615E9">
        <w:rPr>
          <w:rFonts w:asciiTheme="majorBidi" w:hAnsiTheme="majorBidi" w:cstheme="majorBidi"/>
          <w:color w:val="000000"/>
        </w:rPr>
        <w:t xml:space="preserve">, Shufersal Bi-Weekly Bulletin, 2011. </w:t>
      </w:r>
    </w:p>
    <w:p w14:paraId="3DA67210" w14:textId="77777777" w:rsidR="00E94ACA" w:rsidRPr="007615E9" w:rsidRDefault="00E94ACA" w:rsidP="00E94ACA">
      <w:pPr>
        <w:pStyle w:val="ListParagraph"/>
        <w:bidi/>
        <w:rPr>
          <w:rFonts w:asciiTheme="majorBidi" w:hAnsiTheme="majorBidi" w:cstheme="majorBidi"/>
        </w:rPr>
      </w:pPr>
    </w:p>
    <w:p w14:paraId="357292F3" w14:textId="77777777" w:rsidR="00E94ACA" w:rsidRPr="009B5102" w:rsidRDefault="00E94ACA" w:rsidP="00E94ACA">
      <w:pPr>
        <w:pStyle w:val="EndNoteBibliography"/>
        <w:spacing w:line="360" w:lineRule="auto"/>
        <w:ind w:left="720" w:hanging="720"/>
        <w:rPr>
          <w:rFonts w:ascii="Times New Roman" w:hAnsi="Times New Roman"/>
          <w:sz w:val="24"/>
        </w:rPr>
      </w:pPr>
    </w:p>
    <w:p w14:paraId="077C4488" w14:textId="77777777" w:rsidR="00E94ACA" w:rsidRPr="005110DC" w:rsidRDefault="008B6373" w:rsidP="00E94ACA">
      <w:pPr>
        <w:spacing w:line="360" w:lineRule="auto"/>
        <w:rPr>
          <w:rFonts w:ascii="Times New Roman" w:eastAsia="Calibri" w:hAnsi="Times New Roman" w:cs="Times New Roman"/>
          <w:sz w:val="24"/>
          <w:szCs w:val="24"/>
        </w:rPr>
      </w:pPr>
      <w:r w:rsidRPr="009B5102">
        <w:rPr>
          <w:rFonts w:ascii="Times New Roman" w:eastAsia="Calibri" w:hAnsi="Times New Roman" w:cs="Times New Roman"/>
          <w:sz w:val="24"/>
          <w:szCs w:val="24"/>
        </w:rPr>
        <w:fldChar w:fldCharType="end"/>
      </w:r>
    </w:p>
    <w:p w14:paraId="455DB720" w14:textId="77777777" w:rsidR="00E94ACA" w:rsidRPr="005110DC" w:rsidRDefault="00E94ACA" w:rsidP="00E94ACA">
      <w:pPr>
        <w:spacing w:line="360" w:lineRule="auto"/>
        <w:rPr>
          <w:rFonts w:ascii="Times New Roman" w:eastAsia="Calibri" w:hAnsi="Times New Roman" w:cs="Times New Roman"/>
          <w:sz w:val="24"/>
          <w:szCs w:val="24"/>
        </w:rPr>
      </w:pPr>
    </w:p>
    <w:p w14:paraId="3747166D" w14:textId="77777777" w:rsidR="00E94ACA" w:rsidRPr="004A21C0" w:rsidRDefault="00E94ACA" w:rsidP="00E94ACA">
      <w:pPr>
        <w:spacing w:line="360" w:lineRule="auto"/>
        <w:rPr>
          <w:rFonts w:ascii="Times New Roman" w:eastAsia="Calibri" w:hAnsi="Times New Roman" w:cs="Times New Roman"/>
          <w:sz w:val="24"/>
          <w:szCs w:val="24"/>
        </w:rPr>
      </w:pPr>
    </w:p>
    <w:p w14:paraId="3D34183C" w14:textId="77777777" w:rsidR="00E94ACA" w:rsidRDefault="00E94ACA" w:rsidP="00E94ACA"/>
    <w:p w14:paraId="129277F6" w14:textId="77777777" w:rsidR="00E94ACA" w:rsidRDefault="00E94ACA" w:rsidP="00E94ACA"/>
    <w:p w14:paraId="1810DAC2" w14:textId="61DE6E7B" w:rsidR="00E94ACA" w:rsidRPr="00E94ACA" w:rsidRDefault="00E94ACA" w:rsidP="00E94ACA">
      <w:pPr>
        <w:pStyle w:val="Heading1"/>
        <w:jc w:val="left"/>
        <w:rPr>
          <w:b w:val="0"/>
          <w:bCs w:val="0"/>
        </w:rPr>
      </w:pPr>
    </w:p>
    <w:sectPr w:rsidR="00E94ACA" w:rsidRPr="00E94ACA" w:rsidSect="006B1D57">
      <w:headerReference w:type="default" r:id="rId59"/>
      <w:footerReference w:type="default" r:id="rId60"/>
      <w:pgSz w:w="12240" w:h="15840" w:code="1"/>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Balint, Anat Ana - (balint)" w:date="2025-02-28T10:57:00Z" w:initials="AB">
    <w:p w14:paraId="49AB26DD" w14:textId="77777777" w:rsidR="006556B3" w:rsidRDefault="006556B3" w:rsidP="006556B3">
      <w:pPr>
        <w:pStyle w:val="CommentText"/>
      </w:pPr>
      <w:r>
        <w:rPr>
          <w:rStyle w:val="CommentReference"/>
        </w:rPr>
        <w:annotationRef/>
      </w:r>
      <w:r>
        <w:t>Update time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AB26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41F8AD" w16cex:dateUtc="2025-02-28T1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AB26DD" w16cid:durableId="5141F8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3442B" w14:textId="77777777" w:rsidR="00610A86" w:rsidRDefault="00610A86" w:rsidP="00497B7D">
      <w:pPr>
        <w:spacing w:after="0" w:line="240" w:lineRule="auto"/>
      </w:pPr>
      <w:r>
        <w:separator/>
      </w:r>
    </w:p>
  </w:endnote>
  <w:endnote w:type="continuationSeparator" w:id="0">
    <w:p w14:paraId="7C7C45CA" w14:textId="77777777" w:rsidR="00610A86" w:rsidRDefault="00610A86" w:rsidP="00497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5A2E" w14:textId="77777777" w:rsidR="00D66F5C" w:rsidRDefault="00D66F5C" w:rsidP="00A464A5">
    <w:pPr>
      <w:pStyle w:val="Footer"/>
      <w:jc w:val="center"/>
    </w:pPr>
  </w:p>
  <w:p w14:paraId="6ADF6336" w14:textId="77777777" w:rsidR="00D66F5C" w:rsidRDefault="00D66F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B095A" w14:textId="77777777" w:rsidR="00610A86" w:rsidRDefault="00610A86" w:rsidP="00497B7D">
      <w:pPr>
        <w:spacing w:after="0" w:line="240" w:lineRule="auto"/>
      </w:pPr>
      <w:r>
        <w:separator/>
      </w:r>
    </w:p>
  </w:footnote>
  <w:footnote w:type="continuationSeparator" w:id="0">
    <w:p w14:paraId="37438544" w14:textId="77777777" w:rsidR="00610A86" w:rsidRDefault="00610A86" w:rsidP="00497B7D">
      <w:pPr>
        <w:spacing w:after="0" w:line="240" w:lineRule="auto"/>
      </w:pPr>
      <w:r>
        <w:continuationSeparator/>
      </w:r>
    </w:p>
  </w:footnote>
  <w:footnote w:id="1">
    <w:p w14:paraId="119FD244"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Their definition by different actors is not entirely consistent and the different terms are not completely similar, as will be further discussed. However, they all fall within the mission of the current research and the definition which I present for the field.  </w:t>
      </w:r>
    </w:p>
  </w:footnote>
  <w:footnote w:id="2">
    <w:p w14:paraId="3B522D21"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PQ Media’s understanding of the field does not entirely overlap with mine, as their understanding of the term ‘branded entertainment’ is wider and includes brand activities that are outside the media (events, for example). Therefore, what they call ‘product placement’ relates to commercial references in the media and is the most relevant term in the context of my research. PQ Media’s definition of product placement is: “Marketing tactic increasingly used by marketers as part of multimedia campaigns in which the objective is to place or integrate brand names, logos or specific products within the non-ad content of various media. The goal of advertisers utilising product placement is to prominently place or creatively integrate brands or products into particular story lines or scenes to promote brand awareness, favorable brand attitudes and purchase intention”. The company looks at product placement in various media: television, films, video games, print media, digital media and music.  </w:t>
      </w:r>
    </w:p>
  </w:footnote>
  <w:footnote w:id="3">
    <w:p w14:paraId="5A9A2E31"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w:t>
      </w:r>
      <w:r w:rsidRPr="007F3A3B">
        <w:rPr>
          <w:sz w:val="18"/>
          <w:szCs w:val="18"/>
          <w:shd w:val="clear" w:color="auto" w:fill="FFFFFF"/>
        </w:rPr>
        <w:t xml:space="preserve">As did, since 2005, five previous reports by the same company </w:t>
      </w:r>
      <w:r w:rsidRPr="007F3A3B">
        <w:rPr>
          <w:noProof/>
          <w:sz w:val="18"/>
          <w:szCs w:val="18"/>
          <w:shd w:val="clear" w:color="auto" w:fill="FFFFFF"/>
        </w:rPr>
        <w:t>(Quinn &amp; Kivijarv, 2005, 2006, 2008, 2010, 2012)</w:t>
      </w:r>
      <w:r w:rsidRPr="007F3A3B">
        <w:rPr>
          <w:sz w:val="18"/>
          <w:szCs w:val="18"/>
          <w:shd w:val="clear" w:color="auto" w:fill="FFFFFF"/>
        </w:rPr>
        <w:t>.</w:t>
      </w:r>
    </w:p>
  </w:footnote>
  <w:footnote w:id="4">
    <w:p w14:paraId="67EAFA85" w14:textId="4C50D93E" w:rsidR="00D66F5C" w:rsidRPr="00DC3266" w:rsidRDefault="00D66F5C" w:rsidP="00CA29F5">
      <w:pPr>
        <w:pStyle w:val="FootnoteText"/>
        <w:rPr>
          <w:sz w:val="18"/>
          <w:szCs w:val="18"/>
        </w:rPr>
      </w:pPr>
      <w:r w:rsidRPr="00B93D25">
        <w:rPr>
          <w:rStyle w:val="FootnoteReference"/>
        </w:rPr>
        <w:footnoteRef/>
      </w:r>
      <w:r w:rsidRPr="00DC3266">
        <w:rPr>
          <w:sz w:val="18"/>
          <w:szCs w:val="18"/>
        </w:rPr>
        <w:t xml:space="preserve"> </w:t>
      </w:r>
      <w:r w:rsidRPr="00CD1F95">
        <w:rPr>
          <w:sz w:val="18"/>
          <w:szCs w:val="18"/>
        </w:rPr>
        <w:t xml:space="preserve">There seems to be an agreement between industry actors and critical scholars on this definition. For example, Bakshi's (2015) definition that is used here was inspired by the definition presented by a big company for native advertising, Sharethrough, located in San Francisco. According to the company's website, native advertising is </w:t>
      </w:r>
      <w:r w:rsidRPr="00CD1F95">
        <w:rPr>
          <w:sz w:val="18"/>
          <w:szCs w:val="18"/>
          <w:shd w:val="clear" w:color="auto" w:fill="FFFFFF"/>
        </w:rPr>
        <w:t>"a form of paid media where the ad experience follows the natural form and function of the user experience in which it is placed".</w:t>
      </w:r>
      <w:r w:rsidRPr="00CD1F95">
        <w:rPr>
          <w:sz w:val="18"/>
          <w:szCs w:val="18"/>
        </w:rPr>
        <w:t xml:space="preserve"> The company seeks to emphasize these two elements "form" and "function", something which strongly </w:t>
      </w:r>
      <w:r w:rsidRPr="006F46B8">
        <w:rPr>
          <w:sz w:val="18"/>
          <w:szCs w:val="18"/>
        </w:rPr>
        <w:t>echoes with the empirical findings further presented here. Sharethrough definition is available here:</w:t>
      </w:r>
      <w:r w:rsidRPr="00DC3266">
        <w:rPr>
          <w:sz w:val="18"/>
          <w:szCs w:val="18"/>
        </w:rPr>
        <w:t xml:space="preserve">  </w:t>
      </w:r>
      <w:hyperlink r:id="rId1" w:history="1">
        <w:r w:rsidRPr="00DC3266">
          <w:rPr>
            <w:rStyle w:val="Hyperlink"/>
            <w:sz w:val="18"/>
            <w:szCs w:val="18"/>
          </w:rPr>
          <w:t>http://www.sharethrough.com/nativeadvertising/</w:t>
        </w:r>
      </w:hyperlink>
      <w:r w:rsidRPr="00DC3266">
        <w:rPr>
          <w:sz w:val="18"/>
          <w:szCs w:val="18"/>
        </w:rPr>
        <w:t xml:space="preserve"> (Last accessed 04.02.16)</w:t>
      </w:r>
    </w:p>
  </w:footnote>
  <w:footnote w:id="5">
    <w:p w14:paraId="3C99AFA9"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original ad can be found here: </w:t>
      </w:r>
      <w:hyperlink r:id="rId2" w:anchor=".VY_8P_mqqkp" w:history="1">
        <w:r w:rsidRPr="007F3A3B">
          <w:rPr>
            <w:rStyle w:val="Hyperlink"/>
            <w:sz w:val="18"/>
            <w:szCs w:val="18"/>
          </w:rPr>
          <w:t>http://paidpost.nytimes.com/netflix/women-inmates-separate-but-not-equal.html?_r=0#.VY_8P_mqqkp</w:t>
        </w:r>
      </w:hyperlink>
      <w:r w:rsidRPr="007F3A3B">
        <w:rPr>
          <w:color w:val="000000"/>
          <w:sz w:val="18"/>
          <w:szCs w:val="18"/>
        </w:rPr>
        <w:t xml:space="preserve"> (Last accessed: 14.06.15). </w:t>
      </w:r>
    </w:p>
  </w:footnote>
  <w:footnote w:id="6">
    <w:p w14:paraId="6EF4BD16"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clip from </w:t>
      </w:r>
      <w:r w:rsidRPr="007F3A3B">
        <w:rPr>
          <w:i/>
          <w:iCs/>
          <w:sz w:val="18"/>
          <w:szCs w:val="18"/>
        </w:rPr>
        <w:t>Last Week Tonight</w:t>
      </w:r>
      <w:r w:rsidRPr="007F3A3B">
        <w:rPr>
          <w:sz w:val="18"/>
          <w:szCs w:val="18"/>
        </w:rPr>
        <w:t xml:space="preserve"> with John Oliver from the 3</w:t>
      </w:r>
      <w:r w:rsidRPr="007F3A3B">
        <w:rPr>
          <w:sz w:val="18"/>
          <w:szCs w:val="18"/>
          <w:vertAlign w:val="superscript"/>
        </w:rPr>
        <w:t>rd</w:t>
      </w:r>
      <w:r w:rsidRPr="007F3A3B">
        <w:rPr>
          <w:sz w:val="18"/>
          <w:szCs w:val="18"/>
        </w:rPr>
        <w:t xml:space="preserve"> of August 2014 is also available here: </w:t>
      </w:r>
      <w:hyperlink r:id="rId3" w:history="1">
        <w:r w:rsidRPr="007F3A3B">
          <w:rPr>
            <w:rStyle w:val="Hyperlink"/>
            <w:sz w:val="18"/>
            <w:szCs w:val="18"/>
          </w:rPr>
          <w:t>https://www.youtube.com/watch?v=E_F5GxCwizc</w:t>
        </w:r>
      </w:hyperlink>
      <w:r w:rsidRPr="007F3A3B">
        <w:rPr>
          <w:sz w:val="18"/>
          <w:szCs w:val="18"/>
        </w:rPr>
        <w:t xml:space="preserve"> (</w:t>
      </w:r>
      <w:r w:rsidRPr="007F3A3B">
        <w:rPr>
          <w:color w:val="000000"/>
          <w:sz w:val="18"/>
          <w:szCs w:val="18"/>
        </w:rPr>
        <w:t>Last accessed: 20.04.15)</w:t>
      </w:r>
      <w:r w:rsidRPr="007F3A3B">
        <w:rPr>
          <w:sz w:val="18"/>
          <w:szCs w:val="18"/>
        </w:rPr>
        <w:t xml:space="preserve">. </w:t>
      </w:r>
    </w:p>
  </w:footnote>
  <w:footnote w:id="7">
    <w:p w14:paraId="3E06D4E7"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Also, there is inconsistency as to their definition and understanding by different actors. </w:t>
      </w:r>
    </w:p>
  </w:footnote>
  <w:footnote w:id="8">
    <w:p w14:paraId="27226894"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Revised in 1947.</w:t>
      </w:r>
    </w:p>
  </w:footnote>
  <w:footnote w:id="9">
    <w:p w14:paraId="6E12B441"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For further discussion of the various definitions for political economy of the media, see: Hardy </w:t>
      </w:r>
      <w:r w:rsidRPr="007F3A3B">
        <w:rPr>
          <w:noProof/>
          <w:sz w:val="18"/>
          <w:szCs w:val="18"/>
        </w:rPr>
        <w:t>(2014)</w:t>
      </w:r>
      <w:r w:rsidRPr="007F3A3B">
        <w:rPr>
          <w:sz w:val="18"/>
          <w:szCs w:val="18"/>
        </w:rPr>
        <w:t xml:space="preserve"> </w:t>
      </w:r>
    </w:p>
  </w:footnote>
  <w:footnote w:id="10">
    <w:p w14:paraId="5E9A0E2F"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Background interviews were more significant in London, as I know the Israeli market very well, as a former media journalist. However, in both markets they proved to be helpful in the search for case studies. </w:t>
      </w:r>
    </w:p>
  </w:footnote>
  <w:footnote w:id="11">
    <w:p w14:paraId="571F028E"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Bank Hapo’alim’s sponsorship was later replaced by Bank Discount.</w:t>
      </w:r>
    </w:p>
  </w:footnote>
  <w:footnote w:id="12">
    <w:p w14:paraId="5BB1E77D" w14:textId="147B1CE5"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In this part, the chapter is somewhat biased towards American media, as this is the seedbed of </w:t>
      </w:r>
      <w:r>
        <w:rPr>
          <w:sz w:val="18"/>
          <w:szCs w:val="18"/>
        </w:rPr>
        <w:t>audiovisual</w:t>
      </w:r>
      <w:r w:rsidRPr="007F3A3B">
        <w:rPr>
          <w:sz w:val="18"/>
          <w:szCs w:val="18"/>
        </w:rPr>
        <w:t xml:space="preserve"> commercial media.  </w:t>
      </w:r>
    </w:p>
  </w:footnote>
  <w:footnote w:id="13">
    <w:p w14:paraId="012A9235"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corporation owns other personal care brands, such as Axe for men (also known in the UK as Lynx), Lux, Ponds, Vaseline and more, as well as many food brands and home care brands. For more, see: </w:t>
      </w:r>
      <w:hyperlink r:id="rId4" w:history="1">
        <w:r w:rsidRPr="007F3A3B">
          <w:rPr>
            <w:rStyle w:val="Hyperlink"/>
            <w:sz w:val="18"/>
            <w:szCs w:val="18"/>
          </w:rPr>
          <w:t>http://www.unilever.com/brands/</w:t>
        </w:r>
      </w:hyperlink>
      <w:r w:rsidRPr="007F3A3B">
        <w:rPr>
          <w:sz w:val="18"/>
          <w:szCs w:val="18"/>
        </w:rPr>
        <w:t xml:space="preserve">, Last accessed: 23.04.15. </w:t>
      </w:r>
    </w:p>
  </w:footnote>
  <w:footnote w:id="14">
    <w:p w14:paraId="5937A044" w14:textId="77777777" w:rsidR="00D66F5C" w:rsidRPr="007F3A3B" w:rsidRDefault="00D66F5C" w:rsidP="00346CA5">
      <w:pPr>
        <w:pStyle w:val="FootnoteText"/>
        <w:rPr>
          <w:sz w:val="18"/>
          <w:szCs w:val="18"/>
          <w:rtl/>
        </w:rPr>
      </w:pPr>
      <w:r w:rsidRPr="00B93D25">
        <w:rPr>
          <w:rStyle w:val="FootnoteReference"/>
        </w:rPr>
        <w:footnoteRef/>
      </w:r>
      <w:r w:rsidRPr="007F3A3B">
        <w:rPr>
          <w:sz w:val="18"/>
          <w:szCs w:val="18"/>
        </w:rPr>
        <w:t xml:space="preserve"> Manfredi was one of four participants in a roundtable discussion with the leading team of the </w:t>
      </w:r>
      <w:r w:rsidRPr="007F3A3B">
        <w:rPr>
          <w:i/>
          <w:iCs/>
          <w:sz w:val="18"/>
          <w:szCs w:val="18"/>
        </w:rPr>
        <w:t xml:space="preserve">Real Beauty </w:t>
      </w:r>
      <w:r w:rsidRPr="007F3A3B">
        <w:rPr>
          <w:sz w:val="18"/>
          <w:szCs w:val="18"/>
        </w:rPr>
        <w:t>campaign</w:t>
      </w:r>
      <w:r w:rsidRPr="007F3A3B">
        <w:rPr>
          <w:i/>
          <w:iCs/>
          <w:sz w:val="18"/>
          <w:szCs w:val="18"/>
        </w:rPr>
        <w:t>.</w:t>
      </w:r>
      <w:r w:rsidRPr="007F3A3B">
        <w:rPr>
          <w:sz w:val="18"/>
          <w:szCs w:val="18"/>
        </w:rPr>
        <w:t xml:space="preserve"> The event was organised by the Advertising &amp; Society Review. </w:t>
      </w:r>
    </w:p>
  </w:footnote>
  <w:footnote w:id="15">
    <w:p w14:paraId="460C4691" w14:textId="77777777" w:rsidR="00D66F5C" w:rsidRPr="007F3A3B" w:rsidRDefault="00D66F5C" w:rsidP="00346CA5">
      <w:pPr>
        <w:rPr>
          <w:rFonts w:ascii="Times New Roman" w:hAnsi="Times New Roman" w:cs="Times New Roman"/>
          <w:sz w:val="18"/>
          <w:szCs w:val="18"/>
        </w:rPr>
      </w:pPr>
      <w:r w:rsidRPr="00B93D25">
        <w:rPr>
          <w:rStyle w:val="FootnoteReference"/>
        </w:rPr>
        <w:footnoteRef/>
      </w:r>
      <w:r w:rsidRPr="007F3A3B">
        <w:rPr>
          <w:rFonts w:ascii="Times New Roman" w:hAnsi="Times New Roman" w:cs="Times New Roman"/>
          <w:sz w:val="18"/>
          <w:szCs w:val="18"/>
        </w:rPr>
        <w:t xml:space="preserve"> According to Unilever, Dove's formula was originally developed to treat burn victims during the war. It was then launched in the USA, first as a ‘cleansing bar’ during the 1950s, and then as a ‘beauty bar’, a refined version, in 1957. The launch in 1957 marked the introduction of synthetic toilet soaps, just at the same time as synthetic detergents in general were introduced. See: </w:t>
      </w:r>
      <w:hyperlink r:id="rId5" w:history="1">
        <w:r w:rsidRPr="007F3A3B">
          <w:rPr>
            <w:rStyle w:val="Hyperlink"/>
            <w:sz w:val="18"/>
            <w:szCs w:val="18"/>
          </w:rPr>
          <w:t>http://www.unilever.co.uk/brands/personalcarebrands/dove.aspx</w:t>
        </w:r>
      </w:hyperlink>
      <w:r w:rsidRPr="007F3A3B">
        <w:rPr>
          <w:rFonts w:ascii="Times New Roman" w:hAnsi="Times New Roman" w:cs="Times New Roman"/>
          <w:sz w:val="18"/>
          <w:szCs w:val="18"/>
        </w:rPr>
        <w:t xml:space="preserve"> . Last accessed: 11.01.10</w:t>
      </w:r>
    </w:p>
    <w:p w14:paraId="5FFC0343" w14:textId="77777777" w:rsidR="00D66F5C" w:rsidRPr="007F3A3B" w:rsidRDefault="00D66F5C" w:rsidP="00346CA5">
      <w:pPr>
        <w:pStyle w:val="FootnoteText"/>
        <w:rPr>
          <w:sz w:val="18"/>
          <w:szCs w:val="18"/>
        </w:rPr>
      </w:pPr>
    </w:p>
  </w:footnote>
  <w:footnote w:id="16">
    <w:p w14:paraId="62161254"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view is clearly presented in the piece Orbach wrote for Campaign Magazine (Orbach, 2005): “The victim, shunning that awful feeling of being exploited and to gain some self respect, rejects the idea that she is then being used. Instead she makes the job of appearing beautiful her own project, her personal desire. She is not being compelled to bind her feet, she does it willingly herself. It's the only way to be. So she will involve herself in trying to look younger, skinnier, taller, bigger breasted and make sure that every surface is coiffed, painted, plucked, waxed, perfumed, moisturised, conditioned and dyed”. </w:t>
      </w:r>
    </w:p>
  </w:footnote>
  <w:footnote w:id="17">
    <w:p w14:paraId="03CA1D6D"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Feature formats are formatted programmes, 30-60 minutes long, which provide viewers with a combination of entertainment and information on life style and self-improvement topics. On Channel 4’s website addressing independent production companies, it is further explained: “</w:t>
      </w:r>
      <w:r w:rsidRPr="007F3A3B">
        <w:rPr>
          <w:color w:val="000000"/>
          <w:sz w:val="18"/>
          <w:szCs w:val="18"/>
        </w:rPr>
        <w:t xml:space="preserve">Features Programmes address a wide range of subject matter: food, relationships, property, money, health, design, families. The way we live now is at the heart of the programmes we commission, as is personal transformation”, and “Aspiration, life-change, risk-taking, and human drama are key to many successful Feature ideas on C4, as is problem-solving and trouble shooting”. See  </w:t>
      </w:r>
      <w:hyperlink r:id="rId6" w:history="1">
        <w:r w:rsidRPr="007F3A3B">
          <w:rPr>
            <w:rStyle w:val="Hyperlink"/>
            <w:sz w:val="18"/>
            <w:szCs w:val="18"/>
          </w:rPr>
          <w:t>http://www.channel4.com/corporate/4producers/commissioning/features.html</w:t>
        </w:r>
      </w:hyperlink>
      <w:r w:rsidRPr="007F3A3B">
        <w:rPr>
          <w:rStyle w:val="Hyperlink"/>
          <w:sz w:val="18"/>
          <w:szCs w:val="18"/>
        </w:rPr>
        <w:t>.</w:t>
      </w:r>
      <w:r w:rsidRPr="007F3A3B">
        <w:rPr>
          <w:sz w:val="18"/>
          <w:szCs w:val="18"/>
        </w:rPr>
        <w:t xml:space="preserve"> Last accessed: 28.03.15.</w:t>
      </w:r>
    </w:p>
  </w:footnote>
  <w:footnote w:id="18">
    <w:p w14:paraId="7BD78A34"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w:t>
      </w:r>
      <w:r w:rsidRPr="007F3A3B">
        <w:rPr>
          <w:i/>
          <w:iCs/>
          <w:sz w:val="18"/>
          <w:szCs w:val="18"/>
        </w:rPr>
        <w:t>What not to Wear</w:t>
      </w:r>
      <w:r w:rsidRPr="007F3A3B">
        <w:rPr>
          <w:sz w:val="18"/>
          <w:szCs w:val="18"/>
        </w:rPr>
        <w:t xml:space="preserve"> was first aired in 2001 on the BBC. </w:t>
      </w:r>
      <w:r w:rsidRPr="007F3A3B">
        <w:rPr>
          <w:color w:val="000000"/>
          <w:sz w:val="18"/>
          <w:szCs w:val="18"/>
        </w:rPr>
        <w:t>Each episode presented a participant that was chosen by her/his friends as a particularly bad dresser; she/he would then be surprised by the two stylists and go through a styling session of how to dress according to her/his body shape. Later the participant would be sent to go shopping independently and would then be ‘ambushed’ by the two, to see if she/he was successfully following the instructions she/he had been taught. The format developed and changed over the seven series of the programme, but remained loyal to its core idea and basic approach.</w:t>
      </w:r>
    </w:p>
  </w:footnote>
  <w:footnote w:id="19">
    <w:p w14:paraId="16DDE228" w14:textId="77777777" w:rsidR="00D66F5C" w:rsidRPr="007F3A3B" w:rsidRDefault="00D66F5C" w:rsidP="00346CA5">
      <w:pPr>
        <w:spacing w:line="240" w:lineRule="auto"/>
        <w:rPr>
          <w:rFonts w:ascii="Times New Roman" w:hAnsi="Times New Roman" w:cs="Times New Roman"/>
          <w:sz w:val="18"/>
          <w:szCs w:val="18"/>
        </w:rPr>
      </w:pPr>
      <w:r w:rsidRPr="00B93D25">
        <w:rPr>
          <w:rStyle w:val="FootnoteReference"/>
        </w:rPr>
        <w:footnoteRef/>
      </w:r>
      <w:r w:rsidRPr="007F3A3B">
        <w:rPr>
          <w:rFonts w:ascii="Times New Roman" w:hAnsi="Times New Roman" w:cs="Times New Roman"/>
          <w:sz w:val="18"/>
          <w:szCs w:val="18"/>
        </w:rPr>
        <w:t xml:space="preserve"> </w:t>
      </w:r>
      <w:r w:rsidRPr="007F3A3B">
        <w:rPr>
          <w:rFonts w:ascii="Times New Roman" w:hAnsi="Times New Roman" w:cs="Times New Roman"/>
          <w:i/>
          <w:iCs/>
          <w:color w:val="000000"/>
          <w:sz w:val="18"/>
          <w:szCs w:val="18"/>
        </w:rPr>
        <w:t>10 Years Younger</w:t>
      </w:r>
      <w:r w:rsidRPr="007F3A3B">
        <w:rPr>
          <w:rFonts w:ascii="Times New Roman" w:hAnsi="Times New Roman" w:cs="Times New Roman"/>
          <w:color w:val="000000"/>
          <w:sz w:val="18"/>
          <w:szCs w:val="18"/>
        </w:rPr>
        <w:t xml:space="preserve"> was first aired in 2004 on Channel 4</w:t>
      </w:r>
      <w:r w:rsidRPr="007F3A3B">
        <w:rPr>
          <w:rFonts w:ascii="Times New Roman" w:hAnsi="Times New Roman" w:cs="Times New Roman"/>
          <w:i/>
          <w:iCs/>
          <w:color w:val="000000"/>
          <w:sz w:val="18"/>
          <w:szCs w:val="18"/>
        </w:rPr>
        <w:t xml:space="preserve">. </w:t>
      </w:r>
      <w:r w:rsidRPr="007F3A3B">
        <w:rPr>
          <w:rFonts w:ascii="Times New Roman" w:hAnsi="Times New Roman" w:cs="Times New Roman"/>
          <w:color w:val="000000"/>
          <w:sz w:val="18"/>
          <w:szCs w:val="18"/>
        </w:rPr>
        <w:t>Like</w:t>
      </w:r>
      <w:r w:rsidRPr="007F3A3B">
        <w:rPr>
          <w:rFonts w:ascii="Times New Roman" w:hAnsi="Times New Roman" w:cs="Times New Roman"/>
          <w:i/>
          <w:iCs/>
          <w:color w:val="000000"/>
          <w:sz w:val="18"/>
          <w:szCs w:val="18"/>
        </w:rPr>
        <w:t xml:space="preserve"> HTLGN, </w:t>
      </w:r>
      <w:r w:rsidRPr="007F3A3B">
        <w:rPr>
          <w:rFonts w:ascii="Times New Roman" w:hAnsi="Times New Roman" w:cs="Times New Roman"/>
          <w:color w:val="000000"/>
          <w:sz w:val="18"/>
          <w:szCs w:val="18"/>
        </w:rPr>
        <w:t xml:space="preserve">it was commissioned by the features department and produced by Maverick. Its participants usually look older than they really are at the beginning of the process, as a result of an ongoing neglect of their appearance and unhealthy routine. Each episode begins with a street survey of 100 passers-by that are asked to estimate the participant's age. The average perceived age is then presented.  Thereafter, the programme follows the participant as she goes through different treatments, including plastic surgery. Once the makeover process is done, the participants go for a second round in the street, to check how many years were ‘lost’ in the process. Finally, in the moment of catharsis, the participant appears in front of her family and friends with a new appearance. </w:t>
      </w:r>
    </w:p>
  </w:footnote>
  <w:footnote w:id="20">
    <w:p w14:paraId="5939D659"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w:t>
      </w:r>
      <w:r w:rsidRPr="007F3A3B">
        <w:rPr>
          <w:color w:val="000000"/>
          <w:sz w:val="18"/>
          <w:szCs w:val="18"/>
        </w:rPr>
        <w:t xml:space="preserve">McRobbie </w:t>
      </w:r>
      <w:r w:rsidRPr="007F3A3B">
        <w:rPr>
          <w:noProof/>
          <w:color w:val="000000"/>
          <w:sz w:val="18"/>
          <w:szCs w:val="18"/>
        </w:rPr>
        <w:t>(2004)</w:t>
      </w:r>
      <w:r w:rsidRPr="007F3A3B">
        <w:rPr>
          <w:color w:val="000000"/>
          <w:sz w:val="18"/>
          <w:szCs w:val="18"/>
        </w:rPr>
        <w:t xml:space="preserve"> further provides a post-feminist critique on </w:t>
      </w:r>
      <w:r w:rsidRPr="007F3A3B">
        <w:rPr>
          <w:i/>
          <w:iCs/>
          <w:color w:val="000000"/>
          <w:sz w:val="18"/>
          <w:szCs w:val="18"/>
        </w:rPr>
        <w:t>What not to Wear</w:t>
      </w:r>
      <w:r w:rsidRPr="007F3A3B">
        <w:rPr>
          <w:color w:val="000000"/>
          <w:sz w:val="18"/>
          <w:szCs w:val="18"/>
        </w:rPr>
        <w:t xml:space="preserve"> and makeover programming</w:t>
      </w:r>
    </w:p>
  </w:footnote>
  <w:footnote w:id="21">
    <w:p w14:paraId="1AE0E88E"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Though she was not the editor who originally commissioned this programme. According to Ransford, this was Emma Wescott, another editor at the department. </w:t>
      </w:r>
    </w:p>
  </w:footnote>
  <w:footnote w:id="22">
    <w:p w14:paraId="4146495B"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Ransford mentioned here two other women who were in that specific commissioning team, besides Sue Murphy and herself: Lucy Edwards and Katie Boyd.</w:t>
      </w:r>
    </w:p>
  </w:footnote>
  <w:footnote w:id="23">
    <w:p w14:paraId="4079039F"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Dove ads  included group photos of women of all different shapes and sizes in simple white or black underwear against a clean white background</w:t>
      </w:r>
    </w:p>
  </w:footnote>
  <w:footnote w:id="24">
    <w:p w14:paraId="7D8CC340" w14:textId="77777777" w:rsidR="00D66F5C" w:rsidRPr="007F3A3B" w:rsidRDefault="00D66F5C" w:rsidP="00346CA5">
      <w:pPr>
        <w:spacing w:line="240" w:lineRule="auto"/>
        <w:rPr>
          <w:rFonts w:ascii="Times New Roman" w:hAnsi="Times New Roman" w:cs="Times New Roman"/>
          <w:sz w:val="18"/>
          <w:szCs w:val="18"/>
        </w:rPr>
      </w:pPr>
      <w:r w:rsidRPr="00B93D25">
        <w:rPr>
          <w:rStyle w:val="FootnoteReference"/>
        </w:rPr>
        <w:footnoteRef/>
      </w:r>
      <w:r w:rsidRPr="007F3A3B">
        <w:rPr>
          <w:rFonts w:ascii="Times New Roman" w:hAnsi="Times New Roman" w:cs="Times New Roman"/>
          <w:sz w:val="18"/>
          <w:szCs w:val="18"/>
        </w:rPr>
        <w:t xml:space="preserve"> The sponsorship department at Channel 4 is independent from the advertising department (the latter is formally called Agency Sales), but both are parts of the commercial team of the channel. Sponsorship agreements are done therefore, independently from the sales of advertising minutage (30-second spots). At the time of the interview with Kell (August 2009), the sponsorship department included three senior account managers and three account managers, who were responsible for all sponsorship agreements, including AFP.</w:t>
      </w:r>
    </w:p>
  </w:footnote>
  <w:footnote w:id="25">
    <w:p w14:paraId="1C2B5BF3"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At the time of the interview with Kell (2009), the sponsorship team at Channel 4 worked with around 20 different UK media agencies that had sponsorship teams. These agencies represent up to 50 different advertisers each, and the size of their sponsorship teams varies from one or two specialists to agencies that employ 20 specialists.</w:t>
      </w:r>
    </w:p>
  </w:footnote>
  <w:footnote w:id="26">
    <w:p w14:paraId="467329C2" w14:textId="46600F0F"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team Fletcher worked for was called ‘performance’ at that time. He explained (2009) that at that time this division was almost a separate arm from Mindshare, which was then a media buying agency. Eventually, in mid-2007 the ‘performance’ division became the branded content arm and turned out to be an early sign of the agency's shift into a marketing and communications agency which offers brands a range of marketing services. </w:t>
      </w:r>
    </w:p>
  </w:footnote>
  <w:footnote w:id="27">
    <w:p w14:paraId="4B15BEF5"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Bank Supervisor is a regulatory arm in the Bank of Israel which is oriented towards protecting banking clients and ensuring the stability of the banking system. For more on the structure and functions of the Bank of Israel see: </w:t>
      </w:r>
      <w:hyperlink r:id="rId7" w:anchor="7" w:history="1">
        <w:r w:rsidRPr="007F3A3B">
          <w:rPr>
            <w:rStyle w:val="Hyperlink"/>
            <w:sz w:val="18"/>
            <w:szCs w:val="18"/>
          </w:rPr>
          <w:t>http://www.bankisrael.gov.il/abeng/1-4eng.htm#7</w:t>
        </w:r>
      </w:hyperlink>
      <w:r w:rsidRPr="007F3A3B">
        <w:rPr>
          <w:sz w:val="18"/>
          <w:szCs w:val="18"/>
        </w:rPr>
        <w:t xml:space="preserve">. Last accessed: 27.12.12 </w:t>
      </w:r>
    </w:p>
  </w:footnote>
  <w:footnote w:id="28">
    <w:p w14:paraId="1C4BA1C9"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Orit Koren was working at that time, 2006, for the development department of </w:t>
      </w:r>
      <w:r w:rsidRPr="007F3A3B">
        <w:rPr>
          <w:i/>
          <w:iCs/>
          <w:sz w:val="18"/>
          <w:szCs w:val="18"/>
        </w:rPr>
        <w:t>Reshet</w:t>
      </w:r>
      <w:r w:rsidRPr="007F3A3B">
        <w:rPr>
          <w:sz w:val="18"/>
          <w:szCs w:val="18"/>
        </w:rPr>
        <w:t>, one of the two franchise holders of Channel 2, the leading broadcast channel in Israel. These two companies share the weekdays and alternate their broadcasting days every few months.</w:t>
      </w:r>
    </w:p>
  </w:footnote>
  <w:footnote w:id="29">
    <w:p w14:paraId="1C8A5B43"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Bank Hapo’alim's familiar slogan.</w:t>
      </w:r>
    </w:p>
  </w:footnote>
  <w:footnote w:id="30">
    <w:p w14:paraId="02DBD882"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A brief is a short description of a future campaign by an advertising agency.</w:t>
      </w:r>
    </w:p>
  </w:footnote>
  <w:footnote w:id="31">
    <w:p w14:paraId="470DAB6C"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chain was launched in March 2005. Its pricing strategy is similar to the one that Walmart took in America and is believed to generate consumer loyalty by assuring them the shop offers the best return for their money. This model of pricing is made possible because it saves the chain expenses related to changing pricing due to sales events and the need to promote them. The model is also based on the purchasing of large quantities (such as ‘two for the price of one’ deals). Shufersal-Deal has more than 70 branches in Israel, as of 2012. For Shufersal-Deal’s website, see: http://www1.shufersal.co.il/Supersol_He/Deal/. Last accessed: 09.03.12</w:t>
      </w:r>
    </w:p>
  </w:footnote>
  <w:footnote w:id="32">
    <w:p w14:paraId="727630EA"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Shufersal was established in 1958 and was later purchased by IDB, the biggest corporation in Israel. For more on the chain’s history (in Hebrew), see: http://www1.shufersal.co.il/Supersol_He/About/History/. Last accessed: 09.03.12.</w:t>
      </w:r>
    </w:p>
  </w:footnote>
  <w:footnote w:id="33">
    <w:p w14:paraId="3B3F7A51"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was the third goal of the campaign, after “To create a unique positioning in the Beauty arena” and “To make a difference to millions of women” (Dove, 2004)</w:t>
      </w:r>
    </w:p>
  </w:footnote>
  <w:footnote w:id="34">
    <w:p w14:paraId="0D445244"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analysis was commissioned by the MindShare media agency on behalf of its client Unilever after the second series of </w:t>
      </w:r>
      <w:r w:rsidRPr="007F3A3B">
        <w:rPr>
          <w:i/>
          <w:iCs/>
          <w:sz w:val="18"/>
          <w:szCs w:val="18"/>
        </w:rPr>
        <w:t>HTLGN.</w:t>
      </w:r>
    </w:p>
  </w:footnote>
  <w:footnote w:id="35">
    <w:p w14:paraId="1114B035" w14:textId="77777777" w:rsidR="00D66F5C" w:rsidRPr="007F3A3B" w:rsidRDefault="00D66F5C" w:rsidP="00346CA5">
      <w:pPr>
        <w:spacing w:line="240" w:lineRule="auto"/>
        <w:rPr>
          <w:rFonts w:ascii="Times New Roman" w:hAnsi="Times New Roman" w:cs="Times New Roman"/>
          <w:sz w:val="18"/>
          <w:szCs w:val="18"/>
        </w:rPr>
      </w:pPr>
      <w:r w:rsidRPr="00B93D25">
        <w:rPr>
          <w:rStyle w:val="FootnoteReference"/>
        </w:rPr>
        <w:footnoteRef/>
      </w:r>
      <w:r w:rsidRPr="007F3A3B">
        <w:rPr>
          <w:rFonts w:ascii="Times New Roman" w:hAnsi="Times New Roman" w:cs="Times New Roman"/>
          <w:sz w:val="18"/>
          <w:szCs w:val="18"/>
        </w:rPr>
        <w:t xml:space="preserve"> It is worthwhile noting that Wan made frequent use of the phrase “real women” during the first two series. This seems to be a surreptitious reference to the brand’s campaign, although I could not prove any intentionality to that effect based on interviews. In the case of </w:t>
      </w:r>
      <w:r w:rsidRPr="007F3A3B">
        <w:rPr>
          <w:rFonts w:ascii="Times New Roman" w:hAnsi="Times New Roman" w:cs="Times New Roman"/>
          <w:i/>
          <w:iCs/>
          <w:sz w:val="18"/>
          <w:szCs w:val="18"/>
        </w:rPr>
        <w:t>Overdraft Family</w:t>
      </w:r>
      <w:r w:rsidRPr="007F3A3B">
        <w:rPr>
          <w:rFonts w:ascii="Times New Roman" w:hAnsi="Times New Roman" w:cs="Times New Roman"/>
          <w:sz w:val="18"/>
          <w:szCs w:val="18"/>
        </w:rPr>
        <w:t xml:space="preserve">, as I will show later on, brand slogans were intentionally inserted into the presenter’s leads as part of the commercial deal.  </w:t>
      </w:r>
    </w:p>
    <w:p w14:paraId="61B888E4" w14:textId="77777777" w:rsidR="00D66F5C" w:rsidRPr="007F3A3B" w:rsidRDefault="00D66F5C" w:rsidP="00346CA5">
      <w:pPr>
        <w:pStyle w:val="FootnoteText"/>
        <w:rPr>
          <w:sz w:val="18"/>
          <w:szCs w:val="18"/>
        </w:rPr>
      </w:pPr>
    </w:p>
  </w:footnote>
  <w:footnote w:id="36">
    <w:p w14:paraId="7F687009"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 then asked Ransford if she had read Susie Orbach's book, </w:t>
      </w:r>
      <w:r w:rsidRPr="007F3A3B">
        <w:rPr>
          <w:i/>
          <w:iCs/>
          <w:sz w:val="18"/>
          <w:szCs w:val="18"/>
        </w:rPr>
        <w:t>Fat is a Feminist Issue</w:t>
      </w:r>
      <w:r w:rsidRPr="007F3A3B">
        <w:rPr>
          <w:sz w:val="18"/>
          <w:szCs w:val="18"/>
        </w:rPr>
        <w:t xml:space="preserve"> and she replied she that she had not, but that she intended to get it.  </w:t>
      </w:r>
    </w:p>
  </w:footnote>
  <w:footnote w:id="37">
    <w:p w14:paraId="649F07F9" w14:textId="77777777" w:rsidR="00D66F5C" w:rsidRPr="007F3A3B" w:rsidRDefault="00D66F5C" w:rsidP="00346CA5">
      <w:pPr>
        <w:spacing w:line="240" w:lineRule="auto"/>
        <w:rPr>
          <w:rFonts w:ascii="Times New Roman" w:hAnsi="Times New Roman" w:cs="Times New Roman"/>
          <w:sz w:val="18"/>
          <w:szCs w:val="18"/>
        </w:rPr>
      </w:pPr>
      <w:r w:rsidRPr="00B93D25">
        <w:rPr>
          <w:rStyle w:val="FootnoteReference"/>
        </w:rPr>
        <w:footnoteRef/>
      </w:r>
      <w:r w:rsidRPr="007F3A3B">
        <w:rPr>
          <w:rFonts w:ascii="Times New Roman" w:hAnsi="Times New Roman" w:cs="Times New Roman"/>
          <w:sz w:val="18"/>
          <w:szCs w:val="18"/>
        </w:rPr>
        <w:t xml:space="preserve"> As Dennis Lewis, the creative director of the campaign, explained: “We talked at one time about having them completely nude, but my comment was ‘How many poses can you strike where---’ ”. Daryl Fielding, one of the campaign leaders, then added: “You've got only two hands, ultimately!” (Fielding &amp; Lewis, 2008).</w:t>
      </w:r>
    </w:p>
  </w:footnote>
  <w:footnote w:id="38">
    <w:p w14:paraId="4401BB4A"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concept was later replaced by the participant walking down a catwalk in front of a crowd and flashing her nude body for a few seconds.  </w:t>
      </w:r>
    </w:p>
  </w:footnote>
  <w:footnote w:id="39">
    <w:p w14:paraId="117AEBF0" w14:textId="6E2E9294"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Ransford (2009) explained that the idea of projecting the participants’ nude photos on a wall was originally inspired by the projection of Gail Porter’s photo over the Houses of Parliament in London in 1999 (as part of a guerrilla campaign for a men’s magazine). However, the programme’s implementation of the idea of presenting nudity in public is more closely related to that of the </w:t>
      </w:r>
      <w:r w:rsidRPr="007F3A3B">
        <w:rPr>
          <w:iCs/>
          <w:sz w:val="18"/>
          <w:szCs w:val="18"/>
        </w:rPr>
        <w:t>Dove</w:t>
      </w:r>
      <w:r w:rsidRPr="007F3A3B">
        <w:rPr>
          <w:sz w:val="18"/>
          <w:szCs w:val="18"/>
        </w:rPr>
        <w:t xml:space="preserve"> campaign.</w:t>
      </w:r>
    </w:p>
  </w:footnote>
  <w:footnote w:id="40">
    <w:p w14:paraId="33BA18CD"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In the series sponsored by Bank Hapo’alim.</w:t>
      </w:r>
    </w:p>
  </w:footnote>
  <w:footnote w:id="41">
    <w:p w14:paraId="0556364F"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These short videos are a cross between promotional clips for the programme and an ‘ident’ for the sponsor, and will be discussed in greater detail in the next chapter.</w:t>
      </w:r>
    </w:p>
  </w:footnote>
  <w:footnote w:id="42">
    <w:p w14:paraId="576E3343" w14:textId="0BBA39B2" w:rsidR="00D66F5C" w:rsidRPr="007F3A3B" w:rsidRDefault="00D66F5C" w:rsidP="00346CA5">
      <w:pPr>
        <w:pStyle w:val="FootnoteText"/>
        <w:rPr>
          <w:sz w:val="18"/>
          <w:szCs w:val="18"/>
          <w:rtl/>
        </w:rPr>
      </w:pPr>
      <w:r w:rsidRPr="00B93D25">
        <w:rPr>
          <w:rStyle w:val="FootnoteReference"/>
        </w:rPr>
        <w:footnoteRef/>
      </w:r>
      <w:r w:rsidRPr="007F3A3B">
        <w:rPr>
          <w:sz w:val="18"/>
          <w:szCs w:val="18"/>
        </w:rPr>
        <w:t xml:space="preserve"> This was quite a prevalent scenario, as Bank Hapo’alim is one of the two biggest banks in Israel, together with Bank Le’umi. </w:t>
      </w:r>
    </w:p>
  </w:footnote>
  <w:footnote w:id="43">
    <w:p w14:paraId="39B184E1"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 will further discuss the conflicts that often do arise between the editorial side and that of the sponsor in Chapter 7.  </w:t>
      </w:r>
    </w:p>
  </w:footnote>
  <w:footnote w:id="44">
    <w:p w14:paraId="6A438906"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Towards the programme’s fifth series, which was the second sponsored by Shufersal-Deal.</w:t>
      </w:r>
    </w:p>
  </w:footnote>
  <w:footnote w:id="45">
    <w:p w14:paraId="3BEC8A7D"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http://www.rankin.co.uk/  Last accessed: 25.09.15</w:t>
      </w:r>
    </w:p>
  </w:footnote>
  <w:footnote w:id="46">
    <w:p w14:paraId="7C89B90B"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Aboulafia who worked as the programme’s video editor also directed some of the segments during shooting days.</w:t>
      </w:r>
    </w:p>
  </w:footnote>
  <w:footnote w:id="47">
    <w:p w14:paraId="4A8CE0D1"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In the case of </w:t>
      </w:r>
      <w:r w:rsidRPr="007F3A3B">
        <w:rPr>
          <w:i/>
          <w:iCs/>
          <w:sz w:val="18"/>
          <w:szCs w:val="18"/>
        </w:rPr>
        <w:t>HTLGN</w:t>
      </w:r>
      <w:r w:rsidRPr="007F3A3B">
        <w:rPr>
          <w:sz w:val="18"/>
          <w:szCs w:val="18"/>
        </w:rPr>
        <w:t xml:space="preserve"> it was argued that sponsorship money does not go directly to the programme’s budget, but to the general pot of the channel, but practically, as the interviews show, there was a constant and direct dialogue between the production and the sponsor, from the stage of the development of the format to actual production, and thus this ‘separation’ remains a formality. In reality, the link between the programme and the sponsor was a direct one.</w:t>
      </w:r>
    </w:p>
  </w:footnote>
  <w:footnote w:id="48">
    <w:p w14:paraId="19999BA7" w14:textId="0DEA86BE" w:rsidR="00D66F5C" w:rsidRPr="007F3A3B" w:rsidRDefault="00D66F5C" w:rsidP="00346CA5">
      <w:pPr>
        <w:spacing w:line="240" w:lineRule="auto"/>
        <w:rPr>
          <w:rFonts w:ascii="Times New Roman" w:hAnsi="Times New Roman" w:cs="Times New Roman"/>
          <w:sz w:val="18"/>
          <w:szCs w:val="18"/>
        </w:rPr>
      </w:pPr>
      <w:r w:rsidRPr="00B93D25">
        <w:rPr>
          <w:rStyle w:val="FootnoteReference"/>
        </w:rPr>
        <w:footnoteRef/>
      </w:r>
      <w:r w:rsidRPr="007F3A3B">
        <w:rPr>
          <w:rFonts w:ascii="Times New Roman" w:hAnsi="Times New Roman" w:cs="Times New Roman"/>
          <w:sz w:val="18"/>
          <w:szCs w:val="18"/>
        </w:rPr>
        <w:t xml:space="preserve"> According to the European </w:t>
      </w:r>
      <w:r>
        <w:rPr>
          <w:rFonts w:ascii="Times New Roman" w:hAnsi="Times New Roman" w:cs="Times New Roman"/>
          <w:sz w:val="18"/>
          <w:szCs w:val="18"/>
        </w:rPr>
        <w:t>Audiovisual</w:t>
      </w:r>
      <w:r w:rsidRPr="007F3A3B">
        <w:rPr>
          <w:rFonts w:ascii="Times New Roman" w:hAnsi="Times New Roman" w:cs="Times New Roman"/>
          <w:sz w:val="18"/>
          <w:szCs w:val="18"/>
        </w:rPr>
        <w:t xml:space="preserve"> Media Services Directive, sponsorship is: “… any contribution made by undertaking or natural persons not engaged in the provision or production of </w:t>
      </w:r>
      <w:r>
        <w:rPr>
          <w:rFonts w:ascii="Times New Roman" w:hAnsi="Times New Roman" w:cs="Times New Roman"/>
          <w:sz w:val="18"/>
          <w:szCs w:val="18"/>
        </w:rPr>
        <w:t>audiovisual</w:t>
      </w:r>
      <w:r w:rsidRPr="007F3A3B">
        <w:rPr>
          <w:rFonts w:ascii="Times New Roman" w:hAnsi="Times New Roman" w:cs="Times New Roman"/>
          <w:sz w:val="18"/>
          <w:szCs w:val="18"/>
        </w:rPr>
        <w:t xml:space="preserve"> works, to the financing of </w:t>
      </w:r>
      <w:r>
        <w:rPr>
          <w:rFonts w:ascii="Times New Roman" w:hAnsi="Times New Roman" w:cs="Times New Roman"/>
          <w:sz w:val="18"/>
          <w:szCs w:val="18"/>
        </w:rPr>
        <w:t>audiovisual</w:t>
      </w:r>
      <w:r w:rsidRPr="007F3A3B">
        <w:rPr>
          <w:rFonts w:ascii="Times New Roman" w:hAnsi="Times New Roman" w:cs="Times New Roman"/>
          <w:sz w:val="18"/>
          <w:szCs w:val="18"/>
        </w:rPr>
        <w:t xml:space="preserve"> media services or programmes with a view to promoting their name, trade mark, image, activities or products </w:t>
      </w:r>
      <w:r w:rsidRPr="007F3A3B">
        <w:rPr>
          <w:rFonts w:ascii="Times New Roman" w:hAnsi="Times New Roman" w:cs="Times New Roman"/>
          <w:noProof/>
          <w:sz w:val="18"/>
          <w:szCs w:val="18"/>
        </w:rPr>
        <w:t>(European Commission, 2010c)</w:t>
      </w:r>
      <w:r w:rsidRPr="007F3A3B">
        <w:rPr>
          <w:rFonts w:ascii="Times New Roman" w:hAnsi="Times New Roman" w:cs="Times New Roman"/>
          <w:sz w:val="18"/>
          <w:szCs w:val="18"/>
        </w:rPr>
        <w:t>.</w:t>
      </w:r>
    </w:p>
  </w:footnote>
  <w:footnote w:id="49">
    <w:p w14:paraId="34F51475" w14:textId="2074E045" w:rsidR="00D66F5C" w:rsidRPr="007F3A3B" w:rsidRDefault="00D66F5C" w:rsidP="00346CA5">
      <w:pPr>
        <w:spacing w:line="240" w:lineRule="auto"/>
        <w:rPr>
          <w:rFonts w:ascii="Times New Roman" w:hAnsi="Times New Roman" w:cs="Times New Roman"/>
          <w:sz w:val="18"/>
          <w:szCs w:val="18"/>
        </w:rPr>
      </w:pPr>
      <w:r w:rsidRPr="00B93D25">
        <w:rPr>
          <w:rStyle w:val="FootnoteReference"/>
        </w:rPr>
        <w:footnoteRef/>
      </w:r>
      <w:r w:rsidRPr="007F3A3B">
        <w:rPr>
          <w:rFonts w:ascii="Times New Roman" w:hAnsi="Times New Roman" w:cs="Times New Roman"/>
          <w:sz w:val="18"/>
          <w:szCs w:val="18"/>
        </w:rPr>
        <w:t xml:space="preserve"> According to the European </w:t>
      </w:r>
      <w:r>
        <w:rPr>
          <w:rFonts w:ascii="Times New Roman" w:hAnsi="Times New Roman" w:cs="Times New Roman"/>
          <w:sz w:val="18"/>
          <w:szCs w:val="18"/>
        </w:rPr>
        <w:t>Audiovisual</w:t>
      </w:r>
      <w:r w:rsidRPr="007F3A3B">
        <w:rPr>
          <w:rFonts w:ascii="Times New Roman" w:hAnsi="Times New Roman" w:cs="Times New Roman"/>
          <w:sz w:val="18"/>
          <w:szCs w:val="18"/>
        </w:rPr>
        <w:t xml:space="preserve"> Media Services Directive, product placement is: “…any form of </w:t>
      </w:r>
      <w:r>
        <w:rPr>
          <w:rFonts w:ascii="Times New Roman" w:hAnsi="Times New Roman" w:cs="Times New Roman"/>
          <w:sz w:val="18"/>
          <w:szCs w:val="18"/>
        </w:rPr>
        <w:t>audiovisual</w:t>
      </w:r>
      <w:r w:rsidRPr="007F3A3B">
        <w:rPr>
          <w:rFonts w:ascii="Times New Roman" w:hAnsi="Times New Roman" w:cs="Times New Roman"/>
          <w:sz w:val="18"/>
          <w:szCs w:val="18"/>
        </w:rPr>
        <w:t xml:space="preserve"> commercial communication consisting of the inclusion of or reference to a product, a service or the trade mark thereof so that it is featured within a programme, in return for payment or for similar consideration” </w:t>
      </w:r>
      <w:r w:rsidRPr="007F3A3B">
        <w:rPr>
          <w:rFonts w:ascii="Times New Roman" w:hAnsi="Times New Roman" w:cs="Times New Roman"/>
          <w:noProof/>
          <w:sz w:val="18"/>
          <w:szCs w:val="18"/>
        </w:rPr>
        <w:t>(European Commission, 2010b)</w:t>
      </w:r>
      <w:r w:rsidRPr="007F3A3B">
        <w:rPr>
          <w:rFonts w:ascii="Times New Roman" w:hAnsi="Times New Roman" w:cs="Times New Roman"/>
          <w:sz w:val="18"/>
          <w:szCs w:val="18"/>
        </w:rPr>
        <w:t>.</w:t>
      </w:r>
    </w:p>
  </w:footnote>
  <w:footnote w:id="50">
    <w:p w14:paraId="391EAE96"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description is obviously not accurate; the Ofcom broadcasting code presents rules, organised under ten different sections. Each section is then accompanied by guidelines that serve as an assisting tool for broadcasters in interpreting and applying the broadcasting code. This can be seen, for example, in Section 9 on sponsorship: </w:t>
      </w:r>
      <w:hyperlink r:id="rId8" w:history="1">
        <w:r w:rsidRPr="007F3A3B">
          <w:rPr>
            <w:rStyle w:val="Hyperlink"/>
            <w:sz w:val="18"/>
            <w:szCs w:val="18"/>
          </w:rPr>
          <w:t>http://www.ofcom.org.uk/tv/ifi/codes/bcode/sponsorship/</w:t>
        </w:r>
      </w:hyperlink>
      <w:r w:rsidRPr="007F3A3B">
        <w:rPr>
          <w:sz w:val="18"/>
          <w:szCs w:val="18"/>
        </w:rPr>
        <w:t xml:space="preserve"> . Last accessed: 31.01.10</w:t>
      </w:r>
    </w:p>
    <w:p w14:paraId="691C816A" w14:textId="77777777" w:rsidR="00D66F5C" w:rsidRPr="007F3A3B" w:rsidRDefault="00D66F5C" w:rsidP="00346CA5">
      <w:pPr>
        <w:pStyle w:val="FootnoteText"/>
        <w:rPr>
          <w:sz w:val="18"/>
          <w:szCs w:val="18"/>
        </w:rPr>
      </w:pPr>
    </w:p>
  </w:footnote>
  <w:footnote w:id="51">
    <w:p w14:paraId="059D9FF2"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Commercial vignettes are short clips, 30 seconds long, that are separate from the programme and appear either  in proximity to it (in addition to sponsorship credits) or at other times. Formally, they aim to provide viewers with ‘added value’ to the programme, by presenting ‘tips’ and more information. In practice, they serve as a hybrid between a commercial by the sponsor and a promo by the programme, as I will further explain. They were commonly used on Israeli commercial television at the time of this research and gradually disappeared since 2008, when the regulatory body decided to consider them as commercial time.</w:t>
      </w:r>
    </w:p>
  </w:footnote>
  <w:footnote w:id="52">
    <w:p w14:paraId="0B0DB1A0" w14:textId="0487FA6E" w:rsidR="00D66F5C" w:rsidRPr="007F3A3B" w:rsidRDefault="00D66F5C" w:rsidP="00797CC4">
      <w:pPr>
        <w:pStyle w:val="FootnoteText"/>
        <w:rPr>
          <w:sz w:val="18"/>
          <w:szCs w:val="18"/>
        </w:rPr>
      </w:pPr>
      <w:r w:rsidRPr="00B93D25">
        <w:rPr>
          <w:rStyle w:val="FootnoteReference"/>
        </w:rPr>
        <w:footnoteRef/>
      </w:r>
      <w:r w:rsidRPr="007F3A3B">
        <w:rPr>
          <w:sz w:val="18"/>
          <w:szCs w:val="18"/>
        </w:rPr>
        <w:t xml:space="preserve"> The Israeli regulator has limited their length to 6 seconds. The British regulator does not indicate such a limitation. In practice, sponsorship credits in the British case study of </w:t>
      </w:r>
      <w:r w:rsidRPr="007F3A3B">
        <w:rPr>
          <w:i/>
          <w:iCs/>
          <w:sz w:val="18"/>
          <w:szCs w:val="18"/>
        </w:rPr>
        <w:t>HTLGN</w:t>
      </w:r>
      <w:r w:rsidRPr="007F3A3B">
        <w:rPr>
          <w:sz w:val="18"/>
          <w:szCs w:val="18"/>
        </w:rPr>
        <w:t xml:space="preserve"> were 15 seconds long</w:t>
      </w:r>
      <w:r>
        <w:rPr>
          <w:sz w:val="18"/>
          <w:szCs w:val="18"/>
        </w:rPr>
        <w:t>.</w:t>
      </w:r>
      <w:r w:rsidRPr="007F3A3B">
        <w:rPr>
          <w:sz w:val="18"/>
          <w:szCs w:val="18"/>
        </w:rPr>
        <w:t xml:space="preserve"> Thus, in both cases sponsorship credits are shorter that the traditional 30 seconds spots.</w:t>
      </w:r>
    </w:p>
  </w:footnote>
  <w:footnote w:id="53">
    <w:p w14:paraId="27640F22"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third principle presented in Ofcom sponsorship rules relates to editorial independence: “To ensure that the broadcaster maintains editorial control over sponsored content and that programmes are not distorted for commercial purposes” (Ofcom, 2008), but this relates to the influence of the sponsor on the programme itself, a dimension which was at the heart of the previous chapter.  </w:t>
      </w:r>
    </w:p>
  </w:footnote>
  <w:footnote w:id="54">
    <w:p w14:paraId="44A5542F"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Yet another rule (Rule 9.14) relates to the programmes’ promotional clips: “Where a programme trail contains a reference to the sponsor of the programme, the sponsor reference must remain brief and secondary” (Ofcom, 2008).</w:t>
      </w:r>
    </w:p>
  </w:footnote>
  <w:footnote w:id="55">
    <w:p w14:paraId="159B57D5"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It is usually the case that there are a few versions of sponsorship bumpers in the UK – 15 seconds, 10 seconds and a short one of 5 seconds, for the different parts of the programme – beginning (15 seconds), in-between commercial breaks (5 seconds) and a finishing bumper (10 seconds). I will discuss here the full-length version.</w:t>
      </w:r>
    </w:p>
  </w:footnote>
  <w:footnote w:id="56">
    <w:p w14:paraId="0385482C"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other sections in the table referred to the value of sponsorship bumpers and the different elements of integration in the programme itself.</w:t>
      </w:r>
    </w:p>
  </w:footnote>
  <w:footnote w:id="57">
    <w:p w14:paraId="2B2E5F88"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Commercial Vignettes were provided both by Bank Hapo’alim and Shufersal-Deal for the purpose of this research and were used for the analysis in this section.  </w:t>
      </w:r>
    </w:p>
  </w:footnote>
  <w:footnote w:id="58">
    <w:p w14:paraId="2D13A9F1"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These will be further discussed in the next section, in the context of cross-platform content.</w:t>
      </w:r>
    </w:p>
  </w:footnote>
  <w:footnote w:id="59">
    <w:p w14:paraId="666B4B9B" w14:textId="77777777" w:rsidR="00D66F5C" w:rsidRPr="007F3A3B" w:rsidRDefault="00D66F5C" w:rsidP="00346CA5">
      <w:pPr>
        <w:pStyle w:val="FootnoteText"/>
        <w:rPr>
          <w:sz w:val="18"/>
          <w:szCs w:val="18"/>
          <w:lang w:val="en-US"/>
        </w:rPr>
      </w:pPr>
      <w:r w:rsidRPr="00B93D25">
        <w:rPr>
          <w:rStyle w:val="FootnoteReference"/>
        </w:rPr>
        <w:footnoteRef/>
      </w:r>
      <w:r w:rsidRPr="007F3A3B">
        <w:rPr>
          <w:sz w:val="18"/>
          <w:szCs w:val="18"/>
        </w:rPr>
        <w:t xml:space="preserve"> Also mentioned in Chapter 2.</w:t>
      </w:r>
    </w:p>
  </w:footnote>
  <w:footnote w:id="60">
    <w:p w14:paraId="3D4056F8"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definition from the book’s glossary includes one element that was not mentioned in Jenkins’ introductory definition that was quoted in Chapter 2: the search for new financial models.   </w:t>
      </w:r>
    </w:p>
  </w:footnote>
  <w:footnote w:id="61">
    <w:p w14:paraId="685543E1"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A micro-site is a website that is associated with a main site for additional activity that is usually short term and targeted around a product, a certain campaign or other focused commercial activity.</w:t>
      </w:r>
    </w:p>
  </w:footnote>
  <w:footnote w:id="62">
    <w:p w14:paraId="2A19FC23"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See: </w:t>
      </w:r>
      <w:hyperlink r:id="rId9" w:history="1">
        <w:r w:rsidRPr="007F3A3B">
          <w:rPr>
            <w:sz w:val="18"/>
            <w:szCs w:val="18"/>
          </w:rPr>
          <w:t>http://www.channel4.com/life/advertorial/dove/</w:t>
        </w:r>
      </w:hyperlink>
      <w:r w:rsidRPr="007F3A3B">
        <w:rPr>
          <w:sz w:val="18"/>
          <w:szCs w:val="18"/>
        </w:rPr>
        <w:t>. Last accessed 28.03.15.</w:t>
      </w:r>
    </w:p>
  </w:footnote>
  <w:footnote w:id="63">
    <w:p w14:paraId="41EA85AF"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It is not clear whether sponsorship credits were attached to the programme on the VOD service or not, and if the brand gained other exposure, such as banners on the VOD site. It was not possible to trace this retroactively.</w:t>
      </w:r>
    </w:p>
  </w:footnote>
  <w:footnote w:id="64">
    <w:p w14:paraId="5D17628A" w14:textId="77777777" w:rsidR="00D66F5C" w:rsidRPr="007F3A3B" w:rsidRDefault="00D66F5C" w:rsidP="00346CA5">
      <w:pPr>
        <w:pStyle w:val="FootnoteText"/>
        <w:rPr>
          <w:sz w:val="18"/>
          <w:szCs w:val="18"/>
          <w:lang w:val="en-US"/>
        </w:rPr>
      </w:pPr>
      <w:r w:rsidRPr="00B93D25">
        <w:rPr>
          <w:rStyle w:val="FootnoteReference"/>
        </w:rPr>
        <w:footnoteRef/>
      </w:r>
      <w:r w:rsidRPr="007F3A3B">
        <w:rPr>
          <w:sz w:val="18"/>
          <w:szCs w:val="18"/>
        </w:rPr>
        <w:t xml:space="preserve"> This is how Fletcher explained the term: “I used to work in a separate division of Mindshare called Performance, which was a team of people who were specialists in sponsorships, partnerships, and content. So we would look to help brands understand the role of associating with consumers’ passion points, whether that be sport, music, film or TV entertainment. So our philosophy has always been, if you can align your brand and add value to a consumer through their passion, you’ve got more chance of getting cut through in a cluttered, more overly commercial landscape”.</w:t>
      </w:r>
    </w:p>
  </w:footnote>
  <w:footnote w:id="65">
    <w:p w14:paraId="652C2B69"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See </w:t>
      </w:r>
      <w:hyperlink r:id="rId10" w:history="1">
        <w:r w:rsidRPr="007F3A3B">
          <w:rPr>
            <w:sz w:val="18"/>
            <w:szCs w:val="18"/>
          </w:rPr>
          <w:t>http://www.ynetnews.com/</w:t>
        </w:r>
      </w:hyperlink>
    </w:p>
  </w:footnote>
  <w:footnote w:id="66">
    <w:p w14:paraId="6A8A4ED5"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A popular local radio station in the greater Tel-Aviv area. See </w:t>
      </w:r>
      <w:hyperlink r:id="rId11" w:history="1">
        <w:r w:rsidRPr="007F3A3B">
          <w:rPr>
            <w:sz w:val="18"/>
            <w:szCs w:val="18"/>
          </w:rPr>
          <w:t>http://www.103.fm/</w:t>
        </w:r>
      </w:hyperlink>
    </w:p>
  </w:footnote>
  <w:footnote w:id="67">
    <w:p w14:paraId="56FF2C9A"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Shufersal-Deal provided more than 30 different ‘daily tips’ for this research. One of them, for example, says: Voiceover: “A daily tip for smart consumption, with Alon Gal”, Alon Gal: “Concentrate your shopping into one big weekly round. Urgent or occasional shopping in the nearby grocery or drugstore is expensive and will cost you dearly”. Voiceover: “In co-operation with Shufersal-Deal - Your money buys more”.   </w:t>
      </w:r>
    </w:p>
  </w:footnote>
  <w:footnote w:id="68">
    <w:p w14:paraId="165EE704"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specific segment can be found here: </w:t>
      </w:r>
      <w:hyperlink r:id="rId12" w:history="1">
        <w:r w:rsidRPr="007F3A3B">
          <w:rPr>
            <w:sz w:val="18"/>
            <w:szCs w:val="18"/>
          </w:rPr>
          <w:t>http://www.103.fm/programs/Media.aspx?ZrqvnVq=FIMMFD&amp;c41t4nzVQ=LE</w:t>
        </w:r>
      </w:hyperlink>
      <w:r w:rsidRPr="007F3A3B">
        <w:rPr>
          <w:sz w:val="18"/>
          <w:szCs w:val="18"/>
        </w:rPr>
        <w:t>. Broadcasted on 31.08.2012 on 103FM.</w:t>
      </w:r>
    </w:p>
  </w:footnote>
  <w:footnote w:id="69">
    <w:p w14:paraId="51D13A7A" w14:textId="77777777" w:rsidR="00D66F5C" w:rsidRPr="007F3A3B" w:rsidRDefault="00D66F5C" w:rsidP="00346CA5">
      <w:pPr>
        <w:spacing w:line="240" w:lineRule="auto"/>
        <w:rPr>
          <w:rFonts w:ascii="Times New Roman" w:hAnsi="Times New Roman" w:cs="Times New Roman"/>
          <w:sz w:val="18"/>
          <w:szCs w:val="18"/>
        </w:rPr>
      </w:pPr>
      <w:r w:rsidRPr="00B93D25">
        <w:rPr>
          <w:rStyle w:val="FootnoteReference"/>
        </w:rPr>
        <w:footnoteRef/>
      </w:r>
      <w:r w:rsidRPr="007F3A3B">
        <w:rPr>
          <w:rFonts w:ascii="Times New Roman" w:hAnsi="Times New Roman" w:cs="Times New Roman"/>
          <w:sz w:val="18"/>
          <w:szCs w:val="18"/>
        </w:rPr>
        <w:t xml:space="preserve"> At that time, </w:t>
      </w:r>
      <w:r w:rsidRPr="007F3A3B">
        <w:rPr>
          <w:rFonts w:ascii="Times New Roman" w:hAnsi="Times New Roman" w:cs="Times New Roman"/>
          <w:i/>
          <w:iCs/>
          <w:sz w:val="18"/>
          <w:szCs w:val="18"/>
        </w:rPr>
        <w:t>Ma’ariv</w:t>
      </w:r>
      <w:r w:rsidRPr="007F3A3B">
        <w:rPr>
          <w:rFonts w:ascii="Times New Roman" w:hAnsi="Times New Roman" w:cs="Times New Roman"/>
          <w:sz w:val="18"/>
          <w:szCs w:val="18"/>
        </w:rPr>
        <w:t xml:space="preserve"> was the second biggest daily newspaper in Israel, after Yedioth Ahronoth. It later collapsed and seized to exist as a daily newspaper.</w:t>
      </w:r>
    </w:p>
  </w:footnote>
  <w:footnote w:id="70">
    <w:p w14:paraId="62BD32BC" w14:textId="77777777" w:rsidR="00D66F5C" w:rsidRPr="007F3A3B" w:rsidRDefault="00D66F5C" w:rsidP="00346CA5">
      <w:pPr>
        <w:spacing w:line="240" w:lineRule="auto"/>
        <w:rPr>
          <w:rFonts w:ascii="Times New Roman" w:hAnsi="Times New Roman" w:cs="Times New Roman"/>
          <w:sz w:val="18"/>
          <w:szCs w:val="18"/>
        </w:rPr>
      </w:pPr>
      <w:r w:rsidRPr="00B93D25">
        <w:rPr>
          <w:rStyle w:val="FootnoteReference"/>
        </w:rPr>
        <w:footnoteRef/>
      </w:r>
      <w:r w:rsidRPr="007F3A3B">
        <w:rPr>
          <w:rFonts w:ascii="Times New Roman" w:hAnsi="Times New Roman" w:cs="Times New Roman"/>
          <w:sz w:val="18"/>
          <w:szCs w:val="18"/>
        </w:rPr>
        <w:t xml:space="preserve"> Most probably, these were marked as commercial supplements, not editorial ones, but the original publications could not be retrieved. </w:t>
      </w:r>
    </w:p>
    <w:p w14:paraId="0F503D07" w14:textId="77777777" w:rsidR="00D66F5C" w:rsidRPr="007F3A3B" w:rsidRDefault="00D66F5C" w:rsidP="00346CA5">
      <w:pPr>
        <w:pStyle w:val="FootnoteText"/>
        <w:rPr>
          <w:sz w:val="18"/>
          <w:szCs w:val="18"/>
        </w:rPr>
      </w:pPr>
    </w:p>
  </w:footnote>
  <w:footnote w:id="71">
    <w:p w14:paraId="1441EA25"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Though most interviewees indicated that the broadcaster was not formally part of this deal, its part in it is not entirely certain.</w:t>
      </w:r>
    </w:p>
  </w:footnote>
  <w:footnote w:id="72">
    <w:p w14:paraId="3FC0548C"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original vignette was provided by Bank Hapo’alim and is part of the empirical materials.  </w:t>
      </w:r>
    </w:p>
  </w:footnote>
  <w:footnote w:id="73">
    <w:p w14:paraId="50786729"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It should be noted that both programmes debuted in 2006, when the trend of multi-platform content was just budding. Thus it is expected that productions from later years would have shown an even stronger tendency towards carefully pre-planned multi-platform activity, either on the Internet or on special applications for mobile devices.</w:t>
      </w:r>
    </w:p>
  </w:footnote>
  <w:footnote w:id="74">
    <w:p w14:paraId="361A63BD"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As Turow explains, 'Product placement' refers to a marketer's insertion of merchandise into content, entertainment or news. 'Direct response' aims to get the consumer to answer in such a way that he identifies himself to the marketer.</w:t>
      </w:r>
    </w:p>
  </w:footnote>
  <w:footnote w:id="75">
    <w:p w14:paraId="2D712D51" w14:textId="024413F2"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 do not consider here legal restrictions on freedom of expression such as defamation or paedophilia, as they are not of relevance to my discussion.</w:t>
      </w:r>
    </w:p>
  </w:footnote>
  <w:footnote w:id="76">
    <w:p w14:paraId="69E4463A"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By this I mean ‘old’ media bodies such as television channels, newspapers or radio stations which expanded their activity to the Internet.</w:t>
      </w:r>
    </w:p>
  </w:footnote>
  <w:footnote w:id="77">
    <w:p w14:paraId="75671C0C"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Of course, </w:t>
      </w:r>
      <w:r w:rsidRPr="007F3A3B">
        <w:rPr>
          <w:i/>
          <w:iCs/>
          <w:sz w:val="18"/>
          <w:szCs w:val="18"/>
        </w:rPr>
        <w:t>HTLGN</w:t>
      </w:r>
      <w:r w:rsidRPr="007F3A3B">
        <w:rPr>
          <w:sz w:val="18"/>
          <w:szCs w:val="18"/>
        </w:rPr>
        <w:t xml:space="preserve"> on television was also, to some extent, ‘packaged’ with Dove’s design, as I discussed earlier in Chapter 4, but this was an outcome of adopting the brand’s ‘real beauty’ agenda and borrowing some elements from that campaign, some of them clearly visual.   </w:t>
      </w:r>
    </w:p>
  </w:footnote>
  <w:footnote w:id="78">
    <w:p w14:paraId="0FABF7AA"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See Channel’s 4 home page: </w:t>
      </w:r>
      <w:hyperlink r:id="rId13" w:history="1">
        <w:r w:rsidRPr="007F3A3B">
          <w:rPr>
            <w:sz w:val="18"/>
            <w:szCs w:val="18"/>
          </w:rPr>
          <w:t>http://www.channel4.com/</w:t>
        </w:r>
      </w:hyperlink>
      <w:r w:rsidRPr="007F3A3B">
        <w:rPr>
          <w:sz w:val="18"/>
          <w:szCs w:val="18"/>
        </w:rPr>
        <w:t>. Last accessed 27.10.12.</w:t>
      </w:r>
    </w:p>
  </w:footnote>
  <w:footnote w:id="79">
    <w:p w14:paraId="5348FF9C"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manifesto and most parts of the micro-site are still available online: </w:t>
      </w:r>
      <w:hyperlink r:id="rId14" w:history="1">
        <w:r w:rsidRPr="007F3A3B">
          <w:rPr>
            <w:sz w:val="18"/>
            <w:szCs w:val="18"/>
          </w:rPr>
          <w:t>http://www.channel4.com/life/advertorial/dove/</w:t>
        </w:r>
      </w:hyperlink>
      <w:r w:rsidRPr="007F3A3B">
        <w:rPr>
          <w:sz w:val="18"/>
          <w:szCs w:val="18"/>
        </w:rPr>
        <w:t>. Last accessed 28.09.12.</w:t>
      </w:r>
    </w:p>
  </w:footnote>
  <w:footnote w:id="80">
    <w:p w14:paraId="3282EF1F"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can still be found at </w:t>
      </w:r>
      <w:hyperlink r:id="rId15" w:history="1">
        <w:r w:rsidRPr="007F3A3B">
          <w:rPr>
            <w:sz w:val="18"/>
            <w:szCs w:val="18"/>
          </w:rPr>
          <w:t>http://www.channel4.com/life/advertorial/dove/</w:t>
        </w:r>
      </w:hyperlink>
      <w:r w:rsidRPr="007F3A3B">
        <w:rPr>
          <w:sz w:val="18"/>
          <w:szCs w:val="18"/>
        </w:rPr>
        <w:t>. Last accessed 28.09.12</w:t>
      </w:r>
    </w:p>
  </w:footnote>
  <w:footnote w:id="81">
    <w:p w14:paraId="641C3DDE"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details of that competition are no longer available online, as the competition was closed.</w:t>
      </w:r>
    </w:p>
  </w:footnote>
  <w:footnote w:id="82">
    <w:p w14:paraId="2A7E6409"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It is not clear whether the main website of the programme was designed according to Shufersal-Deal’s branding in any one of these series. During the fourth series Bank Hapo’alim was still a sponsor and it is most likely that the website was designed according to the bank’s branding, but this is not clearly stated in the documents I have.</w:t>
      </w:r>
    </w:p>
  </w:footnote>
  <w:footnote w:id="83">
    <w:p w14:paraId="4DD086CF"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section has changed with time, but is still active and available: </w:t>
      </w:r>
      <w:hyperlink r:id="rId16" w:history="1">
        <w:r w:rsidRPr="007F3A3B">
          <w:rPr>
            <w:sz w:val="18"/>
            <w:szCs w:val="18"/>
          </w:rPr>
          <w:t>http://www.ynet.co.il/home/0,7340,L-9743,00.html</w:t>
        </w:r>
      </w:hyperlink>
      <w:r w:rsidRPr="007F3A3B">
        <w:rPr>
          <w:sz w:val="18"/>
          <w:szCs w:val="18"/>
        </w:rPr>
        <w:t>. Last accessed: 01.10.12.</w:t>
      </w:r>
    </w:p>
  </w:footnote>
  <w:footnote w:id="84">
    <w:p w14:paraId="53D08F5C"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section has also changed with time and presently is still active on Ynet, but now carries the title “Branded Content” at the top of the page. It is not clear at what stage Ynet decided to clearly disclose the nature of this section. The section is available at: </w:t>
      </w:r>
      <w:hyperlink r:id="rId17" w:history="1">
        <w:r w:rsidRPr="007F3A3B">
          <w:rPr>
            <w:sz w:val="18"/>
            <w:szCs w:val="18"/>
          </w:rPr>
          <w:t>http://www.ynet.co.il/home/0,7340,L-9087,00.html</w:t>
        </w:r>
      </w:hyperlink>
      <w:r w:rsidRPr="007F3A3B">
        <w:rPr>
          <w:sz w:val="18"/>
          <w:szCs w:val="18"/>
        </w:rPr>
        <w:t>. Last accessed: 01.10.12.</w:t>
      </w:r>
    </w:p>
  </w:footnote>
  <w:footnote w:id="85">
    <w:p w14:paraId="4E2C52FB"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was, for example, the case of Yuval Lev (McCann Erickson) and Golan Pratzer (Gitam-BBDO) in Israel, or Chantal Rutherford (Mediaedge:CIA), Simon Willis  (Mindshare), Tony Moulsdale (MediaCom) or Phil Cresswell (Universal McCann) in the UK.  </w:t>
      </w:r>
    </w:p>
  </w:footnote>
  <w:footnote w:id="86">
    <w:p w14:paraId="157858C7"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was, for example, the case of Ori Goldberg (who worked in the past for the broadcaster Reshet) in Israel, or the case of Vicky Kell (sponsorship department at Channel 4) in the UK.</w:t>
      </w:r>
    </w:p>
  </w:footnote>
  <w:footnote w:id="87">
    <w:p w14:paraId="44F28BDB"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Ori Goldberg, for example, later became an independent agent. This was also the case of Erez Bergbaum who opened his own agency, C, in Tel-Aviv.</w:t>
      </w:r>
    </w:p>
  </w:footnote>
  <w:footnote w:id="88">
    <w:p w14:paraId="27EC27ED" w14:textId="77777777" w:rsidR="00D66F5C" w:rsidRPr="007F3A3B" w:rsidRDefault="00D66F5C" w:rsidP="00346CA5">
      <w:pPr>
        <w:spacing w:line="240" w:lineRule="auto"/>
        <w:rPr>
          <w:rFonts w:ascii="Times New Roman" w:hAnsi="Times New Roman" w:cs="Times New Roman"/>
          <w:sz w:val="18"/>
          <w:szCs w:val="18"/>
        </w:rPr>
      </w:pPr>
      <w:r w:rsidRPr="00B93D25">
        <w:rPr>
          <w:rStyle w:val="FootnoteReference"/>
        </w:rPr>
        <w:footnoteRef/>
      </w:r>
      <w:r w:rsidRPr="007F3A3B">
        <w:rPr>
          <w:rFonts w:ascii="Times New Roman" w:hAnsi="Times New Roman" w:cs="Times New Roman"/>
          <w:sz w:val="18"/>
          <w:szCs w:val="18"/>
        </w:rPr>
        <w:t xml:space="preserve"> Unfortunately it was practically impossible to obtain any systematic data on the financial aspects of the market of ‘branded content’ because it is loosely defined and includes formal sponsorship agreements as well as informal barter deals and other commercial co-operations, and also because there are hardly any independent bodies that monitor this activity in the markets I was studying.  </w:t>
      </w:r>
    </w:p>
    <w:p w14:paraId="29C480FF" w14:textId="77777777" w:rsidR="00D66F5C" w:rsidRPr="007F3A3B" w:rsidRDefault="00D66F5C" w:rsidP="00346CA5">
      <w:pPr>
        <w:pStyle w:val="FootnoteText"/>
        <w:rPr>
          <w:sz w:val="18"/>
          <w:szCs w:val="18"/>
        </w:rPr>
      </w:pPr>
    </w:p>
  </w:footnote>
  <w:footnote w:id="89">
    <w:p w14:paraId="72957E91"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As the head of marketing in the bank emphasised, this idea, which was defined as ‘financial freedom’, was strongly promoted by the bank’s owner, Shari Arison, as part of her personal vision </w:t>
      </w:r>
      <w:r w:rsidRPr="007F3A3B">
        <w:rPr>
          <w:noProof/>
          <w:sz w:val="18"/>
          <w:szCs w:val="18"/>
        </w:rPr>
        <w:t>(Landsman, 2012)</w:t>
      </w:r>
      <w:r w:rsidRPr="007F3A3B">
        <w:rPr>
          <w:sz w:val="18"/>
          <w:szCs w:val="18"/>
        </w:rPr>
        <w:t xml:space="preserve">. </w:t>
      </w:r>
    </w:p>
  </w:footnote>
  <w:footnote w:id="90">
    <w:p w14:paraId="6C2568E6"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Books such as </w:t>
      </w:r>
      <w:r w:rsidRPr="007F3A3B">
        <w:rPr>
          <w:i/>
          <w:iCs/>
          <w:sz w:val="18"/>
          <w:szCs w:val="18"/>
        </w:rPr>
        <w:t>The End of Advertising as We know It</w:t>
      </w:r>
      <w:r w:rsidRPr="007F3A3B">
        <w:rPr>
          <w:sz w:val="18"/>
          <w:szCs w:val="18"/>
          <w:rtl/>
        </w:rPr>
        <w:t xml:space="preserve"> </w:t>
      </w:r>
      <w:r w:rsidRPr="007F3A3B">
        <w:rPr>
          <w:noProof/>
          <w:sz w:val="18"/>
          <w:szCs w:val="18"/>
        </w:rPr>
        <w:t>(Zyman &amp; Brott, 2002)</w:t>
      </w:r>
      <w:r w:rsidRPr="007F3A3B">
        <w:rPr>
          <w:sz w:val="18"/>
          <w:szCs w:val="18"/>
        </w:rPr>
        <w:t xml:space="preserve"> or </w:t>
      </w:r>
      <w:r w:rsidRPr="007F3A3B">
        <w:rPr>
          <w:i/>
          <w:iCs/>
          <w:sz w:val="18"/>
          <w:szCs w:val="18"/>
        </w:rPr>
        <w:t xml:space="preserve">Life After the 30-Second Spot </w:t>
      </w:r>
      <w:r w:rsidRPr="007F3A3B">
        <w:rPr>
          <w:noProof/>
          <w:sz w:val="18"/>
          <w:szCs w:val="18"/>
        </w:rPr>
        <w:t>(Jaffe, 2005)</w:t>
      </w:r>
      <w:r w:rsidRPr="007F3A3B">
        <w:rPr>
          <w:sz w:val="18"/>
          <w:szCs w:val="18"/>
        </w:rPr>
        <w:t xml:space="preserve"> clearly reflect this discourse among marketing professionals. </w:t>
      </w:r>
    </w:p>
  </w:footnote>
  <w:footnote w:id="91">
    <w:p w14:paraId="723632DE" w14:textId="34B110E8" w:rsidR="00D66F5C" w:rsidRPr="007F3A3B" w:rsidRDefault="00D66F5C" w:rsidP="00155770">
      <w:pPr>
        <w:autoSpaceDE w:val="0"/>
        <w:autoSpaceDN w:val="0"/>
        <w:adjustRightInd w:val="0"/>
        <w:spacing w:after="0" w:line="240" w:lineRule="auto"/>
        <w:rPr>
          <w:rFonts w:ascii="Times New Roman" w:hAnsi="Times New Roman" w:cs="Times New Roman"/>
          <w:sz w:val="18"/>
          <w:szCs w:val="18"/>
          <w:rtl/>
        </w:rPr>
      </w:pPr>
      <w:r w:rsidRPr="00B93D25">
        <w:rPr>
          <w:rStyle w:val="FootnoteReference"/>
        </w:rPr>
        <w:footnoteRef/>
      </w:r>
      <w:r w:rsidRPr="007F3A3B">
        <w:rPr>
          <w:rFonts w:ascii="Times New Roman" w:hAnsi="Times New Roman" w:cs="Times New Roman"/>
          <w:sz w:val="18"/>
          <w:szCs w:val="18"/>
        </w:rPr>
        <w:t xml:space="preserve"> The current European directive defines sponsorship as follows: “</w:t>
      </w:r>
      <w:r w:rsidRPr="007F3A3B">
        <w:rPr>
          <w:rFonts w:ascii="Times New Roman" w:hAnsi="Times New Roman" w:cs="Times New Roman"/>
          <w:color w:val="000000"/>
          <w:sz w:val="18"/>
          <w:szCs w:val="18"/>
        </w:rPr>
        <w:t xml:space="preserve">Any contribution made by public or private undertakings or natural persons not engaged in providing </w:t>
      </w:r>
      <w:r>
        <w:rPr>
          <w:rFonts w:ascii="Times New Roman" w:hAnsi="Times New Roman" w:cs="Times New Roman"/>
          <w:color w:val="000000"/>
          <w:sz w:val="18"/>
          <w:szCs w:val="18"/>
        </w:rPr>
        <w:t>audiovisual</w:t>
      </w:r>
      <w:r w:rsidRPr="007F3A3B">
        <w:rPr>
          <w:rFonts w:ascii="Times New Roman" w:hAnsi="Times New Roman" w:cs="Times New Roman"/>
          <w:color w:val="000000"/>
          <w:sz w:val="18"/>
          <w:szCs w:val="18"/>
        </w:rPr>
        <w:t xml:space="preserve"> media services or in the production of </w:t>
      </w:r>
      <w:r>
        <w:rPr>
          <w:rFonts w:ascii="Times New Roman" w:hAnsi="Times New Roman" w:cs="Times New Roman"/>
          <w:color w:val="000000"/>
          <w:sz w:val="18"/>
          <w:szCs w:val="18"/>
        </w:rPr>
        <w:t>audiovisual</w:t>
      </w:r>
      <w:r w:rsidRPr="007F3A3B">
        <w:rPr>
          <w:rFonts w:ascii="Times New Roman" w:hAnsi="Times New Roman" w:cs="Times New Roman"/>
          <w:color w:val="000000"/>
          <w:sz w:val="18"/>
          <w:szCs w:val="18"/>
        </w:rPr>
        <w:t xml:space="preserve"> works, to the financing of </w:t>
      </w:r>
      <w:r>
        <w:rPr>
          <w:rFonts w:ascii="Times New Roman" w:hAnsi="Times New Roman" w:cs="Times New Roman"/>
          <w:color w:val="000000"/>
          <w:sz w:val="18"/>
          <w:szCs w:val="18"/>
        </w:rPr>
        <w:t>audiovisual</w:t>
      </w:r>
      <w:r w:rsidRPr="007F3A3B">
        <w:rPr>
          <w:rFonts w:ascii="Times New Roman" w:hAnsi="Times New Roman" w:cs="Times New Roman"/>
          <w:color w:val="000000"/>
          <w:sz w:val="18"/>
          <w:szCs w:val="18"/>
        </w:rPr>
        <w:t xml:space="preserve"> media services or programmes with a view to promoting their name, trade mark, image, activities or products” (European Commission, 2010c, Article 1[k]).</w:t>
      </w:r>
    </w:p>
  </w:footnote>
  <w:footnote w:id="92">
    <w:p w14:paraId="244A5D78" w14:textId="7A29E7DD"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current European directive defines product placement as follows: “A</w:t>
      </w:r>
      <w:r w:rsidRPr="007F3A3B">
        <w:rPr>
          <w:color w:val="000000"/>
          <w:sz w:val="18"/>
          <w:szCs w:val="18"/>
        </w:rPr>
        <w:t xml:space="preserve">ny form of </w:t>
      </w:r>
      <w:r>
        <w:rPr>
          <w:color w:val="000000"/>
          <w:sz w:val="18"/>
          <w:szCs w:val="18"/>
        </w:rPr>
        <w:t>audiovisual</w:t>
      </w:r>
      <w:r w:rsidRPr="007F3A3B">
        <w:rPr>
          <w:color w:val="000000"/>
          <w:sz w:val="18"/>
          <w:szCs w:val="18"/>
        </w:rPr>
        <w:t xml:space="preserve"> commercial communication consisting of the inclusion of or reference to a product, a service or the trade mark thereof so that it is featured within a programme, in return for payment or for similar consideration”  (European Commission, 2010b, Article 1[1][m]).  </w:t>
      </w:r>
    </w:p>
  </w:footnote>
  <w:footnote w:id="93">
    <w:p w14:paraId="53F090F2"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Israel as well, but in the case of the Israeli regulation there is no specific reference to product placement. </w:t>
      </w:r>
    </w:p>
  </w:footnote>
  <w:footnote w:id="94">
    <w:p w14:paraId="4EF57146"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In some media outlets, the most notable one was the financial newspaper </w:t>
      </w:r>
      <w:r w:rsidRPr="007F3A3B">
        <w:rPr>
          <w:i/>
          <w:iCs/>
          <w:sz w:val="18"/>
          <w:szCs w:val="18"/>
        </w:rPr>
        <w:t>The Marker</w:t>
      </w:r>
      <w:r w:rsidRPr="007F3A3B">
        <w:rPr>
          <w:sz w:val="18"/>
          <w:szCs w:val="18"/>
        </w:rPr>
        <w:t xml:space="preserve">. Part of the problem in Israeli media is that many of its media outlets are submerged in various financial interests which sterilise their critical position. </w:t>
      </w:r>
    </w:p>
  </w:footnote>
  <w:footnote w:id="95">
    <w:p w14:paraId="390770B5"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This manifesto and most parts of the micro-site are still available online: </w:t>
      </w:r>
      <w:hyperlink r:id="rId18" w:history="1">
        <w:r w:rsidRPr="007F3A3B">
          <w:rPr>
            <w:rStyle w:val="Hyperlink"/>
            <w:sz w:val="18"/>
            <w:szCs w:val="18"/>
          </w:rPr>
          <w:t>http://www.channel4.com/life/advertorial/dove/</w:t>
        </w:r>
      </w:hyperlink>
      <w:r w:rsidRPr="007F3A3B">
        <w:rPr>
          <w:sz w:val="18"/>
          <w:szCs w:val="18"/>
        </w:rPr>
        <w:t xml:space="preserve"> . Last accessed 28.09.12. </w:t>
      </w:r>
    </w:p>
  </w:footnote>
  <w:footnote w:id="96">
    <w:p w14:paraId="6D7BA745"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More than often ‘branded content’ agreements specifically include a strict ban on the inclusion of other brands from the same category. </w:t>
      </w:r>
    </w:p>
  </w:footnote>
  <w:footnote w:id="97">
    <w:p w14:paraId="3BCCE1E6" w14:textId="77777777" w:rsidR="00D66F5C" w:rsidRPr="007F3A3B" w:rsidRDefault="00D66F5C" w:rsidP="00346CA5">
      <w:pPr>
        <w:spacing w:line="240" w:lineRule="auto"/>
        <w:rPr>
          <w:rFonts w:ascii="Times New Roman" w:hAnsi="Times New Roman" w:cs="Times New Roman"/>
          <w:sz w:val="18"/>
          <w:szCs w:val="18"/>
        </w:rPr>
      </w:pPr>
      <w:r w:rsidRPr="00B93D25">
        <w:rPr>
          <w:rStyle w:val="FootnoteReference"/>
        </w:rPr>
        <w:footnoteRef/>
      </w:r>
      <w:r w:rsidRPr="007F3A3B">
        <w:rPr>
          <w:rFonts w:ascii="Times New Roman" w:hAnsi="Times New Roman" w:cs="Times New Roman"/>
          <w:sz w:val="18"/>
          <w:szCs w:val="18"/>
        </w:rPr>
        <w:t xml:space="preserve"> Indeed, the limitations of the public sphere to political issues and to rational debate were at the heart of the critique of Habermas</w:t>
      </w:r>
      <w:r w:rsidRPr="007F3A3B">
        <w:rPr>
          <w:rFonts w:ascii="Times New Roman" w:hAnsi="Times New Roman" w:cs="Times New Roman"/>
          <w:noProof/>
          <w:sz w:val="18"/>
          <w:szCs w:val="18"/>
        </w:rPr>
        <w:t xml:space="preserve"> (Dahlgren, 1995; Garnham, 2007; McGuigan, 2000, 2005; Negt &amp; Kluge, 1993)</w:t>
      </w:r>
    </w:p>
  </w:footnote>
  <w:footnote w:id="98">
    <w:p w14:paraId="3E031AAF" w14:textId="77777777" w:rsidR="00D66F5C" w:rsidRPr="007F3A3B" w:rsidRDefault="00D66F5C" w:rsidP="00346CA5">
      <w:pPr>
        <w:pStyle w:val="FootnoteText"/>
        <w:rPr>
          <w:sz w:val="18"/>
          <w:szCs w:val="18"/>
        </w:rPr>
      </w:pPr>
      <w:r w:rsidRPr="00B93D25">
        <w:rPr>
          <w:rStyle w:val="FootnoteReference"/>
        </w:rPr>
        <w:footnoteRef/>
      </w:r>
      <w:r w:rsidRPr="007F3A3B">
        <w:rPr>
          <w:sz w:val="18"/>
          <w:szCs w:val="18"/>
        </w:rPr>
        <w:t xml:space="preserve"> The video of the Axe commercial can be found here: </w:t>
      </w:r>
      <w:hyperlink r:id="rId19" w:history="1">
        <w:r w:rsidRPr="007F3A3B">
          <w:rPr>
            <w:rStyle w:val="Hyperlink"/>
            <w:sz w:val="18"/>
            <w:szCs w:val="18"/>
          </w:rPr>
          <w:t>https://www.youtube.com/watch?v=I9tWZB7OUSU</w:t>
        </w:r>
      </w:hyperlink>
      <w:r w:rsidRPr="007F3A3B">
        <w:rPr>
          <w:sz w:val="18"/>
          <w:szCs w:val="18"/>
        </w:rPr>
        <w:t xml:space="preserve"> . Last accessed: 01.02.15. </w:t>
      </w:r>
    </w:p>
  </w:footnote>
  <w:footnote w:id="99">
    <w:p w14:paraId="4422976E" w14:textId="77777777" w:rsidR="00D66F5C" w:rsidRPr="007F3A3B" w:rsidRDefault="00D66F5C" w:rsidP="00583B0E">
      <w:pPr>
        <w:pStyle w:val="FootnoteText"/>
        <w:rPr>
          <w:sz w:val="18"/>
          <w:szCs w:val="18"/>
        </w:rPr>
      </w:pPr>
      <w:r w:rsidRPr="00B93D25">
        <w:rPr>
          <w:rStyle w:val="FootnoteReference"/>
        </w:rPr>
        <w:footnoteRef/>
      </w:r>
      <w:r w:rsidRPr="007F3A3B">
        <w:rPr>
          <w:sz w:val="18"/>
          <w:szCs w:val="18"/>
        </w:rPr>
        <w:t xml:space="preserve"> Both companies offer digital publishers a system for content recommendations for ‘further reading’, which offer a blend of editorial content and advertising. These ventures seem to be thriving in recent years and have signed contracts with leading publishers worldwide, such as Gant and The Washington Post in the USA and The Guardian in the UK.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015502591"/>
      <w:docPartObj>
        <w:docPartGallery w:val="Page Numbers (Top of Page)"/>
        <w:docPartUnique/>
      </w:docPartObj>
    </w:sdtPr>
    <w:sdtEndPr>
      <w:rPr>
        <w:b/>
        <w:bCs/>
        <w:noProof/>
        <w:color w:val="auto"/>
        <w:spacing w:val="0"/>
      </w:rPr>
    </w:sdtEndPr>
    <w:sdtContent>
      <w:p w14:paraId="3079155C" w14:textId="77777777" w:rsidR="00D66F5C" w:rsidRDefault="00D66F5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9D7071" w:rsidRPr="009D7071">
          <w:rPr>
            <w:b/>
            <w:bCs/>
            <w:noProof/>
          </w:rPr>
          <w:t>114</w:t>
        </w:r>
        <w:r>
          <w:rPr>
            <w:b/>
            <w:bCs/>
            <w:noProof/>
          </w:rPr>
          <w:fldChar w:fldCharType="end"/>
        </w:r>
      </w:p>
    </w:sdtContent>
  </w:sdt>
  <w:p w14:paraId="30353C3F" w14:textId="77777777" w:rsidR="00D66F5C" w:rsidRDefault="00D66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13D2F"/>
    <w:multiLevelType w:val="hybridMultilevel"/>
    <w:tmpl w:val="709C9768"/>
    <w:lvl w:ilvl="0" w:tplc="0F16436C">
      <w:start w:val="1"/>
      <w:numFmt w:val="decimal"/>
      <w:lvlText w:val="%1."/>
      <w:lvlJc w:val="left"/>
      <w:pPr>
        <w:tabs>
          <w:tab w:val="num" w:pos="720"/>
        </w:tabs>
        <w:ind w:left="720" w:hanging="360"/>
      </w:pPr>
      <w:rPr>
        <w:rFonts w:hint="default"/>
        <w:b w:val="0"/>
        <w:bCs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0B72FF"/>
    <w:multiLevelType w:val="hybridMultilevel"/>
    <w:tmpl w:val="4B14A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675E5"/>
    <w:multiLevelType w:val="hybridMultilevel"/>
    <w:tmpl w:val="DF601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673E41"/>
    <w:multiLevelType w:val="hybridMultilevel"/>
    <w:tmpl w:val="D4184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742E8B"/>
    <w:multiLevelType w:val="hybridMultilevel"/>
    <w:tmpl w:val="B7328F4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7D2E101C"/>
    <w:multiLevelType w:val="hybridMultilevel"/>
    <w:tmpl w:val="FA5AD4BC"/>
    <w:lvl w:ilvl="0" w:tplc="B2969ED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35035000">
    <w:abstractNumId w:val="5"/>
  </w:num>
  <w:num w:numId="2" w16cid:durableId="130556794">
    <w:abstractNumId w:val="4"/>
  </w:num>
  <w:num w:numId="3" w16cid:durableId="1863587750">
    <w:abstractNumId w:val="0"/>
  </w:num>
  <w:num w:numId="4" w16cid:durableId="1530215943">
    <w:abstractNumId w:val="2"/>
  </w:num>
  <w:num w:numId="5" w16cid:durableId="1149440523">
    <w:abstractNumId w:val="3"/>
  </w:num>
  <w:num w:numId="6" w16cid:durableId="120043720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lint, Anat Ana - (balint)">
    <w15:presenceInfo w15:providerId="AD" w15:userId="S::balint@arizona.edu::a9a407b0-face-45f5-bdad-2163c704be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1MTQ0MTY2tDS1MLRU0lEKTi0uzszPAykwrAUAQyzj7ywAAAA="/>
    <w:docVar w:name="EN.InstantFormat" w:val="&lt;ENInstantFormat&gt;&lt;Enabled&gt;1&lt;/Enabled&gt;&lt;ScanUnformatted&gt;1&lt;/ScanUnformatted&gt;&lt;ScanChanges&gt;1&lt;/ScanChanges&gt;&lt;Suspended&gt;1&lt;/Suspended&gt;&lt;/ENInstantFormat&gt;"/>
  </w:docVars>
  <w:rsids>
    <w:rsidRoot w:val="00497B7D"/>
    <w:rsid w:val="00001A6D"/>
    <w:rsid w:val="0000461A"/>
    <w:rsid w:val="00011893"/>
    <w:rsid w:val="00012B86"/>
    <w:rsid w:val="00013413"/>
    <w:rsid w:val="000138D8"/>
    <w:rsid w:val="000207AC"/>
    <w:rsid w:val="00024395"/>
    <w:rsid w:val="00047415"/>
    <w:rsid w:val="00050DB2"/>
    <w:rsid w:val="000668DD"/>
    <w:rsid w:val="00095B73"/>
    <w:rsid w:val="000A0126"/>
    <w:rsid w:val="000A46D3"/>
    <w:rsid w:val="000A6BA8"/>
    <w:rsid w:val="000D304B"/>
    <w:rsid w:val="000E0E6A"/>
    <w:rsid w:val="000E264D"/>
    <w:rsid w:val="000E39B8"/>
    <w:rsid w:val="000F3FF3"/>
    <w:rsid w:val="00103637"/>
    <w:rsid w:val="001063C4"/>
    <w:rsid w:val="00115EBC"/>
    <w:rsid w:val="00127961"/>
    <w:rsid w:val="00153325"/>
    <w:rsid w:val="00155770"/>
    <w:rsid w:val="00181C52"/>
    <w:rsid w:val="00187AB7"/>
    <w:rsid w:val="001B1114"/>
    <w:rsid w:val="001C3CE0"/>
    <w:rsid w:val="001E6FEE"/>
    <w:rsid w:val="001F5184"/>
    <w:rsid w:val="001F761D"/>
    <w:rsid w:val="002101A4"/>
    <w:rsid w:val="0023311C"/>
    <w:rsid w:val="00236E41"/>
    <w:rsid w:val="00247C94"/>
    <w:rsid w:val="00272380"/>
    <w:rsid w:val="002725AE"/>
    <w:rsid w:val="00276B03"/>
    <w:rsid w:val="0028056A"/>
    <w:rsid w:val="002B6AF1"/>
    <w:rsid w:val="002D7475"/>
    <w:rsid w:val="002E6B8F"/>
    <w:rsid w:val="002F7188"/>
    <w:rsid w:val="0030385E"/>
    <w:rsid w:val="003310A1"/>
    <w:rsid w:val="00346CA5"/>
    <w:rsid w:val="00351D09"/>
    <w:rsid w:val="00363F1C"/>
    <w:rsid w:val="003737F8"/>
    <w:rsid w:val="00373A4D"/>
    <w:rsid w:val="003816BB"/>
    <w:rsid w:val="003D3BE3"/>
    <w:rsid w:val="003E4589"/>
    <w:rsid w:val="00425686"/>
    <w:rsid w:val="004458AD"/>
    <w:rsid w:val="004462AB"/>
    <w:rsid w:val="0045092F"/>
    <w:rsid w:val="00457149"/>
    <w:rsid w:val="004665E1"/>
    <w:rsid w:val="0046672E"/>
    <w:rsid w:val="004713D3"/>
    <w:rsid w:val="00485AB4"/>
    <w:rsid w:val="004902C2"/>
    <w:rsid w:val="004959B9"/>
    <w:rsid w:val="00497B7D"/>
    <w:rsid w:val="004D2F72"/>
    <w:rsid w:val="004D5DB6"/>
    <w:rsid w:val="004F0BDC"/>
    <w:rsid w:val="004F1DAE"/>
    <w:rsid w:val="004F3BE1"/>
    <w:rsid w:val="004F4B2F"/>
    <w:rsid w:val="00501D75"/>
    <w:rsid w:val="005037E0"/>
    <w:rsid w:val="00510B10"/>
    <w:rsid w:val="00511B07"/>
    <w:rsid w:val="00523A25"/>
    <w:rsid w:val="00524CEC"/>
    <w:rsid w:val="00525BF1"/>
    <w:rsid w:val="005305FE"/>
    <w:rsid w:val="00531412"/>
    <w:rsid w:val="0053256E"/>
    <w:rsid w:val="00543F6A"/>
    <w:rsid w:val="00553151"/>
    <w:rsid w:val="005547D8"/>
    <w:rsid w:val="00564A74"/>
    <w:rsid w:val="00564A96"/>
    <w:rsid w:val="005659B1"/>
    <w:rsid w:val="005721EC"/>
    <w:rsid w:val="005748E1"/>
    <w:rsid w:val="00583B0E"/>
    <w:rsid w:val="00590F94"/>
    <w:rsid w:val="005913C9"/>
    <w:rsid w:val="005A76E6"/>
    <w:rsid w:val="005B0E14"/>
    <w:rsid w:val="005C03B5"/>
    <w:rsid w:val="005C5012"/>
    <w:rsid w:val="005D4A63"/>
    <w:rsid w:val="005E1D6D"/>
    <w:rsid w:val="005E7F6A"/>
    <w:rsid w:val="005F2983"/>
    <w:rsid w:val="005F7726"/>
    <w:rsid w:val="00600F77"/>
    <w:rsid w:val="00610A86"/>
    <w:rsid w:val="0061206A"/>
    <w:rsid w:val="00635BEF"/>
    <w:rsid w:val="00640D7D"/>
    <w:rsid w:val="006515A1"/>
    <w:rsid w:val="006540B5"/>
    <w:rsid w:val="006556B3"/>
    <w:rsid w:val="006556B9"/>
    <w:rsid w:val="00655C81"/>
    <w:rsid w:val="0066168E"/>
    <w:rsid w:val="006639ED"/>
    <w:rsid w:val="006852EE"/>
    <w:rsid w:val="00691B2E"/>
    <w:rsid w:val="0069729C"/>
    <w:rsid w:val="006B1D57"/>
    <w:rsid w:val="006C35E5"/>
    <w:rsid w:val="006C3806"/>
    <w:rsid w:val="006C7A9B"/>
    <w:rsid w:val="006D3C0A"/>
    <w:rsid w:val="006E0445"/>
    <w:rsid w:val="006E0EE2"/>
    <w:rsid w:val="006E788A"/>
    <w:rsid w:val="006F43AF"/>
    <w:rsid w:val="006F46B8"/>
    <w:rsid w:val="00706443"/>
    <w:rsid w:val="007366A7"/>
    <w:rsid w:val="007416DE"/>
    <w:rsid w:val="007506CE"/>
    <w:rsid w:val="00770CEB"/>
    <w:rsid w:val="00772157"/>
    <w:rsid w:val="007757CC"/>
    <w:rsid w:val="00785053"/>
    <w:rsid w:val="00794299"/>
    <w:rsid w:val="00797CC4"/>
    <w:rsid w:val="007A744F"/>
    <w:rsid w:val="007C7622"/>
    <w:rsid w:val="007D7436"/>
    <w:rsid w:val="007E449E"/>
    <w:rsid w:val="007E7A21"/>
    <w:rsid w:val="007F21CA"/>
    <w:rsid w:val="00804D48"/>
    <w:rsid w:val="0080524C"/>
    <w:rsid w:val="00806AC0"/>
    <w:rsid w:val="00813D55"/>
    <w:rsid w:val="00821825"/>
    <w:rsid w:val="008236EE"/>
    <w:rsid w:val="008240A6"/>
    <w:rsid w:val="00824AA2"/>
    <w:rsid w:val="008266AF"/>
    <w:rsid w:val="0083315E"/>
    <w:rsid w:val="00844675"/>
    <w:rsid w:val="00853F59"/>
    <w:rsid w:val="00863922"/>
    <w:rsid w:val="00873494"/>
    <w:rsid w:val="0087769E"/>
    <w:rsid w:val="00880EEE"/>
    <w:rsid w:val="0088251C"/>
    <w:rsid w:val="00894842"/>
    <w:rsid w:val="008B06B6"/>
    <w:rsid w:val="008B274C"/>
    <w:rsid w:val="008B4DC3"/>
    <w:rsid w:val="008B5367"/>
    <w:rsid w:val="008B6373"/>
    <w:rsid w:val="008F1962"/>
    <w:rsid w:val="008F4EE9"/>
    <w:rsid w:val="0090099F"/>
    <w:rsid w:val="009103EF"/>
    <w:rsid w:val="00911CEC"/>
    <w:rsid w:val="00921AEE"/>
    <w:rsid w:val="00925C9E"/>
    <w:rsid w:val="009351E2"/>
    <w:rsid w:val="00945125"/>
    <w:rsid w:val="00951DE9"/>
    <w:rsid w:val="00952BCF"/>
    <w:rsid w:val="00954B6D"/>
    <w:rsid w:val="00960B03"/>
    <w:rsid w:val="00967E3D"/>
    <w:rsid w:val="00976E0C"/>
    <w:rsid w:val="009806C3"/>
    <w:rsid w:val="00994988"/>
    <w:rsid w:val="009962EC"/>
    <w:rsid w:val="009971C6"/>
    <w:rsid w:val="009B4F33"/>
    <w:rsid w:val="009D7071"/>
    <w:rsid w:val="009E0020"/>
    <w:rsid w:val="009E4FA3"/>
    <w:rsid w:val="00A05C89"/>
    <w:rsid w:val="00A177FE"/>
    <w:rsid w:val="00A2001A"/>
    <w:rsid w:val="00A464A5"/>
    <w:rsid w:val="00A52F9B"/>
    <w:rsid w:val="00A53BB2"/>
    <w:rsid w:val="00A6245A"/>
    <w:rsid w:val="00A662BA"/>
    <w:rsid w:val="00A8140F"/>
    <w:rsid w:val="00A9332E"/>
    <w:rsid w:val="00AA3723"/>
    <w:rsid w:val="00AA4DAE"/>
    <w:rsid w:val="00AD0AB7"/>
    <w:rsid w:val="00AD3FFA"/>
    <w:rsid w:val="00AE17D1"/>
    <w:rsid w:val="00AE3CF7"/>
    <w:rsid w:val="00AE5414"/>
    <w:rsid w:val="00B50816"/>
    <w:rsid w:val="00B558D6"/>
    <w:rsid w:val="00B60D1A"/>
    <w:rsid w:val="00B6170E"/>
    <w:rsid w:val="00B93D25"/>
    <w:rsid w:val="00BB0765"/>
    <w:rsid w:val="00BB0A44"/>
    <w:rsid w:val="00BB5B5A"/>
    <w:rsid w:val="00BB6B48"/>
    <w:rsid w:val="00BC1120"/>
    <w:rsid w:val="00BC472F"/>
    <w:rsid w:val="00BC76D3"/>
    <w:rsid w:val="00BD4411"/>
    <w:rsid w:val="00BE0597"/>
    <w:rsid w:val="00BF2EE2"/>
    <w:rsid w:val="00BF4CBF"/>
    <w:rsid w:val="00BF6DD3"/>
    <w:rsid w:val="00BF79D2"/>
    <w:rsid w:val="00C00957"/>
    <w:rsid w:val="00C00BC1"/>
    <w:rsid w:val="00C16741"/>
    <w:rsid w:val="00C20A1F"/>
    <w:rsid w:val="00C3593A"/>
    <w:rsid w:val="00C40446"/>
    <w:rsid w:val="00C414C0"/>
    <w:rsid w:val="00C434F1"/>
    <w:rsid w:val="00C6152C"/>
    <w:rsid w:val="00C668E9"/>
    <w:rsid w:val="00C72D39"/>
    <w:rsid w:val="00C7351B"/>
    <w:rsid w:val="00C73F52"/>
    <w:rsid w:val="00C838C1"/>
    <w:rsid w:val="00C90161"/>
    <w:rsid w:val="00CA29F5"/>
    <w:rsid w:val="00CA7170"/>
    <w:rsid w:val="00CA7EEA"/>
    <w:rsid w:val="00CC0719"/>
    <w:rsid w:val="00CC6EAC"/>
    <w:rsid w:val="00CC6F69"/>
    <w:rsid w:val="00CD1B3D"/>
    <w:rsid w:val="00CD1F95"/>
    <w:rsid w:val="00CD38FF"/>
    <w:rsid w:val="00CD7AF5"/>
    <w:rsid w:val="00CE3E70"/>
    <w:rsid w:val="00CE6DDC"/>
    <w:rsid w:val="00CE7D29"/>
    <w:rsid w:val="00D03A48"/>
    <w:rsid w:val="00D36638"/>
    <w:rsid w:val="00D44D92"/>
    <w:rsid w:val="00D51D63"/>
    <w:rsid w:val="00D5254E"/>
    <w:rsid w:val="00D65B6E"/>
    <w:rsid w:val="00D66F5C"/>
    <w:rsid w:val="00D937A5"/>
    <w:rsid w:val="00DA10BF"/>
    <w:rsid w:val="00DB1263"/>
    <w:rsid w:val="00DB5549"/>
    <w:rsid w:val="00DC12EE"/>
    <w:rsid w:val="00DC3266"/>
    <w:rsid w:val="00DC3C65"/>
    <w:rsid w:val="00DE6C9F"/>
    <w:rsid w:val="00DF3E43"/>
    <w:rsid w:val="00DF4C6B"/>
    <w:rsid w:val="00DF6968"/>
    <w:rsid w:val="00E051B2"/>
    <w:rsid w:val="00E0774E"/>
    <w:rsid w:val="00E1726E"/>
    <w:rsid w:val="00E32F41"/>
    <w:rsid w:val="00E40247"/>
    <w:rsid w:val="00E52E61"/>
    <w:rsid w:val="00E5591B"/>
    <w:rsid w:val="00E665CD"/>
    <w:rsid w:val="00E73C93"/>
    <w:rsid w:val="00E76E30"/>
    <w:rsid w:val="00E80266"/>
    <w:rsid w:val="00E9274E"/>
    <w:rsid w:val="00E92A3D"/>
    <w:rsid w:val="00E94ACA"/>
    <w:rsid w:val="00E95413"/>
    <w:rsid w:val="00EB4806"/>
    <w:rsid w:val="00EB5E12"/>
    <w:rsid w:val="00EC5D74"/>
    <w:rsid w:val="00ED478F"/>
    <w:rsid w:val="00EE434E"/>
    <w:rsid w:val="00EF0670"/>
    <w:rsid w:val="00EF4996"/>
    <w:rsid w:val="00F00752"/>
    <w:rsid w:val="00F05D50"/>
    <w:rsid w:val="00F121BD"/>
    <w:rsid w:val="00F121C8"/>
    <w:rsid w:val="00F23395"/>
    <w:rsid w:val="00F26A53"/>
    <w:rsid w:val="00F42334"/>
    <w:rsid w:val="00F47CF2"/>
    <w:rsid w:val="00F504C4"/>
    <w:rsid w:val="00F602C2"/>
    <w:rsid w:val="00F76179"/>
    <w:rsid w:val="00F9011C"/>
    <w:rsid w:val="00F90C63"/>
    <w:rsid w:val="00FB2E57"/>
    <w:rsid w:val="00FD3CC8"/>
    <w:rsid w:val="00FE6340"/>
    <w:rsid w:val="00FF50B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7AAAC"/>
  <w15:docId w15:val="{16731EF4-86D4-43BC-86D9-F5398276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7D"/>
    <w:pPr>
      <w:spacing w:after="200" w:line="276" w:lineRule="auto"/>
    </w:pPr>
    <w:rPr>
      <w:lang w:val="en-GB"/>
    </w:rPr>
  </w:style>
  <w:style w:type="paragraph" w:styleId="Heading1">
    <w:name w:val="heading 1"/>
    <w:basedOn w:val="Normal"/>
    <w:link w:val="Heading1Char"/>
    <w:uiPriority w:val="9"/>
    <w:qFormat/>
    <w:rsid w:val="00497B7D"/>
    <w:pPr>
      <w:spacing w:before="100" w:beforeAutospacing="1" w:after="100" w:afterAutospacing="1" w:line="360" w:lineRule="auto"/>
      <w:jc w:val="center"/>
      <w:outlineLvl w:val="0"/>
    </w:pPr>
    <w:rPr>
      <w:rFonts w:ascii="Times New Roman" w:eastAsia="Calibri" w:hAnsi="Times New Roman" w:cs="Times New Roman"/>
      <w:b/>
      <w:bCs/>
      <w:kern w:val="36"/>
      <w:sz w:val="44"/>
      <w:szCs w:val="44"/>
      <w:lang w:bidi="ar-SA"/>
    </w:rPr>
  </w:style>
  <w:style w:type="paragraph" w:styleId="Heading2">
    <w:name w:val="heading 2"/>
    <w:basedOn w:val="Normal"/>
    <w:next w:val="Normal"/>
    <w:link w:val="Heading2Char"/>
    <w:uiPriority w:val="9"/>
    <w:unhideWhenUsed/>
    <w:qFormat/>
    <w:rsid w:val="00497B7D"/>
    <w:pPr>
      <w:spacing w:line="360" w:lineRule="auto"/>
      <w:jc w:val="center"/>
      <w:outlineLvl w:val="1"/>
    </w:pPr>
    <w:rPr>
      <w:rFonts w:ascii="Times New Roman" w:eastAsia="Calibri" w:hAnsi="Times New Roman" w:cs="Times New Roman"/>
      <w:b/>
      <w:bCs/>
      <w:sz w:val="32"/>
      <w:szCs w:val="32"/>
      <w:lang w:bidi="ar-SA"/>
    </w:rPr>
  </w:style>
  <w:style w:type="paragraph" w:styleId="Heading3">
    <w:name w:val="heading 3"/>
    <w:basedOn w:val="Normal"/>
    <w:next w:val="Normal"/>
    <w:link w:val="Heading3Char"/>
    <w:uiPriority w:val="9"/>
    <w:unhideWhenUsed/>
    <w:qFormat/>
    <w:rsid w:val="00497B7D"/>
    <w:pPr>
      <w:spacing w:line="360" w:lineRule="auto"/>
      <w:outlineLvl w:val="2"/>
    </w:pPr>
    <w:rPr>
      <w:rFonts w:ascii="Times New Roman" w:eastAsia="Calibri" w:hAnsi="Times New Roman" w:cs="Times New Roman"/>
      <w:b/>
      <w:bCs/>
      <w:sz w:val="24"/>
      <w:szCs w:val="24"/>
    </w:rPr>
  </w:style>
  <w:style w:type="paragraph" w:styleId="Heading4">
    <w:name w:val="heading 4"/>
    <w:basedOn w:val="Normal"/>
    <w:next w:val="Normal"/>
    <w:link w:val="Heading4Char"/>
    <w:uiPriority w:val="9"/>
    <w:unhideWhenUsed/>
    <w:qFormat/>
    <w:rsid w:val="00497B7D"/>
    <w:pPr>
      <w:keepNext/>
      <w:keepLines/>
      <w:spacing w:before="40" w:after="0" w:line="360" w:lineRule="auto"/>
      <w:outlineLvl w:val="3"/>
    </w:pPr>
    <w:rPr>
      <w:rFonts w:ascii="Times New Roman" w:eastAsiaTheme="majorEastAsia" w:hAnsi="Times New Roman" w:cs="Times New Roman"/>
      <w:b/>
      <w:bCs/>
      <w:i/>
      <w:iCs/>
      <w:sz w:val="24"/>
      <w:szCs w:val="24"/>
    </w:rPr>
  </w:style>
  <w:style w:type="paragraph" w:styleId="Heading5">
    <w:name w:val="heading 5"/>
    <w:basedOn w:val="Heading3"/>
    <w:next w:val="Normal"/>
    <w:link w:val="Heading5Char"/>
    <w:uiPriority w:val="9"/>
    <w:unhideWhenUsed/>
    <w:qFormat/>
    <w:rsid w:val="00497B7D"/>
    <w:pPr>
      <w:outlineLvl w:val="4"/>
    </w:pPr>
  </w:style>
  <w:style w:type="paragraph" w:styleId="Heading6">
    <w:name w:val="heading 6"/>
    <w:basedOn w:val="Normal"/>
    <w:next w:val="Normal"/>
    <w:link w:val="Heading6Char"/>
    <w:uiPriority w:val="9"/>
    <w:unhideWhenUsed/>
    <w:qFormat/>
    <w:rsid w:val="00497B7D"/>
    <w:pPr>
      <w:spacing w:line="360" w:lineRule="auto"/>
      <w:contextualSpacing/>
      <w:outlineLvl w:val="5"/>
    </w:pPr>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B7D"/>
    <w:rPr>
      <w:rFonts w:ascii="Times New Roman" w:eastAsia="Calibri" w:hAnsi="Times New Roman" w:cs="Times New Roman"/>
      <w:b/>
      <w:bCs/>
      <w:kern w:val="36"/>
      <w:sz w:val="44"/>
      <w:szCs w:val="44"/>
      <w:lang w:val="en-GB" w:bidi="ar-SA"/>
    </w:rPr>
  </w:style>
  <w:style w:type="character" w:customStyle="1" w:styleId="Heading2Char">
    <w:name w:val="Heading 2 Char"/>
    <w:basedOn w:val="DefaultParagraphFont"/>
    <w:link w:val="Heading2"/>
    <w:uiPriority w:val="9"/>
    <w:rsid w:val="00497B7D"/>
    <w:rPr>
      <w:rFonts w:ascii="Times New Roman" w:eastAsia="Calibri" w:hAnsi="Times New Roman" w:cs="Times New Roman"/>
      <w:b/>
      <w:bCs/>
      <w:sz w:val="32"/>
      <w:szCs w:val="32"/>
      <w:lang w:val="en-GB" w:bidi="ar-SA"/>
    </w:rPr>
  </w:style>
  <w:style w:type="character" w:customStyle="1" w:styleId="Heading3Char">
    <w:name w:val="Heading 3 Char"/>
    <w:basedOn w:val="DefaultParagraphFont"/>
    <w:link w:val="Heading3"/>
    <w:uiPriority w:val="9"/>
    <w:rsid w:val="00497B7D"/>
    <w:rPr>
      <w:rFonts w:ascii="Times New Roman" w:eastAsia="Calibri" w:hAnsi="Times New Roman" w:cs="Times New Roman"/>
      <w:b/>
      <w:bCs/>
      <w:sz w:val="24"/>
      <w:szCs w:val="24"/>
      <w:lang w:val="en-GB"/>
    </w:rPr>
  </w:style>
  <w:style w:type="character" w:customStyle="1" w:styleId="Heading4Char">
    <w:name w:val="Heading 4 Char"/>
    <w:basedOn w:val="DefaultParagraphFont"/>
    <w:link w:val="Heading4"/>
    <w:uiPriority w:val="9"/>
    <w:rsid w:val="00497B7D"/>
    <w:rPr>
      <w:rFonts w:ascii="Times New Roman" w:eastAsiaTheme="majorEastAsia" w:hAnsi="Times New Roman" w:cs="Times New Roman"/>
      <w:b/>
      <w:bCs/>
      <w:i/>
      <w:iCs/>
      <w:sz w:val="24"/>
      <w:szCs w:val="24"/>
      <w:lang w:val="en-GB"/>
    </w:rPr>
  </w:style>
  <w:style w:type="character" w:customStyle="1" w:styleId="Heading5Char">
    <w:name w:val="Heading 5 Char"/>
    <w:basedOn w:val="DefaultParagraphFont"/>
    <w:link w:val="Heading5"/>
    <w:uiPriority w:val="9"/>
    <w:rsid w:val="00497B7D"/>
    <w:rPr>
      <w:rFonts w:ascii="Times New Roman" w:eastAsia="Calibri" w:hAnsi="Times New Roman" w:cs="Times New Roman"/>
      <w:b/>
      <w:bCs/>
      <w:sz w:val="24"/>
      <w:szCs w:val="24"/>
      <w:lang w:val="en-GB"/>
    </w:rPr>
  </w:style>
  <w:style w:type="character" w:customStyle="1" w:styleId="Heading6Char">
    <w:name w:val="Heading 6 Char"/>
    <w:basedOn w:val="DefaultParagraphFont"/>
    <w:link w:val="Heading6"/>
    <w:uiPriority w:val="9"/>
    <w:rsid w:val="00497B7D"/>
    <w:rPr>
      <w:rFonts w:ascii="Times New Roman" w:eastAsia="Calibri" w:hAnsi="Times New Roman" w:cs="Times New Roman"/>
      <w:sz w:val="20"/>
      <w:szCs w:val="20"/>
      <w:lang w:val="en-GB"/>
    </w:rPr>
  </w:style>
  <w:style w:type="character" w:customStyle="1" w:styleId="apple-converted-space">
    <w:name w:val="apple-converted-space"/>
    <w:basedOn w:val="DefaultParagraphFont"/>
    <w:rsid w:val="00497B7D"/>
  </w:style>
  <w:style w:type="character" w:customStyle="1" w:styleId="nytir-strong">
    <w:name w:val="nytir-strong"/>
    <w:basedOn w:val="DefaultParagraphFont"/>
    <w:rsid w:val="00497B7D"/>
  </w:style>
  <w:style w:type="character" w:customStyle="1" w:styleId="nytir-page">
    <w:name w:val="nytir-page"/>
    <w:basedOn w:val="DefaultParagraphFont"/>
    <w:rsid w:val="00497B7D"/>
  </w:style>
  <w:style w:type="character" w:styleId="Hyperlink">
    <w:name w:val="Hyperlink"/>
    <w:basedOn w:val="DefaultParagraphFont"/>
    <w:uiPriority w:val="99"/>
    <w:unhideWhenUsed/>
    <w:rsid w:val="00497B7D"/>
    <w:rPr>
      <w:color w:val="0563C1" w:themeColor="hyperlink"/>
      <w:u w:val="single"/>
    </w:rPr>
  </w:style>
  <w:style w:type="paragraph" w:styleId="ListParagraph">
    <w:name w:val="List Paragraph"/>
    <w:basedOn w:val="Normal"/>
    <w:uiPriority w:val="34"/>
    <w:qFormat/>
    <w:rsid w:val="00497B7D"/>
    <w:pPr>
      <w:spacing w:line="360" w:lineRule="auto"/>
      <w:ind w:left="720"/>
      <w:contextualSpacing/>
    </w:pPr>
    <w:rPr>
      <w:rFonts w:ascii="Times New Roman" w:hAnsi="Times New Roman" w:cs="Times New Roman"/>
      <w:sz w:val="24"/>
      <w:szCs w:val="24"/>
    </w:rPr>
  </w:style>
  <w:style w:type="character" w:styleId="CommentReference">
    <w:name w:val="annotation reference"/>
    <w:basedOn w:val="DefaultParagraphFont"/>
    <w:uiPriority w:val="99"/>
    <w:unhideWhenUsed/>
    <w:rsid w:val="00497B7D"/>
    <w:rPr>
      <w:sz w:val="16"/>
      <w:szCs w:val="16"/>
    </w:rPr>
  </w:style>
  <w:style w:type="paragraph" w:styleId="CommentText">
    <w:name w:val="annotation text"/>
    <w:basedOn w:val="Normal"/>
    <w:link w:val="CommentTextChar"/>
    <w:uiPriority w:val="99"/>
    <w:unhideWhenUsed/>
    <w:rsid w:val="00497B7D"/>
    <w:pPr>
      <w:spacing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497B7D"/>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97B7D"/>
    <w:rPr>
      <w:b/>
      <w:bCs/>
    </w:rPr>
  </w:style>
  <w:style w:type="character" w:customStyle="1" w:styleId="CommentSubjectChar">
    <w:name w:val="Comment Subject Char"/>
    <w:basedOn w:val="CommentTextChar"/>
    <w:link w:val="CommentSubject"/>
    <w:uiPriority w:val="99"/>
    <w:semiHidden/>
    <w:rsid w:val="00497B7D"/>
    <w:rPr>
      <w:rFonts w:ascii="Times New Roman" w:hAnsi="Times New Roman" w:cs="Times New Roman"/>
      <w:b/>
      <w:bCs/>
      <w:sz w:val="20"/>
      <w:szCs w:val="20"/>
      <w:lang w:val="en-GB"/>
    </w:rPr>
  </w:style>
  <w:style w:type="paragraph" w:styleId="BalloonText">
    <w:name w:val="Balloon Text"/>
    <w:basedOn w:val="Normal"/>
    <w:link w:val="BalloonTextChar"/>
    <w:uiPriority w:val="99"/>
    <w:unhideWhenUsed/>
    <w:rsid w:val="00497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97B7D"/>
    <w:rPr>
      <w:rFonts w:ascii="Tahoma" w:hAnsi="Tahoma" w:cs="Tahoma"/>
      <w:sz w:val="16"/>
      <w:szCs w:val="16"/>
      <w:lang w:val="en-GB"/>
    </w:rPr>
  </w:style>
  <w:style w:type="paragraph" w:customStyle="1" w:styleId="EndNoteBibliographyTitle">
    <w:name w:val="EndNote Bibliography Title"/>
    <w:basedOn w:val="Normal"/>
    <w:link w:val="EndNoteBibliographyTitleChar"/>
    <w:rsid w:val="00497B7D"/>
    <w:pPr>
      <w:spacing w:after="0" w:line="360" w:lineRule="auto"/>
      <w:jc w:val="center"/>
    </w:pPr>
    <w:rPr>
      <w:rFonts w:ascii="Calibri" w:hAnsi="Calibri" w:cs="Times New Roman"/>
      <w:noProof/>
      <w:szCs w:val="24"/>
    </w:rPr>
  </w:style>
  <w:style w:type="character" w:customStyle="1" w:styleId="EndNoteBibliographyTitleChar">
    <w:name w:val="EndNote Bibliography Title Char"/>
    <w:basedOn w:val="DefaultParagraphFont"/>
    <w:link w:val="EndNoteBibliographyTitle"/>
    <w:rsid w:val="00497B7D"/>
    <w:rPr>
      <w:rFonts w:ascii="Calibri" w:hAnsi="Calibri" w:cs="Times New Roman"/>
      <w:noProof/>
      <w:szCs w:val="24"/>
      <w:lang w:val="en-GB"/>
    </w:rPr>
  </w:style>
  <w:style w:type="paragraph" w:customStyle="1" w:styleId="EndNoteBibliography">
    <w:name w:val="EndNote Bibliography"/>
    <w:basedOn w:val="Normal"/>
    <w:link w:val="EndNoteBibliographyChar"/>
    <w:rsid w:val="00497B7D"/>
    <w:pPr>
      <w:spacing w:line="240" w:lineRule="auto"/>
    </w:pPr>
    <w:rPr>
      <w:rFonts w:ascii="Calibri" w:hAnsi="Calibri" w:cs="Times New Roman"/>
      <w:noProof/>
      <w:szCs w:val="24"/>
    </w:rPr>
  </w:style>
  <w:style w:type="character" w:customStyle="1" w:styleId="EndNoteBibliographyChar">
    <w:name w:val="EndNote Bibliography Char"/>
    <w:basedOn w:val="DefaultParagraphFont"/>
    <w:link w:val="EndNoteBibliography"/>
    <w:rsid w:val="00497B7D"/>
    <w:rPr>
      <w:rFonts w:ascii="Calibri" w:hAnsi="Calibri" w:cs="Times New Roman"/>
      <w:noProof/>
      <w:szCs w:val="24"/>
      <w:lang w:val="en-GB"/>
    </w:rPr>
  </w:style>
  <w:style w:type="paragraph" w:styleId="FootnoteText">
    <w:name w:val="footnote text"/>
    <w:basedOn w:val="Normal"/>
    <w:link w:val="FootnoteTextChar"/>
    <w:uiPriority w:val="99"/>
    <w:unhideWhenUsed/>
    <w:rsid w:val="00497B7D"/>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497B7D"/>
    <w:rPr>
      <w:rFonts w:ascii="Times New Roman" w:hAnsi="Times New Roman" w:cs="Times New Roman"/>
      <w:sz w:val="20"/>
      <w:szCs w:val="20"/>
      <w:lang w:val="en-GB"/>
    </w:rPr>
  </w:style>
  <w:style w:type="character" w:styleId="FootnoteReference">
    <w:name w:val="footnote reference"/>
    <w:basedOn w:val="DefaultParagraphFont"/>
    <w:semiHidden/>
    <w:unhideWhenUsed/>
    <w:rsid w:val="00497B7D"/>
    <w:rPr>
      <w:vertAlign w:val="superscript"/>
    </w:rPr>
  </w:style>
  <w:style w:type="paragraph" w:customStyle="1" w:styleId="Default">
    <w:name w:val="Default"/>
    <w:rsid w:val="00497B7D"/>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497B7D"/>
    <w:rPr>
      <w:b/>
      <w:bCs/>
    </w:rPr>
  </w:style>
  <w:style w:type="character" w:styleId="FollowedHyperlink">
    <w:name w:val="FollowedHyperlink"/>
    <w:basedOn w:val="DefaultParagraphFont"/>
    <w:uiPriority w:val="99"/>
    <w:semiHidden/>
    <w:unhideWhenUsed/>
    <w:rsid w:val="00497B7D"/>
    <w:rPr>
      <w:color w:val="954F72" w:themeColor="followedHyperlink"/>
      <w:u w:val="single"/>
    </w:rPr>
  </w:style>
  <w:style w:type="paragraph" w:styleId="Header">
    <w:name w:val="header"/>
    <w:basedOn w:val="Normal"/>
    <w:link w:val="HeaderChar"/>
    <w:uiPriority w:val="99"/>
    <w:unhideWhenUsed/>
    <w:rsid w:val="00497B7D"/>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497B7D"/>
    <w:rPr>
      <w:rFonts w:ascii="Times New Roman" w:hAnsi="Times New Roman" w:cs="Times New Roman"/>
      <w:sz w:val="24"/>
      <w:szCs w:val="24"/>
      <w:lang w:val="en-GB"/>
    </w:rPr>
  </w:style>
  <w:style w:type="paragraph" w:styleId="Footer">
    <w:name w:val="footer"/>
    <w:basedOn w:val="Normal"/>
    <w:link w:val="FooterChar"/>
    <w:uiPriority w:val="99"/>
    <w:unhideWhenUsed/>
    <w:rsid w:val="00497B7D"/>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497B7D"/>
    <w:rPr>
      <w:rFonts w:ascii="Times New Roman" w:hAnsi="Times New Roman" w:cs="Times New Roman"/>
      <w:sz w:val="24"/>
      <w:szCs w:val="24"/>
      <w:lang w:val="en-GB"/>
    </w:rPr>
  </w:style>
  <w:style w:type="paragraph" w:styleId="NoSpacing">
    <w:name w:val="No Spacing"/>
    <w:basedOn w:val="Normal"/>
    <w:uiPriority w:val="1"/>
    <w:qFormat/>
    <w:rsid w:val="00497B7D"/>
    <w:pPr>
      <w:spacing w:before="75" w:after="75" w:line="225" w:lineRule="atLeast"/>
      <w:ind w:right="1304"/>
      <w:jc w:val="both"/>
    </w:pPr>
    <w:rPr>
      <w:rFonts w:ascii="Times New Roman" w:eastAsia="Times New Roman" w:hAnsi="Times New Roman" w:cs="Times New Roman"/>
      <w:i/>
      <w:iCs/>
      <w:color w:val="333333"/>
      <w:sz w:val="24"/>
      <w:szCs w:val="24"/>
    </w:rPr>
  </w:style>
  <w:style w:type="paragraph" w:styleId="Quote">
    <w:name w:val="Quote"/>
    <w:basedOn w:val="Normal"/>
    <w:next w:val="Normal"/>
    <w:link w:val="QuoteChar"/>
    <w:uiPriority w:val="29"/>
    <w:qFormat/>
    <w:rsid w:val="00497B7D"/>
    <w:pPr>
      <w:spacing w:line="360" w:lineRule="auto"/>
      <w:ind w:left="1310" w:right="1310"/>
      <w:jc w:val="both"/>
    </w:pPr>
    <w:rPr>
      <w:rFonts w:ascii="Times New Roman" w:hAnsi="Times New Roman" w:cs="Times New Roman"/>
      <w:sz w:val="24"/>
      <w:szCs w:val="24"/>
      <w:shd w:val="clear" w:color="auto" w:fill="FFFFFF"/>
    </w:rPr>
  </w:style>
  <w:style w:type="character" w:customStyle="1" w:styleId="QuoteChar">
    <w:name w:val="Quote Char"/>
    <w:basedOn w:val="DefaultParagraphFont"/>
    <w:link w:val="Quote"/>
    <w:uiPriority w:val="29"/>
    <w:rsid w:val="00497B7D"/>
    <w:rPr>
      <w:rFonts w:ascii="Times New Roman" w:hAnsi="Times New Roman" w:cs="Times New Roman"/>
      <w:sz w:val="24"/>
      <w:szCs w:val="24"/>
      <w:lang w:val="en-GB"/>
    </w:rPr>
  </w:style>
  <w:style w:type="numbering" w:customStyle="1" w:styleId="NoList1">
    <w:name w:val="No List1"/>
    <w:next w:val="NoList"/>
    <w:uiPriority w:val="99"/>
    <w:semiHidden/>
    <w:unhideWhenUsed/>
    <w:rsid w:val="00497B7D"/>
  </w:style>
  <w:style w:type="numbering" w:customStyle="1" w:styleId="NoList2">
    <w:name w:val="No List2"/>
    <w:next w:val="NoList"/>
    <w:uiPriority w:val="99"/>
    <w:semiHidden/>
    <w:unhideWhenUsed/>
    <w:rsid w:val="00497B7D"/>
  </w:style>
  <w:style w:type="paragraph" w:styleId="NormalWeb">
    <w:name w:val="Normal (Web)"/>
    <w:basedOn w:val="Normal"/>
    <w:uiPriority w:val="99"/>
    <w:unhideWhenUsed/>
    <w:rsid w:val="00497B7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3">
    <w:name w:val="No List3"/>
    <w:next w:val="NoList"/>
    <w:uiPriority w:val="99"/>
    <w:semiHidden/>
    <w:unhideWhenUsed/>
    <w:rsid w:val="00497B7D"/>
  </w:style>
  <w:style w:type="numbering" w:customStyle="1" w:styleId="NoList4">
    <w:name w:val="No List4"/>
    <w:next w:val="NoList"/>
    <w:uiPriority w:val="99"/>
    <w:semiHidden/>
    <w:unhideWhenUsed/>
    <w:rsid w:val="00497B7D"/>
  </w:style>
  <w:style w:type="numbering" w:customStyle="1" w:styleId="NoList5">
    <w:name w:val="No List5"/>
    <w:next w:val="NoList"/>
    <w:uiPriority w:val="99"/>
    <w:semiHidden/>
    <w:unhideWhenUsed/>
    <w:rsid w:val="00497B7D"/>
  </w:style>
  <w:style w:type="paragraph" w:styleId="EndnoteText">
    <w:name w:val="endnote text"/>
    <w:basedOn w:val="Normal"/>
    <w:link w:val="EndnoteTextChar"/>
    <w:uiPriority w:val="99"/>
    <w:semiHidden/>
    <w:unhideWhenUsed/>
    <w:rsid w:val="00497B7D"/>
    <w:pPr>
      <w:bidi/>
      <w:spacing w:after="0" w:line="240" w:lineRule="auto"/>
      <w:contextualSpacing/>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497B7D"/>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sid w:val="00497B7D"/>
    <w:rPr>
      <w:vertAlign w:val="superscript"/>
    </w:rPr>
  </w:style>
  <w:style w:type="numbering" w:customStyle="1" w:styleId="NoList6">
    <w:name w:val="No List6"/>
    <w:next w:val="NoList"/>
    <w:uiPriority w:val="99"/>
    <w:semiHidden/>
    <w:unhideWhenUsed/>
    <w:rsid w:val="00497B7D"/>
  </w:style>
  <w:style w:type="numbering" w:customStyle="1" w:styleId="NoList7">
    <w:name w:val="No List7"/>
    <w:next w:val="NoList"/>
    <w:uiPriority w:val="99"/>
    <w:semiHidden/>
    <w:unhideWhenUsed/>
    <w:rsid w:val="00497B7D"/>
  </w:style>
  <w:style w:type="paragraph" w:styleId="Revision">
    <w:name w:val="Revision"/>
    <w:hidden/>
    <w:uiPriority w:val="99"/>
    <w:semiHidden/>
    <w:rsid w:val="00497B7D"/>
    <w:pPr>
      <w:spacing w:after="0" w:line="240" w:lineRule="auto"/>
    </w:pPr>
    <w:rPr>
      <w:rFonts w:ascii="Times New Roman" w:hAnsi="Times New Roman" w:cs="Times New Roman"/>
      <w:sz w:val="24"/>
      <w:szCs w:val="24"/>
      <w:lang w:bidi="ar-SA"/>
    </w:rPr>
  </w:style>
  <w:style w:type="character" w:customStyle="1" w:styleId="il">
    <w:name w:val="il"/>
    <w:basedOn w:val="DefaultParagraphFont"/>
    <w:rsid w:val="00497B7D"/>
  </w:style>
  <w:style w:type="numbering" w:customStyle="1" w:styleId="NoList8">
    <w:name w:val="No List8"/>
    <w:next w:val="NoList"/>
    <w:uiPriority w:val="99"/>
    <w:semiHidden/>
    <w:unhideWhenUsed/>
    <w:rsid w:val="00497B7D"/>
  </w:style>
  <w:style w:type="paragraph" w:styleId="TOCHeading">
    <w:name w:val="TOC Heading"/>
    <w:basedOn w:val="Heading1"/>
    <w:next w:val="Normal"/>
    <w:uiPriority w:val="39"/>
    <w:unhideWhenUsed/>
    <w:qFormat/>
    <w:rsid w:val="00497B7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D5254E"/>
    <w:pPr>
      <w:tabs>
        <w:tab w:val="right" w:leader="dot" w:pos="9350"/>
      </w:tabs>
      <w:spacing w:after="100"/>
    </w:pPr>
  </w:style>
  <w:style w:type="paragraph" w:styleId="TOC2">
    <w:name w:val="toc 2"/>
    <w:basedOn w:val="Normal"/>
    <w:next w:val="Normal"/>
    <w:autoRedefine/>
    <w:uiPriority w:val="39"/>
    <w:unhideWhenUsed/>
    <w:rsid w:val="00497B7D"/>
    <w:pPr>
      <w:spacing w:after="100"/>
      <w:ind w:left="220"/>
    </w:pPr>
  </w:style>
  <w:style w:type="paragraph" w:styleId="TOC3">
    <w:name w:val="toc 3"/>
    <w:basedOn w:val="Normal"/>
    <w:next w:val="Normal"/>
    <w:autoRedefine/>
    <w:uiPriority w:val="39"/>
    <w:unhideWhenUsed/>
    <w:rsid w:val="00497B7D"/>
    <w:pPr>
      <w:spacing w:after="100"/>
      <w:ind w:left="440"/>
    </w:pPr>
  </w:style>
  <w:style w:type="paragraph" w:styleId="TOC4">
    <w:name w:val="toc 4"/>
    <w:basedOn w:val="Normal"/>
    <w:next w:val="Normal"/>
    <w:autoRedefine/>
    <w:uiPriority w:val="39"/>
    <w:unhideWhenUsed/>
    <w:rsid w:val="00497B7D"/>
    <w:pPr>
      <w:spacing w:after="100" w:line="259" w:lineRule="auto"/>
      <w:ind w:left="660"/>
    </w:pPr>
    <w:rPr>
      <w:rFonts w:eastAsiaTheme="minorEastAsia"/>
    </w:rPr>
  </w:style>
  <w:style w:type="paragraph" w:styleId="TOC5">
    <w:name w:val="toc 5"/>
    <w:basedOn w:val="Normal"/>
    <w:next w:val="Normal"/>
    <w:autoRedefine/>
    <w:uiPriority w:val="39"/>
    <w:unhideWhenUsed/>
    <w:rsid w:val="00497B7D"/>
    <w:pPr>
      <w:spacing w:after="100" w:line="259" w:lineRule="auto"/>
      <w:ind w:left="880"/>
    </w:pPr>
    <w:rPr>
      <w:rFonts w:eastAsiaTheme="minorEastAsia"/>
    </w:rPr>
  </w:style>
  <w:style w:type="paragraph" w:styleId="TOC6">
    <w:name w:val="toc 6"/>
    <w:basedOn w:val="Normal"/>
    <w:next w:val="Normal"/>
    <w:autoRedefine/>
    <w:uiPriority w:val="39"/>
    <w:unhideWhenUsed/>
    <w:rsid w:val="00497B7D"/>
    <w:pPr>
      <w:spacing w:after="100" w:line="259" w:lineRule="auto"/>
      <w:ind w:left="1100"/>
    </w:pPr>
    <w:rPr>
      <w:rFonts w:eastAsiaTheme="minorEastAsia"/>
    </w:rPr>
  </w:style>
  <w:style w:type="paragraph" w:styleId="TOC7">
    <w:name w:val="toc 7"/>
    <w:basedOn w:val="Normal"/>
    <w:next w:val="Normal"/>
    <w:autoRedefine/>
    <w:uiPriority w:val="39"/>
    <w:unhideWhenUsed/>
    <w:rsid w:val="00497B7D"/>
    <w:pPr>
      <w:spacing w:after="100" w:line="259" w:lineRule="auto"/>
      <w:ind w:left="1320"/>
    </w:pPr>
    <w:rPr>
      <w:rFonts w:eastAsiaTheme="minorEastAsia"/>
    </w:rPr>
  </w:style>
  <w:style w:type="paragraph" w:styleId="TOC8">
    <w:name w:val="toc 8"/>
    <w:basedOn w:val="Normal"/>
    <w:next w:val="Normal"/>
    <w:autoRedefine/>
    <w:uiPriority w:val="39"/>
    <w:unhideWhenUsed/>
    <w:rsid w:val="00497B7D"/>
    <w:pPr>
      <w:spacing w:after="100" w:line="259" w:lineRule="auto"/>
      <w:ind w:left="1540"/>
    </w:pPr>
    <w:rPr>
      <w:rFonts w:eastAsiaTheme="minorEastAsia"/>
    </w:rPr>
  </w:style>
  <w:style w:type="paragraph" w:styleId="TOC9">
    <w:name w:val="toc 9"/>
    <w:basedOn w:val="Normal"/>
    <w:next w:val="Normal"/>
    <w:autoRedefine/>
    <w:uiPriority w:val="39"/>
    <w:unhideWhenUsed/>
    <w:rsid w:val="00497B7D"/>
    <w:pPr>
      <w:spacing w:after="100" w:line="259" w:lineRule="auto"/>
      <w:ind w:left="1760"/>
    </w:pPr>
    <w:rPr>
      <w:rFonts w:eastAsiaTheme="minorEastAsia"/>
    </w:rPr>
  </w:style>
  <w:style w:type="paragraph" w:styleId="TableofFigures">
    <w:name w:val="table of figures"/>
    <w:basedOn w:val="Normal"/>
    <w:next w:val="Normal"/>
    <w:uiPriority w:val="99"/>
    <w:unhideWhenUsed/>
    <w:rsid w:val="00497B7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hyperlink" Target="http://www.reshset.tv" TargetMode="External"/><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emf"/><Relationship Id="rId58" Type="http://schemas.openxmlformats.org/officeDocument/2006/relationships/hyperlink" Target="https://www.ftc.gov/system/files/documents/public_statements/896923/151222deceptiveenforcement.pdf?utm_source=govdelivery"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4.png"/><Relationship Id="rId8" Type="http://schemas.openxmlformats.org/officeDocument/2006/relationships/comments" Target="comment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2.emf"/><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5.jpeg"/><Relationship Id="rId10" Type="http://schemas.microsoft.com/office/2016/09/relationships/commentsIds" Target="commentsId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emf"/><Relationship Id="rId60"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www.ofcom.org.uk/tv/ifi/codes/bcode/sponsorship/" TargetMode="External"/><Relationship Id="rId13" Type="http://schemas.openxmlformats.org/officeDocument/2006/relationships/hyperlink" Target="http://www.channel4.com/" TargetMode="External"/><Relationship Id="rId18" Type="http://schemas.openxmlformats.org/officeDocument/2006/relationships/hyperlink" Target="http://www.channel4.com/life/advertorial/dove/" TargetMode="External"/><Relationship Id="rId3" Type="http://schemas.openxmlformats.org/officeDocument/2006/relationships/hyperlink" Target="https://www.youtube.com/watch?v=E_F5GxCwizc" TargetMode="External"/><Relationship Id="rId7" Type="http://schemas.openxmlformats.org/officeDocument/2006/relationships/hyperlink" Target="http://www.bankisrael.gov.il/abeng/1-4eng.htm" TargetMode="External"/><Relationship Id="rId12" Type="http://schemas.openxmlformats.org/officeDocument/2006/relationships/hyperlink" Target="http://www.103.fm/programs/Media.aspx?ZrqvnVq=FIMMFD&amp;c41t4nzVQ=LE" TargetMode="External"/><Relationship Id="rId17" Type="http://schemas.openxmlformats.org/officeDocument/2006/relationships/hyperlink" Target="http://www.ynet.co.il/home/0,7340,L-9087,00.html" TargetMode="External"/><Relationship Id="rId2" Type="http://schemas.openxmlformats.org/officeDocument/2006/relationships/hyperlink" Target="http://paidpost.nytimes.com/netflix/women-inmates-separate-but-not-equal.html?_r=0" TargetMode="External"/><Relationship Id="rId16" Type="http://schemas.openxmlformats.org/officeDocument/2006/relationships/hyperlink" Target="http://www.ynet.co.il/home/0,7340,L-9743,00.html" TargetMode="External"/><Relationship Id="rId1" Type="http://schemas.openxmlformats.org/officeDocument/2006/relationships/hyperlink" Target="http://www.sharethrough.com/nativeadvertising/" TargetMode="External"/><Relationship Id="rId6" Type="http://schemas.openxmlformats.org/officeDocument/2006/relationships/hyperlink" Target="http://www.channel4.com/corporate/4producers/commissioning/features.html" TargetMode="External"/><Relationship Id="rId11" Type="http://schemas.openxmlformats.org/officeDocument/2006/relationships/hyperlink" Target="http://www.103.fm/" TargetMode="External"/><Relationship Id="rId5" Type="http://schemas.openxmlformats.org/officeDocument/2006/relationships/hyperlink" Target="http://www.unilever.co.uk/brands/personalcarebrands/dove.aspx" TargetMode="External"/><Relationship Id="rId15" Type="http://schemas.openxmlformats.org/officeDocument/2006/relationships/hyperlink" Target="http://www.channel4.com/life/advertorial/dove/" TargetMode="External"/><Relationship Id="rId10" Type="http://schemas.openxmlformats.org/officeDocument/2006/relationships/hyperlink" Target="http://www.ynetnews.com/" TargetMode="External"/><Relationship Id="rId19" Type="http://schemas.openxmlformats.org/officeDocument/2006/relationships/hyperlink" Target="https://www.youtube.com/watch?v=I9tWZB7OUSU" TargetMode="External"/><Relationship Id="rId4" Type="http://schemas.openxmlformats.org/officeDocument/2006/relationships/hyperlink" Target="http://www.unilever.com/brands/" TargetMode="External"/><Relationship Id="rId9" Type="http://schemas.openxmlformats.org/officeDocument/2006/relationships/hyperlink" Target="http://www.channel4.com/life/advertorial/dove/" TargetMode="External"/><Relationship Id="rId14" Type="http://schemas.openxmlformats.org/officeDocument/2006/relationships/hyperlink" Target="http://www.channel4.com/life/advertorial/do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1DB768-9C7F-413E-A86F-035E1BBE3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52372</Words>
  <Characters>279671</Characters>
  <Application>Microsoft Office Word</Application>
  <DocSecurity>0</DocSecurity>
  <Lines>4740</Lines>
  <Paragraphs>1234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Daniella Blau</dc:creator>
  <cp:lastModifiedBy>Susan Doron</cp:lastModifiedBy>
  <cp:revision>2</cp:revision>
  <cp:lastPrinted>2016-06-05T09:33:00Z</cp:lastPrinted>
  <dcterms:created xsi:type="dcterms:W3CDTF">2025-03-04T05:52:00Z</dcterms:created>
  <dcterms:modified xsi:type="dcterms:W3CDTF">2025-03-04T05:52:00Z</dcterms:modified>
</cp:coreProperties>
</file>