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C4B1" w14:textId="2D53BDD8" w:rsidR="00E038E7" w:rsidRPr="00C3342E" w:rsidRDefault="00000000" w:rsidP="0019097A">
      <w:pPr>
        <w:bidi w:val="0"/>
        <w:spacing w:line="276" w:lineRule="auto"/>
        <w:jc w:val="center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>MOLAD</w:t>
      </w:r>
      <w:r w:rsidR="004C1333"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>—</w:t>
      </w: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THE CENTER FOR THE RENEWAL OF DEMOCRACY </w:t>
      </w:r>
    </w:p>
    <w:p w14:paraId="198E9890" w14:textId="00A6CB6F" w:rsidR="00E038E7" w:rsidRPr="00C3342E" w:rsidRDefault="00000000" w:rsidP="00E038E7">
      <w:pPr>
        <w:bidi w:val="0"/>
        <w:spacing w:line="276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Brief </w:t>
      </w:r>
      <w:r w:rsidR="00014AFA">
        <w:rPr>
          <w:rFonts w:asciiTheme="minorBidi" w:hAnsiTheme="minorBidi"/>
          <w:b/>
          <w:bCs/>
          <w:color w:val="000000" w:themeColor="text1"/>
          <w:sz w:val="20"/>
          <w:szCs w:val="20"/>
        </w:rPr>
        <w:t>D</w:t>
      </w: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>escription of Organization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:   </w:t>
      </w:r>
    </w:p>
    <w:p w14:paraId="0E7F9320" w14:textId="11BABB39" w:rsidR="00F52062" w:rsidRPr="00C3342E" w:rsidRDefault="00000000" w:rsidP="00F52062">
      <w:p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is a liberal think tank founded in 2012 by Avner Inbar and Assaf Sharon</w:t>
      </w:r>
      <w:r w:rsidR="00014AFA">
        <w:rPr>
          <w:rFonts w:asciiTheme="minorBidi" w:hAnsiTheme="minorBidi"/>
          <w:color w:val="000000" w:themeColor="text1"/>
          <w:sz w:val="20"/>
          <w:szCs w:val="20"/>
        </w:rPr>
        <w:t xml:space="preserve">,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academics who were active in the Sheikh Jarrah Solidarity organization</w:t>
      </w:r>
      <w:r w:rsidR="00014AFA">
        <w:rPr>
          <w:rFonts w:asciiTheme="minorBidi" w:hAnsiTheme="minorBidi"/>
          <w:color w:val="000000" w:themeColor="text1"/>
          <w:sz w:val="20"/>
          <w:szCs w:val="20"/>
        </w:rPr>
        <w:t xml:space="preserve">.  </w:t>
      </w:r>
      <w:r w:rsidR="00014AFA" w:rsidRPr="00014AFA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014AFA" w:rsidRPr="00CB26A7">
        <w:rPr>
          <w:rFonts w:asciiTheme="minorBidi" w:hAnsiTheme="minorBidi"/>
          <w:color w:val="000000" w:themeColor="text1"/>
          <w:sz w:val="20"/>
          <w:szCs w:val="20"/>
        </w:rPr>
        <w:t>Sheikh Jarrah Solidarity organization</w:t>
      </w:r>
      <w:r w:rsidR="00014AFA" w:rsidRPr="00014AFA" w:rsidDel="00014AFA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aimed to combat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 expulsion of Sheikh Jarrah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residents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and was a grantee of the foundation. The main goal of 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is defined as developing ideas and a political narrative for the democratic movement in Israel</w:t>
      </w:r>
      <w:r w:rsidR="00014AFA">
        <w:rPr>
          <w:rFonts w:asciiTheme="minorBidi" w:hAnsiTheme="minorBidi"/>
          <w:color w:val="000000" w:themeColor="text1"/>
          <w:sz w:val="20"/>
          <w:szCs w:val="20"/>
        </w:rPr>
        <w:t xml:space="preserve">. </w:t>
      </w:r>
      <w:r w:rsidR="00014AFA" w:rsidRPr="00CB26A7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="00014AFA">
        <w:rPr>
          <w:rFonts w:asciiTheme="minorBidi" w:hAnsiTheme="minorBidi"/>
          <w:color w:val="000000" w:themeColor="text1"/>
          <w:sz w:val="20"/>
          <w:szCs w:val="20"/>
        </w:rPr>
        <w:t xml:space="preserve"> focuses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on specific issues such as the Israeli-Palestinian conflict, promoting full equality for Palestinian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Israelis within Israel, and developing a Hebrew identity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with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in the state education system. </w:t>
      </w:r>
    </w:p>
    <w:p w14:paraId="4F3BD8B0" w14:textId="1EE7D55B" w:rsidR="005516B6" w:rsidRPr="00C3342E" w:rsidRDefault="00000000" w:rsidP="00F52062">
      <w:p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>In 2014, when NIF developed the</w:t>
      </w:r>
      <w:commentRangeStart w:id="0"/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E53A9E">
        <w:rPr>
          <w:rFonts w:asciiTheme="minorBidi" w:hAnsiTheme="minorBidi"/>
          <w:color w:val="000000" w:themeColor="text1"/>
          <w:sz w:val="20"/>
          <w:szCs w:val="20"/>
        </w:rPr>
        <w:t>i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nfrastructures for the </w:t>
      </w:r>
      <w:r w:rsidR="00E53A9E">
        <w:rPr>
          <w:rFonts w:asciiTheme="minorBidi" w:hAnsiTheme="minorBidi"/>
          <w:color w:val="000000" w:themeColor="text1"/>
          <w:sz w:val="20"/>
          <w:szCs w:val="20"/>
        </w:rPr>
        <w:t>p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ro-</w:t>
      </w:r>
      <w:r w:rsidR="00E53A9E">
        <w:rPr>
          <w:rFonts w:asciiTheme="minorBidi" w:hAnsiTheme="minorBidi"/>
          <w:color w:val="000000" w:themeColor="text1"/>
          <w:sz w:val="20"/>
          <w:szCs w:val="20"/>
        </w:rPr>
        <w:t>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emocratic movement</w:t>
      </w:r>
      <w:commentRangeEnd w:id="0"/>
      <w:r w:rsidR="00E53A9E">
        <w:rPr>
          <w:rStyle w:val="CommentReference"/>
        </w:rPr>
        <w:commentReference w:id="0"/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(then called NIFD), 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was a key partner in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establishing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the concept of the field and its strategies and was also a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crucial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NIF grantee in this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respect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. However, the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collaboration between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 NIF team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and </w:t>
      </w:r>
      <w:r w:rsidR="004C1333"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’s leadership did not run smoothly. As a result, </w:t>
      </w:r>
      <w:r w:rsidR="004C1333"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 xml:space="preserve">Molad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decided not to apply to renew its grant in 2017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due to disagreements regarding the nature of the relationship between NIF and the organization. It should be noted that the termination of the relationship between NIF and 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occurred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in a way that left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a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negative impression on NIF staff members and management.  </w:t>
      </w:r>
    </w:p>
    <w:p w14:paraId="45F4BC44" w14:textId="3697F398" w:rsidR="005516B6" w:rsidRPr="00C3342E" w:rsidRDefault="00000000" w:rsidP="00334ACB">
      <w:p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In the years since 2017, the NIF team has been in contact with the CEO of </w:t>
      </w:r>
      <w:r w:rsidR="004C1333"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on an intermittent basis, and meetings have occasionally been held for mutual updates. </w:t>
      </w:r>
    </w:p>
    <w:p w14:paraId="58E75EDC" w14:textId="7B60151C" w:rsidR="005516B6" w:rsidRPr="00C3342E" w:rsidRDefault="004C1333" w:rsidP="00B31012">
      <w:pPr>
        <w:bidi w:val="0"/>
        <w:spacing w:line="276" w:lineRule="auto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>N</w:t>
      </w:r>
      <w:r w:rsidR="00000000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ew staff members have joined </w:t>
      </w:r>
      <w:r w:rsidR="00000000"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a</w:t>
      </w:r>
      <w:r w:rsidR="00000000"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in recent years</w:t>
      </w:r>
      <w:r w:rsidR="00000000" w:rsidRPr="002B4592">
        <w:rPr>
          <w:rFonts w:asciiTheme="minorBidi" w:hAnsiTheme="minorBidi"/>
          <w:color w:val="000000" w:themeColor="text1"/>
          <w:sz w:val="20"/>
          <w:szCs w:val="20"/>
        </w:rPr>
        <w:t>, and as part of an organizational process that took place in 2024, a new organizational structure was decided upon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. This</w:t>
      </w:r>
      <w:r w:rsidR="00000000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014AFA">
        <w:rPr>
          <w:rFonts w:asciiTheme="minorBidi" w:hAnsiTheme="minorBidi"/>
          <w:color w:val="000000" w:themeColor="text1"/>
          <w:sz w:val="20"/>
          <w:szCs w:val="20"/>
        </w:rPr>
        <w:t xml:space="preserve">new structure </w:t>
      </w:r>
      <w:r w:rsidR="00000000" w:rsidRPr="002B4592">
        <w:rPr>
          <w:rFonts w:asciiTheme="minorBidi" w:hAnsiTheme="minorBidi"/>
          <w:color w:val="000000" w:themeColor="text1"/>
          <w:sz w:val="20"/>
          <w:szCs w:val="20"/>
        </w:rPr>
        <w:t>includes a management model of three staff members who share leadership of the research area, the public activity area, and the organization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’</w:t>
      </w:r>
      <w:r w:rsidR="00000000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s headquarters. At the same time, Avner Inbar still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functions</w:t>
      </w:r>
      <w:r w:rsidR="00000000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as head of the institute. </w:t>
      </w:r>
    </w:p>
    <w:p w14:paraId="3F2EF5D0" w14:textId="67EBC88C" w:rsidR="001655B3" w:rsidRPr="00C3342E" w:rsidRDefault="00000000" w:rsidP="00B31012">
      <w:pPr>
        <w:bidi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rtl/>
        </w:rPr>
      </w:pPr>
      <w:r w:rsidRPr="002B459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Molad</w:t>
      </w:r>
      <w:r w:rsidR="004C1333" w:rsidRPr="002B459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’</w:t>
      </w:r>
      <w:r w:rsidRPr="002B459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main project is a fellowship program that includes 18 participants</w:t>
      </w:r>
      <w:r w:rsidR="00014AF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comprised of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young Israeli academics studying at universities in Israel and abroad. The goal of the program is to provide young Israeli academics with a supportive community and mutual enrichment </w:t>
      </w:r>
      <w:proofErr w:type="gramStart"/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 order to</w:t>
      </w:r>
      <w:proofErr w:type="gramEnd"/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encourage them to translate their expertise into a significant contribution to the public debate. Fellows receive a scholarship and financial support for research and teaching projects.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Over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past three years, the group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’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 members have published hundreds of articles, given lectures across the country, and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launched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projects, including a podcast and a series of seminars intended for the Israeli public. It is important to note that</w:t>
      </w:r>
      <w:r w:rsidR="00E53A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over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past year, some of the fellows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who studied at universities abroad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have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returned to Israel and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stated that the support and security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from the group w</w:t>
      </w:r>
      <w:r w:rsidR="00C3342E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ere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important consideration</w:t>
      </w:r>
      <w:r w:rsidR="00C3342E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their decision to return.  </w:t>
      </w:r>
    </w:p>
    <w:p w14:paraId="079908E1" w14:textId="3169261E" w:rsidR="00D71979" w:rsidRPr="00C3342E" w:rsidRDefault="00000000" w:rsidP="00B31012">
      <w:pPr>
        <w:bidi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rtl/>
        </w:rPr>
      </w:pP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About three weeks after October 7</w:t>
      </w:r>
      <w:r w:rsidR="001A496F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2B459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Molad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launched the project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“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Collapse of Concepts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—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Road to the October 23 Failure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”—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comprehensive, fact-based study that responded to the Netanyahu government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’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 attempts to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evade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responsibility for the October 7</w:t>
      </w:r>
      <w:r w:rsidR="001A496F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failure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—in collaboration with the </w:t>
      </w:r>
      <w:proofErr w:type="spellStart"/>
      <w:r w:rsidR="004C1333" w:rsidRPr="002B459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Berl</w:t>
      </w:r>
      <w:proofErr w:type="spellEnd"/>
      <w:r w:rsidR="004C1333" w:rsidRPr="002B459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Katznelson Foundation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, another grantee of the foundation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. As early as December 2023, the project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’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s 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Hebrew 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website had recorded over 75,000 visits. </w:t>
      </w:r>
      <w:commentRangeStart w:id="1"/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The study was </w:t>
      </w:r>
      <w:r w:rsid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printed 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as a booklet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,</w:t>
      </w:r>
      <w:r w:rsid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with 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thousands of copies </w:t>
      </w:r>
      <w:r w:rsid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being </w:t>
      </w:r>
      <w:r w:rsidR="001A496F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distributed 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during demonstrations as part of the </w:t>
      </w:r>
      <w:proofErr w:type="gramStart"/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protest against</w:t>
      </w:r>
      <w:proofErr w:type="gramEnd"/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the Mamluk. </w:t>
      </w:r>
      <w:commentRangeEnd w:id="1"/>
      <w:r w:rsidR="001A496F">
        <w:rPr>
          <w:rStyle w:val="CommentReference"/>
        </w:rPr>
        <w:commentReference w:id="1"/>
      </w:r>
      <w:proofErr w:type="gramStart"/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Following the publication of the study, there</w:t>
      </w:r>
      <w:proofErr w:type="gramEnd"/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was a significant increase in public use of terms such as 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“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conflict management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”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and 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“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strengthening Hamas.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”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More than a year after the study was published, the defense establishment</w:t>
      </w:r>
      <w:r w:rsidR="004C1333"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’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s investigations into October 7</w:t>
      </w:r>
      <w:r w:rsidR="001A496F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  <w:lang w:val="en"/>
        </w:rPr>
        <w:t>th</w:t>
      </w:r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have reached conclusions </w:t>
      </w:r>
      <w:proofErr w:type="gramStart"/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similar to</w:t>
      </w:r>
      <w:proofErr w:type="gramEnd"/>
      <w:r w:rsidRPr="001A496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those presented in the study.</w:t>
      </w:r>
    </w:p>
    <w:p w14:paraId="14F64AD3" w14:textId="29E808FE" w:rsidR="00B609F6" w:rsidRPr="00C3342E" w:rsidRDefault="00000000" w:rsidP="00B31012">
      <w:pPr>
        <w:bidi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rtl/>
        </w:rPr>
      </w:pP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Since the beginning of the </w:t>
      </w:r>
      <w:proofErr w:type="gramStart"/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protest against</w:t>
      </w:r>
      <w:proofErr w:type="gramEnd"/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current government, </w:t>
      </w:r>
      <w:r w:rsidRPr="002B4592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Molad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has been involved in assisting the protest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various ways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</w:t>
      </w:r>
    </w:p>
    <w:p w14:paraId="47A14523" w14:textId="3FFB6362" w:rsidR="005B14A4" w:rsidRPr="00C3342E" w:rsidRDefault="00000000" w:rsidP="00B609F6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rtl/>
        </w:rPr>
      </w:pP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Writing position papers and policy documents (for example, the document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“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Liberal Outline for the Israeli Judicial System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the document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“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Red Lines</w:t>
      </w:r>
      <w:r w:rsidR="00E53A9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published 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 the start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of talks between opposition leaders and the government, under the auspices of the President, with the aim of reaching a compromise regarding the structure of the judicial system). </w:t>
      </w:r>
    </w:p>
    <w:p w14:paraId="10E62A4E" w14:textId="77777777" w:rsidR="00B609F6" w:rsidRPr="00C3342E" w:rsidRDefault="00000000" w:rsidP="00B609F6">
      <w:pPr>
        <w:pStyle w:val="ListParagraph"/>
        <w:numPr>
          <w:ilvl w:val="0"/>
          <w:numId w:val="5"/>
        </w:numPr>
        <w:bidi w:val="0"/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research fellows participated in more than 60 lectures and events related to the protest and appeared in the media about 100 times.</w:t>
      </w:r>
    </w:p>
    <w:p w14:paraId="68F1BCF6" w14:textId="77777777" w:rsidR="0068047E" w:rsidRPr="00C3342E" w:rsidRDefault="0068047E" w:rsidP="0068047E">
      <w:pPr>
        <w:pStyle w:val="ListParagraph"/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rtl/>
        </w:rPr>
      </w:pPr>
    </w:p>
    <w:p w14:paraId="1CEB2646" w14:textId="2C7C5E39" w:rsidR="0068047E" w:rsidRPr="00C3342E" w:rsidRDefault="00E53A9E" w:rsidP="0068047E">
      <w:p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color w:val="000000" w:themeColor="text1"/>
          <w:sz w:val="20"/>
          <w:szCs w:val="20"/>
        </w:rPr>
        <w:t>Over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 past year, 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has been running a message distribution project in which message </w:t>
      </w:r>
      <w:r w:rsidR="00400531">
        <w:rPr>
          <w:rFonts w:asciiTheme="minorBidi" w:hAnsiTheme="minorBidi"/>
          <w:color w:val="000000" w:themeColor="text1"/>
          <w:sz w:val="20"/>
          <w:szCs w:val="20"/>
        </w:rPr>
        <w:t>sheet</w:t>
      </w:r>
      <w:r w:rsidR="00400531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s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based on the narrative of the democratic camp and related to current events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are distributed on a weekly basis (to politicians, media figures, leaders in </w:t>
      </w:r>
      <w:proofErr w:type="gramStart"/>
      <w:r w:rsidRPr="002B4592">
        <w:rPr>
          <w:rFonts w:asciiTheme="minorBidi" w:hAnsiTheme="minorBidi"/>
          <w:color w:val="000000" w:themeColor="text1"/>
          <w:sz w:val="20"/>
          <w:szCs w:val="20"/>
        </w:rPr>
        <w:t>protests against</w:t>
      </w:r>
      <w:proofErr w:type="gramEnd"/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 government, </w:t>
      </w:r>
      <w:r w:rsidR="001A496F">
        <w:rPr>
          <w:rFonts w:asciiTheme="minorBidi" w:hAnsiTheme="minorBidi"/>
          <w:color w:val="000000" w:themeColor="text1"/>
          <w:sz w:val="20"/>
          <w:szCs w:val="20"/>
        </w:rPr>
        <w:t xml:space="preserve">and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influencers). </w:t>
      </w:r>
    </w:p>
    <w:p w14:paraId="04281D68" w14:textId="77777777" w:rsidR="00637087" w:rsidRPr="00C3342E" w:rsidRDefault="00637087" w:rsidP="0068047E">
      <w:pPr>
        <w:bidi w:val="0"/>
        <w:spacing w:line="276" w:lineRule="auto"/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11FCC752" w14:textId="77777777" w:rsidR="005C7CD9" w:rsidRPr="00C3342E" w:rsidRDefault="008304D1" w:rsidP="008304D1">
      <w:p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 DA Support (in 2024): </w:t>
      </w:r>
      <w:r w:rsidR="00C95A7B" w:rsidRPr="002B4592">
        <w:rPr>
          <w:rFonts w:asciiTheme="minorBidi" w:hAnsiTheme="minorBidi"/>
          <w:color w:val="000000" w:themeColor="text1"/>
          <w:sz w:val="20"/>
          <w:szCs w:val="20"/>
        </w:rPr>
        <w:t>$10,000</w:t>
      </w:r>
    </w:p>
    <w:p w14:paraId="29775288" w14:textId="77777777" w:rsidR="004F400B" w:rsidRPr="00C3342E" w:rsidRDefault="00000000" w:rsidP="00D25CCC">
      <w:p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Rapid Response Support (in 2024/25): </w:t>
      </w:r>
      <w:r w:rsidR="00D9619F" w:rsidRPr="002B4592">
        <w:rPr>
          <w:rFonts w:asciiTheme="minorBidi" w:hAnsiTheme="minorBidi"/>
          <w:color w:val="000000" w:themeColor="text1"/>
          <w:sz w:val="20"/>
          <w:szCs w:val="20"/>
        </w:rPr>
        <w:t>None</w:t>
      </w:r>
    </w:p>
    <w:p w14:paraId="61A5F8A8" w14:textId="77777777" w:rsidR="00840EF5" w:rsidRPr="00C3342E" w:rsidRDefault="00000000" w:rsidP="00F52062">
      <w:p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Link to Organizational Website: </w:t>
      </w:r>
      <w:r w:rsidR="00F52062" w:rsidRPr="002B4592">
        <w:rPr>
          <w:rFonts w:asciiTheme="minorBidi" w:hAnsiTheme="minorBidi"/>
          <w:color w:val="000000" w:themeColor="text1"/>
          <w:sz w:val="20"/>
          <w:szCs w:val="20"/>
        </w:rPr>
        <w:t>https://www.molad.org/about/molad/</w:t>
      </w:r>
    </w:p>
    <w:p w14:paraId="37412949" w14:textId="77777777" w:rsidR="00E038E7" w:rsidRPr="00C3342E" w:rsidRDefault="00000000" w:rsidP="00E038E7">
      <w:pPr>
        <w:bidi w:val="0"/>
        <w:spacing w:line="276" w:lineRule="auto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Link to Proposal: </w:t>
      </w:r>
      <w:r w:rsidR="00D9619F" w:rsidRPr="002B4592">
        <w:rPr>
          <w:rFonts w:asciiTheme="minorBidi" w:hAnsiTheme="minorBidi"/>
          <w:color w:val="000000" w:themeColor="text1"/>
          <w:sz w:val="20"/>
          <w:szCs w:val="20"/>
        </w:rPr>
        <w:t>https://nif.my.site.com/Portal/a0NSb000004l3RZ?srPos=3&amp;srKp=a0N</w:t>
      </w:r>
    </w:p>
    <w:p w14:paraId="59D9B0B5" w14:textId="77777777" w:rsidR="001A304D" w:rsidRPr="00C3342E" w:rsidRDefault="001A304D" w:rsidP="00AB1B90">
      <w:pPr>
        <w:bidi w:val="0"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</w:p>
    <w:p w14:paraId="0F5CEBC5" w14:textId="77777777" w:rsidR="001A304D" w:rsidRPr="00C3342E" w:rsidRDefault="00000000" w:rsidP="001A304D">
      <w:pPr>
        <w:bidi w:val="0"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u w:val="single"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  <w:u w:val="single"/>
        </w:rPr>
        <w:t>Expected Progress</w:t>
      </w:r>
    </w:p>
    <w:p w14:paraId="7ACD9A23" w14:textId="77777777" w:rsidR="00B412D7" w:rsidRPr="00C3342E" w:rsidRDefault="00000000" w:rsidP="00B412D7">
      <w:pPr>
        <w:bidi w:val="0"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Overall Expected (1-2 Years) Impact: </w:t>
      </w:r>
    </w:p>
    <w:p w14:paraId="3C9F2C0C" w14:textId="334E6976" w:rsidR="006F2E72" w:rsidRPr="00C3342E" w:rsidRDefault="00000000" w:rsidP="00855384">
      <w:pPr>
        <w:bidi w:val="0"/>
        <w:spacing w:line="276" w:lineRule="auto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>The expected impact over the next two years is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strengthening </w:t>
      </w:r>
      <w:r w:rsidR="00E53A9E">
        <w:rPr>
          <w:rFonts w:asciiTheme="minorBidi" w:hAnsiTheme="minorBidi"/>
          <w:color w:val="000000" w:themeColor="text1"/>
          <w:sz w:val="20"/>
          <w:szCs w:val="20"/>
        </w:rPr>
        <w:t>of the democratic movement’s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political narrative in Israel through the publication of books and research and the dissemination of messages that translate the narrative into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tangible,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topical issues for political leaders and influencers.</w:t>
      </w:r>
    </w:p>
    <w:p w14:paraId="4169A173" w14:textId="77777777" w:rsidR="00B412D7" w:rsidRPr="00C3342E" w:rsidRDefault="00000000" w:rsidP="00B412D7">
      <w:pPr>
        <w:tabs>
          <w:tab w:val="left" w:pos="166"/>
        </w:tabs>
        <w:bidi w:val="0"/>
        <w:spacing w:line="276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>Expected Strategic Activities (and Outputs):</w:t>
      </w:r>
    </w:p>
    <w:p w14:paraId="0C63917F" w14:textId="5E9DFE95" w:rsidR="001655B3" w:rsidRPr="00C3342E" w:rsidRDefault="00000000" w:rsidP="006060E6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Publication of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three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books by colleagues in the research group: </w:t>
      </w:r>
      <w:r w:rsidR="005056CD">
        <w:rPr>
          <w:rFonts w:asciiTheme="minorBidi" w:hAnsiTheme="minorBidi"/>
          <w:color w:val="000000" w:themeColor="text1"/>
          <w:sz w:val="20"/>
          <w:szCs w:val="20"/>
        </w:rPr>
        <w:t xml:space="preserve">1.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a book on the political context of the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integration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of Ethiopian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Jew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Israel; </w:t>
      </w:r>
      <w:r w:rsidR="005056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2.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book that offers a philosophical interpretation of the idea of ​​the Jewish state</w:t>
      </w:r>
      <w:r w:rsidR="004C1333"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;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5056C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3. </w:t>
      </w:r>
      <w:r w:rsidRPr="002B459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 book that deals with the connection between nationalism and liberalism.</w:t>
      </w:r>
    </w:p>
    <w:p w14:paraId="62D16B02" w14:textId="6E3C7623" w:rsidR="00C860CA" w:rsidRPr="00C3342E" w:rsidRDefault="004C1333" w:rsidP="00C860CA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A </w:t>
      </w:r>
      <w:r w:rsidR="00000000" w:rsidRPr="002B4592">
        <w:rPr>
          <w:rFonts w:asciiTheme="minorBidi" w:hAnsiTheme="minorBidi"/>
          <w:color w:val="000000" w:themeColor="text1"/>
          <w:sz w:val="20"/>
          <w:szCs w:val="20"/>
        </w:rPr>
        <w:t>series of videos about the Oslo Accords and the disengagement are planned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in collaboration with Moshe Redman</w:t>
      </w:r>
      <w:r w:rsidR="00E53A9E">
        <w:rPr>
          <w:rFonts w:asciiTheme="minorBidi" w:hAnsiTheme="minorBidi"/>
          <w:color w:val="000000" w:themeColor="text1"/>
          <w:sz w:val="20"/>
          <w:szCs w:val="20"/>
        </w:rPr>
        <w:t>’s digital platforms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(one of the leaders of the </w:t>
      </w:r>
      <w:proofErr w:type="gramStart"/>
      <w:r w:rsidRPr="002B4592">
        <w:rPr>
          <w:rFonts w:asciiTheme="minorBidi" w:hAnsiTheme="minorBidi"/>
          <w:color w:val="000000" w:themeColor="text1"/>
          <w:sz w:val="20"/>
          <w:szCs w:val="20"/>
        </w:rPr>
        <w:t>protest against</w:t>
      </w:r>
      <w:proofErr w:type="gramEnd"/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 government)</w:t>
      </w:r>
      <w:r w:rsidR="00000000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. </w:t>
      </w:r>
    </w:p>
    <w:p w14:paraId="17031C92" w14:textId="5BD693C2" w:rsidR="000269C4" w:rsidRPr="00C3342E" w:rsidRDefault="00000000" w:rsidP="00C860CA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As part of 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’s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m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essages project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,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continued distribution of message </w:t>
      </w:r>
      <w:r w:rsidR="00E53A9E">
        <w:rPr>
          <w:rFonts w:asciiTheme="minorBidi" w:hAnsiTheme="minorBidi"/>
          <w:color w:val="000000" w:themeColor="text1"/>
          <w:sz w:val="20"/>
          <w:szCs w:val="20"/>
        </w:rPr>
        <w:t>sheets</w:t>
      </w:r>
      <w:r w:rsidR="00E53A9E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on a weekly basis. </w:t>
      </w:r>
    </w:p>
    <w:p w14:paraId="6D6BD5A4" w14:textId="77777777" w:rsidR="00BD61FF" w:rsidRPr="00C3342E" w:rsidRDefault="00BD61FF" w:rsidP="000269C4">
      <w:pPr>
        <w:pStyle w:val="ListParagraph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</w:p>
    <w:p w14:paraId="5CEFF527" w14:textId="77777777" w:rsidR="00B412D7" w:rsidRPr="00C3342E" w:rsidRDefault="00000000" w:rsidP="00B412D7">
      <w:pPr>
        <w:bidi w:val="0"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Expected Measurable Outcomes:  </w:t>
      </w:r>
    </w:p>
    <w:p w14:paraId="7C9CCDAE" w14:textId="51EF5616" w:rsidR="00345E85" w:rsidRPr="00C3342E" w:rsidRDefault="00000000" w:rsidP="0085597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Introducing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concepts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into public discourse that the organization formulates as part of building the narrative for the democratic camp</w:t>
      </w:r>
    </w:p>
    <w:p w14:paraId="268B775C" w14:textId="09DC126E" w:rsidR="0068047E" w:rsidRPr="00C3342E" w:rsidRDefault="00000000" w:rsidP="0085597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Deepening the existing relationship with politicians and influencers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within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 pro-democracy movement and creating working relationships with other politicians and influencers</w:t>
      </w:r>
    </w:p>
    <w:p w14:paraId="4F6ED485" w14:textId="6F1C0B7A" w:rsidR="0068047E" w:rsidRPr="00C3342E" w:rsidRDefault="00000000" w:rsidP="00855975">
      <w:pPr>
        <w:pStyle w:val="ListParagraph"/>
        <w:numPr>
          <w:ilvl w:val="0"/>
          <w:numId w:val="1"/>
        </w:numPr>
        <w:bidi w:val="0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Expanding cooperation with organizations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within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 pro-democracy movement</w:t>
      </w:r>
    </w:p>
    <w:p w14:paraId="69DBD2D2" w14:textId="77777777" w:rsidR="0068047E" w:rsidRPr="00C3342E" w:rsidRDefault="0068047E" w:rsidP="0068047E">
      <w:pPr>
        <w:pStyle w:val="ListParagraph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</w:p>
    <w:p w14:paraId="3133C0B2" w14:textId="77777777" w:rsidR="001A304D" w:rsidRPr="00C3342E" w:rsidRDefault="001A304D" w:rsidP="00661054">
      <w:pPr>
        <w:pStyle w:val="ListParagraph"/>
        <w:spacing w:line="276" w:lineRule="auto"/>
        <w:rPr>
          <w:rFonts w:asciiTheme="minorBidi" w:hAnsiTheme="minorBidi"/>
          <w:color w:val="000000" w:themeColor="text1"/>
          <w:sz w:val="20"/>
          <w:szCs w:val="20"/>
        </w:rPr>
      </w:pPr>
    </w:p>
    <w:p w14:paraId="2974308D" w14:textId="77777777" w:rsidR="00AB1B90" w:rsidRPr="00C3342E" w:rsidRDefault="00000000" w:rsidP="001A304D">
      <w:pPr>
        <w:bidi w:val="0"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lastRenderedPageBreak/>
        <w:t xml:space="preserve">2024 Organizational Income: </w:t>
      </w:r>
      <w:r w:rsidR="00603B3F" w:rsidRPr="002B4592">
        <w:rPr>
          <w:rFonts w:asciiTheme="minorBidi" w:hAnsiTheme="minorBidi"/>
          <w:color w:val="000000" w:themeColor="text1"/>
          <w:sz w:val="20"/>
          <w:szCs w:val="20"/>
        </w:rPr>
        <w:t>$708,000</w:t>
      </w:r>
    </w:p>
    <w:p w14:paraId="69775A6D" w14:textId="77777777" w:rsidR="00AB1B90" w:rsidRPr="00C3342E" w:rsidRDefault="00000000" w:rsidP="00AB1B90">
      <w:pPr>
        <w:bidi w:val="0"/>
        <w:spacing w:line="276" w:lineRule="auto"/>
        <w:jc w:val="both"/>
        <w:rPr>
          <w:rFonts w:asciiTheme="minorBidi" w:hAnsiTheme="minorBidi"/>
          <w:bCs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b/>
          <w:color w:val="000000" w:themeColor="text1"/>
          <w:sz w:val="20"/>
          <w:szCs w:val="20"/>
        </w:rPr>
        <w:t>2025 Expected Organizational Budget</w:t>
      </w:r>
      <w:r w:rsidRPr="002B4592">
        <w:rPr>
          <w:rFonts w:cs="Arial"/>
          <w:b/>
          <w:color w:val="000000" w:themeColor="text1"/>
          <w:sz w:val="20"/>
          <w:szCs w:val="20"/>
        </w:rPr>
        <w:t xml:space="preserve">: </w:t>
      </w:r>
      <w:r w:rsidR="00C212C7" w:rsidRPr="002B4592">
        <w:rPr>
          <w:rFonts w:asciiTheme="minorBidi" w:hAnsiTheme="minorBidi"/>
          <w:bCs/>
          <w:color w:val="000000" w:themeColor="text1"/>
          <w:sz w:val="20"/>
          <w:szCs w:val="20"/>
        </w:rPr>
        <w:t>$876,000</w:t>
      </w:r>
    </w:p>
    <w:p w14:paraId="22D4F332" w14:textId="77777777" w:rsidR="00AB1B90" w:rsidRPr="00C3342E" w:rsidRDefault="00000000" w:rsidP="00AB1B90">
      <w:pPr>
        <w:bidi w:val="0"/>
        <w:jc w:val="both"/>
        <w:rPr>
          <w:rFonts w:asciiTheme="minorBidi" w:hAnsiTheme="minorBidi"/>
          <w:bCs/>
          <w:color w:val="000000" w:themeColor="text1"/>
          <w:sz w:val="20"/>
          <w:szCs w:val="20"/>
          <w:rtl/>
        </w:rPr>
      </w:pPr>
      <w:proofErr w:type="gramStart"/>
      <w:r w:rsidRPr="002B4592">
        <w:rPr>
          <w:rFonts w:asciiTheme="minorBidi" w:hAnsiTheme="minorBidi"/>
          <w:bCs/>
          <w:color w:val="000000" w:themeColor="text1"/>
          <w:sz w:val="20"/>
          <w:szCs w:val="20"/>
        </w:rPr>
        <w:t>2025</w:t>
      </w:r>
      <w:r w:rsidRPr="002B4592">
        <w:rPr>
          <w:rFonts w:asciiTheme="minorBidi" w:hAnsiTheme="minorBidi"/>
          <w:b/>
          <w:color w:val="000000" w:themeColor="text1"/>
          <w:sz w:val="20"/>
          <w:szCs w:val="20"/>
        </w:rPr>
        <w:t xml:space="preserve">  Staff</w:t>
      </w:r>
      <w:proofErr w:type="gramEnd"/>
      <w:r w:rsidRPr="002B4592">
        <w:rPr>
          <w:rFonts w:asciiTheme="minorBidi" w:hAnsiTheme="minorBidi"/>
          <w:b/>
          <w:color w:val="000000" w:themeColor="text1"/>
          <w:sz w:val="20"/>
          <w:szCs w:val="20"/>
        </w:rPr>
        <w:t xml:space="preserve"> Recommendation: </w:t>
      </w:r>
      <w:r w:rsidR="00AB645B" w:rsidRPr="002B4592">
        <w:rPr>
          <w:rFonts w:asciiTheme="minorBidi" w:hAnsiTheme="minorBidi"/>
          <w:bCs/>
          <w:color w:val="000000" w:themeColor="text1"/>
          <w:sz w:val="20"/>
          <w:szCs w:val="20"/>
        </w:rPr>
        <w:t>$70,000</w:t>
      </w:r>
    </w:p>
    <w:p w14:paraId="5E8298B5" w14:textId="77777777" w:rsidR="00377153" w:rsidRPr="00C3342E" w:rsidRDefault="00377153" w:rsidP="00377153">
      <w:pPr>
        <w:bidi w:val="0"/>
        <w:jc w:val="right"/>
        <w:rPr>
          <w:rFonts w:cs="Arial"/>
          <w:b/>
          <w:color w:val="000000" w:themeColor="text1"/>
          <w:sz w:val="20"/>
          <w:szCs w:val="20"/>
        </w:rPr>
      </w:pPr>
    </w:p>
    <w:p w14:paraId="532945E6" w14:textId="77777777" w:rsidR="00E06D00" w:rsidRPr="00C3342E" w:rsidRDefault="00000000" w:rsidP="00E06D00">
      <w:pPr>
        <w:bidi w:val="0"/>
        <w:jc w:val="both"/>
        <w:rPr>
          <w:rFonts w:cs="Arial"/>
          <w:b/>
          <w:color w:val="000000" w:themeColor="text1"/>
          <w:sz w:val="20"/>
          <w:szCs w:val="20"/>
          <w:rtl/>
          <w:lang w:bidi="ar-SA"/>
        </w:rPr>
      </w:pPr>
      <w:r w:rsidRPr="002B4592">
        <w:rPr>
          <w:rFonts w:cs="Arial"/>
          <w:b/>
          <w:color w:val="000000" w:themeColor="text1"/>
          <w:sz w:val="20"/>
          <w:szCs w:val="20"/>
        </w:rPr>
        <w:t>% of NIF Grant out of Total Project Budget</w:t>
      </w:r>
      <w:r w:rsidRPr="002B4592">
        <w:rPr>
          <w:rFonts w:cs="Arial"/>
          <w:bCs/>
          <w:color w:val="000000" w:themeColor="text1"/>
          <w:sz w:val="20"/>
          <w:szCs w:val="20"/>
        </w:rPr>
        <w:t xml:space="preserve">: </w:t>
      </w:r>
      <w:r w:rsidR="0038119C" w:rsidRPr="002B4592">
        <w:rPr>
          <w:rFonts w:cs="Arial"/>
          <w:b/>
          <w:color w:val="000000" w:themeColor="text1"/>
          <w:sz w:val="20"/>
          <w:szCs w:val="20"/>
        </w:rPr>
        <w:t>8%</w:t>
      </w:r>
    </w:p>
    <w:p w14:paraId="716B62D7" w14:textId="77777777" w:rsidR="00E06D00" w:rsidRPr="00C3342E" w:rsidRDefault="00E06D00" w:rsidP="00E06D00">
      <w:pPr>
        <w:bidi w:val="0"/>
        <w:jc w:val="both"/>
        <w:rPr>
          <w:rFonts w:cs="Arial"/>
          <w:b/>
          <w:color w:val="000000" w:themeColor="text1"/>
          <w:sz w:val="20"/>
          <w:szCs w:val="20"/>
          <w:lang w:bidi="ar-SA"/>
        </w:rPr>
      </w:pPr>
    </w:p>
    <w:p w14:paraId="3FBBCD96" w14:textId="21F13E89" w:rsidR="001A304D" w:rsidRPr="00C3342E" w:rsidRDefault="00000000" w:rsidP="001A304D">
      <w:pPr>
        <w:bidi w:val="0"/>
        <w:jc w:val="both"/>
        <w:rPr>
          <w:rFonts w:asciiTheme="minorBidi" w:hAnsiTheme="minorBidi"/>
          <w:color w:val="000000" w:themeColor="text1"/>
          <w:sz w:val="20"/>
          <w:szCs w:val="20"/>
        </w:rPr>
      </w:pPr>
      <w:r w:rsidRPr="002B4592">
        <w:rPr>
          <w:rFonts w:asciiTheme="minorBidi" w:hAnsiTheme="minorBidi"/>
          <w:b/>
          <w:bCs/>
          <w:color w:val="000000" w:themeColor="text1"/>
          <w:sz w:val="20"/>
          <w:szCs w:val="20"/>
        </w:rPr>
        <w:t xml:space="preserve">Staff Analysis of Risk vs. Opportunity: </w:t>
      </w:r>
      <w:r w:rsidR="00372A2A" w:rsidRPr="002B4592">
        <w:rPr>
          <w:rFonts w:asciiTheme="minorBidi" w:hAnsiTheme="minorBidi"/>
          <w:color w:val="000000" w:themeColor="text1"/>
          <w:sz w:val="20"/>
          <w:szCs w:val="20"/>
        </w:rPr>
        <w:t>Medium Risk, High Opportunity</w:t>
      </w:r>
    </w:p>
    <w:p w14:paraId="22CADA85" w14:textId="6DB87687" w:rsidR="0038119C" w:rsidRPr="00C3342E" w:rsidRDefault="00000000" w:rsidP="00B31012">
      <w:pPr>
        <w:bidi w:val="0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is a professional think tank that has proven its ability to create a political narrative for the pro-democracy movement and translate it into position papers and message </w:t>
      </w:r>
      <w:r w:rsidR="00400531">
        <w:rPr>
          <w:rFonts w:asciiTheme="minorBidi" w:hAnsiTheme="minorBidi"/>
          <w:color w:val="000000" w:themeColor="text1"/>
          <w:sz w:val="20"/>
          <w:szCs w:val="20"/>
        </w:rPr>
        <w:t>sheets</w:t>
      </w:r>
      <w:r w:rsidR="00400531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that respond to current developments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 xml:space="preserve">on the ground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in Israel. 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collaborates with a variety of organizations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within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the pro-democracy movement. At the same time, 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="004C1333"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’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s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history with the foundation include</w:t>
      </w:r>
      <w:r w:rsidR="00400531">
        <w:rPr>
          <w:rFonts w:asciiTheme="minorBidi" w:hAnsiTheme="minorBidi"/>
          <w:color w:val="000000" w:themeColor="text1"/>
          <w:sz w:val="20"/>
          <w:szCs w:val="20"/>
        </w:rPr>
        <w:t>s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problematic conduct by the people who founded and led the institute, one of whom, Avner Inbar, still plays a central role as the institute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’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s head. Following </w:t>
      </w:r>
      <w:r w:rsidR="004C1333" w:rsidRPr="002B4592">
        <w:rPr>
          <w:rFonts w:asciiTheme="minorBidi" w:hAnsiTheme="minorBidi"/>
          <w:color w:val="000000" w:themeColor="text1"/>
          <w:sz w:val="20"/>
          <w:szCs w:val="20"/>
        </w:rPr>
        <w:t>a restructuring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process</w:t>
      </w:r>
      <w:r w:rsidR="005056CD">
        <w:rPr>
          <w:rFonts w:asciiTheme="minorBidi" w:hAnsiTheme="minorBidi"/>
          <w:color w:val="000000" w:themeColor="text1"/>
          <w:sz w:val="20"/>
          <w:szCs w:val="20"/>
        </w:rPr>
        <w:t>, it is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="005056CD">
        <w:rPr>
          <w:rFonts w:asciiTheme="minorBidi" w:hAnsiTheme="minorBidi"/>
          <w:color w:val="000000" w:themeColor="text1"/>
          <w:sz w:val="20"/>
          <w:szCs w:val="20"/>
        </w:rPr>
        <w:t>currently</w:t>
      </w:r>
      <w:r w:rsidR="005056CD" w:rsidRPr="005056CD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led by three young staff members</w:t>
      </w:r>
      <w:r w:rsidR="00E53A9E">
        <w:rPr>
          <w:rFonts w:asciiTheme="minorBidi" w:hAnsiTheme="minorBidi"/>
          <w:color w:val="000000" w:themeColor="text1"/>
          <w:sz w:val="20"/>
          <w:szCs w:val="20"/>
        </w:rPr>
        <w:t xml:space="preserve"> 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>who were not at the institute during the period when there was problematic conduct with NIF</w:t>
      </w:r>
      <w:r w:rsidR="00E53A9E">
        <w:rPr>
          <w:rFonts w:asciiTheme="minorBidi" w:hAnsiTheme="minorBidi"/>
          <w:color w:val="000000" w:themeColor="text1"/>
          <w:sz w:val="20"/>
          <w:szCs w:val="20"/>
        </w:rPr>
        <w:t xml:space="preserve"> and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with whom the NIF team has had a positive experience. Based on this, it can be assumed that a new partnership with </w:t>
      </w:r>
      <w:r w:rsidRPr="002B4592">
        <w:rPr>
          <w:rFonts w:asciiTheme="minorBidi" w:hAnsiTheme="minorBidi"/>
          <w:i/>
          <w:iCs/>
          <w:color w:val="000000" w:themeColor="text1"/>
          <w:sz w:val="20"/>
          <w:szCs w:val="20"/>
        </w:rPr>
        <w:t>Molad</w:t>
      </w:r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 will not involve problematic conduct by the organization of the type that existed in the past. However, </w:t>
      </w:r>
      <w:proofErr w:type="gramStart"/>
      <w:r w:rsidRPr="002B4592">
        <w:rPr>
          <w:rFonts w:asciiTheme="minorBidi" w:hAnsiTheme="minorBidi"/>
          <w:color w:val="000000" w:themeColor="text1"/>
          <w:sz w:val="20"/>
          <w:szCs w:val="20"/>
        </w:rPr>
        <w:t>in light of the fact that</w:t>
      </w:r>
      <w:proofErr w:type="gramEnd"/>
      <w:r w:rsidRPr="002B4592">
        <w:rPr>
          <w:rFonts w:asciiTheme="minorBidi" w:hAnsiTheme="minorBidi"/>
          <w:color w:val="000000" w:themeColor="text1"/>
          <w:sz w:val="20"/>
          <w:szCs w:val="20"/>
        </w:rPr>
        <w:t xml:space="preserve">, as mentioned, Avner Inbar still plays a central role in the organization, it is impossible to unequivocally state that such conduct will not be repeated. </w:t>
      </w:r>
    </w:p>
    <w:p w14:paraId="5B2DF0CA" w14:textId="77777777" w:rsidR="005409A4" w:rsidRPr="00C3342E" w:rsidRDefault="005409A4" w:rsidP="005409A4">
      <w:pPr>
        <w:bidi w:val="0"/>
        <w:jc w:val="right"/>
        <w:rPr>
          <w:rFonts w:asciiTheme="minorBidi" w:hAnsiTheme="minorBidi"/>
          <w:color w:val="000000" w:themeColor="text1"/>
          <w:sz w:val="20"/>
          <w:szCs w:val="20"/>
          <w:rtl/>
        </w:rPr>
      </w:pPr>
    </w:p>
    <w:p w14:paraId="0C7B525F" w14:textId="77777777" w:rsidR="00AB1B90" w:rsidRPr="002B4592" w:rsidRDefault="00000000" w:rsidP="00AB1B90">
      <w:pPr>
        <w:bidi w:val="0"/>
        <w:jc w:val="both"/>
        <w:rPr>
          <w:rFonts w:cs="Arial"/>
          <w:b/>
          <w:color w:val="000000" w:themeColor="text1"/>
          <w:rtl/>
        </w:rPr>
      </w:pPr>
      <w:r w:rsidRPr="002B4592">
        <w:rPr>
          <w:rFonts w:cs="Arial"/>
          <w:b/>
          <w:color w:val="000000" w:themeColor="text1"/>
        </w:rPr>
        <w:t xml:space="preserve">Explain Staff Recommendation: </w:t>
      </w:r>
    </w:p>
    <w:p w14:paraId="7C373508" w14:textId="16ADF26D" w:rsidR="00C257A6" w:rsidRPr="00C3342E" w:rsidRDefault="00000000" w:rsidP="00B31012">
      <w:pPr>
        <w:bidi w:val="0"/>
        <w:jc w:val="both"/>
        <w:rPr>
          <w:rFonts w:ascii="Arial" w:hAnsi="Arial" w:cs="Arial"/>
          <w:bCs/>
          <w:color w:val="000000" w:themeColor="text1"/>
          <w:sz w:val="20"/>
          <w:szCs w:val="20"/>
          <w:rtl/>
        </w:rPr>
      </w:pP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As part of the strategic thinking process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>regarding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infrastructure for the pro-democracy movement, the team identified that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there is insufficient work </w:t>
      </w:r>
      <w:r w:rsidR="00E53A9E">
        <w:rPr>
          <w:rFonts w:ascii="Arial" w:hAnsi="Arial" w:cs="Arial"/>
          <w:bCs/>
          <w:color w:val="000000" w:themeColor="text1"/>
          <w:sz w:val="20"/>
          <w:szCs w:val="20"/>
        </w:rPr>
        <w:t xml:space="preserve">being done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on idea development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within the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>b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uilding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>b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lock</w:t>
      </w:r>
      <w:r w:rsidR="00E53A9E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of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i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deological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nfrastructure and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i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nfrastructure for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>d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esigning and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romoting 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olicies</w:t>
      </w:r>
      <w:r w:rsidR="00C3342E" w:rsidRPr="002B4592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6CFA784D" w14:textId="58D1D8B4" w:rsidR="00C257A6" w:rsidRPr="00C3342E" w:rsidRDefault="00C3342E" w:rsidP="00B31012">
      <w:pPr>
        <w:bidi w:val="0"/>
        <w:jc w:val="both"/>
        <w:rPr>
          <w:rFonts w:ascii="Arial" w:hAnsi="Arial" w:cs="Arial"/>
          <w:bCs/>
          <w:color w:val="000000" w:themeColor="text1"/>
          <w:sz w:val="20"/>
          <w:szCs w:val="20"/>
          <w:rtl/>
        </w:rPr>
      </w:pP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O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>ne of the team</w:t>
      </w:r>
      <w:r w:rsidR="00E53A9E">
        <w:rPr>
          <w:rFonts w:ascii="Arial" w:hAnsi="Arial" w:cs="Arial"/>
          <w:bCs/>
          <w:color w:val="000000" w:themeColor="text1"/>
          <w:sz w:val="20"/>
          <w:szCs w:val="20"/>
        </w:rPr>
        <w:t>’s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recommendations, therefore, is to increase investment in think tanks that deal with idea development. </w:t>
      </w:r>
      <w:r w:rsidR="00000000" w:rsidRPr="002B4592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Molad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plays a unique role in this field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both in developing a political narrative for the pro-democracy movement and in translating this narrative into position papers and message sheets that are distributed to political leaders, media figures, protest leaders, and </w:t>
      </w:r>
      <w:r w:rsidR="001F4A9D" w:rsidRPr="002B4592">
        <w:rPr>
          <w:rFonts w:ascii="Arial" w:hAnsi="Arial" w:cs="Arial"/>
          <w:bCs/>
          <w:color w:val="000000" w:themeColor="text1"/>
          <w:sz w:val="20"/>
          <w:szCs w:val="20"/>
        </w:rPr>
        <w:t>influencers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within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the pro-democracy camp.</w:t>
      </w:r>
      <w:r w:rsidR="00E53A9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2B4592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Molad’s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research fellows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are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a young and impressive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cohort 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that has already proven its ability to produce research </w:t>
      </w:r>
      <w:r w:rsidR="00E53A9E">
        <w:rPr>
          <w:rFonts w:ascii="Arial" w:hAnsi="Arial" w:cs="Arial"/>
          <w:bCs/>
          <w:color w:val="000000" w:themeColor="text1"/>
          <w:sz w:val="20"/>
          <w:szCs w:val="20"/>
        </w:rPr>
        <w:t>that builds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the narrative for the pro-democracy movement and to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serve as 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public spokespeople for this narrative. In contrast to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the anti-collaboration 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approach that characterized </w:t>
      </w:r>
      <w:r w:rsidR="00000000" w:rsidRPr="002B4592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Molad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in its early days, in </w:t>
      </w:r>
      <w:r w:rsidR="005056CD">
        <w:rPr>
          <w:rFonts w:ascii="Arial" w:hAnsi="Arial" w:cs="Arial"/>
          <w:bCs/>
          <w:color w:val="000000" w:themeColor="text1"/>
          <w:sz w:val="20"/>
          <w:szCs w:val="20"/>
        </w:rPr>
        <w:t xml:space="preserve">more 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>recent years</w:t>
      </w:r>
      <w:r w:rsidR="005056C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the organization has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partner</w:t>
      </w:r>
      <w:r w:rsidR="005056CD">
        <w:rPr>
          <w:rFonts w:ascii="Arial" w:hAnsi="Arial" w:cs="Arial"/>
          <w:bCs/>
          <w:color w:val="000000" w:themeColor="text1"/>
          <w:sz w:val="20"/>
          <w:szCs w:val="20"/>
        </w:rPr>
        <w:t>ed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with other organizations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within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the ecosystem of the pro-democracy movement. Against this back</w:t>
      </w:r>
      <w:r w:rsidR="00E53A9E">
        <w:rPr>
          <w:rFonts w:ascii="Arial" w:hAnsi="Arial" w:cs="Arial"/>
          <w:bCs/>
          <w:color w:val="000000" w:themeColor="text1"/>
          <w:sz w:val="20"/>
          <w:szCs w:val="20"/>
        </w:rPr>
        <w:t>drop,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the team recommends a grant that will be specifically </w:t>
      </w:r>
      <w:r w:rsidR="00E53A9E">
        <w:rPr>
          <w:rFonts w:ascii="Arial" w:hAnsi="Arial" w:cs="Arial"/>
          <w:bCs/>
          <w:color w:val="000000" w:themeColor="text1"/>
          <w:sz w:val="20"/>
          <w:szCs w:val="20"/>
        </w:rPr>
        <w:t>earmarked</w:t>
      </w:r>
      <w:r w:rsidR="00E53A9E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for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fund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ing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the organization</w:t>
      </w:r>
      <w:r w:rsidRPr="002B4592">
        <w:rPr>
          <w:rFonts w:ascii="Arial" w:hAnsi="Arial" w:cs="Arial"/>
          <w:bCs/>
          <w:color w:val="000000" w:themeColor="text1"/>
          <w:sz w:val="20"/>
          <w:szCs w:val="20"/>
        </w:rPr>
        <w:t>’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>s peer group. The grant is for one year only</w:t>
      </w:r>
      <w:r w:rsidR="005056CD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and the grant approval letter will indicate that renewal of the grant next year will </w:t>
      </w:r>
      <w:r w:rsidR="005056CD">
        <w:rPr>
          <w:rFonts w:ascii="Arial" w:hAnsi="Arial" w:cs="Arial"/>
          <w:bCs/>
          <w:color w:val="000000" w:themeColor="text1"/>
          <w:sz w:val="20"/>
          <w:szCs w:val="20"/>
        </w:rPr>
        <w:t>depend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 on the nature of the relationship and collaboration between NIF and the organization</w:t>
      </w:r>
      <w:r w:rsidR="00E53A9E" w:rsidRPr="003B3547">
        <w:rPr>
          <w:rFonts w:ascii="Arial" w:hAnsi="Arial" w:cs="Arial"/>
          <w:bCs/>
          <w:color w:val="000000" w:themeColor="text1"/>
          <w:sz w:val="20"/>
          <w:szCs w:val="20"/>
        </w:rPr>
        <w:t>, in addition to indicators related to the organization’s impact</w:t>
      </w:r>
      <w:r w:rsidR="00000000" w:rsidRPr="002B4592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5FE620AD" w14:textId="77777777" w:rsidR="00262827" w:rsidRPr="00C3342E" w:rsidRDefault="00262827" w:rsidP="00BB6AC1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  <w:rtl/>
        </w:rPr>
      </w:pPr>
    </w:p>
    <w:p w14:paraId="1A806CAF" w14:textId="77777777" w:rsidR="00BB6AC1" w:rsidRPr="00C3342E" w:rsidRDefault="00BB6AC1" w:rsidP="00BB6AC1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  <w:rtl/>
        </w:rPr>
      </w:pPr>
    </w:p>
    <w:p w14:paraId="4BD63543" w14:textId="77777777" w:rsidR="00BB6AC1" w:rsidRPr="00C3342E" w:rsidRDefault="00BB6AC1" w:rsidP="00BB6AC1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  <w:rtl/>
        </w:rPr>
      </w:pPr>
    </w:p>
    <w:p w14:paraId="73C63450" w14:textId="77777777" w:rsidR="00BB6AC1" w:rsidRPr="00C3342E" w:rsidRDefault="00BB6AC1" w:rsidP="00BB6AC1">
      <w:pPr>
        <w:pStyle w:val="ListParagraph"/>
        <w:bidi w:val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5D1CD43" w14:textId="77777777" w:rsidR="003F4AD8" w:rsidRPr="00C3342E" w:rsidRDefault="003F4AD8" w:rsidP="003F4AD8">
      <w:pPr>
        <w:bidi w:val="0"/>
        <w:jc w:val="right"/>
        <w:rPr>
          <w:rFonts w:ascii="Arial" w:hAnsi="Arial" w:cs="Arial"/>
          <w:b/>
          <w:color w:val="000000" w:themeColor="text1"/>
          <w:sz w:val="20"/>
          <w:szCs w:val="20"/>
          <w:rtl/>
        </w:rPr>
      </w:pPr>
    </w:p>
    <w:sectPr w:rsidR="003F4AD8" w:rsidRPr="00C3342E" w:rsidSect="003B35F0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nni Caisley" w:date="2025-03-31T07:05:00Z" w:initials="JC">
    <w:p w14:paraId="780930F6" w14:textId="77777777" w:rsidR="002B4592" w:rsidRDefault="00E53A9E" w:rsidP="002B4592">
      <w:pPr>
        <w:bidi w:val="0"/>
      </w:pPr>
      <w:r>
        <w:rPr>
          <w:rStyle w:val="CommentReference"/>
        </w:rPr>
        <w:annotationRef/>
      </w:r>
      <w:r w:rsidR="002B4592">
        <w:rPr>
          <w:sz w:val="20"/>
          <w:szCs w:val="20"/>
        </w:rPr>
        <w:t xml:space="preserve">NB it’s unclear to me whether this is actually the name of another organisation and should actually be capitalized. It was not located in the NIF style guide. </w:t>
      </w:r>
    </w:p>
  </w:comment>
  <w:comment w:id="1" w:author="Meredith Armstrong" w:date="2025-03-31T09:31:00Z" w:initials="MA">
    <w:p w14:paraId="11A0502F" w14:textId="6194E29A" w:rsidR="001A496F" w:rsidRDefault="001A496F" w:rsidP="001A496F">
      <w:pPr>
        <w:bidi w:val="0"/>
      </w:pPr>
      <w:r>
        <w:rPr>
          <w:rStyle w:val="CommentReference"/>
        </w:rPr>
        <w:annotationRef/>
      </w:r>
      <w:r>
        <w:rPr>
          <w:sz w:val="20"/>
          <w:szCs w:val="20"/>
        </w:rPr>
        <w:t xml:space="preserve">Please double-check this edit, as it seemed to be an incomplete sentence and was therefore modified.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0930F6" w15:done="0"/>
  <w15:commentEx w15:paraId="11A050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0AC7CD" w16cex:dateUtc="2025-03-31T06:05:00Z"/>
  <w16cex:commentExtensible w16cex:durableId="6D8F0659" w16cex:dateUtc="2025-03-31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0930F6" w16cid:durableId="0A0AC7CD"/>
  <w16cid:commentId w16cid:paraId="11A0502F" w16cid:durableId="6D8F0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5F4F" w14:textId="77777777" w:rsidR="00D6466D" w:rsidRDefault="00D6466D">
      <w:pPr>
        <w:spacing w:after="0" w:line="240" w:lineRule="auto"/>
      </w:pPr>
      <w:r>
        <w:separator/>
      </w:r>
    </w:p>
  </w:endnote>
  <w:endnote w:type="continuationSeparator" w:id="0">
    <w:p w14:paraId="1ABF3463" w14:textId="77777777" w:rsidR="00D6466D" w:rsidRDefault="00D6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6F43" w14:textId="77777777" w:rsidR="00D6466D" w:rsidRDefault="00D6466D">
      <w:pPr>
        <w:spacing w:after="0" w:line="240" w:lineRule="auto"/>
      </w:pPr>
      <w:r>
        <w:separator/>
      </w:r>
    </w:p>
  </w:footnote>
  <w:footnote w:type="continuationSeparator" w:id="0">
    <w:p w14:paraId="77A87A9F" w14:textId="77777777" w:rsidR="00D6466D" w:rsidRDefault="00D6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6717" w14:textId="77777777" w:rsidR="001F4A9D" w:rsidRDefault="00000000">
    <w:pPr>
      <w:pStyle w:val="Header"/>
      <w:bidi w:val="0"/>
    </w:pPr>
    <w:proofErr w:type="spellStart"/>
    <w:r>
      <w:rPr>
        <w:lang w:val="en"/>
      </w:rPr>
      <w:t>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66FB"/>
    <w:multiLevelType w:val="hybridMultilevel"/>
    <w:tmpl w:val="948C35C0"/>
    <w:lvl w:ilvl="0" w:tplc="F22E5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AEC16" w:tentative="1">
      <w:start w:val="1"/>
      <w:numFmt w:val="lowerLetter"/>
      <w:lvlText w:val="%2."/>
      <w:lvlJc w:val="left"/>
      <w:pPr>
        <w:ind w:left="1440" w:hanging="360"/>
      </w:pPr>
    </w:lvl>
    <w:lvl w:ilvl="2" w:tplc="95CE69F4" w:tentative="1">
      <w:start w:val="1"/>
      <w:numFmt w:val="lowerRoman"/>
      <w:lvlText w:val="%3."/>
      <w:lvlJc w:val="right"/>
      <w:pPr>
        <w:ind w:left="2160" w:hanging="180"/>
      </w:pPr>
    </w:lvl>
    <w:lvl w:ilvl="3" w:tplc="342036DE" w:tentative="1">
      <w:start w:val="1"/>
      <w:numFmt w:val="decimal"/>
      <w:lvlText w:val="%4."/>
      <w:lvlJc w:val="left"/>
      <w:pPr>
        <w:ind w:left="2880" w:hanging="360"/>
      </w:pPr>
    </w:lvl>
    <w:lvl w:ilvl="4" w:tplc="575828C4" w:tentative="1">
      <w:start w:val="1"/>
      <w:numFmt w:val="lowerLetter"/>
      <w:lvlText w:val="%5."/>
      <w:lvlJc w:val="left"/>
      <w:pPr>
        <w:ind w:left="3600" w:hanging="360"/>
      </w:pPr>
    </w:lvl>
    <w:lvl w:ilvl="5" w:tplc="2A601752" w:tentative="1">
      <w:start w:val="1"/>
      <w:numFmt w:val="lowerRoman"/>
      <w:lvlText w:val="%6."/>
      <w:lvlJc w:val="right"/>
      <w:pPr>
        <w:ind w:left="4320" w:hanging="180"/>
      </w:pPr>
    </w:lvl>
    <w:lvl w:ilvl="6" w:tplc="04569474" w:tentative="1">
      <w:start w:val="1"/>
      <w:numFmt w:val="decimal"/>
      <w:lvlText w:val="%7."/>
      <w:lvlJc w:val="left"/>
      <w:pPr>
        <w:ind w:left="5040" w:hanging="360"/>
      </w:pPr>
    </w:lvl>
    <w:lvl w:ilvl="7" w:tplc="8FD8FE30" w:tentative="1">
      <w:start w:val="1"/>
      <w:numFmt w:val="lowerLetter"/>
      <w:lvlText w:val="%8."/>
      <w:lvlJc w:val="left"/>
      <w:pPr>
        <w:ind w:left="5760" w:hanging="360"/>
      </w:pPr>
    </w:lvl>
    <w:lvl w:ilvl="8" w:tplc="0A62C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CB6"/>
    <w:multiLevelType w:val="hybridMultilevel"/>
    <w:tmpl w:val="D0DAEAF6"/>
    <w:lvl w:ilvl="0" w:tplc="1D1C180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88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0F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A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4F6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2C0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00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0C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8D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2BA9"/>
    <w:multiLevelType w:val="hybridMultilevel"/>
    <w:tmpl w:val="3ACCF702"/>
    <w:lvl w:ilvl="0" w:tplc="BB868C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E800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22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4C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2A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AD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CC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E8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F03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E1407"/>
    <w:multiLevelType w:val="hybridMultilevel"/>
    <w:tmpl w:val="D18EF412"/>
    <w:lvl w:ilvl="0" w:tplc="9D5A0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6EB78" w:tentative="1">
      <w:start w:val="1"/>
      <w:numFmt w:val="lowerLetter"/>
      <w:lvlText w:val="%2."/>
      <w:lvlJc w:val="left"/>
      <w:pPr>
        <w:ind w:left="1440" w:hanging="360"/>
      </w:pPr>
    </w:lvl>
    <w:lvl w:ilvl="2" w:tplc="FE4EA7F0" w:tentative="1">
      <w:start w:val="1"/>
      <w:numFmt w:val="lowerRoman"/>
      <w:lvlText w:val="%3."/>
      <w:lvlJc w:val="right"/>
      <w:pPr>
        <w:ind w:left="2160" w:hanging="180"/>
      </w:pPr>
    </w:lvl>
    <w:lvl w:ilvl="3" w:tplc="2E420194" w:tentative="1">
      <w:start w:val="1"/>
      <w:numFmt w:val="decimal"/>
      <w:lvlText w:val="%4."/>
      <w:lvlJc w:val="left"/>
      <w:pPr>
        <w:ind w:left="2880" w:hanging="360"/>
      </w:pPr>
    </w:lvl>
    <w:lvl w:ilvl="4" w:tplc="F27C1262" w:tentative="1">
      <w:start w:val="1"/>
      <w:numFmt w:val="lowerLetter"/>
      <w:lvlText w:val="%5."/>
      <w:lvlJc w:val="left"/>
      <w:pPr>
        <w:ind w:left="3600" w:hanging="360"/>
      </w:pPr>
    </w:lvl>
    <w:lvl w:ilvl="5" w:tplc="93B2A572" w:tentative="1">
      <w:start w:val="1"/>
      <w:numFmt w:val="lowerRoman"/>
      <w:lvlText w:val="%6."/>
      <w:lvlJc w:val="right"/>
      <w:pPr>
        <w:ind w:left="4320" w:hanging="180"/>
      </w:pPr>
    </w:lvl>
    <w:lvl w:ilvl="6" w:tplc="93F81144" w:tentative="1">
      <w:start w:val="1"/>
      <w:numFmt w:val="decimal"/>
      <w:lvlText w:val="%7."/>
      <w:lvlJc w:val="left"/>
      <w:pPr>
        <w:ind w:left="5040" w:hanging="360"/>
      </w:pPr>
    </w:lvl>
    <w:lvl w:ilvl="7" w:tplc="9FB2E3CE" w:tentative="1">
      <w:start w:val="1"/>
      <w:numFmt w:val="lowerLetter"/>
      <w:lvlText w:val="%8."/>
      <w:lvlJc w:val="left"/>
      <w:pPr>
        <w:ind w:left="5760" w:hanging="360"/>
      </w:pPr>
    </w:lvl>
    <w:lvl w:ilvl="8" w:tplc="D8D4C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81B3E"/>
    <w:multiLevelType w:val="hybridMultilevel"/>
    <w:tmpl w:val="7D36E760"/>
    <w:lvl w:ilvl="0" w:tplc="ED22B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A7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83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81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01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03F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C6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83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E2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1744">
    <w:abstractNumId w:val="4"/>
  </w:num>
  <w:num w:numId="2" w16cid:durableId="785008283">
    <w:abstractNumId w:val="1"/>
  </w:num>
  <w:num w:numId="3" w16cid:durableId="1036272771">
    <w:abstractNumId w:val="0"/>
  </w:num>
  <w:num w:numId="4" w16cid:durableId="95027968">
    <w:abstractNumId w:val="3"/>
  </w:num>
  <w:num w:numId="5" w16cid:durableId="70340756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 Caisley">
    <w15:presenceInfo w15:providerId="None" w15:userId="Jenni Caisley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89"/>
    <w:rsid w:val="00000BCD"/>
    <w:rsid w:val="00004418"/>
    <w:rsid w:val="00014AFA"/>
    <w:rsid w:val="0001743C"/>
    <w:rsid w:val="000221A1"/>
    <w:rsid w:val="000269C4"/>
    <w:rsid w:val="000405EE"/>
    <w:rsid w:val="000D6D00"/>
    <w:rsid w:val="00105353"/>
    <w:rsid w:val="0010622A"/>
    <w:rsid w:val="001357C2"/>
    <w:rsid w:val="001655B3"/>
    <w:rsid w:val="00184AD5"/>
    <w:rsid w:val="0019097A"/>
    <w:rsid w:val="001A304D"/>
    <w:rsid w:val="001A3BBD"/>
    <w:rsid w:val="001A496F"/>
    <w:rsid w:val="001B7C0C"/>
    <w:rsid w:val="001C6B83"/>
    <w:rsid w:val="001F4A9D"/>
    <w:rsid w:val="00200C04"/>
    <w:rsid w:val="00241854"/>
    <w:rsid w:val="0024515F"/>
    <w:rsid w:val="00262827"/>
    <w:rsid w:val="002917B1"/>
    <w:rsid w:val="00291CD9"/>
    <w:rsid w:val="00296A02"/>
    <w:rsid w:val="002B4592"/>
    <w:rsid w:val="00307A4B"/>
    <w:rsid w:val="00313F53"/>
    <w:rsid w:val="00323E87"/>
    <w:rsid w:val="00334ACB"/>
    <w:rsid w:val="00345E85"/>
    <w:rsid w:val="00347889"/>
    <w:rsid w:val="00372A2A"/>
    <w:rsid w:val="00377153"/>
    <w:rsid w:val="0038119C"/>
    <w:rsid w:val="0039540F"/>
    <w:rsid w:val="00397004"/>
    <w:rsid w:val="003B35F0"/>
    <w:rsid w:val="003C05A0"/>
    <w:rsid w:val="003D1EE4"/>
    <w:rsid w:val="003D702B"/>
    <w:rsid w:val="003E7573"/>
    <w:rsid w:val="003F4AD8"/>
    <w:rsid w:val="00400531"/>
    <w:rsid w:val="00407F6F"/>
    <w:rsid w:val="004127BA"/>
    <w:rsid w:val="00416017"/>
    <w:rsid w:val="00462CF5"/>
    <w:rsid w:val="00475E2E"/>
    <w:rsid w:val="004C1333"/>
    <w:rsid w:val="004F400B"/>
    <w:rsid w:val="004F5673"/>
    <w:rsid w:val="005056CD"/>
    <w:rsid w:val="00515ECC"/>
    <w:rsid w:val="005409A4"/>
    <w:rsid w:val="00541405"/>
    <w:rsid w:val="005516B6"/>
    <w:rsid w:val="005615CF"/>
    <w:rsid w:val="00574742"/>
    <w:rsid w:val="005B14A4"/>
    <w:rsid w:val="005C7CD9"/>
    <w:rsid w:val="00603B3F"/>
    <w:rsid w:val="006060E6"/>
    <w:rsid w:val="00607E25"/>
    <w:rsid w:val="0062394E"/>
    <w:rsid w:val="00637087"/>
    <w:rsid w:val="00646E13"/>
    <w:rsid w:val="00657F1D"/>
    <w:rsid w:val="00661054"/>
    <w:rsid w:val="006646F1"/>
    <w:rsid w:val="0068047E"/>
    <w:rsid w:val="0068186F"/>
    <w:rsid w:val="006C16F0"/>
    <w:rsid w:val="006F2E72"/>
    <w:rsid w:val="00707608"/>
    <w:rsid w:val="00747189"/>
    <w:rsid w:val="00747DC5"/>
    <w:rsid w:val="00750F2E"/>
    <w:rsid w:val="00754812"/>
    <w:rsid w:val="007806CF"/>
    <w:rsid w:val="007A5F0E"/>
    <w:rsid w:val="007C5EB9"/>
    <w:rsid w:val="007D5737"/>
    <w:rsid w:val="00816E27"/>
    <w:rsid w:val="008304D1"/>
    <w:rsid w:val="00835F4F"/>
    <w:rsid w:val="00840EF5"/>
    <w:rsid w:val="00846C51"/>
    <w:rsid w:val="00851D99"/>
    <w:rsid w:val="00855384"/>
    <w:rsid w:val="00855975"/>
    <w:rsid w:val="00877498"/>
    <w:rsid w:val="00896A6A"/>
    <w:rsid w:val="008B49E6"/>
    <w:rsid w:val="008C6E1D"/>
    <w:rsid w:val="008E43AA"/>
    <w:rsid w:val="00963BAE"/>
    <w:rsid w:val="009B6AEF"/>
    <w:rsid w:val="009D0507"/>
    <w:rsid w:val="00A12EA4"/>
    <w:rsid w:val="00A23539"/>
    <w:rsid w:val="00A24B45"/>
    <w:rsid w:val="00A253A7"/>
    <w:rsid w:val="00AB1B90"/>
    <w:rsid w:val="00AB645B"/>
    <w:rsid w:val="00AD0CC9"/>
    <w:rsid w:val="00AE2A6F"/>
    <w:rsid w:val="00B162A7"/>
    <w:rsid w:val="00B31012"/>
    <w:rsid w:val="00B412D7"/>
    <w:rsid w:val="00B609F6"/>
    <w:rsid w:val="00B835B0"/>
    <w:rsid w:val="00B85F69"/>
    <w:rsid w:val="00B879D5"/>
    <w:rsid w:val="00B9105D"/>
    <w:rsid w:val="00BB1339"/>
    <w:rsid w:val="00BB1F3B"/>
    <w:rsid w:val="00BB6AC1"/>
    <w:rsid w:val="00BD61FF"/>
    <w:rsid w:val="00BF3130"/>
    <w:rsid w:val="00C212C7"/>
    <w:rsid w:val="00C23595"/>
    <w:rsid w:val="00C257A6"/>
    <w:rsid w:val="00C3342E"/>
    <w:rsid w:val="00C349E5"/>
    <w:rsid w:val="00C62AC0"/>
    <w:rsid w:val="00C631E8"/>
    <w:rsid w:val="00C6731A"/>
    <w:rsid w:val="00C758E8"/>
    <w:rsid w:val="00C7630E"/>
    <w:rsid w:val="00C860CA"/>
    <w:rsid w:val="00C95A7B"/>
    <w:rsid w:val="00CC16D0"/>
    <w:rsid w:val="00CE4AE4"/>
    <w:rsid w:val="00D00E49"/>
    <w:rsid w:val="00D11839"/>
    <w:rsid w:val="00D25CCC"/>
    <w:rsid w:val="00D36E9E"/>
    <w:rsid w:val="00D60EB0"/>
    <w:rsid w:val="00D6466D"/>
    <w:rsid w:val="00D71979"/>
    <w:rsid w:val="00D71C98"/>
    <w:rsid w:val="00D9619F"/>
    <w:rsid w:val="00DE5AC2"/>
    <w:rsid w:val="00E038E7"/>
    <w:rsid w:val="00E06D00"/>
    <w:rsid w:val="00E4212E"/>
    <w:rsid w:val="00E53A9E"/>
    <w:rsid w:val="00E86C94"/>
    <w:rsid w:val="00EC79FB"/>
    <w:rsid w:val="00EE2866"/>
    <w:rsid w:val="00F03FBD"/>
    <w:rsid w:val="00F24F01"/>
    <w:rsid w:val="00F42979"/>
    <w:rsid w:val="00F52062"/>
    <w:rsid w:val="00F61338"/>
    <w:rsid w:val="00F61BEA"/>
    <w:rsid w:val="00F648AC"/>
    <w:rsid w:val="00F94678"/>
    <w:rsid w:val="00F96CEE"/>
    <w:rsid w:val="00FB1AC8"/>
    <w:rsid w:val="00FB21AC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F1517"/>
  <w15:chartTrackingRefBased/>
  <w15:docId w15:val="{D3954D5F-EA30-4690-8CE9-E387590D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8E7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8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339"/>
  </w:style>
  <w:style w:type="paragraph" w:styleId="Footer">
    <w:name w:val="footer"/>
    <w:basedOn w:val="Normal"/>
    <w:link w:val="FooterChar"/>
    <w:uiPriority w:val="99"/>
    <w:unhideWhenUsed/>
    <w:rsid w:val="00BB1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339"/>
  </w:style>
  <w:style w:type="paragraph" w:styleId="Revision">
    <w:name w:val="Revision"/>
    <w:hidden/>
    <w:uiPriority w:val="99"/>
    <w:semiHidden/>
    <w:rsid w:val="004C13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3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0CBC65-4F6C-D44F-AC87-305B217FDB1B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1432</Words>
  <Characters>7939</Characters>
  <Application>Microsoft Office Word</Application>
  <DocSecurity>0</DocSecurity>
  <Lines>136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 Yavneh</dc:creator>
  <cp:lastModifiedBy>Meredith Armstrong</cp:lastModifiedBy>
  <cp:revision>3</cp:revision>
  <dcterms:created xsi:type="dcterms:W3CDTF">2025-03-31T07:38:00Z</dcterms:created>
  <dcterms:modified xsi:type="dcterms:W3CDTF">2025-03-31T07:40:00Z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documentId_3284</vt:lpwstr>
  </property>
  <property fmtid="{D5CDD505-2E9C-101B-9397-08002B2CF9AE}" pid="3" name="grammarly_documentContext">
    <vt:lpwstr>{"goals":[],"domain":"general","emotions":[],"dialect":"american"}</vt:lpwstr>
  </property>
</Properties>
</file>